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MYKOLO ROMERIO UNIVERSITETAS</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Eglė Matuizienė</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 xml:space="preserve">PRIVATAUS KALTINIMO BYLŲ PROCESAS </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KAIP DISPOZITYVUMO REALIZAVIMO FORMA</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Daktaro disertacija</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Socialiniai mokslai, teisė (01 S)</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imes New Roman"/>
          <w:lang w:eastAsia="lt-LT"/>
        </w:rPr>
      </w:pPr>
      <w:r w:rsidRPr="00CE37D0">
        <w:rPr>
          <w:rFonts w:eastAsia="Times New Roman"/>
          <w:lang w:eastAsia="lt-LT"/>
        </w:rPr>
        <w:t>Vilnius, 201</w:t>
      </w:r>
      <w:r w:rsidR="002D3097">
        <w:rPr>
          <w:rFonts w:eastAsia="Times New Roman"/>
          <w:lang w:eastAsia="lt-LT"/>
        </w:rPr>
        <w:t>4</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lang w:eastAsia="lt-LT"/>
        </w:rPr>
      </w:pPr>
      <w:r w:rsidRPr="00CE37D0">
        <w:rPr>
          <w:rFonts w:eastAsia="Times New Roman"/>
          <w:lang w:eastAsia="lt-LT"/>
        </w:rPr>
        <w:br w:type="page"/>
      </w:r>
      <w:r w:rsidRPr="00CE37D0">
        <w:rPr>
          <w:rFonts w:eastAsia="Times New Roman"/>
          <w:lang w:eastAsia="lt-LT"/>
        </w:rPr>
        <w:lastRenderedPageBreak/>
        <w:t>Disertacija rengta 2006-201</w:t>
      </w:r>
      <w:r w:rsidR="002D3097">
        <w:rPr>
          <w:rFonts w:eastAsia="Times New Roman"/>
          <w:lang w:eastAsia="lt-LT"/>
        </w:rPr>
        <w:t>4</w:t>
      </w:r>
      <w:r w:rsidRPr="00CE37D0">
        <w:rPr>
          <w:rFonts w:eastAsia="Times New Roman"/>
          <w:lang w:eastAsia="lt-LT"/>
        </w:rPr>
        <w:t xml:space="preserve"> metais Mykolo Romerio </w:t>
      </w:r>
      <w:r w:rsidR="00FC685F">
        <w:rPr>
          <w:rFonts w:eastAsia="Times New Roman"/>
          <w:lang w:eastAsia="lt-LT"/>
        </w:rPr>
        <w:t>u</w:t>
      </w:r>
      <w:r w:rsidRPr="00CE37D0">
        <w:rPr>
          <w:rFonts w:eastAsia="Times New Roman"/>
          <w:lang w:eastAsia="lt-LT"/>
        </w:rPr>
        <w:t>niversitete.</w:t>
      </w: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lang w:eastAsia="lt-LT"/>
        </w:rPr>
      </w:pPr>
    </w:p>
    <w:p w:rsidR="006B2823"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lang w:eastAsia="lt-LT"/>
        </w:rPr>
      </w:pPr>
      <w:r w:rsidRPr="00CE37D0">
        <w:rPr>
          <w:rFonts w:eastAsia="Times New Roman"/>
          <w:lang w:eastAsia="lt-LT"/>
        </w:rPr>
        <w:t>Mokslinė vadovė:</w:t>
      </w:r>
    </w:p>
    <w:p w:rsidR="008B5ADE" w:rsidRPr="00CE37D0" w:rsidRDefault="006B2823"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lang w:eastAsia="lt-LT"/>
        </w:rPr>
      </w:pPr>
      <w:r w:rsidRPr="00CE37D0">
        <w:rPr>
          <w:rFonts w:eastAsia="Times New Roman"/>
          <w:lang w:eastAsia="lt-LT"/>
        </w:rPr>
        <w:t>Prof. dr. Rima Ažubalytė (Mykolo Romerio universitetas, socialiniai mokslai, teisė (01 S</w:t>
      </w:r>
      <w:proofErr w:type="gramStart"/>
      <w:r w:rsidRPr="00CE37D0">
        <w:rPr>
          <w:rFonts w:eastAsia="Times New Roman"/>
          <w:lang w:eastAsia="lt-LT"/>
        </w:rPr>
        <w:t>))</w:t>
      </w:r>
      <w:proofErr w:type="gramEnd"/>
    </w:p>
    <w:p w:rsidR="0056607D" w:rsidRPr="00CE37D0" w:rsidRDefault="0056607D" w:rsidP="0056607D">
      <w:pPr>
        <w:pStyle w:val="Turinioantrat"/>
        <w:spacing w:before="0" w:after="0"/>
        <w:rPr>
          <w:color w:val="365F91"/>
          <w:sz w:val="28"/>
          <w:szCs w:val="28"/>
          <w:lang w:eastAsia="lt-LT"/>
        </w:rPr>
      </w:pPr>
      <w:r w:rsidRPr="00CE37D0">
        <w:rPr>
          <w:lang w:eastAsia="lt-LT"/>
        </w:rPr>
        <w:br w:type="page"/>
      </w:r>
    </w:p>
    <w:sdt>
      <w:sdtPr>
        <w:rPr>
          <w:rFonts w:ascii="Times New Roman" w:eastAsia="Calibri" w:hAnsi="Times New Roman"/>
          <w:b w:val="0"/>
          <w:bCs w:val="0"/>
          <w:kern w:val="0"/>
          <w:sz w:val="24"/>
          <w:szCs w:val="24"/>
        </w:rPr>
        <w:id w:val="206531783"/>
        <w:docPartObj>
          <w:docPartGallery w:val="Table of Contents"/>
          <w:docPartUnique/>
        </w:docPartObj>
      </w:sdtPr>
      <w:sdtContent>
        <w:p w:rsidR="00DA5830" w:rsidRPr="00CE37D0" w:rsidRDefault="00DA5830">
          <w:pPr>
            <w:pStyle w:val="Turinioantrat"/>
          </w:pPr>
          <w:r w:rsidRPr="00CE37D0">
            <w:t>Turinys</w:t>
          </w:r>
        </w:p>
        <w:p w:rsidR="002028D4" w:rsidRDefault="00E83980">
          <w:pPr>
            <w:pStyle w:val="Turinys1"/>
            <w:tabs>
              <w:tab w:val="right" w:leader="dot" w:pos="9628"/>
            </w:tabs>
            <w:rPr>
              <w:rFonts w:asciiTheme="minorHAnsi" w:eastAsiaTheme="minorEastAsia" w:hAnsiTheme="minorHAnsi" w:cstheme="minorBidi"/>
              <w:noProof/>
              <w:sz w:val="22"/>
              <w:szCs w:val="22"/>
              <w:lang w:eastAsia="lt-LT"/>
            </w:rPr>
          </w:pPr>
          <w:r w:rsidRPr="005A3F15">
            <w:fldChar w:fldCharType="begin"/>
          </w:r>
          <w:r w:rsidR="00DA5830" w:rsidRPr="005A3F15">
            <w:instrText xml:space="preserve"> TOC \o "1-3" \h \z \u </w:instrText>
          </w:r>
          <w:r w:rsidRPr="005A3F15">
            <w:fldChar w:fldCharType="separate"/>
          </w:r>
          <w:hyperlink w:anchor="_Toc400321663" w:history="1">
            <w:r w:rsidR="002028D4" w:rsidRPr="004A26F3">
              <w:rPr>
                <w:rStyle w:val="Hipersaitas"/>
                <w:noProof/>
              </w:rPr>
              <w:t>Įvadas</w:t>
            </w:r>
            <w:r w:rsidR="002028D4">
              <w:rPr>
                <w:noProof/>
                <w:webHidden/>
              </w:rPr>
              <w:tab/>
            </w:r>
            <w:r w:rsidR="002028D4">
              <w:rPr>
                <w:noProof/>
                <w:webHidden/>
              </w:rPr>
              <w:fldChar w:fldCharType="begin"/>
            </w:r>
            <w:r w:rsidR="002028D4">
              <w:rPr>
                <w:noProof/>
                <w:webHidden/>
              </w:rPr>
              <w:instrText xml:space="preserve"> PAGEREF _Toc400321663 \h </w:instrText>
            </w:r>
            <w:r w:rsidR="002028D4">
              <w:rPr>
                <w:noProof/>
                <w:webHidden/>
              </w:rPr>
            </w:r>
            <w:r w:rsidR="002028D4">
              <w:rPr>
                <w:noProof/>
                <w:webHidden/>
              </w:rPr>
              <w:fldChar w:fldCharType="separate"/>
            </w:r>
            <w:r w:rsidR="002028D4">
              <w:rPr>
                <w:noProof/>
                <w:webHidden/>
              </w:rPr>
              <w:t>6</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4" w:history="1">
            <w:r w:rsidR="002028D4" w:rsidRPr="004A26F3">
              <w:rPr>
                <w:rStyle w:val="Hipersaitas"/>
                <w:noProof/>
              </w:rPr>
              <w:t>Temos aktualumas.</w:t>
            </w:r>
            <w:r w:rsidR="002028D4">
              <w:rPr>
                <w:noProof/>
                <w:webHidden/>
              </w:rPr>
              <w:tab/>
            </w:r>
            <w:r w:rsidR="002028D4">
              <w:rPr>
                <w:noProof/>
                <w:webHidden/>
              </w:rPr>
              <w:fldChar w:fldCharType="begin"/>
            </w:r>
            <w:r w:rsidR="002028D4">
              <w:rPr>
                <w:noProof/>
                <w:webHidden/>
              </w:rPr>
              <w:instrText xml:space="preserve"> PAGEREF _Toc400321664 \h </w:instrText>
            </w:r>
            <w:r w:rsidR="002028D4">
              <w:rPr>
                <w:noProof/>
                <w:webHidden/>
              </w:rPr>
            </w:r>
            <w:r w:rsidR="002028D4">
              <w:rPr>
                <w:noProof/>
                <w:webHidden/>
              </w:rPr>
              <w:fldChar w:fldCharType="separate"/>
            </w:r>
            <w:r w:rsidR="002028D4">
              <w:rPr>
                <w:noProof/>
                <w:webHidden/>
              </w:rPr>
              <w:t>6</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5" w:history="1">
            <w:r w:rsidR="002028D4" w:rsidRPr="004A26F3">
              <w:rPr>
                <w:rStyle w:val="Hipersaitas"/>
                <w:noProof/>
              </w:rPr>
              <w:t>Darbo mokslinis naujumas</w:t>
            </w:r>
            <w:r w:rsidR="002028D4">
              <w:rPr>
                <w:noProof/>
                <w:webHidden/>
              </w:rPr>
              <w:tab/>
            </w:r>
            <w:r w:rsidR="002028D4">
              <w:rPr>
                <w:noProof/>
                <w:webHidden/>
              </w:rPr>
              <w:fldChar w:fldCharType="begin"/>
            </w:r>
            <w:r w:rsidR="002028D4">
              <w:rPr>
                <w:noProof/>
                <w:webHidden/>
              </w:rPr>
              <w:instrText xml:space="preserve"> PAGEREF _Toc400321665 \h </w:instrText>
            </w:r>
            <w:r w:rsidR="002028D4">
              <w:rPr>
                <w:noProof/>
                <w:webHidden/>
              </w:rPr>
            </w:r>
            <w:r w:rsidR="002028D4">
              <w:rPr>
                <w:noProof/>
                <w:webHidden/>
              </w:rPr>
              <w:fldChar w:fldCharType="separate"/>
            </w:r>
            <w:r w:rsidR="002028D4">
              <w:rPr>
                <w:noProof/>
                <w:webHidden/>
              </w:rPr>
              <w:t>7</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6" w:history="1">
            <w:r w:rsidR="002028D4" w:rsidRPr="004A26F3">
              <w:rPr>
                <w:rStyle w:val="Hipersaitas"/>
                <w:noProof/>
              </w:rPr>
              <w:t>Tyrimo reikšmingumas</w:t>
            </w:r>
            <w:r w:rsidR="002028D4">
              <w:rPr>
                <w:noProof/>
                <w:webHidden/>
              </w:rPr>
              <w:tab/>
            </w:r>
            <w:r w:rsidR="002028D4">
              <w:rPr>
                <w:noProof/>
                <w:webHidden/>
              </w:rPr>
              <w:fldChar w:fldCharType="begin"/>
            </w:r>
            <w:r w:rsidR="002028D4">
              <w:rPr>
                <w:noProof/>
                <w:webHidden/>
              </w:rPr>
              <w:instrText xml:space="preserve"> PAGEREF _Toc400321666 \h </w:instrText>
            </w:r>
            <w:r w:rsidR="002028D4">
              <w:rPr>
                <w:noProof/>
                <w:webHidden/>
              </w:rPr>
            </w:r>
            <w:r w:rsidR="002028D4">
              <w:rPr>
                <w:noProof/>
                <w:webHidden/>
              </w:rPr>
              <w:fldChar w:fldCharType="separate"/>
            </w:r>
            <w:r w:rsidR="002028D4">
              <w:rPr>
                <w:noProof/>
                <w:webHidden/>
              </w:rPr>
              <w:t>8</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7" w:history="1">
            <w:r w:rsidR="002028D4" w:rsidRPr="004A26F3">
              <w:rPr>
                <w:rStyle w:val="Hipersaitas"/>
                <w:noProof/>
              </w:rPr>
              <w:t>Mokslinio tyrimo objektas</w:t>
            </w:r>
            <w:r w:rsidR="002028D4">
              <w:rPr>
                <w:noProof/>
                <w:webHidden/>
              </w:rPr>
              <w:tab/>
            </w:r>
            <w:r w:rsidR="002028D4">
              <w:rPr>
                <w:noProof/>
                <w:webHidden/>
              </w:rPr>
              <w:fldChar w:fldCharType="begin"/>
            </w:r>
            <w:r w:rsidR="002028D4">
              <w:rPr>
                <w:noProof/>
                <w:webHidden/>
              </w:rPr>
              <w:instrText xml:space="preserve"> PAGEREF _Toc400321667 \h </w:instrText>
            </w:r>
            <w:r w:rsidR="002028D4">
              <w:rPr>
                <w:noProof/>
                <w:webHidden/>
              </w:rPr>
            </w:r>
            <w:r w:rsidR="002028D4">
              <w:rPr>
                <w:noProof/>
                <w:webHidden/>
              </w:rPr>
              <w:fldChar w:fldCharType="separate"/>
            </w:r>
            <w:r w:rsidR="002028D4">
              <w:rPr>
                <w:noProof/>
                <w:webHidden/>
              </w:rPr>
              <w:t>9</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8" w:history="1">
            <w:r w:rsidR="002028D4" w:rsidRPr="004A26F3">
              <w:rPr>
                <w:rStyle w:val="Hipersaitas"/>
                <w:noProof/>
              </w:rPr>
              <w:t>Mokslinio tyrimo tikslas ir uždaviniai</w:t>
            </w:r>
            <w:r w:rsidR="002028D4">
              <w:rPr>
                <w:noProof/>
                <w:webHidden/>
              </w:rPr>
              <w:tab/>
            </w:r>
            <w:r w:rsidR="002028D4">
              <w:rPr>
                <w:noProof/>
                <w:webHidden/>
              </w:rPr>
              <w:fldChar w:fldCharType="begin"/>
            </w:r>
            <w:r w:rsidR="002028D4">
              <w:rPr>
                <w:noProof/>
                <w:webHidden/>
              </w:rPr>
              <w:instrText xml:space="preserve"> PAGEREF _Toc400321668 \h </w:instrText>
            </w:r>
            <w:r w:rsidR="002028D4">
              <w:rPr>
                <w:noProof/>
                <w:webHidden/>
              </w:rPr>
            </w:r>
            <w:r w:rsidR="002028D4">
              <w:rPr>
                <w:noProof/>
                <w:webHidden/>
              </w:rPr>
              <w:fldChar w:fldCharType="separate"/>
            </w:r>
            <w:r w:rsidR="002028D4">
              <w:rPr>
                <w:noProof/>
                <w:webHidden/>
              </w:rPr>
              <w:t>9</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69" w:history="1">
            <w:r w:rsidR="002028D4" w:rsidRPr="004A26F3">
              <w:rPr>
                <w:rStyle w:val="Hipersaitas"/>
                <w:noProof/>
              </w:rPr>
              <w:t>Disertacinio tyrimo ginamieji teiginiai:</w:t>
            </w:r>
            <w:r w:rsidR="002028D4">
              <w:rPr>
                <w:noProof/>
                <w:webHidden/>
              </w:rPr>
              <w:tab/>
            </w:r>
            <w:r w:rsidR="002028D4">
              <w:rPr>
                <w:noProof/>
                <w:webHidden/>
              </w:rPr>
              <w:fldChar w:fldCharType="begin"/>
            </w:r>
            <w:r w:rsidR="002028D4">
              <w:rPr>
                <w:noProof/>
                <w:webHidden/>
              </w:rPr>
              <w:instrText xml:space="preserve"> PAGEREF _Toc400321669 \h </w:instrText>
            </w:r>
            <w:r w:rsidR="002028D4">
              <w:rPr>
                <w:noProof/>
                <w:webHidden/>
              </w:rPr>
            </w:r>
            <w:r w:rsidR="002028D4">
              <w:rPr>
                <w:noProof/>
                <w:webHidden/>
              </w:rPr>
              <w:fldChar w:fldCharType="separate"/>
            </w:r>
            <w:r w:rsidR="002028D4">
              <w:rPr>
                <w:noProof/>
                <w:webHidden/>
              </w:rPr>
              <w:t>10</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70" w:history="1">
            <w:r w:rsidR="002028D4" w:rsidRPr="004A26F3">
              <w:rPr>
                <w:rStyle w:val="Hipersaitas"/>
                <w:noProof/>
              </w:rPr>
              <w:t>Mokslinio tyrimo metodai</w:t>
            </w:r>
            <w:r w:rsidR="002028D4">
              <w:rPr>
                <w:noProof/>
                <w:webHidden/>
              </w:rPr>
              <w:tab/>
            </w:r>
            <w:r w:rsidR="002028D4">
              <w:rPr>
                <w:noProof/>
                <w:webHidden/>
              </w:rPr>
              <w:fldChar w:fldCharType="begin"/>
            </w:r>
            <w:r w:rsidR="002028D4">
              <w:rPr>
                <w:noProof/>
                <w:webHidden/>
              </w:rPr>
              <w:instrText xml:space="preserve"> PAGEREF _Toc400321670 \h </w:instrText>
            </w:r>
            <w:r w:rsidR="002028D4">
              <w:rPr>
                <w:noProof/>
                <w:webHidden/>
              </w:rPr>
            </w:r>
            <w:r w:rsidR="002028D4">
              <w:rPr>
                <w:noProof/>
                <w:webHidden/>
              </w:rPr>
              <w:fldChar w:fldCharType="separate"/>
            </w:r>
            <w:r w:rsidR="002028D4">
              <w:rPr>
                <w:noProof/>
                <w:webHidden/>
              </w:rPr>
              <w:t>11</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71" w:history="1">
            <w:r w:rsidR="002028D4" w:rsidRPr="004A26F3">
              <w:rPr>
                <w:rStyle w:val="Hipersaitas"/>
                <w:noProof/>
              </w:rPr>
              <w:t>Disertacinio tyrimo struktūra</w:t>
            </w:r>
            <w:r w:rsidR="002028D4">
              <w:rPr>
                <w:noProof/>
                <w:webHidden/>
              </w:rPr>
              <w:tab/>
            </w:r>
            <w:r w:rsidR="002028D4">
              <w:rPr>
                <w:noProof/>
                <w:webHidden/>
              </w:rPr>
              <w:fldChar w:fldCharType="begin"/>
            </w:r>
            <w:r w:rsidR="002028D4">
              <w:rPr>
                <w:noProof/>
                <w:webHidden/>
              </w:rPr>
              <w:instrText xml:space="preserve"> PAGEREF _Toc400321671 \h </w:instrText>
            </w:r>
            <w:r w:rsidR="002028D4">
              <w:rPr>
                <w:noProof/>
                <w:webHidden/>
              </w:rPr>
            </w:r>
            <w:r w:rsidR="002028D4">
              <w:rPr>
                <w:noProof/>
                <w:webHidden/>
              </w:rPr>
              <w:fldChar w:fldCharType="separate"/>
            </w:r>
            <w:r w:rsidR="002028D4">
              <w:rPr>
                <w:noProof/>
                <w:webHidden/>
              </w:rPr>
              <w:t>13</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72" w:history="1">
            <w:r w:rsidR="002028D4" w:rsidRPr="004A26F3">
              <w:rPr>
                <w:rStyle w:val="Hipersaitas"/>
                <w:noProof/>
              </w:rPr>
              <w:t>Tyrimų apžvalga</w:t>
            </w:r>
            <w:r w:rsidR="002028D4">
              <w:rPr>
                <w:noProof/>
                <w:webHidden/>
              </w:rPr>
              <w:tab/>
            </w:r>
            <w:r w:rsidR="002028D4">
              <w:rPr>
                <w:noProof/>
                <w:webHidden/>
              </w:rPr>
              <w:fldChar w:fldCharType="begin"/>
            </w:r>
            <w:r w:rsidR="002028D4">
              <w:rPr>
                <w:noProof/>
                <w:webHidden/>
              </w:rPr>
              <w:instrText xml:space="preserve"> PAGEREF _Toc400321672 \h </w:instrText>
            </w:r>
            <w:r w:rsidR="002028D4">
              <w:rPr>
                <w:noProof/>
                <w:webHidden/>
              </w:rPr>
            </w:r>
            <w:r w:rsidR="002028D4">
              <w:rPr>
                <w:noProof/>
                <w:webHidden/>
              </w:rPr>
              <w:fldChar w:fldCharType="separate"/>
            </w:r>
            <w:r w:rsidR="002028D4">
              <w:rPr>
                <w:noProof/>
                <w:webHidden/>
              </w:rPr>
              <w:t>15</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73" w:history="1">
            <w:r w:rsidR="002028D4" w:rsidRPr="004A26F3">
              <w:rPr>
                <w:rStyle w:val="Hipersaitas"/>
                <w:noProof/>
              </w:rPr>
              <w:t>I skyrius. Dispozityvumas baudžiamajame procese</w:t>
            </w:r>
            <w:r w:rsidR="002028D4">
              <w:rPr>
                <w:noProof/>
                <w:webHidden/>
              </w:rPr>
              <w:tab/>
            </w:r>
            <w:r w:rsidR="002028D4">
              <w:rPr>
                <w:noProof/>
                <w:webHidden/>
              </w:rPr>
              <w:fldChar w:fldCharType="begin"/>
            </w:r>
            <w:r w:rsidR="002028D4">
              <w:rPr>
                <w:noProof/>
                <w:webHidden/>
              </w:rPr>
              <w:instrText xml:space="preserve"> PAGEREF _Toc400321673 \h </w:instrText>
            </w:r>
            <w:r w:rsidR="002028D4">
              <w:rPr>
                <w:noProof/>
                <w:webHidden/>
              </w:rPr>
            </w:r>
            <w:r w:rsidR="002028D4">
              <w:rPr>
                <w:noProof/>
                <w:webHidden/>
              </w:rPr>
              <w:fldChar w:fldCharType="separate"/>
            </w:r>
            <w:r w:rsidR="002028D4">
              <w:rPr>
                <w:noProof/>
                <w:webHidden/>
              </w:rPr>
              <w:t>19</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74" w:history="1">
            <w:r w:rsidR="002028D4" w:rsidRPr="004A26F3">
              <w:rPr>
                <w:rStyle w:val="Hipersaitas"/>
                <w:noProof/>
              </w:rPr>
              <w:t>1. Viešojo ir privataus interesų koegzistavimas baudžiamajame procese</w:t>
            </w:r>
            <w:r w:rsidR="002028D4">
              <w:rPr>
                <w:noProof/>
                <w:webHidden/>
              </w:rPr>
              <w:tab/>
            </w:r>
            <w:r w:rsidR="002028D4">
              <w:rPr>
                <w:noProof/>
                <w:webHidden/>
              </w:rPr>
              <w:fldChar w:fldCharType="begin"/>
            </w:r>
            <w:r w:rsidR="002028D4">
              <w:rPr>
                <w:noProof/>
                <w:webHidden/>
              </w:rPr>
              <w:instrText xml:space="preserve"> PAGEREF _Toc400321674 \h </w:instrText>
            </w:r>
            <w:r w:rsidR="002028D4">
              <w:rPr>
                <w:noProof/>
                <w:webHidden/>
              </w:rPr>
            </w:r>
            <w:r w:rsidR="002028D4">
              <w:rPr>
                <w:noProof/>
                <w:webHidden/>
              </w:rPr>
              <w:fldChar w:fldCharType="separate"/>
            </w:r>
            <w:r w:rsidR="002028D4">
              <w:rPr>
                <w:noProof/>
                <w:webHidden/>
              </w:rPr>
              <w:t>20</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75" w:history="1">
            <w:r w:rsidR="002028D4" w:rsidRPr="004A26F3">
              <w:rPr>
                <w:rStyle w:val="Hipersaitas"/>
                <w:noProof/>
              </w:rPr>
              <w:t>2. Proceso dalyvių valios laisvės prielaidos baudžiamajame procese</w:t>
            </w:r>
            <w:r w:rsidR="002028D4">
              <w:rPr>
                <w:noProof/>
                <w:webHidden/>
              </w:rPr>
              <w:tab/>
            </w:r>
            <w:r w:rsidR="002028D4">
              <w:rPr>
                <w:noProof/>
                <w:webHidden/>
              </w:rPr>
              <w:fldChar w:fldCharType="begin"/>
            </w:r>
            <w:r w:rsidR="002028D4">
              <w:rPr>
                <w:noProof/>
                <w:webHidden/>
              </w:rPr>
              <w:instrText xml:space="preserve"> PAGEREF _Toc400321675 \h </w:instrText>
            </w:r>
            <w:r w:rsidR="002028D4">
              <w:rPr>
                <w:noProof/>
                <w:webHidden/>
              </w:rPr>
            </w:r>
            <w:r w:rsidR="002028D4">
              <w:rPr>
                <w:noProof/>
                <w:webHidden/>
              </w:rPr>
              <w:fldChar w:fldCharType="separate"/>
            </w:r>
            <w:r w:rsidR="002028D4">
              <w:rPr>
                <w:noProof/>
                <w:webHidden/>
              </w:rPr>
              <w:t>25</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76" w:history="1">
            <w:r w:rsidR="002028D4" w:rsidRPr="004A26F3">
              <w:rPr>
                <w:rStyle w:val="Hipersaitas"/>
                <w:noProof/>
              </w:rPr>
              <w:t>2.1. Dispozityvumo teorijos raida</w:t>
            </w:r>
            <w:r w:rsidR="002028D4">
              <w:rPr>
                <w:noProof/>
                <w:webHidden/>
              </w:rPr>
              <w:tab/>
            </w:r>
            <w:r w:rsidR="002028D4">
              <w:rPr>
                <w:noProof/>
                <w:webHidden/>
              </w:rPr>
              <w:fldChar w:fldCharType="begin"/>
            </w:r>
            <w:r w:rsidR="002028D4">
              <w:rPr>
                <w:noProof/>
                <w:webHidden/>
              </w:rPr>
              <w:instrText xml:space="preserve"> PAGEREF _Toc400321676 \h </w:instrText>
            </w:r>
            <w:r w:rsidR="002028D4">
              <w:rPr>
                <w:noProof/>
                <w:webHidden/>
              </w:rPr>
            </w:r>
            <w:r w:rsidR="002028D4">
              <w:rPr>
                <w:noProof/>
                <w:webHidden/>
              </w:rPr>
              <w:fldChar w:fldCharType="separate"/>
            </w:r>
            <w:r w:rsidR="002028D4">
              <w:rPr>
                <w:noProof/>
                <w:webHidden/>
              </w:rPr>
              <w:t>25</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77" w:history="1">
            <w:r w:rsidR="002028D4" w:rsidRPr="004A26F3">
              <w:rPr>
                <w:rStyle w:val="Hipersaitas"/>
                <w:noProof/>
              </w:rPr>
              <w:t>2.2. Dispozityvumas kaip teisinio reguliavimo metodas</w:t>
            </w:r>
            <w:r w:rsidR="002028D4">
              <w:rPr>
                <w:noProof/>
                <w:webHidden/>
              </w:rPr>
              <w:tab/>
            </w:r>
            <w:r w:rsidR="002028D4">
              <w:rPr>
                <w:noProof/>
                <w:webHidden/>
              </w:rPr>
              <w:fldChar w:fldCharType="begin"/>
            </w:r>
            <w:r w:rsidR="002028D4">
              <w:rPr>
                <w:noProof/>
                <w:webHidden/>
              </w:rPr>
              <w:instrText xml:space="preserve"> PAGEREF _Toc400321677 \h </w:instrText>
            </w:r>
            <w:r w:rsidR="002028D4">
              <w:rPr>
                <w:noProof/>
                <w:webHidden/>
              </w:rPr>
            </w:r>
            <w:r w:rsidR="002028D4">
              <w:rPr>
                <w:noProof/>
                <w:webHidden/>
              </w:rPr>
              <w:fldChar w:fldCharType="separate"/>
            </w:r>
            <w:r w:rsidR="002028D4">
              <w:rPr>
                <w:noProof/>
                <w:webHidden/>
              </w:rPr>
              <w:t>28</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78" w:history="1">
            <w:r w:rsidR="002028D4" w:rsidRPr="004A26F3">
              <w:rPr>
                <w:rStyle w:val="Hipersaitas"/>
                <w:noProof/>
              </w:rPr>
              <w:t>2.3. Dispozityvumas kaip teisės principas ir jo vieta baudžiamojo proceso principų sistemoje</w:t>
            </w:r>
            <w:r w:rsidR="002028D4">
              <w:rPr>
                <w:noProof/>
                <w:webHidden/>
              </w:rPr>
              <w:tab/>
            </w:r>
            <w:r w:rsidR="002028D4">
              <w:rPr>
                <w:noProof/>
                <w:webHidden/>
              </w:rPr>
              <w:fldChar w:fldCharType="begin"/>
            </w:r>
            <w:r w:rsidR="002028D4">
              <w:rPr>
                <w:noProof/>
                <w:webHidden/>
              </w:rPr>
              <w:instrText xml:space="preserve"> PAGEREF _Toc400321678 \h </w:instrText>
            </w:r>
            <w:r w:rsidR="002028D4">
              <w:rPr>
                <w:noProof/>
                <w:webHidden/>
              </w:rPr>
            </w:r>
            <w:r w:rsidR="002028D4">
              <w:rPr>
                <w:noProof/>
                <w:webHidden/>
              </w:rPr>
              <w:fldChar w:fldCharType="separate"/>
            </w:r>
            <w:r w:rsidR="002028D4">
              <w:rPr>
                <w:noProof/>
                <w:webHidden/>
              </w:rPr>
              <w:t>31</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79" w:history="1">
            <w:r w:rsidR="002028D4" w:rsidRPr="004A26F3">
              <w:rPr>
                <w:rStyle w:val="Hipersaitas"/>
                <w:noProof/>
              </w:rPr>
              <w:t>3. Privataus kaltinimo bylų proceso teoriniai pagrindai</w:t>
            </w:r>
            <w:r w:rsidR="002028D4">
              <w:rPr>
                <w:noProof/>
                <w:webHidden/>
              </w:rPr>
              <w:tab/>
            </w:r>
            <w:r w:rsidR="002028D4">
              <w:rPr>
                <w:noProof/>
                <w:webHidden/>
              </w:rPr>
              <w:fldChar w:fldCharType="begin"/>
            </w:r>
            <w:r w:rsidR="002028D4">
              <w:rPr>
                <w:noProof/>
                <w:webHidden/>
              </w:rPr>
              <w:instrText xml:space="preserve"> PAGEREF _Toc400321679 \h </w:instrText>
            </w:r>
            <w:r w:rsidR="002028D4">
              <w:rPr>
                <w:noProof/>
                <w:webHidden/>
              </w:rPr>
            </w:r>
            <w:r w:rsidR="002028D4">
              <w:rPr>
                <w:noProof/>
                <w:webHidden/>
              </w:rPr>
              <w:fldChar w:fldCharType="separate"/>
            </w:r>
            <w:r w:rsidR="002028D4">
              <w:rPr>
                <w:noProof/>
                <w:webHidden/>
              </w:rPr>
              <w:t>47</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0" w:history="1">
            <w:r w:rsidR="002028D4" w:rsidRPr="004A26F3">
              <w:rPr>
                <w:rStyle w:val="Hipersaitas"/>
                <w:noProof/>
              </w:rPr>
              <w:t>3.1. Privataus kaltinimo procesinės formos atskyrimo nuo bendrojo konstitucinio baudžiamojo proceso modelio pagrindai</w:t>
            </w:r>
            <w:r w:rsidR="002028D4">
              <w:rPr>
                <w:noProof/>
                <w:webHidden/>
              </w:rPr>
              <w:tab/>
            </w:r>
            <w:r w:rsidR="002028D4">
              <w:rPr>
                <w:noProof/>
                <w:webHidden/>
              </w:rPr>
              <w:fldChar w:fldCharType="begin"/>
            </w:r>
            <w:r w:rsidR="002028D4">
              <w:rPr>
                <w:noProof/>
                <w:webHidden/>
              </w:rPr>
              <w:instrText xml:space="preserve"> PAGEREF _Toc400321680 \h </w:instrText>
            </w:r>
            <w:r w:rsidR="002028D4">
              <w:rPr>
                <w:noProof/>
                <w:webHidden/>
              </w:rPr>
            </w:r>
            <w:r w:rsidR="002028D4">
              <w:rPr>
                <w:noProof/>
                <w:webHidden/>
              </w:rPr>
              <w:fldChar w:fldCharType="separate"/>
            </w:r>
            <w:r w:rsidR="002028D4">
              <w:rPr>
                <w:noProof/>
                <w:webHidden/>
              </w:rPr>
              <w:t>52</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1" w:history="1">
            <w:r w:rsidR="002028D4" w:rsidRPr="004A26F3">
              <w:rPr>
                <w:rStyle w:val="Hipersaitas"/>
                <w:rFonts w:ascii="TimesNewRomanPSMT" w:hAnsi="TimesNewRomanPSMT"/>
                <w:noProof/>
              </w:rPr>
              <w:t xml:space="preserve">3.1.1. </w:t>
            </w:r>
            <w:r w:rsidR="002028D4" w:rsidRPr="004A26F3">
              <w:rPr>
                <w:rStyle w:val="Hipersaitas"/>
                <w:noProof/>
              </w:rPr>
              <w:t>Materialieji teisiniai (kaltinimo diferencijavimo) pagrindai</w:t>
            </w:r>
            <w:r w:rsidR="002028D4">
              <w:rPr>
                <w:noProof/>
                <w:webHidden/>
              </w:rPr>
              <w:tab/>
            </w:r>
            <w:r w:rsidR="002028D4">
              <w:rPr>
                <w:noProof/>
                <w:webHidden/>
              </w:rPr>
              <w:fldChar w:fldCharType="begin"/>
            </w:r>
            <w:r w:rsidR="002028D4">
              <w:rPr>
                <w:noProof/>
                <w:webHidden/>
              </w:rPr>
              <w:instrText xml:space="preserve"> PAGEREF _Toc400321681 \h </w:instrText>
            </w:r>
            <w:r w:rsidR="002028D4">
              <w:rPr>
                <w:noProof/>
                <w:webHidden/>
              </w:rPr>
            </w:r>
            <w:r w:rsidR="002028D4">
              <w:rPr>
                <w:noProof/>
                <w:webHidden/>
              </w:rPr>
              <w:fldChar w:fldCharType="separate"/>
            </w:r>
            <w:r w:rsidR="002028D4">
              <w:rPr>
                <w:noProof/>
                <w:webHidden/>
              </w:rPr>
              <w:t>56</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2" w:history="1">
            <w:r w:rsidR="002028D4" w:rsidRPr="004A26F3">
              <w:rPr>
                <w:rStyle w:val="Hipersaitas"/>
                <w:rFonts w:ascii="TimesNewRomanPSMT" w:hAnsi="TimesNewRomanPSMT"/>
                <w:noProof/>
              </w:rPr>
              <w:t xml:space="preserve">3.1.2. </w:t>
            </w:r>
            <w:r w:rsidR="002028D4" w:rsidRPr="004A26F3">
              <w:rPr>
                <w:rStyle w:val="Hipersaitas"/>
                <w:noProof/>
              </w:rPr>
              <w:t>Procesiniai (proceso diferencijavimo) pagrindai</w:t>
            </w:r>
            <w:r w:rsidR="002028D4">
              <w:rPr>
                <w:noProof/>
                <w:webHidden/>
              </w:rPr>
              <w:tab/>
            </w:r>
            <w:r w:rsidR="002028D4">
              <w:rPr>
                <w:noProof/>
                <w:webHidden/>
              </w:rPr>
              <w:fldChar w:fldCharType="begin"/>
            </w:r>
            <w:r w:rsidR="002028D4">
              <w:rPr>
                <w:noProof/>
                <w:webHidden/>
              </w:rPr>
              <w:instrText xml:space="preserve"> PAGEREF _Toc400321682 \h </w:instrText>
            </w:r>
            <w:r w:rsidR="002028D4">
              <w:rPr>
                <w:noProof/>
                <w:webHidden/>
              </w:rPr>
            </w:r>
            <w:r w:rsidR="002028D4">
              <w:rPr>
                <w:noProof/>
                <w:webHidden/>
              </w:rPr>
              <w:fldChar w:fldCharType="separate"/>
            </w:r>
            <w:r w:rsidR="002028D4">
              <w:rPr>
                <w:noProof/>
                <w:webHidden/>
              </w:rPr>
              <w:t>66</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3" w:history="1">
            <w:r w:rsidR="002028D4" w:rsidRPr="004A26F3">
              <w:rPr>
                <w:rStyle w:val="Hipersaitas"/>
                <w:noProof/>
              </w:rPr>
              <w:t>3.2. Neoficialaus kaltinimo rūšys</w:t>
            </w:r>
            <w:r w:rsidR="002028D4">
              <w:rPr>
                <w:noProof/>
                <w:webHidden/>
              </w:rPr>
              <w:tab/>
            </w:r>
            <w:r w:rsidR="002028D4">
              <w:rPr>
                <w:noProof/>
                <w:webHidden/>
              </w:rPr>
              <w:fldChar w:fldCharType="begin"/>
            </w:r>
            <w:r w:rsidR="002028D4">
              <w:rPr>
                <w:noProof/>
                <w:webHidden/>
              </w:rPr>
              <w:instrText xml:space="preserve"> PAGEREF _Toc400321683 \h </w:instrText>
            </w:r>
            <w:r w:rsidR="002028D4">
              <w:rPr>
                <w:noProof/>
                <w:webHidden/>
              </w:rPr>
            </w:r>
            <w:r w:rsidR="002028D4">
              <w:rPr>
                <w:noProof/>
                <w:webHidden/>
              </w:rPr>
              <w:fldChar w:fldCharType="separate"/>
            </w:r>
            <w:r w:rsidR="002028D4">
              <w:rPr>
                <w:noProof/>
                <w:webHidden/>
              </w:rPr>
              <w:t>71</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4" w:history="1">
            <w:r w:rsidR="002028D4" w:rsidRPr="004A26F3">
              <w:rPr>
                <w:rStyle w:val="Hipersaitas"/>
                <w:noProof/>
              </w:rPr>
              <w:t>3.3. Privataus kaltinimo nusikalstamų veikų lyginamoji analizė pozityviojoje teisėje</w:t>
            </w:r>
            <w:r w:rsidR="002028D4">
              <w:rPr>
                <w:noProof/>
                <w:webHidden/>
              </w:rPr>
              <w:tab/>
            </w:r>
            <w:r w:rsidR="002028D4">
              <w:rPr>
                <w:noProof/>
                <w:webHidden/>
              </w:rPr>
              <w:fldChar w:fldCharType="begin"/>
            </w:r>
            <w:r w:rsidR="002028D4">
              <w:rPr>
                <w:noProof/>
                <w:webHidden/>
              </w:rPr>
              <w:instrText xml:space="preserve"> PAGEREF _Toc400321684 \h </w:instrText>
            </w:r>
            <w:r w:rsidR="002028D4">
              <w:rPr>
                <w:noProof/>
                <w:webHidden/>
              </w:rPr>
            </w:r>
            <w:r w:rsidR="002028D4">
              <w:rPr>
                <w:noProof/>
                <w:webHidden/>
              </w:rPr>
              <w:fldChar w:fldCharType="separate"/>
            </w:r>
            <w:r w:rsidR="002028D4">
              <w:rPr>
                <w:noProof/>
                <w:webHidden/>
              </w:rPr>
              <w:t>77</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85" w:history="1">
            <w:r w:rsidR="002028D4" w:rsidRPr="004A26F3">
              <w:rPr>
                <w:rStyle w:val="Hipersaitas"/>
                <w:noProof/>
              </w:rPr>
              <w:t>II skyrius. Nukentėjusiojo teisių ir teisėtų interesų realizavimo teisinės prielaidos privataus kaltinimo bylų procese</w:t>
            </w:r>
            <w:r w:rsidR="002028D4">
              <w:rPr>
                <w:noProof/>
                <w:webHidden/>
              </w:rPr>
              <w:tab/>
            </w:r>
            <w:r w:rsidR="002028D4">
              <w:rPr>
                <w:noProof/>
                <w:webHidden/>
              </w:rPr>
              <w:fldChar w:fldCharType="begin"/>
            </w:r>
            <w:r w:rsidR="002028D4">
              <w:rPr>
                <w:noProof/>
                <w:webHidden/>
              </w:rPr>
              <w:instrText xml:space="preserve"> PAGEREF _Toc400321685 \h </w:instrText>
            </w:r>
            <w:r w:rsidR="002028D4">
              <w:rPr>
                <w:noProof/>
                <w:webHidden/>
              </w:rPr>
            </w:r>
            <w:r w:rsidR="002028D4">
              <w:rPr>
                <w:noProof/>
                <w:webHidden/>
              </w:rPr>
              <w:fldChar w:fldCharType="separate"/>
            </w:r>
            <w:r w:rsidR="002028D4">
              <w:rPr>
                <w:noProof/>
                <w:webHidden/>
              </w:rPr>
              <w:t>82</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686" w:history="1">
            <w:r w:rsidR="002028D4" w:rsidRPr="004A26F3">
              <w:rPr>
                <w:rStyle w:val="Hipersaitas"/>
                <w:noProof/>
              </w:rPr>
              <w:t>1.</w:t>
            </w:r>
            <w:r w:rsidR="002028D4">
              <w:rPr>
                <w:rFonts w:asciiTheme="minorHAnsi" w:eastAsiaTheme="minorEastAsia" w:hAnsiTheme="minorHAnsi" w:cstheme="minorBidi"/>
                <w:noProof/>
                <w:sz w:val="22"/>
                <w:szCs w:val="22"/>
                <w:lang w:eastAsia="lt-LT"/>
              </w:rPr>
              <w:tab/>
            </w:r>
            <w:r w:rsidR="002028D4" w:rsidRPr="004A26F3">
              <w:rPr>
                <w:rStyle w:val="Hipersaitas"/>
                <w:noProof/>
              </w:rPr>
              <w:t>Nukentėjusiojo interesai baudžiamajame procese</w:t>
            </w:r>
            <w:r w:rsidR="002028D4">
              <w:rPr>
                <w:noProof/>
                <w:webHidden/>
              </w:rPr>
              <w:tab/>
            </w:r>
            <w:r w:rsidR="002028D4">
              <w:rPr>
                <w:noProof/>
                <w:webHidden/>
              </w:rPr>
              <w:fldChar w:fldCharType="begin"/>
            </w:r>
            <w:r w:rsidR="002028D4">
              <w:rPr>
                <w:noProof/>
                <w:webHidden/>
              </w:rPr>
              <w:instrText xml:space="preserve"> PAGEREF _Toc400321686 \h </w:instrText>
            </w:r>
            <w:r w:rsidR="002028D4">
              <w:rPr>
                <w:noProof/>
                <w:webHidden/>
              </w:rPr>
            </w:r>
            <w:r w:rsidR="002028D4">
              <w:rPr>
                <w:noProof/>
                <w:webHidden/>
              </w:rPr>
              <w:fldChar w:fldCharType="separate"/>
            </w:r>
            <w:r w:rsidR="002028D4">
              <w:rPr>
                <w:noProof/>
                <w:webHidden/>
              </w:rPr>
              <w:t>82</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7" w:history="1">
            <w:r w:rsidR="002028D4" w:rsidRPr="004A26F3">
              <w:rPr>
                <w:rStyle w:val="Hipersaitas"/>
                <w:noProof/>
              </w:rPr>
              <w:t xml:space="preserve">1.1. Materialieji interesai </w:t>
            </w:r>
            <w:r w:rsidR="002028D4">
              <w:rPr>
                <w:noProof/>
                <w:webHidden/>
              </w:rPr>
              <w:tab/>
            </w:r>
            <w:r w:rsidR="002028D4">
              <w:rPr>
                <w:noProof/>
                <w:webHidden/>
              </w:rPr>
              <w:fldChar w:fldCharType="begin"/>
            </w:r>
            <w:r w:rsidR="002028D4">
              <w:rPr>
                <w:noProof/>
                <w:webHidden/>
              </w:rPr>
              <w:instrText xml:space="preserve"> PAGEREF _Toc400321687 \h </w:instrText>
            </w:r>
            <w:r w:rsidR="002028D4">
              <w:rPr>
                <w:noProof/>
                <w:webHidden/>
              </w:rPr>
            </w:r>
            <w:r w:rsidR="002028D4">
              <w:rPr>
                <w:noProof/>
                <w:webHidden/>
              </w:rPr>
              <w:fldChar w:fldCharType="separate"/>
            </w:r>
            <w:r w:rsidR="002028D4">
              <w:rPr>
                <w:noProof/>
                <w:webHidden/>
              </w:rPr>
              <w:t>82</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8" w:history="1">
            <w:r w:rsidR="002028D4" w:rsidRPr="004A26F3">
              <w:rPr>
                <w:rStyle w:val="Hipersaitas"/>
                <w:noProof/>
              </w:rPr>
              <w:t>1.2. Procesiniai interesai</w:t>
            </w:r>
            <w:r w:rsidR="002028D4">
              <w:rPr>
                <w:noProof/>
                <w:webHidden/>
              </w:rPr>
              <w:tab/>
            </w:r>
            <w:r w:rsidR="002028D4">
              <w:rPr>
                <w:noProof/>
                <w:webHidden/>
              </w:rPr>
              <w:fldChar w:fldCharType="begin"/>
            </w:r>
            <w:r w:rsidR="002028D4">
              <w:rPr>
                <w:noProof/>
                <w:webHidden/>
              </w:rPr>
              <w:instrText xml:space="preserve"> PAGEREF _Toc400321688 \h </w:instrText>
            </w:r>
            <w:r w:rsidR="002028D4">
              <w:rPr>
                <w:noProof/>
                <w:webHidden/>
              </w:rPr>
            </w:r>
            <w:r w:rsidR="002028D4">
              <w:rPr>
                <w:noProof/>
                <w:webHidden/>
              </w:rPr>
              <w:fldChar w:fldCharType="separate"/>
            </w:r>
            <w:r w:rsidR="002028D4">
              <w:rPr>
                <w:noProof/>
                <w:webHidden/>
              </w:rPr>
              <w:t>89</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89" w:history="1">
            <w:r w:rsidR="002028D4" w:rsidRPr="004A26F3">
              <w:rPr>
                <w:rStyle w:val="Hipersaitas"/>
                <w:noProof/>
              </w:rPr>
              <w:t>1.3. Nukentėjusiojo interesų procesinio realizavimo ypatumai privataus kaltinimo bylų procese</w:t>
            </w:r>
            <w:r w:rsidR="002028D4">
              <w:rPr>
                <w:noProof/>
                <w:webHidden/>
              </w:rPr>
              <w:tab/>
            </w:r>
            <w:r w:rsidR="002028D4">
              <w:rPr>
                <w:noProof/>
                <w:webHidden/>
              </w:rPr>
              <w:fldChar w:fldCharType="begin"/>
            </w:r>
            <w:r w:rsidR="002028D4">
              <w:rPr>
                <w:noProof/>
                <w:webHidden/>
              </w:rPr>
              <w:instrText xml:space="preserve"> PAGEREF _Toc400321689 \h </w:instrText>
            </w:r>
            <w:r w:rsidR="002028D4">
              <w:rPr>
                <w:noProof/>
                <w:webHidden/>
              </w:rPr>
            </w:r>
            <w:r w:rsidR="002028D4">
              <w:rPr>
                <w:noProof/>
                <w:webHidden/>
              </w:rPr>
              <w:fldChar w:fldCharType="separate"/>
            </w:r>
            <w:r w:rsidR="002028D4">
              <w:rPr>
                <w:noProof/>
                <w:webHidden/>
              </w:rPr>
              <w:t>92</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90" w:history="1">
            <w:r w:rsidR="002028D4" w:rsidRPr="004A26F3">
              <w:rPr>
                <w:rStyle w:val="Hipersaitas"/>
                <w:noProof/>
              </w:rPr>
              <w:t>2. Privataus kaltintojo teisinė padėtis</w:t>
            </w:r>
            <w:r w:rsidR="002028D4">
              <w:rPr>
                <w:noProof/>
                <w:webHidden/>
              </w:rPr>
              <w:tab/>
            </w:r>
            <w:r w:rsidR="002028D4">
              <w:rPr>
                <w:noProof/>
                <w:webHidden/>
              </w:rPr>
              <w:fldChar w:fldCharType="begin"/>
            </w:r>
            <w:r w:rsidR="002028D4">
              <w:rPr>
                <w:noProof/>
                <w:webHidden/>
              </w:rPr>
              <w:instrText xml:space="preserve"> PAGEREF _Toc400321690 \h </w:instrText>
            </w:r>
            <w:r w:rsidR="002028D4">
              <w:rPr>
                <w:noProof/>
                <w:webHidden/>
              </w:rPr>
            </w:r>
            <w:r w:rsidR="002028D4">
              <w:rPr>
                <w:noProof/>
                <w:webHidden/>
              </w:rPr>
              <w:fldChar w:fldCharType="separate"/>
            </w:r>
            <w:r w:rsidR="002028D4">
              <w:rPr>
                <w:noProof/>
                <w:webHidden/>
              </w:rPr>
              <w:t>94</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691" w:history="1">
            <w:r w:rsidR="002028D4" w:rsidRPr="004A26F3">
              <w:rPr>
                <w:rStyle w:val="Hipersaitas"/>
                <w:noProof/>
              </w:rPr>
              <w:t>3.</w:t>
            </w:r>
            <w:r w:rsidR="002028D4">
              <w:rPr>
                <w:rFonts w:asciiTheme="minorHAnsi" w:eastAsiaTheme="minorEastAsia" w:hAnsiTheme="minorHAnsi" w:cstheme="minorBidi"/>
                <w:noProof/>
                <w:sz w:val="22"/>
                <w:szCs w:val="22"/>
                <w:lang w:eastAsia="lt-LT"/>
              </w:rPr>
              <w:tab/>
            </w:r>
            <w:r w:rsidR="002028D4" w:rsidRPr="004A26F3">
              <w:rPr>
                <w:rStyle w:val="Hipersaitas"/>
                <w:noProof/>
              </w:rPr>
              <w:t>Perėjimo iš privataus kaltinimo į viešą kriterijai</w:t>
            </w:r>
            <w:r w:rsidR="002028D4">
              <w:rPr>
                <w:noProof/>
                <w:webHidden/>
              </w:rPr>
              <w:tab/>
            </w:r>
            <w:r w:rsidR="002028D4">
              <w:rPr>
                <w:noProof/>
                <w:webHidden/>
              </w:rPr>
              <w:fldChar w:fldCharType="begin"/>
            </w:r>
            <w:r w:rsidR="002028D4">
              <w:rPr>
                <w:noProof/>
                <w:webHidden/>
              </w:rPr>
              <w:instrText xml:space="preserve"> PAGEREF _Toc400321691 \h </w:instrText>
            </w:r>
            <w:r w:rsidR="002028D4">
              <w:rPr>
                <w:noProof/>
                <w:webHidden/>
              </w:rPr>
            </w:r>
            <w:r w:rsidR="002028D4">
              <w:rPr>
                <w:noProof/>
                <w:webHidden/>
              </w:rPr>
              <w:fldChar w:fldCharType="separate"/>
            </w:r>
            <w:r w:rsidR="002028D4">
              <w:rPr>
                <w:noProof/>
                <w:webHidden/>
              </w:rPr>
              <w:t>101</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92" w:history="1">
            <w:r w:rsidR="002028D4" w:rsidRPr="004A26F3">
              <w:rPr>
                <w:rStyle w:val="Hipersaitas"/>
                <w:noProof/>
              </w:rPr>
              <w:t>3.1.Nusikalstamos veikos visuomeninė reikšmė</w:t>
            </w:r>
            <w:r w:rsidR="002028D4">
              <w:rPr>
                <w:noProof/>
                <w:webHidden/>
              </w:rPr>
              <w:tab/>
            </w:r>
            <w:r w:rsidR="002028D4">
              <w:rPr>
                <w:noProof/>
                <w:webHidden/>
              </w:rPr>
              <w:fldChar w:fldCharType="begin"/>
            </w:r>
            <w:r w:rsidR="002028D4">
              <w:rPr>
                <w:noProof/>
                <w:webHidden/>
              </w:rPr>
              <w:instrText xml:space="preserve"> PAGEREF _Toc400321692 \h </w:instrText>
            </w:r>
            <w:r w:rsidR="002028D4">
              <w:rPr>
                <w:noProof/>
                <w:webHidden/>
              </w:rPr>
            </w:r>
            <w:r w:rsidR="002028D4">
              <w:rPr>
                <w:noProof/>
                <w:webHidden/>
              </w:rPr>
              <w:fldChar w:fldCharType="separate"/>
            </w:r>
            <w:r w:rsidR="002028D4">
              <w:rPr>
                <w:noProof/>
                <w:webHidden/>
              </w:rPr>
              <w:t>103</w:t>
            </w:r>
            <w:r w:rsidR="002028D4">
              <w:rPr>
                <w:noProof/>
                <w:webHidden/>
              </w:rPr>
              <w:fldChar w:fldCharType="end"/>
            </w:r>
          </w:hyperlink>
        </w:p>
        <w:p w:rsidR="002028D4" w:rsidRDefault="00E0371E">
          <w:pPr>
            <w:pStyle w:val="Turinys2"/>
            <w:tabs>
              <w:tab w:val="right" w:leader="dot" w:pos="9628"/>
            </w:tabs>
            <w:rPr>
              <w:rFonts w:asciiTheme="minorHAnsi" w:eastAsiaTheme="minorEastAsia" w:hAnsiTheme="minorHAnsi" w:cstheme="minorBidi"/>
              <w:noProof/>
              <w:sz w:val="22"/>
              <w:szCs w:val="22"/>
              <w:lang w:eastAsia="lt-LT"/>
            </w:rPr>
          </w:pPr>
          <w:hyperlink w:anchor="_Toc400321693" w:history="1">
            <w:r w:rsidR="002028D4" w:rsidRPr="004A26F3">
              <w:rPr>
                <w:rStyle w:val="Hipersaitas"/>
                <w:noProof/>
              </w:rPr>
              <w:t>3.2. Nukentėjusio nuo nusikalstamos veikos asmens interesų apsauga</w:t>
            </w:r>
            <w:r w:rsidR="002028D4">
              <w:rPr>
                <w:noProof/>
                <w:webHidden/>
              </w:rPr>
              <w:tab/>
            </w:r>
            <w:r w:rsidR="002028D4">
              <w:rPr>
                <w:noProof/>
                <w:webHidden/>
              </w:rPr>
              <w:fldChar w:fldCharType="begin"/>
            </w:r>
            <w:r w:rsidR="002028D4">
              <w:rPr>
                <w:noProof/>
                <w:webHidden/>
              </w:rPr>
              <w:instrText xml:space="preserve"> PAGEREF _Toc400321693 \h </w:instrText>
            </w:r>
            <w:r w:rsidR="002028D4">
              <w:rPr>
                <w:noProof/>
                <w:webHidden/>
              </w:rPr>
            </w:r>
            <w:r w:rsidR="002028D4">
              <w:rPr>
                <w:noProof/>
                <w:webHidden/>
              </w:rPr>
              <w:fldChar w:fldCharType="separate"/>
            </w:r>
            <w:r w:rsidR="002028D4">
              <w:rPr>
                <w:noProof/>
                <w:webHidden/>
              </w:rPr>
              <w:t>108</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94" w:history="1">
            <w:r w:rsidR="002028D4" w:rsidRPr="004A26F3">
              <w:rPr>
                <w:rStyle w:val="Hipersaitas"/>
                <w:noProof/>
              </w:rPr>
              <w:t>3.2.1. Pažeidžiamo nukentėjusiojo interesų gynybos ypatumai</w:t>
            </w:r>
            <w:r w:rsidR="002028D4">
              <w:rPr>
                <w:noProof/>
                <w:webHidden/>
              </w:rPr>
              <w:tab/>
            </w:r>
            <w:r w:rsidR="002028D4">
              <w:rPr>
                <w:noProof/>
                <w:webHidden/>
              </w:rPr>
              <w:fldChar w:fldCharType="begin"/>
            </w:r>
            <w:r w:rsidR="002028D4">
              <w:rPr>
                <w:noProof/>
                <w:webHidden/>
              </w:rPr>
              <w:instrText xml:space="preserve"> PAGEREF _Toc400321694 \h </w:instrText>
            </w:r>
            <w:r w:rsidR="002028D4">
              <w:rPr>
                <w:noProof/>
                <w:webHidden/>
              </w:rPr>
            </w:r>
            <w:r w:rsidR="002028D4">
              <w:rPr>
                <w:noProof/>
                <w:webHidden/>
              </w:rPr>
              <w:fldChar w:fldCharType="separate"/>
            </w:r>
            <w:r w:rsidR="002028D4">
              <w:rPr>
                <w:noProof/>
                <w:webHidden/>
              </w:rPr>
              <w:t>109</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95" w:history="1">
            <w:r w:rsidR="002028D4" w:rsidRPr="004A26F3">
              <w:rPr>
                <w:rStyle w:val="Hipersaitas"/>
                <w:noProof/>
              </w:rPr>
              <w:t>3.2.2. Procesinės kliūtys nukentėjusiam nuo nusikalstamos veikos asmeniui ginti savo interesus</w:t>
            </w:r>
            <w:r w:rsidR="002028D4">
              <w:rPr>
                <w:noProof/>
                <w:webHidden/>
              </w:rPr>
              <w:tab/>
            </w:r>
            <w:r w:rsidR="002028D4">
              <w:rPr>
                <w:noProof/>
                <w:webHidden/>
              </w:rPr>
              <w:fldChar w:fldCharType="begin"/>
            </w:r>
            <w:r w:rsidR="002028D4">
              <w:rPr>
                <w:noProof/>
                <w:webHidden/>
              </w:rPr>
              <w:instrText xml:space="preserve"> PAGEREF _Toc400321695 \h </w:instrText>
            </w:r>
            <w:r w:rsidR="002028D4">
              <w:rPr>
                <w:noProof/>
                <w:webHidden/>
              </w:rPr>
            </w:r>
            <w:r w:rsidR="002028D4">
              <w:rPr>
                <w:noProof/>
                <w:webHidden/>
              </w:rPr>
              <w:fldChar w:fldCharType="separate"/>
            </w:r>
            <w:r w:rsidR="002028D4">
              <w:rPr>
                <w:noProof/>
                <w:webHidden/>
              </w:rPr>
              <w:t>117</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96" w:history="1">
            <w:r w:rsidR="002028D4" w:rsidRPr="004A26F3">
              <w:rPr>
                <w:rStyle w:val="Hipersaitas"/>
                <w:noProof/>
              </w:rPr>
              <w:t>4. Perėjimo iš privataus kaltinimo į viešą ir iš viešo kaltinimo į privatų procesiniai ypatumai</w:t>
            </w:r>
            <w:r w:rsidR="002028D4">
              <w:rPr>
                <w:noProof/>
                <w:webHidden/>
              </w:rPr>
              <w:tab/>
            </w:r>
            <w:r w:rsidR="002028D4">
              <w:rPr>
                <w:noProof/>
                <w:webHidden/>
              </w:rPr>
              <w:fldChar w:fldCharType="begin"/>
            </w:r>
            <w:r w:rsidR="002028D4">
              <w:rPr>
                <w:noProof/>
                <w:webHidden/>
              </w:rPr>
              <w:instrText xml:space="preserve"> PAGEREF _Toc400321696 \h </w:instrText>
            </w:r>
            <w:r w:rsidR="002028D4">
              <w:rPr>
                <w:noProof/>
                <w:webHidden/>
              </w:rPr>
            </w:r>
            <w:r w:rsidR="002028D4">
              <w:rPr>
                <w:noProof/>
                <w:webHidden/>
              </w:rPr>
              <w:fldChar w:fldCharType="separate"/>
            </w:r>
            <w:r w:rsidR="002028D4">
              <w:rPr>
                <w:noProof/>
                <w:webHidden/>
              </w:rPr>
              <w:t>130</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97" w:history="1">
            <w:r w:rsidR="002028D4" w:rsidRPr="004A26F3">
              <w:rPr>
                <w:rStyle w:val="Hipersaitas"/>
                <w:noProof/>
              </w:rPr>
              <w:t>4.1. Prokuroro reikalavimas</w:t>
            </w:r>
            <w:r w:rsidR="002028D4">
              <w:rPr>
                <w:noProof/>
                <w:webHidden/>
              </w:rPr>
              <w:tab/>
            </w:r>
            <w:r w:rsidR="002028D4">
              <w:rPr>
                <w:noProof/>
                <w:webHidden/>
              </w:rPr>
              <w:fldChar w:fldCharType="begin"/>
            </w:r>
            <w:r w:rsidR="002028D4">
              <w:rPr>
                <w:noProof/>
                <w:webHidden/>
              </w:rPr>
              <w:instrText xml:space="preserve"> PAGEREF _Toc400321697 \h </w:instrText>
            </w:r>
            <w:r w:rsidR="002028D4">
              <w:rPr>
                <w:noProof/>
                <w:webHidden/>
              </w:rPr>
            </w:r>
            <w:r w:rsidR="002028D4">
              <w:rPr>
                <w:noProof/>
                <w:webHidden/>
              </w:rPr>
              <w:fldChar w:fldCharType="separate"/>
            </w:r>
            <w:r w:rsidR="002028D4">
              <w:rPr>
                <w:noProof/>
                <w:webHidden/>
              </w:rPr>
              <w:t>130</w:t>
            </w:r>
            <w:r w:rsidR="002028D4">
              <w:rPr>
                <w:noProof/>
                <w:webHidden/>
              </w:rPr>
              <w:fldChar w:fldCharType="end"/>
            </w:r>
          </w:hyperlink>
        </w:p>
        <w:p w:rsidR="002028D4" w:rsidRDefault="00E0371E">
          <w:pPr>
            <w:pStyle w:val="Turinys3"/>
            <w:tabs>
              <w:tab w:val="right" w:leader="dot" w:pos="9628"/>
            </w:tabs>
            <w:rPr>
              <w:rFonts w:asciiTheme="minorHAnsi" w:eastAsiaTheme="minorEastAsia" w:hAnsiTheme="minorHAnsi" w:cstheme="minorBidi"/>
              <w:noProof/>
              <w:sz w:val="22"/>
              <w:szCs w:val="22"/>
              <w:lang w:eastAsia="lt-LT"/>
            </w:rPr>
          </w:pPr>
          <w:hyperlink w:anchor="_Toc400321698" w:history="1">
            <w:r w:rsidR="002028D4" w:rsidRPr="004A26F3">
              <w:rPr>
                <w:rStyle w:val="Hipersaitas"/>
                <w:noProof/>
              </w:rPr>
              <w:t>4.2. Proceso formos pakeitimo procedūra teisminio nagrinėjimo metu</w:t>
            </w:r>
            <w:r w:rsidR="002028D4">
              <w:rPr>
                <w:noProof/>
                <w:webHidden/>
              </w:rPr>
              <w:tab/>
            </w:r>
            <w:r w:rsidR="002028D4">
              <w:rPr>
                <w:noProof/>
                <w:webHidden/>
              </w:rPr>
              <w:fldChar w:fldCharType="begin"/>
            </w:r>
            <w:r w:rsidR="002028D4">
              <w:rPr>
                <w:noProof/>
                <w:webHidden/>
              </w:rPr>
              <w:instrText xml:space="preserve"> PAGEREF _Toc400321698 \h </w:instrText>
            </w:r>
            <w:r w:rsidR="002028D4">
              <w:rPr>
                <w:noProof/>
                <w:webHidden/>
              </w:rPr>
            </w:r>
            <w:r w:rsidR="002028D4">
              <w:rPr>
                <w:noProof/>
                <w:webHidden/>
              </w:rPr>
              <w:fldChar w:fldCharType="separate"/>
            </w:r>
            <w:r w:rsidR="002028D4">
              <w:rPr>
                <w:noProof/>
                <w:webHidden/>
              </w:rPr>
              <w:t>134</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699" w:history="1">
            <w:r w:rsidR="002028D4" w:rsidRPr="004A26F3">
              <w:rPr>
                <w:rStyle w:val="Hipersaitas"/>
                <w:noProof/>
              </w:rPr>
              <w:t>III skyrius. Privataus kaltinimo bylų nagrinėjimo teisme ypatumai</w:t>
            </w:r>
            <w:r w:rsidR="002028D4">
              <w:rPr>
                <w:noProof/>
                <w:webHidden/>
              </w:rPr>
              <w:tab/>
            </w:r>
            <w:r w:rsidR="002028D4">
              <w:rPr>
                <w:noProof/>
                <w:webHidden/>
              </w:rPr>
              <w:fldChar w:fldCharType="begin"/>
            </w:r>
            <w:r w:rsidR="002028D4">
              <w:rPr>
                <w:noProof/>
                <w:webHidden/>
              </w:rPr>
              <w:instrText xml:space="preserve"> PAGEREF _Toc400321699 \h </w:instrText>
            </w:r>
            <w:r w:rsidR="002028D4">
              <w:rPr>
                <w:noProof/>
                <w:webHidden/>
              </w:rPr>
            </w:r>
            <w:r w:rsidR="002028D4">
              <w:rPr>
                <w:noProof/>
                <w:webHidden/>
              </w:rPr>
              <w:fldChar w:fldCharType="separate"/>
            </w:r>
            <w:r w:rsidR="002028D4">
              <w:rPr>
                <w:noProof/>
                <w:webHidden/>
              </w:rPr>
              <w:t>140</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700" w:history="1">
            <w:r w:rsidR="002028D4" w:rsidRPr="004A26F3">
              <w:rPr>
                <w:rStyle w:val="Hipersaitas"/>
                <w:noProof/>
              </w:rPr>
              <w:t>1.</w:t>
            </w:r>
            <w:r w:rsidR="002028D4">
              <w:rPr>
                <w:rFonts w:asciiTheme="minorHAnsi" w:eastAsiaTheme="minorEastAsia" w:hAnsiTheme="minorHAnsi" w:cstheme="minorBidi"/>
                <w:noProof/>
                <w:sz w:val="22"/>
                <w:szCs w:val="22"/>
                <w:lang w:eastAsia="lt-LT"/>
              </w:rPr>
              <w:tab/>
            </w:r>
            <w:r w:rsidR="002028D4" w:rsidRPr="004A26F3">
              <w:rPr>
                <w:rStyle w:val="Hipersaitas"/>
                <w:noProof/>
              </w:rPr>
              <w:t>Privataus kaltinimo skundas - privataus kaltinimo teisės procesinė išraiška</w:t>
            </w:r>
            <w:r w:rsidR="002028D4">
              <w:rPr>
                <w:noProof/>
                <w:webHidden/>
              </w:rPr>
              <w:tab/>
            </w:r>
            <w:r w:rsidR="002028D4">
              <w:rPr>
                <w:noProof/>
                <w:webHidden/>
              </w:rPr>
              <w:fldChar w:fldCharType="begin"/>
            </w:r>
            <w:r w:rsidR="002028D4">
              <w:rPr>
                <w:noProof/>
                <w:webHidden/>
              </w:rPr>
              <w:instrText xml:space="preserve"> PAGEREF _Toc400321700 \h </w:instrText>
            </w:r>
            <w:r w:rsidR="002028D4">
              <w:rPr>
                <w:noProof/>
                <w:webHidden/>
              </w:rPr>
            </w:r>
            <w:r w:rsidR="002028D4">
              <w:rPr>
                <w:noProof/>
                <w:webHidden/>
              </w:rPr>
              <w:fldChar w:fldCharType="separate"/>
            </w:r>
            <w:r w:rsidR="002028D4">
              <w:rPr>
                <w:noProof/>
                <w:webHidden/>
              </w:rPr>
              <w:t>140</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1" w:history="1">
            <w:r w:rsidR="002028D4" w:rsidRPr="004A26F3">
              <w:rPr>
                <w:rStyle w:val="Hipersaitas"/>
                <w:noProof/>
              </w:rPr>
              <w:t>1.1.</w:t>
            </w:r>
            <w:r w:rsidR="002028D4">
              <w:rPr>
                <w:rFonts w:asciiTheme="minorHAnsi" w:eastAsiaTheme="minorEastAsia" w:hAnsiTheme="minorHAnsi" w:cstheme="minorBidi"/>
                <w:noProof/>
                <w:sz w:val="22"/>
                <w:szCs w:val="22"/>
                <w:lang w:eastAsia="lt-LT"/>
              </w:rPr>
              <w:tab/>
            </w:r>
            <w:r w:rsidR="002028D4" w:rsidRPr="004A26F3">
              <w:rPr>
                <w:rStyle w:val="Hipersaitas"/>
                <w:noProof/>
              </w:rPr>
              <w:t>Privataus kaltinimo teisė kaip teisė į teisminę gynybą</w:t>
            </w:r>
            <w:r w:rsidR="002028D4">
              <w:rPr>
                <w:noProof/>
                <w:webHidden/>
              </w:rPr>
              <w:tab/>
            </w:r>
            <w:r w:rsidR="002028D4">
              <w:rPr>
                <w:noProof/>
                <w:webHidden/>
              </w:rPr>
              <w:fldChar w:fldCharType="begin"/>
            </w:r>
            <w:r w:rsidR="002028D4">
              <w:rPr>
                <w:noProof/>
                <w:webHidden/>
              </w:rPr>
              <w:instrText xml:space="preserve"> PAGEREF _Toc400321701 \h </w:instrText>
            </w:r>
            <w:r w:rsidR="002028D4">
              <w:rPr>
                <w:noProof/>
                <w:webHidden/>
              </w:rPr>
            </w:r>
            <w:r w:rsidR="002028D4">
              <w:rPr>
                <w:noProof/>
                <w:webHidden/>
              </w:rPr>
              <w:fldChar w:fldCharType="separate"/>
            </w:r>
            <w:r w:rsidR="002028D4">
              <w:rPr>
                <w:noProof/>
                <w:webHidden/>
              </w:rPr>
              <w:t>140</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2" w:history="1">
            <w:r w:rsidR="002028D4" w:rsidRPr="004A26F3">
              <w:rPr>
                <w:rStyle w:val="Hipersaitas"/>
                <w:noProof/>
              </w:rPr>
              <w:t>3.1.</w:t>
            </w:r>
            <w:r w:rsidR="002028D4">
              <w:rPr>
                <w:rFonts w:asciiTheme="minorHAnsi" w:eastAsiaTheme="minorEastAsia" w:hAnsiTheme="minorHAnsi" w:cstheme="minorBidi"/>
                <w:noProof/>
                <w:sz w:val="22"/>
                <w:szCs w:val="22"/>
                <w:lang w:eastAsia="lt-LT"/>
              </w:rPr>
              <w:tab/>
            </w:r>
            <w:r w:rsidR="002028D4" w:rsidRPr="004A26F3">
              <w:rPr>
                <w:rStyle w:val="Hipersaitas"/>
                <w:noProof/>
              </w:rPr>
              <w:t>Nukentėjusiojo skundo procesinė reikšmė</w:t>
            </w:r>
            <w:r w:rsidR="002028D4">
              <w:rPr>
                <w:noProof/>
                <w:webHidden/>
              </w:rPr>
              <w:tab/>
            </w:r>
            <w:r w:rsidR="002028D4">
              <w:rPr>
                <w:noProof/>
                <w:webHidden/>
              </w:rPr>
              <w:fldChar w:fldCharType="begin"/>
            </w:r>
            <w:r w:rsidR="002028D4">
              <w:rPr>
                <w:noProof/>
                <w:webHidden/>
              </w:rPr>
              <w:instrText xml:space="preserve"> PAGEREF _Toc400321702 \h </w:instrText>
            </w:r>
            <w:r w:rsidR="002028D4">
              <w:rPr>
                <w:noProof/>
                <w:webHidden/>
              </w:rPr>
            </w:r>
            <w:r w:rsidR="002028D4">
              <w:rPr>
                <w:noProof/>
                <w:webHidden/>
              </w:rPr>
              <w:fldChar w:fldCharType="separate"/>
            </w:r>
            <w:r w:rsidR="002028D4">
              <w:rPr>
                <w:noProof/>
                <w:webHidden/>
              </w:rPr>
              <w:t>144</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3" w:history="1">
            <w:r w:rsidR="002028D4" w:rsidRPr="004A26F3">
              <w:rPr>
                <w:rStyle w:val="Hipersaitas"/>
                <w:noProof/>
              </w:rPr>
              <w:t>1.3.</w:t>
            </w:r>
            <w:r w:rsidR="002028D4">
              <w:rPr>
                <w:rFonts w:asciiTheme="minorHAnsi" w:eastAsiaTheme="minorEastAsia" w:hAnsiTheme="minorHAnsi" w:cstheme="minorBidi"/>
                <w:noProof/>
                <w:sz w:val="22"/>
                <w:szCs w:val="22"/>
                <w:lang w:eastAsia="lt-LT"/>
              </w:rPr>
              <w:tab/>
            </w:r>
            <w:r w:rsidR="002028D4" w:rsidRPr="004A26F3">
              <w:rPr>
                <w:rStyle w:val="Hipersaitas"/>
                <w:noProof/>
              </w:rPr>
              <w:t>Privataus kaltinimo teisės pereinamumo problema</w:t>
            </w:r>
            <w:r w:rsidR="002028D4">
              <w:rPr>
                <w:noProof/>
                <w:webHidden/>
              </w:rPr>
              <w:tab/>
            </w:r>
            <w:r w:rsidR="002028D4">
              <w:rPr>
                <w:noProof/>
                <w:webHidden/>
              </w:rPr>
              <w:fldChar w:fldCharType="begin"/>
            </w:r>
            <w:r w:rsidR="002028D4">
              <w:rPr>
                <w:noProof/>
                <w:webHidden/>
              </w:rPr>
              <w:instrText xml:space="preserve"> PAGEREF _Toc400321703 \h </w:instrText>
            </w:r>
            <w:r w:rsidR="002028D4">
              <w:rPr>
                <w:noProof/>
                <w:webHidden/>
              </w:rPr>
            </w:r>
            <w:r w:rsidR="002028D4">
              <w:rPr>
                <w:noProof/>
                <w:webHidden/>
              </w:rPr>
              <w:fldChar w:fldCharType="separate"/>
            </w:r>
            <w:r w:rsidR="002028D4">
              <w:rPr>
                <w:noProof/>
                <w:webHidden/>
              </w:rPr>
              <w:t>155</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704" w:history="1">
            <w:r w:rsidR="002028D4" w:rsidRPr="004A26F3">
              <w:rPr>
                <w:rStyle w:val="Hipersaitas"/>
                <w:noProof/>
              </w:rPr>
              <w:t>2.</w:t>
            </w:r>
            <w:r w:rsidR="002028D4">
              <w:rPr>
                <w:rFonts w:asciiTheme="minorHAnsi" w:eastAsiaTheme="minorEastAsia" w:hAnsiTheme="minorHAnsi" w:cstheme="minorBidi"/>
                <w:noProof/>
                <w:sz w:val="22"/>
                <w:szCs w:val="22"/>
                <w:lang w:eastAsia="lt-LT"/>
              </w:rPr>
              <w:tab/>
            </w:r>
            <w:r w:rsidR="002028D4" w:rsidRPr="004A26F3">
              <w:rPr>
                <w:rStyle w:val="Hipersaitas"/>
                <w:noProof/>
              </w:rPr>
              <w:t>Susitaikymas privataus kaltinimo bylų procese</w:t>
            </w:r>
            <w:r w:rsidR="002028D4">
              <w:rPr>
                <w:noProof/>
                <w:webHidden/>
              </w:rPr>
              <w:tab/>
            </w:r>
            <w:r w:rsidR="002028D4">
              <w:rPr>
                <w:noProof/>
                <w:webHidden/>
              </w:rPr>
              <w:fldChar w:fldCharType="begin"/>
            </w:r>
            <w:r w:rsidR="002028D4">
              <w:rPr>
                <w:noProof/>
                <w:webHidden/>
              </w:rPr>
              <w:instrText xml:space="preserve"> PAGEREF _Toc400321704 \h </w:instrText>
            </w:r>
            <w:r w:rsidR="002028D4">
              <w:rPr>
                <w:noProof/>
                <w:webHidden/>
              </w:rPr>
            </w:r>
            <w:r w:rsidR="002028D4">
              <w:rPr>
                <w:noProof/>
                <w:webHidden/>
              </w:rPr>
              <w:fldChar w:fldCharType="separate"/>
            </w:r>
            <w:r w:rsidR="002028D4">
              <w:rPr>
                <w:noProof/>
                <w:webHidden/>
              </w:rPr>
              <w:t>159</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5" w:history="1">
            <w:r w:rsidR="002028D4" w:rsidRPr="004A26F3">
              <w:rPr>
                <w:rStyle w:val="Hipersaitas"/>
                <w:noProof/>
              </w:rPr>
              <w:t>2.1.</w:t>
            </w:r>
            <w:r w:rsidR="002028D4">
              <w:rPr>
                <w:rFonts w:asciiTheme="minorHAnsi" w:eastAsiaTheme="minorEastAsia" w:hAnsiTheme="minorHAnsi" w:cstheme="minorBidi"/>
                <w:noProof/>
                <w:sz w:val="22"/>
                <w:szCs w:val="22"/>
                <w:lang w:eastAsia="lt-LT"/>
              </w:rPr>
              <w:tab/>
            </w:r>
            <w:r w:rsidR="002028D4" w:rsidRPr="004A26F3">
              <w:rPr>
                <w:rStyle w:val="Hipersaitas"/>
                <w:noProof/>
              </w:rPr>
              <w:t>Konflikto šalių sutaikymas – pagrindinis privataus kaltinimo bylų proceso tikslas</w:t>
            </w:r>
            <w:r w:rsidR="002028D4">
              <w:rPr>
                <w:noProof/>
                <w:webHidden/>
              </w:rPr>
              <w:tab/>
            </w:r>
            <w:r w:rsidR="002028D4">
              <w:rPr>
                <w:noProof/>
                <w:webHidden/>
              </w:rPr>
              <w:fldChar w:fldCharType="begin"/>
            </w:r>
            <w:r w:rsidR="002028D4">
              <w:rPr>
                <w:noProof/>
                <w:webHidden/>
              </w:rPr>
              <w:instrText xml:space="preserve"> PAGEREF _Toc400321705 \h </w:instrText>
            </w:r>
            <w:r w:rsidR="002028D4">
              <w:rPr>
                <w:noProof/>
                <w:webHidden/>
              </w:rPr>
            </w:r>
            <w:r w:rsidR="002028D4">
              <w:rPr>
                <w:noProof/>
                <w:webHidden/>
              </w:rPr>
              <w:fldChar w:fldCharType="separate"/>
            </w:r>
            <w:r w:rsidR="002028D4">
              <w:rPr>
                <w:noProof/>
                <w:webHidden/>
              </w:rPr>
              <w:t>159</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6" w:history="1">
            <w:r w:rsidR="002028D4" w:rsidRPr="004A26F3">
              <w:rPr>
                <w:rStyle w:val="Hipersaitas"/>
                <w:noProof/>
              </w:rPr>
              <w:t>2.2.</w:t>
            </w:r>
            <w:r w:rsidR="002028D4">
              <w:rPr>
                <w:rFonts w:asciiTheme="minorHAnsi" w:eastAsiaTheme="minorEastAsia" w:hAnsiTheme="minorHAnsi" w:cstheme="minorBidi"/>
                <w:noProof/>
                <w:sz w:val="22"/>
                <w:szCs w:val="22"/>
                <w:lang w:eastAsia="lt-LT"/>
              </w:rPr>
              <w:tab/>
            </w:r>
            <w:r w:rsidR="002028D4" w:rsidRPr="004A26F3">
              <w:rPr>
                <w:rStyle w:val="Hipersaitas"/>
                <w:noProof/>
              </w:rPr>
              <w:t>Alternatyvių ginčo sprendimo formų taikymo galimybės privataus kaltinimo procese</w:t>
            </w:r>
            <w:r w:rsidR="002028D4">
              <w:rPr>
                <w:noProof/>
                <w:webHidden/>
              </w:rPr>
              <w:tab/>
            </w:r>
            <w:r w:rsidR="002028D4">
              <w:rPr>
                <w:noProof/>
                <w:webHidden/>
              </w:rPr>
              <w:fldChar w:fldCharType="begin"/>
            </w:r>
            <w:r w:rsidR="002028D4">
              <w:rPr>
                <w:noProof/>
                <w:webHidden/>
              </w:rPr>
              <w:instrText xml:space="preserve"> PAGEREF _Toc400321706 \h </w:instrText>
            </w:r>
            <w:r w:rsidR="002028D4">
              <w:rPr>
                <w:noProof/>
                <w:webHidden/>
              </w:rPr>
            </w:r>
            <w:r w:rsidR="002028D4">
              <w:rPr>
                <w:noProof/>
                <w:webHidden/>
              </w:rPr>
              <w:fldChar w:fldCharType="separate"/>
            </w:r>
            <w:r w:rsidR="002028D4">
              <w:rPr>
                <w:noProof/>
                <w:webHidden/>
              </w:rPr>
              <w:t>164</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707" w:history="1">
            <w:r w:rsidR="002028D4" w:rsidRPr="004A26F3">
              <w:rPr>
                <w:rStyle w:val="Hipersaitas"/>
                <w:noProof/>
              </w:rPr>
              <w:t>3.</w:t>
            </w:r>
            <w:r w:rsidR="002028D4">
              <w:rPr>
                <w:rFonts w:asciiTheme="minorHAnsi" w:eastAsiaTheme="minorEastAsia" w:hAnsiTheme="minorHAnsi" w:cstheme="minorBidi"/>
                <w:noProof/>
                <w:sz w:val="22"/>
                <w:szCs w:val="22"/>
                <w:lang w:eastAsia="lt-LT"/>
              </w:rPr>
              <w:tab/>
            </w:r>
            <w:r w:rsidR="002028D4" w:rsidRPr="004A26F3">
              <w:rPr>
                <w:rStyle w:val="Hipersaitas"/>
                <w:noProof/>
              </w:rPr>
              <w:t>Procesas pirmosios instancijos teismuose</w:t>
            </w:r>
            <w:r w:rsidR="002028D4">
              <w:rPr>
                <w:noProof/>
                <w:webHidden/>
              </w:rPr>
              <w:tab/>
            </w:r>
            <w:r w:rsidR="002028D4">
              <w:rPr>
                <w:noProof/>
                <w:webHidden/>
              </w:rPr>
              <w:fldChar w:fldCharType="begin"/>
            </w:r>
            <w:r w:rsidR="002028D4">
              <w:rPr>
                <w:noProof/>
                <w:webHidden/>
              </w:rPr>
              <w:instrText xml:space="preserve"> PAGEREF _Toc400321707 \h </w:instrText>
            </w:r>
            <w:r w:rsidR="002028D4">
              <w:rPr>
                <w:noProof/>
                <w:webHidden/>
              </w:rPr>
            </w:r>
            <w:r w:rsidR="002028D4">
              <w:rPr>
                <w:noProof/>
                <w:webHidden/>
              </w:rPr>
              <w:fldChar w:fldCharType="separate"/>
            </w:r>
            <w:r w:rsidR="002028D4">
              <w:rPr>
                <w:noProof/>
                <w:webHidden/>
              </w:rPr>
              <w:t>171</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8" w:history="1">
            <w:r w:rsidR="002028D4" w:rsidRPr="004A26F3">
              <w:rPr>
                <w:rStyle w:val="Hipersaitas"/>
                <w:noProof/>
              </w:rPr>
              <w:t>3.1.</w:t>
            </w:r>
            <w:r w:rsidR="002028D4">
              <w:rPr>
                <w:rFonts w:asciiTheme="minorHAnsi" w:eastAsiaTheme="minorEastAsia" w:hAnsiTheme="minorHAnsi" w:cstheme="minorBidi"/>
                <w:noProof/>
                <w:sz w:val="22"/>
                <w:szCs w:val="22"/>
                <w:lang w:eastAsia="lt-LT"/>
              </w:rPr>
              <w:tab/>
            </w:r>
            <w:r w:rsidR="002028D4" w:rsidRPr="004A26F3">
              <w:rPr>
                <w:rStyle w:val="Hipersaitas"/>
                <w:noProof/>
              </w:rPr>
              <w:t>Privataus kaltinimo bylos parengimas nagrinėti teisme</w:t>
            </w:r>
            <w:r w:rsidR="002028D4">
              <w:rPr>
                <w:noProof/>
                <w:webHidden/>
              </w:rPr>
              <w:tab/>
            </w:r>
            <w:r w:rsidR="002028D4">
              <w:rPr>
                <w:noProof/>
                <w:webHidden/>
              </w:rPr>
              <w:fldChar w:fldCharType="begin"/>
            </w:r>
            <w:r w:rsidR="002028D4">
              <w:rPr>
                <w:noProof/>
                <w:webHidden/>
              </w:rPr>
              <w:instrText xml:space="preserve"> PAGEREF _Toc400321708 \h </w:instrText>
            </w:r>
            <w:r w:rsidR="002028D4">
              <w:rPr>
                <w:noProof/>
                <w:webHidden/>
              </w:rPr>
            </w:r>
            <w:r w:rsidR="002028D4">
              <w:rPr>
                <w:noProof/>
                <w:webHidden/>
              </w:rPr>
              <w:fldChar w:fldCharType="separate"/>
            </w:r>
            <w:r w:rsidR="002028D4">
              <w:rPr>
                <w:noProof/>
                <w:webHidden/>
              </w:rPr>
              <w:t>172</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09" w:history="1">
            <w:r w:rsidR="002028D4" w:rsidRPr="004A26F3">
              <w:rPr>
                <w:rStyle w:val="Hipersaitas"/>
                <w:noProof/>
              </w:rPr>
              <w:t>3.2.</w:t>
            </w:r>
            <w:r w:rsidR="002028D4">
              <w:rPr>
                <w:rFonts w:asciiTheme="minorHAnsi" w:eastAsiaTheme="minorEastAsia" w:hAnsiTheme="minorHAnsi" w:cstheme="minorBidi"/>
                <w:noProof/>
                <w:sz w:val="22"/>
                <w:szCs w:val="22"/>
                <w:lang w:eastAsia="lt-LT"/>
              </w:rPr>
              <w:tab/>
            </w:r>
            <w:r w:rsidR="002028D4" w:rsidRPr="004A26F3">
              <w:rPr>
                <w:rStyle w:val="Hipersaitas"/>
                <w:noProof/>
              </w:rPr>
              <w:t>Prisijungimas prie kaltinimo</w:t>
            </w:r>
            <w:r w:rsidR="002028D4">
              <w:rPr>
                <w:noProof/>
                <w:webHidden/>
              </w:rPr>
              <w:tab/>
            </w:r>
            <w:r w:rsidR="002028D4">
              <w:rPr>
                <w:noProof/>
                <w:webHidden/>
              </w:rPr>
              <w:fldChar w:fldCharType="begin"/>
            </w:r>
            <w:r w:rsidR="002028D4">
              <w:rPr>
                <w:noProof/>
                <w:webHidden/>
              </w:rPr>
              <w:instrText xml:space="preserve"> PAGEREF _Toc400321709 \h </w:instrText>
            </w:r>
            <w:r w:rsidR="002028D4">
              <w:rPr>
                <w:noProof/>
                <w:webHidden/>
              </w:rPr>
            </w:r>
            <w:r w:rsidR="002028D4">
              <w:rPr>
                <w:noProof/>
                <w:webHidden/>
              </w:rPr>
              <w:fldChar w:fldCharType="separate"/>
            </w:r>
            <w:r w:rsidR="002028D4">
              <w:rPr>
                <w:noProof/>
                <w:webHidden/>
              </w:rPr>
              <w:t>174</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10" w:history="1">
            <w:r w:rsidR="002028D4" w:rsidRPr="004A26F3">
              <w:rPr>
                <w:rStyle w:val="Hipersaitas"/>
                <w:noProof/>
              </w:rPr>
              <w:t>3.3.</w:t>
            </w:r>
            <w:r w:rsidR="002028D4">
              <w:rPr>
                <w:rFonts w:asciiTheme="minorHAnsi" w:eastAsiaTheme="minorEastAsia" w:hAnsiTheme="minorHAnsi" w:cstheme="minorBidi"/>
                <w:noProof/>
                <w:sz w:val="22"/>
                <w:szCs w:val="22"/>
                <w:lang w:eastAsia="lt-LT"/>
              </w:rPr>
              <w:tab/>
            </w:r>
            <w:r w:rsidR="002028D4" w:rsidRPr="004A26F3">
              <w:rPr>
                <w:rStyle w:val="Hipersaitas"/>
                <w:noProof/>
              </w:rPr>
              <w:t>Priešpriešinis kaltinimas</w:t>
            </w:r>
            <w:r w:rsidR="002028D4">
              <w:rPr>
                <w:noProof/>
                <w:webHidden/>
              </w:rPr>
              <w:tab/>
            </w:r>
            <w:r w:rsidR="002028D4">
              <w:rPr>
                <w:noProof/>
                <w:webHidden/>
              </w:rPr>
              <w:fldChar w:fldCharType="begin"/>
            </w:r>
            <w:r w:rsidR="002028D4">
              <w:rPr>
                <w:noProof/>
                <w:webHidden/>
              </w:rPr>
              <w:instrText xml:space="preserve"> PAGEREF _Toc400321710 \h </w:instrText>
            </w:r>
            <w:r w:rsidR="002028D4">
              <w:rPr>
                <w:noProof/>
                <w:webHidden/>
              </w:rPr>
            </w:r>
            <w:r w:rsidR="002028D4">
              <w:rPr>
                <w:noProof/>
                <w:webHidden/>
              </w:rPr>
              <w:fldChar w:fldCharType="separate"/>
            </w:r>
            <w:r w:rsidR="002028D4">
              <w:rPr>
                <w:noProof/>
                <w:webHidden/>
              </w:rPr>
              <w:t>177</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11" w:history="1">
            <w:r w:rsidR="002028D4" w:rsidRPr="004A26F3">
              <w:rPr>
                <w:rStyle w:val="Hipersaitas"/>
                <w:noProof/>
              </w:rPr>
              <w:t>3.4.</w:t>
            </w:r>
            <w:r w:rsidR="002028D4">
              <w:rPr>
                <w:rFonts w:asciiTheme="minorHAnsi" w:eastAsiaTheme="minorEastAsia" w:hAnsiTheme="minorHAnsi" w:cstheme="minorBidi"/>
                <w:noProof/>
                <w:sz w:val="22"/>
                <w:szCs w:val="22"/>
                <w:lang w:eastAsia="lt-LT"/>
              </w:rPr>
              <w:tab/>
            </w:r>
            <w:r w:rsidR="002028D4" w:rsidRPr="004A26F3">
              <w:rPr>
                <w:rStyle w:val="Hipersaitas"/>
                <w:noProof/>
              </w:rPr>
              <w:t>Įrodinėjimo ypatumai</w:t>
            </w:r>
            <w:r w:rsidR="002028D4">
              <w:rPr>
                <w:noProof/>
                <w:webHidden/>
              </w:rPr>
              <w:tab/>
            </w:r>
            <w:r w:rsidR="002028D4">
              <w:rPr>
                <w:noProof/>
                <w:webHidden/>
              </w:rPr>
              <w:fldChar w:fldCharType="begin"/>
            </w:r>
            <w:r w:rsidR="002028D4">
              <w:rPr>
                <w:noProof/>
                <w:webHidden/>
              </w:rPr>
              <w:instrText xml:space="preserve"> PAGEREF _Toc400321711 \h </w:instrText>
            </w:r>
            <w:r w:rsidR="002028D4">
              <w:rPr>
                <w:noProof/>
                <w:webHidden/>
              </w:rPr>
            </w:r>
            <w:r w:rsidR="002028D4">
              <w:rPr>
                <w:noProof/>
                <w:webHidden/>
              </w:rPr>
              <w:fldChar w:fldCharType="separate"/>
            </w:r>
            <w:r w:rsidR="002028D4">
              <w:rPr>
                <w:noProof/>
                <w:webHidden/>
              </w:rPr>
              <w:t>180</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12" w:history="1">
            <w:r w:rsidR="002028D4" w:rsidRPr="004A26F3">
              <w:rPr>
                <w:rStyle w:val="Hipersaitas"/>
                <w:noProof/>
              </w:rPr>
              <w:t>3.5.</w:t>
            </w:r>
            <w:r w:rsidR="002028D4">
              <w:rPr>
                <w:rFonts w:asciiTheme="minorHAnsi" w:eastAsiaTheme="minorEastAsia" w:hAnsiTheme="minorHAnsi" w:cstheme="minorBidi"/>
                <w:noProof/>
                <w:sz w:val="22"/>
                <w:szCs w:val="22"/>
                <w:lang w:eastAsia="lt-LT"/>
              </w:rPr>
              <w:tab/>
            </w:r>
            <w:r w:rsidR="002028D4" w:rsidRPr="004A26F3">
              <w:rPr>
                <w:rStyle w:val="Hipersaitas"/>
                <w:noProof/>
              </w:rPr>
              <w:t>Specifiniai privataus kaltinimo bylų proceso nutraukimo pagrindai</w:t>
            </w:r>
            <w:r w:rsidR="002028D4">
              <w:rPr>
                <w:noProof/>
                <w:webHidden/>
              </w:rPr>
              <w:tab/>
            </w:r>
            <w:r w:rsidR="002028D4">
              <w:rPr>
                <w:noProof/>
                <w:webHidden/>
              </w:rPr>
              <w:fldChar w:fldCharType="begin"/>
            </w:r>
            <w:r w:rsidR="002028D4">
              <w:rPr>
                <w:noProof/>
                <w:webHidden/>
              </w:rPr>
              <w:instrText xml:space="preserve"> PAGEREF _Toc400321712 \h </w:instrText>
            </w:r>
            <w:r w:rsidR="002028D4">
              <w:rPr>
                <w:noProof/>
                <w:webHidden/>
              </w:rPr>
            </w:r>
            <w:r w:rsidR="002028D4">
              <w:rPr>
                <w:noProof/>
                <w:webHidden/>
              </w:rPr>
              <w:fldChar w:fldCharType="separate"/>
            </w:r>
            <w:r w:rsidR="002028D4">
              <w:rPr>
                <w:noProof/>
                <w:webHidden/>
              </w:rPr>
              <w:t>198</w:t>
            </w:r>
            <w:r w:rsidR="002028D4">
              <w:rPr>
                <w:noProof/>
                <w:webHidden/>
              </w:rPr>
              <w:fldChar w:fldCharType="end"/>
            </w:r>
          </w:hyperlink>
        </w:p>
        <w:p w:rsidR="002028D4" w:rsidRDefault="00E0371E">
          <w:pPr>
            <w:pStyle w:val="Turinys3"/>
            <w:tabs>
              <w:tab w:val="left" w:pos="1100"/>
              <w:tab w:val="right" w:leader="dot" w:pos="9628"/>
            </w:tabs>
            <w:rPr>
              <w:rFonts w:asciiTheme="minorHAnsi" w:eastAsiaTheme="minorEastAsia" w:hAnsiTheme="minorHAnsi" w:cstheme="minorBidi"/>
              <w:noProof/>
              <w:sz w:val="22"/>
              <w:szCs w:val="22"/>
              <w:lang w:eastAsia="lt-LT"/>
            </w:rPr>
          </w:pPr>
          <w:hyperlink w:anchor="_Toc400321713" w:history="1">
            <w:r w:rsidR="002028D4" w:rsidRPr="004A26F3">
              <w:rPr>
                <w:rStyle w:val="Hipersaitas"/>
                <w:noProof/>
              </w:rPr>
              <w:t>3.6.</w:t>
            </w:r>
            <w:r w:rsidR="002028D4">
              <w:rPr>
                <w:rFonts w:asciiTheme="minorHAnsi" w:eastAsiaTheme="minorEastAsia" w:hAnsiTheme="minorHAnsi" w:cstheme="minorBidi"/>
                <w:noProof/>
                <w:sz w:val="22"/>
                <w:szCs w:val="22"/>
                <w:lang w:eastAsia="lt-LT"/>
              </w:rPr>
              <w:tab/>
            </w:r>
            <w:r w:rsidR="002028D4" w:rsidRPr="004A26F3">
              <w:rPr>
                <w:rStyle w:val="Hipersaitas"/>
                <w:noProof/>
              </w:rPr>
              <w:t>Atsakomybė už nepagrįstą kaltinimą</w:t>
            </w:r>
            <w:r w:rsidR="002028D4">
              <w:rPr>
                <w:noProof/>
                <w:webHidden/>
              </w:rPr>
              <w:tab/>
            </w:r>
            <w:r w:rsidR="002028D4">
              <w:rPr>
                <w:noProof/>
                <w:webHidden/>
              </w:rPr>
              <w:fldChar w:fldCharType="begin"/>
            </w:r>
            <w:r w:rsidR="002028D4">
              <w:rPr>
                <w:noProof/>
                <w:webHidden/>
              </w:rPr>
              <w:instrText xml:space="preserve"> PAGEREF _Toc400321713 \h </w:instrText>
            </w:r>
            <w:r w:rsidR="002028D4">
              <w:rPr>
                <w:noProof/>
                <w:webHidden/>
              </w:rPr>
            </w:r>
            <w:r w:rsidR="002028D4">
              <w:rPr>
                <w:noProof/>
                <w:webHidden/>
              </w:rPr>
              <w:fldChar w:fldCharType="separate"/>
            </w:r>
            <w:r w:rsidR="002028D4">
              <w:rPr>
                <w:noProof/>
                <w:webHidden/>
              </w:rPr>
              <w:t>200</w:t>
            </w:r>
            <w:r w:rsidR="002028D4">
              <w:rPr>
                <w:noProof/>
                <w:webHidden/>
              </w:rPr>
              <w:fldChar w:fldCharType="end"/>
            </w:r>
          </w:hyperlink>
        </w:p>
        <w:p w:rsidR="002028D4" w:rsidRDefault="00E0371E">
          <w:pPr>
            <w:pStyle w:val="Turinys1"/>
            <w:tabs>
              <w:tab w:val="left" w:pos="480"/>
              <w:tab w:val="right" w:leader="dot" w:pos="9628"/>
            </w:tabs>
            <w:rPr>
              <w:rFonts w:asciiTheme="minorHAnsi" w:eastAsiaTheme="minorEastAsia" w:hAnsiTheme="minorHAnsi" w:cstheme="minorBidi"/>
              <w:noProof/>
              <w:sz w:val="22"/>
              <w:szCs w:val="22"/>
              <w:lang w:eastAsia="lt-LT"/>
            </w:rPr>
          </w:pPr>
          <w:hyperlink w:anchor="_Toc400321714" w:history="1">
            <w:r w:rsidR="002028D4" w:rsidRPr="004A26F3">
              <w:rPr>
                <w:rStyle w:val="Hipersaitas"/>
                <w:noProof/>
              </w:rPr>
              <w:t>4.</w:t>
            </w:r>
            <w:r w:rsidR="002028D4">
              <w:rPr>
                <w:rFonts w:asciiTheme="minorHAnsi" w:eastAsiaTheme="minorEastAsia" w:hAnsiTheme="minorHAnsi" w:cstheme="minorBidi"/>
                <w:noProof/>
                <w:sz w:val="22"/>
                <w:szCs w:val="22"/>
                <w:lang w:eastAsia="lt-LT"/>
              </w:rPr>
              <w:tab/>
            </w:r>
            <w:r w:rsidR="002028D4" w:rsidRPr="004A26F3">
              <w:rPr>
                <w:rStyle w:val="Hipersaitas"/>
                <w:noProof/>
              </w:rPr>
              <w:t>Apskundimo teisė privataus kaltinimo bylų procese</w:t>
            </w:r>
            <w:r w:rsidR="002028D4">
              <w:rPr>
                <w:noProof/>
                <w:webHidden/>
              </w:rPr>
              <w:tab/>
            </w:r>
            <w:r w:rsidR="002028D4">
              <w:rPr>
                <w:noProof/>
                <w:webHidden/>
              </w:rPr>
              <w:fldChar w:fldCharType="begin"/>
            </w:r>
            <w:r w:rsidR="002028D4">
              <w:rPr>
                <w:noProof/>
                <w:webHidden/>
              </w:rPr>
              <w:instrText xml:space="preserve"> PAGEREF _Toc400321714 \h </w:instrText>
            </w:r>
            <w:r w:rsidR="002028D4">
              <w:rPr>
                <w:noProof/>
                <w:webHidden/>
              </w:rPr>
            </w:r>
            <w:r w:rsidR="002028D4">
              <w:rPr>
                <w:noProof/>
                <w:webHidden/>
              </w:rPr>
              <w:fldChar w:fldCharType="separate"/>
            </w:r>
            <w:r w:rsidR="002028D4">
              <w:rPr>
                <w:noProof/>
                <w:webHidden/>
              </w:rPr>
              <w:t>205</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715" w:history="1">
            <w:r w:rsidR="002028D4" w:rsidRPr="004A26F3">
              <w:rPr>
                <w:rStyle w:val="Hipersaitas"/>
                <w:noProof/>
              </w:rPr>
              <w:t>Išvados</w:t>
            </w:r>
            <w:r w:rsidR="002028D4">
              <w:rPr>
                <w:noProof/>
                <w:webHidden/>
              </w:rPr>
              <w:tab/>
            </w:r>
            <w:r w:rsidR="002028D4">
              <w:rPr>
                <w:noProof/>
                <w:webHidden/>
              </w:rPr>
              <w:fldChar w:fldCharType="begin"/>
            </w:r>
            <w:r w:rsidR="002028D4">
              <w:rPr>
                <w:noProof/>
                <w:webHidden/>
              </w:rPr>
              <w:instrText xml:space="preserve"> PAGEREF _Toc400321715 \h </w:instrText>
            </w:r>
            <w:r w:rsidR="002028D4">
              <w:rPr>
                <w:noProof/>
                <w:webHidden/>
              </w:rPr>
            </w:r>
            <w:r w:rsidR="002028D4">
              <w:rPr>
                <w:noProof/>
                <w:webHidden/>
              </w:rPr>
              <w:fldChar w:fldCharType="separate"/>
            </w:r>
            <w:r w:rsidR="002028D4">
              <w:rPr>
                <w:noProof/>
                <w:webHidden/>
              </w:rPr>
              <w:t>213</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716" w:history="1">
            <w:r w:rsidR="002028D4" w:rsidRPr="004A26F3">
              <w:rPr>
                <w:rStyle w:val="Hipersaitas"/>
                <w:noProof/>
              </w:rPr>
              <w:t>Pasiūlymai</w:t>
            </w:r>
            <w:r w:rsidR="002028D4">
              <w:rPr>
                <w:noProof/>
                <w:webHidden/>
              </w:rPr>
              <w:tab/>
            </w:r>
            <w:r w:rsidR="002028D4">
              <w:rPr>
                <w:noProof/>
                <w:webHidden/>
              </w:rPr>
              <w:fldChar w:fldCharType="begin"/>
            </w:r>
            <w:r w:rsidR="002028D4">
              <w:rPr>
                <w:noProof/>
                <w:webHidden/>
              </w:rPr>
              <w:instrText xml:space="preserve"> PAGEREF _Toc400321716 \h </w:instrText>
            </w:r>
            <w:r w:rsidR="002028D4">
              <w:rPr>
                <w:noProof/>
                <w:webHidden/>
              </w:rPr>
            </w:r>
            <w:r w:rsidR="002028D4">
              <w:rPr>
                <w:noProof/>
                <w:webHidden/>
              </w:rPr>
              <w:fldChar w:fldCharType="separate"/>
            </w:r>
            <w:r w:rsidR="002028D4">
              <w:rPr>
                <w:noProof/>
                <w:webHidden/>
              </w:rPr>
              <w:t>218</w:t>
            </w:r>
            <w:r w:rsidR="002028D4">
              <w:rPr>
                <w:noProof/>
                <w:webHidden/>
              </w:rPr>
              <w:fldChar w:fldCharType="end"/>
            </w:r>
          </w:hyperlink>
        </w:p>
        <w:p w:rsidR="002028D4" w:rsidRDefault="00E0371E">
          <w:pPr>
            <w:pStyle w:val="Turinys1"/>
            <w:tabs>
              <w:tab w:val="right" w:leader="dot" w:pos="9628"/>
            </w:tabs>
            <w:rPr>
              <w:rFonts w:asciiTheme="minorHAnsi" w:eastAsiaTheme="minorEastAsia" w:hAnsiTheme="minorHAnsi" w:cstheme="minorBidi"/>
              <w:noProof/>
              <w:sz w:val="22"/>
              <w:szCs w:val="22"/>
              <w:lang w:eastAsia="lt-LT"/>
            </w:rPr>
          </w:pPr>
          <w:hyperlink w:anchor="_Toc400321717" w:history="1">
            <w:r w:rsidR="002028D4" w:rsidRPr="004A26F3">
              <w:rPr>
                <w:rStyle w:val="Hipersaitas"/>
                <w:noProof/>
              </w:rPr>
              <w:t>Literatūros sąrašas</w:t>
            </w:r>
            <w:r w:rsidR="002028D4">
              <w:rPr>
                <w:noProof/>
                <w:webHidden/>
              </w:rPr>
              <w:tab/>
            </w:r>
            <w:r w:rsidR="002028D4">
              <w:rPr>
                <w:noProof/>
                <w:webHidden/>
              </w:rPr>
              <w:fldChar w:fldCharType="begin"/>
            </w:r>
            <w:r w:rsidR="002028D4">
              <w:rPr>
                <w:noProof/>
                <w:webHidden/>
              </w:rPr>
              <w:instrText xml:space="preserve"> PAGEREF _Toc400321717 \h </w:instrText>
            </w:r>
            <w:r w:rsidR="002028D4">
              <w:rPr>
                <w:noProof/>
                <w:webHidden/>
              </w:rPr>
            </w:r>
            <w:r w:rsidR="002028D4">
              <w:rPr>
                <w:noProof/>
                <w:webHidden/>
              </w:rPr>
              <w:fldChar w:fldCharType="separate"/>
            </w:r>
            <w:r w:rsidR="002028D4">
              <w:rPr>
                <w:noProof/>
                <w:webHidden/>
              </w:rPr>
              <w:t>220</w:t>
            </w:r>
            <w:r w:rsidR="002028D4">
              <w:rPr>
                <w:noProof/>
                <w:webHidden/>
              </w:rPr>
              <w:fldChar w:fldCharType="end"/>
            </w:r>
          </w:hyperlink>
        </w:p>
        <w:p w:rsidR="00DA5830" w:rsidRPr="005A3F15" w:rsidRDefault="00E83980">
          <w:r w:rsidRPr="005A3F15">
            <w:rPr>
              <w:bCs/>
            </w:rPr>
            <w:fldChar w:fldCharType="end"/>
          </w:r>
        </w:p>
      </w:sdtContent>
    </w:sdt>
    <w:p w:rsidR="00721278" w:rsidRDefault="00721278"/>
    <w:p w:rsidR="00F71D60" w:rsidRDefault="00F71D60">
      <w:pPr>
        <w:rPr>
          <w:b/>
        </w:rPr>
      </w:pPr>
      <w:r>
        <w:rPr>
          <w:b/>
        </w:rPr>
        <w:br w:type="page"/>
      </w:r>
    </w:p>
    <w:p w:rsidR="0003553E" w:rsidRPr="00501CFD" w:rsidRDefault="0003553E" w:rsidP="00501CFD">
      <w:pPr>
        <w:rPr>
          <w:b/>
        </w:rPr>
      </w:pPr>
      <w:r w:rsidRPr="00501CFD">
        <w:rPr>
          <w:b/>
        </w:rPr>
        <w:lastRenderedPageBreak/>
        <w:t>Naudoti sutrumpinimai</w:t>
      </w:r>
    </w:p>
    <w:p w:rsidR="0003553E" w:rsidRDefault="0003553E"/>
    <w:p w:rsidR="00F71D60" w:rsidRDefault="00F71D60" w:rsidP="00F71D60">
      <w:pPr>
        <w:spacing w:line="360" w:lineRule="auto"/>
      </w:pPr>
    </w:p>
    <w:p w:rsidR="0003553E" w:rsidRDefault="0003553E" w:rsidP="00F71D60">
      <w:pPr>
        <w:spacing w:line="360" w:lineRule="auto"/>
      </w:pPr>
      <w:r>
        <w:t>BK - Lietuvos Respublikos baudžiamasis kodeksas</w:t>
      </w:r>
    </w:p>
    <w:p w:rsidR="0003553E" w:rsidRDefault="0003553E" w:rsidP="00F71D60">
      <w:pPr>
        <w:spacing w:line="360" w:lineRule="auto"/>
      </w:pPr>
      <w:r>
        <w:t>BPK - Lietuvos Respublikos baudžiamojo proceso kodek</w:t>
      </w:r>
      <w:r w:rsidR="00907ECA">
        <w:t>s</w:t>
      </w:r>
      <w:r>
        <w:t>as</w:t>
      </w:r>
    </w:p>
    <w:p w:rsidR="0003553E" w:rsidRDefault="0003553E" w:rsidP="00F71D60">
      <w:pPr>
        <w:spacing w:line="360" w:lineRule="auto"/>
      </w:pPr>
      <w:r>
        <w:t>CK - Lietuvos Respublikos civilinis kodeksas</w:t>
      </w:r>
    </w:p>
    <w:p w:rsidR="0003553E" w:rsidRDefault="0003553E" w:rsidP="00F71D60">
      <w:pPr>
        <w:spacing w:line="360" w:lineRule="auto"/>
      </w:pPr>
      <w:r>
        <w:t>CPK - Lietuvos Respublikos civilinio proceso kodeksas</w:t>
      </w:r>
    </w:p>
    <w:p w:rsidR="0003553E" w:rsidRDefault="00837C35" w:rsidP="00F71D60">
      <w:pPr>
        <w:spacing w:line="360" w:lineRule="auto"/>
      </w:pPr>
      <w:r>
        <w:t xml:space="preserve">ET – Europos Taryba </w:t>
      </w:r>
    </w:p>
    <w:p w:rsidR="00837C35" w:rsidRDefault="00837C35" w:rsidP="00F71D60">
      <w:pPr>
        <w:spacing w:line="360" w:lineRule="auto"/>
      </w:pPr>
      <w:r>
        <w:t>EŽTK, Konv</w:t>
      </w:r>
      <w:r w:rsidR="0015747F">
        <w:t>encija – Europos Ž</w:t>
      </w:r>
      <w:r>
        <w:t xml:space="preserve">mogaus teisių ir pagrindinių laisvių apsaugos konvencija </w:t>
      </w:r>
    </w:p>
    <w:p w:rsidR="00837C35" w:rsidRDefault="00837C35" w:rsidP="00F71D60">
      <w:pPr>
        <w:spacing w:line="360" w:lineRule="auto"/>
      </w:pPr>
      <w:r>
        <w:t xml:space="preserve">EŽTT – Europos </w:t>
      </w:r>
      <w:r w:rsidR="00907ECA">
        <w:t>Ž</w:t>
      </w:r>
      <w:r>
        <w:t xml:space="preserve">mogaus </w:t>
      </w:r>
      <w:r w:rsidR="00907ECA">
        <w:t>T</w:t>
      </w:r>
      <w:r>
        <w:t xml:space="preserve">eisių </w:t>
      </w:r>
      <w:r w:rsidR="00907ECA">
        <w:t>T</w:t>
      </w:r>
      <w:r>
        <w:t>eismas</w:t>
      </w:r>
    </w:p>
    <w:p w:rsidR="00837C35" w:rsidRDefault="00837C35" w:rsidP="00F71D60">
      <w:pPr>
        <w:spacing w:line="360" w:lineRule="auto"/>
      </w:pPr>
      <w:r>
        <w:t xml:space="preserve">JTO – Jungtinių </w:t>
      </w:r>
      <w:r w:rsidR="007032F3">
        <w:t>T</w:t>
      </w:r>
      <w:r>
        <w:t>autų organizacija</w:t>
      </w:r>
    </w:p>
    <w:p w:rsidR="00837C35" w:rsidRDefault="00837C35" w:rsidP="00F71D60">
      <w:pPr>
        <w:spacing w:line="360" w:lineRule="auto"/>
      </w:pPr>
      <w:r>
        <w:t>Konstitucija – Lietuvos Respublikos Konstitucija</w:t>
      </w:r>
    </w:p>
    <w:p w:rsidR="00EC320E" w:rsidRDefault="00066D8C" w:rsidP="00F71D60">
      <w:pPr>
        <w:spacing w:line="360" w:lineRule="auto"/>
      </w:pPr>
      <w:r>
        <w:t>Konstitucinis T</w:t>
      </w:r>
      <w:r w:rsidR="0003553E">
        <w:t xml:space="preserve">eismas – Lietuvos Respublikos Konstitucinis </w:t>
      </w:r>
      <w:r>
        <w:t>T</w:t>
      </w:r>
      <w:r w:rsidR="0003553E">
        <w:t>eismas</w:t>
      </w:r>
    </w:p>
    <w:p w:rsidR="0003553E" w:rsidRDefault="00066D8C" w:rsidP="00F71D60">
      <w:pPr>
        <w:spacing w:line="360" w:lineRule="auto"/>
      </w:pPr>
      <w:r>
        <w:t xml:space="preserve">LAT – Lietuvos Aukščiausiasis Teismas </w:t>
      </w:r>
      <w:r w:rsidR="0003553E">
        <w:br w:type="page"/>
      </w:r>
    </w:p>
    <w:p w:rsidR="00DA5830" w:rsidRPr="00CE37D0" w:rsidRDefault="00DA5830"/>
    <w:p w:rsidR="00D5536A" w:rsidRPr="00CE37D0" w:rsidRDefault="00D5536A" w:rsidP="006B2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eastAsia="Times New Roman"/>
          <w:lang w:eastAsia="lt-LT"/>
        </w:rPr>
      </w:pPr>
      <w:r w:rsidRPr="00CE37D0">
        <w:rPr>
          <w:rFonts w:eastAsia="Times New Roman"/>
          <w:lang w:eastAsia="lt-LT"/>
        </w:rPr>
        <w:t>Si vis pacem para bellum.</w:t>
      </w:r>
    </w:p>
    <w:p w:rsidR="00D5536A" w:rsidRPr="00CE37D0" w:rsidRDefault="00D5536A" w:rsidP="00D553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eastAsia="Times New Roman"/>
          <w:lang w:eastAsia="lt-LT"/>
        </w:rPr>
      </w:pPr>
      <w:r w:rsidRPr="00CE37D0">
        <w:rPr>
          <w:rFonts w:eastAsia="Times New Roman"/>
          <w:lang w:eastAsia="lt-LT"/>
        </w:rPr>
        <w:t xml:space="preserve">Jei nori taikos, ruoškis karui. </w:t>
      </w:r>
    </w:p>
    <w:p w:rsidR="009D287F" w:rsidRPr="00CE37D0" w:rsidRDefault="009D287F" w:rsidP="00BF69D5">
      <w:pPr>
        <w:pStyle w:val="Antrat1"/>
        <w:spacing w:before="0" w:after="0" w:line="360" w:lineRule="auto"/>
      </w:pPr>
      <w:bookmarkStart w:id="0" w:name="_Toc365498813"/>
      <w:bookmarkStart w:id="1" w:name="_Toc370139877"/>
      <w:bookmarkStart w:id="2" w:name="_Toc400321663"/>
      <w:r w:rsidRPr="00CE37D0">
        <w:t>Įvadas</w:t>
      </w:r>
      <w:bookmarkEnd w:id="0"/>
      <w:bookmarkEnd w:id="1"/>
      <w:bookmarkEnd w:id="2"/>
    </w:p>
    <w:p w:rsidR="003C1E0C" w:rsidRPr="00CE37D0" w:rsidRDefault="00D80CD4" w:rsidP="00BF69D5">
      <w:pPr>
        <w:pStyle w:val="Antrat2"/>
        <w:spacing w:before="0" w:after="0" w:line="360" w:lineRule="auto"/>
        <w:jc w:val="both"/>
        <w:rPr>
          <w:rFonts w:ascii="Times New Roman" w:hAnsi="Times New Roman"/>
          <w:sz w:val="24"/>
          <w:szCs w:val="24"/>
        </w:rPr>
      </w:pPr>
      <w:bookmarkStart w:id="3" w:name="_Toc365498814"/>
      <w:bookmarkStart w:id="4" w:name="_Toc370139878"/>
      <w:bookmarkStart w:id="5" w:name="_Toc400321664"/>
      <w:r w:rsidRPr="00CE37D0">
        <w:rPr>
          <w:rFonts w:ascii="Times New Roman" w:hAnsi="Times New Roman"/>
          <w:sz w:val="24"/>
          <w:szCs w:val="24"/>
        </w:rPr>
        <w:t>Temos aktualumas</w:t>
      </w:r>
      <w:bookmarkEnd w:id="3"/>
      <w:bookmarkEnd w:id="4"/>
      <w:bookmarkEnd w:id="5"/>
    </w:p>
    <w:p w:rsidR="00357C64" w:rsidRPr="00CE37D0" w:rsidRDefault="00357C64" w:rsidP="00357C64">
      <w:pPr>
        <w:spacing w:line="360" w:lineRule="auto"/>
        <w:ind w:firstLine="900"/>
        <w:jc w:val="both"/>
        <w:rPr>
          <w:rFonts w:eastAsia="Times New Roman"/>
          <w:lang w:eastAsia="lt-LT"/>
        </w:rPr>
      </w:pPr>
      <w:r w:rsidRPr="00CE37D0">
        <w:rPr>
          <w:rFonts w:eastAsia="Times New Roman"/>
          <w:lang w:eastAsia="lt-LT"/>
        </w:rPr>
        <w:t xml:space="preserve">Baudžiamojo proceso paskirtis </w:t>
      </w:r>
      <w:r>
        <w:rPr>
          <w:rFonts w:eastAsia="Times New Roman"/>
          <w:lang w:eastAsia="lt-LT"/>
        </w:rPr>
        <w:t xml:space="preserve">– </w:t>
      </w:r>
      <w:r w:rsidRPr="00CE37D0">
        <w:rPr>
          <w:rFonts w:eastAsia="Times New Roman"/>
          <w:lang w:eastAsia="lt-LT"/>
        </w:rPr>
        <w:t>užtikrinti žmogaus teises ir laisves</w:t>
      </w:r>
      <w:r>
        <w:rPr>
          <w:rFonts w:eastAsia="Times New Roman"/>
          <w:lang w:eastAsia="lt-LT"/>
        </w:rPr>
        <w:t xml:space="preserve"> –</w:t>
      </w:r>
      <w:r w:rsidRPr="00CE37D0">
        <w:rPr>
          <w:rFonts w:eastAsia="Times New Roman"/>
          <w:lang w:eastAsia="lt-LT"/>
        </w:rPr>
        <w:t xml:space="preserve"> asmenį ir jo interesą iškelia aukščiau valstybinės veiklos. Turime nepamiršti, kad baudžia</w:t>
      </w:r>
      <w:r>
        <w:rPr>
          <w:rFonts w:eastAsia="Times New Roman"/>
          <w:lang w:eastAsia="lt-LT"/>
        </w:rPr>
        <w:t>masis procesas nėra savitikslis</w:t>
      </w:r>
      <w:r w:rsidRPr="00CE37D0">
        <w:rPr>
          <w:rFonts w:eastAsia="Times New Roman"/>
          <w:lang w:eastAsia="lt-LT"/>
        </w:rPr>
        <w:t xml:space="preserve">. Viešasis interesas negali tapti beasmene kategorija, kuria prisidengus, įprasminama formali valstybinė veikla, kai per valstybinio mechanizmo didybę nebesimato žmogaus, dėl kurio gerovės šis mechanizmas ir yra sukurtas. Baudžiamojo proceso paskirties samprata galiojančiame </w:t>
      </w:r>
      <w:r>
        <w:rPr>
          <w:rFonts w:eastAsia="Times New Roman"/>
          <w:lang w:eastAsia="lt-LT"/>
        </w:rPr>
        <w:t xml:space="preserve">Lietuvos Respublikos baudžiamojo proceso kodekse (toliau – ir </w:t>
      </w:r>
      <w:r w:rsidRPr="00CE37D0">
        <w:rPr>
          <w:rFonts w:eastAsia="Times New Roman"/>
          <w:lang w:eastAsia="lt-LT"/>
        </w:rPr>
        <w:t>BPK</w:t>
      </w:r>
      <w:r>
        <w:rPr>
          <w:rStyle w:val="Puslapioinaosnuoroda"/>
          <w:rFonts w:eastAsia="Times New Roman"/>
          <w:lang w:eastAsia="lt-LT"/>
        </w:rPr>
        <w:footnoteReference w:id="1"/>
      </w:r>
      <w:r>
        <w:rPr>
          <w:rFonts w:eastAsia="Times New Roman"/>
          <w:lang w:eastAsia="lt-LT"/>
        </w:rPr>
        <w:t xml:space="preserve">) </w:t>
      </w:r>
      <w:r w:rsidRPr="00CE37D0">
        <w:rPr>
          <w:rFonts w:eastAsia="Times New Roman"/>
          <w:lang w:eastAsia="lt-LT"/>
        </w:rPr>
        <w:t>suponuoja žmogaus teisių ir laisvių gynimo prioritetą, kuris teisinių vertybių skalėje</w:t>
      </w:r>
      <w:r>
        <w:rPr>
          <w:rFonts w:eastAsia="Times New Roman"/>
          <w:lang w:eastAsia="lt-LT"/>
        </w:rPr>
        <w:t xml:space="preserve"> y</w:t>
      </w:r>
      <w:r w:rsidRPr="00CE37D0">
        <w:rPr>
          <w:rFonts w:eastAsia="Times New Roman"/>
          <w:lang w:eastAsia="lt-LT"/>
        </w:rPr>
        <w:t>ra aukščiau tiesos nustatymo ir</w:t>
      </w:r>
      <w:r>
        <w:rPr>
          <w:rFonts w:eastAsia="Times New Roman"/>
          <w:lang w:eastAsia="lt-LT"/>
        </w:rPr>
        <w:t xml:space="preserve"> </w:t>
      </w:r>
      <w:r w:rsidRPr="00CE37D0">
        <w:rPr>
          <w:rFonts w:eastAsia="Times New Roman"/>
          <w:lang w:eastAsia="lt-LT"/>
        </w:rPr>
        <w:t>nusikalstam</w:t>
      </w:r>
      <w:r>
        <w:rPr>
          <w:rFonts w:eastAsia="Times New Roman"/>
          <w:lang w:eastAsia="lt-LT"/>
        </w:rPr>
        <w:t>ą</w:t>
      </w:r>
      <w:r w:rsidRPr="00CE37D0">
        <w:rPr>
          <w:rFonts w:eastAsia="Times New Roman"/>
          <w:lang w:eastAsia="lt-LT"/>
        </w:rPr>
        <w:t xml:space="preserve"> veik</w:t>
      </w:r>
      <w:r>
        <w:rPr>
          <w:rFonts w:eastAsia="Times New Roman"/>
          <w:lang w:eastAsia="lt-LT"/>
        </w:rPr>
        <w:t>ą</w:t>
      </w:r>
      <w:r w:rsidRPr="00CE37D0">
        <w:rPr>
          <w:rFonts w:eastAsia="Times New Roman"/>
          <w:lang w:eastAsia="lt-LT"/>
        </w:rPr>
        <w:t xml:space="preserve"> padar</w:t>
      </w:r>
      <w:r>
        <w:rPr>
          <w:rFonts w:eastAsia="Times New Roman"/>
          <w:lang w:eastAsia="lt-LT"/>
        </w:rPr>
        <w:t>iusi</w:t>
      </w:r>
      <w:r w:rsidRPr="00CE37D0">
        <w:rPr>
          <w:rFonts w:eastAsia="Times New Roman"/>
          <w:lang w:eastAsia="lt-LT"/>
        </w:rPr>
        <w:t xml:space="preserve">o asmens nubaudimo tikslų. </w:t>
      </w:r>
      <w:r>
        <w:rPr>
          <w:rFonts w:eastAsia="Times New Roman"/>
          <w:lang w:eastAsia="lt-LT"/>
        </w:rPr>
        <w:t>Tačiau tuo pat metu n</w:t>
      </w:r>
      <w:r w:rsidRPr="00CE37D0">
        <w:rPr>
          <w:rFonts w:eastAsia="Times New Roman"/>
          <w:lang w:eastAsia="lt-LT"/>
        </w:rPr>
        <w:t xml:space="preserve">ekvestionuotina, kad baudžiamojo proceso variklis yra viešasis interesas, </w:t>
      </w:r>
      <w:r>
        <w:rPr>
          <w:rFonts w:eastAsia="Times New Roman"/>
          <w:lang w:eastAsia="lt-LT"/>
        </w:rPr>
        <w:t>o</w:t>
      </w:r>
      <w:r w:rsidRPr="00CE37D0">
        <w:rPr>
          <w:rFonts w:eastAsia="Times New Roman"/>
          <w:lang w:eastAsia="lt-LT"/>
        </w:rPr>
        <w:t xml:space="preserve"> </w:t>
      </w:r>
      <w:r>
        <w:rPr>
          <w:rFonts w:eastAsia="Times New Roman"/>
          <w:lang w:eastAsia="lt-LT"/>
        </w:rPr>
        <w:t xml:space="preserve">viešo ir </w:t>
      </w:r>
      <w:r w:rsidRPr="00CE37D0">
        <w:rPr>
          <w:rFonts w:eastAsia="Times New Roman"/>
          <w:lang w:eastAsia="lt-LT"/>
        </w:rPr>
        <w:t>privataus interes</w:t>
      </w:r>
      <w:r>
        <w:rPr>
          <w:rFonts w:eastAsia="Times New Roman"/>
          <w:lang w:eastAsia="lt-LT"/>
        </w:rPr>
        <w:t>ų</w:t>
      </w:r>
      <w:r w:rsidRPr="00CE37D0">
        <w:rPr>
          <w:rFonts w:eastAsia="Times New Roman"/>
          <w:lang w:eastAsia="lt-LT"/>
        </w:rPr>
        <w:t xml:space="preserve"> koegzistavimo baudžiamajame procese idėja yra menkai išvystyta ir dažniausiai mo</w:t>
      </w:r>
      <w:r>
        <w:rPr>
          <w:rFonts w:eastAsia="Times New Roman"/>
          <w:lang w:eastAsia="lt-LT"/>
        </w:rPr>
        <w:t>kslinėje jurisprudencijoje</w:t>
      </w:r>
      <w:r w:rsidRPr="00CE37D0">
        <w:rPr>
          <w:rFonts w:eastAsia="Times New Roman"/>
          <w:lang w:eastAsia="lt-LT"/>
        </w:rPr>
        <w:t xml:space="preserve"> </w:t>
      </w:r>
      <w:r>
        <w:rPr>
          <w:rFonts w:eastAsia="Times New Roman"/>
          <w:lang w:eastAsia="lt-LT"/>
        </w:rPr>
        <w:t>bei</w:t>
      </w:r>
      <w:r w:rsidRPr="00CE37D0">
        <w:rPr>
          <w:rFonts w:eastAsia="Times New Roman"/>
          <w:lang w:eastAsia="lt-LT"/>
        </w:rPr>
        <w:t xml:space="preserve"> baudžiamajame procese lieka antraplan</w:t>
      </w:r>
      <w:r>
        <w:rPr>
          <w:rFonts w:eastAsia="Times New Roman"/>
          <w:lang w:eastAsia="lt-LT"/>
        </w:rPr>
        <w:t>ė</w:t>
      </w:r>
      <w:r w:rsidRPr="00CE37D0">
        <w:rPr>
          <w:rFonts w:eastAsia="Times New Roman"/>
          <w:lang w:eastAsia="lt-LT"/>
        </w:rPr>
        <w:t xml:space="preserve">. </w:t>
      </w:r>
    </w:p>
    <w:p w:rsidR="00357C64" w:rsidRPr="00CE37D0" w:rsidRDefault="00852DC2" w:rsidP="00357C64">
      <w:pPr>
        <w:spacing w:line="360" w:lineRule="auto"/>
        <w:ind w:firstLine="900"/>
        <w:jc w:val="both"/>
        <w:rPr>
          <w:rFonts w:eastAsia="Times New Roman"/>
          <w:lang w:eastAsia="lt-LT"/>
        </w:rPr>
      </w:pPr>
      <w:r w:rsidRPr="00CE37D0">
        <w:rPr>
          <w:rFonts w:eastAsia="Times New Roman"/>
          <w:lang w:eastAsia="lt-LT"/>
        </w:rPr>
        <w:t xml:space="preserve"> </w:t>
      </w:r>
      <w:r w:rsidR="00357C64" w:rsidRPr="00CE37D0">
        <w:rPr>
          <w:rFonts w:eastAsia="Times New Roman"/>
          <w:lang w:eastAsia="lt-LT"/>
        </w:rPr>
        <w:t xml:space="preserve">Siekiant baudžiamojo proceso </w:t>
      </w:r>
      <w:r w:rsidR="00357C64">
        <w:rPr>
          <w:rFonts w:eastAsia="Times New Roman"/>
          <w:lang w:eastAsia="lt-LT"/>
        </w:rPr>
        <w:t xml:space="preserve">tikslų bei užtikrinti asmens teisių apsaugą, </w:t>
      </w:r>
      <w:r w:rsidR="00357C64" w:rsidRPr="00CE37D0">
        <w:rPr>
          <w:rFonts w:eastAsia="Times New Roman"/>
          <w:lang w:eastAsia="lt-LT"/>
        </w:rPr>
        <w:t>daugelyje valstybių</w:t>
      </w:r>
      <w:r w:rsidR="00357C64">
        <w:rPr>
          <w:rFonts w:eastAsia="Times New Roman"/>
          <w:lang w:eastAsia="lt-LT"/>
        </w:rPr>
        <w:t xml:space="preserve"> pasitelkiama</w:t>
      </w:r>
      <w:r w:rsidR="00357C64" w:rsidRPr="00CE37D0">
        <w:rPr>
          <w:rFonts w:eastAsia="Times New Roman"/>
          <w:lang w:eastAsia="lt-LT"/>
        </w:rPr>
        <w:t xml:space="preserve"> </w:t>
      </w:r>
      <w:r w:rsidR="00357C64">
        <w:rPr>
          <w:rFonts w:eastAsia="Times New Roman"/>
          <w:lang w:eastAsia="lt-LT"/>
        </w:rPr>
        <w:t>proceso lankstumo idėja, t.y.</w:t>
      </w:r>
      <w:r w:rsidR="00357C64" w:rsidRPr="00CE37D0">
        <w:rPr>
          <w:rFonts w:eastAsia="Times New Roman"/>
          <w:lang w:eastAsia="lt-LT"/>
        </w:rPr>
        <w:t>,</w:t>
      </w:r>
      <w:r w:rsidR="00357C64">
        <w:rPr>
          <w:rFonts w:eastAsia="Times New Roman"/>
          <w:lang w:eastAsia="lt-LT"/>
        </w:rPr>
        <w:t xml:space="preserve"> </w:t>
      </w:r>
      <w:r w:rsidR="00357C64" w:rsidRPr="00CE37D0">
        <w:rPr>
          <w:rFonts w:eastAsia="Times New Roman"/>
          <w:lang w:eastAsia="lt-LT"/>
        </w:rPr>
        <w:t xml:space="preserve">baudžiamasis procesas diferencijuojamas skirtingais pagrindais, baudžiamojo proceso įstatymais įtvirtinant bendrąją proceso formą ir specifines proceso formas atskirų kategorijų byloms. Privatus kaltinimas yra seniausia žmogaus teisių ir laisvių gynimo forma, tačiau </w:t>
      </w:r>
      <w:r w:rsidR="00357C64">
        <w:rPr>
          <w:rFonts w:eastAsia="Times New Roman"/>
          <w:lang w:eastAsia="lt-LT"/>
        </w:rPr>
        <w:t>laikui</w:t>
      </w:r>
      <w:r w:rsidR="00357C64" w:rsidRPr="00CE37D0">
        <w:rPr>
          <w:rFonts w:eastAsia="Times New Roman"/>
          <w:lang w:eastAsia="lt-LT"/>
        </w:rPr>
        <w:t xml:space="preserve"> bėg</w:t>
      </w:r>
      <w:r w:rsidR="00357C64">
        <w:rPr>
          <w:rFonts w:eastAsia="Times New Roman"/>
          <w:lang w:eastAsia="lt-LT"/>
        </w:rPr>
        <w:t>ant</w:t>
      </w:r>
      <w:r w:rsidR="00357C64" w:rsidRPr="00CE37D0">
        <w:rPr>
          <w:rFonts w:eastAsia="Times New Roman"/>
          <w:lang w:eastAsia="lt-LT"/>
        </w:rPr>
        <w:t xml:space="preserve"> nepraradusi aktualumo ir egzistuojanti daugel</w:t>
      </w:r>
      <w:r w:rsidR="00357C64">
        <w:rPr>
          <w:rFonts w:eastAsia="Times New Roman"/>
          <w:lang w:eastAsia="lt-LT"/>
        </w:rPr>
        <w:t>io</w:t>
      </w:r>
      <w:r w:rsidR="00357C64" w:rsidRPr="00CE37D0">
        <w:rPr>
          <w:rFonts w:eastAsia="Times New Roman"/>
          <w:lang w:eastAsia="lt-LT"/>
        </w:rPr>
        <w:t xml:space="preserve"> teisinių sistemų pozityviojoje teisėje kaip specifinė proceso forma. Privataus kaltinimo procesinė forma sietina su privataus intereso dominante </w:t>
      </w:r>
      <w:r w:rsidR="00357C64">
        <w:rPr>
          <w:rFonts w:eastAsia="Times New Roman"/>
          <w:lang w:eastAsia="lt-LT"/>
        </w:rPr>
        <w:t xml:space="preserve">konkrečiame </w:t>
      </w:r>
      <w:r w:rsidR="00357C64" w:rsidRPr="00CE37D0">
        <w:rPr>
          <w:rFonts w:eastAsia="Times New Roman"/>
          <w:lang w:eastAsia="lt-LT"/>
        </w:rPr>
        <w:t xml:space="preserve">baudžiamajame procese, todėl ši idėja pasirinkta tyrimo atskaitos tašku. </w:t>
      </w:r>
    </w:p>
    <w:p w:rsidR="00357C64" w:rsidRPr="00CE37D0" w:rsidRDefault="00357C64" w:rsidP="00357C64">
      <w:pPr>
        <w:spacing w:line="360" w:lineRule="auto"/>
        <w:ind w:firstLine="900"/>
        <w:jc w:val="both"/>
        <w:rPr>
          <w:rFonts w:eastAsia="Times New Roman"/>
          <w:lang w:eastAsia="lt-LT"/>
        </w:rPr>
      </w:pPr>
      <w:r w:rsidRPr="00CE37D0">
        <w:rPr>
          <w:rFonts w:eastAsia="Times New Roman"/>
          <w:lang w:eastAsia="lt-LT"/>
        </w:rPr>
        <w:t>Asmen</w:t>
      </w:r>
      <w:r>
        <w:rPr>
          <w:rFonts w:eastAsia="Times New Roman"/>
          <w:lang w:eastAsia="lt-LT"/>
        </w:rPr>
        <w:t>s</w:t>
      </w:r>
      <w:r w:rsidRPr="00CE37D0">
        <w:rPr>
          <w:rFonts w:eastAsia="Times New Roman"/>
          <w:lang w:eastAsia="lt-LT"/>
        </w:rPr>
        <w:t xml:space="preserve"> suvokimas apie teisingumą</w:t>
      </w:r>
      <w:r>
        <w:rPr>
          <w:rFonts w:eastAsia="Times New Roman"/>
          <w:lang w:eastAsia="lt-LT"/>
        </w:rPr>
        <w:t xml:space="preserve"> bei asmens</w:t>
      </w:r>
      <w:r w:rsidRPr="00CE37D0">
        <w:rPr>
          <w:rFonts w:eastAsia="Times New Roman"/>
          <w:lang w:eastAsia="lt-LT"/>
        </w:rPr>
        <w:t xml:space="preserve"> saugumo jausmas yra subjektyvi kategorija. Dažnai valstybiniu požiūriu nereikšmingas teisės pažeidimas konkrečiam asmeniui gali būti labai svarbus, o nepakankamas teisėsaugos institucijų dėmesys</w:t>
      </w:r>
      <w:r>
        <w:rPr>
          <w:rFonts w:eastAsia="Times New Roman"/>
          <w:lang w:eastAsia="lt-LT"/>
        </w:rPr>
        <w:t>,</w:t>
      </w:r>
      <w:r w:rsidRPr="00CE37D0">
        <w:rPr>
          <w:rFonts w:eastAsia="Times New Roman"/>
          <w:lang w:eastAsia="lt-LT"/>
        </w:rPr>
        <w:t xml:space="preserve"> ginant jo teises</w:t>
      </w:r>
      <w:r>
        <w:rPr>
          <w:rFonts w:eastAsia="Times New Roman"/>
          <w:lang w:eastAsia="lt-LT"/>
        </w:rPr>
        <w:t>,</w:t>
      </w:r>
      <w:r w:rsidRPr="00CE37D0">
        <w:rPr>
          <w:rFonts w:eastAsia="Times New Roman"/>
          <w:lang w:eastAsia="lt-LT"/>
        </w:rPr>
        <w:t xml:space="preserve"> yra nusivylimo visa valstybės santvarka ir teisėsaugos sistema p</w:t>
      </w:r>
      <w:r>
        <w:rPr>
          <w:rFonts w:eastAsia="Times New Roman"/>
          <w:lang w:eastAsia="lt-LT"/>
        </w:rPr>
        <w:t>riežastis</w:t>
      </w:r>
      <w:r w:rsidRPr="00CE37D0">
        <w:rPr>
          <w:rFonts w:eastAsia="Times New Roman"/>
          <w:lang w:eastAsia="lt-LT"/>
        </w:rPr>
        <w:t xml:space="preserve">. Privataus kaltinimo bylų procesas yra tas baudžiamojo proceso institutas, kuris </w:t>
      </w:r>
      <w:r>
        <w:rPr>
          <w:rFonts w:eastAsia="Times New Roman"/>
          <w:lang w:eastAsia="lt-LT"/>
        </w:rPr>
        <w:t>leidžia</w:t>
      </w:r>
      <w:r w:rsidRPr="00CE37D0">
        <w:rPr>
          <w:rFonts w:eastAsia="Times New Roman"/>
          <w:lang w:eastAsia="lt-LT"/>
        </w:rPr>
        <w:t xml:space="preserve"> tiesiogiai atsižvelgti į privačius asmenų, nukentėjusių nuo nusikalstamų veikų, interesus baudžiamajame procese. Šiame kontekste privataus kaltinimo bylų procesas turi teisinį potencialą, kuris nėra pilnai išnaudojamas.</w:t>
      </w:r>
    </w:p>
    <w:p w:rsidR="00357C64" w:rsidRPr="00CE37D0" w:rsidRDefault="00357C64" w:rsidP="00357C64">
      <w:pPr>
        <w:spacing w:line="360" w:lineRule="auto"/>
        <w:ind w:firstLine="900"/>
        <w:jc w:val="both"/>
        <w:rPr>
          <w:rFonts w:eastAsia="Times New Roman"/>
          <w:lang w:eastAsia="lt-LT"/>
        </w:rPr>
      </w:pPr>
      <w:r w:rsidRPr="00CE37D0">
        <w:rPr>
          <w:rFonts w:eastAsia="Times New Roman"/>
          <w:lang w:eastAsia="lt-LT"/>
        </w:rPr>
        <w:lastRenderedPageBreak/>
        <w:t xml:space="preserve">Mokslinio privataus kaltinimo </w:t>
      </w:r>
      <w:r>
        <w:rPr>
          <w:rFonts w:eastAsia="Times New Roman"/>
          <w:lang w:eastAsia="lt-LT"/>
        </w:rPr>
        <w:t xml:space="preserve">instituto </w:t>
      </w:r>
      <w:r w:rsidRPr="00CE37D0">
        <w:rPr>
          <w:rFonts w:eastAsia="Times New Roman"/>
          <w:lang w:eastAsia="lt-LT"/>
        </w:rPr>
        <w:t>tyrimo aktualumą lemia poreikis atpažinti atvejus, kai prioritetas baudžiamajame procese turi būti teikiamas privačiam interesui ir privataus kaltinimo procesinei formai. Privataus kaltinimo procesinės formos mokslinės analizės poreikis iškyla siekiant atsakyti į klausimą,</w:t>
      </w:r>
      <w:r>
        <w:rPr>
          <w:rFonts w:eastAsia="Times New Roman"/>
          <w:lang w:eastAsia="lt-LT"/>
        </w:rPr>
        <w:t xml:space="preserve"> </w:t>
      </w:r>
      <w:r w:rsidRPr="00CE37D0">
        <w:rPr>
          <w:rFonts w:eastAsia="Times New Roman"/>
          <w:lang w:eastAsia="lt-LT"/>
        </w:rPr>
        <w:t xml:space="preserve">koks privačios iniciatyvos ir valstybinio imperatyvo santykis turi būti įtvirtintas reglamentuojant privataus kaltinimo bylų procesą, kad būtų optimaliai </w:t>
      </w:r>
      <w:r>
        <w:rPr>
          <w:rFonts w:eastAsia="Times New Roman"/>
          <w:lang w:eastAsia="lt-LT"/>
        </w:rPr>
        <w:t>atsižvelgta</w:t>
      </w:r>
      <w:r w:rsidRPr="00CE37D0">
        <w:rPr>
          <w:rFonts w:eastAsia="Times New Roman"/>
          <w:lang w:eastAsia="lt-LT"/>
        </w:rPr>
        <w:t xml:space="preserve"> tiek </w:t>
      </w:r>
      <w:r>
        <w:rPr>
          <w:rFonts w:eastAsia="Times New Roman"/>
          <w:lang w:eastAsia="lt-LT"/>
        </w:rPr>
        <w:t xml:space="preserve">į </w:t>
      </w:r>
      <w:r w:rsidRPr="00CE37D0">
        <w:rPr>
          <w:rFonts w:eastAsia="Times New Roman"/>
          <w:lang w:eastAsia="lt-LT"/>
        </w:rPr>
        <w:t>privat</w:t>
      </w:r>
      <w:r>
        <w:rPr>
          <w:rFonts w:eastAsia="Times New Roman"/>
          <w:lang w:eastAsia="lt-LT"/>
        </w:rPr>
        <w:t>ų</w:t>
      </w:r>
      <w:r w:rsidRPr="00CE37D0">
        <w:rPr>
          <w:rFonts w:eastAsia="Times New Roman"/>
          <w:lang w:eastAsia="lt-LT"/>
        </w:rPr>
        <w:t>, tiek</w:t>
      </w:r>
      <w:r>
        <w:rPr>
          <w:rFonts w:eastAsia="Times New Roman"/>
          <w:lang w:eastAsia="lt-LT"/>
        </w:rPr>
        <w:t xml:space="preserve"> į</w:t>
      </w:r>
      <w:r w:rsidRPr="00CE37D0">
        <w:rPr>
          <w:rFonts w:eastAsia="Times New Roman"/>
          <w:lang w:eastAsia="lt-LT"/>
        </w:rPr>
        <w:t xml:space="preserve"> vieš</w:t>
      </w:r>
      <w:r>
        <w:rPr>
          <w:rFonts w:eastAsia="Times New Roman"/>
          <w:lang w:eastAsia="lt-LT"/>
        </w:rPr>
        <w:t>ąjį</w:t>
      </w:r>
      <w:r w:rsidRPr="00CE37D0">
        <w:rPr>
          <w:rFonts w:eastAsia="Times New Roman"/>
          <w:lang w:eastAsia="lt-LT"/>
        </w:rPr>
        <w:t xml:space="preserve"> interes</w:t>
      </w:r>
      <w:r>
        <w:rPr>
          <w:rFonts w:eastAsia="Times New Roman"/>
          <w:lang w:eastAsia="lt-LT"/>
        </w:rPr>
        <w:t>ą</w:t>
      </w:r>
      <w:r w:rsidRPr="00CE37D0">
        <w:rPr>
          <w:rFonts w:eastAsia="Times New Roman"/>
          <w:lang w:eastAsia="lt-LT"/>
        </w:rPr>
        <w:t xml:space="preserve">. Siekiant užtikrinti baudžiamojo proceso paskirtį, </w:t>
      </w:r>
      <w:r>
        <w:rPr>
          <w:rFonts w:eastAsia="Times New Roman"/>
          <w:lang w:eastAsia="lt-LT"/>
        </w:rPr>
        <w:t>tamp</w:t>
      </w:r>
      <w:r w:rsidRPr="00CE37D0">
        <w:rPr>
          <w:rFonts w:eastAsia="Times New Roman"/>
          <w:lang w:eastAsia="lt-LT"/>
        </w:rPr>
        <w:t>a būtina</w:t>
      </w:r>
      <w:r>
        <w:rPr>
          <w:rFonts w:eastAsia="Times New Roman"/>
          <w:lang w:eastAsia="lt-LT"/>
        </w:rPr>
        <w:t xml:space="preserve"> </w:t>
      </w:r>
      <w:r w:rsidRPr="00CE37D0">
        <w:rPr>
          <w:rFonts w:eastAsia="Times New Roman"/>
          <w:lang w:eastAsia="lt-LT"/>
        </w:rPr>
        <w:t>modeliuoti teisinį reg</w:t>
      </w:r>
      <w:r>
        <w:rPr>
          <w:rFonts w:eastAsia="Times New Roman"/>
          <w:lang w:eastAsia="lt-LT"/>
        </w:rPr>
        <w:t>ulia</w:t>
      </w:r>
      <w:r w:rsidRPr="00CE37D0">
        <w:rPr>
          <w:rFonts w:eastAsia="Times New Roman"/>
          <w:lang w:eastAsia="lt-LT"/>
        </w:rPr>
        <w:t xml:space="preserve">vimą taip, kad būtų realiai </w:t>
      </w:r>
      <w:r>
        <w:rPr>
          <w:rFonts w:eastAsia="Times New Roman"/>
          <w:lang w:eastAsia="lt-LT"/>
        </w:rPr>
        <w:t xml:space="preserve">garantuotos </w:t>
      </w:r>
      <w:r w:rsidRPr="00CE37D0">
        <w:rPr>
          <w:rFonts w:eastAsia="Times New Roman"/>
          <w:lang w:eastAsia="lt-LT"/>
        </w:rPr>
        <w:t>žmog</w:t>
      </w:r>
      <w:r>
        <w:rPr>
          <w:rFonts w:eastAsia="Times New Roman"/>
          <w:lang w:eastAsia="lt-LT"/>
        </w:rPr>
        <w:t>aus teisės ir teisėti interesai</w:t>
      </w:r>
      <w:r w:rsidRPr="00CE37D0">
        <w:rPr>
          <w:rFonts w:eastAsia="Times New Roman"/>
          <w:lang w:eastAsia="lt-LT"/>
        </w:rPr>
        <w:t xml:space="preserve">. Todėl šis tyrimas aktualus ir reikalingas plėtojant žmogaus teisių ir laisvių </w:t>
      </w:r>
      <w:r>
        <w:rPr>
          <w:rFonts w:eastAsia="Times New Roman"/>
          <w:lang w:eastAsia="lt-LT"/>
        </w:rPr>
        <w:t xml:space="preserve">ginties </w:t>
      </w:r>
      <w:r w:rsidRPr="00CE37D0">
        <w:rPr>
          <w:rFonts w:eastAsia="Times New Roman"/>
          <w:lang w:eastAsia="lt-LT"/>
        </w:rPr>
        <w:t xml:space="preserve">koncepciją baudžiamajame procese. </w:t>
      </w:r>
    </w:p>
    <w:p w:rsidR="00357C64" w:rsidRPr="00CE37D0" w:rsidRDefault="00357C64" w:rsidP="00357C64">
      <w:pPr>
        <w:spacing w:line="360" w:lineRule="auto"/>
        <w:ind w:firstLine="900"/>
        <w:jc w:val="both"/>
        <w:rPr>
          <w:rFonts w:eastAsia="Times New Roman"/>
          <w:lang w:eastAsia="lt-LT"/>
        </w:rPr>
      </w:pPr>
      <w:r w:rsidRPr="00CE37D0">
        <w:rPr>
          <w:rFonts w:eastAsia="Times New Roman"/>
          <w:lang w:eastAsia="lt-LT"/>
        </w:rPr>
        <w:t xml:space="preserve">Privataus kaltinimo instituto </w:t>
      </w:r>
      <w:r>
        <w:rPr>
          <w:rFonts w:eastAsia="Times New Roman"/>
          <w:lang w:eastAsia="lt-LT"/>
        </w:rPr>
        <w:t xml:space="preserve">mokslinės analizės </w:t>
      </w:r>
      <w:r w:rsidRPr="00CE37D0">
        <w:rPr>
          <w:rFonts w:eastAsia="Times New Roman"/>
          <w:lang w:eastAsia="lt-LT"/>
        </w:rPr>
        <w:t xml:space="preserve">svarbą atskleidžia ir </w:t>
      </w:r>
      <w:r>
        <w:rPr>
          <w:rFonts w:eastAsia="Times New Roman"/>
          <w:lang w:eastAsia="lt-LT"/>
        </w:rPr>
        <w:t xml:space="preserve">Lietuvos Respublikos </w:t>
      </w:r>
      <w:r w:rsidRPr="00CE37D0">
        <w:rPr>
          <w:rFonts w:eastAsia="Times New Roman"/>
          <w:lang w:eastAsia="lt-LT"/>
        </w:rPr>
        <w:t>Konstitucinio Teismo jurisprudencija</w:t>
      </w:r>
      <w:r>
        <w:rPr>
          <w:rFonts w:eastAsia="Times New Roman"/>
          <w:lang w:eastAsia="lt-LT"/>
        </w:rPr>
        <w:t xml:space="preserve"> bei bendrosios kompetencijos </w:t>
      </w:r>
      <w:r w:rsidRPr="00CE37D0">
        <w:rPr>
          <w:rFonts w:eastAsia="Times New Roman"/>
          <w:lang w:eastAsia="lt-LT"/>
        </w:rPr>
        <w:t xml:space="preserve">teismų iniciatyva tikrinti šį procesą reglamentuojančių normų konstitucingumą. </w:t>
      </w:r>
      <w:r>
        <w:rPr>
          <w:rFonts w:eastAsia="Times New Roman"/>
          <w:lang w:eastAsia="lt-LT"/>
        </w:rPr>
        <w:t>Be to, vis daugiau dėmesio skiriama užtikrinti nukentėjusių nuo nusikalstamų veikų asmenų teises ir stiprėja poreikis</w:t>
      </w:r>
      <w:r w:rsidRPr="00CE37D0">
        <w:rPr>
          <w:rFonts w:eastAsia="Times New Roman"/>
          <w:lang w:eastAsia="lt-LT"/>
        </w:rPr>
        <w:t xml:space="preserve"> analizuoti nukentėjusiojo teisinę padėtį bei galimybes ginti savo interesus privataus kaltinimo procese. </w:t>
      </w:r>
    </w:p>
    <w:p w:rsidR="00357C64" w:rsidRPr="00CE37D0" w:rsidRDefault="00357C64" w:rsidP="00357C64">
      <w:pPr>
        <w:spacing w:line="360" w:lineRule="auto"/>
        <w:ind w:firstLine="900"/>
        <w:jc w:val="both"/>
        <w:rPr>
          <w:rFonts w:eastAsia="Times New Roman"/>
          <w:lang w:eastAsia="lt-LT"/>
        </w:rPr>
      </w:pPr>
      <w:r>
        <w:rPr>
          <w:rFonts w:eastAsia="Times New Roman"/>
          <w:lang w:eastAsia="lt-LT"/>
        </w:rPr>
        <w:t>Stokojant</w:t>
      </w:r>
      <w:r w:rsidRPr="00CE37D0">
        <w:rPr>
          <w:rFonts w:eastAsia="Times New Roman"/>
          <w:lang w:eastAsia="lt-LT"/>
        </w:rPr>
        <w:t xml:space="preserve"> privataus kaltin</w:t>
      </w:r>
      <w:r>
        <w:rPr>
          <w:rFonts w:eastAsia="Times New Roman"/>
          <w:lang w:eastAsia="lt-LT"/>
        </w:rPr>
        <w:t>imo instituto mokslinių tyrimų</w:t>
      </w:r>
      <w:r w:rsidRPr="00CE37D0">
        <w:rPr>
          <w:rFonts w:eastAsia="Times New Roman"/>
          <w:lang w:eastAsia="lt-LT"/>
        </w:rPr>
        <w:t>, kyla daug neatsakytų klausimų dėl ši</w:t>
      </w:r>
      <w:r>
        <w:rPr>
          <w:rFonts w:eastAsia="Times New Roman"/>
          <w:lang w:eastAsia="lt-LT"/>
        </w:rPr>
        <w:t>o instituto teisinės prigimties,</w:t>
      </w:r>
      <w:r w:rsidRPr="00CE37D0">
        <w:rPr>
          <w:rFonts w:eastAsia="Times New Roman"/>
          <w:lang w:eastAsia="lt-LT"/>
        </w:rPr>
        <w:t xml:space="preserve"> paskirties</w:t>
      </w:r>
      <w:r>
        <w:rPr>
          <w:rFonts w:eastAsia="Times New Roman"/>
          <w:lang w:eastAsia="lt-LT"/>
        </w:rPr>
        <w:t xml:space="preserve"> bei </w:t>
      </w:r>
      <w:r w:rsidRPr="00CE37D0">
        <w:rPr>
          <w:rFonts w:eastAsia="Times New Roman"/>
          <w:lang w:eastAsia="lt-LT"/>
        </w:rPr>
        <w:t>santykių, kurie turėtų būti priskiriami privataus kaltinimo bylų proceso teisinio reguliavimo sferai</w:t>
      </w:r>
      <w:r>
        <w:rPr>
          <w:rFonts w:eastAsia="Times New Roman"/>
          <w:lang w:eastAsia="lt-LT"/>
        </w:rPr>
        <w:t>,</w:t>
      </w:r>
      <w:r w:rsidRPr="008A445C">
        <w:rPr>
          <w:rFonts w:eastAsia="Times New Roman"/>
          <w:lang w:eastAsia="lt-LT"/>
        </w:rPr>
        <w:t xml:space="preserve"> </w:t>
      </w:r>
      <w:r>
        <w:rPr>
          <w:rFonts w:eastAsia="Times New Roman"/>
          <w:lang w:eastAsia="lt-LT"/>
        </w:rPr>
        <w:t>neapibrėžtumo</w:t>
      </w:r>
      <w:r w:rsidRPr="00CE37D0">
        <w:rPr>
          <w:rFonts w:eastAsia="Times New Roman"/>
          <w:lang w:eastAsia="lt-LT"/>
        </w:rPr>
        <w:t xml:space="preserve">. Todėl kyla gilesnės, kompleksinės privataus kaltinimo instituto teorinės analizės bei ja pagrįstų </w:t>
      </w:r>
      <w:r>
        <w:rPr>
          <w:rFonts w:eastAsia="Times New Roman"/>
          <w:lang w:eastAsia="lt-LT"/>
        </w:rPr>
        <w:t xml:space="preserve">sprendimų, susijusių su </w:t>
      </w:r>
      <w:r w:rsidRPr="00CE37D0">
        <w:rPr>
          <w:rFonts w:eastAsia="Times New Roman"/>
          <w:lang w:eastAsia="lt-LT"/>
        </w:rPr>
        <w:t>problemin</w:t>
      </w:r>
      <w:r>
        <w:rPr>
          <w:rFonts w:eastAsia="Times New Roman"/>
          <w:lang w:eastAsia="lt-LT"/>
        </w:rPr>
        <w:t>ėmis</w:t>
      </w:r>
      <w:r w:rsidRPr="00CE37D0">
        <w:rPr>
          <w:rFonts w:eastAsia="Times New Roman"/>
          <w:lang w:eastAsia="lt-LT"/>
        </w:rPr>
        <w:t xml:space="preserve"> sri</w:t>
      </w:r>
      <w:r>
        <w:rPr>
          <w:rFonts w:eastAsia="Times New Roman"/>
          <w:lang w:eastAsia="lt-LT"/>
        </w:rPr>
        <w:t>timis,</w:t>
      </w:r>
      <w:r w:rsidRPr="00CE37D0">
        <w:rPr>
          <w:rFonts w:eastAsia="Times New Roman"/>
          <w:lang w:eastAsia="lt-LT"/>
        </w:rPr>
        <w:t xml:space="preserve"> poreikis. </w:t>
      </w:r>
    </w:p>
    <w:p w:rsidR="00357C64" w:rsidRPr="0045171E" w:rsidRDefault="00357C64" w:rsidP="00357C64">
      <w:pPr>
        <w:spacing w:line="360" w:lineRule="auto"/>
        <w:ind w:firstLine="900"/>
        <w:jc w:val="both"/>
        <w:rPr>
          <w:rFonts w:eastAsia="Times New Roman"/>
          <w:bCs/>
          <w:iCs/>
          <w:lang w:eastAsia="lt-LT"/>
        </w:rPr>
      </w:pPr>
      <w:r w:rsidRPr="0045171E">
        <w:rPr>
          <w:rFonts w:eastAsia="Times New Roman"/>
          <w:b/>
          <w:bCs/>
          <w:iCs/>
          <w:lang w:eastAsia="lt-LT"/>
        </w:rPr>
        <w:t>Mokslinio tyrimo problema</w:t>
      </w:r>
    </w:p>
    <w:p w:rsidR="00357C64" w:rsidRPr="00CE37D0" w:rsidRDefault="00357C64" w:rsidP="00357C64">
      <w:pPr>
        <w:spacing w:line="360" w:lineRule="auto"/>
        <w:ind w:firstLine="900"/>
        <w:jc w:val="both"/>
        <w:rPr>
          <w:rFonts w:eastAsia="Times New Roman"/>
          <w:lang w:eastAsia="lt-LT"/>
        </w:rPr>
      </w:pPr>
      <w:r>
        <w:rPr>
          <w:rFonts w:eastAsia="Times New Roman"/>
          <w:lang w:eastAsia="lt-LT"/>
        </w:rPr>
        <w:t>Kiek</w:t>
      </w:r>
      <w:r w:rsidRPr="00CE37D0">
        <w:rPr>
          <w:rFonts w:eastAsia="Times New Roman"/>
          <w:lang w:eastAsia="lt-LT"/>
        </w:rPr>
        <w:t xml:space="preserve"> privataus kaltinimo bylų proceso teisinis reg</w:t>
      </w:r>
      <w:r>
        <w:rPr>
          <w:rFonts w:eastAsia="Times New Roman"/>
          <w:lang w:eastAsia="lt-LT"/>
        </w:rPr>
        <w:t>u</w:t>
      </w:r>
      <w:r w:rsidRPr="00CE37D0">
        <w:rPr>
          <w:rFonts w:eastAsia="Times New Roman"/>
          <w:lang w:eastAsia="lt-LT"/>
        </w:rPr>
        <w:t>l</w:t>
      </w:r>
      <w:r>
        <w:rPr>
          <w:rFonts w:eastAsia="Times New Roman"/>
          <w:lang w:eastAsia="lt-LT"/>
        </w:rPr>
        <w:t>i</w:t>
      </w:r>
      <w:r w:rsidRPr="00CE37D0">
        <w:rPr>
          <w:rFonts w:eastAsia="Times New Roman"/>
          <w:lang w:eastAsia="lt-LT"/>
        </w:rPr>
        <w:t xml:space="preserve">avimas </w:t>
      </w:r>
      <w:r>
        <w:rPr>
          <w:rFonts w:eastAsia="Times New Roman"/>
          <w:lang w:eastAsia="lt-LT"/>
        </w:rPr>
        <w:t>Lietuvos Respublikos baudžiamojo proceso kodekse</w:t>
      </w:r>
      <w:r w:rsidRPr="00CE37D0">
        <w:rPr>
          <w:rFonts w:eastAsia="Times New Roman"/>
          <w:lang w:eastAsia="lt-LT"/>
        </w:rPr>
        <w:t xml:space="preserve"> yra optimalus? Kokia apimtimi privataus kaltinimo bylų procesas užtikrina šio proceso dalyvių (</w:t>
      </w:r>
      <w:r>
        <w:rPr>
          <w:rFonts w:eastAsia="Times New Roman"/>
          <w:lang w:eastAsia="lt-LT"/>
        </w:rPr>
        <w:t xml:space="preserve">pirmiausia, nukentėjusiojo, </w:t>
      </w:r>
      <w:r w:rsidRPr="004F25CB">
        <w:rPr>
          <w:rFonts w:eastAsia="Times New Roman"/>
          <w:i/>
          <w:lang w:eastAsia="lt-LT"/>
        </w:rPr>
        <w:t>inter alia</w:t>
      </w:r>
      <w:r>
        <w:rPr>
          <w:rFonts w:eastAsia="Times New Roman"/>
          <w:lang w:eastAsia="lt-LT"/>
        </w:rPr>
        <w:t xml:space="preserve"> ir kaip privataus kaltintojo</w:t>
      </w:r>
      <w:r w:rsidRPr="00CE37D0">
        <w:rPr>
          <w:rFonts w:eastAsia="Times New Roman"/>
          <w:lang w:eastAsia="lt-LT"/>
        </w:rPr>
        <w:t>) teises ir teisėtus interesus? Kokios privataus kaltinimo instituto teisinio reg</w:t>
      </w:r>
      <w:r>
        <w:rPr>
          <w:rFonts w:eastAsia="Times New Roman"/>
          <w:lang w:eastAsia="lt-LT"/>
        </w:rPr>
        <w:t>u</w:t>
      </w:r>
      <w:r w:rsidRPr="00CE37D0">
        <w:rPr>
          <w:rFonts w:eastAsia="Times New Roman"/>
          <w:lang w:eastAsia="lt-LT"/>
        </w:rPr>
        <w:t>l</w:t>
      </w:r>
      <w:r>
        <w:rPr>
          <w:rFonts w:eastAsia="Times New Roman"/>
          <w:lang w:eastAsia="lt-LT"/>
        </w:rPr>
        <w:t>i</w:t>
      </w:r>
      <w:r w:rsidRPr="00CE37D0">
        <w:rPr>
          <w:rFonts w:eastAsia="Times New Roman"/>
          <w:lang w:eastAsia="lt-LT"/>
        </w:rPr>
        <w:t xml:space="preserve">avimo korekcijos leistų geriau užtikrinti proceso dalyvių teises ir teisėtus interesus? </w:t>
      </w:r>
    </w:p>
    <w:p w:rsidR="00357C64" w:rsidRPr="000D7C58" w:rsidRDefault="00357C64" w:rsidP="00357C64">
      <w:pPr>
        <w:pStyle w:val="Antrat2"/>
        <w:spacing w:before="0" w:line="360" w:lineRule="auto"/>
        <w:ind w:firstLine="900"/>
        <w:jc w:val="both"/>
        <w:rPr>
          <w:rFonts w:ascii="Times New Roman" w:hAnsi="Times New Roman"/>
          <w:b w:val="0"/>
          <w:i w:val="0"/>
          <w:sz w:val="24"/>
          <w:szCs w:val="24"/>
        </w:rPr>
      </w:pPr>
      <w:bookmarkStart w:id="6" w:name="_Toc365498815"/>
      <w:bookmarkStart w:id="7" w:name="_Toc370139879"/>
      <w:bookmarkStart w:id="8" w:name="_Toc391459866"/>
      <w:bookmarkStart w:id="9" w:name="_Toc400321665"/>
      <w:r w:rsidRPr="000D7C58">
        <w:rPr>
          <w:rFonts w:ascii="Times New Roman" w:hAnsi="Times New Roman"/>
          <w:sz w:val="24"/>
          <w:szCs w:val="24"/>
        </w:rPr>
        <w:t>Darbo mokslinis naujumas</w:t>
      </w:r>
      <w:bookmarkEnd w:id="6"/>
      <w:bookmarkEnd w:id="7"/>
      <w:bookmarkEnd w:id="8"/>
      <w:bookmarkEnd w:id="9"/>
    </w:p>
    <w:p w:rsidR="00357C64" w:rsidRPr="00CE37D0" w:rsidRDefault="00357C64" w:rsidP="00357C64">
      <w:pPr>
        <w:spacing w:line="360" w:lineRule="auto"/>
        <w:ind w:firstLine="900"/>
        <w:jc w:val="both"/>
        <w:rPr>
          <w:rFonts w:eastAsia="Times New Roman"/>
          <w:lang w:eastAsia="lt-LT"/>
        </w:rPr>
      </w:pPr>
      <w:r w:rsidRPr="00CE37D0">
        <w:rPr>
          <w:rFonts w:eastAsia="Times New Roman"/>
          <w:lang w:eastAsia="lt-LT"/>
        </w:rPr>
        <w:t xml:space="preserve">Privataus kaltinimo bylų procesas nėra nauja teisinė </w:t>
      </w:r>
      <w:r>
        <w:rPr>
          <w:rFonts w:eastAsia="Times New Roman"/>
          <w:lang w:eastAsia="lt-LT"/>
        </w:rPr>
        <w:t>katego</w:t>
      </w:r>
      <w:r w:rsidRPr="00CE37D0">
        <w:rPr>
          <w:rFonts w:eastAsia="Times New Roman"/>
          <w:lang w:eastAsia="lt-LT"/>
        </w:rPr>
        <w:t xml:space="preserve">rija Lietuvoje, tačiau </w:t>
      </w:r>
      <w:r>
        <w:rPr>
          <w:rFonts w:eastAsia="Times New Roman"/>
          <w:lang w:eastAsia="lt-LT"/>
        </w:rPr>
        <w:t>mokslin</w:t>
      </w:r>
      <w:r w:rsidRPr="00CE37D0">
        <w:rPr>
          <w:rFonts w:eastAsia="Times New Roman"/>
          <w:lang w:eastAsia="lt-LT"/>
        </w:rPr>
        <w:t>ėje jurisprudencijoje šis institutas iki šiol labai mažai tyrinėtas. Šio disertacinio tyrimo atskaitos taškas – privataus intereso kategorija – leido suformuluoti dispozityvumo veikimo baudžiamajame procese teoriją, kuri Lietuvos baudžiamojo proceso moksle yra visiškai nauja ir iki šiol netyrinėta. Dispozityvum</w:t>
      </w:r>
      <w:r>
        <w:rPr>
          <w:rFonts w:eastAsia="Times New Roman"/>
          <w:lang w:eastAsia="lt-LT"/>
        </w:rPr>
        <w:t>o</w:t>
      </w:r>
      <w:r w:rsidRPr="00CE37D0">
        <w:rPr>
          <w:rFonts w:eastAsia="Times New Roman"/>
          <w:lang w:eastAsia="lt-LT"/>
        </w:rPr>
        <w:t xml:space="preserve"> kaip baudžiamojo proceso princip</w:t>
      </w:r>
      <w:r>
        <w:rPr>
          <w:rFonts w:eastAsia="Times New Roman"/>
          <w:lang w:eastAsia="lt-LT"/>
        </w:rPr>
        <w:t>o</w:t>
      </w:r>
      <w:r w:rsidRPr="00CE37D0">
        <w:rPr>
          <w:rFonts w:eastAsia="Times New Roman"/>
          <w:lang w:eastAsia="lt-LT"/>
        </w:rPr>
        <w:t xml:space="preserve"> bei teisinio reguliavimo mechanizm</w:t>
      </w:r>
      <w:r>
        <w:rPr>
          <w:rFonts w:eastAsia="Times New Roman"/>
          <w:lang w:eastAsia="lt-LT"/>
        </w:rPr>
        <w:t>o</w:t>
      </w:r>
      <w:r w:rsidRPr="00CE37D0">
        <w:rPr>
          <w:rFonts w:eastAsia="Times New Roman"/>
          <w:lang w:eastAsia="lt-LT"/>
        </w:rPr>
        <w:t xml:space="preserve"> privataus kaltinimo bylų procese </w:t>
      </w:r>
      <w:r>
        <w:rPr>
          <w:rFonts w:eastAsia="Times New Roman"/>
          <w:lang w:eastAsia="lt-LT"/>
        </w:rPr>
        <w:t xml:space="preserve">idėjos </w:t>
      </w:r>
      <w:r w:rsidRPr="00CE37D0">
        <w:rPr>
          <w:rFonts w:eastAsia="Times New Roman"/>
          <w:lang w:eastAsia="lt-LT"/>
        </w:rPr>
        <w:t xml:space="preserve">yra naujos, </w:t>
      </w:r>
      <w:r>
        <w:rPr>
          <w:rFonts w:eastAsia="Times New Roman"/>
          <w:lang w:eastAsia="lt-LT"/>
        </w:rPr>
        <w:t>aktualios</w:t>
      </w:r>
      <w:r w:rsidRPr="00CE37D0">
        <w:rPr>
          <w:rFonts w:eastAsia="Times New Roman"/>
          <w:lang w:eastAsia="lt-LT"/>
        </w:rPr>
        <w:t xml:space="preserve"> ir </w:t>
      </w:r>
      <w:r>
        <w:rPr>
          <w:rFonts w:eastAsia="Times New Roman"/>
          <w:lang w:eastAsia="lt-LT"/>
        </w:rPr>
        <w:t xml:space="preserve">turi būti </w:t>
      </w:r>
      <w:r w:rsidRPr="00CE37D0">
        <w:rPr>
          <w:rFonts w:eastAsia="Times New Roman"/>
          <w:lang w:eastAsia="lt-LT"/>
        </w:rPr>
        <w:t>analiz</w:t>
      </w:r>
      <w:r>
        <w:rPr>
          <w:rFonts w:eastAsia="Times New Roman"/>
          <w:lang w:eastAsia="lt-LT"/>
        </w:rPr>
        <w:t>uojamo</w:t>
      </w:r>
      <w:r w:rsidRPr="00CE37D0">
        <w:rPr>
          <w:rFonts w:eastAsia="Times New Roman"/>
          <w:lang w:eastAsia="lt-LT"/>
        </w:rPr>
        <w:t>s</w:t>
      </w:r>
      <w:r w:rsidRPr="00072730">
        <w:rPr>
          <w:rFonts w:eastAsia="Times New Roman"/>
          <w:lang w:eastAsia="lt-LT"/>
        </w:rPr>
        <w:t xml:space="preserve"> </w:t>
      </w:r>
      <w:r w:rsidRPr="00CE37D0">
        <w:rPr>
          <w:rFonts w:eastAsia="Times New Roman"/>
          <w:lang w:eastAsia="lt-LT"/>
        </w:rPr>
        <w:t>atskir</w:t>
      </w:r>
      <w:r>
        <w:rPr>
          <w:rFonts w:eastAsia="Times New Roman"/>
          <w:lang w:eastAsia="lt-LT"/>
        </w:rPr>
        <w:t>ai</w:t>
      </w:r>
      <w:r w:rsidRPr="00CE37D0">
        <w:rPr>
          <w:rFonts w:eastAsia="Times New Roman"/>
          <w:lang w:eastAsia="lt-LT"/>
        </w:rPr>
        <w:t xml:space="preserve">. Lietuvoje nėra </w:t>
      </w:r>
      <w:r>
        <w:rPr>
          <w:rFonts w:eastAsia="Times New Roman"/>
          <w:lang w:eastAsia="lt-LT"/>
        </w:rPr>
        <w:t>atlikta išsamių teisinių studijų p</w:t>
      </w:r>
      <w:r w:rsidRPr="00CE37D0">
        <w:rPr>
          <w:rFonts w:eastAsia="Times New Roman"/>
          <w:lang w:eastAsia="lt-LT"/>
        </w:rPr>
        <w:t xml:space="preserve">rivataus kaltinimo tema, o dispozityvumo </w:t>
      </w:r>
      <w:r w:rsidRPr="00CE37D0">
        <w:rPr>
          <w:rFonts w:eastAsia="Times New Roman"/>
          <w:lang w:eastAsia="lt-LT"/>
        </w:rPr>
        <w:lastRenderedPageBreak/>
        <w:t>samprata baudžiamojo proceso moksle</w:t>
      </w:r>
      <w:r>
        <w:rPr>
          <w:rFonts w:eastAsia="Times New Roman"/>
          <w:lang w:eastAsia="lt-LT"/>
        </w:rPr>
        <w:t xml:space="preserve"> Lietuvoje</w:t>
      </w:r>
      <w:r w:rsidRPr="00CE37D0">
        <w:rPr>
          <w:rFonts w:eastAsia="Times New Roman"/>
          <w:lang w:eastAsia="lt-LT"/>
        </w:rPr>
        <w:t xml:space="preserve"> atskirai iš viso nėra tyrinėta. </w:t>
      </w:r>
      <w:r w:rsidR="00DF62E7">
        <w:rPr>
          <w:rStyle w:val="Puslapioinaosnuoroda"/>
          <w:rFonts w:eastAsia="Times New Roman"/>
          <w:lang w:eastAsia="lt-LT"/>
        </w:rPr>
        <w:footnoteReference w:id="2"/>
      </w:r>
      <w:r w:rsidR="00762AFC">
        <w:rPr>
          <w:rFonts w:eastAsia="Times New Roman"/>
          <w:lang w:eastAsia="lt-LT"/>
        </w:rPr>
        <w:t xml:space="preserve"> </w:t>
      </w:r>
      <w:r w:rsidRPr="00CE37D0">
        <w:rPr>
          <w:rFonts w:eastAsia="Times New Roman"/>
          <w:lang w:eastAsia="lt-LT"/>
        </w:rPr>
        <w:t>Kompleksiškai nėra analizuota ir privataus intereso vieta ir įtaka baudžiamajame procese, o privatus kaltinimas buvo nagrinėtas tik pozityviosios teisės kontekste.</w:t>
      </w:r>
      <w:r w:rsidR="00DF62E7">
        <w:rPr>
          <w:rFonts w:eastAsia="Times New Roman"/>
          <w:lang w:eastAsia="lt-LT"/>
        </w:rPr>
        <w:t xml:space="preserve"> </w:t>
      </w:r>
      <w:r w:rsidR="00DF62E7">
        <w:rPr>
          <w:rStyle w:val="Puslapioinaosnuoroda"/>
          <w:rFonts w:eastAsia="Times New Roman"/>
          <w:lang w:eastAsia="lt-LT"/>
        </w:rPr>
        <w:footnoteReference w:id="3"/>
      </w:r>
      <w:r w:rsidRPr="00CE37D0">
        <w:rPr>
          <w:rFonts w:eastAsia="Times New Roman"/>
          <w:lang w:eastAsia="lt-LT"/>
        </w:rPr>
        <w:t xml:space="preserve"> Todėl nacionalinėje </w:t>
      </w:r>
      <w:r>
        <w:rPr>
          <w:rFonts w:eastAsia="Times New Roman"/>
          <w:lang w:eastAsia="lt-LT"/>
        </w:rPr>
        <w:t>moksl</w:t>
      </w:r>
      <w:r w:rsidRPr="00CE37D0">
        <w:rPr>
          <w:rFonts w:eastAsia="Times New Roman"/>
          <w:lang w:eastAsia="lt-LT"/>
        </w:rPr>
        <w:t>inėje jurisprudencijoje stinga</w:t>
      </w:r>
      <w:r>
        <w:rPr>
          <w:rFonts w:eastAsia="Times New Roman"/>
          <w:lang w:eastAsia="lt-LT"/>
        </w:rPr>
        <w:t xml:space="preserve"> </w:t>
      </w:r>
      <w:r w:rsidRPr="00CE37D0">
        <w:rPr>
          <w:rFonts w:eastAsia="Times New Roman"/>
          <w:lang w:eastAsia="lt-LT"/>
        </w:rPr>
        <w:t>tyrimų, atskleidžiančių privataus kaltinimo instituto reikšmę, teorinius pagrindus</w:t>
      </w:r>
      <w:r>
        <w:rPr>
          <w:rFonts w:eastAsia="Times New Roman"/>
          <w:lang w:eastAsia="lt-LT"/>
        </w:rPr>
        <w:t xml:space="preserve"> i</w:t>
      </w:r>
      <w:r w:rsidRPr="00CE37D0">
        <w:rPr>
          <w:rFonts w:eastAsia="Times New Roman"/>
          <w:lang w:eastAsia="lt-LT"/>
        </w:rPr>
        <w:t xml:space="preserve">r pagrindžiančių jo reikalingumą. </w:t>
      </w:r>
    </w:p>
    <w:p w:rsidR="00357C64" w:rsidRPr="00CE37D0" w:rsidRDefault="00357C64" w:rsidP="00357C64">
      <w:pPr>
        <w:spacing w:line="360" w:lineRule="auto"/>
        <w:ind w:firstLine="900"/>
        <w:jc w:val="both"/>
      </w:pPr>
      <w:r w:rsidRPr="00CE37D0">
        <w:rPr>
          <w:rFonts w:eastAsia="Times New Roman"/>
          <w:lang w:eastAsia="lt-LT"/>
        </w:rPr>
        <w:t>Š</w:t>
      </w:r>
      <w:r>
        <w:rPr>
          <w:rFonts w:eastAsia="Times New Roman"/>
          <w:lang w:eastAsia="lt-LT"/>
        </w:rPr>
        <w:t>iame</w:t>
      </w:r>
      <w:r w:rsidRPr="00CE37D0">
        <w:rPr>
          <w:rFonts w:eastAsia="Times New Roman"/>
          <w:lang w:eastAsia="lt-LT"/>
        </w:rPr>
        <w:t xml:space="preserve"> disertacini</w:t>
      </w:r>
      <w:r>
        <w:rPr>
          <w:rFonts w:eastAsia="Times New Roman"/>
          <w:lang w:eastAsia="lt-LT"/>
        </w:rPr>
        <w:t>ame</w:t>
      </w:r>
      <w:r w:rsidRPr="00CE37D0">
        <w:rPr>
          <w:rFonts w:eastAsia="Times New Roman"/>
          <w:lang w:eastAsia="lt-LT"/>
        </w:rPr>
        <w:t xml:space="preserve"> tyrim</w:t>
      </w:r>
      <w:r>
        <w:rPr>
          <w:rFonts w:eastAsia="Times New Roman"/>
          <w:lang w:eastAsia="lt-LT"/>
        </w:rPr>
        <w:t>e</w:t>
      </w:r>
      <w:r w:rsidRPr="00CE37D0">
        <w:rPr>
          <w:rFonts w:eastAsia="Times New Roman"/>
          <w:lang w:eastAsia="lt-LT"/>
        </w:rPr>
        <w:t xml:space="preserve"> mėgin</w:t>
      </w:r>
      <w:r>
        <w:rPr>
          <w:rFonts w:eastAsia="Times New Roman"/>
          <w:lang w:eastAsia="lt-LT"/>
        </w:rPr>
        <w:t>a</w:t>
      </w:r>
      <w:r w:rsidRPr="00CE37D0">
        <w:rPr>
          <w:rFonts w:eastAsia="Times New Roman"/>
          <w:lang w:eastAsia="lt-LT"/>
        </w:rPr>
        <w:t xml:space="preserve">ma atskleisti proceso teisės šakų giminingumą, išnagrinėti privataus kaltinimo institutą vieningo proceso teorijos kontekste. </w:t>
      </w:r>
      <w:r>
        <w:rPr>
          <w:rFonts w:eastAsia="Times New Roman"/>
          <w:lang w:eastAsia="lt-LT"/>
        </w:rPr>
        <w:t>Čia</w:t>
      </w:r>
      <w:r w:rsidRPr="00CE37D0">
        <w:rPr>
          <w:rFonts w:eastAsia="Times New Roman"/>
          <w:lang w:eastAsia="lt-LT"/>
        </w:rPr>
        <w:t xml:space="preserve"> neapsiribojama pozityviosios teisės ir su ja susijusios teismų praktikos įvertinimu. Pasirinktas tyrimo objekto pjūvis leidžia naujai </w:t>
      </w:r>
      <w:r>
        <w:rPr>
          <w:rFonts w:eastAsia="Times New Roman"/>
          <w:lang w:eastAsia="lt-LT"/>
        </w:rPr>
        <w:t>parodyt</w:t>
      </w:r>
      <w:r w:rsidRPr="00CE37D0">
        <w:rPr>
          <w:rFonts w:eastAsia="Times New Roman"/>
          <w:lang w:eastAsia="lt-LT"/>
        </w:rPr>
        <w:t>i privataus kaltinimo bylų procesą pr</w:t>
      </w:r>
      <w:r>
        <w:rPr>
          <w:rFonts w:eastAsia="Times New Roman"/>
          <w:lang w:eastAsia="lt-LT"/>
        </w:rPr>
        <w:t>o</w:t>
      </w:r>
      <w:r w:rsidRPr="00CE37D0">
        <w:rPr>
          <w:rFonts w:eastAsia="Times New Roman"/>
          <w:lang w:eastAsia="lt-LT"/>
        </w:rPr>
        <w:t xml:space="preserve"> įvairių mokslų prizmę.</w:t>
      </w:r>
      <w:r>
        <w:rPr>
          <w:rFonts w:eastAsia="Times New Roman"/>
          <w:lang w:eastAsia="lt-LT"/>
        </w:rPr>
        <w:t xml:space="preserve"> P</w:t>
      </w:r>
      <w:r w:rsidRPr="00CE37D0">
        <w:rPr>
          <w:rFonts w:eastAsia="Times New Roman"/>
          <w:lang w:eastAsia="lt-LT"/>
        </w:rPr>
        <w:t xml:space="preserve">rivataus kaltinimo prielaidos, paskirtis, teisinis reguliavimas </w:t>
      </w:r>
      <w:r>
        <w:rPr>
          <w:rFonts w:eastAsia="Times New Roman"/>
          <w:lang w:eastAsia="lt-LT"/>
        </w:rPr>
        <w:t xml:space="preserve">nagrinėjamas ne tik </w:t>
      </w:r>
      <w:r w:rsidRPr="00CE37D0">
        <w:rPr>
          <w:rFonts w:eastAsia="Times New Roman"/>
          <w:lang w:eastAsia="lt-LT"/>
        </w:rPr>
        <w:t>kaip valstybinė veikla, bet ir kaip</w:t>
      </w:r>
      <w:r>
        <w:rPr>
          <w:rFonts w:eastAsia="Times New Roman"/>
          <w:lang w:eastAsia="lt-LT"/>
        </w:rPr>
        <w:t xml:space="preserve"> </w:t>
      </w:r>
      <w:r w:rsidRPr="00CE37D0">
        <w:rPr>
          <w:rFonts w:eastAsia="Times New Roman"/>
          <w:lang w:eastAsia="lt-LT"/>
        </w:rPr>
        <w:t xml:space="preserve">asmens galimybė išreikšti valią inicijuojant procesą ir </w:t>
      </w:r>
      <w:r>
        <w:rPr>
          <w:rFonts w:eastAsia="Times New Roman"/>
          <w:lang w:eastAsia="lt-LT"/>
        </w:rPr>
        <w:t>nulem</w:t>
      </w:r>
      <w:r w:rsidRPr="00CE37D0">
        <w:rPr>
          <w:rFonts w:eastAsia="Times New Roman"/>
          <w:lang w:eastAsia="lt-LT"/>
        </w:rPr>
        <w:t xml:space="preserve">iant jo eigą. Šiame kontekste įvertinami individo lūkesčiai, interesai, subjektyvios priežastys, darančios įtaką tiek privataus kaltinimo kaip interesų užtikrinimo mechanizmo praktiniam veikimui </w:t>
      </w:r>
      <w:r w:rsidRPr="00CE37D0">
        <w:rPr>
          <w:rFonts w:eastAsia="Times New Roman"/>
          <w:i/>
          <w:lang w:eastAsia="lt-LT"/>
        </w:rPr>
        <w:t>ad hoc</w:t>
      </w:r>
      <w:r w:rsidRPr="00CE37D0">
        <w:rPr>
          <w:rFonts w:eastAsia="Times New Roman"/>
          <w:lang w:eastAsia="lt-LT"/>
        </w:rPr>
        <w:t xml:space="preserve"> </w:t>
      </w:r>
      <w:r>
        <w:rPr>
          <w:rFonts w:eastAsia="Times New Roman"/>
          <w:lang w:eastAsia="lt-LT"/>
        </w:rPr>
        <w:t xml:space="preserve">ir </w:t>
      </w:r>
      <w:r w:rsidRPr="00CE37D0">
        <w:rPr>
          <w:rFonts w:eastAsia="Times New Roman"/>
          <w:lang w:eastAsia="lt-LT"/>
        </w:rPr>
        <w:t>jo veiksmingumui, tiek jo teisiniam reg</w:t>
      </w:r>
      <w:r>
        <w:rPr>
          <w:rFonts w:eastAsia="Times New Roman"/>
          <w:lang w:eastAsia="lt-LT"/>
        </w:rPr>
        <w:t>u</w:t>
      </w:r>
      <w:r w:rsidRPr="00CE37D0">
        <w:rPr>
          <w:rFonts w:eastAsia="Times New Roman"/>
          <w:lang w:eastAsia="lt-LT"/>
        </w:rPr>
        <w:t>l</w:t>
      </w:r>
      <w:r>
        <w:rPr>
          <w:rFonts w:eastAsia="Times New Roman"/>
          <w:lang w:eastAsia="lt-LT"/>
        </w:rPr>
        <w:t>i</w:t>
      </w:r>
      <w:r w:rsidRPr="00CE37D0">
        <w:rPr>
          <w:rFonts w:eastAsia="Times New Roman"/>
          <w:lang w:eastAsia="lt-LT"/>
        </w:rPr>
        <w:t xml:space="preserve">avimui ilgalaikėje perspektyvoje. </w:t>
      </w:r>
      <w:r>
        <w:rPr>
          <w:rFonts w:eastAsia="Times New Roman"/>
          <w:lang w:eastAsia="lt-LT"/>
        </w:rPr>
        <w:t xml:space="preserve">Šio disertacinio tyrimo išvados grindžiamos teisiniais argumentais, o socialiniai ir ekonominiai faktoriai, neatmetant jų galimos įtakos praktikoje, įgyvendinant privataus kaltinimo teisę, šiame darbe nebuvo analizuoti. </w:t>
      </w:r>
    </w:p>
    <w:p w:rsidR="00357C64" w:rsidRPr="00210F9F" w:rsidRDefault="00357C64" w:rsidP="00357C64">
      <w:pPr>
        <w:spacing w:line="360" w:lineRule="auto"/>
        <w:ind w:firstLine="900"/>
        <w:jc w:val="both"/>
      </w:pPr>
      <w:r w:rsidRPr="00210F9F">
        <w:t xml:space="preserve">Mokslinis temos naujumas grindžiamas tuo, kad šiame darbe atliktas kompleksinis teisinis tyrimas, kuriame pateikta dispozityvumo </w:t>
      </w:r>
      <w:r>
        <w:t xml:space="preserve">baudžiamajame procese </w:t>
      </w:r>
      <w:r w:rsidRPr="00210F9F">
        <w:t>teisinės prigimties teorinė analizė ir įtaka privataus kaltinimo procesinei formai, išsamiai ištirtas privatus kaltinimas</w:t>
      </w:r>
      <w:r>
        <w:t xml:space="preserve"> </w:t>
      </w:r>
      <w:r w:rsidRPr="00210F9F">
        <w:t>kaip teisinis institutas, šio proceso ypatumų teisinė teorinė bei lyginamoji analizė, suformuluotos normų, reguliuojančių privataus kaltinimo bylų procesą, įgyvendinimo problemos bei jų sprendimo pasiūlymai ir teisinio reg</w:t>
      </w:r>
      <w:r>
        <w:t>u</w:t>
      </w:r>
      <w:r w:rsidRPr="00210F9F">
        <w:t>l</w:t>
      </w:r>
      <w:r>
        <w:t>i</w:t>
      </w:r>
      <w:r w:rsidRPr="00210F9F">
        <w:t xml:space="preserve">avimo tobulinimo perspektyvos. </w:t>
      </w:r>
      <w:bookmarkStart w:id="10" w:name="_Toc365498816"/>
      <w:bookmarkStart w:id="11" w:name="_Toc370139880"/>
    </w:p>
    <w:p w:rsidR="00357C64" w:rsidRPr="000D7C58" w:rsidRDefault="00357C64" w:rsidP="00357C64">
      <w:pPr>
        <w:pStyle w:val="Antrat2"/>
        <w:spacing w:before="0" w:line="360" w:lineRule="auto"/>
        <w:ind w:firstLine="900"/>
        <w:jc w:val="both"/>
        <w:rPr>
          <w:rFonts w:ascii="Times New Roman" w:hAnsi="Times New Roman"/>
          <w:b w:val="0"/>
          <w:sz w:val="24"/>
          <w:szCs w:val="24"/>
        </w:rPr>
      </w:pPr>
      <w:bookmarkStart w:id="12" w:name="_Toc391459867"/>
      <w:bookmarkStart w:id="13" w:name="_Toc400321666"/>
      <w:r w:rsidRPr="000D7C58">
        <w:rPr>
          <w:rFonts w:ascii="Times New Roman" w:hAnsi="Times New Roman"/>
          <w:sz w:val="24"/>
          <w:szCs w:val="24"/>
        </w:rPr>
        <w:t>Tyrimo reikšmingumas</w:t>
      </w:r>
      <w:bookmarkEnd w:id="10"/>
      <w:bookmarkEnd w:id="11"/>
      <w:bookmarkEnd w:id="12"/>
      <w:bookmarkEnd w:id="13"/>
    </w:p>
    <w:p w:rsidR="00357C64" w:rsidRPr="00CE37D0" w:rsidRDefault="00357C64" w:rsidP="00357C64">
      <w:pPr>
        <w:spacing w:line="360" w:lineRule="auto"/>
        <w:ind w:firstLine="900"/>
        <w:jc w:val="both"/>
        <w:rPr>
          <w:rFonts w:eastAsia="Times New Roman"/>
          <w:lang w:eastAsia="lt-LT"/>
        </w:rPr>
      </w:pPr>
      <w:r w:rsidRPr="00CE37D0">
        <w:t xml:space="preserve">Pasirinktas privataus kaltinimo instituto analizės pjūvis apėmė iki šiol nenagrinėtus baudžiamojo proceso aspektus ir užpildė </w:t>
      </w:r>
      <w:r w:rsidRPr="00CE37D0">
        <w:rPr>
          <w:rFonts w:eastAsia="Times New Roman"/>
          <w:lang w:eastAsia="lt-LT"/>
        </w:rPr>
        <w:t xml:space="preserve">Lietuvos </w:t>
      </w:r>
      <w:r>
        <w:rPr>
          <w:rFonts w:eastAsia="Times New Roman"/>
          <w:lang w:eastAsia="lt-LT"/>
        </w:rPr>
        <w:t>moksl</w:t>
      </w:r>
      <w:r w:rsidRPr="00CE37D0">
        <w:rPr>
          <w:rFonts w:eastAsia="Times New Roman"/>
          <w:lang w:eastAsia="lt-LT"/>
        </w:rPr>
        <w:t>inės jurisprudencijos</w:t>
      </w:r>
      <w:r>
        <w:rPr>
          <w:rFonts w:eastAsia="Times New Roman"/>
          <w:lang w:eastAsia="lt-LT"/>
        </w:rPr>
        <w:t>, tiriančios</w:t>
      </w:r>
      <w:r w:rsidRPr="00CE37D0">
        <w:rPr>
          <w:rFonts w:eastAsia="Times New Roman"/>
          <w:lang w:eastAsia="lt-LT"/>
        </w:rPr>
        <w:t xml:space="preserve"> </w:t>
      </w:r>
      <w:r w:rsidRPr="00CE37D0">
        <w:t>privataus intereso įtak</w:t>
      </w:r>
      <w:r>
        <w:t>ą</w:t>
      </w:r>
      <w:r w:rsidRPr="00CE37D0">
        <w:t xml:space="preserve"> baudžiamajam procesui</w:t>
      </w:r>
      <w:r>
        <w:t>,</w:t>
      </w:r>
      <w:r w:rsidRPr="00CE37D0">
        <w:t xml:space="preserve"> </w:t>
      </w:r>
      <w:r w:rsidRPr="00CE37D0">
        <w:rPr>
          <w:rFonts w:eastAsia="Times New Roman"/>
          <w:lang w:eastAsia="lt-LT"/>
        </w:rPr>
        <w:t>spragą</w:t>
      </w:r>
      <w:r w:rsidRPr="00CE37D0">
        <w:t>. Atlikta privataus kaltinimo instituto analizė, teorinis pagrindimas, suformuluotos išvados ir siūlymai yra indėlis į baudžiamojo proceso mokslą, taip pat siekis prisidėti</w:t>
      </w:r>
      <w:r>
        <w:t xml:space="preserve"> prie nukentėjusiojo, </w:t>
      </w:r>
      <w:r w:rsidRPr="00363817">
        <w:rPr>
          <w:i/>
        </w:rPr>
        <w:t>inter alia</w:t>
      </w:r>
      <w:r>
        <w:t xml:space="preserve"> ir kaip privataus kaltintojo, </w:t>
      </w:r>
      <w:r w:rsidRPr="00CE37D0">
        <w:t xml:space="preserve">teisių ir teisėtų interesų apsaugos koncepcijos formavimo. </w:t>
      </w:r>
    </w:p>
    <w:p w:rsidR="00357C64" w:rsidRPr="00CE37D0" w:rsidRDefault="00357C64" w:rsidP="00357C64">
      <w:pPr>
        <w:spacing w:line="360" w:lineRule="auto"/>
        <w:ind w:firstLine="900"/>
        <w:jc w:val="both"/>
      </w:pPr>
      <w:r>
        <w:lastRenderedPageBreak/>
        <w:t>Teisės taikymo p</w:t>
      </w:r>
      <w:r w:rsidRPr="00CE37D0">
        <w:t>raktik</w:t>
      </w:r>
      <w:r>
        <w:t>ai</w:t>
      </w:r>
      <w:r w:rsidRPr="00CE37D0">
        <w:t xml:space="preserve"> šis tyrimas reikšmingas</w:t>
      </w:r>
      <w:r>
        <w:t xml:space="preserve"> kaip padėsiantis stiprinti</w:t>
      </w:r>
      <w:r w:rsidRPr="00CE37D0">
        <w:t xml:space="preserve"> privataus kaltinimo proceso veiksmingum</w:t>
      </w:r>
      <w:r>
        <w:t>ą</w:t>
      </w:r>
      <w:r w:rsidRPr="00CE37D0">
        <w:t xml:space="preserve">, </w:t>
      </w:r>
      <w:r>
        <w:t xml:space="preserve">realiai užtikrinti </w:t>
      </w:r>
      <w:r w:rsidRPr="00CE37D0">
        <w:t>nukentėjusiojo teisėt</w:t>
      </w:r>
      <w:r>
        <w:t>us</w:t>
      </w:r>
      <w:r w:rsidRPr="00CE37D0">
        <w:t xml:space="preserve"> interes</w:t>
      </w:r>
      <w:r>
        <w:t>us</w:t>
      </w:r>
      <w:r w:rsidRPr="00CE37D0">
        <w:t xml:space="preserve"> ir galimyb</w:t>
      </w:r>
      <w:r>
        <w:t>es</w:t>
      </w:r>
      <w:r w:rsidRPr="00CE37D0">
        <w:t xml:space="preserve"> apginti savo interesus privataus kaltinimo tvarka. </w:t>
      </w:r>
      <w:r>
        <w:t xml:space="preserve">Disertacija gali būti naudinga ir nacionaliniams teismams, nagrinėjantiems privataus kaltinimo bylas. </w:t>
      </w:r>
    </w:p>
    <w:p w:rsidR="00357C64" w:rsidRPr="00CE37D0" w:rsidRDefault="00357C64" w:rsidP="00357C64">
      <w:pPr>
        <w:spacing w:line="360" w:lineRule="auto"/>
        <w:ind w:firstLine="993"/>
        <w:jc w:val="both"/>
      </w:pPr>
      <w:r>
        <w:t>Š</w:t>
      </w:r>
      <w:r w:rsidRPr="00CE37D0">
        <w:t xml:space="preserve">is tyrimas gali būti </w:t>
      </w:r>
      <w:r>
        <w:t xml:space="preserve">naudingas </w:t>
      </w:r>
      <w:r w:rsidRPr="00CE37D0">
        <w:t>ir akademin</w:t>
      </w:r>
      <w:r>
        <w:t>ėse</w:t>
      </w:r>
      <w:r w:rsidRPr="00CE37D0">
        <w:t xml:space="preserve"> teisės studij</w:t>
      </w:r>
      <w:r>
        <w:t>ose,</w:t>
      </w:r>
      <w:r w:rsidRPr="00CE37D0">
        <w:t xml:space="preserve"> pedagoginėje veikloje. </w:t>
      </w:r>
    </w:p>
    <w:p w:rsidR="00357C64" w:rsidRPr="000D7C58" w:rsidRDefault="00357C64" w:rsidP="00357C64">
      <w:pPr>
        <w:pStyle w:val="Antrat2"/>
        <w:spacing w:before="0" w:line="360" w:lineRule="auto"/>
        <w:ind w:firstLine="993"/>
        <w:jc w:val="both"/>
        <w:rPr>
          <w:rFonts w:ascii="Times New Roman" w:hAnsi="Times New Roman"/>
          <w:b w:val="0"/>
          <w:sz w:val="24"/>
          <w:szCs w:val="24"/>
        </w:rPr>
      </w:pPr>
      <w:bookmarkStart w:id="14" w:name="_Toc365498817"/>
      <w:bookmarkStart w:id="15" w:name="_Toc370139881"/>
      <w:bookmarkStart w:id="16" w:name="_Toc391459868"/>
      <w:bookmarkStart w:id="17" w:name="_Toc400321667"/>
      <w:r w:rsidRPr="000D7C58">
        <w:rPr>
          <w:rFonts w:ascii="Times New Roman" w:hAnsi="Times New Roman"/>
          <w:sz w:val="24"/>
          <w:szCs w:val="24"/>
        </w:rPr>
        <w:t>Mokslinio tyrimo objektas</w:t>
      </w:r>
      <w:bookmarkEnd w:id="14"/>
      <w:bookmarkEnd w:id="15"/>
      <w:bookmarkEnd w:id="16"/>
      <w:bookmarkEnd w:id="17"/>
    </w:p>
    <w:p w:rsidR="00357C64" w:rsidRPr="00CE37D0" w:rsidRDefault="00357C64" w:rsidP="00357C64">
      <w:pPr>
        <w:spacing w:line="360" w:lineRule="auto"/>
        <w:ind w:firstLine="993"/>
        <w:jc w:val="both"/>
      </w:pPr>
      <w:r w:rsidRPr="00CE37D0">
        <w:t>Mokslinio tyrimo objektą sudaro privataus kaltinimo bylų proceso instituto samprata, paskirtis, teoriniai pagrindai</w:t>
      </w:r>
      <w:r>
        <w:t xml:space="preserve"> </w:t>
      </w:r>
      <w:r w:rsidRPr="00CE37D0">
        <w:t>ir teisinis reg</w:t>
      </w:r>
      <w:r>
        <w:t>u</w:t>
      </w:r>
      <w:r w:rsidRPr="00CE37D0">
        <w:t>l</w:t>
      </w:r>
      <w:r>
        <w:t>i</w:t>
      </w:r>
      <w:r w:rsidRPr="00CE37D0">
        <w:t xml:space="preserve">avimas baudžiamajame procese, taip pat dispozityvaus </w:t>
      </w:r>
      <w:r>
        <w:t xml:space="preserve">teisinio </w:t>
      </w:r>
      <w:r w:rsidRPr="00CE37D0">
        <w:t xml:space="preserve">reguliavimo mechanizmo samprata, veikimas ir įtaka privataus kaltinimo procesinei formai. </w:t>
      </w:r>
    </w:p>
    <w:p w:rsidR="00357C64" w:rsidRPr="00CE37D0" w:rsidRDefault="00357C64" w:rsidP="00357C64">
      <w:pPr>
        <w:spacing w:line="360" w:lineRule="auto"/>
        <w:ind w:firstLine="993"/>
        <w:jc w:val="both"/>
      </w:pPr>
      <w:r w:rsidRPr="00CE37D0">
        <w:t>Mokslinis tyrimas buvo vykdomas dviem kryptimis (dimensijomis). Pirmiausia buvo ištirti privataus kaltinimo proceso teoriniai pagrindai, ypatingą dėmesį skiriant privataus intereso ir dispozityv</w:t>
      </w:r>
      <w:r>
        <w:t>um</w:t>
      </w:r>
      <w:r w:rsidRPr="00CE37D0">
        <w:t xml:space="preserve">o įtakai </w:t>
      </w:r>
      <w:r>
        <w:t xml:space="preserve">teisiškai reguliuojant </w:t>
      </w:r>
      <w:r w:rsidRPr="00CE37D0">
        <w:t>privataus kaltinimo bylų proces</w:t>
      </w:r>
      <w:r>
        <w:t>ą</w:t>
      </w:r>
      <w:r w:rsidRPr="00CE37D0">
        <w:t>. Antra, buvo analizuojamas privataus kaltinimo bylų instituto teisinis reg</w:t>
      </w:r>
      <w:r>
        <w:t>u</w:t>
      </w:r>
      <w:r w:rsidRPr="00CE37D0">
        <w:t>l</w:t>
      </w:r>
      <w:r>
        <w:t>i</w:t>
      </w:r>
      <w:r w:rsidRPr="00CE37D0">
        <w:t>avimas</w:t>
      </w:r>
      <w:r>
        <w:t>, kaip jis</w:t>
      </w:r>
      <w:r w:rsidRPr="00CE37D0">
        <w:t xml:space="preserve"> atit</w:t>
      </w:r>
      <w:r>
        <w:t>inka</w:t>
      </w:r>
      <w:r w:rsidRPr="00CE37D0">
        <w:t xml:space="preserve"> proceso dalyvių teisėt</w:t>
      </w:r>
      <w:r>
        <w:t>u</w:t>
      </w:r>
      <w:r w:rsidRPr="00CE37D0">
        <w:t>s interes</w:t>
      </w:r>
      <w:r>
        <w:t>u</w:t>
      </w:r>
      <w:r w:rsidRPr="00CE37D0">
        <w:t>s</w:t>
      </w:r>
      <w:r>
        <w:t>,</w:t>
      </w:r>
      <w:r w:rsidRPr="00CE37D0">
        <w:t xml:space="preserve"> bei </w:t>
      </w:r>
      <w:r>
        <w:t>jo veiks</w:t>
      </w:r>
      <w:r w:rsidRPr="00CE37D0">
        <w:t xml:space="preserve">mingumas teismų </w:t>
      </w:r>
      <w:r>
        <w:t>jurisprudencijo</w:t>
      </w:r>
      <w:r w:rsidRPr="00CE37D0">
        <w:t xml:space="preserve">je. </w:t>
      </w:r>
    </w:p>
    <w:p w:rsidR="00357C64" w:rsidRPr="00CE37D0" w:rsidRDefault="00357C64" w:rsidP="00357C64">
      <w:pPr>
        <w:spacing w:line="360" w:lineRule="auto"/>
        <w:ind w:firstLine="993"/>
        <w:jc w:val="both"/>
      </w:pPr>
      <w:r w:rsidRPr="00CE37D0">
        <w:t xml:space="preserve">Privataus kaltinimo formos teisinio reguliavimo įvairovė sukuria galimybę </w:t>
      </w:r>
      <w:r>
        <w:t xml:space="preserve">ieškoti </w:t>
      </w:r>
      <w:r w:rsidRPr="00CE37D0">
        <w:t xml:space="preserve">optimalaus jo teorinio modelio ir </w:t>
      </w:r>
      <w:r>
        <w:t>veiksming</w:t>
      </w:r>
      <w:r w:rsidRPr="00CE37D0">
        <w:t>iausio praktinio veikimo mechanizmo, todėl kai kurie privataus kaltinimo procesinės formos teisinio reg</w:t>
      </w:r>
      <w:r>
        <w:t>u</w:t>
      </w:r>
      <w:r w:rsidRPr="00CE37D0">
        <w:t>l</w:t>
      </w:r>
      <w:r>
        <w:t>i</w:t>
      </w:r>
      <w:r w:rsidRPr="00CE37D0">
        <w:t xml:space="preserve">avimo aspektai aptariami užsienio valstybių </w:t>
      </w:r>
      <w:r>
        <w:t xml:space="preserve">pozityviosios teisės </w:t>
      </w:r>
      <w:r w:rsidRPr="00CE37D0">
        <w:t xml:space="preserve">kontekste. Tačiau atkreiptinas dėmesys, kad išsamus privataus kaltinimo procesinės formos lyginamasis tyrimas nėra šio darbo objektas. </w:t>
      </w:r>
      <w:r>
        <w:t>Taip pat šiame disertaciniame tyrime nebuvo siekiama atriboti privataus kaltinimo teisės įgyvendinimo nuo kitų pažeistų teisių gynimo būdų (</w:t>
      </w:r>
      <w:r w:rsidRPr="00971016">
        <w:rPr>
          <w:i/>
        </w:rPr>
        <w:t>inter alia</w:t>
      </w:r>
      <w:r>
        <w:t xml:space="preserve"> civilinio proceso tvarka).</w:t>
      </w:r>
    </w:p>
    <w:p w:rsidR="00357C64" w:rsidRPr="000D7C58" w:rsidRDefault="00357C64" w:rsidP="00357C64">
      <w:pPr>
        <w:pStyle w:val="Antrat2"/>
        <w:spacing w:before="0" w:line="360" w:lineRule="auto"/>
        <w:ind w:firstLine="993"/>
        <w:jc w:val="both"/>
        <w:rPr>
          <w:rFonts w:ascii="Times New Roman" w:hAnsi="Times New Roman"/>
          <w:b w:val="0"/>
          <w:sz w:val="24"/>
          <w:szCs w:val="24"/>
        </w:rPr>
      </w:pPr>
      <w:bookmarkStart w:id="18" w:name="_Toc365498818"/>
      <w:bookmarkStart w:id="19" w:name="_Toc370139882"/>
      <w:bookmarkStart w:id="20" w:name="_Toc391459869"/>
      <w:bookmarkStart w:id="21" w:name="_Toc400321668"/>
      <w:r w:rsidRPr="000D7C58">
        <w:rPr>
          <w:rFonts w:ascii="Times New Roman" w:hAnsi="Times New Roman"/>
          <w:sz w:val="24"/>
          <w:szCs w:val="24"/>
        </w:rPr>
        <w:t>Mokslinio tyrimo tikslas ir uždaviniai</w:t>
      </w:r>
      <w:bookmarkEnd w:id="18"/>
      <w:bookmarkEnd w:id="19"/>
      <w:bookmarkEnd w:id="20"/>
      <w:bookmarkEnd w:id="21"/>
    </w:p>
    <w:p w:rsidR="00357C64" w:rsidRDefault="00357C64" w:rsidP="00357C64">
      <w:pPr>
        <w:spacing w:line="360" w:lineRule="auto"/>
        <w:ind w:firstLine="993"/>
        <w:jc w:val="both"/>
      </w:pPr>
      <w:r w:rsidRPr="00CE37D0">
        <w:t xml:space="preserve">Mokslinio tyrimo tikslas – kompleksiškai </w:t>
      </w:r>
      <w:r w:rsidRPr="00B90492">
        <w:t xml:space="preserve">ištirti teorinius privataus kaltinimo </w:t>
      </w:r>
      <w:r w:rsidRPr="00CE37D0">
        <w:t>bylų</w:t>
      </w:r>
      <w:r w:rsidRPr="00B90492">
        <w:t xml:space="preserve"> proceso pagrindus bei įvertinti privataus kaltinimo proceso dalyvių teisių </w:t>
      </w:r>
      <w:r>
        <w:t xml:space="preserve">ir teisėtų interesų </w:t>
      </w:r>
      <w:r w:rsidRPr="00B90492">
        <w:t>įgyvendinimo te</w:t>
      </w:r>
      <w:r>
        <w:t xml:space="preserve">orines bei praktines prielaidas. </w:t>
      </w:r>
    </w:p>
    <w:p w:rsidR="00357C64" w:rsidRPr="00CE37D0" w:rsidRDefault="00357C64" w:rsidP="00357C64">
      <w:pPr>
        <w:spacing w:line="360" w:lineRule="auto"/>
        <w:ind w:firstLine="720"/>
        <w:jc w:val="both"/>
      </w:pPr>
      <w:r w:rsidRPr="00CE37D0">
        <w:t>Tikslui pasiekti keliami šie uždaviniai:</w:t>
      </w:r>
    </w:p>
    <w:p w:rsidR="00357C64" w:rsidRPr="00CE37D0" w:rsidRDefault="00357C64" w:rsidP="00357C64">
      <w:pPr>
        <w:numPr>
          <w:ilvl w:val="0"/>
          <w:numId w:val="1"/>
        </w:numPr>
        <w:spacing w:line="360" w:lineRule="auto"/>
        <w:jc w:val="both"/>
        <w:rPr>
          <w:rFonts w:eastAsia="Times New Roman"/>
          <w:lang w:eastAsia="lt-LT"/>
        </w:rPr>
      </w:pPr>
      <w:bookmarkStart w:id="22" w:name="_Toc365498819"/>
      <w:bookmarkStart w:id="23" w:name="_Toc370139883"/>
      <w:r w:rsidRPr="00CE37D0">
        <w:t>Išanalizuoti dispozityvumo principo</w:t>
      </w:r>
      <w:r>
        <w:t>, kaip privataus kaltinimo proceso baudžiamajame procese teisinio reguliavimo metodologinio pagrindo,</w:t>
      </w:r>
      <w:r w:rsidRPr="00CE37D0">
        <w:t xml:space="preserve"> sampratą, </w:t>
      </w:r>
      <w:r>
        <w:t xml:space="preserve">jo </w:t>
      </w:r>
      <w:r w:rsidRPr="00CE37D0">
        <w:t>teorinius pagrindus, ištakas, veikimo ribas ir mechanizmo savitumą baudžiamajame procese</w:t>
      </w:r>
      <w:r>
        <w:t>.</w:t>
      </w:r>
    </w:p>
    <w:p w:rsidR="00357C64" w:rsidRPr="00CE37D0" w:rsidRDefault="00357C64" w:rsidP="00357C64">
      <w:pPr>
        <w:numPr>
          <w:ilvl w:val="0"/>
          <w:numId w:val="1"/>
        </w:numPr>
        <w:spacing w:line="360" w:lineRule="auto"/>
        <w:jc w:val="both"/>
      </w:pPr>
      <w:r>
        <w:t>Nustaty</w:t>
      </w:r>
      <w:r w:rsidRPr="00CE37D0">
        <w:t xml:space="preserve">ti </w:t>
      </w:r>
      <w:r w:rsidRPr="00CE37D0">
        <w:rPr>
          <w:bCs/>
        </w:rPr>
        <w:t xml:space="preserve">privataus kaltinimo </w:t>
      </w:r>
      <w:r w:rsidRPr="00CE37D0">
        <w:rPr>
          <w:spacing w:val="2"/>
        </w:rPr>
        <w:t xml:space="preserve">kaip vienos iš pagrindinių dispozityvumo </w:t>
      </w:r>
      <w:r>
        <w:rPr>
          <w:spacing w:val="2"/>
        </w:rPr>
        <w:t xml:space="preserve">principo </w:t>
      </w:r>
      <w:r w:rsidRPr="00CE37D0">
        <w:rPr>
          <w:spacing w:val="2"/>
        </w:rPr>
        <w:t>apraiškų</w:t>
      </w:r>
      <w:r>
        <w:rPr>
          <w:spacing w:val="2"/>
        </w:rPr>
        <w:t xml:space="preserve"> </w:t>
      </w:r>
      <w:r w:rsidRPr="00CE37D0">
        <w:rPr>
          <w:bCs/>
        </w:rPr>
        <w:t>diferencijavimo teorinius pagrindus, a</w:t>
      </w:r>
      <w:r>
        <w:rPr>
          <w:bCs/>
        </w:rPr>
        <w:t>pibrėžti materialiuosius ir procesinius šios specifinės baudžiamojo proceso formos atskyrimo nuo konstitucinio bendrojo baudžiamojo proceso modelio kriterijus</w:t>
      </w:r>
      <w:r w:rsidRPr="00CE37D0">
        <w:rPr>
          <w:bCs/>
        </w:rPr>
        <w:t>.</w:t>
      </w:r>
    </w:p>
    <w:p w:rsidR="00357C64" w:rsidRPr="00CE37D0" w:rsidRDefault="00357C64" w:rsidP="00357C64">
      <w:pPr>
        <w:numPr>
          <w:ilvl w:val="0"/>
          <w:numId w:val="1"/>
        </w:numPr>
        <w:spacing w:line="360" w:lineRule="auto"/>
        <w:jc w:val="both"/>
      </w:pPr>
      <w:r w:rsidRPr="00CE37D0">
        <w:lastRenderedPageBreak/>
        <w:t>Kompleksiškai išanalizuoti privataus kaltinimo proceso teisinį reg</w:t>
      </w:r>
      <w:r>
        <w:t>u</w:t>
      </w:r>
      <w:r w:rsidRPr="00CE37D0">
        <w:t>l</w:t>
      </w:r>
      <w:r>
        <w:t>i</w:t>
      </w:r>
      <w:r w:rsidRPr="00CE37D0">
        <w:t>avimą Lietuvoje, atskleisti šios procesinės formos ypatumus</w:t>
      </w:r>
      <w:r>
        <w:t xml:space="preserve">, </w:t>
      </w:r>
      <w:r w:rsidRPr="00CE37D0">
        <w:t xml:space="preserve">išnagrinėti teisės normų </w:t>
      </w:r>
      <w:r>
        <w:t xml:space="preserve">aiškinimo ir </w:t>
      </w:r>
      <w:r w:rsidRPr="00CE37D0">
        <w:t xml:space="preserve">taikymo praktiką Lietuvos teismuose. </w:t>
      </w:r>
    </w:p>
    <w:p w:rsidR="00357C64" w:rsidRPr="00CE37D0" w:rsidRDefault="00357C64" w:rsidP="00357C64">
      <w:pPr>
        <w:numPr>
          <w:ilvl w:val="0"/>
          <w:numId w:val="1"/>
        </w:numPr>
        <w:spacing w:line="360" w:lineRule="auto"/>
        <w:jc w:val="both"/>
      </w:pPr>
      <w:r>
        <w:t xml:space="preserve">Remiantis </w:t>
      </w:r>
      <w:r w:rsidRPr="00CE37D0">
        <w:t>tarptautini</w:t>
      </w:r>
      <w:r>
        <w:t>ų</w:t>
      </w:r>
      <w:r w:rsidRPr="00CE37D0">
        <w:t xml:space="preserve"> žmogaus teisių apsaugos standart</w:t>
      </w:r>
      <w:r>
        <w:t>ų</w:t>
      </w:r>
      <w:r w:rsidRPr="00CE37D0">
        <w:t xml:space="preserve"> bei tarptautinių žmogaus teisių gynimo institucijų jurisprudencij</w:t>
      </w:r>
      <w:r>
        <w:t>os analize, į</w:t>
      </w:r>
      <w:r w:rsidRPr="00CE37D0">
        <w:t xml:space="preserve">vertinti, ar privataus kaltinimo bylų proceso reglamentavimas </w:t>
      </w:r>
      <w:r w:rsidRPr="00404F16">
        <w:rPr>
          <w:i/>
        </w:rPr>
        <w:t>de lege lata</w:t>
      </w:r>
      <w:r>
        <w:rPr>
          <w:i/>
        </w:rPr>
        <w:t xml:space="preserve"> </w:t>
      </w:r>
      <w:r w:rsidRPr="00CE37D0">
        <w:t>sudaro prielaidas realia</w:t>
      </w:r>
      <w:r>
        <w:t xml:space="preserve">i užtikrinti </w:t>
      </w:r>
      <w:r w:rsidRPr="00CE37D0">
        <w:t xml:space="preserve">proceso dalyvių, pirmiausia – </w:t>
      </w:r>
      <w:r>
        <w:t xml:space="preserve">nukentėjusiojo, </w:t>
      </w:r>
      <w:r w:rsidRPr="00E26DC1">
        <w:rPr>
          <w:i/>
        </w:rPr>
        <w:t>inter alia</w:t>
      </w:r>
      <w:r>
        <w:t xml:space="preserve"> ir kaip </w:t>
      </w:r>
      <w:r w:rsidRPr="00CE37D0">
        <w:t>privataus kaltintojo, teis</w:t>
      </w:r>
      <w:r>
        <w:t>es</w:t>
      </w:r>
      <w:r w:rsidRPr="00CE37D0">
        <w:t xml:space="preserve"> ir teisėt</w:t>
      </w:r>
      <w:r>
        <w:t>us</w:t>
      </w:r>
      <w:r w:rsidRPr="00CE37D0">
        <w:t xml:space="preserve"> interes</w:t>
      </w:r>
      <w:r>
        <w:t>us.</w:t>
      </w:r>
    </w:p>
    <w:p w:rsidR="00357C64" w:rsidRPr="00CE37D0" w:rsidRDefault="00357C64" w:rsidP="00357C64">
      <w:pPr>
        <w:numPr>
          <w:ilvl w:val="0"/>
          <w:numId w:val="1"/>
        </w:numPr>
        <w:spacing w:line="360" w:lineRule="auto"/>
        <w:jc w:val="both"/>
      </w:pPr>
      <w:r w:rsidRPr="00CE37D0">
        <w:t xml:space="preserve">Atskleisti </w:t>
      </w:r>
      <w:r>
        <w:t xml:space="preserve">specifinio </w:t>
      </w:r>
      <w:r w:rsidRPr="00CE37D0">
        <w:t>privataus kaltinimo bylų proceso paskirt</w:t>
      </w:r>
      <w:r>
        <w:t>ies elemento – procesinės taikos siekio – esmę</w:t>
      </w:r>
      <w:r w:rsidRPr="00CE37D0">
        <w:t xml:space="preserve"> ir pasiūlyti optimalų </w:t>
      </w:r>
      <w:r>
        <w:t xml:space="preserve">jo </w:t>
      </w:r>
      <w:r w:rsidRPr="00CE37D0">
        <w:t>įgyvendinimo būdą, pasitelkiant alternatyvių</w:t>
      </w:r>
      <w:r>
        <w:t xml:space="preserve"> teisminiam nagrinėjimui </w:t>
      </w:r>
      <w:r w:rsidRPr="00CE37D0">
        <w:t>ginč</w:t>
      </w:r>
      <w:r>
        <w:t>o</w:t>
      </w:r>
      <w:r w:rsidRPr="00CE37D0">
        <w:t xml:space="preserve"> sprendim</w:t>
      </w:r>
      <w:r>
        <w:t>o</w:t>
      </w:r>
      <w:r w:rsidRPr="00CE37D0">
        <w:t xml:space="preserve"> formų taikymo analizę. </w:t>
      </w:r>
    </w:p>
    <w:p w:rsidR="00357C64" w:rsidRPr="00CE37D0" w:rsidRDefault="00357C64" w:rsidP="00357C64">
      <w:pPr>
        <w:numPr>
          <w:ilvl w:val="0"/>
          <w:numId w:val="1"/>
        </w:numPr>
        <w:spacing w:line="360" w:lineRule="auto"/>
        <w:jc w:val="both"/>
      </w:pPr>
      <w:r w:rsidRPr="00CE37D0">
        <w:t xml:space="preserve">Identifikuoti </w:t>
      </w:r>
      <w:r>
        <w:t xml:space="preserve">galimas </w:t>
      </w:r>
      <w:r w:rsidRPr="00CE37D0">
        <w:t>teisinio reguliavimo spragas</w:t>
      </w:r>
      <w:r>
        <w:t xml:space="preserve"> bei teisės taikymo trūkumus</w:t>
      </w:r>
      <w:r w:rsidRPr="00CE37D0">
        <w:t>, nustatyti privataus kaltinimo instituto tobulinimo poreikį ir galimybes</w:t>
      </w:r>
      <w:r>
        <w:t>,</w:t>
      </w:r>
      <w:r w:rsidRPr="00CE37D0">
        <w:t xml:space="preserve"> pateik</w:t>
      </w:r>
      <w:r>
        <w:t>iant argumentuotas</w:t>
      </w:r>
      <w:r w:rsidRPr="00CE37D0">
        <w:t xml:space="preserve"> įstatymų normų tobulinimo rekomendacijas. </w:t>
      </w:r>
    </w:p>
    <w:p w:rsidR="00357C64" w:rsidRPr="000D7C58" w:rsidRDefault="00357C64" w:rsidP="00357C64">
      <w:pPr>
        <w:pStyle w:val="Antrat2"/>
        <w:spacing w:before="0" w:line="360" w:lineRule="auto"/>
        <w:ind w:firstLine="720"/>
        <w:jc w:val="both"/>
        <w:rPr>
          <w:rFonts w:ascii="Times New Roman" w:hAnsi="Times New Roman"/>
          <w:b w:val="0"/>
          <w:sz w:val="24"/>
          <w:szCs w:val="24"/>
        </w:rPr>
      </w:pPr>
      <w:bookmarkStart w:id="24" w:name="_Toc391459870"/>
      <w:bookmarkStart w:id="25" w:name="_Toc400321669"/>
      <w:r w:rsidRPr="000D7C58">
        <w:rPr>
          <w:rFonts w:ascii="Times New Roman" w:hAnsi="Times New Roman"/>
          <w:sz w:val="24"/>
          <w:szCs w:val="24"/>
        </w:rPr>
        <w:t>Disertacinio tyrimo ginamieji teiginiai:</w:t>
      </w:r>
      <w:bookmarkEnd w:id="22"/>
      <w:bookmarkEnd w:id="23"/>
      <w:bookmarkEnd w:id="24"/>
      <w:bookmarkEnd w:id="25"/>
    </w:p>
    <w:p w:rsidR="00357C64" w:rsidRPr="00CE37D0" w:rsidRDefault="00357C64" w:rsidP="00357C64">
      <w:pPr>
        <w:numPr>
          <w:ilvl w:val="0"/>
          <w:numId w:val="2"/>
        </w:numPr>
        <w:spacing w:line="360" w:lineRule="auto"/>
        <w:jc w:val="both"/>
      </w:pPr>
      <w:bookmarkStart w:id="26" w:name="_Toc365498820"/>
      <w:bookmarkStart w:id="27" w:name="_Toc370139884"/>
      <w:r>
        <w:t>P</w:t>
      </w:r>
      <w:r w:rsidRPr="00CE37D0">
        <w:t>rivataus kaltinimo bylų proceso ir privataus kaltintojo teisinės padėties ypatumus</w:t>
      </w:r>
      <w:r>
        <w:t xml:space="preserve"> baudžiamajame procese lem</w:t>
      </w:r>
      <w:r w:rsidRPr="00CE37D0">
        <w:t xml:space="preserve">ia </w:t>
      </w:r>
      <w:r>
        <w:t>d</w:t>
      </w:r>
      <w:r w:rsidRPr="00CE37D0">
        <w:t>ispozityvumo principas</w:t>
      </w:r>
      <w:r>
        <w:t>.</w:t>
      </w:r>
    </w:p>
    <w:p w:rsidR="00357C64" w:rsidRPr="00CE37D0" w:rsidRDefault="00357C64" w:rsidP="00357C64">
      <w:pPr>
        <w:numPr>
          <w:ilvl w:val="0"/>
          <w:numId w:val="2"/>
        </w:numPr>
        <w:spacing w:line="360" w:lineRule="auto"/>
        <w:jc w:val="both"/>
      </w:pPr>
      <w:r>
        <w:t>Įstatymų leidėjas, formuodamas baudžiamąją politiką privataus kaltinimo sferoje ir įgyvendindamas ją siaurinant ar plečiant privataus kaltinimo ribas,</w:t>
      </w:r>
      <w:r w:rsidRPr="00CE37D0">
        <w:t xml:space="preserve"> turi </w:t>
      </w:r>
      <w:r>
        <w:t xml:space="preserve">remtis doktrinos formuluojamais </w:t>
      </w:r>
      <w:r w:rsidRPr="00CE37D0">
        <w:t>materialia</w:t>
      </w:r>
      <w:r>
        <w:t>isia</w:t>
      </w:r>
      <w:r w:rsidRPr="00CE37D0">
        <w:t xml:space="preserve">is ir procesiniais pagrindais. </w:t>
      </w:r>
    </w:p>
    <w:p w:rsidR="00357C64" w:rsidRDefault="00357C64" w:rsidP="00357C64">
      <w:pPr>
        <w:numPr>
          <w:ilvl w:val="0"/>
          <w:numId w:val="2"/>
        </w:numPr>
        <w:spacing w:line="360" w:lineRule="auto"/>
        <w:jc w:val="both"/>
      </w:pPr>
      <w:r>
        <w:t xml:space="preserve">Siekiant, </w:t>
      </w:r>
      <w:r w:rsidRPr="00CE37D0">
        <w:t xml:space="preserve">kad privataus kaltinimo bylų proceso </w:t>
      </w:r>
      <w:r>
        <w:t xml:space="preserve">teisinis </w:t>
      </w:r>
      <w:r w:rsidRPr="00CE37D0">
        <w:t>reg</w:t>
      </w:r>
      <w:r>
        <w:t>u</w:t>
      </w:r>
      <w:r w:rsidRPr="00CE37D0">
        <w:t>l</w:t>
      </w:r>
      <w:r>
        <w:t>i</w:t>
      </w:r>
      <w:r w:rsidRPr="00CE37D0">
        <w:t>avim</w:t>
      </w:r>
      <w:r>
        <w:t xml:space="preserve">as </w:t>
      </w:r>
      <w:r w:rsidRPr="00CE37D0">
        <w:t xml:space="preserve">užtikrintų proceso dalyvių teises, </w:t>
      </w:r>
      <w:r>
        <w:t xml:space="preserve">BPK </w:t>
      </w:r>
      <w:r w:rsidRPr="00CE37D0">
        <w:t xml:space="preserve">turi būti </w:t>
      </w:r>
      <w:r>
        <w:t>aiškiai apibrėžti ir teisės taikytojo tinkamai interpretuojami perėjimo iš privataus kaltinimo į viešą kaltinimą</w:t>
      </w:r>
      <w:r w:rsidRPr="00CE37D0">
        <w:t xml:space="preserve"> pagrindai</w:t>
      </w:r>
      <w:r>
        <w:t xml:space="preserve"> bei procedūros </w:t>
      </w:r>
      <w:r w:rsidRPr="00CE37D0">
        <w:t xml:space="preserve">ir užtikrinta reali galimybė </w:t>
      </w:r>
      <w:r>
        <w:t xml:space="preserve">privačiam kaltintojui </w:t>
      </w:r>
      <w:r w:rsidRPr="00CE37D0">
        <w:t xml:space="preserve">gauti teisinę pagalbą. </w:t>
      </w:r>
    </w:p>
    <w:p w:rsidR="00357C64" w:rsidRDefault="00357C64" w:rsidP="00357C64">
      <w:pPr>
        <w:numPr>
          <w:ilvl w:val="0"/>
          <w:numId w:val="2"/>
        </w:numPr>
        <w:spacing w:line="360" w:lineRule="auto"/>
        <w:jc w:val="both"/>
      </w:pPr>
      <w:r w:rsidRPr="00CE37D0">
        <w:t>Mediacija yra optimal</w:t>
      </w:r>
      <w:r>
        <w:t>u</w:t>
      </w:r>
      <w:r w:rsidRPr="00CE37D0">
        <w:t xml:space="preserve">s pagrindinio privataus kaltinimo tikslo </w:t>
      </w:r>
      <w:r>
        <w:t>–</w:t>
      </w:r>
      <w:r w:rsidRPr="00CE37D0">
        <w:t xml:space="preserve"> šalių sutaikymo – pasiekimo būdas, užtikrinantis tiek konflikto šalių interesus, tiek teismų administracinius poreikius.</w:t>
      </w:r>
    </w:p>
    <w:p w:rsidR="00357C64" w:rsidRPr="005F43DF" w:rsidRDefault="00357C64" w:rsidP="00357C64">
      <w:pPr>
        <w:numPr>
          <w:ilvl w:val="0"/>
          <w:numId w:val="2"/>
        </w:numPr>
        <w:spacing w:line="360" w:lineRule="auto"/>
        <w:jc w:val="both"/>
      </w:pPr>
      <w:r w:rsidRPr="00CE37D0">
        <w:t xml:space="preserve">Privataus kaltintojo teisių apimtis nesudaro galimybių </w:t>
      </w:r>
      <w:r>
        <w:t>veiksming</w:t>
      </w:r>
      <w:r w:rsidRPr="00CE37D0">
        <w:t>ai dalyvauti įrodinėjimo procese ir kokybiškai įgyvendinti kaltinimo funkciją</w:t>
      </w:r>
      <w:r>
        <w:t xml:space="preserve">, todėl turi būti </w:t>
      </w:r>
      <w:r w:rsidRPr="005F43DF">
        <w:t xml:space="preserve">plečiama numatant platesnes galimybes įrodinėjimo procese ir (arba) kompensuojama kitomis procesinėmis garantijomis, padedančiomis privačiam kaltintojui realizuoti kaltinimo funkciją: </w:t>
      </w:r>
      <w:r w:rsidRPr="005F43DF">
        <w:rPr>
          <w:bCs/>
          <w:iCs/>
        </w:rPr>
        <w:t>teisinės pagalbos (atstovavimo pagal įgaliojimą) institut</w:t>
      </w:r>
      <w:r>
        <w:rPr>
          <w:bCs/>
          <w:iCs/>
        </w:rPr>
        <w:t>u ir</w:t>
      </w:r>
      <w:r w:rsidRPr="005F43DF">
        <w:rPr>
          <w:bCs/>
          <w:iCs/>
        </w:rPr>
        <w:t xml:space="preserve"> teism</w:t>
      </w:r>
      <w:r>
        <w:rPr>
          <w:bCs/>
          <w:iCs/>
        </w:rPr>
        <w:t>o aktyvumu</w:t>
      </w:r>
      <w:r w:rsidRPr="005F43DF">
        <w:rPr>
          <w:bCs/>
          <w:iCs/>
        </w:rPr>
        <w:t>.</w:t>
      </w:r>
    </w:p>
    <w:p w:rsidR="00357C64" w:rsidRPr="000D7C58" w:rsidRDefault="00357C64" w:rsidP="00357C64">
      <w:pPr>
        <w:pStyle w:val="Antrat2"/>
        <w:spacing w:before="0" w:line="360" w:lineRule="auto"/>
        <w:ind w:firstLine="720"/>
        <w:jc w:val="both"/>
        <w:rPr>
          <w:rFonts w:ascii="Times New Roman" w:hAnsi="Times New Roman"/>
          <w:b w:val="0"/>
          <w:sz w:val="24"/>
          <w:szCs w:val="24"/>
        </w:rPr>
      </w:pPr>
      <w:bookmarkStart w:id="28" w:name="_Toc391459871"/>
      <w:bookmarkStart w:id="29" w:name="_Toc400321670"/>
      <w:r w:rsidRPr="000D7C58">
        <w:rPr>
          <w:rFonts w:ascii="Times New Roman" w:hAnsi="Times New Roman"/>
          <w:sz w:val="24"/>
          <w:szCs w:val="24"/>
        </w:rPr>
        <w:lastRenderedPageBreak/>
        <w:t>Mokslinio tyrimo metodai</w:t>
      </w:r>
      <w:bookmarkEnd w:id="26"/>
      <w:bookmarkEnd w:id="27"/>
      <w:bookmarkEnd w:id="28"/>
      <w:bookmarkEnd w:id="29"/>
    </w:p>
    <w:p w:rsidR="00357C64" w:rsidRPr="00CE37D0" w:rsidRDefault="00357C64" w:rsidP="00357C64">
      <w:pPr>
        <w:spacing w:line="360" w:lineRule="auto"/>
        <w:ind w:firstLine="851"/>
        <w:jc w:val="both"/>
      </w:pPr>
      <w:r w:rsidRPr="00CE37D0">
        <w:t xml:space="preserve">Atliekant disertacinį tyrimą buvo taikomi socialinių mokslų tyrimų metodai. </w:t>
      </w:r>
      <w:r>
        <w:t xml:space="preserve">Įgyvendinant tyrimo tikslą ir uždavinius, buvo </w:t>
      </w:r>
      <w:r w:rsidRPr="00CE37D0">
        <w:t xml:space="preserve">pasitelkti teoriniai metodai: sisteminės analizės, lyginimo, abstrakcijos, </w:t>
      </w:r>
      <w:r>
        <w:t>indukcijos, dedukcijos</w:t>
      </w:r>
      <w:r w:rsidRPr="00CE37D0">
        <w:t xml:space="preserve">, istorinis bei empiriniai dokumentų analizės ir statistinių duomenų analizės metodai. </w:t>
      </w:r>
    </w:p>
    <w:p w:rsidR="00357C64" w:rsidRPr="00CE37D0" w:rsidRDefault="00357C64" w:rsidP="00357C64">
      <w:pPr>
        <w:spacing w:line="360" w:lineRule="auto"/>
        <w:ind w:firstLine="851"/>
        <w:jc w:val="both"/>
      </w:pPr>
      <w:r w:rsidRPr="00CE37D0">
        <w:t>Sisteminės analizės metodas</w:t>
      </w:r>
      <w:r>
        <w:t xml:space="preserve"> </w:t>
      </w:r>
      <w:r w:rsidRPr="00CE37D0">
        <w:t>yra pagrindinis šio tyrimo įrankis ir buvo naudojamas visapusiškai analizuojant</w:t>
      </w:r>
      <w:r>
        <w:t xml:space="preserve"> </w:t>
      </w:r>
      <w:r w:rsidRPr="00CE37D0">
        <w:t>tyrimo objektą, atskleidžiant privataus kaltinimo proceso sampratą, teorinius pagrindus, paskirtį, privataus kaltinimo instituto santykį su kitų teisės šakų institutais ir subinstitutų tarpusavio ryšį, suformuluojant išskyrimo kriterijų klasifikaciją bei identifikuojant šios proceso formos ypatumus. Šis metodas padėjo atskleisti dispozityvaus</w:t>
      </w:r>
      <w:r>
        <w:t xml:space="preserve"> teisinio</w:t>
      </w:r>
      <w:r w:rsidRPr="00CE37D0">
        <w:t xml:space="preserve"> reguliavimo metodo veikimo ypatumus ir ribas privataus kaltinimo bylų procese.</w:t>
      </w:r>
      <w:r>
        <w:t xml:space="preserve"> Be to,</w:t>
      </w:r>
      <w:r w:rsidRPr="00CE37D0">
        <w:t xml:space="preserve"> taikant šį metodą</w:t>
      </w:r>
      <w:r>
        <w:t>,</w:t>
      </w:r>
      <w:r w:rsidRPr="00CE37D0">
        <w:t xml:space="preserve"> buvo išryškinti nukentėjusiojo</w:t>
      </w:r>
      <w:r>
        <w:t xml:space="preserve">, </w:t>
      </w:r>
      <w:r w:rsidRPr="009D7A57">
        <w:rPr>
          <w:i/>
        </w:rPr>
        <w:t>inter alia</w:t>
      </w:r>
      <w:r>
        <w:t xml:space="preserve"> ir kaip</w:t>
      </w:r>
      <w:r w:rsidRPr="00CE37D0">
        <w:t xml:space="preserve"> privataus kaltintojo</w:t>
      </w:r>
      <w:r>
        <w:t>,</w:t>
      </w:r>
      <w:r w:rsidRPr="00CE37D0">
        <w:t xml:space="preserve"> teisinio statuso ypatumai, kurie sąlygoja šio proceso dalyvio teisių ir teisėtų interesų apsaugos ypatingą poreikį šioje proceso formoje. Šis metodas įgalino tiriant privataus kaltinimo bylų procesą kaip baudžiamojo proceso institutą panaudoti kitų teisės šakų – ypatingą dėmesį skiriant civilinio proceso mokslui – žinias, nagrinėtos sąsajos su giminingais kitų teisės šakų institutais (elementais). </w:t>
      </w:r>
      <w:r>
        <w:t xml:space="preserve">Šis metodas pasitelktas </w:t>
      </w:r>
      <w:r w:rsidRPr="00CE37D0">
        <w:t>analizuojant daugelį iškeltų (teisės normų veiksmingumo) problemų ir ieškant argumentuotų jų sprendimo</w:t>
      </w:r>
      <w:r>
        <w:t xml:space="preserve"> būdų</w:t>
      </w:r>
      <w:r w:rsidRPr="00CE37D0">
        <w:t xml:space="preserve">. Taip pat atskleidžiamos doktrinos, pozityviosios teisės bei teisminės jurisprudencijos sąveikos, aiškinamos kolizinės situacijos ir </w:t>
      </w:r>
      <w:r>
        <w:t xml:space="preserve">keliami </w:t>
      </w:r>
      <w:r w:rsidRPr="00CE37D0">
        <w:t xml:space="preserve">diskusiniai klausimai. </w:t>
      </w:r>
    </w:p>
    <w:p w:rsidR="00357C64" w:rsidRPr="00CE37D0" w:rsidRDefault="00357C64" w:rsidP="00357C64">
      <w:pPr>
        <w:spacing w:line="360" w:lineRule="auto"/>
        <w:ind w:firstLine="851"/>
        <w:jc w:val="both"/>
      </w:pPr>
      <w:r w:rsidRPr="00CE37D0">
        <w:t>Lyginimo (komparatyvistiniu) metodu buvo nagrinėjamos mokslinės nuomonės, doktrinos (</w:t>
      </w:r>
      <w:r>
        <w:t>moksl</w:t>
      </w:r>
      <w:r w:rsidRPr="00CE37D0">
        <w:t>inė jurisprudencija), Lietuvos ir užsienio šalių teisės aktai, reglamentuojantys privataus kaltinimo bylų procesą. Lyginimo metodas taikytas</w:t>
      </w:r>
      <w:r>
        <w:t xml:space="preserve"> </w:t>
      </w:r>
      <w:r w:rsidRPr="00CE37D0">
        <w:t xml:space="preserve">siekiant išryškinti atskirose valstybėse susiformavusių privataus kaltinimo institutų bendrus teorinius pagrindus, tiriamo instituto panašumus ir skirtumus skirtingų valstybių pozityviojoje teisėje, taip pat ieškoti gerųjų praktikų ir </w:t>
      </w:r>
      <w:r>
        <w:t>veiksmingo reguliavimo pavyzdžių bei</w:t>
      </w:r>
      <w:r w:rsidRPr="00CE37D0">
        <w:t xml:space="preserve"> teisinio re</w:t>
      </w:r>
      <w:r>
        <w:t>guliav</w:t>
      </w:r>
      <w:r w:rsidRPr="00CE37D0">
        <w:t xml:space="preserve">imo alternatyvų. </w:t>
      </w:r>
      <w:r>
        <w:t>Š</w:t>
      </w:r>
      <w:r w:rsidRPr="00CE37D0">
        <w:t>iuo aspektu daugiausia dėmesio skiriama kontinentinei Europai, t.y. Lietuvos teisės sistemai giminingoms teisės sistemoms. Bendrosios teisės tradicijoje privataus kaltinimo samprata yra kitokia (o JAV iš viso neegzistuoja), todėl ji analizuojama tik tiek, kiek tai reikšminga istorinei nagrinėjamo instituto genezei. Užsienio valstybių privataus kaltinimo proceso teisinio reg</w:t>
      </w:r>
      <w:r>
        <w:t>u</w:t>
      </w:r>
      <w:r w:rsidRPr="00CE37D0">
        <w:t>l</w:t>
      </w:r>
      <w:r>
        <w:t>i</w:t>
      </w:r>
      <w:r w:rsidRPr="00CE37D0">
        <w:t xml:space="preserve">avimo analizė bei vertinimas tėra </w:t>
      </w:r>
      <w:r>
        <w:t>papildomas</w:t>
      </w:r>
      <w:r w:rsidRPr="00CE37D0">
        <w:t xml:space="preserve"> įrankis, kurio tikslas yra sustiprinti formuojamą doktriną bei probleminių klausimų sprendimo būdų paiešką. </w:t>
      </w:r>
      <w:r w:rsidRPr="00762AFC">
        <w:rPr>
          <w:rStyle w:val="Emfaz"/>
          <w:i w:val="0"/>
        </w:rPr>
        <w:t xml:space="preserve">Tyrime remiamasi užsienio valstybių teisinio reguliavimo pavyzdžiais siekiant iliustruoti skirtingus teisinio </w:t>
      </w:r>
      <w:r w:rsidRPr="00E0371E">
        <w:t>reguliavim</w:t>
      </w:r>
      <w:r w:rsidRPr="00E0371E">
        <w:rPr>
          <w:rStyle w:val="Emfaz"/>
          <w:i w:val="0"/>
        </w:rPr>
        <w:t>o</w:t>
      </w:r>
      <w:r w:rsidRPr="00E0371E">
        <w:rPr>
          <w:rStyle w:val="Emfaz"/>
        </w:rPr>
        <w:t xml:space="preserve"> </w:t>
      </w:r>
      <w:r w:rsidRPr="00762AFC">
        <w:rPr>
          <w:rStyle w:val="Emfaz"/>
          <w:i w:val="0"/>
        </w:rPr>
        <w:t xml:space="preserve">būdus, išskirti doktrininius privataus kaltinimo proceso instituto bendrumus ar ieškoti gerųjų praktikų, todėl konkreti užsienio valstybių, kurių pozityviosios teisės normos šiame tyrime nagrinėjamos vienu ar kitu aspektu, grupė nėra </w:t>
      </w:r>
      <w:r w:rsidRPr="00762AFC">
        <w:rPr>
          <w:rStyle w:val="Emfaz"/>
          <w:i w:val="0"/>
        </w:rPr>
        <w:lastRenderedPageBreak/>
        <w:t>apibrėžiama.</w:t>
      </w:r>
      <w:r w:rsidRPr="00762AFC">
        <w:rPr>
          <w:i/>
        </w:rPr>
        <w:t xml:space="preserve"> </w:t>
      </w:r>
      <w:r w:rsidRPr="00CE37D0">
        <w:t xml:space="preserve">Daugiausia remiamasi Vokietijos pavyzdžiu, kadangi Vokietijos teisinė sistema artima Lietuvos teisinei sistemai. </w:t>
      </w:r>
      <w:r>
        <w:t>Dėl</w:t>
      </w:r>
      <w:r w:rsidRPr="00CE37D0">
        <w:t xml:space="preserve"> to tyrimo autorė šį darbą rengė taip pat ir </w:t>
      </w:r>
      <w:r w:rsidRPr="003D05F7">
        <w:t xml:space="preserve">Johann Wolfgang </w:t>
      </w:r>
      <w:r w:rsidR="00762AFC">
        <w:t>Goethe universiteto Teisės fakultete</w:t>
      </w:r>
      <w:r>
        <w:t xml:space="preserve"> (</w:t>
      </w:r>
      <w:r w:rsidRPr="00CE37D0">
        <w:t>Frankfurt</w:t>
      </w:r>
      <w:r>
        <w:t>as</w:t>
      </w:r>
      <w:r w:rsidRPr="00CE37D0">
        <w:t xml:space="preserve"> prie Maino</w:t>
      </w:r>
      <w:r>
        <w:t xml:space="preserve">, Vokietija). </w:t>
      </w:r>
    </w:p>
    <w:p w:rsidR="00357C64" w:rsidRPr="00CE37D0" w:rsidRDefault="00357C64" w:rsidP="00357C64">
      <w:pPr>
        <w:spacing w:line="360" w:lineRule="auto"/>
        <w:ind w:firstLine="851"/>
        <w:jc w:val="both"/>
      </w:pPr>
      <w:r w:rsidRPr="00CE37D0">
        <w:t xml:space="preserve">Abstrakcijos metodas taikytas sistemiškai kartu su lyginimo metodu, siekiant išskirti reikšmingus objektų ryšius ir nagrinėti juos atsietai nuo kitų. Tinkamai pasirinktas abstrahavimosi lygmuo leido išskirti ir apibendrinti privataus kaltinimo instituto dėsningumus atsietai nuo detalių, skiriančių skirtingas teisės sistemas. </w:t>
      </w:r>
    </w:p>
    <w:p w:rsidR="00357C64" w:rsidRDefault="00357C64" w:rsidP="00357C64">
      <w:pPr>
        <w:spacing w:line="360" w:lineRule="auto"/>
        <w:ind w:firstLine="851"/>
        <w:jc w:val="both"/>
      </w:pPr>
      <w:r>
        <w:t xml:space="preserve">Indukcijos </w:t>
      </w:r>
      <w:r w:rsidRPr="00CE37D0">
        <w:t xml:space="preserve">metodu naudotasi formuluojant mokslinio tyrimo metu įgytomis žiniomis pagrįstas išvadas, empirinių duomenų apibendrinimus bei teikiant pasiūlymus dėl privataus kaltinimo optimizavimo ir reglamentavimo tobulinimo. </w:t>
      </w:r>
      <w:r>
        <w:t>Indukcijos</w:t>
      </w:r>
      <w:r w:rsidRPr="00CE37D0">
        <w:t xml:space="preserve"> metod</w:t>
      </w:r>
      <w:r>
        <w:t>as</w:t>
      </w:r>
      <w:r w:rsidRPr="00CE37D0">
        <w:t xml:space="preserve"> buvo naudojamas </w:t>
      </w:r>
      <w:r w:rsidRPr="00C63616">
        <w:t>apibendrin</w:t>
      </w:r>
      <w:r>
        <w:t>ant teismų praktiką</w:t>
      </w:r>
      <w:r w:rsidRPr="00C63616">
        <w:t>, dar</w:t>
      </w:r>
      <w:r>
        <w:t>ant</w:t>
      </w:r>
      <w:r w:rsidRPr="00C63616">
        <w:t xml:space="preserve"> išvada</w:t>
      </w:r>
      <w:r>
        <w:t>s</w:t>
      </w:r>
      <w:r w:rsidRPr="00C63616">
        <w:t xml:space="preserve"> apie </w:t>
      </w:r>
      <w:r w:rsidR="00002F69" w:rsidRPr="00C63616">
        <w:t xml:space="preserve">tiriamai visumai </w:t>
      </w:r>
      <w:r w:rsidR="00002F69">
        <w:t xml:space="preserve">būdingas </w:t>
      </w:r>
      <w:r>
        <w:t>praktikos tendencij</w:t>
      </w:r>
      <w:r w:rsidR="00002F69">
        <w:t>as</w:t>
      </w:r>
      <w:r w:rsidRPr="00C63616">
        <w:t xml:space="preserve"> </w:t>
      </w:r>
      <w:r>
        <w:t xml:space="preserve">bei </w:t>
      </w:r>
      <w:r w:rsidRPr="00CE37D0">
        <w:t>įvertinant, ar baudžiamojo proceso normos ir jų taikymas teismų praktikoje užtikrina proceso šalių teisėtus interesus</w:t>
      </w:r>
      <w:r>
        <w:t xml:space="preserve">. </w:t>
      </w:r>
      <w:r w:rsidRPr="00C63616">
        <w:t>Indukcij</w:t>
      </w:r>
      <w:r>
        <w:t>os</w:t>
      </w:r>
      <w:r w:rsidRPr="00C63616">
        <w:t xml:space="preserve"> metod</w:t>
      </w:r>
      <w:r>
        <w:t xml:space="preserve">as leido daryti išvadas apie iškeltų </w:t>
      </w:r>
      <w:r w:rsidRPr="00C63616">
        <w:t>hipotez</w:t>
      </w:r>
      <w:r>
        <w:t>ių</w:t>
      </w:r>
      <w:r w:rsidRPr="00C63616">
        <w:t xml:space="preserve"> pa</w:t>
      </w:r>
      <w:r>
        <w:t>si</w:t>
      </w:r>
      <w:r w:rsidRPr="00C63616">
        <w:t>tvirtinimą su tam tikra tikimybe.</w:t>
      </w:r>
    </w:p>
    <w:p w:rsidR="00357C64" w:rsidRPr="00CE37D0" w:rsidRDefault="00357C64" w:rsidP="00357C64">
      <w:pPr>
        <w:spacing w:line="360" w:lineRule="auto"/>
        <w:ind w:firstLine="851"/>
        <w:jc w:val="both"/>
      </w:pPr>
      <w:r>
        <w:t>Pagal dedukcijos metodą, remiantis mokslinėmis žiniomis bei bendromis teorinėmis nuostatomis, buvo formuluojamos taisyklės konkretiems atvejams bei modeliuojami konkrečių situacijų sprendimo būdai. Taip pat, naudojantis šiuo metodu, iš teisinių teiginių visumos buvo daromos išvados, susijusios su analizuojama problematika konkrečioje srityje, t.y. privataus kaltinimo procese.</w:t>
      </w:r>
    </w:p>
    <w:p w:rsidR="00357C64" w:rsidRPr="00CE37D0" w:rsidRDefault="00357C64" w:rsidP="00357C64">
      <w:pPr>
        <w:spacing w:line="360" w:lineRule="auto"/>
        <w:ind w:firstLine="993"/>
        <w:jc w:val="both"/>
      </w:pPr>
      <w:r w:rsidRPr="00CE37D0">
        <w:t>Istorinis metodas buvo pasitelktas nagrinėjant privataus kaltinimo instituto raidą, taip pat dispozityvumo principo genezę proceso moksle, analizuojant nukentėjusio nuo nusikalstamos veikos asmens vaidmens</w:t>
      </w:r>
      <w:r>
        <w:t xml:space="preserve"> </w:t>
      </w:r>
      <w:r w:rsidRPr="00CE37D0">
        <w:t>pokyčius ir privataus intereso įtakos tendencijas šiuolai</w:t>
      </w:r>
      <w:r>
        <w:t>kiniame baudžiamajame procese, t</w:t>
      </w:r>
      <w:r w:rsidRPr="00CE37D0">
        <w:t>aip pat vertinant teisinio reguliavimo raidą prognostiniu aspektu.</w:t>
      </w:r>
    </w:p>
    <w:p w:rsidR="00357C64" w:rsidRPr="00CE37D0" w:rsidRDefault="00357C64" w:rsidP="00357C64">
      <w:pPr>
        <w:spacing w:line="360" w:lineRule="auto"/>
        <w:ind w:firstLine="993"/>
        <w:jc w:val="both"/>
      </w:pPr>
      <w:r w:rsidRPr="00CE37D0">
        <w:t>Atliekant disertacinį tyrimą buvo taikomas empirinis dokumentų analizės metodas. Taikant šį metodą</w:t>
      </w:r>
      <w:r>
        <w:t>,</w:t>
      </w:r>
      <w:r w:rsidRPr="00CE37D0">
        <w:t xml:space="preserve"> dokumentai – Lietuvos Respublikos ir užsienio valstybių teisės aktai, tarptautiniai dokumentai, L</w:t>
      </w:r>
      <w:r>
        <w:t xml:space="preserve">ietuvos </w:t>
      </w:r>
      <w:r w:rsidRPr="00CE37D0">
        <w:t>A</w:t>
      </w:r>
      <w:r>
        <w:t>ukščiausiojo Teismo (toliau – ir LAT)</w:t>
      </w:r>
      <w:r w:rsidRPr="00CE37D0">
        <w:t>,</w:t>
      </w:r>
      <w:r>
        <w:t xml:space="preserve"> Lietuvos Respublikos </w:t>
      </w:r>
      <w:r w:rsidRPr="00CE37D0">
        <w:t>K</w:t>
      </w:r>
      <w:r>
        <w:t>onstitucinio Teismo (toliau – ir Konstitucinis Teismas)</w:t>
      </w:r>
      <w:r w:rsidRPr="00CE37D0">
        <w:t>, E</w:t>
      </w:r>
      <w:r>
        <w:t>uropos Žmogaus Teisių Teismo (toliau – ir EŽTT)</w:t>
      </w:r>
      <w:r w:rsidRPr="00CE37D0">
        <w:t xml:space="preserve"> jurisprudencija, teismų sprendimai – buvo naudojami kaip pagrindiniai informacijos šaltiniai. Tiriant dokumentus</w:t>
      </w:r>
      <w:r>
        <w:t>,</w:t>
      </w:r>
      <w:r w:rsidRPr="00CE37D0">
        <w:t xml:space="preserve"> buvo siekiama identifikuoti ir apibendrinti privataus kaltinimo bylų proceso instituto ypatumus, įvertinti teisės normų veiksmingumą. Tyrimo metu, vadovaujantis prisotinimo principu, buvo analizuojami atrinkti nacionalinių ir tarptautinių teismų sprendimai, kurie geriausiai atspindi</w:t>
      </w:r>
      <w:r>
        <w:t xml:space="preserve"> ir (ar) labiausiai </w:t>
      </w:r>
      <w:r w:rsidRPr="00CE37D0">
        <w:t>susiję su mokslinio tyrimo problematika (kritinės imties sudarymo būdas) bei</w:t>
      </w:r>
      <w:r>
        <w:t xml:space="preserve"> atrinkti </w:t>
      </w:r>
      <w:r w:rsidRPr="00CE37D0">
        <w:t>pagal juose nagrinėjamų klausimų pobūdį</w:t>
      </w:r>
      <w:r>
        <w:t xml:space="preserve"> </w:t>
      </w:r>
      <w:r w:rsidRPr="00CE37D0">
        <w:t xml:space="preserve">(tikslinės imties sudarymo </w:t>
      </w:r>
      <w:r w:rsidRPr="00CE37D0">
        <w:lastRenderedPageBreak/>
        <w:t xml:space="preserve">būdas). </w:t>
      </w:r>
      <w:r>
        <w:t>Daugiausia</w:t>
      </w:r>
      <w:r w:rsidRPr="00CE37D0">
        <w:t xml:space="preserve"> buvo remtasi pirminiais šaltiniais, tačiau užsienio valstybių teisinis reg</w:t>
      </w:r>
      <w:r>
        <w:t>ulia</w:t>
      </w:r>
      <w:r w:rsidRPr="00CE37D0">
        <w:t xml:space="preserve">vimas buvo analizuojamas ir pasitelkus </w:t>
      </w:r>
      <w:r>
        <w:t>moksl</w:t>
      </w:r>
      <w:r w:rsidRPr="00CE37D0">
        <w:t xml:space="preserve">inę jurisprudenciją. </w:t>
      </w:r>
    </w:p>
    <w:p w:rsidR="00357C64" w:rsidRPr="00CE37D0" w:rsidRDefault="00357C64" w:rsidP="00357C64">
      <w:pPr>
        <w:spacing w:line="360" w:lineRule="auto"/>
        <w:ind w:firstLine="851"/>
        <w:jc w:val="both"/>
      </w:pPr>
      <w:r w:rsidRPr="00CE37D0">
        <w:t xml:space="preserve">Empirinis statistinių duomenų analizės metodas buvo pasitelktas vertinant Lietuvos teismų statistinius duomenis. </w:t>
      </w:r>
    </w:p>
    <w:p w:rsidR="00357C64" w:rsidRDefault="00357C64" w:rsidP="00357C64">
      <w:pPr>
        <w:spacing w:line="360" w:lineRule="auto"/>
        <w:ind w:firstLine="851"/>
        <w:jc w:val="both"/>
      </w:pPr>
      <w:r w:rsidRPr="00CE37D0">
        <w:t xml:space="preserve">Pažymėtina, kad tik kompleksinis visų paminėtų tyrimo metodų taikymas sudaro prielaidas išsamiai ir visapusiškai tyrimo objekto bei keliamų problemų analizei. </w:t>
      </w:r>
    </w:p>
    <w:p w:rsidR="00357C64" w:rsidRDefault="00357C64" w:rsidP="00762AFC">
      <w:pPr>
        <w:spacing w:line="360" w:lineRule="auto"/>
        <w:ind w:firstLine="900"/>
        <w:jc w:val="both"/>
        <w:rPr>
          <w:rFonts w:eastAsia="Times New Roman"/>
          <w:lang w:eastAsia="lt-LT"/>
        </w:rPr>
      </w:pPr>
      <w:r w:rsidRPr="00CE37D0">
        <w:rPr>
          <w:rFonts w:eastAsia="Times New Roman"/>
          <w:lang w:eastAsia="lt-LT"/>
        </w:rPr>
        <w:t>Atliekant tyrimą buvo remiamasi Lietuvoje iki 201</w:t>
      </w:r>
      <w:r>
        <w:rPr>
          <w:rFonts w:eastAsia="Times New Roman"/>
          <w:lang w:eastAsia="lt-LT"/>
        </w:rPr>
        <w:t>4</w:t>
      </w:r>
      <w:r w:rsidRPr="00CE37D0">
        <w:rPr>
          <w:rFonts w:eastAsia="Times New Roman"/>
          <w:lang w:eastAsia="lt-LT"/>
        </w:rPr>
        <w:t xml:space="preserve"> m. </w:t>
      </w:r>
      <w:r>
        <w:rPr>
          <w:rFonts w:eastAsia="Times New Roman"/>
          <w:lang w:eastAsia="lt-LT"/>
        </w:rPr>
        <w:t>birželio 1</w:t>
      </w:r>
      <w:r w:rsidRPr="00CE37D0">
        <w:rPr>
          <w:rFonts w:eastAsia="Times New Roman"/>
          <w:lang w:eastAsia="lt-LT"/>
        </w:rPr>
        <w:t xml:space="preserve"> d. galiojusiais teisės aktais, jų ankstesnėmis redakcijomis, užsienio valstybėse iki 201</w:t>
      </w:r>
      <w:r>
        <w:rPr>
          <w:rFonts w:eastAsia="Times New Roman"/>
          <w:lang w:eastAsia="lt-LT"/>
        </w:rPr>
        <w:t>4</w:t>
      </w:r>
      <w:r w:rsidRPr="00CE37D0">
        <w:rPr>
          <w:rFonts w:eastAsia="Times New Roman"/>
          <w:lang w:eastAsia="lt-LT"/>
        </w:rPr>
        <w:t xml:space="preserve"> m. </w:t>
      </w:r>
      <w:r>
        <w:rPr>
          <w:rFonts w:eastAsia="Times New Roman"/>
          <w:lang w:eastAsia="lt-LT"/>
        </w:rPr>
        <w:t>birželio 1</w:t>
      </w:r>
      <w:r w:rsidRPr="00CE37D0">
        <w:rPr>
          <w:rFonts w:eastAsia="Times New Roman"/>
          <w:lang w:eastAsia="lt-LT"/>
        </w:rPr>
        <w:t xml:space="preserve"> d. galiojusiais teisės aktais, tarptautiniais dokumentais. </w:t>
      </w:r>
    </w:p>
    <w:p w:rsidR="00357C64" w:rsidRPr="000D7C58" w:rsidRDefault="00357C64" w:rsidP="00762AFC">
      <w:pPr>
        <w:pStyle w:val="Antrat2"/>
        <w:spacing w:before="0" w:after="0" w:line="360" w:lineRule="auto"/>
        <w:ind w:firstLine="851"/>
        <w:rPr>
          <w:rFonts w:ascii="Times New Roman" w:hAnsi="Times New Roman"/>
          <w:b w:val="0"/>
          <w:sz w:val="24"/>
          <w:szCs w:val="24"/>
        </w:rPr>
      </w:pPr>
      <w:bookmarkStart w:id="30" w:name="_Toc365498821"/>
      <w:bookmarkStart w:id="31" w:name="_Toc370139885"/>
      <w:bookmarkStart w:id="32" w:name="_Toc391459872"/>
      <w:bookmarkStart w:id="33" w:name="_Toc400321671"/>
      <w:r w:rsidRPr="000D7C58">
        <w:rPr>
          <w:rFonts w:ascii="Times New Roman" w:eastAsia="Calibri" w:hAnsi="Times New Roman"/>
          <w:sz w:val="24"/>
          <w:szCs w:val="24"/>
        </w:rPr>
        <w:t>Disertacinio tyrimo struktūra</w:t>
      </w:r>
      <w:bookmarkEnd w:id="30"/>
      <w:bookmarkEnd w:id="31"/>
      <w:bookmarkEnd w:id="32"/>
      <w:bookmarkEnd w:id="33"/>
      <w:r w:rsidRPr="000D7C58">
        <w:rPr>
          <w:rFonts w:ascii="Times New Roman" w:hAnsi="Times New Roman"/>
          <w:sz w:val="24"/>
          <w:szCs w:val="24"/>
        </w:rPr>
        <w:t xml:space="preserve"> </w:t>
      </w:r>
    </w:p>
    <w:p w:rsidR="00357C64" w:rsidRPr="00CE37D0" w:rsidRDefault="00357C64" w:rsidP="00762AFC">
      <w:pPr>
        <w:spacing w:line="360" w:lineRule="auto"/>
        <w:ind w:firstLine="851"/>
        <w:jc w:val="both"/>
      </w:pPr>
      <w:r w:rsidRPr="00CE37D0">
        <w:t>Disertacinio tyrimo struktūrą sąlygojo tyrimo objektas, apibrėžtas tikslas ir iškelti uždaviniai. Disertacinį tyrimą sudaro įvadas, trys tiriam</w:t>
      </w:r>
      <w:r>
        <w:t>ieji skyriai</w:t>
      </w:r>
      <w:r w:rsidRPr="00CE37D0">
        <w:t>, išvados ir pasiūlymai, naudotų šaltinių ir literatūros sąrašas, priedai ir santrauka anglų kalba.</w:t>
      </w:r>
    </w:p>
    <w:p w:rsidR="00357C64" w:rsidRPr="00CE37D0" w:rsidRDefault="00357C64" w:rsidP="00357C64">
      <w:pPr>
        <w:spacing w:line="360" w:lineRule="auto"/>
        <w:ind w:firstLine="851"/>
        <w:jc w:val="both"/>
      </w:pPr>
      <w:r w:rsidRPr="00CE37D0">
        <w:t xml:space="preserve">Įvade pagrindžiamas </w:t>
      </w:r>
      <w:r>
        <w:t>temos</w:t>
      </w:r>
      <w:r w:rsidRPr="00CE37D0">
        <w:t xml:space="preserve"> aktualumas, atskleidžiant tiriamąją problemą, tyrimo naujumas ir reikšmė, apibrėžiamas tyrimo objektas, iškeliami tikslas ir uždaviniai, pristatomi ginamieji disertacijos teiginiai. Taip pat įvade pateikiama tyrimo metodologija. Tyrimų apžvalgoje nurodomi Lietuvoje ir užsienio šalyse atlikti moksliniai tyrimai, susiję su disertacinio tyrimo objektu. </w:t>
      </w:r>
    </w:p>
    <w:p w:rsidR="00357C64" w:rsidRPr="00CE37D0" w:rsidRDefault="00357C64" w:rsidP="00357C64">
      <w:pPr>
        <w:spacing w:line="360" w:lineRule="auto"/>
        <w:ind w:firstLine="851"/>
        <w:jc w:val="both"/>
        <w:rPr>
          <w:bCs/>
        </w:rPr>
      </w:pPr>
      <w:r w:rsidRPr="00CE37D0">
        <w:t>Pirm</w:t>
      </w:r>
      <w:r>
        <w:t>ame skyriu</w:t>
      </w:r>
      <w:r w:rsidRPr="00CE37D0">
        <w:t>je pateikiama dispozityvumo principo samprata procese apskritai bei jo veikimo baudžiamajame procese specifika. Analizuojant dispozityvum</w:t>
      </w:r>
      <w:r>
        <w:t>ą kaip teisės principą ir kaip teisinio reguliavimo metodą,</w:t>
      </w:r>
      <w:r w:rsidRPr="00CE37D0">
        <w:t xml:space="preserve"> plačiai remiamasi kitų teisės šakų, daugiausia – civilinio proceso, moksliniais tyrimais. Dispozityvumo principas baudžiamajame procese ryškiausiai pasireiškia privataus kaltinimo bylų procese, todėl jis analizuojamas kaip </w:t>
      </w:r>
      <w:r>
        <w:t>metodologi</w:t>
      </w:r>
      <w:r w:rsidRPr="00CE37D0">
        <w:t>nis privataus kaltinimo proceso form</w:t>
      </w:r>
      <w:r>
        <w:t>os pagrindas ir veiksnys, lemian</w:t>
      </w:r>
      <w:r w:rsidRPr="00CE37D0">
        <w:t>tis privataus kaltinimo procesinės formos ypatumus. Ši</w:t>
      </w:r>
      <w:r>
        <w:t>ame skyriu</w:t>
      </w:r>
      <w:r w:rsidRPr="00CE37D0">
        <w:t xml:space="preserve">je </w:t>
      </w:r>
      <w:r>
        <w:t xml:space="preserve">išskiriami privataus kaltinimo diferencijavimo pagrindai: </w:t>
      </w:r>
      <w:r w:rsidRPr="00CE37D0">
        <w:t>teoriniai – material</w:t>
      </w:r>
      <w:r>
        <w:t>iniai teisiniai (kaltinimo diferencijavimo)</w:t>
      </w:r>
      <w:r w:rsidRPr="00CE37D0">
        <w:t xml:space="preserve"> ir procesiniai </w:t>
      </w:r>
      <w:r>
        <w:t>(proceso diferencijavimo)</w:t>
      </w:r>
      <w:r>
        <w:rPr>
          <w:bCs/>
        </w:rPr>
        <w:t>, nagrinėjamos neoficialaus kaltinimo rūšys doktrinoje</w:t>
      </w:r>
      <w:r w:rsidRPr="00CE37D0">
        <w:rPr>
          <w:bCs/>
        </w:rPr>
        <w:t xml:space="preserve">. </w:t>
      </w:r>
      <w:r>
        <w:rPr>
          <w:bCs/>
        </w:rPr>
        <w:t>Taip pat analizuojamos nusikalstamos veikos, nagrinėjamos privataus kaltinimo tvarka: jų objektas bei pavojingumas. Šiame skyriuje pateikiami užsienio valstybių privataus kaltinimo teisinio reguliavimo pavyzdžiai.</w:t>
      </w:r>
    </w:p>
    <w:p w:rsidR="00357C64" w:rsidRPr="00CE37D0" w:rsidRDefault="00357C64" w:rsidP="00357C64">
      <w:pPr>
        <w:spacing w:line="360" w:lineRule="auto"/>
        <w:ind w:firstLine="851"/>
        <w:jc w:val="both"/>
        <w:rPr>
          <w:bCs/>
        </w:rPr>
      </w:pPr>
      <w:r>
        <w:rPr>
          <w:bCs/>
        </w:rPr>
        <w:t>Antram</w:t>
      </w:r>
      <w:r w:rsidRPr="00CE37D0">
        <w:rPr>
          <w:bCs/>
        </w:rPr>
        <w:t xml:space="preserve">e </w:t>
      </w:r>
      <w:r>
        <w:rPr>
          <w:bCs/>
        </w:rPr>
        <w:t>skyriu</w:t>
      </w:r>
      <w:r w:rsidRPr="00CE37D0">
        <w:rPr>
          <w:bCs/>
        </w:rPr>
        <w:t>je</w:t>
      </w:r>
      <w:r>
        <w:rPr>
          <w:bCs/>
        </w:rPr>
        <w:t xml:space="preserve"> </w:t>
      </w:r>
      <w:r w:rsidRPr="00CE37D0">
        <w:rPr>
          <w:bCs/>
        </w:rPr>
        <w:t>analizuojamos privataus kaltinimo bylų procese dalyvaujančių asmenų procesinių teisių realizavimo garantijos. Privataus kaltinimo bylų procese privačiam kaltintojui tenka specifinė funkcija ir itin svarbus vaidmuo, todėl šioje dalyje ypatingas dėmesys skiriamas nukentėjusiojo</w:t>
      </w:r>
      <w:r>
        <w:rPr>
          <w:bCs/>
        </w:rPr>
        <w:t xml:space="preserve">, </w:t>
      </w:r>
      <w:r w:rsidRPr="007E3B47">
        <w:rPr>
          <w:bCs/>
          <w:i/>
        </w:rPr>
        <w:t>inter alia</w:t>
      </w:r>
      <w:r>
        <w:rPr>
          <w:bCs/>
        </w:rPr>
        <w:t xml:space="preserve"> ir kaip </w:t>
      </w:r>
      <w:r w:rsidRPr="00CE37D0">
        <w:rPr>
          <w:bCs/>
        </w:rPr>
        <w:t>privataus kaltintojo</w:t>
      </w:r>
      <w:r>
        <w:rPr>
          <w:bCs/>
        </w:rPr>
        <w:t>,</w:t>
      </w:r>
      <w:r w:rsidRPr="00CE37D0">
        <w:rPr>
          <w:bCs/>
        </w:rPr>
        <w:t xml:space="preserve"> teisinei padėčiai. Analizuojamas nukentėjusiojo vaidmuo, jo interesai, teisių ir pareigų apimtis bei jų realizavimo galimybės.</w:t>
      </w:r>
      <w:r>
        <w:rPr>
          <w:bCs/>
        </w:rPr>
        <w:t xml:space="preserve"> </w:t>
      </w:r>
      <w:r w:rsidRPr="00CE37D0">
        <w:rPr>
          <w:bCs/>
        </w:rPr>
        <w:t>Prokuroro vaidmuo privataus kaltinimo bylų procese ši</w:t>
      </w:r>
      <w:r>
        <w:rPr>
          <w:bCs/>
        </w:rPr>
        <w:t>ame skyriu</w:t>
      </w:r>
      <w:r w:rsidRPr="00CE37D0">
        <w:rPr>
          <w:bCs/>
        </w:rPr>
        <w:t>je analizuojam</w:t>
      </w:r>
      <w:r>
        <w:rPr>
          <w:bCs/>
        </w:rPr>
        <w:t>as</w:t>
      </w:r>
      <w:r w:rsidRPr="00CE37D0">
        <w:rPr>
          <w:bCs/>
        </w:rPr>
        <w:t xml:space="preserve"> kaip proceso </w:t>
      </w:r>
      <w:r w:rsidRPr="00CE37D0">
        <w:rPr>
          <w:bCs/>
        </w:rPr>
        <w:lastRenderedPageBreak/>
        <w:t>dalyvių</w:t>
      </w:r>
      <w:r>
        <w:rPr>
          <w:bCs/>
        </w:rPr>
        <w:t>, pirmiausia – nukentėjusio asmens,</w:t>
      </w:r>
      <w:r w:rsidRPr="00CE37D0">
        <w:rPr>
          <w:bCs/>
        </w:rPr>
        <w:t xml:space="preserve"> teisių įgyvendinimo garantas</w:t>
      </w:r>
      <w:r>
        <w:rPr>
          <w:bCs/>
        </w:rPr>
        <w:t>, nagrinėjamas perėjimo iš privataus kaltinimo į viešą kaltinimą mechanizmas, jo teisinio reguliavimo trūkumai</w:t>
      </w:r>
      <w:r w:rsidRPr="00CE37D0">
        <w:rPr>
          <w:bCs/>
        </w:rPr>
        <w:t>. Formuluojami kriterijai, k</w:t>
      </w:r>
      <w:r>
        <w:rPr>
          <w:bCs/>
        </w:rPr>
        <w:t xml:space="preserve">uriais vadovaujantis nustatoma nusikalstamos veikos visuomeninė reikšmė, </w:t>
      </w:r>
      <w:r w:rsidRPr="00CE37D0">
        <w:rPr>
          <w:bCs/>
        </w:rPr>
        <w:t xml:space="preserve">ir </w:t>
      </w:r>
      <w:r>
        <w:rPr>
          <w:bCs/>
        </w:rPr>
        <w:t>nurodo</w:t>
      </w:r>
      <w:r w:rsidRPr="00CE37D0">
        <w:rPr>
          <w:bCs/>
        </w:rPr>
        <w:t>mos</w:t>
      </w:r>
      <w:r>
        <w:rPr>
          <w:bCs/>
        </w:rPr>
        <w:t xml:space="preserve"> su nukentėjusiu asmeniu susijusios </w:t>
      </w:r>
      <w:r w:rsidRPr="00CE37D0">
        <w:rPr>
          <w:bCs/>
        </w:rPr>
        <w:t>priežastys</w:t>
      </w:r>
      <w:r>
        <w:rPr>
          <w:bCs/>
        </w:rPr>
        <w:t xml:space="preserve"> bei procesinės kliūtys</w:t>
      </w:r>
      <w:r w:rsidRPr="00CE37D0">
        <w:rPr>
          <w:bCs/>
        </w:rPr>
        <w:t xml:space="preserve">, dėl kurių nukentėjęs nuo nusikalstamos veikos asmuo negali </w:t>
      </w:r>
      <w:r>
        <w:rPr>
          <w:bCs/>
        </w:rPr>
        <w:t>veiksming</w:t>
      </w:r>
      <w:r w:rsidRPr="00CE37D0">
        <w:rPr>
          <w:bCs/>
        </w:rPr>
        <w:t>ai ginti savo interesų.</w:t>
      </w:r>
      <w:r>
        <w:rPr>
          <w:bCs/>
        </w:rPr>
        <w:t xml:space="preserve">  </w:t>
      </w:r>
    </w:p>
    <w:p w:rsidR="00357C64" w:rsidRPr="00CE37D0" w:rsidRDefault="00357C64" w:rsidP="00357C64">
      <w:pPr>
        <w:spacing w:line="360" w:lineRule="auto"/>
        <w:ind w:firstLine="851"/>
        <w:jc w:val="both"/>
        <w:rPr>
          <w:bCs/>
        </w:rPr>
      </w:pPr>
      <w:r w:rsidRPr="00CE37D0">
        <w:rPr>
          <w:bCs/>
        </w:rPr>
        <w:t>Trečia</w:t>
      </w:r>
      <w:r>
        <w:rPr>
          <w:bCs/>
        </w:rPr>
        <w:t>s skyriu</w:t>
      </w:r>
      <w:r w:rsidRPr="00CE37D0">
        <w:rPr>
          <w:bCs/>
        </w:rPr>
        <w:t>s skiriama</w:t>
      </w:r>
      <w:r>
        <w:rPr>
          <w:bCs/>
        </w:rPr>
        <w:t>s</w:t>
      </w:r>
      <w:r w:rsidRPr="00CE37D0">
        <w:rPr>
          <w:bCs/>
        </w:rPr>
        <w:t xml:space="preserve"> privataus kaltinimo bylų nagrinėjimo teisme procesinių ypatumų analizei Lietuvos pozityviojoje teisėje ir lyginamajam privataus kaltinimo proceso tyrimui</w:t>
      </w:r>
      <w:r>
        <w:rPr>
          <w:bCs/>
        </w:rPr>
        <w:t xml:space="preserve"> šiuo aspektu</w:t>
      </w:r>
      <w:r w:rsidRPr="00CE37D0">
        <w:rPr>
          <w:bCs/>
        </w:rPr>
        <w:t xml:space="preserve">. </w:t>
      </w:r>
      <w:r>
        <w:rPr>
          <w:bCs/>
        </w:rPr>
        <w:t>Nurodyt</w:t>
      </w:r>
      <w:r w:rsidRPr="00CE37D0">
        <w:rPr>
          <w:bCs/>
        </w:rPr>
        <w:t>i privataus kaltinimo proceso ypatumai sie</w:t>
      </w:r>
      <w:r>
        <w:rPr>
          <w:bCs/>
        </w:rPr>
        <w:t>jam</w:t>
      </w:r>
      <w:r w:rsidRPr="00CE37D0">
        <w:rPr>
          <w:bCs/>
        </w:rPr>
        <w:t xml:space="preserve">i su proceso iniciatyvos teise, šalių susitaikymo galimybe, </w:t>
      </w:r>
      <w:r>
        <w:rPr>
          <w:bCs/>
        </w:rPr>
        <w:t xml:space="preserve">teisminio nagrinėjimo specialiosiomis nuostatomis bei </w:t>
      </w:r>
      <w:r w:rsidRPr="00CE37D0">
        <w:rPr>
          <w:bCs/>
        </w:rPr>
        <w:t xml:space="preserve">įrodinėjimu ir teismo sprendimo apskundimo teise. Šie keturi </w:t>
      </w:r>
      <w:r>
        <w:rPr>
          <w:bCs/>
        </w:rPr>
        <w:t>aspek</w:t>
      </w:r>
      <w:r w:rsidRPr="00CE37D0">
        <w:rPr>
          <w:bCs/>
        </w:rPr>
        <w:t>tai nagrinėjami skirtingose trečio skyri</w:t>
      </w:r>
      <w:r>
        <w:rPr>
          <w:bCs/>
        </w:rPr>
        <w:t>aus dalyse</w:t>
      </w:r>
      <w:r w:rsidRPr="00CE37D0">
        <w:rPr>
          <w:bCs/>
        </w:rPr>
        <w:t xml:space="preserve">. Privataus kaltinimo teisė nagrinėjama kaip teisė į </w:t>
      </w:r>
      <w:r>
        <w:rPr>
          <w:bCs/>
        </w:rPr>
        <w:t>teisminę gynybą</w:t>
      </w:r>
      <w:r w:rsidRPr="00CE37D0">
        <w:rPr>
          <w:bCs/>
        </w:rPr>
        <w:t>, o privataus kaltinimo skundas vertinamas kaip šios teisės procesinė išraiška. Šalių susitaikymo reikšmė iškeliama kaip pagrindinis privataus kaltinimo bylų proceso tikslas</w:t>
      </w:r>
      <w:r>
        <w:rPr>
          <w:bCs/>
        </w:rPr>
        <w:t>, ieškoma optimalaus</w:t>
      </w:r>
      <w:r w:rsidRPr="00CE37D0">
        <w:rPr>
          <w:bCs/>
        </w:rPr>
        <w:t xml:space="preserve"> šio tikslo įgyvendinimo būdo. Analizuojant privataus kaltinimo proceso</w:t>
      </w:r>
      <w:r>
        <w:rPr>
          <w:bCs/>
        </w:rPr>
        <w:t>, kai bylas nagrinėja</w:t>
      </w:r>
      <w:r w:rsidR="00E0371E">
        <w:rPr>
          <w:bCs/>
        </w:rPr>
        <w:t xml:space="preserve"> pirmosios instancijos teismas,</w:t>
      </w:r>
      <w:r w:rsidRPr="00CE37D0">
        <w:rPr>
          <w:bCs/>
        </w:rPr>
        <w:t xml:space="preserve"> ypatumus, susitelkiama ties specifiniais proceso bruožais: kaltinimo atsisakymu, procesiniu bendrininkavim</w:t>
      </w:r>
      <w:r>
        <w:rPr>
          <w:bCs/>
        </w:rPr>
        <w:t>u ir probleminiais įrodinėjimo bei</w:t>
      </w:r>
      <w:r w:rsidRPr="00CE37D0">
        <w:rPr>
          <w:bCs/>
        </w:rPr>
        <w:t xml:space="preserve"> privataus kaltintojo </w:t>
      </w:r>
      <w:r>
        <w:rPr>
          <w:bCs/>
        </w:rPr>
        <w:t xml:space="preserve">procesinės </w:t>
      </w:r>
      <w:r w:rsidRPr="00CE37D0">
        <w:rPr>
          <w:bCs/>
        </w:rPr>
        <w:t>atsakomybės aspektais. Teismo sprendimų kontrolės formų reglamentavimas analizuojamas per žmogaus teisių apsaugos standartų prizmę bei užsienio šalių patirtį.</w:t>
      </w:r>
    </w:p>
    <w:p w:rsidR="00357C64" w:rsidRDefault="00357C64" w:rsidP="00357C64">
      <w:pPr>
        <w:spacing w:line="360" w:lineRule="auto"/>
        <w:ind w:firstLine="851"/>
        <w:jc w:val="both"/>
        <w:rPr>
          <w:bCs/>
        </w:rPr>
      </w:pPr>
      <w:r w:rsidRPr="00CE37D0">
        <w:rPr>
          <w:bCs/>
        </w:rPr>
        <w:t xml:space="preserve">Darbo pabaigoje pateikiamos disertacinio tyrimo išvados, kurios pagrindžia ginamuosius teiginius bei reziumuoja pagrindinius </w:t>
      </w:r>
      <w:r>
        <w:rPr>
          <w:bCs/>
        </w:rPr>
        <w:t>mokslinio tyrimo rezultatus, taip pat formuluojami pasiūlymai įstatymų leidėjui dėl teisės normų tobulinimo.</w:t>
      </w:r>
    </w:p>
    <w:p w:rsidR="00874DB4" w:rsidRDefault="00874DB4" w:rsidP="00357C64">
      <w:pPr>
        <w:spacing w:line="360" w:lineRule="auto"/>
        <w:ind w:firstLine="900"/>
        <w:jc w:val="both"/>
        <w:rPr>
          <w:bCs/>
        </w:rPr>
      </w:pPr>
      <w:r>
        <w:rPr>
          <w:bCs/>
        </w:rPr>
        <w:br w:type="page"/>
      </w:r>
    </w:p>
    <w:p w:rsidR="002224D7" w:rsidRDefault="00236FB3" w:rsidP="00874DB4">
      <w:pPr>
        <w:pStyle w:val="Antrat1"/>
      </w:pPr>
      <w:bookmarkStart w:id="34" w:name="_Toc365498822"/>
      <w:bookmarkStart w:id="35" w:name="_Toc370139886"/>
      <w:bookmarkStart w:id="36" w:name="_Toc400321672"/>
      <w:r w:rsidRPr="00CE37D0">
        <w:lastRenderedPageBreak/>
        <w:t>Tyrimų apžvalga</w:t>
      </w:r>
      <w:bookmarkEnd w:id="34"/>
      <w:bookmarkEnd w:id="35"/>
      <w:bookmarkEnd w:id="36"/>
    </w:p>
    <w:p w:rsidR="00874DB4" w:rsidRPr="00874DB4" w:rsidRDefault="00874DB4" w:rsidP="00874DB4"/>
    <w:p w:rsidR="00B42C64" w:rsidRPr="00CE37D0" w:rsidRDefault="00A972D2" w:rsidP="00EA7C59">
      <w:pPr>
        <w:spacing w:line="360" w:lineRule="auto"/>
        <w:ind w:firstLine="851"/>
        <w:jc w:val="both"/>
      </w:pPr>
      <w:r w:rsidRPr="00CE37D0">
        <w:t>Disertaciniu lygmeniu Lietuvoje privataus kaltinimo bylų proceso institutas nagrinėjamas nebuvo. S. Juzukonio disertacijoje „Nukentėjusiojo teisių apsauga baudžiamajame procese“ analizuojama nukentėjusiojo teisinė padėtis ir privataus kaltinimo bylų procese, tačiau šiame tyrime privataus kaltintojo procesin</w:t>
      </w:r>
      <w:r>
        <w:t>io statuso</w:t>
      </w:r>
      <w:r w:rsidRPr="00CE37D0">
        <w:t xml:space="preserve"> analizei suteikiama tik antraeilė reikšmė.</w:t>
      </w:r>
      <w:r w:rsidR="00B42C64" w:rsidRPr="00CE37D0">
        <w:t xml:space="preserve"> </w:t>
      </w:r>
      <w:r w:rsidR="00B42C64" w:rsidRPr="00CE37D0">
        <w:rPr>
          <w:rStyle w:val="Puslapioinaosnuoroda"/>
        </w:rPr>
        <w:footnoteReference w:id="4"/>
      </w:r>
      <w:r w:rsidR="00B42C64" w:rsidRPr="00CE37D0">
        <w:t xml:space="preserve"> </w:t>
      </w:r>
      <w:r w:rsidR="009A31F0" w:rsidRPr="00CE37D0">
        <w:t>Lietuvos baudžiamojo proceso moksle privataus kaltinimo bylų procesas buvo nagrinėjamas tik kompleksiškai su kitomis specifinėmis baudžiamojo proceso formomis, tačiau atskirai tyrinėtas nebuv</w:t>
      </w:r>
      <w:r w:rsidR="009A31F0">
        <w:t>o, o</w:t>
      </w:r>
      <w:r w:rsidR="009A31F0" w:rsidRPr="00CE37D0">
        <w:t xml:space="preserve"> mokslinių publikacijų, skirtų šio instituto normų bei problematikos analizei, nėra gausu. Privatus kaltinimas, tiesa, fragmentiškai, minimas jau 1918-1940 m. </w:t>
      </w:r>
      <w:r w:rsidR="009A31F0">
        <w:t>n</w:t>
      </w:r>
      <w:r w:rsidR="009A31F0" w:rsidRPr="00CE37D0">
        <w:t>epriklausomos Lietuvos teisės moksle: P. Leono, M. Kavolio darbuose.</w:t>
      </w:r>
      <w:r w:rsidR="004228EF" w:rsidRPr="00CE37D0">
        <w:t xml:space="preserve"> </w:t>
      </w:r>
      <w:r w:rsidR="004228EF" w:rsidRPr="00CE37D0">
        <w:rPr>
          <w:rStyle w:val="Puslapioinaosnuoroda"/>
        </w:rPr>
        <w:footnoteReference w:id="5"/>
      </w:r>
      <w:r w:rsidR="009A31F0">
        <w:t xml:space="preserve"> </w:t>
      </w:r>
      <w:r w:rsidR="00EC57C2" w:rsidRPr="00CE37D0">
        <w:t xml:space="preserve">Nacionalinėje </w:t>
      </w:r>
      <w:r w:rsidR="00EC57C2">
        <w:t>moksli</w:t>
      </w:r>
      <w:r w:rsidR="00EC57C2" w:rsidRPr="00CE37D0">
        <w:t>nėje jurisprudencijoje apsiribojama šio klausimo nagrinėjimu vadovėliuose: G. Godos, M. Kazlausko, P. Kuconio parengto vadovėlio „Baudžiamojo proceso teisė“ 2005 m. ir 2011 m. laidose pateikiama privataus kaltinimo procesinės formos samprata, jos ypatumai, tačiau ši analizė dėl publikacijos paskirties mokymo procesui nėra detali, apsiribojama esminių momentų pateikimu</w:t>
      </w:r>
      <w:r w:rsidR="00EC57C2">
        <w:t>, būdingu</w:t>
      </w:r>
      <w:r w:rsidR="00EC57C2" w:rsidRPr="00CE37D0">
        <w:t xml:space="preserve"> tokio pobūdžio leidini</w:t>
      </w:r>
      <w:r w:rsidR="00EC57C2">
        <w:t>ams</w:t>
      </w:r>
      <w:r w:rsidR="00EC57C2" w:rsidRPr="00CE37D0">
        <w:t>. Daugiau dėmesio privataus kaltinimo</w:t>
      </w:r>
      <w:r w:rsidR="00EC57C2">
        <w:t xml:space="preserve"> bylų </w:t>
      </w:r>
      <w:r w:rsidR="00EC57C2" w:rsidRPr="00CE37D0">
        <w:t>procesui skiriama vadovėlyje, kuriame analizuojamos specifinės baudžiamojo proceso rūšys.</w:t>
      </w:r>
      <w:r w:rsidR="00EC57C2">
        <w:t xml:space="preserve"> </w:t>
      </w:r>
      <w:r w:rsidR="004D22AA" w:rsidRPr="00CE37D0">
        <w:rPr>
          <w:rStyle w:val="Puslapioinaosnuoroda"/>
        </w:rPr>
        <w:footnoteReference w:id="6"/>
      </w:r>
      <w:r w:rsidR="00EC57C2">
        <w:t xml:space="preserve"> </w:t>
      </w:r>
      <w:r w:rsidR="00396489" w:rsidRPr="00CE37D0">
        <w:t xml:space="preserve">Taip pat paminėtinos kelios publikacijos moksliniuose leidiniuose: </w:t>
      </w:r>
      <w:r w:rsidR="002224D7" w:rsidRPr="00CE37D0">
        <w:t>R. Ažub</w:t>
      </w:r>
      <w:r w:rsidR="00F84E17" w:rsidRPr="00CE37D0">
        <w:t>alytės straipsn</w:t>
      </w:r>
      <w:r w:rsidR="00396489" w:rsidRPr="00CE37D0">
        <w:t>is</w:t>
      </w:r>
      <w:r w:rsidR="00F84E17" w:rsidRPr="00CE37D0">
        <w:t>, kuriame privataus kaltinimo teisė nagrinėjama kaip teisminė</w:t>
      </w:r>
      <w:r w:rsidR="00396489" w:rsidRPr="00CE37D0">
        <w:t>s gynybos realizavimo prielaida</w:t>
      </w:r>
      <w:r w:rsidR="00100104">
        <w:t>,</w:t>
      </w:r>
      <w:r w:rsidR="00E94F80">
        <w:t xml:space="preserve"> </w:t>
      </w:r>
      <w:r w:rsidR="00F84E17" w:rsidRPr="00CE37D0">
        <w:rPr>
          <w:rStyle w:val="Puslapioinaosnuoroda"/>
        </w:rPr>
        <w:footnoteReference w:id="7"/>
      </w:r>
      <w:r w:rsidR="00F84E17" w:rsidRPr="00CE37D0">
        <w:t xml:space="preserve"> G. Godos straipsnis</w:t>
      </w:r>
      <w:r w:rsidR="00084772">
        <w:t xml:space="preserve"> </w:t>
      </w:r>
      <w:r w:rsidR="000B2663" w:rsidRPr="00CE37D0">
        <w:t>recenzuotų straipsnių rinkinyje</w:t>
      </w:r>
      <w:r w:rsidR="00F84E17" w:rsidRPr="00CE37D0">
        <w:t>, kuriame privatus kaltinimas nagrinėjamas oficialumo principo išimčių analizės kontekste</w:t>
      </w:r>
      <w:r w:rsidR="00100104">
        <w:t>,</w:t>
      </w:r>
      <w:r w:rsidR="00E94F80">
        <w:t xml:space="preserve"> </w:t>
      </w:r>
      <w:r w:rsidR="00F84E17" w:rsidRPr="00CE37D0">
        <w:rPr>
          <w:rStyle w:val="Puslapioinaosnuoroda"/>
        </w:rPr>
        <w:footnoteReference w:id="8"/>
      </w:r>
      <w:r w:rsidR="00084772">
        <w:t xml:space="preserve"> </w:t>
      </w:r>
      <w:r w:rsidR="00100104">
        <w:rPr>
          <w:rFonts w:eastAsia="Times New Roman"/>
          <w:lang w:eastAsia="lt-LT"/>
        </w:rPr>
        <w:t xml:space="preserve">R. Jurkos straipsnis recenzuotų straipsnių rinkinyje, skirtas imuniteto panaikinimo </w:t>
      </w:r>
      <w:r w:rsidR="00D2720F">
        <w:rPr>
          <w:rFonts w:eastAsia="Times New Roman"/>
          <w:lang w:eastAsia="lt-LT"/>
        </w:rPr>
        <w:t xml:space="preserve">procedūrai privataus kaltinimo bylose. </w:t>
      </w:r>
      <w:r w:rsidR="00D2720F">
        <w:rPr>
          <w:rStyle w:val="Puslapioinaosnuoroda"/>
          <w:rFonts w:eastAsia="Times New Roman"/>
          <w:lang w:eastAsia="lt-LT"/>
        </w:rPr>
        <w:footnoteReference w:id="9"/>
      </w:r>
      <w:r w:rsidR="00084772">
        <w:rPr>
          <w:rFonts w:eastAsia="Times New Roman"/>
          <w:lang w:eastAsia="lt-LT"/>
        </w:rPr>
        <w:t xml:space="preserve"> </w:t>
      </w:r>
      <w:r w:rsidR="0020204E" w:rsidRPr="00CE37D0">
        <w:rPr>
          <w:rFonts w:eastAsia="Times New Roman"/>
          <w:lang w:eastAsia="lt-LT"/>
        </w:rPr>
        <w:t xml:space="preserve">Taip pat </w:t>
      </w:r>
      <w:r w:rsidR="0020204E" w:rsidRPr="00CE37D0">
        <w:t>privataus intereso įtaką baudžiamojo proceso formai savo darbuose skirtingais aspektais yra nagrinėję P.</w:t>
      </w:r>
      <w:r w:rsidR="0020204E">
        <w:t xml:space="preserve"> </w:t>
      </w:r>
      <w:r w:rsidR="0020204E" w:rsidRPr="00CE37D0">
        <w:t>Ancelis, R. Jurka, A.</w:t>
      </w:r>
      <w:r w:rsidR="0020204E">
        <w:t xml:space="preserve"> </w:t>
      </w:r>
      <w:r w:rsidR="0020204E" w:rsidRPr="00CE37D0">
        <w:t>Panomariovas, I.</w:t>
      </w:r>
      <w:r w:rsidR="0020204E">
        <w:t xml:space="preserve"> </w:t>
      </w:r>
      <w:r w:rsidR="0020204E" w:rsidRPr="00CE37D0">
        <w:t xml:space="preserve">Randakevičienė, tačiau išsamesnių </w:t>
      </w:r>
      <w:r w:rsidR="0020204E" w:rsidRPr="00CE37D0">
        <w:lastRenderedPageBreak/>
        <w:t xml:space="preserve">tyrimų </w:t>
      </w:r>
      <w:r w:rsidR="0020204E">
        <w:t xml:space="preserve">nebuvo </w:t>
      </w:r>
      <w:r w:rsidR="0020204E" w:rsidRPr="00CE37D0">
        <w:t>atlikta. Kadangi dispozityvumo baudžiamajame procese teorija yra nauja Lietuvos baudžiamojo proceso moksle, tiesiogiai šiai temai skirtų tyrimų Lietuvos moksle nėra atlikta.</w:t>
      </w:r>
    </w:p>
    <w:p w:rsidR="00F52E20" w:rsidRPr="00CE37D0" w:rsidRDefault="00F52E20" w:rsidP="00F52E20">
      <w:pPr>
        <w:spacing w:line="360" w:lineRule="auto"/>
        <w:ind w:firstLine="851"/>
        <w:jc w:val="both"/>
      </w:pPr>
      <w:r w:rsidRPr="00CE37D0">
        <w:t>Privataus kaltinimo tematika nemažai darbų yra parengę užsienio autoriai, tačiau dėl teisinių sistemų skirtumų juose pateikta teisinio reguliavimo analizė, keliamos problemos ir pateikiami sprendimų būdai ne visiškai atitinka Lietuvos problematiką šioje srityje. Be to, daugum</w:t>
      </w:r>
      <w:r>
        <w:t>oje</w:t>
      </w:r>
      <w:r w:rsidRPr="00CE37D0">
        <w:t xml:space="preserve"> atliktų tyrimų </w:t>
      </w:r>
      <w:r>
        <w:t>privataus intereso įtaka, dispozityvumo samprata</w:t>
      </w:r>
      <w:r w:rsidRPr="00CE37D0">
        <w:t xml:space="preserve"> ir privataus kaltinimo institut</w:t>
      </w:r>
      <w:r>
        <w:t>as</w:t>
      </w:r>
      <w:r w:rsidRPr="00CE37D0">
        <w:t xml:space="preserve"> nagrinėja</w:t>
      </w:r>
      <w:r>
        <w:t>mas</w:t>
      </w:r>
      <w:r w:rsidRPr="00CE37D0">
        <w:t xml:space="preserve"> tam tikru aspektu ir atitinkamame kontekste, todėl ti</w:t>
      </w:r>
      <w:r>
        <w:t>esiogiai</w:t>
      </w:r>
      <w:r w:rsidRPr="00CE37D0">
        <w:t xml:space="preserve"> šių tyrimų rezultatų perk</w:t>
      </w:r>
      <w:r>
        <w:t>elti</w:t>
      </w:r>
      <w:r w:rsidRPr="00CE37D0">
        <w:t xml:space="preserve"> į Li</w:t>
      </w:r>
      <w:r>
        <w:t>etuvos teisės doktriną negalima</w:t>
      </w:r>
      <w:r w:rsidRPr="00CE37D0">
        <w:t xml:space="preserve"> tiek dėl teisinių sistemų skirtumų, tiek dėl šio disertacinio tyrimo kompleksinio pobūdžio bei pasirinkto </w:t>
      </w:r>
      <w:r>
        <w:t>savito teisinio pjūvio</w:t>
      </w:r>
      <w:r w:rsidRPr="00CE37D0">
        <w:t xml:space="preserve">. </w:t>
      </w:r>
    </w:p>
    <w:p w:rsidR="002224D7" w:rsidRPr="00CE37D0" w:rsidRDefault="00F52E20" w:rsidP="00F52E20">
      <w:pPr>
        <w:spacing w:line="360" w:lineRule="auto"/>
        <w:ind w:firstLine="851"/>
        <w:jc w:val="both"/>
      </w:pPr>
      <w:r w:rsidRPr="00CE37D0">
        <w:t xml:space="preserve">Užsienio valstybėse privataus kaltinimo tema nagrinėjama jau seniai. Mokslinis susidomėjimas šiuo institutu nėra naujas: </w:t>
      </w:r>
      <w:r>
        <w:t>mokslin</w:t>
      </w:r>
      <w:r w:rsidRPr="00CE37D0">
        <w:t>ėje</w:t>
      </w:r>
      <w:r>
        <w:t xml:space="preserve"> </w:t>
      </w:r>
      <w:r w:rsidRPr="00CE37D0">
        <w:t>literatūroje privatus kaltinimas buvo nagrinėtas dar XIX a. Rusijos bendrojoje baudžiamojo proceso teorijoje (A. von Rezon</w:t>
      </w:r>
      <w:r>
        <w:t>as</w:t>
      </w:r>
      <w:r w:rsidRPr="00CE37D0">
        <w:t>, L.</w:t>
      </w:r>
      <w:r>
        <w:t xml:space="preserve"> </w:t>
      </w:r>
      <w:r w:rsidRPr="00CE37D0">
        <w:t>Tauber, I. J.</w:t>
      </w:r>
      <w:r>
        <w:t xml:space="preserve"> </w:t>
      </w:r>
      <w:r w:rsidRPr="00CE37D0">
        <w:t>Foinicki</w:t>
      </w:r>
      <w:r>
        <w:t xml:space="preserve">s </w:t>
      </w:r>
      <w:r w:rsidR="004228EF" w:rsidRPr="00CE37D0">
        <w:rPr>
          <w:rStyle w:val="Puslapioinaosnuoroda"/>
        </w:rPr>
        <w:footnoteReference w:id="10"/>
      </w:r>
      <w:r w:rsidR="00E36EC8" w:rsidRPr="00CE37D0">
        <w:t>)</w:t>
      </w:r>
      <w:r w:rsidR="00564998" w:rsidRPr="00CE37D0">
        <w:t>, taip pat</w:t>
      </w:r>
      <w:r w:rsidR="00084772">
        <w:t xml:space="preserve"> </w:t>
      </w:r>
      <w:r w:rsidR="00564998" w:rsidRPr="00CE37D0">
        <w:t xml:space="preserve">XX a. </w:t>
      </w:r>
      <w:r w:rsidR="00E36EC8" w:rsidRPr="00CE37D0">
        <w:t>Vokietijos</w:t>
      </w:r>
      <w:r w:rsidR="00084772">
        <w:t xml:space="preserve"> </w:t>
      </w:r>
      <w:r w:rsidR="00E36EC8" w:rsidRPr="00CE37D0">
        <w:t>baudžiamojo proceso moksle (</w:t>
      </w:r>
      <w:r w:rsidR="000B2663" w:rsidRPr="00CE37D0">
        <w:t xml:space="preserve">R. </w:t>
      </w:r>
      <w:r w:rsidR="00E36EC8" w:rsidRPr="00CE37D0">
        <w:t>Contenius</w:t>
      </w:r>
      <w:r w:rsidR="00D319F2">
        <w:t xml:space="preserve">, </w:t>
      </w:r>
      <w:r w:rsidR="000B2663" w:rsidRPr="00CE37D0">
        <w:rPr>
          <w:rStyle w:val="Puslapioinaosnuoroda"/>
        </w:rPr>
        <w:footnoteReference w:id="11"/>
      </w:r>
      <w:r w:rsidR="00564998" w:rsidRPr="00CE37D0">
        <w:t xml:space="preserve"> R. Koewius </w:t>
      </w:r>
      <w:r w:rsidR="00564998" w:rsidRPr="00CE37D0">
        <w:rPr>
          <w:rStyle w:val="Puslapioinaosnuoroda"/>
        </w:rPr>
        <w:footnoteReference w:id="12"/>
      </w:r>
      <w:r w:rsidR="00E36EC8" w:rsidRPr="00CE37D0">
        <w:t>).</w:t>
      </w:r>
      <w:r w:rsidR="00084772">
        <w:t xml:space="preserve"> </w:t>
      </w:r>
      <w:r w:rsidR="00E36EC8" w:rsidRPr="00CE37D0">
        <w:t>T</w:t>
      </w:r>
      <w:r w:rsidR="002224D7" w:rsidRPr="00CE37D0">
        <w:t xml:space="preserve">aip pat atlikta nemažai šiuolaikinių </w:t>
      </w:r>
      <w:r w:rsidR="004228EF" w:rsidRPr="00CE37D0">
        <w:t xml:space="preserve">disertacinių </w:t>
      </w:r>
      <w:r w:rsidR="002224D7" w:rsidRPr="00CE37D0">
        <w:t>tyrimų</w:t>
      </w:r>
      <w:r w:rsidR="004228EF" w:rsidRPr="00CE37D0">
        <w:t xml:space="preserve"> bei išleista monografijų</w:t>
      </w:r>
      <w:r w:rsidR="002224D7" w:rsidRPr="00CE37D0">
        <w:t xml:space="preserve"> tiek dispozityvumo baudžiamajame procese, tiek privataus kaltinimo tema. </w:t>
      </w:r>
      <w:r w:rsidR="00E36EC8" w:rsidRPr="00CE37D0">
        <w:t xml:space="preserve">Paminėtini rusų autoriai </w:t>
      </w:r>
      <w:r w:rsidR="002224D7" w:rsidRPr="00CE37D0">
        <w:t>A.</w:t>
      </w:r>
      <w:r w:rsidR="00E0371E">
        <w:t xml:space="preserve"> </w:t>
      </w:r>
      <w:r w:rsidR="002224D7" w:rsidRPr="00CE37D0">
        <w:t>S.</w:t>
      </w:r>
      <w:r w:rsidR="00D319F2">
        <w:t xml:space="preserve"> </w:t>
      </w:r>
      <w:r w:rsidR="002224D7" w:rsidRPr="00CE37D0">
        <w:t>Aleksandrov</w:t>
      </w:r>
      <w:r w:rsidR="00CD00CE">
        <w:t>as</w:t>
      </w:r>
      <w:r w:rsidR="00D319F2">
        <w:t>,</w:t>
      </w:r>
      <w:r w:rsidR="00CD00CE">
        <w:t xml:space="preserve"> </w:t>
      </w:r>
      <w:r w:rsidR="004228EF" w:rsidRPr="00CE37D0">
        <w:rPr>
          <w:rStyle w:val="Puslapioinaosnuoroda"/>
        </w:rPr>
        <w:footnoteReference w:id="13"/>
      </w:r>
      <w:r w:rsidR="002224D7" w:rsidRPr="00CE37D0">
        <w:t xml:space="preserve"> </w:t>
      </w:r>
      <w:r w:rsidR="00BC56C7" w:rsidRPr="00CE37D0">
        <w:t xml:space="preserve">A. </w:t>
      </w:r>
      <w:r w:rsidR="002224D7" w:rsidRPr="00CE37D0">
        <w:t>A.</w:t>
      </w:r>
      <w:r w:rsidR="00D319F2">
        <w:t xml:space="preserve"> </w:t>
      </w:r>
      <w:r w:rsidR="002224D7" w:rsidRPr="00CE37D0">
        <w:t>Šamadrin</w:t>
      </w:r>
      <w:r w:rsidR="00CD00CE">
        <w:t>as</w:t>
      </w:r>
      <w:r w:rsidR="00D319F2">
        <w:t>,</w:t>
      </w:r>
      <w:r w:rsidR="00CD00CE">
        <w:t xml:space="preserve"> </w:t>
      </w:r>
      <w:r w:rsidR="00BC56C7" w:rsidRPr="00CE37D0">
        <w:rPr>
          <w:rStyle w:val="Puslapioinaosnuoroda"/>
        </w:rPr>
        <w:footnoteReference w:id="14"/>
      </w:r>
      <w:r w:rsidR="00D319F2">
        <w:t xml:space="preserve"> N. E. Petrova, </w:t>
      </w:r>
      <w:r w:rsidR="004228EF" w:rsidRPr="00CE37D0">
        <w:rPr>
          <w:rStyle w:val="Puslapioinaosnuoroda"/>
        </w:rPr>
        <w:footnoteReference w:id="15"/>
      </w:r>
      <w:r w:rsidR="002224D7" w:rsidRPr="00CE37D0">
        <w:t xml:space="preserve"> </w:t>
      </w:r>
      <w:r w:rsidR="00D2720F">
        <w:t xml:space="preserve">E. F. </w:t>
      </w:r>
      <w:r w:rsidR="00875B7D" w:rsidRPr="00CE37D0">
        <w:t>Tensina</w:t>
      </w:r>
      <w:r w:rsidR="00D319F2">
        <w:t>,</w:t>
      </w:r>
      <w:r w:rsidR="00875B7D" w:rsidRPr="00CE37D0">
        <w:t xml:space="preserve"> </w:t>
      </w:r>
      <w:r w:rsidR="00875B7D" w:rsidRPr="00CE37D0">
        <w:rPr>
          <w:rStyle w:val="Puslapioinaosnuoroda"/>
        </w:rPr>
        <w:footnoteReference w:id="16"/>
      </w:r>
      <w:r w:rsidR="00875B7D" w:rsidRPr="00CE37D0">
        <w:t xml:space="preserve"> </w:t>
      </w:r>
      <w:r w:rsidR="002224D7" w:rsidRPr="00CE37D0">
        <w:t>I.</w:t>
      </w:r>
      <w:r w:rsidR="00D319F2">
        <w:t xml:space="preserve"> S. </w:t>
      </w:r>
      <w:r w:rsidR="002224D7" w:rsidRPr="00CE37D0">
        <w:t>Dik</w:t>
      </w:r>
      <w:r w:rsidR="00E36EC8" w:rsidRPr="00CE37D0">
        <w:t>arev</w:t>
      </w:r>
      <w:r w:rsidR="00CD00CE">
        <w:t>as</w:t>
      </w:r>
      <w:r w:rsidR="00D319F2">
        <w:t>,</w:t>
      </w:r>
      <w:r w:rsidR="00CD00CE">
        <w:t xml:space="preserve"> </w:t>
      </w:r>
      <w:r w:rsidR="004228EF" w:rsidRPr="00CE37D0">
        <w:rPr>
          <w:rStyle w:val="Puslapioinaosnuoroda"/>
        </w:rPr>
        <w:footnoteReference w:id="17"/>
      </w:r>
      <w:r w:rsidR="00E36EC8" w:rsidRPr="00CE37D0">
        <w:t xml:space="preserve"> V.</w:t>
      </w:r>
      <w:r w:rsidR="00EA7C59">
        <w:t xml:space="preserve"> V. </w:t>
      </w:r>
      <w:r w:rsidR="00E36EC8" w:rsidRPr="00CE37D0">
        <w:t>Doroškov</w:t>
      </w:r>
      <w:r w:rsidR="00CD00CE">
        <w:t>as</w:t>
      </w:r>
      <w:r w:rsidR="00D319F2">
        <w:t>,</w:t>
      </w:r>
      <w:r w:rsidR="00CD00CE">
        <w:t xml:space="preserve"> </w:t>
      </w:r>
      <w:r w:rsidR="00EA7C59">
        <w:rPr>
          <w:rStyle w:val="Puslapioinaosnuoroda"/>
        </w:rPr>
        <w:footnoteReference w:id="18"/>
      </w:r>
      <w:r w:rsidR="00E36EC8" w:rsidRPr="00CE37D0">
        <w:t xml:space="preserve"> </w:t>
      </w:r>
      <w:r w:rsidR="00875B7D" w:rsidRPr="00CE37D0">
        <w:t xml:space="preserve">S. I. </w:t>
      </w:r>
      <w:r w:rsidR="004228EF" w:rsidRPr="00CE37D0">
        <w:t xml:space="preserve">Katkalo, </w:t>
      </w:r>
      <w:r w:rsidR="00875B7D" w:rsidRPr="00CE37D0">
        <w:t xml:space="preserve">V. Z. </w:t>
      </w:r>
      <w:r w:rsidR="004228EF" w:rsidRPr="00CE37D0">
        <w:t>Lukaševič</w:t>
      </w:r>
      <w:r w:rsidR="00D319F2">
        <w:t xml:space="preserve">ius. </w:t>
      </w:r>
      <w:r w:rsidR="00875B7D" w:rsidRPr="00CE37D0">
        <w:rPr>
          <w:rStyle w:val="Puslapioinaosnuoroda"/>
        </w:rPr>
        <w:footnoteReference w:id="19"/>
      </w:r>
      <w:r w:rsidR="00E36EC8" w:rsidRPr="00CE37D0">
        <w:t xml:space="preserve"> Lenkijoje buvo apginta D</w:t>
      </w:r>
      <w:r w:rsidR="00B93654">
        <w:t>.</w:t>
      </w:r>
      <w:r w:rsidR="00E36EC8" w:rsidRPr="00CE37D0">
        <w:t xml:space="preserve"> Gil disertacija privataus kaltinimo Lenkijoje tema ir šios disertacijos pagrindu publikuota monografija. </w:t>
      </w:r>
      <w:r w:rsidR="00E36EC8" w:rsidRPr="00CE37D0">
        <w:rPr>
          <w:rStyle w:val="Puslapioinaosnuoroda"/>
        </w:rPr>
        <w:footnoteReference w:id="20"/>
      </w:r>
      <w:r w:rsidR="00E36EC8" w:rsidRPr="00CE37D0">
        <w:t xml:space="preserve"> Didelį dėmesį privataus kaltinimo temai ir šio instituto kritikai sk</w:t>
      </w:r>
      <w:r w:rsidR="00CD00CE">
        <w:t>yrė</w:t>
      </w:r>
      <w:r w:rsidR="00E36EC8" w:rsidRPr="00CE37D0">
        <w:t xml:space="preserve"> Ispanijos </w:t>
      </w:r>
      <w:r w:rsidR="00B93654">
        <w:t>mokslininkas</w:t>
      </w:r>
      <w:r w:rsidR="00E36EC8" w:rsidRPr="00CE37D0">
        <w:t xml:space="preserve"> J.</w:t>
      </w:r>
      <w:r w:rsidR="00D44EDC">
        <w:t xml:space="preserve"> </w:t>
      </w:r>
      <w:r w:rsidR="00E36EC8" w:rsidRPr="00CE37D0">
        <w:t xml:space="preserve">Perez Gil, </w:t>
      </w:r>
      <w:r w:rsidR="00E36EC8" w:rsidRPr="00CE37D0">
        <w:lastRenderedPageBreak/>
        <w:t>atlikęs išsamų disertacinį tyrimą nacionaliniu mastu</w:t>
      </w:r>
      <w:r w:rsidR="00A01AB5">
        <w:t xml:space="preserve"> </w:t>
      </w:r>
      <w:r w:rsidR="00E36EC8" w:rsidRPr="00CE37D0">
        <w:rPr>
          <w:rStyle w:val="Puslapioinaosnuoroda"/>
        </w:rPr>
        <w:footnoteReference w:id="21"/>
      </w:r>
      <w:r w:rsidR="006455A9">
        <w:t xml:space="preserve"> </w:t>
      </w:r>
      <w:r w:rsidR="004F00D2" w:rsidRPr="00CE37D0">
        <w:t xml:space="preserve">bei </w:t>
      </w:r>
      <w:r w:rsidR="00A01AB5">
        <w:t xml:space="preserve">tyrimo išvadas </w:t>
      </w:r>
      <w:r w:rsidR="004F00D2" w:rsidRPr="00CE37D0">
        <w:t>publikavęs anglų kalba</w:t>
      </w:r>
      <w:r w:rsidR="00A01AB5">
        <w:t xml:space="preserve">. </w:t>
      </w:r>
      <w:r w:rsidR="00D5536A" w:rsidRPr="00CE37D0">
        <w:rPr>
          <w:rStyle w:val="Puslapioinaosnuoroda"/>
        </w:rPr>
        <w:footnoteReference w:id="22"/>
      </w:r>
      <w:r w:rsidR="002224D7" w:rsidRPr="00CE37D0">
        <w:t xml:space="preserve"> </w:t>
      </w:r>
      <w:r w:rsidR="00191E73" w:rsidRPr="00CE37D0">
        <w:t xml:space="preserve">Vokietijoje </w:t>
      </w:r>
      <w:r w:rsidR="00875B7D" w:rsidRPr="00CE37D0">
        <w:t>daugiausia dėmesio skiriama nukentėjusiojo procesinei figūrai bei jo teisių apsaugai privataus kaltinimo procese (H. Jung</w:t>
      </w:r>
      <w:r w:rsidR="00A01AB5">
        <w:t>,</w:t>
      </w:r>
      <w:r w:rsidR="00875B7D" w:rsidRPr="00CE37D0">
        <w:t xml:space="preserve"> </w:t>
      </w:r>
      <w:r w:rsidR="00875B7D" w:rsidRPr="00CE37D0">
        <w:rPr>
          <w:rStyle w:val="Puslapioinaosnuoroda"/>
        </w:rPr>
        <w:footnoteReference w:id="23"/>
      </w:r>
      <w:r w:rsidR="00875B7D" w:rsidRPr="00CE37D0">
        <w:t xml:space="preserve"> M. Heger</w:t>
      </w:r>
      <w:r w:rsidR="00A01AB5">
        <w:t>,</w:t>
      </w:r>
      <w:r w:rsidR="00875B7D" w:rsidRPr="00CE37D0">
        <w:t xml:space="preserve"> </w:t>
      </w:r>
      <w:r w:rsidR="00875B7D" w:rsidRPr="00CE37D0">
        <w:rPr>
          <w:rStyle w:val="Puslapioinaosnuoroda"/>
        </w:rPr>
        <w:footnoteReference w:id="24"/>
      </w:r>
      <w:r w:rsidR="00875B7D" w:rsidRPr="00CE37D0">
        <w:t xml:space="preserve"> T. Hörnle</w:t>
      </w:r>
      <w:r w:rsidR="00A01AB5">
        <w:t>,</w:t>
      </w:r>
      <w:r w:rsidR="00875B7D" w:rsidRPr="00CE37D0">
        <w:t xml:space="preserve"> </w:t>
      </w:r>
      <w:r w:rsidR="00875B7D" w:rsidRPr="00CE37D0">
        <w:rPr>
          <w:rStyle w:val="Puslapioinaosnuoroda"/>
        </w:rPr>
        <w:footnoteReference w:id="25"/>
      </w:r>
      <w:r w:rsidR="00875B7D" w:rsidRPr="00CE37D0">
        <w:t xml:space="preserve"> T. Weigend </w:t>
      </w:r>
      <w:r w:rsidR="00875B7D" w:rsidRPr="00CE37D0">
        <w:rPr>
          <w:rStyle w:val="Puslapioinaosnuoroda"/>
        </w:rPr>
        <w:footnoteReference w:id="26"/>
      </w:r>
      <w:r w:rsidR="000D6DF9" w:rsidRPr="00CE37D0">
        <w:t>)</w:t>
      </w:r>
      <w:r w:rsidR="00875B7D" w:rsidRPr="00CE37D0">
        <w:t xml:space="preserve">. Paminėtina </w:t>
      </w:r>
      <w:r w:rsidR="00920B97" w:rsidRPr="00CE37D0">
        <w:t xml:space="preserve">S. von Schacky </w:t>
      </w:r>
      <w:r w:rsidR="00875B7D" w:rsidRPr="00CE37D0">
        <w:t>išsami privataus kaltinimo mokslinė analizė disertaciniu lyg</w:t>
      </w:r>
      <w:r w:rsidR="00CD00CE">
        <w:t>men</w:t>
      </w:r>
      <w:r w:rsidR="00875B7D" w:rsidRPr="00CE37D0">
        <w:t>iu</w:t>
      </w:r>
      <w:r w:rsidR="00A01AB5">
        <w:t xml:space="preserve">. </w:t>
      </w:r>
      <w:r w:rsidR="00920B97" w:rsidRPr="00CE37D0">
        <w:rPr>
          <w:rStyle w:val="Puslapioinaosnuoroda"/>
        </w:rPr>
        <w:footnoteReference w:id="27"/>
      </w:r>
      <w:r w:rsidR="00191E73" w:rsidRPr="00CE37D0">
        <w:t xml:space="preserve"> </w:t>
      </w:r>
    </w:p>
    <w:p w:rsidR="00097B45" w:rsidRPr="00CE37D0" w:rsidRDefault="00920B97" w:rsidP="00EA7C59">
      <w:pPr>
        <w:spacing w:line="360" w:lineRule="auto"/>
        <w:ind w:firstLine="851"/>
        <w:jc w:val="both"/>
      </w:pPr>
      <w:r w:rsidRPr="00CE37D0">
        <w:t>Šiam disertaciniam tyrimui didelę įtaką padarė V. A. R</w:t>
      </w:r>
      <w:r w:rsidR="00800B20">
        <w:t>i</w:t>
      </w:r>
      <w:r w:rsidR="00CD00CE">
        <w:t>azanovskio</w:t>
      </w:r>
      <w:r w:rsidR="00D44EDC">
        <w:t xml:space="preserve"> </w:t>
      </w:r>
      <w:r w:rsidR="004A0854">
        <w:t xml:space="preserve">analizuota </w:t>
      </w:r>
      <w:r w:rsidRPr="00CE37D0">
        <w:t xml:space="preserve">vieningo proceso idėja </w:t>
      </w:r>
      <w:r w:rsidRPr="00CE37D0">
        <w:rPr>
          <w:vertAlign w:val="superscript"/>
        </w:rPr>
        <w:footnoteReference w:id="28"/>
      </w:r>
      <w:r w:rsidRPr="00CE37D0">
        <w:t xml:space="preserve"> bei A. </w:t>
      </w:r>
      <w:r w:rsidR="00E0371E">
        <w:t>V</w:t>
      </w:r>
      <w:r w:rsidRPr="00CE37D0">
        <w:t xml:space="preserve">. Smirnovo </w:t>
      </w:r>
      <w:r w:rsidR="004A0854">
        <w:t xml:space="preserve">nagrinėta </w:t>
      </w:r>
      <w:r w:rsidRPr="00CE37D0">
        <w:t>baudžiamojo ieškinio koncepcija</w:t>
      </w:r>
      <w:r w:rsidR="00B302FD">
        <w:t>.</w:t>
      </w:r>
      <w:r w:rsidRPr="00CE37D0">
        <w:t xml:space="preserve"> </w:t>
      </w:r>
      <w:r w:rsidRPr="00CE37D0">
        <w:rPr>
          <w:vertAlign w:val="superscript"/>
        </w:rPr>
        <w:footnoteReference w:id="29"/>
      </w:r>
      <w:r w:rsidRPr="00CE37D0">
        <w:t xml:space="preserve"> Šios teorijos tapo ramsčiu formuojant teorinius tyrimo pagrindus bei įgalino pasinaudoti kitų proceso šakų moksliniais teiginiais ir išplėsti tyrimą į tarpdisciplininę dimensiją. Reikšmingas teorinis šio darbo pamatas yra </w:t>
      </w:r>
      <w:r w:rsidR="008052CB" w:rsidRPr="00CE37D0">
        <w:t xml:space="preserve">atlikti </w:t>
      </w:r>
      <w:r w:rsidRPr="00CE37D0">
        <w:t xml:space="preserve">civilinio </w:t>
      </w:r>
      <w:r w:rsidR="005B7D03">
        <w:t xml:space="preserve">ir administracinio </w:t>
      </w:r>
      <w:r w:rsidRPr="00CE37D0">
        <w:t>proceso moksliniai tyrimai viešojo ir privataus interes</w:t>
      </w:r>
      <w:r w:rsidR="00B302FD">
        <w:t>ų</w:t>
      </w:r>
      <w:r w:rsidRPr="00CE37D0">
        <w:t xml:space="preserve"> bei d</w:t>
      </w:r>
      <w:r w:rsidR="00B302FD">
        <w:t>ispozityvumo teorijos klausimu: E.</w:t>
      </w:r>
      <w:r w:rsidRPr="00CE37D0">
        <w:t xml:space="preserve"> Krivkos</w:t>
      </w:r>
      <w:r w:rsidR="00B302FD">
        <w:t>,</w:t>
      </w:r>
      <w:r w:rsidRPr="00CE37D0">
        <w:t xml:space="preserve"> </w:t>
      </w:r>
      <w:r w:rsidRPr="00CE37D0">
        <w:rPr>
          <w:rStyle w:val="Puslapioinaosnuoroda"/>
        </w:rPr>
        <w:footnoteReference w:id="30"/>
      </w:r>
      <w:r w:rsidRPr="00CE37D0">
        <w:t xml:space="preserve"> </w:t>
      </w:r>
      <w:r w:rsidR="00B302FD">
        <w:t>Ž</w:t>
      </w:r>
      <w:r w:rsidRPr="00CE37D0">
        <w:t>. Terebeizos</w:t>
      </w:r>
      <w:r w:rsidR="00B302FD">
        <w:t>,</w:t>
      </w:r>
      <w:r w:rsidRPr="00CE37D0">
        <w:t xml:space="preserve"> </w:t>
      </w:r>
      <w:r w:rsidRPr="00CE37D0">
        <w:rPr>
          <w:rStyle w:val="Puslapioinaosnuoroda"/>
        </w:rPr>
        <w:footnoteReference w:id="31"/>
      </w:r>
      <w:r w:rsidRPr="00CE37D0">
        <w:t xml:space="preserve"> </w:t>
      </w:r>
      <w:r w:rsidR="008052CB" w:rsidRPr="00CE37D0">
        <w:t>U. Trumpulio</w:t>
      </w:r>
      <w:r w:rsidR="00B302FD">
        <w:t>,</w:t>
      </w:r>
      <w:r w:rsidR="008052CB" w:rsidRPr="00CE37D0">
        <w:t xml:space="preserve"> </w:t>
      </w:r>
      <w:r w:rsidR="008052CB" w:rsidRPr="00CE37D0">
        <w:rPr>
          <w:rStyle w:val="Puslapioinaosnuoroda"/>
        </w:rPr>
        <w:footnoteReference w:id="32"/>
      </w:r>
      <w:r w:rsidR="008052CB" w:rsidRPr="00CE37D0">
        <w:t xml:space="preserve"> </w:t>
      </w:r>
      <w:r w:rsidRPr="00CE37D0">
        <w:t>A. G. Plešanovo</w:t>
      </w:r>
      <w:r w:rsidR="00B302FD">
        <w:t>,</w:t>
      </w:r>
      <w:r w:rsidRPr="00CE37D0">
        <w:t xml:space="preserve"> </w:t>
      </w:r>
      <w:r w:rsidRPr="00CE37D0">
        <w:rPr>
          <w:rStyle w:val="Puslapioinaosnuoroda"/>
        </w:rPr>
        <w:footnoteReference w:id="33"/>
      </w:r>
      <w:r w:rsidR="000456F4">
        <w:t xml:space="preserve"> S</w:t>
      </w:r>
      <w:r w:rsidRPr="00CE37D0">
        <w:t xml:space="preserve">. </w:t>
      </w:r>
      <w:r w:rsidR="000456F4">
        <w:t>A</w:t>
      </w:r>
      <w:r w:rsidRPr="00CE37D0">
        <w:t xml:space="preserve">. Sapožnikovo </w:t>
      </w:r>
      <w:r w:rsidRPr="00CE37D0">
        <w:rPr>
          <w:rStyle w:val="Puslapioinaosnuoroda"/>
        </w:rPr>
        <w:footnoteReference w:id="34"/>
      </w:r>
      <w:r w:rsidR="006455A9">
        <w:t xml:space="preserve"> </w:t>
      </w:r>
      <w:r w:rsidRPr="00CE37D0">
        <w:t xml:space="preserve">darbai. </w:t>
      </w:r>
      <w:r w:rsidR="000456F4" w:rsidRPr="00CE37D0">
        <w:t xml:space="preserve">Taip pat buvo </w:t>
      </w:r>
      <w:r w:rsidR="000456F4">
        <w:t xml:space="preserve">remtasi ir civilinio proceso </w:t>
      </w:r>
      <w:r w:rsidR="000456F4" w:rsidRPr="00CE37D0">
        <w:t>m</w:t>
      </w:r>
      <w:r w:rsidR="000456F4">
        <w:t>oksl</w:t>
      </w:r>
      <w:r w:rsidR="000456F4" w:rsidRPr="00CE37D0">
        <w:t xml:space="preserve">ine jurisprudencija nagrinėjant skirtingus privataus kaltinimo proceso aspektus dispozityvaus </w:t>
      </w:r>
      <w:r w:rsidR="000456F4">
        <w:t xml:space="preserve">teisinio </w:t>
      </w:r>
      <w:r w:rsidR="000456F4" w:rsidRPr="00CE37D0">
        <w:t>reguliavimo kontekste.</w:t>
      </w:r>
      <w:r w:rsidR="008052CB" w:rsidRPr="00CE37D0">
        <w:t xml:space="preserve"> Paminėtini</w:t>
      </w:r>
      <w:r w:rsidRPr="00CE37D0">
        <w:t xml:space="preserve"> V. Mikelėno, </w:t>
      </w:r>
      <w:r w:rsidR="00900989">
        <w:t xml:space="preserve">E. Laužiko, </w:t>
      </w:r>
      <w:r w:rsidRPr="00CE37D0">
        <w:t>V. Nekrošiaus</w:t>
      </w:r>
      <w:r w:rsidR="000456F4">
        <w:t>,</w:t>
      </w:r>
      <w:r w:rsidRPr="00CE37D0">
        <w:t xml:space="preserve"> </w:t>
      </w:r>
      <w:r w:rsidRPr="00CE37D0">
        <w:rPr>
          <w:rStyle w:val="Puslapioinaosnuoroda"/>
        </w:rPr>
        <w:footnoteReference w:id="35"/>
      </w:r>
      <w:r w:rsidRPr="00CE37D0">
        <w:t xml:space="preserve"> A. Driuko, V. Valančiaus</w:t>
      </w:r>
      <w:r w:rsidR="000456F4">
        <w:t>,</w:t>
      </w:r>
      <w:r w:rsidRPr="00CE37D0">
        <w:t xml:space="preserve"> </w:t>
      </w:r>
      <w:r w:rsidRPr="00CE37D0">
        <w:rPr>
          <w:rStyle w:val="Puslapioinaosnuoroda"/>
        </w:rPr>
        <w:footnoteReference w:id="36"/>
      </w:r>
      <w:r w:rsidRPr="00CE37D0">
        <w:t xml:space="preserve"> R. Simaičio</w:t>
      </w:r>
      <w:r w:rsidR="000456F4">
        <w:t xml:space="preserve">, </w:t>
      </w:r>
      <w:r w:rsidR="008052CB" w:rsidRPr="00CE37D0">
        <w:rPr>
          <w:rStyle w:val="Puslapioinaosnuoroda"/>
        </w:rPr>
        <w:footnoteReference w:id="37"/>
      </w:r>
      <w:r w:rsidR="000456F4">
        <w:t xml:space="preserve"> </w:t>
      </w:r>
      <w:r w:rsidRPr="00CE37D0">
        <w:t>I. Žalėnienės</w:t>
      </w:r>
      <w:r w:rsidR="000456F4">
        <w:t xml:space="preserve">, </w:t>
      </w:r>
      <w:r w:rsidR="008052CB" w:rsidRPr="00CE37D0">
        <w:rPr>
          <w:rStyle w:val="Puslapioinaosnuoroda"/>
        </w:rPr>
        <w:footnoteReference w:id="38"/>
      </w:r>
      <w:r w:rsidRPr="00CE37D0">
        <w:t xml:space="preserve"> G. Ambrasaitės </w:t>
      </w:r>
      <w:r w:rsidR="008052CB" w:rsidRPr="00CE37D0">
        <w:rPr>
          <w:rStyle w:val="Puslapioinaosnuoroda"/>
        </w:rPr>
        <w:footnoteReference w:id="39"/>
      </w:r>
      <w:r w:rsidR="008052CB" w:rsidRPr="00CE37D0">
        <w:t xml:space="preserve"> moksliniai </w:t>
      </w:r>
      <w:r w:rsidRPr="00CE37D0">
        <w:t xml:space="preserve">tyrimai. Taip pat darbe </w:t>
      </w:r>
      <w:r w:rsidRPr="00CE37D0">
        <w:lastRenderedPageBreak/>
        <w:t>remtasi ir baudžiamosios politikos, viktimologijos (</w:t>
      </w:r>
      <w:r w:rsidR="008052CB" w:rsidRPr="00CE37D0">
        <w:t>M. Joutsen</w:t>
      </w:r>
      <w:r w:rsidR="000456F4">
        <w:t>,</w:t>
      </w:r>
      <w:r w:rsidR="008052CB" w:rsidRPr="00CE37D0">
        <w:t xml:space="preserve"> </w:t>
      </w:r>
      <w:r w:rsidR="008052CB" w:rsidRPr="00CE37D0">
        <w:rPr>
          <w:rStyle w:val="Puslapioinaosnuoroda"/>
        </w:rPr>
        <w:footnoteReference w:id="40"/>
      </w:r>
      <w:r w:rsidR="008052CB" w:rsidRPr="00CE37D0">
        <w:t xml:space="preserve"> A. Karmen</w:t>
      </w:r>
      <w:r w:rsidR="000456F4">
        <w:t>,</w:t>
      </w:r>
      <w:r w:rsidR="008052CB" w:rsidRPr="00CE37D0">
        <w:t xml:space="preserve"> </w:t>
      </w:r>
      <w:r w:rsidR="008052CB" w:rsidRPr="00CE37D0">
        <w:rPr>
          <w:rStyle w:val="Puslapioinaosnuoroda"/>
        </w:rPr>
        <w:footnoteReference w:id="41"/>
      </w:r>
      <w:r w:rsidR="008052CB" w:rsidRPr="00CE37D0">
        <w:t xml:space="preserve"> </w:t>
      </w:r>
      <w:r w:rsidR="00CD00CE">
        <w:t>R. Uscilos</w:t>
      </w:r>
      <w:r w:rsidR="000456F4">
        <w:t>,</w:t>
      </w:r>
      <w:r w:rsidR="00CD00CE">
        <w:t xml:space="preserve"> </w:t>
      </w:r>
      <w:r w:rsidR="008052CB" w:rsidRPr="00CE37D0">
        <w:rPr>
          <w:rStyle w:val="Puslapioinaosnuoroda"/>
        </w:rPr>
        <w:footnoteReference w:id="42"/>
      </w:r>
      <w:r w:rsidRPr="00CE37D0">
        <w:t xml:space="preserve"> I. Michailovič</w:t>
      </w:r>
      <w:r w:rsidR="000456F4">
        <w:t xml:space="preserve">, </w:t>
      </w:r>
      <w:r w:rsidR="008052CB" w:rsidRPr="00CE37D0">
        <w:rPr>
          <w:rStyle w:val="Puslapioinaosnuoroda"/>
        </w:rPr>
        <w:footnoteReference w:id="43"/>
      </w:r>
      <w:r w:rsidR="008052CB" w:rsidRPr="00CE37D0">
        <w:t xml:space="preserve"> B. Spalek </w:t>
      </w:r>
      <w:r w:rsidR="008052CB" w:rsidRPr="00CE37D0">
        <w:rPr>
          <w:rStyle w:val="Puslapioinaosnuoroda"/>
        </w:rPr>
        <w:footnoteReference w:id="44"/>
      </w:r>
      <w:r w:rsidR="008052CB" w:rsidRPr="00CE37D0">
        <w:t>) moksline literatūra</w:t>
      </w:r>
      <w:r w:rsidRPr="00CE37D0">
        <w:t xml:space="preserve">. </w:t>
      </w:r>
      <w:r w:rsidR="008052CB" w:rsidRPr="00CE37D0">
        <w:t>Istoriniu aspektu privataus kaltinimo instituto evoliucija nagrinėta skirtingose teisinėse sistemose</w:t>
      </w:r>
      <w:r w:rsidR="00584B70" w:rsidRPr="00CE37D0">
        <w:t xml:space="preserve"> ir šalyse D. Klerman</w:t>
      </w:r>
      <w:r w:rsidR="00CD00CE">
        <w:t>o</w:t>
      </w:r>
      <w:r w:rsidR="000456F4">
        <w:t xml:space="preserve">, </w:t>
      </w:r>
      <w:r w:rsidR="00584B70" w:rsidRPr="00CE37D0">
        <w:rPr>
          <w:rStyle w:val="Puslapioinaosnuoroda"/>
        </w:rPr>
        <w:footnoteReference w:id="45"/>
      </w:r>
      <w:r w:rsidR="00584B70" w:rsidRPr="00CE37D0">
        <w:t xml:space="preserve"> Y. Ma</w:t>
      </w:r>
      <w:r w:rsidR="000456F4">
        <w:t>,</w:t>
      </w:r>
      <w:r w:rsidR="00584B70" w:rsidRPr="00CE37D0">
        <w:t xml:space="preserve"> </w:t>
      </w:r>
      <w:r w:rsidR="00584B70" w:rsidRPr="00CE37D0">
        <w:rPr>
          <w:rStyle w:val="Puslapioinaosnuoroda"/>
        </w:rPr>
        <w:footnoteReference w:id="46"/>
      </w:r>
      <w:r w:rsidR="00584B70" w:rsidRPr="00CE37D0">
        <w:t xml:space="preserve"> R. C. Van Caenegem</w:t>
      </w:r>
      <w:r w:rsidR="00CD00CE">
        <w:t>o</w:t>
      </w:r>
      <w:r w:rsidR="000456F4">
        <w:t xml:space="preserve">, </w:t>
      </w:r>
      <w:r w:rsidR="00584B70" w:rsidRPr="00CE37D0">
        <w:rPr>
          <w:rStyle w:val="Puslapioinaosnuoroda"/>
        </w:rPr>
        <w:footnoteReference w:id="47"/>
      </w:r>
      <w:r w:rsidR="00584B70" w:rsidRPr="00CE37D0">
        <w:t xml:space="preserve"> G. O. W. M</w:t>
      </w:r>
      <w:r w:rsidR="00D754F4">
        <w:t>ü</w:t>
      </w:r>
      <w:r w:rsidR="00584B70" w:rsidRPr="00CE37D0">
        <w:t>ller ir F. L. Poole-Griffiths</w:t>
      </w:r>
      <w:r w:rsidR="000456F4">
        <w:t>,</w:t>
      </w:r>
      <w:r w:rsidR="00584B70" w:rsidRPr="00CE37D0">
        <w:t xml:space="preserve"> </w:t>
      </w:r>
      <w:r w:rsidR="00584B70" w:rsidRPr="00CE37D0">
        <w:rPr>
          <w:rStyle w:val="Puslapioinaosnuoroda"/>
        </w:rPr>
        <w:footnoteReference w:id="48"/>
      </w:r>
      <w:r w:rsidR="00584B70" w:rsidRPr="00CE37D0">
        <w:t xml:space="preserve"> M. A. </w:t>
      </w:r>
      <w:r w:rsidR="00900989">
        <w:t>Ch</w:t>
      </w:r>
      <w:r w:rsidR="00584B70" w:rsidRPr="00CE37D0">
        <w:t>elcov</w:t>
      </w:r>
      <w:r w:rsidR="00CD00CE">
        <w:t>o</w:t>
      </w:r>
      <w:r w:rsidR="00584B70" w:rsidRPr="00CE37D0">
        <w:t>-Bebutov</w:t>
      </w:r>
      <w:r w:rsidR="00CD00CE">
        <w:t>o</w:t>
      </w:r>
      <w:r w:rsidR="000456F4">
        <w:t xml:space="preserve"> </w:t>
      </w:r>
      <w:r w:rsidR="00584B70" w:rsidRPr="00CE37D0">
        <w:rPr>
          <w:rStyle w:val="Puslapioinaosnuoroda"/>
        </w:rPr>
        <w:footnoteReference w:id="49"/>
      </w:r>
      <w:r w:rsidR="00584B70" w:rsidRPr="00CE37D0">
        <w:t xml:space="preserve"> lyginamosios teisės tyrimuose.</w:t>
      </w:r>
      <w:r w:rsidR="008052CB" w:rsidRPr="00CE37D0">
        <w:t xml:space="preserve"> Nagrinėjant privatų kaltinimą kaip socialinį institutą</w:t>
      </w:r>
      <w:r w:rsidR="00097B45" w:rsidRPr="00CE37D0">
        <w:t xml:space="preserve"> remtasi ir kitų mokslo šakų</w:t>
      </w:r>
      <w:r w:rsidR="007E53AE">
        <w:t xml:space="preserve"> darbais</w:t>
      </w:r>
      <w:r w:rsidR="00097B45" w:rsidRPr="00CE37D0">
        <w:t xml:space="preserve">, t.y. sociologijos, psichologijos mokslų atstovų, iš kurių paminėtini </w:t>
      </w:r>
      <w:r w:rsidR="00191E73" w:rsidRPr="00CE37D0">
        <w:t xml:space="preserve">N. Tavuchis </w:t>
      </w:r>
      <w:r w:rsidR="008052CB" w:rsidRPr="00CE37D0">
        <w:rPr>
          <w:rStyle w:val="Puslapioinaosnuoroda"/>
        </w:rPr>
        <w:footnoteReference w:id="50"/>
      </w:r>
      <w:r w:rsidR="00234A87">
        <w:t xml:space="preserve"> </w:t>
      </w:r>
      <w:r w:rsidR="00900989">
        <w:t>(sociologija) ir</w:t>
      </w:r>
      <w:r w:rsidR="00234A87">
        <w:t xml:space="preserve"> </w:t>
      </w:r>
      <w:r w:rsidR="008052CB" w:rsidRPr="00CE37D0">
        <w:t xml:space="preserve">V. </w:t>
      </w:r>
      <w:r w:rsidR="00191E73" w:rsidRPr="00CE37D0">
        <w:t>Justicki</w:t>
      </w:r>
      <w:r w:rsidR="00234A87">
        <w:t>s</w:t>
      </w:r>
      <w:r w:rsidR="00900989">
        <w:t xml:space="preserve"> bei</w:t>
      </w:r>
      <w:r w:rsidR="00234A87">
        <w:t xml:space="preserve"> </w:t>
      </w:r>
      <w:r w:rsidR="008052CB" w:rsidRPr="00CE37D0">
        <w:t xml:space="preserve">G. </w:t>
      </w:r>
      <w:r w:rsidR="00191E73" w:rsidRPr="00CE37D0">
        <w:t>Valick</w:t>
      </w:r>
      <w:r w:rsidR="00234A87">
        <w:t xml:space="preserve">as </w:t>
      </w:r>
      <w:r w:rsidR="008052CB" w:rsidRPr="00CE37D0">
        <w:rPr>
          <w:rStyle w:val="Puslapioinaosnuoroda"/>
        </w:rPr>
        <w:footnoteReference w:id="51"/>
      </w:r>
      <w:r w:rsidR="00191E73" w:rsidRPr="00CE37D0">
        <w:t xml:space="preserve"> (psichologija). </w:t>
      </w:r>
    </w:p>
    <w:p w:rsidR="00D80CD4" w:rsidRPr="00CE37D0" w:rsidRDefault="00D80CD4" w:rsidP="008052CB">
      <w:pPr>
        <w:spacing w:line="360" w:lineRule="auto"/>
        <w:jc w:val="both"/>
      </w:pPr>
    </w:p>
    <w:p w:rsidR="003E3809" w:rsidRPr="00CE37D0" w:rsidRDefault="003E3809" w:rsidP="000D6DF9">
      <w:pPr>
        <w:pStyle w:val="Antrat1"/>
        <w:spacing w:before="0" w:after="0" w:line="360" w:lineRule="auto"/>
        <w:jc w:val="both"/>
      </w:pPr>
      <w:r w:rsidRPr="00CE37D0">
        <w:br w:type="page"/>
      </w:r>
    </w:p>
    <w:p w:rsidR="003E3809" w:rsidRPr="00CE37D0" w:rsidRDefault="00A02C70" w:rsidP="00A02C70">
      <w:pPr>
        <w:pStyle w:val="Antrat1"/>
        <w:spacing w:before="0" w:after="0" w:line="360" w:lineRule="auto"/>
        <w:ind w:left="360"/>
        <w:jc w:val="both"/>
      </w:pPr>
      <w:bookmarkStart w:id="37" w:name="_Toc307574188"/>
      <w:bookmarkStart w:id="38" w:name="_Toc333484069"/>
      <w:bookmarkStart w:id="39" w:name="_Toc365498824"/>
      <w:bookmarkStart w:id="40" w:name="_Toc370139888"/>
      <w:bookmarkStart w:id="41" w:name="_Toc400321673"/>
      <w:r w:rsidRPr="00CE37D0">
        <w:lastRenderedPageBreak/>
        <w:t xml:space="preserve">I skyrius. </w:t>
      </w:r>
      <w:r w:rsidR="003E3809" w:rsidRPr="00CE37D0">
        <w:t>Dispozityvumas baudžiamajame procese</w:t>
      </w:r>
      <w:bookmarkEnd w:id="37"/>
      <w:bookmarkEnd w:id="38"/>
      <w:bookmarkEnd w:id="39"/>
      <w:bookmarkEnd w:id="40"/>
      <w:bookmarkEnd w:id="41"/>
    </w:p>
    <w:p w:rsidR="003E3809" w:rsidRPr="00CE37D0" w:rsidRDefault="003E3809" w:rsidP="003E3809">
      <w:pPr>
        <w:spacing w:line="360" w:lineRule="auto"/>
        <w:ind w:firstLine="851"/>
        <w:jc w:val="both"/>
      </w:pPr>
    </w:p>
    <w:p w:rsidR="003E3809" w:rsidRPr="00CE37D0" w:rsidRDefault="003E3809" w:rsidP="000D6DF9">
      <w:pPr>
        <w:spacing w:line="360" w:lineRule="auto"/>
        <w:ind w:firstLine="851"/>
        <w:jc w:val="right"/>
      </w:pPr>
      <w:r w:rsidRPr="00CE37D0">
        <w:t xml:space="preserve">Interesas yra visagalis magas, </w:t>
      </w:r>
    </w:p>
    <w:p w:rsidR="003E3809" w:rsidRPr="00CE37D0" w:rsidRDefault="003E3809" w:rsidP="000D6DF9">
      <w:pPr>
        <w:spacing w:line="360" w:lineRule="auto"/>
        <w:ind w:firstLine="851"/>
        <w:jc w:val="right"/>
      </w:pPr>
      <w:r w:rsidRPr="00CE37D0">
        <w:t xml:space="preserve">akyse pakeičiantis visus kūrinius, visų daiktų formą. </w:t>
      </w:r>
    </w:p>
    <w:p w:rsidR="003E3809" w:rsidRPr="00CE37D0" w:rsidRDefault="003E3809" w:rsidP="000D6DF9">
      <w:pPr>
        <w:spacing w:line="360" w:lineRule="auto"/>
        <w:ind w:firstLine="851"/>
        <w:jc w:val="right"/>
      </w:pPr>
    </w:p>
    <w:p w:rsidR="003E3809" w:rsidRPr="00CE37D0" w:rsidRDefault="003E3809" w:rsidP="000D6DF9">
      <w:pPr>
        <w:spacing w:line="360" w:lineRule="auto"/>
        <w:ind w:firstLine="851"/>
        <w:jc w:val="right"/>
      </w:pPr>
      <w:r w:rsidRPr="00CE37D0">
        <w:t>K. A. Helvecijus</w:t>
      </w:r>
    </w:p>
    <w:p w:rsidR="003E3809" w:rsidRPr="00CE37D0" w:rsidRDefault="003E3809" w:rsidP="003E3809">
      <w:pPr>
        <w:spacing w:line="360" w:lineRule="auto"/>
        <w:ind w:firstLine="851"/>
        <w:jc w:val="both"/>
      </w:pPr>
    </w:p>
    <w:p w:rsidR="003E3809" w:rsidRPr="00CE37D0" w:rsidRDefault="003E3809" w:rsidP="003E3809">
      <w:pPr>
        <w:pStyle w:val="prastasistinklapis"/>
        <w:spacing w:line="360" w:lineRule="auto"/>
        <w:ind w:firstLine="851"/>
        <w:jc w:val="both"/>
      </w:pPr>
      <w:r w:rsidRPr="00CE37D0">
        <w:t>Baudžiamosios justicijos sistema keičiasi k</w:t>
      </w:r>
      <w:r w:rsidR="00682F14">
        <w:t>intant</w:t>
      </w:r>
      <w:r w:rsidRPr="00CE37D0">
        <w:t xml:space="preserve"> vertybėms. Ji virsta socialiniu institutu, kurio paskirtis vystyti individualų teisingumą. Šis procesas neįmanomas be </w:t>
      </w:r>
      <w:r w:rsidR="00D44EDC">
        <w:t xml:space="preserve">tiesiogiai nuo nusikalstamų veikų nukentėjusių </w:t>
      </w:r>
      <w:r w:rsidRPr="00CE37D0">
        <w:t xml:space="preserve">asmenų aktyvaus dalyvavimo baudžiamajame procese. </w:t>
      </w:r>
    </w:p>
    <w:p w:rsidR="003E3809" w:rsidRPr="00CE37D0" w:rsidRDefault="003E3809" w:rsidP="003E3809">
      <w:pPr>
        <w:pStyle w:val="prastasistinklapis"/>
        <w:spacing w:line="360" w:lineRule="auto"/>
        <w:ind w:firstLine="851"/>
        <w:jc w:val="both"/>
      </w:pPr>
      <w:r w:rsidRPr="00CE37D0">
        <w:t xml:space="preserve">Teisinėje valstybėje didelis dėmesys skiriamas valstybės ir konkretaus individo teisių ir interesų santykio problemai bei galimo šių sferų susikirtimo atribojimui, taip pat ir baudžiamojo proceso srityje. Viena iš pagrindinių reformos krypčių yra privataus intereso įtakos išplėtimas baudžiamajame procese. Baudžiamojo proceso normų genezėje stebima privataus intereso įtakos stiprėjimo baudžiamajame procese tendencija, socialinių vertybių prioriteto kitimo konkretaus asmens, o ne valstybės naudai, idėja. </w:t>
      </w:r>
    </w:p>
    <w:p w:rsidR="003E3809" w:rsidRPr="00CE37D0" w:rsidRDefault="003E3809" w:rsidP="003E3809">
      <w:pPr>
        <w:spacing w:line="360" w:lineRule="auto"/>
        <w:ind w:firstLine="851"/>
        <w:jc w:val="both"/>
      </w:pPr>
      <w:r w:rsidRPr="00CE37D0">
        <w:t>Dispozityvumo baudžiamajame procese temos aktualumą sąlygoja besikeičiantis požiūris į baudžiamojo proceso tikslą bei stiprėjanti privačių interesų įtaka sprendimų priėmimo procese.  Įtvirtinus asmens teisių ir interesų apsaugos prioritetą, būtina ieškoti naujų viešo ir privataus intereso derinimo formų bei peržiūrėti dispozityvaus bei imperatyvaus reguliavimo metodo santykį ir ribas baudžiamajame procese. Privačių asmenų valios laisvės ribos baudžiamajame procese kinta priklausomai nuo to, kokia apimtimi individui visuomenėje, o tuo pačiu ir baudžiamajame procese, suteikiama laisvė veikti nepriklausomai nuo valstybės interesų</w:t>
      </w:r>
      <w:r w:rsidR="00E0371E">
        <w:t>.</w:t>
      </w:r>
      <w:r w:rsidRPr="00CE37D0">
        <w:t xml:space="preserve"> </w:t>
      </w:r>
      <w:r w:rsidRPr="00CE37D0">
        <w:rPr>
          <w:rStyle w:val="Puslapioinaosnuoroda"/>
        </w:rPr>
        <w:footnoteReference w:id="52"/>
      </w:r>
      <w:r w:rsidR="00D44EDC">
        <w:t xml:space="preserve"> </w:t>
      </w:r>
      <w:r w:rsidR="00682F14">
        <w:t>B</w:t>
      </w:r>
      <w:r w:rsidRPr="00CE37D0">
        <w:t xml:space="preserve">audžiamojo proceso </w:t>
      </w:r>
      <w:r w:rsidR="0072351F">
        <w:t xml:space="preserve">teisiniame reguliavime </w:t>
      </w:r>
      <w:r w:rsidRPr="00CE37D0">
        <w:t>stebime dispozityv</w:t>
      </w:r>
      <w:r w:rsidR="0072351F">
        <w:t>ių</w:t>
      </w:r>
      <w:r w:rsidRPr="00CE37D0">
        <w:t xml:space="preserve"> elementų išplėtimą, kuris liudija apie įstatymų leidėjo sustiprintą dėmesį asmens teisių ir laisvių užtikrinimui, siekiant suderinti baudžiamojo proceso veikloje viešuosius ir privačius interesus. </w:t>
      </w:r>
    </w:p>
    <w:p w:rsidR="003E3809" w:rsidRPr="00CE37D0" w:rsidRDefault="003E3809" w:rsidP="000D6DF9">
      <w:pPr>
        <w:pStyle w:val="Antrat1"/>
        <w:spacing w:before="0" w:after="0" w:line="360" w:lineRule="auto"/>
        <w:jc w:val="both"/>
      </w:pPr>
      <w:bookmarkStart w:id="42" w:name="_Toc307574189"/>
      <w:bookmarkStart w:id="43" w:name="_Toc333484070"/>
      <w:bookmarkStart w:id="44" w:name="_Toc365498825"/>
      <w:bookmarkStart w:id="45" w:name="_Toc370139889"/>
      <w:bookmarkStart w:id="46" w:name="_Toc400321674"/>
      <w:r w:rsidRPr="00CE37D0">
        <w:lastRenderedPageBreak/>
        <w:t>1. Viešojo ir privataus interes</w:t>
      </w:r>
      <w:r w:rsidR="008A211A">
        <w:t>ų</w:t>
      </w:r>
      <w:r w:rsidRPr="00CE37D0">
        <w:t xml:space="preserve"> koegzistavimas baudžiamajame procese</w:t>
      </w:r>
      <w:bookmarkEnd w:id="42"/>
      <w:bookmarkEnd w:id="43"/>
      <w:bookmarkEnd w:id="44"/>
      <w:bookmarkEnd w:id="45"/>
      <w:bookmarkEnd w:id="46"/>
    </w:p>
    <w:p w:rsidR="003E3809" w:rsidRPr="00CE37D0" w:rsidRDefault="003E3809" w:rsidP="003E3809">
      <w:pPr>
        <w:spacing w:line="360" w:lineRule="auto"/>
        <w:ind w:firstLine="851"/>
        <w:jc w:val="both"/>
      </w:pPr>
      <w:r w:rsidRPr="00CE37D0">
        <w:t xml:space="preserve">Šiuolaikinei teisei būdingas vis dažnesnis privatinės teisės režimo taikymas viešosios teisės reguliavimo sferoje (viešosios teisės atsitraukimas). </w:t>
      </w:r>
      <w:r w:rsidRPr="00CE37D0">
        <w:rPr>
          <w:rStyle w:val="Puslapioinaosnuoroda"/>
        </w:rPr>
        <w:footnoteReference w:id="53"/>
      </w:r>
      <w:r w:rsidRPr="00CE37D0">
        <w:t xml:space="preserve"> Todėl viešosios ir privatinės teisės reguliavimo sferų atskyrimo ir jų sąveikos ribų nustatymo kriterijaus paieškos </w:t>
      </w:r>
      <w:r w:rsidR="0078234E" w:rsidRPr="00CE37D0">
        <w:t>įgauna</w:t>
      </w:r>
      <w:r w:rsidR="007D7EF4">
        <w:t xml:space="preserve"> </w:t>
      </w:r>
      <w:r w:rsidRPr="00CE37D0">
        <w:t xml:space="preserve">aktualumą </w:t>
      </w:r>
      <w:r w:rsidR="007D7EF4">
        <w:t>naujuose kontekstuose</w:t>
      </w:r>
      <w:r w:rsidRPr="00CE37D0">
        <w:t xml:space="preserve">. Baudžiamojo proceso srityje šis klausimas svarbus ne nustatant teisės šakos vietą teisės sistemoje, o </w:t>
      </w:r>
      <w:r w:rsidR="0078234E">
        <w:t xml:space="preserve">ieškant </w:t>
      </w:r>
      <w:r w:rsidRPr="00CE37D0">
        <w:t xml:space="preserve">kriterijaus, kuriuo remiantis galimas dispozityvių privatinės teisės reguliavimo metodų ir normų pritaikymas viešojoje teisėje. </w:t>
      </w:r>
    </w:p>
    <w:p w:rsidR="003E3809" w:rsidRPr="00CE37D0" w:rsidRDefault="003E3809" w:rsidP="003E3809">
      <w:pPr>
        <w:spacing w:line="360" w:lineRule="auto"/>
        <w:ind w:firstLine="851"/>
        <w:jc w:val="both"/>
        <w:rPr>
          <w:color w:val="FF0000"/>
          <w:u w:val="single"/>
        </w:rPr>
      </w:pPr>
      <w:r w:rsidRPr="00F70A1B">
        <w:t>Išanalizavus teorijas, pagrindžiančias viešosios ir privatinės teisės santykį, mokslinėje literatūroje galima išskir</w:t>
      </w:r>
      <w:r w:rsidRPr="00CE37D0">
        <w:t>ti dvi požiūrių kryptis. Formaliosios krypties atstovai remiasi teisinio reguliavimo metodu, dominuojančiu teisės šakoje, ir kaip kriterijus išskiria pažeistos teisės gynybos būdą, teisinių santykių subjektų lygybės arba pavaldumo padėtį, teisinio reguliavimo imperatyvumą ar dispozityvumą.</w:t>
      </w:r>
      <w:r w:rsidR="00762AFC">
        <w:t xml:space="preserve"> </w:t>
      </w:r>
      <w:r w:rsidRPr="00CE37D0">
        <w:rPr>
          <w:rStyle w:val="Puslapioinaosnuoroda"/>
        </w:rPr>
        <w:footnoteReference w:id="54"/>
      </w:r>
      <w:r w:rsidRPr="00CE37D0">
        <w:t xml:space="preserve"> Formalioji kryptis apima metodo teoriją, dalyko teoriją ir subjektinės sudėties teoriją.</w:t>
      </w:r>
      <w:r w:rsidR="00762AFC">
        <w:t xml:space="preserve"> </w:t>
      </w:r>
      <w:r w:rsidRPr="00CE37D0">
        <w:rPr>
          <w:rStyle w:val="Puslapioinaosnuoroda"/>
        </w:rPr>
        <w:footnoteReference w:id="55"/>
      </w:r>
      <w:r w:rsidRPr="00CE37D0">
        <w:t xml:space="preserve"> Visos šios </w:t>
      </w:r>
      <w:r w:rsidRPr="00F70A1B">
        <w:t xml:space="preserve">formaliajai krypčiai priskiriamos </w:t>
      </w:r>
      <w:r w:rsidRPr="00CE37D0">
        <w:t>koncepcijos yra susij</w:t>
      </w:r>
      <w:r w:rsidR="007D7EF4">
        <w:t>usios, nes</w:t>
      </w:r>
      <w:r w:rsidRPr="00CE37D0">
        <w:t xml:space="preserve"> pabrėžia vieną </w:t>
      </w:r>
      <w:r w:rsidRPr="00F70A1B">
        <w:t xml:space="preserve">kurį nors teisės formos </w:t>
      </w:r>
      <w:r w:rsidRPr="00CE37D0">
        <w:t>elementą. Materialiosios krypties atstovai remiasi teisės reguliuojamų visuomeninių santykių turiniu. Jų argumentų sistemoje išeiti</w:t>
      </w:r>
      <w:r w:rsidR="007D7EF4">
        <w:t>e</w:t>
      </w:r>
      <w:r w:rsidRPr="00CE37D0">
        <w:t xml:space="preserve">s taškas yra intereso teorija: teisės normų pobūdis </w:t>
      </w:r>
      <w:r w:rsidR="00E271EF">
        <w:t>nulem</w:t>
      </w:r>
      <w:r w:rsidRPr="00CE37D0">
        <w:t>iamas priklausomai nuo atsakymo į klausimą, kieno interesus, gėrius, naudą gina atitinkamos normos.</w:t>
      </w:r>
      <w:r w:rsidR="00762AFC">
        <w:t xml:space="preserve"> </w:t>
      </w:r>
      <w:r w:rsidRPr="00CE37D0">
        <w:rPr>
          <w:rStyle w:val="Puslapioinaosnuoroda"/>
        </w:rPr>
        <w:footnoteReference w:id="56"/>
      </w:r>
      <w:r w:rsidRPr="00CE37D0">
        <w:t xml:space="preserve"> Intereso kategorijos moksliniai tyrimai susiję su dispozityvumo principu, kuris siejamas su suinteresuoto asmens valia bei jo interesais. </w:t>
      </w:r>
      <w:r w:rsidRPr="00CE37D0">
        <w:rPr>
          <w:rStyle w:val="Puslapioinaosnuoroda"/>
        </w:rPr>
        <w:footnoteReference w:id="57"/>
      </w:r>
      <w:r w:rsidRPr="00CE37D0">
        <w:t xml:space="preserve"> Šiame tyrime bus remiamasi materialiosios krypties atstovų suformuota koncepcija, kadangi formaliųjų kriterijų pagrindu neįmanoma atskleisti viešosios ir privatinės teisės elementų koegzistavimo vienoje teisės šakoje priežasčių. Atvirkščiai, turinys </w:t>
      </w:r>
      <w:r w:rsidR="00E271EF">
        <w:t>nulem</w:t>
      </w:r>
      <w:r w:rsidRPr="00CE37D0">
        <w:t xml:space="preserve">ia formą. Todėl teisinio reguliavimo metodų sąveika baudžiamajame procese aiškinama turininguoju aspektu, t.y. kildinama iš visuomeninių santykių bei grindžiama intereso kriterijumi. </w:t>
      </w:r>
    </w:p>
    <w:p w:rsidR="003E3809" w:rsidRPr="00CE37D0" w:rsidRDefault="003E3809" w:rsidP="003E3809">
      <w:pPr>
        <w:spacing w:line="360" w:lineRule="auto"/>
        <w:ind w:firstLine="851"/>
        <w:jc w:val="both"/>
      </w:pPr>
      <w:r w:rsidRPr="00CE37D0">
        <w:lastRenderedPageBreak/>
        <w:t xml:space="preserve">Viešojo ir privataus intereso santykio klausimą nagrinėjo dar Senovės Romos teisininkai. Ulpijanas (170 - 228 m.) viešosios ir privatinės teisės prigimtį aiškino vadovaudamasis intereso kriterijumi: </w:t>
      </w:r>
      <w:r w:rsidRPr="00CE37D0">
        <w:rPr>
          <w:i/>
        </w:rPr>
        <w:t xml:space="preserve">omne ius publicum est quod ad statum rei Romanae spectat, privatum quod ad singulorum utilitatem </w:t>
      </w:r>
      <w:r w:rsidRPr="00CE37D0">
        <w:t>(D.1,1,1,2), t.y. viešoji teisė yra ta, kuri žiūri valstybės reikalų (interesų), privati teisė - atskirų asmenų, individo interesus, naudą.</w:t>
      </w:r>
      <w:r w:rsidR="00762AFC">
        <w:t xml:space="preserve"> </w:t>
      </w:r>
      <w:r w:rsidRPr="00CE37D0">
        <w:rPr>
          <w:rStyle w:val="Puslapioinaosnuoroda"/>
        </w:rPr>
        <w:footnoteReference w:id="58"/>
      </w:r>
      <w:r w:rsidRPr="00CE37D0">
        <w:t xml:space="preserve"> Taigi viešosios ir privačios teisės atskyrimo ir sąveikos objektyvus pagrindas yra skirtingi interesai: privatūs atskiro subjekto ir visuomenės interesai. Teisinio reguliavimo galutinis tikslas yra asmens ir visuomenės interesų pusiausvyra.</w:t>
      </w:r>
      <w:r w:rsidR="00762AFC">
        <w:t xml:space="preserve"> </w:t>
      </w:r>
      <w:r w:rsidRPr="00CE37D0">
        <w:rPr>
          <w:rStyle w:val="Puslapioinaosnuoroda"/>
        </w:rPr>
        <w:footnoteReference w:id="59"/>
      </w:r>
      <w:r w:rsidRPr="00CE37D0">
        <w:t xml:space="preserve"> Interesų bei reguliuojamų visuomeninių santykių pobūdis lemia reguliavimo būdų pasirinkimą. Tik intereso turinys leidžia nuspręsti, kada valstybės įsikišimas, jos imperatyvūs paliepimai būtini visuomenei ir atskiram individui apginti jo teises nuo teisės pažeidimų, o kada toks įsikišimas, kitų subjektų paklusimas valstybės valiai gali pažeisti individo teises ir </w:t>
      </w:r>
      <w:r w:rsidR="00081116" w:rsidRPr="00CE37D0">
        <w:t xml:space="preserve">užkirsti kelią pasiekti </w:t>
      </w:r>
      <w:r w:rsidRPr="00CE37D0">
        <w:t>įstatymų leidėjo deklaruojamus tikslus.</w:t>
      </w:r>
      <w:r w:rsidR="00762AFC">
        <w:t xml:space="preserve"> </w:t>
      </w:r>
      <w:r w:rsidRPr="00CE37D0">
        <w:rPr>
          <w:rStyle w:val="Puslapioinaosnuoroda"/>
        </w:rPr>
        <w:footnoteReference w:id="60"/>
      </w:r>
      <w:r w:rsidRPr="00CE37D0">
        <w:t xml:space="preserve"> Intereso kategorija yra susijusi su dispozityvumo principu, kuris yra siejamas su suinteresuoto asmens valia, jo interesais.</w:t>
      </w:r>
      <w:r w:rsidR="00762AFC">
        <w:t xml:space="preserve"> </w:t>
      </w:r>
      <w:r w:rsidRPr="00CE37D0">
        <w:rPr>
          <w:rStyle w:val="Puslapioinaosnuoroda"/>
        </w:rPr>
        <w:footnoteReference w:id="61"/>
      </w:r>
    </w:p>
    <w:p w:rsidR="003E3809" w:rsidRPr="00CE37D0" w:rsidRDefault="003E3809" w:rsidP="003E3809">
      <w:pPr>
        <w:spacing w:line="360" w:lineRule="auto"/>
        <w:ind w:firstLine="851"/>
        <w:jc w:val="both"/>
      </w:pPr>
      <w:r w:rsidRPr="00CE37D0">
        <w:t>Intereso kriterijaus lankstumas leidžia atsižvelgti į reguliuojamų visuomeninių santykių specifiką, nepaneigiant to, kad atskiroje teisės šakoje gali dominuoti viešas</w:t>
      </w:r>
      <w:r w:rsidR="008A211A">
        <w:t>is</w:t>
      </w:r>
      <w:r w:rsidRPr="00CE37D0">
        <w:t xml:space="preserve"> arba privatus interesas, o tuo pačiu ir santykin</w:t>
      </w:r>
      <w:r w:rsidR="00081116" w:rsidRPr="00CE37D0">
        <w:t>ė</w:t>
      </w:r>
      <w:r w:rsidRPr="00CE37D0">
        <w:t xml:space="preserve"> imperatyvaus arba dispozityvaus reguliavimo metodo </w:t>
      </w:r>
      <w:r w:rsidR="00081116" w:rsidRPr="00CE37D0">
        <w:t>įtaka</w:t>
      </w:r>
      <w:r w:rsidRPr="00CE37D0">
        <w:t>.</w:t>
      </w:r>
      <w:r w:rsidR="00762AFC">
        <w:t xml:space="preserve"> </w:t>
      </w:r>
      <w:r w:rsidRPr="00CE37D0">
        <w:rPr>
          <w:rStyle w:val="Puslapioinaosnuoroda"/>
        </w:rPr>
        <w:footnoteReference w:id="62"/>
      </w:r>
      <w:r w:rsidRPr="00CE37D0">
        <w:t xml:space="preserve"> Taigi</w:t>
      </w:r>
      <w:r w:rsidR="007D7EF4">
        <w:t>,</w:t>
      </w:r>
      <w:r w:rsidRPr="00CE37D0">
        <w:t xml:space="preserve"> vadovaudamiesi intereso kriterijumi, galime nagrinėti privataus ir viešojo intereso koegzistavimą bei įtaką teisinio reguliavimo metodui vienoje teisės šakoje – baudžiamajame procese. </w:t>
      </w:r>
    </w:p>
    <w:p w:rsidR="003E3809" w:rsidRPr="00CE37D0" w:rsidRDefault="003E3809" w:rsidP="003E3809">
      <w:pPr>
        <w:shd w:val="clear" w:color="auto" w:fill="FFFFFF"/>
        <w:spacing w:line="360" w:lineRule="auto"/>
        <w:ind w:right="27" w:firstLine="851"/>
        <w:jc w:val="both"/>
        <w:rPr>
          <w:rFonts w:ascii="Calibri" w:hAnsi="Calibri"/>
        </w:rPr>
      </w:pPr>
      <w:r w:rsidRPr="00CE37D0">
        <w:t>Nagrinėjant privataus intereso vaidmenį pirmiausia būtina išsiaiškinti sąvokos „interesas“ esmę.</w:t>
      </w:r>
      <w:r w:rsidR="00762AFC">
        <w:t xml:space="preserve"> </w:t>
      </w:r>
      <w:r w:rsidRPr="00CE37D0">
        <w:rPr>
          <w:rStyle w:val="Puslapioinaosnuoroda"/>
        </w:rPr>
        <w:footnoteReference w:id="63"/>
      </w:r>
      <w:r w:rsidRPr="00CE37D0">
        <w:t xml:space="preserve"> Interesas yra svarbi žmogaus veiklos sąlyga. Kaip fizinė visata paklūsta judėjimo dėsniams, taip moralinė visata paklūsta interesų dėsniams. </w:t>
      </w:r>
      <w:r w:rsidRPr="00CE37D0">
        <w:rPr>
          <w:rStyle w:val="Puslapioinaosnuoroda"/>
        </w:rPr>
        <w:footnoteReference w:id="64"/>
      </w:r>
      <w:r w:rsidRPr="00CE37D0">
        <w:t xml:space="preserve"> Interesas </w:t>
      </w:r>
      <w:r w:rsidR="00081116" w:rsidRPr="00CE37D0">
        <w:t xml:space="preserve">gali būti suvokiamas </w:t>
      </w:r>
      <w:r w:rsidRPr="00CE37D0">
        <w:t xml:space="preserve">kaip objektyvaus ir subjektyvaus prado vienovė: iš vienos pusės interesas kyla iš objektyviai </w:t>
      </w:r>
      <w:r w:rsidRPr="00CE37D0">
        <w:lastRenderedPageBreak/>
        <w:t xml:space="preserve">egzistuojančių poreikių, o iš kitos pusės interesas atsispindi žmogaus sąmonėje ir formuojasi kaip tam tikri subjektyvūs tikslai. U. Trumpulis, apibendrinęs autorių požiūrius, suformuoja prielaidą, kad egzistuoja objektyvioji ir subjektyvioji intereso pusės: objektyvių aplinkybių nulemti interesai ir subjektyvūs interesai, kurių atsiradimą nulemia konkretaus subjekto sąmonė, objektyvių aplinkybių subjektyvus suvokimas bei vertinimas. Subjektyvus interesas suteikia objektyviajai intereso pusei kryptingumą, postūmį jo įgyvendinimo link. </w:t>
      </w:r>
      <w:r w:rsidRPr="00CE37D0">
        <w:rPr>
          <w:rStyle w:val="Puslapioinaosnuoroda"/>
        </w:rPr>
        <w:footnoteReference w:id="65"/>
      </w:r>
    </w:p>
    <w:p w:rsidR="003B0995" w:rsidRPr="00CE37D0" w:rsidRDefault="003E3809" w:rsidP="003B0995">
      <w:pPr>
        <w:spacing w:line="360" w:lineRule="auto"/>
        <w:ind w:firstLine="851"/>
        <w:jc w:val="both"/>
      </w:pPr>
      <w:r w:rsidRPr="00CE37D0">
        <w:t xml:space="preserve">Interesas yra viso baudžiamojo proceso varomoji jėga. Interesą </w:t>
      </w:r>
      <w:r w:rsidR="008A211A">
        <w:t>lem</w:t>
      </w:r>
      <w:r w:rsidRPr="00CE37D0">
        <w:t xml:space="preserve">ia poreikiai, kurių patenkinimo siekia jų turėtojas, nepriklausomai nuo to, ar tai asmuo, valstybė ar visuomenė. </w:t>
      </w:r>
      <w:r w:rsidRPr="00CE37D0">
        <w:rPr>
          <w:rStyle w:val="Puslapioinaosnuoroda"/>
        </w:rPr>
        <w:footnoteReference w:id="66"/>
      </w:r>
      <w:r w:rsidRPr="00CE37D0">
        <w:t xml:space="preserve"> Socialinis interesas, paverstas visuotinai privalomo elgesio taisykle, ir yra teisė, o teisės paskirtis yra priešingų interesų derinimas. </w:t>
      </w:r>
      <w:r w:rsidRPr="00CE37D0">
        <w:rPr>
          <w:rStyle w:val="Puslapioinaosnuoroda"/>
        </w:rPr>
        <w:footnoteReference w:id="67"/>
      </w:r>
      <w:r w:rsidR="00200115">
        <w:t xml:space="preserve"> </w:t>
      </w:r>
      <w:r w:rsidR="00234A96" w:rsidRPr="00CE37D0">
        <w:t>N</w:t>
      </w:r>
      <w:r w:rsidR="003B0995" w:rsidRPr="00CE37D0">
        <w:t>ukentėjusiojo interes</w:t>
      </w:r>
      <w:r w:rsidR="00234A96" w:rsidRPr="00CE37D0">
        <w:t>as</w:t>
      </w:r>
      <w:r w:rsidR="007D7EF4">
        <w:t xml:space="preserve"> </w:t>
      </w:r>
      <w:r w:rsidR="00234A96" w:rsidRPr="00CE37D0">
        <w:t>grindžiamas</w:t>
      </w:r>
      <w:r w:rsidR="003B0995" w:rsidRPr="00CE37D0">
        <w:t xml:space="preserve"> samprata, kad nusikal</w:t>
      </w:r>
      <w:r w:rsidR="00E0371E">
        <w:t>s</w:t>
      </w:r>
      <w:r w:rsidR="003B0995" w:rsidRPr="00CE37D0">
        <w:t>t</w:t>
      </w:r>
      <w:r w:rsidR="00E0371E">
        <w:t>ama veika, pažeisdama</w:t>
      </w:r>
      <w:r w:rsidR="003B0995" w:rsidRPr="00CE37D0">
        <w:t xml:space="preserve"> valstybės saugomus teisinius gėrius ir visuomeninę tvarką, pažeidžia</w:t>
      </w:r>
      <w:r w:rsidR="00234A96" w:rsidRPr="00CE37D0">
        <w:t xml:space="preserve"> ir atskiro individo interesą. Kadangi v</w:t>
      </w:r>
      <w:r w:rsidR="003B0995" w:rsidRPr="00CE37D0">
        <w:t>iešasis interesas yra labiausiai tipiškų ir reikšmingiausių privačių interesų sąveikos, jų kompromiso rezultatas</w:t>
      </w:r>
      <w:r w:rsidR="00234A96" w:rsidRPr="00CE37D0">
        <w:t>,</w:t>
      </w:r>
      <w:r w:rsidR="00762AFC">
        <w:t xml:space="preserve"> </w:t>
      </w:r>
      <w:r w:rsidR="003B0995" w:rsidRPr="00CE37D0">
        <w:rPr>
          <w:vertAlign w:val="superscript"/>
        </w:rPr>
        <w:footnoteReference w:id="68"/>
      </w:r>
      <w:r w:rsidR="007D7EF4">
        <w:t xml:space="preserve"> </w:t>
      </w:r>
      <w:r w:rsidR="00234A96" w:rsidRPr="00CE37D0">
        <w:t>ji</w:t>
      </w:r>
      <w:r w:rsidR="003B0995" w:rsidRPr="00CE37D0">
        <w:t>s negali egzistuoti be privačių interesų</w:t>
      </w:r>
      <w:r w:rsidR="00234A96" w:rsidRPr="00CE37D0">
        <w:t>.</w:t>
      </w:r>
      <w:r w:rsidR="007D7EF4">
        <w:t xml:space="preserve"> </w:t>
      </w:r>
      <w:r w:rsidR="00234A96" w:rsidRPr="00CE37D0">
        <w:t>Š</w:t>
      </w:r>
      <w:r w:rsidR="003B0995" w:rsidRPr="00CE37D0">
        <w:t xml:space="preserve">ių interesų santykis atitinka visumos ir dalies santykį arba visuomenės ir individo santykį. </w:t>
      </w:r>
      <w:r w:rsidR="008A211A">
        <w:t>Viešasis ir privatus</w:t>
      </w:r>
      <w:r w:rsidR="003B0995" w:rsidRPr="00CE37D0">
        <w:t xml:space="preserve"> interesas neegzistuoja ats</w:t>
      </w:r>
      <w:r w:rsidR="00234A96" w:rsidRPr="00CE37D0">
        <w:t>kir</w:t>
      </w:r>
      <w:r w:rsidR="003B0995" w:rsidRPr="00CE37D0">
        <w:t>ai vienas nuo kito: net ir nesutapdami</w:t>
      </w:r>
      <w:r w:rsidR="00234A96" w:rsidRPr="00CE37D0">
        <w:t>,</w:t>
      </w:r>
      <w:r w:rsidR="003B0995" w:rsidRPr="00CE37D0">
        <w:t xml:space="preserve"> jie yra vienokiame ar kitokiame santykyje: priešpriešos, dalinio sutapimo, suderinimo. </w:t>
      </w:r>
    </w:p>
    <w:p w:rsidR="003E3809" w:rsidRPr="00CE37D0" w:rsidRDefault="003E3809" w:rsidP="00F03C32">
      <w:pPr>
        <w:spacing w:line="360" w:lineRule="auto"/>
        <w:ind w:firstLine="851"/>
        <w:jc w:val="both"/>
      </w:pPr>
      <w:r w:rsidRPr="00CE37D0">
        <w:t>Baudžiamajame procese akivaizdžiai dominuoja viešas</w:t>
      </w:r>
      <w:r w:rsidR="008A211A">
        <w:t>is</w:t>
      </w:r>
      <w:r w:rsidRPr="00CE37D0">
        <w:t xml:space="preserve"> interesas, tačiau tai nepaneigia būtinybės tam tikrais atvejais teikti prioritetą privatiems interesams. Apibendrinant Lietuvos mokslininkų publikacijose pateikiamus apibrėžimus bei užsienio valstybių autorių pateikiamų apibrėžimų analizę ir išskiriant visų šių apibrėžimų vienijantį pagrindą, darytina išvada, jog viešasis interesas yra teisėtas visuomenės interesas. </w:t>
      </w:r>
      <w:r w:rsidRPr="00CE37D0">
        <w:rPr>
          <w:rStyle w:val="Puslapioinaosnuoroda"/>
        </w:rPr>
        <w:footnoteReference w:id="69"/>
      </w:r>
      <w:r w:rsidRPr="00CE37D0">
        <w:t xml:space="preserve"> Viešojo intereso pirmumas baudžiamajame procese pateisinamas pirmiausia tuo, kad nusikalstama veika padaroma žala visai visuomenei, o subjektyvūs </w:t>
      </w:r>
      <w:r w:rsidRPr="00CE37D0">
        <w:lastRenderedPageBreak/>
        <w:t>nukentėjusiojo asmens poreikiai paliekami nuošalyje, kad būtų išlaikytas baudžiamojo proceso objektyvumas ir teisėtumas.</w:t>
      </w:r>
      <w:r w:rsidR="00762AFC">
        <w:t xml:space="preserve"> </w:t>
      </w:r>
      <w:r w:rsidRPr="00CE37D0">
        <w:rPr>
          <w:rStyle w:val="Puslapioinaosnuoroda"/>
        </w:rPr>
        <w:footnoteReference w:id="70"/>
      </w:r>
      <w:r w:rsidR="00762AFC">
        <w:t xml:space="preserve"> </w:t>
      </w:r>
      <w:r w:rsidRPr="00CE37D0">
        <w:t xml:space="preserve">Viešojo intereso turinys </w:t>
      </w:r>
      <w:r w:rsidR="00A92625" w:rsidRPr="00CE37D0">
        <w:t>apima ir</w:t>
      </w:r>
      <w:r w:rsidRPr="00CE37D0">
        <w:t xml:space="preserve"> visuomenės</w:t>
      </w:r>
      <w:r w:rsidR="00A92625" w:rsidRPr="00CE37D0">
        <w:t>,</w:t>
      </w:r>
      <w:r w:rsidRPr="00CE37D0">
        <w:t xml:space="preserve"> ir privačių asmenų apsaug</w:t>
      </w:r>
      <w:r w:rsidR="00A92625" w:rsidRPr="00CE37D0">
        <w:t>ą</w:t>
      </w:r>
      <w:r w:rsidR="00F03C32" w:rsidRPr="00CE37D0">
        <w:t xml:space="preserve"> atskleidžiant nusikal</w:t>
      </w:r>
      <w:r w:rsidR="00FC555A">
        <w:t>s</w:t>
      </w:r>
      <w:r w:rsidR="00F03C32" w:rsidRPr="00CE37D0">
        <w:t>t</w:t>
      </w:r>
      <w:r w:rsidR="00FC555A">
        <w:t>a</w:t>
      </w:r>
      <w:r w:rsidR="00F03C32" w:rsidRPr="00CE37D0">
        <w:t>m</w:t>
      </w:r>
      <w:r w:rsidR="00FC555A">
        <w:t>a</w:t>
      </w:r>
      <w:r w:rsidR="00F03C32" w:rsidRPr="00CE37D0">
        <w:t>s</w:t>
      </w:r>
      <w:r w:rsidR="00FC555A">
        <w:t xml:space="preserve"> veikas</w:t>
      </w:r>
      <w:r w:rsidR="00F03C32" w:rsidRPr="00CE37D0">
        <w:t>, išaiškinant ir teisingai nubaudžiant kaltus asmenis</w:t>
      </w:r>
      <w:r w:rsidR="00FC555A">
        <w:t xml:space="preserve"> arba kitaip išsprendžiant jų baudžiamosios atsakomybės klausimą</w:t>
      </w:r>
      <w:r w:rsidR="00F03C32" w:rsidRPr="00CE37D0">
        <w:t xml:space="preserve"> ir galiausiai saugant tiek nukentėjusių nuo nusikalstamų veikų, tiek ir asmenų, kuriems kyla baudžiamoji atsakomybė dėl nusikalstamos veikos padarymo, teises ir teisėtus interesus.</w:t>
      </w:r>
    </w:p>
    <w:p w:rsidR="003E3809" w:rsidRPr="00CE37D0" w:rsidRDefault="00FC555A" w:rsidP="003E3809">
      <w:pPr>
        <w:spacing w:line="360" w:lineRule="auto"/>
        <w:ind w:firstLine="851"/>
        <w:jc w:val="both"/>
      </w:pPr>
      <w:r>
        <w:t>V</w:t>
      </w:r>
      <w:r w:rsidRPr="00CE37D0">
        <w:t xml:space="preserve">isuomenės </w:t>
      </w:r>
      <w:r w:rsidR="003E3809" w:rsidRPr="00CE37D0">
        <w:t xml:space="preserve">ir </w:t>
      </w:r>
      <w:r>
        <w:t>a</w:t>
      </w:r>
      <w:r w:rsidRPr="00CE37D0">
        <w:t xml:space="preserve">smens </w:t>
      </w:r>
      <w:r w:rsidR="003E3809" w:rsidRPr="00CE37D0">
        <w:t>kaip visumos ir dalies santykis gali būti aiškinamas remiantis valstybės pirmumu (etatistinė teisės samprata, išplėtota teisinio pozityvizmo) arba asmens pirmumu (nepozityvistinės teisės sampratos: prigimtinė, psichologinė, visuomenės sutarties, teisinis personalizmas ir pan.). Teisinio personalizmo sampratos penk</w:t>
      </w:r>
      <w:r w:rsidR="008F16AF" w:rsidRPr="00CE37D0">
        <w:t>i</w:t>
      </w:r>
      <w:r w:rsidR="003E3809" w:rsidRPr="00CE37D0">
        <w:t>ų aksiomų modelyje pi</w:t>
      </w:r>
      <w:r w:rsidR="0095524C">
        <w:t>r</w:t>
      </w:r>
      <w:r w:rsidR="003E3809" w:rsidRPr="00CE37D0">
        <w:t xml:space="preserve">miausia iškeliamas asmens vertybinio pirmumo prieš valstybę ir socialinius darinius pripažinimas. </w:t>
      </w:r>
      <w:r w:rsidR="003E3809" w:rsidRPr="00CE37D0">
        <w:rPr>
          <w:rStyle w:val="Puslapioinaosnuoroda"/>
        </w:rPr>
        <w:footnoteReference w:id="71"/>
      </w:r>
      <w:r w:rsidR="003E3809" w:rsidRPr="00CE37D0">
        <w:t xml:space="preserve"> Pasak A. Vaišvilos</w:t>
      </w:r>
      <w:r w:rsidR="008F16AF" w:rsidRPr="00CE37D0">
        <w:t>,</w:t>
      </w:r>
      <w:r w:rsidR="003E3809" w:rsidRPr="00CE37D0">
        <w:t xml:space="preserve"> „</w:t>
      </w:r>
      <w:r w:rsidR="003E3809" w:rsidRPr="00CE37D0">
        <w:rPr>
          <w:i/>
        </w:rPr>
        <w:t>asmens aksiologinis pirmumas, visų teisės subjektų lygiateisiškumas šiandien yra visuotinai pripažinta, įrodymo nereikalaujanti tiesa ir įstatyminė nuostata, įtvirtinta Visuotinėje žmogaus teisių deklaracijoje (1948), EŽT konvencijoje (1950) ir visų Europos šalių konstitucijose kaip pamatinė aksioma.</w:t>
      </w:r>
      <w:r w:rsidR="003E3809" w:rsidRPr="00CE37D0">
        <w:t xml:space="preserve">“ </w:t>
      </w:r>
      <w:r w:rsidR="003E3809" w:rsidRPr="00CE37D0">
        <w:rPr>
          <w:rStyle w:val="Puslapioinaosnuoroda"/>
        </w:rPr>
        <w:footnoteReference w:id="72"/>
      </w:r>
      <w:r w:rsidR="003E3809" w:rsidRPr="00CE37D0">
        <w:t xml:space="preserve"> Asmens konstitucinio statuso ypatumai, žmogaus teisių ir teisėtų interesų apsaugos prioritetas sąlygoja būtinumą baudžiamąjį procesą tirti remiantis šia teisinio perso</w:t>
      </w:r>
      <w:r w:rsidR="002C1089">
        <w:t>nalizmo aksioma. Asmens pirmumo prieš valstybę pripažinimas atsispindi BPK apibrėžiant</w:t>
      </w:r>
      <w:r w:rsidR="00376715">
        <w:t xml:space="preserve"> </w:t>
      </w:r>
      <w:r w:rsidR="002C1089">
        <w:t xml:space="preserve">baudžiamojo proceso </w:t>
      </w:r>
      <w:r w:rsidR="003E3809" w:rsidRPr="00CE37D0">
        <w:t xml:space="preserve">tikslus ir uždavinius, </w:t>
      </w:r>
      <w:r w:rsidR="002C1089">
        <w:t xml:space="preserve">modeliuojant </w:t>
      </w:r>
      <w:r w:rsidR="003E3809" w:rsidRPr="00CE37D0">
        <w:t xml:space="preserve">pagrįstą </w:t>
      </w:r>
      <w:r w:rsidR="00710067">
        <w:t>rungtyniškumu</w:t>
      </w:r>
      <w:r w:rsidR="003E3809" w:rsidRPr="00CE37D0">
        <w:t xml:space="preserve"> ir šalių lygi</w:t>
      </w:r>
      <w:r w:rsidR="002C1089">
        <w:t>ateisiškumu teisinį reguliavimą</w:t>
      </w:r>
      <w:r w:rsidR="003E3809" w:rsidRPr="00CE37D0">
        <w:t>.</w:t>
      </w:r>
    </w:p>
    <w:p w:rsidR="003E3809" w:rsidRPr="00CE37D0" w:rsidRDefault="003E3809" w:rsidP="007467EF">
      <w:pPr>
        <w:spacing w:line="360" w:lineRule="auto"/>
        <w:ind w:firstLine="851"/>
        <w:jc w:val="both"/>
      </w:pPr>
      <w:r w:rsidRPr="00CE37D0">
        <w:t>Asmens teisėto privataus intereso vieta konstitucinių vertybių sistemoje gali būti analizuojama Lietuvos Respublikos Konstitucijos</w:t>
      </w:r>
      <w:r w:rsidR="001E2777">
        <w:t xml:space="preserve"> (toliau – Konstitucija)</w:t>
      </w:r>
      <w:r w:rsidR="00762AFC">
        <w:t xml:space="preserve"> </w:t>
      </w:r>
      <w:r w:rsidR="0002268D">
        <w:rPr>
          <w:rStyle w:val="Puslapioinaosnuoroda"/>
        </w:rPr>
        <w:footnoteReference w:id="73"/>
      </w:r>
      <w:r w:rsidRPr="00CE37D0">
        <w:t xml:space="preserve"> 118 straipsnio 2 dalies nuostatos kontekste. Konstitucinė prokuroro pareiga įstatymo nustatytais atvejais ginti „asmens, visuomenės ir valstybės teises bei teisėtus interesus“ suponuoja prielaidą, kad šie interesai yra lygiaverčiai. </w:t>
      </w:r>
      <w:r w:rsidRPr="00CE37D0">
        <w:rPr>
          <w:rStyle w:val="Puslapioinaosnuoroda"/>
        </w:rPr>
        <w:footnoteReference w:id="74"/>
      </w:r>
      <w:r w:rsidRPr="00CE37D0">
        <w:t xml:space="preserve"> Baudžiamojo proceso moksle proceso dalyvio privačiu interesu (konkretaus asmens individualizuotu interesu) suprantamas toks interesas, kurį sąlygoja tai, kad įvykdyta nusikalstama veika betarpiškai, asmeniškai jį pali</w:t>
      </w:r>
      <w:r w:rsidR="008F16AF" w:rsidRPr="00CE37D0">
        <w:t>ečia. Tačiau k</w:t>
      </w:r>
      <w:r w:rsidRPr="00CE37D0">
        <w:t>iekvienas asmuo, baudžiamajame proce</w:t>
      </w:r>
      <w:r w:rsidR="008F16AF" w:rsidRPr="00CE37D0">
        <w:t>se įgyjantis teises ir pareigas</w:t>
      </w:r>
      <w:r w:rsidRPr="00CE37D0">
        <w:t>, turi interesą ginti savo procesines teises bei reikalauti, kad kiti teisinių santykių subjektai sudarytų jam tinkamas sąlygas arba netrukdytų įgyvendinti teisinių pareigų</w:t>
      </w:r>
      <w:r w:rsidR="007467EF" w:rsidRPr="00CE37D0">
        <w:t>, todėl pripažintina, kad</w:t>
      </w:r>
      <w:r w:rsidR="001E1E74">
        <w:t xml:space="preserve"> </w:t>
      </w:r>
      <w:r w:rsidR="007467EF" w:rsidRPr="00CE37D0">
        <w:t xml:space="preserve">asmens interesams įtaką daro ne tik nusikalstama veika, kuria buvo pažeistos jo </w:t>
      </w:r>
      <w:r w:rsidR="007467EF" w:rsidRPr="00CE37D0">
        <w:lastRenderedPageBreak/>
        <w:t>teisės,</w:t>
      </w:r>
      <w:r w:rsidR="008F16AF" w:rsidRPr="00CE37D0">
        <w:t xml:space="preserve"> bet ir </w:t>
      </w:r>
      <w:r w:rsidR="007467EF" w:rsidRPr="00CE37D0">
        <w:t xml:space="preserve">jo </w:t>
      </w:r>
      <w:r w:rsidR="008F16AF" w:rsidRPr="00CE37D0">
        <w:t>tiesioginis dalyvavimas baudžiamajame procese</w:t>
      </w:r>
      <w:r w:rsidRPr="00CE37D0">
        <w:t xml:space="preserve">. </w:t>
      </w:r>
      <w:r w:rsidRPr="00CE37D0">
        <w:rPr>
          <w:rStyle w:val="Puslapioinaosnuoroda"/>
        </w:rPr>
        <w:footnoteReference w:id="75"/>
      </w:r>
      <w:r w:rsidR="001E1E74">
        <w:t xml:space="preserve"> </w:t>
      </w:r>
      <w:r w:rsidR="00640EDA" w:rsidRPr="00CE37D0">
        <w:t xml:space="preserve">Baudžiamojo proceso dalyvio privatus interesas atsiranda suvokus tam tikro gėrio poreikį ir jo patenkinimo būtinumą, t.y. jei nėra poreikio (noro pasiekti tam tikrą gėrį), tai neatsiranda ir intereso (baudžiamosios procesinės veiklos motyvo). </w:t>
      </w:r>
      <w:r w:rsidR="00640EDA" w:rsidRPr="00CE37D0">
        <w:rPr>
          <w:rStyle w:val="Puslapioinaosnuoroda"/>
        </w:rPr>
        <w:footnoteReference w:id="76"/>
      </w:r>
      <w:r w:rsidR="001E1E74">
        <w:t xml:space="preserve"> </w:t>
      </w:r>
      <w:r w:rsidRPr="00CE37D0">
        <w:t>Privatus interesas pasireiškia kaip proceso dalyvi</w:t>
      </w:r>
      <w:r w:rsidR="007467EF" w:rsidRPr="00CE37D0">
        <w:t>o</w:t>
      </w:r>
      <w:r w:rsidRPr="00CE37D0">
        <w:t xml:space="preserve"> poreiki</w:t>
      </w:r>
      <w:r w:rsidR="007467EF" w:rsidRPr="00CE37D0">
        <w:t>s</w:t>
      </w:r>
      <w:r w:rsidRPr="00CE37D0">
        <w:t xml:space="preserve"> ginti savo teises, susijusias su dalyvavimu procese, ir </w:t>
      </w:r>
      <w:r w:rsidR="00E0371E" w:rsidRPr="00E0371E">
        <w:t xml:space="preserve">atitinkamos baudžiamosios bylos baigties siekis </w:t>
      </w:r>
      <w:r w:rsidRPr="00CE37D0">
        <w:t xml:space="preserve">(pvz., privatus kaltintojas), </w:t>
      </w:r>
      <w:r w:rsidRPr="00CE37D0">
        <w:rPr>
          <w:rStyle w:val="Puslapioinaosnuoroda"/>
        </w:rPr>
        <w:footnoteReference w:id="77"/>
      </w:r>
      <w:r w:rsidRPr="00CE37D0">
        <w:t xml:space="preserve"> taip pat interesas, nesusijęs su bylos eiga, bet skatinantis baudžiamojo proceso dalyvį </w:t>
      </w:r>
      <w:r w:rsidR="0002268D" w:rsidRPr="0002268D">
        <w:rPr>
          <w:i/>
        </w:rPr>
        <w:t>sensu largo</w:t>
      </w:r>
      <w:r w:rsidR="00762AFC">
        <w:rPr>
          <w:i/>
        </w:rPr>
        <w:t xml:space="preserve"> </w:t>
      </w:r>
      <w:r w:rsidRPr="00CE37D0">
        <w:t>realizuoti jam įstatymo suteiktas teises</w:t>
      </w:r>
      <w:r w:rsidR="00FC555A">
        <w:t xml:space="preserve"> (pvz., liudytojas)</w:t>
      </w:r>
      <w:r w:rsidRPr="00CE37D0">
        <w:t xml:space="preserve">. </w:t>
      </w:r>
      <w:r w:rsidRPr="00CE37D0">
        <w:rPr>
          <w:rStyle w:val="Puslapioinaosnuoroda"/>
        </w:rPr>
        <w:footnoteReference w:id="78"/>
      </w:r>
      <w:r w:rsidRPr="00CE37D0">
        <w:t xml:space="preserve"> Iš pateiktos sampratos galima daryti išvadą, kad </w:t>
      </w:r>
      <w:r w:rsidR="007467EF" w:rsidRPr="00CE37D0">
        <w:t>privataus intereso dalyku pripažintinas ne tik nusikalstama veika pažeistų teisių atkūrimas, be</w:t>
      </w:r>
      <w:r w:rsidR="006A0203">
        <w:t>t</w:t>
      </w:r>
      <w:r w:rsidR="007467EF" w:rsidRPr="00CE37D0">
        <w:t xml:space="preserve"> ir </w:t>
      </w:r>
      <w:r w:rsidRPr="00CE37D0">
        <w:t>bylos tyrimo ir nagrinėjimo rezultatas</w:t>
      </w:r>
      <w:r w:rsidR="001E1E74">
        <w:t xml:space="preserve"> </w:t>
      </w:r>
      <w:r w:rsidRPr="00CE37D0">
        <w:t xml:space="preserve">bei kitų procesinių teisių realizavimas. </w:t>
      </w:r>
    </w:p>
    <w:p w:rsidR="000164DF" w:rsidRPr="00CE37D0" w:rsidRDefault="003E3809" w:rsidP="000164DF">
      <w:pPr>
        <w:spacing w:line="360" w:lineRule="auto"/>
        <w:ind w:firstLine="851"/>
        <w:jc w:val="both"/>
      </w:pPr>
      <w:r w:rsidRPr="00CE37D0">
        <w:t xml:space="preserve">Individas yra laisvas savo santykiuose su valstybe ir visuomene, iš jo negali būti visiškai atimta galimybė </w:t>
      </w:r>
      <w:r w:rsidR="001E1E74">
        <w:t>nulemti</w:t>
      </w:r>
      <w:r w:rsidRPr="00CE37D0">
        <w:t xml:space="preserve"> savo vietą teisiniuose santykiuose. Iš to </w:t>
      </w:r>
      <w:r w:rsidR="001E1E74">
        <w:t>išplaukia,</w:t>
      </w:r>
      <w:r w:rsidRPr="00CE37D0">
        <w:t xml:space="preserve"> kad laisvė disponuoti teisėmis yra būdinga asmens teisiniam statusui </w:t>
      </w:r>
      <w:r w:rsidRPr="00CE37D0">
        <w:rPr>
          <w:i/>
        </w:rPr>
        <w:t>per se</w:t>
      </w:r>
      <w:r w:rsidRPr="00CE37D0">
        <w:t xml:space="preserve">. </w:t>
      </w:r>
      <w:r w:rsidRPr="00CE37D0">
        <w:rPr>
          <w:rStyle w:val="Puslapioinaosnuoroda"/>
        </w:rPr>
        <w:footnoteReference w:id="79"/>
      </w:r>
      <w:r w:rsidRPr="00CE37D0">
        <w:t xml:space="preserve"> Pilietinėje visuomenėje atsiranda ir būtinybė, ir galimybė suderinti </w:t>
      </w:r>
      <w:r w:rsidR="001E1E74">
        <w:t>bei</w:t>
      </w:r>
      <w:r w:rsidRPr="00CE37D0">
        <w:t xml:space="preserve"> sujungti vieš</w:t>
      </w:r>
      <w:r w:rsidR="0002268D">
        <w:t>uosi</w:t>
      </w:r>
      <w:r w:rsidRPr="00CE37D0">
        <w:t xml:space="preserve">us ir privačius interesus. </w:t>
      </w:r>
      <w:r w:rsidRPr="00CE37D0">
        <w:rPr>
          <w:rStyle w:val="Puslapioinaosnuoroda"/>
        </w:rPr>
        <w:footnoteReference w:id="80"/>
      </w:r>
      <w:r w:rsidRPr="00CE37D0">
        <w:t xml:space="preserve"> Pati teisė, kaip subjektinių teisių ir pareigų vienovė, yra interesų privatumo ir viešumo vienovės išraiška. </w:t>
      </w:r>
      <w:r w:rsidRPr="00CE37D0">
        <w:rPr>
          <w:rStyle w:val="Puslapioinaosnuoroda"/>
        </w:rPr>
        <w:footnoteReference w:id="81"/>
      </w:r>
      <w:r w:rsidRPr="00CE37D0">
        <w:t xml:space="preserve"> Problemiškiausia yra </w:t>
      </w:r>
      <w:r w:rsidR="001E1E74">
        <w:t>nustatyti,</w:t>
      </w:r>
      <w:r w:rsidRPr="00CE37D0">
        <w:t xml:space="preserve"> k</w:t>
      </w:r>
      <w:r w:rsidR="001E1E74">
        <w:t>iek optimaliai privačių asmenų interesai gali turėti įtakos</w:t>
      </w:r>
      <w:r w:rsidRPr="00CE37D0">
        <w:t xml:space="preserve"> tradiciškai dichotomiškos prigimties baudžiamajame procese, vykstančiame tarp valstybės ir kaltinamojo. </w:t>
      </w:r>
      <w:r w:rsidRPr="00CE37D0">
        <w:rPr>
          <w:rStyle w:val="Puslapioinaosnuoroda"/>
        </w:rPr>
        <w:footnoteReference w:id="82"/>
      </w:r>
      <w:r w:rsidR="0002268D">
        <w:t xml:space="preserve"> Viešojo</w:t>
      </w:r>
      <w:r w:rsidR="000164DF" w:rsidRPr="00CE37D0">
        <w:t xml:space="preserve"> ir </w:t>
      </w:r>
      <w:r w:rsidR="0002268D">
        <w:t>privataus</w:t>
      </w:r>
      <w:r w:rsidR="000164DF" w:rsidRPr="00CE37D0">
        <w:t xml:space="preserve"> intereso santykio baudžiamajame procese pažinimas turi būti pagrįstas viešojo </w:t>
      </w:r>
      <w:r w:rsidR="0002268D">
        <w:t xml:space="preserve">ir </w:t>
      </w:r>
      <w:r w:rsidR="0002268D" w:rsidRPr="00CE37D0">
        <w:t xml:space="preserve">privataus </w:t>
      </w:r>
      <w:r w:rsidR="0002268D">
        <w:t>i</w:t>
      </w:r>
      <w:r w:rsidR="000164DF" w:rsidRPr="00CE37D0">
        <w:t>ntereso</w:t>
      </w:r>
      <w:r w:rsidR="001E1E74">
        <w:t xml:space="preserve"> </w:t>
      </w:r>
      <w:r w:rsidR="000164DF" w:rsidRPr="00CE37D0">
        <w:t xml:space="preserve">visuomenėje, valstybinės valdžios ir asmenybės tarpusavio santykių dėsningumais, baudžiamojo proceso teisės kaip visuomeninių santykių reguliatoriaus pažinimu ir baudžiamojo proceso socialinio vaidmens nustatymu. </w:t>
      </w:r>
      <w:r w:rsidR="000164DF" w:rsidRPr="00CE37D0">
        <w:rPr>
          <w:rStyle w:val="Puslapioinaosnuoroda"/>
        </w:rPr>
        <w:footnoteReference w:id="83"/>
      </w:r>
    </w:p>
    <w:p w:rsidR="003E3809" w:rsidRDefault="001E1E74" w:rsidP="003E3809">
      <w:pPr>
        <w:spacing w:line="360" w:lineRule="auto"/>
        <w:ind w:firstLine="851"/>
        <w:jc w:val="both"/>
      </w:pPr>
      <w:r>
        <w:lastRenderedPageBreak/>
        <w:t>Dispozityvumas – p</w:t>
      </w:r>
      <w:r w:rsidR="003E3809" w:rsidRPr="00CE37D0">
        <w:t>riemonė</w:t>
      </w:r>
      <w:r w:rsidR="00FC555A">
        <w:t xml:space="preserve">, </w:t>
      </w:r>
      <w:r>
        <w:t>kurią naudojant</w:t>
      </w:r>
      <w:r w:rsidR="00FC555A">
        <w:t xml:space="preserve"> įmanoma</w:t>
      </w:r>
      <w:r w:rsidR="003E3809" w:rsidRPr="00CE37D0">
        <w:t xml:space="preserve"> suderinti vieš</w:t>
      </w:r>
      <w:r w:rsidR="0002268D">
        <w:t>uosi</w:t>
      </w:r>
      <w:r w:rsidR="003E3809" w:rsidRPr="00CE37D0">
        <w:t>us ir privačius interesus</w:t>
      </w:r>
      <w:r w:rsidR="00FC555A">
        <w:t xml:space="preserve">. </w:t>
      </w:r>
      <w:r w:rsidR="003E3809" w:rsidRPr="00CE37D0">
        <w:t xml:space="preserve">Valstybė, suteikdama baudžiamojo proceso dalyviams laisvę realizuoti savo materialines ir procesines teises, tokiu būdu užtikrina asmens teisėtų interesų apsaugą, kad asmens teisės būtų ne formaliai, o realiai ir veiksmingai ginamos, </w:t>
      </w:r>
      <w:r w:rsidR="003E3809" w:rsidRPr="00CE37D0">
        <w:rPr>
          <w:i/>
        </w:rPr>
        <w:t>inter alia</w:t>
      </w:r>
      <w:r w:rsidR="003E3809" w:rsidRPr="00CE37D0">
        <w:t xml:space="preserve"> nuo nusikalstamų kėsinimųsi. </w:t>
      </w:r>
      <w:r w:rsidR="003E3809" w:rsidRPr="00CE37D0">
        <w:rPr>
          <w:rStyle w:val="Puslapioinaosnuoroda"/>
        </w:rPr>
        <w:footnoteReference w:id="84"/>
      </w:r>
      <w:r w:rsidR="003E3809" w:rsidRPr="00CE37D0">
        <w:t xml:space="preserve"> Įtariamasis, kaltinamasis, nuteistasis priima sprendimą, ar jam verta duoti parodymus, paduoti apeliacinį ar kasacinį skundą, liudytojas </w:t>
      </w:r>
      <w:r>
        <w:t>laisvai pasirenka</w:t>
      </w:r>
      <w:r w:rsidR="003E3809" w:rsidRPr="00CE37D0">
        <w:t xml:space="preserve">, ar duoti parodymus prieš save, savo artimuosius. </w:t>
      </w:r>
      <w:r w:rsidR="00933D54" w:rsidRPr="00CE37D0">
        <w:t>Dispozityvumo formų</w:t>
      </w:r>
      <w:r w:rsidR="003E3809" w:rsidRPr="00CE37D0">
        <w:t xml:space="preserve"> vystymasis baudžiamajame procese – valstybės pareigos gerbti ir ginti konstitucines žmogaus ir piliečio teises ir laisv</w:t>
      </w:r>
      <w:r w:rsidR="00E0371E">
        <w:t>e</w:t>
      </w:r>
      <w:r w:rsidR="003E3809" w:rsidRPr="00CE37D0">
        <w:t xml:space="preserve">s įgyvendinimo būtina sąlyga. </w:t>
      </w:r>
      <w:r w:rsidR="003E3809" w:rsidRPr="00CE37D0">
        <w:rPr>
          <w:rStyle w:val="Puslapioinaosnuoroda"/>
        </w:rPr>
        <w:footnoteReference w:id="85"/>
      </w:r>
      <w:r w:rsidR="003E3809" w:rsidRPr="00CE37D0">
        <w:t xml:space="preserve"> Taigi dispozityvumas leidžia šalims ne tik daryti įtaką proceso pradžiai ir tolesnei jo eigai, bet ir naudoti suteiktas procesines teises visapusiškai savo asmeninių interesų apsaugai. </w:t>
      </w:r>
    </w:p>
    <w:p w:rsidR="00DF5F40" w:rsidRDefault="00DF5F40" w:rsidP="00DF5F40">
      <w:pPr>
        <w:spacing w:line="360" w:lineRule="auto"/>
        <w:ind w:firstLine="851"/>
        <w:jc w:val="both"/>
      </w:pPr>
      <w:r w:rsidRPr="00AA0B66">
        <w:t>Šio disertacinio tyrimo tikslas yra išnagrinėti pagrindinę materialiojo dispozityvumo formą – privataus kaltinimo bylų procesą, todėl šiame darbe nebus nagrinėjamos kitos materialiojo dispozityvumo formos ir procesinio dispozityvumo formos. Dispozityvumo principo kilmės ir vietos baudžiamajame procese analizė, dispozityvumo turinio nustatymas šiame disertaciniame tyrime reikalingas tiek, kiek tai paaiškina privataus kaltinimo bylų proceso ištakas, jį reguliuojantį metodą bei jo tikslus.</w:t>
      </w:r>
      <w:r>
        <w:t xml:space="preserve"> Per dispozityvumo sampratą atskleidžiamas ir privataus kaltinimo bylų proceso socialinis vaidmuo, </w:t>
      </w:r>
      <w:r w:rsidR="001E1E74">
        <w:t>tai</w:t>
      </w:r>
      <w:r>
        <w:t xml:space="preserve"> padės apibrėžti jo veikimo ribas, teisenos atskyrimo į atskirą bylų kategoriją pagrindus, teisinio reguliavimo teorinius pagrindus.</w:t>
      </w:r>
    </w:p>
    <w:p w:rsidR="00C9071D" w:rsidRPr="00CE37D0" w:rsidRDefault="00C9071D" w:rsidP="003E3809">
      <w:pPr>
        <w:spacing w:line="360" w:lineRule="auto"/>
        <w:ind w:firstLine="851"/>
        <w:jc w:val="both"/>
      </w:pPr>
    </w:p>
    <w:p w:rsidR="003E3809" w:rsidRPr="00CE37D0" w:rsidRDefault="00B45D24" w:rsidP="000D6DF9">
      <w:pPr>
        <w:pStyle w:val="Antrat1"/>
        <w:spacing w:before="0" w:after="0" w:line="360" w:lineRule="auto"/>
        <w:jc w:val="both"/>
      </w:pPr>
      <w:bookmarkStart w:id="47" w:name="_Toc307574190"/>
      <w:bookmarkStart w:id="48" w:name="_Toc333484071"/>
      <w:bookmarkStart w:id="49" w:name="_Toc365498826"/>
      <w:bookmarkStart w:id="50" w:name="_Toc370139890"/>
      <w:bookmarkStart w:id="51" w:name="_Toc400321675"/>
      <w:r>
        <w:t>2. Proceso dalyvių valios laisvės</w:t>
      </w:r>
      <w:bookmarkEnd w:id="47"/>
      <w:bookmarkEnd w:id="48"/>
      <w:bookmarkEnd w:id="49"/>
      <w:bookmarkEnd w:id="50"/>
      <w:r w:rsidR="00527F20">
        <w:t xml:space="preserve"> </w:t>
      </w:r>
      <w:r>
        <w:t>prielaidos baudžiamajame procese</w:t>
      </w:r>
      <w:bookmarkEnd w:id="51"/>
    </w:p>
    <w:p w:rsidR="003E3809" w:rsidRPr="00CE37D0" w:rsidRDefault="003E3809" w:rsidP="000D6DF9">
      <w:pPr>
        <w:pStyle w:val="Antrat3"/>
        <w:spacing w:before="0" w:after="0" w:line="360" w:lineRule="auto"/>
        <w:jc w:val="both"/>
      </w:pPr>
      <w:bookmarkStart w:id="52" w:name="_Toc307574191"/>
      <w:bookmarkStart w:id="53" w:name="_Toc333484072"/>
      <w:bookmarkStart w:id="54" w:name="_Toc365498827"/>
      <w:bookmarkStart w:id="55" w:name="_Toc370139891"/>
      <w:bookmarkStart w:id="56" w:name="_Toc400321676"/>
      <w:r w:rsidRPr="00CE37D0">
        <w:t>2.1. Dispozityvumo teorijos raida</w:t>
      </w:r>
      <w:bookmarkEnd w:id="52"/>
      <w:bookmarkEnd w:id="53"/>
      <w:bookmarkEnd w:id="54"/>
      <w:bookmarkEnd w:id="55"/>
      <w:bookmarkEnd w:id="56"/>
    </w:p>
    <w:p w:rsidR="003E3809" w:rsidRPr="00CE37D0" w:rsidRDefault="00E9545B" w:rsidP="00933D54">
      <w:pPr>
        <w:spacing w:line="360" w:lineRule="auto"/>
        <w:ind w:firstLine="851"/>
        <w:jc w:val="both"/>
      </w:pPr>
      <w:r w:rsidRPr="00CE37D0">
        <w:t>D</w:t>
      </w:r>
      <w:r w:rsidR="00933D54" w:rsidRPr="00CE37D0">
        <w:t>ispozityvum</w:t>
      </w:r>
      <w:r w:rsidR="003E3809" w:rsidRPr="00CE37D0">
        <w:t xml:space="preserve">o </w:t>
      </w:r>
      <w:r w:rsidR="00BE021F" w:rsidRPr="00CE37D0">
        <w:rPr>
          <w:rStyle w:val="Puslapioinaosnuoroda"/>
        </w:rPr>
        <w:footnoteReference w:id="86"/>
      </w:r>
      <w:r w:rsidR="00BE021F" w:rsidRPr="00CE37D0">
        <w:t xml:space="preserve"> n</w:t>
      </w:r>
      <w:r w:rsidR="003E3809" w:rsidRPr="00CE37D0">
        <w:t xml:space="preserve">agrinėjimo kontekstas dažniausiai yra civilinis procesas ir civilinė teisė. </w:t>
      </w:r>
      <w:r w:rsidR="00BE021F" w:rsidRPr="00CE37D0">
        <w:t xml:space="preserve">Esminis klausimas, ar dispozityvumo veikimas apima ir baudžiamojo proceso sritį, baudžiamojo </w:t>
      </w:r>
      <w:r w:rsidR="00BE021F" w:rsidRPr="00CE37D0">
        <w:lastRenderedPageBreak/>
        <w:t xml:space="preserve">proceso teorijoje buvo sprendžiamas nevienodai. </w:t>
      </w:r>
      <w:r w:rsidR="00BE021F" w:rsidRPr="00CE37D0">
        <w:rPr>
          <w:rStyle w:val="Puslapioinaosnuoroda"/>
        </w:rPr>
        <w:footnoteReference w:id="87"/>
      </w:r>
      <w:r w:rsidR="00BE021F" w:rsidRPr="00CE37D0">
        <w:t xml:space="preserve"> D</w:t>
      </w:r>
      <w:r w:rsidR="003E3809" w:rsidRPr="00CE37D0">
        <w:t xml:space="preserve">ispozityvumo problema baudžiamojo proceso moksle buvo nagrinėjama </w:t>
      </w:r>
      <w:r w:rsidRPr="00CE37D0">
        <w:t xml:space="preserve">jau </w:t>
      </w:r>
      <w:r w:rsidR="003E3809" w:rsidRPr="00CE37D0">
        <w:t xml:space="preserve">XIX a. antroje pusėje </w:t>
      </w:r>
      <w:r w:rsidRPr="00CE37D0">
        <w:t>Rusijos</w:t>
      </w:r>
      <w:r w:rsidR="003E3809" w:rsidRPr="00CE37D0">
        <w:t xml:space="preserve"> proceso mokslininkų </w:t>
      </w:r>
      <w:proofErr w:type="gramStart"/>
      <w:r w:rsidR="003E3809" w:rsidRPr="00CE37D0">
        <w:t>(</w:t>
      </w:r>
      <w:proofErr w:type="gramEnd"/>
      <w:r w:rsidR="003E3809" w:rsidRPr="00CE37D0">
        <w:t>V.</w:t>
      </w:r>
      <w:r w:rsidR="001E1E74">
        <w:t xml:space="preserve"> </w:t>
      </w:r>
      <w:r w:rsidR="003E3809" w:rsidRPr="00CE37D0">
        <w:t>A.</w:t>
      </w:r>
      <w:r w:rsidR="001E1E74">
        <w:t xml:space="preserve"> </w:t>
      </w:r>
      <w:r w:rsidR="003E3809" w:rsidRPr="00CE37D0">
        <w:t>R</w:t>
      </w:r>
      <w:r w:rsidR="00800B20">
        <w:t>i</w:t>
      </w:r>
      <w:r w:rsidR="003E3809" w:rsidRPr="00CE37D0">
        <w:t>azanovski</w:t>
      </w:r>
      <w:r w:rsidR="003632C7">
        <w:t>s</w:t>
      </w:r>
      <w:r w:rsidR="003E3809" w:rsidRPr="00CE37D0">
        <w:t>, I.</w:t>
      </w:r>
      <w:r w:rsidR="001E1E74">
        <w:t xml:space="preserve"> </w:t>
      </w:r>
      <w:r w:rsidR="003E3809" w:rsidRPr="00CE37D0">
        <w:t>V.</w:t>
      </w:r>
      <w:r w:rsidR="001E1E74">
        <w:t xml:space="preserve"> </w:t>
      </w:r>
      <w:r w:rsidR="003E3809" w:rsidRPr="00CE37D0">
        <w:t>Micha</w:t>
      </w:r>
      <w:r w:rsidR="003632C7">
        <w:t>i</w:t>
      </w:r>
      <w:r w:rsidR="003E3809" w:rsidRPr="00CE37D0">
        <w:t>lovski</w:t>
      </w:r>
      <w:r w:rsidR="003632C7">
        <w:t>s</w:t>
      </w:r>
      <w:r w:rsidR="003E3809" w:rsidRPr="00CE37D0">
        <w:t>, I.</w:t>
      </w:r>
      <w:r w:rsidR="001E1E74">
        <w:t xml:space="preserve"> </w:t>
      </w:r>
      <w:r w:rsidR="003E3809" w:rsidRPr="00CE37D0">
        <w:t>J</w:t>
      </w:r>
      <w:r w:rsidRPr="00CE37D0">
        <w:t>a</w:t>
      </w:r>
      <w:r w:rsidR="003E3809" w:rsidRPr="00CE37D0">
        <w:t>.</w:t>
      </w:r>
      <w:r w:rsidR="001E1E74">
        <w:t xml:space="preserve"> </w:t>
      </w:r>
      <w:r w:rsidR="003E3809" w:rsidRPr="00CE37D0">
        <w:t>Fo</w:t>
      </w:r>
      <w:r w:rsidR="003632C7">
        <w:t>i</w:t>
      </w:r>
      <w:r w:rsidR="003E3809" w:rsidRPr="00CE37D0">
        <w:t>nicki</w:t>
      </w:r>
      <w:r w:rsidR="003632C7">
        <w:t>s</w:t>
      </w:r>
      <w:r w:rsidR="003469A1">
        <w:t xml:space="preserve"> </w:t>
      </w:r>
      <w:r w:rsidRPr="00CE37D0">
        <w:rPr>
          <w:rStyle w:val="Puslapioinaosnuoroda"/>
        </w:rPr>
        <w:footnoteReference w:id="88"/>
      </w:r>
      <w:r w:rsidR="003469A1">
        <w:t>)</w:t>
      </w:r>
      <w:r w:rsidR="003E3809" w:rsidRPr="00CE37D0">
        <w:t>, o dispozityvumo kaip savarankiškos teorijos pagrindus padėjo vokiečių bei austrų civilinio proceso mokslininkai. Nagrinėjant proceso teisės problemas buvo pastebėta, kad privataus kaltinimo bylų procesas daugeliu aspektų panašus į ieškininę teiseną civiliniame procese. Baudžiamojo proceso sandaros ir formos sąsaj</w:t>
      </w:r>
      <w:r w:rsidRPr="00CE37D0">
        <w:t>ų</w:t>
      </w:r>
      <w:r w:rsidR="00710067">
        <w:t xml:space="preserve"> </w:t>
      </w:r>
      <w:r w:rsidRPr="00CE37D0">
        <w:t xml:space="preserve">su civiliniu procesu tyrinėjimas, </w:t>
      </w:r>
      <w:r w:rsidR="003E3809" w:rsidRPr="00CE37D0">
        <w:t>civilinio ir baudžiamojo proceso panašumų bei skirtumų analiz</w:t>
      </w:r>
      <w:r w:rsidRPr="00CE37D0">
        <w:t>ė</w:t>
      </w:r>
      <w:r w:rsidR="002517C1" w:rsidRPr="00CE37D0">
        <w:t xml:space="preserve"> atskleid</w:t>
      </w:r>
      <w:r w:rsidR="003E3809" w:rsidRPr="00CE37D0">
        <w:t xml:space="preserve">ė šių mokslų dalyko ir pagrindinių klausimų bendrumą, medžiagos vienarūšiškumą ir daugybės detalių sutapimą. Išgryninus civilinio, baudžiamojo ir administracinio proceso kaip atskirų mokslinių disciplinų savarankiškumo, jų nepriklausomumo nuo atitinkamų materialinės teisės šakų idėjas, </w:t>
      </w:r>
      <w:r w:rsidR="002517C1" w:rsidRPr="00CE37D0">
        <w:t>naujos doktrinos susiformavimo prielaida buvo mokslinė mintis, iškėlusi</w:t>
      </w:r>
      <w:r w:rsidR="003E3809" w:rsidRPr="00CE37D0">
        <w:t xml:space="preserve"> reikšmingus proceso institutų panašumus, o neretai ir sutapimus visuose nurodytuose procesuose. Ši doktrina skelbė, kad proceso mokslas vieningas, o atskiri procesai yra tik atskiros vieningos proceso teisės rūšys. </w:t>
      </w:r>
      <w:r w:rsidR="003E3809" w:rsidRPr="00CE37D0">
        <w:rPr>
          <w:rStyle w:val="Puslapioinaosnuoroda"/>
        </w:rPr>
        <w:footnoteReference w:id="89"/>
      </w:r>
      <w:r w:rsidR="003E3809" w:rsidRPr="00CE37D0">
        <w:t xml:space="preserve"> Tai neliko nepastebėta ir teisės filosofų: R. Jėringas (R. von Ihering) tyrinėjo procesus kaip vieningos teisminės gynybos rūšis. </w:t>
      </w:r>
      <w:r w:rsidR="003E3809" w:rsidRPr="00CE37D0">
        <w:rPr>
          <w:rStyle w:val="Puslapioinaosnuoroda"/>
        </w:rPr>
        <w:footnoteReference w:id="90"/>
      </w:r>
      <w:r w:rsidR="008E182D">
        <w:t xml:space="preserve"> </w:t>
      </w:r>
      <w:r w:rsidR="003E3809" w:rsidRPr="00CE37D0">
        <w:t>Vieningo proceso idėja sąlygojo principų, veikiančių baudžiamajame, civiliniame bei administraciniame procese, bendrumo teoriją. Proceso teisės vienybės koncepcija</w:t>
      </w:r>
      <w:r w:rsidR="002517C1" w:rsidRPr="00CE37D0">
        <w:t xml:space="preserve"> buvo</w:t>
      </w:r>
      <w:r w:rsidR="003E3809" w:rsidRPr="00CE37D0">
        <w:t xml:space="preserve"> grindžiama principų bendrumu (pripažįstant jų esminius skirtumus), kurie yra ir baudžiamojo proceso, ir civilinio proceso įrodinėjimo sistemos</w:t>
      </w:r>
      <w:r w:rsidR="00B07C45">
        <w:t>,</w:t>
      </w:r>
      <w:r w:rsidR="003E3809" w:rsidRPr="00CE37D0">
        <w:t xml:space="preserve"> ir eilės institutų, </w:t>
      </w:r>
      <w:r w:rsidR="00E271EF">
        <w:t>lemianč</w:t>
      </w:r>
      <w:r w:rsidR="003E3809" w:rsidRPr="00CE37D0">
        <w:t xml:space="preserve">ių proceso eigą, pagrindas. Vienas iš tokių bendrų principų yra dispozityvumas. </w:t>
      </w:r>
    </w:p>
    <w:p w:rsidR="003E3809" w:rsidRPr="00CE37D0" w:rsidRDefault="002517C1" w:rsidP="003E3809">
      <w:pPr>
        <w:spacing w:line="360" w:lineRule="auto"/>
        <w:ind w:firstLine="851"/>
        <w:jc w:val="both"/>
      </w:pPr>
      <w:r w:rsidRPr="00CE37D0">
        <w:t>XIX a. Vokietijos ir Austrijos</w:t>
      </w:r>
      <w:r w:rsidR="003E3809" w:rsidRPr="00CE37D0">
        <w:t xml:space="preserve"> proceso mokslinink</w:t>
      </w:r>
      <w:r w:rsidRPr="00CE37D0">
        <w:t>ai</w:t>
      </w:r>
      <w:r w:rsidR="00710067">
        <w:t xml:space="preserve"> </w:t>
      </w:r>
      <w:r w:rsidRPr="00CE37D0">
        <w:t>d</w:t>
      </w:r>
      <w:r w:rsidR="003E3809" w:rsidRPr="00CE37D0">
        <w:t>ispozityvum</w:t>
      </w:r>
      <w:r w:rsidRPr="00CE37D0">
        <w:t>ą</w:t>
      </w:r>
      <w:r w:rsidR="00710067">
        <w:t xml:space="preserve"> </w:t>
      </w:r>
      <w:r w:rsidRPr="00CE37D0">
        <w:t xml:space="preserve">tyrinėjo </w:t>
      </w:r>
      <w:r w:rsidR="003E3809" w:rsidRPr="00CE37D0">
        <w:t>kaip rungtyniškumo sudėtin</w:t>
      </w:r>
      <w:r w:rsidRPr="00CE37D0">
        <w:t>ę</w:t>
      </w:r>
      <w:r w:rsidR="003E3809" w:rsidRPr="00CE37D0">
        <w:t xml:space="preserve"> dal</w:t>
      </w:r>
      <w:r w:rsidRPr="00CE37D0">
        <w:t>į, o ne savarankišką reiškinį</w:t>
      </w:r>
      <w:r w:rsidR="003E3809" w:rsidRPr="00CE37D0">
        <w:t xml:space="preserve">, tačiau vystantis mokslinei minčiai ir gilinantis į </w:t>
      </w:r>
      <w:r w:rsidR="003E3809" w:rsidRPr="00710067">
        <w:t xml:space="preserve">rungtyniškumo principo turinį, dispozityvumo samprata nebetilpo į rungtyniškumo </w:t>
      </w:r>
      <w:r w:rsidR="003E3809" w:rsidRPr="00710067">
        <w:lastRenderedPageBreak/>
        <w:t xml:space="preserve">teorijos rėmus. </w:t>
      </w:r>
      <w:r w:rsidR="003E3809" w:rsidRPr="00710067">
        <w:rPr>
          <w:rStyle w:val="Puslapioinaosnuoroda"/>
        </w:rPr>
        <w:footnoteReference w:id="91"/>
      </w:r>
      <w:r w:rsidR="008E182D">
        <w:t xml:space="preserve"> </w:t>
      </w:r>
      <w:r w:rsidRPr="00710067">
        <w:t>Mokslinėje</w:t>
      </w:r>
      <w:r w:rsidR="003E3809" w:rsidRPr="00710067">
        <w:t xml:space="preserve"> diskusijoje apie rungtyniškumą išsivystė mokymas apie šalių valią procese </w:t>
      </w:r>
      <w:proofErr w:type="gramStart"/>
      <w:r w:rsidR="003E3809" w:rsidRPr="00710067">
        <w:t>(</w:t>
      </w:r>
      <w:proofErr w:type="gramEnd"/>
      <w:r w:rsidR="003E3809" w:rsidRPr="00710067">
        <w:t xml:space="preserve">vok. </w:t>
      </w:r>
      <w:r w:rsidR="003E3809" w:rsidRPr="00710067">
        <w:rPr>
          <w:i/>
        </w:rPr>
        <w:t>Dispositionsrecht der Partei</w:t>
      </w:r>
      <w:r w:rsidR="003E3809" w:rsidRPr="00710067">
        <w:t>)</w:t>
      </w:r>
      <w:r w:rsidR="00F70A1B" w:rsidRPr="00710067">
        <w:t>.</w:t>
      </w:r>
      <w:r w:rsidR="00762AFC">
        <w:t xml:space="preserve"> </w:t>
      </w:r>
      <w:r w:rsidR="003E3809" w:rsidRPr="00710067">
        <w:rPr>
          <w:rStyle w:val="Puslapioinaosnuoroda"/>
        </w:rPr>
        <w:footnoteReference w:id="92"/>
      </w:r>
      <w:r w:rsidR="003E3809" w:rsidRPr="00710067">
        <w:t xml:space="preserve"> Šio mokymo prielaida tapo ieškinio pareiškimo laisvos valios idėja, kuri siejama</w:t>
      </w:r>
      <w:r w:rsidR="003E3809" w:rsidRPr="00CE37D0">
        <w:t xml:space="preserve"> su veikla iki teisminio proceso pradžios, todėl nėra mokymo apie rungtyniškumą sudedamoji dalis. K. </w:t>
      </w:r>
      <w:r w:rsidR="00E0371E">
        <w:t xml:space="preserve">F. </w:t>
      </w:r>
      <w:r w:rsidR="003E3809" w:rsidRPr="00CE37D0">
        <w:t>Canstein</w:t>
      </w:r>
      <w:r w:rsidR="00DF68E7" w:rsidRPr="00CE37D0">
        <w:t xml:space="preserve"> suformuluotos teorijos pož</w:t>
      </w:r>
      <w:r w:rsidR="003E3809" w:rsidRPr="00CE37D0">
        <w:t xml:space="preserve">iūriu, šalių disponavimo teisė procese apima: teisinius reikalavimus (materialusis dispozityvumas), išorinę proceso eigą (formalusis dispozityvumas) ir faktinę medžiagą (rungtyniškumas). </w:t>
      </w:r>
      <w:r w:rsidR="00D14981" w:rsidRPr="00CE37D0">
        <w:rPr>
          <w:rStyle w:val="Puslapioinaosnuoroda"/>
        </w:rPr>
        <w:footnoteReference w:id="93"/>
      </w:r>
      <w:r w:rsidR="00762AFC">
        <w:t xml:space="preserve"> </w:t>
      </w:r>
      <w:r w:rsidR="00DF68E7" w:rsidRPr="00CE37D0">
        <w:t>Vadova</w:t>
      </w:r>
      <w:r w:rsidR="0095524C">
        <w:t>u</w:t>
      </w:r>
      <w:r w:rsidR="00DF68E7" w:rsidRPr="00CE37D0">
        <w:t>jantis šia samprata,</w:t>
      </w:r>
      <w:r w:rsidR="00710067">
        <w:t xml:space="preserve"> at</w:t>
      </w:r>
      <w:r w:rsidR="00DF68E7" w:rsidRPr="00CE37D0">
        <w:t xml:space="preserve">skiriamos trys </w:t>
      </w:r>
      <w:r w:rsidR="003E3809" w:rsidRPr="00CE37D0">
        <w:t>šalių disponavimo teis</w:t>
      </w:r>
      <w:r w:rsidR="00DF68E7" w:rsidRPr="00CE37D0">
        <w:t>ė</w:t>
      </w:r>
      <w:r w:rsidR="003E3809" w:rsidRPr="00CE37D0">
        <w:t>s sudėtin</w:t>
      </w:r>
      <w:r w:rsidR="00DF68E7" w:rsidRPr="00CE37D0">
        <w:t>ė</w:t>
      </w:r>
      <w:r w:rsidR="003E3809" w:rsidRPr="00CE37D0">
        <w:t>s dal</w:t>
      </w:r>
      <w:r w:rsidR="00DF68E7" w:rsidRPr="00CE37D0">
        <w:t>y</w:t>
      </w:r>
      <w:r w:rsidR="003E3809" w:rsidRPr="00CE37D0">
        <w:t xml:space="preserve">s: </w:t>
      </w:r>
    </w:p>
    <w:p w:rsidR="003E3809" w:rsidRPr="00CE37D0" w:rsidRDefault="00B07C45" w:rsidP="00755132">
      <w:pPr>
        <w:numPr>
          <w:ilvl w:val="0"/>
          <w:numId w:val="3"/>
        </w:numPr>
        <w:spacing w:line="360" w:lineRule="auto"/>
        <w:ind w:left="0" w:firstLine="851"/>
        <w:jc w:val="both"/>
      </w:pPr>
      <w:r>
        <w:t>T</w:t>
      </w:r>
      <w:r w:rsidR="003E3809" w:rsidRPr="00CE37D0">
        <w:t xml:space="preserve">eisė inicijuoti (pradėti) ir palaikyti proceso išorinę eigą </w:t>
      </w:r>
      <w:proofErr w:type="gramStart"/>
      <w:r w:rsidR="003E3809" w:rsidRPr="00CE37D0">
        <w:t>(</w:t>
      </w:r>
      <w:proofErr w:type="gramEnd"/>
      <w:r w:rsidR="003E3809" w:rsidRPr="00CE37D0">
        <w:t xml:space="preserve">vok. </w:t>
      </w:r>
      <w:r w:rsidR="003E3809" w:rsidRPr="00CE37D0">
        <w:rPr>
          <w:rStyle w:val="CitataDiagrama"/>
        </w:rPr>
        <w:t>Prozessenbetrieb</w:t>
      </w:r>
      <w:r>
        <w:t>);</w:t>
      </w:r>
    </w:p>
    <w:p w:rsidR="003E3809" w:rsidRPr="00CE37D0" w:rsidRDefault="00B07C45" w:rsidP="00755132">
      <w:pPr>
        <w:numPr>
          <w:ilvl w:val="0"/>
          <w:numId w:val="3"/>
        </w:numPr>
        <w:spacing w:line="360" w:lineRule="auto"/>
        <w:ind w:left="0" w:firstLine="851"/>
        <w:jc w:val="both"/>
      </w:pPr>
      <w:r>
        <w:t>Š</w:t>
      </w:r>
      <w:r w:rsidR="003E3809" w:rsidRPr="00CE37D0">
        <w:t xml:space="preserve">alių teisė disponuoti jų teisiniais reikalavimais, teismas yra saistomas </w:t>
      </w:r>
      <w:r w:rsidR="00E0371E" w:rsidRPr="00CE37D0">
        <w:t xml:space="preserve">šalies reikalavimų </w:t>
      </w:r>
      <w:r w:rsidR="003E3809" w:rsidRPr="00CE37D0">
        <w:t>vienašalio atsisakym</w:t>
      </w:r>
      <w:r w:rsidR="00E0371E">
        <w:t>o</w:t>
      </w:r>
      <w:r w:rsidR="003E3809" w:rsidRPr="00CE37D0">
        <w:t xml:space="preserve"> ar šalių bendro sutarimo esant bendroms teisėms (dispozityvumo principas siaurąja prasme) </w:t>
      </w:r>
      <w:proofErr w:type="gramStart"/>
      <w:r w:rsidR="003E3809" w:rsidRPr="00CE37D0">
        <w:t>(</w:t>
      </w:r>
      <w:proofErr w:type="gramEnd"/>
      <w:r w:rsidR="003E3809" w:rsidRPr="00CE37D0">
        <w:t xml:space="preserve">vok. </w:t>
      </w:r>
      <w:r w:rsidR="003E3809" w:rsidRPr="00CE37D0">
        <w:rPr>
          <w:rStyle w:val="CitataDiagrama"/>
        </w:rPr>
        <w:t>Dispositionsmaxime</w:t>
      </w:r>
      <w:r>
        <w:t>);</w:t>
      </w:r>
    </w:p>
    <w:p w:rsidR="003E3809" w:rsidRPr="00CE37D0" w:rsidRDefault="00B07C45" w:rsidP="00755132">
      <w:pPr>
        <w:numPr>
          <w:ilvl w:val="0"/>
          <w:numId w:val="3"/>
        </w:numPr>
        <w:spacing w:line="360" w:lineRule="auto"/>
        <w:ind w:left="0" w:firstLine="851"/>
        <w:jc w:val="both"/>
      </w:pPr>
      <w:r>
        <w:t>T</w:t>
      </w:r>
      <w:r w:rsidR="003E3809" w:rsidRPr="00CE37D0">
        <w:t xml:space="preserve">eisė disponuoti faktine ir įrodomąja medžiaga, t.y. pateikti teismui medžiagą, kuri turi būti sprendimo pagrindas, kadangi šalys yra faktinės ir įrodomosios medžiagos savininkai </w:t>
      </w:r>
      <w:proofErr w:type="gramStart"/>
      <w:r w:rsidR="003E3809" w:rsidRPr="00CE37D0">
        <w:t>(</w:t>
      </w:r>
      <w:proofErr w:type="gramEnd"/>
      <w:r w:rsidR="003E3809" w:rsidRPr="00CE37D0">
        <w:t xml:space="preserve">vok. </w:t>
      </w:r>
      <w:r w:rsidR="003E3809" w:rsidRPr="00CE37D0">
        <w:rPr>
          <w:rStyle w:val="CitataDiagrama"/>
        </w:rPr>
        <w:t>Verhandlungsmaxime</w:t>
      </w:r>
      <w:r w:rsidR="003E3809" w:rsidRPr="00CE37D0">
        <w:t xml:space="preserve">). </w:t>
      </w:r>
      <w:r w:rsidR="003E3809" w:rsidRPr="00CE37D0">
        <w:rPr>
          <w:rStyle w:val="Puslapioinaosnuoroda"/>
        </w:rPr>
        <w:footnoteReference w:id="94"/>
      </w:r>
    </w:p>
    <w:p w:rsidR="003E3809" w:rsidRPr="00CE37D0" w:rsidRDefault="003E3809" w:rsidP="003E3809">
      <w:pPr>
        <w:spacing w:line="360" w:lineRule="auto"/>
        <w:ind w:firstLine="851"/>
        <w:jc w:val="both"/>
      </w:pPr>
      <w:r w:rsidRPr="00CE37D0">
        <w:t>Ši teorija sudarė prielaidas išskirti du savarankiškus principus, turinčius bendrą kilmę: rungtyniškumą ir dispozityvumą. Rungtyninį pradą, taikomą disponavimo ieškiniu ar proceso dalyku (</w:t>
      </w:r>
      <w:r w:rsidRPr="00CE37D0">
        <w:rPr>
          <w:i/>
        </w:rPr>
        <w:t>res in iudicium deducta</w:t>
      </w:r>
      <w:r w:rsidRPr="00CE37D0">
        <w:t>) srityje, K. Canstein pasiūlė vadinti dispozityvumo principu siaurąja prasme</w:t>
      </w:r>
      <w:r w:rsidR="00FD6570">
        <w:t xml:space="preserve"> </w:t>
      </w:r>
      <w:proofErr w:type="gramStart"/>
      <w:r w:rsidRPr="00CE37D0">
        <w:rPr>
          <w:i/>
        </w:rPr>
        <w:t>(</w:t>
      </w:r>
      <w:proofErr w:type="gramEnd"/>
      <w:r w:rsidRPr="00CE37D0">
        <w:t xml:space="preserve">vok. </w:t>
      </w:r>
      <w:r w:rsidRPr="00CE37D0">
        <w:rPr>
          <w:i/>
        </w:rPr>
        <w:t>Dispositionsmaxime im engern Sinne</w:t>
      </w:r>
      <w:r w:rsidRPr="00CE37D0">
        <w:t xml:space="preserve">), o rungtyninį pradą, taikomą faktų ir įrodymų disponavimo srityje </w:t>
      </w:r>
      <w:r w:rsidR="00FD6570">
        <w:t>–</w:t>
      </w:r>
      <w:r w:rsidR="00FD6570" w:rsidRPr="00CE37D0">
        <w:t xml:space="preserve"> </w:t>
      </w:r>
      <w:r w:rsidRPr="00CE37D0">
        <w:t xml:space="preserve">rungtyniškumo principu </w:t>
      </w:r>
      <w:proofErr w:type="gramStart"/>
      <w:r w:rsidRPr="00CE37D0">
        <w:t>(</w:t>
      </w:r>
      <w:proofErr w:type="gramEnd"/>
      <w:r w:rsidRPr="00CE37D0">
        <w:t xml:space="preserve">vok. </w:t>
      </w:r>
      <w:r w:rsidRPr="00CE37D0">
        <w:rPr>
          <w:i/>
        </w:rPr>
        <w:t>Verhandlungsmaxime</w:t>
      </w:r>
      <w:r w:rsidRPr="00CE37D0">
        <w:t xml:space="preserve">). </w:t>
      </w:r>
      <w:r w:rsidR="00375705" w:rsidRPr="00CE37D0">
        <w:rPr>
          <w:rStyle w:val="Puslapioinaosnuoroda"/>
        </w:rPr>
        <w:footnoteReference w:id="95"/>
      </w:r>
      <w:r w:rsidR="003469A1">
        <w:t xml:space="preserve"> </w:t>
      </w:r>
      <w:r w:rsidRPr="00CE37D0">
        <w:t>Taigi</w:t>
      </w:r>
      <w:r w:rsidR="00DF68E7" w:rsidRPr="00CE37D0">
        <w:t xml:space="preserve"> prieita prie išvados, kad</w:t>
      </w:r>
      <w:r w:rsidRPr="00CE37D0">
        <w:t xml:space="preserve"> šalių teisė disponuoti jų teisiniais reikalavimais procese yra dispozityvumo principas, o teisė, kuria naudodamosi šalys yra visos procesinės medžiagos (faktinės ir įrodomosios) šeimininkai, yra rungtyniškumo principas. </w:t>
      </w:r>
    </w:p>
    <w:p w:rsidR="000164DF" w:rsidRPr="00CE37D0" w:rsidRDefault="00375705" w:rsidP="000164DF">
      <w:pPr>
        <w:spacing w:line="360" w:lineRule="auto"/>
        <w:ind w:firstLine="851"/>
        <w:jc w:val="both"/>
      </w:pPr>
      <w:r w:rsidRPr="00CE37D0">
        <w:t>Šių</w:t>
      </w:r>
      <w:r w:rsidR="003E3809" w:rsidRPr="00CE37D0">
        <w:t xml:space="preserve"> teiginių pagrindu proceso moksle susiformavo vadinama dispozityvumo principo dominuojanti (klasikinė) doktrina, kuri remiasi išeiti</w:t>
      </w:r>
      <w:r w:rsidR="00FD6570">
        <w:t>es</w:t>
      </w:r>
      <w:r w:rsidR="003E3809" w:rsidRPr="00CE37D0">
        <w:t xml:space="preserve"> tašku </w:t>
      </w:r>
      <w:r w:rsidR="00FD6570">
        <w:t>–</w:t>
      </w:r>
      <w:r w:rsidR="00FD6570" w:rsidRPr="00CE37D0">
        <w:t xml:space="preserve"> </w:t>
      </w:r>
      <w:r w:rsidR="003E3809" w:rsidRPr="00CE37D0">
        <w:t xml:space="preserve">subjektinės civilinės teisės </w:t>
      </w:r>
      <w:r w:rsidR="008E182D">
        <w:t>esm</w:t>
      </w:r>
      <w:r w:rsidR="003E3809" w:rsidRPr="00CE37D0">
        <w:t>e: laisvu disponavimu ja.</w:t>
      </w:r>
      <w:r w:rsidR="008E182D">
        <w:t xml:space="preserve"> </w:t>
      </w:r>
      <w:r w:rsidR="008E182D">
        <w:rPr>
          <w:rStyle w:val="Puslapioinaosnuoroda"/>
        </w:rPr>
        <w:footnoteReference w:id="96"/>
      </w:r>
      <w:r w:rsidR="003E3809" w:rsidRPr="00CE37D0">
        <w:t xml:space="preserve"> Kritikuojant dominuojančią dispozityvumo principo kilmės doktriną pastebėtina, kad ji paaiškina tik dispozityvumo pasireiškimą civiliniame procese. Tačiau </w:t>
      </w:r>
      <w:r w:rsidR="003E3809" w:rsidRPr="00CE37D0">
        <w:lastRenderedPageBreak/>
        <w:t xml:space="preserve">dispozityvumas kaip teisiškai užtikrinta teisės turėtojo galimybė laisvai realizuoti jam priklausančią subjektinę teisę būdinga ne tik turinčioms privačią teisinę prigimtį teisėms, bet ir viešosioms subjektinėms teisėms. </w:t>
      </w:r>
      <w:r w:rsidR="003E3809" w:rsidRPr="00CE37D0">
        <w:rPr>
          <w:rStyle w:val="Puslapioinaosnuoroda"/>
        </w:rPr>
        <w:footnoteReference w:id="97"/>
      </w:r>
      <w:r w:rsidR="003E3809" w:rsidRPr="00CE37D0">
        <w:t xml:space="preserve"> Pavyzdžiui, administracinės ir civilinės teisės integracijos idėja paremtas administracinės sutarties instituto teisinis reguliavimas. </w:t>
      </w:r>
      <w:r w:rsidR="003E3809" w:rsidRPr="00CE37D0">
        <w:rPr>
          <w:rStyle w:val="Puslapioinaosnuoroda"/>
        </w:rPr>
        <w:footnoteReference w:id="98"/>
      </w:r>
      <w:r w:rsidR="003E3809" w:rsidRPr="00CE37D0">
        <w:t xml:space="preserve"> Asmens subjektinė teisė</w:t>
      </w:r>
      <w:r w:rsidR="001F5922">
        <w:t xml:space="preserve"> </w:t>
      </w:r>
      <w:r w:rsidR="000164DF" w:rsidRPr="00CE37D0">
        <w:rPr>
          <w:rStyle w:val="Puslapioinaosnuoroda"/>
        </w:rPr>
        <w:footnoteReference w:id="99"/>
      </w:r>
      <w:r w:rsidR="00FD6570">
        <w:t xml:space="preserve"> </w:t>
      </w:r>
      <w:r w:rsidR="003E3809" w:rsidRPr="00CE37D0">
        <w:t xml:space="preserve">baudžiamajame procese </w:t>
      </w:r>
      <w:r w:rsidR="008B59A1">
        <w:t xml:space="preserve">taip pat </w:t>
      </w:r>
      <w:r w:rsidR="003E3809" w:rsidRPr="00CE37D0">
        <w:t xml:space="preserve">gali turėti tiek privatų (nukreipta į savo interesą), tiek viešą pobūdį (nukreipta į visuomeninį interesą). </w:t>
      </w:r>
      <w:r w:rsidR="003E3809" w:rsidRPr="00CE37D0">
        <w:rPr>
          <w:vertAlign w:val="superscript"/>
        </w:rPr>
        <w:footnoteReference w:id="100"/>
      </w:r>
      <w:r w:rsidR="003E3809" w:rsidRPr="00CE37D0">
        <w:t xml:space="preserve"> A. Vaišvila viešųjų subjektinių teisių skirtumą nuo privatinių aiškina tuo, kad „</w:t>
      </w:r>
      <w:r w:rsidR="003E3809" w:rsidRPr="00B07C45">
        <w:rPr>
          <w:i/>
        </w:rPr>
        <w:t>viešųjų pareigų vykdymas sukuria subjektinę teisę ne į privatų, o į bendrąjį gėrį (šių subjektinių teisių objektas) vienodai priklausantį visiems, kas tą pareigą atlieka [...].</w:t>
      </w:r>
      <w:r w:rsidR="003E3809" w:rsidRPr="00CE37D0">
        <w:t xml:space="preserve">“ </w:t>
      </w:r>
      <w:r w:rsidR="003E3809" w:rsidRPr="00CE37D0">
        <w:rPr>
          <w:rStyle w:val="Puslapioinaosnuoroda"/>
        </w:rPr>
        <w:footnoteReference w:id="101"/>
      </w:r>
    </w:p>
    <w:p w:rsidR="00BE021F" w:rsidRPr="00CE37D0" w:rsidRDefault="00BE021F" w:rsidP="00BE021F">
      <w:pPr>
        <w:spacing w:line="360" w:lineRule="auto"/>
        <w:ind w:firstLine="851"/>
        <w:jc w:val="both"/>
      </w:pPr>
      <w:r w:rsidRPr="00CE37D0">
        <w:t xml:space="preserve">Dispozityvumas kaip teisinis reiškinys teisės moksle suprantamas keliais skirtingais aspektais: kaip proceso teisės principas arba kaip visuomeninių santykių teisinio reguliavimo metodas. </w:t>
      </w:r>
      <w:r w:rsidRPr="00CE37D0">
        <w:rPr>
          <w:rStyle w:val="Puslapioinaosnuoroda"/>
        </w:rPr>
        <w:footnoteReference w:id="102"/>
      </w:r>
      <w:r w:rsidRPr="00CE37D0">
        <w:t xml:space="preserve"> Dispozityvumą galima traktuoti ir plačiau – kaip teisingumo laisvę, kuri pasireiškia šalių procesiniu lygiateisiškumu </w:t>
      </w:r>
      <w:r w:rsidRPr="00CE37D0">
        <w:rPr>
          <w:rStyle w:val="Puslapioinaosnuoroda"/>
        </w:rPr>
        <w:footnoteReference w:id="103"/>
      </w:r>
      <w:r w:rsidRPr="00CE37D0">
        <w:t xml:space="preserve"> </w:t>
      </w:r>
      <w:r w:rsidR="00FD6570">
        <w:t xml:space="preserve">– </w:t>
      </w:r>
      <w:r w:rsidRPr="00CE37D0">
        <w:t>ir nagrinėti jį teisingumo sampratos kontekste. Pla</w:t>
      </w:r>
      <w:r w:rsidR="00B07C45">
        <w:t>čiau apžvelgsime dispozityvumo kaip</w:t>
      </w:r>
      <w:r w:rsidRPr="00CE37D0">
        <w:t xml:space="preserve"> teisinio regul</w:t>
      </w:r>
      <w:r w:rsidR="00B07C45">
        <w:t>iavimo metodo ir dispozityvumo kaip</w:t>
      </w:r>
      <w:r w:rsidRPr="00CE37D0">
        <w:t xml:space="preserve"> proceso teisės principo sampratas. </w:t>
      </w:r>
    </w:p>
    <w:p w:rsidR="003E3809" w:rsidRPr="00CE37D0" w:rsidRDefault="003E3809" w:rsidP="000D6DF9">
      <w:pPr>
        <w:pStyle w:val="Antrat3"/>
        <w:spacing w:before="0" w:after="0" w:line="360" w:lineRule="auto"/>
        <w:jc w:val="both"/>
      </w:pPr>
      <w:bookmarkStart w:id="57" w:name="_Toc307574192"/>
      <w:bookmarkStart w:id="58" w:name="_Toc333484073"/>
      <w:bookmarkStart w:id="59" w:name="_Toc365498828"/>
      <w:bookmarkStart w:id="60" w:name="_Toc370139892"/>
      <w:bookmarkStart w:id="61" w:name="_Toc400321677"/>
      <w:r w:rsidRPr="00CE37D0">
        <w:t>2.2. Dispozityvumas kaip teisini</w:t>
      </w:r>
      <w:r w:rsidR="003D721F" w:rsidRPr="00CE37D0">
        <w:t>o</w:t>
      </w:r>
      <w:r w:rsidR="00710067">
        <w:t xml:space="preserve"> </w:t>
      </w:r>
      <w:r w:rsidR="003D721F" w:rsidRPr="00CE37D0">
        <w:t>reguliavimo metodas</w:t>
      </w:r>
      <w:bookmarkEnd w:id="57"/>
      <w:bookmarkEnd w:id="58"/>
      <w:bookmarkEnd w:id="59"/>
      <w:bookmarkEnd w:id="60"/>
      <w:bookmarkEnd w:id="61"/>
    </w:p>
    <w:p w:rsidR="00AF31D6" w:rsidRPr="00CE37D0" w:rsidRDefault="003E3809" w:rsidP="00AF31D6">
      <w:pPr>
        <w:spacing w:line="360" w:lineRule="auto"/>
        <w:ind w:firstLine="851"/>
        <w:jc w:val="both"/>
      </w:pPr>
      <w:r w:rsidRPr="00CE37D0">
        <w:t xml:space="preserve">Teisinio reguliavimo metodas moksle suprantamas kaip ypatingas teisės poveikio socialinių santykių dalyvių elgesiui būdas. </w:t>
      </w:r>
      <w:r w:rsidRPr="00CE37D0">
        <w:rPr>
          <w:rStyle w:val="Puslapioinaosnuoroda"/>
        </w:rPr>
        <w:footnoteReference w:id="104"/>
      </w:r>
      <w:r w:rsidR="00FD6570">
        <w:t xml:space="preserve"> </w:t>
      </w:r>
      <w:r w:rsidR="002635AA" w:rsidRPr="00CE37D0">
        <w:t>Apie dispozityvumą kaip teisinio reguliavimo metodą kalbame tada, kai iš teisės sandaros pereiname į jos veikimo sferą</w:t>
      </w:r>
      <w:r w:rsidR="0071409B">
        <w:t>, kitaip tariant, teisės principų įgyvendinimas siejamas su teisinio reguliavimo nustatymu</w:t>
      </w:r>
      <w:r w:rsidR="002635AA" w:rsidRPr="00CE37D0">
        <w:t>.</w:t>
      </w:r>
      <w:r w:rsidR="00762AFC">
        <w:t xml:space="preserve"> </w:t>
      </w:r>
      <w:r w:rsidR="008A5AD7">
        <w:rPr>
          <w:rStyle w:val="Puslapioinaosnuoroda"/>
        </w:rPr>
        <w:footnoteReference w:id="105"/>
      </w:r>
      <w:r w:rsidR="00FD6570">
        <w:t xml:space="preserve"> </w:t>
      </w:r>
      <w:r w:rsidRPr="00CE37D0">
        <w:t xml:space="preserve">Teisiniu reguliavimu įgyvendinama </w:t>
      </w:r>
      <w:r w:rsidRPr="00CE37D0">
        <w:lastRenderedPageBreak/>
        <w:t xml:space="preserve">teisės socialinė paskirtis, t.y. daromas poveikis faktiniam socialinių santykių dalyvių elgesiui teisės priemonėmis, </w:t>
      </w:r>
      <w:r w:rsidRPr="00CE37D0">
        <w:rPr>
          <w:rStyle w:val="Puslapioinaosnuoroda"/>
        </w:rPr>
        <w:footnoteReference w:id="106"/>
      </w:r>
      <w:r w:rsidRPr="00CE37D0">
        <w:t xml:space="preserve"> t.y. teisės normomis ir teisės principais. </w:t>
      </w:r>
      <w:r w:rsidRPr="00CE37D0">
        <w:rPr>
          <w:rStyle w:val="Puslapioinaosnuoroda"/>
        </w:rPr>
        <w:footnoteReference w:id="107"/>
      </w:r>
      <w:r w:rsidRPr="00CE37D0">
        <w:t xml:space="preserve"> Esant dispozityviam </w:t>
      </w:r>
      <w:r w:rsidR="002635AA" w:rsidRPr="00CE37D0">
        <w:t xml:space="preserve">teisinio </w:t>
      </w:r>
      <w:r w:rsidRPr="00CE37D0">
        <w:t xml:space="preserve">reguliavimo metodui, visuomeninių santykių dalyvių aktyvumas, sąlygotas objektyvių poreikių ir interesų, daro įtaką teisinių santykių atsiradimui ir proceso eigai. </w:t>
      </w:r>
      <w:r w:rsidRPr="00CE37D0">
        <w:rPr>
          <w:rStyle w:val="Puslapioinaosnuoroda"/>
        </w:rPr>
        <w:footnoteReference w:id="108"/>
      </w:r>
    </w:p>
    <w:p w:rsidR="00D06236" w:rsidRPr="00CE37D0" w:rsidRDefault="00D06236" w:rsidP="00D06236">
      <w:pPr>
        <w:spacing w:line="360" w:lineRule="auto"/>
        <w:ind w:firstLine="851"/>
        <w:jc w:val="both"/>
      </w:pPr>
      <w:r w:rsidRPr="00CE37D0">
        <w:t xml:space="preserve">Dispozityvaus teisinio reguliavimo išplėtimas į viešosios teisės sferą grindžiamas tokiais argumentais: </w:t>
      </w:r>
    </w:p>
    <w:p w:rsidR="00D06236" w:rsidRPr="00CE37D0" w:rsidRDefault="00B07C45" w:rsidP="00755132">
      <w:pPr>
        <w:numPr>
          <w:ilvl w:val="0"/>
          <w:numId w:val="4"/>
        </w:numPr>
        <w:spacing w:line="360" w:lineRule="auto"/>
        <w:ind w:left="0" w:firstLine="851"/>
        <w:jc w:val="both"/>
      </w:pPr>
      <w:r>
        <w:t>D</w:t>
      </w:r>
      <w:r w:rsidR="00D06236" w:rsidRPr="00CE37D0">
        <w:t>ispozityvumą mokslas išskiria kaip teisės šakų, kurios negali būti išskirtinai priskiriamos nei privatinės, nei viešosios teisės sferai, principą. Šioms teisėms šakoms būdingas tiek viešosios, tiek privatinės teisės elementų derinys (civilinis, arbitražinis procesas);</w:t>
      </w:r>
    </w:p>
    <w:p w:rsidR="00D06236" w:rsidRPr="00CE37D0" w:rsidRDefault="00B07C45" w:rsidP="00755132">
      <w:pPr>
        <w:numPr>
          <w:ilvl w:val="0"/>
          <w:numId w:val="4"/>
        </w:numPr>
        <w:spacing w:line="360" w:lineRule="auto"/>
        <w:ind w:left="0" w:firstLine="851"/>
        <w:jc w:val="both"/>
      </w:pPr>
      <w:r>
        <w:t>S</w:t>
      </w:r>
      <w:r w:rsidR="00D06236" w:rsidRPr="00CE37D0">
        <w:t xml:space="preserve">iūloma koncepcija atveria kelią dispozityvumo elementų egzistavimo ypatingos teisenos bylose ir teisenoje bylų, kylančių iš viešų teisinių santykių, doktrininiam pagrindimui; </w:t>
      </w:r>
    </w:p>
    <w:p w:rsidR="00D06236" w:rsidRPr="00CE37D0" w:rsidRDefault="00B07C45" w:rsidP="00755132">
      <w:pPr>
        <w:numPr>
          <w:ilvl w:val="0"/>
          <w:numId w:val="4"/>
        </w:numPr>
        <w:spacing w:line="360" w:lineRule="auto"/>
        <w:ind w:left="0" w:firstLine="851"/>
        <w:jc w:val="both"/>
      </w:pPr>
      <w:r>
        <w:t>L</w:t>
      </w:r>
      <w:r w:rsidR="00D06236" w:rsidRPr="00CE37D0">
        <w:t xml:space="preserve">eidžia panaikinti prieštaravimą tarp dispozityvumo principo teisinės prigimties supratimo kaip išimtinai privataus teisinio reiškinio ir teisinės prigimties tų institucijų, kurių veikla </w:t>
      </w:r>
      <w:r w:rsidR="00E0371E">
        <w:t>grindžiama oficialumu</w:t>
      </w:r>
      <w:r w:rsidR="00D06236" w:rsidRPr="00CE37D0">
        <w:t xml:space="preserve">. </w:t>
      </w:r>
      <w:r w:rsidR="00D06236" w:rsidRPr="00CE37D0">
        <w:rPr>
          <w:rStyle w:val="Puslapioinaosnuoroda"/>
        </w:rPr>
        <w:footnoteReference w:id="109"/>
      </w:r>
    </w:p>
    <w:p w:rsidR="00D06236" w:rsidRPr="00CE37D0" w:rsidRDefault="00D06236" w:rsidP="00D06236">
      <w:pPr>
        <w:spacing w:line="360" w:lineRule="auto"/>
        <w:ind w:firstLine="851"/>
        <w:jc w:val="both"/>
      </w:pPr>
      <w:r w:rsidRPr="00CE37D0">
        <w:t>Pasitelkiant šią koncepciją, dispozityvumo veikimas paaiškinamas ir baudžiamajame procese, kuriame įgyvendinamas tiek ginamas valstybės viešasis interesas, tiek privatus proceso dalyvių interesas realizuoti savo subjektines teises. Suti</w:t>
      </w:r>
      <w:r w:rsidR="00E0371E">
        <w:t>n</w:t>
      </w:r>
      <w:r w:rsidRPr="00CE37D0">
        <w:t>ka</w:t>
      </w:r>
      <w:r w:rsidR="00E0371E">
        <w:t>nt</w:t>
      </w:r>
      <w:r w:rsidRPr="00CE37D0">
        <w:t xml:space="preserve"> su tuo, kad dispozityvu</w:t>
      </w:r>
      <w:r w:rsidR="00FD4759" w:rsidRPr="00CE37D0">
        <w:t>m</w:t>
      </w:r>
      <w:r w:rsidRPr="00CE37D0">
        <w:t>as pasireiškia ne tik realizuojant civilines subjektines teises, bet ir viešąsias subjektines teises, man</w:t>
      </w:r>
      <w:r w:rsidR="00E0371E">
        <w:t>ytina</w:t>
      </w:r>
      <w:r w:rsidRPr="00CE37D0">
        <w:t>, kad dispozityvumo ištakų kildinimas iš materialinių teisių specifikos yra per siauras. Siekiant išsiaiškinti dispozityvumo ištakas baudžiamajame procese, būtina nustatyti priežastis, sąlygojančias (nulemiančias) dispozityvumo pasireiškimą realizuojant viešo</w:t>
      </w:r>
      <w:r w:rsidR="00B07C45">
        <w:t>sio</w:t>
      </w:r>
      <w:r w:rsidRPr="00CE37D0">
        <w:t xml:space="preserve">s ar mišrios teisinės prigimties subjektines teises. </w:t>
      </w:r>
    </w:p>
    <w:p w:rsidR="00AF31D6" w:rsidRPr="00CE37D0" w:rsidRDefault="00AF31D6" w:rsidP="00AF31D6">
      <w:pPr>
        <w:spacing w:line="360" w:lineRule="auto"/>
        <w:ind w:firstLine="851"/>
        <w:jc w:val="both"/>
      </w:pPr>
      <w:r w:rsidRPr="00CE37D0">
        <w:t>Baudžiamasis procesas yra organinė viešų</w:t>
      </w:r>
      <w:r w:rsidR="00D963A2">
        <w:t>jų</w:t>
      </w:r>
      <w:r w:rsidRPr="00CE37D0">
        <w:t xml:space="preserve"> ir privačių interesų apsaugos sąjunga: iš vienos pusės, užtikrinant pirmiausia procese dalyvaujančių asmenų teisių ir interesų gynybos realumą</w:t>
      </w:r>
      <w:r w:rsidR="00762AFC">
        <w:t>,</w:t>
      </w:r>
      <w:r w:rsidRPr="00CE37D0">
        <w:t xml:space="preserve"> </w:t>
      </w:r>
      <w:r w:rsidRPr="00CE37D0">
        <w:rPr>
          <w:rStyle w:val="Puslapioinaosnuoroda"/>
        </w:rPr>
        <w:footnoteReference w:id="110"/>
      </w:r>
      <w:r w:rsidRPr="00CE37D0">
        <w:t xml:space="preserve"> jame turi egzistuoti dispozityvumo ir rungtyniškumo pradai, tačiau iš kitos – efektyvi </w:t>
      </w:r>
      <w:r w:rsidRPr="00CE37D0">
        <w:lastRenderedPageBreak/>
        <w:t>pažeistų privačių interesų gynyba galima tik tiek, kiek baudžiamojo proceso teisės mechanizmas užtikrina greitą, efektyvią ir realią žmogaus teisių apsaugą, priimant teisėtus ir pagrįstus teismo sprendimus.</w:t>
      </w:r>
      <w:r w:rsidR="0023713E">
        <w:t xml:space="preserve"> </w:t>
      </w:r>
      <w:r w:rsidRPr="00CE37D0">
        <w:rPr>
          <w:rStyle w:val="Puslapioinaosnuoroda"/>
        </w:rPr>
        <w:footnoteReference w:id="111"/>
      </w:r>
      <w:r w:rsidRPr="00CE37D0">
        <w:t xml:space="preserve"> Dispozityvumas yra realus tokia apimtimi, kokia šalims suteikiama elgesio pasirinkimo laisvė ir kiek įtvirtinta šalių pozicijų suderinimo technika, bei kiek jos sugeba daryti įtaką teismo priimamiems sprendimams. </w:t>
      </w:r>
      <w:r w:rsidRPr="00CE37D0">
        <w:rPr>
          <w:rStyle w:val="Puslapioinaosnuoroda"/>
        </w:rPr>
        <w:footnoteReference w:id="112"/>
      </w:r>
    </w:p>
    <w:p w:rsidR="00AF31D6" w:rsidRPr="00CE37D0" w:rsidRDefault="003E3809" w:rsidP="00AF31D6">
      <w:pPr>
        <w:spacing w:line="360" w:lineRule="auto"/>
        <w:ind w:firstLine="851"/>
        <w:jc w:val="both"/>
      </w:pPr>
      <w:r w:rsidRPr="00CE37D0">
        <w:t xml:space="preserve">Dispozityvus </w:t>
      </w:r>
      <w:r w:rsidR="00831855" w:rsidRPr="00CE37D0">
        <w:t xml:space="preserve">teisinio reguliavimo </w:t>
      </w:r>
      <w:r w:rsidRPr="00CE37D0">
        <w:t xml:space="preserve">metodas pasireiškia kaip įstatymu numatyta galimybė procesinių teisinių santykių subjektui pasirinkti elgesio variantą priklausomai nuo privataus asmens nuožiūros, </w:t>
      </w:r>
      <w:r w:rsidRPr="00CE37D0">
        <w:rPr>
          <w:rStyle w:val="Puslapioinaosnuoroda"/>
        </w:rPr>
        <w:footnoteReference w:id="113"/>
      </w:r>
      <w:r w:rsidRPr="00CE37D0">
        <w:t xml:space="preserve"> leidžia reguliuojamo santykio dalyviams parodyti iniciatyvą, savarankiškumą pasirenkant vieną ar kitą elgesio variantą. </w:t>
      </w:r>
      <w:r w:rsidRPr="00CE37D0">
        <w:rPr>
          <w:rStyle w:val="Puslapioinaosnuoroda"/>
        </w:rPr>
        <w:footnoteReference w:id="114"/>
      </w:r>
      <w:r w:rsidRPr="00CE37D0">
        <w:t xml:space="preserve"> Vertinant iš procesinių teisinių santykių subjektų teisinio statuso pozicijų, kiekvienas iš jų turi protingo veikimo laisvę, </w:t>
      </w:r>
      <w:r w:rsidR="00831855" w:rsidRPr="00D963A2">
        <w:t>laisva valia tvarko savo asmeninį gyvenimą, santykius su kitais asmenimis ir naudojasi teismine gynyba (Konstitucijos 22 str</w:t>
      </w:r>
      <w:r w:rsidR="00D917B7" w:rsidRPr="00D963A2">
        <w:t>aipsnis</w:t>
      </w:r>
      <w:r w:rsidR="00831855" w:rsidRPr="00D963A2">
        <w:t xml:space="preserve">), </w:t>
      </w:r>
      <w:r w:rsidR="00831855" w:rsidRPr="00CE37D0">
        <w:rPr>
          <w:rStyle w:val="Puslapioinaosnuoroda"/>
        </w:rPr>
        <w:footnoteReference w:id="115"/>
      </w:r>
      <w:r w:rsidR="00FD6570">
        <w:t xml:space="preserve"> todėl</w:t>
      </w:r>
      <w:r w:rsidRPr="00CE37D0">
        <w:t xml:space="preserve"> turi galimybę </w:t>
      </w:r>
      <w:r w:rsidR="00831855" w:rsidRPr="00CE37D0">
        <w:t>daryti įtaką</w:t>
      </w:r>
      <w:r w:rsidRPr="00CE37D0">
        <w:t xml:space="preserve"> proces</w:t>
      </w:r>
      <w:r w:rsidR="00831855" w:rsidRPr="00CE37D0">
        <w:t>ui</w:t>
      </w:r>
      <w:r w:rsidRPr="00CE37D0">
        <w:t xml:space="preserve">. </w:t>
      </w:r>
      <w:r w:rsidR="00831855" w:rsidRPr="00CE37D0">
        <w:t>Teisinio reguliavimo dispozityvų metodą sudaro teisinės galimybės, kuriomis teisinių santykių subjektas gali naudotis savo nuožiūra, todėl dispozityvumas yra teisinių santykių subjekto teisinės nepriklausomybės išraiška.</w:t>
      </w:r>
      <w:r w:rsidR="00762AFC">
        <w:t xml:space="preserve"> </w:t>
      </w:r>
      <w:r w:rsidR="00831855" w:rsidRPr="00CE37D0">
        <w:rPr>
          <w:rStyle w:val="Puslapioinaosnuoroda"/>
        </w:rPr>
        <w:footnoteReference w:id="116"/>
      </w:r>
    </w:p>
    <w:p w:rsidR="003E3809" w:rsidRPr="00CE37D0" w:rsidRDefault="00AF31D6" w:rsidP="003E3809">
      <w:pPr>
        <w:spacing w:line="360" w:lineRule="auto"/>
        <w:ind w:firstLine="851"/>
        <w:jc w:val="both"/>
      </w:pPr>
      <w:r w:rsidRPr="00CE37D0">
        <w:t>Dispozityvumas</w:t>
      </w:r>
      <w:r w:rsidR="00FD6570">
        <w:t xml:space="preserve"> </w:t>
      </w:r>
      <w:r w:rsidRPr="00CE37D0">
        <w:t>kaip teisinio reguliavimo metodas</w:t>
      </w:r>
      <w:r w:rsidR="000164DF" w:rsidRPr="00CE37D0">
        <w:t xml:space="preserve"> baudžiamajame procese</w:t>
      </w:r>
      <w:r w:rsidR="00FD6570">
        <w:t xml:space="preserve"> </w:t>
      </w:r>
      <w:r w:rsidR="000164DF" w:rsidRPr="00CE37D0">
        <w:t xml:space="preserve">pasireiškia </w:t>
      </w:r>
      <w:r w:rsidR="007C29D0">
        <w:t>daugiausia</w:t>
      </w:r>
      <w:r w:rsidR="00FD6570">
        <w:t xml:space="preserve"> </w:t>
      </w:r>
      <w:r w:rsidR="003E3809" w:rsidRPr="00CE37D0">
        <w:t xml:space="preserve">privataus kaltinimo bylų proceso </w:t>
      </w:r>
      <w:r w:rsidR="000164DF" w:rsidRPr="00CE37D0">
        <w:t xml:space="preserve">formoje. </w:t>
      </w:r>
      <w:r w:rsidR="007C29D0" w:rsidRPr="00CE37D0">
        <w:rPr>
          <w:rStyle w:val="Puslapioinaosnuoroda"/>
        </w:rPr>
        <w:footnoteReference w:id="117"/>
      </w:r>
      <w:r w:rsidR="007C29D0">
        <w:t xml:space="preserve"> P</w:t>
      </w:r>
      <w:r w:rsidR="00D06236" w:rsidRPr="00CE37D0">
        <w:t>rivataus kaltinimo procesinė forma išsiskiria iš kitų specifinių baudžiamojo proceso rūšių būtent teisinio reguliavimo mechanizmo ypatumu</w:t>
      </w:r>
      <w:r w:rsidR="007C29D0">
        <w:t>,</w:t>
      </w:r>
      <w:r w:rsidR="00710067">
        <w:t xml:space="preserve"> </w:t>
      </w:r>
      <w:r w:rsidR="007C29D0">
        <w:t>t</w:t>
      </w:r>
      <w:r w:rsidR="003E3809" w:rsidRPr="00CE37D0">
        <w:t xml:space="preserve">odėl privataus kaltinimo bylų procesas negali būti suvokiamas ir nagrinėjamas atsietai nuo dispozityvumo sampratos baudžiamajame procese ir atvirkščiai – dispozityvumas </w:t>
      </w:r>
      <w:r w:rsidR="003E3809" w:rsidRPr="00CE37D0">
        <w:lastRenderedPageBreak/>
        <w:t xml:space="preserve">baudžiamajame procese negali būti </w:t>
      </w:r>
      <w:r w:rsidR="003B3A44">
        <w:t>nagrinėjamas</w:t>
      </w:r>
      <w:r w:rsidR="003E3809" w:rsidRPr="00CE37D0">
        <w:t xml:space="preserve"> kitaip nei </w:t>
      </w:r>
      <w:r w:rsidR="003B3A44">
        <w:t xml:space="preserve">pasitelkiant </w:t>
      </w:r>
      <w:r w:rsidR="003E3809" w:rsidRPr="00CE37D0">
        <w:t>privataus kaltinimo institut</w:t>
      </w:r>
      <w:r w:rsidR="00931BF9" w:rsidRPr="00CE37D0">
        <w:t>o analiz</w:t>
      </w:r>
      <w:r w:rsidR="003B3A44">
        <w:t>ę</w:t>
      </w:r>
      <w:r w:rsidR="00931BF9" w:rsidRPr="00CE37D0">
        <w:t xml:space="preserve">. </w:t>
      </w:r>
    </w:p>
    <w:p w:rsidR="003E3809" w:rsidRPr="00CE37D0" w:rsidRDefault="003E3809" w:rsidP="000D6DF9">
      <w:pPr>
        <w:pStyle w:val="Antrat3"/>
        <w:spacing w:before="0" w:after="0" w:line="360" w:lineRule="auto"/>
        <w:jc w:val="both"/>
      </w:pPr>
      <w:bookmarkStart w:id="62" w:name="_Toc307574194"/>
      <w:bookmarkStart w:id="63" w:name="_Toc333484075"/>
      <w:bookmarkStart w:id="64" w:name="_Toc365498830"/>
      <w:bookmarkStart w:id="65" w:name="_Toc370139894"/>
      <w:bookmarkStart w:id="66" w:name="_Toc400321678"/>
      <w:r w:rsidRPr="00CE37D0">
        <w:t>2.</w:t>
      </w:r>
      <w:r w:rsidR="00BE021F" w:rsidRPr="00CE37D0">
        <w:t>3</w:t>
      </w:r>
      <w:r w:rsidRPr="00CE37D0">
        <w:t>. Dispozityvumas kaip teisės principas ir jo vieta baudžiamojo proceso principų sistemoje</w:t>
      </w:r>
      <w:bookmarkEnd w:id="62"/>
      <w:bookmarkEnd w:id="63"/>
      <w:bookmarkEnd w:id="64"/>
      <w:bookmarkEnd w:id="65"/>
      <w:bookmarkEnd w:id="66"/>
    </w:p>
    <w:p w:rsidR="003E3809" w:rsidRPr="00CE37D0" w:rsidRDefault="0071409B" w:rsidP="003E3809">
      <w:pPr>
        <w:spacing w:line="360" w:lineRule="auto"/>
        <w:ind w:firstLine="851"/>
        <w:jc w:val="both"/>
      </w:pPr>
      <w:r>
        <w:t xml:space="preserve">Teisės principams moksliniame diskurse suteikiama keletas prasmių: teisės principai suprantami ne vien kaip pamatinės idėjos, tačiau ir </w:t>
      </w:r>
      <w:r w:rsidR="006E6E90">
        <w:t xml:space="preserve">kaip </w:t>
      </w:r>
      <w:r>
        <w:t xml:space="preserve">savarankiški savitus požymius bei funkcijas turintys elementai, kuriems pripažįstama tiesioginio reguliavimo savybė. </w:t>
      </w:r>
      <w:r w:rsidR="008A5AD7">
        <w:rPr>
          <w:rStyle w:val="Puslapioinaosnuoroda"/>
        </w:rPr>
        <w:footnoteReference w:id="118"/>
      </w:r>
      <w:r w:rsidR="006E6E90">
        <w:t xml:space="preserve"> </w:t>
      </w:r>
      <w:r w:rsidR="000026F6" w:rsidRPr="00CE37D0">
        <w:t xml:space="preserve">Dispozityvumas kaip teisės principas užtikrina normų, kurios suteikia ir garantuoja dalyvaujantiems byloje asmenims galimybę savo nuožiūra disponuoti savo teisėmis, įtvirtinimą baudžiamojo proceso teisėje. </w:t>
      </w:r>
      <w:r w:rsidR="000026F6" w:rsidRPr="00CE37D0">
        <w:rPr>
          <w:rStyle w:val="Puslapioinaosnuoroda"/>
        </w:rPr>
        <w:footnoteReference w:id="119"/>
      </w:r>
      <w:r w:rsidR="006E6E90">
        <w:t xml:space="preserve"> </w:t>
      </w:r>
      <w:r w:rsidR="003E3809" w:rsidRPr="00CE37D0">
        <w:t xml:space="preserve">Tradiciniu laikomas požiūris, kad dispozityvumo principo veikimo sfera apsiriboja civilinio proceso rėmais. Nei bausmės taikymas kaltam nusikalstamos veikos padarymu asmeniui, nei procesinių priemonių bei būdų surasti kaltininką ir įrodyti jo kaltumą </w:t>
      </w:r>
      <w:r w:rsidR="00E0371E">
        <w:t xml:space="preserve">parinkimas </w:t>
      </w:r>
      <w:r w:rsidR="003E3809" w:rsidRPr="00CE37D0">
        <w:t xml:space="preserve">nepriklauso nuo privačių asmenų valios (išskyrus tam tikrus įstatyme numatytus atvejus). </w:t>
      </w:r>
      <w:r w:rsidR="00E0371E">
        <w:t>Teigiama, kad s</w:t>
      </w:r>
      <w:r w:rsidR="003E3809" w:rsidRPr="00CE37D0">
        <w:t>ubjektyvios viešosios teisės ir teisė į nubaudimą nelaikoma laisvo disponavimo dalyku, todėl ir dispozityvumo principas ne</w:t>
      </w:r>
      <w:r w:rsidR="003B3A44">
        <w:t>p</w:t>
      </w:r>
      <w:r w:rsidR="003E3809" w:rsidRPr="00CE37D0">
        <w:t xml:space="preserve">ripažįstamas baudžiamajame ir administraciniame procese. </w:t>
      </w:r>
      <w:r w:rsidR="003E3809" w:rsidRPr="00CE37D0">
        <w:rPr>
          <w:rStyle w:val="Puslapioinaosnuoroda"/>
        </w:rPr>
        <w:footnoteReference w:id="120"/>
      </w:r>
      <w:r w:rsidR="003E3809" w:rsidRPr="00CE37D0">
        <w:t xml:space="preserve"> Tačiau dispozityv</w:t>
      </w:r>
      <w:r w:rsidR="00AF0FE9" w:rsidRPr="00CE37D0">
        <w:t>io</w:t>
      </w:r>
      <w:r w:rsidR="003E3809" w:rsidRPr="00CE37D0">
        <w:t>s</w:t>
      </w:r>
      <w:r w:rsidR="00AF0FE9" w:rsidRPr="00CE37D0">
        <w:t xml:space="preserve"> nuostatos</w:t>
      </w:r>
      <w:r w:rsidR="003E3809" w:rsidRPr="00CE37D0">
        <w:t xml:space="preserve"> įtvirtint</w:t>
      </w:r>
      <w:r w:rsidR="00AF0FE9" w:rsidRPr="00CE37D0">
        <w:t>o</w:t>
      </w:r>
      <w:r w:rsidR="003E3809" w:rsidRPr="00CE37D0">
        <w:t xml:space="preserve">s ne tik civilinio proceso teisės normose, bet ir arbitražo teisės, konstitucinės teisės, administracinio ir baudžiamojo proceso teisės normose. Todėl pagal teisinių santykių, kuriuos apima jo veikimas, ratą, pagal normų, kuriose jis įtvirtinamas, šakinę priklausomybę dispozityvumas laikytinas tarpšakiniu principu. </w:t>
      </w:r>
      <w:r w:rsidR="003E3809" w:rsidRPr="00CE37D0">
        <w:rPr>
          <w:vertAlign w:val="superscript"/>
        </w:rPr>
        <w:footnoteReference w:id="121"/>
      </w:r>
    </w:p>
    <w:p w:rsidR="003E3809" w:rsidRPr="00CE37D0" w:rsidRDefault="003E3809" w:rsidP="003E3809">
      <w:pPr>
        <w:spacing w:line="360" w:lineRule="auto"/>
        <w:ind w:firstLine="851"/>
        <w:jc w:val="both"/>
      </w:pPr>
      <w:r w:rsidRPr="00CE37D0">
        <w:t>Dispozityvumo pripažinimas mišriojo baudžiamojo proceso modelio, kuriam priskiriamas ir Lietuvos baudžiamasis procesas, principu yra diskusinis</w:t>
      </w:r>
      <w:r w:rsidR="00AF0FE9" w:rsidRPr="00CE37D0">
        <w:t xml:space="preserve"> klausimas</w:t>
      </w:r>
      <w:r w:rsidRPr="00CE37D0">
        <w:t xml:space="preserve">, kadangi mišraus tipo baudžiamajame procese dispozityvumas pasireiškia tik atskirose proceso dalyvių ir kitų suinteresuotų asmenų teisėse, todėl nepasiekia tokio išsivystymo lygio, kad jam </w:t>
      </w:r>
      <w:r w:rsidR="003B3A44">
        <w:t xml:space="preserve">neabejotinai </w:t>
      </w:r>
      <w:r w:rsidRPr="00CE37D0">
        <w:t xml:space="preserve">būtų pripažįstamas baudžiamojo proceso principo statusas. </w:t>
      </w:r>
    </w:p>
    <w:p w:rsidR="003E3809" w:rsidRPr="00CE37D0" w:rsidRDefault="003E3809" w:rsidP="003E3809">
      <w:pPr>
        <w:spacing w:line="360" w:lineRule="auto"/>
        <w:ind w:firstLine="851"/>
        <w:jc w:val="both"/>
      </w:pPr>
      <w:r w:rsidRPr="00CE37D0">
        <w:rPr>
          <w:color w:val="000000"/>
        </w:rPr>
        <w:t>Dominuoja požiūris, kad dispozityvumas nėra mišriojo baudžiamojo proceso principas</w:t>
      </w:r>
      <w:r w:rsidR="00BE576C">
        <w:rPr>
          <w:color w:val="000000"/>
        </w:rPr>
        <w:t>,</w:t>
      </w:r>
      <w:r w:rsidR="00632BC2">
        <w:rPr>
          <w:color w:val="000000"/>
        </w:rPr>
        <w:t xml:space="preserve"> </w:t>
      </w:r>
      <w:r w:rsidR="00F10CDB" w:rsidRPr="00CE37D0">
        <w:rPr>
          <w:rStyle w:val="Puslapioinaosnuoroda"/>
        </w:rPr>
        <w:footnoteReference w:id="122"/>
      </w:r>
      <w:r w:rsidRPr="00CE37D0">
        <w:rPr>
          <w:color w:val="000000"/>
        </w:rPr>
        <w:t xml:space="preserve"> tačiau </w:t>
      </w:r>
      <w:r w:rsidR="003B3A44">
        <w:rPr>
          <w:color w:val="000000"/>
        </w:rPr>
        <w:t>kai kurie</w:t>
      </w:r>
      <w:r w:rsidRPr="00CE37D0">
        <w:rPr>
          <w:color w:val="000000"/>
        </w:rPr>
        <w:t xml:space="preserve"> mokslininkai</w:t>
      </w:r>
      <w:r w:rsidR="003B3A44">
        <w:rPr>
          <w:color w:val="000000"/>
        </w:rPr>
        <w:t xml:space="preserve"> dispozityvumą</w:t>
      </w:r>
      <w:r w:rsidRPr="00CE37D0">
        <w:rPr>
          <w:color w:val="000000"/>
        </w:rPr>
        <w:t xml:space="preserve"> laiko </w:t>
      </w:r>
      <w:r w:rsidR="00AF0FE9" w:rsidRPr="00CE37D0">
        <w:rPr>
          <w:color w:val="000000"/>
        </w:rPr>
        <w:t xml:space="preserve">atskirų </w:t>
      </w:r>
      <w:r w:rsidRPr="00CE37D0">
        <w:rPr>
          <w:color w:val="000000"/>
        </w:rPr>
        <w:t>institut</w:t>
      </w:r>
      <w:r w:rsidR="00AF0FE9" w:rsidRPr="00CE37D0">
        <w:rPr>
          <w:color w:val="000000"/>
        </w:rPr>
        <w:t>ų</w:t>
      </w:r>
      <w:r w:rsidRPr="00CE37D0">
        <w:rPr>
          <w:color w:val="000000"/>
        </w:rPr>
        <w:t xml:space="preserve">, t.y. </w:t>
      </w:r>
      <w:r w:rsidRPr="00CE37D0">
        <w:t xml:space="preserve">civilinio ieškinio baudžiamojoje byloje ir </w:t>
      </w:r>
      <w:r w:rsidRPr="00CE37D0">
        <w:rPr>
          <w:color w:val="000000"/>
        </w:rPr>
        <w:t>privataus kaltinimo bylų proceso principu (N. J. Volosova, I. S. Dikarev</w:t>
      </w:r>
      <w:r w:rsidR="00435FAB">
        <w:rPr>
          <w:color w:val="000000"/>
        </w:rPr>
        <w:t>as</w:t>
      </w:r>
      <w:r w:rsidR="00F10CDB">
        <w:rPr>
          <w:color w:val="000000"/>
        </w:rPr>
        <w:t xml:space="preserve">), </w:t>
      </w:r>
      <w:r w:rsidR="00F10CDB">
        <w:rPr>
          <w:color w:val="000000"/>
        </w:rPr>
        <w:lastRenderedPageBreak/>
        <w:t>pasireiškiančiu tik</w:t>
      </w:r>
      <w:r w:rsidRPr="00CE37D0">
        <w:rPr>
          <w:color w:val="000000"/>
        </w:rPr>
        <w:t xml:space="preserve"> proceso dalyvių ir kitų suinteresuotų asmenų </w:t>
      </w:r>
      <w:r w:rsidR="00F10CDB">
        <w:rPr>
          <w:color w:val="000000"/>
        </w:rPr>
        <w:t xml:space="preserve">atskirų </w:t>
      </w:r>
      <w:r w:rsidRPr="00CE37D0">
        <w:rPr>
          <w:color w:val="000000"/>
        </w:rPr>
        <w:t>teis</w:t>
      </w:r>
      <w:r w:rsidR="003B3A44">
        <w:rPr>
          <w:color w:val="000000"/>
        </w:rPr>
        <w:t>ių realizavimo procese</w:t>
      </w:r>
      <w:r w:rsidR="00762AFC">
        <w:rPr>
          <w:color w:val="000000"/>
        </w:rPr>
        <w:t>.</w:t>
      </w:r>
      <w:r w:rsidRPr="00CE37D0">
        <w:rPr>
          <w:rStyle w:val="Puslapioinaosnuoroda"/>
        </w:rPr>
        <w:footnoteReference w:id="123"/>
      </w:r>
      <w:r w:rsidR="006E6E90">
        <w:rPr>
          <w:color w:val="000000"/>
        </w:rPr>
        <w:t xml:space="preserve"> </w:t>
      </w:r>
      <w:r w:rsidR="00AF0FE9" w:rsidRPr="00CE37D0">
        <w:rPr>
          <w:color w:val="000000"/>
        </w:rPr>
        <w:t>Tik nedaugelis mokslininkų (</w:t>
      </w:r>
      <w:r w:rsidR="00AF0FE9" w:rsidRPr="00CE37D0">
        <w:t>A. S. Aleksandrov</w:t>
      </w:r>
      <w:r w:rsidR="00F10CDB">
        <w:t>as</w:t>
      </w:r>
      <w:r w:rsidR="00AF0FE9" w:rsidRPr="00CE37D0">
        <w:t>, A. A. Šamadrin</w:t>
      </w:r>
      <w:r w:rsidR="00F10CDB">
        <w:t>as</w:t>
      </w:r>
      <w:r w:rsidR="00AF0FE9" w:rsidRPr="00CE37D0">
        <w:t xml:space="preserve">) </w:t>
      </w:r>
      <w:r w:rsidR="00AF0FE9" w:rsidRPr="00CE37D0">
        <w:rPr>
          <w:color w:val="000000"/>
        </w:rPr>
        <w:t xml:space="preserve">dispozityvumą pripažįsta savarankišku baudžiamojo proceso teisės principu. </w:t>
      </w:r>
      <w:r w:rsidR="00ED00D2" w:rsidRPr="00CE37D0">
        <w:rPr>
          <w:color w:val="000000"/>
        </w:rPr>
        <w:t>Tokia nuomonė</w:t>
      </w:r>
      <w:r w:rsidRPr="00CE37D0">
        <w:rPr>
          <w:color w:val="000000"/>
        </w:rPr>
        <w:t xml:space="preserve"> remiasi teorija,</w:t>
      </w:r>
      <w:r w:rsidRPr="00CE37D0">
        <w:t xml:space="preserve"> institu</w:t>
      </w:r>
      <w:r w:rsidR="003B3A44">
        <w:t>to</w:t>
      </w:r>
      <w:r w:rsidRPr="00CE37D0">
        <w:t xml:space="preserve"> principus laikančia pilnateisiais teisės šakos principais, išreiškiančiais </w:t>
      </w:r>
      <w:r w:rsidR="00E0371E">
        <w:t>proceso</w:t>
      </w:r>
      <w:r w:rsidRPr="00CE37D0">
        <w:t xml:space="preserve"> formos reakciją į socialinės aplinkos įvairovę, </w:t>
      </w:r>
      <w:r w:rsidRPr="00CE37D0">
        <w:rPr>
          <w:rStyle w:val="Puslapioinaosnuoroda"/>
        </w:rPr>
        <w:footnoteReference w:id="124"/>
      </w:r>
      <w:r w:rsidRPr="00CE37D0">
        <w:t xml:space="preserve"> ir teigia, kad dispozityvumas turi būti laikomas bendruoju baudžiamojo proceso principu. </w:t>
      </w:r>
      <w:r w:rsidRPr="00CE37D0">
        <w:rPr>
          <w:rStyle w:val="Puslapioinaosnuoroda"/>
        </w:rPr>
        <w:footnoteReference w:id="125"/>
      </w:r>
      <w:r w:rsidR="006E6E90">
        <w:t xml:space="preserve"> </w:t>
      </w:r>
      <w:r w:rsidR="00ED00D2" w:rsidRPr="00CE37D0">
        <w:t>Kadangi palaikome</w:t>
      </w:r>
      <w:r w:rsidRPr="00CE37D0">
        <w:t xml:space="preserve"> nuomon</w:t>
      </w:r>
      <w:r w:rsidR="00ED00D2" w:rsidRPr="00CE37D0">
        <w:t>ę</w:t>
      </w:r>
      <w:r w:rsidRPr="00CE37D0">
        <w:t>, pripažįstančią dispozityvumą baudžiamojo proceso principu</w:t>
      </w:r>
      <w:r w:rsidR="00ED00D2" w:rsidRPr="00CE37D0">
        <w:t>,</w:t>
      </w:r>
      <w:r w:rsidRPr="00CE37D0">
        <w:t xml:space="preserve"> pateiksime argumentus, padėsiančius šią nuomonę pagrįsti. </w:t>
      </w:r>
    </w:p>
    <w:p w:rsidR="003E3809" w:rsidRPr="00CE37D0" w:rsidRDefault="003E3809" w:rsidP="003E3809">
      <w:pPr>
        <w:spacing w:line="360" w:lineRule="auto"/>
        <w:ind w:firstLine="851"/>
        <w:jc w:val="both"/>
      </w:pPr>
      <w:r w:rsidRPr="00CE37D0">
        <w:t>Kiekvienam baudžiamojo proceso modeliui pagrindą sudaro tam tikra formą suteikiančių idėjų visuma, siejama bendros sistemos ir tikslo vienybės. Ši</w:t>
      </w:r>
      <w:r w:rsidR="00B44A9D" w:rsidRPr="00CE37D0">
        <w:t>ų</w:t>
      </w:r>
      <w:r w:rsidRPr="00CE37D0">
        <w:t xml:space="preserve"> idėjų išorinė struktūra pasireiškia tam tikra forma (rungtynine arba tyrimo). Proceso forma yra jo turinio, t.y. principų veikimo</w:t>
      </w:r>
      <w:r w:rsidR="00B44A9D" w:rsidRPr="00CE37D0">
        <w:t>,</w:t>
      </w:r>
      <w:r w:rsidRPr="00CE37D0">
        <w:t xml:space="preserve"> rezultatas (efektas). Dvi proceso principų sistemos, t.y. rungtyninė ir tyrimo, kildinamos iš dviejų priešybių – privatumo ir viešumo. </w:t>
      </w:r>
      <w:r w:rsidR="00B44A9D" w:rsidRPr="00CE37D0">
        <w:rPr>
          <w:color w:val="000000"/>
        </w:rPr>
        <w:t>T</w:t>
      </w:r>
      <w:r w:rsidRPr="00CE37D0">
        <w:rPr>
          <w:color w:val="000000"/>
        </w:rPr>
        <w:t>os pačios teisinės materijos priešingyb</w:t>
      </w:r>
      <w:r w:rsidR="00B44A9D" w:rsidRPr="00CE37D0">
        <w:rPr>
          <w:color w:val="000000"/>
        </w:rPr>
        <w:t>ę</w:t>
      </w:r>
      <w:r w:rsidRPr="00CE37D0">
        <w:rPr>
          <w:color w:val="000000"/>
        </w:rPr>
        <w:t xml:space="preserve"> viename ar kitame teoriniame proceso modelyje</w:t>
      </w:r>
      <w:r w:rsidR="00B44A9D" w:rsidRPr="00CE37D0">
        <w:rPr>
          <w:color w:val="000000"/>
        </w:rPr>
        <w:t xml:space="preserve"> išreiškia poriniai principai</w:t>
      </w:r>
      <w:r w:rsidR="006E2F78" w:rsidRPr="00CE37D0">
        <w:rPr>
          <w:color w:val="000000"/>
        </w:rPr>
        <w:t>,</w:t>
      </w:r>
      <w:r w:rsidR="00632BC2">
        <w:rPr>
          <w:color w:val="000000"/>
        </w:rPr>
        <w:t xml:space="preserve"> </w:t>
      </w:r>
      <w:r w:rsidRPr="00CE37D0">
        <w:rPr>
          <w:rStyle w:val="Puslapioinaosnuoroda"/>
          <w:color w:val="000000"/>
        </w:rPr>
        <w:footnoteReference w:id="126"/>
      </w:r>
      <w:r w:rsidR="006E6E90">
        <w:rPr>
          <w:color w:val="000000"/>
        </w:rPr>
        <w:t xml:space="preserve"> </w:t>
      </w:r>
      <w:r w:rsidR="006E2F78" w:rsidRPr="00CE37D0">
        <w:rPr>
          <w:color w:val="000000"/>
        </w:rPr>
        <w:t xml:space="preserve">kurie </w:t>
      </w:r>
      <w:r w:rsidR="006E2F78" w:rsidRPr="00CE37D0">
        <w:t xml:space="preserve">sudaro susijusių ir suderinamų principų sistemą. </w:t>
      </w:r>
      <w:r w:rsidRPr="00CE37D0">
        <w:rPr>
          <w:color w:val="000000"/>
        </w:rPr>
        <w:t>Praktiškai šie principai niekada nebūna absoliutūs</w:t>
      </w:r>
      <w:r w:rsidR="006E2F78" w:rsidRPr="00CE37D0">
        <w:rPr>
          <w:color w:val="000000"/>
        </w:rPr>
        <w:t xml:space="preserve"> ir procesas modeliuojamas juos derinant</w:t>
      </w:r>
      <w:r w:rsidRPr="00CE37D0">
        <w:rPr>
          <w:color w:val="000000"/>
        </w:rPr>
        <w:t xml:space="preserve">. </w:t>
      </w:r>
      <w:r w:rsidR="00757969" w:rsidRPr="00CE37D0">
        <w:t>Teisės principų konkurenciją taikliai apibendrino K. Jankauskas: „</w:t>
      </w:r>
      <w:r w:rsidR="00757969" w:rsidRPr="00CE37D0">
        <w:rPr>
          <w:i/>
        </w:rPr>
        <w:t xml:space="preserve">skirtingų teisinių vertybių bei atitinkamų principų konkurencija ir šiuos principus sukonkretinančiose teisės normose nustatytas reguliavimas nereiškia vidinio prieštaravimo teisės sistemoje, jei teisės principuose glūdinčių vertybių kompromisas įtvirtinamas proporcingomis priemonėmis, jei vienų vertybių apsaugos ir </w:t>
      </w:r>
      <w:r w:rsidR="00A06CBE" w:rsidRPr="00CE37D0">
        <w:rPr>
          <w:i/>
        </w:rPr>
        <w:t>užtikrinimo</w:t>
      </w:r>
      <w:r w:rsidR="00757969" w:rsidRPr="00CE37D0">
        <w:rPr>
          <w:i/>
        </w:rPr>
        <w:t xml:space="preserve"> siekiama nepaneigiant kitų, t.y. argumentuotai derinamos skirtingos teisės principuose išreikštos teisinio reguliavimo kryptys.</w:t>
      </w:r>
      <w:r w:rsidR="00757969" w:rsidRPr="00CE37D0">
        <w:t xml:space="preserve">“ </w:t>
      </w:r>
      <w:r w:rsidR="00757969" w:rsidRPr="00CE37D0">
        <w:rPr>
          <w:rStyle w:val="Puslapioinaosnuoroda"/>
        </w:rPr>
        <w:footnoteReference w:id="127"/>
      </w:r>
      <w:r w:rsidR="006E6E90">
        <w:t xml:space="preserve"> </w:t>
      </w:r>
      <w:r w:rsidRPr="00CE37D0">
        <w:t xml:space="preserve">Dominuojantys proceso principai modeliuoja proceso formą, o kiti principai gali turėti tik papildomą reikšmę ir konkrečioje proceso formoje negali sudaryti savarankiškos principų sistemos. </w:t>
      </w:r>
      <w:r w:rsidRPr="00CE37D0">
        <w:rPr>
          <w:rStyle w:val="Puslapioinaosnuoroda"/>
        </w:rPr>
        <w:footnoteReference w:id="128"/>
      </w:r>
      <w:r w:rsidR="006E6E90">
        <w:t xml:space="preserve"> </w:t>
      </w:r>
      <w:r w:rsidR="000430E9" w:rsidRPr="000430E9">
        <w:t xml:space="preserve">Teisės principuose yra išreikštos lygiavertės teisinės vertybės, todėl jas išreiškiantys imperatyvai ir principuose nubrėžtos norminio reguliavimo kryptys ne kertasi vieni kitus paneigdami, bet konkuruoja (papildo ir kartu riboja) brėždami vieni kitų, kartu </w:t>
      </w:r>
      <w:r w:rsidR="000430E9" w:rsidRPr="000430E9">
        <w:lastRenderedPageBreak/>
        <w:t>ir reguliuojamojo poveikio, ribas</w:t>
      </w:r>
      <w:r w:rsidR="00454981" w:rsidRPr="000430E9">
        <w:t>, formuodami platų visuminio teisinio reguliavimo tinklą.</w:t>
      </w:r>
      <w:r w:rsidR="00632BC2">
        <w:t xml:space="preserve"> </w:t>
      </w:r>
      <w:r w:rsidR="00454981">
        <w:rPr>
          <w:rStyle w:val="Puslapioinaosnuoroda"/>
        </w:rPr>
        <w:footnoteReference w:id="129"/>
      </w:r>
      <w:r w:rsidR="006E6E90">
        <w:t xml:space="preserve"> </w:t>
      </w:r>
      <w:r w:rsidRPr="00CE37D0">
        <w:t xml:space="preserve">Principų sistemos reliatyvumas suponuoja principų kiekybinio pasikeitimo galimybę </w:t>
      </w:r>
      <w:r w:rsidRPr="00CE37D0">
        <w:rPr>
          <w:rStyle w:val="Puslapioinaosnuoroda"/>
        </w:rPr>
        <w:footnoteReference w:id="130"/>
      </w:r>
      <w:r w:rsidR="006E6E90">
        <w:t xml:space="preserve"> </w:t>
      </w:r>
      <w:r w:rsidR="00DD5D77" w:rsidRPr="00CE37D0">
        <w:t>ir</w:t>
      </w:r>
      <w:r w:rsidRPr="00CE37D0">
        <w:t xml:space="preserve"> yra pagrindas pripažinti kiekybines priešybes lygiaverčiais baudžiamojo proceso teisės principais. </w:t>
      </w:r>
    </w:p>
    <w:p w:rsidR="003E3809" w:rsidRPr="00CE37D0" w:rsidRDefault="003E3809" w:rsidP="003E3809">
      <w:pPr>
        <w:spacing w:line="360" w:lineRule="auto"/>
        <w:ind w:firstLine="851"/>
        <w:jc w:val="both"/>
      </w:pPr>
      <w:r w:rsidRPr="00CE37D0">
        <w:t>Privataus kaltinimo bylų procese dispozityvum</w:t>
      </w:r>
      <w:r w:rsidR="00DD5D77" w:rsidRPr="00CE37D0">
        <w:t>as</w:t>
      </w:r>
      <w:r w:rsidRPr="00CE37D0">
        <w:t xml:space="preserve"> įgyja dominuojančio principo reikšmę (kaip oficialu</w:t>
      </w:r>
      <w:r w:rsidR="00F10CDB">
        <w:t xml:space="preserve">mo principas viešo ir </w:t>
      </w:r>
      <w:r w:rsidR="00397E48">
        <w:t>privačiai viešo</w:t>
      </w:r>
      <w:r w:rsidRPr="00CE37D0">
        <w:t xml:space="preserve"> kaltinimo bylose). Nekorektiška neigti dispozityvumo principo egzistavimą baudžiamajame procese vi</w:t>
      </w:r>
      <w:r w:rsidR="005600AA">
        <w:t>en todėl, kad jis veikia ne vis</w:t>
      </w:r>
      <w:r w:rsidRPr="00CE37D0">
        <w:t xml:space="preserve">a apimtimi viešo ir </w:t>
      </w:r>
      <w:r w:rsidR="00397E48">
        <w:t>privačiai viešo</w:t>
      </w:r>
      <w:r w:rsidRPr="00CE37D0">
        <w:t xml:space="preserve"> kaltinimo bylose. Vadovaujantis tokia logika ir oficialumo principo nebūtų galima laikyti bendru baudžiamojo proceso principu. Dispozityvumas pasireiškia kaip išimtinis principas tam tikruose baudžiamojo proceso institutuose, todėl, pritari</w:t>
      </w:r>
      <w:r w:rsidR="00E0371E">
        <w:t>ant</w:t>
      </w:r>
      <w:r w:rsidRPr="00CE37D0">
        <w:t xml:space="preserve"> nuomonei, kad </w:t>
      </w:r>
      <w:r w:rsidR="000A17CD">
        <w:t xml:space="preserve">atskiro </w:t>
      </w:r>
      <w:r w:rsidRPr="00CE37D0">
        <w:t>institu</w:t>
      </w:r>
      <w:r w:rsidR="003B3A44">
        <w:t>to</w:t>
      </w:r>
      <w:r w:rsidRPr="00CE37D0">
        <w:t xml:space="preserve"> principai yra pilnateisiai principai, </w:t>
      </w:r>
      <w:r w:rsidRPr="00CE37D0">
        <w:rPr>
          <w:rStyle w:val="Puslapioinaosnuoroda"/>
        </w:rPr>
        <w:footnoteReference w:id="131"/>
      </w:r>
      <w:r w:rsidRPr="00CE37D0">
        <w:t xml:space="preserve"> man</w:t>
      </w:r>
      <w:r w:rsidR="00E0371E">
        <w:t>ytina</w:t>
      </w:r>
      <w:r w:rsidRPr="00CE37D0">
        <w:t>, kad jis pripažintinas ir viso baudžiamojo proceso principu.</w:t>
      </w:r>
    </w:p>
    <w:p w:rsidR="0022654A" w:rsidRPr="00CE37D0" w:rsidRDefault="00757969" w:rsidP="0022654A">
      <w:pPr>
        <w:spacing w:line="360" w:lineRule="auto"/>
        <w:ind w:firstLine="851"/>
        <w:jc w:val="both"/>
      </w:pPr>
      <w:r w:rsidRPr="00CE37D0">
        <w:t xml:space="preserve">Dispozityvumo priešingybe teoriniame modelyje yra laikomas oficialumo principas </w:t>
      </w:r>
      <w:proofErr w:type="gramStart"/>
      <w:r w:rsidRPr="00CE37D0">
        <w:t>(</w:t>
      </w:r>
      <w:proofErr w:type="gramEnd"/>
      <w:r w:rsidRPr="00CE37D0">
        <w:t xml:space="preserve">vok. </w:t>
      </w:r>
      <w:r w:rsidRPr="00CE37D0">
        <w:rPr>
          <w:i/>
        </w:rPr>
        <w:t>Offizialmaxim</w:t>
      </w:r>
      <w:r w:rsidRPr="00CE37D0">
        <w:t xml:space="preserve">e). </w:t>
      </w:r>
      <w:r w:rsidR="00337D50" w:rsidRPr="00CE37D0">
        <w:t xml:space="preserve">Oficialumo principo dominavimo aksioma baudžiamajame procese remiasi tuo, kad baudžiamojo proceso iniciatyva ir bylos tyrimas yra išimtinė valstybinių institucijų kompetencija. </w:t>
      </w:r>
      <w:r w:rsidR="003E3809" w:rsidRPr="00CE37D0">
        <w:t>Oficialumo princip</w:t>
      </w:r>
      <w:r w:rsidR="006126CF">
        <w:t>o veikimui</w:t>
      </w:r>
      <w:r w:rsidR="006079F2">
        <w:t xml:space="preserve"> </w:t>
      </w:r>
      <w:r w:rsidR="006126CF" w:rsidRPr="00CE37D0">
        <w:t>baudžiamajame procese</w:t>
      </w:r>
      <w:r w:rsidR="006126CF" w:rsidRPr="006126CF">
        <w:t xml:space="preserve"> pamatinę teisinę bazę sudaro Konstitucijos nuostatos</w:t>
      </w:r>
      <w:r w:rsidR="003E3809" w:rsidRPr="00CE37D0">
        <w:t xml:space="preserve">, kurios </w:t>
      </w:r>
      <w:r w:rsidR="006079F2">
        <w:t>sukonkretinamos</w:t>
      </w:r>
      <w:r w:rsidR="003C3B73">
        <w:t xml:space="preserve"> BPK </w:t>
      </w:r>
      <w:r w:rsidR="002317CF">
        <w:t>normose</w:t>
      </w:r>
      <w:r w:rsidR="003E3809" w:rsidRPr="00CE37D0">
        <w:t xml:space="preserve">. </w:t>
      </w:r>
      <w:r w:rsidR="00ED3323" w:rsidRPr="00CE37D0">
        <w:rPr>
          <w:rStyle w:val="Puslapioinaosnuoroda"/>
        </w:rPr>
        <w:footnoteReference w:id="132"/>
      </w:r>
      <w:r w:rsidR="006079F2">
        <w:t xml:space="preserve"> </w:t>
      </w:r>
      <w:r w:rsidR="003E3809" w:rsidRPr="00CE37D0">
        <w:t xml:space="preserve">BPK 2 </w:t>
      </w:r>
      <w:r w:rsidR="00F1235F" w:rsidRPr="00CE37D0">
        <w:t>str</w:t>
      </w:r>
      <w:r w:rsidR="00F1235F">
        <w:t>aipsnyje</w:t>
      </w:r>
      <w:r w:rsidR="003E3809" w:rsidRPr="00CE37D0">
        <w:t xml:space="preserve"> įtvirtinto</w:t>
      </w:r>
      <w:r w:rsidR="003B298F" w:rsidRPr="00CE37D0">
        <w:t>s</w:t>
      </w:r>
      <w:r w:rsidR="003E3809" w:rsidRPr="00CE37D0">
        <w:t xml:space="preserve"> baudžiamojo proceso funkcij</w:t>
      </w:r>
      <w:r w:rsidR="003B298F" w:rsidRPr="00CE37D0">
        <w:t>os</w:t>
      </w:r>
      <w:r w:rsidR="003E3809" w:rsidRPr="00CE37D0">
        <w:t xml:space="preserve"> realizavimas nepriklauso nuo proceso dalyvių nuožiūros. Oficialumo principas baudžiamajame procese pagrindžiamas baudžiamųjų procesinių santykių teorija, pagal kurią padaręs nusikalstamą veiką asmuo turi pareigą prieš valstybę prisiimti atsakomybę už savo veiksmus ir atitinkamas prievartos priemones, kurių taikymas susiaurins jo gėrius ir subjektines teises. </w:t>
      </w:r>
      <w:r w:rsidR="003E3809" w:rsidRPr="00CE37D0">
        <w:rPr>
          <w:vertAlign w:val="superscript"/>
        </w:rPr>
        <w:footnoteReference w:id="133"/>
      </w:r>
      <w:r w:rsidR="006079F2">
        <w:t xml:space="preserve"> </w:t>
      </w:r>
      <w:r w:rsidR="0022654A" w:rsidRPr="00CE37D0">
        <w:t xml:space="preserve">Oficialumas gali būti suprantamas ir negatyviąja prasme: valstybės institucijos negali atsisakyti nuo veiksmų, reikalingų bylai teisingai išspręsti, atlikimo tuo pagrindu, kad to neprašo suinteresuotas asmuo. </w:t>
      </w:r>
      <w:r w:rsidR="0022654A" w:rsidRPr="00CE37D0">
        <w:rPr>
          <w:rStyle w:val="Puslapioinaosnuoroda"/>
        </w:rPr>
        <w:footnoteReference w:id="134"/>
      </w:r>
      <w:r w:rsidR="006079F2">
        <w:t xml:space="preserve"> </w:t>
      </w:r>
      <w:r w:rsidR="003E3809" w:rsidRPr="00CE37D0">
        <w:t xml:space="preserve">Bendros taisyklės išimtis yra privataus ir </w:t>
      </w:r>
      <w:r w:rsidR="00397E48">
        <w:t>privačiai viešo</w:t>
      </w:r>
      <w:r w:rsidR="003E3809" w:rsidRPr="00CE37D0">
        <w:t xml:space="preserve"> kaltinimo procesas, kuris pradedamas tik esant nukentėjusiojo pareiškimui. Tačiau ir šiais atvejais numatyta galimybė prokurorui įstatymo numatytomis sąlygomis pradėti ikiteisminį tyrimą ir nesant </w:t>
      </w:r>
      <w:r w:rsidR="003E3809" w:rsidRPr="00CE37D0">
        <w:lastRenderedPageBreak/>
        <w:t xml:space="preserve">nukentėjusiojo </w:t>
      </w:r>
      <w:r w:rsidR="00ED3323" w:rsidRPr="00CE37D0">
        <w:t xml:space="preserve">skundo (ar jo atstovo </w:t>
      </w:r>
      <w:r w:rsidR="003E3809" w:rsidRPr="00CE37D0">
        <w:t>pareiškimo</w:t>
      </w:r>
      <w:r w:rsidR="00ED3323" w:rsidRPr="00CE37D0">
        <w:t>)</w:t>
      </w:r>
      <w:r w:rsidR="003E3809" w:rsidRPr="00CE37D0">
        <w:t xml:space="preserve">. </w:t>
      </w:r>
      <w:r w:rsidR="00337D50" w:rsidRPr="00CE37D0">
        <w:rPr>
          <w:color w:val="000000"/>
        </w:rPr>
        <w:t>Viešos ir privačios iniciatyvos derinimo pradedant teisinį procesą principas taip pat išreiškia dviejų priešingybių santykį.</w:t>
      </w:r>
      <w:r w:rsidR="006079F2">
        <w:rPr>
          <w:color w:val="000000"/>
        </w:rPr>
        <w:t xml:space="preserve"> </w:t>
      </w:r>
      <w:r w:rsidR="0022654A" w:rsidRPr="00CE37D0">
        <w:t xml:space="preserve">Požiūris į teisę kaip subjektinių teisių ir pareigų vienovę </w:t>
      </w:r>
      <w:r w:rsidR="0022654A" w:rsidRPr="00CE37D0">
        <w:rPr>
          <w:rStyle w:val="Puslapioinaosnuoroda"/>
        </w:rPr>
        <w:footnoteReference w:id="135"/>
      </w:r>
      <w:r w:rsidR="0022654A" w:rsidRPr="00CE37D0">
        <w:t xml:space="preserve"> leidžia </w:t>
      </w:r>
      <w:r w:rsidR="006079F2">
        <w:t>suderinti</w:t>
      </w:r>
      <w:r w:rsidR="0022654A" w:rsidRPr="00CE37D0">
        <w:t xml:space="preserve"> pareigūnų ir valstybinių institucijų pareigą užtikrinti asmens dalyvavimą baudžiamajame procese įstatymo numatytais atvejais ir asmens teisę imtis tokių veiksmų. </w:t>
      </w:r>
      <w:r w:rsidR="0022654A" w:rsidRPr="00CE37D0">
        <w:rPr>
          <w:rStyle w:val="Puslapioinaosnuoroda"/>
        </w:rPr>
        <w:footnoteReference w:id="136"/>
      </w:r>
      <w:r w:rsidR="0022654A" w:rsidRPr="00CE37D0">
        <w:t xml:space="preserve"> Vadinasi, oficialumas ir dispozityvumas baudžiamajame procese gali veikti vienu metu ir vienas kito neriboja. </w:t>
      </w:r>
    </w:p>
    <w:p w:rsidR="003E3809" w:rsidRPr="00CE37D0" w:rsidRDefault="007F4978" w:rsidP="003E3809">
      <w:pPr>
        <w:spacing w:line="360" w:lineRule="auto"/>
        <w:ind w:firstLine="851"/>
        <w:jc w:val="both"/>
      </w:pPr>
      <w:r>
        <w:t>Oficialumo ir dispozityvumo principai, apibrėždami vienas kito reguliuojamojo poveikio ribas, daro įtaką konkrečiam teisiniam reguliavimui</w:t>
      </w:r>
      <w:r w:rsidRPr="00CE37D0">
        <w:t>.</w:t>
      </w:r>
      <w:r w:rsidR="006079F2">
        <w:t xml:space="preserve"> </w:t>
      </w:r>
      <w:r w:rsidR="0022654A">
        <w:t xml:space="preserve">Vienareikšmiškai </w:t>
      </w:r>
      <w:r w:rsidR="009F4B94">
        <w:t xml:space="preserve">negalima </w:t>
      </w:r>
      <w:r w:rsidR="0022654A">
        <w:t xml:space="preserve">teigti, </w:t>
      </w:r>
      <w:r w:rsidR="003E3809" w:rsidRPr="00CE37D0">
        <w:t>kad privataus kaltinimo bylų procesas sud</w:t>
      </w:r>
      <w:r w:rsidR="0022654A">
        <w:t>aro oficialumo principo išimtį</w:t>
      </w:r>
      <w:r w:rsidR="00D5357C">
        <w:t xml:space="preserve">. </w:t>
      </w:r>
      <w:r>
        <w:t>Šioje proceso formoje</w:t>
      </w:r>
      <w:r w:rsidR="006079F2">
        <w:t xml:space="preserve"> </w:t>
      </w:r>
      <w:r w:rsidR="0094680E" w:rsidRPr="00CE37D0">
        <w:t xml:space="preserve">taip pat pasireiškia </w:t>
      </w:r>
      <w:r w:rsidR="003E3809" w:rsidRPr="00CE37D0">
        <w:t xml:space="preserve">oficialumo principas, </w:t>
      </w:r>
      <w:r w:rsidR="0094680E" w:rsidRPr="00CE37D0">
        <w:t>tačiau</w:t>
      </w:r>
      <w:r w:rsidR="006079F2">
        <w:t>,</w:t>
      </w:r>
      <w:r w:rsidR="003E3809" w:rsidRPr="00CE37D0">
        <w:t xml:space="preserve"> lyginant su bendrąja proceso forma, skiriasi jo turinys.</w:t>
      </w:r>
      <w:r w:rsidR="007C235D" w:rsidRPr="00CE37D0">
        <w:t xml:space="preserve"> Pagrindinis oficialumo principo turinio skirtumas privataus ir viešojo kaltinimo procesuose sietinas su kaltinimo funkcijos įgyvendinimu. Dispozityvumo principas dominuoja įgyvendinant privataus kaltinimo funkciją, o viešojo kaltinimo funkcija yra prokuroro pareiga </w:t>
      </w:r>
      <w:r w:rsidR="007C235D" w:rsidRPr="00CE37D0">
        <w:rPr>
          <w:i/>
        </w:rPr>
        <w:t>ex officio</w:t>
      </w:r>
      <w:r w:rsidR="007C235D" w:rsidRPr="00CE37D0">
        <w:t>.</w:t>
      </w:r>
      <w:r w:rsidR="006079F2">
        <w:t xml:space="preserve"> </w:t>
      </w:r>
      <w:r w:rsidR="00C80A0E" w:rsidRPr="00CE37D0">
        <w:t xml:space="preserve">Tačiau </w:t>
      </w:r>
      <w:r w:rsidR="00BB0BAD">
        <w:t>o</w:t>
      </w:r>
      <w:r w:rsidR="003E3809" w:rsidRPr="00CE37D0">
        <w:t>ficialumo principo turinio elementams priskirti</w:t>
      </w:r>
      <w:r w:rsidR="00F325DA" w:rsidRPr="00CE37D0">
        <w:t>na</w:t>
      </w:r>
      <w:r w:rsidR="003E3809" w:rsidRPr="00CE37D0">
        <w:t xml:space="preserve"> ir </w:t>
      </w:r>
      <w:r w:rsidR="00BB0BAD">
        <w:t>teismo</w:t>
      </w:r>
      <w:r w:rsidR="003E3809" w:rsidRPr="00CE37D0">
        <w:t xml:space="preserve"> vykdom</w:t>
      </w:r>
      <w:r w:rsidR="00F325DA" w:rsidRPr="00CE37D0">
        <w:t>a</w:t>
      </w:r>
      <w:r w:rsidR="003E3809" w:rsidRPr="00CE37D0">
        <w:t xml:space="preserve"> privačių asmenų teisių ir interesų apsaug</w:t>
      </w:r>
      <w:r w:rsidR="00F325DA" w:rsidRPr="00CE37D0">
        <w:t>a</w:t>
      </w:r>
      <w:r w:rsidR="00BB0BAD">
        <w:t>.</w:t>
      </w:r>
      <w:r w:rsidR="006079F2">
        <w:t xml:space="preserve"> </w:t>
      </w:r>
      <w:r w:rsidR="003E3809" w:rsidRPr="00CE37D0">
        <w:t>Šiame kontekste oficialumo princip</w:t>
      </w:r>
      <w:r w:rsidR="007467D4">
        <w:t>o įtaka teismo veiklai</w:t>
      </w:r>
      <w:r w:rsidR="003E3809" w:rsidRPr="00CE37D0">
        <w:t xml:space="preserve"> viešojo</w:t>
      </w:r>
      <w:r w:rsidR="006079F2">
        <w:t xml:space="preserve"> </w:t>
      </w:r>
      <w:r w:rsidR="003E3809" w:rsidRPr="00CE37D0">
        <w:t>ir privataus kaltinimo bylų proces</w:t>
      </w:r>
      <w:r w:rsidR="00517A2B" w:rsidRPr="00CE37D0">
        <w:t>uos</w:t>
      </w:r>
      <w:r w:rsidR="003E3809" w:rsidRPr="00CE37D0">
        <w:t>e</w:t>
      </w:r>
      <w:r w:rsidR="007467D4">
        <w:t xml:space="preserve"> yra lygiavertė</w:t>
      </w:r>
      <w:r w:rsidR="003E3809" w:rsidRPr="00CE37D0">
        <w:t>.</w:t>
      </w:r>
    </w:p>
    <w:p w:rsidR="00517A2B" w:rsidRPr="00CE37D0" w:rsidRDefault="00757969" w:rsidP="00517A2B">
      <w:pPr>
        <w:spacing w:line="360" w:lineRule="auto"/>
        <w:ind w:firstLine="851"/>
        <w:jc w:val="both"/>
      </w:pPr>
      <w:r w:rsidRPr="00CE37D0">
        <w:t xml:space="preserve">Privatus interesas </w:t>
      </w:r>
      <w:r w:rsidR="00970CB8">
        <w:t>pasireiški</w:t>
      </w:r>
      <w:r w:rsidR="007C235D" w:rsidRPr="00CE37D0">
        <w:t>a</w:t>
      </w:r>
      <w:r w:rsidRPr="00CE37D0">
        <w:t xml:space="preserve"> baudžiamajame procese tik tais atvejais, kai tai įtvirtinta teisės normose arba joms neprieštarauja, todėl ir dispozityvumas baudžiamajame procese veikia tik įstatymo leidžiamose ribose. Dispozityvumą riboja imperatyvios nuostatos (paliepimai), kurios sudaro baudžiamojo procesinio reguliavimo pamatą.</w:t>
      </w:r>
      <w:r w:rsidR="00762AFC">
        <w:t xml:space="preserve"> </w:t>
      </w:r>
      <w:r w:rsidRPr="00CE37D0">
        <w:rPr>
          <w:rStyle w:val="Puslapioinaosnuoroda"/>
        </w:rPr>
        <w:footnoteReference w:id="137"/>
      </w:r>
      <w:r w:rsidRPr="00CE37D0">
        <w:t xml:space="preserve"> Disponavimo laisvės ribos priklauso nuo įstatyme įtvirtintų apribojimų ir imperatyvių poveikio priemonių, kai to reikalauja valstybės saugumo, visuomeninės tvarkos, asmenų teisių ir interesų apsauga (t.y. viešasis interesas), </w:t>
      </w:r>
      <w:r w:rsidRPr="00CE37D0">
        <w:rPr>
          <w:rStyle w:val="Puslapioinaosnuoroda"/>
        </w:rPr>
        <w:footnoteReference w:id="138"/>
      </w:r>
      <w:r w:rsidRPr="00CE37D0">
        <w:t xml:space="preserve"> taip pat nuo suderinamumo su kitų proceso dalyvių teisėmis. </w:t>
      </w:r>
      <w:r w:rsidR="00517A2B" w:rsidRPr="00CE37D0">
        <w:t xml:space="preserve">Taigi tik iš pirmo žvilgsnio nagrinėjami principai prieštarauja vienas kitam. </w:t>
      </w:r>
      <w:r w:rsidR="000C34EC">
        <w:t>Į</w:t>
      </w:r>
      <w:r w:rsidR="00517A2B" w:rsidRPr="00CE37D0">
        <w:t xml:space="preserve">statyme tiksliai apibrėžtos oficialumo ir dispozityvumo principų veikimo ribos užtikrina jų </w:t>
      </w:r>
      <w:r w:rsidR="000C34EC">
        <w:t>suderinamumą</w:t>
      </w:r>
      <w:r w:rsidR="00517A2B" w:rsidRPr="00CE37D0">
        <w:t xml:space="preserve"> baudžiamajame procese. </w:t>
      </w:r>
    </w:p>
    <w:p w:rsidR="003E3809" w:rsidRPr="00CE37D0" w:rsidRDefault="003E3809" w:rsidP="003E3809">
      <w:pPr>
        <w:spacing w:line="360" w:lineRule="auto"/>
        <w:ind w:firstLine="851"/>
        <w:jc w:val="both"/>
      </w:pPr>
      <w:r w:rsidRPr="00CE37D0">
        <w:t xml:space="preserve">Baudžiamojo ir civilinio proceso doktrinoje plačiai paplitęs požiūris, kad dispozityvumo ir rungimosi principai tarpusavyje yra glaudžiai susiję. Rungimosi principo, kaip šalių įgaliojimų iš </w:t>
      </w:r>
      <w:r w:rsidRPr="00CE37D0">
        <w:lastRenderedPageBreak/>
        <w:t xml:space="preserve">esmės daryti įtaką procesui ir teismo pasyvumo, </w:t>
      </w:r>
      <w:r w:rsidR="00C05854">
        <w:t>turiniui</w:t>
      </w:r>
      <w:r w:rsidR="006079F2">
        <w:t xml:space="preserve"> </w:t>
      </w:r>
      <w:r w:rsidR="00C05854" w:rsidRPr="00CE37D0">
        <w:t xml:space="preserve">priskiriami </w:t>
      </w:r>
      <w:r w:rsidR="00C05854">
        <w:t>ir d</w:t>
      </w:r>
      <w:r w:rsidR="00C05854" w:rsidRPr="00CE37D0">
        <w:t>ispozityvūs elementai</w:t>
      </w:r>
      <w:r w:rsidRPr="00CE37D0">
        <w:t xml:space="preserve">. </w:t>
      </w:r>
      <w:r w:rsidR="00C05854" w:rsidRPr="00CE37D0">
        <w:rPr>
          <w:rStyle w:val="Puslapioinaosnuoroda"/>
        </w:rPr>
        <w:footnoteReference w:id="139"/>
      </w:r>
      <w:r w:rsidR="006079F2">
        <w:t xml:space="preserve"> </w:t>
      </w:r>
      <w:r w:rsidR="00785424" w:rsidRPr="00CE37D0">
        <w:t>M</w:t>
      </w:r>
      <w:r w:rsidR="00DB4ECD">
        <w:t>anytina</w:t>
      </w:r>
      <w:r w:rsidR="00785424" w:rsidRPr="00CE37D0">
        <w:t>,</w:t>
      </w:r>
      <w:r w:rsidR="00DB4ECD">
        <w:t xml:space="preserve"> kad</w:t>
      </w:r>
      <w:r w:rsidRPr="00CE37D0">
        <w:t xml:space="preserve"> rungtyniškumas ir dispozityvumas – savarankiški baudžiamojo proceso principai, turintys skirtingą turinį ir funkcinę paskirtį. Negalima vienareikšmiškai pritarti rungtyninio proceso sąlyginiam ryšiui su dispozityvumu, kadangi viešo kaltinimo bylose procesas taip pat yra rungtyninis, nors ir pagrįstas oficialumo principu. Privataus kaltinimo bylų procese dispozityvumas užtikrina privačiam kaltintojui galimybę disponuoti baudžiamojo proceso dalyku ir </w:t>
      </w:r>
      <w:r w:rsidR="00785424" w:rsidRPr="00CE37D0">
        <w:t>daryti įtaką baudžiamosios bylos eigai</w:t>
      </w:r>
      <w:r w:rsidRPr="00CE37D0">
        <w:t xml:space="preserve"> (proces</w:t>
      </w:r>
      <w:r w:rsidR="00785424" w:rsidRPr="00CE37D0">
        <w:t>ui</w:t>
      </w:r>
      <w:r w:rsidRPr="00CE37D0">
        <w:t xml:space="preserve">). Taigi rungtyninis procesas remiasi gynybos ir kaltinimo šalių lygiateisiškumu procese ginant savo interesus, </w:t>
      </w:r>
      <w:r w:rsidRPr="00CE37D0">
        <w:rPr>
          <w:vertAlign w:val="superscript"/>
        </w:rPr>
        <w:footnoteReference w:id="140"/>
      </w:r>
      <w:r w:rsidRPr="00CE37D0">
        <w:t xml:space="preserve"> o dispozityvumas suponuoja privataus kaltintojo kaltinimo veiklos galimybę. Pagrindines dispozityvumo išraiškas aptinkame teisminio nagrinėjimo stadijoje, o ikiteisminio tyrimo stadijoje kalbame tik apie atskiras dispozityvias teises, tačiau tam tikra apimtimi dispozityvumas gali pasireikšti ir rungtyninio, ir mišraus, ir net tiriamojo modelio procese. </w:t>
      </w:r>
    </w:p>
    <w:p w:rsidR="003E3809" w:rsidRPr="00CE37D0" w:rsidRDefault="003E3809" w:rsidP="007C29D0">
      <w:pPr>
        <w:pStyle w:val="Antrat4"/>
        <w:ind w:firstLine="0"/>
        <w:rPr>
          <w:color w:val="FF0000"/>
        </w:rPr>
      </w:pPr>
      <w:bookmarkStart w:id="67" w:name="_Toc307574196"/>
      <w:bookmarkStart w:id="68" w:name="_Toc333484077"/>
      <w:bookmarkStart w:id="69" w:name="_Toc365498832"/>
      <w:bookmarkStart w:id="70" w:name="_Toc370139895"/>
      <w:r w:rsidRPr="00CE37D0">
        <w:t>2.</w:t>
      </w:r>
      <w:r w:rsidR="00C31F53">
        <w:t>3</w:t>
      </w:r>
      <w:r w:rsidRPr="00CE37D0">
        <w:t>.</w:t>
      </w:r>
      <w:r w:rsidR="00C31F53">
        <w:t>1.</w:t>
      </w:r>
      <w:r w:rsidRPr="00CE37D0">
        <w:t xml:space="preserve"> Dispozityvumo </w:t>
      </w:r>
      <w:r w:rsidR="00C31F53">
        <w:t xml:space="preserve">kaip teisės principo </w:t>
      </w:r>
      <w:r w:rsidRPr="00CE37D0">
        <w:t>samprata</w:t>
      </w:r>
      <w:bookmarkEnd w:id="67"/>
      <w:bookmarkEnd w:id="68"/>
      <w:bookmarkEnd w:id="69"/>
      <w:bookmarkEnd w:id="70"/>
      <w:r w:rsidR="00C31F53">
        <w:t xml:space="preserve"> ir rūšys</w:t>
      </w:r>
    </w:p>
    <w:p w:rsidR="003E3809" w:rsidRPr="00CE37D0" w:rsidRDefault="003E3809" w:rsidP="003E3809">
      <w:pPr>
        <w:spacing w:line="360" w:lineRule="auto"/>
        <w:ind w:firstLine="851"/>
        <w:jc w:val="both"/>
      </w:pPr>
      <w:r w:rsidRPr="00CE37D0">
        <w:t>Analizuojant dispozityvumo sampratą, pirmiausia tikslinga išanalizuoti, kaip dispozityvumas aiškinamas civilinio proceso teisėje. Materialinės civilinės teisės dispozityvumas (</w:t>
      </w:r>
      <w:r w:rsidRPr="00CE37D0">
        <w:rPr>
          <w:i/>
        </w:rPr>
        <w:t>dispono</w:t>
      </w:r>
      <w:r w:rsidRPr="00CE37D0">
        <w:t xml:space="preserve"> (lot.) – disponuoju), t.y. subjektinės civilinės teisės turėtojo išimtinė teisė disponuoti savo teisėmis, paneigia valstybinės apsaugos galimybę, jei to nereikalauja suinteresuota šalis, todėl pažeistų teisių valstybinė gynyba galima</w:t>
      </w:r>
      <w:r w:rsidR="006079F2">
        <w:t>,</w:t>
      </w:r>
      <w:r w:rsidRPr="00CE37D0">
        <w:t xml:space="preserve"> tik jei jos reikalaujama ir tik ta apimtimi ir tomis priemonėmis, kurių pageidauja šalis. </w:t>
      </w:r>
      <w:r w:rsidRPr="00CE37D0">
        <w:rPr>
          <w:vertAlign w:val="superscript"/>
        </w:rPr>
        <w:footnoteReference w:id="141"/>
      </w:r>
      <w:r w:rsidRPr="00CE37D0">
        <w:t xml:space="preserve"> Tokia subjektinių civilinių teisių savybė nulemia ir proceso ypatumus: dispozityvumas pasireiškia ne tik laisvu disponavimu teise kreiptis į teismą, bet ir taikomas šalių teisėms proceso metu. Dispozityvumas iš</w:t>
      </w:r>
      <w:r w:rsidR="006079F2">
        <w:t>plaukia</w:t>
      </w:r>
      <w:r w:rsidRPr="00CE37D0">
        <w:t xml:space="preserve"> iš materialinių teisinių santykių dalyvių autonomijos ir lemia tai, kad įstatymo numatytais atvejais ir įstatymo ribose teismo veikla sąlygojama laisvai formuojama asmenų, turinčių teisinį suinteresuotumą bylos eiga (materialinį teisinį ar procesinį), valia ir iniciatyva. </w:t>
      </w:r>
      <w:r w:rsidRPr="00CE37D0">
        <w:rPr>
          <w:vertAlign w:val="superscript"/>
        </w:rPr>
        <w:footnoteReference w:id="142"/>
      </w:r>
      <w:r w:rsidRPr="00CE37D0">
        <w:t xml:space="preserve"> Dispozityvumas suponuoja tokią proceso sąrangą, kai šalys yra proceso šeimininkai ir gali nulemti proceso pradžią ir pabaigą, apibrėžti ginčo dalyką bei </w:t>
      </w:r>
      <w:r w:rsidRPr="00CE37D0">
        <w:lastRenderedPageBreak/>
        <w:t xml:space="preserve">juo disponuoti savo iniciatyva. </w:t>
      </w:r>
      <w:r w:rsidRPr="00CE37D0">
        <w:rPr>
          <w:vertAlign w:val="superscript"/>
        </w:rPr>
        <w:footnoteReference w:id="143"/>
      </w:r>
      <w:r w:rsidRPr="00CE37D0">
        <w:t xml:space="preserve"> Vokiečių civilinio proceso teisėje šis principas dar vadinamas šalių disponavimo teise principu (</w:t>
      </w:r>
      <w:r w:rsidR="00C7086F" w:rsidRPr="00CE37D0">
        <w:t xml:space="preserve">vok. </w:t>
      </w:r>
      <w:r w:rsidRPr="00CE37D0">
        <w:rPr>
          <w:i/>
        </w:rPr>
        <w:t>der Grundsatz der Verfügungsbefugnis der Parteien</w:t>
      </w:r>
      <w:r w:rsidRPr="00CE37D0">
        <w:t xml:space="preserve">). Taip dispozityvumas gali būti suprantamas ne tik civiliniame procese, bet ir apskritai proceso teisėje. </w:t>
      </w:r>
    </w:p>
    <w:p w:rsidR="003E3809" w:rsidRPr="00CE37D0" w:rsidRDefault="003E3809" w:rsidP="003E3809">
      <w:pPr>
        <w:spacing w:line="360" w:lineRule="auto"/>
        <w:ind w:firstLine="851"/>
        <w:jc w:val="both"/>
      </w:pPr>
      <w:r w:rsidRPr="00CE37D0">
        <w:t xml:space="preserve">Proceso teisėje sutinkamas bendras visų rūšių procesams dispozityvumo apibrėžimas, kuris yra iš esmės teisingas, tačiau mažai informatyvus – teisė (laisvė) bylos teisminio nagrinėjimo eigoje disponuoti pareikštais materialiaisiais teisiniais reikalavimais bei procesinėmis priemonėmis. </w:t>
      </w:r>
      <w:r w:rsidRPr="00CE37D0">
        <w:rPr>
          <w:rStyle w:val="Puslapioinaosnuoroda"/>
        </w:rPr>
        <w:footnoteReference w:id="144"/>
      </w:r>
      <w:r w:rsidRPr="00CE37D0">
        <w:t xml:space="preserve"> Dispozityvumo apibrėžimas kaip „teisė disponuoti teisėmis“ yra tautologiškas, todėl kritikuotinas. Labiau </w:t>
      </w:r>
      <w:r w:rsidR="00A06CBE" w:rsidRPr="00CE37D0">
        <w:t>priimtina</w:t>
      </w:r>
      <w:r w:rsidRPr="00CE37D0">
        <w:t xml:space="preserve"> universali visoms proceso teisės šakoms dispozityvumo samprata konstruojama išskiriant dispozityvumo turinio elementus: tai laisvė bylos teisminio nagrinėjimo eigoje disponuoti materialinėmis teisėmis, ginčas dėl kurių yra teisminio nagrinėjimo dalykas, bei procesinėmis teisėmis, o dispozityvumo principas suprantamas kaip proceso dalyvių, turinčių byloje materialinį teisinį arba procesinį interesą, laisvės disponuoti savo materialinėmis ir procesinėmis teisėmis proceso pradėjimo, eigos ar užbaigimo tikslais ginant savo subjektines teises ir įstatymo saugomus interesus, idėja. </w:t>
      </w:r>
    </w:p>
    <w:p w:rsidR="003E3809" w:rsidRPr="00CE37D0" w:rsidRDefault="003E3809" w:rsidP="003E3809">
      <w:pPr>
        <w:spacing w:line="360" w:lineRule="auto"/>
        <w:ind w:firstLine="851"/>
        <w:jc w:val="both"/>
      </w:pPr>
      <w:r w:rsidRPr="00CE37D0">
        <w:t>Baudžiamojo proceso</w:t>
      </w:r>
      <w:r w:rsidR="00620A25">
        <w:t xml:space="preserve"> teisės</w:t>
      </w:r>
      <w:r w:rsidRPr="00CE37D0">
        <w:t xml:space="preserve"> teorijoje sutinkami dispozityvumo sąvokos apibrėžimai tiksliau atskleidžia dispozityvumo ypatumus baudžiamajame procese, tačiau jie taip pat nėra išsamūs. Dispozityvumą baudžiamajame procese skirtingi mokslininkai mėgino apibrėžti akcentuodami skirtingus turinio ar funkcinius aspektus. </w:t>
      </w:r>
    </w:p>
    <w:p w:rsidR="003E3809" w:rsidRPr="00CE37D0" w:rsidRDefault="00E20457" w:rsidP="003E3809">
      <w:pPr>
        <w:spacing w:line="360" w:lineRule="auto"/>
        <w:ind w:firstLine="851"/>
        <w:jc w:val="both"/>
      </w:pPr>
      <w:r w:rsidRPr="00CE37D0">
        <w:t>L. N. Maslennikova tiria dispozityvumą kaip principą, kuris privačių asmenų valia riboja oficialumo principą ir apibrėžia valstybinės valdžios įsikišimo ribas. D</w:t>
      </w:r>
      <w:r w:rsidR="003E3809" w:rsidRPr="00CE37D0">
        <w:t xml:space="preserve">ispozityvumo esminiu požymiu </w:t>
      </w:r>
      <w:r w:rsidRPr="00CE37D0">
        <w:t xml:space="preserve">šiuo atveju </w:t>
      </w:r>
      <w:r w:rsidR="003E3809" w:rsidRPr="00CE37D0">
        <w:t>laiko</w:t>
      </w:r>
      <w:r w:rsidRPr="00CE37D0">
        <w:t>ma</w:t>
      </w:r>
      <w:r w:rsidR="003E3809" w:rsidRPr="00CE37D0">
        <w:t xml:space="preserve"> šalių autonomij</w:t>
      </w:r>
      <w:r w:rsidRPr="00CE37D0">
        <w:t>a</w:t>
      </w:r>
      <w:r w:rsidR="003E3809" w:rsidRPr="00CE37D0">
        <w:t xml:space="preserve"> nuo valstybinės valdžios baudžiamojoje procesinėje veikloje, suprantamoje ir kaip aktyvumas, ir kaip pasyvumas. </w:t>
      </w:r>
      <w:r w:rsidR="003E3809" w:rsidRPr="00CE37D0">
        <w:rPr>
          <w:vertAlign w:val="superscript"/>
        </w:rPr>
        <w:footnoteReference w:id="145"/>
      </w:r>
      <w:r w:rsidR="006935A3" w:rsidRPr="00CE37D0">
        <w:t xml:space="preserve"> Todėl dispozityvumo samprata aiškinama</w:t>
      </w:r>
      <w:r w:rsidR="003E3809" w:rsidRPr="00CE37D0">
        <w:t xml:space="preserve"> kaip privačių asmenų teisin</w:t>
      </w:r>
      <w:r w:rsidR="006935A3" w:rsidRPr="00CE37D0">
        <w:t>ė</w:t>
      </w:r>
      <w:r w:rsidR="003E3809" w:rsidRPr="00CE37D0">
        <w:t xml:space="preserve"> galimyb</w:t>
      </w:r>
      <w:r w:rsidR="006935A3" w:rsidRPr="00CE37D0">
        <w:t>ė</w:t>
      </w:r>
      <w:r w:rsidR="003E3809" w:rsidRPr="00CE37D0">
        <w:t xml:space="preserve"> atsisakyti bendro veikimo su valstybinės valdžios institucijomis siekiant baudžiamojo proceso tikslų. Remdamasis proceso šalių ir teismo iniciatyvos santykio kriterijumi, A. A. Šamadrinas teigia, kad dispozityvumas suponuoja baudžiamojo proceso pradžios ir vystymosi galimybę tik šalių iniciatyva, kai nepriklausomas, objektyvus ir </w:t>
      </w:r>
      <w:r w:rsidR="00E0371E">
        <w:t>n</w:t>
      </w:r>
      <w:r w:rsidR="003E3809" w:rsidRPr="00CE37D0">
        <w:t xml:space="preserve">ešališkas teismas, padėdamas šalims įgyvendinti savo teises, nepakeičia šalių jų procesinėje veikloje, tačiau </w:t>
      </w:r>
      <w:r w:rsidR="003E3809" w:rsidRPr="00CE37D0">
        <w:lastRenderedPageBreak/>
        <w:t xml:space="preserve">užtikrina jų lygiateisiškumą ir rungtyniškumą įrodinėjimo procese. </w:t>
      </w:r>
      <w:r w:rsidR="003E3809" w:rsidRPr="00CE37D0">
        <w:rPr>
          <w:vertAlign w:val="superscript"/>
        </w:rPr>
        <w:footnoteReference w:id="146"/>
      </w:r>
      <w:r w:rsidR="003E3809" w:rsidRPr="00CE37D0">
        <w:t xml:space="preserve"> Dispozityvum</w:t>
      </w:r>
      <w:r w:rsidR="00D23E51">
        <w:t>o suvokim</w:t>
      </w:r>
      <w:r w:rsidR="003E3809" w:rsidRPr="00CE37D0">
        <w:t>as kaip asmens valios išreiškimo laisvė</w:t>
      </w:r>
      <w:r w:rsidR="00E0371E">
        <w:t>s</w:t>
      </w:r>
      <w:r w:rsidR="003E3809" w:rsidRPr="00CE37D0">
        <w:t xml:space="preserve"> sprendžiant klausimą dėl būtinumo kreiptis valstybės pagalbos </w:t>
      </w:r>
      <w:r w:rsidR="00D23E51">
        <w:t>(per valstybės vardu veikiančias teisėsaugos institucijas)</w:t>
      </w:r>
      <w:r w:rsidR="003E3809" w:rsidRPr="00CE37D0">
        <w:t xml:space="preserve"> ginti pažeistas teises ir teisėtus interesus, ginamus baudžiamojo įstatymo </w:t>
      </w:r>
      <w:r w:rsidR="003E3809" w:rsidRPr="00CE37D0">
        <w:rPr>
          <w:rStyle w:val="Puslapioinaosnuoroda"/>
        </w:rPr>
        <w:footnoteReference w:id="147"/>
      </w:r>
      <w:r w:rsidR="003E3809" w:rsidRPr="00CE37D0">
        <w:t xml:space="preserve"> atspindi tik baudžiamojo proceso iniciatyvos stadijos ypatumą</w:t>
      </w:r>
      <w:r w:rsidR="006079F2">
        <w:t>,</w:t>
      </w:r>
      <w:r w:rsidR="003E3809" w:rsidRPr="00CE37D0">
        <w:t xml:space="preserve"> ir visiškai ignoruoja</w:t>
      </w:r>
      <w:r w:rsidR="00D23E51">
        <w:t>ma</w:t>
      </w:r>
      <w:r w:rsidR="003E3809" w:rsidRPr="00CE37D0">
        <w:t xml:space="preserve"> materiali</w:t>
      </w:r>
      <w:r w:rsidR="00D23E51">
        <w:t>oji</w:t>
      </w:r>
      <w:r w:rsidR="003E3809" w:rsidRPr="00CE37D0">
        <w:t xml:space="preserve"> teis</w:t>
      </w:r>
      <w:r w:rsidR="00D23E51">
        <w:t>ė</w:t>
      </w:r>
      <w:r w:rsidR="003E3809" w:rsidRPr="00CE37D0">
        <w:t xml:space="preserve"> disponuoti kaltinimu. Dispozityvumo samprata kaip baudžiamojo proceso teisės normomis pagrįsta laisvė disponuoti baudžiamojo proceso dalyku, teisėmis ir pareigomis proceso eigoje įstatymo nustatytose ribose </w:t>
      </w:r>
      <w:r w:rsidR="003E3809" w:rsidRPr="00CE37D0">
        <w:rPr>
          <w:rStyle w:val="Puslapioinaosnuoroda"/>
        </w:rPr>
        <w:footnoteReference w:id="148"/>
      </w:r>
      <w:r w:rsidR="003E3809" w:rsidRPr="00CE37D0">
        <w:t xml:space="preserve"> pabrėžia tik dispozityvumo turinį. Šių apibrėžimų trūkumas yra tas, kad </w:t>
      </w:r>
      <w:r w:rsidR="006935A3" w:rsidRPr="00CE37D0">
        <w:t xml:space="preserve">prie dispozityvumo </w:t>
      </w:r>
      <w:r w:rsidR="006A2409" w:rsidRPr="00CE37D0">
        <w:t>element</w:t>
      </w:r>
      <w:r w:rsidR="006935A3" w:rsidRPr="00CE37D0">
        <w:t xml:space="preserve">ų nepriskiriami </w:t>
      </w:r>
      <w:r w:rsidR="003E3809" w:rsidRPr="00CE37D0">
        <w:t xml:space="preserve">dispozityvumo subjektai. A. A. Aleksandrovas, pabrėždamas funkcinį aspektą, dispozityvumą supranta kaip šalių aktyvumą, t.y. būdą </w:t>
      </w:r>
      <w:r w:rsidR="006935A3" w:rsidRPr="00CE37D0">
        <w:t>daryti įtaką</w:t>
      </w:r>
      <w:r w:rsidR="003E3809" w:rsidRPr="00CE37D0">
        <w:t xml:space="preserve"> proceso eig</w:t>
      </w:r>
      <w:r w:rsidR="006935A3" w:rsidRPr="00CE37D0">
        <w:t>ai</w:t>
      </w:r>
      <w:r w:rsidR="003E3809" w:rsidRPr="00CE37D0">
        <w:t xml:space="preserve">. </w:t>
      </w:r>
      <w:r w:rsidR="003E3809" w:rsidRPr="00CE37D0">
        <w:rPr>
          <w:vertAlign w:val="superscript"/>
        </w:rPr>
        <w:footnoteReference w:id="149"/>
      </w:r>
      <w:r w:rsidR="003E3809" w:rsidRPr="00CE37D0">
        <w:t xml:space="preserve"> Tačiau dispozityvumo dinamiškumas neatskleidžia jo esmės, todėl neteisinga sutapatinti dispozityvumo esmę su jo funkciniu vaidmeniu. </w:t>
      </w:r>
      <w:r w:rsidR="003E3809" w:rsidRPr="00CE37D0">
        <w:rPr>
          <w:vertAlign w:val="superscript"/>
        </w:rPr>
        <w:footnoteReference w:id="150"/>
      </w:r>
      <w:r w:rsidR="003E3809" w:rsidRPr="00CE37D0">
        <w:t xml:space="preserve"> Dispozityvumo esmė ir reikšmė pasireiškia ir įtvirtinant suinteresuotų asmenų teisių teisminės apsaugos realumą, lankstumą ir išsamumą. </w:t>
      </w:r>
      <w:r w:rsidR="003E3809" w:rsidRPr="00CE37D0">
        <w:rPr>
          <w:vertAlign w:val="superscript"/>
        </w:rPr>
        <w:footnoteReference w:id="151"/>
      </w:r>
    </w:p>
    <w:p w:rsidR="003E3809" w:rsidRPr="00CE37D0" w:rsidRDefault="00D23E51" w:rsidP="003E3809">
      <w:pPr>
        <w:spacing w:line="360" w:lineRule="auto"/>
        <w:ind w:firstLine="851"/>
        <w:jc w:val="both"/>
      </w:pPr>
      <w:r>
        <w:t>A</w:t>
      </w:r>
      <w:r w:rsidR="003E3809" w:rsidRPr="00CE37D0">
        <w:t>tskiros baudžiamojo proceso dalyvių, ginančių ar atstovaujančių byloje asmeninį interesą, dispozityvios teisės</w:t>
      </w:r>
      <w:r w:rsidR="006079F2">
        <w:t xml:space="preserve"> </w:t>
      </w:r>
      <w:r>
        <w:t>yra dispozityvumo apraiškos formos</w:t>
      </w:r>
      <w:r w:rsidR="003E3809" w:rsidRPr="00CE37D0">
        <w:t xml:space="preserve">. Ne dispozityvios teisės realizavimas konkrečioje byloje, o pats tokios teisės įtvirtinimas įstatyme laikytinas dispozityvumo pasireiškimo forma. </w:t>
      </w:r>
      <w:r w:rsidR="003E3809" w:rsidRPr="00CE37D0">
        <w:rPr>
          <w:vertAlign w:val="superscript"/>
        </w:rPr>
        <w:footnoteReference w:id="152"/>
      </w:r>
      <w:r w:rsidR="003E3809" w:rsidRPr="00CE37D0">
        <w:t xml:space="preserve"> Nors BPK ir neįvardija dispozityvumo principo </w:t>
      </w:r>
      <w:r w:rsidR="003E3809" w:rsidRPr="00CE37D0">
        <w:rPr>
          <w:i/>
        </w:rPr>
        <w:t>expressis verbis</w:t>
      </w:r>
      <w:r w:rsidR="003E3809" w:rsidRPr="00CE37D0">
        <w:t xml:space="preserve">, tačiau jo turinys atskleidžiamas per konkrečias teisės normas, kuriose užfiksuoti proceso dalyvių veiksmai, nukreipti į teisių atsiradimą, pasikeitimą ir pasibaigimą. Dispozityvumo turinį sudaro įgalinimai, susiję su disponavimu materialinėmis teisėmis ir procesinėmis jų apsaugos priemonėmis. Taigi dispozityvumo pasireiškimo baudžiamajame procese forma yra įstatyme įtvirtinta baudžiamojo proceso dalyvio ar kito asmens, atstovaujančio baudžiamojoje byloje asmeninį interesą, dispozityvi teisė. Dispozityvumas turi būti atribojamas nuo galimybės laisvai naudotis subjektinėmis </w:t>
      </w:r>
      <w:r w:rsidR="003E3809" w:rsidRPr="00CE37D0">
        <w:lastRenderedPageBreak/>
        <w:t xml:space="preserve">procesinėmis teisėmis. Dispozityvių teisių atskyrimo nuo viso masyvo baudžiamojo proceso dalyvių procesinių teisių kriterijai yra šie: </w:t>
      </w:r>
    </w:p>
    <w:p w:rsidR="003E3809" w:rsidRPr="00CE37D0" w:rsidRDefault="000B417D" w:rsidP="00755132">
      <w:pPr>
        <w:numPr>
          <w:ilvl w:val="0"/>
          <w:numId w:val="9"/>
        </w:numPr>
        <w:spacing w:line="360" w:lineRule="auto"/>
        <w:ind w:left="0" w:firstLine="851"/>
        <w:jc w:val="both"/>
      </w:pPr>
      <w:r>
        <w:t>T</w:t>
      </w:r>
      <w:r w:rsidR="003E3809" w:rsidRPr="00CE37D0">
        <w:t>eisė yra dispozityvi tik tada, jeigu ją atitinka pareiga atlikti apibrėžtus veiksmus ar nuo jų susilaikyti (pvz.: teisė apskųs</w:t>
      </w:r>
      <w:r w:rsidR="00D23E51">
        <w:t>ti ir pareiga nagrinėti skundą);</w:t>
      </w:r>
    </w:p>
    <w:p w:rsidR="003E3809" w:rsidRPr="00CE37D0" w:rsidRDefault="000B417D" w:rsidP="00755132">
      <w:pPr>
        <w:numPr>
          <w:ilvl w:val="0"/>
          <w:numId w:val="9"/>
        </w:numPr>
        <w:spacing w:line="360" w:lineRule="auto"/>
        <w:ind w:left="0" w:firstLine="851"/>
        <w:jc w:val="both"/>
        <w:rPr>
          <w:i/>
        </w:rPr>
      </w:pPr>
      <w:r>
        <w:t>D</w:t>
      </w:r>
      <w:r w:rsidR="003E3809" w:rsidRPr="00CE37D0">
        <w:t>ispozityvios teisės realizuojamos proceso dalyvių privačių interesų gynimo tikslais</w:t>
      </w:r>
      <w:r w:rsidR="00D23E51">
        <w:t>;</w:t>
      </w:r>
    </w:p>
    <w:p w:rsidR="003E3809" w:rsidRPr="00CE37D0" w:rsidRDefault="000B417D" w:rsidP="00755132">
      <w:pPr>
        <w:numPr>
          <w:ilvl w:val="0"/>
          <w:numId w:val="9"/>
        </w:numPr>
        <w:spacing w:line="360" w:lineRule="auto"/>
        <w:ind w:left="0" w:firstLine="851"/>
        <w:jc w:val="both"/>
      </w:pPr>
      <w:r>
        <w:t>J</w:t>
      </w:r>
      <w:r w:rsidR="003E3809" w:rsidRPr="00CE37D0">
        <w:t>ų realizavimas daro reikšmingą įtaką baudžiamosios bylos eigai.</w:t>
      </w:r>
      <w:r w:rsidR="00762AFC">
        <w:t xml:space="preserve"> </w:t>
      </w:r>
      <w:r w:rsidR="003E3809" w:rsidRPr="00CE37D0">
        <w:rPr>
          <w:rStyle w:val="Puslapioinaosnuoroda"/>
        </w:rPr>
        <w:footnoteReference w:id="153"/>
      </w:r>
    </w:p>
    <w:p w:rsidR="003E3809" w:rsidRPr="00CE37D0" w:rsidRDefault="003E3809" w:rsidP="003E3809">
      <w:pPr>
        <w:spacing w:line="360" w:lineRule="auto"/>
        <w:ind w:firstLine="851"/>
        <w:jc w:val="both"/>
      </w:pPr>
      <w:r w:rsidRPr="00CE37D0">
        <w:t xml:space="preserve">Atribojant dispozityvias teises nuo kitų subjektinių teisių bei formuojant dispozityvumo sampratą, tikslinga apibrėžti asmenų, kurie yra dispozityvumo subjektai, </w:t>
      </w:r>
      <w:r w:rsidR="00A06CBE" w:rsidRPr="00CE37D0">
        <w:t>ratą</w:t>
      </w:r>
      <w:r w:rsidR="00A06CBE" w:rsidRPr="00CE37D0">
        <w:rPr>
          <w:rStyle w:val="Komentaronuoroda"/>
        </w:rPr>
        <w:t>.</w:t>
      </w:r>
      <w:r w:rsidR="00A06CBE" w:rsidRPr="00CE37D0">
        <w:t xml:space="preserve"> Pirmiausia</w:t>
      </w:r>
      <w:r w:rsidRPr="00CE37D0">
        <w:t xml:space="preserve"> išskirsime </w:t>
      </w:r>
      <w:r w:rsidR="00EB7A91">
        <w:t>procesą vykdančius pareigūnus</w:t>
      </w:r>
      <w:r w:rsidRPr="00CE37D0">
        <w:t>, kurie nėra dispozityvumo subjektai. Jų procesinės veiklos pagrindas - viešas</w:t>
      </w:r>
      <w:r w:rsidR="006935A3" w:rsidRPr="00CE37D0">
        <w:t>is</w:t>
      </w:r>
      <w:r w:rsidRPr="00CE37D0">
        <w:t xml:space="preserve"> interesas - paaiškina ir jų disponavimo kaltinimu bei procesinėmis teisėmis laisvės nebuvimą. Kontinentinės teisės šalyse baudžiamojo proceso įstatymai įtvirtina valstybinio kaltinimo monopolį, o viešo</w:t>
      </w:r>
      <w:r w:rsidR="006935A3" w:rsidRPr="00CE37D0">
        <w:t>jo</w:t>
      </w:r>
      <w:r w:rsidRPr="00CE37D0">
        <w:t xml:space="preserve"> intereso atstovavimas yra išimtinė valstybinių institucijų (pirmiausia – prokuroro) teisė ir pareiga. </w:t>
      </w:r>
      <w:r w:rsidRPr="00CE37D0">
        <w:rPr>
          <w:rStyle w:val="Puslapioinaosnuoroda"/>
        </w:rPr>
        <w:footnoteReference w:id="154"/>
      </w:r>
      <w:r w:rsidRPr="00CE37D0">
        <w:t xml:space="preserve"> Valstybės institucijoms ir pareigūnams taikomas princip</w:t>
      </w:r>
      <w:r w:rsidR="006935A3" w:rsidRPr="00CE37D0">
        <w:t xml:space="preserve">as </w:t>
      </w:r>
      <w:r w:rsidR="006079F2">
        <w:t>–</w:t>
      </w:r>
      <w:r w:rsidRPr="00CE37D0">
        <w:t>leidžiama tik tai, kas tiesiogiai numatyt</w:t>
      </w:r>
      <w:r w:rsidR="006935A3" w:rsidRPr="00CE37D0">
        <w:t xml:space="preserve">a Konstitucijoje ir įstatymuose </w:t>
      </w:r>
      <w:r w:rsidR="006079F2">
        <w:t>–</w:t>
      </w:r>
      <w:r w:rsidRPr="00CE37D0">
        <w:t xml:space="preserve"> eliminuoja dispozityvumo ir veiksmų laisvės galimybę. Prokurorų, kaip valstybės pareigūnų, įgaliojimai teisės aktuose negali būti apibūdinami kaip jų subjektinė teisė, kurią jie gali įgyvendinti savo nuožiūra, t. y. kaip tokia teisė, kuria jie gali pasinaudoti arba nepasinaudoti; tokie įgaliojimai - tai ir pareigos, kurias prokurorai ne tik gali, bet ir privalo įgyvendinti, jeigu yra įstatymuose nustatytos sąlygos.</w:t>
      </w:r>
      <w:r w:rsidR="00762AFC">
        <w:t xml:space="preserve"> </w:t>
      </w:r>
      <w:r w:rsidRPr="00CE37D0">
        <w:rPr>
          <w:rStyle w:val="Puslapioinaosnuoroda"/>
        </w:rPr>
        <w:footnoteReference w:id="155"/>
      </w:r>
      <w:r w:rsidRPr="00CE37D0">
        <w:t xml:space="preserve"> BPK numato prokuroro, teismo, ikiteisminio tyrimo pareigūno „teises“, tačiau jų negalima suprasti kaip galimo elgesio pasirinkimo būdo ir priemonės, kadangi šių teisių suteikimo tikslas yra pareigų įgyvendinimo garantijos, t.y. teisės yra pareigų arba suteiktų funkcijų įgyvendinimo priemonės. Asmenys, įstatymų įgalioti (įpareigoti) atstovauti ir ginti viešąjį interesą, materialinio teisinio intereso neturi, tačiau turi procesinį teisinį interesą. </w:t>
      </w:r>
      <w:r w:rsidRPr="00CE37D0">
        <w:rPr>
          <w:rStyle w:val="Puslapioinaosnuoroda"/>
        </w:rPr>
        <w:footnoteReference w:id="156"/>
      </w:r>
      <w:r w:rsidRPr="00CE37D0">
        <w:t xml:space="preserve"> Jų asmeninis suinteresuotumas užkerta kelią dalyvauti procese.</w:t>
      </w:r>
      <w:r w:rsidR="00762AFC">
        <w:t xml:space="preserve"> </w:t>
      </w:r>
      <w:r w:rsidRPr="00CE37D0">
        <w:rPr>
          <w:rStyle w:val="Puslapioinaosnuoroda"/>
        </w:rPr>
        <w:footnoteReference w:id="157"/>
      </w:r>
    </w:p>
    <w:p w:rsidR="003E3809" w:rsidRPr="00CE37D0" w:rsidRDefault="003E3809" w:rsidP="003E3809">
      <w:pPr>
        <w:spacing w:line="360" w:lineRule="auto"/>
        <w:ind w:firstLine="851"/>
        <w:jc w:val="both"/>
      </w:pPr>
      <w:r w:rsidRPr="00CE37D0">
        <w:lastRenderedPageBreak/>
        <w:t xml:space="preserve">Laisvę pasirinkti savo elgesio variantą disponuojant kaltinimu ir procesinėmis teisėmis turi tik privačius interesus ginantys baudžiamojo proceso dalyviai. </w:t>
      </w:r>
      <w:r w:rsidR="006935A3" w:rsidRPr="00CE37D0">
        <w:rPr>
          <w:rStyle w:val="Puslapioinaosnuoroda"/>
        </w:rPr>
        <w:footnoteReference w:id="158"/>
      </w:r>
      <w:r w:rsidRPr="00CE37D0">
        <w:t xml:space="preserve"> Proceso dalyviai, kuriems numatytas šis draudimas</w:t>
      </w:r>
      <w:r w:rsidR="006079F2">
        <w:t>,</w:t>
      </w:r>
      <w:r w:rsidRPr="00CE37D0">
        <w:t xml:space="preserve"> negali disponuoti savo nuožiūra jiems suteiktomis teisėmis, todėl jų asmenini</w:t>
      </w:r>
      <w:r w:rsidR="00DA5A27">
        <w:t>s</w:t>
      </w:r>
      <w:r w:rsidRPr="00CE37D0">
        <w:t xml:space="preserve"> suinteresuotumas byloje gali pakenkti objektyviam jų pareigų įgyvendinimui, ypatingai esant diskrecinėms teisėms. Toks įstatymo leidėjo „saugiklis“ rodo, jog išvardinti asmenys nėra laisvi pasirinkti savo elgesio variantą ir todėl negali būti laikomi dispozityvumo subjektais.  </w:t>
      </w:r>
    </w:p>
    <w:p w:rsidR="003E3809" w:rsidRPr="00CE37D0" w:rsidRDefault="003E3809" w:rsidP="003E3809">
      <w:pPr>
        <w:spacing w:line="360" w:lineRule="auto"/>
        <w:ind w:firstLine="851"/>
        <w:jc w:val="both"/>
      </w:pPr>
      <w:r w:rsidRPr="00CE37D0">
        <w:t xml:space="preserve">Taigi disponavimo laisvės pagrindas ir pagrindinis dispozityvumo subjekto apibrėžties kriterijus yra privatus interesas. Būtina pastebėti, kad privatus asmuo, skirtingai nuo pareigūno, nėra saistomas pareigos vykdyti nusikalstamų veikų baudžiamąjį persekiojimą, todėl jo įgalinimai kaltinamosios veiklos įgyvendinimo sferoje turi būti konstruojami kaip teisė, kuria jis gali disponuoti savo nuožiūra. Tai nulemia, kad privataus kaltintojo statusas suteikia daugiau laisvo apsisprendimo galimybių nei pareigūno statusas. Pirmiausia tai pasireiškia tuo, kad sprendimą įstoti į procesą kaltintojo vaidmenyje privatus asmuo priima išimtinai dispozityviu pagrindu. Neleistinas imperatyvus kaltintojo statuso suteikimas kokiam nors privačiam asmeniui, net jeigu jis ir nukentėjo nuo nusikalstamos veikos. Iš to </w:t>
      </w:r>
      <w:r w:rsidR="00E8594A">
        <w:t>kyla</w:t>
      </w:r>
      <w:r w:rsidR="00E8594A" w:rsidRPr="00CE37D0">
        <w:t xml:space="preserve"> </w:t>
      </w:r>
      <w:r w:rsidRPr="00CE37D0">
        <w:t xml:space="preserve">ir privataus kaltintojo teisė bet kuriuo proceso metu atsisakyti kaltinimo. Privataus kaltintojo teisinio statuso dispozityvumu pagrįstas ir privataus baudžiamojo persekiojimo dalumas, būdingas privataus kaltinimo funkcijai. </w:t>
      </w:r>
      <w:r w:rsidRPr="00CE37D0">
        <w:rPr>
          <w:vertAlign w:val="superscript"/>
        </w:rPr>
        <w:footnoteReference w:id="159"/>
      </w:r>
      <w:r w:rsidRPr="00CE37D0">
        <w:t xml:space="preserve"> Privatus kaltintojas turi teisę iš nusikalstamos veikos viseto išskirti kaltinimą ta apimtimi, kokia jis nori kaltinimą palaikyti (pasirinkti kaltinti tik vieną iš kelių bendrininkų ar tik dėl vienos iš padarytų privataus kaltinimo tvarka </w:t>
      </w:r>
      <w:r w:rsidR="00E0371E">
        <w:t>nagrinė</w:t>
      </w:r>
      <w:r w:rsidRPr="00CE37D0">
        <w:t xml:space="preserve">jamų nusikalstamų veikų). Jis neprivalo persekioti už visas jam žinomas teisei priešingas veikas ir kaltinti visus nusikalstamos veikos bendrininkus, skirtingai nuo valstybinio kaltintojo, kuriam įstatymas numato tokią pareigą. Privataus kaltintojo sprendimų priėmimo laisvė pasireiškia tuo, kad jis realizuoja įgalinimus sutinkamai su savo privačiu interesu dispozityvumo principo pagrindu. </w:t>
      </w:r>
      <w:r w:rsidRPr="00CE37D0">
        <w:rPr>
          <w:vertAlign w:val="superscript"/>
        </w:rPr>
        <w:footnoteReference w:id="160"/>
      </w:r>
    </w:p>
    <w:p w:rsidR="006A2409" w:rsidRPr="00CE37D0" w:rsidRDefault="000C1997" w:rsidP="000C1997">
      <w:pPr>
        <w:spacing w:line="360" w:lineRule="auto"/>
        <w:ind w:firstLine="851"/>
        <w:jc w:val="both"/>
      </w:pPr>
      <w:r w:rsidRPr="00CE37D0">
        <w:t>Neturėtų būti nepagrįstai susiaurinamas dispozityvumo subjektų ratas, ap</w:t>
      </w:r>
      <w:r w:rsidR="005D620A">
        <w:t>si</w:t>
      </w:r>
      <w:r w:rsidRPr="00CE37D0">
        <w:t xml:space="preserve">ribojant tik proceso šalimis, t.y. tik subjektais, kurie turi ir materialųjį, ir procesinį dispozityvumą. </w:t>
      </w:r>
      <w:r w:rsidRPr="00CE37D0">
        <w:rPr>
          <w:rStyle w:val="Puslapioinaosnuoroda"/>
        </w:rPr>
        <w:footnoteReference w:id="161"/>
      </w:r>
      <w:r w:rsidR="00E8594A">
        <w:t xml:space="preserve"> </w:t>
      </w:r>
      <w:r w:rsidR="003E3809" w:rsidRPr="00CE37D0">
        <w:t xml:space="preserve">Privatų </w:t>
      </w:r>
      <w:r w:rsidR="003E3809" w:rsidRPr="00CE37D0">
        <w:lastRenderedPageBreak/>
        <w:t>interesą baudžiamojoje byloje gina ir įtariamasis, kaltinamasis, nuteistasis, išteisintasis, jų gynėjai ir atstovai, nukentėjusysis, civiliniai ieškovai ir atsakovai ar jų atstovai. Šiems proceso dalyviams suteiktos plačios procesinės teisės (bei jas atitinkančios pareigos), leidžiančios aktyviai dalyvauti procese ir v</w:t>
      </w:r>
      <w:r w:rsidR="007467D4">
        <w:t>eikti bylos eigą. Asmeniškai s</w:t>
      </w:r>
      <w:r w:rsidR="003E3809" w:rsidRPr="00CE37D0">
        <w:t xml:space="preserve">uinteresuotu proceso dalyviu laikytinas ir liudytojas, kurio suinteresuotumą savo procesine padėtimi apibūdina poreikis realizuoti procesines teises ar įgyvendinti teisines pareigas. Liudytojas yra </w:t>
      </w:r>
      <w:r w:rsidR="000B417D">
        <w:t>suinteresuotas ginti BPK 81 str</w:t>
      </w:r>
      <w:r w:rsidR="006615BE">
        <w:t>aipsnyje</w:t>
      </w:r>
      <w:r w:rsidR="003E3809" w:rsidRPr="00CE37D0">
        <w:t xml:space="preserve"> ir kitas baudžiamojo proceso įstatyme įtvirtintas teises, arba dar kitaip – reikalauti, kad jis galėtų tinkamai atlikti savo procesines pareigas, legalizuojančias aukščiau minėtas procesines teises. </w:t>
      </w:r>
      <w:r w:rsidR="003E3809" w:rsidRPr="00CE37D0">
        <w:rPr>
          <w:rStyle w:val="Puslapioinaosnuoroda"/>
        </w:rPr>
        <w:footnoteReference w:id="162"/>
      </w:r>
      <w:r w:rsidR="005D620A">
        <w:t xml:space="preserve"> </w:t>
      </w:r>
      <w:r w:rsidR="006A2409" w:rsidRPr="00CE37D0">
        <w:t>Dispozityvumo subjektais gali būti ir kiti asmeninį suinteresuotumą turintys asmenys, nepripažinti nustatyta tvarka baudžiamojo proceso dalyviais (pvz</w:t>
      </w:r>
      <w:r w:rsidR="00E0371E">
        <w:t>.</w:t>
      </w:r>
      <w:r w:rsidR="006A2409" w:rsidRPr="00CE37D0">
        <w:t>, užstato davėjai</w:t>
      </w:r>
      <w:r w:rsidR="00DA5A27">
        <w:t>, asmenys, kurių atžvilgiu taikomos procesinės prievartos priemonės, ir pan.</w:t>
      </w:r>
      <w:r w:rsidR="006A2409" w:rsidRPr="00CE37D0">
        <w:t xml:space="preserve">). </w:t>
      </w:r>
    </w:p>
    <w:p w:rsidR="007467D4" w:rsidRPr="00CE37D0" w:rsidRDefault="003E3809" w:rsidP="007467D4">
      <w:pPr>
        <w:spacing w:line="360" w:lineRule="auto"/>
        <w:ind w:firstLine="851"/>
        <w:jc w:val="both"/>
      </w:pPr>
      <w:r w:rsidRPr="00CE37D0">
        <w:t xml:space="preserve">Apibendrinant darytina išvada, kad asmeninis suinteresuotumas yra dispozityvumo subjekto pagrindinis skiriamasis požymis. Taigi dispozityvumo subjektais baudžiamajame procese gali būti baudžiamojo proceso dalyviai ir kiti asmenys, ginantys byloje </w:t>
      </w:r>
      <w:r w:rsidR="006A2409" w:rsidRPr="00CE37D0">
        <w:t xml:space="preserve">įstatymo pripažintą </w:t>
      </w:r>
      <w:r w:rsidRPr="00CE37D0">
        <w:t xml:space="preserve">asmeninį interesą, </w:t>
      </w:r>
      <w:r w:rsidRPr="00CE37D0">
        <w:rPr>
          <w:vertAlign w:val="superscript"/>
        </w:rPr>
        <w:footnoteReference w:id="163"/>
      </w:r>
      <w:r w:rsidR="008B4D35">
        <w:t xml:space="preserve"> </w:t>
      </w:r>
      <w:r w:rsidRPr="00CE37D0">
        <w:t xml:space="preserve">t.y. tik privatūs asmenys. </w:t>
      </w:r>
    </w:p>
    <w:p w:rsidR="003E3809" w:rsidRPr="00CE37D0" w:rsidRDefault="003E3809" w:rsidP="003E3809">
      <w:pPr>
        <w:spacing w:line="360" w:lineRule="auto"/>
        <w:ind w:firstLine="851"/>
        <w:jc w:val="both"/>
      </w:pPr>
      <w:r w:rsidRPr="00CE37D0">
        <w:t xml:space="preserve">Išnagrinėjus dispozityvumo elementus, </w:t>
      </w:r>
      <w:r w:rsidR="00F05DBF" w:rsidRPr="00CE37D0">
        <w:t xml:space="preserve">galima suformuluoti dispozityvumo baudžiamajame procese sąvoką, kurioje atsispindėtų tiek turinio elementai, tiek funkcinis aspektas. </w:t>
      </w:r>
      <w:r w:rsidRPr="00CE37D0">
        <w:t xml:space="preserve">Dispozityvumas – tai baudžiamojo proceso principas, </w:t>
      </w:r>
      <w:r w:rsidR="00681015" w:rsidRPr="00CE37D0">
        <w:t>veikiantis kaip</w:t>
      </w:r>
      <w:r w:rsidRPr="00CE37D0">
        <w:t xml:space="preserve"> baudžiamojo proceso dalyvi</w:t>
      </w:r>
      <w:r w:rsidR="00681015" w:rsidRPr="00CE37D0">
        <w:t>ų</w:t>
      </w:r>
      <w:r w:rsidRPr="00CE37D0">
        <w:t xml:space="preserve"> ir kit</w:t>
      </w:r>
      <w:r w:rsidR="00681015" w:rsidRPr="00CE37D0">
        <w:t>ų</w:t>
      </w:r>
      <w:r w:rsidRPr="00CE37D0">
        <w:t xml:space="preserve"> asmen</w:t>
      </w:r>
      <w:r w:rsidR="00681015" w:rsidRPr="00CE37D0">
        <w:t>ų</w:t>
      </w:r>
      <w:r w:rsidRPr="00CE37D0">
        <w:t>, ginan</w:t>
      </w:r>
      <w:r w:rsidR="00681015" w:rsidRPr="00CE37D0">
        <w:t>čių</w:t>
      </w:r>
      <w:r w:rsidR="005D620A">
        <w:t xml:space="preserve"> </w:t>
      </w:r>
      <w:r w:rsidR="00681015" w:rsidRPr="00CE37D0">
        <w:t xml:space="preserve">savo </w:t>
      </w:r>
      <w:r w:rsidRPr="00CE37D0">
        <w:t>asmeninį interesą baudžiamojoje byloje, galimyb</w:t>
      </w:r>
      <w:r w:rsidR="005C4069" w:rsidRPr="00CE37D0">
        <w:t>ė</w:t>
      </w:r>
      <w:r w:rsidRPr="00CE37D0">
        <w:t xml:space="preserve"> disponuoti baudžiamojo proceso dalyku (kaltinimu) arba ginčijama materialine teise civilinio ieškinio baudžiamojoje byloje procese, taip pat atstovaujamų interesų gynybos tikslais disponuoti procesinėmis teisėmis, kurių realizavimas daro reikšmingą įtaką baudžiamo</w:t>
      </w:r>
      <w:r w:rsidR="005C4069" w:rsidRPr="00CE37D0">
        <w:t>jo proceso</w:t>
      </w:r>
      <w:r w:rsidRPr="00CE37D0">
        <w:t xml:space="preserve"> eigai. </w:t>
      </w:r>
    </w:p>
    <w:p w:rsidR="003E3809" w:rsidRPr="00CE37D0" w:rsidRDefault="00873774" w:rsidP="007C29D0">
      <w:pPr>
        <w:pStyle w:val="Antrat4"/>
        <w:ind w:firstLine="0"/>
      </w:pPr>
      <w:bookmarkStart w:id="71" w:name="_Toc307574197"/>
      <w:bookmarkStart w:id="72" w:name="_Toc333484078"/>
      <w:bookmarkStart w:id="73" w:name="_Toc365498833"/>
      <w:bookmarkStart w:id="74" w:name="_Toc370139896"/>
      <w:r>
        <w:t>2</w:t>
      </w:r>
      <w:r w:rsidR="003E3809" w:rsidRPr="00CE37D0">
        <w:t>.</w:t>
      </w:r>
      <w:r w:rsidR="00C31F53">
        <w:t>3</w:t>
      </w:r>
      <w:r>
        <w:t>.</w:t>
      </w:r>
      <w:r w:rsidR="00C31F53">
        <w:t>2.</w:t>
      </w:r>
      <w:r w:rsidR="003E3809" w:rsidRPr="00CE37D0">
        <w:t xml:space="preserve"> Material</w:t>
      </w:r>
      <w:r>
        <w:t>a</w:t>
      </w:r>
      <w:r w:rsidR="003E3809" w:rsidRPr="00CE37D0">
        <w:t>us ir procesini</w:t>
      </w:r>
      <w:r>
        <w:t>o</w:t>
      </w:r>
      <w:r w:rsidR="003E3809" w:rsidRPr="00CE37D0">
        <w:t xml:space="preserve"> dispozityvum</w:t>
      </w:r>
      <w:r>
        <w:t>o turiny</w:t>
      </w:r>
      <w:r w:rsidR="003E3809" w:rsidRPr="00CE37D0">
        <w:t>s</w:t>
      </w:r>
      <w:bookmarkEnd w:id="71"/>
      <w:bookmarkEnd w:id="72"/>
      <w:bookmarkEnd w:id="73"/>
      <w:bookmarkEnd w:id="74"/>
    </w:p>
    <w:p w:rsidR="00873774" w:rsidRPr="00CE37D0" w:rsidRDefault="00873774" w:rsidP="00873774">
      <w:pPr>
        <w:spacing w:line="360" w:lineRule="auto"/>
        <w:ind w:firstLine="851"/>
        <w:jc w:val="both"/>
      </w:pPr>
      <w:r w:rsidRPr="00CE37D0">
        <w:t>Siaurąja prasme dispozityvumą sudaro turiningasis ir funkcinis elementai. Dispozityvumas suponuoja laisvę (teisę) disponuoti: ginčo objektu (arba materialinėmis teisėmis) (materialusis arba turiningasis dispozityvumo aspektas) ir procesinėmis priemonėmis (procesinis arba funkcinis dispozityvumo aspektas).</w:t>
      </w:r>
      <w:r w:rsidR="00D9522D">
        <w:t xml:space="preserve"> </w:t>
      </w:r>
      <w:r w:rsidRPr="00CE37D0">
        <w:rPr>
          <w:rStyle w:val="Puslapioinaosnuoroda"/>
        </w:rPr>
        <w:footnoteReference w:id="164"/>
      </w:r>
      <w:r w:rsidRPr="00CE37D0">
        <w:t xml:space="preserve"> Šiame skyriuje bus nagrinėjamas materialaus (turiningojo) ir procesinio (funkcinio) dispozityvumo turinys. </w:t>
      </w:r>
    </w:p>
    <w:p w:rsidR="003E3809" w:rsidRPr="00CE37D0" w:rsidRDefault="006A2409" w:rsidP="003E3809">
      <w:pPr>
        <w:spacing w:line="360" w:lineRule="auto"/>
        <w:ind w:firstLine="851"/>
        <w:jc w:val="both"/>
        <w:rPr>
          <w:rFonts w:ascii="Arial" w:hAnsi="Arial" w:cs="Arial"/>
          <w:color w:val="003366"/>
          <w:sz w:val="22"/>
          <w:szCs w:val="22"/>
        </w:rPr>
      </w:pPr>
      <w:r w:rsidRPr="00CE37D0">
        <w:lastRenderedPageBreak/>
        <w:t xml:space="preserve">Materialųjį dispozityvumą sudaro disponavimas baudžiamojo proceso dalyku (kaltinimu), </w:t>
      </w:r>
      <w:r w:rsidRPr="002933EB">
        <w:t>kuris</w:t>
      </w:r>
      <w:r w:rsidR="005D620A" w:rsidRPr="002933EB">
        <w:t xml:space="preserve"> </w:t>
      </w:r>
      <w:r w:rsidRPr="002933EB">
        <w:t>b</w:t>
      </w:r>
      <w:r w:rsidR="003E3809" w:rsidRPr="002933EB">
        <w:t>audžiamojo proceso teisės moksle siejamas su įgaliojim</w:t>
      </w:r>
      <w:r w:rsidR="002933EB" w:rsidRPr="002933EB">
        <w:t>a</w:t>
      </w:r>
      <w:r w:rsidR="002933EB">
        <w:t>is</w:t>
      </w:r>
      <w:r w:rsidR="003E3809" w:rsidRPr="002933EB">
        <w:t xml:space="preserve"> veikti proceso pradžią, tolesnę eigą ir pabaigą</w:t>
      </w:r>
      <w:r w:rsidR="003E3809" w:rsidRPr="00CE37D0">
        <w:t>.</w:t>
      </w:r>
      <w:r w:rsidR="00D9522D">
        <w:t xml:space="preserve"> </w:t>
      </w:r>
      <w:r w:rsidR="003E3809" w:rsidRPr="00CE37D0">
        <w:rPr>
          <w:rStyle w:val="Puslapioinaosnuoroda"/>
        </w:rPr>
        <w:footnoteReference w:id="165"/>
      </w:r>
      <w:r w:rsidR="003E3809" w:rsidRPr="00CE37D0">
        <w:t xml:space="preserve"> Laisvė disponuoti materialinėmis teisėmis suprantama kaip teisė į ieškinį materialiąja prasme. </w:t>
      </w:r>
      <w:r w:rsidR="003E3809" w:rsidRPr="00CE37D0">
        <w:rPr>
          <w:rStyle w:val="Puslapioinaosnuoroda"/>
        </w:rPr>
        <w:footnoteReference w:id="166"/>
      </w:r>
      <w:r w:rsidR="003E3809" w:rsidRPr="00CE37D0">
        <w:t xml:space="preserve"> Pagrindine materialaus dispozityvumo pasireiškimo sfera baudžiamajame procese yra privataus kaltinimo bylų procesas, kadangi nukentėjusiajam priklauso teisė disponuoti kaltinimu. Taip pat materialusis dispozityvumas pasireiškia galimybe</w:t>
      </w:r>
      <w:r w:rsidR="0006050C">
        <w:t xml:space="preserve"> disponuoti ginčijama materialiąja</w:t>
      </w:r>
      <w:r w:rsidR="003E3809" w:rsidRPr="00CE37D0">
        <w:t xml:space="preserve"> teise civilinio ieškinio baudžiamojoje byloje procese</w:t>
      </w:r>
      <w:r w:rsidRPr="00CE37D0">
        <w:t>, tačiau ši dispozityvumo apraiška nesusijusi su šio tyrimo tema, todėl toliau nebus nagrinėjama</w:t>
      </w:r>
      <w:r w:rsidR="003E3809" w:rsidRPr="00CE37D0">
        <w:t xml:space="preserve">. </w:t>
      </w:r>
    </w:p>
    <w:p w:rsidR="003E3809" w:rsidRPr="00CE37D0" w:rsidRDefault="003E3809" w:rsidP="003E3809">
      <w:pPr>
        <w:spacing w:line="360" w:lineRule="auto"/>
        <w:ind w:firstLine="851"/>
        <w:jc w:val="both"/>
      </w:pPr>
      <w:r w:rsidRPr="00CE37D0">
        <w:t xml:space="preserve">Materialusis dispozityvumas pasireiškia konkrečiomis taisyklėmis. Vadovaujantis klasikine dispozityvumo doktrina civiliniame procese, subjektinių teisių ypatingas bruožas – laisvas disponavimas jomis </w:t>
      </w:r>
      <w:r w:rsidR="007D0637">
        <w:t>–</w:t>
      </w:r>
      <w:r w:rsidRPr="00CE37D0">
        <w:t xml:space="preserve"> nulemia civilinio proceso ypatumus, kurie išreiškiami formulėmis: </w:t>
      </w:r>
      <w:r w:rsidRPr="00CE37D0">
        <w:rPr>
          <w:i/>
        </w:rPr>
        <w:t>invitus agere vel accusare nemo cogitur, nemo iudex sine actore, ne eat iudex ultra petita partium</w:t>
      </w:r>
      <w:r w:rsidRPr="00CE37D0">
        <w:t xml:space="preserve">: </w:t>
      </w:r>
    </w:p>
    <w:p w:rsidR="003E3809" w:rsidRPr="00CE37D0" w:rsidRDefault="000B417D" w:rsidP="00755132">
      <w:pPr>
        <w:numPr>
          <w:ilvl w:val="0"/>
          <w:numId w:val="5"/>
        </w:numPr>
        <w:spacing w:line="360" w:lineRule="auto"/>
        <w:ind w:left="0" w:firstLine="851"/>
        <w:jc w:val="both"/>
        <w:rPr>
          <w:i/>
        </w:rPr>
      </w:pPr>
      <w:r>
        <w:t>K</w:t>
      </w:r>
      <w:r w:rsidR="003E3809" w:rsidRPr="00CE37D0">
        <w:t xml:space="preserve">adangi subjektinės teisės turėtojas gali ja laisvai disponuoti iki proceso ir už proceso ribų, gali net visai nuo jos atsisakyti, tik pats teisės turėtojas sprendžia, kreiptis jam į teismą gynybos ar kentėti savo teisių pažeidimą. Niekas negali būti verčiamas prieš savo valią kreiptis gynybos į teismą: </w:t>
      </w:r>
      <w:r w:rsidR="0006050C">
        <w:rPr>
          <w:i/>
        </w:rPr>
        <w:t>nemo invitus agere cogitur;</w:t>
      </w:r>
    </w:p>
    <w:p w:rsidR="003E3809" w:rsidRPr="00CE37D0" w:rsidRDefault="000B417D" w:rsidP="00755132">
      <w:pPr>
        <w:numPr>
          <w:ilvl w:val="0"/>
          <w:numId w:val="5"/>
        </w:numPr>
        <w:spacing w:line="360" w:lineRule="auto"/>
        <w:ind w:left="0" w:firstLine="851"/>
        <w:jc w:val="both"/>
        <w:rPr>
          <w:i/>
        </w:rPr>
      </w:pPr>
      <w:r>
        <w:t>T</w:t>
      </w:r>
      <w:r w:rsidR="003E3809" w:rsidRPr="00CE37D0">
        <w:t xml:space="preserve">eismas negali pradėti bylos savo ar pašalinio asmens iniciatyva, būtinas paties asmens, kurio teisės pažeistos, pareiškimas teismui. Ši teisinė nuostata išreikšta formule </w:t>
      </w:r>
      <w:r w:rsidR="003E3809" w:rsidRPr="00CE37D0">
        <w:rPr>
          <w:i/>
        </w:rPr>
        <w:t xml:space="preserve">nemo iudex sine actore </w:t>
      </w:r>
      <w:r w:rsidR="00D9522D">
        <w:rPr>
          <w:i/>
        </w:rPr>
        <w:t>(</w:t>
      </w:r>
      <w:r w:rsidR="00D9522D" w:rsidRPr="00D9522D">
        <w:t>vok</w:t>
      </w:r>
      <w:r w:rsidR="00D9522D">
        <w:rPr>
          <w:i/>
        </w:rPr>
        <w:t xml:space="preserve">. </w:t>
      </w:r>
      <w:r w:rsidR="003E3809" w:rsidRPr="00CE37D0">
        <w:rPr>
          <w:i/>
        </w:rPr>
        <w:t>kein Kl</w:t>
      </w:r>
      <w:r w:rsidR="00EB7A91">
        <w:rPr>
          <w:i/>
        </w:rPr>
        <w:t>ä</w:t>
      </w:r>
      <w:r w:rsidR="0006050C">
        <w:rPr>
          <w:i/>
        </w:rPr>
        <w:t>ger, kein Richter</w:t>
      </w:r>
      <w:r w:rsidR="00D9522D">
        <w:rPr>
          <w:i/>
        </w:rPr>
        <w:t>)</w:t>
      </w:r>
      <w:r w:rsidR="0006050C">
        <w:rPr>
          <w:i/>
        </w:rPr>
        <w:t>;</w:t>
      </w:r>
    </w:p>
    <w:p w:rsidR="003E3809" w:rsidRPr="00CE37D0" w:rsidRDefault="000B417D" w:rsidP="00755132">
      <w:pPr>
        <w:numPr>
          <w:ilvl w:val="0"/>
          <w:numId w:val="5"/>
        </w:numPr>
        <w:spacing w:line="360" w:lineRule="auto"/>
        <w:ind w:left="0" w:firstLine="851"/>
        <w:jc w:val="both"/>
        <w:rPr>
          <w:i/>
        </w:rPr>
      </w:pPr>
      <w:r>
        <w:t>T</w:t>
      </w:r>
      <w:r w:rsidR="003E3809" w:rsidRPr="00CE37D0">
        <w:t xml:space="preserve">eisės turėtojas apibrėžia ieškinio dalyką ir pagrindą, pareikštų reikalavimų apimtį, teismo užduotis apsiriboja bylos nagrinėjimu pareikštos pretenzijos rėmuose, teismas negali išeiti už šalių reikalavimų ribų: </w:t>
      </w:r>
      <w:r w:rsidR="003E3809" w:rsidRPr="00CE37D0">
        <w:rPr>
          <w:i/>
        </w:rPr>
        <w:t>ne eat iudex ultra petita partium</w:t>
      </w:r>
      <w:r w:rsidR="003E3809" w:rsidRPr="00CE37D0">
        <w:t xml:space="preserve">. </w:t>
      </w:r>
      <w:r w:rsidR="003E3809" w:rsidRPr="00CE37D0">
        <w:rPr>
          <w:rStyle w:val="Puslapioinaosnuoroda"/>
        </w:rPr>
        <w:footnoteReference w:id="167"/>
      </w:r>
    </w:p>
    <w:p w:rsidR="003E3809" w:rsidRPr="00CE37D0" w:rsidRDefault="003E3809" w:rsidP="003E3809">
      <w:pPr>
        <w:spacing w:line="360" w:lineRule="auto"/>
        <w:ind w:firstLine="851"/>
        <w:jc w:val="both"/>
      </w:pPr>
      <w:r w:rsidRPr="00CE37D0">
        <w:t xml:space="preserve">Teismo proceso kaip vieningo savo prigimtimi instituto nagrinėjimas leidžia šias proceso formules pritaikyti ir šiuolaikiniam baudžiamajam procesui. Panagrinėkime materialiojo dispozityvumo postulatus plačiau. </w:t>
      </w:r>
    </w:p>
    <w:p w:rsidR="003E3809" w:rsidRPr="00CE37D0" w:rsidRDefault="003E3809" w:rsidP="003E3809">
      <w:pPr>
        <w:spacing w:line="360" w:lineRule="auto"/>
        <w:ind w:firstLine="851"/>
        <w:jc w:val="both"/>
      </w:pPr>
      <w:r w:rsidRPr="00CE37D0">
        <w:rPr>
          <w:b/>
        </w:rPr>
        <w:t xml:space="preserve">Niekas negali būti verčiamas prieš savo valią kreiptis gynybos į teismą: </w:t>
      </w:r>
      <w:r w:rsidRPr="00CE37D0">
        <w:rPr>
          <w:b/>
          <w:i/>
        </w:rPr>
        <w:t>Invitus agere vel accusare nemo cogitur</w:t>
      </w:r>
      <w:r w:rsidRPr="00CE37D0">
        <w:rPr>
          <w:b/>
        </w:rPr>
        <w:t xml:space="preserve">. </w:t>
      </w:r>
      <w:r w:rsidRPr="0006050C">
        <w:rPr>
          <w:rStyle w:val="Puslapioinaosnuoroda"/>
        </w:rPr>
        <w:footnoteReference w:id="168"/>
      </w:r>
      <w:r w:rsidR="00D9522D">
        <w:rPr>
          <w:b/>
        </w:rPr>
        <w:t xml:space="preserve"> </w:t>
      </w:r>
      <w:r w:rsidRPr="00CE37D0">
        <w:t xml:space="preserve">Manydamas, kad jo teisės yra pažeistos, nukentėjęs asmuo neprivalo </w:t>
      </w:r>
      <w:r w:rsidRPr="00CE37D0">
        <w:lastRenderedPageBreak/>
        <w:t>kreiptis į teismą ir negali būti verčiamas t</w:t>
      </w:r>
      <w:r w:rsidR="007D0637">
        <w:t>ą</w:t>
      </w:r>
      <w:r w:rsidRPr="00CE37D0">
        <w:t xml:space="preserve"> daryti. Šiuo atveju nukentėjęs </w:t>
      </w:r>
      <w:r w:rsidR="00DD6EFF">
        <w:t xml:space="preserve">asmuo </w:t>
      </w:r>
      <w:r w:rsidRPr="00CE37D0">
        <w:t xml:space="preserve">yra pažeistos subjektinės teisės turėtojas. Teisės turėtojas gali ja laisvai disponuoti, jos atsisakyti, todėl tik </w:t>
      </w:r>
      <w:r w:rsidR="002F2267">
        <w:t>jis pats</w:t>
      </w:r>
      <w:r w:rsidRPr="00CE37D0">
        <w:t xml:space="preserve"> sprendžia, ar kreiptis jam į teismą gynybos, ar pasyviai reaguoti į savo teisių pažeidimą. Kaltinimas kaip kreipimasis dėl teisminės gynybos yra jį įgyvendinančio asmens teisė, o ne pareiga, ginti savo teises niekam neprivaloma ir kaltintojas savo nuožiūra sprendžia, ar kreiptis į teismą. </w:t>
      </w:r>
      <w:r w:rsidRPr="00CE37D0">
        <w:rPr>
          <w:rStyle w:val="Puslapioinaosnuoroda"/>
        </w:rPr>
        <w:footnoteReference w:id="169"/>
      </w:r>
      <w:r w:rsidR="007D0637">
        <w:t xml:space="preserve"> </w:t>
      </w:r>
      <w:r w:rsidR="00C401BD">
        <w:t>Baudžiamajame procese a</w:t>
      </w:r>
      <w:r w:rsidRPr="00CE37D0">
        <w:t xml:space="preserve">iškiausiai tai pasireiškia privataus kaltinimo bylose, kur </w:t>
      </w:r>
      <w:r w:rsidR="00C401BD">
        <w:t xml:space="preserve">teisės turėtojas yra kartu ir kaltinimo subjektas, </w:t>
      </w:r>
      <w:r w:rsidRPr="00CE37D0">
        <w:t>pats sprendžia</w:t>
      </w:r>
      <w:r w:rsidR="00C401BD">
        <w:t>ntis</w:t>
      </w:r>
      <w:r w:rsidRPr="00CE37D0">
        <w:t xml:space="preserve">, ar pasinaudoti teise į teisminę gynybą. Tuo atveju, kai privačiam asmeniui suteikta teisė disponuoti kaltinimu, jam priklauso ir kaltinimo atsisakymo bei susitaikymo teisė. Taigi </w:t>
      </w:r>
      <w:r w:rsidRPr="00CE37D0">
        <w:rPr>
          <w:i/>
        </w:rPr>
        <w:t>invitus agere vel accusare nemo cogitur</w:t>
      </w:r>
      <w:r w:rsidRPr="00CE37D0">
        <w:t xml:space="preserve"> yra taip pat ir privataus kaltinimo bylų proceso instituto baudžiamajame procese postulatas. Viešo bei </w:t>
      </w:r>
      <w:r w:rsidR="00397E48">
        <w:t>privačiai viešo</w:t>
      </w:r>
      <w:r w:rsidRPr="00CE37D0">
        <w:t xml:space="preserve"> kaltinimo bylose ši formuluotė gali būti suprantama ne kaip prokuroro, o kaip valstybės (teisės turėtojo ir kaltinimo subjekto) teisė spręsti, ar bausti ir kokia apimtimi bausti teisės pažeidėją bei tai įtvirtinti teisės aktuose (kriminalizuojant nusikalstamas veikas arba paliekant teisės pažeidimus už baudžiamojo įstatymo veikimo ribų kitų teisės šakų reguliavimui ir toleruojant tokius teisės pažeidimus baudžiamosios justicijos prasme). </w:t>
      </w:r>
      <w:r w:rsidRPr="00CE37D0">
        <w:rPr>
          <w:rStyle w:val="Puslapioinaosnuoroda"/>
        </w:rPr>
        <w:footnoteReference w:id="170"/>
      </w:r>
    </w:p>
    <w:p w:rsidR="003E3809" w:rsidRPr="00CE37D0" w:rsidRDefault="003E3809" w:rsidP="003E3809">
      <w:pPr>
        <w:spacing w:line="360" w:lineRule="auto"/>
        <w:ind w:firstLine="851"/>
        <w:jc w:val="both"/>
      </w:pPr>
      <w:r w:rsidRPr="00CE37D0">
        <w:rPr>
          <w:b/>
        </w:rPr>
        <w:t xml:space="preserve">Teismas negali pradėti bylos savo ar pašalinio asmens iniciatyva. Ši teisinė nuostata išreikšta formule </w:t>
      </w:r>
      <w:r w:rsidRPr="00CE37D0">
        <w:rPr>
          <w:b/>
          <w:i/>
        </w:rPr>
        <w:t xml:space="preserve">nemo iudex sine actore </w:t>
      </w:r>
      <w:r w:rsidR="00982235">
        <w:rPr>
          <w:b/>
          <w:i/>
        </w:rPr>
        <w:t xml:space="preserve">(vok. </w:t>
      </w:r>
      <w:r w:rsidRPr="00CE37D0">
        <w:rPr>
          <w:b/>
          <w:i/>
        </w:rPr>
        <w:t>kein Kläger, kein Richter</w:t>
      </w:r>
      <w:r w:rsidR="00982235">
        <w:rPr>
          <w:b/>
          <w:i/>
        </w:rPr>
        <w:t>)</w:t>
      </w:r>
      <w:r w:rsidRPr="00CE37D0">
        <w:rPr>
          <w:b/>
          <w:i/>
        </w:rPr>
        <w:t xml:space="preserve">. </w:t>
      </w:r>
      <w:r w:rsidRPr="00CE37D0">
        <w:rPr>
          <w:rStyle w:val="Puslapioinaosnuoroda"/>
          <w:b/>
          <w:i/>
        </w:rPr>
        <w:footnoteReference w:id="171"/>
      </w:r>
      <w:r w:rsidRPr="00CE37D0">
        <w:t xml:space="preserve"> Kaltinimo kaip baudžiamojo ieškinio traktavimas </w:t>
      </w:r>
      <w:r w:rsidR="00C401BD">
        <w:rPr>
          <w:rStyle w:val="Puslapioinaosnuoroda"/>
        </w:rPr>
        <w:footnoteReference w:id="172"/>
      </w:r>
      <w:r w:rsidR="007D0637">
        <w:t xml:space="preserve"> </w:t>
      </w:r>
      <w:r w:rsidRPr="00CE37D0">
        <w:t xml:space="preserve">leidžia išplėsti civilinio proceso principo </w:t>
      </w:r>
      <w:r w:rsidRPr="00CE37D0">
        <w:rPr>
          <w:i/>
        </w:rPr>
        <w:t>nemo iudex sine actore</w:t>
      </w:r>
      <w:r w:rsidRPr="00CE37D0">
        <w:t xml:space="preserve"> veikimą baudžiamojo proceso reguliavimo sferoje. Ieškovo teisė disponuoti ieškiniu, neginčijama civilinio proceso teisėje, baudžiamojo ieškinio koncepcijos rėmuose įgauna atitinkamą pritaikymą ir baudžiamajame procese. </w:t>
      </w:r>
      <w:r w:rsidRPr="00CE37D0">
        <w:rPr>
          <w:vertAlign w:val="superscript"/>
        </w:rPr>
        <w:footnoteReference w:id="173"/>
      </w:r>
      <w:r w:rsidRPr="00CE37D0">
        <w:t xml:space="preserve"> Analogišką principą baudžiamajame procese suformulavo dar Ciceronas: </w:t>
      </w:r>
      <w:r w:rsidRPr="00CE37D0">
        <w:rPr>
          <w:i/>
        </w:rPr>
        <w:t>nemo nisi accusatur fuerit, condemnari potest</w:t>
      </w:r>
      <w:r w:rsidRPr="00CE37D0">
        <w:t xml:space="preserve"> (niekas negali būti nuteistas be atitinkamo kaltinimo). </w:t>
      </w:r>
      <w:r w:rsidRPr="00CE37D0">
        <w:rPr>
          <w:rStyle w:val="Puslapioinaosnuoroda"/>
        </w:rPr>
        <w:footnoteReference w:id="174"/>
      </w:r>
      <w:r w:rsidRPr="00CE37D0">
        <w:t xml:space="preserve"> Šis principas galioja visose baudžiamojo proceso stadijose ir visoms bylų kategorijoms, tačiau teismo aktyvumo ribos varijuoja priklausomai nuo dominuojančio baudžiamojo proceso modelio: nuo labai aktyvaus iki visiškai pasyvaus. </w:t>
      </w:r>
      <w:r w:rsidRPr="00CE37D0">
        <w:rPr>
          <w:rStyle w:val="Puslapioinaosnuoroda"/>
        </w:rPr>
        <w:footnoteReference w:id="175"/>
      </w:r>
      <w:r w:rsidR="007D0637">
        <w:t xml:space="preserve"> </w:t>
      </w:r>
      <w:r w:rsidR="002F2267">
        <w:t>Įprastais atvejais t</w:t>
      </w:r>
      <w:r w:rsidRPr="00CE37D0">
        <w:t xml:space="preserve">eismas negali pradėti baudžiamojo proceso savo iniciatyva </w:t>
      </w:r>
      <w:r w:rsidRPr="00CE37D0">
        <w:rPr>
          <w:i/>
        </w:rPr>
        <w:t>sine actore</w:t>
      </w:r>
      <w:r w:rsidRPr="00CE37D0">
        <w:t xml:space="preserve"> ir nagrinėti bylos nesant </w:t>
      </w:r>
      <w:r w:rsidRPr="00CE37D0">
        <w:lastRenderedPageBreak/>
        <w:t>kaltinimo</w:t>
      </w:r>
      <w:r w:rsidR="002F2267">
        <w:t>, ta</w:t>
      </w:r>
      <w:r w:rsidRPr="00CE37D0">
        <w:t xml:space="preserve">ip pat negali vykti procesas nedalyvaujant kaltintojui, o teismas neturi teisės tęsti bylos, jei kaltintojas atsisakė kaltinti. Net teismui nustačius nusikalstamos veikos požymius, savo iniciatyva teismas negali </w:t>
      </w:r>
      <w:r w:rsidR="002F2267">
        <w:t>inicijuoti</w:t>
      </w:r>
      <w:r w:rsidRPr="00CE37D0">
        <w:t xml:space="preserve"> ikiteisminio tyrimo. Teisminis nagrinėjimas galimas tik esant prokuroro kaltinamajam aktui (BPK 220 str</w:t>
      </w:r>
      <w:r w:rsidR="006615BE">
        <w:t>aipsnio</w:t>
      </w:r>
      <w:r w:rsidRPr="00CE37D0">
        <w:t xml:space="preserve"> 1 d</w:t>
      </w:r>
      <w:r w:rsidR="006615BE">
        <w:t>alis</w:t>
      </w:r>
      <w:r w:rsidRPr="00CE37D0">
        <w:t>), pareiškimui dėl proceso užbaigimo teismo baudžiamojo įsakymo tvarka (BPK 418 str</w:t>
      </w:r>
      <w:r w:rsidR="006615BE">
        <w:t>aipsnio</w:t>
      </w:r>
      <w:r w:rsidRPr="00CE37D0">
        <w:t xml:space="preserve"> 2 d</w:t>
      </w:r>
      <w:r w:rsidR="006615BE">
        <w:t>alis</w:t>
      </w:r>
      <w:r w:rsidRPr="00CE37D0">
        <w:t>) ar bylos nagrinėjimo supaprastinto proceso tvarka (BPK 428 str</w:t>
      </w:r>
      <w:r w:rsidR="006615BE">
        <w:t>aipsnio</w:t>
      </w:r>
      <w:r w:rsidRPr="00CE37D0">
        <w:t xml:space="preserve"> 1 d</w:t>
      </w:r>
      <w:r w:rsidR="006615BE">
        <w:t>alis</w:t>
      </w:r>
      <w:r w:rsidRPr="00CE37D0">
        <w:t>)</w:t>
      </w:r>
      <w:r w:rsidR="00E112BF">
        <w:t>, nutarimui dėl priverčiamųjų medicinos priemonių taikymo (BPK 397 straipsnis)</w:t>
      </w:r>
      <w:r w:rsidRPr="00CE37D0">
        <w:t xml:space="preserve"> arba nukentėjusiojo skundui ar jo teisėto atstovo pareiškimui privataus</w:t>
      </w:r>
      <w:r w:rsidR="006615BE">
        <w:t xml:space="preserve"> kaltinimo byloje (BPK 407 straipsnis</w:t>
      </w:r>
      <w:r w:rsidRPr="00CE37D0">
        <w:t>)</w:t>
      </w:r>
      <w:r w:rsidR="006615BE">
        <w:t>.</w:t>
      </w:r>
      <w:r w:rsidRPr="00CE37D0">
        <w:t xml:space="preserve"> Tik esant proceso dalyvių skundams galimas bylos nagrinėjimas apeliacine a</w:t>
      </w:r>
      <w:r w:rsidR="006615BE">
        <w:t>r kasacine tvarka (BPK 320 straipsnio</w:t>
      </w:r>
      <w:r w:rsidRPr="00CE37D0">
        <w:t xml:space="preserve"> 1 d</w:t>
      </w:r>
      <w:r w:rsidR="006615BE">
        <w:t>alis</w:t>
      </w:r>
      <w:r w:rsidRPr="00CE37D0">
        <w:t>, 367 str</w:t>
      </w:r>
      <w:r w:rsidR="006615BE">
        <w:t>aipsnio</w:t>
      </w:r>
      <w:r w:rsidRPr="00CE37D0">
        <w:t xml:space="preserve"> 1 d</w:t>
      </w:r>
      <w:r w:rsidR="006615BE">
        <w:t>alis</w:t>
      </w:r>
      <w:r w:rsidRPr="00CE37D0">
        <w:t>)</w:t>
      </w:r>
      <w:r w:rsidR="00E112BF">
        <w:t>.</w:t>
      </w:r>
      <w:r w:rsidRPr="00CE37D0">
        <w:t xml:space="preserve"> Bylos atnaujinimui dėl naujai paaiškėjusių aplinkybių taip pat reikalinga proceso dalyvių arba prokuroro iniciatyva (BPK 446 str</w:t>
      </w:r>
      <w:r w:rsidR="006615BE">
        <w:t>aipsnio</w:t>
      </w:r>
      <w:r w:rsidRPr="00CE37D0">
        <w:t xml:space="preserve"> 1, 3 d</w:t>
      </w:r>
      <w:r w:rsidR="006615BE">
        <w:t>alys</w:t>
      </w:r>
      <w:r w:rsidRPr="00CE37D0">
        <w:t>, 452 str</w:t>
      </w:r>
      <w:r w:rsidR="006615BE">
        <w:t>aipsnio</w:t>
      </w:r>
      <w:r w:rsidRPr="00CE37D0">
        <w:t xml:space="preserve"> 1 d</w:t>
      </w:r>
      <w:r w:rsidR="006615BE">
        <w:t>alis</w:t>
      </w:r>
      <w:r w:rsidRPr="00CE37D0">
        <w:t>, 457 str</w:t>
      </w:r>
      <w:r w:rsidR="006615BE">
        <w:t>aipsnio</w:t>
      </w:r>
      <w:r w:rsidRPr="00CE37D0">
        <w:t xml:space="preserve"> 1</w:t>
      </w:r>
      <w:r w:rsidR="006615BE">
        <w:t xml:space="preserve"> dalis</w:t>
      </w:r>
      <w:r w:rsidRPr="00CE37D0">
        <w:t xml:space="preserve">). </w:t>
      </w:r>
      <w:r w:rsidR="00E112BF">
        <w:t>Ši</w:t>
      </w:r>
      <w:r w:rsidR="00C81AA2">
        <w:t>o principo kontekste kritikuojam</w:t>
      </w:r>
      <w:r w:rsidR="00E112BF">
        <w:t xml:space="preserve">a </w:t>
      </w:r>
      <w:r w:rsidR="002F2267">
        <w:t>LAT</w:t>
      </w:r>
      <w:r w:rsidR="007D0637">
        <w:t xml:space="preserve"> </w:t>
      </w:r>
      <w:r w:rsidR="002F2267">
        <w:t>p</w:t>
      </w:r>
      <w:r w:rsidRPr="00CE37D0">
        <w:t xml:space="preserve">irmininkui </w:t>
      </w:r>
      <w:r w:rsidR="007D0637">
        <w:t xml:space="preserve">– </w:t>
      </w:r>
      <w:r w:rsidR="00E112BF">
        <w:t>t</w:t>
      </w:r>
      <w:r w:rsidR="00E112BF" w:rsidRPr="00CE37D0">
        <w:t xml:space="preserve">eisminės valdžios atstovui </w:t>
      </w:r>
      <w:r w:rsidR="007D0637">
        <w:t>–</w:t>
      </w:r>
      <w:r w:rsidRPr="00CE37D0">
        <w:t xml:space="preserve"> suteikta teisė pateikti teikimą dėl bylos atnaujinimo dėl akivaizdžiai (aiškiai) netinkamai taikyto baudžiamojo įstatymo ir dėl </w:t>
      </w:r>
      <w:r w:rsidR="002F2267">
        <w:t xml:space="preserve">Jungtinių Tautų žmogaus teisių komiteto arba EŽTT </w:t>
      </w:r>
      <w:r w:rsidRPr="00CE37D0">
        <w:t>sprendimo (BPK 452 s</w:t>
      </w:r>
      <w:r w:rsidR="006615BE">
        <w:t>traipsnio</w:t>
      </w:r>
      <w:r w:rsidRPr="00CE37D0">
        <w:t xml:space="preserve"> 1 d</w:t>
      </w:r>
      <w:r w:rsidR="006615BE">
        <w:t>alis</w:t>
      </w:r>
      <w:r w:rsidRPr="00CE37D0">
        <w:t>, 457 str</w:t>
      </w:r>
      <w:r w:rsidR="006615BE">
        <w:t>aipsnio</w:t>
      </w:r>
      <w:r w:rsidRPr="00CE37D0">
        <w:t xml:space="preserve"> 2 d</w:t>
      </w:r>
      <w:r w:rsidR="006615BE">
        <w:t>alis</w:t>
      </w:r>
      <w:r w:rsidRPr="00CE37D0">
        <w:t>).</w:t>
      </w:r>
      <w:r w:rsidR="00D9522D">
        <w:t xml:space="preserve"> </w:t>
      </w:r>
      <w:r w:rsidRPr="00CE37D0">
        <w:rPr>
          <w:rStyle w:val="Puslapioinaosnuoroda"/>
        </w:rPr>
        <w:footnoteReference w:id="176"/>
      </w:r>
      <w:r w:rsidRPr="00CE37D0">
        <w:t xml:space="preserve"> Tokiu atveju procesą pradėdamas </w:t>
      </w:r>
      <w:r w:rsidRPr="00CE37D0">
        <w:rPr>
          <w:i/>
        </w:rPr>
        <w:t>sine actore</w:t>
      </w:r>
      <w:r w:rsidR="007D0637">
        <w:rPr>
          <w:i/>
        </w:rPr>
        <w:t>,</w:t>
      </w:r>
      <w:r w:rsidRPr="00CE37D0">
        <w:t xml:space="preserve"> teismas imasi kaltintojo funkcijų, o tai pažeidžia teismo nešališkumo bei </w:t>
      </w:r>
      <w:r w:rsidRPr="00CE37D0">
        <w:rPr>
          <w:i/>
        </w:rPr>
        <w:t xml:space="preserve">nemo nisi accusatur fuerit, condemnari potest </w:t>
      </w:r>
      <w:r w:rsidRPr="00CE37D0">
        <w:t>principus.</w:t>
      </w:r>
      <w:r w:rsidR="00D9522D">
        <w:t xml:space="preserve"> </w:t>
      </w:r>
      <w:r w:rsidRPr="00CE37D0">
        <w:rPr>
          <w:rStyle w:val="Puslapioinaosnuoroda"/>
        </w:rPr>
        <w:footnoteReference w:id="177"/>
      </w:r>
    </w:p>
    <w:p w:rsidR="003E3809" w:rsidRPr="00CE37D0" w:rsidRDefault="003E3809" w:rsidP="003E3809">
      <w:pPr>
        <w:spacing w:line="360" w:lineRule="auto"/>
        <w:ind w:firstLine="851"/>
        <w:jc w:val="both"/>
      </w:pPr>
      <w:r w:rsidRPr="00CE37D0">
        <w:rPr>
          <w:b/>
        </w:rPr>
        <w:t xml:space="preserve">Teismas negali </w:t>
      </w:r>
      <w:r w:rsidR="007D0637">
        <w:rPr>
          <w:b/>
        </w:rPr>
        <w:t>peržengti</w:t>
      </w:r>
      <w:r w:rsidRPr="00CE37D0">
        <w:rPr>
          <w:b/>
        </w:rPr>
        <w:t xml:space="preserve"> šalių reikalavimų ribų: </w:t>
      </w:r>
      <w:r w:rsidRPr="00CE37D0">
        <w:rPr>
          <w:b/>
          <w:i/>
        </w:rPr>
        <w:t>ne eat iudex ultra petita partium</w:t>
      </w:r>
      <w:r w:rsidRPr="00CE37D0">
        <w:rPr>
          <w:b/>
        </w:rPr>
        <w:t xml:space="preserve">. </w:t>
      </w:r>
      <w:r w:rsidRPr="00CE37D0">
        <w:t>Teisės turėtojas apibrėžia ieškinio dalyką ir pagrindą, pareikštų reikalavimų apimtį. Teismo užduotis apsiriboja bylos nagrinėjimu pareikštos pretenzijos rėmuose. Ieškovo baudžiamajame procese (kaltintojo) reikalavimai išdėstomi kaltinamajame akte, pareiškime teismui ar nukentėjusiojo skunde ir šie reikalavimai apibrėžia teisminio nagrinėjimo ribas</w:t>
      </w:r>
      <w:r w:rsidR="00C81AA2">
        <w:t>, o teismas, imdamasis iniciatyvos šias ribas keisti, yra saistomas tam tikrų įstatyme numatytų taisyklių.</w:t>
      </w:r>
      <w:r w:rsidRPr="00CE37D0">
        <w:t xml:space="preserve"> Teismas negali pripažinti asmens kaltu pagal kitą baudžiamąjį įstatymą, numatantį sunkesnį nusikaltimą, arba dėl nusikalstamos veikos, kurios faktinės aplinkybės iš esmės skiriasi nuo </w:t>
      </w:r>
      <w:r w:rsidR="007D0637">
        <w:t xml:space="preserve">išdėstytųjų </w:t>
      </w:r>
      <w:r w:rsidRPr="00CE37D0">
        <w:t xml:space="preserve">kaltinamajame akte, jeigu apie tokią galimybę teisiamajame posėdyje </w:t>
      </w:r>
      <w:r w:rsidR="00AA0B66">
        <w:t>kaltinama</w:t>
      </w:r>
      <w:r w:rsidRPr="00CE37D0">
        <w:t>jam nebuvo iš anksto pranešta (p</w:t>
      </w:r>
      <w:r w:rsidR="00E112BF">
        <w:t>a</w:t>
      </w:r>
      <w:r w:rsidRPr="00CE37D0">
        <w:t>v</w:t>
      </w:r>
      <w:r w:rsidR="00E112BF">
        <w:t>yzdžiui</w:t>
      </w:r>
      <w:r w:rsidRPr="00CE37D0">
        <w:t>, inkriminuoti papildomus kvalifikuojančius požymius) (BPK 255 str</w:t>
      </w:r>
      <w:r w:rsidR="006615BE">
        <w:t>aipsnis</w:t>
      </w:r>
      <w:r w:rsidRPr="00CE37D0">
        <w:t>).</w:t>
      </w:r>
      <w:r w:rsidR="00D9522D">
        <w:t xml:space="preserve"> </w:t>
      </w:r>
      <w:r w:rsidR="00A404A5">
        <w:rPr>
          <w:rStyle w:val="Puslapioinaosnuoroda"/>
        </w:rPr>
        <w:footnoteReference w:id="178"/>
      </w:r>
      <w:r w:rsidR="007D0637">
        <w:t xml:space="preserve"> </w:t>
      </w:r>
      <w:r w:rsidR="00E112BF">
        <w:t>B</w:t>
      </w:r>
      <w:r w:rsidRPr="00CE37D0">
        <w:t xml:space="preserve">endras principas </w:t>
      </w:r>
      <w:r w:rsidR="0001072D">
        <w:t>klasikiniame rungtyniniame procese apibrėžia</w:t>
      </w:r>
      <w:r w:rsidRPr="00CE37D0">
        <w:t xml:space="preserve">, kad teismas </w:t>
      </w:r>
      <w:r w:rsidRPr="00CE37D0">
        <w:rPr>
          <w:i/>
        </w:rPr>
        <w:t>ex officio</w:t>
      </w:r>
      <w:r w:rsidRPr="00CE37D0">
        <w:t xml:space="preserve"> negali priimti nuosprendžio</w:t>
      </w:r>
      <w:r w:rsidR="007D0637">
        <w:t>,</w:t>
      </w:r>
      <w:r w:rsidRPr="00CE37D0">
        <w:t xml:space="preserve"> </w:t>
      </w:r>
      <w:r w:rsidR="007D0637">
        <w:t>peržengdamas</w:t>
      </w:r>
      <w:r w:rsidRPr="00CE37D0">
        <w:t xml:space="preserve"> kaltinimo rib</w:t>
      </w:r>
      <w:r w:rsidR="007D0637">
        <w:t>as</w:t>
      </w:r>
      <w:r w:rsidRPr="00CE37D0">
        <w:t xml:space="preserve">, negali pakeisti kaltinimo be kaltintojo prašymo ar inkriminuoti naujas nusikalstamas veikas, paaiškėjusias teisminio nagrinėjimo metu, t.y. pagal </w:t>
      </w:r>
      <w:r w:rsidRPr="00CE37D0">
        <w:rPr>
          <w:i/>
        </w:rPr>
        <w:t>ne eat iudex ultra petita partium</w:t>
      </w:r>
      <w:r w:rsidRPr="00CE37D0">
        <w:t xml:space="preserve"> principą negali keisti faktinių baudžiamojo </w:t>
      </w:r>
      <w:r w:rsidRPr="00CE37D0">
        <w:lastRenderedPageBreak/>
        <w:t xml:space="preserve">ieškinio aplinkybių be ieškovo (kaltintojo) prašymo. Tačiau dominuojantis baudžiamojo proceso modelis ir šiuo atveju gali </w:t>
      </w:r>
      <w:r w:rsidR="00E355F1">
        <w:t>turė</w:t>
      </w:r>
      <w:r w:rsidRPr="00CE37D0">
        <w:t xml:space="preserve">ti išimtis. Susiformavusi </w:t>
      </w:r>
      <w:r w:rsidR="004D086D">
        <w:t>EŽTT</w:t>
      </w:r>
      <w:r w:rsidRPr="00CE37D0">
        <w:t xml:space="preserve"> praktika pripažįsta baudžiamąją bylą nagrinėjančio teismo įgaliojimus savo iniciatyva informuoti kaltinamąjį apie galimą inkriminuojamos nusikalstamos veikos kvalifikacijos pakeitimą neprieštaraujančiais </w:t>
      </w:r>
      <w:r w:rsidR="004D086D">
        <w:t>K</w:t>
      </w:r>
      <w:r w:rsidRPr="00CE37D0">
        <w:t>onvencijoje įtvirtintoms teisėms</w:t>
      </w:r>
      <w:r w:rsidR="002F2267">
        <w:t>,</w:t>
      </w:r>
      <w:r w:rsidR="00D9522D">
        <w:t xml:space="preserve"> </w:t>
      </w:r>
      <w:r w:rsidRPr="00CE37D0">
        <w:rPr>
          <w:rStyle w:val="Puslapioinaosnuoroda"/>
        </w:rPr>
        <w:footnoteReference w:id="179"/>
      </w:r>
      <w:r w:rsidR="002F2267">
        <w:t xml:space="preserve"> o aktyvaus teismo modelis Lietuvos baudžiamajame procese suponuoja </w:t>
      </w:r>
      <w:r w:rsidR="007D0637">
        <w:t xml:space="preserve">plačias </w:t>
      </w:r>
      <w:r w:rsidR="002F2267">
        <w:t>t</w:t>
      </w:r>
      <w:r w:rsidR="00DA6DF1">
        <w:t>eismo diskrecines teises keičiant kaltinimą</w:t>
      </w:r>
      <w:r w:rsidR="0001072D">
        <w:t>, todėl laikantis tam tikrų procedūrų ir sąlygų nukrypstama nuo aptarto teorinio modelio</w:t>
      </w:r>
      <w:r w:rsidR="00DA6DF1">
        <w:t xml:space="preserve">. </w:t>
      </w:r>
    </w:p>
    <w:p w:rsidR="003E3809" w:rsidRPr="00CE37D0" w:rsidRDefault="003E3809" w:rsidP="003E3809">
      <w:pPr>
        <w:spacing w:line="360" w:lineRule="auto"/>
        <w:ind w:firstLine="851"/>
        <w:jc w:val="both"/>
      </w:pPr>
      <w:r w:rsidRPr="00CE37D0">
        <w:t>Galima išskirti materialinio dispozityvumo, t.y. kompleksinės teisės disponuoti baudžiamojo proceso dalyku, elementus</w:t>
      </w:r>
      <w:r w:rsidR="007D0637">
        <w:t>:</w:t>
      </w:r>
      <w:r w:rsidRPr="00CE37D0">
        <w:t xml:space="preserve"> </w:t>
      </w:r>
    </w:p>
    <w:p w:rsidR="003E3809" w:rsidRPr="00CE37D0" w:rsidRDefault="00E2111E" w:rsidP="003E3809">
      <w:pPr>
        <w:spacing w:line="360" w:lineRule="auto"/>
        <w:ind w:firstLine="851"/>
        <w:jc w:val="both"/>
      </w:pPr>
      <w:r>
        <w:t xml:space="preserve">1. </w:t>
      </w:r>
      <w:r w:rsidR="003E3809" w:rsidRPr="00CE37D0">
        <w:t xml:space="preserve">Galimybė savo nuožiūra pradėti procesą baudžiamojoje byloje pasireiškia suteikiant privačiam kaltintojui teisę paduoti skundą teismui. Privataus kaltinimo procese nuo skundo padavimo momento pradedamas baudžiamasis procesas, </w:t>
      </w:r>
      <w:r w:rsidR="007D0637">
        <w:t>taip pat</w:t>
      </w:r>
      <w:r w:rsidR="003E3809" w:rsidRPr="00CE37D0">
        <w:t xml:space="preserve"> ir baudžiamasis persekiojimas, t.y. pagrindinis nukentėjusiojo kreipimosi į teismą tikslas, kadangi, kaip minėta, baudžiamojo ieškinio dalykas yra kalto asmens patraukimas baudžiamojon atsakomybėn. Privataus kaltinimo </w:t>
      </w:r>
      <w:r w:rsidR="00DD1A85" w:rsidRPr="00CE37D0">
        <w:t>proceso inicijavimo</w:t>
      </w:r>
      <w:r w:rsidR="003E3809" w:rsidRPr="00CE37D0">
        <w:t xml:space="preserve"> dispozityvus pobūdis pasireiškia tuo, kad nukentėjusysis turi savarankiškai spręsti klausimą, kaip jis vertina savo pažeistų teisių ir teisėtų interesų svarbą, koks jam padarytos žalos laipsnis ir ar jam reikia kreiptis į teisėsaugos institucijas dėl jam padariusio žalą asmens patraukimo baudžiamojon atsakomybėn. </w:t>
      </w:r>
      <w:r>
        <w:t xml:space="preserve">Baudžiamajame kodekse (toliau – </w:t>
      </w:r>
      <w:r w:rsidR="0010649C">
        <w:t xml:space="preserve">ir </w:t>
      </w:r>
      <w:r w:rsidR="003E3809" w:rsidRPr="00CE37D0">
        <w:t>BK</w:t>
      </w:r>
      <w:r>
        <w:t>)</w:t>
      </w:r>
      <w:r w:rsidR="00D149E5">
        <w:t xml:space="preserve"> </w:t>
      </w:r>
      <w:r w:rsidR="00D149E5">
        <w:rPr>
          <w:rStyle w:val="Puslapioinaosnuoroda"/>
        </w:rPr>
        <w:footnoteReference w:id="180"/>
      </w:r>
      <w:r w:rsidR="003E3809" w:rsidRPr="00CE37D0">
        <w:t xml:space="preserve"> nukentėjusiajam suteikiama daugiau teisių inicijuoti ir įgyvendinti baudžiamąjį persekiojimą, atsižvelgiama į jo nuomonę ir norus. Šią principinę nuostatą V.</w:t>
      </w:r>
      <w:r w:rsidR="007D0637">
        <w:t xml:space="preserve"> </w:t>
      </w:r>
      <w:r w:rsidR="003E3809" w:rsidRPr="00CE37D0">
        <w:t>Piesliakas nagrinėja kaip nukentėjusiojo nuožiūros išplėtimo principą</w:t>
      </w:r>
      <w:r w:rsidR="00DF6510" w:rsidRPr="00CE37D0">
        <w:t>, kuris suprantamas kaip</w:t>
      </w:r>
      <w:r w:rsidR="007D0637">
        <w:t xml:space="preserve"> </w:t>
      </w:r>
      <w:r w:rsidR="00DF6510" w:rsidRPr="00CE37D0">
        <w:t>n</w:t>
      </w:r>
      <w:r w:rsidR="003E3809" w:rsidRPr="00CE37D0">
        <w:t>ukentėjusiojo vaidmens įtvirtin</w:t>
      </w:r>
      <w:r w:rsidR="00E355F1">
        <w:t>i</w:t>
      </w:r>
      <w:r w:rsidR="003E3809" w:rsidRPr="00CE37D0">
        <w:t xml:space="preserve">mas </w:t>
      </w:r>
      <w:r>
        <w:t>plečia</w:t>
      </w:r>
      <w:r w:rsidR="003E3809" w:rsidRPr="00CE37D0">
        <w:t>nt ratą veikų, dėl kurių baudžiamasis persekiojimas pradedamas tik esant nukentėjusiojo skundui (ar jo atstovo pareiškimui), bei išp</w:t>
      </w:r>
      <w:r w:rsidR="00DD1A85" w:rsidRPr="00CE37D0">
        <w:t>l</w:t>
      </w:r>
      <w:r w:rsidR="003E3809" w:rsidRPr="00CE37D0">
        <w:t xml:space="preserve">ečiant teisę nutraukti pradėtą procesą. </w:t>
      </w:r>
      <w:r w:rsidR="003E3809" w:rsidRPr="00CE37D0">
        <w:rPr>
          <w:rStyle w:val="Puslapioinaosnuoroda"/>
        </w:rPr>
        <w:footnoteReference w:id="181"/>
      </w:r>
    </w:p>
    <w:p w:rsidR="003E3809" w:rsidRPr="00CE37D0" w:rsidRDefault="00F5445B" w:rsidP="003E3809">
      <w:pPr>
        <w:spacing w:line="360" w:lineRule="auto"/>
        <w:ind w:firstLine="851"/>
        <w:jc w:val="both"/>
      </w:pPr>
      <w:r w:rsidRPr="00CE37D0">
        <w:t>N</w:t>
      </w:r>
      <w:r w:rsidR="003E3809" w:rsidRPr="00CE37D0">
        <w:t xml:space="preserve">ukentėjusiajam suteikiama teisė atsisakyti </w:t>
      </w:r>
      <w:r w:rsidR="00DF6510" w:rsidRPr="00CE37D0">
        <w:t>inicijuoti</w:t>
      </w:r>
      <w:r w:rsidR="003E3809" w:rsidRPr="00CE37D0">
        <w:t xml:space="preserve"> baudžiamąj</w:t>
      </w:r>
      <w:r w:rsidR="00DF6510" w:rsidRPr="00CE37D0">
        <w:t>į</w:t>
      </w:r>
      <w:r w:rsidR="007D0637">
        <w:t xml:space="preserve"> </w:t>
      </w:r>
      <w:r w:rsidR="00DF6510" w:rsidRPr="00CE37D0">
        <w:t>proces</w:t>
      </w:r>
      <w:r w:rsidRPr="00CE37D0">
        <w:t xml:space="preserve">ą </w:t>
      </w:r>
      <w:r w:rsidR="003E3809" w:rsidRPr="00CE37D0">
        <w:rPr>
          <w:rStyle w:val="Puslapioinaosnuoroda"/>
        </w:rPr>
        <w:footnoteReference w:id="182"/>
      </w:r>
      <w:r w:rsidR="003E3809" w:rsidRPr="00CE37D0">
        <w:t xml:space="preserve"> nėra savarankiška teisė, o tik tos pačios teisės pradėti pr</w:t>
      </w:r>
      <w:r w:rsidR="00DF6510" w:rsidRPr="00CE37D0">
        <w:t>ocesą aiškinimas negatyviąja prasme</w:t>
      </w:r>
      <w:r w:rsidR="003E3809" w:rsidRPr="00CE37D0">
        <w:t xml:space="preserve">. Šios teisės </w:t>
      </w:r>
      <w:r w:rsidR="003E3809" w:rsidRPr="00CE37D0">
        <w:lastRenderedPageBreak/>
        <w:t xml:space="preserve">dispozityvus pobūdis </w:t>
      </w:r>
      <w:r w:rsidR="00DF6510" w:rsidRPr="00CE37D0">
        <w:t xml:space="preserve">gali būti suprantamas pozityviąja prasme kaip asmens </w:t>
      </w:r>
      <w:r w:rsidR="003E3809" w:rsidRPr="00CE37D0">
        <w:t xml:space="preserve">nuožiūra </w:t>
      </w:r>
      <w:r w:rsidR="00DF6510" w:rsidRPr="00CE37D0">
        <w:t>nu</w:t>
      </w:r>
      <w:r w:rsidR="003E3809" w:rsidRPr="00CE37D0">
        <w:t>spręsti pradėti procesą</w:t>
      </w:r>
      <w:r w:rsidR="00DF6510" w:rsidRPr="00CE37D0">
        <w:t xml:space="preserve"> ir imtis pozityvių veiksmų šiai valiai išreikšti</w:t>
      </w:r>
      <w:r w:rsidR="003E3809" w:rsidRPr="00CE37D0">
        <w:t xml:space="preserve"> ar</w:t>
      </w:r>
      <w:r w:rsidR="00DF6510" w:rsidRPr="00CE37D0">
        <w:t>ba negatyviąja prasme</w:t>
      </w:r>
      <w:r w:rsidR="007D0637">
        <w:t xml:space="preserve"> </w:t>
      </w:r>
      <w:r w:rsidR="00DF6510" w:rsidRPr="00CE37D0">
        <w:t>neveikimu išreikšti savo valią nepradėti baudžiamojo proceso.</w:t>
      </w:r>
      <w:r w:rsidR="007D0637">
        <w:t xml:space="preserve"> </w:t>
      </w:r>
      <w:r w:rsidR="00DF6510" w:rsidRPr="00CE37D0">
        <w:t>T</w:t>
      </w:r>
      <w:r w:rsidR="003E3809" w:rsidRPr="00CE37D0">
        <w:t xml:space="preserve">odėl ši teisė </w:t>
      </w:r>
      <w:r w:rsidR="00DA6DF1">
        <w:t>neturėtų</w:t>
      </w:r>
      <w:r w:rsidR="003E3809" w:rsidRPr="00CE37D0">
        <w:t xml:space="preserve"> būti laikoma atskir</w:t>
      </w:r>
      <w:r w:rsidRPr="00CE37D0">
        <w:t>u</w:t>
      </w:r>
      <w:r w:rsidR="007D0637">
        <w:t xml:space="preserve"> </w:t>
      </w:r>
      <w:r w:rsidRPr="00CE37D0">
        <w:t>materialiojo dispozityvumo</w:t>
      </w:r>
      <w:r w:rsidR="003E3809" w:rsidRPr="00CE37D0">
        <w:t xml:space="preserve"> element</w:t>
      </w:r>
      <w:r w:rsidRPr="00CE37D0">
        <w:t>u</w:t>
      </w:r>
      <w:r w:rsidR="003E3809" w:rsidRPr="00CE37D0">
        <w:t xml:space="preserve">. </w:t>
      </w:r>
    </w:p>
    <w:p w:rsidR="003E3809" w:rsidRPr="00CE37D0" w:rsidRDefault="003E3809" w:rsidP="003E3809">
      <w:pPr>
        <w:spacing w:line="360" w:lineRule="auto"/>
        <w:ind w:firstLine="851"/>
        <w:jc w:val="both"/>
      </w:pPr>
      <w:r w:rsidRPr="00CE37D0">
        <w:t xml:space="preserve">Rungtyniniame procese kaltintojui suteikiama dispozityvi teisė atsisakyti jau pareikšto </w:t>
      </w:r>
      <w:r w:rsidR="00DF6510" w:rsidRPr="00CE37D0">
        <w:t xml:space="preserve">kaltinimo bei teisė susitaikyti </w:t>
      </w:r>
      <w:r w:rsidR="00F5445B" w:rsidRPr="00CE37D0">
        <w:t>(</w:t>
      </w:r>
      <w:r w:rsidR="0001072D">
        <w:t xml:space="preserve">pavyzdžiui, kaip numatoma ir </w:t>
      </w:r>
      <w:r w:rsidR="00DF6510" w:rsidRPr="00CE37D0">
        <w:t xml:space="preserve">BPK </w:t>
      </w:r>
      <w:r w:rsidR="00DA6DF1">
        <w:t xml:space="preserve">3 </w:t>
      </w:r>
      <w:r w:rsidR="0001072D">
        <w:t>s</w:t>
      </w:r>
      <w:r w:rsidR="00DA6DF1">
        <w:t xml:space="preserve">traipsnio 1 dalies 5 p., </w:t>
      </w:r>
      <w:r w:rsidR="00DF6510" w:rsidRPr="00CE37D0">
        <w:t>416 str</w:t>
      </w:r>
      <w:r w:rsidR="006615BE">
        <w:t>aipsn</w:t>
      </w:r>
      <w:r w:rsidR="0001072D">
        <w:t>yje</w:t>
      </w:r>
      <w:r w:rsidR="00DF6510" w:rsidRPr="00CE37D0">
        <w:t>)</w:t>
      </w:r>
      <w:r w:rsidRPr="00CE37D0">
        <w:t xml:space="preserve"> </w:t>
      </w:r>
      <w:r w:rsidR="001E665C">
        <w:t>yra</w:t>
      </w:r>
      <w:r w:rsidRPr="00CE37D0">
        <w:t xml:space="preserve"> būtinos dispozityvumo baudžiamajame procese sąlygos. </w:t>
      </w:r>
      <w:r w:rsidR="00810807">
        <w:t xml:space="preserve">Nuo </w:t>
      </w:r>
      <w:r w:rsidRPr="00CE37D0">
        <w:t>šalių</w:t>
      </w:r>
      <w:r w:rsidR="00810807">
        <w:t xml:space="preserve"> valios priklauso, kokiu būdu išspręsti konflikt</w:t>
      </w:r>
      <w:r w:rsidRPr="00CE37D0">
        <w:t xml:space="preserve">ą: teismo sprendimu, bendru susitarimu ar teismo priimtu atsisakymu nuo skundo. Šalys turi vieningą teisę, realizuojamą išimtinai bendru sutarimu – teisę į taikų konflikto sureguliavimą. </w:t>
      </w:r>
      <w:r w:rsidR="005E6527" w:rsidRPr="00CE37D0">
        <w:t xml:space="preserve">Teisingumo negalima įgyvendinti </w:t>
      </w:r>
      <w:r w:rsidR="005E6527" w:rsidRPr="00CE37D0">
        <w:rPr>
          <w:i/>
        </w:rPr>
        <w:t>ad absurdum</w:t>
      </w:r>
      <w:r w:rsidR="005E6527" w:rsidRPr="00CE37D0">
        <w:t>, suteikiant jam privalomą pobūdį išimtinai privačių interesų srityje</w:t>
      </w:r>
      <w:r w:rsidR="00982235">
        <w:t>,</w:t>
      </w:r>
      <w:r w:rsidR="00D9522D">
        <w:t xml:space="preserve"> </w:t>
      </w:r>
      <w:r w:rsidR="005E6527" w:rsidRPr="00CE37D0">
        <w:rPr>
          <w:rStyle w:val="Puslapioinaosnuoroda"/>
        </w:rPr>
        <w:footnoteReference w:id="183"/>
      </w:r>
      <w:r w:rsidR="005E6527">
        <w:t xml:space="preserve"> todėl tiesa nustatinėjama tiek ir tol, kol to siekia šalys, gindamos savo privačius interesus. </w:t>
      </w:r>
      <w:r w:rsidRPr="00CE37D0">
        <w:t>Dispozityvumas suponuoja negalimumą ieškoti tiesos privataus kaltinimo byloje, kai šalys nebereiškia noro toliau aiškintis konfliktą</w:t>
      </w:r>
      <w:r w:rsidR="005E6527">
        <w:t>, tačiau praktikoje teorinis modelis įgyja kitokį turinį ir Lietuvos baudžiamajame procese yra koreguojamas aktyvaus teismo doktrina</w:t>
      </w:r>
      <w:r w:rsidRPr="00CE37D0">
        <w:t xml:space="preserve">. </w:t>
      </w:r>
    </w:p>
    <w:p w:rsidR="003E3809" w:rsidRPr="00CE37D0" w:rsidRDefault="00E2111E" w:rsidP="003E3809">
      <w:pPr>
        <w:spacing w:line="360" w:lineRule="auto"/>
        <w:ind w:firstLine="851"/>
        <w:jc w:val="both"/>
        <w:rPr>
          <w:color w:val="FF0000"/>
        </w:rPr>
      </w:pPr>
      <w:r>
        <w:t xml:space="preserve">2. </w:t>
      </w:r>
      <w:r w:rsidR="003E3809" w:rsidRPr="00CE37D0">
        <w:t>Kitas dispozityvumo elementas suprantamas kaip teisė laisvai disponuoti procesinėmis teisėmis. Disponuoti materiali</w:t>
      </w:r>
      <w:r w:rsidR="00E112BF">
        <w:t>osiomis</w:t>
      </w:r>
      <w:r w:rsidR="003E3809" w:rsidRPr="00CE37D0">
        <w:t xml:space="preserve"> teisėmis galima tik turint specialiai</w:t>
      </w:r>
      <w:r w:rsidR="00C52EBA">
        <w:t xml:space="preserve"> numatytas procesines priemones</w:t>
      </w:r>
      <w:r w:rsidR="00C52EBA" w:rsidRPr="00C52EBA">
        <w:t>, taigi p</w:t>
      </w:r>
      <w:r w:rsidR="003E3809" w:rsidRPr="00C52EBA">
        <w:t xml:space="preserve">rocesinio </w:t>
      </w:r>
      <w:r w:rsidR="003E3809" w:rsidRPr="00CE37D0">
        <w:t xml:space="preserve">dispozityvumo sąvoka apibūdina </w:t>
      </w:r>
      <w:r w:rsidR="00C52EBA">
        <w:t>dispozityvumo funkcinį vaidmenį</w:t>
      </w:r>
      <w:r w:rsidR="003E3809" w:rsidRPr="00CE37D0">
        <w:t xml:space="preserve">. </w:t>
      </w:r>
    </w:p>
    <w:p w:rsidR="003E3809" w:rsidRPr="00CE37D0" w:rsidRDefault="003E3809" w:rsidP="003E3809">
      <w:pPr>
        <w:spacing w:line="360" w:lineRule="auto"/>
        <w:ind w:firstLine="851"/>
        <w:jc w:val="both"/>
      </w:pPr>
      <w:r w:rsidRPr="00CE37D0">
        <w:t>CPK 13 str</w:t>
      </w:r>
      <w:r w:rsidR="006615BE">
        <w:t>aipsnis</w:t>
      </w:r>
      <w:r w:rsidRPr="00CE37D0">
        <w:t xml:space="preserve"> apibrėžia dispozityvumo principą tik procesinio dispozityvumo prasme: šalys ir kiti proceso dalyviai turi teisę laisvai disponuoti joms priklausančiomis procesinėmis teisėmis. Dalyvaudami procese ginčijamo material</w:t>
      </w:r>
      <w:r w:rsidR="00E112BF">
        <w:t>aus</w:t>
      </w:r>
      <w:r w:rsidR="001E665C">
        <w:t xml:space="preserve"> </w:t>
      </w:r>
      <w:r w:rsidR="00E112BF">
        <w:t xml:space="preserve">teisinio </w:t>
      </w:r>
      <w:r w:rsidRPr="00CE37D0">
        <w:t xml:space="preserve">santykio subjektai išsaugo </w:t>
      </w:r>
      <w:r w:rsidR="00E112BF">
        <w:t>teisę disponuoti savo materialiąja</w:t>
      </w:r>
      <w:r w:rsidRPr="00CE37D0">
        <w:t xml:space="preserve"> teise, esančia teisminio nagrinėjimo dalyku, taigi tokiu atveju kalbama apie disponavimą materiali</w:t>
      </w:r>
      <w:r w:rsidR="00E112BF">
        <w:t>ąj</w:t>
      </w:r>
      <w:r w:rsidRPr="00CE37D0">
        <w:t xml:space="preserve">a teise, nors tai ir daroma procesinėmis priemonėmis. Štai R. </w:t>
      </w:r>
      <w:r w:rsidR="00D9522D">
        <w:t>Jė</w:t>
      </w:r>
      <w:r w:rsidRPr="00CE37D0">
        <w:t xml:space="preserve">ringas manė, kad bet kokia teisė turi būti pasiekta kova, nes teisė – jėgos kategorija. </w:t>
      </w:r>
      <w:r w:rsidRPr="00CE37D0">
        <w:rPr>
          <w:rStyle w:val="Puslapioinaosnuoroda"/>
        </w:rPr>
        <w:footnoteReference w:id="184"/>
      </w:r>
      <w:r w:rsidRPr="00CE37D0">
        <w:t xml:space="preserve"> Taigi proceso teisė gali būti suprantama kaip materialio</w:t>
      </w:r>
      <w:r w:rsidR="00E112BF">
        <w:t>sio</w:t>
      </w:r>
      <w:r w:rsidRPr="00CE37D0">
        <w:t>s teisės įgyvendinimo priemonė.</w:t>
      </w:r>
    </w:p>
    <w:p w:rsidR="003E3809" w:rsidRPr="00CE37D0" w:rsidRDefault="002A266E" w:rsidP="003E3809">
      <w:pPr>
        <w:spacing w:line="360" w:lineRule="auto"/>
        <w:ind w:firstLine="851"/>
        <w:jc w:val="both"/>
      </w:pPr>
      <w:r>
        <w:t>Procesinis</w:t>
      </w:r>
      <w:r w:rsidR="003E3809" w:rsidRPr="00CE37D0">
        <w:t xml:space="preserve"> dispozityvumas baudžiamajame procese siejamas su </w:t>
      </w:r>
      <w:r>
        <w:t>baudžiamojo proceso dalyvių</w:t>
      </w:r>
      <w:r w:rsidRPr="00CE37D0">
        <w:t xml:space="preserve"> ir kit</w:t>
      </w:r>
      <w:r>
        <w:t>ų</w:t>
      </w:r>
      <w:r w:rsidRPr="00CE37D0">
        <w:t xml:space="preserve"> suinteresuot</w:t>
      </w:r>
      <w:r>
        <w:t>ų asmenų asmeninių interesų gynyba įgyvendinant</w:t>
      </w:r>
      <w:r w:rsidR="001E665C">
        <w:t xml:space="preserve"> </w:t>
      </w:r>
      <w:r w:rsidR="003E3809" w:rsidRPr="00CE37D0">
        <w:t>procesin</w:t>
      </w:r>
      <w:r>
        <w:t>es</w:t>
      </w:r>
      <w:r w:rsidR="003E3809" w:rsidRPr="00CE37D0">
        <w:t xml:space="preserve"> teis</w:t>
      </w:r>
      <w:r>
        <w:t>es</w:t>
      </w:r>
      <w:r w:rsidR="003E3809" w:rsidRPr="00CE37D0">
        <w:t>, kurių realizavimas nesusijęs su disponavimu baudžiamojo proceso dalyku</w:t>
      </w:r>
      <w:r w:rsidR="008C07DE">
        <w:t xml:space="preserve"> (kaltinimu)</w:t>
      </w:r>
      <w:r w:rsidR="003E3809" w:rsidRPr="00CE37D0">
        <w:t xml:space="preserve">. </w:t>
      </w:r>
      <w:r w:rsidR="003E3809" w:rsidRPr="00CE37D0">
        <w:rPr>
          <w:rStyle w:val="Puslapioinaosnuoroda"/>
        </w:rPr>
        <w:footnoteReference w:id="185"/>
      </w:r>
      <w:r w:rsidR="003E3809" w:rsidRPr="00CE37D0">
        <w:t xml:space="preserve"> Kaltinimo </w:t>
      </w:r>
      <w:r w:rsidR="003E3809" w:rsidRPr="00CE37D0">
        <w:lastRenderedPageBreak/>
        <w:t xml:space="preserve">ar gynybos pusėje dalyvaujantiems asmenims tai visų pirma galimybė, panaudojant savo procesines teises, ginti savo poziciją baudžiamojoje byloje, efektyviai įgyvendinti baudžiamojo proceso funkciją. </w:t>
      </w:r>
    </w:p>
    <w:p w:rsidR="007F5055" w:rsidRDefault="003E3809" w:rsidP="007F5055">
      <w:pPr>
        <w:spacing w:line="360" w:lineRule="auto"/>
        <w:ind w:firstLine="851"/>
        <w:jc w:val="both"/>
      </w:pPr>
      <w:r w:rsidRPr="00CE37D0">
        <w:t>Vadovaujantis klasikine doktrina ir procesinį dispozityvumą kildinant iš materialių subjektinių teisių ypatumų, procesinio dispozityvumo kaip material</w:t>
      </w:r>
      <w:r w:rsidR="00E112BF">
        <w:t>iojo</w:t>
      </w:r>
      <w:r w:rsidRPr="00CE37D0">
        <w:t xml:space="preserve"> dispozityvumo tęsinio samprata nekelia didesnių prieštaravimų. </w:t>
      </w:r>
      <w:r w:rsidRPr="00CE37D0">
        <w:rPr>
          <w:rStyle w:val="Puslapioinaosnuoroda"/>
        </w:rPr>
        <w:footnoteReference w:id="186"/>
      </w:r>
      <w:r w:rsidRPr="00CE37D0">
        <w:t xml:space="preserve"> Procesinis dispozityvumas laikomas materialių</w:t>
      </w:r>
      <w:r w:rsidR="001922EB">
        <w:t>jų</w:t>
      </w:r>
      <w:r w:rsidRPr="00CE37D0">
        <w:t xml:space="preserve"> teisinių santykių dispozityvumo padariniu, kadangi asmenys</w:t>
      </w:r>
      <w:r w:rsidR="001E665C">
        <w:t>,</w:t>
      </w:r>
      <w:r w:rsidRPr="00CE37D0">
        <w:t xml:space="preserve"> buvę laisvi materialiuosiuose santykiuose, turi turėti tokią galimybę ir esant procesiniams santykiams. </w:t>
      </w:r>
      <w:r w:rsidRPr="00CE37D0">
        <w:rPr>
          <w:rStyle w:val="Puslapioinaosnuoroda"/>
        </w:rPr>
        <w:footnoteReference w:id="187"/>
      </w:r>
      <w:r w:rsidRPr="00CE37D0">
        <w:t xml:space="preserve"> Tačiau baudžiamajame procese toks požiūris nepaaiškina dispozityvumo veikimo ir yra per siauras. Dispozityvumo ištakų, dispozityvių teisių požymių bei dispozityvumo subjektų analizė leidžia teigti, jog procesinis ir material</w:t>
      </w:r>
      <w:r w:rsidR="00E112BF">
        <w:t>u</w:t>
      </w:r>
      <w:r w:rsidRPr="00CE37D0">
        <w:t>s</w:t>
      </w:r>
      <w:r w:rsidR="00E112BF">
        <w:t>is</w:t>
      </w:r>
      <w:r w:rsidRPr="00CE37D0">
        <w:t xml:space="preserve"> dispozityvumas gali būti visiškai savarankiškos kategorijos. Baudžiamojo proceso dalyviai, nesantys materiali</w:t>
      </w:r>
      <w:r w:rsidR="00E112BF">
        <w:t>oj</w:t>
      </w:r>
      <w:r w:rsidRPr="00CE37D0">
        <w:t xml:space="preserve">o dispozityvumo </w:t>
      </w:r>
      <w:r w:rsidR="001922EB">
        <w:t xml:space="preserve">(disponavimo kaltinimu) </w:t>
      </w:r>
      <w:r w:rsidRPr="00CE37D0">
        <w:t>subjektais, gali disponuoti procesinėmis teisėmis.</w:t>
      </w:r>
      <w:r w:rsidR="001922EB">
        <w:t xml:space="preserve"> Taigi p</w:t>
      </w:r>
      <w:r w:rsidR="001922EB" w:rsidRPr="00CE37D0">
        <w:t>rocesinis dispozityvumas baudžiamajame procese nelaikytinas neatsiejama material</w:t>
      </w:r>
      <w:r w:rsidR="001922EB">
        <w:t>iojo</w:t>
      </w:r>
      <w:r w:rsidR="001922EB" w:rsidRPr="00CE37D0">
        <w:t xml:space="preserve"> dispozityvumo tąsa, kadangi </w:t>
      </w:r>
      <w:r w:rsidR="001922EB">
        <w:t>t</w:t>
      </w:r>
      <w:r w:rsidR="001922EB" w:rsidRPr="00CE37D0">
        <w:t xml:space="preserve">uri skirtingas ištakas bei gali pasireikšti savarankiškai. </w:t>
      </w:r>
      <w:r w:rsidRPr="00CE37D0">
        <w:t>P</w:t>
      </w:r>
      <w:r w:rsidR="001922EB">
        <w:t>a</w:t>
      </w:r>
      <w:r w:rsidRPr="00CE37D0">
        <w:t>v</w:t>
      </w:r>
      <w:r w:rsidR="001922EB">
        <w:t>y</w:t>
      </w:r>
      <w:r w:rsidRPr="00CE37D0">
        <w:t>z</w:t>
      </w:r>
      <w:r w:rsidR="001922EB">
        <w:t>džiui,</w:t>
      </w:r>
      <w:r w:rsidRPr="00CE37D0">
        <w:t xml:space="preserve"> liudytojas nėra material</w:t>
      </w:r>
      <w:r w:rsidR="00E112BF">
        <w:t>iojo</w:t>
      </w:r>
      <w:r w:rsidRPr="00CE37D0">
        <w:t xml:space="preserve"> dispozityvumo subjektas, bet disponuoja procesinėmis teisėmis, gind</w:t>
      </w:r>
      <w:r w:rsidR="001922EB">
        <w:t>amas savo asmeninius interesus,</w:t>
      </w:r>
      <w:r w:rsidRPr="00CE37D0">
        <w:t xml:space="preserve"> atsisakydamas duoti parodymus prieš įtariamą nusikalstamos veikos padarymu šeimos narį ar artimą giminaitį (BPK 82 str</w:t>
      </w:r>
      <w:r w:rsidR="006615BE">
        <w:t>aipsnio 2 dalis</w:t>
      </w:r>
      <w:r w:rsidRPr="00CE37D0">
        <w:t xml:space="preserve">). </w:t>
      </w:r>
    </w:p>
    <w:p w:rsidR="007F5055" w:rsidRDefault="00D70A5D" w:rsidP="007F5055">
      <w:pPr>
        <w:spacing w:line="360" w:lineRule="auto"/>
        <w:ind w:firstLine="851"/>
        <w:jc w:val="both"/>
      </w:pPr>
      <w:r w:rsidRPr="00CE37D0">
        <w:t>Procesinio dispozityvumo pasireiškimo formų baudžiamajame procese yra daug. Formoms, išreikštoms disponavimu procesinėmis teisėmis ir pareigomis, būdinga tai, kad įstatymų leidėjas suteikia proceso dalyviams nuožiūros laisvę įgyvendinant įstatymu suteiktas teises ir vykdant pareigas. Prie procesinio dispozityvumo formų priskirtin</w:t>
      </w:r>
      <w:r w:rsidR="001E665C">
        <w:t>i</w:t>
      </w:r>
      <w:r w:rsidR="001922EB">
        <w:t xml:space="preserve"> </w:t>
      </w:r>
      <w:r w:rsidR="007F5055">
        <w:t>baudžiamojo įsakymo priėmimo</w:t>
      </w:r>
      <w:r w:rsidR="001E665C">
        <w:t xml:space="preserve"> </w:t>
      </w:r>
      <w:r w:rsidRPr="00CE37D0">
        <w:t xml:space="preserve">procesas, procesas apeliacinėje ir kasacinėje instancijose, </w:t>
      </w:r>
      <w:r w:rsidR="007F5055">
        <w:t>sutrumpintas</w:t>
      </w:r>
      <w:r w:rsidR="007F5055" w:rsidRPr="00CE37D0">
        <w:t xml:space="preserve"> įrodymų tyrim</w:t>
      </w:r>
      <w:r w:rsidR="007F5055">
        <w:t>as</w:t>
      </w:r>
      <w:r w:rsidR="007F5055" w:rsidRPr="00CE37D0">
        <w:t xml:space="preserve">, </w:t>
      </w:r>
      <w:r w:rsidRPr="00CE37D0">
        <w:t xml:space="preserve">proceso </w:t>
      </w:r>
      <w:r w:rsidR="00E112BF">
        <w:t>nutrauki</w:t>
      </w:r>
      <w:r w:rsidRPr="00CE37D0">
        <w:t>mas, suti</w:t>
      </w:r>
      <w:r w:rsidR="007F5055">
        <w:t>nkant proceso dalyviams, liudijim</w:t>
      </w:r>
      <w:r w:rsidRPr="00CE37D0">
        <w:t>o imunitetas</w:t>
      </w:r>
      <w:r w:rsidRPr="00CE37D0">
        <w:rPr>
          <w:i/>
        </w:rPr>
        <w:t>.</w:t>
      </w:r>
      <w:r w:rsidR="001E665C">
        <w:rPr>
          <w:i/>
        </w:rPr>
        <w:t xml:space="preserve"> </w:t>
      </w:r>
      <w:r w:rsidR="003E3809" w:rsidRPr="00CE37D0">
        <w:t xml:space="preserve">Pagrindinis bruožas, apibūdinantis procesines teises, kurios yra procesinio dispozityvumo pasireiškimo forma, yra bendra visoms dispozityviomis teisėms savybė – reikšmingai veikti baudžiamosios bylos eigą. </w:t>
      </w:r>
    </w:p>
    <w:p w:rsidR="003E3809" w:rsidRPr="00527F20" w:rsidRDefault="00527F20" w:rsidP="003E3809">
      <w:pPr>
        <w:spacing w:line="360" w:lineRule="auto"/>
        <w:ind w:firstLine="851"/>
        <w:jc w:val="both"/>
      </w:pPr>
      <w:r w:rsidRPr="00527F20">
        <w:t>Taigi dispozityvumas</w:t>
      </w:r>
      <w:r>
        <w:t xml:space="preserve"> kaip teisės principas, turintis reguliuojamąjį poveikį, konkuruodamas su oficialumo principu, modeliuoja privataus kaltinimo bylų proceso teisinį reguliavimą ir nulemia jo ypatumus, kuriems šiame disertaciniame tyrime ir skiriamas didžiausias dėmesys. </w:t>
      </w:r>
    </w:p>
    <w:p w:rsidR="003E3809" w:rsidRPr="00CE37D0" w:rsidRDefault="00E272A5" w:rsidP="00E272A5">
      <w:pPr>
        <w:pStyle w:val="Antrat1"/>
        <w:spacing w:before="0" w:after="0" w:line="360" w:lineRule="auto"/>
        <w:jc w:val="both"/>
      </w:pPr>
      <w:bookmarkStart w:id="75" w:name="_Toc307574200"/>
      <w:bookmarkStart w:id="76" w:name="_Toc333484081"/>
      <w:bookmarkStart w:id="77" w:name="_Toc365498836"/>
      <w:bookmarkStart w:id="78" w:name="_Toc370139899"/>
      <w:bookmarkStart w:id="79" w:name="_Toc400321679"/>
      <w:r>
        <w:lastRenderedPageBreak/>
        <w:t>3.</w:t>
      </w:r>
      <w:r w:rsidR="001E665C">
        <w:t xml:space="preserve"> </w:t>
      </w:r>
      <w:r w:rsidR="003E3809" w:rsidRPr="00CE37D0">
        <w:t xml:space="preserve">Privataus kaltinimo bylų proceso </w:t>
      </w:r>
      <w:bookmarkEnd w:id="75"/>
      <w:bookmarkEnd w:id="76"/>
      <w:bookmarkEnd w:id="77"/>
      <w:r w:rsidR="00A02C70" w:rsidRPr="00CE37D0">
        <w:t>teorini</w:t>
      </w:r>
      <w:r w:rsidR="00D26B44">
        <w:t>ai</w:t>
      </w:r>
      <w:r w:rsidR="00A02C70" w:rsidRPr="00CE37D0">
        <w:t xml:space="preserve"> pagrind</w:t>
      </w:r>
      <w:bookmarkEnd w:id="78"/>
      <w:r w:rsidR="00D26B44">
        <w:t>ai</w:t>
      </w:r>
      <w:bookmarkEnd w:id="79"/>
    </w:p>
    <w:p w:rsidR="003E3809" w:rsidRPr="00CE37D0" w:rsidRDefault="003E3809" w:rsidP="003E3809">
      <w:pPr>
        <w:autoSpaceDE w:val="0"/>
        <w:autoSpaceDN w:val="0"/>
        <w:adjustRightInd w:val="0"/>
        <w:spacing w:line="360" w:lineRule="auto"/>
        <w:ind w:firstLine="851"/>
        <w:jc w:val="both"/>
      </w:pPr>
      <w:r w:rsidRPr="00CE37D0">
        <w:t>Nusikalstama veika suardo visuomeninę tvarką, pažeidžia individams, visuomenei, valstybei svarbias vertybes ir sukelia konfliktą tarp nukentėjusio</w:t>
      </w:r>
      <w:r w:rsidR="00E355F1">
        <w:t xml:space="preserve"> asmens</w:t>
      </w:r>
      <w:r w:rsidRPr="00CE37D0">
        <w:t xml:space="preserve"> ir kaltininko, nukentėjusio</w:t>
      </w:r>
      <w:r w:rsidR="00E355F1">
        <w:t xml:space="preserve"> asmens</w:t>
      </w:r>
      <w:r w:rsidRPr="00CE37D0">
        <w:t xml:space="preserve"> ir valstybės bei kaltininko ir valstybės interesų</w:t>
      </w:r>
      <w:r w:rsidR="00DE5294">
        <w:t>, todėl</w:t>
      </w:r>
      <w:r w:rsidR="001E665C">
        <w:t xml:space="preserve"> </w:t>
      </w:r>
      <w:r w:rsidR="005E6527">
        <w:t>tais atvejais, kai įmanoma,</w:t>
      </w:r>
      <w:r w:rsidR="001E665C">
        <w:t xml:space="preserve"> </w:t>
      </w:r>
      <w:r w:rsidR="00DE5294">
        <w:t>v</w:t>
      </w:r>
      <w:r w:rsidRPr="00CE37D0">
        <w:t xml:space="preserve">alstybė yra suinteresuota </w:t>
      </w:r>
      <w:r w:rsidR="0050737D" w:rsidRPr="00CE37D0">
        <w:t>teisinių santykių subjektų interesų konfliktą</w:t>
      </w:r>
      <w:r w:rsidR="00DE5294">
        <w:t xml:space="preserve"> išspręsti </w:t>
      </w:r>
      <w:r w:rsidRPr="00CE37D0">
        <w:t xml:space="preserve">atkuriant iki konflikto buvusią tvarką, pusiausvyrą, t.y. atlyginant, pašalinant žalą ir kitaip neutralizuojant nusikalstamos veikos sukeltus žalingus padarinius. </w:t>
      </w:r>
      <w:r w:rsidRPr="00CE37D0">
        <w:rPr>
          <w:rStyle w:val="Puslapioinaosnuoroda"/>
        </w:rPr>
        <w:footnoteReference w:id="188"/>
      </w:r>
      <w:r w:rsidR="001E665C">
        <w:t xml:space="preserve"> </w:t>
      </w:r>
      <w:r w:rsidR="005E6527">
        <w:t>„</w:t>
      </w:r>
      <w:r w:rsidRPr="00CE37D0">
        <w:rPr>
          <w:i/>
        </w:rPr>
        <w:t>Teisės socialinis vaidmuo pasireiškia tuo, kad ji veikia kaip socialinis reguliatorius užtikrinant tiek viešųjų ir privačių interesų pusiausvyrą, tiek asmenų, jų grupių privačių interesų suderinimą</w:t>
      </w:r>
      <w:r w:rsidR="005E6527">
        <w:rPr>
          <w:i/>
        </w:rPr>
        <w:t>“</w:t>
      </w:r>
      <w:r w:rsidRPr="00CE37D0">
        <w:rPr>
          <w:i/>
        </w:rPr>
        <w:t xml:space="preserve">. </w:t>
      </w:r>
      <w:r w:rsidRPr="00CE37D0">
        <w:rPr>
          <w:rStyle w:val="Puslapioinaosnuoroda"/>
        </w:rPr>
        <w:footnoteReference w:id="189"/>
      </w:r>
      <w:r w:rsidRPr="00CE37D0">
        <w:t xml:space="preserve"> Privataus kaltinimo institutas yra </w:t>
      </w:r>
      <w:r w:rsidR="0050737D" w:rsidRPr="00CE37D0">
        <w:t xml:space="preserve">viena iš </w:t>
      </w:r>
      <w:r w:rsidRPr="00CE37D0">
        <w:t>teisės socialinio vaidmens įgyvendinimo priemon</w:t>
      </w:r>
      <w:r w:rsidR="0050737D" w:rsidRPr="00CE37D0">
        <w:t>ių</w:t>
      </w:r>
      <w:r w:rsidRPr="00CE37D0">
        <w:t>. Valstybė, siekdama kuo efektyviau sureguliuoti asmeninius konfliktus, kurių pasekmės patenka į baudžiamosios teisės reguliavimo sferą, numatė proceso formą, kurios pagrindinis tikslas yra ne kaltojo asmens nubaudimas, o konfliktuojančių šalių sutaikymas. Tiek reguliavimo metodu, tiek tikslais privatus kaltinimas yra unikalus institutas baudžiamojo proceso teisėje. Nukentėjusiajam suteikiamas aktyvus vaidmuo ir inicijuoti</w:t>
      </w:r>
      <w:r w:rsidR="0050737D" w:rsidRPr="00CE37D0">
        <w:t xml:space="preserve"> procesą</w:t>
      </w:r>
      <w:r w:rsidRPr="00CE37D0">
        <w:t xml:space="preserve">, ir </w:t>
      </w:r>
      <w:r w:rsidR="00DE5294">
        <w:t>lem</w:t>
      </w:r>
      <w:r w:rsidRPr="00CE37D0">
        <w:t>ti baudžiamojo proceso eigą</w:t>
      </w:r>
      <w:r w:rsidR="0050737D" w:rsidRPr="00CE37D0">
        <w:t>, n</w:t>
      </w:r>
      <w:r w:rsidRPr="00CE37D0">
        <w:t xml:space="preserve">uo nukentėjusiojo valios priklauso kaltininkui kylančių teisinių pasekmių pobūdis. Privatus kaltinimas, kaip privataus konflikto išsprendimo būdas baudžiamosiomis teisinėmis priemonėmis, atlieka svarbų socialinį vaidmenį atkuriant teisinę tvarką, kuri buvo pažeista nusikalstama veika. </w:t>
      </w:r>
      <w:r w:rsidRPr="00CE37D0">
        <w:rPr>
          <w:rStyle w:val="Puslapioinaosnuoroda"/>
          <w:rFonts w:ascii="TimesNewRomanPSMT" w:hAnsi="TimesNewRomanPSMT" w:cs="TimesNewRomanPSMT"/>
        </w:rPr>
        <w:footnoteReference w:id="190"/>
      </w:r>
    </w:p>
    <w:p w:rsidR="003E3809" w:rsidRPr="00CE37D0" w:rsidRDefault="003E3809" w:rsidP="003E3809">
      <w:pPr>
        <w:spacing w:line="360" w:lineRule="auto"/>
        <w:ind w:firstLine="851"/>
        <w:jc w:val="both"/>
      </w:pPr>
      <w:r w:rsidRPr="00CE37D0">
        <w:t xml:space="preserve">Baudžiamojo proceso </w:t>
      </w:r>
      <w:r w:rsidR="00DE5294">
        <w:t>literatūroje privatus kaltinimas</w:t>
      </w:r>
      <w:r w:rsidRPr="00CE37D0">
        <w:t xml:space="preserve"> nagrinėja</w:t>
      </w:r>
      <w:r w:rsidR="00DE5294">
        <w:t>mas</w:t>
      </w:r>
      <w:r w:rsidRPr="00CE37D0">
        <w:t xml:space="preserve"> įvairiais aspektais.</w:t>
      </w:r>
      <w:r w:rsidR="001E665C">
        <w:t xml:space="preserve"> </w:t>
      </w:r>
      <w:r w:rsidR="009A4821">
        <w:t>Privataus kaltinimo teisės</w:t>
      </w:r>
      <w:r w:rsidRPr="00CE37D0">
        <w:t xml:space="preserve"> įgyvendinimas gali būti traktuojam</w:t>
      </w:r>
      <w:r w:rsidR="009A4821">
        <w:t>as kaip</w:t>
      </w:r>
      <w:r w:rsidRPr="00CE37D0">
        <w:t xml:space="preserve">: </w:t>
      </w:r>
    </w:p>
    <w:p w:rsidR="0062366B" w:rsidRPr="00CE37D0" w:rsidRDefault="00E92DBB" w:rsidP="00755132">
      <w:pPr>
        <w:pStyle w:val="Sraopastraipa"/>
        <w:numPr>
          <w:ilvl w:val="0"/>
          <w:numId w:val="24"/>
        </w:numPr>
      </w:pPr>
      <w:r>
        <w:t>S</w:t>
      </w:r>
      <w:r w:rsidR="003E3809" w:rsidRPr="003038C8">
        <w:t xml:space="preserve">peciali </w:t>
      </w:r>
      <w:r w:rsidR="003E3809" w:rsidRPr="00CE37D0">
        <w:t>proceso forma</w:t>
      </w:r>
      <w:r w:rsidR="00164940">
        <w:t xml:space="preserve">, </w:t>
      </w:r>
      <w:r w:rsidR="003E3809" w:rsidRPr="00CE37D0">
        <w:rPr>
          <w:rStyle w:val="Puslapioinaosnuoroda"/>
        </w:rPr>
        <w:footnoteReference w:id="191"/>
      </w:r>
      <w:r w:rsidR="0062366B" w:rsidRPr="00CE37D0">
        <w:t xml:space="preserve"> kai procesas pradedamas esant nukentėjusiojo ar jo atstovo skundui ir </w:t>
      </w:r>
      <w:r w:rsidR="005E6527">
        <w:t xml:space="preserve">gali būti </w:t>
      </w:r>
      <w:r w:rsidR="0062366B" w:rsidRPr="00CE37D0">
        <w:t xml:space="preserve">nutraukiamas nukentėjusiajam ir kaltinamajam susitaikius, o kaltinimą palaiko pats nukentėjusysis. Konstitucinio </w:t>
      </w:r>
      <w:r w:rsidR="0062366B">
        <w:t>T</w:t>
      </w:r>
      <w:r w:rsidR="0062366B" w:rsidRPr="00CE37D0">
        <w:t>eismo jurisprudencijoje taip pat pateikiama privataus kaltinimo bylų proceso kaip proceso formos samprata ir privataus kaltinimo sąvoka atskleidžiama per privataus kaltinimo procesinius ypatumus</w:t>
      </w:r>
      <w:r w:rsidR="0062366B">
        <w:t xml:space="preserve">: </w:t>
      </w:r>
      <w:r w:rsidR="0062366B" w:rsidRPr="0009328D">
        <w:t>„</w:t>
      </w:r>
      <w:r w:rsidR="0062366B" w:rsidRPr="0062366B">
        <w:rPr>
          <w:i/>
        </w:rPr>
        <w:t xml:space="preserve">privataus kaltinimo </w:t>
      </w:r>
      <w:r w:rsidR="0062366B" w:rsidRPr="0062366B">
        <w:rPr>
          <w:i/>
        </w:rPr>
        <w:lastRenderedPageBreak/>
        <w:t xml:space="preserve">bylų procesas </w:t>
      </w:r>
      <w:r w:rsidR="001E665C">
        <w:rPr>
          <w:i/>
        </w:rPr>
        <w:t>–</w:t>
      </w:r>
      <w:r w:rsidR="001E665C" w:rsidRPr="0062366B">
        <w:rPr>
          <w:i/>
        </w:rPr>
        <w:t xml:space="preserve"> </w:t>
      </w:r>
      <w:r w:rsidR="0062366B" w:rsidRPr="0062366B">
        <w:rPr>
          <w:i/>
        </w:rPr>
        <w:t>tai specifinis teisinis konfliktų sprendimo būdas, kai tam tikro konflikto juridizavimą (kriminalizavimą) ir asmens patraukimą baudžiamojon atsakomybėn lemia ne valstybės institucijų (pareigūnų), bet nukentėjusiojo valia kreiptis į kompetentingas valstybės institucijas, kad būtų pradėtas baudžiamasis procesas, ir kai iki pat asmens, kaltinamo padarius nusikalstamą veiką, pripažinimo kaltu arba nekaltu konflikto šalys turi galimybę susitaikyti ir šitaip sudaryti teisines prielaidas nutraukti pradėtą baudžiamąjį procesą</w:t>
      </w:r>
      <w:r w:rsidR="0062366B">
        <w:t>“</w:t>
      </w:r>
      <w:r w:rsidR="00164940">
        <w:t xml:space="preserve">; </w:t>
      </w:r>
      <w:r w:rsidR="0062366B" w:rsidRPr="00CE37D0">
        <w:rPr>
          <w:rStyle w:val="Puslapioinaosnuoroda"/>
        </w:rPr>
        <w:footnoteReference w:id="192"/>
      </w:r>
    </w:p>
    <w:p w:rsidR="0062366B" w:rsidRDefault="00E92DBB" w:rsidP="00755132">
      <w:pPr>
        <w:pStyle w:val="Sraopastraipa"/>
        <w:numPr>
          <w:ilvl w:val="0"/>
          <w:numId w:val="24"/>
        </w:numPr>
      </w:pPr>
      <w:r>
        <w:t>K</w:t>
      </w:r>
      <w:r w:rsidR="009A4821">
        <w:t xml:space="preserve">aip </w:t>
      </w:r>
      <w:r w:rsidR="0009328D">
        <w:t>viena iš</w:t>
      </w:r>
      <w:r w:rsidR="001E665C">
        <w:t xml:space="preserve"> </w:t>
      </w:r>
      <w:r w:rsidR="003E3809" w:rsidRPr="0062366B">
        <w:rPr>
          <w:i/>
        </w:rPr>
        <w:t>kaltinimo rūši</w:t>
      </w:r>
      <w:r w:rsidR="0009328D" w:rsidRPr="0062366B">
        <w:rPr>
          <w:i/>
        </w:rPr>
        <w:t>ų</w:t>
      </w:r>
      <w:r w:rsidR="0062366B">
        <w:t xml:space="preserve">, </w:t>
      </w:r>
      <w:r w:rsidR="0062366B" w:rsidRPr="00CE37D0">
        <w:t>kai kaltinamąją veiklą vykdo nukentėjusysis</w:t>
      </w:r>
      <w:r w:rsidR="00164940">
        <w:t xml:space="preserve">. </w:t>
      </w:r>
      <w:r w:rsidR="0062366B" w:rsidRPr="00CE37D0">
        <w:rPr>
          <w:rStyle w:val="Puslapioinaosnuoroda"/>
        </w:rPr>
        <w:footnoteReference w:id="193"/>
      </w:r>
      <w:r w:rsidR="0062366B" w:rsidRPr="00CE37D0">
        <w:t xml:space="preserve"> Šiai pozicijai priskirtinas ir požiūris į privatų kaltinimą kaip į valstybinio kaltinimo monopolio apribojimą</w:t>
      </w:r>
      <w:r w:rsidR="00164940">
        <w:t xml:space="preserve">; </w:t>
      </w:r>
      <w:r w:rsidR="0062366B" w:rsidRPr="00CE37D0">
        <w:rPr>
          <w:rStyle w:val="Puslapioinaosnuoroda"/>
        </w:rPr>
        <w:footnoteReference w:id="194"/>
      </w:r>
      <w:r>
        <w:t xml:space="preserve"> </w:t>
      </w:r>
    </w:p>
    <w:p w:rsidR="0062366B" w:rsidRPr="00CE37D0" w:rsidRDefault="00E92DBB" w:rsidP="00755132">
      <w:pPr>
        <w:pStyle w:val="Sraopastraipa"/>
        <w:numPr>
          <w:ilvl w:val="0"/>
          <w:numId w:val="24"/>
        </w:numPr>
      </w:pPr>
      <w:r>
        <w:t>K</w:t>
      </w:r>
      <w:r w:rsidR="009A4821">
        <w:t>aip nukentėjusio</w:t>
      </w:r>
      <w:r w:rsidR="003E3809" w:rsidRPr="00CE37D0">
        <w:t xml:space="preserve"> nuo nusikalstamos veikos asmens </w:t>
      </w:r>
      <w:r w:rsidR="003E3809" w:rsidRPr="0062366B">
        <w:rPr>
          <w:i/>
        </w:rPr>
        <w:t>teisės į teisminę gynybą išraiška</w:t>
      </w:r>
      <w:r w:rsidR="00164940">
        <w:rPr>
          <w:i/>
        </w:rPr>
        <w:t xml:space="preserve">. </w:t>
      </w:r>
      <w:r w:rsidR="003E3809" w:rsidRPr="00CE37D0">
        <w:rPr>
          <w:rStyle w:val="Puslapioinaosnuoroda"/>
        </w:rPr>
        <w:footnoteReference w:id="195"/>
      </w:r>
      <w:r w:rsidR="001E665C">
        <w:t xml:space="preserve"> </w:t>
      </w:r>
      <w:r w:rsidR="0062366B">
        <w:t>Š</w:t>
      </w:r>
      <w:r w:rsidR="0062366B" w:rsidRPr="00CE37D0">
        <w:t xml:space="preserve">alia tikslo patraukti jo atžvilgiu nusikalstamą veiką padariusį asmenį baudžiamojon atsakomybėn, jį nubausti ir nuteisti, </w:t>
      </w:r>
      <w:r w:rsidR="0062366B">
        <w:t xml:space="preserve">nukentėjusysis </w:t>
      </w:r>
      <w:r w:rsidR="0062366B" w:rsidRPr="00CE37D0">
        <w:t xml:space="preserve">pirmiausia siekia apginti ir </w:t>
      </w:r>
      <w:r>
        <w:t xml:space="preserve">kiek įmanoma </w:t>
      </w:r>
      <w:r w:rsidR="0062366B" w:rsidRPr="00CE37D0">
        <w:t>atstatyti savo pažeistas teises ir</w:t>
      </w:r>
      <w:r>
        <w:t xml:space="preserve"> teisėtus</w:t>
      </w:r>
      <w:r w:rsidR="0062366B" w:rsidRPr="00CE37D0">
        <w:t xml:space="preserve"> interesus</w:t>
      </w:r>
      <w:r w:rsidR="0062366B">
        <w:t>, o privataus kaltinimo teisė yra jo teisės į teisminę savo interesų gynybą išraiška</w:t>
      </w:r>
      <w:r w:rsidR="0062366B" w:rsidRPr="00CE37D0">
        <w:t xml:space="preserve">. </w:t>
      </w:r>
      <w:r w:rsidR="0062366B">
        <w:t>Taigi p</w:t>
      </w:r>
      <w:r w:rsidR="0062366B" w:rsidRPr="00CE37D0">
        <w:t>rivatus kaltinim</w:t>
      </w:r>
      <w:r w:rsidR="0062366B">
        <w:t>as</w:t>
      </w:r>
      <w:r w:rsidR="001E665C">
        <w:t xml:space="preserve"> </w:t>
      </w:r>
      <w:r w:rsidR="0062366B">
        <w:t>yra</w:t>
      </w:r>
      <w:r w:rsidR="0062366B" w:rsidRPr="00CE37D0">
        <w:t xml:space="preserve"> nukentėjusi</w:t>
      </w:r>
      <w:r w:rsidR="0062366B">
        <w:t>o asmens</w:t>
      </w:r>
      <w:r w:rsidR="001E665C">
        <w:t xml:space="preserve"> </w:t>
      </w:r>
      <w:r w:rsidR="0062366B">
        <w:t xml:space="preserve">instrumentas </w:t>
      </w:r>
      <w:r w:rsidR="0062366B" w:rsidRPr="00CE37D0">
        <w:t>baudžiamojo proceso priemonėmis apginti savo pažeistas teises ir teisėtus interesus</w:t>
      </w:r>
      <w:r w:rsidR="00B21E81">
        <w:t xml:space="preserve">; </w:t>
      </w:r>
      <w:r w:rsidR="0062366B" w:rsidRPr="00CE37D0">
        <w:rPr>
          <w:rStyle w:val="Puslapioinaosnuoroda"/>
        </w:rPr>
        <w:footnoteReference w:id="196"/>
      </w:r>
    </w:p>
    <w:p w:rsidR="003E3809" w:rsidRPr="00CE37D0" w:rsidRDefault="00E92DBB" w:rsidP="00755132">
      <w:pPr>
        <w:numPr>
          <w:ilvl w:val="0"/>
          <w:numId w:val="24"/>
        </w:numPr>
        <w:spacing w:line="360" w:lineRule="auto"/>
        <w:jc w:val="both"/>
      </w:pPr>
      <w:r>
        <w:t>K</w:t>
      </w:r>
      <w:r w:rsidR="003E3809" w:rsidRPr="00CE37D0">
        <w:t>aip dispozityvumo principo išraiška baudžiamajame procese</w:t>
      </w:r>
      <w:r w:rsidR="00B21E81">
        <w:t xml:space="preserve">. </w:t>
      </w:r>
      <w:r w:rsidR="003E3809" w:rsidRPr="00CE37D0">
        <w:rPr>
          <w:rStyle w:val="Puslapioinaosnuoroda"/>
        </w:rPr>
        <w:footnoteReference w:id="197"/>
      </w:r>
      <w:r w:rsidR="003E3809" w:rsidRPr="00CE37D0">
        <w:t xml:space="preserve"> </w:t>
      </w:r>
    </w:p>
    <w:p w:rsidR="003E3809" w:rsidRPr="00A0034E" w:rsidRDefault="005600AA" w:rsidP="003E3809">
      <w:pPr>
        <w:spacing w:line="360" w:lineRule="auto"/>
        <w:ind w:firstLine="851"/>
        <w:jc w:val="both"/>
        <w:rPr>
          <w:spacing w:val="-3"/>
        </w:rPr>
      </w:pPr>
      <w:r>
        <w:t>B</w:t>
      </w:r>
      <w:r w:rsidR="003E3809" w:rsidRPr="00CE37D0">
        <w:t xml:space="preserve">audžiamojo proceso moksle terminas „privatus kaltinimas“ nagrinėjamas procesine prasme, kas </w:t>
      </w:r>
      <w:r>
        <w:t>vis</w:t>
      </w:r>
      <w:r w:rsidR="003E3809" w:rsidRPr="00CE37D0">
        <w:t xml:space="preserve">a apimtimi neatspindi tiriamojo instituto požymių. Šį institutą būtina nagrinėti ne tik procesiniu, bet ir materialiuoju aspektu. </w:t>
      </w:r>
      <w:r w:rsidR="003E3809" w:rsidRPr="00CE37D0">
        <w:rPr>
          <w:spacing w:val="-3"/>
        </w:rPr>
        <w:t>Tai nulemia kaltinimo sampratos daugiareikšmiškumas: iš vienos pusės kaip teisini</w:t>
      </w:r>
      <w:r w:rsidR="00A95669">
        <w:rPr>
          <w:spacing w:val="-3"/>
        </w:rPr>
        <w:t>s</w:t>
      </w:r>
      <w:r w:rsidR="003E3809" w:rsidRPr="00CE37D0">
        <w:rPr>
          <w:spacing w:val="-3"/>
        </w:rPr>
        <w:t xml:space="preserve"> nusikalstamos veikos aprašym</w:t>
      </w:r>
      <w:r w:rsidR="00A95669">
        <w:rPr>
          <w:spacing w:val="-3"/>
        </w:rPr>
        <w:t>as</w:t>
      </w:r>
      <w:r w:rsidR="003E3809" w:rsidRPr="00CE37D0">
        <w:rPr>
          <w:spacing w:val="-3"/>
        </w:rPr>
        <w:t xml:space="preserve"> kaltinamuosiuose procesiniuose dokumentuose </w:t>
      </w:r>
      <w:r w:rsidR="00A95669">
        <w:rPr>
          <w:spacing w:val="-3"/>
        </w:rPr>
        <w:t>(</w:t>
      </w:r>
      <w:r w:rsidR="003E3809" w:rsidRPr="00CE37D0">
        <w:rPr>
          <w:spacing w:val="-3"/>
        </w:rPr>
        <w:t>kaltinamajame akte, nukentėjusiojo skunde, jo atstovo pareiškime</w:t>
      </w:r>
      <w:r w:rsidR="00A95669">
        <w:rPr>
          <w:spacing w:val="-3"/>
        </w:rPr>
        <w:t>),</w:t>
      </w:r>
      <w:r w:rsidR="003E3809" w:rsidRPr="00CE37D0">
        <w:rPr>
          <w:spacing w:val="-3"/>
        </w:rPr>
        <w:t xml:space="preserve"> iš kitos pusės kaip procesinės veiklos sudėtinė dalis. </w:t>
      </w:r>
      <w:r w:rsidR="003E3809" w:rsidRPr="00CE37D0">
        <w:rPr>
          <w:rStyle w:val="Puslapioinaosnuoroda"/>
          <w:spacing w:val="-3"/>
        </w:rPr>
        <w:footnoteReference w:id="198"/>
      </w:r>
      <w:r w:rsidR="001E665C">
        <w:rPr>
          <w:spacing w:val="-3"/>
        </w:rPr>
        <w:t xml:space="preserve"> </w:t>
      </w:r>
      <w:r w:rsidR="0065514D" w:rsidRPr="00CE37D0">
        <w:rPr>
          <w:spacing w:val="-3"/>
        </w:rPr>
        <w:t>P</w:t>
      </w:r>
      <w:r w:rsidR="003E3809" w:rsidRPr="00CE37D0">
        <w:rPr>
          <w:spacing w:val="-3"/>
        </w:rPr>
        <w:t>rivat</w:t>
      </w:r>
      <w:r w:rsidR="0065514D" w:rsidRPr="00CE37D0">
        <w:rPr>
          <w:spacing w:val="-3"/>
        </w:rPr>
        <w:t xml:space="preserve">us </w:t>
      </w:r>
      <w:r w:rsidR="003E3809" w:rsidRPr="00CE37D0">
        <w:rPr>
          <w:spacing w:val="-3"/>
        </w:rPr>
        <w:t>kaltinim</w:t>
      </w:r>
      <w:r w:rsidR="0065514D" w:rsidRPr="00CE37D0">
        <w:rPr>
          <w:spacing w:val="-3"/>
        </w:rPr>
        <w:t>as</w:t>
      </w:r>
      <w:r w:rsidR="001E665C">
        <w:rPr>
          <w:spacing w:val="-3"/>
        </w:rPr>
        <w:t xml:space="preserve"> </w:t>
      </w:r>
      <w:r w:rsidR="0065514D" w:rsidRPr="00CE37D0">
        <w:rPr>
          <w:spacing w:val="-3"/>
        </w:rPr>
        <w:t xml:space="preserve">gali būti </w:t>
      </w:r>
      <w:r w:rsidR="00E92DBB">
        <w:rPr>
          <w:spacing w:val="-3"/>
        </w:rPr>
        <w:t>suprantamas</w:t>
      </w:r>
      <w:r w:rsidR="003E3809" w:rsidRPr="00CE37D0">
        <w:rPr>
          <w:spacing w:val="-3"/>
        </w:rPr>
        <w:t xml:space="preserve"> materialiąja prasme kaip nukentėjusiojo </w:t>
      </w:r>
      <w:r w:rsidR="00E92DBB">
        <w:rPr>
          <w:spacing w:val="-3"/>
        </w:rPr>
        <w:t>reikalavimas teismui patraukti baudžiamojon atsakomybėn asmenį, padariusį</w:t>
      </w:r>
      <w:r w:rsidR="003E3809" w:rsidRPr="00CE37D0">
        <w:rPr>
          <w:spacing w:val="-3"/>
        </w:rPr>
        <w:t xml:space="preserve"> </w:t>
      </w:r>
      <w:r w:rsidR="003E3809" w:rsidRPr="00CE37D0">
        <w:rPr>
          <w:spacing w:val="-3"/>
        </w:rPr>
        <w:lastRenderedPageBreak/>
        <w:t>nusikalstamą veiką, už kurią baudžiamasis persekiojimas valstybės perduotas jo nuožiūrai</w:t>
      </w:r>
      <w:r w:rsidR="00E92DBB">
        <w:rPr>
          <w:spacing w:val="-3"/>
        </w:rPr>
        <w:t>,</w:t>
      </w:r>
      <w:r w:rsidR="003E3809" w:rsidRPr="00CE37D0">
        <w:rPr>
          <w:spacing w:val="-3"/>
        </w:rPr>
        <w:t xml:space="preserve"> ir procesine prasme kaip </w:t>
      </w:r>
      <w:r w:rsidR="00A0034E">
        <w:rPr>
          <w:spacing w:val="-3"/>
        </w:rPr>
        <w:t>p</w:t>
      </w:r>
      <w:r w:rsidR="003E3809" w:rsidRPr="00CE37D0">
        <w:rPr>
          <w:spacing w:val="-3"/>
        </w:rPr>
        <w:t>roces</w:t>
      </w:r>
      <w:r w:rsidR="00A0034E">
        <w:rPr>
          <w:spacing w:val="-3"/>
        </w:rPr>
        <w:t>o forma</w:t>
      </w:r>
      <w:r w:rsidR="003E3809" w:rsidRPr="00CE37D0">
        <w:rPr>
          <w:spacing w:val="-3"/>
        </w:rPr>
        <w:t xml:space="preserve">, </w:t>
      </w:r>
      <w:r w:rsidR="00A0034E">
        <w:rPr>
          <w:spacing w:val="-3"/>
        </w:rPr>
        <w:t xml:space="preserve">kai </w:t>
      </w:r>
      <w:r w:rsidR="00A0034E" w:rsidRPr="00A0034E">
        <w:t>dėl tam tikrų nusikalstamų veikų asmenį kaltina pats nukentėjusysis (ar jo atstovas)</w:t>
      </w:r>
      <w:r w:rsidR="003E3809" w:rsidRPr="00A0034E">
        <w:rPr>
          <w:spacing w:val="-3"/>
        </w:rPr>
        <w:t xml:space="preserve">. </w:t>
      </w:r>
    </w:p>
    <w:p w:rsidR="003E3809" w:rsidRPr="00CE37D0" w:rsidRDefault="003E3809" w:rsidP="003E3809">
      <w:pPr>
        <w:spacing w:line="360" w:lineRule="auto"/>
        <w:ind w:firstLine="851"/>
        <w:jc w:val="both"/>
        <w:rPr>
          <w:spacing w:val="-3"/>
        </w:rPr>
      </w:pPr>
      <w:r w:rsidRPr="00CE37D0">
        <w:rPr>
          <w:spacing w:val="-3"/>
        </w:rPr>
        <w:t>Suti</w:t>
      </w:r>
      <w:r w:rsidR="007C3DA6" w:rsidRPr="00CE37D0">
        <w:rPr>
          <w:spacing w:val="-3"/>
        </w:rPr>
        <w:t>nkant</w:t>
      </w:r>
      <w:r w:rsidRPr="00CE37D0">
        <w:rPr>
          <w:spacing w:val="-3"/>
        </w:rPr>
        <w:t xml:space="preserve"> su privataus kaltinimo daugiareikšme samprata tiek procesiniu, tiek materialiuoju aspektu, šiame skyriuje didesn</w:t>
      </w:r>
      <w:r w:rsidR="007C3DA6" w:rsidRPr="00CE37D0">
        <w:rPr>
          <w:spacing w:val="-3"/>
        </w:rPr>
        <w:t>is</w:t>
      </w:r>
      <w:r w:rsidRPr="00CE37D0">
        <w:rPr>
          <w:spacing w:val="-3"/>
        </w:rPr>
        <w:t xml:space="preserve"> dėmes</w:t>
      </w:r>
      <w:r w:rsidR="007C3DA6" w:rsidRPr="00CE37D0">
        <w:rPr>
          <w:spacing w:val="-3"/>
        </w:rPr>
        <w:t>ys</w:t>
      </w:r>
      <w:r w:rsidR="001E665C">
        <w:rPr>
          <w:spacing w:val="-3"/>
        </w:rPr>
        <w:t xml:space="preserve"> </w:t>
      </w:r>
      <w:r w:rsidR="007C3DA6" w:rsidRPr="00CE37D0">
        <w:rPr>
          <w:spacing w:val="-3"/>
        </w:rPr>
        <w:t xml:space="preserve">bus </w:t>
      </w:r>
      <w:r w:rsidRPr="00CE37D0">
        <w:rPr>
          <w:spacing w:val="-3"/>
        </w:rPr>
        <w:t>skir</w:t>
      </w:r>
      <w:r w:rsidR="007C3DA6" w:rsidRPr="00CE37D0">
        <w:rPr>
          <w:spacing w:val="-3"/>
        </w:rPr>
        <w:t>iamas</w:t>
      </w:r>
      <w:r w:rsidRPr="00CE37D0">
        <w:rPr>
          <w:spacing w:val="-3"/>
        </w:rPr>
        <w:t xml:space="preserve"> materialiajai privataus k</w:t>
      </w:r>
      <w:r w:rsidR="007C3DA6" w:rsidRPr="00CE37D0">
        <w:rPr>
          <w:spacing w:val="-3"/>
        </w:rPr>
        <w:t>altinimo sampratai, t.y. privatus</w:t>
      </w:r>
      <w:r w:rsidRPr="00CE37D0">
        <w:rPr>
          <w:spacing w:val="-3"/>
        </w:rPr>
        <w:t xml:space="preserve"> kaltinim</w:t>
      </w:r>
      <w:r w:rsidR="007C3DA6" w:rsidRPr="00CE37D0">
        <w:rPr>
          <w:spacing w:val="-3"/>
        </w:rPr>
        <w:t>as</w:t>
      </w:r>
      <w:r w:rsidR="001E665C">
        <w:rPr>
          <w:spacing w:val="-3"/>
        </w:rPr>
        <w:t xml:space="preserve"> </w:t>
      </w:r>
      <w:r w:rsidR="007C3DA6" w:rsidRPr="00CE37D0">
        <w:rPr>
          <w:spacing w:val="-3"/>
        </w:rPr>
        <w:t xml:space="preserve">bus </w:t>
      </w:r>
      <w:r w:rsidRPr="00CE37D0">
        <w:rPr>
          <w:spacing w:val="-3"/>
        </w:rPr>
        <w:t>nagrinė</w:t>
      </w:r>
      <w:r w:rsidR="007C3DA6" w:rsidRPr="00CE37D0">
        <w:rPr>
          <w:spacing w:val="-3"/>
        </w:rPr>
        <w:t>jamas</w:t>
      </w:r>
      <w:r w:rsidRPr="00CE37D0">
        <w:rPr>
          <w:spacing w:val="-3"/>
        </w:rPr>
        <w:t xml:space="preserve"> kaip pagrindin</w:t>
      </w:r>
      <w:r w:rsidR="007C3DA6" w:rsidRPr="00CE37D0">
        <w:rPr>
          <w:spacing w:val="-3"/>
        </w:rPr>
        <w:t>ė</w:t>
      </w:r>
      <w:r w:rsidRPr="00CE37D0">
        <w:rPr>
          <w:spacing w:val="-3"/>
        </w:rPr>
        <w:t xml:space="preserve"> dispozityvumo</w:t>
      </w:r>
      <w:r w:rsidR="001E665C">
        <w:rPr>
          <w:spacing w:val="-3"/>
        </w:rPr>
        <w:t xml:space="preserve"> </w:t>
      </w:r>
      <w:r w:rsidRPr="00CE37D0">
        <w:rPr>
          <w:spacing w:val="-3"/>
        </w:rPr>
        <w:t>realizavimo form</w:t>
      </w:r>
      <w:r w:rsidR="007C3DA6" w:rsidRPr="00CE37D0">
        <w:rPr>
          <w:spacing w:val="-3"/>
        </w:rPr>
        <w:t>a</w:t>
      </w:r>
      <w:r w:rsidRPr="00CE37D0">
        <w:rPr>
          <w:spacing w:val="-3"/>
        </w:rPr>
        <w:t>, o kituose skyriuose bus išsamiai analizuojam</w:t>
      </w:r>
      <w:r w:rsidR="004A7ECB">
        <w:rPr>
          <w:spacing w:val="-3"/>
        </w:rPr>
        <w:t>i</w:t>
      </w:r>
      <w:r w:rsidRPr="00CE37D0">
        <w:rPr>
          <w:spacing w:val="-3"/>
        </w:rPr>
        <w:t xml:space="preserve"> privataus kaltinimo procesinė</w:t>
      </w:r>
      <w:r w:rsidR="004A7ECB">
        <w:rPr>
          <w:spacing w:val="-3"/>
        </w:rPr>
        <w:t>s</w:t>
      </w:r>
      <w:r w:rsidRPr="00CE37D0">
        <w:rPr>
          <w:spacing w:val="-3"/>
        </w:rPr>
        <w:t xml:space="preserve"> form</w:t>
      </w:r>
      <w:r w:rsidR="004A7ECB">
        <w:rPr>
          <w:spacing w:val="-3"/>
        </w:rPr>
        <w:t>os ypatumai</w:t>
      </w:r>
      <w:r w:rsidRPr="00CE37D0">
        <w:rPr>
          <w:spacing w:val="-3"/>
        </w:rPr>
        <w:t xml:space="preserve">.  </w:t>
      </w:r>
    </w:p>
    <w:p w:rsidR="008C0AE3" w:rsidRPr="00CE37D0" w:rsidRDefault="003E3809" w:rsidP="003E3809">
      <w:pPr>
        <w:spacing w:line="360" w:lineRule="auto"/>
        <w:ind w:firstLine="851"/>
        <w:jc w:val="both"/>
      </w:pPr>
      <w:r w:rsidRPr="00CE37D0">
        <w:t xml:space="preserve">Šio disertacinio tyrimo objektų – dispozityvumo ir privataus kaltinimo bylų proceso </w:t>
      </w:r>
      <w:r w:rsidR="001E665C">
        <w:t>–</w:t>
      </w:r>
      <w:r w:rsidRPr="00CE37D0">
        <w:t xml:space="preserve"> tarpusavio sąsają bei p</w:t>
      </w:r>
      <w:r w:rsidR="00A0034E">
        <w:t>asirinkimą juos nagrinėti kartu</w:t>
      </w:r>
      <w:r w:rsidRPr="00CE37D0">
        <w:t xml:space="preserve"> geriausiai paaiškina akcionarinio (ieškininio) proceso teorija. Privataus kaltinimo bylų procesas yra pagrindinė materialiojo dispozityvumo pasireiškimo forma, todėl materialiojo dispozityvumo aspektu privataus kaltinimo procesas suprantamas kaip ieškininė teisena. Akcionarinis procesas (lot. </w:t>
      </w:r>
      <w:r w:rsidR="004A7ECB">
        <w:rPr>
          <w:i/>
        </w:rPr>
        <w:t>a</w:t>
      </w:r>
      <w:r w:rsidRPr="00CE37D0">
        <w:rPr>
          <w:i/>
        </w:rPr>
        <w:t>ctio</w:t>
      </w:r>
      <w:r w:rsidRPr="00CE37D0">
        <w:t xml:space="preserve"> – ieškinys) suponuoja kaltinimo kaip baudžiamojo ieškinio koncepciją, </w:t>
      </w:r>
      <w:r w:rsidRPr="00CE37D0">
        <w:rPr>
          <w:rStyle w:val="Puslapioinaosnuoroda"/>
        </w:rPr>
        <w:footnoteReference w:id="199"/>
      </w:r>
      <w:r w:rsidRPr="00CE37D0">
        <w:t xml:space="preserve"> o baudžiamasis persekiojimas konstruojamas pagal civilinio ieškinio palaikymo teisme principą. Kaltinimas </w:t>
      </w:r>
      <w:proofErr w:type="gramStart"/>
      <w:r w:rsidRPr="00CE37D0">
        <w:t>(</w:t>
      </w:r>
      <w:proofErr w:type="gramEnd"/>
      <w:r w:rsidRPr="00CE37D0">
        <w:t xml:space="preserve">vok. </w:t>
      </w:r>
      <w:r w:rsidR="00A0034E" w:rsidRPr="00CE37D0">
        <w:rPr>
          <w:i/>
        </w:rPr>
        <w:t>Klage</w:t>
      </w:r>
      <w:r w:rsidR="001E665C">
        <w:rPr>
          <w:i/>
        </w:rPr>
        <w:t>,</w:t>
      </w:r>
      <w:r w:rsidR="00A0034E">
        <w:t xml:space="preserve"> </w:t>
      </w:r>
      <w:r w:rsidRPr="00CE37D0">
        <w:t xml:space="preserve">ta pati sąvoka naudojama tiek ieškiniui, tiek kaltinimui apibrėžti) </w:t>
      </w:r>
      <w:r w:rsidR="001E665C">
        <w:t>–</w:t>
      </w:r>
      <w:r w:rsidRPr="00CE37D0">
        <w:t xml:space="preserve"> tai ieškinys, kurį prokuroras, gindamas viešąjį interesą, pareiškia teisme, pateikdamas kaltinimo reikalavimus bei įrodinėdamas teismui kaltinimo pagrįstumą, taigi teisme jis veikia kaip ieškovas, valstybės vardu palaikantis baudžiamąjį ieškinį.</w:t>
      </w:r>
      <w:r w:rsidR="001E665C">
        <w:t xml:space="preserve"> </w:t>
      </w:r>
      <w:r w:rsidR="00326B76">
        <w:t xml:space="preserve">Šis panašumas paaiškinamas ir istoriniu aspektu: </w:t>
      </w:r>
      <w:r w:rsidR="00326B76" w:rsidRPr="00CE37D0">
        <w:t xml:space="preserve">Viduramžiais Europos šalių teisėje pagrindinė proceso forma buvo privatus kaltinimas, suvoktas kaip civilinio proceso atmaina nusikaltimo padarymo atveju, ir tik vėliau įsigalėjo idėja, kad patraukimą baudžiamojon atsakomybėn turi inicijuoti oficialūs asmenys. </w:t>
      </w:r>
      <w:r w:rsidR="00326B76" w:rsidRPr="00CE37D0">
        <w:rPr>
          <w:rStyle w:val="Puslapioinaosnuoroda"/>
        </w:rPr>
        <w:footnoteReference w:id="200"/>
      </w:r>
      <w:r w:rsidR="001E665C">
        <w:t xml:space="preserve"> </w:t>
      </w:r>
      <w:r w:rsidR="00326B76">
        <w:t>Tuomet n</w:t>
      </w:r>
      <w:r w:rsidR="00326B76" w:rsidRPr="00CE37D0">
        <w:t xml:space="preserve">usikaltimas buvo laikomas privatinės teisės dalyku, kadangi nukentėjusiam asmeniui priklausė iniciatyva pateikti ieškinį kaltininkui. </w:t>
      </w:r>
      <w:r w:rsidR="00326B76" w:rsidRPr="00CE37D0">
        <w:rPr>
          <w:rStyle w:val="Puslapioinaosnuoroda"/>
        </w:rPr>
        <w:footnoteReference w:id="201"/>
      </w:r>
      <w:r w:rsidR="001E665C">
        <w:t xml:space="preserve"> </w:t>
      </w:r>
      <w:r w:rsidRPr="00CE37D0">
        <w:t xml:space="preserve">Reikalavimai dėl baudžiamosios atsakomybės taikymo asmeniui, padariusiam nusikalstamą veiką, su kuriais į teismą kreipiasi kaltintojas, ir sudaro baudžiamojo ieškinio turinį. Koncepcijos esmė yra tai, kad ir </w:t>
      </w:r>
      <w:r w:rsidRPr="00CE37D0">
        <w:lastRenderedPageBreak/>
        <w:t>kaltinimas, ir civilinis ieškinys nagrinėjami kaip vienos bendros sąvokos rūšys.</w:t>
      </w:r>
      <w:r w:rsidR="00B21E81">
        <w:t xml:space="preserve"> </w:t>
      </w:r>
      <w:r w:rsidRPr="00CE37D0">
        <w:rPr>
          <w:rStyle w:val="Puslapioinaosnuoroda"/>
        </w:rPr>
        <w:footnoteReference w:id="202"/>
      </w:r>
      <w:r w:rsidRPr="00CE37D0">
        <w:t xml:space="preserve"> Ieškinys kaip bendra sąvoka procesine prasme suprantamas kaip kreipimasis į teismą ir reikalavimas apginti pažeistą ar ginčijamą teisę ar įstatymo ginamą interesą. </w:t>
      </w:r>
      <w:r w:rsidRPr="00CE37D0">
        <w:rPr>
          <w:rStyle w:val="Puslapioinaosnuoroda"/>
        </w:rPr>
        <w:footnoteReference w:id="203"/>
      </w:r>
      <w:r w:rsidRPr="00CE37D0">
        <w:t xml:space="preserve"> Abu institutai savo teisine prigimtimi yra reikalavimai, pateikti teisminės valdžios institucijai ir sukuriantys jai pareigą nagrinėti bylą teismine tvarka. </w:t>
      </w:r>
      <w:r w:rsidRPr="00CE37D0">
        <w:rPr>
          <w:rStyle w:val="Puslapioinaosnuoroda"/>
        </w:rPr>
        <w:footnoteReference w:id="204"/>
      </w:r>
      <w:r w:rsidR="00A95669">
        <w:t xml:space="preserve"> Materi</w:t>
      </w:r>
      <w:r w:rsidR="00945FDA">
        <w:t>ali</w:t>
      </w:r>
      <w:r w:rsidR="00A95669">
        <w:t>ąja</w:t>
      </w:r>
      <w:r w:rsidRPr="00CE37D0">
        <w:t xml:space="preserve"> prasme ieškinys suprantamas kaip reikalavimas atsakovui, t.y. </w:t>
      </w:r>
      <w:r w:rsidR="00E355F1">
        <w:t xml:space="preserve">teisme ginama </w:t>
      </w:r>
      <w:r w:rsidRPr="00CE37D0">
        <w:t xml:space="preserve">subjektinė teisė. Toks reikalavimas gali būti pareikštas privataus asmens dėl kito asmens pažeistų jo subjektinių civilinių teisių (civilinis procesas), dėl valstybinės institucijos pažeistų jo subjektinių viešųjų teisių (administracinis procesas) arba tai gali būti pačios valstybės ieškinys dėl nustatytos teisinės tvarkos pažeidimo (baudžiamasis procesas). Ieškinio prigimtis nesikeičia nuo to, kad šalimi procese tampa valstybės valdžia, atstovaujama jos institucijos. </w:t>
      </w:r>
    </w:p>
    <w:p w:rsidR="007E3173" w:rsidRDefault="003E3809" w:rsidP="004927F2">
      <w:pPr>
        <w:spacing w:line="360" w:lineRule="auto"/>
        <w:ind w:firstLine="851"/>
        <w:jc w:val="both"/>
      </w:pPr>
      <w:r w:rsidRPr="00CE37D0">
        <w:t>Civilinio</w:t>
      </w:r>
      <w:r w:rsidR="0062366B">
        <w:t>, administracinio</w:t>
      </w:r>
      <w:r w:rsidRPr="00CE37D0">
        <w:t xml:space="preserve"> ir baudžiamojo ieškinio institutus vienija uždavinių (teisinių gėrių apsaugos) ir formalių požymių (kreipimasis į teismą ir teismo pareiga nagrinėti bylą) bendrumas. </w:t>
      </w:r>
      <w:r w:rsidR="0062366B">
        <w:t>Ieškinio civiliniame, administraciniame ir</w:t>
      </w:r>
      <w:r w:rsidR="0062366B" w:rsidRPr="00CE37D0">
        <w:t xml:space="preserve"> baudžiamajame procese tikslas yra pažeistos teisės ar intereso gynybos reikalavimas (BPK 1 str</w:t>
      </w:r>
      <w:r w:rsidR="0062366B">
        <w:t>aipsnio 1 dalis</w:t>
      </w:r>
      <w:r w:rsidR="0062366B" w:rsidRPr="00CE37D0">
        <w:t>, CPK 5 str</w:t>
      </w:r>
      <w:r w:rsidR="0062366B">
        <w:t>aipsnio</w:t>
      </w:r>
      <w:r w:rsidR="0062366B" w:rsidRPr="00CE37D0">
        <w:t xml:space="preserve"> 1 d</w:t>
      </w:r>
      <w:r w:rsidR="0062366B">
        <w:t>alis</w:t>
      </w:r>
      <w:r w:rsidR="0062366B" w:rsidRPr="00CE37D0">
        <w:t>, Administracinių bylų teisenos įstatymo 5 str</w:t>
      </w:r>
      <w:r w:rsidR="0062366B">
        <w:t>aipsnio 1 dalis</w:t>
      </w:r>
      <w:r w:rsidR="007E3173">
        <w:t xml:space="preserve"> </w:t>
      </w:r>
      <w:r w:rsidR="00945FDA">
        <w:rPr>
          <w:rStyle w:val="Puslapioinaosnuoroda"/>
        </w:rPr>
        <w:footnoteReference w:id="205"/>
      </w:r>
      <w:r w:rsidR="0062366B" w:rsidRPr="00CE37D0">
        <w:t xml:space="preserve">). </w:t>
      </w:r>
      <w:r w:rsidRPr="00CE37D0">
        <w:t xml:space="preserve">Ieškinys yra dispozityvumo įgyvendinimo priemonė, nes būtent </w:t>
      </w:r>
      <w:r w:rsidR="001E665C">
        <w:t>ieškiniu</w:t>
      </w:r>
      <w:r w:rsidRPr="00CE37D0">
        <w:t xml:space="preserve"> ieškovas</w:t>
      </w:r>
      <w:r w:rsidR="0062366B">
        <w:t xml:space="preserve"> civiliniame procese</w:t>
      </w:r>
      <w:r w:rsidRPr="00CE37D0">
        <w:t xml:space="preserve"> (</w:t>
      </w:r>
      <w:r w:rsidR="0062366B">
        <w:t xml:space="preserve">pareiškėjas administraciniame procese, </w:t>
      </w:r>
      <w:r w:rsidRPr="00CE37D0">
        <w:t>nukentėjusysis</w:t>
      </w:r>
      <w:r w:rsidR="0062366B">
        <w:t xml:space="preserve"> baudžiamajame procese) </w:t>
      </w:r>
      <w:r w:rsidRPr="00CE37D0">
        <w:t>inici</w:t>
      </w:r>
      <w:r w:rsidR="0062366B">
        <w:t>juoj</w:t>
      </w:r>
      <w:r w:rsidRPr="00CE37D0">
        <w:t xml:space="preserve">a teisminį bylos nagrinėjimą. </w:t>
      </w:r>
      <w:r w:rsidRPr="00CE37D0">
        <w:rPr>
          <w:rStyle w:val="Puslapioinaosnuoroda"/>
        </w:rPr>
        <w:footnoteReference w:id="206"/>
      </w:r>
      <w:r w:rsidR="007E3173">
        <w:t xml:space="preserve"> </w:t>
      </w:r>
    </w:p>
    <w:p w:rsidR="003E3809" w:rsidRPr="00CE37D0" w:rsidRDefault="003E3809" w:rsidP="004927F2">
      <w:pPr>
        <w:spacing w:line="360" w:lineRule="auto"/>
        <w:ind w:firstLine="851"/>
        <w:jc w:val="both"/>
      </w:pPr>
      <w:r w:rsidRPr="00CE37D0">
        <w:t>Visgi kalbant apie baudžiamojo ieškinio koncepciją bei proceso vieningumą</w:t>
      </w:r>
      <w:r w:rsidR="001E665C">
        <w:t>,</w:t>
      </w:r>
      <w:r w:rsidRPr="00CE37D0">
        <w:t xml:space="preserve"> reikia nepamiršti</w:t>
      </w:r>
      <w:r w:rsidR="00843E00">
        <w:t xml:space="preserve"> ir skirtumų, kuriuos lemia tai</w:t>
      </w:r>
      <w:r w:rsidRPr="00CE37D0">
        <w:t>, kad baudžiamųjų teisinių santykių subjektai nėra lygiateisiai. B</w:t>
      </w:r>
      <w:r w:rsidR="00843E00">
        <w:t>e to, b</w:t>
      </w:r>
      <w:r w:rsidRPr="00CE37D0">
        <w:t>audžiam</w:t>
      </w:r>
      <w:r w:rsidR="00843E00">
        <w:t>asis</w:t>
      </w:r>
      <w:r w:rsidRPr="00CE37D0">
        <w:t xml:space="preserve"> teisini</w:t>
      </w:r>
      <w:r w:rsidR="00843E00">
        <w:t>s</w:t>
      </w:r>
      <w:r w:rsidRPr="00CE37D0">
        <w:t xml:space="preserve"> reikalavim</w:t>
      </w:r>
      <w:r w:rsidR="00843E00">
        <w:t>as</w:t>
      </w:r>
      <w:r w:rsidRPr="00CE37D0">
        <w:t xml:space="preserve"> visiškai skiriasi ieškinio esme</w:t>
      </w:r>
      <w:r w:rsidR="004927F2">
        <w:t xml:space="preserve"> ir gynybos specifika</w:t>
      </w:r>
      <w:r w:rsidRPr="004927F2">
        <w:t xml:space="preserve">. </w:t>
      </w:r>
      <w:r w:rsidRPr="004927F2">
        <w:rPr>
          <w:rStyle w:val="Puslapioinaosnuoroda"/>
        </w:rPr>
        <w:footnoteReference w:id="207"/>
      </w:r>
    </w:p>
    <w:p w:rsidR="003E3809" w:rsidRPr="00CE37D0" w:rsidRDefault="003E3809" w:rsidP="003E3809">
      <w:pPr>
        <w:spacing w:line="360" w:lineRule="auto"/>
        <w:ind w:firstLine="851"/>
        <w:jc w:val="both"/>
      </w:pPr>
      <w:r w:rsidRPr="00CE37D0">
        <w:t>Ieškinio sąvokos naudojimas ne tik civiliniame, bet ir baudžiamajame bei administraciniame procesuose leido suformuluoti esminius universalaus ieškinio ir ieškin</w:t>
      </w:r>
      <w:r w:rsidR="004A7ECB">
        <w:t xml:space="preserve">inės gynybos formos bruožus: </w:t>
      </w:r>
    </w:p>
    <w:p w:rsidR="003E3809" w:rsidRPr="00CE37D0" w:rsidRDefault="00843E00" w:rsidP="00843E00">
      <w:pPr>
        <w:pStyle w:val="Sraopastraipa"/>
        <w:numPr>
          <w:ilvl w:val="0"/>
          <w:numId w:val="26"/>
        </w:numPr>
      </w:pPr>
      <w:r>
        <w:t>I</w:t>
      </w:r>
      <w:r w:rsidR="003E3809" w:rsidRPr="00CE37D0">
        <w:t>eškinys, kaip gynybos priemonė, visada susijęs su ginču d</w:t>
      </w:r>
      <w:r w:rsidR="00326B76">
        <w:t>ėl teisės ar teisėto intereso;</w:t>
      </w:r>
    </w:p>
    <w:p w:rsidR="003E3809" w:rsidRPr="00CE37D0" w:rsidRDefault="00843E00" w:rsidP="00843E00">
      <w:pPr>
        <w:pStyle w:val="Sraopastraipa"/>
        <w:numPr>
          <w:ilvl w:val="0"/>
          <w:numId w:val="26"/>
        </w:numPr>
      </w:pPr>
      <w:r>
        <w:lastRenderedPageBreak/>
        <w:t>G</w:t>
      </w:r>
      <w:r w:rsidR="003E3809" w:rsidRPr="00CE37D0">
        <w:t>inč</w:t>
      </w:r>
      <w:r w:rsidR="0016743D">
        <w:t xml:space="preserve">as kyla </w:t>
      </w:r>
      <w:r w:rsidR="001E665C">
        <w:t>susikirtus priešingiems konfliktuojančių šalių interesams,</w:t>
      </w:r>
      <w:r w:rsidR="0016743D">
        <w:t xml:space="preserve"> todėl </w:t>
      </w:r>
      <w:r w:rsidR="003E3809" w:rsidRPr="00CE37D0">
        <w:t>atstovau</w:t>
      </w:r>
      <w:r w:rsidR="0016743D">
        <w:t>damos</w:t>
      </w:r>
      <w:r w:rsidR="003E3809" w:rsidRPr="00CE37D0">
        <w:t xml:space="preserve"> savo interesus</w:t>
      </w:r>
      <w:r w:rsidR="0016743D">
        <w:t xml:space="preserve"> šalys yra lygiateisės</w:t>
      </w:r>
      <w:r w:rsidR="00326B76">
        <w:t>;</w:t>
      </w:r>
    </w:p>
    <w:p w:rsidR="003E3809" w:rsidRPr="00CE37D0" w:rsidRDefault="007E3173" w:rsidP="00843E00">
      <w:pPr>
        <w:pStyle w:val="Sraopastraipa"/>
        <w:numPr>
          <w:ilvl w:val="0"/>
          <w:numId w:val="26"/>
        </w:numPr>
      </w:pPr>
      <w:r>
        <w:t>S</w:t>
      </w:r>
      <w:r w:rsidR="002D6483">
        <w:t>ieki</w:t>
      </w:r>
      <w:r w:rsidR="0016743D">
        <w:t>ant</w:t>
      </w:r>
      <w:r w:rsidR="002D6483">
        <w:t xml:space="preserve"> išspręsti</w:t>
      </w:r>
      <w:r w:rsidR="0016743D">
        <w:t xml:space="preserve"> g</w:t>
      </w:r>
      <w:r w:rsidR="003E3809" w:rsidRPr="00CE37D0">
        <w:t>inč</w:t>
      </w:r>
      <w:r w:rsidR="0016743D">
        <w:t>ą</w:t>
      </w:r>
      <w:r w:rsidR="00D339D5">
        <w:t xml:space="preserve"> </w:t>
      </w:r>
      <w:r w:rsidR="0016743D">
        <w:t>(</w:t>
      </w:r>
      <w:r w:rsidR="0016743D" w:rsidRPr="00CE37D0">
        <w:t>teisinį konfliktą</w:t>
      </w:r>
      <w:r w:rsidR="0016743D">
        <w:t>) būtinas</w:t>
      </w:r>
      <w:r w:rsidR="003E3809" w:rsidRPr="00CE37D0">
        <w:t xml:space="preserve"> trečiojo – nepriklausomo, nešališko – asmens</w:t>
      </w:r>
      <w:r w:rsidR="0016743D">
        <w:t>, t.y. teismo, dalyvavimas</w:t>
      </w:r>
      <w:r w:rsidR="003E3809" w:rsidRPr="00CE37D0">
        <w:t xml:space="preserve">. </w:t>
      </w:r>
    </w:p>
    <w:p w:rsidR="003E3809" w:rsidRPr="00CE37D0" w:rsidRDefault="003E3809" w:rsidP="003E3809">
      <w:pPr>
        <w:spacing w:line="360" w:lineRule="auto"/>
        <w:ind w:firstLine="851"/>
        <w:jc w:val="both"/>
      </w:pPr>
      <w:r w:rsidRPr="00CE37D0">
        <w:t xml:space="preserve">Neatskiriamu ieškinio kaip gynybos reikalavimo požymiu laikytinas ginčas dėl teisės (intereso). Ginčas priverčia suinteresuotą asmenį kreiptis į trečią nepriklausomą arbitrą. Todėl ieškininėje proceso formoje vienos šalies </w:t>
      </w:r>
      <w:r w:rsidR="00433A2E" w:rsidRPr="00CE37D0">
        <w:t xml:space="preserve">procesinė veikla </w:t>
      </w:r>
      <w:r w:rsidRPr="00CE37D0">
        <w:t xml:space="preserve">sąlygoja </w:t>
      </w:r>
      <w:r w:rsidR="00433A2E" w:rsidRPr="00CE37D0">
        <w:t xml:space="preserve">procesinę veiklą </w:t>
      </w:r>
      <w:r w:rsidRPr="00CE37D0">
        <w:t xml:space="preserve">kitos, atliekančios priešingą funkciją (kaltinimas ir gynyba baudžiamajame procese, ieškinys ir atsiliepimas į ieškinį civiliniame procese). Baudžiamasis procesas </w:t>
      </w:r>
      <w:r w:rsidR="00F9111D">
        <w:t>privataus kaltinimo byloje gali būti suprantamas kaip</w:t>
      </w:r>
      <w:r w:rsidRPr="00CE37D0">
        <w:t xml:space="preserve"> ginčo tarp kaltintojo ir kaltinamojo dėl pastarojo kaltės ar nekaltumo</w:t>
      </w:r>
      <w:r w:rsidR="00AE6316">
        <w:t>,</w:t>
      </w:r>
      <w:r w:rsidRPr="00CE37D0">
        <w:t xml:space="preserve"> padarius jam inkriminuojamą nusikalstamą veiką</w:t>
      </w:r>
      <w:r w:rsidR="00AE6316">
        <w:t>,</w:t>
      </w:r>
      <w:r w:rsidRPr="00CE37D0">
        <w:t xml:space="preserve"> ir bausmės paskyrimo už ją nagrinėjimo ir išsprendimo procesas. </w:t>
      </w:r>
      <w:r w:rsidRPr="00CE37D0">
        <w:rPr>
          <w:rStyle w:val="Puslapioinaosnuoroda"/>
        </w:rPr>
        <w:footnoteReference w:id="208"/>
      </w:r>
      <w:r w:rsidRPr="00CE37D0">
        <w:t xml:space="preserve"> Asmens reikalavimas </w:t>
      </w:r>
      <w:r w:rsidR="00E2384D">
        <w:t xml:space="preserve">teismui </w:t>
      </w:r>
      <w:r w:rsidRPr="00CE37D0">
        <w:t xml:space="preserve">ginti jo teises yra savarankiška proceso pradėjimo priemonė (BPK 407 </w:t>
      </w:r>
      <w:r w:rsidR="00F1235F" w:rsidRPr="00CE37D0">
        <w:t>str</w:t>
      </w:r>
      <w:r w:rsidR="00F1235F">
        <w:t>aipsnis</w:t>
      </w:r>
      <w:r w:rsidRPr="00CE37D0">
        <w:t>). Jis įvilktas į įstatymo nustatytą formą: nukentėjusiojo skundas ar jo atstovo pareiškimas (</w:t>
      </w:r>
      <w:r w:rsidR="008C0AE3" w:rsidRPr="00CE37D0">
        <w:t>baudžiamajame procese</w:t>
      </w:r>
      <w:r w:rsidRPr="00CE37D0">
        <w:t>) ar ieškinys (</w:t>
      </w:r>
      <w:r w:rsidR="008C0AE3" w:rsidRPr="00CE37D0">
        <w:t>civiliniame procese</w:t>
      </w:r>
      <w:r w:rsidRPr="00CE37D0">
        <w:t xml:space="preserve">), kurie turi turėti nurodymą, kas, ko, kokiu pagrindu ir kieno naudai reikalauja. </w:t>
      </w:r>
    </w:p>
    <w:p w:rsidR="003E3809" w:rsidRPr="00CE37D0" w:rsidRDefault="003E3809" w:rsidP="003E3809">
      <w:pPr>
        <w:spacing w:line="360" w:lineRule="auto"/>
        <w:ind w:firstLine="851"/>
        <w:jc w:val="both"/>
      </w:pPr>
      <w:r w:rsidRPr="00CE37D0">
        <w:t>Esmin</w:t>
      </w:r>
      <w:r w:rsidR="00AE6316">
        <w:t>ė</w:t>
      </w:r>
      <w:r w:rsidRPr="00CE37D0">
        <w:t xml:space="preserve"> privataus kaltinimo bylų proceso ieškininės prigimties išraiška yra ir veiksmų, kuriuos šalys įgyvendina teisme, pobūdis. Privataus kaltintojo ir ieškovo veiksmus vienija bendros ištakos </w:t>
      </w:r>
      <w:r w:rsidR="00AE6316">
        <w:t>–</w:t>
      </w:r>
      <w:r w:rsidR="00AE6316" w:rsidRPr="00CE37D0">
        <w:t xml:space="preserve"> </w:t>
      </w:r>
      <w:r w:rsidRPr="00CE37D0">
        <w:t xml:space="preserve">to paties asmens rankose sutelktos teisės ir pareikšti reikalavimą, ir palaikyti jį teisme. </w:t>
      </w:r>
      <w:r w:rsidRPr="00CE37D0">
        <w:rPr>
          <w:spacing w:val="-3"/>
        </w:rPr>
        <w:t>Baudžiamajame procese teisė formuluoti, pareikšti ir palaikyti privatų kaltinimą visose teisminėse instancijose priklauso vienam privačiam asmeniui, suinteresuotam persekioti, t.y. nukentėjusiam</w:t>
      </w:r>
      <w:r w:rsidR="0049695D" w:rsidRPr="00CE37D0">
        <w:rPr>
          <w:spacing w:val="-3"/>
        </w:rPr>
        <w:t xml:space="preserve"> asmeniui</w:t>
      </w:r>
      <w:r w:rsidR="00AE6316">
        <w:rPr>
          <w:spacing w:val="-3"/>
        </w:rPr>
        <w:t xml:space="preserve"> </w:t>
      </w:r>
      <w:r w:rsidR="0049695D" w:rsidRPr="00CE37D0">
        <w:rPr>
          <w:spacing w:val="-3"/>
        </w:rPr>
        <w:t>(</w:t>
      </w:r>
      <w:r w:rsidRPr="00CE37D0">
        <w:rPr>
          <w:spacing w:val="-3"/>
        </w:rPr>
        <w:t>jo atstovui</w:t>
      </w:r>
      <w:r w:rsidR="0049695D" w:rsidRPr="00CE37D0">
        <w:rPr>
          <w:spacing w:val="-3"/>
        </w:rPr>
        <w:t>)</w:t>
      </w:r>
      <w:r w:rsidRPr="00CE37D0">
        <w:rPr>
          <w:spacing w:val="-3"/>
        </w:rPr>
        <w:t xml:space="preserve">. </w:t>
      </w:r>
      <w:r w:rsidRPr="00CE37D0">
        <w:rPr>
          <w:i/>
        </w:rPr>
        <w:t>Onus probandi</w:t>
      </w:r>
      <w:r w:rsidRPr="00CE37D0">
        <w:t xml:space="preserve"> tenka tiek privačiam kaltintojui, tiek ieškovui: jis privalo įrodinėti tas aplinkybes, kuriomis grindžia savo reikalavimus, t.y. kaltinamojo (BPK 34 str</w:t>
      </w:r>
      <w:r w:rsidR="00F1235F">
        <w:t>aipsnio</w:t>
      </w:r>
      <w:r w:rsidRPr="00CE37D0">
        <w:t xml:space="preserve"> 2 d</w:t>
      </w:r>
      <w:r w:rsidR="00F1235F">
        <w:t>alis</w:t>
      </w:r>
      <w:r w:rsidRPr="00CE37D0">
        <w:t xml:space="preserve">), atsakovo (CPK 178 </w:t>
      </w:r>
      <w:r w:rsidR="00F1235F" w:rsidRPr="00CE37D0">
        <w:t>str</w:t>
      </w:r>
      <w:r w:rsidR="00F1235F">
        <w:t>aipsnis</w:t>
      </w:r>
      <w:r w:rsidRPr="00CE37D0">
        <w:t xml:space="preserve">) </w:t>
      </w:r>
      <w:r w:rsidR="00E355F1">
        <w:t>veiksmų neteisėtu</w:t>
      </w:r>
      <w:r w:rsidRPr="00CE37D0">
        <w:t>mą</w:t>
      </w:r>
      <w:r w:rsidR="00DA6DF1">
        <w:t>, arba šių reikalavimų atsisakyti</w:t>
      </w:r>
      <w:r w:rsidRPr="00CE37D0">
        <w:t>. Kaltinamasis, kaip ir atsakovas, turi teisę pripažinti pareikštą kaltinimą ir susitaikyti su nukentėjusiuoju arba prieštarauti kaltinimui (BPK 413 st</w:t>
      </w:r>
      <w:r w:rsidR="00F1235F">
        <w:t>raipsnio</w:t>
      </w:r>
      <w:r w:rsidRPr="00CE37D0">
        <w:t xml:space="preserve"> 2, 5 d</w:t>
      </w:r>
      <w:r w:rsidR="00F1235F">
        <w:t>alys</w:t>
      </w:r>
      <w:r w:rsidRPr="00CE37D0">
        <w:t>)</w:t>
      </w:r>
      <w:r w:rsidR="00E2384D">
        <w:t>.</w:t>
      </w:r>
      <w:r w:rsidRPr="00CE37D0">
        <w:t xml:space="preserve"> Savarankiška atsakovo gynybos priemon</w:t>
      </w:r>
      <w:r w:rsidR="00E2384D">
        <w:t>ė</w:t>
      </w:r>
      <w:r w:rsidRPr="00CE37D0">
        <w:t xml:space="preserve"> yra priešieškinis (CPK 143 </w:t>
      </w:r>
      <w:r w:rsidR="00F1235F" w:rsidRPr="00CE37D0">
        <w:t>str</w:t>
      </w:r>
      <w:r w:rsidR="00F1235F">
        <w:t>aipsnis</w:t>
      </w:r>
      <w:r w:rsidRPr="00CE37D0">
        <w:t>)</w:t>
      </w:r>
      <w:r w:rsidR="00E2384D">
        <w:t>, kurio atitikmuo baudžiamajame procese yra</w:t>
      </w:r>
      <w:r w:rsidRPr="00CE37D0">
        <w:t xml:space="preserve"> ypatinga kaltinamojo teisė privataus kaltinimo bylų procese – teisė paduoti priešpriešinį skundą (BPK 410 str</w:t>
      </w:r>
      <w:r w:rsidR="00F1235F">
        <w:t>aipsnio</w:t>
      </w:r>
      <w:r w:rsidRPr="00CE37D0">
        <w:t xml:space="preserve"> 1 d</w:t>
      </w:r>
      <w:r w:rsidR="00F1235F">
        <w:t>alis</w:t>
      </w:r>
      <w:r w:rsidRPr="00CE37D0">
        <w:t xml:space="preserve">).  </w:t>
      </w:r>
    </w:p>
    <w:p w:rsidR="003E3809" w:rsidRPr="00CE37D0" w:rsidRDefault="00A95669" w:rsidP="003E3809">
      <w:pPr>
        <w:spacing w:line="360" w:lineRule="auto"/>
        <w:ind w:firstLine="851"/>
        <w:jc w:val="both"/>
        <w:rPr>
          <w:spacing w:val="-3"/>
        </w:rPr>
      </w:pPr>
      <w:r>
        <w:rPr>
          <w:spacing w:val="-3"/>
        </w:rPr>
        <w:t>Material</w:t>
      </w:r>
      <w:r w:rsidR="003E3809" w:rsidRPr="00CE37D0">
        <w:rPr>
          <w:spacing w:val="-3"/>
        </w:rPr>
        <w:t>ių</w:t>
      </w:r>
      <w:r w:rsidR="00E2384D">
        <w:rPr>
          <w:spacing w:val="-3"/>
        </w:rPr>
        <w:t>jų</w:t>
      </w:r>
      <w:r w:rsidR="003E3809" w:rsidRPr="00CE37D0">
        <w:rPr>
          <w:spacing w:val="-3"/>
        </w:rPr>
        <w:t xml:space="preserve"> teisinių santykių prigimtis nulemia ieškinio nagrinėjimo ir ieškinio išsprendimo teisme ypatumus civiliniame ir baudžiamajame procese. Padarytos nusikalstamos veikos visuomeninio pavojingumo laipsnis, pažeistos teisės ar teisėto intereso pobūdis ir reikšmingumas sąlygoja tuos </w:t>
      </w:r>
      <w:r w:rsidR="003E3809" w:rsidRPr="00CE37D0">
        <w:rPr>
          <w:spacing w:val="-3"/>
        </w:rPr>
        <w:lastRenderedPageBreak/>
        <w:t xml:space="preserve">gynybos </w:t>
      </w:r>
      <w:r w:rsidR="00E2384D">
        <w:rPr>
          <w:spacing w:val="-3"/>
        </w:rPr>
        <w:t xml:space="preserve">metodų ir būdų ypatumus, kurie </w:t>
      </w:r>
      <w:r w:rsidR="003E3809" w:rsidRPr="00CE37D0">
        <w:rPr>
          <w:spacing w:val="-3"/>
        </w:rPr>
        <w:t>savo ruožtu atskiria baudžiamąją te</w:t>
      </w:r>
      <w:r w:rsidR="00F1235F">
        <w:rPr>
          <w:spacing w:val="-3"/>
        </w:rPr>
        <w:t xml:space="preserve">iseną nuo kitų teisenos rūšių: </w:t>
      </w:r>
    </w:p>
    <w:p w:rsidR="003E3809" w:rsidRPr="00CE37D0" w:rsidRDefault="00D9522D" w:rsidP="003E3809">
      <w:pPr>
        <w:spacing w:line="360" w:lineRule="auto"/>
        <w:ind w:firstLine="851"/>
        <w:jc w:val="both"/>
        <w:rPr>
          <w:spacing w:val="-3"/>
        </w:rPr>
      </w:pPr>
      <w:r>
        <w:rPr>
          <w:spacing w:val="-3"/>
        </w:rPr>
        <w:t>1) t</w:t>
      </w:r>
      <w:r w:rsidR="003E3809" w:rsidRPr="00CE37D0">
        <w:rPr>
          <w:spacing w:val="-3"/>
        </w:rPr>
        <w:t>urinio prasme kaltinimas ir ieškinys skiriasi individualumo savybe. Individualumas reiškia kaltinim</w:t>
      </w:r>
      <w:r w:rsidR="00E2384D">
        <w:rPr>
          <w:spacing w:val="-3"/>
        </w:rPr>
        <w:t>ą k</w:t>
      </w:r>
      <w:r w:rsidR="003E3809" w:rsidRPr="00CE37D0">
        <w:rPr>
          <w:spacing w:val="-3"/>
        </w:rPr>
        <w:t>onkre</w:t>
      </w:r>
      <w:r w:rsidR="00E2384D">
        <w:rPr>
          <w:spacing w:val="-3"/>
        </w:rPr>
        <w:t>čiam</w:t>
      </w:r>
      <w:r w:rsidR="003E3809" w:rsidRPr="00CE37D0">
        <w:rPr>
          <w:spacing w:val="-3"/>
        </w:rPr>
        <w:t xml:space="preserve"> asmen</w:t>
      </w:r>
      <w:r w:rsidR="00E2384D">
        <w:rPr>
          <w:spacing w:val="-3"/>
        </w:rPr>
        <w:t>iui</w:t>
      </w:r>
      <w:r w:rsidR="003E3809" w:rsidRPr="00CE37D0">
        <w:rPr>
          <w:spacing w:val="-3"/>
        </w:rPr>
        <w:t xml:space="preserve">, kurio atžvilgiu teismui pareiškiamas reikalavimas nustatyti jo kaltumą ir paskirti bausmę. </w:t>
      </w:r>
      <w:r w:rsidR="00F9111D">
        <w:rPr>
          <w:spacing w:val="-3"/>
        </w:rPr>
        <w:t>Baudžiamajame procese, skirtingai nuo civilinio, negalimas</w:t>
      </w:r>
      <w:r w:rsidR="003E3809" w:rsidRPr="00CE37D0">
        <w:rPr>
          <w:spacing w:val="-3"/>
        </w:rPr>
        <w:t xml:space="preserve"> teisių perėmim</w:t>
      </w:r>
      <w:r w:rsidR="00F9111D">
        <w:rPr>
          <w:spacing w:val="-3"/>
        </w:rPr>
        <w:t>as</w:t>
      </w:r>
      <w:r w:rsidR="003E3809" w:rsidRPr="00CE37D0">
        <w:rPr>
          <w:spacing w:val="-3"/>
        </w:rPr>
        <w:t xml:space="preserve">. Bet kokiame kaltinime: viešame, </w:t>
      </w:r>
      <w:r w:rsidR="00397E48">
        <w:rPr>
          <w:spacing w:val="-3"/>
        </w:rPr>
        <w:t>privačiai viešam</w:t>
      </w:r>
      <w:r w:rsidR="003E3809" w:rsidRPr="00CE37D0">
        <w:rPr>
          <w:spacing w:val="-3"/>
        </w:rPr>
        <w:t>e ar privačiame</w:t>
      </w:r>
      <w:r w:rsidR="00E2384D">
        <w:rPr>
          <w:spacing w:val="-3"/>
        </w:rPr>
        <w:t>,</w:t>
      </w:r>
      <w:r w:rsidR="003E3809" w:rsidRPr="00CE37D0">
        <w:rPr>
          <w:spacing w:val="-3"/>
        </w:rPr>
        <w:t xml:space="preserve"> reikalaujama nurodyti konkretų asmenį ir jam inkriminuojamą n</w:t>
      </w:r>
      <w:r w:rsidR="00F1235F">
        <w:rPr>
          <w:spacing w:val="-3"/>
        </w:rPr>
        <w:t>usikalstamą veiką (BPK 219 straipsnio 2, 3 p., 412 straipsnio</w:t>
      </w:r>
      <w:r w:rsidR="003E3809" w:rsidRPr="00CE37D0">
        <w:rPr>
          <w:spacing w:val="-3"/>
        </w:rPr>
        <w:t xml:space="preserve"> 2 d</w:t>
      </w:r>
      <w:r w:rsidR="00F1235F">
        <w:rPr>
          <w:spacing w:val="-3"/>
        </w:rPr>
        <w:t>alis</w:t>
      </w:r>
      <w:r w:rsidR="003E3809" w:rsidRPr="00CE37D0">
        <w:rPr>
          <w:spacing w:val="-3"/>
        </w:rPr>
        <w:t xml:space="preserve">). Baudžiamojo proceso įstatymas draudžia teismui išplėsti tyrimą asmenų ir veikų, nenurodytų kaltinime, atžvilgiu (BPK 255 </w:t>
      </w:r>
      <w:r w:rsidR="00F1235F">
        <w:rPr>
          <w:spacing w:val="-3"/>
        </w:rPr>
        <w:t>straipsnio</w:t>
      </w:r>
      <w:r w:rsidR="007E2E16">
        <w:rPr>
          <w:spacing w:val="-3"/>
        </w:rPr>
        <w:t xml:space="preserve"> 1 d</w:t>
      </w:r>
      <w:r w:rsidR="00F1235F">
        <w:rPr>
          <w:spacing w:val="-3"/>
        </w:rPr>
        <w:t>alis</w:t>
      </w:r>
      <w:r w:rsidR="007E2E16">
        <w:rPr>
          <w:spacing w:val="-3"/>
        </w:rPr>
        <w:t>);</w:t>
      </w:r>
    </w:p>
    <w:p w:rsidR="003E3809" w:rsidRPr="00CE37D0" w:rsidRDefault="00D9522D" w:rsidP="003E3809">
      <w:pPr>
        <w:spacing w:line="360" w:lineRule="auto"/>
        <w:ind w:firstLine="851"/>
        <w:jc w:val="both"/>
        <w:rPr>
          <w:spacing w:val="-3"/>
        </w:rPr>
      </w:pPr>
      <w:r>
        <w:rPr>
          <w:spacing w:val="-3"/>
        </w:rPr>
        <w:t>2) p</w:t>
      </w:r>
      <w:r w:rsidR="003E3809" w:rsidRPr="00CE37D0">
        <w:rPr>
          <w:spacing w:val="-3"/>
        </w:rPr>
        <w:t>rivataus kaltinimo formos ypat</w:t>
      </w:r>
      <w:r w:rsidR="00A95669">
        <w:rPr>
          <w:spacing w:val="-3"/>
        </w:rPr>
        <w:t>umus taip pat sąlygoja material</w:t>
      </w:r>
      <w:r w:rsidR="003E3809" w:rsidRPr="00CE37D0">
        <w:rPr>
          <w:spacing w:val="-3"/>
        </w:rPr>
        <w:t>ių</w:t>
      </w:r>
      <w:r w:rsidR="00E2384D">
        <w:rPr>
          <w:spacing w:val="-3"/>
        </w:rPr>
        <w:t>jų</w:t>
      </w:r>
      <w:r w:rsidR="003E3809" w:rsidRPr="00CE37D0">
        <w:rPr>
          <w:spacing w:val="-3"/>
        </w:rPr>
        <w:t xml:space="preserve"> teisinių santykių viešas</w:t>
      </w:r>
      <w:r w:rsidR="00E2384D">
        <w:rPr>
          <w:spacing w:val="-3"/>
        </w:rPr>
        <w:t>is</w:t>
      </w:r>
      <w:r w:rsidR="003E3809" w:rsidRPr="00CE37D0">
        <w:rPr>
          <w:spacing w:val="-3"/>
        </w:rPr>
        <w:t xml:space="preserve"> teisinis pobūdis. Valstybinės valdžios elementas leidžia privačiam asmeniui privataus kaltinimo </w:t>
      </w:r>
      <w:r w:rsidR="00E2384D">
        <w:rPr>
          <w:spacing w:val="-3"/>
        </w:rPr>
        <w:t xml:space="preserve">bylų </w:t>
      </w:r>
      <w:r w:rsidR="003E3809" w:rsidRPr="00CE37D0">
        <w:rPr>
          <w:spacing w:val="-3"/>
        </w:rPr>
        <w:t>procese būtinais atvejais kreiptis</w:t>
      </w:r>
      <w:r w:rsidR="00AE6316">
        <w:rPr>
          <w:spacing w:val="-3"/>
        </w:rPr>
        <w:t xml:space="preserve"> pagalbos renkant įrodymus</w:t>
      </w:r>
      <w:r w:rsidR="003E3809" w:rsidRPr="00CE37D0">
        <w:rPr>
          <w:spacing w:val="-3"/>
        </w:rPr>
        <w:t xml:space="preserve"> į teisėsaugos institucijas, vykdančias baudžiamąjį persekiojimą</w:t>
      </w:r>
      <w:r w:rsidR="00F1235F">
        <w:rPr>
          <w:spacing w:val="-3"/>
        </w:rPr>
        <w:t xml:space="preserve"> (BPK 409 straipsnio</w:t>
      </w:r>
      <w:r w:rsidR="003E3809" w:rsidRPr="00CE37D0">
        <w:rPr>
          <w:spacing w:val="-3"/>
        </w:rPr>
        <w:t xml:space="preserve"> 3 d</w:t>
      </w:r>
      <w:r w:rsidR="00F1235F">
        <w:rPr>
          <w:spacing w:val="-3"/>
        </w:rPr>
        <w:t>alis</w:t>
      </w:r>
      <w:r w:rsidR="003E3809" w:rsidRPr="00CE37D0">
        <w:rPr>
          <w:spacing w:val="-3"/>
        </w:rPr>
        <w:t>). Be to, įvertinant tai, kad nusikalstama veika turi pavojingumo visuomenei požymį, leidžiantį atskirti nusikalstamą veiką nuo kitų teisės pažeidimų rūšių, esant pagrind</w:t>
      </w:r>
      <w:r w:rsidR="00AE6316">
        <w:rPr>
          <w:spacing w:val="-3"/>
        </w:rPr>
        <w:t>ui,</w:t>
      </w:r>
      <w:r w:rsidR="003E3809" w:rsidRPr="00CE37D0">
        <w:rPr>
          <w:spacing w:val="-3"/>
        </w:rPr>
        <w:t xml:space="preserve"> įstatymų leidėjas numato galimybę teismui taikyti procesinės prievartos priemones kaltinamajam. </w:t>
      </w:r>
    </w:p>
    <w:p w:rsidR="003E3809" w:rsidRPr="008C34A6" w:rsidRDefault="002B5DED" w:rsidP="003E3809">
      <w:pPr>
        <w:spacing w:line="360" w:lineRule="auto"/>
        <w:ind w:firstLine="851"/>
        <w:jc w:val="both"/>
        <w:rPr>
          <w:spacing w:val="-3"/>
        </w:rPr>
      </w:pPr>
      <w:r>
        <w:rPr>
          <w:spacing w:val="-3"/>
        </w:rPr>
        <w:t>B</w:t>
      </w:r>
      <w:r w:rsidRPr="00CE37D0">
        <w:rPr>
          <w:spacing w:val="-3"/>
        </w:rPr>
        <w:t>audžiamojo ieškinio teorij</w:t>
      </w:r>
      <w:r>
        <w:rPr>
          <w:spacing w:val="-3"/>
        </w:rPr>
        <w:t>os kontekste atsiskleidžia</w:t>
      </w:r>
      <w:r w:rsidRPr="00CE37D0">
        <w:rPr>
          <w:spacing w:val="-3"/>
        </w:rPr>
        <w:t xml:space="preserve"> privataus kaltinimo </w:t>
      </w:r>
      <w:r>
        <w:rPr>
          <w:spacing w:val="-3"/>
        </w:rPr>
        <w:t xml:space="preserve">bylų proceso esmė ir esminiai skirtumai nuo kitų ieškininės gynybos formų. </w:t>
      </w:r>
      <w:r w:rsidR="005F1642">
        <w:rPr>
          <w:spacing w:val="-3"/>
        </w:rPr>
        <w:t>Tai</w:t>
      </w:r>
      <w:r>
        <w:rPr>
          <w:spacing w:val="-3"/>
        </w:rPr>
        <w:t xml:space="preserve">p pat </w:t>
      </w:r>
      <w:r w:rsidR="004927F2">
        <w:rPr>
          <w:spacing w:val="-3"/>
        </w:rPr>
        <w:t xml:space="preserve">ši teorija </w:t>
      </w:r>
      <w:r>
        <w:rPr>
          <w:spacing w:val="-3"/>
        </w:rPr>
        <w:t>leidžia</w:t>
      </w:r>
      <w:r w:rsidR="00AE6316">
        <w:rPr>
          <w:spacing w:val="-3"/>
        </w:rPr>
        <w:t xml:space="preserve"> </w:t>
      </w:r>
      <w:r w:rsidR="008C34A6">
        <w:rPr>
          <w:spacing w:val="-3"/>
        </w:rPr>
        <w:t>p</w:t>
      </w:r>
      <w:r w:rsidR="008C34A6" w:rsidRPr="008C34A6">
        <w:rPr>
          <w:spacing w:val="-3"/>
        </w:rPr>
        <w:t>rivat</w:t>
      </w:r>
      <w:r>
        <w:rPr>
          <w:spacing w:val="-3"/>
        </w:rPr>
        <w:t>ų</w:t>
      </w:r>
      <w:r w:rsidR="008C34A6" w:rsidRPr="008C34A6">
        <w:rPr>
          <w:spacing w:val="-3"/>
        </w:rPr>
        <w:t xml:space="preserve"> kaltinim</w:t>
      </w:r>
      <w:r>
        <w:rPr>
          <w:spacing w:val="-3"/>
        </w:rPr>
        <w:t>ą</w:t>
      </w:r>
      <w:r w:rsidR="00AE6316">
        <w:rPr>
          <w:spacing w:val="-3"/>
        </w:rPr>
        <w:t xml:space="preserve"> </w:t>
      </w:r>
      <w:r>
        <w:rPr>
          <w:spacing w:val="-3"/>
        </w:rPr>
        <w:t xml:space="preserve">nagrinėti </w:t>
      </w:r>
      <w:r w:rsidRPr="00CE37D0">
        <w:rPr>
          <w:spacing w:val="-3"/>
        </w:rPr>
        <w:t>dis</w:t>
      </w:r>
      <w:r>
        <w:rPr>
          <w:spacing w:val="-3"/>
        </w:rPr>
        <w:t>pozityvumo sampratos kontekste kaip</w:t>
      </w:r>
      <w:r w:rsidR="008C34A6">
        <w:rPr>
          <w:spacing w:val="-3"/>
        </w:rPr>
        <w:t xml:space="preserve"> ieškininės gynybos form</w:t>
      </w:r>
      <w:r>
        <w:rPr>
          <w:spacing w:val="-3"/>
        </w:rPr>
        <w:t>ą</w:t>
      </w:r>
      <w:r w:rsidR="008C34A6">
        <w:rPr>
          <w:spacing w:val="-3"/>
        </w:rPr>
        <w:t>, vykdom</w:t>
      </w:r>
      <w:r>
        <w:rPr>
          <w:spacing w:val="-3"/>
        </w:rPr>
        <w:t>ą</w:t>
      </w:r>
      <w:r w:rsidR="008C34A6" w:rsidRPr="008C34A6">
        <w:rPr>
          <w:spacing w:val="-3"/>
        </w:rPr>
        <w:t xml:space="preserve"> baudžiamojo proceso įstatymų nustatyta tvarka</w:t>
      </w:r>
      <w:r w:rsidR="008C34A6">
        <w:rPr>
          <w:spacing w:val="-3"/>
        </w:rPr>
        <w:t xml:space="preserve">. </w:t>
      </w:r>
    </w:p>
    <w:p w:rsidR="003E3809" w:rsidRPr="00CE37D0" w:rsidRDefault="00E272A5" w:rsidP="000D6DF9">
      <w:pPr>
        <w:pStyle w:val="Antrat3"/>
        <w:spacing w:before="0" w:after="0" w:line="360" w:lineRule="auto"/>
        <w:jc w:val="both"/>
      </w:pPr>
      <w:bookmarkStart w:id="80" w:name="_Toc307574201"/>
      <w:bookmarkStart w:id="81" w:name="_Toc333484082"/>
      <w:bookmarkStart w:id="82" w:name="_Toc365498837"/>
      <w:bookmarkStart w:id="83" w:name="_Toc370139900"/>
      <w:bookmarkStart w:id="84" w:name="_Toc400321680"/>
      <w:r>
        <w:t>3.1</w:t>
      </w:r>
      <w:r w:rsidR="003E3809" w:rsidRPr="00CE37D0">
        <w:t xml:space="preserve">. </w:t>
      </w:r>
      <w:r w:rsidR="002D3097">
        <w:t>P</w:t>
      </w:r>
      <w:r w:rsidR="003E3809" w:rsidRPr="00CE37D0">
        <w:t xml:space="preserve">rivataus kaltinimo </w:t>
      </w:r>
      <w:r w:rsidR="006D02FB" w:rsidRPr="00CE37D0">
        <w:t xml:space="preserve">procesinės formos </w:t>
      </w:r>
      <w:r w:rsidR="000B41C3">
        <w:t>atskyrimo nuo bendrojo konstitucinio baudžiamojo proceso modelio</w:t>
      </w:r>
      <w:r w:rsidR="003E3809" w:rsidRPr="00CE37D0">
        <w:t xml:space="preserve"> pagrindai</w:t>
      </w:r>
      <w:bookmarkEnd w:id="80"/>
      <w:bookmarkEnd w:id="81"/>
      <w:bookmarkEnd w:id="82"/>
      <w:bookmarkEnd w:id="83"/>
      <w:bookmarkEnd w:id="84"/>
    </w:p>
    <w:p w:rsidR="003E3809" w:rsidRPr="00CE37D0" w:rsidRDefault="003E3809" w:rsidP="003E3809">
      <w:pPr>
        <w:spacing w:line="360" w:lineRule="auto"/>
        <w:ind w:firstLine="851"/>
        <w:jc w:val="both"/>
      </w:pPr>
      <w:r w:rsidRPr="00CE37D0">
        <w:t>Konstitucijos preambulėje įtvirtintas atviros, teisingos, darnios pilietinės visuomenės ir teisinės valstybės siekis suponuoja tai, kad privalu stengtis užtikrinti</w:t>
      </w:r>
      <w:r w:rsidR="005C12DE" w:rsidRPr="00CE37D0">
        <w:t xml:space="preserve"> kiekvieno</w:t>
      </w:r>
      <w:r w:rsidRPr="00CE37D0">
        <w:t xml:space="preserve"> asm</w:t>
      </w:r>
      <w:r w:rsidR="005C12DE" w:rsidRPr="00CE37D0">
        <w:t>ens</w:t>
      </w:r>
      <w:r w:rsidRPr="00CE37D0">
        <w:t xml:space="preserve"> ir vis</w:t>
      </w:r>
      <w:r w:rsidR="005C12DE" w:rsidRPr="00CE37D0">
        <w:t>os</w:t>
      </w:r>
      <w:r w:rsidRPr="00CE37D0">
        <w:t xml:space="preserve"> visuomenė</w:t>
      </w:r>
      <w:r w:rsidR="005C12DE" w:rsidRPr="00CE37D0">
        <w:t>s</w:t>
      </w:r>
      <w:r w:rsidR="00AE6316">
        <w:t xml:space="preserve"> </w:t>
      </w:r>
      <w:r w:rsidR="005C12DE" w:rsidRPr="00CE37D0">
        <w:t>s</w:t>
      </w:r>
      <w:r w:rsidRPr="00CE37D0">
        <w:t>aug</w:t>
      </w:r>
      <w:r w:rsidR="005C12DE" w:rsidRPr="00CE37D0">
        <w:t>umą</w:t>
      </w:r>
      <w:r w:rsidRPr="00CE37D0">
        <w:t xml:space="preserve"> nuo nusikalstamų kėsinimųsi. </w:t>
      </w:r>
      <w:r w:rsidRPr="00CE37D0">
        <w:rPr>
          <w:rStyle w:val="Puslapioinaosnuoroda"/>
        </w:rPr>
        <w:footnoteReference w:id="209"/>
      </w:r>
      <w:r w:rsidRPr="00CE37D0">
        <w:t xml:space="preserve"> Viena iš svarbių priemonių užtikrinant konstitucines žmogaus teises ir laisves yra baudžiamosios atsakomybės už pavojingas veikas nustatymas. Tačiau tuo pat metu įstatymų leidėjui visuomet tenka spręsti, kokia apimtimi panaudoti baudžiamąsias teisines priemones šių interesų apsaugai. Baudžiamieji įstatymai turėtų veikti pagal </w:t>
      </w:r>
      <w:r w:rsidRPr="00CE37D0">
        <w:rPr>
          <w:i/>
        </w:rPr>
        <w:t>ultima ratio</w:t>
      </w:r>
      <w:r w:rsidRPr="00CE37D0">
        <w:t xml:space="preserve"> principą ir būti paskutinė priemonė užkertant kelią neteisėtiems veiksmams, kai taikant kitų teisės šakų teisės normas norimo rezultato pasiekti negalima. </w:t>
      </w:r>
      <w:r w:rsidRPr="00CE37D0">
        <w:rPr>
          <w:rStyle w:val="Puslapioinaosnuoroda"/>
        </w:rPr>
        <w:footnoteReference w:id="210"/>
      </w:r>
      <w:r w:rsidRPr="00CE37D0">
        <w:t xml:space="preserve"> Tam tikrų teisinių gėrių </w:t>
      </w:r>
      <w:r w:rsidRPr="00CE37D0">
        <w:lastRenderedPageBreak/>
        <w:t xml:space="preserve">privataus gyvenimo srityje apsaugos teisinis reguliavimas yra sudėtingas moraline prasme, kadangi privataus gyvenimo neliečiamumas gali būti apgintas tik viešomis priemonėmis. Šiuo atveju privatumas kaip teisinis gėris </w:t>
      </w:r>
      <w:r w:rsidR="009A7F34" w:rsidRPr="00CE37D0">
        <w:t xml:space="preserve">konkuruoja </w:t>
      </w:r>
      <w:r w:rsidRPr="00CE37D0">
        <w:t>su valstybės pareiga jį apsaugoti</w:t>
      </w:r>
      <w:r w:rsidR="00655483">
        <w:t xml:space="preserve"> (įsikišant į asmens</w:t>
      </w:r>
      <w:r w:rsidR="009A7F34">
        <w:t xml:space="preserve"> privat</w:t>
      </w:r>
      <w:r w:rsidR="00655483">
        <w:t>ų gyvenimą</w:t>
      </w:r>
      <w:r w:rsidR="009A7F34">
        <w:t>)</w:t>
      </w:r>
      <w:r w:rsidRPr="00CE37D0">
        <w:t xml:space="preserve">. </w:t>
      </w:r>
    </w:p>
    <w:p w:rsidR="003E3809" w:rsidRPr="00CE37D0" w:rsidRDefault="003E3809" w:rsidP="003E3809">
      <w:pPr>
        <w:shd w:val="clear" w:color="auto" w:fill="FFFFFF"/>
        <w:tabs>
          <w:tab w:val="left" w:pos="180"/>
        </w:tabs>
        <w:spacing w:line="360" w:lineRule="auto"/>
        <w:ind w:right="169" w:firstLine="851"/>
        <w:jc w:val="both"/>
      </w:pPr>
      <w:r w:rsidRPr="00CE37D0">
        <w:t xml:space="preserve">Baudžiamojo proceso įstatymai daugelyje valstybių leidžia įsikišimą į privataus gyvenimo ir privačių interesų sferą tik pačių nukentėjusiųjų sutikimu arba </w:t>
      </w:r>
      <w:r w:rsidR="005C12DE" w:rsidRPr="00CE37D0">
        <w:t xml:space="preserve">įstatymų numatytais atvejais </w:t>
      </w:r>
      <w:r w:rsidRPr="00CE37D0">
        <w:t>esant teismo, prokuroro sankcijai. Atkreiptinas dėmesys, kad įstatymų leidėjas visada susiduria su privačių ar viešųjų interesų prerogatyvos dilema, kadangi pirmenybė</w:t>
      </w:r>
      <w:r w:rsidR="005C12DE" w:rsidRPr="00CE37D0">
        <w:t>s suteikimas</w:t>
      </w:r>
      <w:r w:rsidRPr="00CE37D0">
        <w:t xml:space="preserve"> vieniems interesams neišvengiamai </w:t>
      </w:r>
      <w:r w:rsidR="009A7F34">
        <w:t>riboj</w:t>
      </w:r>
      <w:r w:rsidRPr="00CE37D0">
        <w:t xml:space="preserve">a kitus. Nepateisinama pernelyg </w:t>
      </w:r>
      <w:r w:rsidR="00AE6316">
        <w:t>sureikšminti</w:t>
      </w:r>
      <w:r w:rsidRPr="00CE37D0">
        <w:t xml:space="preserve"> nei visuomenės interes</w:t>
      </w:r>
      <w:r w:rsidR="00AE6316">
        <w:t>us</w:t>
      </w:r>
      <w:r w:rsidRPr="00CE37D0">
        <w:t>, nei jos narių privačių interes</w:t>
      </w:r>
      <w:r w:rsidR="00AE6316">
        <w:t>us</w:t>
      </w:r>
      <w:r w:rsidRPr="00CE37D0">
        <w:t>, būtina</w:t>
      </w:r>
      <w:r w:rsidR="00AE6316">
        <w:t xml:space="preserve"> protingai juos derinti</w:t>
      </w:r>
      <w:r w:rsidRPr="00CE37D0">
        <w:t xml:space="preserve">. Ši tendencija turi atsispindėti įstatymuose, taip pat ir reguliuojančiuose baudžiamojo proceso santykius. </w:t>
      </w:r>
    </w:p>
    <w:p w:rsidR="00B13F95" w:rsidRDefault="003E3809" w:rsidP="00B13F95">
      <w:pPr>
        <w:spacing w:line="360" w:lineRule="auto"/>
        <w:ind w:firstLine="851"/>
        <w:jc w:val="both"/>
      </w:pPr>
      <w:r w:rsidRPr="00CE37D0">
        <w:t>Vien</w:t>
      </w:r>
      <w:r w:rsidR="006558EA">
        <w:t>a</w:t>
      </w:r>
      <w:r w:rsidRPr="00CE37D0">
        <w:t xml:space="preserve"> iš ryškiausių viešumo ir privatumo santykio </w:t>
      </w:r>
      <w:r w:rsidR="006558EA">
        <w:t>derinimo platformų</w:t>
      </w:r>
      <w:r w:rsidRPr="00CE37D0">
        <w:t xml:space="preserve"> baudžiamajame procese yra privataus kaltinimo institutas, kurio normos reguliuoja ypatingą baudžiamosios teisenos tam tikros kategorijos bylose tvarką. Privataus kaltinimo teisinis reguliavimas yra savotiška ribinė zona tarp valstybės pareigos užtikrinti asmens apsaugą nuo nusikalstamų kėsinimųsi ir valstybės pagarbos privačiam asmens gyvenimui. Taigi įstatymų leidėjas</w:t>
      </w:r>
      <w:r w:rsidR="00F85019" w:rsidRPr="00CE37D0">
        <w:t>,</w:t>
      </w:r>
      <w:r w:rsidRPr="00CE37D0">
        <w:t xml:space="preserve"> siekdamas įtvirtinti teisingą procesą, turi </w:t>
      </w:r>
      <w:r w:rsidR="006D02FB" w:rsidRPr="00CE37D0">
        <w:t>numatyti tokį</w:t>
      </w:r>
      <w:r w:rsidR="00C20D6E">
        <w:t xml:space="preserve"> </w:t>
      </w:r>
      <w:r w:rsidR="006D02FB" w:rsidRPr="00CE37D0">
        <w:t>p</w:t>
      </w:r>
      <w:r w:rsidRPr="00CE37D0">
        <w:t>r</w:t>
      </w:r>
      <w:r w:rsidR="006D02FB" w:rsidRPr="00CE37D0">
        <w:t>ivataus kaltinimo bylų proceso teisinį</w:t>
      </w:r>
      <w:r w:rsidRPr="00CE37D0">
        <w:t xml:space="preserve"> reguliavim</w:t>
      </w:r>
      <w:r w:rsidR="006D02FB" w:rsidRPr="00CE37D0">
        <w:t>ą, kuriame</w:t>
      </w:r>
      <w:r w:rsidR="00C20D6E">
        <w:t xml:space="preserve"> </w:t>
      </w:r>
      <w:r w:rsidR="006D02FB" w:rsidRPr="00CE37D0">
        <w:t>būtų</w:t>
      </w:r>
      <w:r w:rsidRPr="00CE37D0">
        <w:t xml:space="preserve"> suderintas asmens </w:t>
      </w:r>
      <w:r w:rsidR="006D02FB" w:rsidRPr="00CE37D0">
        <w:t>interesa</w:t>
      </w:r>
      <w:r w:rsidRPr="00CE37D0">
        <w:t>s apsaugoti savo privatumą ir valstybės pareiga ginti asmenį nuo nusikalstamų veikų baudžiamojo proceso priemonėmis. Tačiau</w:t>
      </w:r>
      <w:r w:rsidR="00C20D6E">
        <w:t xml:space="preserve"> </w:t>
      </w:r>
      <w:r w:rsidRPr="00CE37D0">
        <w:t xml:space="preserve">kokiais atvejais turi būti taikomas būtent šis teisinis reguliavimas, yra diskusinis klausimas, iki šiol </w:t>
      </w:r>
      <w:r w:rsidR="00AE7EC5">
        <w:t xml:space="preserve">plačiau </w:t>
      </w:r>
      <w:r w:rsidRPr="00CE37D0">
        <w:t xml:space="preserve">neanalizuotas </w:t>
      </w:r>
      <w:r w:rsidR="008C07BF">
        <w:t>moksl</w:t>
      </w:r>
      <w:r w:rsidRPr="00CE37D0">
        <w:t xml:space="preserve">inėje jurisprudencijoje. </w:t>
      </w:r>
    </w:p>
    <w:p w:rsidR="00B13F95" w:rsidRPr="00CE37D0" w:rsidRDefault="00B13F95" w:rsidP="00B13F95">
      <w:pPr>
        <w:spacing w:line="360" w:lineRule="auto"/>
        <w:ind w:firstLine="851"/>
        <w:jc w:val="both"/>
      </w:pPr>
      <w:r w:rsidRPr="00CE37D0">
        <w:t>Privataus kaltinimo teisinio reguliavimo ištakas pirmiausia reikia analizuoti teisinių idėjų (teisinės politikos) ontologiniame lygmenyje. ET formuojamoje baudžiamojoje politikoje, įtvirtintoje ET rekomendacijose baudžiamojo proceso srityje, nuosekliai pabrėžiama būtinybė užtikrinti greitą ir efektyvų teisingumo įvykdymą. Taip pat akcentuojamas poreikis racionaliai dėlioti baudžiamosios politikos prioritetus. Bendra principinė baudžiamosios politikos linija, būdinga Europos Sąjungos valstybių nacionalinei baudžiamajai politikai</w:t>
      </w:r>
      <w:r w:rsidR="00AE7EC5">
        <w:t>,</w:t>
      </w:r>
      <w:r w:rsidRPr="00CE37D0">
        <w:t xml:space="preserve"> apibūdintina terminu baudžiamosios politikos poliarizacija (arba išsišakojimu, angl. </w:t>
      </w:r>
      <w:r w:rsidRPr="00CE37D0">
        <w:rPr>
          <w:i/>
        </w:rPr>
        <w:t>bifurcation</w:t>
      </w:r>
      <w:r w:rsidRPr="00CE37D0">
        <w:t xml:space="preserve">). </w:t>
      </w:r>
      <w:r w:rsidRPr="00CE37D0">
        <w:rPr>
          <w:rStyle w:val="Puslapioinaosnuoroda"/>
        </w:rPr>
        <w:footnoteReference w:id="211"/>
      </w:r>
      <w:r w:rsidRPr="00CE37D0">
        <w:t xml:space="preserve"> Šis terminas apibūdina baudžiamąją politiką, kai išskiriamos tam tikros prioritetinės kryptys skirtingų nusikaltimų ar asmenų grupių atžvilgiu, kur baudžiamasis persekiojimas yra intensyvinamas ir stiprinamas, o likusiose srityse kuo plačiau taikomos supaprastintos ar alternatyvios baudžiamosioms priemonės ir procedūros, taip pat akcentuojama ir nusikaltimų aukų teisių ir </w:t>
      </w:r>
      <w:r w:rsidRPr="00CE37D0">
        <w:lastRenderedPageBreak/>
        <w:t xml:space="preserve">interesų apsaugos svarba baudžiamajame procese, kas laikytina bendro pobūdžio baudžiamąja politine tendencija. </w:t>
      </w:r>
      <w:r w:rsidRPr="00CE37D0">
        <w:rPr>
          <w:rStyle w:val="Puslapioinaosnuoroda"/>
        </w:rPr>
        <w:footnoteReference w:id="212"/>
      </w:r>
      <w:r w:rsidRPr="00CE37D0">
        <w:t xml:space="preserve"> Baudžiamosios politikos tendencijos atsispindi ir baudžiamojo proceso diferenciacijos procesuose. Bendra nuostata yra tokia, kad</w:t>
      </w:r>
      <w:r w:rsidR="00C20D6E">
        <w:t>,</w:t>
      </w:r>
      <w:r w:rsidRPr="00CE37D0">
        <w:t xml:space="preserve"> esant dideliam ir įvairiam nusikalstamumui, skirtingoms nusikalstamų veikų padarymo aplinkybėms, nevienodam nusikalstamas veikas padariusių asmenų statusui, neįmanoma veiksmingai kontroliuoti nusikalstamumo, nustatant ir taikant bendrą baudžiamąją procesinę formą. </w:t>
      </w:r>
      <w:r w:rsidRPr="00CE37D0">
        <w:rPr>
          <w:rStyle w:val="Puslapioinaosnuoroda"/>
        </w:rPr>
        <w:footnoteReference w:id="213"/>
      </w:r>
      <w:r w:rsidRPr="00CE37D0">
        <w:t xml:space="preserve"> Taigi baudžiamoji politika gali būti įgyvendinama per baudžiamojo proceso diferenciaciją: </w:t>
      </w:r>
      <w:r w:rsidR="00E355F1">
        <w:t>mažiau pavojingų visuomenei</w:t>
      </w:r>
      <w:r w:rsidRPr="00CE37D0">
        <w:t xml:space="preserve"> nusikaltimų baudžiamosios politikos požiūriu atžvilgiu taikant supaprastintas arba alternatyvias procedūras. </w:t>
      </w:r>
      <w:r w:rsidR="005226DB">
        <w:t xml:space="preserve">Tiek supaprastintų proceso formų, tiek alternatyvių apkaltinamajam nuosprendžiui baudžiamosios bylos išsprendimo formų paskirtis yra ne tik proceso ekonomija, bet ir baudžiamosios atsakomybės ar kitokios valstybės reakcijos į nusikalstamą veiką įvykdžiusį asmenį individualizavimas. </w:t>
      </w:r>
      <w:r w:rsidR="005226DB">
        <w:rPr>
          <w:rStyle w:val="Puslapioinaosnuoroda"/>
        </w:rPr>
        <w:footnoteReference w:id="214"/>
      </w:r>
    </w:p>
    <w:p w:rsidR="00B13F95" w:rsidRPr="00CE37D0" w:rsidRDefault="00B13F95" w:rsidP="00B13F95">
      <w:pPr>
        <w:shd w:val="clear" w:color="auto" w:fill="FFFFFF"/>
        <w:spacing w:line="360" w:lineRule="auto"/>
        <w:ind w:right="133" w:firstLine="851"/>
        <w:jc w:val="both"/>
      </w:pPr>
      <w:r w:rsidRPr="00CE37D0">
        <w:t xml:space="preserve">Baudžiamosios politikos kontekste privataus kaltinimo reikšmė suprantama daugiau negatyviąja prasme. Jei privataus kaltinimo </w:t>
      </w:r>
      <w:r w:rsidR="00AE7EC5">
        <w:t>tvarka nagrinėjamoms nusikalstamoms veikoms</w:t>
      </w:r>
      <w:r w:rsidRPr="00CE37D0">
        <w:t xml:space="preserve"> būtų taikoma bendra baudžiamojo proceso forma, šių nusikalstamų veikų persekiojimui valstybė turėtų skirti gerokai daugiau administracinių išteklių nei privataus kaltinimo teisės įgyvendinimo užtikrinimui. Valstybei naudinga ne tik ikiteisminio tyrimo sąnaudų ekonomija privataus kaltinimo bylose, bet ir negatyvusis privataus kaltinimo teisės aspektas, t.y. daugeliu atvejų dėl privataus kaltinimo deliktų iš viso nebūna inicijuojamas baudžiamasis procesas. </w:t>
      </w:r>
    </w:p>
    <w:p w:rsidR="00B13F95" w:rsidRPr="00CE37D0" w:rsidRDefault="00B13F95" w:rsidP="00B13F95">
      <w:pPr>
        <w:shd w:val="clear" w:color="auto" w:fill="FFFFFF"/>
        <w:spacing w:line="360" w:lineRule="auto"/>
        <w:ind w:right="133" w:firstLine="851"/>
        <w:jc w:val="both"/>
      </w:pPr>
      <w:r w:rsidRPr="00CE37D0">
        <w:t xml:space="preserve">Be to, privataus kaltinimo diferencijavimo pagrindu laikytinas </w:t>
      </w:r>
      <w:r w:rsidR="00AE7EC5">
        <w:t>ir tikslingumo motyvas. Valstybei neturėtų būti užkrauta pareig</w:t>
      </w:r>
      <w:r w:rsidRPr="00CE37D0">
        <w:t xml:space="preserve">a tirti </w:t>
      </w:r>
      <w:r w:rsidR="00AE7EC5">
        <w:t xml:space="preserve">kiekvieną </w:t>
      </w:r>
      <w:r w:rsidRPr="00CE37D0">
        <w:t>asmenin</w:t>
      </w:r>
      <w:r w:rsidR="00AE7EC5">
        <w:t>į</w:t>
      </w:r>
      <w:r w:rsidRPr="00CE37D0">
        <w:t xml:space="preserve"> konflikt</w:t>
      </w:r>
      <w:r w:rsidR="00AE7EC5">
        <w:t>ą</w:t>
      </w:r>
      <w:r w:rsidRPr="00CE37D0">
        <w:t>. N</w:t>
      </w:r>
      <w:r w:rsidR="00AE7EC5">
        <w:t>ors privataus kaltinimo sferai priskirtos nusikalstamos veikos</w:t>
      </w:r>
      <w:r w:rsidRPr="00CE37D0">
        <w:t xml:space="preserve"> yra svarb</w:t>
      </w:r>
      <w:r w:rsidR="00AE7EC5">
        <w:t>io</w:t>
      </w:r>
      <w:r w:rsidRPr="00CE37D0">
        <w:t xml:space="preserve">s nukentėjusio asmens teisių ir teisėtų interesų apsaugos atžvilgiu, tačiau, vertinant pagal viešojo intereso arba visuomeninės reikšmės kriterijų, dažniausiai šios veikos nėra reikšmingos, todėl jų baudžiamasis persekiojimas nėra prioritetinis. Privataus kaltinimo </w:t>
      </w:r>
      <w:r w:rsidR="00AE7EC5">
        <w:t>bylų nagrinėjimas</w:t>
      </w:r>
      <w:r w:rsidRPr="00CE37D0">
        <w:t xml:space="preserve"> yra svarbus tiek, kiek svarbi yra nukentėjusiojo teisių ir teisėtų interesų apsauga, todėl šiuo aspektu privataus kaltinimo teisės įtvirtinimas laikytinas pakankamu teisiniu instrumentu. </w:t>
      </w:r>
    </w:p>
    <w:p w:rsidR="003E3809" w:rsidRPr="00CE37D0" w:rsidRDefault="003E3809" w:rsidP="003E3809">
      <w:pPr>
        <w:spacing w:line="360" w:lineRule="auto"/>
        <w:ind w:firstLine="851"/>
        <w:jc w:val="both"/>
      </w:pPr>
      <w:r w:rsidRPr="00CE37D0">
        <w:lastRenderedPageBreak/>
        <w:t xml:space="preserve">Baudžiamojo proceso moksle nebuvo nagrinėti kriterijai, kuriais remiantis viena ar kita nusikalstama veika būtų </w:t>
      </w:r>
      <w:r w:rsidR="00AE7EC5">
        <w:t xml:space="preserve">priskirtina privačiam ar </w:t>
      </w:r>
      <w:r w:rsidR="00397E48">
        <w:t>privačiai viešam</w:t>
      </w:r>
      <w:r w:rsidRPr="00CE37D0">
        <w:t xml:space="preserve"> kaltinimui</w:t>
      </w:r>
      <w:r w:rsidR="00F85019" w:rsidRPr="00CE37D0">
        <w:t>.</w:t>
      </w:r>
      <w:r w:rsidR="00397E48">
        <w:t xml:space="preserve"> </w:t>
      </w:r>
      <w:r w:rsidR="006558EA">
        <w:t xml:space="preserve">2002 m. </w:t>
      </w:r>
      <w:r w:rsidRPr="00CE37D0">
        <w:t xml:space="preserve">BK reikšmingai išplėtė sąrašą veikų, kuriose ikiteisminis tyrimas atliekamas tik esant nukentėjusiojo skundui, t.y. </w:t>
      </w:r>
      <w:r w:rsidR="00397E48">
        <w:t>privačiai viešo</w:t>
      </w:r>
      <w:r w:rsidRPr="00CE37D0">
        <w:t xml:space="preserve"> kaltinimo tvarka, kai iniciatyva pradėti baudžiamąjį procesą dėl padarytos nusikalstamos veikos priklauso nukentėjusiajam, tačiau toliau procesas vyksta bendra tvarka ir nukentėjusysis nebeturi diskrecijos nulemti tolesnės proceso eigos. Tačiau privataus kaltinimo bylų sąrašas praktiškai išliko nepakitęs. </w:t>
      </w:r>
    </w:p>
    <w:p w:rsidR="003E3809" w:rsidRPr="00CE37D0" w:rsidRDefault="003E3809" w:rsidP="003E3809">
      <w:pPr>
        <w:spacing w:line="360" w:lineRule="auto"/>
        <w:ind w:firstLine="851"/>
        <w:jc w:val="both"/>
      </w:pPr>
      <w:r w:rsidRPr="00CE37D0">
        <w:t xml:space="preserve">BPK neįtvirtina viešo, </w:t>
      </w:r>
      <w:r w:rsidR="00397E48">
        <w:t>privačiai viešo</w:t>
      </w:r>
      <w:r w:rsidRPr="00CE37D0">
        <w:t xml:space="preserve"> ir privataus kaltinimo bylų proceso atribojimo kriterijų. Pagrindų nustatant diferencijuotą teisinį reguliavimą tam tikrų veikų atžvilgiu (nagrinėjamu atveju </w:t>
      </w:r>
      <w:r w:rsidR="00397E48">
        <w:t>–</w:t>
      </w:r>
      <w:r w:rsidRPr="00CE37D0">
        <w:t xml:space="preserve"> kaltinimo</w:t>
      </w:r>
      <w:r w:rsidR="006D02FB" w:rsidRPr="00CE37D0">
        <w:t xml:space="preserve"> procesinės formos diferencijavimo</w:t>
      </w:r>
      <w:r w:rsidRPr="00CE37D0">
        <w:t xml:space="preserve">) </w:t>
      </w:r>
      <w:r w:rsidR="005C3FF2" w:rsidRPr="00CE37D0">
        <w:t xml:space="preserve">išskyrimas yra baudžiamojo proceso teorijos dalykas, tačiau jų </w:t>
      </w:r>
      <w:r w:rsidRPr="00CE37D0">
        <w:t>nustatymas turi principinę reikšmę diskusijoms dėl šios diferencijuotos kaltinimo rūšies egzistavimo tikslingumo</w:t>
      </w:r>
      <w:r w:rsidR="005C12DE" w:rsidRPr="00CE37D0">
        <w:t xml:space="preserve"> bei taikymo apimties</w:t>
      </w:r>
      <w:r w:rsidRPr="00CE37D0">
        <w:t xml:space="preserve">. </w:t>
      </w:r>
    </w:p>
    <w:p w:rsidR="0049512A" w:rsidRPr="00CE37D0" w:rsidRDefault="0049512A" w:rsidP="0049512A">
      <w:pPr>
        <w:shd w:val="clear" w:color="auto" w:fill="FFFFFF"/>
        <w:spacing w:line="360" w:lineRule="auto"/>
        <w:ind w:right="133" w:firstLine="851"/>
        <w:jc w:val="both"/>
      </w:pPr>
      <w:r w:rsidRPr="00CE37D0">
        <w:t xml:space="preserve">Viešo, </w:t>
      </w:r>
      <w:r w:rsidR="00397E48">
        <w:t>privačiai viešo</w:t>
      </w:r>
      <w:r w:rsidRPr="00CE37D0">
        <w:t xml:space="preserve"> ir privataus kaltinimo bylų proceso atribojimo kriterijus randame konstitucinėje jurisprudencijoje. Konstitucinis Teismas, 2006 m. sausio 16 d. nutarime pasisakydamas dėl baudžiamojo proceso normų, reguliuojančių privataus kaltinimo bylų procesą, konstitucingumo, </w:t>
      </w:r>
      <w:r w:rsidRPr="00CE37D0">
        <w:rPr>
          <w:i/>
        </w:rPr>
        <w:t>inter alia</w:t>
      </w:r>
      <w:r w:rsidRPr="00CE37D0">
        <w:t>, pasisakė ir dėl kriterijų, kuriais vadovaudamasis įstatymų leidėjas gali įtvirtinti tokį teisinį reguliavimą, k</w:t>
      </w:r>
      <w:r w:rsidR="00F85019" w:rsidRPr="00CE37D0">
        <w:t>ai</w:t>
      </w:r>
      <w:r w:rsidRPr="00CE37D0">
        <w:t xml:space="preserve"> pagrindu pradėti tam tikros nusikalstamos veikos tyrimą gali būti tik paties nukentėjusio asmens (ar jo atstovo) kreipimasis (prašymas, pareiškimas, skundas</w:t>
      </w:r>
      <w:r w:rsidR="00E355F1">
        <w:t xml:space="preserve"> </w:t>
      </w:r>
      <w:r w:rsidRPr="00CE37D0">
        <w:t>ar</w:t>
      </w:r>
      <w:r w:rsidR="00E355F1">
        <w:t xml:space="preserve"> </w:t>
      </w:r>
      <w:r w:rsidRPr="00CE37D0">
        <w:t xml:space="preserve">kt.) dėl nusikalstamos veikos, o per bylos nagrinėjimą teisme </w:t>
      </w:r>
      <w:r w:rsidR="00F85019" w:rsidRPr="00CE37D0">
        <w:t xml:space="preserve">valstybinis </w:t>
      </w:r>
      <w:r w:rsidRPr="00CE37D0">
        <w:t>kaltinimas nėra palaikomas. Nutarime nepateiktas baigtinis ir išsamus šių kriterijų sąrašas, tačiau eksplicitiškai išskirti materialūs teisiniai kriterijai: pažeisto intereso pobūdis ir</w:t>
      </w:r>
      <w:r w:rsidR="00397E48">
        <w:t xml:space="preserve"> </w:t>
      </w:r>
      <w:r w:rsidRPr="00CE37D0">
        <w:t xml:space="preserve">nusikalstamų veikų charakteristikos: pobūdis, pavojingumas (sunkumas), mastas, kiti požymiai. Taip pat savarankiškai išskirtas procesinis kriterijus </w:t>
      </w:r>
      <w:r w:rsidR="00397E48">
        <w:t>–</w:t>
      </w:r>
      <w:r w:rsidR="00397E48" w:rsidRPr="00CE37D0">
        <w:t xml:space="preserve"> </w:t>
      </w:r>
      <w:r w:rsidRPr="00CE37D0">
        <w:t>nukentėjusio asmens valia.</w:t>
      </w:r>
    </w:p>
    <w:p w:rsidR="003E3809" w:rsidRPr="00CE37D0" w:rsidRDefault="003E3809" w:rsidP="003E3809">
      <w:pPr>
        <w:spacing w:line="360" w:lineRule="auto"/>
        <w:ind w:firstLine="851"/>
        <w:jc w:val="both"/>
      </w:pPr>
      <w:r w:rsidRPr="00CE37D0">
        <w:t xml:space="preserve">Teoriniai privataus kaltinimo pagrindai detaliau nagrinėjami rusų </w:t>
      </w:r>
      <w:r w:rsidR="008C07BF">
        <w:t>moksl</w:t>
      </w:r>
      <w:r w:rsidRPr="00CE37D0">
        <w:t xml:space="preserve">inėje jurisprudencijoje. Vakarų šalyse (Vokietija, Ispanija) </w:t>
      </w:r>
      <w:r w:rsidR="008C07BF">
        <w:t>moksl</w:t>
      </w:r>
      <w:r w:rsidRPr="00CE37D0">
        <w:t>inių tyrimų kryptis apima daugiau privataus kaltinimo proceso ypatumus ir šio proceso kritinį vertinimą, todėl, siekiant išskirti teoriniu</w:t>
      </w:r>
      <w:r w:rsidR="005C3FF2" w:rsidRPr="00CE37D0">
        <w:t>s</w:t>
      </w:r>
      <w:r w:rsidRPr="00CE37D0">
        <w:t xml:space="preserve"> pagrindus ir pateikti jų klasifikaciją, šiame darbe daugiausia remiamasi Rusijos mokslininkų įžvalgomis. Išanalizavus mokslininkų nuomones privataus ir viešo kaltinimo atribojimo kriterijų klausimu, </w:t>
      </w:r>
      <w:r w:rsidRPr="00CE37D0">
        <w:rPr>
          <w:vertAlign w:val="superscript"/>
        </w:rPr>
        <w:footnoteReference w:id="215"/>
      </w:r>
      <w:r w:rsidRPr="00CE37D0">
        <w:t xml:space="preserve"> galima įsitikinti, kad jos yra prieštaringos, neišsamios ir dažnai nepakankamai argumentuotos. </w:t>
      </w:r>
    </w:p>
    <w:p w:rsidR="003E3809" w:rsidRPr="00CE37D0" w:rsidRDefault="003E3809" w:rsidP="003E3809">
      <w:pPr>
        <w:shd w:val="clear" w:color="auto" w:fill="FFFFFF"/>
        <w:spacing w:line="360" w:lineRule="auto"/>
        <w:ind w:firstLine="851"/>
        <w:jc w:val="both"/>
        <w:rPr>
          <w:rFonts w:ascii="TimesNewRomanPSMT" w:hAnsi="TimesNewRomanPSMT"/>
        </w:rPr>
      </w:pPr>
      <w:r w:rsidRPr="00CE37D0">
        <w:rPr>
          <w:rFonts w:ascii="TimesNewRomanPSMT" w:hAnsi="TimesNewRomanPSMT"/>
        </w:rPr>
        <w:lastRenderedPageBreak/>
        <w:t>Siekiant išsamiai išnagrinėti privataus kaltinimo teorinius pagrindus</w:t>
      </w:r>
      <w:r w:rsidR="00397E48">
        <w:rPr>
          <w:rFonts w:ascii="TimesNewRomanPSMT" w:hAnsi="TimesNewRomanPSMT"/>
        </w:rPr>
        <w:t>,</w:t>
      </w:r>
      <w:r w:rsidRPr="00CE37D0">
        <w:rPr>
          <w:rFonts w:ascii="TimesNewRomanPSMT" w:hAnsi="TimesNewRomanPSMT"/>
        </w:rPr>
        <w:t xml:space="preserve"> nėra tiksl</w:t>
      </w:r>
      <w:r w:rsidR="006558EA">
        <w:rPr>
          <w:rFonts w:ascii="TimesNewRomanPSMT" w:hAnsi="TimesNewRomanPSMT"/>
        </w:rPr>
        <w:t>o</w:t>
      </w:r>
      <w:r w:rsidRPr="00CE37D0">
        <w:rPr>
          <w:rFonts w:ascii="TimesNewRomanPSMT" w:hAnsi="TimesNewRomanPSMT"/>
        </w:rPr>
        <w:t xml:space="preserve"> apsiriboti </w:t>
      </w:r>
      <w:r w:rsidR="005C12DE" w:rsidRPr="00CE37D0">
        <w:rPr>
          <w:rFonts w:ascii="TimesNewRomanPSMT" w:hAnsi="TimesNewRomanPSMT"/>
        </w:rPr>
        <w:t xml:space="preserve">vien procesiniais kaltinimo ir proceso diferencijavimo elementais ar </w:t>
      </w:r>
      <w:r w:rsidRPr="00CE37D0">
        <w:rPr>
          <w:rFonts w:ascii="TimesNewRomanPSMT" w:hAnsi="TimesNewRomanPSMT"/>
        </w:rPr>
        <w:t>vien materialiomis kategorijomis (</w:t>
      </w:r>
      <w:r w:rsidRPr="00CE37D0">
        <w:rPr>
          <w:rFonts w:ascii="TimesNewRomanPSMT" w:hAnsi="TimesNewRomanPSMT"/>
          <w:iCs/>
        </w:rPr>
        <w:t>teisinėmis sąlygomis)</w:t>
      </w:r>
      <w:r w:rsidR="005C12DE" w:rsidRPr="00CE37D0">
        <w:rPr>
          <w:rFonts w:ascii="TimesNewRomanPSMT" w:hAnsi="TimesNewRomanPSMT"/>
          <w:iCs/>
        </w:rPr>
        <w:t>,</w:t>
      </w:r>
      <w:r w:rsidRPr="00CE37D0">
        <w:rPr>
          <w:rFonts w:ascii="TimesNewRomanPSMT" w:hAnsi="TimesNewRomanPSMT"/>
        </w:rPr>
        <w:t xml:space="preserve"> analizuo</w:t>
      </w:r>
      <w:r w:rsidR="005C12DE" w:rsidRPr="00CE37D0">
        <w:rPr>
          <w:rFonts w:ascii="TimesNewRomanPSMT" w:hAnsi="TimesNewRomanPSMT"/>
        </w:rPr>
        <w:t xml:space="preserve">jant </w:t>
      </w:r>
      <w:r w:rsidRPr="00CE37D0">
        <w:rPr>
          <w:rFonts w:ascii="TimesNewRomanPSMT" w:hAnsi="TimesNewRomanPSMT"/>
        </w:rPr>
        <w:t xml:space="preserve">tik </w:t>
      </w:r>
      <w:r w:rsidRPr="00CE37D0">
        <w:rPr>
          <w:rFonts w:ascii="TimesNewRomanPSMT" w:hAnsi="TimesNewRomanPSMT"/>
          <w:iCs/>
        </w:rPr>
        <w:t>nusikalstamų veikų teisinės prigimties</w:t>
      </w:r>
      <w:r w:rsidR="008C0AE3" w:rsidRPr="00CE37D0">
        <w:rPr>
          <w:rFonts w:ascii="TimesNewRomanPSMT" w:hAnsi="TimesNewRomanPSMT"/>
        </w:rPr>
        <w:t xml:space="preserve"> ypatumus</w:t>
      </w:r>
      <w:r w:rsidRPr="00CE37D0">
        <w:rPr>
          <w:rFonts w:ascii="TimesNewRomanPSMT" w:hAnsi="TimesNewRomanPSMT"/>
          <w:iCs/>
        </w:rPr>
        <w:t xml:space="preserve">. </w:t>
      </w:r>
      <w:r w:rsidRPr="00CE37D0">
        <w:rPr>
          <w:rFonts w:ascii="TimesNewRomanPSMT" w:hAnsi="TimesNewRomanPSMT"/>
        </w:rPr>
        <w:t xml:space="preserve">Diferencijavimo teorinių pagrindų sistema gali būti klasifikuojama priklausomai nuo to, kokiu aspektu yra nagrinėjama ši problema. Šiame tyrime išskiriami </w:t>
      </w:r>
      <w:r w:rsidR="005D6812" w:rsidRPr="00CE37D0">
        <w:t>privataus kaltinimo procesinės formos diferencijavimo pagrindai</w:t>
      </w:r>
      <w:r w:rsidRPr="00CE37D0">
        <w:rPr>
          <w:rFonts w:ascii="TimesNewRomanPSMT" w:hAnsi="TimesNewRomanPSMT"/>
        </w:rPr>
        <w:t xml:space="preserve"> klasifikuojami į materialius teisinius </w:t>
      </w:r>
      <w:r w:rsidR="005D6812" w:rsidRPr="00CE37D0">
        <w:t xml:space="preserve">(kaltinimo diferencijavimo) </w:t>
      </w:r>
      <w:r w:rsidRPr="00CE37D0">
        <w:rPr>
          <w:rFonts w:ascii="TimesNewRomanPSMT" w:hAnsi="TimesNewRomanPSMT"/>
        </w:rPr>
        <w:t xml:space="preserve">ir procesinius </w:t>
      </w:r>
      <w:r w:rsidR="005D6812" w:rsidRPr="00CE37D0">
        <w:t>(proceso diferencijavimo)</w:t>
      </w:r>
      <w:r w:rsidRPr="00CE37D0">
        <w:rPr>
          <w:rFonts w:ascii="TimesNewRomanPSMT" w:hAnsi="TimesNewRomanPSMT"/>
        </w:rPr>
        <w:t xml:space="preserve">. </w:t>
      </w:r>
    </w:p>
    <w:p w:rsidR="003E3809" w:rsidRPr="00CE37D0" w:rsidRDefault="003E3809" w:rsidP="003E3809">
      <w:pPr>
        <w:shd w:val="clear" w:color="auto" w:fill="FFFFFF"/>
        <w:spacing w:line="360" w:lineRule="auto"/>
        <w:ind w:firstLine="851"/>
        <w:jc w:val="both"/>
        <w:rPr>
          <w:rFonts w:ascii="TimesNewRomanPSMT" w:hAnsi="TimesNewRomanPSMT"/>
        </w:rPr>
      </w:pPr>
      <w:r w:rsidRPr="00CE37D0">
        <w:t xml:space="preserve">Materialiems teisiniams (kaltinimo diferencijavimo) pagrindams priskirtina: </w:t>
      </w:r>
    </w:p>
    <w:p w:rsidR="003E3809" w:rsidRPr="00CE37D0" w:rsidRDefault="007E2E16" w:rsidP="00755132">
      <w:pPr>
        <w:widowControl w:val="0"/>
        <w:numPr>
          <w:ilvl w:val="0"/>
          <w:numId w:val="7"/>
        </w:numPr>
        <w:shd w:val="clear" w:color="auto" w:fill="FFFFFF"/>
        <w:tabs>
          <w:tab w:val="left" w:pos="1267"/>
        </w:tabs>
        <w:autoSpaceDE w:val="0"/>
        <w:autoSpaceDN w:val="0"/>
        <w:adjustRightInd w:val="0"/>
        <w:spacing w:line="360" w:lineRule="auto"/>
        <w:ind w:left="0" w:right="68" w:firstLine="851"/>
        <w:jc w:val="both"/>
      </w:pPr>
      <w:r>
        <w:t>n</w:t>
      </w:r>
      <w:r w:rsidR="003E3809" w:rsidRPr="00CE37D0">
        <w:t>usikalstamos veikos objekto specifika</w:t>
      </w:r>
      <w:r>
        <w:t>;</w:t>
      </w:r>
    </w:p>
    <w:p w:rsidR="003E3809" w:rsidRPr="00CE37D0" w:rsidRDefault="007E2E16" w:rsidP="00755132">
      <w:pPr>
        <w:widowControl w:val="0"/>
        <w:numPr>
          <w:ilvl w:val="0"/>
          <w:numId w:val="7"/>
        </w:numPr>
        <w:shd w:val="clear" w:color="auto" w:fill="FFFFFF"/>
        <w:tabs>
          <w:tab w:val="left" w:pos="1267"/>
        </w:tabs>
        <w:autoSpaceDE w:val="0"/>
        <w:autoSpaceDN w:val="0"/>
        <w:adjustRightInd w:val="0"/>
        <w:spacing w:line="360" w:lineRule="auto"/>
        <w:ind w:left="0" w:firstLine="851"/>
        <w:jc w:val="both"/>
      </w:pPr>
      <w:r>
        <w:t>m</w:t>
      </w:r>
      <w:r w:rsidR="003E3809" w:rsidRPr="00CE37D0">
        <w:t>ažesnis nusikalstamų veikų pavojingumo laipsnis</w:t>
      </w:r>
      <w:r>
        <w:t>;</w:t>
      </w:r>
    </w:p>
    <w:p w:rsidR="003E3809" w:rsidRPr="00CE37D0" w:rsidRDefault="007E2E16" w:rsidP="00755132">
      <w:pPr>
        <w:widowControl w:val="0"/>
        <w:numPr>
          <w:ilvl w:val="0"/>
          <w:numId w:val="7"/>
        </w:numPr>
        <w:shd w:val="clear" w:color="auto" w:fill="FFFFFF"/>
        <w:tabs>
          <w:tab w:val="left" w:pos="1267"/>
        </w:tabs>
        <w:autoSpaceDE w:val="0"/>
        <w:autoSpaceDN w:val="0"/>
        <w:adjustRightInd w:val="0"/>
        <w:spacing w:line="360" w:lineRule="auto"/>
        <w:ind w:left="0" w:right="68" w:firstLine="851"/>
        <w:jc w:val="both"/>
      </w:pPr>
      <w:r>
        <w:t>t</w:t>
      </w:r>
      <w:r w:rsidR="003E3809" w:rsidRPr="00CE37D0">
        <w:t xml:space="preserve">eisinio konflikto (baudžiamojo teisinio santykio) šalių specifika. </w:t>
      </w:r>
    </w:p>
    <w:p w:rsidR="003E3809" w:rsidRPr="00CE37D0" w:rsidRDefault="003E3809" w:rsidP="003E3809">
      <w:pPr>
        <w:shd w:val="clear" w:color="auto" w:fill="FFFFFF"/>
        <w:spacing w:line="360" w:lineRule="auto"/>
        <w:ind w:firstLine="851"/>
        <w:jc w:val="both"/>
        <w:rPr>
          <w:rFonts w:ascii="TimesNewRomanPSMT" w:hAnsi="TimesNewRomanPSMT"/>
          <w:u w:val="single"/>
        </w:rPr>
      </w:pPr>
      <w:r w:rsidRPr="00E355F1">
        <w:t>Procesiniams (proceso diferencijavimo) pagrindams priskirtina</w:t>
      </w:r>
      <w:r w:rsidRPr="00CE37D0">
        <w:rPr>
          <w:rFonts w:ascii="TimesNewRomanPSMT" w:hAnsi="TimesNewRomanPSMT"/>
          <w:u w:val="single"/>
        </w:rPr>
        <w:t>:</w:t>
      </w:r>
    </w:p>
    <w:p w:rsidR="003E3809" w:rsidRPr="00CE37D0" w:rsidRDefault="007E2E16" w:rsidP="00755132">
      <w:pPr>
        <w:widowControl w:val="0"/>
        <w:numPr>
          <w:ilvl w:val="0"/>
          <w:numId w:val="6"/>
        </w:numPr>
        <w:shd w:val="clear" w:color="auto" w:fill="FFFFFF"/>
        <w:tabs>
          <w:tab w:val="left" w:pos="1454"/>
        </w:tabs>
        <w:autoSpaceDE w:val="0"/>
        <w:autoSpaceDN w:val="0"/>
        <w:adjustRightInd w:val="0"/>
        <w:spacing w:line="360" w:lineRule="auto"/>
        <w:ind w:left="0" w:right="23" w:firstLine="851"/>
        <w:jc w:val="both"/>
      </w:pPr>
      <w:r>
        <w:t>į</w:t>
      </w:r>
      <w:r w:rsidR="003E3809" w:rsidRPr="00CE37D0">
        <w:t xml:space="preserve">rodinėjimo </w:t>
      </w:r>
      <w:r w:rsidR="000A0E91">
        <w:t>ypatumai</w:t>
      </w:r>
      <w:r>
        <w:t>;</w:t>
      </w:r>
    </w:p>
    <w:p w:rsidR="003E3809" w:rsidRPr="00CE37D0" w:rsidRDefault="007E2E16" w:rsidP="00755132">
      <w:pPr>
        <w:widowControl w:val="0"/>
        <w:numPr>
          <w:ilvl w:val="0"/>
          <w:numId w:val="6"/>
        </w:numPr>
        <w:shd w:val="clear" w:color="auto" w:fill="FFFFFF"/>
        <w:tabs>
          <w:tab w:val="left" w:pos="1454"/>
        </w:tabs>
        <w:autoSpaceDE w:val="0"/>
        <w:autoSpaceDN w:val="0"/>
        <w:adjustRightInd w:val="0"/>
        <w:spacing w:line="360" w:lineRule="auto"/>
        <w:ind w:left="0" w:right="23" w:firstLine="851"/>
        <w:jc w:val="both"/>
      </w:pPr>
      <w:r>
        <w:t>n</w:t>
      </w:r>
      <w:r w:rsidR="003E3809" w:rsidRPr="00CE37D0">
        <w:t xml:space="preserve">ukentėjusiojo </w:t>
      </w:r>
      <w:r w:rsidR="0062366B">
        <w:t>požiūris</w:t>
      </w:r>
      <w:r w:rsidR="00397E48">
        <w:t xml:space="preserve"> </w:t>
      </w:r>
      <w:r w:rsidR="0062366B">
        <w:t>į</w:t>
      </w:r>
      <w:r w:rsidR="003E3809" w:rsidRPr="00CE37D0">
        <w:t xml:space="preserve"> nusikalstam</w:t>
      </w:r>
      <w:r w:rsidR="0062366B">
        <w:t>ą</w:t>
      </w:r>
      <w:r w:rsidR="003E3809" w:rsidRPr="00CE37D0">
        <w:t xml:space="preserve"> veik</w:t>
      </w:r>
      <w:r w:rsidR="0062366B">
        <w:t>ą</w:t>
      </w:r>
      <w:r>
        <w:t>;</w:t>
      </w:r>
    </w:p>
    <w:p w:rsidR="00835426" w:rsidRPr="000A0E91" w:rsidRDefault="007E2E16" w:rsidP="00755132">
      <w:pPr>
        <w:widowControl w:val="0"/>
        <w:numPr>
          <w:ilvl w:val="0"/>
          <w:numId w:val="6"/>
        </w:numPr>
        <w:shd w:val="clear" w:color="auto" w:fill="FFFFFF"/>
        <w:tabs>
          <w:tab w:val="left" w:pos="1267"/>
        </w:tabs>
        <w:autoSpaceDE w:val="0"/>
        <w:autoSpaceDN w:val="0"/>
        <w:adjustRightInd w:val="0"/>
        <w:spacing w:line="360" w:lineRule="auto"/>
        <w:ind w:left="0" w:right="27" w:firstLine="851"/>
        <w:jc w:val="both"/>
      </w:pPr>
      <w:r>
        <w:t>a</w:t>
      </w:r>
      <w:r w:rsidR="003E3809" w:rsidRPr="00CE37D0">
        <w:t>ntrinės viktimizacijos tikimybė.</w:t>
      </w:r>
    </w:p>
    <w:p w:rsidR="003E3809" w:rsidRPr="00CE37D0" w:rsidRDefault="003E3809" w:rsidP="003E3809">
      <w:pPr>
        <w:widowControl w:val="0"/>
        <w:shd w:val="clear" w:color="auto" w:fill="FFFFFF"/>
        <w:tabs>
          <w:tab w:val="left" w:pos="1267"/>
        </w:tabs>
        <w:autoSpaceDE w:val="0"/>
        <w:autoSpaceDN w:val="0"/>
        <w:adjustRightInd w:val="0"/>
        <w:spacing w:line="360" w:lineRule="auto"/>
        <w:ind w:right="27" w:firstLine="851"/>
        <w:jc w:val="both"/>
      </w:pPr>
      <w:r w:rsidRPr="00CE37D0">
        <w:rPr>
          <w:rFonts w:ascii="TimesNewRomanPSMT" w:hAnsi="TimesNewRomanPSMT"/>
        </w:rPr>
        <w:t>Ki</w:t>
      </w:r>
      <w:r w:rsidRPr="00CE37D0">
        <w:t xml:space="preserve">ekvieno iš nurodytų teorinių pagrindų analizė įgalins moksliškai paaiškinti privataus kaltinimo instituto esmę, parodys materialinės ir procesinės teisės ryšį, padės apibrėžti nusikalstamų veikų, kurios turi būti </w:t>
      </w:r>
      <w:r w:rsidR="00E355F1">
        <w:t>nagrinė</w:t>
      </w:r>
      <w:r w:rsidRPr="00CE37D0">
        <w:t>j</w:t>
      </w:r>
      <w:r w:rsidR="00E355F1">
        <w:t>amos privataus kaltinimo tvarka</w:t>
      </w:r>
      <w:r w:rsidRPr="00CE37D0">
        <w:t xml:space="preserve">, ratą. </w:t>
      </w:r>
    </w:p>
    <w:p w:rsidR="003E3809" w:rsidRPr="00CE37D0" w:rsidRDefault="00E272A5" w:rsidP="000D6DF9">
      <w:pPr>
        <w:pStyle w:val="Antrat3"/>
        <w:spacing w:before="0" w:after="0" w:line="360" w:lineRule="auto"/>
        <w:jc w:val="both"/>
      </w:pPr>
      <w:bookmarkStart w:id="85" w:name="_Toc307574202"/>
      <w:bookmarkStart w:id="86" w:name="_Toc333484083"/>
      <w:bookmarkStart w:id="87" w:name="_Toc365498838"/>
      <w:bookmarkStart w:id="88" w:name="_Toc370139901"/>
      <w:bookmarkStart w:id="89" w:name="_Toc400321681"/>
      <w:r>
        <w:rPr>
          <w:rFonts w:ascii="TimesNewRomanPSMT" w:hAnsi="TimesNewRomanPSMT"/>
        </w:rPr>
        <w:t>3</w:t>
      </w:r>
      <w:r w:rsidR="003E3809" w:rsidRPr="00CE37D0">
        <w:rPr>
          <w:rFonts w:ascii="TimesNewRomanPSMT" w:hAnsi="TimesNewRomanPSMT"/>
        </w:rPr>
        <w:t>.</w:t>
      </w:r>
      <w:r>
        <w:rPr>
          <w:rFonts w:ascii="TimesNewRomanPSMT" w:hAnsi="TimesNewRomanPSMT"/>
        </w:rPr>
        <w:t>1</w:t>
      </w:r>
      <w:r w:rsidR="003E3809" w:rsidRPr="00CE37D0">
        <w:rPr>
          <w:rFonts w:ascii="TimesNewRomanPSMT" w:hAnsi="TimesNewRomanPSMT"/>
        </w:rPr>
        <w:t xml:space="preserve">.1. </w:t>
      </w:r>
      <w:r w:rsidR="003E3809" w:rsidRPr="00CE37D0">
        <w:t>Materiali</w:t>
      </w:r>
      <w:r w:rsidR="00A95669">
        <w:t>ej</w:t>
      </w:r>
      <w:r w:rsidR="003E3809" w:rsidRPr="00CE37D0">
        <w:t>i teisiniai (kaltinimo diferencijavimo) pagrindai</w:t>
      </w:r>
      <w:bookmarkEnd w:id="85"/>
      <w:bookmarkEnd w:id="86"/>
      <w:bookmarkEnd w:id="87"/>
      <w:bookmarkEnd w:id="88"/>
      <w:bookmarkEnd w:id="89"/>
    </w:p>
    <w:p w:rsidR="003E3809" w:rsidRPr="00CE37D0" w:rsidRDefault="005C12DE" w:rsidP="00755132">
      <w:pPr>
        <w:numPr>
          <w:ilvl w:val="0"/>
          <w:numId w:val="8"/>
        </w:numPr>
        <w:shd w:val="clear" w:color="auto" w:fill="FFFFFF"/>
        <w:spacing w:line="360" w:lineRule="auto"/>
        <w:ind w:left="0" w:right="55" w:firstLine="851"/>
        <w:jc w:val="both"/>
        <w:rPr>
          <w:rStyle w:val="Emfaz"/>
        </w:rPr>
      </w:pPr>
      <w:r w:rsidRPr="00CE37D0">
        <w:rPr>
          <w:rStyle w:val="Emfaz"/>
        </w:rPr>
        <w:t>Nusikalstam</w:t>
      </w:r>
      <w:r w:rsidR="007D0D27">
        <w:rPr>
          <w:rStyle w:val="Emfaz"/>
        </w:rPr>
        <w:t>os</w:t>
      </w:r>
      <w:r w:rsidRPr="00CE37D0">
        <w:rPr>
          <w:rStyle w:val="Emfaz"/>
        </w:rPr>
        <w:t xml:space="preserve"> veik</w:t>
      </w:r>
      <w:r w:rsidR="007D0D27">
        <w:rPr>
          <w:rStyle w:val="Emfaz"/>
        </w:rPr>
        <w:t>os</w:t>
      </w:r>
      <w:r w:rsidR="003E3809" w:rsidRPr="00CE37D0">
        <w:rPr>
          <w:rStyle w:val="Emfaz"/>
        </w:rPr>
        <w:t xml:space="preserve"> objekto specifika. </w:t>
      </w:r>
    </w:p>
    <w:p w:rsidR="003E3809" w:rsidRPr="00CE37D0" w:rsidRDefault="003E3809" w:rsidP="003E3809">
      <w:pPr>
        <w:shd w:val="clear" w:color="auto" w:fill="FFFFFF"/>
        <w:tabs>
          <w:tab w:val="left" w:pos="180"/>
        </w:tabs>
        <w:spacing w:line="360" w:lineRule="auto"/>
        <w:ind w:right="169" w:firstLine="851"/>
        <w:jc w:val="both"/>
      </w:pPr>
      <w:r w:rsidRPr="00AB5102">
        <w:t xml:space="preserve">Išimtinė nukentėjusiojo teisė reikšti iniciatyvą dėl </w:t>
      </w:r>
      <w:r w:rsidR="00E355F1">
        <w:t xml:space="preserve">baudžiamojimo </w:t>
      </w:r>
      <w:r w:rsidR="00E355F1" w:rsidRPr="00AB5102">
        <w:t>persekiojimo</w:t>
      </w:r>
      <w:r w:rsidR="00E355F1" w:rsidRPr="00AB5102">
        <w:t xml:space="preserve"> </w:t>
      </w:r>
      <w:r w:rsidR="00E355F1">
        <w:t xml:space="preserve">už </w:t>
      </w:r>
      <w:r w:rsidRPr="00AB5102">
        <w:t>tam tikr</w:t>
      </w:r>
      <w:r w:rsidR="00E355F1">
        <w:t>as</w:t>
      </w:r>
      <w:r w:rsidRPr="00AB5102">
        <w:t xml:space="preserve"> nusikalstam</w:t>
      </w:r>
      <w:r w:rsidR="00E355F1">
        <w:t>as veikas</w:t>
      </w:r>
      <w:r w:rsidRPr="00AB5102">
        <w:t xml:space="preserve"> </w:t>
      </w:r>
      <w:r w:rsidR="00AB5102" w:rsidRPr="00AB5102">
        <w:t>kyla iš</w:t>
      </w:r>
      <w:r w:rsidRPr="00AB5102">
        <w:t xml:space="preserve"> teisinių </w:t>
      </w:r>
      <w:r w:rsidR="005B4F1E" w:rsidRPr="00AB5102">
        <w:t>gėr</w:t>
      </w:r>
      <w:r w:rsidRPr="00AB5102">
        <w:t xml:space="preserve">ių, į kuriuos kėsinamasi nusikalstama veika, </w:t>
      </w:r>
      <w:r w:rsidR="00AB5102" w:rsidRPr="00AB5102">
        <w:t>specifikos</w:t>
      </w:r>
      <w:r w:rsidRPr="00AB5102">
        <w:t>.</w:t>
      </w:r>
      <w:r w:rsidRPr="00CE37D0">
        <w:t xml:space="preserve"> </w:t>
      </w:r>
      <w:r w:rsidR="005C12DE" w:rsidRPr="00CE37D0">
        <w:t xml:space="preserve">Daugelyje mokslinių tyrimų sutinkame tvirtinimą, kad kaltinimo rūšių diferencijavimo pagrindu turi būti nusikalstamo kėsinimosi objekto privati ar viešoji prigimtis. </w:t>
      </w:r>
      <w:r w:rsidR="005C12DE" w:rsidRPr="00CE37D0">
        <w:rPr>
          <w:vertAlign w:val="superscript"/>
        </w:rPr>
        <w:footnoteReference w:id="216"/>
      </w:r>
      <w:r w:rsidR="00397E48">
        <w:t xml:space="preserve"> </w:t>
      </w:r>
      <w:r w:rsidRPr="00CE37D0">
        <w:t xml:space="preserve">Nusikalstama </w:t>
      </w:r>
      <w:r w:rsidRPr="00CE37D0">
        <w:lastRenderedPageBreak/>
        <w:t>veika padarius žalą tam tikriems subjektyviems interesams, iškyla konfliktas tarp visuomenės intereso nubausti kaltininką ir nukentėjusio asmens negatyvaus intereso, kad baudžiamojo proceso nebūtų. Tuomet tikslinga įtvirtinti įstatyme atvejus, kai visuomenė, gerbdama nukentėjusio asmens interesus</w:t>
      </w:r>
      <w:r w:rsidR="005B4F1E">
        <w:t xml:space="preserve"> ir jo subjektyvų pageidavimą, </w:t>
      </w:r>
      <w:r w:rsidRPr="00CE37D0">
        <w:t xml:space="preserve">gali </w:t>
      </w:r>
      <w:r w:rsidR="005B4F1E">
        <w:t>ne</w:t>
      </w:r>
      <w:r w:rsidRPr="00CE37D0">
        <w:t xml:space="preserve">leisti valstybei inicijuoti baudžiamojo proceso. Valstybės atsisakymas nuo viešosios teisės į nusikalstamą veiką padariusio asmens nubaudimą teisėtas tik tais atvejais, kada asmens ir visuomenės interesams labiausiai atstovauja prievartinės baudžiamosios teisinės gynybos netaikymas. </w:t>
      </w:r>
      <w:r w:rsidRPr="00CE37D0">
        <w:rPr>
          <w:vertAlign w:val="superscript"/>
        </w:rPr>
        <w:footnoteReference w:id="217"/>
      </w:r>
      <w:r w:rsidR="00EC6D62">
        <w:t xml:space="preserve"> </w:t>
      </w:r>
      <w:r w:rsidR="007D0D27">
        <w:t>Taigi privataus kaltinimo bylų procese b</w:t>
      </w:r>
      <w:r w:rsidR="005C12DE" w:rsidRPr="00CE37D0">
        <w:t>audžiamasis teisinis mechanizmas pradeda veikti tik tuo atveju, kai tai atitinka nukentėjusio asmens interesus.</w:t>
      </w:r>
    </w:p>
    <w:p w:rsidR="003E3809" w:rsidRPr="00CE37D0" w:rsidRDefault="003E3809" w:rsidP="003E3809">
      <w:pPr>
        <w:shd w:val="clear" w:color="auto" w:fill="FFFFFF"/>
        <w:tabs>
          <w:tab w:val="left" w:pos="180"/>
        </w:tabs>
        <w:spacing w:line="360" w:lineRule="auto"/>
        <w:ind w:right="169" w:firstLine="851"/>
        <w:jc w:val="both"/>
      </w:pPr>
      <w:r w:rsidRPr="00CE37D0">
        <w:t xml:space="preserve">Mokslininkų nuomones dėl to, kokius interesus pažeidžia privataus kaltinimo </w:t>
      </w:r>
      <w:r w:rsidR="007D0D27">
        <w:t>tvarka nagrinėjamos nusikalstamos veikos</w:t>
      </w:r>
      <w:r w:rsidRPr="00CE37D0">
        <w:t>, galima suskirstyti į dvi grupes. Pirmieji teigia, kad valstybė pripažino nusikalstamomis taip pat ir tas veikas, kurios pažeidė vien tik (išimtinai) asmenines teises</w:t>
      </w:r>
      <w:r w:rsidRPr="00CE37D0">
        <w:rPr>
          <w:rFonts w:ascii="TimesNewRomanPSMT" w:hAnsi="TimesNewRomanPSMT"/>
        </w:rPr>
        <w:t>,</w:t>
      </w:r>
      <w:r w:rsidRPr="00CE37D0">
        <w:t xml:space="preserve"> todėl šiais atvejais valstybinių institucijų įsikišimas į privačių interesų ir privataus gyvenimo sferą leidžiamas tik su pačių nukentėjusiųjų sutikimu. Šio požiūrio šalininkai remiasi tuo, kad proceso istorijoje privatūs interesai buvo ginami paskiriant kaltiems asmenims bausmę dar iki to, kai atsirado valstybė ir jos valdžios institucijos. </w:t>
      </w:r>
      <w:r w:rsidRPr="00CE37D0">
        <w:rPr>
          <w:rStyle w:val="Puslapioinaosnuoroda"/>
        </w:rPr>
        <w:footnoteReference w:id="218"/>
      </w:r>
      <w:r w:rsidRPr="00CE37D0">
        <w:t xml:space="preserve"> Privataus delikto koncepcijos ištakas aptinkame dar Senovės Romos teisėje. Šios koncepcijos esmę sudaro prielaida, kad egzistuoja kategorija nusikaltimų, kurių persekiojimu valstybė nesuinteresuota ir kuriais kėsinamasi išimtinai į privačių asmenų teises, t.y. </w:t>
      </w:r>
      <w:r w:rsidR="00EC6D62">
        <w:t xml:space="preserve">tai </w:t>
      </w:r>
      <w:r w:rsidRPr="00CE37D0">
        <w:t xml:space="preserve">nusikaltimai, neturintys visuomeninio pavojingumo požymio. </w:t>
      </w:r>
      <w:r w:rsidRPr="00CE37D0">
        <w:rPr>
          <w:rStyle w:val="Puslapioinaosnuoroda"/>
        </w:rPr>
        <w:footnoteReference w:id="219"/>
      </w:r>
      <w:r w:rsidRPr="00CE37D0">
        <w:t xml:space="preserve"> Vadovaujantis šia teorija, darytina logiška išvada, kad privataus kaltinimo bylų kategorijai tikslinga priskirti tas nusikalstamas veikas, kurios nukreiptos išimtinai į konkretaus asmens teisėto intereso apribojimą ar pažeidimą ir nepažeidžia kitų individų teisių ir laisvių. Tačiau pamėginus išskirti nusikalstamas veikas pagal šį kriterijų, susiduriame su abejonėmis, ar tikrai egzistuoja nusikalstamos veikos, kurios nepažeidžia visos visuomenės ar jos dalies (tam tikros visuomenės grupės) interesų. </w:t>
      </w:r>
    </w:p>
    <w:p w:rsidR="003E3809" w:rsidRPr="00CE37D0" w:rsidRDefault="003E3809" w:rsidP="003E3809">
      <w:pPr>
        <w:spacing w:line="360" w:lineRule="auto"/>
        <w:ind w:firstLine="851"/>
        <w:jc w:val="both"/>
      </w:pPr>
      <w:r w:rsidRPr="00CE37D0">
        <w:t xml:space="preserve">Nusikalstamomis veikomis įstatymu gali būti pripažintos tik tokios veikos, kurios iš tikrųjų yra pavojingos ir kuriomis iš tikrųjų yra daroma žala asmens, visuomenės, valstybės interesams </w:t>
      </w:r>
      <w:r w:rsidRPr="00CE37D0">
        <w:lastRenderedPageBreak/>
        <w:t>arba dėl šių veikų kyla grėsmė, kad tokia žala bus padaryta.</w:t>
      </w:r>
      <w:r w:rsidR="00D9522D">
        <w:t xml:space="preserve"> </w:t>
      </w:r>
      <w:r w:rsidRPr="00CE37D0">
        <w:rPr>
          <w:rStyle w:val="Puslapioinaosnuoroda"/>
        </w:rPr>
        <w:footnoteReference w:id="220"/>
      </w:r>
      <w:r w:rsidRPr="00CE37D0">
        <w:t xml:space="preserve"> Demokratinės teisinės valstybės priedermė yra įstatymais uždrausti tokias veikas. Visos veikos, kuriomis pažeidžiami baudžiamojo įstatymo ginami gėriai, tiesiogiai ar netiesiogiai daro žalą valstybei ir visuomenei. </w:t>
      </w:r>
      <w:r w:rsidRPr="00CE37D0">
        <w:rPr>
          <w:rStyle w:val="Puslapioinaosnuoroda"/>
        </w:rPr>
        <w:footnoteReference w:id="221"/>
      </w:r>
      <w:r w:rsidRPr="00CE37D0">
        <w:t xml:space="preserve"> Ši idėja Vokietijos baudžiamojo proceso moksle išreiškiama</w:t>
      </w:r>
      <w:r w:rsidR="00957E5B" w:rsidRPr="00CE37D0">
        <w:t xml:space="preserve"> teisinio</w:t>
      </w:r>
      <w:r w:rsidRPr="00CE37D0">
        <w:t xml:space="preserve"> gėrio </w:t>
      </w:r>
      <w:proofErr w:type="gramStart"/>
      <w:r w:rsidRPr="00CE37D0">
        <w:t>(</w:t>
      </w:r>
      <w:proofErr w:type="gramEnd"/>
      <w:r w:rsidRPr="00CE37D0">
        <w:t xml:space="preserve">vok. </w:t>
      </w:r>
      <w:r w:rsidRPr="00CE37D0">
        <w:rPr>
          <w:i/>
        </w:rPr>
        <w:t>Rechtsgut</w:t>
      </w:r>
      <w:r w:rsidRPr="00CE37D0">
        <w:t xml:space="preserve">) sąvoka: </w:t>
      </w:r>
      <w:r w:rsidR="00957E5B" w:rsidRPr="00CE37D0">
        <w:t>teisini</w:t>
      </w:r>
      <w:r w:rsidRPr="00CE37D0">
        <w:t xml:space="preserve">s gėris turi tarnauti individų apsaugai ir turėti su jais funkcinį ryšį, todėl jo pažeidimas padaro socialinę žalą. </w:t>
      </w:r>
      <w:r w:rsidRPr="00CE37D0">
        <w:rPr>
          <w:vertAlign w:val="superscript"/>
        </w:rPr>
        <w:footnoteReference w:id="222"/>
      </w:r>
      <w:r w:rsidRPr="00CE37D0">
        <w:t xml:space="preserve"> Remiantis šia koncepcija, nusikalstamų veikų, kuriomis kėsinamasi tik į konkretaus asmens interesus ir nepažeidžiami visuomenės interesai, buvimas prieštarautų nusikalstamos veikos sampratai. </w:t>
      </w:r>
    </w:p>
    <w:p w:rsidR="005B4F1E" w:rsidRDefault="003E3809" w:rsidP="003E3809">
      <w:pPr>
        <w:shd w:val="clear" w:color="auto" w:fill="FFFFFF"/>
        <w:spacing w:line="360" w:lineRule="auto"/>
        <w:ind w:right="73" w:firstLine="851"/>
        <w:jc w:val="both"/>
        <w:rPr>
          <w:rFonts w:ascii="TimesNewRomanPSMT" w:hAnsi="TimesNewRomanPSMT"/>
        </w:rPr>
      </w:pPr>
      <w:r w:rsidRPr="00CE37D0">
        <w:t xml:space="preserve">Antrajai mokslininkų grupei būdingas kitoks požiūris, kuriuo neigiamas nusikalstamų veikų, pažeidžiančių tik privačius asmenų interesus, </w:t>
      </w:r>
      <w:r w:rsidR="00957E5B" w:rsidRPr="00CE37D0">
        <w:t>egzista</w:t>
      </w:r>
      <w:r w:rsidRPr="00CE37D0">
        <w:t>vimas. Pripažįstama, kad tarp privačių ir viešų</w:t>
      </w:r>
      <w:r w:rsidR="007D0D27">
        <w:t>jų</w:t>
      </w:r>
      <w:r w:rsidRPr="00CE37D0">
        <w:t xml:space="preserve"> interesų sferų egzistuoja sritis mišrių nusikalstamų veikų, kuriose privatus elementas sudaro </w:t>
      </w:r>
      <w:r w:rsidR="00EC6D62">
        <w:t xml:space="preserve">kur kas </w:t>
      </w:r>
      <w:r w:rsidRPr="00CE37D0">
        <w:t>didesnę kaltės prieš asmenį dalį lyginant su kalte visuomenės atžvilgiu. Ši nuomonė grindžiama bausmės, kuri skiriama valstybės vardu už bet kokią nusikalstamą veiką, viešumo požymiu, kurį lemia t</w:t>
      </w:r>
      <w:r w:rsidRPr="00CE37D0">
        <w:rPr>
          <w:rFonts w:ascii="TimesNewRomanPSMT" w:hAnsi="TimesNewRomanPSMT"/>
        </w:rPr>
        <w:t>eisės pažeidimo viešas pobūdis, t.y. viešo</w:t>
      </w:r>
      <w:r w:rsidR="007D0D27">
        <w:rPr>
          <w:rFonts w:ascii="TimesNewRomanPSMT" w:hAnsi="TimesNewRomanPSMT"/>
        </w:rPr>
        <w:t>jo</w:t>
      </w:r>
      <w:r w:rsidRPr="00CE37D0">
        <w:rPr>
          <w:rFonts w:ascii="TimesNewRomanPSMT" w:hAnsi="TimesNewRomanPSMT"/>
        </w:rPr>
        <w:t xml:space="preserve"> intereso pažeidimas. Pabrėžiama, kad teisinė nusikaltimo prigimtis glūdi tame, kad kaltas asmuo, padarydamas baudžiamojo įstatymo uždraustą veiką, iškelia savo subjektyvią valią virš objektyviosios, o bausme jis vėl paklūsta moralinei tvarkai. </w:t>
      </w:r>
      <w:r w:rsidRPr="00CE37D0">
        <w:rPr>
          <w:rStyle w:val="Puslapioinaosnuoroda"/>
          <w:rFonts w:ascii="TimesNewRomanPSMT" w:hAnsi="TimesNewRomanPSMT"/>
        </w:rPr>
        <w:footnoteReference w:id="223"/>
      </w:r>
      <w:r w:rsidRPr="00CE37D0">
        <w:rPr>
          <w:rFonts w:ascii="TimesNewRomanPSMT" w:hAnsi="TimesNewRomanPSMT"/>
        </w:rPr>
        <w:t xml:space="preserve"> Bausmę valstybė gali taikyti nepriklausomai nuo nukentėjusiojo nuomonės ir valios. </w:t>
      </w:r>
      <w:r w:rsidRPr="00CE37D0">
        <w:t>Iš to susiformavo tezė apie atskiro asmens interesų priešinimo visuomenės interesams nepakankamumą. Kadangi asmens ir visuomenės interesai neatskiriami, veika, užtraukusi valstybės skiriamą bausmę, negali būti laikoma pasikėsinimu tik į atskirą asmenį. Remiantis tokiu samprotavimu, kai kurie mokslininkai tvirtina, kad įstatymų leidėjas priskyrė kai kurias veikas privataus kaltinimo</w:t>
      </w:r>
      <w:r w:rsidR="00654490">
        <w:t xml:space="preserve"> tvarka nagrinėjamų</w:t>
      </w:r>
      <w:r w:rsidR="00EC6D62">
        <w:t xml:space="preserve"> </w:t>
      </w:r>
      <w:r w:rsidR="00654490">
        <w:t>nusikalstamų veik</w:t>
      </w:r>
      <w:r w:rsidRPr="00CE37D0">
        <w:t>ų kategorijai ne todėl, kad jos pažeidžia tik privačius interesus, o todėl, kad šios veikos pripažįstamos pavojingomis visuomenei priklausomai nuo subjektyvių sąlygų: nuo konflikto dalyvių tarpusavio santykių, nuo to, kaip padarytą veiką suvokia nukentėjusysis</w:t>
      </w:r>
      <w:r w:rsidRPr="00CE37D0">
        <w:rPr>
          <w:rFonts w:ascii="TimesNewRomanPSMT" w:hAnsi="TimesNewRomanPSMT"/>
        </w:rPr>
        <w:t xml:space="preserve">. </w:t>
      </w:r>
      <w:r w:rsidRPr="00CE37D0">
        <w:rPr>
          <w:rStyle w:val="Puslapioinaosnuoroda"/>
          <w:rFonts w:ascii="TimesNewRomanPSMT" w:hAnsi="TimesNewRomanPSMT"/>
        </w:rPr>
        <w:footnoteReference w:id="224"/>
      </w:r>
    </w:p>
    <w:p w:rsidR="00EA49C0" w:rsidRPr="00CE37D0" w:rsidRDefault="00957E5B" w:rsidP="00E85083">
      <w:pPr>
        <w:shd w:val="clear" w:color="auto" w:fill="FFFFFF"/>
        <w:spacing w:line="360" w:lineRule="auto"/>
        <w:ind w:right="73" w:firstLine="851"/>
        <w:jc w:val="both"/>
      </w:pPr>
      <w:r w:rsidRPr="00CE37D0">
        <w:rPr>
          <w:rFonts w:ascii="TimesNewRomanPSMT" w:hAnsi="TimesNewRomanPSMT"/>
        </w:rPr>
        <w:lastRenderedPageBreak/>
        <w:t xml:space="preserve">Šios nuomonės vertintinos kaip du </w:t>
      </w:r>
      <w:r w:rsidR="00EC0504" w:rsidRPr="00CE37D0">
        <w:rPr>
          <w:rFonts w:ascii="TimesNewRomanPSMT" w:hAnsi="TimesNewRomanPSMT"/>
        </w:rPr>
        <w:t xml:space="preserve">kraštutinumai, tačiau besąlygiškai negalima sutikti nei su viena iš jų. </w:t>
      </w:r>
      <w:r w:rsidR="003E3809" w:rsidRPr="00CE37D0">
        <w:rPr>
          <w:rFonts w:ascii="TimesNewRomanPSMT" w:hAnsi="TimesNewRomanPSMT"/>
        </w:rPr>
        <w:t>Įstatymų leidyboje visada iškyla privačių ir viešųjų interesų derinimo problema.</w:t>
      </w:r>
      <w:r w:rsidR="003E3809" w:rsidRPr="00CE37D0">
        <w:t xml:space="preserve"> Nežiūrint į tam tikras panašias savybes, leidžiančias atriboti interesų sferas vieną nuo kitos ir suskirstyti jas į grupes, </w:t>
      </w:r>
      <w:r w:rsidR="00EC0504" w:rsidRPr="00CE37D0">
        <w:t>atskir</w:t>
      </w:r>
      <w:r w:rsidR="003E3809" w:rsidRPr="00CE37D0">
        <w:t xml:space="preserve">o individo interesai </w:t>
      </w:r>
      <w:r w:rsidR="00EC0504" w:rsidRPr="00CE37D0">
        <w:t>nėra tapatūs</w:t>
      </w:r>
      <w:r w:rsidR="003E3809" w:rsidRPr="00CE37D0">
        <w:rPr>
          <w:rFonts w:ascii="TimesNewRomanPSMT" w:hAnsi="TimesNewRomanPSMT"/>
        </w:rPr>
        <w:t xml:space="preserve"> konkrečios socialinės grupės, kurios narys jis yra, interesa</w:t>
      </w:r>
      <w:r w:rsidR="00EC0504" w:rsidRPr="00CE37D0">
        <w:rPr>
          <w:rFonts w:ascii="TimesNewRomanPSMT" w:hAnsi="TimesNewRomanPSMT"/>
        </w:rPr>
        <w:t>m</w:t>
      </w:r>
      <w:r w:rsidR="003E3809" w:rsidRPr="00CE37D0">
        <w:rPr>
          <w:rFonts w:ascii="TimesNewRomanPSMT" w:hAnsi="TimesNewRomanPSMT"/>
        </w:rPr>
        <w:t>s, o taip pat ir valstybės, visuomenės interesa</w:t>
      </w:r>
      <w:r w:rsidR="00EC0504" w:rsidRPr="00CE37D0">
        <w:rPr>
          <w:rFonts w:ascii="TimesNewRomanPSMT" w:hAnsi="TimesNewRomanPSMT"/>
        </w:rPr>
        <w:t>m</w:t>
      </w:r>
      <w:r w:rsidR="003E3809" w:rsidRPr="00CE37D0">
        <w:rPr>
          <w:rFonts w:ascii="TimesNewRomanPSMT" w:hAnsi="TimesNewRomanPSMT"/>
        </w:rPr>
        <w:t xml:space="preserve">s. Būtent todėl bet kokioje visuomeninėje santvarkoje išlieka kiekvieno asmens individualaus privataus intereso užtikrinimo poreikis. </w:t>
      </w:r>
      <w:r w:rsidR="003E3809" w:rsidRPr="00CE37D0">
        <w:t>Padidintas dėmesys viešajam interesui visada nulemia privataus, asmeninio intereso visuomeniniuose santykiuose suvaržymą arba ir visišką ignoravimą. Jeigu vieša</w:t>
      </w:r>
      <w:r w:rsidR="00654490">
        <w:t>si</w:t>
      </w:r>
      <w:r w:rsidR="003E3809" w:rsidRPr="00CE37D0">
        <w:t xml:space="preserve">s, visuotinis interesas konfliktuoja su privačiais interesais, tada suvaržymai tenka visiems visuomenės nariams, priešingai jų teisėms ir asmeniniams interesams. </w:t>
      </w:r>
      <w:r w:rsidR="003E3809" w:rsidRPr="00CE37D0">
        <w:rPr>
          <w:rFonts w:ascii="TimesNewRomanPSMT" w:hAnsi="TimesNewRomanPSMT"/>
        </w:rPr>
        <w:t>Todėl m</w:t>
      </w:r>
      <w:r w:rsidR="005C12DE" w:rsidRPr="00CE37D0">
        <w:rPr>
          <w:rFonts w:ascii="TimesNewRomanPSMT" w:hAnsi="TimesNewRomanPSMT"/>
        </w:rPr>
        <w:t>anytina</w:t>
      </w:r>
      <w:r w:rsidR="003E3809" w:rsidRPr="00CE37D0">
        <w:rPr>
          <w:rFonts w:ascii="TimesNewRomanPSMT" w:hAnsi="TimesNewRomanPSMT"/>
        </w:rPr>
        <w:t>,</w:t>
      </w:r>
      <w:r w:rsidR="005C12DE" w:rsidRPr="00CE37D0">
        <w:rPr>
          <w:rFonts w:ascii="TimesNewRomanPSMT" w:hAnsi="TimesNewRomanPSMT"/>
        </w:rPr>
        <w:t xml:space="preserve"> kad</w:t>
      </w:r>
      <w:r w:rsidR="003E3809" w:rsidRPr="00CE37D0">
        <w:rPr>
          <w:rFonts w:ascii="TimesNewRomanPSMT" w:hAnsi="TimesNewRomanPSMT"/>
        </w:rPr>
        <w:t xml:space="preserve"> nusikalstama veika pažeidžiami privatūs interesai negali būti tapatinami su viešuoju visuomenės interesu. </w:t>
      </w:r>
      <w:r w:rsidR="003E3809" w:rsidRPr="00CE37D0">
        <w:t>Pritartina mokslininkams, kurie pripažįsta privataus intereso pažeidimą esant padarytai bet kokiai nusikalstamai veikai nukentėjusio asmens atžvilgiu (kai nukentėjęs yra fizinis asmuo). Tačiau skirtingais atvejais gali dominuoti arba viešojo, arba</w:t>
      </w:r>
      <w:r w:rsidR="00E85083" w:rsidRPr="00CE37D0">
        <w:t xml:space="preserve"> privataus intereso pažeidimas, todėl galima </w:t>
      </w:r>
      <w:r w:rsidR="003E3809" w:rsidRPr="00CE37D0">
        <w:t>išskir</w:t>
      </w:r>
      <w:r w:rsidR="00E85083" w:rsidRPr="00CE37D0">
        <w:t>ti</w:t>
      </w:r>
      <w:r w:rsidR="003E3809" w:rsidRPr="00CE37D0">
        <w:t xml:space="preserve"> nusikalstamų veikų, uždraustų ginant privačių asmenų interesus, ir mažai pažeidžiančių valstybinius interesus, buvimą (</w:t>
      </w:r>
      <w:r w:rsidR="00EA49C0" w:rsidRPr="00CE37D0">
        <w:t xml:space="preserve">t.y. </w:t>
      </w:r>
      <w:r w:rsidR="003E3809" w:rsidRPr="00CE37D0">
        <w:t xml:space="preserve">dominuoja privataus intereso pažeidimas). </w:t>
      </w:r>
    </w:p>
    <w:p w:rsidR="003E3809" w:rsidRPr="00CE37D0" w:rsidRDefault="003E3809" w:rsidP="003E3809">
      <w:pPr>
        <w:shd w:val="clear" w:color="auto" w:fill="FFFFFF"/>
        <w:tabs>
          <w:tab w:val="left" w:pos="6660"/>
        </w:tabs>
        <w:spacing w:line="360" w:lineRule="auto"/>
        <w:ind w:right="5" w:firstLine="851"/>
        <w:jc w:val="both"/>
      </w:pPr>
      <w:r w:rsidRPr="00CE37D0">
        <w:t xml:space="preserve">Privataus kaltinimo institutu įstatymų leidėjas suteikia prerogatyvą privačiam interesui. Privataus kaltinimo forma suponuoja ne tai, kad nusikalstama veika nepažeidžia viešojo intereso, o tai, kad tuo atveju privatus interesas yra svarbesnis, o jo pažeidimas yra reikšmingesnis. </w:t>
      </w:r>
      <w:r w:rsidR="00EC6D62">
        <w:t>Vadinasi,</w:t>
      </w:r>
      <w:r w:rsidRPr="00CE37D0">
        <w:t xml:space="preserve"> tokios nusikalstamos veikos persekiojimu valstybė yra nesuinteresuota ir sprendimo dėl baudžiamojo proceso inicijavimo teisę perleidžia nukentėjusiam asmeniui, kuris ir turi įvertinti jam padarytos žalos reikšmingumą ir kaltininko persekiojimo tikslingumą. Tai, kad už tokių nusikalstamų veikų padarymą numatyta griežčiausia atsakomybės forma </w:t>
      </w:r>
      <w:r w:rsidR="00EC6D62">
        <w:t>–</w:t>
      </w:r>
      <w:r w:rsidRPr="00CE37D0">
        <w:t xml:space="preserve"> baudžiamoji atsakomybė – rodo ne valstybės suinteresuotumą (viešąj</w:t>
      </w:r>
      <w:r w:rsidR="00654490">
        <w:t xml:space="preserve">į interesą), o tai, kad </w:t>
      </w:r>
      <w:r w:rsidR="00EC6D62">
        <w:t xml:space="preserve">baudžiamojo proceso priemonėmis </w:t>
      </w:r>
      <w:r w:rsidR="00654490">
        <w:t xml:space="preserve">užtikrinant </w:t>
      </w:r>
      <w:r w:rsidR="00EC6D62">
        <w:t>asmeninių vertybių</w:t>
      </w:r>
      <w:r w:rsidR="00654490">
        <w:t xml:space="preserve"> gynybą</w:t>
      </w:r>
      <w:r w:rsidR="00EC6D62">
        <w:t>,</w:t>
      </w:r>
      <w:r w:rsidR="008475B2">
        <w:t xml:space="preserve"> </w:t>
      </w:r>
      <w:r w:rsidR="00EC6D62">
        <w:t>jos</w:t>
      </w:r>
      <w:r w:rsidRPr="00CE37D0">
        <w:t xml:space="preserve"> </w:t>
      </w:r>
      <w:r w:rsidR="00654490" w:rsidRPr="00CE37D0">
        <w:t>pripažįsta</w:t>
      </w:r>
      <w:r w:rsidR="00654490">
        <w:t>mos</w:t>
      </w:r>
      <w:r w:rsidR="00EC6D62">
        <w:t xml:space="preserve"> </w:t>
      </w:r>
      <w:r w:rsidRPr="00CE37D0">
        <w:t>svarbiais teisiniais gėriais.</w:t>
      </w:r>
    </w:p>
    <w:p w:rsidR="003E3809" w:rsidRPr="00CE37D0" w:rsidRDefault="003E3809" w:rsidP="003E3809">
      <w:pPr>
        <w:shd w:val="clear" w:color="auto" w:fill="FFFFFF"/>
        <w:tabs>
          <w:tab w:val="left" w:pos="6660"/>
        </w:tabs>
        <w:spacing w:line="360" w:lineRule="auto"/>
        <w:ind w:right="5" w:firstLine="851"/>
        <w:jc w:val="both"/>
      </w:pPr>
      <w:r w:rsidRPr="00CE37D0">
        <w:t xml:space="preserve">Darytina išvada, kad nusikalstamų veikų, </w:t>
      </w:r>
      <w:r w:rsidR="00E355F1">
        <w:t>nagrinė</w:t>
      </w:r>
      <w:r w:rsidRPr="00CE37D0">
        <w:t xml:space="preserve">jamų privataus kaltinimo tvarka, tiesioginis objektas yra asmeninės teisės, kai didesnė žala padaroma privačiam, o ne viešajam interesui. </w:t>
      </w:r>
      <w:r w:rsidR="00EA49C0" w:rsidRPr="00CE37D0">
        <w:t xml:space="preserve">Šiai kategorijai priskirtinos nusikalstamos veikos, </w:t>
      </w:r>
      <w:r w:rsidR="00EC6D62">
        <w:t xml:space="preserve">pažeidžiančios </w:t>
      </w:r>
      <w:r w:rsidR="00781642">
        <w:t>teisin</w:t>
      </w:r>
      <w:r w:rsidR="00EC6D62">
        <w:t>į gėrį</w:t>
      </w:r>
      <w:r w:rsidR="00781642">
        <w:t xml:space="preserve">, kuriuo saugomas </w:t>
      </w:r>
      <w:r w:rsidR="00E85083" w:rsidRPr="00CE37D0">
        <w:t>privatus interesas</w:t>
      </w:r>
      <w:r w:rsidR="00EA49C0" w:rsidRPr="00CE37D0">
        <w:t xml:space="preserve">, o viešąjį interesą sudaro šių privačių interesų apsaugos svarba. </w:t>
      </w:r>
    </w:p>
    <w:p w:rsidR="003E3809" w:rsidRPr="00CE37D0" w:rsidRDefault="00EC6D62" w:rsidP="00755132">
      <w:pPr>
        <w:numPr>
          <w:ilvl w:val="0"/>
          <w:numId w:val="8"/>
        </w:numPr>
        <w:shd w:val="clear" w:color="auto" w:fill="FFFFFF"/>
        <w:spacing w:line="360" w:lineRule="auto"/>
        <w:ind w:left="0" w:right="159" w:firstLine="851"/>
        <w:jc w:val="both"/>
        <w:rPr>
          <w:rStyle w:val="Emfaz"/>
          <w:i w:val="0"/>
        </w:rPr>
      </w:pPr>
      <w:r>
        <w:rPr>
          <w:rStyle w:val="Emfaz"/>
        </w:rPr>
        <w:t>Mažesnis n</w:t>
      </w:r>
      <w:r w:rsidR="003E3809" w:rsidRPr="00CE37D0">
        <w:rPr>
          <w:rStyle w:val="Emfaz"/>
        </w:rPr>
        <w:t>usikalstamos veikos pavojingumas.</w:t>
      </w:r>
    </w:p>
    <w:p w:rsidR="003E3809" w:rsidRPr="00CE37D0" w:rsidRDefault="003E3809" w:rsidP="003E3809">
      <w:pPr>
        <w:shd w:val="clear" w:color="auto" w:fill="FFFFFF"/>
        <w:tabs>
          <w:tab w:val="left" w:pos="180"/>
        </w:tabs>
        <w:spacing w:line="360" w:lineRule="auto"/>
        <w:ind w:right="169" w:firstLine="851"/>
        <w:jc w:val="both"/>
      </w:pPr>
      <w:r w:rsidRPr="00CE37D0">
        <w:t>Valstybė, turėdama pareigą apsaugoti privačius ir viešus interesus, kurių pažeidimas pripažįstamas nusikalstama veika, turi teisės nubausti (</w:t>
      </w:r>
      <w:r w:rsidRPr="00CE37D0">
        <w:rPr>
          <w:i/>
        </w:rPr>
        <w:t>ius puniendi</w:t>
      </w:r>
      <w:r w:rsidRPr="00CE37D0">
        <w:t xml:space="preserve">) monopolį. </w:t>
      </w:r>
      <w:r w:rsidRPr="00CE37D0">
        <w:rPr>
          <w:rStyle w:val="Puslapioinaosnuoroda"/>
        </w:rPr>
        <w:footnoteReference w:id="225"/>
      </w:r>
      <w:r w:rsidRPr="00CE37D0">
        <w:t xml:space="preserve"> Jau Pirmajame </w:t>
      </w:r>
      <w:r w:rsidRPr="00CE37D0">
        <w:lastRenderedPageBreak/>
        <w:t xml:space="preserve">Lietuvos Statute </w:t>
      </w:r>
      <w:proofErr w:type="gramStart"/>
      <w:r w:rsidRPr="00CE37D0">
        <w:t>(</w:t>
      </w:r>
      <w:proofErr w:type="gramEnd"/>
      <w:r w:rsidRPr="00CE37D0">
        <w:t xml:space="preserve">1529 m.) buvo nurodyti pagrindiniai nusikaltimo požymiai: skriauda nukentėjusiajam ir žala valstybei, </w:t>
      </w:r>
      <w:r w:rsidRPr="00CE37D0">
        <w:rPr>
          <w:rStyle w:val="Puslapioinaosnuoroda"/>
        </w:rPr>
        <w:footnoteReference w:id="226"/>
      </w:r>
      <w:r w:rsidRPr="00CE37D0">
        <w:t xml:space="preserve"> t.y. tiek privačiam, tiek viešajam interesui. Analizuodami mažesnio veikos pavojingumo kriterijų turime atkreipti dėmesį į tai, kad įstatymų leidėjas, vertindamas nusikalstamos veikos pavojingumą, įvertina žalą tiek viešajam, tiek privačiam interesui. Materialus nusikalstamos veikos požymis, paaiškinantis, kodėl žmogaus poelgis visuomenės netoleruojamas, yra jos pavojingumas. </w:t>
      </w:r>
      <w:r w:rsidRPr="00CE37D0">
        <w:rPr>
          <w:vertAlign w:val="superscript"/>
        </w:rPr>
        <w:footnoteReference w:id="227"/>
      </w:r>
      <w:r w:rsidRPr="00CE37D0">
        <w:t xml:space="preserve"> Kuo didesnę visuomenės dalį paveikia nusikalstamos veikos padariniai, kuo reikšmingesnį visuomenės interesą pažeidžia, tuo veika pripažįstama pavojingesne. Todėl šis kriterijus susijęs ir su teisinių santykių sfera, kurioje padaroma nusikalstama veika. </w:t>
      </w:r>
    </w:p>
    <w:p w:rsidR="003E3809" w:rsidRPr="00CE37D0" w:rsidRDefault="003E3809" w:rsidP="003E3809">
      <w:pPr>
        <w:spacing w:line="360" w:lineRule="auto"/>
        <w:ind w:firstLine="851"/>
        <w:jc w:val="both"/>
        <w:rPr>
          <w:rFonts w:ascii="TimesNewRomanPSMT" w:hAnsi="TimesNewRomanPSMT"/>
          <w:spacing w:val="-6"/>
        </w:rPr>
      </w:pPr>
      <w:r w:rsidRPr="00CE37D0">
        <w:rPr>
          <w:rFonts w:ascii="TimesNewRomanPSMT" w:hAnsi="TimesNewRomanPSMT"/>
          <w:iCs/>
          <w:spacing w:val="-6"/>
        </w:rPr>
        <w:t>Santykinai nedidelį pavojingumą</w:t>
      </w:r>
      <w:r w:rsidRPr="00CE37D0">
        <w:rPr>
          <w:rFonts w:ascii="TimesNewRomanPSMT" w:hAnsi="TimesNewRomanPSMT"/>
          <w:spacing w:val="-6"/>
        </w:rPr>
        <w:t xml:space="preserve"> visuomenei lyginant su kitomis nusikalstamomis veikomis</w:t>
      </w:r>
      <w:r w:rsidRPr="00CE37D0">
        <w:rPr>
          <w:rFonts w:ascii="TimesNewRomanPSMT" w:hAnsi="TimesNewRomanPSMT"/>
          <w:iCs/>
          <w:spacing w:val="-6"/>
        </w:rPr>
        <w:t xml:space="preserve"> kaip privataus kaltinimo </w:t>
      </w:r>
      <w:r w:rsidR="00F6429F">
        <w:rPr>
          <w:rFonts w:ascii="TimesNewRomanPSMT" w:hAnsi="TimesNewRomanPSMT"/>
          <w:iCs/>
          <w:spacing w:val="-6"/>
        </w:rPr>
        <w:t>sferai priskiriamų nusikalstamų veikų</w:t>
      </w:r>
      <w:r w:rsidRPr="00CE37D0">
        <w:rPr>
          <w:rFonts w:ascii="TimesNewRomanPSMT" w:hAnsi="TimesNewRomanPSMT"/>
          <w:iCs/>
          <w:spacing w:val="-6"/>
        </w:rPr>
        <w:t xml:space="preserve"> požymį</w:t>
      </w:r>
      <w:r w:rsidRPr="00CE37D0">
        <w:rPr>
          <w:rFonts w:ascii="TimesNewRomanPSMT" w:hAnsi="TimesNewRomanPSMT"/>
          <w:spacing w:val="-6"/>
        </w:rPr>
        <w:t xml:space="preserve"> nurodo visi mokslininkai, kokiu nors aspektu tyrinėję privataus kaltinimo institutą. </w:t>
      </w:r>
      <w:r w:rsidRPr="00CE37D0">
        <w:rPr>
          <w:rFonts w:ascii="TimesNewRomanPSMT" w:hAnsi="TimesNewRomanPSMT"/>
          <w:spacing w:val="-6"/>
          <w:vertAlign w:val="superscript"/>
        </w:rPr>
        <w:footnoteReference w:id="228"/>
      </w:r>
      <w:r w:rsidRPr="00CE37D0">
        <w:rPr>
          <w:rFonts w:ascii="TimesNewRomanPSMT" w:hAnsi="TimesNewRomanPSMT"/>
          <w:spacing w:val="-6"/>
        </w:rPr>
        <w:t xml:space="preserve"> Santykinai mažas pavojingumas visuomenei lyginant su viešo</w:t>
      </w:r>
      <w:r w:rsidR="00F6429F">
        <w:rPr>
          <w:rFonts w:ascii="TimesNewRomanPSMT" w:hAnsi="TimesNewRomanPSMT"/>
          <w:spacing w:val="-6"/>
        </w:rPr>
        <w:t>jo</w:t>
      </w:r>
      <w:r w:rsidRPr="00CE37D0">
        <w:rPr>
          <w:rFonts w:ascii="TimesNewRomanPSMT" w:hAnsi="TimesNewRomanPSMT"/>
          <w:spacing w:val="-6"/>
        </w:rPr>
        <w:t xml:space="preserve"> kaltinimo bylomis pripažintinas </w:t>
      </w:r>
      <w:r w:rsidR="00F6429F">
        <w:rPr>
          <w:rFonts w:ascii="TimesNewRomanPSMT" w:hAnsi="TimesNewRomanPSMT"/>
          <w:spacing w:val="-6"/>
        </w:rPr>
        <w:t>ne tik privataus kaltinimo tvarka nagrinėjamų nusikal</w:t>
      </w:r>
      <w:r w:rsidR="00E355F1">
        <w:rPr>
          <w:rFonts w:ascii="TimesNewRomanPSMT" w:hAnsi="TimesNewRomanPSMT"/>
          <w:spacing w:val="-6"/>
        </w:rPr>
        <w:t>s</w:t>
      </w:r>
      <w:r w:rsidR="00F6429F">
        <w:rPr>
          <w:rFonts w:ascii="TimesNewRomanPSMT" w:hAnsi="TimesNewRomanPSMT"/>
          <w:spacing w:val="-6"/>
        </w:rPr>
        <w:t>tamų veikų</w:t>
      </w:r>
      <w:r w:rsidRPr="00F6429F">
        <w:rPr>
          <w:rFonts w:ascii="TimesNewRomanPSMT" w:hAnsi="TimesNewRomanPSMT"/>
          <w:spacing w:val="-6"/>
        </w:rPr>
        <w:t xml:space="preserve"> požymiu, </w:t>
      </w:r>
      <w:r w:rsidRPr="00CE37D0">
        <w:rPr>
          <w:rFonts w:ascii="TimesNewRomanPSMT" w:hAnsi="TimesNewRomanPSMT"/>
          <w:spacing w:val="-6"/>
        </w:rPr>
        <w:t xml:space="preserve">bet ir vienu iš pagrindų, kuriais vadovaujantis nusikalstamos veikos priskiriamos </w:t>
      </w:r>
      <w:r w:rsidR="00E355F1">
        <w:rPr>
          <w:rFonts w:ascii="TimesNewRomanPSMT" w:hAnsi="TimesNewRomanPSMT"/>
          <w:spacing w:val="-6"/>
        </w:rPr>
        <w:t>nagrinė</w:t>
      </w:r>
      <w:r w:rsidRPr="00CE37D0">
        <w:rPr>
          <w:rFonts w:ascii="TimesNewRomanPSMT" w:hAnsi="TimesNewRomanPSMT"/>
          <w:spacing w:val="-6"/>
        </w:rPr>
        <w:t xml:space="preserve">jamoms privataus kaltinimo tvarka. </w:t>
      </w:r>
      <w:r w:rsidRPr="00CE37D0">
        <w:rPr>
          <w:rStyle w:val="Puslapioinaosnuoroda"/>
          <w:rFonts w:ascii="TimesNewRomanPSMT" w:hAnsi="TimesNewRomanPSMT"/>
          <w:spacing w:val="-6"/>
        </w:rPr>
        <w:footnoteReference w:id="229"/>
      </w:r>
    </w:p>
    <w:p w:rsidR="003E3809" w:rsidRPr="00CE37D0" w:rsidRDefault="008C07BF" w:rsidP="003E3809">
      <w:pPr>
        <w:spacing w:line="360" w:lineRule="auto"/>
        <w:ind w:firstLine="851"/>
        <w:jc w:val="both"/>
        <w:rPr>
          <w:rFonts w:ascii="TimesNewRomanPSMT" w:hAnsi="TimesNewRomanPSMT"/>
          <w:spacing w:val="-6"/>
        </w:rPr>
      </w:pPr>
      <w:r>
        <w:rPr>
          <w:rFonts w:ascii="TimesNewRomanPSMT" w:hAnsi="TimesNewRomanPSMT"/>
          <w:spacing w:val="-6"/>
        </w:rPr>
        <w:t>Moksli</w:t>
      </w:r>
      <w:r w:rsidR="00E85083" w:rsidRPr="00CE37D0">
        <w:rPr>
          <w:rFonts w:ascii="TimesNewRomanPSMT" w:hAnsi="TimesNewRomanPSMT"/>
          <w:spacing w:val="-6"/>
        </w:rPr>
        <w:t>nėje literatūroje p</w:t>
      </w:r>
      <w:r w:rsidR="003E3809" w:rsidRPr="00CE37D0">
        <w:rPr>
          <w:rFonts w:ascii="TimesNewRomanPSMT" w:hAnsi="TimesNewRomanPSMT"/>
          <w:spacing w:val="-6"/>
        </w:rPr>
        <w:t>avojingumo visuomenei samprat</w:t>
      </w:r>
      <w:r w:rsidR="00E85083" w:rsidRPr="00CE37D0">
        <w:rPr>
          <w:rFonts w:ascii="TimesNewRomanPSMT" w:hAnsi="TimesNewRomanPSMT"/>
          <w:spacing w:val="-6"/>
        </w:rPr>
        <w:t>a grindžiama</w:t>
      </w:r>
      <w:r w:rsidR="003E3809" w:rsidRPr="00CE37D0">
        <w:rPr>
          <w:rFonts w:ascii="TimesNewRomanPSMT" w:hAnsi="TimesNewRomanPSMT"/>
          <w:spacing w:val="-6"/>
        </w:rPr>
        <w:t xml:space="preserve"> padarytos žalos arba keliamos grėsmės baudžiamojo įstatymo saugomiems visuomeniniams santykiams apimtimi, t.y. pavojingumas visuomenei yra ta žala, kuri</w:t>
      </w:r>
      <w:r w:rsidR="007E2E16">
        <w:rPr>
          <w:rFonts w:ascii="TimesNewRomanPSMT" w:hAnsi="TimesNewRomanPSMT"/>
          <w:spacing w:val="-6"/>
        </w:rPr>
        <w:t xml:space="preserve"> padaroma arba gali būti padaryta</w:t>
      </w:r>
      <w:r w:rsidR="008C3A79">
        <w:rPr>
          <w:rFonts w:ascii="TimesNewRomanPSMT" w:hAnsi="TimesNewRomanPSMT"/>
          <w:spacing w:val="-6"/>
        </w:rPr>
        <w:t xml:space="preserve"> </w:t>
      </w:r>
      <w:r w:rsidR="007E2E16" w:rsidRPr="00CE37D0">
        <w:rPr>
          <w:rFonts w:ascii="TimesNewRomanPSMT" w:hAnsi="TimesNewRomanPSMT"/>
          <w:spacing w:val="-6"/>
        </w:rPr>
        <w:t>(kelia</w:t>
      </w:r>
      <w:r w:rsidR="007E2E16">
        <w:rPr>
          <w:rFonts w:ascii="TimesNewRomanPSMT" w:hAnsi="TimesNewRomanPSMT"/>
          <w:spacing w:val="-6"/>
        </w:rPr>
        <w:t>ma</w:t>
      </w:r>
      <w:r w:rsidR="007E2E16" w:rsidRPr="00CE37D0">
        <w:rPr>
          <w:rFonts w:ascii="TimesNewRomanPSMT" w:hAnsi="TimesNewRomanPSMT"/>
          <w:spacing w:val="-6"/>
        </w:rPr>
        <w:t xml:space="preserve"> grėsm</w:t>
      </w:r>
      <w:r w:rsidR="007E2E16">
        <w:rPr>
          <w:rFonts w:ascii="TimesNewRomanPSMT" w:hAnsi="TimesNewRomanPSMT"/>
          <w:spacing w:val="-6"/>
        </w:rPr>
        <w:t>ė</w:t>
      </w:r>
      <w:r w:rsidR="007E2E16" w:rsidRPr="00CE37D0">
        <w:rPr>
          <w:rFonts w:ascii="TimesNewRomanPSMT" w:hAnsi="TimesNewRomanPSMT"/>
          <w:spacing w:val="-6"/>
        </w:rPr>
        <w:t xml:space="preserve">) </w:t>
      </w:r>
      <w:r w:rsidR="003E3809" w:rsidRPr="00CE37D0">
        <w:rPr>
          <w:rFonts w:ascii="TimesNewRomanPSMT" w:hAnsi="TimesNewRomanPSMT"/>
          <w:spacing w:val="-6"/>
        </w:rPr>
        <w:t>nusikalstama veika visuomeniniams santykiams</w:t>
      </w:r>
      <w:r w:rsidR="00E16954" w:rsidRPr="00CE37D0">
        <w:rPr>
          <w:rFonts w:ascii="TimesNewRomanPSMT" w:hAnsi="TimesNewRomanPSMT"/>
          <w:spacing w:val="-6"/>
        </w:rPr>
        <w:t>, atskiriems visuomenės nariams, grupėms ar jų interesams.</w:t>
      </w:r>
      <w:r w:rsidR="00D9522D">
        <w:rPr>
          <w:rFonts w:ascii="TimesNewRomanPSMT" w:hAnsi="TimesNewRomanPSMT"/>
          <w:spacing w:val="-6"/>
        </w:rPr>
        <w:t xml:space="preserve"> </w:t>
      </w:r>
      <w:r w:rsidR="003E3809" w:rsidRPr="00CE37D0">
        <w:rPr>
          <w:rStyle w:val="Puslapioinaosnuoroda"/>
          <w:rFonts w:ascii="TimesNewRomanPSMT" w:hAnsi="TimesNewRomanPSMT"/>
          <w:spacing w:val="-6"/>
        </w:rPr>
        <w:footnoteReference w:id="230"/>
      </w:r>
      <w:r w:rsidR="003E3809" w:rsidRPr="00CE37D0">
        <w:rPr>
          <w:rFonts w:ascii="TimesNewRomanPSMT" w:hAnsi="TimesNewRomanPSMT"/>
          <w:spacing w:val="-6"/>
        </w:rPr>
        <w:t xml:space="preserve"> Pavojingumo visuomenei požymis suprantamas kaip objektyvi savybė, grėsmės padaryti žalą visuomeniniams santykiams </w:t>
      </w:r>
      <w:r w:rsidR="00E16954" w:rsidRPr="00CE37D0">
        <w:rPr>
          <w:rStyle w:val="Puslapioinaosnuoroda"/>
          <w:rFonts w:ascii="TimesNewRomanPSMT" w:hAnsi="TimesNewRomanPSMT"/>
          <w:spacing w:val="-6"/>
        </w:rPr>
        <w:footnoteReference w:id="231"/>
      </w:r>
      <w:r w:rsidR="008C3A79">
        <w:rPr>
          <w:rFonts w:ascii="TimesNewRomanPSMT" w:hAnsi="TimesNewRomanPSMT"/>
          <w:spacing w:val="-6"/>
        </w:rPr>
        <w:t xml:space="preserve"> </w:t>
      </w:r>
      <w:r w:rsidR="003E3809" w:rsidRPr="00CE37D0">
        <w:rPr>
          <w:rFonts w:ascii="TimesNewRomanPSMT" w:hAnsi="TimesNewRomanPSMT"/>
          <w:spacing w:val="-6"/>
        </w:rPr>
        <w:t xml:space="preserve">matas. Tuo pačiu tai </w:t>
      </w:r>
      <w:r w:rsidR="008C3A79">
        <w:rPr>
          <w:rFonts w:ascii="TimesNewRomanPSMT" w:hAnsi="TimesNewRomanPSMT"/>
          <w:spacing w:val="-6"/>
        </w:rPr>
        <w:t>–</w:t>
      </w:r>
      <w:r w:rsidR="008C3A79" w:rsidRPr="00CE37D0">
        <w:rPr>
          <w:rFonts w:ascii="TimesNewRomanPSMT" w:hAnsi="TimesNewRomanPSMT"/>
          <w:spacing w:val="-6"/>
        </w:rPr>
        <w:t xml:space="preserve"> </w:t>
      </w:r>
      <w:r w:rsidR="003E3809" w:rsidRPr="00CE37D0">
        <w:rPr>
          <w:rFonts w:ascii="TimesNewRomanPSMT" w:hAnsi="TimesNewRomanPSMT"/>
          <w:spacing w:val="-6"/>
        </w:rPr>
        <w:t>vertinamoji sąvoka, kuri remiasi individo deviantinio elgesio analize (kaip sociologin</w:t>
      </w:r>
      <w:r w:rsidR="00E16954" w:rsidRPr="00CE37D0">
        <w:rPr>
          <w:rFonts w:ascii="TimesNewRomanPSMT" w:hAnsi="TimesNewRomanPSMT"/>
          <w:spacing w:val="-6"/>
        </w:rPr>
        <w:t>e</w:t>
      </w:r>
      <w:r w:rsidR="003E3809" w:rsidRPr="00CE37D0">
        <w:rPr>
          <w:rFonts w:ascii="TimesNewRomanPSMT" w:hAnsi="TimesNewRomanPSMT"/>
          <w:spacing w:val="-6"/>
        </w:rPr>
        <w:t xml:space="preserve"> kategorija). </w:t>
      </w:r>
      <w:r w:rsidR="00E16954" w:rsidRPr="00CE37D0">
        <w:rPr>
          <w:rFonts w:ascii="TimesNewRomanPSMT" w:hAnsi="TimesNewRomanPSMT"/>
          <w:spacing w:val="-6"/>
        </w:rPr>
        <w:t>V</w:t>
      </w:r>
      <w:r w:rsidR="00E16954" w:rsidRPr="00CE37D0">
        <w:t xml:space="preserve">eikos pavojingumas yra kriminalizavimo </w:t>
      </w:r>
      <w:r w:rsidR="00E16954" w:rsidRPr="00CE37D0">
        <w:lastRenderedPageBreak/>
        <w:t xml:space="preserve">prielaida, </w:t>
      </w:r>
      <w:r w:rsidR="00E16954" w:rsidRPr="00CE37D0">
        <w:rPr>
          <w:vertAlign w:val="superscript"/>
        </w:rPr>
        <w:footnoteReference w:id="232"/>
      </w:r>
      <w:r w:rsidR="00E16954" w:rsidRPr="00CE37D0">
        <w:t xml:space="preserve"> taigi p</w:t>
      </w:r>
      <w:r w:rsidR="003E3809" w:rsidRPr="00CE37D0">
        <w:t>avojingumo visuomenei požymio nebuvimas teisės pažeidimą iš viso eliminuotų iš nusikalstamų veikų sąrašo.</w:t>
      </w:r>
    </w:p>
    <w:p w:rsidR="003E3809" w:rsidRPr="00CE37D0" w:rsidRDefault="003E3809" w:rsidP="003E3809">
      <w:pPr>
        <w:spacing w:line="360" w:lineRule="auto"/>
        <w:ind w:firstLine="851"/>
        <w:jc w:val="both"/>
        <w:rPr>
          <w:rFonts w:ascii="TimesNewRomanPSMT" w:hAnsi="TimesNewRomanPSMT"/>
          <w:spacing w:val="-6"/>
        </w:rPr>
      </w:pPr>
      <w:r w:rsidRPr="00CE37D0">
        <w:rPr>
          <w:rFonts w:ascii="TimesNewRomanPSMT" w:hAnsi="TimesNewRomanPSMT"/>
          <w:spacing w:val="-6"/>
        </w:rPr>
        <w:t xml:space="preserve">Ir baudžiamosios teisės mokslas, ir baudžiamojo įstatymo normos išskiria pavojingumo visuomenei kokybinę (nusikalstamos veikos pavojingumo pobūdis) ir kiekybinę (pavojingumo laipsnis) puses.  </w:t>
      </w:r>
      <w:r w:rsidRPr="00CE37D0">
        <w:t xml:space="preserve">Pavojingumo sąvokos vertinimu </w:t>
      </w:r>
      <w:r w:rsidRPr="00CE37D0">
        <w:rPr>
          <w:rStyle w:val="Puslapioinaosnuoroda"/>
        </w:rPr>
        <w:footnoteReference w:id="233"/>
      </w:r>
      <w:r w:rsidRPr="00CE37D0">
        <w:t xml:space="preserve"> pagal kiekybinius parametrus, t.y. pavojingumo laipsniu, pagrindžiamas nusikalstamų veikų mažesnio pavojingumo argumentas. </w:t>
      </w:r>
      <w:r w:rsidRPr="00CE37D0">
        <w:rPr>
          <w:rStyle w:val="Puslapioinaosnuoroda"/>
        </w:rPr>
        <w:footnoteReference w:id="234"/>
      </w:r>
      <w:r w:rsidR="00B41E43">
        <w:t xml:space="preserve"> </w:t>
      </w:r>
      <w:r w:rsidRPr="00CE37D0">
        <w:rPr>
          <w:rFonts w:ascii="TimesNewRomanPSMT" w:hAnsi="TimesNewRomanPSMT"/>
          <w:spacing w:val="-6"/>
        </w:rPr>
        <w:t xml:space="preserve">Galiojančiame BK numatytų bausmių kaip rūšinio veikos pavojingumo teisinės išraiškos </w:t>
      </w:r>
      <w:r w:rsidRPr="00CE37D0">
        <w:rPr>
          <w:rStyle w:val="Puslapioinaosnuoroda"/>
          <w:rFonts w:ascii="TimesNewRomanPSMT" w:hAnsi="TimesNewRomanPSMT"/>
          <w:spacing w:val="-6"/>
        </w:rPr>
        <w:footnoteReference w:id="235"/>
      </w:r>
      <w:r w:rsidRPr="00CE37D0">
        <w:rPr>
          <w:rFonts w:ascii="TimesNewRomanPSMT" w:hAnsi="TimesNewRomanPSMT"/>
          <w:spacing w:val="-6"/>
        </w:rPr>
        <w:t xml:space="preserve"> analizė leis padaryti išvadą dėl mažesnio pavojingumo kriterijaus įtakos priskiriant bylas privataus kaltinimo tvarka nagrinėjamų bylų kategorijai pozityviojoje teisėje. </w:t>
      </w:r>
    </w:p>
    <w:p w:rsidR="003E3809" w:rsidRPr="00CE37D0" w:rsidRDefault="003E3809" w:rsidP="003E3809">
      <w:pPr>
        <w:shd w:val="clear" w:color="auto" w:fill="FFFFFF"/>
        <w:spacing w:line="360" w:lineRule="auto"/>
        <w:ind w:right="55" w:firstLine="851"/>
        <w:jc w:val="both"/>
      </w:pPr>
      <w:r w:rsidRPr="00CE37D0">
        <w:rPr>
          <w:rFonts w:ascii="TimesNewRomanPSMT" w:hAnsi="TimesNewRomanPSMT"/>
          <w:spacing w:val="-6"/>
        </w:rPr>
        <w:t xml:space="preserve">Privataus kaltinimo </w:t>
      </w:r>
      <w:r w:rsidR="00E355F1">
        <w:rPr>
          <w:rFonts w:ascii="TimesNewRomanPSMT" w:hAnsi="TimesNewRomanPSMT"/>
          <w:spacing w:val="-6"/>
        </w:rPr>
        <w:t>sričiai priskiriami</w:t>
      </w:r>
      <w:r w:rsidRPr="00CE37D0">
        <w:rPr>
          <w:rFonts w:ascii="TimesNewRomanPSMT" w:hAnsi="TimesNewRomanPSMT"/>
          <w:spacing w:val="-6"/>
        </w:rPr>
        <w:t xml:space="preserve"> </w:t>
      </w:r>
      <w:r w:rsidRPr="00CE37D0">
        <w:t xml:space="preserve">tik 4 </w:t>
      </w:r>
      <w:r w:rsidRPr="00CE37D0">
        <w:rPr>
          <w:rFonts w:ascii="TimesNewRomanPSMT" w:hAnsi="TimesNewRomanPSMT"/>
          <w:spacing w:val="-6"/>
        </w:rPr>
        <w:t xml:space="preserve">baudžiamieji nusižengimai: 152 </w:t>
      </w:r>
      <w:r w:rsidR="00F1235F">
        <w:rPr>
          <w:rFonts w:ascii="TimesNewRomanPSMT" w:hAnsi="TimesNewRomanPSMT"/>
          <w:spacing w:val="-6"/>
        </w:rPr>
        <w:t>straipsnis</w:t>
      </w:r>
      <w:r w:rsidRPr="00CE37D0">
        <w:rPr>
          <w:rFonts w:ascii="TimesNewRomanPSMT" w:hAnsi="TimesNewRomanPSMT"/>
          <w:spacing w:val="-6"/>
        </w:rPr>
        <w:t>, 155 str</w:t>
      </w:r>
      <w:r w:rsidR="00F1235F">
        <w:rPr>
          <w:rFonts w:ascii="TimesNewRomanPSMT" w:hAnsi="TimesNewRomanPSMT"/>
          <w:spacing w:val="-6"/>
        </w:rPr>
        <w:t>aipsnio</w:t>
      </w:r>
      <w:r w:rsidRPr="00CE37D0">
        <w:rPr>
          <w:rFonts w:ascii="TimesNewRomanPSMT" w:hAnsi="TimesNewRomanPSMT"/>
          <w:spacing w:val="-6"/>
        </w:rPr>
        <w:t xml:space="preserve"> 2 d</w:t>
      </w:r>
      <w:r w:rsidR="00F1235F">
        <w:rPr>
          <w:rFonts w:ascii="TimesNewRomanPSMT" w:hAnsi="TimesNewRomanPSMT"/>
          <w:spacing w:val="-6"/>
        </w:rPr>
        <w:t>alis</w:t>
      </w:r>
      <w:r w:rsidRPr="00CE37D0">
        <w:rPr>
          <w:rFonts w:ascii="TimesNewRomanPSMT" w:hAnsi="TimesNewRomanPSMT"/>
          <w:spacing w:val="-6"/>
        </w:rPr>
        <w:t>, 187 str</w:t>
      </w:r>
      <w:r w:rsidR="00F1235F">
        <w:rPr>
          <w:rFonts w:ascii="TimesNewRomanPSMT" w:hAnsi="TimesNewRomanPSMT"/>
          <w:spacing w:val="-6"/>
        </w:rPr>
        <w:t>aipsnio</w:t>
      </w:r>
      <w:r w:rsidRPr="00CE37D0">
        <w:rPr>
          <w:rFonts w:ascii="TimesNewRomanPSMT" w:hAnsi="TimesNewRomanPSMT"/>
          <w:spacing w:val="-6"/>
        </w:rPr>
        <w:t xml:space="preserve"> 3 d</w:t>
      </w:r>
      <w:r w:rsidR="00F1235F">
        <w:rPr>
          <w:rFonts w:ascii="TimesNewRomanPSMT" w:hAnsi="TimesNewRomanPSMT"/>
          <w:spacing w:val="-6"/>
        </w:rPr>
        <w:t>alis</w:t>
      </w:r>
      <w:r w:rsidRPr="00CE37D0">
        <w:rPr>
          <w:rFonts w:ascii="TimesNewRomanPSMT" w:hAnsi="TimesNewRomanPSMT"/>
          <w:spacing w:val="-6"/>
        </w:rPr>
        <w:t>, 313 str</w:t>
      </w:r>
      <w:r w:rsidR="00F1235F">
        <w:rPr>
          <w:rFonts w:ascii="TimesNewRomanPSMT" w:hAnsi="TimesNewRomanPSMT"/>
          <w:spacing w:val="-6"/>
        </w:rPr>
        <w:t>aipsnio 1</w:t>
      </w:r>
      <w:r w:rsidRPr="00CE37D0">
        <w:rPr>
          <w:rFonts w:ascii="TimesNewRomanPSMT" w:hAnsi="TimesNewRomanPSMT"/>
          <w:spacing w:val="-6"/>
        </w:rPr>
        <w:t xml:space="preserve"> ir 2 d</w:t>
      </w:r>
      <w:r w:rsidR="00F1235F">
        <w:rPr>
          <w:rFonts w:ascii="TimesNewRomanPSMT" w:hAnsi="TimesNewRomanPSMT"/>
          <w:spacing w:val="-6"/>
        </w:rPr>
        <w:t>alys</w:t>
      </w:r>
      <w:r w:rsidRPr="00CE37D0">
        <w:rPr>
          <w:rFonts w:ascii="TimesNewRomanPSMT" w:hAnsi="TimesNewRomanPSMT"/>
          <w:spacing w:val="-6"/>
        </w:rPr>
        <w:t xml:space="preserve">, ir </w:t>
      </w:r>
      <w:r w:rsidRPr="00CE37D0">
        <w:t xml:space="preserve">4 </w:t>
      </w:r>
      <w:r w:rsidRPr="00CE37D0">
        <w:rPr>
          <w:rFonts w:ascii="TimesNewRomanPSMT" w:hAnsi="TimesNewRomanPSMT"/>
          <w:spacing w:val="-6"/>
        </w:rPr>
        <w:t>nusikaltimai, už kuriuos maksimali skir</w:t>
      </w:r>
      <w:r w:rsidR="007E2E16">
        <w:rPr>
          <w:rFonts w:ascii="TimesNewRomanPSMT" w:hAnsi="TimesNewRomanPSMT"/>
          <w:spacing w:val="-6"/>
        </w:rPr>
        <w:t>iam</w:t>
      </w:r>
      <w:r w:rsidRPr="00CE37D0">
        <w:rPr>
          <w:rFonts w:ascii="TimesNewRomanPSMT" w:hAnsi="TimesNewRomanPSMT"/>
          <w:spacing w:val="-6"/>
        </w:rPr>
        <w:t>a bausmė gali būti laisvės atėmimas iki 1 metų: 139 str</w:t>
      </w:r>
      <w:r w:rsidR="00F1235F">
        <w:rPr>
          <w:rFonts w:ascii="TimesNewRomanPSMT" w:hAnsi="TimesNewRomanPSMT"/>
          <w:spacing w:val="-6"/>
        </w:rPr>
        <w:t>aipsnio</w:t>
      </w:r>
      <w:r w:rsidRPr="00CE37D0">
        <w:rPr>
          <w:rFonts w:ascii="TimesNewRomanPSMT" w:hAnsi="TimesNewRomanPSMT"/>
          <w:spacing w:val="-6"/>
        </w:rPr>
        <w:t xml:space="preserve"> 1 d</w:t>
      </w:r>
      <w:r w:rsidR="00F1235F">
        <w:rPr>
          <w:rFonts w:ascii="TimesNewRomanPSMT" w:hAnsi="TimesNewRomanPSMT"/>
          <w:spacing w:val="-6"/>
        </w:rPr>
        <w:t>alis</w:t>
      </w:r>
      <w:r w:rsidRPr="00CE37D0">
        <w:rPr>
          <w:rFonts w:ascii="TimesNewRomanPSMT" w:hAnsi="TimesNewRomanPSMT"/>
          <w:spacing w:val="-6"/>
        </w:rPr>
        <w:t>, 140 str</w:t>
      </w:r>
      <w:r w:rsidR="00F1235F">
        <w:rPr>
          <w:rFonts w:ascii="TimesNewRomanPSMT" w:hAnsi="TimesNewRomanPSMT"/>
          <w:spacing w:val="-6"/>
        </w:rPr>
        <w:t>aipsnio</w:t>
      </w:r>
      <w:r w:rsidRPr="00CE37D0">
        <w:rPr>
          <w:rFonts w:ascii="TimesNewRomanPSMT" w:hAnsi="TimesNewRomanPSMT"/>
          <w:spacing w:val="-6"/>
        </w:rPr>
        <w:t xml:space="preserve"> 1 d</w:t>
      </w:r>
      <w:r w:rsidR="00F1235F">
        <w:rPr>
          <w:rFonts w:ascii="TimesNewRomanPSMT" w:hAnsi="TimesNewRomanPSMT"/>
          <w:spacing w:val="-6"/>
        </w:rPr>
        <w:t>alis</w:t>
      </w:r>
      <w:r w:rsidRPr="00CE37D0">
        <w:rPr>
          <w:rFonts w:ascii="TimesNewRomanPSMT" w:hAnsi="TimesNewRomanPSMT"/>
          <w:spacing w:val="-6"/>
        </w:rPr>
        <w:t>, 154 str</w:t>
      </w:r>
      <w:r w:rsidR="00F1235F">
        <w:rPr>
          <w:rFonts w:ascii="TimesNewRomanPSMT" w:hAnsi="TimesNewRomanPSMT"/>
          <w:spacing w:val="-6"/>
        </w:rPr>
        <w:t>aipsnio</w:t>
      </w:r>
      <w:r w:rsidRPr="00CE37D0">
        <w:rPr>
          <w:rFonts w:ascii="TimesNewRomanPSMT" w:hAnsi="TimesNewRomanPSMT"/>
          <w:spacing w:val="-6"/>
        </w:rPr>
        <w:t xml:space="preserve"> 1 d</w:t>
      </w:r>
      <w:r w:rsidR="00F1235F">
        <w:rPr>
          <w:rFonts w:ascii="TimesNewRomanPSMT" w:hAnsi="TimesNewRomanPSMT"/>
          <w:spacing w:val="-6"/>
        </w:rPr>
        <w:t>alis</w:t>
      </w:r>
      <w:r w:rsidRPr="00CE37D0">
        <w:rPr>
          <w:rFonts w:ascii="TimesNewRomanPSMT" w:hAnsi="TimesNewRomanPSMT"/>
          <w:spacing w:val="-6"/>
        </w:rPr>
        <w:t>, 155 str</w:t>
      </w:r>
      <w:r w:rsidR="00F1235F">
        <w:rPr>
          <w:rFonts w:ascii="TimesNewRomanPSMT" w:hAnsi="TimesNewRomanPSMT"/>
          <w:spacing w:val="-6"/>
        </w:rPr>
        <w:t>aipsnio</w:t>
      </w:r>
      <w:r w:rsidRPr="00CE37D0">
        <w:rPr>
          <w:rFonts w:ascii="TimesNewRomanPSMT" w:hAnsi="TimesNewRomanPSMT"/>
          <w:spacing w:val="-6"/>
        </w:rPr>
        <w:t xml:space="preserve"> 1 d</w:t>
      </w:r>
      <w:r w:rsidR="00F1235F">
        <w:rPr>
          <w:rFonts w:ascii="TimesNewRomanPSMT" w:hAnsi="TimesNewRomanPSMT"/>
          <w:spacing w:val="-6"/>
        </w:rPr>
        <w:t>alis</w:t>
      </w:r>
      <w:r w:rsidRPr="00CE37D0">
        <w:rPr>
          <w:rFonts w:ascii="TimesNewRomanPSMT" w:hAnsi="TimesNewRomanPSMT"/>
          <w:spacing w:val="-6"/>
        </w:rPr>
        <w:t xml:space="preserve">, </w:t>
      </w:r>
      <w:r w:rsidRPr="00CE37D0">
        <w:t xml:space="preserve">4 nusikaltimai, už kuriuos maksimaliai gali būti paskirta </w:t>
      </w:r>
      <w:r w:rsidRPr="00CE37D0">
        <w:rPr>
          <w:rFonts w:ascii="TimesNewRomanPSMT" w:hAnsi="TimesNewRomanPSMT"/>
          <w:spacing w:val="-6"/>
        </w:rPr>
        <w:t>laisvės atėmimo bau</w:t>
      </w:r>
      <w:r w:rsidR="0058251B" w:rsidRPr="00CE37D0">
        <w:rPr>
          <w:rFonts w:ascii="TimesNewRomanPSMT" w:hAnsi="TimesNewRomanPSMT"/>
          <w:spacing w:val="-6"/>
        </w:rPr>
        <w:t>s</w:t>
      </w:r>
      <w:r w:rsidRPr="00CE37D0">
        <w:rPr>
          <w:rFonts w:ascii="TimesNewRomanPSMT" w:hAnsi="TimesNewRomanPSMT"/>
          <w:spacing w:val="-6"/>
        </w:rPr>
        <w:t>mė iki 2 metų: 154 str</w:t>
      </w:r>
      <w:r w:rsidR="00580FD6">
        <w:rPr>
          <w:rFonts w:ascii="TimesNewRomanPSMT" w:hAnsi="TimesNewRomanPSMT"/>
          <w:spacing w:val="-6"/>
        </w:rPr>
        <w:t>aipsnio</w:t>
      </w:r>
      <w:r w:rsidRPr="00CE37D0">
        <w:rPr>
          <w:rFonts w:ascii="TimesNewRomanPSMT" w:hAnsi="TimesNewRomanPSMT"/>
          <w:spacing w:val="-6"/>
        </w:rPr>
        <w:t xml:space="preserve"> 2 d</w:t>
      </w:r>
      <w:r w:rsidR="00580FD6">
        <w:rPr>
          <w:rFonts w:ascii="TimesNewRomanPSMT" w:hAnsi="TimesNewRomanPSMT"/>
          <w:spacing w:val="-6"/>
        </w:rPr>
        <w:t>alis</w:t>
      </w:r>
      <w:r w:rsidRPr="00CE37D0">
        <w:rPr>
          <w:rFonts w:ascii="TimesNewRomanPSMT" w:hAnsi="TimesNewRomanPSMT"/>
          <w:spacing w:val="-6"/>
        </w:rPr>
        <w:t>, 165 str</w:t>
      </w:r>
      <w:r w:rsidR="00580FD6">
        <w:rPr>
          <w:rFonts w:ascii="TimesNewRomanPSMT" w:hAnsi="TimesNewRomanPSMT"/>
          <w:spacing w:val="-6"/>
        </w:rPr>
        <w:t>aipsnis</w:t>
      </w:r>
      <w:r w:rsidRPr="00CE37D0">
        <w:rPr>
          <w:rFonts w:ascii="TimesNewRomanPSMT" w:hAnsi="TimesNewRomanPSMT"/>
          <w:spacing w:val="-6"/>
        </w:rPr>
        <w:t>, 187 str</w:t>
      </w:r>
      <w:r w:rsidR="00580FD6">
        <w:rPr>
          <w:rFonts w:ascii="TimesNewRomanPSMT" w:hAnsi="TimesNewRomanPSMT"/>
          <w:spacing w:val="-6"/>
        </w:rPr>
        <w:t>aipsnio 1 dalis</w:t>
      </w:r>
      <w:r w:rsidRPr="00CE37D0">
        <w:rPr>
          <w:rFonts w:ascii="TimesNewRomanPSMT" w:hAnsi="TimesNewRomanPSMT"/>
          <w:spacing w:val="-6"/>
        </w:rPr>
        <w:t>, 188 str</w:t>
      </w:r>
      <w:r w:rsidR="00580FD6">
        <w:rPr>
          <w:rFonts w:ascii="TimesNewRomanPSMT" w:hAnsi="TimesNewRomanPSMT"/>
          <w:spacing w:val="-6"/>
        </w:rPr>
        <w:t>aipsnio</w:t>
      </w:r>
      <w:r w:rsidRPr="00CE37D0">
        <w:rPr>
          <w:rFonts w:ascii="TimesNewRomanPSMT" w:hAnsi="TimesNewRomanPSMT"/>
          <w:spacing w:val="-6"/>
        </w:rPr>
        <w:t xml:space="preserve"> 1 d</w:t>
      </w:r>
      <w:r w:rsidR="00580FD6">
        <w:rPr>
          <w:rFonts w:ascii="TimesNewRomanPSMT" w:hAnsi="TimesNewRomanPSMT"/>
          <w:spacing w:val="-6"/>
        </w:rPr>
        <w:t>alis</w:t>
      </w:r>
      <w:r w:rsidRPr="00CE37D0">
        <w:rPr>
          <w:rFonts w:ascii="TimesNewRomanPSMT" w:hAnsi="TimesNewRomanPSMT"/>
          <w:spacing w:val="-6"/>
        </w:rPr>
        <w:t>, 3 nusikaltimai, už kuriuos maksimaliai gali grėsti laisvės atė</w:t>
      </w:r>
      <w:r w:rsidR="00580FD6">
        <w:rPr>
          <w:rFonts w:ascii="TimesNewRomanPSMT" w:hAnsi="TimesNewRomanPSMT"/>
          <w:spacing w:val="-6"/>
        </w:rPr>
        <w:t>mimo bausmė iki 3 metų: 148 straipsnis</w:t>
      </w:r>
      <w:r w:rsidRPr="00CE37D0">
        <w:rPr>
          <w:rFonts w:ascii="TimesNewRomanPSMT" w:hAnsi="TimesNewRomanPSMT"/>
          <w:spacing w:val="-6"/>
        </w:rPr>
        <w:t>, 168 str</w:t>
      </w:r>
      <w:r w:rsidR="00580FD6">
        <w:rPr>
          <w:rFonts w:ascii="TimesNewRomanPSMT" w:hAnsi="TimesNewRomanPSMT"/>
          <w:spacing w:val="-6"/>
        </w:rPr>
        <w:t>aipsnis, 188 straipsnio</w:t>
      </w:r>
      <w:r w:rsidRPr="00CE37D0">
        <w:rPr>
          <w:rFonts w:ascii="TimesNewRomanPSMT" w:hAnsi="TimesNewRomanPSMT"/>
          <w:spacing w:val="-6"/>
        </w:rPr>
        <w:t xml:space="preserve"> 2 d</w:t>
      </w:r>
      <w:r w:rsidR="00580FD6">
        <w:rPr>
          <w:rFonts w:ascii="TimesNewRomanPSMT" w:hAnsi="TimesNewRomanPSMT"/>
          <w:spacing w:val="-6"/>
        </w:rPr>
        <w:t>alis</w:t>
      </w:r>
      <w:r w:rsidRPr="00CE37D0">
        <w:rPr>
          <w:rFonts w:ascii="TimesNewRomanPSMT" w:hAnsi="TimesNewRomanPSMT"/>
          <w:spacing w:val="-6"/>
        </w:rPr>
        <w:t xml:space="preserve">. </w:t>
      </w:r>
      <w:r w:rsidRPr="00CE37D0">
        <w:t>Visais atvejais sankcijose yra numatytos bent 2 alternatyvios bausmės, bauda negali būti paskirta tik už vieną</w:t>
      </w:r>
      <w:r w:rsidR="00580FD6">
        <w:t xml:space="preserve"> nusikalstamą veiką (BK 140 straipsnio 1 dalis</w:t>
      </w:r>
      <w:r w:rsidRPr="00CE37D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134"/>
        <w:gridCol w:w="1275"/>
        <w:gridCol w:w="1134"/>
        <w:gridCol w:w="1134"/>
        <w:gridCol w:w="993"/>
        <w:gridCol w:w="1275"/>
        <w:gridCol w:w="1134"/>
      </w:tblGrid>
      <w:tr w:rsidR="003E3809" w:rsidRPr="0003553E" w:rsidTr="0003553E">
        <w:tc>
          <w:tcPr>
            <w:tcW w:w="1668" w:type="dxa"/>
            <w:shd w:val="clear" w:color="auto" w:fill="auto"/>
          </w:tcPr>
          <w:p w:rsidR="003E3809" w:rsidRPr="0003553E" w:rsidRDefault="003E3809" w:rsidP="0003553E">
            <w:pPr>
              <w:ind w:right="55" w:firstLine="851"/>
              <w:jc w:val="both"/>
              <w:rPr>
                <w:sz w:val="20"/>
                <w:szCs w:val="20"/>
              </w:rPr>
            </w:pPr>
          </w:p>
        </w:tc>
        <w:tc>
          <w:tcPr>
            <w:tcW w:w="1134" w:type="dxa"/>
            <w:shd w:val="clear" w:color="auto" w:fill="auto"/>
          </w:tcPr>
          <w:p w:rsidR="003E3809" w:rsidRPr="0003553E" w:rsidRDefault="003E3809" w:rsidP="00806338">
            <w:pPr>
              <w:ind w:right="55"/>
              <w:jc w:val="both"/>
              <w:rPr>
                <w:sz w:val="20"/>
                <w:szCs w:val="20"/>
              </w:rPr>
            </w:pPr>
            <w:r w:rsidRPr="0003553E">
              <w:rPr>
                <w:sz w:val="20"/>
                <w:szCs w:val="20"/>
              </w:rPr>
              <w:t>l.a iki 1 m.</w:t>
            </w:r>
          </w:p>
        </w:tc>
        <w:tc>
          <w:tcPr>
            <w:tcW w:w="1275" w:type="dxa"/>
            <w:shd w:val="clear" w:color="auto" w:fill="auto"/>
          </w:tcPr>
          <w:p w:rsidR="003E3809" w:rsidRPr="0003553E" w:rsidRDefault="003E3809" w:rsidP="00806338">
            <w:pPr>
              <w:ind w:right="55"/>
              <w:jc w:val="both"/>
              <w:rPr>
                <w:sz w:val="20"/>
                <w:szCs w:val="20"/>
              </w:rPr>
            </w:pPr>
            <w:r w:rsidRPr="0003553E">
              <w:rPr>
                <w:sz w:val="20"/>
                <w:szCs w:val="20"/>
              </w:rPr>
              <w:t>l.a iki 2 m.</w:t>
            </w:r>
          </w:p>
        </w:tc>
        <w:tc>
          <w:tcPr>
            <w:tcW w:w="1134" w:type="dxa"/>
            <w:shd w:val="clear" w:color="auto" w:fill="auto"/>
          </w:tcPr>
          <w:p w:rsidR="003E3809" w:rsidRPr="0003553E" w:rsidRDefault="003E3809" w:rsidP="00806338">
            <w:pPr>
              <w:ind w:right="55"/>
              <w:jc w:val="both"/>
              <w:rPr>
                <w:sz w:val="20"/>
                <w:szCs w:val="20"/>
              </w:rPr>
            </w:pPr>
            <w:r w:rsidRPr="0003553E">
              <w:rPr>
                <w:sz w:val="20"/>
                <w:szCs w:val="20"/>
              </w:rPr>
              <w:t>l.a. iki 3 m.</w:t>
            </w:r>
          </w:p>
        </w:tc>
        <w:tc>
          <w:tcPr>
            <w:tcW w:w="1134" w:type="dxa"/>
            <w:shd w:val="clear" w:color="auto" w:fill="auto"/>
          </w:tcPr>
          <w:p w:rsidR="003E3809" w:rsidRPr="0003553E" w:rsidRDefault="003E3809" w:rsidP="00806338">
            <w:pPr>
              <w:ind w:right="55"/>
              <w:jc w:val="both"/>
              <w:rPr>
                <w:sz w:val="20"/>
                <w:szCs w:val="20"/>
              </w:rPr>
            </w:pPr>
            <w:r w:rsidRPr="0003553E">
              <w:rPr>
                <w:sz w:val="20"/>
                <w:szCs w:val="20"/>
              </w:rPr>
              <w:t>Viešieji darbai</w:t>
            </w:r>
          </w:p>
        </w:tc>
        <w:tc>
          <w:tcPr>
            <w:tcW w:w="993" w:type="dxa"/>
            <w:shd w:val="clear" w:color="auto" w:fill="auto"/>
          </w:tcPr>
          <w:p w:rsidR="003E3809" w:rsidRPr="0003553E" w:rsidRDefault="003E3809" w:rsidP="00806338">
            <w:pPr>
              <w:ind w:right="55"/>
              <w:jc w:val="both"/>
              <w:rPr>
                <w:sz w:val="20"/>
                <w:szCs w:val="20"/>
              </w:rPr>
            </w:pPr>
            <w:r w:rsidRPr="0003553E">
              <w:rPr>
                <w:sz w:val="20"/>
                <w:szCs w:val="20"/>
              </w:rPr>
              <w:t>Bauda</w:t>
            </w:r>
          </w:p>
        </w:tc>
        <w:tc>
          <w:tcPr>
            <w:tcW w:w="1275" w:type="dxa"/>
            <w:shd w:val="clear" w:color="auto" w:fill="auto"/>
          </w:tcPr>
          <w:p w:rsidR="003E3809" w:rsidRPr="0003553E" w:rsidRDefault="003E3809" w:rsidP="00806338">
            <w:pPr>
              <w:ind w:right="55"/>
              <w:jc w:val="both"/>
              <w:rPr>
                <w:sz w:val="20"/>
                <w:szCs w:val="20"/>
              </w:rPr>
            </w:pPr>
            <w:r w:rsidRPr="0003553E">
              <w:rPr>
                <w:sz w:val="20"/>
                <w:szCs w:val="20"/>
              </w:rPr>
              <w:t>Laisvės apribojimas</w:t>
            </w:r>
          </w:p>
        </w:tc>
        <w:tc>
          <w:tcPr>
            <w:tcW w:w="1134" w:type="dxa"/>
            <w:shd w:val="clear" w:color="auto" w:fill="auto"/>
          </w:tcPr>
          <w:p w:rsidR="003E3809" w:rsidRPr="0003553E" w:rsidRDefault="003E3809" w:rsidP="00806338">
            <w:pPr>
              <w:ind w:right="55"/>
              <w:jc w:val="both"/>
              <w:rPr>
                <w:sz w:val="20"/>
                <w:szCs w:val="20"/>
              </w:rPr>
            </w:pPr>
            <w:r w:rsidRPr="0003553E">
              <w:rPr>
                <w:sz w:val="20"/>
                <w:szCs w:val="20"/>
              </w:rPr>
              <w:t>Areštas</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139 str. 1.d.</w:t>
            </w:r>
          </w:p>
        </w:tc>
        <w:tc>
          <w:tcPr>
            <w:tcW w:w="1134" w:type="dxa"/>
            <w:shd w:val="clear" w:color="auto" w:fill="auto"/>
          </w:tcPr>
          <w:p w:rsidR="003E3809" w:rsidRPr="0003553E" w:rsidRDefault="003E3809" w:rsidP="0003553E">
            <w:pPr>
              <w:ind w:right="55" w:firstLine="851"/>
              <w:jc w:val="both"/>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140 str. 1 d.</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 xml:space="preserve">148 str. </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152 str.</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154 str. 1 d.</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154 str. 2 d.</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155 str. 1 d.</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155 str. 2 d.</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165 str.</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 xml:space="preserve">168 str. </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187 str. 1 d.</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 xml:space="preserve">187 str. 3 d. </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lastRenderedPageBreak/>
              <w:t xml:space="preserve">BK </w:t>
            </w:r>
            <w:r w:rsidR="003E3809" w:rsidRPr="0003553E">
              <w:rPr>
                <w:sz w:val="20"/>
                <w:szCs w:val="20"/>
              </w:rPr>
              <w:t xml:space="preserve">188 str. 1 d. </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188 str. 2 d.</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313 str. 1 d.</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r w:rsidR="003E3809" w:rsidRPr="0003553E" w:rsidTr="0003553E">
        <w:tc>
          <w:tcPr>
            <w:tcW w:w="1668" w:type="dxa"/>
            <w:shd w:val="clear" w:color="auto" w:fill="auto"/>
          </w:tcPr>
          <w:p w:rsidR="003E3809" w:rsidRPr="0003553E" w:rsidRDefault="00806338" w:rsidP="00806338">
            <w:pPr>
              <w:ind w:right="55"/>
              <w:jc w:val="both"/>
              <w:rPr>
                <w:sz w:val="20"/>
                <w:szCs w:val="20"/>
              </w:rPr>
            </w:pPr>
            <w:r>
              <w:rPr>
                <w:sz w:val="20"/>
                <w:szCs w:val="20"/>
              </w:rPr>
              <w:t xml:space="preserve">BK </w:t>
            </w:r>
            <w:r w:rsidR="003E3809" w:rsidRPr="0003553E">
              <w:rPr>
                <w:sz w:val="20"/>
                <w:szCs w:val="20"/>
              </w:rPr>
              <w:t xml:space="preserve">313 str. 2 d. </w:t>
            </w:r>
          </w:p>
        </w:tc>
        <w:tc>
          <w:tcPr>
            <w:tcW w:w="1134" w:type="dxa"/>
            <w:shd w:val="clear" w:color="auto" w:fill="auto"/>
          </w:tcPr>
          <w:p w:rsidR="003E3809" w:rsidRPr="0003553E" w:rsidRDefault="003E3809" w:rsidP="0003553E">
            <w:pPr>
              <w:ind w:right="55" w:firstLine="851"/>
              <w:rPr>
                <w:sz w:val="20"/>
                <w:szCs w:val="20"/>
              </w:rPr>
            </w:pPr>
          </w:p>
        </w:tc>
        <w:tc>
          <w:tcPr>
            <w:tcW w:w="1275"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993"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275" w:type="dxa"/>
            <w:shd w:val="clear" w:color="auto" w:fill="auto"/>
          </w:tcPr>
          <w:p w:rsidR="003E3809" w:rsidRPr="0003553E" w:rsidRDefault="003E3809" w:rsidP="0003553E">
            <w:pPr>
              <w:ind w:right="55" w:firstLine="851"/>
              <w:rPr>
                <w:sz w:val="20"/>
                <w:szCs w:val="20"/>
              </w:rPr>
            </w:pPr>
            <w:r w:rsidRPr="0003553E">
              <w:rPr>
                <w:sz w:val="20"/>
                <w:szCs w:val="20"/>
              </w:rPr>
              <w:t>+</w:t>
            </w:r>
          </w:p>
        </w:tc>
        <w:tc>
          <w:tcPr>
            <w:tcW w:w="1134" w:type="dxa"/>
            <w:shd w:val="clear" w:color="auto" w:fill="auto"/>
          </w:tcPr>
          <w:p w:rsidR="003E3809" w:rsidRPr="0003553E" w:rsidRDefault="003E3809" w:rsidP="0003553E">
            <w:pPr>
              <w:ind w:right="55" w:firstLine="851"/>
              <w:rPr>
                <w:sz w:val="20"/>
                <w:szCs w:val="20"/>
              </w:rPr>
            </w:pPr>
            <w:r w:rsidRPr="0003553E">
              <w:rPr>
                <w:sz w:val="20"/>
                <w:szCs w:val="20"/>
              </w:rPr>
              <w:t>+</w:t>
            </w:r>
          </w:p>
        </w:tc>
      </w:tr>
    </w:tbl>
    <w:p w:rsidR="003E3809" w:rsidRPr="00CE37D0" w:rsidRDefault="003E3809" w:rsidP="003E3809">
      <w:pPr>
        <w:shd w:val="clear" w:color="auto" w:fill="FFFFFF"/>
        <w:spacing w:line="360" w:lineRule="auto"/>
        <w:ind w:right="55" w:firstLine="851"/>
        <w:jc w:val="both"/>
      </w:pPr>
    </w:p>
    <w:p w:rsidR="004B6DF5" w:rsidRPr="00CE37D0" w:rsidRDefault="00835426" w:rsidP="003E3809">
      <w:pPr>
        <w:shd w:val="clear" w:color="auto" w:fill="FFFFFF"/>
        <w:spacing w:line="360" w:lineRule="auto"/>
        <w:ind w:right="55" w:firstLine="851"/>
        <w:jc w:val="both"/>
      </w:pPr>
      <w:r w:rsidRPr="00CE37D0">
        <w:t xml:space="preserve">Taigi </w:t>
      </w:r>
      <w:r w:rsidR="003E3809" w:rsidRPr="00CE37D0">
        <w:t xml:space="preserve">pozityviojoje teisėje privataus kaltinimo </w:t>
      </w:r>
      <w:r w:rsidR="00F6429F">
        <w:t>tvarka nagrinėjamoms nusikalstamoms veikoms</w:t>
      </w:r>
      <w:r w:rsidR="003E3809" w:rsidRPr="00CE37D0">
        <w:t xml:space="preserve"> pagal rūšinį pavojingumą </w:t>
      </w:r>
      <w:r w:rsidRPr="00CE37D0">
        <w:t>priskirti</w:t>
      </w:r>
      <w:r w:rsidR="003E3809" w:rsidRPr="00CE37D0">
        <w:t xml:space="preserve"> baudžiamieji nusižengimai ir nesunkūs nusikaltimai, už kuriuos gali būti paskirta ne didesnė nei 3 metų laisvės atėmimo bausmė, ir visais atvejais gali būti paskirta alternatyvi, nesusijusi su laisvės atėmimu bausmė. </w:t>
      </w:r>
      <w:r w:rsidR="004B6DF5" w:rsidRPr="00CE37D0">
        <w:t>P</w:t>
      </w:r>
      <w:r w:rsidRPr="00CE37D0">
        <w:t>rivataus kaltinimo procesinės formos išskyrim</w:t>
      </w:r>
      <w:r w:rsidR="004B6DF5" w:rsidRPr="00CE37D0">
        <w:t xml:space="preserve">o materialusis kriterijus – mažesnis veikos pavojingumas </w:t>
      </w:r>
      <w:r w:rsidR="00B41E43">
        <w:t>–</w:t>
      </w:r>
      <w:r w:rsidR="00B41E43" w:rsidRPr="00CE37D0">
        <w:t xml:space="preserve"> </w:t>
      </w:r>
      <w:r w:rsidRPr="00CE37D0">
        <w:t xml:space="preserve">negali būti atsietas nuo </w:t>
      </w:r>
      <w:r w:rsidR="004B6DF5" w:rsidRPr="00CE37D0">
        <w:t xml:space="preserve">pozityviosios </w:t>
      </w:r>
      <w:r w:rsidRPr="00CE37D0">
        <w:t>materialiosios teisės</w:t>
      </w:r>
      <w:r w:rsidR="004B6DF5" w:rsidRPr="00CE37D0">
        <w:t>.</w:t>
      </w:r>
      <w:r w:rsidR="00B41E43">
        <w:t xml:space="preserve"> </w:t>
      </w:r>
      <w:r w:rsidR="004B6DF5" w:rsidRPr="00CE37D0">
        <w:t>N</w:t>
      </w:r>
      <w:r w:rsidRPr="00CE37D0">
        <w:t xml:space="preserve">usikalstamos veikos pavojingumo bei sankcijos už šią nusikalstamą veiką santykis </w:t>
      </w:r>
      <w:r w:rsidR="004B6DF5" w:rsidRPr="00CE37D0">
        <w:t>turi atsispindėti pozityviajame teisiniame reguliavime</w:t>
      </w:r>
      <w:r w:rsidRPr="00CE37D0">
        <w:t xml:space="preserve">. Nors akivaizdu, kad privataus kaltinimo tvarka </w:t>
      </w:r>
      <w:r w:rsidR="004B6DF5" w:rsidRPr="00CE37D0">
        <w:t>nagrinėjamos mažesnio pavojingumo veikos, pozityviajame teisiniame reguliavime tai neatsispindi</w:t>
      </w:r>
      <w:r w:rsidR="0062366B">
        <w:t>, kadangi bausmių už jų padarymą spektras apima ne tik alternatyvias laisvės atėmimui bausmes, bet ir laisvės atėmimo bausmę</w:t>
      </w:r>
      <w:r w:rsidR="00F6429F">
        <w:t xml:space="preserve"> net</w:t>
      </w:r>
      <w:r w:rsidR="0062366B">
        <w:t xml:space="preserve"> iki 3 m.</w:t>
      </w:r>
      <w:r w:rsidR="00B41E43">
        <w:t xml:space="preserve"> </w:t>
      </w:r>
      <w:r w:rsidR="0058251B" w:rsidRPr="00CE37D0">
        <w:t xml:space="preserve">Darytina išvada, kad teisiniame reguliavime trūksta sistemiškumo. </w:t>
      </w:r>
      <w:r w:rsidR="004B6DF5" w:rsidRPr="00CE37D0">
        <w:t xml:space="preserve">Įstatymų leidėjas turėtų būti nuoseklus tiek proceso, tiek materialiosios teisės normose įtvirtindamas vieningą poziciją. </w:t>
      </w:r>
      <w:r w:rsidR="0062366B">
        <w:t>N</w:t>
      </w:r>
      <w:r w:rsidR="0062366B" w:rsidRPr="00CE37D0">
        <w:t>eabejotina, kad mažesnio pavojingumo kriterijus api</w:t>
      </w:r>
      <w:r w:rsidR="0062366B">
        <w:t>m</w:t>
      </w:r>
      <w:r w:rsidR="0062366B" w:rsidRPr="00CE37D0">
        <w:t xml:space="preserve">a maksimalią bausmės ribą priskiriant nusikalstamas veikas privataus kaltinimo </w:t>
      </w:r>
      <w:r w:rsidR="0062366B">
        <w:t>sferai, todėl</w:t>
      </w:r>
      <w:r w:rsidR="00B41E43">
        <w:t xml:space="preserve"> </w:t>
      </w:r>
      <w:r w:rsidR="004B6DF5" w:rsidRPr="00CE37D0">
        <w:t>bausmės už jas turėtų būti nesusijusios su laisvės atėmimu</w:t>
      </w:r>
      <w:r w:rsidR="00D6478C" w:rsidRPr="00CE37D0">
        <w:t xml:space="preserve"> arba</w:t>
      </w:r>
      <w:r w:rsidR="0058251B" w:rsidRPr="00CE37D0">
        <w:t xml:space="preserve"> išskirtiniais atvejais</w:t>
      </w:r>
      <w:r w:rsidR="00D6478C" w:rsidRPr="00CE37D0">
        <w:t xml:space="preserve"> ši bausmė neturėtų viršyti 1 metų laisvės atėmimo bausmės. </w:t>
      </w:r>
    </w:p>
    <w:p w:rsidR="003E3809" w:rsidRPr="00CE37D0" w:rsidRDefault="008C07BF" w:rsidP="003E3809">
      <w:pPr>
        <w:shd w:val="clear" w:color="auto" w:fill="FFFFFF"/>
        <w:spacing w:line="360" w:lineRule="auto"/>
        <w:ind w:right="55" w:firstLine="851"/>
        <w:jc w:val="both"/>
      </w:pPr>
      <w:r w:rsidRPr="004E49BD">
        <w:t>Moksl</w:t>
      </w:r>
      <w:r w:rsidR="003E3809" w:rsidRPr="004E49BD">
        <w:t>inėje literatūroje aptinkamos skirtingos nuomonės dėl veikos pavojingumo vaidmens</w:t>
      </w:r>
      <w:r w:rsidR="003E3809" w:rsidRPr="00CE37D0">
        <w:t xml:space="preserve"> priskiriant ją privataus kaltinimo </w:t>
      </w:r>
      <w:r w:rsidR="0062366B">
        <w:t>tvarka nagrinėjamoms nusikalstamoms veikoms</w:t>
      </w:r>
      <w:r w:rsidR="003E3809" w:rsidRPr="00CE37D0">
        <w:t xml:space="preserve">. Nusikalstamų veikų skirstymo į rūšis ir nusikaltimų skirstymo į kategorijas kriterijus yra rūšinis veikos pavojingumas. </w:t>
      </w:r>
      <w:r w:rsidR="003E3809" w:rsidRPr="00CE37D0">
        <w:rPr>
          <w:vertAlign w:val="superscript"/>
        </w:rPr>
        <w:footnoteReference w:id="236"/>
      </w:r>
      <w:r w:rsidR="003E3809" w:rsidRPr="00CE37D0">
        <w:t xml:space="preserve"> Tačiau dėl to paties rūšinio pavojingumo veikų vienais atvejais numatytas viešo</w:t>
      </w:r>
      <w:r w:rsidR="00F6429F">
        <w:t>jo</w:t>
      </w:r>
      <w:r w:rsidR="003E3809" w:rsidRPr="00CE37D0">
        <w:t xml:space="preserve"> kaltinimo procesas, o kitų – privataus. Viešojo kaltinimo procesinei formai priskirti nesunkūs nusikaltimai ar baudžiamieji nusižengimai, už kurių padarymą maksimali bausmė neviršija tos, kuri numatyta už privataus kaltinimo </w:t>
      </w:r>
      <w:r w:rsidR="00E355F1">
        <w:t>sričiai priskirtas</w:t>
      </w:r>
      <w:r w:rsidR="003E3809" w:rsidRPr="00CE37D0">
        <w:t xml:space="preserve"> nusikalstamas veikas, t. y. </w:t>
      </w:r>
      <w:r w:rsidR="000F55A8">
        <w:t xml:space="preserve">jie </w:t>
      </w:r>
      <w:r w:rsidR="003E3809" w:rsidRPr="00CE37D0">
        <w:t xml:space="preserve">nesiskiria pagal rūšinio pavojingumo kriterijų arba yra net mažiau pavojingi nei privataus kaltinimo </w:t>
      </w:r>
      <w:r w:rsidR="0062366B">
        <w:t>nusikalstamos veikos</w:t>
      </w:r>
      <w:r w:rsidR="003E3809" w:rsidRPr="00CE37D0">
        <w:t xml:space="preserve">. Darytina išvada, kad mažesnio pavojingumo pagrindas yra nepakankamas, kad veika būtų </w:t>
      </w:r>
      <w:r w:rsidR="0062366B">
        <w:t xml:space="preserve">nagrinėjama </w:t>
      </w:r>
      <w:r w:rsidR="003E3809" w:rsidRPr="00CE37D0">
        <w:t xml:space="preserve">privataus kaltinimo </w:t>
      </w:r>
      <w:r w:rsidR="0062366B">
        <w:t>tvarka</w:t>
      </w:r>
      <w:r w:rsidR="003E3809" w:rsidRPr="00CE37D0">
        <w:t xml:space="preserve">. Tam tikros nusikalstamos veikos priskyrimas privataus kaltinimo </w:t>
      </w:r>
      <w:r w:rsidR="0062366B">
        <w:t>sferai</w:t>
      </w:r>
      <w:r w:rsidR="003E3809" w:rsidRPr="00CE37D0">
        <w:t xml:space="preserve"> negali remtis vien tik mažesnio pavojingumo požymiu, </w:t>
      </w:r>
      <w:r w:rsidR="007E2E16" w:rsidRPr="00CE37D0">
        <w:t xml:space="preserve">ir </w:t>
      </w:r>
      <w:r w:rsidR="007E2E16">
        <w:t xml:space="preserve">šis kriterijus </w:t>
      </w:r>
      <w:r w:rsidR="007E2E16" w:rsidRPr="00CE37D0">
        <w:t xml:space="preserve">turi būti </w:t>
      </w:r>
      <w:r w:rsidR="007E2E16">
        <w:t>vertinamas</w:t>
      </w:r>
      <w:r w:rsidR="007E2E16" w:rsidRPr="00CE37D0">
        <w:t xml:space="preserve"> privataus kaltinimo diferencijavimo pagrindų</w:t>
      </w:r>
      <w:r w:rsidR="000F55A8">
        <w:t xml:space="preserve"> visumoje</w:t>
      </w:r>
      <w:r w:rsidR="007E2E16">
        <w:t>,</w:t>
      </w:r>
      <w:r w:rsidR="000F55A8">
        <w:t xml:space="preserve"> </w:t>
      </w:r>
      <w:r w:rsidR="003E3809" w:rsidRPr="00CE37D0">
        <w:t xml:space="preserve">tačiau būtent šis požymis, esant kitoms sąlygoms, gali nulemti įstatymų leidėjo valią. </w:t>
      </w:r>
      <w:r w:rsidR="007E2E16">
        <w:t>A</w:t>
      </w:r>
      <w:r w:rsidR="003E3809" w:rsidRPr="00CE37D0">
        <w:t>tlik</w:t>
      </w:r>
      <w:r w:rsidR="007E2E16">
        <w:t>u</w:t>
      </w:r>
      <w:r w:rsidR="003E3809" w:rsidRPr="00CE37D0">
        <w:t>s šiuo metu galiojančio teisinio reguliavimo analiz</w:t>
      </w:r>
      <w:r w:rsidR="007E2E16">
        <w:t>ę</w:t>
      </w:r>
      <w:r w:rsidR="000F55A8">
        <w:t>,</w:t>
      </w:r>
      <w:r w:rsidR="003E3809" w:rsidRPr="00CE37D0">
        <w:t xml:space="preserve"> darytina išvada, kad</w:t>
      </w:r>
      <w:r w:rsidR="000F55A8">
        <w:t>,</w:t>
      </w:r>
      <w:r w:rsidR="003E3809" w:rsidRPr="00CE37D0">
        <w:t xml:space="preserve"> vadovaujantis rūšinio pavojingumo </w:t>
      </w:r>
      <w:r w:rsidR="003E3809" w:rsidRPr="00CE37D0">
        <w:lastRenderedPageBreak/>
        <w:t xml:space="preserve">kriterijumi, privataus kaltinimo </w:t>
      </w:r>
      <w:r w:rsidR="00F6429F">
        <w:t>sferai yra priskirti</w:t>
      </w:r>
      <w:r w:rsidR="003E3809" w:rsidRPr="00CE37D0">
        <w:t xml:space="preserve"> tik baudžiamieji nusižengimai ir nesunkūs </w:t>
      </w:r>
      <w:r w:rsidR="0062366B">
        <w:t xml:space="preserve">arba neatsargūs </w:t>
      </w:r>
      <w:r w:rsidR="003E3809" w:rsidRPr="00CE37D0">
        <w:t xml:space="preserve">nusikaltimai. </w:t>
      </w:r>
    </w:p>
    <w:p w:rsidR="003E3809" w:rsidRPr="00CE37D0" w:rsidRDefault="003E3809" w:rsidP="003E3809">
      <w:pPr>
        <w:shd w:val="clear" w:color="auto" w:fill="FFFFFF"/>
        <w:tabs>
          <w:tab w:val="left" w:pos="6660"/>
        </w:tabs>
        <w:spacing w:line="360" w:lineRule="auto"/>
        <w:ind w:right="5" w:firstLine="851"/>
        <w:jc w:val="both"/>
      </w:pPr>
      <w:r w:rsidRPr="00CE37D0">
        <w:t>Nusikalstamos veikos, turinčios kelis objektus, t.y. nukreiptos tiek į privataus asmens interesus, tiek į dalies ar visos visuomenės, valstybės interesus, neturi būti priskiriamos privataus kalti</w:t>
      </w:r>
      <w:r w:rsidR="00D4573F" w:rsidRPr="00CE37D0">
        <w:t>ni</w:t>
      </w:r>
      <w:r w:rsidRPr="00CE37D0">
        <w:t xml:space="preserve">mo </w:t>
      </w:r>
      <w:r w:rsidR="00F6429F">
        <w:t>tvarka nagrinėjamoms nusikalstamoms veikoms</w:t>
      </w:r>
      <w:r w:rsidRPr="00CE37D0">
        <w:t xml:space="preserve">. Nusikalstamų veikų sudėtys, turinčios kvalifikuojančius požymius, taip pat nepriskirtinos šiai kategorijai, kadangi kvalifikuojantis požymis parodo didesnį veikos pavojingumą, kas suponuoja įtariamų asmenų persekiojimo iš valstybės institucijų pusės būtinumą. </w:t>
      </w:r>
      <w:r w:rsidR="00D4573F" w:rsidRPr="00CE37D0">
        <w:t>Šios pozicijos laikomasi ir</w:t>
      </w:r>
      <w:r w:rsidRPr="00CE37D0">
        <w:t xml:space="preserve"> teismų praktikoje. </w:t>
      </w:r>
      <w:r w:rsidRPr="00CE37D0">
        <w:rPr>
          <w:vertAlign w:val="superscript"/>
        </w:rPr>
        <w:footnoteReference w:id="237"/>
      </w:r>
    </w:p>
    <w:p w:rsidR="003E3809" w:rsidRPr="00CE37D0" w:rsidRDefault="003E3809" w:rsidP="00755132">
      <w:pPr>
        <w:numPr>
          <w:ilvl w:val="0"/>
          <w:numId w:val="8"/>
        </w:numPr>
        <w:shd w:val="clear" w:color="auto" w:fill="FFFFFF"/>
        <w:spacing w:line="360" w:lineRule="auto"/>
        <w:ind w:left="0" w:right="156" w:firstLine="851"/>
        <w:jc w:val="both"/>
        <w:rPr>
          <w:rStyle w:val="Emfaz"/>
        </w:rPr>
      </w:pPr>
      <w:r w:rsidRPr="00CE37D0">
        <w:rPr>
          <w:rStyle w:val="Emfaz"/>
        </w:rPr>
        <w:t>Teisinio konflikto (baudžiamojo teisinio santykio) šalių specifika.</w:t>
      </w:r>
    </w:p>
    <w:p w:rsidR="00D45697" w:rsidRPr="00CE37D0" w:rsidRDefault="003E3809" w:rsidP="00D45697">
      <w:pPr>
        <w:shd w:val="clear" w:color="auto" w:fill="FFFFFF"/>
        <w:spacing w:line="360" w:lineRule="auto"/>
        <w:ind w:right="159" w:firstLine="851"/>
        <w:jc w:val="both"/>
        <w:rPr>
          <w:iCs/>
        </w:rPr>
      </w:pPr>
      <w:r w:rsidRPr="00CE37D0">
        <w:t>Materialie</w:t>
      </w:r>
      <w:r w:rsidR="007831A2" w:rsidRPr="00CE37D0">
        <w:t>sie</w:t>
      </w:r>
      <w:r w:rsidRPr="00CE37D0">
        <w:t>ms teisiniams kriterijams priskirtina ir iškilusio teisinio konflikto (baudžiamojo teisinio santykio) šalių s</w:t>
      </w:r>
      <w:r w:rsidR="00C83381" w:rsidRPr="00CE37D0">
        <w:t>p</w:t>
      </w:r>
      <w:r w:rsidRPr="00CE37D0">
        <w:t xml:space="preserve">ecifika. </w:t>
      </w:r>
      <w:r w:rsidRPr="00CE37D0">
        <w:rPr>
          <w:rStyle w:val="Puslapioinaosnuoroda"/>
        </w:rPr>
        <w:footnoteReference w:id="238"/>
      </w:r>
      <w:r w:rsidR="000F55A8">
        <w:t xml:space="preserve"> </w:t>
      </w:r>
      <w:r w:rsidR="00D45697" w:rsidRPr="00CE37D0">
        <w:rPr>
          <w:iCs/>
        </w:rPr>
        <w:t xml:space="preserve">Aplinkybių, kuriomis padaromos nusikalstamos veikos, specifika yra viena iš priežasčių, dėl ko nukentėjusiajam suteikiama ne tik teisė inicijuoti baudžiamąjį procesą paduodant skundą, bet ir galimybė jį nutraukti (susitaikius su kaltinamuoju arba neatvykus į teismo posėdį). Nusikalstamų veikų, kuriomis kėsinamasi į ypač asmeniškas (intymias) asmens gyvenimo sferas, paviešinimas teisme nukentėjusiam asmeniui būtų ypatingai nemalonus, o kartais gali sukelti labiau nepageidaujamus padarinius nei jo atžvilgiu padaryta nusikalstama veika. </w:t>
      </w:r>
      <w:r w:rsidR="00D45697" w:rsidRPr="00CE37D0">
        <w:rPr>
          <w:iCs/>
          <w:vertAlign w:val="superscript"/>
        </w:rPr>
        <w:footnoteReference w:id="239"/>
      </w:r>
    </w:p>
    <w:p w:rsidR="00D45697" w:rsidRPr="00CE37D0" w:rsidRDefault="003E3809" w:rsidP="00D45697">
      <w:pPr>
        <w:shd w:val="clear" w:color="auto" w:fill="FFFFFF"/>
        <w:spacing w:line="360" w:lineRule="auto"/>
        <w:ind w:right="159" w:firstLine="851"/>
        <w:jc w:val="both"/>
      </w:pPr>
      <w:r w:rsidRPr="00CE37D0">
        <w:rPr>
          <w:iCs/>
        </w:rPr>
        <w:t>Teismų praktika atspindi tai, kad didelė dalis privataus kaltinimo</w:t>
      </w:r>
      <w:r w:rsidR="00F6429F">
        <w:rPr>
          <w:iCs/>
        </w:rPr>
        <w:t xml:space="preserve"> sferai priskiriamų nusikalstamų veikų padaroma</w:t>
      </w:r>
      <w:r w:rsidRPr="00CE37D0">
        <w:rPr>
          <w:iCs/>
        </w:rPr>
        <w:t xml:space="preserve"> asmeninių konfliktų</w:t>
      </w:r>
      <w:r w:rsidR="00F6429F">
        <w:rPr>
          <w:iCs/>
        </w:rPr>
        <w:t xml:space="preserve"> metu, dėl asmeninių priežasčių</w:t>
      </w:r>
      <w:r w:rsidRPr="00CE37D0">
        <w:rPr>
          <w:iCs/>
        </w:rPr>
        <w:t>, t.y. toje aplinkoje, kur asmuo praleidžia didžiąją savo gyvenimo dalį.</w:t>
      </w:r>
      <w:r w:rsidR="000F55A8">
        <w:rPr>
          <w:iCs/>
        </w:rPr>
        <w:t xml:space="preserve"> </w:t>
      </w:r>
      <w:r w:rsidR="00D45697" w:rsidRPr="00CE37D0">
        <w:t>Tokiomis aplinkybėmis nusikalstamos veikos padarymą dažniausiai nulemia asmeniniai motyvai, nesutarimai, antipatijos</w:t>
      </w:r>
      <w:r w:rsidR="000F55A8">
        <w:t>;</w:t>
      </w:r>
      <w:r w:rsidR="00D45697" w:rsidRPr="00CE37D0">
        <w:t xml:space="preserve"> asmeninio konflikto kulminacija peržengia teisėtumo ribas ir pasireiškia kaip nusikalstama veika. Tokiame procese daug asmeniškumų, nuoskaudų, įžeistų jausmų ir ambicijų ir siekio visa tai išsakyti, pasiekti savo teisybę ir užbaigti konfliktą nugalėtojo pozicijoje. Pavyzdžiui, Lietuvos Respublikos Seime </w:t>
      </w:r>
      <w:r w:rsidR="00F6429F" w:rsidRPr="00CE37D0">
        <w:t xml:space="preserve">2013 m. balandžio 26 d. </w:t>
      </w:r>
      <w:r w:rsidR="00D45697" w:rsidRPr="00CE37D0">
        <w:t>vykusioje apskritojo stalo diskusijoje „Privataus kaltinimo instituto probleminiai aspektai bei įžeidimo/šmeižimo dekriminalizavimo galimybės“ Vilniaus miesto apylinkės teismo pirminink</w:t>
      </w:r>
      <w:r w:rsidR="0062366B">
        <w:t>o pavaduotoj</w:t>
      </w:r>
      <w:r w:rsidR="00D45697" w:rsidRPr="00CE37D0">
        <w:t xml:space="preserve">as A. Piesliakas teigė, kad dažniausiai </w:t>
      </w:r>
      <w:r w:rsidR="00D45697" w:rsidRPr="00CE37D0">
        <w:lastRenderedPageBreak/>
        <w:t xml:space="preserve">privatus kaltintojas šmeižimo ir įžeidimo bylose siekia ne savo pažeistų teisių atkūrimo, t.y. klaidingos informacijos paneigimo, o kaltininko nubaudimo. </w:t>
      </w:r>
      <w:r w:rsidR="00D45697" w:rsidRPr="00CE37D0">
        <w:rPr>
          <w:rStyle w:val="Puslapioinaosnuoroda"/>
        </w:rPr>
        <w:footnoteReference w:id="240"/>
      </w:r>
    </w:p>
    <w:p w:rsidR="003E3809" w:rsidRPr="00CE37D0" w:rsidRDefault="003E3809" w:rsidP="003E3809">
      <w:pPr>
        <w:shd w:val="clear" w:color="auto" w:fill="FFFFFF"/>
        <w:spacing w:line="360" w:lineRule="auto"/>
        <w:ind w:right="159" w:firstLine="851"/>
        <w:jc w:val="both"/>
        <w:rPr>
          <w:iCs/>
        </w:rPr>
      </w:pPr>
      <w:r w:rsidRPr="00CE37D0">
        <w:rPr>
          <w:iCs/>
        </w:rPr>
        <w:t>Po teismo proceso</w:t>
      </w:r>
      <w:r w:rsidR="000F55A8">
        <w:rPr>
          <w:iCs/>
        </w:rPr>
        <w:t xml:space="preserve">, nubaudus kaltąjį asmenį, </w:t>
      </w:r>
      <w:r w:rsidRPr="00CE37D0">
        <w:rPr>
          <w:iCs/>
        </w:rPr>
        <w:t xml:space="preserve">konflikto dalyviai būna priversti sugrįžti į savo aplinką, toliau kartu gyventi ir dirbti. Konfliktas tarp jų teisminio nagrinėjimo metu </w:t>
      </w:r>
      <w:r w:rsidR="006A4F58" w:rsidRPr="00CE37D0">
        <w:rPr>
          <w:iCs/>
        </w:rPr>
        <w:t xml:space="preserve">gali </w:t>
      </w:r>
      <w:r w:rsidRPr="00CE37D0">
        <w:rPr>
          <w:iCs/>
        </w:rPr>
        <w:t xml:space="preserve">ne išsispręsti, o tik dar labiau pagilėti ar net nulemti sunkesnės nusikalstamos veikos padarymą. </w:t>
      </w:r>
      <w:r w:rsidR="00D45697" w:rsidRPr="00CE37D0">
        <w:rPr>
          <w:iCs/>
        </w:rPr>
        <w:t>Teismo procesas demoralizuoja jo dalyvius, nutraukia žmogiškuosius santykius</w:t>
      </w:r>
      <w:r w:rsidR="000F55A8">
        <w:rPr>
          <w:iCs/>
        </w:rPr>
        <w:t>,</w:t>
      </w:r>
      <w:r w:rsidR="00D45697" w:rsidRPr="00CE37D0">
        <w:rPr>
          <w:iCs/>
        </w:rPr>
        <w:t xml:space="preserve"> </w:t>
      </w:r>
      <w:r w:rsidR="000F55A8">
        <w:rPr>
          <w:iCs/>
        </w:rPr>
        <w:t>užuot juos sustiprinęs</w:t>
      </w:r>
      <w:r w:rsidR="00D45697" w:rsidRPr="00CE37D0">
        <w:rPr>
          <w:iCs/>
        </w:rPr>
        <w:t xml:space="preserve">. </w:t>
      </w:r>
      <w:r w:rsidR="00D45697" w:rsidRPr="00CE37D0">
        <w:rPr>
          <w:iCs/>
          <w:vertAlign w:val="superscript"/>
        </w:rPr>
        <w:footnoteReference w:id="241"/>
      </w:r>
      <w:r w:rsidR="00D9522D">
        <w:rPr>
          <w:iCs/>
        </w:rPr>
        <w:t xml:space="preserve"> </w:t>
      </w:r>
      <w:r w:rsidRPr="00CE37D0">
        <w:rPr>
          <w:iCs/>
        </w:rPr>
        <w:t>Jeigu teisminis tokio pobūdžio konflikto nagrinėjimas vyksta prieš nukentėjusio asmens valią, valstybinių institucijų įsikišimas, lėmęs asmeninių nukentėjusiojo ir kaltinamojo santykių paviešinimą, gali ne tik nepa</w:t>
      </w:r>
      <w:r w:rsidR="00D45697" w:rsidRPr="00CE37D0">
        <w:rPr>
          <w:iCs/>
        </w:rPr>
        <w:t>dė</w:t>
      </w:r>
      <w:r w:rsidRPr="00CE37D0">
        <w:rPr>
          <w:iCs/>
        </w:rPr>
        <w:t xml:space="preserve">ti </w:t>
      </w:r>
      <w:r w:rsidR="00D45697" w:rsidRPr="00CE37D0">
        <w:rPr>
          <w:iCs/>
        </w:rPr>
        <w:t xml:space="preserve">normalizuoti </w:t>
      </w:r>
      <w:r w:rsidRPr="00CE37D0">
        <w:rPr>
          <w:iCs/>
        </w:rPr>
        <w:t xml:space="preserve">santykių, o atvirkščiai, </w:t>
      </w:r>
      <w:r w:rsidR="00D45697" w:rsidRPr="00CE37D0">
        <w:rPr>
          <w:iCs/>
        </w:rPr>
        <w:t>juos</w:t>
      </w:r>
      <w:r w:rsidR="00E355F1">
        <w:rPr>
          <w:iCs/>
        </w:rPr>
        <w:t xml:space="preserve"> </w:t>
      </w:r>
      <w:r w:rsidR="00D45697" w:rsidRPr="00CE37D0">
        <w:rPr>
          <w:iCs/>
        </w:rPr>
        <w:t>komplikuoti</w:t>
      </w:r>
      <w:r w:rsidRPr="00CE37D0">
        <w:rPr>
          <w:iCs/>
        </w:rPr>
        <w:t xml:space="preserve">, </w:t>
      </w:r>
      <w:r w:rsidR="00D45697" w:rsidRPr="00CE37D0">
        <w:rPr>
          <w:iCs/>
        </w:rPr>
        <w:t xml:space="preserve">padidinti </w:t>
      </w:r>
      <w:r w:rsidRPr="00CE37D0">
        <w:rPr>
          <w:iCs/>
        </w:rPr>
        <w:t>įtamp</w:t>
      </w:r>
      <w:r w:rsidR="00D45697" w:rsidRPr="00CE37D0">
        <w:rPr>
          <w:iCs/>
        </w:rPr>
        <w:t>ą</w:t>
      </w:r>
      <w:r w:rsidRPr="00CE37D0">
        <w:rPr>
          <w:iCs/>
        </w:rPr>
        <w:t xml:space="preserve"> santykiuose ir </w:t>
      </w:r>
      <w:r w:rsidR="00D45697" w:rsidRPr="00CE37D0">
        <w:rPr>
          <w:iCs/>
        </w:rPr>
        <w:t xml:space="preserve">prieš nukentėjusiojo valią įtraukti </w:t>
      </w:r>
      <w:r w:rsidRPr="00CE37D0">
        <w:rPr>
          <w:iCs/>
        </w:rPr>
        <w:t>pašalini</w:t>
      </w:r>
      <w:r w:rsidR="00D45697" w:rsidRPr="00CE37D0">
        <w:rPr>
          <w:iCs/>
        </w:rPr>
        <w:t>us</w:t>
      </w:r>
      <w:r w:rsidRPr="00CE37D0">
        <w:rPr>
          <w:iCs/>
        </w:rPr>
        <w:t xml:space="preserve"> asmen</w:t>
      </w:r>
      <w:r w:rsidR="00D45697" w:rsidRPr="00CE37D0">
        <w:rPr>
          <w:iCs/>
        </w:rPr>
        <w:t>is</w:t>
      </w:r>
      <w:r w:rsidRPr="00CE37D0">
        <w:rPr>
          <w:iCs/>
        </w:rPr>
        <w:t xml:space="preserve"> į konfliktą. </w:t>
      </w:r>
    </w:p>
    <w:p w:rsidR="002A6D26" w:rsidRPr="00CE37D0" w:rsidRDefault="003E3809" w:rsidP="003E3809">
      <w:pPr>
        <w:shd w:val="clear" w:color="auto" w:fill="FFFFFF"/>
        <w:spacing w:line="360" w:lineRule="auto"/>
        <w:ind w:right="159" w:firstLine="851"/>
        <w:jc w:val="both"/>
        <w:rPr>
          <w:iCs/>
        </w:rPr>
      </w:pPr>
      <w:r w:rsidRPr="00CE37D0">
        <w:rPr>
          <w:iCs/>
        </w:rPr>
        <w:t xml:space="preserve">2011 m. gruodžio 15 d. įsigaliojus </w:t>
      </w:r>
      <w:r w:rsidR="00867A73">
        <w:rPr>
          <w:iCs/>
        </w:rPr>
        <w:t>A</w:t>
      </w:r>
      <w:r w:rsidRPr="00CE37D0">
        <w:rPr>
          <w:iCs/>
        </w:rPr>
        <w:t>psaugos nuo smurto artimoje aplinkoje įstatymui</w:t>
      </w:r>
      <w:r w:rsidR="00D9522D">
        <w:rPr>
          <w:iCs/>
        </w:rPr>
        <w:t>,</w:t>
      </w:r>
      <w:r w:rsidRPr="00CE37D0">
        <w:rPr>
          <w:iCs/>
        </w:rPr>
        <w:t xml:space="preserve"> </w:t>
      </w:r>
      <w:r w:rsidRPr="00CE37D0">
        <w:rPr>
          <w:rStyle w:val="Puslapioinaosnuoroda"/>
          <w:iCs/>
        </w:rPr>
        <w:footnoteReference w:id="242"/>
      </w:r>
      <w:r w:rsidRPr="00CE37D0">
        <w:rPr>
          <w:iCs/>
        </w:rPr>
        <w:t xml:space="preserve"> smurtinės nusikalstamos veikos artimoje aplinkoje buvo priskirtos viešojo kaltinimo sferai, tuo pačiu įtvirtintas ir imperatyvus konfliktų artimoje aplinkoje teisinis reguliavimas. </w:t>
      </w:r>
      <w:r w:rsidR="00437168" w:rsidRPr="00CE37D0">
        <w:rPr>
          <w:iCs/>
        </w:rPr>
        <w:t>Šiuo</w:t>
      </w:r>
      <w:r w:rsidRPr="00CE37D0">
        <w:rPr>
          <w:iCs/>
        </w:rPr>
        <w:t xml:space="preserve"> įstatymu siekiama ginti asmenis nuo </w:t>
      </w:r>
      <w:r w:rsidR="00F66BA8" w:rsidRPr="00CE37D0">
        <w:rPr>
          <w:iCs/>
        </w:rPr>
        <w:t xml:space="preserve">artimoje aplinkoje įvykdomo </w:t>
      </w:r>
      <w:r w:rsidRPr="00CE37D0">
        <w:rPr>
          <w:iCs/>
        </w:rPr>
        <w:t xml:space="preserve">smurto, kuris dėl jo žalos visuomenei priskiriamas prie visuomeninę reikšmę turinčių veikų. </w:t>
      </w:r>
      <w:r w:rsidR="00437168" w:rsidRPr="00CE37D0">
        <w:rPr>
          <w:iCs/>
        </w:rPr>
        <w:t>Atsižvelgiant į smurto artimoje aplinkoje paplitimo mastą, latentiškumą, šioje santykių sferoje padaromų nusikalstamų veikų prevencijos ir represijos visuomeninį aktualumą, įstatymų leidėjas išreiškė valią dėl šių veikų baudžiamojo persekiojimo priskyrimo viešajam interesui.</w:t>
      </w:r>
      <w:r w:rsidR="001475B4" w:rsidRPr="00CE37D0">
        <w:rPr>
          <w:iCs/>
        </w:rPr>
        <w:t xml:space="preserve"> EŽTT byloje </w:t>
      </w:r>
      <w:r w:rsidR="001475B4" w:rsidRPr="006A4F58">
        <w:rPr>
          <w:i/>
          <w:iCs/>
        </w:rPr>
        <w:t xml:space="preserve">Valiulienė </w:t>
      </w:r>
      <w:r w:rsidR="00D149E5">
        <w:rPr>
          <w:i/>
          <w:iCs/>
        </w:rPr>
        <w:t>v.</w:t>
      </w:r>
      <w:r w:rsidR="00D45697" w:rsidRPr="006A4F58">
        <w:rPr>
          <w:i/>
          <w:iCs/>
        </w:rPr>
        <w:t xml:space="preserve"> L</w:t>
      </w:r>
      <w:r w:rsidR="00D149E5">
        <w:rPr>
          <w:i/>
          <w:iCs/>
        </w:rPr>
        <w:t>ithuania</w:t>
      </w:r>
      <w:r w:rsidR="001475B4" w:rsidRPr="00CE37D0">
        <w:rPr>
          <w:iCs/>
        </w:rPr>
        <w:t xml:space="preserve"> vienareikšmiškai pasisakė dėl smurto artimoje aplinkoje viešo pobūdžio bei valstybės pareigos apsaugoti moteris nuo veikų, kurios laikomos asmens teisių pažeidimais. </w:t>
      </w:r>
      <w:r w:rsidR="001475B4" w:rsidRPr="00CE37D0">
        <w:rPr>
          <w:rStyle w:val="Puslapioinaosnuoroda"/>
          <w:iCs/>
        </w:rPr>
        <w:footnoteReference w:id="243"/>
      </w:r>
      <w:r w:rsidR="000F55A8">
        <w:rPr>
          <w:iCs/>
        </w:rPr>
        <w:t xml:space="preserve"> </w:t>
      </w:r>
      <w:r w:rsidRPr="00CE37D0">
        <w:rPr>
          <w:iCs/>
        </w:rPr>
        <w:t xml:space="preserve">Nepaneigiant valstybės pareigos užtikrinti asmens saugumą, </w:t>
      </w:r>
      <w:r w:rsidRPr="00CE37D0">
        <w:rPr>
          <w:i/>
          <w:iCs/>
        </w:rPr>
        <w:t>inter alia</w:t>
      </w:r>
      <w:r w:rsidRPr="00CE37D0">
        <w:rPr>
          <w:iCs/>
        </w:rPr>
        <w:t xml:space="preserve"> sukurti </w:t>
      </w:r>
      <w:r w:rsidR="00F66BA8" w:rsidRPr="00CE37D0">
        <w:rPr>
          <w:iCs/>
        </w:rPr>
        <w:t xml:space="preserve">kovos su </w:t>
      </w:r>
      <w:r w:rsidRPr="00CE37D0">
        <w:rPr>
          <w:iCs/>
        </w:rPr>
        <w:t>smurt</w:t>
      </w:r>
      <w:r w:rsidR="00F66BA8" w:rsidRPr="00CE37D0">
        <w:rPr>
          <w:iCs/>
        </w:rPr>
        <w:t>u</w:t>
      </w:r>
      <w:r w:rsidR="000F55A8">
        <w:rPr>
          <w:iCs/>
        </w:rPr>
        <w:t xml:space="preserve"> </w:t>
      </w:r>
      <w:r w:rsidR="00F66BA8" w:rsidRPr="00CE37D0">
        <w:rPr>
          <w:iCs/>
        </w:rPr>
        <w:t>artim</w:t>
      </w:r>
      <w:r w:rsidRPr="00CE37D0">
        <w:rPr>
          <w:iCs/>
        </w:rPr>
        <w:t>oje</w:t>
      </w:r>
      <w:r w:rsidR="00F66BA8" w:rsidRPr="00CE37D0">
        <w:rPr>
          <w:iCs/>
        </w:rPr>
        <w:t xml:space="preserve"> aplinkoje</w:t>
      </w:r>
      <w:r w:rsidRPr="00CE37D0">
        <w:rPr>
          <w:iCs/>
        </w:rPr>
        <w:t xml:space="preserve"> sistemą valstybiniu lygiu, man</w:t>
      </w:r>
      <w:r w:rsidR="00E355F1">
        <w:rPr>
          <w:iCs/>
        </w:rPr>
        <w:t>ytina</w:t>
      </w:r>
      <w:r w:rsidRPr="00CE37D0">
        <w:rPr>
          <w:iCs/>
        </w:rPr>
        <w:t xml:space="preserve">, kad pasirinktas teisinis reguliavimas nelanksčiai atsižvelgia į konflikto šalių interesus. Įstatymų leidėjas vadovavosi motyvu, kad smurtas artimoje aplinkoje yra visuomenėje nepriimtinas, pavojingas ir darantis žalą elgesys. Be abejo, su tuo nesutikti negalima. Tačiau imperatyviai reglamentuojant valstybinių institucijų įsikišimą ir nepaliekant vietos nukentėjusio asmens nuomonei, neatsižvelgta į tai, kad nubaudimas gali būti ne </w:t>
      </w:r>
      <w:r w:rsidRPr="00CE37D0">
        <w:rPr>
          <w:iCs/>
        </w:rPr>
        <w:lastRenderedPageBreak/>
        <w:t xml:space="preserve">vienintelis ir ne geriausias konflikto sprendimo būdas. </w:t>
      </w:r>
      <w:r w:rsidRPr="00CE37D0">
        <w:rPr>
          <w:rStyle w:val="Puslapioinaosnuoroda"/>
          <w:iCs/>
        </w:rPr>
        <w:footnoteReference w:id="244"/>
      </w:r>
      <w:r w:rsidRPr="00CE37D0">
        <w:rPr>
          <w:iCs/>
        </w:rPr>
        <w:t xml:space="preserve"> Tai, kas turėtų būti </w:t>
      </w:r>
      <w:r w:rsidRPr="00CE37D0">
        <w:rPr>
          <w:i/>
          <w:iCs/>
        </w:rPr>
        <w:t>ultima ratio</w:t>
      </w:r>
      <w:r w:rsidRPr="00CE37D0">
        <w:rPr>
          <w:iCs/>
        </w:rPr>
        <w:t xml:space="preserve">, įtvirtinta kaip besąlygiškas reakcijos į smurtą artimoje aplinkoje modelis. Baudžiamąja teise siekiama ne tik nubausti kaltininkus, bet ir atkurti nusikalstamomis veikomis pažeistą tvarką, pažeistus interesus, gėrius, siekti viešųjų ir privačių interesų suderinimo, jų kompromiso. </w:t>
      </w:r>
      <w:r w:rsidRPr="00CE37D0">
        <w:rPr>
          <w:rStyle w:val="Puslapioinaosnuoroda"/>
          <w:iCs/>
        </w:rPr>
        <w:footnoteReference w:id="245"/>
      </w:r>
      <w:r w:rsidR="000F55A8">
        <w:rPr>
          <w:iCs/>
        </w:rPr>
        <w:t xml:space="preserve"> </w:t>
      </w:r>
      <w:r w:rsidR="002A6D26" w:rsidRPr="00CE37D0">
        <w:rPr>
          <w:iCs/>
        </w:rPr>
        <w:t xml:space="preserve">Šiuo atveju teisingą teisinį reguliavimą padėtų pasirinkti ir anglosaksų teisinėje doktrinoje išskiriamas kriminalizavimo minimumo principas (angl. </w:t>
      </w:r>
      <w:r w:rsidR="002A6D26" w:rsidRPr="00CE37D0">
        <w:rPr>
          <w:i/>
          <w:iCs/>
        </w:rPr>
        <w:t>principle of minimum criminalization</w:t>
      </w:r>
      <w:r w:rsidR="002A6D26" w:rsidRPr="00CE37D0">
        <w:rPr>
          <w:iCs/>
        </w:rPr>
        <w:t xml:space="preserve">), pagal kurį baudžiamųjų įstatymų leidyba turi būti ribojama ten, kur alternatyvios teisinės priemonės būtų efektyvesnės ir geriau užtikrintų pažeidėjo pasmerkimą. </w:t>
      </w:r>
      <w:r w:rsidR="002A6D26" w:rsidRPr="00CE37D0">
        <w:rPr>
          <w:iCs/>
          <w:vertAlign w:val="superscript"/>
        </w:rPr>
        <w:footnoteReference w:id="246"/>
      </w:r>
      <w:r w:rsidR="000F55A8">
        <w:rPr>
          <w:iCs/>
        </w:rPr>
        <w:t xml:space="preserve"> </w:t>
      </w:r>
      <w:r w:rsidRPr="00CE37D0">
        <w:rPr>
          <w:iCs/>
        </w:rPr>
        <w:t xml:space="preserve">Smurtas artimoje aplinkoje yra kompleksinė problema, todėl </w:t>
      </w:r>
      <w:r w:rsidR="000F55A8">
        <w:rPr>
          <w:iCs/>
        </w:rPr>
        <w:t>ji</w:t>
      </w:r>
      <w:r w:rsidR="000F55A8" w:rsidRPr="00CE37D0">
        <w:rPr>
          <w:iCs/>
        </w:rPr>
        <w:t xml:space="preserve"> </w:t>
      </w:r>
      <w:r w:rsidRPr="00CE37D0">
        <w:rPr>
          <w:iCs/>
        </w:rPr>
        <w:t xml:space="preserve">turi būti sprendžiama kompleksinėmis priemonėmis. Tai ne vien teisinį įvertinimą turinti veika, tačiau </w:t>
      </w:r>
      <w:r w:rsidR="00CE489F" w:rsidRPr="00CE37D0">
        <w:rPr>
          <w:iCs/>
        </w:rPr>
        <w:t xml:space="preserve">ir </w:t>
      </w:r>
      <w:r w:rsidRPr="00CE37D0">
        <w:rPr>
          <w:iCs/>
        </w:rPr>
        <w:t xml:space="preserve">psichologinė šeimos drama. Baudžiamoji atsakomybė turi būti įtvirtinta visumoje smurtą šeimoje mažinančių priemonių kaip kraštutinė priemonė, </w:t>
      </w:r>
      <w:r w:rsidRPr="00CE37D0">
        <w:rPr>
          <w:rStyle w:val="Puslapioinaosnuoroda"/>
          <w:iCs/>
        </w:rPr>
        <w:footnoteReference w:id="247"/>
      </w:r>
      <w:r w:rsidR="000F55A8">
        <w:rPr>
          <w:iCs/>
        </w:rPr>
        <w:t xml:space="preserve"> </w:t>
      </w:r>
      <w:r w:rsidR="00C127CF" w:rsidRPr="00CE37D0">
        <w:rPr>
          <w:iCs/>
        </w:rPr>
        <w:t>t.y. baudžiamųjų įstatymų ir sankcijų turi būti imamasi tik tada, kai neįmanoma kitomis teisinėmis ir socialinėmis priemonėmis apginti pažeidžiamų teisinių gėrių</w:t>
      </w:r>
      <w:r w:rsidR="00CE489F" w:rsidRPr="00CE37D0">
        <w:rPr>
          <w:iCs/>
        </w:rPr>
        <w:t>.</w:t>
      </w:r>
      <w:r w:rsidR="00D9522D">
        <w:rPr>
          <w:iCs/>
        </w:rPr>
        <w:t xml:space="preserve"> </w:t>
      </w:r>
      <w:r w:rsidR="00C127CF" w:rsidRPr="00CE37D0">
        <w:rPr>
          <w:rStyle w:val="Puslapioinaosnuoroda"/>
          <w:iCs/>
        </w:rPr>
        <w:footnoteReference w:id="248"/>
      </w:r>
      <w:r w:rsidRPr="00CE37D0">
        <w:rPr>
          <w:iCs/>
        </w:rPr>
        <w:t xml:space="preserve"> Smurto mažinimo artimoje aplinkoje priemonių sistema turi remtis šeimos interesų prioritetu, taikių konfliktų sprendimų būdų paieška, sutaikymo ir kompromiso siekiu, psichologinės, socialinės, ekonominės pagalbos priemonėmis šeimai. Viena iš baudžiamojo proceso prieinamumo pasekmių yra ta, kad baudžiamoji teisė nustoja būti </w:t>
      </w:r>
      <w:r w:rsidRPr="00CE37D0">
        <w:rPr>
          <w:i/>
          <w:iCs/>
        </w:rPr>
        <w:t>ultima ratio</w:t>
      </w:r>
      <w:r w:rsidRPr="00CE37D0">
        <w:rPr>
          <w:iCs/>
        </w:rPr>
        <w:t xml:space="preserve">: </w:t>
      </w:r>
      <w:r w:rsidRPr="00CE37D0">
        <w:rPr>
          <w:iCs/>
          <w:vertAlign w:val="superscript"/>
        </w:rPr>
        <w:footnoteReference w:id="249"/>
      </w:r>
      <w:r w:rsidR="000F55A8">
        <w:rPr>
          <w:iCs/>
        </w:rPr>
        <w:t xml:space="preserve"> </w:t>
      </w:r>
      <w:r w:rsidRPr="00CE37D0">
        <w:rPr>
          <w:iCs/>
        </w:rPr>
        <w:t>pirmiausia inicijuoja</w:t>
      </w:r>
      <w:r w:rsidR="00CE489F" w:rsidRPr="00CE37D0">
        <w:rPr>
          <w:iCs/>
        </w:rPr>
        <w:t>mas</w:t>
      </w:r>
      <w:r w:rsidRPr="00CE37D0">
        <w:rPr>
          <w:iCs/>
        </w:rPr>
        <w:t xml:space="preserve"> baudžiam</w:t>
      </w:r>
      <w:r w:rsidR="00CE489F" w:rsidRPr="00CE37D0">
        <w:rPr>
          <w:iCs/>
        </w:rPr>
        <w:t>asis</w:t>
      </w:r>
      <w:r w:rsidRPr="00CE37D0">
        <w:rPr>
          <w:iCs/>
        </w:rPr>
        <w:t xml:space="preserve"> proces</w:t>
      </w:r>
      <w:r w:rsidR="00CE489F" w:rsidRPr="00CE37D0">
        <w:rPr>
          <w:iCs/>
        </w:rPr>
        <w:t>as</w:t>
      </w:r>
      <w:r w:rsidRPr="00CE37D0">
        <w:rPr>
          <w:iCs/>
        </w:rPr>
        <w:t xml:space="preserve">, </w:t>
      </w:r>
      <w:r w:rsidRPr="00CE37D0">
        <w:rPr>
          <w:iCs/>
        </w:rPr>
        <w:lastRenderedPageBreak/>
        <w:t xml:space="preserve">nors alternatyvus konflikto sprendimo būdas galimai labiau atitiktų </w:t>
      </w:r>
      <w:r w:rsidR="00CE489F" w:rsidRPr="00CE37D0">
        <w:rPr>
          <w:iCs/>
        </w:rPr>
        <w:t>tiek nukentėjusio asmens, tiek</w:t>
      </w:r>
      <w:r w:rsidRPr="00CE37D0">
        <w:rPr>
          <w:iCs/>
        </w:rPr>
        <w:t xml:space="preserve"> valstybės interesus. Vien bausmių ir kitų baudžiamųjų represinių priemonių taikymas nusikalstamas veikas padariusiems asmenims nesuteikia garantijų, kad bus atkurta nusikalstamomis veikomis pažeista tvarka ir teisingumas, bus apsaugoti ir atkurti nukentėjusių nuo nusikalstamų veikų asmenų interesai. </w:t>
      </w:r>
      <w:r w:rsidRPr="00CE37D0">
        <w:rPr>
          <w:iCs/>
          <w:vertAlign w:val="superscript"/>
        </w:rPr>
        <w:footnoteReference w:id="250"/>
      </w:r>
      <w:r w:rsidRPr="00CE37D0">
        <w:rPr>
          <w:iCs/>
        </w:rPr>
        <w:t xml:space="preserve"> Todėl m</w:t>
      </w:r>
      <w:r w:rsidR="00DB4ECD">
        <w:rPr>
          <w:iCs/>
        </w:rPr>
        <w:t>anytina</w:t>
      </w:r>
      <w:r w:rsidR="0029671B" w:rsidRPr="00CE37D0">
        <w:rPr>
          <w:iCs/>
        </w:rPr>
        <w:t>,</w:t>
      </w:r>
      <w:r w:rsidR="00DB4ECD">
        <w:rPr>
          <w:iCs/>
        </w:rPr>
        <w:t xml:space="preserve"> kad</w:t>
      </w:r>
      <w:r w:rsidRPr="00CE37D0">
        <w:rPr>
          <w:iCs/>
        </w:rPr>
        <w:t xml:space="preserve"> imperatyvus represinių poveikio priemonių taikymas neatitinka nukentėjusio asmens interesų ta apimtimi, kuria jam nesuteikiama galimybė pasirinkti gynybos ir pažeistų teisių atstatymo būdo atsižvelgiant į jo paties interesus. </w:t>
      </w:r>
      <w:r w:rsidR="00C127CF" w:rsidRPr="00CE37D0">
        <w:rPr>
          <w:iCs/>
        </w:rPr>
        <w:t>Apsauga nuo s</w:t>
      </w:r>
      <w:r w:rsidRPr="00CE37D0">
        <w:rPr>
          <w:iCs/>
        </w:rPr>
        <w:t xml:space="preserve">murto </w:t>
      </w:r>
      <w:r w:rsidR="00CE489F" w:rsidRPr="00CE37D0">
        <w:rPr>
          <w:iCs/>
        </w:rPr>
        <w:t>artimoje aplinko</w:t>
      </w:r>
      <w:r w:rsidRPr="00CE37D0">
        <w:rPr>
          <w:iCs/>
        </w:rPr>
        <w:t xml:space="preserve">je turėtų būti užtikrinama derinant represines priemones ir atkuriamojo teisingumo elementus, prioritetą teikiant pastariesiems. </w:t>
      </w:r>
    </w:p>
    <w:p w:rsidR="003E3809" w:rsidRPr="00CE37D0" w:rsidRDefault="00E272A5" w:rsidP="00D149E5">
      <w:pPr>
        <w:pStyle w:val="Antrat3"/>
        <w:spacing w:before="0" w:after="0" w:line="360" w:lineRule="auto"/>
        <w:jc w:val="both"/>
      </w:pPr>
      <w:bookmarkStart w:id="90" w:name="_Toc307574203"/>
      <w:bookmarkStart w:id="91" w:name="_Toc333484084"/>
      <w:bookmarkStart w:id="92" w:name="_Toc365498839"/>
      <w:bookmarkStart w:id="93" w:name="_Toc370139902"/>
      <w:bookmarkStart w:id="94" w:name="_Toc400321682"/>
      <w:r>
        <w:rPr>
          <w:rFonts w:ascii="TimesNewRomanPSMT" w:hAnsi="TimesNewRomanPSMT"/>
        </w:rPr>
        <w:t>3.1</w:t>
      </w:r>
      <w:r w:rsidR="003E3809" w:rsidRPr="00CE37D0">
        <w:rPr>
          <w:rFonts w:ascii="TimesNewRomanPSMT" w:hAnsi="TimesNewRomanPSMT"/>
        </w:rPr>
        <w:t xml:space="preserve">.2. </w:t>
      </w:r>
      <w:r w:rsidR="003E3809" w:rsidRPr="00CE37D0">
        <w:t>Procesiniai (proceso diferencijavimo) pagrindai</w:t>
      </w:r>
      <w:bookmarkEnd w:id="90"/>
      <w:bookmarkEnd w:id="91"/>
      <w:bookmarkEnd w:id="92"/>
      <w:bookmarkEnd w:id="93"/>
      <w:bookmarkEnd w:id="94"/>
    </w:p>
    <w:p w:rsidR="003E3809" w:rsidRPr="00CE37D0" w:rsidRDefault="003E3809" w:rsidP="003E3809">
      <w:pPr>
        <w:widowControl w:val="0"/>
        <w:shd w:val="clear" w:color="auto" w:fill="FFFFFF"/>
        <w:tabs>
          <w:tab w:val="left" w:pos="1454"/>
        </w:tabs>
        <w:autoSpaceDE w:val="0"/>
        <w:autoSpaceDN w:val="0"/>
        <w:adjustRightInd w:val="0"/>
        <w:spacing w:line="360" w:lineRule="auto"/>
        <w:ind w:right="23" w:firstLine="851"/>
        <w:jc w:val="both"/>
        <w:rPr>
          <w:rStyle w:val="Emfaz"/>
        </w:rPr>
      </w:pPr>
      <w:r w:rsidRPr="00CE37D0">
        <w:t xml:space="preserve">1. </w:t>
      </w:r>
      <w:r w:rsidRPr="00CE37D0">
        <w:rPr>
          <w:rStyle w:val="Emfaz"/>
        </w:rPr>
        <w:t xml:space="preserve">Įrodinėjimo </w:t>
      </w:r>
      <w:r w:rsidR="000A0E91">
        <w:rPr>
          <w:rStyle w:val="Emfaz"/>
        </w:rPr>
        <w:t>ypatumai</w:t>
      </w:r>
      <w:r w:rsidRPr="00CE37D0">
        <w:rPr>
          <w:rStyle w:val="Emfaz"/>
        </w:rPr>
        <w:t xml:space="preserve">. </w:t>
      </w:r>
    </w:p>
    <w:p w:rsidR="003E3809" w:rsidRPr="00CE37D0" w:rsidRDefault="000A0E91" w:rsidP="003E3809">
      <w:pPr>
        <w:widowControl w:val="0"/>
        <w:shd w:val="clear" w:color="auto" w:fill="FFFFFF"/>
        <w:tabs>
          <w:tab w:val="left" w:pos="1267"/>
        </w:tabs>
        <w:autoSpaceDE w:val="0"/>
        <w:autoSpaceDN w:val="0"/>
        <w:adjustRightInd w:val="0"/>
        <w:spacing w:line="360" w:lineRule="auto"/>
        <w:ind w:right="27" w:firstLine="851"/>
        <w:jc w:val="both"/>
      </w:pPr>
      <w:r>
        <w:rPr>
          <w:rFonts w:ascii="TimesNewRomanPSMT" w:hAnsi="TimesNewRomanPSMT"/>
        </w:rPr>
        <w:t>P</w:t>
      </w:r>
      <w:r w:rsidR="000B49A8">
        <w:rPr>
          <w:rFonts w:ascii="TimesNewRomanPSMT" w:hAnsi="TimesNewRomanPSMT"/>
        </w:rPr>
        <w:t>roceso diferencijavimo</w:t>
      </w:r>
      <w:r w:rsidR="003E3809" w:rsidRPr="00CE37D0">
        <w:rPr>
          <w:rFonts w:ascii="TimesNewRomanPSMT" w:hAnsi="TimesNewRomanPSMT"/>
        </w:rPr>
        <w:t xml:space="preserve"> pagrindų išskyrimas remiasi</w:t>
      </w:r>
      <w:r w:rsidR="003E3809" w:rsidRPr="00CE37D0">
        <w:t xml:space="preserve"> baudžiamosios procesinės formos vienybės ir diferenciacijos teorija. Baudžiamojo proceso diferencijavimo kriterijais laikoma tai, kad nusikalstamos veikos skiriasi pagal pavojingumo pobūdį ir laipsnį, atskleidimo sudėtingumą, teisinės ir faktinės pusės tyrimo sudėtingumą, visuomeninę politinę reikšmę bei reikšmę atskirų asmenų ir institucijų interesams. </w:t>
      </w:r>
      <w:r w:rsidR="003E3809" w:rsidRPr="00CE37D0">
        <w:rPr>
          <w:rStyle w:val="Puslapioinaosnuoroda"/>
        </w:rPr>
        <w:footnoteReference w:id="251"/>
      </w:r>
      <w:r w:rsidR="000F55A8">
        <w:t xml:space="preserve"> </w:t>
      </w:r>
      <w:r w:rsidR="0062366B">
        <w:t>P</w:t>
      </w:r>
      <w:r w:rsidR="003E3809" w:rsidRPr="00CE37D0">
        <w:t>agal savo sandarą privataus kaltinimo bylų procesas gali būti laikomas supaprastintu, kadangi jame nėra ikiteisminio tyrimo stadijos, nedalyvauja viešojo kaltinimo subjektai, neatliekami sudėtingi technine prasme tyrimo veiksmai, santykinai retai taikomos procesinės prievartos priemonės</w:t>
      </w:r>
      <w:r w:rsidR="0062366B">
        <w:t>, tačiau faktine prasme šis procesas gali būti ir labai sudėtingas, todėl nepriskirtinas supaprastintam procesui</w:t>
      </w:r>
      <w:r w:rsidR="003E3809" w:rsidRPr="00CE37D0">
        <w:t>.</w:t>
      </w:r>
      <w:r w:rsidR="008754D8">
        <w:t xml:space="preserve"> </w:t>
      </w:r>
      <w:r w:rsidR="0062366B">
        <w:rPr>
          <w:rStyle w:val="Puslapioinaosnuoroda"/>
        </w:rPr>
        <w:footnoteReference w:id="252"/>
      </w:r>
    </w:p>
    <w:p w:rsidR="003E3809" w:rsidRPr="00CE37D0" w:rsidRDefault="002A6D26" w:rsidP="003E3809">
      <w:pPr>
        <w:widowControl w:val="0"/>
        <w:shd w:val="clear" w:color="auto" w:fill="FFFFFF"/>
        <w:tabs>
          <w:tab w:val="left" w:pos="1454"/>
        </w:tabs>
        <w:autoSpaceDE w:val="0"/>
        <w:autoSpaceDN w:val="0"/>
        <w:adjustRightInd w:val="0"/>
        <w:spacing w:line="360" w:lineRule="auto"/>
        <w:ind w:right="23" w:firstLine="851"/>
        <w:jc w:val="both"/>
      </w:pPr>
      <w:r w:rsidRPr="00CE37D0">
        <w:rPr>
          <w:rFonts w:ascii="TimesNewRomanPSMT" w:hAnsi="TimesNewRomanPSMT"/>
        </w:rPr>
        <w:t>Ikiteisminio tyrimo etapo nebu</w:t>
      </w:r>
      <w:r w:rsidR="000B49A8">
        <w:rPr>
          <w:rFonts w:ascii="TimesNewRomanPSMT" w:hAnsi="TimesNewRomanPSMT"/>
        </w:rPr>
        <w:t>vimas suponuoja ir įrodinėjimo ypatumus</w:t>
      </w:r>
      <w:r w:rsidRPr="00CE37D0">
        <w:rPr>
          <w:rFonts w:ascii="TimesNewRomanPSMT" w:hAnsi="TimesNewRomanPSMT"/>
        </w:rPr>
        <w:t xml:space="preserve">. </w:t>
      </w:r>
      <w:r w:rsidR="00966730" w:rsidRPr="00CE37D0">
        <w:t xml:space="preserve">Privataus kaltinimo bylų </w:t>
      </w:r>
      <w:r w:rsidR="000B49A8">
        <w:t>ypatumams</w:t>
      </w:r>
      <w:r w:rsidR="00966730" w:rsidRPr="00CE37D0">
        <w:t xml:space="preserve"> kai kurie autoriai priskyrė tokią savybę kaip nusikalstamos veikos akivaizdumas, nereikalaujantis ikiteisminio tyrimo</w:t>
      </w:r>
      <w:r w:rsidR="00966730" w:rsidRPr="00CE37D0">
        <w:rPr>
          <w:rFonts w:ascii="TimesNewRomanPSMT" w:hAnsi="TimesNewRomanPSMT"/>
        </w:rPr>
        <w:t xml:space="preserve">. </w:t>
      </w:r>
      <w:r w:rsidR="00966730" w:rsidRPr="00CE37D0">
        <w:rPr>
          <w:rStyle w:val="Puslapioinaosnuoroda"/>
          <w:rFonts w:ascii="TimesNewRomanPSMT" w:hAnsi="TimesNewRomanPSMT"/>
        </w:rPr>
        <w:footnoteReference w:id="253"/>
      </w:r>
      <w:r w:rsidR="000F55A8">
        <w:rPr>
          <w:rFonts w:ascii="TimesNewRomanPSMT" w:hAnsi="TimesNewRomanPSMT"/>
        </w:rPr>
        <w:t xml:space="preserve"> </w:t>
      </w:r>
      <w:r w:rsidR="003E3809" w:rsidRPr="00CE37D0">
        <w:t>Koki</w:t>
      </w:r>
      <w:r w:rsidRPr="00CE37D0">
        <w:t>ų</w:t>
      </w:r>
      <w:r w:rsidR="003E3809" w:rsidRPr="00CE37D0">
        <w:t xml:space="preserve"> nusikal</w:t>
      </w:r>
      <w:r w:rsidR="00E355F1">
        <w:t>s</w:t>
      </w:r>
      <w:r w:rsidR="003E3809" w:rsidRPr="00CE37D0">
        <w:t>t</w:t>
      </w:r>
      <w:r w:rsidR="00E355F1">
        <w:t>a</w:t>
      </w:r>
      <w:r w:rsidR="003E3809" w:rsidRPr="00CE37D0">
        <w:t>m</w:t>
      </w:r>
      <w:r w:rsidRPr="00CE37D0">
        <w:t>ų</w:t>
      </w:r>
      <w:r w:rsidR="00E355F1">
        <w:t xml:space="preserve"> veikų</w:t>
      </w:r>
      <w:r w:rsidRPr="00CE37D0">
        <w:t xml:space="preserve"> įrodinėjimas gali būti vertinamas kaip nesudėtingas,</w:t>
      </w:r>
      <w:r w:rsidR="003E3809" w:rsidRPr="00CE37D0">
        <w:t xml:space="preserve"> lemia procesiniai kriterijai</w:t>
      </w:r>
      <w:r w:rsidR="000B49A8">
        <w:t>, tokie kaip n</w:t>
      </w:r>
      <w:r w:rsidR="003E3809" w:rsidRPr="00CE37D0">
        <w:t>esudėtingas nusikalstamų veikų atskleidimo mechanizmas, nereikalaujantis specialių žinių ir priemonių teisin</w:t>
      </w:r>
      <w:r w:rsidR="000B49A8">
        <w:t>ių</w:t>
      </w:r>
      <w:r w:rsidR="003E3809" w:rsidRPr="00CE37D0">
        <w:t xml:space="preserve"> ir faktin</w:t>
      </w:r>
      <w:r w:rsidR="000B49A8">
        <w:t>ių aplinkybių nustatymas</w:t>
      </w:r>
      <w:r w:rsidR="003E3809" w:rsidRPr="00CE37D0">
        <w:t xml:space="preserve">. Įrodinėjimo </w:t>
      </w:r>
      <w:r w:rsidR="000B49A8">
        <w:t>ypatumus</w:t>
      </w:r>
      <w:r w:rsidR="003E3809" w:rsidRPr="00CE37D0">
        <w:t xml:space="preserve"> </w:t>
      </w:r>
      <w:r w:rsidR="00E271EF">
        <w:t xml:space="preserve">nulemia </w:t>
      </w:r>
      <w:r w:rsidR="003E3809" w:rsidRPr="00CE37D0">
        <w:t>galimybė pateikti įrodymus</w:t>
      </w:r>
      <w:r w:rsidR="000F55A8">
        <w:t>, neatliekant ikiteisminio tyrimo,</w:t>
      </w:r>
      <w:r w:rsidR="003E3809" w:rsidRPr="00CE37D0">
        <w:t xml:space="preserve"> </w:t>
      </w:r>
      <w:r w:rsidR="000B49A8">
        <w:t xml:space="preserve">daugiausia </w:t>
      </w:r>
      <w:r w:rsidR="003E3809" w:rsidRPr="00CE37D0">
        <w:t>panaudojant kaip įrodymus liudytojų parodymus apie padarytą nusikalstamą veiką</w:t>
      </w:r>
      <w:r w:rsidRPr="00CE37D0">
        <w:t>.</w:t>
      </w:r>
      <w:r w:rsidR="003E3809" w:rsidRPr="00CE37D0">
        <w:t xml:space="preserve"> Nesudėtingas įrodinėjimas tam tikrose bylose laikytinas procesiniu pagrindu </w:t>
      </w:r>
      <w:r w:rsidR="000F55A8">
        <w:lastRenderedPageBreak/>
        <w:t>at</w:t>
      </w:r>
      <w:r w:rsidR="003E3809" w:rsidRPr="00CE37D0">
        <w:t xml:space="preserve">skirti jas į atskirą kategoriją, kurioje procesas gali vykti privataus kaltinimo tvarka. </w:t>
      </w:r>
      <w:r w:rsidR="003E3809" w:rsidRPr="00CE37D0">
        <w:rPr>
          <w:rStyle w:val="Puslapioinaosnuoroda"/>
        </w:rPr>
        <w:footnoteReference w:id="254"/>
      </w:r>
    </w:p>
    <w:p w:rsidR="003E3809" w:rsidRPr="00CE37D0" w:rsidRDefault="003E3809" w:rsidP="003E3809">
      <w:pPr>
        <w:widowControl w:val="0"/>
        <w:shd w:val="clear" w:color="auto" w:fill="FFFFFF"/>
        <w:tabs>
          <w:tab w:val="left" w:pos="1454"/>
        </w:tabs>
        <w:autoSpaceDE w:val="0"/>
        <w:autoSpaceDN w:val="0"/>
        <w:adjustRightInd w:val="0"/>
        <w:spacing w:line="360" w:lineRule="auto"/>
        <w:ind w:right="23" w:firstLine="851"/>
        <w:jc w:val="both"/>
        <w:rPr>
          <w:rFonts w:ascii="TimesNewRomanPSMT" w:hAnsi="TimesNewRomanPSMT"/>
        </w:rPr>
      </w:pPr>
      <w:r w:rsidRPr="00CE37D0">
        <w:t>Tenka pripažinti, kad privatus asmuo ne kiekvienoje byloje gali veiksmingai įgyvendinti kaltinimo funkciją. Tam reik</w:t>
      </w:r>
      <w:r w:rsidR="001114D8">
        <w:t>ia</w:t>
      </w:r>
      <w:r w:rsidRPr="00CE37D0">
        <w:t xml:space="preserve"> laisv</w:t>
      </w:r>
      <w:r w:rsidR="001114D8">
        <w:t>o laiko, piniginių lėšų, noro ir gebėjimo būti kaltintoju</w:t>
      </w:r>
      <w:r w:rsidRPr="00CE37D0">
        <w:t>. Valstybė neturi nusišalinti nuo šių problemų, atvirkščiai, turi pareigą padėti privatiems asmenims, gindama asmenų, negalinčių efektyviai atstovauti savo interes</w:t>
      </w:r>
      <w:r w:rsidR="006A4F58">
        <w:t>ams</w:t>
      </w:r>
      <w:r w:rsidRPr="00CE37D0">
        <w:t>, teises. Tačiau</w:t>
      </w:r>
      <w:r w:rsidR="001114D8">
        <w:t>,</w:t>
      </w:r>
      <w:r w:rsidRPr="00CE37D0">
        <w:t xml:space="preserve"> vertinant </w:t>
      </w:r>
      <w:r w:rsidR="0029671B" w:rsidRPr="00CE37D0">
        <w:t xml:space="preserve">objektyviai, </w:t>
      </w:r>
      <w:r w:rsidRPr="00CE37D0">
        <w:t xml:space="preserve">privataus kaltinimo bylų kategorijai priskirtų nusikalstamų veikų nagrinėjimo procesas turi būti </w:t>
      </w:r>
      <w:r w:rsidR="003F2B2A">
        <w:t>ne</w:t>
      </w:r>
      <w:r w:rsidRPr="00CE37D0">
        <w:t>sudėting</w:t>
      </w:r>
      <w:r w:rsidR="003F2B2A">
        <w:t>as tiek</w:t>
      </w:r>
      <w:r w:rsidRPr="00CE37D0">
        <w:t>, kad jame privatus asmuo galėtų palaikyti kaltinimą ir įrodyti savo kaltinamuosius teiginius</w:t>
      </w:r>
      <w:r w:rsidR="001114D8">
        <w:t>, nepanaudojęs</w:t>
      </w:r>
      <w:r w:rsidRPr="00CE37D0">
        <w:t xml:space="preserve"> specialių žinių ir techninių priemonių. Aplinkybė, kad nukentėjęs asmuo negali pats, </w:t>
      </w:r>
      <w:r w:rsidR="001114D8">
        <w:t>nepadedamas</w:t>
      </w:r>
      <w:r w:rsidRPr="00CE37D0">
        <w:t xml:space="preserve"> ikiteisminio tyrimo institucijų, jam prieinamomis priemonėmis įrodyti savo kaltinamųjų teiginių</w:t>
      </w:r>
      <w:r w:rsidR="001114D8">
        <w:t>, nes nusikalstamos veikos sudėtį įrodyti sudėtinga,</w:t>
      </w:r>
      <w:r w:rsidRPr="00CE37D0">
        <w:t xml:space="preserve"> yra procesinis pagrindas priskirti tokią bylą viešojo kaltinimo byloms. </w:t>
      </w:r>
    </w:p>
    <w:p w:rsidR="003E3809" w:rsidRPr="00CE37D0" w:rsidRDefault="0029671B" w:rsidP="003E3809">
      <w:pPr>
        <w:widowControl w:val="0"/>
        <w:shd w:val="clear" w:color="auto" w:fill="FFFFFF"/>
        <w:tabs>
          <w:tab w:val="left" w:pos="1454"/>
        </w:tabs>
        <w:autoSpaceDE w:val="0"/>
        <w:autoSpaceDN w:val="0"/>
        <w:adjustRightInd w:val="0"/>
        <w:spacing w:line="360" w:lineRule="auto"/>
        <w:ind w:right="23" w:firstLine="851"/>
        <w:jc w:val="both"/>
      </w:pPr>
      <w:r w:rsidRPr="00CE37D0">
        <w:t>Privataus kaltintojo</w:t>
      </w:r>
      <w:r w:rsidR="003E3809" w:rsidRPr="00CE37D0">
        <w:t xml:space="preserve"> pareiga sudėtingesniais atvejais įrodyti nusikalstamos veikos sudėtį ir kaltinamojo kaltę yra sunkiai įvykdoma tiek organi</w:t>
      </w:r>
      <w:r w:rsidR="008754D8">
        <w:t xml:space="preserve">zaciniu, tiek teisiniu aspektu. </w:t>
      </w:r>
      <w:r w:rsidR="003E3809" w:rsidRPr="00CE37D0">
        <w:t>T</w:t>
      </w:r>
      <w:r w:rsidRPr="00CE37D0">
        <w:t>aigi</w:t>
      </w:r>
      <w:r w:rsidR="001114D8">
        <w:t xml:space="preserve"> </w:t>
      </w:r>
      <w:r w:rsidRPr="00CE37D0">
        <w:t xml:space="preserve">sudėtingesnio įrodinėjimo atvejais, net ir </w:t>
      </w:r>
      <w:r w:rsidR="00966730" w:rsidRPr="00CE37D0">
        <w:t xml:space="preserve">esant kitiems privataus kaltinimo </w:t>
      </w:r>
      <w:r w:rsidRPr="00CE37D0">
        <w:t>diferencijavimo</w:t>
      </w:r>
      <w:r w:rsidR="00966730" w:rsidRPr="00CE37D0">
        <w:t xml:space="preserve"> kriterijams, </w:t>
      </w:r>
      <w:r w:rsidR="003E3809" w:rsidRPr="00CE37D0">
        <w:t>geriausiai nukentėjusio</w:t>
      </w:r>
      <w:r w:rsidRPr="00CE37D0">
        <w:t xml:space="preserve"> asmens</w:t>
      </w:r>
      <w:r w:rsidR="003E3809" w:rsidRPr="00CE37D0">
        <w:t xml:space="preserve"> interesus atstovauja </w:t>
      </w:r>
      <w:r w:rsidR="00397E48">
        <w:t>privačiai viešo</w:t>
      </w:r>
      <w:r w:rsidR="003E3809" w:rsidRPr="00CE37D0">
        <w:t xml:space="preserve"> kaltinimo institutas, kai valią dėl proceso pradėjimo išreiškia nukentėj</w:t>
      </w:r>
      <w:r w:rsidR="00F2441B" w:rsidRPr="00CE37D0">
        <w:t>ęs asmuo</w:t>
      </w:r>
      <w:r w:rsidR="003E3809" w:rsidRPr="00CE37D0">
        <w:t xml:space="preserve">, o įrodinėjimo našta tenka teisėsaugos institucijoms, kurios turi įgaliojimus ir galimybes išaiškinti </w:t>
      </w:r>
      <w:r w:rsidRPr="00CE37D0">
        <w:t xml:space="preserve">nusikalstamą veiką padariusį </w:t>
      </w:r>
      <w:r w:rsidR="00F2441B" w:rsidRPr="00CE37D0">
        <w:t xml:space="preserve">asmenį </w:t>
      </w:r>
      <w:r w:rsidR="003E3809" w:rsidRPr="00CE37D0">
        <w:t xml:space="preserve">ir surinkti </w:t>
      </w:r>
      <w:r w:rsidR="006A4F58">
        <w:t>duomenis, reikšmingus teisingam bylos išnagrinėjimui,</w:t>
      </w:r>
      <w:r w:rsidR="003E3809" w:rsidRPr="00CE37D0">
        <w:t xml:space="preserve"> dėl jo kaltumo ar nekaltumo</w:t>
      </w:r>
      <w:r w:rsidR="00F2441B" w:rsidRPr="00CE37D0">
        <w:t>.</w:t>
      </w:r>
    </w:p>
    <w:p w:rsidR="00865B4C" w:rsidRPr="00CE37D0" w:rsidRDefault="000220E7" w:rsidP="000220E7">
      <w:pPr>
        <w:pStyle w:val="Sraopastraipa"/>
        <w:widowControl w:val="0"/>
        <w:shd w:val="clear" w:color="auto" w:fill="FFFFFF"/>
        <w:tabs>
          <w:tab w:val="left" w:pos="1454"/>
        </w:tabs>
        <w:autoSpaceDE w:val="0"/>
        <w:autoSpaceDN w:val="0"/>
        <w:adjustRightInd w:val="0"/>
        <w:ind w:right="14" w:firstLine="0"/>
        <w:rPr>
          <w:rStyle w:val="Emfaz"/>
        </w:rPr>
      </w:pPr>
      <w:r w:rsidRPr="00CE37D0">
        <w:rPr>
          <w:rStyle w:val="Emfaz"/>
        </w:rPr>
        <w:t>2.</w:t>
      </w:r>
      <w:r w:rsidR="001114D8">
        <w:rPr>
          <w:rStyle w:val="Emfaz"/>
        </w:rPr>
        <w:t xml:space="preserve"> </w:t>
      </w:r>
      <w:r w:rsidR="003E3809" w:rsidRPr="00CE37D0">
        <w:rPr>
          <w:rStyle w:val="Emfaz"/>
        </w:rPr>
        <w:t xml:space="preserve">Nukentėjusiojo </w:t>
      </w:r>
      <w:r w:rsidR="0062366B">
        <w:rPr>
          <w:rStyle w:val="Emfaz"/>
        </w:rPr>
        <w:t>požiūr</w:t>
      </w:r>
      <w:r w:rsidR="003E3809" w:rsidRPr="00CE37D0">
        <w:rPr>
          <w:rStyle w:val="Emfaz"/>
        </w:rPr>
        <w:t xml:space="preserve">is </w:t>
      </w:r>
      <w:r w:rsidR="0062366B">
        <w:rPr>
          <w:rStyle w:val="Emfaz"/>
        </w:rPr>
        <w:t>į</w:t>
      </w:r>
      <w:r w:rsidR="003E3809" w:rsidRPr="00CE37D0">
        <w:rPr>
          <w:rStyle w:val="Emfaz"/>
        </w:rPr>
        <w:t xml:space="preserve"> nusikalstam</w:t>
      </w:r>
      <w:r w:rsidR="0062366B">
        <w:rPr>
          <w:rStyle w:val="Emfaz"/>
        </w:rPr>
        <w:t>ą</w:t>
      </w:r>
      <w:r w:rsidR="003E3809" w:rsidRPr="00CE37D0">
        <w:rPr>
          <w:rStyle w:val="Emfaz"/>
        </w:rPr>
        <w:t xml:space="preserve"> veik</w:t>
      </w:r>
      <w:r w:rsidR="0062366B">
        <w:rPr>
          <w:rStyle w:val="Emfaz"/>
        </w:rPr>
        <w:t>ą</w:t>
      </w:r>
      <w:r w:rsidR="003E3809" w:rsidRPr="00CE37D0">
        <w:rPr>
          <w:rStyle w:val="Emfaz"/>
        </w:rPr>
        <w:t>.</w:t>
      </w:r>
    </w:p>
    <w:p w:rsidR="00F2441B" w:rsidRPr="00CE37D0" w:rsidRDefault="003E3809" w:rsidP="00F2441B">
      <w:pPr>
        <w:widowControl w:val="0"/>
        <w:shd w:val="clear" w:color="auto" w:fill="FFFFFF"/>
        <w:tabs>
          <w:tab w:val="left" w:pos="1454"/>
        </w:tabs>
        <w:autoSpaceDE w:val="0"/>
        <w:autoSpaceDN w:val="0"/>
        <w:adjustRightInd w:val="0"/>
        <w:spacing w:line="360" w:lineRule="auto"/>
        <w:ind w:right="14" w:firstLine="851"/>
        <w:jc w:val="both"/>
      </w:pPr>
      <w:r w:rsidRPr="00CE37D0">
        <w:rPr>
          <w:rFonts w:ascii="TimesNewRomanPSMT" w:hAnsi="TimesNewRomanPSMT"/>
        </w:rPr>
        <w:t>Nukentėjusiojo vaidmens išskirtinumas pasireiškia tiek proceso diferencija</w:t>
      </w:r>
      <w:r w:rsidR="00865B4C" w:rsidRPr="00CE37D0">
        <w:rPr>
          <w:rFonts w:ascii="TimesNewRomanPSMT" w:hAnsi="TimesNewRomanPSMT"/>
        </w:rPr>
        <w:t>v</w:t>
      </w:r>
      <w:r w:rsidRPr="00CE37D0">
        <w:rPr>
          <w:rFonts w:ascii="TimesNewRomanPSMT" w:hAnsi="TimesNewRomanPSMT"/>
        </w:rPr>
        <w:t xml:space="preserve">imo stadijoje, tiek ir įrodinėjimo procese bylos teisminio nagrinėjimo metu. </w:t>
      </w:r>
      <w:r w:rsidRPr="00CE37D0">
        <w:t>Dėl nukentėjusio asmens ir kaltininko santykių ir nusikalstamos veikos objekto specifikos tokios nusikalstamos veikos neatskleidžiamos be nuken</w:t>
      </w:r>
      <w:r w:rsidR="003F2B2A">
        <w:t>tėjusiojo aktyvaus dalyvavimo tiek</w:t>
      </w:r>
      <w:r w:rsidRPr="00CE37D0">
        <w:t xml:space="preserve"> pranešant apie padarytą nusikalstamą veiką bei ją padariusį asmenį, </w:t>
      </w:r>
      <w:r w:rsidR="003F2B2A">
        <w:t>tiek</w:t>
      </w:r>
      <w:r w:rsidRPr="00CE37D0">
        <w:t xml:space="preserve"> įrodinėjimo procese.</w:t>
      </w:r>
    </w:p>
    <w:p w:rsidR="003E3809" w:rsidRPr="00CE37D0" w:rsidRDefault="003E3809" w:rsidP="003E3809">
      <w:pPr>
        <w:widowControl w:val="0"/>
        <w:shd w:val="clear" w:color="auto" w:fill="FFFFFF"/>
        <w:tabs>
          <w:tab w:val="left" w:pos="1454"/>
        </w:tabs>
        <w:autoSpaceDE w:val="0"/>
        <w:autoSpaceDN w:val="0"/>
        <w:adjustRightInd w:val="0"/>
        <w:spacing w:line="360" w:lineRule="auto"/>
        <w:ind w:right="14" w:firstLine="851"/>
        <w:jc w:val="both"/>
        <w:rPr>
          <w:rFonts w:ascii="TimesNewRomanPSMT" w:hAnsi="TimesNewRomanPSMT"/>
          <w:bCs/>
        </w:rPr>
      </w:pPr>
      <w:r w:rsidRPr="00CE37D0">
        <w:rPr>
          <w:rFonts w:ascii="TimesNewRomanPSMT" w:hAnsi="TimesNewRomanPSMT"/>
        </w:rPr>
        <w:t>Difer</w:t>
      </w:r>
      <w:r w:rsidR="003F2B2A">
        <w:rPr>
          <w:rFonts w:ascii="TimesNewRomanPSMT" w:hAnsi="TimesNewRomanPSMT"/>
        </w:rPr>
        <w:t>encijuojant baudžiamąjį procesą</w:t>
      </w:r>
      <w:r w:rsidR="001114D8">
        <w:rPr>
          <w:rFonts w:ascii="TimesNewRomanPSMT" w:hAnsi="TimesNewRomanPSMT"/>
        </w:rPr>
        <w:t>,</w:t>
      </w:r>
      <w:r w:rsidRPr="00CE37D0">
        <w:rPr>
          <w:rFonts w:ascii="TimesNewRomanPSMT" w:hAnsi="TimesNewRomanPSMT"/>
        </w:rPr>
        <w:t xml:space="preserve"> svarbu </w:t>
      </w:r>
      <w:r w:rsidR="001114D8">
        <w:rPr>
          <w:rFonts w:ascii="TimesNewRomanPSMT" w:hAnsi="TimesNewRomanPSMT"/>
        </w:rPr>
        <w:t>at</w:t>
      </w:r>
      <w:r w:rsidRPr="00CE37D0">
        <w:rPr>
          <w:rFonts w:ascii="TimesNewRomanPSMT" w:hAnsi="TimesNewRomanPSMT"/>
        </w:rPr>
        <w:t xml:space="preserve">skirti </w:t>
      </w:r>
      <w:r w:rsidR="000046DC">
        <w:rPr>
          <w:rFonts w:ascii="TimesNewRomanPSMT" w:hAnsi="TimesNewRomanPSMT"/>
        </w:rPr>
        <w:t xml:space="preserve">situacijas, kai </w:t>
      </w:r>
      <w:r w:rsidR="001114D8">
        <w:rPr>
          <w:rFonts w:ascii="TimesNewRomanPSMT" w:hAnsi="TimesNewRomanPSMT"/>
        </w:rPr>
        <w:t xml:space="preserve">nukentėjusiam asmeniui būtina suteikti </w:t>
      </w:r>
      <w:r w:rsidR="000046DC">
        <w:rPr>
          <w:rFonts w:ascii="TimesNewRomanPSMT" w:hAnsi="TimesNewRomanPSMT"/>
        </w:rPr>
        <w:t xml:space="preserve">sprendimo </w:t>
      </w:r>
      <w:r w:rsidR="000046DC" w:rsidRPr="00CE37D0">
        <w:rPr>
          <w:rFonts w:ascii="TimesNewRomanPSMT" w:hAnsi="TimesNewRomanPSMT"/>
        </w:rPr>
        <w:t xml:space="preserve">dėl kalto asmens patraukimo baudžiamojon atsakomybėn </w:t>
      </w:r>
      <w:r w:rsidR="000046DC">
        <w:rPr>
          <w:rFonts w:ascii="TimesNewRomanPSMT" w:hAnsi="TimesNewRomanPSMT"/>
        </w:rPr>
        <w:t xml:space="preserve">teisę ir </w:t>
      </w:r>
      <w:r w:rsidR="000046DC" w:rsidRPr="00CE37D0">
        <w:rPr>
          <w:rFonts w:ascii="TimesNewRomanPSMT" w:hAnsi="TimesNewRomanPSMT"/>
        </w:rPr>
        <w:t>galimyb</w:t>
      </w:r>
      <w:r w:rsidR="000046DC">
        <w:rPr>
          <w:rFonts w:ascii="TimesNewRomanPSMT" w:hAnsi="TimesNewRomanPSMT"/>
        </w:rPr>
        <w:t>ę</w:t>
      </w:r>
      <w:r w:rsidR="000046DC" w:rsidRPr="00CE37D0">
        <w:rPr>
          <w:rFonts w:ascii="TimesNewRomanPSMT" w:hAnsi="TimesNewRomanPSMT"/>
        </w:rPr>
        <w:t xml:space="preserve"> sureguliuoti iškilusį konfliktą be valstybinių institucijų</w:t>
      </w:r>
      <w:r w:rsidR="001114D8">
        <w:rPr>
          <w:rFonts w:ascii="TimesNewRomanPSMT" w:hAnsi="TimesNewRomanPSMT"/>
        </w:rPr>
        <w:t xml:space="preserve"> įsikišimo</w:t>
      </w:r>
      <w:r w:rsidRPr="00CE37D0">
        <w:rPr>
          <w:rFonts w:ascii="TimesNewRomanPSMT" w:hAnsi="TimesNewRomanPSMT"/>
        </w:rPr>
        <w:t xml:space="preserve">. </w:t>
      </w:r>
      <w:r w:rsidR="000046DC">
        <w:rPr>
          <w:rFonts w:ascii="TimesNewRomanPSMT" w:hAnsi="TimesNewRomanPSMT"/>
        </w:rPr>
        <w:t>Vienas iš kriterijų</w:t>
      </w:r>
      <w:r w:rsidR="002D358A">
        <w:rPr>
          <w:rFonts w:ascii="TimesNewRomanPSMT" w:hAnsi="TimesNewRomanPSMT"/>
        </w:rPr>
        <w:t xml:space="preserve"> yra tai, kaip asmuo</w:t>
      </w:r>
      <w:r w:rsidR="003F2B2A">
        <w:rPr>
          <w:rFonts w:ascii="TimesNewRomanPSMT" w:hAnsi="TimesNewRomanPSMT"/>
        </w:rPr>
        <w:t xml:space="preserve"> suvokia sav</w:t>
      </w:r>
      <w:r w:rsidRPr="00CE37D0">
        <w:rPr>
          <w:rFonts w:ascii="TimesNewRomanPSMT" w:hAnsi="TimesNewRomanPSMT"/>
        </w:rPr>
        <w:t>o asmeninių interesų pažeidim</w:t>
      </w:r>
      <w:r w:rsidR="003F2B2A">
        <w:rPr>
          <w:rFonts w:ascii="TimesNewRomanPSMT" w:hAnsi="TimesNewRomanPSMT"/>
        </w:rPr>
        <w:t>ą ir vertina šio pažeidimo</w:t>
      </w:r>
      <w:r w:rsidRPr="00CE37D0">
        <w:rPr>
          <w:rFonts w:ascii="TimesNewRomanPSMT" w:hAnsi="TimesNewRomanPSMT"/>
        </w:rPr>
        <w:t xml:space="preserve"> reikšmingumą.</w:t>
      </w:r>
      <w:r w:rsidRPr="00CE37D0">
        <w:rPr>
          <w:rFonts w:ascii="TimesNewRomanPSMT" w:hAnsi="TimesNewRomanPSMT"/>
          <w:vertAlign w:val="superscript"/>
        </w:rPr>
        <w:footnoteReference w:id="255"/>
      </w:r>
      <w:r w:rsidR="001114D8">
        <w:rPr>
          <w:rFonts w:ascii="TimesNewRomanPSMT" w:hAnsi="TimesNewRomanPSMT"/>
        </w:rPr>
        <w:t xml:space="preserve"> </w:t>
      </w:r>
      <w:r w:rsidRPr="00CE37D0">
        <w:rPr>
          <w:rFonts w:ascii="TimesNewRomanPSMT" w:hAnsi="TimesNewRomanPSMT"/>
        </w:rPr>
        <w:t xml:space="preserve">N. Christie suformuluota „konfliktų privatizavimo“ doktrina palaiko prezumpciją, kad asmuo, nukentėjęs nuo nusikalstamos veikos, kuri kilo iš tarpasmeninio konflikto, geriausiai </w:t>
      </w:r>
      <w:r w:rsidRPr="00CE37D0">
        <w:rPr>
          <w:rFonts w:ascii="TimesNewRomanPSMT" w:hAnsi="TimesNewRomanPSMT"/>
        </w:rPr>
        <w:lastRenderedPageBreak/>
        <w:t>žino aplinkybes, kuriomis buvo padaryta nusikalstama veika ir gali įvertinti jo, kaip visuomenės nario, interesų pažeidimo svarbą; visuomenės dalyvavimas tarpasmeniniuose santykiuose n</w:t>
      </w:r>
      <w:r w:rsidR="001114D8">
        <w:rPr>
          <w:rFonts w:ascii="TimesNewRomanPSMT" w:hAnsi="TimesNewRomanPSMT"/>
        </w:rPr>
        <w:t>e</w:t>
      </w:r>
      <w:r w:rsidRPr="00CE37D0">
        <w:rPr>
          <w:rFonts w:ascii="TimesNewRomanPSMT" w:hAnsi="TimesNewRomanPSMT"/>
        </w:rPr>
        <w:t xml:space="preserve">būtinas, kai nukentėjusysis </w:t>
      </w:r>
      <w:r w:rsidR="001114D8">
        <w:rPr>
          <w:rFonts w:ascii="TimesNewRomanPSMT" w:hAnsi="TimesNewRomanPSMT"/>
        </w:rPr>
        <w:t>nusprendžia,</w:t>
      </w:r>
      <w:r w:rsidRPr="00CE37D0">
        <w:rPr>
          <w:rFonts w:ascii="TimesNewRomanPSMT" w:hAnsi="TimesNewRomanPSMT"/>
        </w:rPr>
        <w:t xml:space="preserve"> kad baudžiam</w:t>
      </w:r>
      <w:r w:rsidR="003F2B2A">
        <w:rPr>
          <w:rFonts w:ascii="TimesNewRomanPSMT" w:hAnsi="TimesNewRomanPSMT"/>
        </w:rPr>
        <w:t>asis procesas</w:t>
      </w:r>
      <w:r w:rsidRPr="00CE37D0">
        <w:rPr>
          <w:rFonts w:ascii="TimesNewRomanPSMT" w:hAnsi="TimesNewRomanPSMT"/>
        </w:rPr>
        <w:t xml:space="preserve"> yra nereikalinga</w:t>
      </w:r>
      <w:r w:rsidR="003F2B2A">
        <w:rPr>
          <w:rFonts w:ascii="TimesNewRomanPSMT" w:hAnsi="TimesNewRomanPSMT"/>
        </w:rPr>
        <w:t>s</w:t>
      </w:r>
      <w:r w:rsidRPr="00CE37D0">
        <w:rPr>
          <w:rFonts w:ascii="TimesNewRomanPSMT" w:hAnsi="TimesNewRomanPSMT"/>
        </w:rPr>
        <w:t>. Pasak N. Christie, viešajam kaltinimui už</w:t>
      </w:r>
      <w:r w:rsidR="003F2B2A">
        <w:rPr>
          <w:rFonts w:ascii="TimesNewRomanPSMT" w:hAnsi="TimesNewRomanPSMT"/>
        </w:rPr>
        <w:t>ėmus</w:t>
      </w:r>
      <w:r w:rsidRPr="00CE37D0">
        <w:rPr>
          <w:rFonts w:ascii="TimesNewRomanPSMT" w:hAnsi="TimesNewRomanPSMT"/>
        </w:rPr>
        <w:t xml:space="preserve"> dominuojančią poziciją, nukentėjusysis neteko „konflikto nuosavybės“, kas sąlygojo jo, kaip proceso centrinės figūros, vaidmens sumenkinimą iki pranešėjo, liudytojo ar ko</w:t>
      </w:r>
      <w:r w:rsidR="00F2441B" w:rsidRPr="00CE37D0">
        <w:rPr>
          <w:rFonts w:ascii="TimesNewRomanPSMT" w:hAnsi="TimesNewRomanPSMT"/>
        </w:rPr>
        <w:t>m</w:t>
      </w:r>
      <w:r w:rsidRPr="00CE37D0">
        <w:rPr>
          <w:rFonts w:ascii="TimesNewRomanPSMT" w:hAnsi="TimesNewRomanPSMT"/>
        </w:rPr>
        <w:t xml:space="preserve">pensacijos gavėjo lygmens. </w:t>
      </w:r>
      <w:r w:rsidRPr="00CE37D0">
        <w:rPr>
          <w:rFonts w:ascii="TimesNewRomanPSMT" w:hAnsi="TimesNewRomanPSMT"/>
          <w:vertAlign w:val="superscript"/>
        </w:rPr>
        <w:footnoteReference w:id="256"/>
      </w:r>
      <w:r w:rsidRPr="00CE37D0">
        <w:rPr>
          <w:rFonts w:ascii="TimesNewRomanPSMT" w:hAnsi="TimesNewRomanPSMT"/>
        </w:rPr>
        <w:t xml:space="preserve"> T</w:t>
      </w:r>
      <w:r w:rsidR="00F2441B" w:rsidRPr="00CE37D0">
        <w:rPr>
          <w:rFonts w:ascii="TimesNewRomanPSMT" w:hAnsi="TimesNewRomanPSMT"/>
        </w:rPr>
        <w:t>okiu būdu</w:t>
      </w:r>
      <w:r w:rsidRPr="00CE37D0">
        <w:rPr>
          <w:rFonts w:ascii="TimesNewRomanPSMT" w:hAnsi="TimesNewRomanPSMT"/>
        </w:rPr>
        <w:t xml:space="preserve"> valstybė uzurpavo nukentėjusio nuo nusikalstamos veikos asmens teisę siekti atlygio už patirtą žalą. </w:t>
      </w:r>
      <w:r w:rsidRPr="00CE37D0">
        <w:rPr>
          <w:rStyle w:val="Puslapioinaosnuoroda"/>
          <w:rFonts w:ascii="TimesNewRomanPSMT" w:hAnsi="TimesNewRomanPSMT"/>
        </w:rPr>
        <w:footnoteReference w:id="257"/>
      </w:r>
      <w:r w:rsidR="003F2B2A">
        <w:rPr>
          <w:rFonts w:ascii="TimesNewRomanPSMT" w:hAnsi="TimesNewRomanPSMT"/>
        </w:rPr>
        <w:t xml:space="preserve"> A</w:t>
      </w:r>
      <w:r w:rsidRPr="00CE37D0">
        <w:rPr>
          <w:rFonts w:ascii="TimesNewRomanPSMT" w:hAnsi="TimesNewRomanPSMT"/>
        </w:rPr>
        <w:t>smeninis konfliktas pirmiausia yra nukentėjusio</w:t>
      </w:r>
      <w:r w:rsidR="003F2B2A">
        <w:rPr>
          <w:rFonts w:ascii="TimesNewRomanPSMT" w:hAnsi="TimesNewRomanPSMT"/>
        </w:rPr>
        <w:t xml:space="preserve"> asmens</w:t>
      </w:r>
      <w:r w:rsidRPr="00CE37D0">
        <w:rPr>
          <w:rFonts w:ascii="TimesNewRomanPSMT" w:hAnsi="TimesNewRomanPSMT"/>
        </w:rPr>
        <w:t xml:space="preserve"> ir kaltininko reikalas. Beasmenis viešasis kaltinimas negali atspindėti konflikto asmeniškumo, </w:t>
      </w:r>
      <w:r w:rsidR="001114D8">
        <w:rPr>
          <w:rFonts w:ascii="TimesNewRomanPSMT" w:hAnsi="TimesNewRomanPSMT"/>
        </w:rPr>
        <w:t>nustatyti</w:t>
      </w:r>
      <w:r w:rsidRPr="00CE37D0">
        <w:rPr>
          <w:rFonts w:ascii="TimesNewRomanPSMT" w:hAnsi="TimesNewRomanPSMT"/>
        </w:rPr>
        <w:t xml:space="preserve"> jo motyvų, įvertinti konflikto šalių asmeninių santykių, asmenybių taip tiksliai, kaip</w:t>
      </w:r>
      <w:r w:rsidR="001114D8">
        <w:rPr>
          <w:rFonts w:ascii="TimesNewRomanPSMT" w:hAnsi="TimesNewRomanPSMT"/>
        </w:rPr>
        <w:t xml:space="preserve"> </w:t>
      </w:r>
      <w:r w:rsidRPr="00CE37D0">
        <w:rPr>
          <w:rFonts w:ascii="TimesNewRomanPSMT" w:hAnsi="TimesNewRomanPSMT"/>
        </w:rPr>
        <w:t>tai gali padaryti pačios konflikto šalys. Todėl nukentėjusio</w:t>
      </w:r>
      <w:r w:rsidR="00F2441B" w:rsidRPr="00CE37D0">
        <w:rPr>
          <w:rFonts w:ascii="TimesNewRomanPSMT" w:hAnsi="TimesNewRomanPSMT"/>
        </w:rPr>
        <w:t xml:space="preserve"> asmens nuomonės nepaisymas gali </w:t>
      </w:r>
      <w:r w:rsidR="007053FF" w:rsidRPr="00CE37D0">
        <w:rPr>
          <w:rFonts w:ascii="TimesNewRomanPSMT" w:hAnsi="TimesNewRomanPSMT"/>
        </w:rPr>
        <w:t>sukurti</w:t>
      </w:r>
      <w:r w:rsidR="001114D8">
        <w:rPr>
          <w:rFonts w:ascii="TimesNewRomanPSMT" w:hAnsi="TimesNewRomanPSMT"/>
        </w:rPr>
        <w:t xml:space="preserve"> </w:t>
      </w:r>
      <w:r w:rsidR="00F2441B" w:rsidRPr="00CE37D0">
        <w:rPr>
          <w:rFonts w:ascii="TimesNewRomanPSMT" w:hAnsi="TimesNewRomanPSMT"/>
        </w:rPr>
        <w:t>formalaus</w:t>
      </w:r>
      <w:r w:rsidRPr="00CE37D0">
        <w:rPr>
          <w:rFonts w:ascii="TimesNewRomanPSMT" w:hAnsi="TimesNewRomanPSMT"/>
        </w:rPr>
        <w:t xml:space="preserve"> įstatymų taikymo mechanizmą, kai įstatymas imperatyviai taikomas ne</w:t>
      </w:r>
      <w:r w:rsidR="007053FF" w:rsidRPr="00CE37D0">
        <w:rPr>
          <w:rFonts w:ascii="TimesNewRomanPSMT" w:hAnsi="TimesNewRomanPSMT"/>
        </w:rPr>
        <w:t>t ir tada, kai</w:t>
      </w:r>
      <w:r w:rsidRPr="00CE37D0">
        <w:rPr>
          <w:rFonts w:ascii="TimesNewRomanPSMT" w:hAnsi="TimesNewRomanPSMT"/>
        </w:rPr>
        <w:t xml:space="preserve"> negina nei šalių, nei valstybės interesų.</w:t>
      </w:r>
    </w:p>
    <w:p w:rsidR="003E3809" w:rsidRPr="00CE37D0" w:rsidRDefault="003E3809" w:rsidP="003E3809">
      <w:pPr>
        <w:widowControl w:val="0"/>
        <w:shd w:val="clear" w:color="auto" w:fill="FFFFFF"/>
        <w:tabs>
          <w:tab w:val="left" w:pos="1454"/>
        </w:tabs>
        <w:autoSpaceDE w:val="0"/>
        <w:autoSpaceDN w:val="0"/>
        <w:adjustRightInd w:val="0"/>
        <w:spacing w:line="360" w:lineRule="auto"/>
        <w:ind w:right="14" w:firstLine="851"/>
        <w:jc w:val="both"/>
        <w:rPr>
          <w:rFonts w:ascii="TimesNewRomanPSMT" w:hAnsi="TimesNewRomanPSMT"/>
        </w:rPr>
      </w:pPr>
      <w:r w:rsidRPr="00CE37D0">
        <w:rPr>
          <w:rFonts w:ascii="TimesNewRomanPSMT" w:hAnsi="TimesNewRomanPSMT"/>
        </w:rPr>
        <w:t xml:space="preserve">Daugelis autorių sutinka, kad privataus kaltinimo procesui būdingas nukentėjusiojo subjektyvios nuomonės reikalingumo požymis. </w:t>
      </w:r>
      <w:r w:rsidRPr="00CE37D0">
        <w:rPr>
          <w:rFonts w:ascii="TimesNewRomanPSMT" w:hAnsi="TimesNewRomanPSMT"/>
          <w:vertAlign w:val="superscript"/>
        </w:rPr>
        <w:footnoteReference w:id="258"/>
      </w:r>
      <w:r w:rsidRPr="00CE37D0">
        <w:rPr>
          <w:rFonts w:ascii="TimesNewRomanPSMT" w:hAnsi="TimesNewRomanPSMT"/>
        </w:rPr>
        <w:t xml:space="preserve"> Nusikalstamos veikos, kuriomis tiesiogiai kėsinamasi į piliečių subjektines teises, jų garbę, orumą, sveikatą turi ypatumą, kad be nukentėjusiojo subjektyvaus veikos vertinimo sudėtinga konstatuoti nusikalstamos veikos buvimą kaltininko veiksmuose ir spręsti apie jų pavojingumo laipsnį. </w:t>
      </w:r>
      <w:r w:rsidRPr="00CE37D0">
        <w:rPr>
          <w:rFonts w:ascii="TimesNewRomanPSMT" w:hAnsi="TimesNewRomanPSMT"/>
          <w:vertAlign w:val="superscript"/>
        </w:rPr>
        <w:footnoteReference w:id="259"/>
      </w:r>
      <w:r w:rsidRPr="00CE37D0">
        <w:rPr>
          <w:rFonts w:ascii="TimesNewRomanPSMT" w:hAnsi="TimesNewRomanPSMT"/>
        </w:rPr>
        <w:t xml:space="preserve"> Kai kurių veikų nusikalstamą pobūdį galima pažinti tik išsiaiškinus, kaip nukentėjusysis suvo</w:t>
      </w:r>
      <w:r w:rsidR="007B790C">
        <w:rPr>
          <w:rFonts w:ascii="TimesNewRomanPSMT" w:hAnsi="TimesNewRomanPSMT"/>
        </w:rPr>
        <w:t>kia savo interesų pažeidimą (pavyzdžiui,</w:t>
      </w:r>
      <w:r w:rsidRPr="00CE37D0">
        <w:rPr>
          <w:rFonts w:ascii="TimesNewRomanPSMT" w:hAnsi="TimesNewRomanPSMT"/>
        </w:rPr>
        <w:t xml:space="preserve"> garbės ir orumo įžeidimo atvejais), t.y. nukentėjusiojo santykis su prieš jį nukreipta veika įeina į </w:t>
      </w:r>
      <w:r w:rsidRPr="00CE37D0">
        <w:rPr>
          <w:rFonts w:ascii="TimesNewRomanPSMT" w:hAnsi="TimesNewRomanPSMT"/>
          <w:bCs/>
        </w:rPr>
        <w:t>nusikaltimo sudėties elementus</w:t>
      </w:r>
      <w:r w:rsidR="0062366B">
        <w:rPr>
          <w:rFonts w:ascii="TimesNewRomanPSMT" w:hAnsi="TimesNewRomanPSMT"/>
          <w:bCs/>
        </w:rPr>
        <w:t xml:space="preserve"> (</w:t>
      </w:r>
      <w:r w:rsidR="00D9522D">
        <w:rPr>
          <w:rFonts w:ascii="TimesNewRomanPSMT" w:hAnsi="TimesNewRomanPSMT"/>
          <w:bCs/>
        </w:rPr>
        <w:t>BK 148, 152, 1545, 155, 165 straipsniai</w:t>
      </w:r>
      <w:r w:rsidR="0062366B">
        <w:rPr>
          <w:rFonts w:ascii="TimesNewRomanPSMT" w:hAnsi="TimesNewRomanPSMT"/>
          <w:bCs/>
        </w:rPr>
        <w:t>)</w:t>
      </w:r>
      <w:r w:rsidRPr="00CE37D0">
        <w:rPr>
          <w:rFonts w:ascii="TimesNewRomanPSMT" w:hAnsi="TimesNewRomanPSMT"/>
        </w:rPr>
        <w:t xml:space="preserve">. Šių nusikalstamų veikų kvalifikacijai būtina įvertinti nukentėjusiojo subjektyvią nuomonę apie jo atžvilgiu padarytą veiką ir jos pasekmes. </w:t>
      </w:r>
      <w:r w:rsidRPr="00CE37D0">
        <w:rPr>
          <w:rFonts w:ascii="TimesNewRomanPSMT" w:hAnsi="TimesNewRomanPSMT"/>
          <w:vertAlign w:val="superscript"/>
        </w:rPr>
        <w:footnoteReference w:id="260"/>
      </w:r>
      <w:r w:rsidRPr="00CE37D0">
        <w:rPr>
          <w:rFonts w:ascii="TimesNewRomanPSMT" w:hAnsi="TimesNewRomanPSMT"/>
        </w:rPr>
        <w:t xml:space="preserve"> Esant tokioms veikoms</w:t>
      </w:r>
      <w:r w:rsidR="00351856">
        <w:rPr>
          <w:rFonts w:ascii="TimesNewRomanPSMT" w:hAnsi="TimesNewRomanPSMT"/>
        </w:rPr>
        <w:t>,</w:t>
      </w:r>
      <w:r w:rsidRPr="00CE37D0">
        <w:rPr>
          <w:rFonts w:ascii="TimesNewRomanPSMT" w:hAnsi="TimesNewRomanPSMT"/>
        </w:rPr>
        <w:t xml:space="preserve"> pats nukentėjusysis turi </w:t>
      </w:r>
      <w:r w:rsidRPr="00CE37D0">
        <w:rPr>
          <w:rFonts w:ascii="TimesNewRomanPSMT" w:hAnsi="TimesNewRomanPSMT"/>
        </w:rPr>
        <w:lastRenderedPageBreak/>
        <w:t xml:space="preserve">spręsti, ar šios veikos pažeidė jo interesus taip </w:t>
      </w:r>
      <w:r w:rsidR="00351856">
        <w:rPr>
          <w:rFonts w:ascii="TimesNewRomanPSMT" w:hAnsi="TimesNewRomanPSMT"/>
        </w:rPr>
        <w:t>stipriai,</w:t>
      </w:r>
      <w:r w:rsidRPr="00CE37D0">
        <w:rPr>
          <w:rFonts w:ascii="TimesNewRomanPSMT" w:hAnsi="TimesNewRomanPSMT"/>
        </w:rPr>
        <w:t xml:space="preserve"> kad dėl to verta kreiptis į teismą ir inicijuoti privataus kaltinimo procesą. </w:t>
      </w:r>
      <w:r w:rsidRPr="00CE37D0">
        <w:rPr>
          <w:rFonts w:ascii="TimesNewRomanPSMT" w:hAnsi="TimesNewRomanPSMT"/>
          <w:vertAlign w:val="superscript"/>
        </w:rPr>
        <w:footnoteReference w:id="261"/>
      </w:r>
    </w:p>
    <w:p w:rsidR="003E3809" w:rsidRPr="00AC02DF" w:rsidRDefault="00351856" w:rsidP="00AC02DF">
      <w:pPr>
        <w:widowControl w:val="0"/>
        <w:shd w:val="clear" w:color="auto" w:fill="FFFFFF"/>
        <w:tabs>
          <w:tab w:val="left" w:pos="1454"/>
        </w:tabs>
        <w:autoSpaceDE w:val="0"/>
        <w:autoSpaceDN w:val="0"/>
        <w:adjustRightInd w:val="0"/>
        <w:spacing w:line="360" w:lineRule="auto"/>
        <w:ind w:right="14" w:firstLine="851"/>
        <w:jc w:val="both"/>
        <w:rPr>
          <w:rStyle w:val="Emfaz"/>
          <w:i w:val="0"/>
          <w:iCs w:val="0"/>
        </w:rPr>
      </w:pPr>
      <w:r>
        <w:t>Pagal privataus kaltinimo proceso specifiką</w:t>
      </w:r>
      <w:r w:rsidR="003E3809" w:rsidRPr="00CE37D0">
        <w:t xml:space="preserve"> </w:t>
      </w:r>
      <w:r w:rsidR="00BD332A" w:rsidRPr="00CE37D0">
        <w:t xml:space="preserve">tais atvejais, </w:t>
      </w:r>
      <w:r w:rsidR="002D358A" w:rsidRPr="00CE37D0">
        <w:t xml:space="preserve">kai kėsinimasis į </w:t>
      </w:r>
      <w:r w:rsidR="00AB5102">
        <w:t>asmens</w:t>
      </w:r>
      <w:r w:rsidR="002D358A" w:rsidRPr="00CE37D0">
        <w:t xml:space="preserve"> interesus iš tiesų buvo nusikalstamo pobūdžio, </w:t>
      </w:r>
      <w:r w:rsidR="002D358A">
        <w:t>tačiau</w:t>
      </w:r>
      <w:r w:rsidR="00BD332A" w:rsidRPr="00CE37D0">
        <w:t xml:space="preserve"> baudžiamasis persekiojimas vyksta prieš nukentėjusio</w:t>
      </w:r>
      <w:r w:rsidR="002D358A">
        <w:t xml:space="preserve"> asmens</w:t>
      </w:r>
      <w:r w:rsidR="00BD332A" w:rsidRPr="00CE37D0">
        <w:t xml:space="preserve"> valią, bū</w:t>
      </w:r>
      <w:r w:rsidR="003E3809" w:rsidRPr="00CE37D0">
        <w:t>tų sunku</w:t>
      </w:r>
      <w:r w:rsidR="00BD332A" w:rsidRPr="00CE37D0">
        <w:t xml:space="preserve"> šią veiką įrodyti.</w:t>
      </w:r>
      <w:r>
        <w:t xml:space="preserve"> </w:t>
      </w:r>
      <w:r w:rsidR="00AC02DF">
        <w:rPr>
          <w:rFonts w:ascii="TimesNewRomanPSMT" w:hAnsi="TimesNewRomanPSMT"/>
        </w:rPr>
        <w:t>K</w:t>
      </w:r>
      <w:r w:rsidR="007053FF" w:rsidRPr="00CE37D0">
        <w:t xml:space="preserve">ai kurių veikų neįmanoma </w:t>
      </w:r>
      <w:r w:rsidR="00AC02DF" w:rsidRPr="00CE37D0">
        <w:rPr>
          <w:rFonts w:ascii="TimesNewRomanPSMT" w:hAnsi="TimesNewRomanPSMT"/>
        </w:rPr>
        <w:t xml:space="preserve">atskleisti ir įrodyti </w:t>
      </w:r>
      <w:r>
        <w:rPr>
          <w:rFonts w:ascii="TimesNewRomanPSMT" w:hAnsi="TimesNewRomanPSMT"/>
        </w:rPr>
        <w:t>pakankamai patikimai</w:t>
      </w:r>
      <w:r w:rsidR="00AC02DF" w:rsidRPr="00CE37D0">
        <w:rPr>
          <w:rFonts w:ascii="TimesNewRomanPSMT" w:hAnsi="TimesNewRomanPSMT"/>
        </w:rPr>
        <w:t xml:space="preserve"> </w:t>
      </w:r>
      <w:r w:rsidR="007053FF" w:rsidRPr="00CE37D0">
        <w:t xml:space="preserve">be nukentėjusiojo pagalbos (dėl latentiškumo arba subjektyvaus nukentėjusiojo santykio su veika). </w:t>
      </w:r>
      <w:r w:rsidR="00AC02DF">
        <w:rPr>
          <w:rFonts w:ascii="TimesNewRomanPSMT" w:hAnsi="TimesNewRomanPSMT"/>
        </w:rPr>
        <w:t>Šis momentas ypatingai svarbus, kai</w:t>
      </w:r>
      <w:r w:rsidR="0049512A" w:rsidRPr="00CE37D0">
        <w:rPr>
          <w:rFonts w:ascii="TimesNewRomanPSMT" w:hAnsi="TimesNewRomanPSMT"/>
        </w:rPr>
        <w:t xml:space="preserve"> l</w:t>
      </w:r>
      <w:r w:rsidR="00AC02DF">
        <w:rPr>
          <w:rFonts w:ascii="TimesNewRomanPSMT" w:hAnsi="TimesNewRomanPSMT"/>
        </w:rPr>
        <w:t>iudytojas</w:t>
      </w:r>
      <w:r w:rsidR="0049512A" w:rsidRPr="00CE37D0">
        <w:rPr>
          <w:rFonts w:ascii="TimesNewRomanPSMT" w:hAnsi="TimesNewRomanPSMT"/>
        </w:rPr>
        <w:t xml:space="preserve"> (nukentėjus</w:t>
      </w:r>
      <w:r w:rsidR="00AC02DF">
        <w:rPr>
          <w:rFonts w:ascii="TimesNewRomanPSMT" w:hAnsi="TimesNewRomanPSMT"/>
        </w:rPr>
        <w:t>ysis</w:t>
      </w:r>
      <w:r w:rsidR="0049512A" w:rsidRPr="00CE37D0">
        <w:rPr>
          <w:rFonts w:ascii="TimesNewRomanPSMT" w:hAnsi="TimesNewRomanPSMT"/>
        </w:rPr>
        <w:t xml:space="preserve">) </w:t>
      </w:r>
      <w:r w:rsidR="00AC02DF">
        <w:rPr>
          <w:rFonts w:ascii="TimesNewRomanPSMT" w:hAnsi="TimesNewRomanPSMT"/>
        </w:rPr>
        <w:t>turi</w:t>
      </w:r>
      <w:r w:rsidR="00AC02DF" w:rsidRPr="00CE37D0">
        <w:rPr>
          <w:rFonts w:ascii="TimesNewRomanPSMT" w:hAnsi="TimesNewRomanPSMT"/>
        </w:rPr>
        <w:t xml:space="preserve"> galimyb</w:t>
      </w:r>
      <w:r w:rsidR="00AC02DF">
        <w:rPr>
          <w:rFonts w:ascii="TimesNewRomanPSMT" w:hAnsi="TimesNewRomanPSMT"/>
        </w:rPr>
        <w:t>ę</w:t>
      </w:r>
      <w:r>
        <w:rPr>
          <w:rFonts w:ascii="TimesNewRomanPSMT" w:hAnsi="TimesNewRomanPSMT"/>
        </w:rPr>
        <w:t xml:space="preserve"> </w:t>
      </w:r>
      <w:r w:rsidR="00AC02DF">
        <w:rPr>
          <w:rFonts w:ascii="TimesNewRomanPSMT" w:hAnsi="TimesNewRomanPSMT"/>
        </w:rPr>
        <w:t>pasinaudoti</w:t>
      </w:r>
      <w:r w:rsidR="007D068E">
        <w:rPr>
          <w:rFonts w:ascii="TimesNewRomanPSMT" w:hAnsi="TimesNewRomanPSMT"/>
        </w:rPr>
        <w:t xml:space="preserve"> liudijimo</w:t>
      </w:r>
      <w:r>
        <w:rPr>
          <w:rFonts w:ascii="TimesNewRomanPSMT" w:hAnsi="TimesNewRomanPSMT"/>
        </w:rPr>
        <w:t xml:space="preserve"> </w:t>
      </w:r>
      <w:r w:rsidR="00580FD6">
        <w:rPr>
          <w:rFonts w:ascii="TimesNewRomanPSMT" w:hAnsi="TimesNewRomanPSMT"/>
        </w:rPr>
        <w:t>imunitetu (Konstitucijos 31 straipsnio</w:t>
      </w:r>
      <w:r w:rsidR="0049512A" w:rsidRPr="00CE37D0">
        <w:rPr>
          <w:rFonts w:ascii="TimesNewRomanPSMT" w:hAnsi="TimesNewRomanPSMT"/>
        </w:rPr>
        <w:t xml:space="preserve"> 3 d</w:t>
      </w:r>
      <w:r w:rsidR="00580FD6">
        <w:rPr>
          <w:rFonts w:ascii="TimesNewRomanPSMT" w:hAnsi="TimesNewRomanPSMT"/>
        </w:rPr>
        <w:t>alis</w:t>
      </w:r>
      <w:r w:rsidR="0049512A" w:rsidRPr="00CE37D0">
        <w:rPr>
          <w:rFonts w:ascii="TimesNewRomanPSMT" w:hAnsi="TimesNewRomanPSMT"/>
        </w:rPr>
        <w:t xml:space="preserve"> ir BPK 82 str</w:t>
      </w:r>
      <w:r w:rsidR="00580FD6">
        <w:rPr>
          <w:rFonts w:ascii="TimesNewRomanPSMT" w:hAnsi="TimesNewRomanPSMT"/>
        </w:rPr>
        <w:t>aipsnio 2 dalis</w:t>
      </w:r>
      <w:r w:rsidR="0049512A" w:rsidRPr="00CE37D0">
        <w:rPr>
          <w:rFonts w:ascii="TimesNewRomanPSMT" w:hAnsi="TimesNewRomanPSMT"/>
        </w:rPr>
        <w:t>)</w:t>
      </w:r>
      <w:r w:rsidR="007D068E">
        <w:rPr>
          <w:rFonts w:ascii="TimesNewRomanPSMT" w:hAnsi="TimesNewRomanPSMT"/>
        </w:rPr>
        <w:t>.</w:t>
      </w:r>
      <w:r w:rsidR="00D9522D">
        <w:rPr>
          <w:rFonts w:ascii="TimesNewRomanPSMT" w:hAnsi="TimesNewRomanPSMT"/>
        </w:rPr>
        <w:t xml:space="preserve"> </w:t>
      </w:r>
      <w:r w:rsidR="0049512A" w:rsidRPr="00CE37D0">
        <w:rPr>
          <w:rStyle w:val="Puslapioinaosnuoroda"/>
          <w:rFonts w:ascii="TimesNewRomanPSMT" w:hAnsi="TimesNewRomanPSMT"/>
        </w:rPr>
        <w:footnoteReference w:id="262"/>
      </w:r>
      <w:r>
        <w:rPr>
          <w:rFonts w:ascii="TimesNewRomanPSMT" w:hAnsi="TimesNewRomanPSMT"/>
        </w:rPr>
        <w:t xml:space="preserve"> </w:t>
      </w:r>
      <w:r w:rsidR="00AC02DF">
        <w:t xml:space="preserve">Pavyzdžiui, </w:t>
      </w:r>
      <w:r w:rsidR="00867A73">
        <w:t>A</w:t>
      </w:r>
      <w:r w:rsidR="003E3809" w:rsidRPr="00CE37D0">
        <w:t>psaugos nuo smurto artimoje aplinkoje įstatymo 7 straipsnyje</w:t>
      </w:r>
      <w:r w:rsidR="00150D49">
        <w:t xml:space="preserve"> </w:t>
      </w:r>
      <w:r w:rsidR="00867A73">
        <w:rPr>
          <w:rStyle w:val="Puslapioinaosnuoroda"/>
        </w:rPr>
        <w:footnoteReference w:id="263"/>
      </w:r>
      <w:r>
        <w:t xml:space="preserve"> </w:t>
      </w:r>
      <w:r w:rsidR="00D45697" w:rsidRPr="00CE37D0">
        <w:t>įtvirtina</w:t>
      </w:r>
      <w:r w:rsidR="003E3809" w:rsidRPr="00CE37D0">
        <w:t xml:space="preserve">ma </w:t>
      </w:r>
      <w:r w:rsidR="00D45697" w:rsidRPr="00CE37D0">
        <w:t xml:space="preserve">policijos pareigūnų </w:t>
      </w:r>
      <w:r w:rsidR="003E3809" w:rsidRPr="00CE37D0">
        <w:t xml:space="preserve">pareiga gavus pranešimą apie smurtą artimoje aplinkoje, atvykus į įvykio vietą arba patiems esant įvykio liudininkais, savo iniciatyva pradėti ikiteisminį tyrimą be smurtą patyrusio asmens skundo. Šioje normoje užprogramuota tiek nusikalstamos veikos sudėties buvimo nustatymo, tiek įrodinėjimo problema, nesant pagrindinio įrodymų šaltinio – nukentėjusiojo parodymų. </w:t>
      </w:r>
      <w:r w:rsidR="003E3809" w:rsidRPr="00CE37D0">
        <w:rPr>
          <w:rStyle w:val="Puslapioinaosnuoroda"/>
        </w:rPr>
        <w:footnoteReference w:id="264"/>
      </w:r>
      <w:r>
        <w:t xml:space="preserve"> </w:t>
      </w:r>
      <w:r w:rsidR="003E3809" w:rsidRPr="00CE37D0">
        <w:rPr>
          <w:rFonts w:ascii="TimesNewRomanPSMT" w:hAnsi="TimesNewRomanPSMT"/>
        </w:rPr>
        <w:t>Nukentėjusio</w:t>
      </w:r>
      <w:r w:rsidR="00AC02DF">
        <w:rPr>
          <w:rFonts w:ascii="TimesNewRomanPSMT" w:hAnsi="TimesNewRomanPSMT"/>
        </w:rPr>
        <w:t>jo</w:t>
      </w:r>
      <w:r w:rsidR="003E3809" w:rsidRPr="00CE37D0">
        <w:rPr>
          <w:rFonts w:ascii="TimesNewRomanPSMT" w:hAnsi="TimesNewRomanPSMT"/>
        </w:rPr>
        <w:t xml:space="preserve"> vaidmuo privataus kaltinimo bylų procese yra išskirtinis: </w:t>
      </w:r>
      <w:r w:rsidR="0049512A" w:rsidRPr="00CE37D0">
        <w:rPr>
          <w:rFonts w:ascii="TimesNewRomanPSMT" w:hAnsi="TimesNewRomanPSMT"/>
        </w:rPr>
        <w:t>j</w:t>
      </w:r>
      <w:r w:rsidR="003E3809" w:rsidRPr="00CE37D0">
        <w:rPr>
          <w:rFonts w:ascii="TimesNewRomanPSMT" w:hAnsi="TimesNewRomanPSMT"/>
        </w:rPr>
        <w:t>is sprendžia, kurios nusikalstamos veikos pateks į baudžiamosios justicijos veikimo sritį, kadangi jis yra pirminis informacijos šaltinis, kurio pagrindu valstybinės institucijos pr</w:t>
      </w:r>
      <w:r w:rsidR="007B790C">
        <w:rPr>
          <w:rFonts w:ascii="TimesNewRomanPSMT" w:hAnsi="TimesNewRomanPSMT"/>
        </w:rPr>
        <w:t>iima sprendimus dėl bylos eigos</w:t>
      </w:r>
      <w:r w:rsidR="00160835" w:rsidRPr="00CE37D0">
        <w:rPr>
          <w:rFonts w:ascii="TimesNewRomanPSMT" w:hAnsi="TimesNewRomanPSMT"/>
        </w:rPr>
        <w:t>.</w:t>
      </w:r>
      <w:r w:rsidR="00150D49">
        <w:rPr>
          <w:rFonts w:ascii="TimesNewRomanPSMT" w:hAnsi="TimesNewRomanPSMT"/>
        </w:rPr>
        <w:t xml:space="preserve"> </w:t>
      </w:r>
      <w:r w:rsidR="003E3809" w:rsidRPr="00CE37D0">
        <w:rPr>
          <w:rStyle w:val="Puslapioinaosnuoroda"/>
          <w:rFonts w:ascii="TimesNewRomanPSMT" w:hAnsi="TimesNewRomanPSMT"/>
        </w:rPr>
        <w:footnoteReference w:id="265"/>
      </w:r>
      <w:r>
        <w:rPr>
          <w:rFonts w:ascii="TimesNewRomanPSMT" w:hAnsi="TimesNewRomanPSMT"/>
        </w:rPr>
        <w:t xml:space="preserve"> </w:t>
      </w:r>
      <w:r w:rsidR="003E3809" w:rsidRPr="00CE37D0">
        <w:rPr>
          <w:iCs/>
        </w:rPr>
        <w:t>Remiantis šiais argumentais</w:t>
      </w:r>
      <w:r w:rsidR="003E3809" w:rsidRPr="00CE37D0">
        <w:t>, nukentėjusio</w:t>
      </w:r>
      <w:r w:rsidR="0062366B">
        <w:t xml:space="preserve"> asmens požiūris į nusikalstamą veiką</w:t>
      </w:r>
      <w:r>
        <w:t xml:space="preserve"> </w:t>
      </w:r>
      <w:r w:rsidR="003E3809" w:rsidRPr="00CE37D0">
        <w:rPr>
          <w:rFonts w:ascii="TimesNewRomanPSMT" w:hAnsi="TimesNewRomanPSMT"/>
        </w:rPr>
        <w:t>pripažintina</w:t>
      </w:r>
      <w:r w:rsidR="0062366B">
        <w:rPr>
          <w:rFonts w:ascii="TimesNewRomanPSMT" w:hAnsi="TimesNewRomanPSMT"/>
        </w:rPr>
        <w:t>s</w:t>
      </w:r>
      <w:r w:rsidR="003E3809" w:rsidRPr="00CE37D0">
        <w:rPr>
          <w:rFonts w:ascii="TimesNewRomanPSMT" w:hAnsi="TimesNewRomanPSMT"/>
        </w:rPr>
        <w:t xml:space="preserve"> vienu iš procesinių pagrindų </w:t>
      </w:r>
      <w:r w:rsidR="00A97526" w:rsidRPr="00CE37D0">
        <w:rPr>
          <w:rFonts w:ascii="TimesNewRomanPSMT" w:hAnsi="TimesNewRomanPSMT"/>
        </w:rPr>
        <w:t>privataus kaltinimo</w:t>
      </w:r>
      <w:r>
        <w:rPr>
          <w:rFonts w:ascii="TimesNewRomanPSMT" w:hAnsi="TimesNewRomanPSMT"/>
        </w:rPr>
        <w:t xml:space="preserve"> </w:t>
      </w:r>
      <w:r w:rsidR="00A97526" w:rsidRPr="00CE37D0">
        <w:rPr>
          <w:rFonts w:ascii="TimesNewRomanPSMT" w:hAnsi="TimesNewRomanPSMT"/>
        </w:rPr>
        <w:t>diferencijavimui</w:t>
      </w:r>
      <w:r w:rsidR="003E3809" w:rsidRPr="00CE37D0">
        <w:rPr>
          <w:rFonts w:ascii="TimesNewRomanPSMT" w:hAnsi="TimesNewRomanPSMT"/>
        </w:rPr>
        <w:t>.</w:t>
      </w:r>
    </w:p>
    <w:p w:rsidR="003E3809" w:rsidRPr="00CE37D0" w:rsidRDefault="000220E7" w:rsidP="003E3809">
      <w:pPr>
        <w:shd w:val="clear" w:color="auto" w:fill="FFFFFF"/>
        <w:spacing w:line="360" w:lineRule="auto"/>
        <w:ind w:right="133" w:firstLine="851"/>
        <w:jc w:val="both"/>
        <w:rPr>
          <w:i/>
        </w:rPr>
      </w:pPr>
      <w:r w:rsidRPr="00CE37D0">
        <w:rPr>
          <w:i/>
        </w:rPr>
        <w:t>3.</w:t>
      </w:r>
      <w:r w:rsidR="00351856">
        <w:rPr>
          <w:i/>
        </w:rPr>
        <w:t xml:space="preserve"> </w:t>
      </w:r>
      <w:r w:rsidR="003E3809" w:rsidRPr="00CE37D0">
        <w:rPr>
          <w:i/>
        </w:rPr>
        <w:t xml:space="preserve">Antrinės viktimizacijos tikimybė. </w:t>
      </w:r>
    </w:p>
    <w:p w:rsidR="00160835" w:rsidRPr="00CE37D0" w:rsidRDefault="003E3809" w:rsidP="003E3809">
      <w:pPr>
        <w:shd w:val="clear" w:color="auto" w:fill="FFFFFF"/>
        <w:spacing w:line="360" w:lineRule="auto"/>
        <w:ind w:firstLine="851"/>
        <w:jc w:val="both"/>
      </w:pPr>
      <w:r w:rsidRPr="00CE37D0">
        <w:t xml:space="preserve">Antrinės viktimizacijos vengimas yra siekis nesukelti didesnės žalos nukentėjusiajam </w:t>
      </w:r>
      <w:r w:rsidR="00AC02DF">
        <w:t xml:space="preserve">paviešinus veiką, t.y. pradėjus baudžiamąjį procesą, nei </w:t>
      </w:r>
      <w:r w:rsidRPr="00CE37D0">
        <w:t xml:space="preserve">padaryta nusikalstama veika. </w:t>
      </w:r>
      <w:r w:rsidR="00351856">
        <w:t xml:space="preserve">Tam tikrų nusikalstamų veikų paviešinimas, nepageidaujant nukentėjusiajam, </w:t>
      </w:r>
      <w:r w:rsidRPr="00CE37D0">
        <w:t>ir valstybinių institucijų įsikišimas prieš nukentėjusiųjų valią gali padaryti žymią žalą šeimos santykiams, draugyst</w:t>
      </w:r>
      <w:r w:rsidR="0049512A" w:rsidRPr="00CE37D0">
        <w:t>ei ir sąlygoti tolesnį konfliktą</w:t>
      </w:r>
      <w:r w:rsidRPr="00CE37D0">
        <w:t xml:space="preserve">. </w:t>
      </w:r>
      <w:r w:rsidR="0062366B">
        <w:t>Todėl kai kurie</w:t>
      </w:r>
      <w:r w:rsidRPr="00CE37D0">
        <w:t xml:space="preserve"> mokslinink</w:t>
      </w:r>
      <w:r w:rsidR="0062366B">
        <w:t>ai</w:t>
      </w:r>
      <w:r w:rsidRPr="00CE37D0">
        <w:t xml:space="preserve"> pripažįsta</w:t>
      </w:r>
      <w:r w:rsidR="00AC02DF">
        <w:t>, kad nukentėjusiojo dispozityvi teisė</w:t>
      </w:r>
      <w:r w:rsidR="00351856">
        <w:t xml:space="preserve"> </w:t>
      </w:r>
      <w:r w:rsidR="006A4F58">
        <w:t>nu</w:t>
      </w:r>
      <w:r w:rsidRPr="00CE37D0">
        <w:t xml:space="preserve">spręsti </w:t>
      </w:r>
      <w:r w:rsidR="00AC02DF">
        <w:t>paviešinti</w:t>
      </w:r>
      <w:r w:rsidRPr="00CE37D0">
        <w:t xml:space="preserve"> nusikalstam</w:t>
      </w:r>
      <w:r w:rsidR="00AC02DF">
        <w:t>ą</w:t>
      </w:r>
      <w:r w:rsidRPr="00CE37D0">
        <w:t xml:space="preserve"> veik</w:t>
      </w:r>
      <w:r w:rsidR="00AC02DF">
        <w:t>ą</w:t>
      </w:r>
      <w:r w:rsidRPr="00CE37D0">
        <w:t xml:space="preserve">, kuri susijusi su jo asmeniniu gyvenimu, </w:t>
      </w:r>
      <w:r w:rsidR="00B13F95">
        <w:t xml:space="preserve">inicijuojant </w:t>
      </w:r>
      <w:r w:rsidR="00B13F95">
        <w:lastRenderedPageBreak/>
        <w:t xml:space="preserve">baudžiamąjį procesą, </w:t>
      </w:r>
      <w:r w:rsidR="00AC02DF">
        <w:t>yra savarankiškas</w:t>
      </w:r>
      <w:r w:rsidRPr="00CE37D0">
        <w:t xml:space="preserve"> privataus kaltinimo </w:t>
      </w:r>
      <w:r w:rsidR="00AC02DF">
        <w:t>diferencijavimo pagrindas</w:t>
      </w:r>
      <w:r w:rsidRPr="00CE37D0">
        <w:t xml:space="preserve">. </w:t>
      </w:r>
      <w:r w:rsidRPr="00CE37D0">
        <w:rPr>
          <w:vertAlign w:val="superscript"/>
        </w:rPr>
        <w:footnoteReference w:id="266"/>
      </w:r>
      <w:r w:rsidR="00A54AF2">
        <w:t xml:space="preserve"> Nors diskutuotina, ar antrinė viktimizacija yra priskirtina procesiniams diferencijavimo pagrindams, tačiau</w:t>
      </w:r>
      <w:r w:rsidR="00351856">
        <w:t>,</w:t>
      </w:r>
      <w:r w:rsidR="00A54AF2">
        <w:t xml:space="preserve"> remiantis tuo, kad antrinė viktimizacija gali įtakoti nukentėjusio asmens sprendimą inicijuoti privataus kaltinimo procesą arba ne, laikysimės nuomonės, kad šis pagrindas gali būti priskiriamas prie procesinių pagrindų.</w:t>
      </w:r>
    </w:p>
    <w:p w:rsidR="003E3809" w:rsidRPr="00CE37D0" w:rsidRDefault="003E3809" w:rsidP="003E3809">
      <w:pPr>
        <w:shd w:val="clear" w:color="auto" w:fill="FFFFFF"/>
        <w:spacing w:line="360" w:lineRule="auto"/>
        <w:ind w:firstLine="851"/>
        <w:jc w:val="both"/>
        <w:rPr>
          <w:rFonts w:ascii="TimesNewRomanPSMT" w:hAnsi="TimesNewRomanPSMT"/>
        </w:rPr>
      </w:pPr>
      <w:r w:rsidRPr="00CE37D0">
        <w:t>Nusikalstamos veikos, padaromos privačioj</w:t>
      </w:r>
      <w:r w:rsidR="00160835" w:rsidRPr="00CE37D0">
        <w:t xml:space="preserve">e erdvėje, artimoje aplinkoje, būna </w:t>
      </w:r>
      <w:r w:rsidRPr="00CE37D0">
        <w:t>susij</w:t>
      </w:r>
      <w:r w:rsidR="00351856">
        <w:t>usios</w:t>
      </w:r>
      <w:r w:rsidRPr="00CE37D0">
        <w:t xml:space="preserve"> su privačiu nukentėjusio asmens gyvenimu, o neretai ir su intymiomis, neviešintinomis jo detalėmis. Nukentėjusiojo dispozityvus sprendimas dėl nusikalstamą veiką padariusio asmens p</w:t>
      </w:r>
      <w:r w:rsidR="0049512A" w:rsidRPr="00CE37D0">
        <w:t>ersekiojimo veikia kaip filtras</w:t>
      </w:r>
      <w:r w:rsidRPr="00CE37D0">
        <w:t xml:space="preserve"> atribojant veikas, kurias tikslinga persekioti</w:t>
      </w:r>
      <w:r w:rsidR="0049512A" w:rsidRPr="00CE37D0">
        <w:t>,</w:t>
      </w:r>
      <w:r w:rsidRPr="00CE37D0">
        <w:t xml:space="preserve"> nuo visų padarytų pavojingų veikų.</w:t>
      </w:r>
      <w:r w:rsidRPr="00CE37D0">
        <w:rPr>
          <w:rFonts w:ascii="TimesNewRomanPSMT" w:hAnsi="TimesNewRomanPSMT"/>
        </w:rPr>
        <w:t xml:space="preserve"> Visų asmeninių konfliktų baudžiamasis persekiojimas sukeltų dar didesnį </w:t>
      </w:r>
      <w:r w:rsidR="0049512A" w:rsidRPr="00CE37D0">
        <w:rPr>
          <w:rFonts w:ascii="TimesNewRomanPSMT" w:hAnsi="TimesNewRomanPSMT"/>
        </w:rPr>
        <w:t>konflikt</w:t>
      </w:r>
      <w:r w:rsidRPr="00CE37D0">
        <w:rPr>
          <w:rFonts w:ascii="TimesNewRomanPSMT" w:hAnsi="TimesNewRomanPSMT"/>
        </w:rPr>
        <w:t xml:space="preserve">ą asmeniniuose santykiuose, todėl valstybė, </w:t>
      </w:r>
      <w:r w:rsidR="0049512A" w:rsidRPr="00CE37D0">
        <w:rPr>
          <w:rFonts w:ascii="TimesNewRomanPSMT" w:hAnsi="TimesNewRomanPSMT"/>
        </w:rPr>
        <w:t xml:space="preserve">visais atvejais </w:t>
      </w:r>
      <w:r w:rsidRPr="00CE37D0">
        <w:rPr>
          <w:rFonts w:ascii="TimesNewRomanPSMT" w:hAnsi="TimesNewRomanPSMT"/>
        </w:rPr>
        <w:t>siekdama aklo teisingumo</w:t>
      </w:r>
      <w:r w:rsidR="0049512A" w:rsidRPr="00CE37D0">
        <w:rPr>
          <w:rFonts w:ascii="TimesNewRomanPSMT" w:hAnsi="TimesNewRomanPSMT"/>
        </w:rPr>
        <w:t>,</w:t>
      </w:r>
      <w:r w:rsidRPr="00CE37D0">
        <w:rPr>
          <w:rFonts w:ascii="TimesNewRomanPSMT" w:hAnsi="TimesNewRomanPSMT"/>
        </w:rPr>
        <w:t xml:space="preserve"> gali sukelti nepageidaujamas pasekmes. </w:t>
      </w:r>
    </w:p>
    <w:p w:rsidR="005C12DE" w:rsidRPr="00CE37D0" w:rsidRDefault="005C12DE" w:rsidP="005C12DE">
      <w:pPr>
        <w:shd w:val="clear" w:color="auto" w:fill="FFFFFF"/>
        <w:tabs>
          <w:tab w:val="left" w:pos="180"/>
        </w:tabs>
        <w:spacing w:line="360" w:lineRule="auto"/>
        <w:ind w:right="169" w:firstLine="851"/>
        <w:jc w:val="both"/>
      </w:pPr>
      <w:r w:rsidRPr="00CE37D0">
        <w:t>Konstitucijos 22 str</w:t>
      </w:r>
      <w:r w:rsidR="00580FD6">
        <w:t>aipsnio</w:t>
      </w:r>
      <w:r w:rsidRPr="00CE37D0">
        <w:t xml:space="preserve"> normose įtvirtintas žmogaus privataus gyvenimo </w:t>
      </w:r>
      <w:r w:rsidRPr="00CE37D0">
        <w:rPr>
          <w:rStyle w:val="Puslapioinaosnuoroda"/>
        </w:rPr>
        <w:footnoteReference w:id="267"/>
      </w:r>
      <w:r w:rsidRPr="00CE37D0">
        <w:t xml:space="preserve"> neliečiamumas suponuoja asmens teisę į privatumą. Žmogaus teisė į privatumą apima asmeninio, šeimos ir namų gyvenimo, garbės ir reputacijos neliečiamumą, asmens fizinę ir psichinę neliečiamybę, asmeninių faktų slaptumą, draudimą skelbti gautą ar surinktą konfidencialią informaciją ir kt. </w:t>
      </w:r>
      <w:r w:rsidRPr="00CE37D0">
        <w:rPr>
          <w:vertAlign w:val="superscript"/>
        </w:rPr>
        <w:footnoteReference w:id="268"/>
      </w:r>
      <w:r w:rsidRPr="00CE37D0">
        <w:t xml:space="preserve"> Pripažindami prigimtines žmogaus teises ir iš jų išplaukiantį žmogaus teisių autonomiškumą, turime pripažinti ir tai, kad egzistuoja privatus žmogaus gyvenimas, kuris sudaro asmens neliečiamumo sritį. </w:t>
      </w:r>
      <w:r w:rsidRPr="00CE37D0">
        <w:rPr>
          <w:rStyle w:val="Puslapioinaosnuoroda"/>
        </w:rPr>
        <w:footnoteReference w:id="269"/>
      </w:r>
    </w:p>
    <w:p w:rsidR="003E3809" w:rsidRPr="00CE37D0" w:rsidRDefault="00B13F95" w:rsidP="003E3809">
      <w:pPr>
        <w:shd w:val="clear" w:color="auto" w:fill="FFFFFF"/>
        <w:spacing w:line="360" w:lineRule="auto"/>
        <w:ind w:right="133" w:firstLine="851"/>
        <w:jc w:val="both"/>
      </w:pPr>
      <w:r>
        <w:t>Antrinės</w:t>
      </w:r>
      <w:r w:rsidR="003E3809" w:rsidRPr="00CE37D0">
        <w:t xml:space="preserve"> viktimizacijos padariniai gali pasireikšti įvairiomis formomis. Pripažįstama, kad pats baudžiamasis procesas </w:t>
      </w:r>
      <w:r w:rsidR="003E3809" w:rsidRPr="00CE37D0">
        <w:rPr>
          <w:i/>
        </w:rPr>
        <w:t>per se</w:t>
      </w:r>
      <w:r w:rsidR="00351856">
        <w:rPr>
          <w:i/>
        </w:rPr>
        <w:t xml:space="preserve"> </w:t>
      </w:r>
      <w:r w:rsidR="0049512A" w:rsidRPr="00CE37D0">
        <w:t xml:space="preserve">nukentėjusiesiems </w:t>
      </w:r>
      <w:r w:rsidR="003E3809" w:rsidRPr="00CE37D0">
        <w:t xml:space="preserve">sukuria įtampą ir pažeminimą. </w:t>
      </w:r>
      <w:r w:rsidR="003E3809" w:rsidRPr="00CE37D0">
        <w:rPr>
          <w:rStyle w:val="Puslapioinaosnuoroda"/>
        </w:rPr>
        <w:footnoteReference w:id="270"/>
      </w:r>
      <w:r w:rsidR="003E3809" w:rsidRPr="00CE37D0">
        <w:t xml:space="preserve"> Teisminio bylos nagrinėjimo metu nukentėjusysis gali būti kaltinamas dėl neapdairumo, dėl provokuojamo, konfliktiško elgesio, kuris paskatino kaltininką padaryti nusikalstamą veiką, patirti materialių nuostolių, susijusių su bylinėjimosi procesu, </w:t>
      </w:r>
      <w:r w:rsidR="00160835" w:rsidRPr="00CE37D0">
        <w:t xml:space="preserve">proceso rezultate gali </w:t>
      </w:r>
      <w:r w:rsidR="003E3809" w:rsidRPr="00CE37D0">
        <w:t xml:space="preserve">nebūti atlyginta jam padaryta </w:t>
      </w:r>
      <w:r w:rsidR="00A95669">
        <w:lastRenderedPageBreak/>
        <w:t>turtin</w:t>
      </w:r>
      <w:r w:rsidR="003E3809" w:rsidRPr="00CE37D0">
        <w:t xml:space="preserve">ė ir </w:t>
      </w:r>
      <w:r w:rsidR="00A95669">
        <w:t>neturti</w:t>
      </w:r>
      <w:r w:rsidR="003E3809" w:rsidRPr="00CE37D0">
        <w:t>nė žala. Teismo procesas gali neatitikti jo lūkesčių, įrodinėjimo procesas pasirodyti per sudėtingas, neatitikti jo teisingumo vykdymo sampratos. Viešo bylos nagrinėjimo metu pažeidžiamas asmens privatumas, kai atskleidžiamos nukentėjusiojo ir kaltinamojo asmeninių santykių detalės, kurios susiję su nusikalstamos veikos padarymu, tačiau jų atskleidimas sukelia šalių santykių pa</w:t>
      </w:r>
      <w:r w:rsidR="0049512A" w:rsidRPr="00CE37D0">
        <w:t>blog</w:t>
      </w:r>
      <w:r w:rsidR="003E3809" w:rsidRPr="00CE37D0">
        <w:t xml:space="preserve">ėjimą. </w:t>
      </w:r>
      <w:r w:rsidR="003E3809" w:rsidRPr="00CE37D0">
        <w:rPr>
          <w:rStyle w:val="Puslapioinaosnuoroda"/>
        </w:rPr>
        <w:footnoteReference w:id="271"/>
      </w:r>
      <w:r w:rsidR="003E3809" w:rsidRPr="00CE37D0">
        <w:t xml:space="preserve"> Dėl to konfliktas stiprėja, nukenčia žmonių tarpusavio santykiai, nukentėjusysis patiria moralinį diskomfortą. Nukentėj</w:t>
      </w:r>
      <w:r w:rsidR="00A97526" w:rsidRPr="00CE37D0">
        <w:t>ęs asmuo</w:t>
      </w:r>
      <w:r w:rsidR="003E3809" w:rsidRPr="00CE37D0">
        <w:t xml:space="preserve"> gali patirti ir neigiamą aplinkinių – kaltininko artimųjų, asmenų, įtrauktų į dalyvavimą procese – reakciją dėl pasirinkto reagavimo į nusikalstamos veikos padarymą būdo, dėl jų pačių nenoro liudyt</w:t>
      </w:r>
      <w:r w:rsidR="00A97526" w:rsidRPr="00CE37D0">
        <w:t>i procese</w:t>
      </w:r>
      <w:r w:rsidR="003E3809" w:rsidRPr="00CE37D0">
        <w:t xml:space="preserve"> ir taip kištis į asmeninį konfliktą palaikant vieną ar kitą šalį</w:t>
      </w:r>
      <w:r w:rsidR="00A97526" w:rsidRPr="00CE37D0">
        <w:t xml:space="preserve"> (</w:t>
      </w:r>
      <w:r w:rsidR="003E3809" w:rsidRPr="00CE37D0">
        <w:t>ypatingai, jei liudytojus ir nukentėjusįjį ar kaltininką sieja asmeniniai santykiai</w:t>
      </w:r>
      <w:r w:rsidR="00A97526" w:rsidRPr="00CE37D0">
        <w:t>)</w:t>
      </w:r>
      <w:r w:rsidR="003E3809" w:rsidRPr="00CE37D0">
        <w:t>, kaltinamojo pyktį, galimą bauginimą. Jeigu nukentėj</w:t>
      </w:r>
      <w:r w:rsidR="00A97526" w:rsidRPr="00CE37D0">
        <w:t>ę</w:t>
      </w:r>
      <w:r w:rsidR="003E3809" w:rsidRPr="00CE37D0">
        <w:t>s yra viešas ar visuomenėje žinomas asmuo, teismo procesu gali susidomėti žiniasklaida, kas sąlygotų dar didesnį nepageidaujamą viešumą, galimai klaidingos, tendencingos informacijos sklaidą. Visas šis emocinis krūvis, susijęs su teismo procesu, gali nukentėjusiam</w:t>
      </w:r>
      <w:r w:rsidR="00A97526" w:rsidRPr="00CE37D0">
        <w:t xml:space="preserve"> asmeniui</w:t>
      </w:r>
      <w:r w:rsidR="003E3809" w:rsidRPr="00CE37D0">
        <w:t xml:space="preserve"> tapti didesne našta nei nusikalstamos veikos tiesioginiai padariniai. Todėl tam tikrais atvejais </w:t>
      </w:r>
      <w:r w:rsidR="00A97526" w:rsidRPr="00CE37D0">
        <w:t xml:space="preserve">suteikiama </w:t>
      </w:r>
      <w:r w:rsidR="003E3809" w:rsidRPr="00CE37D0">
        <w:t xml:space="preserve">dispozityvi teisė apsispręsti, ar teismo procesas ir jo pasekmė – kaltininko nubaudimas bei galima kompensacija –yra svarbesnis siekis nei antrinės viktimizacijos padarinių išvengimas, ar, atvirkščiai, antrinės viktimizacijos sukelta žala būtų didesnė nei žala, padaryta nusikalstama veika. </w:t>
      </w:r>
      <w:r w:rsidR="003E3809" w:rsidRPr="00CE37D0">
        <w:rPr>
          <w:rFonts w:ascii="TimesNewRomanPSMT" w:hAnsi="TimesNewRomanPSMT"/>
        </w:rPr>
        <w:t>Tik pats nukentėj</w:t>
      </w:r>
      <w:r w:rsidR="00A97526" w:rsidRPr="00CE37D0">
        <w:rPr>
          <w:rFonts w:ascii="TimesNewRomanPSMT" w:hAnsi="TimesNewRomanPSMT"/>
        </w:rPr>
        <w:t>ę</w:t>
      </w:r>
      <w:r w:rsidR="003E3809" w:rsidRPr="00CE37D0">
        <w:rPr>
          <w:rFonts w:ascii="TimesNewRomanPSMT" w:hAnsi="TimesNewRomanPSMT"/>
        </w:rPr>
        <w:t>s</w:t>
      </w:r>
      <w:r w:rsidR="00A97526" w:rsidRPr="00CE37D0">
        <w:rPr>
          <w:rFonts w:ascii="TimesNewRomanPSMT" w:hAnsi="TimesNewRomanPSMT"/>
        </w:rPr>
        <w:t xml:space="preserve"> asmuo</w:t>
      </w:r>
      <w:r w:rsidR="003E3809" w:rsidRPr="00CE37D0">
        <w:rPr>
          <w:rFonts w:ascii="TimesNewRomanPSMT" w:hAnsi="TimesNewRomanPSMT"/>
        </w:rPr>
        <w:t xml:space="preserve"> gali įvertinti, kuri vertybė jam yra svarbesnė: ar ta, kurią jis gali apginti baudžiamojo proceso priemonėmis, ar jo asmeninio gyvenimo neliečiamumas. </w:t>
      </w:r>
      <w:r w:rsidR="003E3809" w:rsidRPr="00CE37D0">
        <w:t xml:space="preserve">Tais atvejais, kai pagarba nukentėjusiojo jausmams ir nuomonei yra svarbesnis teisinis gėris nei veikos draudimu baudžiamojo įstatymo saugomas interesas, </w:t>
      </w:r>
      <w:r w:rsidR="003E3809" w:rsidRPr="00CE37D0">
        <w:rPr>
          <w:i/>
        </w:rPr>
        <w:t>inter alia</w:t>
      </w:r>
      <w:r w:rsidR="003E3809" w:rsidRPr="00CE37D0">
        <w:t xml:space="preserve"> viešasis, dispozityvi nukentėjusiojo teisė inicijuoti baudžiamąjį procesą ar nepareikšti kaltinimo geriausiai atstovauja nukentėjusiojo interesus. Todėl nukentėjusiojo teisė įvertinti antrinės viktimizacijos reikšmingumą ir pagal tai pasirinkti procesinio elgesio variantą yra vienas iš </w:t>
      </w:r>
      <w:r w:rsidR="00253552" w:rsidRPr="00CE37D0">
        <w:t>proceso diferencijavimo pagrindų</w:t>
      </w:r>
      <w:r w:rsidR="003E3809" w:rsidRPr="00CE37D0">
        <w:t xml:space="preserve">. </w:t>
      </w:r>
    </w:p>
    <w:p w:rsidR="003E3809" w:rsidRPr="00CE37D0" w:rsidRDefault="00E272A5" w:rsidP="00865B4C">
      <w:pPr>
        <w:pStyle w:val="Antrat3"/>
        <w:spacing w:before="0" w:after="0" w:line="360" w:lineRule="auto"/>
        <w:jc w:val="both"/>
      </w:pPr>
      <w:bookmarkStart w:id="95" w:name="_Toc315893182"/>
      <w:bookmarkStart w:id="96" w:name="_Toc316893920"/>
      <w:bookmarkStart w:id="97" w:name="_Toc333484085"/>
      <w:bookmarkStart w:id="98" w:name="_Toc365498840"/>
      <w:bookmarkStart w:id="99" w:name="_Toc370139903"/>
      <w:bookmarkStart w:id="100" w:name="_Toc320526517"/>
      <w:bookmarkStart w:id="101" w:name="_Toc400321683"/>
      <w:r>
        <w:t>3</w:t>
      </w:r>
      <w:r w:rsidR="003E3809" w:rsidRPr="00CE37D0">
        <w:t>.</w:t>
      </w:r>
      <w:r w:rsidR="00643AD3">
        <w:t>2</w:t>
      </w:r>
      <w:r w:rsidR="003E3809" w:rsidRPr="00CE37D0">
        <w:t xml:space="preserve">. </w:t>
      </w:r>
      <w:r w:rsidR="00643AD3">
        <w:t>Neoficial</w:t>
      </w:r>
      <w:r w:rsidR="003E3809" w:rsidRPr="00CE37D0">
        <w:t>aus kaltinimo rūšys</w:t>
      </w:r>
      <w:bookmarkEnd w:id="95"/>
      <w:bookmarkEnd w:id="96"/>
      <w:bookmarkEnd w:id="97"/>
      <w:bookmarkEnd w:id="98"/>
      <w:bookmarkEnd w:id="99"/>
      <w:bookmarkEnd w:id="100"/>
      <w:bookmarkEnd w:id="101"/>
    </w:p>
    <w:p w:rsidR="003E3809" w:rsidRPr="00CE37D0" w:rsidRDefault="003E3809" w:rsidP="003E3809">
      <w:pPr>
        <w:shd w:val="clear" w:color="auto" w:fill="FFFFFF"/>
        <w:spacing w:line="360" w:lineRule="auto"/>
        <w:ind w:right="133" w:firstLine="851"/>
        <w:jc w:val="both"/>
      </w:pPr>
      <w:r w:rsidRPr="00CE37D0">
        <w:t xml:space="preserve">Privataus kaltinimo samprata Lietuvos baudžiamajame procese suponuoja specifinę proceso rūšį, kai kaltinimą palaiko privatus asmuo, </w:t>
      </w:r>
      <w:r w:rsidR="00253552" w:rsidRPr="00CE37D0">
        <w:t>tiesiogi</w:t>
      </w:r>
      <w:r w:rsidRPr="00CE37D0">
        <w:t xml:space="preserve">ai nukentėjęs nuo nusikalstamos veikos arba jo teisėtas atstovas. Užsienio šalių baudžiamojo proceso įstatyme sutinkame ir kitokių privačių asmenų dalyvavimo įgyvendinant kaltinimo funkciją formų. Todėl baudžiamojo proceso moksle kaltinimo forma, kuria apibrėžiamas nepareiginis kaltinimas, dar vadinamas neoficialiuoju </w:t>
      </w:r>
      <w:r w:rsidRPr="00CE37D0">
        <w:lastRenderedPageBreak/>
        <w:t xml:space="preserve">kaltinimu (priešinant jį kaltinimui </w:t>
      </w:r>
      <w:r w:rsidRPr="00CE37D0">
        <w:rPr>
          <w:i/>
        </w:rPr>
        <w:t>ex officio</w:t>
      </w:r>
      <w:r w:rsidRPr="00CE37D0">
        <w:t xml:space="preserve">), </w:t>
      </w:r>
      <w:r w:rsidRPr="00CE37D0">
        <w:rPr>
          <w:vertAlign w:val="superscript"/>
        </w:rPr>
        <w:footnoteReference w:id="272"/>
      </w:r>
      <w:r w:rsidRPr="00CE37D0">
        <w:t xml:space="preserve"> o privačiu kaltinimu vadinama neoficialiojo kaltinimo rūšis, kai privatus kaltintojas kartu yra ir nukentėjusysis (p</w:t>
      </w:r>
      <w:r w:rsidR="003C1B90">
        <w:t>a</w:t>
      </w:r>
      <w:r w:rsidRPr="00CE37D0">
        <w:t>v</w:t>
      </w:r>
      <w:r w:rsidR="003C1B90">
        <w:t>yzdžiui</w:t>
      </w:r>
      <w:r w:rsidRPr="00CE37D0">
        <w:t xml:space="preserve">, Ispanijoje). </w:t>
      </w:r>
      <w:r w:rsidRPr="00CE37D0">
        <w:rPr>
          <w:vertAlign w:val="superscript"/>
        </w:rPr>
        <w:footnoteReference w:id="273"/>
      </w:r>
      <w:r w:rsidRPr="00CE37D0">
        <w:t xml:space="preserve"> Todėl lyginamuoju aspektu analizuojant užsienio šalių baudžiamojo proceso reglamentavimą, bus naudojamos sąvokos „privatus kaltinimas“, kai bus nagrinėjama kaltinimo rūšis, kur privatus kaltintojas yra kartu ir nukentėjęs nuo nusikalstamos veikos asmuo, ir „neoficialus kaltinimas“, kai bus analizuojamos kitos nepareiginio kaltinimo rūšys arba pagal užsienio šalies įstatymus galimos kelios neoficialaus kaltinimo rūšys, </w:t>
      </w:r>
      <w:r w:rsidRPr="00CE37D0">
        <w:rPr>
          <w:i/>
        </w:rPr>
        <w:t>inter alia</w:t>
      </w:r>
      <w:r w:rsidRPr="00CE37D0">
        <w:t xml:space="preserve"> ir privatus kaltinimas. Kadangi šiame disertaciniame tyrime daugelis klausimų nagrinėjami ir lyginamuoju aspektu, tikslinga apžvelgti užsienio šalyse </w:t>
      </w:r>
      <w:r w:rsidR="000C33E2" w:rsidRPr="00CE37D0">
        <w:rPr>
          <w:i/>
        </w:rPr>
        <w:t>de lege lata</w:t>
      </w:r>
      <w:r w:rsidR="00351856">
        <w:rPr>
          <w:i/>
        </w:rPr>
        <w:t xml:space="preserve"> </w:t>
      </w:r>
      <w:r w:rsidRPr="00CE37D0">
        <w:t xml:space="preserve">įtvirtintas privačių asmenų dalyvavimo kaltinimo veikloje formas, tačiau jos nebus atskirai nagrinėjamos. </w:t>
      </w:r>
    </w:p>
    <w:p w:rsidR="003E3809" w:rsidRPr="00CE37D0" w:rsidRDefault="007D0D27" w:rsidP="00F276DB">
      <w:pPr>
        <w:shd w:val="clear" w:color="auto" w:fill="FFFFFF"/>
        <w:spacing w:line="360" w:lineRule="auto"/>
        <w:ind w:right="133" w:firstLine="851"/>
        <w:jc w:val="both"/>
      </w:pPr>
      <w:r>
        <w:t>Pagal subjektus gal</w:t>
      </w:r>
      <w:r w:rsidR="003E3809" w:rsidRPr="00CE37D0">
        <w:t xml:space="preserve">ima išskirti dvi pagrindines kaltinimo veiklos rūšis: oficialioji – įgyvendinama pareigūnų, ir neoficialioji, įgyvendinama privačių asmenų pajėgomis. </w:t>
      </w:r>
      <w:r w:rsidR="003E3809" w:rsidRPr="00CE37D0">
        <w:rPr>
          <w:vertAlign w:val="superscript"/>
        </w:rPr>
        <w:footnoteReference w:id="274"/>
      </w:r>
      <w:r w:rsidR="003E3809" w:rsidRPr="00CE37D0">
        <w:t xml:space="preserve"> Pagrindinę reikšmę čia turi neoficialaus kaltintojo procesinio savarankiškumo klausimas. Jeigu oficialus procesas nevyksta, bylos eiga visiškai priklauso nuo neoficialaus kaltintojo, kuris yra laisvas priimti procesinius sprendimus dėl kaltinimo įgyvendinimo, valios išreiškimo. Tais atvejais, kai baudžiamąjį persekiojimą vykdo pareigūnai, neoficialus kaltintojas tampa priklausomas nuo jų procesinių sprendimų ir tokiu atveju jo vaidmuo yra papildomas (subsidiarus) santykyje su oficialiu kaltinimu. </w:t>
      </w:r>
    </w:p>
    <w:p w:rsidR="00F276DB" w:rsidRDefault="00F276DB" w:rsidP="00F276DB">
      <w:pPr>
        <w:shd w:val="clear" w:color="auto" w:fill="FFFFFF"/>
        <w:spacing w:line="360" w:lineRule="auto"/>
        <w:ind w:right="133" w:firstLine="851"/>
        <w:jc w:val="both"/>
      </w:pPr>
      <w:r w:rsidRPr="00CE37D0">
        <w:t>Neoficialusis kaltinimas buvo analizuojamas jau XIX a. rusų baudžiamojo proceso mokslininkų</w:t>
      </w:r>
      <w:r>
        <w:t>.</w:t>
      </w:r>
      <w:r w:rsidR="00D9522D">
        <w:t xml:space="preserve"> </w:t>
      </w:r>
      <w:r w:rsidRPr="00CE37D0">
        <w:rPr>
          <w:vertAlign w:val="superscript"/>
        </w:rPr>
        <w:footnoteReference w:id="275"/>
      </w:r>
      <w:r>
        <w:t xml:space="preserve"> Tuo metu buvo pateikta iki šių dienų aktuali</w:t>
      </w:r>
      <w:r w:rsidRPr="00CE37D0">
        <w:t xml:space="preserve"> neoficiala</w:t>
      </w:r>
      <w:r>
        <w:t>us kaltinimo formų klasifikacija</w:t>
      </w:r>
      <w:r w:rsidRPr="00CE37D0">
        <w:t>, kurios kriterijus yra privataus kaltintojo santykis su valstybiniu kaltinimu</w:t>
      </w:r>
      <w:r>
        <w:t>.</w:t>
      </w:r>
      <w:r w:rsidR="00D9522D">
        <w:t xml:space="preserve"> </w:t>
      </w:r>
      <w:r w:rsidRPr="00CE37D0">
        <w:rPr>
          <w:vertAlign w:val="superscript"/>
        </w:rPr>
        <w:footnoteReference w:id="276"/>
      </w:r>
      <w:r w:rsidR="00D9522D">
        <w:t xml:space="preserve"> </w:t>
      </w:r>
      <w:r w:rsidRPr="00CE37D0">
        <w:t xml:space="preserve">Taigi priklausomai nuo neoficialaus kaltintojo procesinio savarankiškumo galima išskirti dvi neoficialaus kaltinimo rūšis: </w:t>
      </w:r>
    </w:p>
    <w:p w:rsidR="00F276DB" w:rsidRDefault="006A4F58" w:rsidP="00755132">
      <w:pPr>
        <w:pStyle w:val="Sraopastraipa"/>
        <w:numPr>
          <w:ilvl w:val="0"/>
          <w:numId w:val="21"/>
        </w:numPr>
        <w:shd w:val="clear" w:color="auto" w:fill="FFFFFF"/>
        <w:ind w:right="133"/>
      </w:pPr>
      <w:r>
        <w:t>p</w:t>
      </w:r>
      <w:r w:rsidR="00F276DB" w:rsidRPr="00CE37D0">
        <w:t xml:space="preserve">agrindinį, kada neoficialaus kaltintojo procesinis savarankiškumas yra neribojamas; </w:t>
      </w:r>
    </w:p>
    <w:p w:rsidR="00F276DB" w:rsidRPr="00CE37D0" w:rsidRDefault="006A4F58" w:rsidP="00755132">
      <w:pPr>
        <w:pStyle w:val="Sraopastraipa"/>
        <w:numPr>
          <w:ilvl w:val="0"/>
          <w:numId w:val="21"/>
        </w:numPr>
        <w:shd w:val="clear" w:color="auto" w:fill="FFFFFF"/>
        <w:ind w:right="133"/>
      </w:pPr>
      <w:r>
        <w:lastRenderedPageBreak/>
        <w:t>s</w:t>
      </w:r>
      <w:r w:rsidR="00F276DB" w:rsidRPr="00CE37D0">
        <w:t>ubsidiarų, kai privataus asmens, dalyvaujančio kaltinime, procesinis savarankiškumas yra ribojamas oficialaus kaltinimo institucijų, kurios šiuo atveju yra pagrindiniai kaltintojai, procesini</w:t>
      </w:r>
      <w:r w:rsidR="00351856">
        <w:t>ų sprendimų</w:t>
      </w:r>
      <w:r w:rsidR="00F276DB" w:rsidRPr="00CE37D0">
        <w:t>.</w:t>
      </w:r>
      <w:r w:rsidR="00F276DB">
        <w:t xml:space="preserve"> Subsidiarus kaltinimas priklausomai nuo pasirinkto teisinio reguliavimo modelio gali įgyti dvi formas,</w:t>
      </w:r>
      <w:r w:rsidR="00351856">
        <w:t xml:space="preserve"> </w:t>
      </w:r>
      <w:r w:rsidR="00F276DB" w:rsidRPr="00CE37D0">
        <w:t>kuri</w:t>
      </w:r>
      <w:r w:rsidR="00F276DB">
        <w:t>os</w:t>
      </w:r>
      <w:r w:rsidR="00351856">
        <w:t xml:space="preserve"> </w:t>
      </w:r>
      <w:r w:rsidR="00F276DB">
        <w:t>skir</w:t>
      </w:r>
      <w:r w:rsidR="00F276DB" w:rsidRPr="00CE37D0">
        <w:t>i</w:t>
      </w:r>
      <w:r w:rsidR="00F276DB">
        <w:t xml:space="preserve">asi </w:t>
      </w:r>
      <w:r w:rsidR="00351856">
        <w:t xml:space="preserve">pagal </w:t>
      </w:r>
      <w:r w:rsidR="00F276DB">
        <w:t>privataus kaltintojo santyk</w:t>
      </w:r>
      <w:r w:rsidR="00351856">
        <w:t>į</w:t>
      </w:r>
      <w:r w:rsidR="00F276DB" w:rsidRPr="00CE37D0">
        <w:t xml:space="preserve"> su valstybiniu kaltinimu</w:t>
      </w:r>
      <w:r w:rsidR="00F276DB">
        <w:t xml:space="preserve">: </w:t>
      </w:r>
    </w:p>
    <w:p w:rsidR="00F276DB" w:rsidRDefault="00351856" w:rsidP="00755132">
      <w:pPr>
        <w:pStyle w:val="Sraopastraipa"/>
        <w:numPr>
          <w:ilvl w:val="1"/>
          <w:numId w:val="21"/>
        </w:numPr>
        <w:shd w:val="clear" w:color="auto" w:fill="FFFFFF"/>
        <w:ind w:right="133"/>
      </w:pPr>
      <w:r>
        <w:t xml:space="preserve"> </w:t>
      </w:r>
      <w:r w:rsidR="006A4F58">
        <w:t>p</w:t>
      </w:r>
      <w:r w:rsidR="00F276DB" w:rsidRPr="00CE37D0">
        <w:t>akeičiantis kaltinimas, kai privatus kaltintojas byloje atsiranda</w:t>
      </w:r>
      <w:r>
        <w:t>, jei</w:t>
      </w:r>
      <w:r w:rsidR="00F276DB" w:rsidRPr="00CE37D0">
        <w:t xml:space="preserve"> viešasis kaltintojas nereiškia </w:t>
      </w:r>
      <w:r w:rsidR="007B790C">
        <w:t>arba atsisako kaltinim</w:t>
      </w:r>
      <w:r w:rsidR="00F276DB" w:rsidRPr="00CE37D0">
        <w:t>o;</w:t>
      </w:r>
    </w:p>
    <w:p w:rsidR="00F276DB" w:rsidRPr="00CE37D0" w:rsidRDefault="00351856" w:rsidP="00755132">
      <w:pPr>
        <w:pStyle w:val="Sraopastraipa"/>
        <w:numPr>
          <w:ilvl w:val="1"/>
          <w:numId w:val="21"/>
        </w:numPr>
        <w:shd w:val="clear" w:color="auto" w:fill="FFFFFF"/>
        <w:ind w:right="133"/>
      </w:pPr>
      <w:r>
        <w:t xml:space="preserve"> </w:t>
      </w:r>
      <w:r w:rsidR="006A4F58">
        <w:t>p</w:t>
      </w:r>
      <w:r w:rsidR="00F276DB" w:rsidRPr="00CE37D0">
        <w:t xml:space="preserve">apildomas kaltinimas, kai privatus asmuo veikia procese kartu su viešuoju kaltintoju. </w:t>
      </w:r>
      <w:r w:rsidR="00F276DB" w:rsidRPr="00CE37D0">
        <w:rPr>
          <w:vertAlign w:val="superscript"/>
        </w:rPr>
        <w:footnoteReference w:id="277"/>
      </w:r>
    </w:p>
    <w:p w:rsidR="003E3809" w:rsidRPr="00CE37D0" w:rsidRDefault="00F276DB" w:rsidP="003E3809">
      <w:pPr>
        <w:shd w:val="clear" w:color="auto" w:fill="FFFFFF"/>
        <w:spacing w:line="360" w:lineRule="auto"/>
        <w:ind w:right="133" w:firstLine="851"/>
        <w:jc w:val="both"/>
      </w:pPr>
      <w:r>
        <w:t>Taigi</w:t>
      </w:r>
      <w:r w:rsidR="00351856">
        <w:t xml:space="preserve"> </w:t>
      </w:r>
      <w:r>
        <w:t>kaltinimas, kurį palaiko privat</w:t>
      </w:r>
      <w:r w:rsidR="003E3809" w:rsidRPr="00CE37D0">
        <w:t>us asm</w:t>
      </w:r>
      <w:r>
        <w:t>uo</w:t>
      </w:r>
      <w:r w:rsidR="003E3809" w:rsidRPr="00CE37D0">
        <w:t>, kai oficiali institucija atsisako nuo baudžiamojo persekiojimo</w:t>
      </w:r>
      <w:r>
        <w:t>,</w:t>
      </w:r>
      <w:r w:rsidR="003E3809" w:rsidRPr="00CE37D0">
        <w:t xml:space="preserve"> laikytinas pagrindine neoficialaus kaltinimo forma, kadangi neoficialios kaltinamosios veiklos subjektas tokiu atveju įgauna visišką procesinį savarankiškumą. Privataus asmens dalyvavimas oficialiame baudžiamajame persekiojime laikytinas subsidiariu, kai neoficialaus kaltintojo veikla </w:t>
      </w:r>
      <w:r>
        <w:t>vykdoma kartu</w:t>
      </w:r>
      <w:r w:rsidR="003E3809" w:rsidRPr="00CE37D0">
        <w:t xml:space="preserve"> su pagrindiniu kaltinimu, įgyvendinamu </w:t>
      </w:r>
      <w:r w:rsidRPr="00F276DB">
        <w:rPr>
          <w:i/>
        </w:rPr>
        <w:t>ex officio</w:t>
      </w:r>
      <w:r w:rsidR="003E3809" w:rsidRPr="00CE37D0">
        <w:t xml:space="preserve">. </w:t>
      </w:r>
      <w:r w:rsidR="00121FFC">
        <w:t>P</w:t>
      </w:r>
      <w:r w:rsidR="003E3809" w:rsidRPr="00CE37D0">
        <w:t xml:space="preserve">agrindiniame kaltinime privatus asmuo </w:t>
      </w:r>
      <w:r w:rsidR="00351856">
        <w:t xml:space="preserve">tampa visiškai savarankiškas </w:t>
      </w:r>
      <w:r w:rsidR="003E3809" w:rsidRPr="00CE37D0">
        <w:t>ir visiškai pakeičia vals</w:t>
      </w:r>
      <w:r w:rsidR="00121FFC">
        <w:t>tybinį kaltintoją. Šiuo atveju bendra privataus ir valstybinio kaltintojo veikla negalima, todėl</w:t>
      </w:r>
      <w:r w:rsidR="00351856">
        <w:t>,</w:t>
      </w:r>
      <w:r w:rsidR="00121FFC">
        <w:t xml:space="preserve"> valstybiniam</w:t>
      </w:r>
      <w:r w:rsidR="003E3809" w:rsidRPr="00CE37D0">
        <w:t xml:space="preserve"> kaltintoj</w:t>
      </w:r>
      <w:r w:rsidR="00121FFC">
        <w:t>ui įstojus į procesą, proceso forma pereina</w:t>
      </w:r>
      <w:r w:rsidR="00351856">
        <w:t xml:space="preserve"> </w:t>
      </w:r>
      <w:r w:rsidR="00121FFC">
        <w:t xml:space="preserve">iš privataus kaltinimo </w:t>
      </w:r>
      <w:r w:rsidR="003E3809" w:rsidRPr="00CE37D0">
        <w:t xml:space="preserve">į viešą. </w:t>
      </w:r>
    </w:p>
    <w:p w:rsidR="003E3809" w:rsidRPr="00CE37D0" w:rsidRDefault="003E3809" w:rsidP="003E3809">
      <w:pPr>
        <w:shd w:val="clear" w:color="auto" w:fill="FFFFFF"/>
        <w:spacing w:line="360" w:lineRule="auto"/>
        <w:ind w:right="133" w:firstLine="851"/>
        <w:jc w:val="both"/>
      </w:pPr>
      <w:r w:rsidRPr="00CE37D0">
        <w:t>Subsidi</w:t>
      </w:r>
      <w:r w:rsidR="007A2173">
        <w:t>a</w:t>
      </w:r>
      <w:r w:rsidRPr="00CE37D0">
        <w:t xml:space="preserve">rus kaltinimas yra viena iš visuomenės dalyvavimo teisingumo vykdymo procese formų ir vertinamas kaip nešališkumo ir objektyvumo garantas bei pareigūnų neveiklumo ar piktnaudžiavimo kontrolės priemonė. </w:t>
      </w:r>
      <w:r w:rsidRPr="00CE37D0">
        <w:rPr>
          <w:rStyle w:val="Puslapioinaosnuoroda"/>
        </w:rPr>
        <w:footnoteReference w:id="278"/>
      </w:r>
      <w:r w:rsidRPr="00CE37D0">
        <w:t xml:space="preserve"> Kaip atsvara griežtai oficialumo principo saistomam prokurorui, privačių asmenų baudžiamojo persekiojimo praktika </w:t>
      </w:r>
      <w:r w:rsidR="00351856">
        <w:t>atlieka</w:t>
      </w:r>
      <w:r w:rsidRPr="00CE37D0">
        <w:t xml:space="preserve"> „saugo</w:t>
      </w:r>
      <w:r w:rsidR="00330C1A">
        <w:t>s</w:t>
      </w:r>
      <w:r w:rsidR="00351856">
        <w:t xml:space="preserve"> </w:t>
      </w:r>
      <w:r w:rsidRPr="00CE37D0">
        <w:t>vožtuvo“</w:t>
      </w:r>
      <w:r w:rsidR="00330C1A">
        <w:t xml:space="preserve"> (angl. </w:t>
      </w:r>
      <w:r w:rsidR="00330C1A" w:rsidRPr="00330C1A">
        <w:rPr>
          <w:i/>
        </w:rPr>
        <w:t>safety valve</w:t>
      </w:r>
      <w:r w:rsidR="00330C1A">
        <w:t>)</w:t>
      </w:r>
      <w:r w:rsidRPr="00CE37D0">
        <w:t xml:space="preserve"> vaidmenį. </w:t>
      </w:r>
      <w:r w:rsidRPr="00CE37D0">
        <w:rPr>
          <w:rStyle w:val="Puslapioinaosnuoroda"/>
        </w:rPr>
        <w:footnoteReference w:id="279"/>
      </w:r>
      <w:r w:rsidRPr="00CE37D0">
        <w:t xml:space="preserve"> Šiuo aspektu nagrinėtinas privataus kaltintojo dalyvavimas teisminiame nagrinėjime pariteto pagrindais. </w:t>
      </w:r>
    </w:p>
    <w:p w:rsidR="003E3809" w:rsidRPr="00CE37D0" w:rsidRDefault="003E3809" w:rsidP="003E3809">
      <w:pPr>
        <w:shd w:val="clear" w:color="auto" w:fill="FFFFFF"/>
        <w:spacing w:line="360" w:lineRule="auto"/>
        <w:ind w:right="133" w:firstLine="851"/>
        <w:jc w:val="both"/>
      </w:pPr>
      <w:r w:rsidRPr="00CE37D0">
        <w:t xml:space="preserve">Subsidiaraus kaltinimo teisė nukentėjusiajam suteikta nemažai Europos šalių. </w:t>
      </w:r>
      <w:r w:rsidR="00330C1A">
        <w:t>K</w:t>
      </w:r>
      <w:r w:rsidR="00330C1A" w:rsidRPr="00CE37D0">
        <w:t>ontinentinės teisės sistemoje tradiciškai leistinas kelių kaltintojų dal</w:t>
      </w:r>
      <w:r w:rsidR="00330C1A">
        <w:t>yvavimas procese, tačiau jie nėra</w:t>
      </w:r>
      <w:r w:rsidR="00330C1A" w:rsidRPr="00CE37D0">
        <w:t xml:space="preserve"> visiškai lygiateisiai ir nepriklausomi vienas nuo kito. </w:t>
      </w:r>
      <w:r w:rsidRPr="00CE37D0">
        <w:t xml:space="preserve">Lenkijoje nukentėjusysis gali dalyvauti </w:t>
      </w:r>
      <w:r w:rsidRPr="00CE37D0">
        <w:lastRenderedPageBreak/>
        <w:t>procese kaip subsidiarus</w:t>
      </w:r>
      <w:r w:rsidR="0074506D">
        <w:t xml:space="preserve"> kaltintojas viešojo kaltinimo b</w:t>
      </w:r>
      <w:r w:rsidRPr="00CE37D0">
        <w:t>ylose, iškeltose valstybinės institucijos iniciatyva arba pagal privataus asmens skundą, kai prokuroras dalyvauja byloje, t.y. kartu su juo</w:t>
      </w:r>
      <w:r w:rsidR="001B1024">
        <w:t xml:space="preserve"> (Lenkijos BPK 60 str</w:t>
      </w:r>
      <w:r w:rsidR="00580FD6">
        <w:t>aipsnis</w:t>
      </w:r>
      <w:r w:rsidR="001B1024">
        <w:t>)</w:t>
      </w:r>
      <w:r w:rsidRPr="00CE37D0">
        <w:t xml:space="preserve">. </w:t>
      </w:r>
      <w:r w:rsidR="00977564">
        <w:rPr>
          <w:rStyle w:val="Puslapioinaosnuoroda"/>
        </w:rPr>
        <w:footnoteReference w:id="280"/>
      </w:r>
      <w:r w:rsidR="00351856">
        <w:t xml:space="preserve"> </w:t>
      </w:r>
      <w:r w:rsidRPr="00CE37D0">
        <w:t>Austrijoje subsidiaraus kaltinimo teisė suteikiama tik civiliniam ieškovui, o ne nukentėjusiajam (Austrijos BPK 48 str</w:t>
      </w:r>
      <w:r w:rsidR="00580FD6">
        <w:t>aipsnis</w:t>
      </w:r>
      <w:r w:rsidRPr="00CE37D0">
        <w:t>)</w:t>
      </w:r>
      <w:r w:rsidR="007B790C">
        <w:t>.</w:t>
      </w:r>
      <w:r w:rsidR="002531B6">
        <w:t xml:space="preserve"> </w:t>
      </w:r>
      <w:r w:rsidR="0074506D">
        <w:rPr>
          <w:rStyle w:val="Puslapioinaosnuoroda"/>
        </w:rPr>
        <w:footnoteReference w:id="281"/>
      </w:r>
      <w:r w:rsidR="0074506D">
        <w:t xml:space="preserve"> </w:t>
      </w:r>
      <w:r w:rsidRPr="00CE37D0">
        <w:t xml:space="preserve">Suomijoje, Švedijoje, Danijoje, nukentėjusiam nuo nusikalstamos veikos asmeniui suteikiama </w:t>
      </w:r>
      <w:r w:rsidR="00026E79">
        <w:t>pakeičianči</w:t>
      </w:r>
      <w:r w:rsidRPr="00CE37D0">
        <w:t xml:space="preserve">o kaltinimo teisė. Nukentėjusysis turi teisę įstoti baudžiamajame procese kaip subsidiarus kaltintojas tose viešojo kaltinimo bylose, kuriose prokuroras neįžvelgė pagrindų pradėti baudžiamąjį persekiojimą arba proceso eigoje atsisakė palaikyti kaltinimą byloje. </w:t>
      </w:r>
      <w:r w:rsidR="00026E79" w:rsidRPr="00CE37D0">
        <w:t xml:space="preserve">Švedijoje, prieš perimdamas kaltinimą, nukentėjusysis turi teisę apskųsti prokuroro sprendimą atsisakyti kaltinimo aukštesniajam prokurorui. </w:t>
      </w:r>
      <w:r w:rsidRPr="00CE37D0">
        <w:t xml:space="preserve">Suomijoje dažniausiai nukentėjusieji sutinka su prokuroro sprendimu, tačiau, nors ir nedažnai naudojama praktikoje, tokia nuostata </w:t>
      </w:r>
      <w:r w:rsidR="00026E79">
        <w:t>teoriškai nukentėjusiajam</w:t>
      </w:r>
      <w:r w:rsidR="007F4D27">
        <w:t xml:space="preserve"> </w:t>
      </w:r>
      <w:r w:rsidR="00026E79">
        <w:t>suteikia privataus kaltinimo teisę visais atvejais, kai kaltinimo palaikyti nesiima prokuroras</w:t>
      </w:r>
      <w:r w:rsidRPr="00CE37D0">
        <w:t xml:space="preserve">. </w:t>
      </w:r>
      <w:r w:rsidRPr="00CE37D0">
        <w:rPr>
          <w:vertAlign w:val="superscript"/>
        </w:rPr>
        <w:footnoteReference w:id="282"/>
      </w:r>
      <w:r w:rsidR="00C17786">
        <w:t xml:space="preserve"> Vokietijoje nukentėjusysis gali palaikyti kaltinimą </w:t>
      </w:r>
      <w:r w:rsidR="00137782">
        <w:t xml:space="preserve">įstatymo numatytais atvejais kaip subsidiarus kaltintojas </w:t>
      </w:r>
      <w:proofErr w:type="gramStart"/>
      <w:r w:rsidR="00137782">
        <w:t>(</w:t>
      </w:r>
      <w:proofErr w:type="gramEnd"/>
      <w:r w:rsidR="00137782">
        <w:t xml:space="preserve">vok. </w:t>
      </w:r>
      <w:r w:rsidR="00137782" w:rsidRPr="00137782">
        <w:rPr>
          <w:i/>
        </w:rPr>
        <w:t>Nebenkl</w:t>
      </w:r>
      <w:r w:rsidR="00137782">
        <w:rPr>
          <w:i/>
        </w:rPr>
        <w:t>ä</w:t>
      </w:r>
      <w:r w:rsidR="00137782" w:rsidRPr="00137782">
        <w:rPr>
          <w:i/>
        </w:rPr>
        <w:t>ge</w:t>
      </w:r>
      <w:r w:rsidR="00137782">
        <w:rPr>
          <w:i/>
        </w:rPr>
        <w:t>r</w:t>
      </w:r>
      <w:r w:rsidR="00137782">
        <w:t xml:space="preserve">) </w:t>
      </w:r>
      <w:r w:rsidR="00C17786">
        <w:t>kartu su prokuroru</w:t>
      </w:r>
      <w:r w:rsidR="00137782">
        <w:t xml:space="preserve">. </w:t>
      </w:r>
      <w:r w:rsidR="00137782">
        <w:rPr>
          <w:rStyle w:val="Puslapioinaosnuoroda"/>
        </w:rPr>
        <w:footnoteReference w:id="283"/>
      </w:r>
    </w:p>
    <w:p w:rsidR="003E3809" w:rsidRPr="00CE37D0" w:rsidRDefault="003E3809" w:rsidP="003E3809">
      <w:pPr>
        <w:shd w:val="clear" w:color="auto" w:fill="FFFFFF"/>
        <w:spacing w:line="360" w:lineRule="auto"/>
        <w:ind w:right="133" w:firstLine="851"/>
        <w:jc w:val="both"/>
      </w:pPr>
      <w:r w:rsidRPr="00CE37D0">
        <w:t xml:space="preserve">Prancūzijoje, Liuksemburge, Belgijoje viešo ir privataus kaltinimo teisė koegzistuoja unikaliu būdu: kai asmuo inicijuoja kaltinimą byloje, kurioje prokuroras atsisakė tai daryti, prokuroras privalo perimti kaltinimą ir jį palaikyti nepriklausomai nuo savo nuomonės. </w:t>
      </w:r>
      <w:r w:rsidRPr="00CE37D0">
        <w:rPr>
          <w:vertAlign w:val="superscript"/>
        </w:rPr>
        <w:footnoteReference w:id="284"/>
      </w:r>
      <w:r w:rsidRPr="00CE37D0">
        <w:t xml:space="preserve"> Taigi šiose šalyse individuali kaltinimo teisė yra naudojama kaip prokuroro diskrecinių galių korekcinė</w:t>
      </w:r>
      <w:r w:rsidR="00B13F95">
        <w:t xml:space="preserve"> priemonė. Pagrindinio</w:t>
      </w:r>
      <w:r w:rsidRPr="00CE37D0">
        <w:t xml:space="preserve"> privataus kaltinimo bylų proceso reguliavimas, koks yra įtvirtintas Lietuvos baudžiamajame procese, negali įgyvendinti tokių uždavinių kaip pareigūnų veiklos kontrolė, kadangi viešo kaltinimo ir privataus kaltinimo sferos turi aiškias ribas ir viena kitos nei pakeičia, nei gali egzistuoti vienu metu. Bulgarijoje, Vengrijoje, Austrijoje, Vokietijoje privataus kaltinimo teisė taip pat yra apribota konkrečių nusikalstamų veikų sąrašu, tačiau nepriklauso nuo prokuroro sprendimų. </w:t>
      </w:r>
      <w:r w:rsidRPr="00CE37D0">
        <w:rPr>
          <w:vertAlign w:val="superscript"/>
        </w:rPr>
        <w:footnoteReference w:id="285"/>
      </w:r>
    </w:p>
    <w:p w:rsidR="003E3809" w:rsidRPr="00CE37D0" w:rsidRDefault="003E3809" w:rsidP="003E3809">
      <w:pPr>
        <w:shd w:val="clear" w:color="auto" w:fill="FFFFFF"/>
        <w:spacing w:line="360" w:lineRule="auto"/>
        <w:ind w:right="133" w:firstLine="851"/>
        <w:jc w:val="both"/>
      </w:pPr>
      <w:r w:rsidRPr="00CE37D0">
        <w:lastRenderedPageBreak/>
        <w:t xml:space="preserve">Papildomo kaltinimo teisė suteikta nukentėjusiesiems Austrijoje </w:t>
      </w:r>
      <w:proofErr w:type="gramStart"/>
      <w:r w:rsidRPr="00CE37D0">
        <w:t>(</w:t>
      </w:r>
      <w:proofErr w:type="gramEnd"/>
      <w:r w:rsidR="007B790C">
        <w:t xml:space="preserve">vok. </w:t>
      </w:r>
      <w:r w:rsidRPr="00CE37D0">
        <w:rPr>
          <w:i/>
        </w:rPr>
        <w:t>Nebenk</w:t>
      </w:r>
      <w:r w:rsidR="007B790C">
        <w:rPr>
          <w:i/>
        </w:rPr>
        <w:t>lȁ</w:t>
      </w:r>
      <w:r w:rsidRPr="00CE37D0">
        <w:rPr>
          <w:i/>
        </w:rPr>
        <w:t>ger</w:t>
      </w:r>
      <w:r w:rsidR="00580FD6">
        <w:t>) (BPK 117-4 straipsnis</w:t>
      </w:r>
      <w:r w:rsidRPr="00CE37D0">
        <w:t xml:space="preserve">) tik bylose dėl garbės įžeidimo ir grasinimo. Vokietijoje ir Švedijoje papildomas kaltintojas įgyja aktyvių procesinių teisių, o Danijoje </w:t>
      </w:r>
      <w:r w:rsidR="00225A19">
        <w:t xml:space="preserve">(Proceso įstatymo </w:t>
      </w:r>
      <w:r w:rsidR="00D73B75">
        <w:t>727-2 str</w:t>
      </w:r>
      <w:r w:rsidR="00580FD6">
        <w:t>aipsnis</w:t>
      </w:r>
      <w:r w:rsidR="00D73B75">
        <w:t xml:space="preserve">) </w:t>
      </w:r>
      <w:r w:rsidRPr="00CE37D0">
        <w:t xml:space="preserve">jo vaidmuo formalus, jam nesuteikiama net simbolinių teisių. </w:t>
      </w:r>
      <w:r w:rsidR="00225A19">
        <w:rPr>
          <w:rStyle w:val="Puslapioinaosnuoroda"/>
        </w:rPr>
        <w:footnoteReference w:id="286"/>
      </w:r>
    </w:p>
    <w:p w:rsidR="003E3809" w:rsidRPr="00CE37D0" w:rsidRDefault="003E3809" w:rsidP="003E3809">
      <w:pPr>
        <w:autoSpaceDE w:val="0"/>
        <w:autoSpaceDN w:val="0"/>
        <w:adjustRightInd w:val="0"/>
        <w:spacing w:line="360" w:lineRule="auto"/>
        <w:ind w:firstLine="851"/>
        <w:jc w:val="both"/>
      </w:pPr>
      <w:r w:rsidRPr="00CE37D0">
        <w:t xml:space="preserve">Ispanijoje privatus kaltintojas veikia pariteto pagrindais kartu su valstybės kaltintoju, be to, privatus asmuo gali paduoti skundą teismui ir inicijuoti baudžiamąjį procesą net ir tais atvejais, kai jis nėra nukentėjusysis. </w:t>
      </w:r>
      <w:r w:rsidRPr="00CE37D0">
        <w:rPr>
          <w:rStyle w:val="Puslapioinaosnuoroda"/>
        </w:rPr>
        <w:footnoteReference w:id="287"/>
      </w:r>
      <w:r w:rsidRPr="00CE37D0">
        <w:t xml:space="preserve"> Taigi visais atvejais jis gali reikšti iniciatyvą, kai to nedaro prokuroras, ir tai Ispanijos praktikoje pasiteisino kaip viešojo kaltinimo neveiklumo ir neefektyvumo kontrolės priemonė. </w:t>
      </w:r>
      <w:r w:rsidRPr="00CE37D0">
        <w:rPr>
          <w:rStyle w:val="Puslapioinaosnuoroda"/>
        </w:rPr>
        <w:footnoteReference w:id="288"/>
      </w:r>
      <w:r w:rsidRPr="00CE37D0">
        <w:t xml:space="preserve"> Ispanijoje privačių asmenų dalyvavimas kaltinimo veikloje galimas dviem formomis:</w:t>
      </w:r>
    </w:p>
    <w:p w:rsidR="003E3809" w:rsidRPr="00CE37D0" w:rsidRDefault="003E3809" w:rsidP="003E3809">
      <w:pPr>
        <w:shd w:val="clear" w:color="auto" w:fill="FFFFFF"/>
        <w:spacing w:line="360" w:lineRule="auto"/>
        <w:ind w:right="133" w:firstLine="851"/>
        <w:jc w:val="both"/>
      </w:pPr>
      <w:r w:rsidRPr="00CE37D0">
        <w:t>1. Populiarusis kaltinimas</w:t>
      </w:r>
      <w:r w:rsidR="0074506D">
        <w:t xml:space="preserve"> </w:t>
      </w:r>
      <w:r w:rsidR="00866076" w:rsidRPr="00CE37D0">
        <w:rPr>
          <w:rStyle w:val="Puslapioinaosnuoroda"/>
        </w:rPr>
        <w:footnoteReference w:id="289"/>
      </w:r>
      <w:r w:rsidRPr="00CE37D0">
        <w:t xml:space="preserve"> yra tiesioginė Romėnų teisės </w:t>
      </w:r>
      <w:r w:rsidRPr="00995D7A">
        <w:rPr>
          <w:i/>
        </w:rPr>
        <w:t>actio populares</w:t>
      </w:r>
      <w:r w:rsidRPr="00CE37D0">
        <w:t xml:space="preserve"> instituto recepcija. Tai kaltinimas, kurį įgyvendina asmuo, neturintis tiesioginio ryšio su teisiniais gėriais, kurie buvo pažeisti ar kilo grėsmė būti pažeistais dėl nusikalstamos veikos padarymo. </w:t>
      </w:r>
      <w:r w:rsidR="00995D7A">
        <w:t>K</w:t>
      </w:r>
      <w:r w:rsidRPr="00CE37D0">
        <w:t>altintojas neprivalo atskleisti savo motyvų, kurie jį paskatino inicijuoti procesą. Taigi populiarųjį baudžiamąjį ieškinį Ispanijoje gali p</w:t>
      </w:r>
      <w:r w:rsidR="007B790C">
        <w:t>aduoti visi Ispanijos piliečiai</w:t>
      </w:r>
      <w:r w:rsidRPr="00CE37D0">
        <w:t xml:space="preserve"> su tam tikromis išimtimis. </w:t>
      </w:r>
      <w:r w:rsidRPr="00CE37D0">
        <w:rPr>
          <w:vertAlign w:val="superscript"/>
        </w:rPr>
        <w:footnoteReference w:id="290"/>
      </w:r>
    </w:p>
    <w:p w:rsidR="003E3809" w:rsidRDefault="003E3809" w:rsidP="003E3809">
      <w:pPr>
        <w:shd w:val="clear" w:color="auto" w:fill="FFFFFF"/>
        <w:spacing w:line="360" w:lineRule="auto"/>
        <w:ind w:right="133" w:firstLine="851"/>
        <w:jc w:val="both"/>
      </w:pPr>
      <w:r w:rsidRPr="00CE37D0">
        <w:rPr>
          <w:bCs/>
          <w:iCs/>
        </w:rPr>
        <w:lastRenderedPageBreak/>
        <w:t xml:space="preserve">2. Privatus kaltinimas, kai privatus kaltintojas kartu yra </w:t>
      </w:r>
      <w:r w:rsidR="007B790C">
        <w:rPr>
          <w:bCs/>
          <w:iCs/>
        </w:rPr>
        <w:t>tiesiogi</w:t>
      </w:r>
      <w:r w:rsidRPr="00CE37D0">
        <w:rPr>
          <w:bCs/>
          <w:iCs/>
        </w:rPr>
        <w:t>ai nukentėjęs nuo nusikalstamos veikos asmuo</w:t>
      </w:r>
      <w:r w:rsidRPr="00CE37D0">
        <w:t xml:space="preserve"> (bet kuris nuo nusikalstamos veikos nukentėjęs pilietis ar užsienietis). Ikiteisminio tyrimo subjektai turi pareigą informuoti nukentėjusįjį apie jo teisę dalyvauti kaip kaltintojui. Privataus kaltintojo procesinis statusas skiriasi nuo populiariojo kaltintojo savo teisių apimtimi (</w:t>
      </w:r>
      <w:r w:rsidR="00D73B75">
        <w:t>n</w:t>
      </w:r>
      <w:r w:rsidRPr="00CE37D0">
        <w:t>ukentėjusysis yra atleistas nuo žyminio mokesčio, jam suteikiama teisė į nemokamą teisinę pagalbą (priklausomai nuo pajamų</w:t>
      </w:r>
      <w:proofErr w:type="gramStart"/>
      <w:r w:rsidRPr="00CE37D0">
        <w:t>))</w:t>
      </w:r>
      <w:proofErr w:type="gramEnd"/>
      <w:r w:rsidRPr="00CE37D0">
        <w:t>. Ispanijoje privatus kaltintojas tik papildo prokuroro palaikomą kaltinimą. Aktyvus nukentėjusiojo dalyvavimas nebūtinas, kad procesas vyktų ir pasibaigtų nuosprendžiu, kadangi prokuroras turi pareigą</w:t>
      </w:r>
      <w:r w:rsidR="007F4D27">
        <w:t xml:space="preserve"> tiek</w:t>
      </w:r>
      <w:r w:rsidRPr="00CE37D0">
        <w:t xml:space="preserve"> palaikyti kaltinimą, tiek reikšti civilinį ieškinį.</w:t>
      </w:r>
    </w:p>
    <w:p w:rsidR="00995D7A" w:rsidRDefault="00995D7A" w:rsidP="00995D7A">
      <w:pPr>
        <w:autoSpaceDE w:val="0"/>
        <w:autoSpaceDN w:val="0"/>
        <w:adjustRightInd w:val="0"/>
        <w:spacing w:line="360" w:lineRule="auto"/>
        <w:ind w:firstLine="851"/>
        <w:jc w:val="both"/>
        <w:rPr>
          <w:rFonts w:ascii="TimesNewRomanPSMT" w:hAnsi="TimesNewRomanPSMT" w:cs="TimesNewRomanPSMT"/>
        </w:rPr>
      </w:pPr>
      <w:r w:rsidRPr="00CE37D0">
        <w:rPr>
          <w:rFonts w:ascii="TimesNewRomanPSMT" w:hAnsi="TimesNewRomanPSMT" w:cs="TimesNewRomanPSMT"/>
        </w:rPr>
        <w:t xml:space="preserve">Kai kurios teisinės doktrinos </w:t>
      </w:r>
      <w:r>
        <w:rPr>
          <w:rFonts w:ascii="TimesNewRomanPSMT" w:hAnsi="TimesNewRomanPSMT" w:cs="TimesNewRomanPSMT"/>
        </w:rPr>
        <w:t>neoficial</w:t>
      </w:r>
      <w:r w:rsidRPr="00CE37D0">
        <w:rPr>
          <w:rFonts w:ascii="TimesNewRomanPSMT" w:hAnsi="TimesNewRomanPSMT" w:cs="TimesNewRomanPSMT"/>
        </w:rPr>
        <w:t xml:space="preserve">ų kaltinimą laiko neatsiejamu nuo demokratijos. </w:t>
      </w:r>
      <w:r w:rsidRPr="00CE37D0">
        <w:rPr>
          <w:rStyle w:val="Puslapioinaosnuoroda"/>
          <w:rFonts w:ascii="TimesNewRomanPSMT" w:hAnsi="TimesNewRomanPSMT" w:cs="TimesNewRomanPSMT"/>
        </w:rPr>
        <w:footnoteReference w:id="291"/>
      </w:r>
      <w:r w:rsidR="00310FFC">
        <w:rPr>
          <w:rFonts w:ascii="TimesNewRomanPSMT" w:hAnsi="TimesNewRomanPSMT" w:cs="TimesNewRomanPSMT"/>
        </w:rPr>
        <w:t xml:space="preserve"> </w:t>
      </w:r>
      <w:r>
        <w:rPr>
          <w:rFonts w:ascii="TimesNewRomanPSMT" w:hAnsi="TimesNewRomanPSMT" w:cs="TimesNewRomanPSMT"/>
        </w:rPr>
        <w:t>Neoficial</w:t>
      </w:r>
      <w:r w:rsidRPr="00CE37D0">
        <w:rPr>
          <w:rFonts w:ascii="TimesNewRomanPSMT" w:hAnsi="TimesNewRomanPSMT" w:cs="TimesNewRomanPSMT"/>
        </w:rPr>
        <w:t>aus kaltinimo institutas suprantamas kaip politinis pasirinkimas prieš valstybės monopoliją laisvės ir piliečių atsakomybės naudai ir grindžiamas kiekvieno dalyvavimu ginant bendrus interesus. Tačiau</w:t>
      </w:r>
      <w:r w:rsidR="00310FFC">
        <w:rPr>
          <w:rFonts w:ascii="TimesNewRomanPSMT" w:hAnsi="TimesNewRomanPSMT" w:cs="TimesNewRomanPSMT"/>
        </w:rPr>
        <w:t>,</w:t>
      </w:r>
      <w:r w:rsidRPr="00CE37D0">
        <w:rPr>
          <w:rFonts w:ascii="TimesNewRomanPSMT" w:hAnsi="TimesNewRomanPSMT" w:cs="TimesNewRomanPSMT"/>
        </w:rPr>
        <w:t xml:space="preserve"> analizuojant užsienio šalių praktiką istoriniu aspektu</w:t>
      </w:r>
      <w:r w:rsidR="00310FFC">
        <w:rPr>
          <w:rFonts w:ascii="TimesNewRomanPSMT" w:hAnsi="TimesNewRomanPSMT" w:cs="TimesNewRomanPSMT"/>
        </w:rPr>
        <w:t>,</w:t>
      </w:r>
      <w:r w:rsidRPr="00CE37D0">
        <w:rPr>
          <w:rFonts w:ascii="TimesNewRomanPSMT" w:hAnsi="TimesNewRomanPSMT" w:cs="TimesNewRomanPSMT"/>
        </w:rPr>
        <w:t xml:space="preserve"> galima rasti priešingų argumentų. Ispanijos Franko diktatūra ir nacių režimas Vokietijoje naudojo „populiariojo“ persekiojimo formas </w:t>
      </w:r>
      <w:proofErr w:type="gramStart"/>
      <w:r w:rsidRPr="00CE37D0">
        <w:rPr>
          <w:rFonts w:ascii="TimesNewRomanPSMT" w:hAnsi="TimesNewRomanPSMT" w:cs="TimesNewRomanPSMT"/>
        </w:rPr>
        <w:t>(</w:t>
      </w:r>
      <w:proofErr w:type="gramEnd"/>
      <w:r w:rsidR="00015708">
        <w:rPr>
          <w:rFonts w:ascii="TimesNewRomanPSMT" w:hAnsi="TimesNewRomanPSMT" w:cs="TimesNewRomanPSMT"/>
        </w:rPr>
        <w:t xml:space="preserve">vok. </w:t>
      </w:r>
      <w:r w:rsidRPr="00CE37D0">
        <w:rPr>
          <w:rFonts w:ascii="TimesNewRomanPSMT" w:hAnsi="TimesNewRomanPSMT" w:cs="TimesNewRomanPSMT"/>
          <w:i/>
        </w:rPr>
        <w:t>Volksklage</w:t>
      </w:r>
      <w:r w:rsidRPr="00CE37D0">
        <w:rPr>
          <w:rFonts w:ascii="TimesNewRomanPSMT" w:hAnsi="TimesNewRomanPSMT" w:cs="TimesNewRomanPSMT"/>
        </w:rPr>
        <w:t xml:space="preserve">) kaip socialinės kontrolės priemonę, o privatus kaltintojas tebuvo valstybinio režimo </w:t>
      </w:r>
      <w:r w:rsidRPr="00CE37D0">
        <w:rPr>
          <w:rFonts w:ascii="TimesNewRomanPSMT" w:hAnsi="TimesNewRomanPSMT" w:cs="TimesNewRomanPSMT"/>
          <w:i/>
        </w:rPr>
        <w:t>longa manus</w:t>
      </w:r>
      <w:r w:rsidRPr="00CE37D0">
        <w:rPr>
          <w:rFonts w:ascii="TimesNewRomanPSMT" w:hAnsi="TimesNewRomanPSMT" w:cs="TimesNewRomanPSMT"/>
        </w:rPr>
        <w:t xml:space="preserve">. </w:t>
      </w:r>
      <w:r w:rsidRPr="00CE37D0">
        <w:rPr>
          <w:rStyle w:val="Puslapioinaosnuoroda"/>
          <w:rFonts w:ascii="TimesNewRomanPSMT" w:hAnsi="TimesNewRomanPSMT" w:cs="TimesNewRomanPSMT"/>
        </w:rPr>
        <w:footnoteReference w:id="292"/>
      </w:r>
      <w:r w:rsidRPr="00CE37D0">
        <w:rPr>
          <w:rFonts w:ascii="TimesNewRomanPSMT" w:hAnsi="TimesNewRomanPSMT" w:cs="TimesNewRomanPSMT"/>
        </w:rPr>
        <w:t xml:space="preserve"> Kai kuriais atvejais </w:t>
      </w:r>
      <w:r>
        <w:rPr>
          <w:rFonts w:ascii="TimesNewRomanPSMT" w:hAnsi="TimesNewRomanPSMT" w:cs="TimesNewRomanPSMT"/>
        </w:rPr>
        <w:t>neoficial</w:t>
      </w:r>
      <w:r w:rsidRPr="00CE37D0">
        <w:rPr>
          <w:rFonts w:ascii="TimesNewRomanPSMT" w:hAnsi="TimesNewRomanPSMT" w:cs="TimesNewRomanPSMT"/>
        </w:rPr>
        <w:t xml:space="preserve">aus kaltinimo procesai </w:t>
      </w:r>
      <w:r w:rsidR="00E355F1">
        <w:rPr>
          <w:rFonts w:ascii="TimesNewRomanPSMT" w:hAnsi="TimesNewRomanPSMT" w:cs="TimesNewRomanPSMT"/>
        </w:rPr>
        <w:t xml:space="preserve">gali </w:t>
      </w:r>
      <w:r w:rsidRPr="00CE37D0">
        <w:rPr>
          <w:rFonts w:ascii="TimesNewRomanPSMT" w:hAnsi="TimesNewRomanPSMT" w:cs="TimesNewRomanPSMT"/>
        </w:rPr>
        <w:t>tap</w:t>
      </w:r>
      <w:r w:rsidR="00E355F1">
        <w:rPr>
          <w:rFonts w:ascii="TimesNewRomanPSMT" w:hAnsi="TimesNewRomanPSMT" w:cs="TimesNewRomanPSMT"/>
        </w:rPr>
        <w:t>ti</w:t>
      </w:r>
      <w:r w:rsidRPr="00CE37D0">
        <w:rPr>
          <w:rFonts w:ascii="TimesNewRomanPSMT" w:hAnsi="TimesNewRomanPSMT" w:cs="TimesNewRomanPSMT"/>
        </w:rPr>
        <w:t xml:space="preserve"> politinių tikslų įgyvendinimo priemone. Privatūs asmenys, politinės partijos, visuomeninės organizacijos </w:t>
      </w:r>
      <w:r w:rsidR="00E355F1">
        <w:rPr>
          <w:rFonts w:ascii="TimesNewRomanPSMT" w:hAnsi="TimesNewRomanPSMT" w:cs="TimesNewRomanPSMT"/>
        </w:rPr>
        <w:t xml:space="preserve">gali </w:t>
      </w:r>
      <w:r w:rsidRPr="00CE37D0">
        <w:rPr>
          <w:rFonts w:ascii="TimesNewRomanPSMT" w:hAnsi="TimesNewRomanPSMT" w:cs="TimesNewRomanPSMT"/>
        </w:rPr>
        <w:t>inicijuo</w:t>
      </w:r>
      <w:r w:rsidR="00E355F1">
        <w:rPr>
          <w:rFonts w:ascii="TimesNewRomanPSMT" w:hAnsi="TimesNewRomanPSMT" w:cs="TimesNewRomanPSMT"/>
        </w:rPr>
        <w:t>ti</w:t>
      </w:r>
      <w:r w:rsidRPr="00CE37D0">
        <w:rPr>
          <w:rFonts w:ascii="TimesNewRomanPSMT" w:hAnsi="TimesNewRomanPSMT" w:cs="TimesNewRomanPSMT"/>
        </w:rPr>
        <w:t xml:space="preserve"> </w:t>
      </w:r>
      <w:r>
        <w:rPr>
          <w:rFonts w:ascii="TimesNewRomanPSMT" w:hAnsi="TimesNewRomanPSMT" w:cs="TimesNewRomanPSMT"/>
        </w:rPr>
        <w:t>neoficial</w:t>
      </w:r>
      <w:r w:rsidRPr="00CE37D0">
        <w:rPr>
          <w:rFonts w:ascii="TimesNewRomanPSMT" w:hAnsi="TimesNewRomanPSMT" w:cs="TimesNewRomanPSMT"/>
        </w:rPr>
        <w:t xml:space="preserve">aus kaltinimo procesą kaip viešųjų ryšių akciją siekdamos šlovės, savireklamos, informacijos sklaidos, o ne teisingumo ar savo interesų gynimo. </w:t>
      </w:r>
      <w:r w:rsidRPr="00CE37D0">
        <w:rPr>
          <w:rStyle w:val="Puslapioinaosnuoroda"/>
          <w:rFonts w:ascii="TimesNewRomanPSMT" w:hAnsi="TimesNewRomanPSMT" w:cs="TimesNewRomanPSMT"/>
        </w:rPr>
        <w:footnoteReference w:id="293"/>
      </w:r>
      <w:r w:rsidRPr="00CE37D0">
        <w:rPr>
          <w:rFonts w:ascii="TimesNewRomanPSMT" w:hAnsi="TimesNewRomanPSMT" w:cs="TimesNewRomanPSMT"/>
        </w:rPr>
        <w:t xml:space="preserve"> Tačiau tai nukrypsta nuo </w:t>
      </w:r>
      <w:r>
        <w:rPr>
          <w:rFonts w:ascii="TimesNewRomanPSMT" w:hAnsi="TimesNewRomanPSMT" w:cs="TimesNewRomanPSMT"/>
        </w:rPr>
        <w:t>neoficial</w:t>
      </w:r>
      <w:r w:rsidRPr="00CE37D0">
        <w:rPr>
          <w:rFonts w:ascii="TimesNewRomanPSMT" w:hAnsi="TimesNewRomanPSMT" w:cs="TimesNewRomanPSMT"/>
        </w:rPr>
        <w:t>aus kaltinimo kaip teisinio instrumento tikslų ir toks politinis baudžiamojo proceso atspalvis laikytinas piktnaudžiavimu teise.</w:t>
      </w:r>
    </w:p>
    <w:p w:rsidR="00995D7A" w:rsidRPr="00CE37D0" w:rsidRDefault="003C1B90" w:rsidP="00995D7A">
      <w:pPr>
        <w:autoSpaceDE w:val="0"/>
        <w:autoSpaceDN w:val="0"/>
        <w:adjustRightInd w:val="0"/>
        <w:spacing w:line="360" w:lineRule="auto"/>
        <w:ind w:firstLine="851"/>
        <w:jc w:val="both"/>
        <w:rPr>
          <w:rFonts w:ascii="Calibri" w:hAnsi="Calibri" w:cs="TimesNewRomanPSMT"/>
        </w:rPr>
      </w:pPr>
      <w:r>
        <w:rPr>
          <w:rFonts w:ascii="TimesNewRomanPSMT" w:hAnsi="TimesNewRomanPSMT" w:cs="TimesNewRomanPSMT"/>
        </w:rPr>
        <w:t xml:space="preserve">Neoficialaus kaltinimo teisinio reguliavimo </w:t>
      </w:r>
      <w:r w:rsidR="00AF78AE">
        <w:rPr>
          <w:rFonts w:ascii="TimesNewRomanPSMT" w:hAnsi="TimesNewRomanPSMT" w:cs="TimesNewRomanPSMT"/>
        </w:rPr>
        <w:t xml:space="preserve">skirtumai </w:t>
      </w:r>
      <w:r>
        <w:rPr>
          <w:rFonts w:ascii="TimesNewRomanPSMT" w:hAnsi="TimesNewRomanPSMT" w:cs="TimesNewRomanPSMT"/>
        </w:rPr>
        <w:t>sietin</w:t>
      </w:r>
      <w:r w:rsidR="00AF78AE">
        <w:rPr>
          <w:rFonts w:ascii="TimesNewRomanPSMT" w:hAnsi="TimesNewRomanPSMT" w:cs="TimesNewRomanPSMT"/>
        </w:rPr>
        <w:t>i</w:t>
      </w:r>
      <w:r>
        <w:rPr>
          <w:rFonts w:ascii="TimesNewRomanPSMT" w:hAnsi="TimesNewRomanPSMT" w:cs="TimesNewRomanPSMT"/>
        </w:rPr>
        <w:t xml:space="preserve"> su teisės tradicija. Paprastai tam tikras šio instituto teisinio reguliavimo modelis, įtvirtintas atskirų šalių baudžiamojo proceso įstatymuose, mažai kinta ir išlieka kaip tradicijos tęstinumas arba dėl praktinių priežasčių jo atsisakoma iš viso. </w:t>
      </w:r>
      <w:r w:rsidR="00AF78AE">
        <w:rPr>
          <w:rFonts w:ascii="TimesNewRomanPSMT" w:hAnsi="TimesNewRomanPSMT" w:cs="TimesNewRomanPSMT"/>
        </w:rPr>
        <w:t xml:space="preserve">Kadangi Lietuvoje </w:t>
      </w:r>
      <w:r w:rsidR="00AF78AE" w:rsidRPr="00AF78AE">
        <w:rPr>
          <w:rFonts w:ascii="TimesNewRomanPSMT" w:hAnsi="TimesNewRomanPSMT" w:cs="TimesNewRomanPSMT"/>
          <w:i/>
        </w:rPr>
        <w:t>de lege lata</w:t>
      </w:r>
      <w:r w:rsidR="00AF78AE">
        <w:rPr>
          <w:rFonts w:ascii="TimesNewRomanPSMT" w:hAnsi="TimesNewRomanPSMT" w:cs="TimesNewRomanPSMT"/>
        </w:rPr>
        <w:t xml:space="preserve"> įtvirtintas p</w:t>
      </w:r>
      <w:r w:rsidR="00995D7A">
        <w:rPr>
          <w:rFonts w:ascii="TimesNewRomanPSMT" w:hAnsi="TimesNewRomanPSMT" w:cs="TimesNewRomanPSMT"/>
        </w:rPr>
        <w:t>rivataus kaltinimo institut</w:t>
      </w:r>
      <w:r>
        <w:rPr>
          <w:rFonts w:ascii="TimesNewRomanPSMT" w:hAnsi="TimesNewRomanPSMT" w:cs="TimesNewRomanPSMT"/>
        </w:rPr>
        <w:t>o</w:t>
      </w:r>
      <w:r w:rsidR="00310FFC">
        <w:rPr>
          <w:rFonts w:ascii="TimesNewRomanPSMT" w:hAnsi="TimesNewRomanPSMT" w:cs="TimesNewRomanPSMT"/>
        </w:rPr>
        <w:t xml:space="preserve"> </w:t>
      </w:r>
      <w:r>
        <w:rPr>
          <w:rFonts w:ascii="TimesNewRomanPSMT" w:hAnsi="TimesNewRomanPSMT" w:cs="TimesNewRomanPSMT"/>
        </w:rPr>
        <w:t>modelis</w:t>
      </w:r>
      <w:r w:rsidR="00AF78AE">
        <w:rPr>
          <w:rFonts w:ascii="TimesNewRomanPSMT" w:hAnsi="TimesNewRomanPSMT" w:cs="TimesNewRomanPSMT"/>
        </w:rPr>
        <w:t xml:space="preserve"> priskirtinas pagrindiniam neoficialiam kaltinimui, šiame disertaciniame tyrime bu</w:t>
      </w:r>
      <w:r w:rsidR="00655483">
        <w:rPr>
          <w:rFonts w:ascii="TimesNewRomanPSMT" w:hAnsi="TimesNewRomanPSMT" w:cs="TimesNewRomanPSMT"/>
        </w:rPr>
        <w:t>s</w:t>
      </w:r>
      <w:r w:rsidR="00AF78AE">
        <w:rPr>
          <w:rFonts w:ascii="TimesNewRomanPSMT" w:hAnsi="TimesNewRomanPSMT" w:cs="TimesNewRomanPSMT"/>
        </w:rPr>
        <w:t xml:space="preserve"> nagrinėjama </w:t>
      </w:r>
      <w:r w:rsidR="00AF78AE">
        <w:rPr>
          <w:rFonts w:ascii="TimesNewRomanPSMT" w:hAnsi="TimesNewRomanPSMT" w:cs="TimesNewRomanPSMT"/>
        </w:rPr>
        <w:lastRenderedPageBreak/>
        <w:t>būtent ši neoficialaus kaltinimo rūšis, o subsidiaraus kaltinimo teoriniai pagrindai bei teorinės šios neofialaus kaltinimo formos įdiegimo Lietuvoje galimybės nebu</w:t>
      </w:r>
      <w:r w:rsidR="00655483">
        <w:rPr>
          <w:rFonts w:ascii="TimesNewRomanPSMT" w:hAnsi="TimesNewRomanPSMT" w:cs="TimesNewRomanPSMT"/>
        </w:rPr>
        <w:t>s</w:t>
      </w:r>
      <w:r w:rsidR="00AF78AE">
        <w:rPr>
          <w:rFonts w:ascii="TimesNewRomanPSMT" w:hAnsi="TimesNewRomanPSMT" w:cs="TimesNewRomanPSMT"/>
        </w:rPr>
        <w:t xml:space="preserve"> analizuojamos</w:t>
      </w:r>
      <w:r w:rsidR="00995D7A">
        <w:rPr>
          <w:rFonts w:ascii="TimesNewRomanPSMT" w:hAnsi="TimesNewRomanPSMT" w:cs="TimesNewRomanPSMT"/>
        </w:rPr>
        <w:t>.</w:t>
      </w:r>
      <w:r w:rsidR="00015708">
        <w:rPr>
          <w:rFonts w:ascii="TimesNewRomanPSMT" w:hAnsi="TimesNewRomanPSMT" w:cs="TimesNewRomanPSMT"/>
        </w:rPr>
        <w:t xml:space="preserve"> </w:t>
      </w:r>
      <w:r w:rsidR="004F7EAA">
        <w:rPr>
          <w:rStyle w:val="Puslapioinaosnuoroda"/>
          <w:rFonts w:ascii="TimesNewRomanPSMT" w:hAnsi="TimesNewRomanPSMT" w:cs="TimesNewRomanPSMT"/>
        </w:rPr>
        <w:footnoteReference w:id="294"/>
      </w:r>
    </w:p>
    <w:p w:rsidR="00995D7A" w:rsidRPr="00CE37D0" w:rsidRDefault="00995D7A" w:rsidP="003E3809">
      <w:pPr>
        <w:shd w:val="clear" w:color="auto" w:fill="FFFFFF"/>
        <w:spacing w:line="360" w:lineRule="auto"/>
        <w:ind w:right="133" w:firstLine="851"/>
        <w:jc w:val="both"/>
      </w:pPr>
    </w:p>
    <w:p w:rsidR="003E3809" w:rsidRPr="00CE37D0" w:rsidRDefault="00E272A5" w:rsidP="00865B4C">
      <w:pPr>
        <w:pStyle w:val="Antrat3"/>
        <w:spacing w:before="0" w:after="0" w:line="360" w:lineRule="auto"/>
        <w:jc w:val="both"/>
      </w:pPr>
      <w:bookmarkStart w:id="102" w:name="_Toc307574204"/>
      <w:bookmarkStart w:id="103" w:name="_Toc333484086"/>
      <w:bookmarkStart w:id="104" w:name="_Toc365498841"/>
      <w:bookmarkStart w:id="105" w:name="_Toc370139904"/>
      <w:bookmarkStart w:id="106" w:name="_Toc400321684"/>
      <w:r>
        <w:t>3</w:t>
      </w:r>
      <w:r w:rsidR="003E3809" w:rsidRPr="00CE37D0">
        <w:t>.</w:t>
      </w:r>
      <w:r w:rsidR="00643AD3">
        <w:t>3</w:t>
      </w:r>
      <w:r w:rsidR="003E3809" w:rsidRPr="00CE37D0">
        <w:t xml:space="preserve">. </w:t>
      </w:r>
      <w:r>
        <w:t>P</w:t>
      </w:r>
      <w:r w:rsidR="003E3809" w:rsidRPr="00CE37D0">
        <w:t xml:space="preserve">rivataus kaltinimo </w:t>
      </w:r>
      <w:r w:rsidR="00643AD3">
        <w:t>nusikalstamų veik</w:t>
      </w:r>
      <w:r>
        <w:t>ų</w:t>
      </w:r>
      <w:r w:rsidR="003E3809" w:rsidRPr="00CE37D0">
        <w:t xml:space="preserve"> lyginamoji analizė pozityviojoje teisėje</w:t>
      </w:r>
      <w:bookmarkEnd w:id="102"/>
      <w:bookmarkEnd w:id="103"/>
      <w:bookmarkEnd w:id="104"/>
      <w:bookmarkEnd w:id="105"/>
      <w:bookmarkEnd w:id="106"/>
    </w:p>
    <w:p w:rsidR="003E3809" w:rsidRPr="00CE37D0" w:rsidRDefault="003E3809" w:rsidP="003E3809">
      <w:pPr>
        <w:spacing w:line="360" w:lineRule="auto"/>
        <w:ind w:firstLine="851"/>
        <w:jc w:val="both"/>
      </w:pPr>
      <w:r w:rsidRPr="00CE37D0">
        <w:t xml:space="preserve">Išnagrinėjus kaltinimo diferencijavimo </w:t>
      </w:r>
      <w:r w:rsidR="00E921F2">
        <w:t>(taip pat</w:t>
      </w:r>
      <w:r w:rsidRPr="00CE37D0">
        <w:t xml:space="preserve"> proceso diferencijavimo</w:t>
      </w:r>
      <w:r w:rsidR="00E921F2">
        <w:t>)</w:t>
      </w:r>
      <w:r w:rsidRPr="00CE37D0">
        <w:t xml:space="preserve"> pagrindus, kyla klausimas, kokios konkrečios BK numatytos nusikalstamos veikos </w:t>
      </w:r>
      <w:r w:rsidR="00E921F2">
        <w:t xml:space="preserve">gali </w:t>
      </w:r>
      <w:r w:rsidRPr="00CE37D0">
        <w:t>atitik</w:t>
      </w:r>
      <w:r w:rsidR="00E921F2">
        <w:t>ti</w:t>
      </w:r>
      <w:r w:rsidRPr="00CE37D0">
        <w:t xml:space="preserve"> šiuos kriterijus. Teisinio reguliavimo įvertinimas šiame kontekste </w:t>
      </w:r>
      <w:r w:rsidR="00D73B75">
        <w:t>leidži</w:t>
      </w:r>
      <w:r w:rsidRPr="00CE37D0">
        <w:t xml:space="preserve">a atsakyti į klausimą, kokia apimtimi galiojančios teisės normos atitinka suformuotą mokslinę doktriną. </w:t>
      </w:r>
      <w:r w:rsidR="008C07BF">
        <w:t>Moksl</w:t>
      </w:r>
      <w:r w:rsidRPr="00CE37D0">
        <w:t xml:space="preserve">inėje jurisprudencijoje daugiau dėmesio skiriama teoriniams pagrindams nei nusikalstamų veikų sudėčių, priskirtinų privataus kaltinimo byloms, rato nustatymui, tačiau galime sutikti ir bandymų įvardinti konkrečias nusikalstamas veikas. </w:t>
      </w:r>
      <w:r w:rsidRPr="00CE37D0">
        <w:rPr>
          <w:vertAlign w:val="superscript"/>
        </w:rPr>
        <w:footnoteReference w:id="295"/>
      </w:r>
      <w:r w:rsidRPr="00CE37D0">
        <w:t xml:space="preserve"> Prieš atsakant į šį klausimą, reikia pabrėžti ir tai, kad specifinių baudžiamojo proceso formų taikymo ribos taip pat priklauso ir nuo valstybės baudžiamosios politikos bei konkrečioje valstybėje įtvirtinto baudžiamojo proceso modelio ypatumų. Todėl negalima nusikalstamų veikų, dėl kurių procesas vyksta privataus kaltinimo tvarka, nagrinėti atsietai nuo valstybės baudžiamosios politikos prioritetų bei baudžiamojo proceso taisyklių visumos. </w:t>
      </w:r>
    </w:p>
    <w:p w:rsidR="003E3809" w:rsidRPr="00CE37D0" w:rsidRDefault="003E3809" w:rsidP="003E3809">
      <w:pPr>
        <w:spacing w:line="360" w:lineRule="auto"/>
        <w:ind w:firstLine="851"/>
        <w:jc w:val="both"/>
      </w:pPr>
      <w:r w:rsidRPr="00CE37D0">
        <w:t xml:space="preserve">Analizuojant privataus kaltinimo </w:t>
      </w:r>
      <w:r w:rsidR="000408F4">
        <w:t>tvarka nagrinėjam</w:t>
      </w:r>
      <w:r w:rsidRPr="00CE37D0">
        <w:t>ų</w:t>
      </w:r>
      <w:r w:rsidR="000408F4">
        <w:t xml:space="preserve"> nusikalstamų veikų</w:t>
      </w:r>
      <w:r w:rsidRPr="00CE37D0">
        <w:t xml:space="preserve"> sąrašą lyginamuoju aspektu, būtina atsižvelgti ne tik </w:t>
      </w:r>
      <w:r w:rsidR="00D73B75">
        <w:t xml:space="preserve">į </w:t>
      </w:r>
      <w:r w:rsidRPr="00CE37D0">
        <w:t xml:space="preserve">privataus kaltinimo proceso formos, bet ir </w:t>
      </w:r>
      <w:r w:rsidR="00D73B75">
        <w:t xml:space="preserve">į </w:t>
      </w:r>
      <w:r w:rsidRPr="00CE37D0">
        <w:t xml:space="preserve">bendrųjų teisminio nagrinėjimo taisyklių ypatumus skirtingų šalių baudžiamuosiuose procesuose. Šiame kontekste ypatingai svarbu įvertinti įrodinėjimo taisyklių skirtumus ir ypatumus. Įvertinant teorinių privataus kaltinimo pagrindų ir pozityviosios teisės normų lyginamuoju požiūriu santykį, pastebėtina, kad materialieji teisiniai pagrindai yra universalūs nepriklausomai nuo valstybės baudžiamojo proceso modelio, o procesiniai pagrindai skirtingose valstybėse gali skirtis. Pavyzdžiui, Lietuvos BK XXIX ir XXX skyriuose numatyta baudžiamoji atsakomybė už nusikaltimus intelektinei </w:t>
      </w:r>
      <w:r w:rsidR="00580FD6">
        <w:t>nuosavybei (BK 191-195 straipsniai</w:t>
      </w:r>
      <w:r w:rsidRPr="00CE37D0">
        <w:t>) bei elektroninių duomenų ir informacinių sistemų saugumui (BK 196-198</w:t>
      </w:r>
      <w:r w:rsidRPr="00CE37D0">
        <w:rPr>
          <w:vertAlign w:val="superscript"/>
        </w:rPr>
        <w:t xml:space="preserve">2 </w:t>
      </w:r>
      <w:r w:rsidR="00580FD6">
        <w:t>straipsniai</w:t>
      </w:r>
      <w:r w:rsidRPr="00CE37D0">
        <w:t xml:space="preserve">). Vertinant šių nusikalstamų veikų objekto </w:t>
      </w:r>
      <w:r w:rsidRPr="00CE37D0">
        <w:lastRenderedPageBreak/>
        <w:t>specifiką</w:t>
      </w:r>
      <w:r w:rsidR="00310FFC">
        <w:t>,</w:t>
      </w:r>
      <w:r w:rsidRPr="00CE37D0">
        <w:t xml:space="preserve"> pastebėtina, kad daugeliu atvejų šiomis nusikalstamomis veikomis kėsinamasi </w:t>
      </w:r>
      <w:r w:rsidR="00310FFC">
        <w:t>į privačius interesus ir jiems padaroma žala</w:t>
      </w:r>
      <w:r w:rsidRPr="00CE37D0">
        <w:t xml:space="preserve">. </w:t>
      </w:r>
      <w:r w:rsidRPr="00CE37D0">
        <w:rPr>
          <w:rStyle w:val="Puslapioinaosnuoroda"/>
        </w:rPr>
        <w:footnoteReference w:id="296"/>
      </w:r>
      <w:r w:rsidRPr="00CE37D0">
        <w:t xml:space="preserve"> Vokietijos BPK 374 str</w:t>
      </w:r>
      <w:r w:rsidR="00580FD6">
        <w:t>aips</w:t>
      </w:r>
      <w:r w:rsidR="000408F4">
        <w:t>n</w:t>
      </w:r>
      <w:r w:rsidR="00580FD6">
        <w:t>io 8 dalyje</w:t>
      </w:r>
      <w:r w:rsidRPr="00CE37D0">
        <w:t xml:space="preserve"> nurodyti analogiški pagal nusikalstamos veikos objektą nusikaltimai yra priskiriami privataus kaltinimo </w:t>
      </w:r>
      <w:r w:rsidR="000408F4">
        <w:t>nusikalstamoms veikoms</w:t>
      </w:r>
      <w:r w:rsidRPr="00CE37D0">
        <w:t xml:space="preserve">. Nors pagal intereso kriterijų šios nusikalstamos veikos galėtų būti nagrinėjamos privataus kaltinimo tvarka, tačiau jos neatitinka procesinio teorinio pagrindo, </w:t>
      </w:r>
      <w:r w:rsidR="00310FFC">
        <w:t>pagal kurį įrodinėjimas turi būti santykinai nesudėtingas</w:t>
      </w:r>
      <w:r w:rsidRPr="00CE37D0">
        <w:t xml:space="preserve">. Kaip tik todėl, kad tiek techniniu požiūriu, tiek specialiųjų žinių požiūriu šias nusikalstamas veikas sudėtinga įrodyti, Lietuvos baudžiamajame procese jos </w:t>
      </w:r>
      <w:r w:rsidR="000408F4">
        <w:t>nagrinėjamos</w:t>
      </w:r>
      <w:r w:rsidR="00310FFC">
        <w:t xml:space="preserve"> </w:t>
      </w:r>
      <w:r w:rsidR="000408F4">
        <w:t>įprasto proceso tvarka</w:t>
      </w:r>
      <w:r w:rsidRPr="00CE37D0">
        <w:t>. Lyginant intereso požiūriu gretintinas nusikalstamas veikas: „Neteisėtas informacijos apie asmens privatų gyvenimą rinkimas“ (BK 167 str</w:t>
      </w:r>
      <w:r w:rsidR="00580FD6">
        <w:t>aipsnis</w:t>
      </w:r>
      <w:r w:rsidRPr="00CE37D0">
        <w:t>) ir</w:t>
      </w:r>
      <w:r w:rsidRPr="00CE37D0">
        <w:rPr>
          <w:sz w:val="22"/>
          <w:szCs w:val="22"/>
        </w:rPr>
        <w:t xml:space="preserve"> „</w:t>
      </w:r>
      <w:r w:rsidRPr="00CE37D0">
        <w:t>Neteisėtas informacijos apie asmens privatų gyvenimą atskleidimas ar panaudojimas“ (BK 168 str</w:t>
      </w:r>
      <w:r w:rsidR="00580FD6">
        <w:t>aipsnis</w:t>
      </w:r>
      <w:r w:rsidRPr="00CE37D0">
        <w:t xml:space="preserve">) </w:t>
      </w:r>
      <w:r w:rsidR="00842C8C" w:rsidRPr="00842C8C">
        <w:t xml:space="preserve">galima </w:t>
      </w:r>
      <w:r w:rsidRPr="00842C8C">
        <w:t xml:space="preserve">pastebėti </w:t>
      </w:r>
      <w:r w:rsidR="00842C8C" w:rsidRPr="00842C8C">
        <w:t>jų procesinio įrodinėjimo sudėtingumo skirtumą</w:t>
      </w:r>
      <w:r w:rsidRPr="00842C8C">
        <w:t>. A</w:t>
      </w:r>
      <w:r w:rsidRPr="00CE37D0">
        <w:t>smuo, kurio teisės ir teisėti interesai pažeidžiami ar jiems keliama grėsmė neteisėtai renkant informaciją apie jo privatų gyvenimą</w:t>
      </w:r>
      <w:r w:rsidR="000408F4">
        <w:t>,</w:t>
      </w:r>
      <w:r w:rsidRPr="00CE37D0">
        <w:t xml:space="preserve"> gali nežinoti apie daromą nusikalstamą veiką, todėl negali savo iniciatyva šių teisių ginti. Tačiau neteisėtas tokios informacijos atskleidimas ir panaudojimas tampa akivaizdžiu teisių ir teisėtų interesų pažeidimu, todėl dėl šios nusikalstamos veikos persekiojimas privataus kaltinimo tvarka atitinka teorinius pagrindus. </w:t>
      </w:r>
      <w:r w:rsidR="00A714C9">
        <w:t>Atsižvelgiant į privataus intereso dominantę bei teisinio konflikto asmeniškumą, vengimas išlaikyti vaiką (BK 164 str</w:t>
      </w:r>
      <w:r w:rsidR="00580FD6">
        <w:t>aipsnis</w:t>
      </w:r>
      <w:r w:rsidR="00A714C9">
        <w:t>) taip pat turėtų būti priskirtas privataus kaltinimo sferai. Baudžiamojo persekiojimo priklausomumas nuo nukentėjusio asmens valios</w:t>
      </w:r>
      <w:r w:rsidR="00B8384F">
        <w:t xml:space="preserve"> yra visiškai logiškas šiuo atveju, kadangi bausmė kaltininkui nepagerina nukentėjusio asmens padėties ir neišsprendžia teisinio konflikto. Privataus kaltinimo proceso išskirtinumas leidžia pasiekti taikų susitarimą, įforminant taikos sutartį, kurios vykdymas užtikrinamas civilinio proceso priemonėmis. Išlaikymo nemokėjimo atveju šalių susitarimas gali duoti geresnį rezultatą nei bausmė, o baudžiamųjų sankcijų grėsmė tampa veiksminga išreikalavimo priemone. </w:t>
      </w:r>
      <w:r w:rsidR="00B8384F">
        <w:rPr>
          <w:rStyle w:val="Puslapioinaosnuoroda"/>
        </w:rPr>
        <w:footnoteReference w:id="297"/>
      </w:r>
      <w:r w:rsidR="00B8384F">
        <w:t xml:space="preserve"> Tačiau </w:t>
      </w:r>
      <w:r w:rsidR="000408F4">
        <w:t xml:space="preserve">pozityviojoje teisėje </w:t>
      </w:r>
      <w:r w:rsidR="00B8384F">
        <w:t xml:space="preserve">proceso formą vaiko išlaikymo nemokėjimo atveju </w:t>
      </w:r>
      <w:r w:rsidR="000408F4">
        <w:t>lem</w:t>
      </w:r>
      <w:r w:rsidR="00B8384F">
        <w:t xml:space="preserve">ia vaiko teisių apsaugos prioritetas baudžiamojoje politikoje, todėl, nepaisant teorinio pagrįstumo, ši nusikalstama veika priskiriama viešojo kaltinimo sferai. </w:t>
      </w:r>
    </w:p>
    <w:p w:rsidR="00673917" w:rsidRDefault="003E3809" w:rsidP="00C77E1D">
      <w:pPr>
        <w:spacing w:line="360" w:lineRule="auto"/>
        <w:ind w:firstLine="851"/>
        <w:jc w:val="both"/>
        <w:rPr>
          <w:color w:val="000000"/>
        </w:rPr>
      </w:pPr>
      <w:r w:rsidRPr="00CE37D0">
        <w:t>Lyginant skirtingų užsienio šalių teisinį reg</w:t>
      </w:r>
      <w:r w:rsidR="00655483">
        <w:t>ulia</w:t>
      </w:r>
      <w:r w:rsidRPr="00CE37D0">
        <w:t xml:space="preserve">vimą, įtvirtinantį privataus kaltinimo </w:t>
      </w:r>
      <w:r w:rsidR="000408F4">
        <w:t>tvarka nagrinėjamų nusikalstamų veikų</w:t>
      </w:r>
      <w:r w:rsidRPr="00CE37D0">
        <w:t xml:space="preserve"> sąrašą, pastebėtini nusikaltimo objekto panašumai. Visose valstybėse, kuriose yra įtvirtintas privataus kaltinimo institutas, privataus kaltinimo </w:t>
      </w:r>
      <w:r w:rsidR="000408F4">
        <w:t>sferai</w:t>
      </w:r>
      <w:r w:rsidRPr="00CE37D0">
        <w:t xml:space="preserve"> priskiriamos veikos, kuriomis kėsinamasi į garbę ir orumą, taip pat į sveikatą, dažnai – nuosavybę, </w:t>
      </w:r>
      <w:r w:rsidRPr="00CE37D0">
        <w:lastRenderedPageBreak/>
        <w:t>privataus gyvenimo neliečiamumą. Nusikalstamomis veikomis, Lietuvos BPK priskirtomis nagrinėjamoms privataus kaltinimo proceso tvarka, yra kėsinamasi į žmogaus sveikatą</w:t>
      </w:r>
      <w:r w:rsidR="00015708">
        <w:t>,</w:t>
      </w:r>
      <w:r w:rsidR="0074506D">
        <w:t xml:space="preserve"> </w:t>
      </w:r>
      <w:r w:rsidRPr="00CE37D0">
        <w:rPr>
          <w:rStyle w:val="Puslapioinaosnuoroda"/>
        </w:rPr>
        <w:footnoteReference w:id="298"/>
      </w:r>
      <w:r w:rsidRPr="00CE37D0">
        <w:t xml:space="preserve"> laisvę</w:t>
      </w:r>
      <w:r w:rsidR="00015708">
        <w:t>,</w:t>
      </w:r>
      <w:r w:rsidRPr="00CE37D0">
        <w:rPr>
          <w:rStyle w:val="Puslapioinaosnuoroda"/>
        </w:rPr>
        <w:footnoteReference w:id="299"/>
      </w:r>
      <w:r w:rsidRPr="00CE37D0">
        <w:t xml:space="preserve"> seksualinio apsisprendimo laisvę</w:t>
      </w:r>
      <w:r w:rsidR="00015708">
        <w:t>,</w:t>
      </w:r>
      <w:r w:rsidR="0074506D">
        <w:t xml:space="preserve"> </w:t>
      </w:r>
      <w:r w:rsidRPr="00CE37D0">
        <w:rPr>
          <w:rStyle w:val="Puslapioinaosnuoroda"/>
        </w:rPr>
        <w:footnoteReference w:id="300"/>
      </w:r>
      <w:r w:rsidRPr="00CE37D0">
        <w:t xml:space="preserve"> garbę ir orumą</w:t>
      </w:r>
      <w:r w:rsidR="00015708">
        <w:t>,</w:t>
      </w:r>
      <w:r w:rsidR="0074506D">
        <w:t xml:space="preserve"> </w:t>
      </w:r>
      <w:r w:rsidRPr="00CE37D0">
        <w:rPr>
          <w:rStyle w:val="Puslapioinaosnuoroda"/>
        </w:rPr>
        <w:footnoteReference w:id="301"/>
      </w:r>
      <w:r w:rsidRPr="00CE37D0">
        <w:t xml:space="preserve"> privataus gyvenimo neliečiamumą</w:t>
      </w:r>
      <w:r w:rsidR="00015708">
        <w:t>,</w:t>
      </w:r>
      <w:r w:rsidR="0074506D">
        <w:t xml:space="preserve"> </w:t>
      </w:r>
      <w:r w:rsidRPr="00CE37D0">
        <w:rPr>
          <w:rStyle w:val="Puslapioinaosnuoroda"/>
        </w:rPr>
        <w:footnoteReference w:id="302"/>
      </w:r>
      <w:r w:rsidRPr="00CE37D0">
        <w:t xml:space="preserve"> nuosavybę</w:t>
      </w:r>
      <w:r w:rsidR="0074506D">
        <w:t xml:space="preserve"> </w:t>
      </w:r>
      <w:r w:rsidRPr="00CE37D0">
        <w:rPr>
          <w:rStyle w:val="Puslapioinaosnuoroda"/>
        </w:rPr>
        <w:footnoteReference w:id="303"/>
      </w:r>
      <w:r w:rsidRPr="00CE37D0">
        <w:t xml:space="preserve"> ir mirusiojo atminimą</w:t>
      </w:r>
      <w:r w:rsidR="00015708">
        <w:t xml:space="preserve">. </w:t>
      </w:r>
      <w:r w:rsidRPr="00CE37D0">
        <w:rPr>
          <w:rStyle w:val="Puslapioinaosnuoroda"/>
        </w:rPr>
        <w:footnoteReference w:id="304"/>
      </w:r>
      <w:r w:rsidRPr="00CE37D0">
        <w:t xml:space="preserve"> Šis sąrašas nuo BPK įsigaliojimo buvo keistas vieną kartą </w:t>
      </w:r>
      <w:r w:rsidR="00655483">
        <w:t>–</w:t>
      </w:r>
      <w:r w:rsidRPr="00CE37D0">
        <w:t xml:space="preserve"> 2003</w:t>
      </w:r>
      <w:r w:rsidR="00655483">
        <w:t xml:space="preserve"> m. birželio </w:t>
      </w:r>
      <w:r w:rsidRPr="00CE37D0">
        <w:t>19</w:t>
      </w:r>
      <w:r w:rsidR="00655483">
        <w:t xml:space="preserve"> d.</w:t>
      </w:r>
      <w:r w:rsidRPr="00CE37D0">
        <w:t xml:space="preserve"> BPK pakeitimu papildant šį sąrašą dviem nusikalstamomis veikomis, numatytomis </w:t>
      </w:r>
      <w:r w:rsidR="00D73B75">
        <w:t>BK</w:t>
      </w:r>
      <w:r w:rsidRPr="00CE37D0">
        <w:t xml:space="preserve"> 139 str</w:t>
      </w:r>
      <w:r w:rsidR="00580FD6">
        <w:t>aipsnio</w:t>
      </w:r>
      <w:r w:rsidRPr="00CE37D0">
        <w:t xml:space="preserve"> 1 d</w:t>
      </w:r>
      <w:r w:rsidR="00580FD6">
        <w:t>alyje</w:t>
      </w:r>
      <w:r w:rsidRPr="00CE37D0">
        <w:t>, 140 str</w:t>
      </w:r>
      <w:r w:rsidR="00580FD6">
        <w:t>aipsnio</w:t>
      </w:r>
      <w:r w:rsidR="00D73B75">
        <w:t xml:space="preserve"> 1 d</w:t>
      </w:r>
      <w:r w:rsidR="00580FD6">
        <w:t>alyje</w:t>
      </w:r>
      <w:r w:rsidRPr="00CE37D0">
        <w:t xml:space="preserve">. </w:t>
      </w:r>
      <w:r w:rsidRPr="00CE37D0">
        <w:rPr>
          <w:rStyle w:val="Puslapioinaosnuoroda"/>
        </w:rPr>
        <w:footnoteReference w:id="305"/>
      </w:r>
      <w:r w:rsidR="00310FFC">
        <w:t xml:space="preserve"> </w:t>
      </w:r>
      <w:r w:rsidRPr="00CE37D0">
        <w:rPr>
          <w:color w:val="000000"/>
        </w:rPr>
        <w:t>Latvijoje</w:t>
      </w:r>
      <w:r w:rsidR="00825E29" w:rsidRPr="00CE37D0">
        <w:rPr>
          <w:color w:val="000000"/>
        </w:rPr>
        <w:t xml:space="preserve"> iki 2011 m.</w:t>
      </w:r>
      <w:r w:rsidR="0074506D">
        <w:rPr>
          <w:color w:val="000000"/>
        </w:rPr>
        <w:t xml:space="preserve"> </w:t>
      </w:r>
      <w:r w:rsidRPr="00CE37D0">
        <w:rPr>
          <w:rStyle w:val="Puslapioinaosnuoroda"/>
          <w:color w:val="000000"/>
        </w:rPr>
        <w:footnoteReference w:id="306"/>
      </w:r>
      <w:r w:rsidRPr="00CE37D0">
        <w:rPr>
          <w:color w:val="000000"/>
        </w:rPr>
        <w:t xml:space="preserve"> nukentėjusysis įgyvendin</w:t>
      </w:r>
      <w:r w:rsidR="00825E29" w:rsidRPr="00CE37D0">
        <w:rPr>
          <w:color w:val="000000"/>
        </w:rPr>
        <w:t>o</w:t>
      </w:r>
      <w:r w:rsidRPr="00CE37D0">
        <w:rPr>
          <w:color w:val="000000"/>
        </w:rPr>
        <w:t xml:space="preserve"> kaltinimo funkciją bylose dėl nusikalstamų veikų, kurių objektas yra žmogaus sveikata bei garbė ir orumas.</w:t>
      </w:r>
      <w:r w:rsidR="0074506D">
        <w:rPr>
          <w:color w:val="000000"/>
        </w:rPr>
        <w:t xml:space="preserve"> </w:t>
      </w:r>
      <w:r w:rsidRPr="00CE37D0">
        <w:rPr>
          <w:rStyle w:val="Puslapioinaosnuoroda"/>
          <w:color w:val="000000"/>
        </w:rPr>
        <w:footnoteReference w:id="307"/>
      </w:r>
      <w:r w:rsidRPr="00CE37D0">
        <w:rPr>
          <w:color w:val="000000"/>
        </w:rPr>
        <w:t xml:space="preserve"> Kroatijoje privataus kaltinimo deliktai pagal objektą gali būti suskirstyti į 3 grupes, kai objektas yra garbė ir orumas (šmeižimas, įžeidimas), sveikata (lengvas kūno sužalojimas) ir nuosavybė (smulki vagystė, iššvaistymas ar sukčiavimas).</w:t>
      </w:r>
      <w:r w:rsidR="00AD3D2F">
        <w:rPr>
          <w:color w:val="000000"/>
        </w:rPr>
        <w:t xml:space="preserve"> Austrijoje privataus kaltinimo nusikalstamoms veikoms priskiriama garbės ir orumo įžeidimas, telefoninių pokalbių pasiklausymo slaptumo pažeidimas, verslo paslapties atskleidimas, turtiniai nusikaltimai, padaryti artimo giminaičio. </w:t>
      </w:r>
      <w:r w:rsidR="00AD3D2F">
        <w:rPr>
          <w:rStyle w:val="Puslapioinaosnuoroda"/>
          <w:color w:val="000000"/>
        </w:rPr>
        <w:footnoteReference w:id="308"/>
      </w:r>
      <w:r w:rsidR="00310FFC">
        <w:rPr>
          <w:color w:val="000000"/>
        </w:rPr>
        <w:t xml:space="preserve"> </w:t>
      </w:r>
      <w:r w:rsidR="00580FD6">
        <w:rPr>
          <w:color w:val="000000"/>
        </w:rPr>
        <w:t>Vokietijo</w:t>
      </w:r>
      <w:r w:rsidR="00673917">
        <w:rPr>
          <w:color w:val="000000"/>
        </w:rPr>
        <w:t>je</w:t>
      </w:r>
      <w:r w:rsidR="00310FFC">
        <w:rPr>
          <w:color w:val="000000"/>
        </w:rPr>
        <w:t xml:space="preserve"> </w:t>
      </w:r>
      <w:r w:rsidR="00201758">
        <w:rPr>
          <w:rStyle w:val="Puslapioinaosnuoroda"/>
          <w:color w:val="000000"/>
        </w:rPr>
        <w:footnoteReference w:id="309"/>
      </w:r>
      <w:r w:rsidR="00310FFC">
        <w:rPr>
          <w:color w:val="000000"/>
        </w:rPr>
        <w:t xml:space="preserve"> </w:t>
      </w:r>
      <w:r w:rsidR="00673917">
        <w:rPr>
          <w:color w:val="000000"/>
        </w:rPr>
        <w:t xml:space="preserve">privataus kaltinimo tvarka nagrinėjamos ne tik tos </w:t>
      </w:r>
      <w:r w:rsidR="00673917">
        <w:rPr>
          <w:color w:val="000000"/>
        </w:rPr>
        <w:lastRenderedPageBreak/>
        <w:t>nusikalstamos veikos, kurios pažeidžia privačius vieno asmens interesus, bet ir</w:t>
      </w:r>
      <w:r w:rsidR="00310FFC">
        <w:rPr>
          <w:color w:val="000000"/>
        </w:rPr>
        <w:t xml:space="preserve"> tos, kurios pažeidžia</w:t>
      </w:r>
      <w:r w:rsidR="00673917">
        <w:rPr>
          <w:color w:val="000000"/>
        </w:rPr>
        <w:t xml:space="preserve"> privačius interesus verslo santykiuose. </w:t>
      </w:r>
      <w:r w:rsidR="004C35A3">
        <w:rPr>
          <w:color w:val="000000"/>
        </w:rPr>
        <w:t xml:space="preserve">Tai iš esmės atitinka teorinius nusikalstamų veikų priskyrimo privataus kaltinimo sričiai pagrindus, kadangi visais atvejais ginami privatūs interesai, o šio sąrašo išplėtimą verslo santykių srityje padaromomis nusikalstamomis veikomis lemia daugiau procesiniai kriterijai, t.y. </w:t>
      </w:r>
      <w:r w:rsidR="000E6561">
        <w:rPr>
          <w:color w:val="000000"/>
        </w:rPr>
        <w:t>privataus kaltinimo</w:t>
      </w:r>
      <w:r w:rsidR="004C35A3">
        <w:rPr>
          <w:color w:val="000000"/>
        </w:rPr>
        <w:t xml:space="preserve"> teisė</w:t>
      </w:r>
      <w:r w:rsidR="000E6561">
        <w:rPr>
          <w:color w:val="000000"/>
        </w:rPr>
        <w:t>s</w:t>
      </w:r>
      <w:r w:rsidR="00310FFC">
        <w:rPr>
          <w:color w:val="000000"/>
        </w:rPr>
        <w:t xml:space="preserve"> </w:t>
      </w:r>
      <w:r w:rsidR="000E6561">
        <w:rPr>
          <w:color w:val="000000"/>
        </w:rPr>
        <w:t xml:space="preserve">suteikimas </w:t>
      </w:r>
      <w:r w:rsidR="004C35A3">
        <w:rPr>
          <w:color w:val="000000"/>
        </w:rPr>
        <w:t xml:space="preserve">ne tik </w:t>
      </w:r>
      <w:r w:rsidR="00655483">
        <w:rPr>
          <w:color w:val="000000"/>
        </w:rPr>
        <w:t>tiesiogi</w:t>
      </w:r>
      <w:r w:rsidR="004C35A3">
        <w:rPr>
          <w:color w:val="000000"/>
        </w:rPr>
        <w:t>ai nu</w:t>
      </w:r>
      <w:r w:rsidR="000E6561">
        <w:rPr>
          <w:color w:val="000000"/>
        </w:rPr>
        <w:t>k</w:t>
      </w:r>
      <w:r w:rsidR="004C35A3">
        <w:rPr>
          <w:color w:val="000000"/>
        </w:rPr>
        <w:t>entėjusiam asmeniui dėl pažeistų asmeninių gėrių, bet i</w:t>
      </w:r>
      <w:r w:rsidR="000E6561">
        <w:rPr>
          <w:color w:val="000000"/>
        </w:rPr>
        <w:t xml:space="preserve">r </w:t>
      </w:r>
      <w:r w:rsidR="004C35A3">
        <w:rPr>
          <w:color w:val="000000"/>
        </w:rPr>
        <w:t xml:space="preserve">ginant pažeistus kolektyvinius interesus. </w:t>
      </w:r>
    </w:p>
    <w:p w:rsidR="00304041" w:rsidRPr="00CE37D0" w:rsidRDefault="00825E29" w:rsidP="00C77E1D">
      <w:pPr>
        <w:spacing w:line="360" w:lineRule="auto"/>
        <w:ind w:firstLine="851"/>
        <w:jc w:val="both"/>
      </w:pPr>
      <w:r w:rsidRPr="00CE37D0">
        <w:rPr>
          <w:color w:val="000000"/>
        </w:rPr>
        <w:t>Vertinant privataus kaltinimo bylų n</w:t>
      </w:r>
      <w:r w:rsidR="001E56BE" w:rsidRPr="00CE37D0">
        <w:rPr>
          <w:color w:val="000000"/>
        </w:rPr>
        <w:t>agrinėjimo teisme statistiką pagal padarytas nusikalstamas veikas, absoliučią daugumą nusikalstamų veikų, dėl kurių Lietuvos teismuose buvo nagrinėtos privataus kaltinimo bylos 2008-2012 m., sudaro nusikalstamos veikos, kuriomis kėsinamasi į žmogaus garbę ir orumą (BK 154 ir 155 str</w:t>
      </w:r>
      <w:r w:rsidR="00580FD6">
        <w:rPr>
          <w:color w:val="000000"/>
        </w:rPr>
        <w:t>aipsniai</w:t>
      </w:r>
      <w:r w:rsidR="001E56BE" w:rsidRPr="00CE37D0">
        <w:rPr>
          <w:color w:val="000000"/>
        </w:rPr>
        <w:t>) bei tyčinės veikos, kuriomis kėsinamasi į žmogaus sveikatą (BK 140 str</w:t>
      </w:r>
      <w:r w:rsidR="00580FD6">
        <w:rPr>
          <w:color w:val="000000"/>
        </w:rPr>
        <w:t>aipsnio</w:t>
      </w:r>
      <w:r w:rsidR="001E56BE" w:rsidRPr="00CE37D0">
        <w:rPr>
          <w:color w:val="000000"/>
        </w:rPr>
        <w:t xml:space="preserve"> 1 d</w:t>
      </w:r>
      <w:r w:rsidR="00580FD6">
        <w:rPr>
          <w:color w:val="000000"/>
        </w:rPr>
        <w:t>alis)</w:t>
      </w:r>
      <w:r w:rsidR="001E56BE" w:rsidRPr="00CE37D0">
        <w:rPr>
          <w:color w:val="000000"/>
        </w:rPr>
        <w:t xml:space="preserve"> ir n</w:t>
      </w:r>
      <w:r w:rsidR="00114B67" w:rsidRPr="00CE37D0">
        <w:rPr>
          <w:color w:val="000000"/>
        </w:rPr>
        <w:t>uosavybę (BK 187 str</w:t>
      </w:r>
      <w:r w:rsidR="00580FD6">
        <w:rPr>
          <w:color w:val="000000"/>
        </w:rPr>
        <w:t>aipsnio</w:t>
      </w:r>
      <w:r w:rsidR="00114B67" w:rsidRPr="00CE37D0">
        <w:rPr>
          <w:color w:val="000000"/>
        </w:rPr>
        <w:t xml:space="preserve"> 1, 3 d</w:t>
      </w:r>
      <w:r w:rsidR="00580FD6">
        <w:rPr>
          <w:color w:val="000000"/>
        </w:rPr>
        <w:t>alys</w:t>
      </w:r>
      <w:r w:rsidR="00114B67" w:rsidRPr="00CE37D0">
        <w:rPr>
          <w:color w:val="000000"/>
        </w:rPr>
        <w:t>).</w:t>
      </w:r>
      <w:r w:rsidR="0074506D">
        <w:rPr>
          <w:color w:val="000000"/>
        </w:rPr>
        <w:t xml:space="preserve"> </w:t>
      </w:r>
      <w:r w:rsidR="00F91616">
        <w:rPr>
          <w:rStyle w:val="Puslapioinaosnuoroda"/>
          <w:color w:val="000000"/>
        </w:rPr>
        <w:footnoteReference w:id="310"/>
      </w:r>
      <w:r w:rsidR="00310FFC">
        <w:rPr>
          <w:color w:val="000000"/>
        </w:rPr>
        <w:t xml:space="preserve"> </w:t>
      </w:r>
      <w:proofErr w:type="gramStart"/>
      <w:r w:rsidR="00114B67" w:rsidRPr="00CE37D0">
        <w:rPr>
          <w:color w:val="000000"/>
        </w:rPr>
        <w:t>(</w:t>
      </w:r>
      <w:proofErr w:type="gramEnd"/>
      <w:r w:rsidR="00114B67" w:rsidRPr="00CE37D0">
        <w:rPr>
          <w:color w:val="000000"/>
        </w:rPr>
        <w:t>Priedas Nr.</w:t>
      </w:r>
      <w:r w:rsidR="00F7500F">
        <w:rPr>
          <w:color w:val="000000"/>
        </w:rPr>
        <w:t xml:space="preserve"> 2</w:t>
      </w:r>
      <w:r w:rsidR="00114B67" w:rsidRPr="00CE37D0">
        <w:rPr>
          <w:color w:val="000000"/>
        </w:rPr>
        <w:t>).</w:t>
      </w:r>
      <w:r w:rsidR="00304041" w:rsidRPr="00CE37D0">
        <w:t xml:space="preserve"> Nuo 2011 m. gruodžio 15 d. įsigaliojus Apsaugos nuo smurto artimoje aplinkoje įstatymui</w:t>
      </w:r>
      <w:r w:rsidR="00655483">
        <w:t xml:space="preserve">, </w:t>
      </w:r>
      <w:r w:rsidR="00867A73">
        <w:rPr>
          <w:rStyle w:val="Puslapioinaosnuoroda"/>
        </w:rPr>
        <w:footnoteReference w:id="311"/>
      </w:r>
      <w:r w:rsidR="00304041" w:rsidRPr="00CE37D0">
        <w:t xml:space="preserve"> nusikalstamos veikos artimoje aplinkoje, kurios iki šio įstatymo buvo priskiriamos privataus kaltinimo procesui, tapo viešojo intereso dalyku ir yra nagrinėjamos bendra tvarka. Nors buvo galima tikėtis, kad tai </w:t>
      </w:r>
      <w:r w:rsidR="00D73B75">
        <w:t xml:space="preserve">turės </w:t>
      </w:r>
      <w:r w:rsidR="00304041" w:rsidRPr="00CE37D0">
        <w:t>ž</w:t>
      </w:r>
      <w:r w:rsidR="00D73B75">
        <w:t>ymią</w:t>
      </w:r>
      <w:r w:rsidR="00304041" w:rsidRPr="00CE37D0">
        <w:t xml:space="preserve"> (ar bent jau statistiškai reikšming</w:t>
      </w:r>
      <w:r w:rsidR="00D73B75">
        <w:t>ą</w:t>
      </w:r>
      <w:r w:rsidR="00304041" w:rsidRPr="00CE37D0">
        <w:t>) įtak</w:t>
      </w:r>
      <w:r w:rsidR="00D73B75">
        <w:t>ą</w:t>
      </w:r>
      <w:r w:rsidR="00304041" w:rsidRPr="00CE37D0">
        <w:t xml:space="preserve"> privataus kaltinimo bylų dėl fizinio skausmo sukėlimo ar nežymaus sveikatos sutrikdymo (fizinio smurto artimoje aplinkoje) skaiči</w:t>
      </w:r>
      <w:r w:rsidR="00310FFC">
        <w:t>ui</w:t>
      </w:r>
      <w:r w:rsidR="00304041" w:rsidRPr="00CE37D0">
        <w:t>, tačiau statistiniai duomenys itin reikšmingo pokyčio neatspindi: 2008 – 2011 m. buvo išnagrinėjama 475-495 bylų pagal BK 140 str</w:t>
      </w:r>
      <w:r w:rsidR="00541B80">
        <w:t>aipsnio</w:t>
      </w:r>
      <w:r w:rsidR="00304041" w:rsidRPr="00CE37D0">
        <w:t xml:space="preserve"> 1 d</w:t>
      </w:r>
      <w:r w:rsidR="00541B80">
        <w:t>alį</w:t>
      </w:r>
      <w:r w:rsidR="00304041" w:rsidRPr="00CE37D0">
        <w:t xml:space="preserve">, o 2012 m. šis skaičius sumažėjo iki 374, t.y. maždaug ketvirtadaliu.  </w:t>
      </w:r>
    </w:p>
    <w:p w:rsidR="00673490" w:rsidRPr="00CE37D0" w:rsidRDefault="00673490" w:rsidP="00673490">
      <w:pPr>
        <w:spacing w:line="360" w:lineRule="auto"/>
        <w:ind w:firstLine="851"/>
        <w:jc w:val="both"/>
        <w:rPr>
          <w:noProof/>
          <w:lang w:eastAsia="lt-LT"/>
        </w:rPr>
      </w:pPr>
      <w:bookmarkStart w:id="107" w:name="estr407"/>
      <w:bookmarkStart w:id="108" w:name="408str"/>
      <w:bookmarkEnd w:id="107"/>
      <w:bookmarkEnd w:id="108"/>
      <w:r w:rsidRPr="00CE37D0">
        <w:t xml:space="preserve">Lyginant su bendru skaičiumi bylų, kurios buvo išnagrinėtos teismuose dėl fizinio skausmo sukėlimo ar nežymaus sveikatos sutrikdymo, privataus kaltinimo tvarka išnagrinėta </w:t>
      </w:r>
      <w:r w:rsidR="00781B09" w:rsidRPr="00CE37D0">
        <w:t>kiek daugiau nei</w:t>
      </w:r>
      <w:r w:rsidRPr="00CE37D0">
        <w:t xml:space="preserve"> pusė bylų</w:t>
      </w:r>
      <w:r w:rsidR="00781B09" w:rsidRPr="00CE37D0">
        <w:t>:</w:t>
      </w:r>
      <w:r w:rsidR="00C63384">
        <w:t xml:space="preserve"> </w:t>
      </w:r>
      <w:r w:rsidR="00781B09" w:rsidRPr="00CE37D0">
        <w:t xml:space="preserve">2010 m. </w:t>
      </w:r>
      <w:r w:rsidRPr="00CE37D0">
        <w:t xml:space="preserve">– 475 iš 914. </w:t>
      </w:r>
      <w:r w:rsidR="00781B09" w:rsidRPr="00CE37D0">
        <w:t xml:space="preserve">2009 m. – 483 iš 911, 2008 m. – 489 iš 922. </w:t>
      </w:r>
      <w:r w:rsidR="000D0692" w:rsidRPr="00CE37D0">
        <w:t xml:space="preserve">(Priedas Nr. </w:t>
      </w:r>
      <w:r w:rsidR="00F7500F">
        <w:t>2</w:t>
      </w:r>
      <w:r w:rsidR="000D0692" w:rsidRPr="00CE37D0">
        <w:t>)</w:t>
      </w:r>
    </w:p>
    <w:p w:rsidR="000D0692" w:rsidRPr="00CE37D0" w:rsidRDefault="00781B09" w:rsidP="000D0692">
      <w:pPr>
        <w:spacing w:line="360" w:lineRule="auto"/>
        <w:ind w:firstLine="851"/>
        <w:jc w:val="both"/>
      </w:pPr>
      <w:r w:rsidRPr="00CE37D0">
        <w:t>Bylos dėl turto sunaikinimo ar sugadinimo, esant kvalifikuojantiems požymiams</w:t>
      </w:r>
      <w:r w:rsidR="00C63384">
        <w:t>,</w:t>
      </w:r>
      <w:r w:rsidRPr="00CE37D0">
        <w:t xml:space="preserve"> nagrinėjamos bendra tvarka, todėl privataus ir viešojo kaltinimo santykis bylose dėl turto sunaikinimo ir sugadinimo pasiskirsto kitokiomis proporcijomis. 2008 m. teismuose buvo išnagrinėtos 673 baudžiamosios bylos dėl nusikals</w:t>
      </w:r>
      <w:r w:rsidR="00541B80">
        <w:t>tamų veikų, numatytų BK 187 straipsnyje.</w:t>
      </w:r>
      <w:r w:rsidRPr="00CE37D0">
        <w:t xml:space="preserve"> Iš jų </w:t>
      </w:r>
      <w:r w:rsidRPr="00CE37D0">
        <w:lastRenderedPageBreak/>
        <w:t xml:space="preserve">tik 91 buvo išnagrinėta privataus kaltinimo tvarka. </w:t>
      </w:r>
      <w:r w:rsidR="007542C9" w:rsidRPr="00CE37D0">
        <w:t xml:space="preserve">2009 m. iš 875 bylų 105 buvo privataus kaltinimo bylos, 2010 m. šis </w:t>
      </w:r>
      <w:r w:rsidR="000D0692" w:rsidRPr="00CE37D0">
        <w:t xml:space="preserve">santykis buvo 124 iš 968 bylų. </w:t>
      </w:r>
      <w:r w:rsidR="00F7500F">
        <w:rPr>
          <w:rStyle w:val="Puslapioinaosnuoroda"/>
        </w:rPr>
        <w:footnoteReference w:id="312"/>
      </w:r>
    </w:p>
    <w:p w:rsidR="000D0692" w:rsidRPr="00CE37D0" w:rsidRDefault="007542C9" w:rsidP="000D0692">
      <w:pPr>
        <w:spacing w:line="360" w:lineRule="auto"/>
        <w:ind w:firstLine="851"/>
        <w:jc w:val="both"/>
      </w:pPr>
      <w:r w:rsidRPr="00CE37D0">
        <w:t>Bylos pagal BK 154 str</w:t>
      </w:r>
      <w:r w:rsidR="00541B80">
        <w:t>aipsnį</w:t>
      </w:r>
      <w:r w:rsidRPr="00CE37D0">
        <w:t xml:space="preserve"> dėl šmeižimo ir BK 155 str</w:t>
      </w:r>
      <w:r w:rsidR="00541B80">
        <w:t>aipsnį</w:t>
      </w:r>
      <w:r w:rsidRPr="00CE37D0">
        <w:t xml:space="preserve"> dėl įžeidimo nagrinėjamos absoliučia dauguma atvejų privataus kaltinimo tvarka: šmeižimas 2008 m.: 139 iš 146 bylų, 2009 m. 136 iš 146, 2010 m. 190 iš 200 bylų, įžeidimas 2008 m. 150 iš 167, 2009 m. 138 iš 156, 2010 m. 176 iš 191 bylos. </w:t>
      </w:r>
      <w:r w:rsidR="006D0C03">
        <w:rPr>
          <w:rStyle w:val="Puslapioinaosnuoroda"/>
        </w:rPr>
        <w:footnoteReference w:id="313"/>
      </w:r>
    </w:p>
    <w:p w:rsidR="0003553E" w:rsidRDefault="007542C9" w:rsidP="0003553E">
      <w:pPr>
        <w:spacing w:line="360" w:lineRule="auto"/>
        <w:ind w:firstLine="851"/>
        <w:jc w:val="both"/>
      </w:pPr>
      <w:r w:rsidRPr="00CE37D0">
        <w:t xml:space="preserve">Vertinant privataus kaltinimo bylų, išnagrinėtų teismuose, statistiką, dinamika per </w:t>
      </w:r>
      <w:r w:rsidR="006D0C03">
        <w:t>6</w:t>
      </w:r>
      <w:r w:rsidRPr="00CE37D0">
        <w:t xml:space="preserve"> metus mažai keičiasi. Nors teismuose bendra tvarka išnagrinėtų bylų skaičius kiekvienais metais auga</w:t>
      </w:r>
      <w:r w:rsidR="008557FD" w:rsidRPr="00CE37D0">
        <w:t>, privataus kaltinimo tvarka išnagrinėtų bylų skaičius išlieka labai panašus</w:t>
      </w:r>
      <w:r w:rsidR="00E37E4E">
        <w:t>. (Priedas Nr.</w:t>
      </w:r>
      <w:r w:rsidR="006D0C03">
        <w:t xml:space="preserve"> 1</w:t>
      </w:r>
      <w:r w:rsidR="00E37E4E">
        <w:t>)</w:t>
      </w:r>
    </w:p>
    <w:p w:rsidR="00A47652" w:rsidRPr="00CE37D0" w:rsidRDefault="000D0692" w:rsidP="0003553E">
      <w:pPr>
        <w:spacing w:line="360" w:lineRule="auto"/>
        <w:ind w:firstLine="851"/>
        <w:jc w:val="both"/>
      </w:pPr>
      <w:r w:rsidRPr="00CE37D0">
        <w:t>Statistikos analizė leidžia teigti</w:t>
      </w:r>
      <w:r w:rsidR="00B957ED" w:rsidRPr="00CE37D0">
        <w:t>, kad privataus kaltinimo bylos sudaro nedidelę dalį (7,</w:t>
      </w:r>
      <w:r w:rsidR="002F2117">
        <w:t>11</w:t>
      </w:r>
      <w:r w:rsidR="00B957ED" w:rsidRPr="00CE37D0">
        <w:t xml:space="preserve"> – </w:t>
      </w:r>
      <w:r w:rsidR="002F2117">
        <w:t>4</w:t>
      </w:r>
      <w:r w:rsidR="00B957ED" w:rsidRPr="00CE37D0">
        <w:t>,</w:t>
      </w:r>
      <w:r w:rsidR="002F2117">
        <w:t>92</w:t>
      </w:r>
      <w:r w:rsidR="00B957ED" w:rsidRPr="00CE37D0">
        <w:t xml:space="preserve"> proc.) visų teismuose išnagrinėtų bylų. Be to, </w:t>
      </w:r>
      <w:r w:rsidR="009035C5" w:rsidRPr="00CE37D0">
        <w:t xml:space="preserve">bylų dėl tam tikrų nusikalstamų veikų, pagal savo objektą priskirtų privataus kaltinimo sričiai, praktikoje pasitaiko itin retai: per 5 metus nuo 2008 </w:t>
      </w:r>
      <w:r w:rsidR="00655483">
        <w:t xml:space="preserve">m. </w:t>
      </w:r>
      <w:r w:rsidR="009035C5" w:rsidRPr="00CE37D0">
        <w:t>iki 2012 m. teismuose išnagrinėtos 4 bylos dėl mirusiojo atminimo išniekinimo (BK 313 str</w:t>
      </w:r>
      <w:r w:rsidR="00541B80">
        <w:t>aipsnis</w:t>
      </w:r>
      <w:r w:rsidR="009035C5" w:rsidRPr="00CE37D0">
        <w:t>) – 2008 m. 3 ir 2010 m. 1 byla, žmogaus veiksmų laisvės varžymas (BK 148 str</w:t>
      </w:r>
      <w:r w:rsidR="00541B80">
        <w:t>aipsnis</w:t>
      </w:r>
      <w:r w:rsidR="009035C5" w:rsidRPr="00CE37D0">
        <w:t>) 2008 -2012 m. buvo nagrinėjamas atitinkamai 3, 2, 5, 9, 3 atvejais, seksualinio priekabiavimo (BK 152 str</w:t>
      </w:r>
      <w:r w:rsidR="00541B80">
        <w:t>aipsnis</w:t>
      </w:r>
      <w:r w:rsidR="009035C5" w:rsidRPr="00CE37D0">
        <w:t>) bylų pasitaiko taip pat tik 1 ar 2 per metus (2008 m. – 1, 2009 ir 2010 m. po 2 bylas i</w:t>
      </w:r>
      <w:r w:rsidR="006D0C03">
        <w:t>r 2012 m. – 1 byla)</w:t>
      </w:r>
      <w:r w:rsidR="00655483">
        <w:t xml:space="preserve">. </w:t>
      </w:r>
      <w:r w:rsidR="006D0C03">
        <w:t xml:space="preserve">(Priedas Nr. 3). </w:t>
      </w:r>
      <w:r w:rsidR="00A47652" w:rsidRPr="00CE37D0">
        <w:t xml:space="preserve">Vien iš statistinių duomenų negalima daryti išvados, ar šios nusikalstamos veikos yra retos dėl latentiškumo, ar bylų nebuvimą lemia procesinės priežastys (sudėtingas įrodinėjimas, apsunkinta įrodymų rinkimo procedūra). </w:t>
      </w:r>
      <w:r w:rsidR="00C63384">
        <w:t>Ieškant a</w:t>
      </w:r>
      <w:r w:rsidR="00A47652" w:rsidRPr="00CE37D0">
        <w:t>tsakymo į šį</w:t>
      </w:r>
      <w:r w:rsidR="00E355F1">
        <w:t xml:space="preserve"> klausimą</w:t>
      </w:r>
      <w:r w:rsidR="00C63384">
        <w:t>, reikia atskiro</w:t>
      </w:r>
      <w:r w:rsidR="00A47652" w:rsidRPr="00CE37D0">
        <w:t xml:space="preserve"> kriminologinio tyrimo, todėl šiame disertaciniame tyrime atskirų nusikalstamų veikų paplitimo priežastys</w:t>
      </w:r>
      <w:r w:rsidR="00C63384">
        <w:t xml:space="preserve"> analizuojamos nebus</w:t>
      </w:r>
      <w:r w:rsidR="00A47652" w:rsidRPr="00CE37D0">
        <w:t xml:space="preserve">. </w:t>
      </w:r>
    </w:p>
    <w:p w:rsidR="003E3809" w:rsidRPr="00CE37D0" w:rsidRDefault="003E3809" w:rsidP="0078434C">
      <w:pPr>
        <w:pStyle w:val="Antrat1"/>
      </w:pPr>
      <w:r w:rsidRPr="00CE37D0">
        <w:br w:type="page"/>
      </w:r>
      <w:bookmarkStart w:id="109" w:name="_Toc332025988"/>
      <w:bookmarkStart w:id="110" w:name="_Toc333483928"/>
      <w:bookmarkStart w:id="111" w:name="_Toc365498842"/>
      <w:bookmarkStart w:id="112" w:name="_Toc315263130"/>
      <w:bookmarkStart w:id="113" w:name="_Toc315893173"/>
      <w:bookmarkStart w:id="114" w:name="_Toc316893911"/>
      <w:bookmarkStart w:id="115" w:name="_Toc320526504"/>
      <w:bookmarkStart w:id="116" w:name="_Toc370139905"/>
      <w:bookmarkStart w:id="117" w:name="_Toc400321685"/>
      <w:r w:rsidRPr="00CE37D0">
        <w:lastRenderedPageBreak/>
        <w:t xml:space="preserve">II skyrius. </w:t>
      </w:r>
      <w:bookmarkStart w:id="118" w:name="_Toc315263131"/>
      <w:bookmarkStart w:id="119" w:name="_Toc315893174"/>
      <w:bookmarkStart w:id="120" w:name="_Toc316893912"/>
      <w:bookmarkStart w:id="121" w:name="_Toc320526505"/>
      <w:bookmarkStart w:id="122" w:name="_Toc332025989"/>
      <w:bookmarkStart w:id="123" w:name="_Toc333483929"/>
      <w:bookmarkStart w:id="124" w:name="_Toc365498843"/>
      <w:bookmarkEnd w:id="109"/>
      <w:bookmarkEnd w:id="110"/>
      <w:bookmarkEnd w:id="111"/>
      <w:bookmarkEnd w:id="112"/>
      <w:bookmarkEnd w:id="113"/>
      <w:bookmarkEnd w:id="114"/>
      <w:bookmarkEnd w:id="115"/>
      <w:r w:rsidRPr="00CE37D0">
        <w:t xml:space="preserve">Nukentėjusiojo teisių </w:t>
      </w:r>
      <w:r w:rsidR="00A02C70" w:rsidRPr="00CE37D0">
        <w:t>ir teisėtų interesų</w:t>
      </w:r>
      <w:r w:rsidR="00041C6E">
        <w:t xml:space="preserve"> </w:t>
      </w:r>
      <w:r w:rsidR="00A02C70" w:rsidRPr="00CE37D0">
        <w:t xml:space="preserve">realizavimo teisinės prielaidos </w:t>
      </w:r>
      <w:r w:rsidRPr="00CE37D0">
        <w:t>privataus kaltinimo bylų procese</w:t>
      </w:r>
      <w:bookmarkEnd w:id="116"/>
      <w:bookmarkEnd w:id="117"/>
      <w:bookmarkEnd w:id="118"/>
      <w:bookmarkEnd w:id="119"/>
      <w:bookmarkEnd w:id="120"/>
      <w:bookmarkEnd w:id="121"/>
      <w:bookmarkEnd w:id="122"/>
      <w:bookmarkEnd w:id="123"/>
      <w:bookmarkEnd w:id="124"/>
    </w:p>
    <w:p w:rsidR="003E3809" w:rsidRDefault="003E3809" w:rsidP="00D149E5">
      <w:pPr>
        <w:pStyle w:val="Antrat1"/>
        <w:numPr>
          <w:ilvl w:val="0"/>
          <w:numId w:val="39"/>
        </w:numPr>
      </w:pPr>
      <w:bookmarkStart w:id="125" w:name="_Toc315893176"/>
      <w:bookmarkStart w:id="126" w:name="_Toc316893914"/>
      <w:bookmarkStart w:id="127" w:name="_Toc320526507"/>
      <w:bookmarkStart w:id="128" w:name="_Toc332025990"/>
      <w:bookmarkStart w:id="129" w:name="_Toc333483930"/>
      <w:bookmarkStart w:id="130" w:name="_Toc365498844"/>
      <w:bookmarkStart w:id="131" w:name="_Toc370139906"/>
      <w:bookmarkStart w:id="132" w:name="_Toc400321686"/>
      <w:bookmarkStart w:id="133" w:name="_Toc315263132"/>
      <w:r w:rsidRPr="00CE37D0">
        <w:t>Nukentėjusiojo interesai baudžiamajame procese</w:t>
      </w:r>
      <w:bookmarkEnd w:id="125"/>
      <w:bookmarkEnd w:id="126"/>
      <w:bookmarkEnd w:id="127"/>
      <w:bookmarkEnd w:id="128"/>
      <w:bookmarkEnd w:id="129"/>
      <w:bookmarkEnd w:id="130"/>
      <w:bookmarkEnd w:id="131"/>
      <w:bookmarkEnd w:id="132"/>
    </w:p>
    <w:p w:rsidR="00C85EA7" w:rsidRPr="00CE37D0" w:rsidRDefault="00C85EA7" w:rsidP="00C85EA7">
      <w:pPr>
        <w:spacing w:line="360" w:lineRule="auto"/>
        <w:ind w:firstLine="851"/>
        <w:jc w:val="both"/>
      </w:pPr>
      <w:bookmarkStart w:id="134" w:name="_Toc320526508"/>
      <w:bookmarkStart w:id="135" w:name="_Toc332025991"/>
      <w:bookmarkStart w:id="136" w:name="_Toc333483931"/>
      <w:bookmarkStart w:id="137" w:name="_Toc365498845"/>
      <w:bookmarkStart w:id="138" w:name="_Toc370139907"/>
      <w:bookmarkStart w:id="139" w:name="_Toc315893177"/>
      <w:bookmarkStart w:id="140" w:name="_Toc316893915"/>
      <w:r w:rsidRPr="00CE37D0">
        <w:t xml:space="preserve">Privataus intereso įtakos stiprinimas baudžiamajame procese tiesiogiai susijęs su pagrindinės dispozityvumo išraiškos baudžiamajame procese </w:t>
      </w:r>
      <w:r w:rsidR="00C63384">
        <w:t>–</w:t>
      </w:r>
      <w:r w:rsidRPr="00CE37D0">
        <w:t xml:space="preserve"> privataus kaltinimo bylų proceso </w:t>
      </w:r>
      <w:r w:rsidR="00C63384">
        <w:t>–</w:t>
      </w:r>
      <w:r w:rsidR="00C63384" w:rsidRPr="00CE37D0">
        <w:t xml:space="preserve"> </w:t>
      </w:r>
      <w:r w:rsidRPr="00CE37D0">
        <w:t>reglamentavimu ir praktine problematika. Šiame procese privatus interesas</w:t>
      </w:r>
      <w:r>
        <w:t>, pasireiškiantis per nukentėjusio asmens valią,</w:t>
      </w:r>
      <w:r w:rsidRPr="00CE37D0">
        <w:t xml:space="preserve"> tampa proceso varikliu, o viešo intereso gynybos svarba nusileidžia individo interesų prioritetui. </w:t>
      </w:r>
    </w:p>
    <w:p w:rsidR="00C85EA7" w:rsidRPr="00CE37D0" w:rsidRDefault="00C85EA7" w:rsidP="00C85EA7">
      <w:pPr>
        <w:spacing w:line="360" w:lineRule="auto"/>
        <w:ind w:firstLine="851"/>
        <w:jc w:val="both"/>
      </w:pPr>
      <w:r w:rsidRPr="00CE37D0">
        <w:t>Apibendrindami atliktus mokslinius tyrimus ir neišskirdami individualių kiekvieno atvejo ypatumų, nukentėjusiojo interesus galime suskirstyti į procesinius ir materialius.</w:t>
      </w:r>
      <w:r w:rsidR="0074506D" w:rsidRPr="0074506D">
        <w:rPr>
          <w:rStyle w:val="Puslapioinaosnuoroda"/>
        </w:rPr>
        <w:t xml:space="preserve"> </w:t>
      </w:r>
      <w:r w:rsidR="0074506D">
        <w:rPr>
          <w:rStyle w:val="Puslapioinaosnuoroda"/>
        </w:rPr>
        <w:footnoteReference w:id="314"/>
      </w:r>
      <w:r w:rsidRPr="00CE37D0">
        <w:t xml:space="preserve"> Pagal teisinio intereso dėl bylos išsprendimo pobūdį, nukentėjusysis priskirtinas asmenims, turintiems asmeninį (subjektyvų) interesą, kurį sudaro tiek materialus teisinis, tiek procesinis interesas. </w:t>
      </w:r>
      <w:r w:rsidRPr="00CE37D0">
        <w:rPr>
          <w:vertAlign w:val="superscript"/>
        </w:rPr>
        <w:footnoteReference w:id="315"/>
      </w:r>
      <w:r w:rsidRPr="00CE37D0">
        <w:t xml:space="preserve"> Nukentėjusiojo procesinis interesas yra materiali</w:t>
      </w:r>
      <w:r>
        <w:t>oj</w:t>
      </w:r>
      <w:r w:rsidRPr="00CE37D0">
        <w:t>o intereso įgyvendinimo priemonė baudžiamajame procese, kuris šiuo atveju suprantamas kaip socialinių konfliktų sprendimo procesas. Nukentėjusiojo procesinė veikla visada yra susijusi su material</w:t>
      </w:r>
      <w:r>
        <w:t>iojo</w:t>
      </w:r>
      <w:r w:rsidRPr="00CE37D0">
        <w:t xml:space="preserve"> intereso įgyvendinimu, kuris yra nukentėjusiojo procesinio suinteresuotumo galutinis tikslas ir siekis. Be to, material</w:t>
      </w:r>
      <w:r>
        <w:t>usi</w:t>
      </w:r>
      <w:r w:rsidRPr="00CE37D0">
        <w:t>s interesas atsiranda anksčiau nei procesinis, kai nukentėjęs nuo nusikalstamos veikos asmuo paj</w:t>
      </w:r>
      <w:r w:rsidR="00C63384">
        <w:t>unta</w:t>
      </w:r>
      <w:r w:rsidRPr="00CE37D0">
        <w:t xml:space="preserve"> jo atžvilgiu įvykdytos nusikalstamos veikos padarinius. Material</w:t>
      </w:r>
      <w:r>
        <w:t>iojo</w:t>
      </w:r>
      <w:r w:rsidRPr="00CE37D0">
        <w:t xml:space="preserve"> intereso atsiradimas </w:t>
      </w:r>
      <w:r>
        <w:t>lemi</w:t>
      </w:r>
      <w:r w:rsidRPr="00CE37D0">
        <w:t>a nukentėjusiojo interesą įgyti procesinį nukentėjusiojo statusą ir motyvuoja jį procesinei veiklai. Vienas kuris nors material</w:t>
      </w:r>
      <w:r>
        <w:t>u</w:t>
      </w:r>
      <w:r w:rsidRPr="00CE37D0">
        <w:t>s</w:t>
      </w:r>
      <w:r>
        <w:t>is</w:t>
      </w:r>
      <w:r w:rsidRPr="00CE37D0">
        <w:t xml:space="preserve"> interesas gali dominuoti priklausomai nuo paties nukentėjusiojo asmenybės ir poreikių, nuo nusikalstamos veikos pavojingumo ir pobūdžio, nuo sukeltų padarin</w:t>
      </w:r>
      <w:r>
        <w:t>ių sunkumo ir kitų subjektyvių bei objektyvių faktori</w:t>
      </w:r>
      <w:r w:rsidRPr="00CE37D0">
        <w:t>ų. Procesinis interesas yra s</w:t>
      </w:r>
      <w:r>
        <w:t>usiję</w:t>
      </w:r>
      <w:r w:rsidRPr="00CE37D0">
        <w:t>s su nukentėjusiojo procesiniu statusu, kurio atsiradimas siejamas su formalių reikalavimų įvykdymu.</w:t>
      </w:r>
    </w:p>
    <w:p w:rsidR="003E3809" w:rsidRPr="00CE37D0" w:rsidRDefault="00A02C70" w:rsidP="003A7A72">
      <w:pPr>
        <w:pStyle w:val="Antrat3"/>
      </w:pPr>
      <w:bookmarkStart w:id="141" w:name="_Toc400321687"/>
      <w:r w:rsidRPr="00CE37D0">
        <w:t>1.1</w:t>
      </w:r>
      <w:r w:rsidR="003E3809" w:rsidRPr="00CE37D0">
        <w:t>.</w:t>
      </w:r>
      <w:r w:rsidR="00C63384">
        <w:t xml:space="preserve"> </w:t>
      </w:r>
      <w:r w:rsidR="003E3809" w:rsidRPr="00CE37D0">
        <w:t>Materiali</w:t>
      </w:r>
      <w:r w:rsidR="00B2745D">
        <w:t>eji</w:t>
      </w:r>
      <w:r w:rsidR="003E3809" w:rsidRPr="00CE37D0">
        <w:t xml:space="preserve"> interesai</w:t>
      </w:r>
      <w:bookmarkEnd w:id="134"/>
      <w:bookmarkEnd w:id="135"/>
      <w:bookmarkEnd w:id="136"/>
      <w:bookmarkEnd w:id="137"/>
      <w:bookmarkEnd w:id="138"/>
      <w:r w:rsidR="00041C6E">
        <w:t xml:space="preserve"> </w:t>
      </w:r>
      <w:bookmarkEnd w:id="141"/>
    </w:p>
    <w:p w:rsidR="00C85EA7" w:rsidRPr="00CE37D0" w:rsidRDefault="00C85EA7" w:rsidP="00C85EA7">
      <w:pPr>
        <w:spacing w:line="360" w:lineRule="auto"/>
        <w:ind w:firstLine="851"/>
        <w:jc w:val="both"/>
      </w:pPr>
      <w:r w:rsidRPr="00CE37D0">
        <w:t xml:space="preserve">Užsienio </w:t>
      </w:r>
      <w:r>
        <w:t>moksli</w:t>
      </w:r>
      <w:r w:rsidRPr="00CE37D0">
        <w:t xml:space="preserve">nėje jurisprudencijoje dominuoja nuomonė, kad nusikalstamas kėsinimasis gali sąlygoti dvejopo pobūdžio nukentėjusiojo interesų pasireiškimą: moralinio pasitenkinimo </w:t>
      </w:r>
      <w:r>
        <w:t xml:space="preserve">(satisfakcijos) </w:t>
      </w:r>
      <w:r w:rsidRPr="00CE37D0">
        <w:t xml:space="preserve">ir restitucijos. </w:t>
      </w:r>
      <w:r w:rsidRPr="00CE37D0">
        <w:rPr>
          <w:vertAlign w:val="superscript"/>
        </w:rPr>
        <w:footnoteReference w:id="316"/>
      </w:r>
      <w:r w:rsidR="00C63384">
        <w:t xml:space="preserve"> </w:t>
      </w:r>
      <w:r w:rsidRPr="00CE37D0">
        <w:t xml:space="preserve">Satisfakcija suprantama kaip moralinis nukentėjusiojo pasitenkinimas procesu ir sprendimu byloje. Restituciniams nukentėjusiojo interesams priskirti </w:t>
      </w:r>
      <w:r w:rsidRPr="00CE37D0">
        <w:lastRenderedPageBreak/>
        <w:t>poreikiai at</w:t>
      </w:r>
      <w:r>
        <w:t>kur</w:t>
      </w:r>
      <w:r w:rsidRPr="00CE37D0">
        <w:t>ti</w:t>
      </w:r>
      <w:r>
        <w:t xml:space="preserve"> (kiek ir jei įmanoma)</w:t>
      </w:r>
      <w:r w:rsidRPr="00CE37D0">
        <w:t xml:space="preserve"> teisinę padėtį, pažeistą jo atžvilgiu padaryta nusikalstama veika. Vieniems nukentėjusiesiems svarbiausias yra materiali</w:t>
      </w:r>
      <w:r>
        <w:t>nė</w:t>
      </w:r>
      <w:r w:rsidRPr="00CE37D0">
        <w:t xml:space="preserve">s restitucijos reikalavimas, kas civilinės deliktinės teisės reguliavimo sferoje suprantama kaip žalos atlyginimo reikalavimas, turintis baudžiamąjį elementą. Kitiems svarbiausia emociniai poreikiai, pasireiškiantys atitinkama nukentėjusiojo </w:t>
      </w:r>
      <w:r>
        <w:t>reakcija į pažeidimą padarius</w:t>
      </w:r>
      <w:r w:rsidRPr="00CE37D0">
        <w:t>į</w:t>
      </w:r>
      <w:r>
        <w:t xml:space="preserve"> asmenį</w:t>
      </w:r>
      <w:r w:rsidRPr="00CE37D0">
        <w:t xml:space="preserve"> ir kuriuos galima apibūdinti kaip norą siekti moralinio pasitenkinimo. </w:t>
      </w:r>
      <w:r w:rsidRPr="00CE37D0">
        <w:rPr>
          <w:vertAlign w:val="superscript"/>
        </w:rPr>
        <w:footnoteReference w:id="317"/>
      </w:r>
      <w:r w:rsidRPr="00CE37D0">
        <w:t xml:space="preserve"> Vi</w:t>
      </w:r>
      <w:r>
        <w:t>siškas nukentėjusiojo materiali</w:t>
      </w:r>
      <w:r w:rsidRPr="00CE37D0">
        <w:t>ų</w:t>
      </w:r>
      <w:r>
        <w:t>jų</w:t>
      </w:r>
      <w:r w:rsidRPr="00CE37D0">
        <w:t xml:space="preserve"> interesų atribojimas yra neįmanomas, kadangi moralinį pasitenkinimą teikia ir žalos atlyginimas, o teisingumo įvykdymas paskiriant bausmę tam tikra prasme at</w:t>
      </w:r>
      <w:r>
        <w:t>kuria</w:t>
      </w:r>
      <w:r w:rsidRPr="00CE37D0">
        <w:t xml:space="preserve"> socialinių santykių pusiausvyrą. Kadangi nusikalstamos veikos padariniai kyla ne tik materiali</w:t>
      </w:r>
      <w:r>
        <w:t>ojo</w:t>
      </w:r>
      <w:r w:rsidRPr="00CE37D0">
        <w:t xml:space="preserve">je, bet ir emocinėje plotmėje, restitucija </w:t>
      </w:r>
      <w:r w:rsidRPr="00CE37D0">
        <w:rPr>
          <w:vertAlign w:val="superscript"/>
        </w:rPr>
        <w:footnoteReference w:id="318"/>
      </w:r>
      <w:r w:rsidRPr="00CE37D0">
        <w:t xml:space="preserve"> šiame tyrime suprantama ne tik kaip nukentėjusiojo materialinės padėties atkūrimas, bet kaip </w:t>
      </w:r>
      <w:r w:rsidRPr="00CE37D0">
        <w:rPr>
          <w:i/>
        </w:rPr>
        <w:t>status quo</w:t>
      </w:r>
      <w:r w:rsidRPr="00CE37D0">
        <w:t xml:space="preserve"> atkūrimas visose nukentėjusiojo interesų srityse, kurias pažeidžia nusikalstama veika. </w:t>
      </w:r>
    </w:p>
    <w:p w:rsidR="003E3809" w:rsidRPr="00DB4ECD" w:rsidRDefault="003E3809" w:rsidP="00DB4ECD">
      <w:pPr>
        <w:pStyle w:val="Antrat4"/>
        <w:rPr>
          <w:rStyle w:val="Antrat4Diagrama"/>
          <w:b/>
          <w:bCs/>
        </w:rPr>
      </w:pPr>
      <w:bookmarkStart w:id="142" w:name="_Toc320526509"/>
      <w:bookmarkStart w:id="143" w:name="_Toc332025992"/>
      <w:bookmarkStart w:id="144" w:name="_Toc333483932"/>
      <w:r w:rsidRPr="00DB4ECD">
        <w:t>1</w:t>
      </w:r>
      <w:r w:rsidRPr="00DB4ECD">
        <w:rPr>
          <w:rStyle w:val="Antrat4Diagrama"/>
          <w:b/>
          <w:bCs/>
        </w:rPr>
        <w:t>.1.1.</w:t>
      </w:r>
      <w:r w:rsidR="00C63384">
        <w:rPr>
          <w:rStyle w:val="Antrat4Diagrama"/>
          <w:b/>
          <w:bCs/>
        </w:rPr>
        <w:t xml:space="preserve"> </w:t>
      </w:r>
      <w:r w:rsidRPr="00DB4ECD">
        <w:rPr>
          <w:rStyle w:val="Antrat4Diagrama"/>
          <w:b/>
          <w:bCs/>
        </w:rPr>
        <w:t>Moralinio pasitenkinimo interesas (satisfakcija)</w:t>
      </w:r>
      <w:bookmarkEnd w:id="142"/>
      <w:bookmarkEnd w:id="143"/>
      <w:bookmarkEnd w:id="144"/>
    </w:p>
    <w:p w:rsidR="00C85EA7" w:rsidRPr="00CE37D0" w:rsidRDefault="00C85EA7" w:rsidP="00C85EA7">
      <w:pPr>
        <w:spacing w:line="360" w:lineRule="auto"/>
        <w:ind w:firstLine="851"/>
        <w:jc w:val="both"/>
      </w:pPr>
      <w:bookmarkStart w:id="145" w:name="_Toc320526510"/>
      <w:bookmarkStart w:id="146" w:name="_Toc332025993"/>
      <w:bookmarkStart w:id="147" w:name="_Toc333483933"/>
      <w:r w:rsidRPr="00CE37D0">
        <w:t xml:space="preserve">Nuo nusikalstamos veikos nukentėjęs asmuo turi moralinio pasitenkinimo </w:t>
      </w:r>
      <w:proofErr w:type="gramStart"/>
      <w:r w:rsidRPr="00CE37D0">
        <w:t>(</w:t>
      </w:r>
      <w:proofErr w:type="gramEnd"/>
      <w:r w:rsidRPr="00CE37D0">
        <w:t xml:space="preserve">satisfakcijos, vok. </w:t>
      </w:r>
      <w:r w:rsidRPr="00CE37D0">
        <w:rPr>
          <w:i/>
        </w:rPr>
        <w:t>Genugtuung</w:t>
      </w:r>
      <w:r w:rsidRPr="00CE37D0">
        <w:t xml:space="preserve">) siekį, kuris kokybiniu ir kiekybiniu požiūriu kiekvienam visuomenės nariui individualus ir yra būdingas jo kaip nusikaltimo aukos vaidmeniui. </w:t>
      </w:r>
      <w:r w:rsidRPr="00CE37D0">
        <w:rPr>
          <w:vertAlign w:val="superscript"/>
        </w:rPr>
        <w:footnoteReference w:id="319"/>
      </w:r>
      <w:r w:rsidRPr="00CE37D0">
        <w:t xml:space="preserve"> Nukentėjusio asmens reakcij</w:t>
      </w:r>
      <w:r>
        <w:t>ą</w:t>
      </w:r>
      <w:r w:rsidRPr="00CE37D0">
        <w:t xml:space="preserve"> dažniausiai </w:t>
      </w:r>
      <w:r>
        <w:t xml:space="preserve">lemia </w:t>
      </w:r>
      <w:r w:rsidRPr="00CE37D0">
        <w:t>keršto poreik</w:t>
      </w:r>
      <w:r>
        <w:t>is</w:t>
      </w:r>
      <w:r w:rsidRPr="00CE37D0">
        <w:t xml:space="preserve">, kurį patenkinant neutralizuojamas nekontroliuojamo savavališko teisingumo vykdymo pavojus. </w:t>
      </w:r>
      <w:r w:rsidRPr="00CE37D0">
        <w:rPr>
          <w:vertAlign w:val="superscript"/>
        </w:rPr>
        <w:footnoteReference w:id="320"/>
      </w:r>
      <w:r w:rsidRPr="00CE37D0">
        <w:t xml:space="preserve"> Moralin</w:t>
      </w:r>
      <w:r>
        <w:t>į</w:t>
      </w:r>
      <w:r w:rsidRPr="00CE37D0">
        <w:t xml:space="preserve"> pasitenkinim</w:t>
      </w:r>
      <w:r>
        <w:t>ą</w:t>
      </w:r>
      <w:r w:rsidR="00C63384">
        <w:t xml:space="preserve"> </w:t>
      </w:r>
      <w:r>
        <w:t>suteikia emocijomis pagrįstas</w:t>
      </w:r>
      <w:r w:rsidRPr="00CE37D0">
        <w:t xml:space="preserve"> sieki</w:t>
      </w:r>
      <w:r>
        <w:t>s</w:t>
      </w:r>
      <w:r w:rsidRPr="00CE37D0">
        <w:t xml:space="preserve"> su</w:t>
      </w:r>
      <w:r>
        <w:t>kel</w:t>
      </w:r>
      <w:r w:rsidRPr="00CE37D0">
        <w:t xml:space="preserve">ti kaltininkui skausmą ir kančias, kuriomis </w:t>
      </w:r>
      <w:r>
        <w:t>nukentėjęs asmuo</w:t>
      </w:r>
      <w:r w:rsidRPr="00CE37D0">
        <w:t xml:space="preserve"> galėtų mėgautis kaip atpildu už jam pačiam padarytą skriaudą</w:t>
      </w:r>
      <w:r w:rsidRPr="006F3323">
        <w:t xml:space="preserve">. Socialiai </w:t>
      </w:r>
      <w:r w:rsidR="003A6F49" w:rsidRPr="006F3323">
        <w:t xml:space="preserve">nepriimtina, kad </w:t>
      </w:r>
      <w:r w:rsidR="006F3323" w:rsidRPr="006F3323">
        <w:t xml:space="preserve">skiriant </w:t>
      </w:r>
      <w:r w:rsidR="003A6F49" w:rsidRPr="006F3323">
        <w:t>bausm</w:t>
      </w:r>
      <w:r w:rsidR="006F3323" w:rsidRPr="006F3323">
        <w:t>ę</w:t>
      </w:r>
      <w:r w:rsidR="003A6F49" w:rsidRPr="006F3323">
        <w:t xml:space="preserve"> </w:t>
      </w:r>
      <w:r w:rsidR="006F3323" w:rsidRPr="006F3323">
        <w:t xml:space="preserve">kaltininkui </w:t>
      </w:r>
      <w:r w:rsidR="003A6F49" w:rsidRPr="006F3323">
        <w:t xml:space="preserve">būtų </w:t>
      </w:r>
      <w:r w:rsidR="006F3323">
        <w:t xml:space="preserve">besąlygiškai </w:t>
      </w:r>
      <w:r w:rsidR="006F3323" w:rsidRPr="006F3323">
        <w:t>atsižvelgiama į</w:t>
      </w:r>
      <w:r w:rsidRPr="006F3323">
        <w:t xml:space="preserve"> nukentėjusio asmens </w:t>
      </w:r>
      <w:r w:rsidR="006F3323" w:rsidRPr="006F3323">
        <w:t>subjektyvią poziciją</w:t>
      </w:r>
      <w:r w:rsidRPr="006F3323">
        <w:t>.</w:t>
      </w:r>
      <w:r w:rsidRPr="00CE37D0">
        <w:t xml:space="preserve"> </w:t>
      </w:r>
      <w:r w:rsidRPr="00CE37D0">
        <w:rPr>
          <w:vertAlign w:val="superscript"/>
        </w:rPr>
        <w:footnoteReference w:id="321"/>
      </w:r>
      <w:r w:rsidRPr="00CE37D0">
        <w:t xml:space="preserve"> Ši samprata visgi </w:t>
      </w:r>
      <w:r>
        <w:t>gali būti vertinama kaip</w:t>
      </w:r>
      <w:r w:rsidR="00C63384">
        <w:t xml:space="preserve"> </w:t>
      </w:r>
      <w:r>
        <w:t xml:space="preserve">moraliai </w:t>
      </w:r>
      <w:r w:rsidRPr="00CE37D0">
        <w:t xml:space="preserve">neteisinga nukentėjusio asmens atžvilgiu, kadangi jo siekis, kad nusikalstama veika neliktų be oficialios reakcijos nepripažįstamas teisėtu. </w:t>
      </w:r>
      <w:r w:rsidRPr="00CE37D0">
        <w:rPr>
          <w:vertAlign w:val="superscript"/>
        </w:rPr>
        <w:footnoteReference w:id="322"/>
      </w:r>
      <w:r w:rsidR="00C63384">
        <w:t xml:space="preserve"> </w:t>
      </w:r>
      <w:r w:rsidRPr="00CE37D0">
        <w:t>Nors požiūris, kuriuo siekiama supratimo ir susitaikymo,</w:t>
      </w:r>
      <w:r w:rsidR="00C63384">
        <w:t xml:space="preserve"> </w:t>
      </w:r>
      <w:r w:rsidRPr="00CE37D0">
        <w:t xml:space="preserve">yra humaniškesnis, tačiau pykčio jausmas </w:t>
      </w:r>
      <w:r>
        <w:t>kaltinink</w:t>
      </w:r>
      <w:r w:rsidRPr="00CE37D0">
        <w:t xml:space="preserve">ui yra žmogiškas. </w:t>
      </w:r>
      <w:r w:rsidR="00E355F1">
        <w:t>Teigiama, kad i</w:t>
      </w:r>
      <w:r w:rsidRPr="00CE37D0">
        <w:t xml:space="preserve">ndividualus keršto troškimas laikomas normalia, netgi būtina ir psichologiškai naudinga emocine reakcija, o </w:t>
      </w:r>
      <w:r>
        <w:t>išgyventi neigiamų jausmų</w:t>
      </w:r>
      <w:r w:rsidR="00C63384">
        <w:t xml:space="preserve"> </w:t>
      </w:r>
      <w:r>
        <w:t xml:space="preserve">dėl </w:t>
      </w:r>
      <w:r w:rsidRPr="00CE37D0">
        <w:t xml:space="preserve">kaltininko neteisėto </w:t>
      </w:r>
      <w:r w:rsidRPr="00CE37D0">
        <w:lastRenderedPageBreak/>
        <w:t>elgesio</w:t>
      </w:r>
      <w:r w:rsidR="00E43E30">
        <w:t xml:space="preserve"> nesugebėjimas</w:t>
      </w:r>
      <w:r w:rsidRPr="00CE37D0">
        <w:t xml:space="preserve"> yra </w:t>
      </w:r>
      <w:r>
        <w:t xml:space="preserve">psichologiniu požiūriu </w:t>
      </w:r>
      <w:r w:rsidRPr="00CE37D0">
        <w:t xml:space="preserve">patologiškas. </w:t>
      </w:r>
      <w:r w:rsidRPr="00CE37D0">
        <w:rPr>
          <w:vertAlign w:val="superscript"/>
        </w:rPr>
        <w:footnoteReference w:id="323"/>
      </w:r>
      <w:r w:rsidRPr="00CE37D0">
        <w:t xml:space="preserve"> Iškyla klausimas, </w:t>
      </w:r>
      <w:r w:rsidR="006F3323">
        <w:t>kaip</w:t>
      </w:r>
      <w:r>
        <w:t xml:space="preserve"> </w:t>
      </w:r>
      <w:r w:rsidR="006F3323">
        <w:t xml:space="preserve">atskirti jausmus nuo teisėtų </w:t>
      </w:r>
      <w:r w:rsidRPr="00CE37D0">
        <w:t>interes</w:t>
      </w:r>
      <w:r w:rsidR="006F3323">
        <w:t>ų</w:t>
      </w:r>
      <w:r w:rsidRPr="00CE37D0">
        <w:t xml:space="preserve">, kurie turi būti saugomi. </w:t>
      </w:r>
    </w:p>
    <w:p w:rsidR="00C85EA7" w:rsidRPr="00CE37D0" w:rsidRDefault="00C85EA7" w:rsidP="00C85EA7">
      <w:pPr>
        <w:spacing w:line="360" w:lineRule="auto"/>
        <w:ind w:firstLine="851"/>
        <w:jc w:val="both"/>
      </w:pPr>
      <w:r w:rsidRPr="00CE37D0">
        <w:t>Apkaltinamojo nuosprendžio priėmimas nukentėjusiajam turi didelę reikšmę. Literatūroje sutinkama nuomonė, kad kaltininko nubaudimas svarbus dvasinės</w:t>
      </w:r>
      <w:r>
        <w:t xml:space="preserve"> nukentėjusiojo pusiausvyros atkūrim</w:t>
      </w:r>
      <w:r w:rsidRPr="00CE37D0">
        <w:t xml:space="preserve">ui. </w:t>
      </w:r>
      <w:r w:rsidRPr="00CE37D0">
        <w:rPr>
          <w:vertAlign w:val="superscript"/>
        </w:rPr>
        <w:footnoteReference w:id="324"/>
      </w:r>
      <w:r w:rsidRPr="00CE37D0">
        <w:t xml:space="preserve"> Veiką ir kaltę atitinkančia bausme kaltininkui pasiekiamas ir nukentėjusiojo moralinis pasitenkinimas. </w:t>
      </w:r>
      <w:r>
        <w:t>Nukentėjusioj</w:t>
      </w:r>
      <w:r w:rsidRPr="00CE37D0">
        <w:t xml:space="preserve">o </w:t>
      </w:r>
      <w:r>
        <w:t>i</w:t>
      </w:r>
      <w:r w:rsidRPr="00CE37D0">
        <w:t xml:space="preserve">nteresas, kad būtų </w:t>
      </w:r>
      <w:r>
        <w:t xml:space="preserve">teisingai </w:t>
      </w:r>
      <w:r w:rsidRPr="00CE37D0">
        <w:t>nu</w:t>
      </w:r>
      <w:r>
        <w:t>baust</w:t>
      </w:r>
      <w:r w:rsidRPr="00CE37D0">
        <w:t>as kaltininkas, pripažįstamas ir kaip jo atitinkama teisė</w:t>
      </w:r>
      <w:r>
        <w:t xml:space="preserve"> reikalauti kaltininko nubaudimo (BPK 44 straipsnio 10 dalis) kaip</w:t>
      </w:r>
      <w:r w:rsidRPr="00CE37D0">
        <w:t xml:space="preserve"> nematerial</w:t>
      </w:r>
      <w:r>
        <w:t>aus atlygio ar</w:t>
      </w:r>
      <w:r w:rsidRPr="00CE37D0">
        <w:t xml:space="preserve"> kompensacij</w:t>
      </w:r>
      <w:r>
        <w:t>os</w:t>
      </w:r>
      <w:r w:rsidRPr="00CE37D0">
        <w:t xml:space="preserve"> už viktimizaciją</w:t>
      </w:r>
      <w:r>
        <w:t xml:space="preserve">. </w:t>
      </w:r>
      <w:r w:rsidRPr="00CE37D0">
        <w:rPr>
          <w:vertAlign w:val="superscript"/>
        </w:rPr>
        <w:footnoteReference w:id="325"/>
      </w:r>
      <w:r w:rsidRPr="00CE37D0">
        <w:t xml:space="preserve"> Tačiau turi būti rasta pusiausvyra tarp asmens ir visuomenės interesų: nukentėjusiojo noras atkeršyti ar atleisti, jo subjektyvūs emociniai poreikiai neturėtų būti vienintelė kaltininko nuteisimo sąlyga. </w:t>
      </w:r>
      <w:r w:rsidRPr="00CE37D0">
        <w:rPr>
          <w:vertAlign w:val="superscript"/>
        </w:rPr>
        <w:footnoteReference w:id="326"/>
      </w:r>
      <w:r w:rsidR="00E43E30">
        <w:t xml:space="preserve"> </w:t>
      </w:r>
      <w:r w:rsidRPr="00CE37D0">
        <w:t xml:space="preserve">Pagal bausmės kaip atlygio teoriją, </w:t>
      </w:r>
      <w:r>
        <w:t>kaltininko</w:t>
      </w:r>
      <w:r w:rsidR="00E43E30">
        <w:t xml:space="preserve"> </w:t>
      </w:r>
      <w:r>
        <w:t xml:space="preserve">privertimas </w:t>
      </w:r>
      <w:r w:rsidRPr="00CE37D0">
        <w:t>kentėti proporcingai kančioms, kurias jis sukėlė kitiems</w:t>
      </w:r>
      <w:r w:rsidR="00E43E30">
        <w:t xml:space="preserve">, </w:t>
      </w:r>
      <w:r w:rsidRPr="00CE37D0">
        <w:t>yra sąžininga</w:t>
      </w:r>
      <w:r>
        <w:t>s</w:t>
      </w:r>
      <w:r w:rsidR="00E43E30">
        <w:t xml:space="preserve"> </w:t>
      </w:r>
      <w:r>
        <w:t>ir teisingas atlygis už jo padarytą nusikalstamą veiką</w:t>
      </w:r>
      <w:r w:rsidRPr="00CE37D0">
        <w:t xml:space="preserve">. </w:t>
      </w:r>
      <w:r w:rsidRPr="00CE37D0">
        <w:rPr>
          <w:vertAlign w:val="superscript"/>
        </w:rPr>
        <w:footnoteReference w:id="327"/>
      </w:r>
      <w:r w:rsidRPr="00CE37D0">
        <w:t xml:space="preserve"> Moralinis pasitenkinimas </w:t>
      </w:r>
      <w:r>
        <w:t>kyla</w:t>
      </w:r>
      <w:r w:rsidR="00E43E30">
        <w:t xml:space="preserve"> </w:t>
      </w:r>
      <w:r>
        <w:t xml:space="preserve">iš </w:t>
      </w:r>
      <w:r w:rsidRPr="00CE37D0">
        <w:t xml:space="preserve">nukentėjusiojo </w:t>
      </w:r>
      <w:r>
        <w:t>poreikio</w:t>
      </w:r>
      <w:r w:rsidRPr="00CE37D0">
        <w:t xml:space="preserve"> gauti atlygį už patirtą neteisybę</w:t>
      </w:r>
      <w:r>
        <w:t xml:space="preserve"> patenkinimo</w:t>
      </w:r>
      <w:r w:rsidRPr="00CE37D0">
        <w:t xml:space="preserve">. Manytina, kad bausmės sukelti nepatogumai kaltininkui yra skirti ne tik tam, kad kaltininkas pajaustų moralinės ir teisinės tvarkos jėgą, bet tuo pačiu metu bausme siekiama kompensuoti nukentėjusiajam jo patirtą skriaudą, suteikiant jam moralinį pasitenkinimą. </w:t>
      </w:r>
      <w:r w:rsidRPr="00CE37D0">
        <w:rPr>
          <w:vertAlign w:val="superscript"/>
        </w:rPr>
        <w:footnoteReference w:id="328"/>
      </w:r>
    </w:p>
    <w:p w:rsidR="00C85EA7" w:rsidRPr="00CE37D0" w:rsidRDefault="00C85EA7" w:rsidP="00C85EA7">
      <w:pPr>
        <w:spacing w:line="360" w:lineRule="auto"/>
        <w:ind w:firstLine="851"/>
        <w:jc w:val="both"/>
      </w:pPr>
      <w:r>
        <w:t>Bausmės paskyrimas</w:t>
      </w:r>
      <w:r w:rsidR="00E43E30">
        <w:t xml:space="preserve"> </w:t>
      </w:r>
      <w:r>
        <w:t>nukentėjusiajam suteikia moralinį pasitenkinimą taip pat ir dėl to, kad ja išreiškiamas</w:t>
      </w:r>
      <w:r w:rsidR="00E43E30">
        <w:t xml:space="preserve"> </w:t>
      </w:r>
      <w:r>
        <w:t>s</w:t>
      </w:r>
      <w:r w:rsidRPr="00CE37D0">
        <w:t>imbolini</w:t>
      </w:r>
      <w:r>
        <w:t>s nepritarimas</w:t>
      </w:r>
      <w:r w:rsidRPr="00CE37D0">
        <w:t xml:space="preserve"> kaltininko elgesiui, </w:t>
      </w:r>
      <w:r w:rsidRPr="00CE37D0">
        <w:rPr>
          <w:vertAlign w:val="superscript"/>
        </w:rPr>
        <w:footnoteReference w:id="329"/>
      </w:r>
      <w:r w:rsidRPr="00CE37D0">
        <w:t xml:space="preserve"> kas būtų neįgyvendinama</w:t>
      </w:r>
      <w:r>
        <w:t xml:space="preserve"> vien</w:t>
      </w:r>
      <w:r w:rsidR="00E43E30">
        <w:t xml:space="preserve"> </w:t>
      </w:r>
      <w:r>
        <w:t xml:space="preserve">tik </w:t>
      </w:r>
      <w:r w:rsidRPr="00CE37D0">
        <w:t>patenkinant žalos atlyginimo reikalav</w:t>
      </w:r>
      <w:r>
        <w:t xml:space="preserve">imą civiline teisine tvarka. </w:t>
      </w:r>
      <w:r w:rsidRPr="00CE37D0">
        <w:t xml:space="preserve">Nukentėjusiajam yra svarbus viešas pripažinimas, kad jam buvo padaryta neteisybė </w:t>
      </w:r>
      <w:proofErr w:type="gramStart"/>
      <w:r w:rsidRPr="00CE37D0">
        <w:t>(</w:t>
      </w:r>
      <w:proofErr w:type="gramEnd"/>
      <w:r w:rsidRPr="00CE37D0">
        <w:t xml:space="preserve">vok. </w:t>
      </w:r>
      <w:r w:rsidRPr="00CE37D0">
        <w:rPr>
          <w:i/>
        </w:rPr>
        <w:t>Unrecht</w:t>
      </w:r>
      <w:r w:rsidRPr="00CE37D0">
        <w:t>). Viešas patvirtinimas, kad</w:t>
      </w:r>
      <w:r>
        <w:t xml:space="preserve"> jo atžvilgiu</w:t>
      </w:r>
      <w:r w:rsidR="00E43E30">
        <w:t xml:space="preserve"> </w:t>
      </w:r>
      <w:r>
        <w:t>įvykdyti veiksmai yra nusikalstami</w:t>
      </w:r>
      <w:r w:rsidRPr="00CE37D0">
        <w:t xml:space="preserve">, </w:t>
      </w:r>
      <w:r>
        <w:t>nukentėjusiajam yra</w:t>
      </w:r>
      <w:r w:rsidRPr="00CE37D0">
        <w:t xml:space="preserve"> svarbus </w:t>
      </w:r>
      <w:r>
        <w:t>atkuria</w:t>
      </w:r>
      <w:r w:rsidRPr="00CE37D0">
        <w:t>nt teisingą savęs vertinimą ir savigarbą. Kita reikšmė, kurią teismo nuosprend</w:t>
      </w:r>
      <w:r>
        <w:t>žiu paskirta bausmė</w:t>
      </w:r>
      <w:r w:rsidRPr="00CE37D0">
        <w:t xml:space="preserve"> turi nukentėjusiajam, yra atjautos ir solidarumo išraiška. Nuosprendžiu turi būti ne tik pasmerkiamas kaltininkas, tačiau taip pat pripažįstama, kad nukentėjusysis patyrė žalą</w:t>
      </w:r>
      <w:r w:rsidR="00E43E30">
        <w:t>.</w:t>
      </w:r>
      <w:r w:rsidR="00C61D2C">
        <w:t xml:space="preserve"> </w:t>
      </w:r>
      <w:r w:rsidRPr="00CE37D0">
        <w:rPr>
          <w:vertAlign w:val="superscript"/>
        </w:rPr>
        <w:footnoteReference w:id="330"/>
      </w:r>
      <w:r w:rsidRPr="00CE37D0">
        <w:t xml:space="preserve"> </w:t>
      </w:r>
      <w:r w:rsidR="00E43E30">
        <w:t>T</w:t>
      </w:r>
      <w:r w:rsidRPr="00CE37D0">
        <w:t>okiu būdu patenkinamas</w:t>
      </w:r>
      <w:r>
        <w:t xml:space="preserve"> nukentėjusiojo</w:t>
      </w:r>
      <w:r w:rsidRPr="00CE37D0">
        <w:t xml:space="preserve"> teisingumo </w:t>
      </w:r>
      <w:r>
        <w:t>poreiki</w:t>
      </w:r>
      <w:r w:rsidRPr="00CE37D0">
        <w:t xml:space="preserve">s ir patvirtinama, kad jo pažeistos teisės yra </w:t>
      </w:r>
      <w:r w:rsidRPr="00CE37D0">
        <w:lastRenderedPageBreak/>
        <w:t xml:space="preserve">saugomos įstatymu, </w:t>
      </w:r>
      <w:r w:rsidRPr="00CE37D0">
        <w:rPr>
          <w:vertAlign w:val="superscript"/>
        </w:rPr>
        <w:footnoteReference w:id="331"/>
      </w:r>
      <w:r w:rsidRPr="00CE37D0">
        <w:t xml:space="preserve"> taip pat simboliškai užtikrinama, kad ateityje tai daugiau neįvyks. </w:t>
      </w:r>
      <w:r w:rsidRPr="00CE37D0">
        <w:rPr>
          <w:vertAlign w:val="superscript"/>
        </w:rPr>
        <w:footnoteReference w:id="332"/>
      </w:r>
      <w:r w:rsidRPr="00CE37D0">
        <w:t xml:space="preserve"> Paskirta bausmė kaltininkui sukelia realias teisines pasekmes, jam įstatymiškai padaromas blogis (kaip atsakomoji reakcija į jo padarytą blogį), kuris pasireiškia pinigine suma, apribojimais, laisvės netekimu ir pan. </w:t>
      </w:r>
      <w:r>
        <w:t>Bausmės paskyrimas</w:t>
      </w:r>
      <w:r w:rsidRPr="00CE37D0">
        <w:t xml:space="preserve"> kaip neleistino nukentėjusiojo teisių pažeidimo pasekmė išreiškia neigiamą požiūrį </w:t>
      </w:r>
      <w:r>
        <w:t xml:space="preserve">ir sukelia neigiamas pasekmes kaltininkui </w:t>
      </w:r>
      <w:r w:rsidRPr="00CE37D0">
        <w:t xml:space="preserve">valstybės vardu, ir tai suponuoja, kad šiam negatyviam vertinimui pritaria ir visuomenė. </w:t>
      </w:r>
      <w:r w:rsidRPr="00CE37D0">
        <w:rPr>
          <w:vertAlign w:val="superscript"/>
        </w:rPr>
        <w:footnoteReference w:id="333"/>
      </w:r>
      <w:r>
        <w:t xml:space="preserve"> Taigi</w:t>
      </w:r>
      <w:r w:rsidRPr="00CE37D0">
        <w:t xml:space="preserve"> kaltininko nuteisimas baudžiamajame procese apima socialinį etinį jo p</w:t>
      </w:r>
      <w:r>
        <w:t>adarytos veikos vertinimą. Nuosprendžiu</w:t>
      </w:r>
      <w:r w:rsidR="00E43E30">
        <w:t xml:space="preserve"> </w:t>
      </w:r>
      <w:r>
        <w:t xml:space="preserve">paskirtos bausmės viešumas </w:t>
      </w:r>
      <w:r w:rsidRPr="00CE37D0">
        <w:t>su</w:t>
      </w:r>
      <w:r>
        <w:t>kuria</w:t>
      </w:r>
      <w:r w:rsidRPr="00CE37D0">
        <w:t xml:space="preserve"> komunikatyvin</w:t>
      </w:r>
      <w:r>
        <w:t>į</w:t>
      </w:r>
      <w:r w:rsidRPr="00CE37D0">
        <w:t xml:space="preserve"> element</w:t>
      </w:r>
      <w:r>
        <w:t>ą</w:t>
      </w:r>
      <w:r w:rsidRPr="00CE37D0">
        <w:t xml:space="preserve">, t.y. </w:t>
      </w:r>
      <w:r>
        <w:t xml:space="preserve">viešą kaltininko elgesio </w:t>
      </w:r>
      <w:r w:rsidRPr="00CE37D0">
        <w:t>pasmerkim</w:t>
      </w:r>
      <w:r>
        <w:t>ą</w:t>
      </w:r>
      <w:r w:rsidRPr="00CE37D0">
        <w:t xml:space="preserve">. </w:t>
      </w:r>
    </w:p>
    <w:p w:rsidR="00C85EA7" w:rsidRPr="00CE37D0" w:rsidRDefault="00C85EA7" w:rsidP="00C85EA7">
      <w:pPr>
        <w:spacing w:line="360" w:lineRule="auto"/>
        <w:ind w:firstLine="851"/>
        <w:jc w:val="both"/>
      </w:pPr>
      <w:r w:rsidRPr="00CE37D0">
        <w:t>Moralinį pasitenkinimą nukentėjusiajam gali teikti ne vien tik apkaltinamasis n</w:t>
      </w:r>
      <w:r>
        <w:t xml:space="preserve">uosprendis, tačiau ir kitoks </w:t>
      </w:r>
      <w:r w:rsidRPr="00CE37D0">
        <w:t>bylos išsprendimas. Kai valstybė atskirais įstatyme numatytais atvejais (p</w:t>
      </w:r>
      <w:r>
        <w:t>a</w:t>
      </w:r>
      <w:r w:rsidRPr="00CE37D0">
        <w:t>v</w:t>
      </w:r>
      <w:r>
        <w:t>y</w:t>
      </w:r>
      <w:r w:rsidRPr="00CE37D0">
        <w:t>z</w:t>
      </w:r>
      <w:r>
        <w:t>džiui</w:t>
      </w:r>
      <w:r w:rsidRPr="00CE37D0">
        <w:t xml:space="preserve">, </w:t>
      </w:r>
      <w:r>
        <w:t>privataus kaltinimo bylų procese nutraukiant baudžiamąją bylą taikinamajame posėdyje ar vėlesniame procese</w:t>
      </w:r>
      <w:r w:rsidRPr="00CE37D0">
        <w:t xml:space="preserve"> kaltininkui ir nukentėjusiajam susitaikius) leidžia nukentėjusiajam pasijusti situacijos „šeimininku“, kurio nuomonės baudžiamosios bylos procese paisoma ir nuo kurio sprendimo priklauso kaltininko nubaudimas ar pasigailėjimas, tai leidžia nuke</w:t>
      </w:r>
      <w:r>
        <w:t xml:space="preserve">ntėjusiajam save vertinti kaip itin </w:t>
      </w:r>
      <w:r w:rsidRPr="00CE37D0">
        <w:t xml:space="preserve">reikšmingą procesinę figūrą ir pajusti tam tikrą psichologinį pasitenkinimą. </w:t>
      </w:r>
      <w:r w:rsidRPr="00CE37D0">
        <w:rPr>
          <w:vertAlign w:val="superscript"/>
        </w:rPr>
        <w:footnoteReference w:id="334"/>
      </w:r>
    </w:p>
    <w:p w:rsidR="003E3809" w:rsidRPr="00CE37D0" w:rsidRDefault="003E3809" w:rsidP="003A7A72">
      <w:pPr>
        <w:pStyle w:val="Antrat4"/>
        <w:ind w:firstLine="0"/>
      </w:pPr>
      <w:r w:rsidRPr="00CE37D0">
        <w:t>1.1.2.</w:t>
      </w:r>
      <w:r w:rsidR="00E43E30">
        <w:t xml:space="preserve"> </w:t>
      </w:r>
      <w:r w:rsidRPr="00CE37D0">
        <w:t>Restitucija</w:t>
      </w:r>
      <w:bookmarkEnd w:id="145"/>
      <w:bookmarkEnd w:id="146"/>
      <w:bookmarkEnd w:id="147"/>
    </w:p>
    <w:p w:rsidR="00C85EA7" w:rsidRPr="00CE37D0" w:rsidRDefault="00C85EA7" w:rsidP="00C85EA7">
      <w:pPr>
        <w:spacing w:line="360" w:lineRule="auto"/>
        <w:ind w:firstLine="851"/>
        <w:jc w:val="both"/>
      </w:pPr>
      <w:bookmarkStart w:id="148" w:name="wp1020875"/>
      <w:bookmarkStart w:id="149" w:name="wp1020877"/>
      <w:bookmarkStart w:id="150" w:name="_Toc320526511"/>
      <w:bookmarkStart w:id="151" w:name="_Toc332025994"/>
      <w:bookmarkStart w:id="152" w:name="_Toc333483934"/>
      <w:bookmarkStart w:id="153" w:name="_Toc365498846"/>
      <w:bookmarkStart w:id="154" w:name="_Toc370139908"/>
      <w:bookmarkEnd w:id="148"/>
      <w:bookmarkEnd w:id="149"/>
      <w:r w:rsidRPr="00CE37D0">
        <w:t xml:space="preserve">Restitucijos siekio nulemti interesai pirmiausia yra iš nusikalstamos veikos kylantys turtinės ir neturtinės žalos atlyginimo </w:t>
      </w:r>
      <w:r>
        <w:t>bei</w:t>
      </w:r>
      <w:r w:rsidRPr="00CE37D0">
        <w:t xml:space="preserve"> materialinių vertybių grąžinimo (žalos pašalinimo) interesai. JT Generalinės Asamblėjos 1985 m. lapkričio 29 d. deklaracijos </w:t>
      </w:r>
      <w:r w:rsidRPr="00A8625B">
        <w:t>dėl pagrindinių teisingumo principų nusikaltimų ir piktnaudžiavimo valdžia aukoms</w:t>
      </w:r>
      <w:r w:rsidR="006277F1">
        <w:t xml:space="preserve"> </w:t>
      </w:r>
      <w:r w:rsidRPr="00CE37D0">
        <w:rPr>
          <w:vertAlign w:val="superscript"/>
        </w:rPr>
        <w:footnoteReference w:id="335"/>
      </w:r>
      <w:r w:rsidRPr="00CE37D0">
        <w:t xml:space="preserve"> 8 straipsnyje aiškinamas restitucijos sąvokos turinys</w:t>
      </w:r>
      <w:r w:rsidR="006277F1">
        <w:t>:</w:t>
      </w:r>
      <w:r w:rsidRPr="00CE37D0">
        <w:t xml:space="preserve"> </w:t>
      </w:r>
      <w:r w:rsidRPr="00CE37D0">
        <w:rPr>
          <w:vertAlign w:val="superscript"/>
        </w:rPr>
        <w:footnoteReference w:id="336"/>
      </w:r>
      <w:r w:rsidRPr="00CE37D0">
        <w:t xml:space="preserve"> restitucija turėtų apimti nuosavybės grąžinimą arba mokėjimą už patirtą žalą ar nuostolius, patirtų dėl viktimizacijos išlaidų atlyginimą, paslaugų teikimą ir teisių atkūrimą. </w:t>
      </w:r>
      <w:bookmarkStart w:id="155" w:name="wp1020861"/>
      <w:bookmarkStart w:id="156" w:name="wp1020863"/>
      <w:bookmarkStart w:id="157" w:name="wp1020865"/>
      <w:bookmarkStart w:id="158" w:name="wp1020867"/>
      <w:bookmarkStart w:id="159" w:name="wp1020869"/>
      <w:bookmarkEnd w:id="155"/>
      <w:bookmarkEnd w:id="156"/>
      <w:bookmarkEnd w:id="157"/>
      <w:bookmarkEnd w:id="158"/>
      <w:bookmarkEnd w:id="159"/>
      <w:r w:rsidRPr="00CE37D0">
        <w:t xml:space="preserve">Kai kurie autoriai restituciją apibūdina kaip nukentėjusiojo materialinės padėties atkūrimą, baudžiamojo proceso nustatyta tvarka grąžinant jam daiktus arba jų piniginę vertę. </w:t>
      </w:r>
      <w:r w:rsidRPr="00CE37D0">
        <w:rPr>
          <w:vertAlign w:val="superscript"/>
        </w:rPr>
        <w:footnoteReference w:id="337"/>
      </w:r>
    </w:p>
    <w:p w:rsidR="00C85EA7" w:rsidRPr="00CE37D0" w:rsidRDefault="00C85EA7" w:rsidP="00C85EA7">
      <w:pPr>
        <w:spacing w:line="360" w:lineRule="auto"/>
        <w:ind w:firstLine="851"/>
        <w:jc w:val="both"/>
      </w:pPr>
      <w:r w:rsidRPr="00CE37D0">
        <w:lastRenderedPageBreak/>
        <w:t xml:space="preserve">Nusikaltimu padarytos žalos atlyginimas yra akivaizdžiausias nukentėjusiojo interesas ir jo patenkinimas yra labiausiai apčiuopiamas ir objektyviai įvertinamas. </w:t>
      </w:r>
      <w:r w:rsidRPr="00CE37D0">
        <w:rPr>
          <w:vertAlign w:val="superscript"/>
        </w:rPr>
        <w:footnoteReference w:id="338"/>
      </w:r>
      <w:r w:rsidRPr="00CE37D0">
        <w:t xml:space="preserve"> Nuo nusikalstamų veikų nukentėję asmenys daugeliu atvejų visų pirma yra suinteresuoti patirtos žalos realiu ir greitu atlyginimu. </w:t>
      </w:r>
      <w:r w:rsidRPr="00CE37D0">
        <w:rPr>
          <w:vertAlign w:val="superscript"/>
        </w:rPr>
        <w:footnoteReference w:id="339"/>
      </w:r>
      <w:r w:rsidRPr="00CE37D0">
        <w:t xml:space="preserve"> Nukentėjusiojo interesas gauti žalos atlyginimą užtikrinamas konstitucinėje jurisprudencijoje </w:t>
      </w:r>
      <w:r w:rsidRPr="00CE37D0">
        <w:rPr>
          <w:vertAlign w:val="superscript"/>
        </w:rPr>
        <w:footnoteReference w:id="340"/>
      </w:r>
      <w:r w:rsidRPr="00CE37D0">
        <w:t xml:space="preserve"> ir tarptautiniu lygmeniu, </w:t>
      </w:r>
      <w:r w:rsidRPr="00CE37D0">
        <w:rPr>
          <w:vertAlign w:val="superscript"/>
        </w:rPr>
        <w:footnoteReference w:id="341"/>
      </w:r>
      <w:r w:rsidRPr="00CE37D0">
        <w:t xml:space="preserve"> numatant jo teisę gauti žalos atlyginimą iš kaltininko, o nesant tokios galimybės – valstybės pareigą tam tikrais numatytais atvejais išmokėti nukentėjusiajam piniginę kompensaciją</w:t>
      </w:r>
      <w:r>
        <w:t xml:space="preserve">, </w:t>
      </w:r>
      <w:r w:rsidRPr="00CE37D0">
        <w:rPr>
          <w:vertAlign w:val="superscript"/>
        </w:rPr>
        <w:footnoteReference w:id="342"/>
      </w:r>
      <w:r w:rsidR="0074506D">
        <w:t xml:space="preserve"> </w:t>
      </w:r>
      <w:r>
        <w:t>kuri</w:t>
      </w:r>
      <w:r w:rsidRPr="00CE37D0">
        <w:t xml:space="preserve"> yra visuomenės atsakomybės nukentėjusiajam išraiška</w:t>
      </w:r>
      <w:r>
        <w:t>.</w:t>
      </w:r>
      <w:r w:rsidR="0074506D">
        <w:t xml:space="preserve"> </w:t>
      </w:r>
      <w:r w:rsidRPr="00CE37D0">
        <w:rPr>
          <w:rStyle w:val="Puslapioinaosnuoroda"/>
        </w:rPr>
        <w:footnoteReference w:id="343"/>
      </w:r>
    </w:p>
    <w:p w:rsidR="00C85EA7" w:rsidRPr="00CE37D0" w:rsidRDefault="00C85EA7" w:rsidP="00C85EA7">
      <w:pPr>
        <w:spacing w:line="360" w:lineRule="auto"/>
        <w:ind w:firstLine="851"/>
        <w:jc w:val="both"/>
      </w:pPr>
      <w:r w:rsidRPr="00CE37D0">
        <w:t xml:space="preserve">Žalos atlyginimo sąvoka apima tiek turtinės žalos, kurią patyrė nukentėjusysis dėl jo atžvilgiu padarytos nusikalstamos veikos, tiek neturtinės žalos atlyginimą. Jeigu pažeidus neturtinę </w:t>
      </w:r>
      <w:r w:rsidRPr="00CE37D0">
        <w:lastRenderedPageBreak/>
        <w:t>vertybę (pavyzdžiui, sveikatą) atsiradusi turtinė žala apima tam tikrus materialinio pobūdžio nuostolius, praradimus, tai neturtinės žalos tiesioginis objektas yra ne nukentėjusiojo ekonominė gerovė, o jo asmeninis ir idealusis pasaulis; neturtinė žala</w:t>
      </w:r>
      <w:r w:rsidR="00617488">
        <w:t xml:space="preserve"> kaip fizinė ar dvasinė kančia neturi</w:t>
      </w:r>
      <w:r w:rsidRPr="00CE37D0">
        <w:t xml:space="preserve"> jokio turtinio elemento. </w:t>
      </w:r>
      <w:r w:rsidRPr="00CE37D0">
        <w:rPr>
          <w:vertAlign w:val="superscript"/>
        </w:rPr>
        <w:footnoteReference w:id="344"/>
      </w:r>
      <w:r w:rsidRPr="00CE37D0">
        <w:t xml:space="preserve"> Dvejopa neturtinės žalos prigimtis – kompensacinė ir satisfakcijos – suponuoja, kad žalą padaręs asmuo ne tik atlygintų neturtinius praradimus, bet ir ištaisytų savo neteisėtais veiksmais nukentėjusiajam padarytą skriaudą, pa</w:t>
      </w:r>
      <w:r>
        <w:t>lengvintų nukentėjusiojo gyvenimą</w:t>
      </w:r>
      <w:r w:rsidRPr="00CE37D0">
        <w:t xml:space="preserve">. Satisfakcija neturi baudžiamojo poveikio, ja siekiama ne nubausti pažeidėją, o nuraminti nukentėjusįjį, sumažinti jo neigiamus išgyvenimus, atpirkti pažeidimą, taip pat siekiama kaltininko atgailos. </w:t>
      </w:r>
      <w:r w:rsidRPr="00CE37D0">
        <w:rPr>
          <w:vertAlign w:val="superscript"/>
        </w:rPr>
        <w:footnoteReference w:id="345"/>
      </w:r>
      <w:r w:rsidRPr="00CE37D0">
        <w:t xml:space="preserve"> M</w:t>
      </w:r>
      <w:r>
        <w:t>anytina</w:t>
      </w:r>
      <w:r w:rsidRPr="00CE37D0">
        <w:t>,</w:t>
      </w:r>
      <w:r>
        <w:t xml:space="preserve"> kad</w:t>
      </w:r>
      <w:r w:rsidRPr="00CE37D0">
        <w:t xml:space="preserve"> neturtinės žalos atlyginimas priskir</w:t>
      </w:r>
      <w:r>
        <w:t>tina</w:t>
      </w:r>
      <w:r w:rsidRPr="00CE37D0">
        <w:t xml:space="preserve">s prie nukentėjusiojo restitucijos intereso, kadangi fundamentali tokios turtinės atsakomybės paskirtis - kompensuoti patirtus nuostolius, t.y. vietoj vienos prarastos vertybės pasiūlyti </w:t>
      </w:r>
      <w:r>
        <w:t xml:space="preserve">nukentėjusiajam </w:t>
      </w:r>
      <w:r w:rsidRPr="00CE37D0">
        <w:t xml:space="preserve">jos ekvivalentą, </w:t>
      </w:r>
      <w:r>
        <w:t xml:space="preserve">sąlyginai </w:t>
      </w:r>
      <w:r w:rsidRPr="00CE37D0">
        <w:t xml:space="preserve">grąžinant padėtį, buvusią iki teisės pažeidimo padarymo. </w:t>
      </w:r>
      <w:r w:rsidRPr="00CE37D0">
        <w:rPr>
          <w:vertAlign w:val="superscript"/>
        </w:rPr>
        <w:footnoteReference w:id="346"/>
      </w:r>
    </w:p>
    <w:p w:rsidR="00C85EA7" w:rsidRPr="00CE37D0" w:rsidRDefault="00C85EA7" w:rsidP="00C85EA7">
      <w:pPr>
        <w:spacing w:line="360" w:lineRule="auto"/>
        <w:ind w:firstLine="851"/>
        <w:jc w:val="both"/>
      </w:pPr>
      <w:r w:rsidRPr="00CE37D0">
        <w:t>Tačiau žalos atlyginimo reikalavimas kaip vienintelė reakcija į nusikal</w:t>
      </w:r>
      <w:r>
        <w:t>s</w:t>
      </w:r>
      <w:r w:rsidRPr="00CE37D0">
        <w:t>t</w:t>
      </w:r>
      <w:r>
        <w:t>a</w:t>
      </w:r>
      <w:r w:rsidRPr="00CE37D0">
        <w:t>mą</w:t>
      </w:r>
      <w:r>
        <w:t xml:space="preserve"> veiką</w:t>
      </w:r>
      <w:r w:rsidRPr="00CE37D0">
        <w:t xml:space="preserve"> gali būti nepakankama. Nukentėjusiojo interesų nederėtų sumenkinti iki intereso gauti tam tikrą pinigų sumą, tokiu būdu pagrindine laikant tik materialią dimensiją.</w:t>
      </w:r>
      <w:r w:rsidR="00617488">
        <w:t xml:space="preserve"> Nors m</w:t>
      </w:r>
      <w:r w:rsidRPr="00CE37D0">
        <w:t>aterialin</w:t>
      </w:r>
      <w:r>
        <w:t>ė</w:t>
      </w:r>
      <w:r w:rsidRPr="00CE37D0">
        <w:t>s žalos atlyginimas yra svarbus, tačiau nepakankamas, kai nusikal</w:t>
      </w:r>
      <w:r w:rsidR="009B67BB">
        <w:t>s</w:t>
      </w:r>
      <w:r w:rsidRPr="00CE37D0">
        <w:t>t</w:t>
      </w:r>
      <w:r w:rsidR="009B67BB">
        <w:t>ama veika</w:t>
      </w:r>
      <w:r w:rsidRPr="00CE37D0">
        <w:t xml:space="preserve"> pažeidžia prigimtines žmogaus teises ir laisves. </w:t>
      </w:r>
      <w:r w:rsidRPr="00CE37D0">
        <w:rPr>
          <w:vertAlign w:val="superscript"/>
        </w:rPr>
        <w:footnoteReference w:id="347"/>
      </w:r>
      <w:r w:rsidRPr="00CE37D0">
        <w:t xml:space="preserve"> Restitucija turėtų būti suprantama plačiau nei vien tik žalos atlyginimas. Ši sąvoka turi ir idėjinį komponentą: </w:t>
      </w:r>
      <w:r w:rsidRPr="00CE37D0">
        <w:rPr>
          <w:vertAlign w:val="superscript"/>
        </w:rPr>
        <w:footnoteReference w:id="348"/>
      </w:r>
      <w:r w:rsidRPr="00CE37D0">
        <w:t xml:space="preserve"> tai nukentėjusiojo interesas </w:t>
      </w:r>
      <w:r>
        <w:t xml:space="preserve">kiek įmanoma </w:t>
      </w:r>
      <w:r w:rsidRPr="00CE37D0">
        <w:t xml:space="preserve">atkurti iki nusikalstamos veikos jo atžvilgiu padarymo buvusią padėtį. </w:t>
      </w:r>
    </w:p>
    <w:p w:rsidR="00C85EA7" w:rsidRPr="00CE37D0" w:rsidRDefault="00C85EA7" w:rsidP="00C85EA7">
      <w:pPr>
        <w:spacing w:line="360" w:lineRule="auto"/>
        <w:ind w:firstLine="851"/>
        <w:jc w:val="both"/>
      </w:pPr>
      <w:r w:rsidRPr="00CE37D0">
        <w:t>Šalia turtinės žalos, kurią gali patirti nukentėjusysis dėl nusikal</w:t>
      </w:r>
      <w:r>
        <w:t>s</w:t>
      </w:r>
      <w:r w:rsidRPr="00CE37D0">
        <w:t>t</w:t>
      </w:r>
      <w:r>
        <w:t>a</w:t>
      </w:r>
      <w:r w:rsidRPr="00CE37D0">
        <w:t>mo</w:t>
      </w:r>
      <w:r>
        <w:t>s veikos</w:t>
      </w:r>
      <w:r w:rsidRPr="00CE37D0">
        <w:t xml:space="preserve"> jo atžvilgiu padarymo, egzistuoja psichologinė ir emocinė dimensijos, kuri</w:t>
      </w:r>
      <w:r>
        <w:t>o</w:t>
      </w:r>
      <w:r w:rsidRPr="00CE37D0">
        <w:t>s baudžiamosios justicijos sistem</w:t>
      </w:r>
      <w:r>
        <w:t>oje</w:t>
      </w:r>
      <w:r w:rsidR="00617488">
        <w:t xml:space="preserve"> </w:t>
      </w:r>
      <w:r>
        <w:t xml:space="preserve">dažnai </w:t>
      </w:r>
      <w:r w:rsidRPr="00CE37D0">
        <w:t>ignoruo</w:t>
      </w:r>
      <w:r>
        <w:t>jamos</w:t>
      </w:r>
      <w:r w:rsidRPr="00CE37D0">
        <w:t xml:space="preserve">. </w:t>
      </w:r>
      <w:r w:rsidRPr="00CE37D0">
        <w:rPr>
          <w:vertAlign w:val="superscript"/>
        </w:rPr>
        <w:footnoteReference w:id="349"/>
      </w:r>
      <w:r w:rsidR="00617488">
        <w:t xml:space="preserve"> </w:t>
      </w:r>
      <w:r>
        <w:t>Paneigti a</w:t>
      </w:r>
      <w:r w:rsidRPr="00CE37D0">
        <w:t>tsiprašymo būtinyb</w:t>
      </w:r>
      <w:r>
        <w:t>ę</w:t>
      </w:r>
      <w:r w:rsidRPr="00CE37D0">
        <w:t xml:space="preserve"> yra būdinga dominuojančiai </w:t>
      </w:r>
      <w:r>
        <w:t xml:space="preserve">atlyginamojo </w:t>
      </w:r>
      <w:r>
        <w:lastRenderedPageBreak/>
        <w:t xml:space="preserve">(angl. </w:t>
      </w:r>
      <w:r w:rsidRPr="00310CE2">
        <w:rPr>
          <w:i/>
        </w:rPr>
        <w:t>retributive</w:t>
      </w:r>
      <w:r>
        <w:t>)</w:t>
      </w:r>
      <w:r w:rsidRPr="00CE37D0">
        <w:t xml:space="preserve"> teisingumo paradigmai. </w:t>
      </w:r>
      <w:r w:rsidRPr="00CE37D0">
        <w:rPr>
          <w:vertAlign w:val="superscript"/>
        </w:rPr>
        <w:footnoteReference w:id="350"/>
      </w:r>
      <w:r w:rsidRPr="00CE37D0">
        <w:t xml:space="preserve"> Tačiau sociologiniu ir psichologiniu aspektu gailestis ir atsiprašymas vertinami kaip socialiniai mechanizmai, kurie padeda at</w:t>
      </w:r>
      <w:r>
        <w:t>kur</w:t>
      </w:r>
      <w:r w:rsidRPr="00CE37D0">
        <w:t xml:space="preserve">ti santykius ir </w:t>
      </w:r>
      <w:r>
        <w:t>sustiprina</w:t>
      </w:r>
      <w:r w:rsidR="00617488">
        <w:t xml:space="preserve"> </w:t>
      </w:r>
      <w:r>
        <w:t>socialinius ryšius tarp visuomenės narių</w:t>
      </w:r>
      <w:r w:rsidRPr="00CE37D0">
        <w:t xml:space="preserve">. </w:t>
      </w:r>
      <w:r w:rsidRPr="00CE37D0">
        <w:rPr>
          <w:vertAlign w:val="superscript"/>
        </w:rPr>
        <w:footnoteReference w:id="351"/>
      </w:r>
      <w:r w:rsidRPr="00CE37D0">
        <w:t xml:space="preserve"> Siekiant sėkmingai išspręsti viktimizacijos padarinius, restitucija reikalinga ir emociniame lygmenyje. Moralinė skriauda kartu yra ir žinia, simbolinis pranešimas, kad tyčine veika kaltininkas siekia įžeisti ir pažeminti nukentėjusįjį. Žmogaus savigarba yra visuomeninė kategorija ta prasme, kad </w:t>
      </w:r>
      <w:r>
        <w:t>žmonė</w:t>
      </w:r>
      <w:r w:rsidRPr="00CE37D0">
        <w:t>s linkę pr</w:t>
      </w:r>
      <w:r>
        <w:t>iklausyti nuo to, ką kiti apie juo</w:t>
      </w:r>
      <w:r w:rsidRPr="00CE37D0">
        <w:t xml:space="preserve">s galvoja. Todėl paniekinantis </w:t>
      </w:r>
      <w:r>
        <w:t xml:space="preserve">elgesys taip giliai pažeidžia asmens </w:t>
      </w:r>
      <w:r w:rsidRPr="00CE37D0">
        <w:t xml:space="preserve">savivertę. </w:t>
      </w:r>
      <w:r w:rsidRPr="00CE37D0">
        <w:rPr>
          <w:vertAlign w:val="superscript"/>
        </w:rPr>
        <w:footnoteReference w:id="352"/>
      </w:r>
      <w:r w:rsidRPr="00CE37D0">
        <w:t xml:space="preserve"> Nukentėjusiojo interesai neapsiriboja baudžiamuoju procesu prieš kaltininką ir bausmės paskyrimu. Pabrėžtinas ir nukentėjusiojo interesas būti reabilituotam, p</w:t>
      </w:r>
      <w:r>
        <w:t>avyzdžiui</w:t>
      </w:r>
      <w:r w:rsidR="00617488">
        <w:t>,</w:t>
      </w:r>
      <w:r w:rsidRPr="00CE37D0">
        <w:t xml:space="preserve"> esant šmeižimui ar įžeidimui. Ne tik nusikalstamą veiką padaręs asmuo turi poreikį reintegruotis, kad po bausmės atlikimo vėl galėtų gyventi „normalų“ gyvenimą, tačiau taip pat ir nusikalstamos veikos auka. </w:t>
      </w:r>
      <w:r w:rsidRPr="00CE37D0">
        <w:rPr>
          <w:vertAlign w:val="superscript"/>
        </w:rPr>
        <w:footnoteReference w:id="353"/>
      </w:r>
    </w:p>
    <w:p w:rsidR="00C85EA7" w:rsidRPr="00CE37D0" w:rsidRDefault="00C85EA7" w:rsidP="00C85EA7">
      <w:pPr>
        <w:spacing w:line="360" w:lineRule="auto"/>
        <w:ind w:firstLine="851"/>
        <w:jc w:val="both"/>
      </w:pPr>
      <w:r w:rsidRPr="00CE37D0">
        <w:t xml:space="preserve">Emocinė žala sukuria nukentėjusiojo poreikį, kad kaltininkas jo atsiprašytų. </w:t>
      </w:r>
      <w:r w:rsidRPr="00CE37D0">
        <w:rPr>
          <w:vertAlign w:val="superscript"/>
        </w:rPr>
        <w:footnoteReference w:id="354"/>
      </w:r>
      <w:r w:rsidRPr="00CE37D0">
        <w:t xml:space="preserve"> Atsiprašymą sudaro pažeistos taisyklės (normos) legitimumo pripažinimas, kaltės ir atsakomybės už pažeidimą prisiėmimas </w:t>
      </w:r>
      <w:r>
        <w:t>bei</w:t>
      </w:r>
      <w:r w:rsidRPr="00CE37D0">
        <w:t xml:space="preserve"> nuoširdžios atgailos už padarytą žalą išreiškimas. </w:t>
      </w:r>
      <w:r w:rsidRPr="00CE37D0">
        <w:rPr>
          <w:vertAlign w:val="superscript"/>
        </w:rPr>
        <w:footnoteReference w:id="355"/>
      </w:r>
      <w:r w:rsidRPr="00CE37D0">
        <w:t xml:space="preserve"> Nuoširdus atsiprašymas ir atsiprašymo priėmimas, ypatingai susitaikymo kontekste, turėtų būti </w:t>
      </w:r>
      <w:r w:rsidRPr="00CE37D0">
        <w:rPr>
          <w:i/>
        </w:rPr>
        <w:t>conditio sine qua non</w:t>
      </w:r>
      <w:r w:rsidRPr="00CE37D0">
        <w:t xml:space="preserve"> sėkmingam konflikto išsprendimui ir konflikto dalyvių santykių atstatymui. Kai kurie autoriai išreiškia nuomonę, kad nukentėjusiojo poreikis yra ne tiek pats atsiprašymas, kiek galimybė atleisti kaltininkui ir tuo palengvinti savo pykčio </w:t>
      </w:r>
      <w:r>
        <w:t>bei</w:t>
      </w:r>
      <w:r w:rsidRPr="00CE37D0">
        <w:t xml:space="preserve"> kartėlio naštą, kuri</w:t>
      </w:r>
      <w:r>
        <w:t>ą</w:t>
      </w:r>
      <w:r w:rsidR="00617488">
        <w:t xml:space="preserve"> </w:t>
      </w:r>
      <w:r>
        <w:t xml:space="preserve">sąlygoja </w:t>
      </w:r>
      <w:r w:rsidRPr="00CE37D0">
        <w:t xml:space="preserve">emocinės žalos nepripažinimas. </w:t>
      </w:r>
      <w:r w:rsidRPr="00CE37D0">
        <w:rPr>
          <w:vertAlign w:val="superscript"/>
        </w:rPr>
        <w:footnoteReference w:id="356"/>
      </w:r>
      <w:r w:rsidRPr="00CE37D0">
        <w:t xml:space="preserve"> Atsiprašymo ir atleidimo procesas suteikia nukentėjusiajam reikalingą galimybę suvokti, kad </w:t>
      </w:r>
      <w:r w:rsidR="009B67BB" w:rsidRPr="009B67BB">
        <w:t>nusikalstama veika padaryta ne dėl jo kaltės</w:t>
      </w:r>
      <w:r w:rsidR="009B67BB">
        <w:t xml:space="preserve"> </w:t>
      </w:r>
      <w:r w:rsidRPr="00CE37D0">
        <w:t xml:space="preserve">ar </w:t>
      </w:r>
      <w:r w:rsidR="00617488">
        <w:t xml:space="preserve">nebuvo </w:t>
      </w:r>
      <w:r w:rsidRPr="00CE37D0">
        <w:t xml:space="preserve">nukreiptas asmeniškai į jį. </w:t>
      </w:r>
      <w:r w:rsidRPr="00CE37D0">
        <w:rPr>
          <w:vertAlign w:val="superscript"/>
        </w:rPr>
        <w:footnoteReference w:id="357"/>
      </w:r>
    </w:p>
    <w:p w:rsidR="00C85EA7" w:rsidRPr="00CE37D0" w:rsidRDefault="00C85EA7" w:rsidP="00C85EA7">
      <w:pPr>
        <w:spacing w:line="360" w:lineRule="auto"/>
        <w:ind w:firstLine="851"/>
        <w:jc w:val="both"/>
      </w:pPr>
      <w:r w:rsidRPr="00CE37D0">
        <w:t xml:space="preserve">Šiuolaikinė baudžiamoji teisė represinio poveikio priemones vis dažniau derina su humaniškomis, ekonomiškesnėmis [...] poveikio priemonėmis, kurių viena yra atleidimo nuo baudžiamosios atsakomybės kaltininkui ir nukentėjusiajam susitaikius institutas. </w:t>
      </w:r>
      <w:r w:rsidRPr="00CE37D0">
        <w:rPr>
          <w:vertAlign w:val="superscript"/>
        </w:rPr>
        <w:footnoteReference w:id="358"/>
      </w:r>
      <w:r w:rsidRPr="00CE37D0">
        <w:t xml:space="preserve"> Šis institutas sudaro galimybes atsirasti kompromisui tarp nukentėjusiojo ir kaltininko, kaltininko ir valstybės </w:t>
      </w:r>
      <w:r w:rsidRPr="00CE37D0">
        <w:lastRenderedPageBreak/>
        <w:t xml:space="preserve">interesų, t.y. kompromisui tarp privačių interesų ir tarp viešojo </w:t>
      </w:r>
      <w:r>
        <w:t>bei</w:t>
      </w:r>
      <w:r w:rsidRPr="00CE37D0">
        <w:t xml:space="preserve"> privataus interesų. </w:t>
      </w:r>
      <w:r w:rsidRPr="00CE37D0">
        <w:rPr>
          <w:vertAlign w:val="superscript"/>
        </w:rPr>
        <w:footnoteReference w:id="359"/>
      </w:r>
      <w:r w:rsidR="00BF245F">
        <w:t xml:space="preserve"> </w:t>
      </w:r>
      <w:r w:rsidRPr="00CE37D0">
        <w:t>Kaltininko ir nukentėjusiojo susitaikymas gali prisidėti prie to, kad nukentėjusysis nugalėtų nusikalstamos veikos sąlygotą baimės ir bejėgiškumo jausmą.</w:t>
      </w:r>
      <w:r w:rsidR="00617488">
        <w:t xml:space="preserve"> </w:t>
      </w:r>
      <w:r w:rsidRPr="00CE37D0">
        <w:t>Susitaikymo motyvas gali būti nukentėjusiojo noras, kad kaltininkas jo atsiprašytų</w:t>
      </w:r>
      <w:r w:rsidR="00BF245F">
        <w:t>, nors kriminologinis tyrimas parodė, kad šis motyvas nėra dažnas</w:t>
      </w:r>
      <w:r w:rsidRPr="00CE37D0">
        <w:t xml:space="preserve">. </w:t>
      </w:r>
      <w:r w:rsidRPr="00CE37D0">
        <w:rPr>
          <w:vertAlign w:val="superscript"/>
        </w:rPr>
        <w:footnoteReference w:id="360"/>
      </w:r>
      <w:r>
        <w:t xml:space="preserve"> Šiuolaikine b</w:t>
      </w:r>
      <w:r w:rsidRPr="00CE37D0">
        <w:rPr>
          <w:iCs/>
        </w:rPr>
        <w:t xml:space="preserve">audžiamąja teise siekiama ne tik nubausti kaltininkus, bet ir atkurti nusikalstamomis veikomis pažeistą tvarką, pažeistus interesus, siekti viešųjų ir privačių interesų suderinimo, jų kompromiso. </w:t>
      </w:r>
      <w:r w:rsidRPr="00CE37D0">
        <w:rPr>
          <w:iCs/>
          <w:vertAlign w:val="superscript"/>
        </w:rPr>
        <w:footnoteReference w:id="361"/>
      </w:r>
      <w:r w:rsidR="006F3323">
        <w:rPr>
          <w:iCs/>
        </w:rPr>
        <w:t xml:space="preserve"> </w:t>
      </w:r>
      <w:r>
        <w:t>Deja, dažnai (taip pat ir Lietuvoje) s</w:t>
      </w:r>
      <w:r w:rsidRPr="00CE37D0">
        <w:t>usitaikymo praktika orientuojama į žalos atlyginimą kaip į pagrindinę ir esminę sąlygą, kur nematerial</w:t>
      </w:r>
      <w:r>
        <w:t>ūs</w:t>
      </w:r>
      <w:r w:rsidRPr="00CE37D0">
        <w:t xml:space="preserve"> aspektai, t.y. šalių susitaikymas (tikrąja šio žodžio prasme), santykių, ryšių atstatymas, tarpusavio supratimas, net nuomonių, nuogąstavimų išsakymas tampa nereikšmingu, antraeiliu dalyku. </w:t>
      </w:r>
      <w:r w:rsidRPr="00CE37D0">
        <w:rPr>
          <w:vertAlign w:val="superscript"/>
        </w:rPr>
        <w:footnoteReference w:id="362"/>
      </w:r>
      <w:r w:rsidRPr="00CE37D0">
        <w:t xml:space="preserve"> Teisinės padėties atkūrimo, kas yra restitucija ir lingvistine prasme, poreikis suponuoja ir realaus susitaikymo, geranoriškų santykių at</w:t>
      </w:r>
      <w:r>
        <w:t>kūri</w:t>
      </w:r>
      <w:r w:rsidRPr="00CE37D0">
        <w:t>mo poreikį. Suprantama, tai nėra įmanoma ir realu sunkių, ciniškų nusikaltimų padarymo, recidyvo atvejais, tačiau susitaikym</w:t>
      </w:r>
      <w:r>
        <w:t>as</w:t>
      </w:r>
      <w:r w:rsidRPr="00CE37D0">
        <w:t xml:space="preserve"> įstatymo numatytų sąlygų rėmuose, kai nusikaltusiam asmeniui suteikiamas šansas, </w:t>
      </w:r>
      <w:r w:rsidRPr="00CE37D0">
        <w:rPr>
          <w:vertAlign w:val="superscript"/>
        </w:rPr>
        <w:footnoteReference w:id="363"/>
      </w:r>
      <w:r w:rsidRPr="00CE37D0">
        <w:t xml:space="preserve"> o baudžiamojo proceso socialinė funkcija padeda efektyviau pasiekti tikslus nei nubaudimo funkcija, kuriai visada turi būti taikomas </w:t>
      </w:r>
      <w:r w:rsidRPr="00CE37D0">
        <w:rPr>
          <w:i/>
        </w:rPr>
        <w:t>ultima ratio</w:t>
      </w:r>
      <w:r w:rsidRPr="00CE37D0">
        <w:t xml:space="preserve"> principas. </w:t>
      </w:r>
    </w:p>
    <w:p w:rsidR="003E3809" w:rsidRPr="00CE37D0" w:rsidRDefault="003E3809" w:rsidP="003A7A72">
      <w:pPr>
        <w:pStyle w:val="Antrat3"/>
      </w:pPr>
      <w:bookmarkStart w:id="160" w:name="_Toc400321688"/>
      <w:r w:rsidRPr="00CE37D0">
        <w:t>1.2.</w:t>
      </w:r>
      <w:r w:rsidR="00617488">
        <w:t xml:space="preserve"> </w:t>
      </w:r>
      <w:r w:rsidRPr="00CE37D0">
        <w:t>Procesiniai interesai</w:t>
      </w:r>
      <w:bookmarkEnd w:id="150"/>
      <w:bookmarkEnd w:id="151"/>
      <w:bookmarkEnd w:id="152"/>
      <w:bookmarkEnd w:id="153"/>
      <w:bookmarkEnd w:id="154"/>
      <w:bookmarkEnd w:id="160"/>
    </w:p>
    <w:p w:rsidR="003E3809" w:rsidRPr="00CE37D0" w:rsidRDefault="003E3809" w:rsidP="003E3809">
      <w:pPr>
        <w:spacing w:line="360" w:lineRule="auto"/>
        <w:ind w:firstLine="851"/>
        <w:jc w:val="both"/>
      </w:pPr>
      <w:r w:rsidRPr="00CE37D0">
        <w:t xml:space="preserve">Suinteresuotumą savo procesine padėtimi apibūdina konkretus poreikis realizuoti procesines teises ir įgyvendinti procesines pareigas. </w:t>
      </w:r>
      <w:r w:rsidRPr="00CE37D0">
        <w:rPr>
          <w:vertAlign w:val="superscript"/>
        </w:rPr>
        <w:footnoteReference w:id="364"/>
      </w:r>
      <w:r w:rsidRPr="00CE37D0">
        <w:t xml:space="preserve"> Procesinis interesas </w:t>
      </w:r>
      <w:r w:rsidR="00AE424F" w:rsidRPr="00CE37D0">
        <w:t>r</w:t>
      </w:r>
      <w:r w:rsidRPr="00CE37D0">
        <w:t xml:space="preserve">eiškia asmens poreikį pradėti procesą ir jame dalyvauti. </w:t>
      </w:r>
      <w:r w:rsidRPr="00CE37D0">
        <w:rPr>
          <w:vertAlign w:val="superscript"/>
        </w:rPr>
        <w:footnoteReference w:id="365"/>
      </w:r>
      <w:r w:rsidRPr="00CE37D0">
        <w:t xml:space="preserve"> Nukentėjusiojo teisinio statuso stiprinimo tendencijų pagrindas yra nukentėjusiojo kaip baudžiamosios justicijos paslaugų vartotojo samprata, </w:t>
      </w:r>
      <w:r w:rsidRPr="00CE37D0">
        <w:rPr>
          <w:vertAlign w:val="superscript"/>
        </w:rPr>
        <w:footnoteReference w:id="366"/>
      </w:r>
      <w:r w:rsidRPr="00CE37D0">
        <w:t xml:space="preserve"> kuri suponuoja </w:t>
      </w:r>
      <w:r w:rsidR="00C85EA7">
        <w:t>asmens</w:t>
      </w:r>
      <w:r w:rsidRPr="00CE37D0">
        <w:t xml:space="preserve"> laisvę lygiateisiškai pasirinkti jam reikalingą paslaugą ir patirti kuo mažiau valstybės įsikišimo. Taip pat pripažįstama, kad nukentėjęs nuo nusikalstamos veikos asmuo turi susijusių su baudžiamosios justicijos sistema individualių poreikių, kurie turi būti patenkinti. </w:t>
      </w:r>
      <w:r w:rsidRPr="00CE37D0">
        <w:rPr>
          <w:vertAlign w:val="superscript"/>
        </w:rPr>
        <w:footnoteReference w:id="367"/>
      </w:r>
      <w:r w:rsidR="00AE424F" w:rsidRPr="00CE37D0">
        <w:t xml:space="preserve"> Ryškiausiai ši </w:t>
      </w:r>
      <w:r w:rsidR="00AE424F" w:rsidRPr="00CE37D0">
        <w:lastRenderedPageBreak/>
        <w:t xml:space="preserve">samprata atsispindi būtent privataus kaltinimo procese, kuriame </w:t>
      </w:r>
      <w:r w:rsidR="002C7CA1">
        <w:t xml:space="preserve">yra </w:t>
      </w:r>
      <w:r w:rsidR="00AE424F" w:rsidRPr="00CE37D0">
        <w:t xml:space="preserve">stipriausias nukentėjusiojo procesinis interesas. </w:t>
      </w:r>
    </w:p>
    <w:p w:rsidR="003E3809" w:rsidRPr="00CE37D0" w:rsidRDefault="003E3809" w:rsidP="00836BA8">
      <w:pPr>
        <w:spacing w:line="360" w:lineRule="auto"/>
        <w:ind w:firstLine="851"/>
        <w:jc w:val="both"/>
      </w:pPr>
      <w:r w:rsidRPr="00CE37D0">
        <w:t xml:space="preserve">Tarp </w:t>
      </w:r>
      <w:r w:rsidR="000408F4">
        <w:t xml:space="preserve">nukentėjusiojo </w:t>
      </w:r>
      <w:r w:rsidRPr="00CE37D0">
        <w:t>procesinio teisinio ir materialinio teisinio intereso yra glaudus ryšys,</w:t>
      </w:r>
      <w:r w:rsidR="00A33E8A">
        <w:t xml:space="preserve"> nes</w:t>
      </w:r>
      <w:r w:rsidRPr="00CE37D0">
        <w:t xml:space="preserve"> procesinis teisinis interesas gali būti tik egzistuojant materialinio teisinio intereso kaip teisminio gynybos dalyko galimybei. </w:t>
      </w:r>
      <w:r w:rsidRPr="00CE37D0">
        <w:rPr>
          <w:vertAlign w:val="superscript"/>
        </w:rPr>
        <w:footnoteReference w:id="368"/>
      </w:r>
      <w:r w:rsidRPr="00CE37D0">
        <w:t xml:space="preserve"> Procesinis teisinis interesas – tai poreikis dalyvauti procese, kad paaiškėtų ginčijama padėtis, kad būtų nustatyta ginčijama materialinė teisė arba įstatymų saugomas interesas, kuriam būtų suteikta teisminė gynyba. </w:t>
      </w:r>
      <w:r w:rsidRPr="00CE37D0">
        <w:rPr>
          <w:vertAlign w:val="superscript"/>
        </w:rPr>
        <w:footnoteReference w:id="369"/>
      </w:r>
      <w:r w:rsidRPr="00CE37D0">
        <w:t xml:space="preserve"> Nukentėj</w:t>
      </w:r>
      <w:r w:rsidR="00AE424F" w:rsidRPr="00CE37D0">
        <w:t>usiajam tai visų pirma galimybė</w:t>
      </w:r>
      <w:r w:rsidRPr="00CE37D0">
        <w:t xml:space="preserve"> panaudojant procesines teises ginti sav</w:t>
      </w:r>
      <w:r w:rsidR="00A64079">
        <w:t>o poziciją baudžiamojoje byloje,</w:t>
      </w:r>
      <w:r w:rsidRPr="00CE37D0">
        <w:t xml:space="preserve"> efektyviai įgyvendinti </w:t>
      </w:r>
      <w:r w:rsidR="002C7CA1">
        <w:t>kaltinimo</w:t>
      </w:r>
      <w:r w:rsidRPr="00CE37D0">
        <w:t xml:space="preserve"> funkciją. Nukentėjus</w:t>
      </w:r>
      <w:r w:rsidR="00A64079">
        <w:t>ysis</w:t>
      </w:r>
      <w:r w:rsidRPr="00CE37D0">
        <w:t xml:space="preserve"> dalyva</w:t>
      </w:r>
      <w:r w:rsidR="00A64079">
        <w:t>uja</w:t>
      </w:r>
      <w:r w:rsidR="00A33E8A">
        <w:t xml:space="preserve"> </w:t>
      </w:r>
      <w:r w:rsidR="00A64079">
        <w:t>procese</w:t>
      </w:r>
      <w:r w:rsidRPr="00CE37D0">
        <w:t xml:space="preserve"> dviem skirtingomis formomis: pi</w:t>
      </w:r>
      <w:r w:rsidR="00A64079">
        <w:t xml:space="preserve">rma, žodžiu arba raštu teikdamas informaciją </w:t>
      </w:r>
      <w:r w:rsidRPr="00CE37D0">
        <w:t xml:space="preserve">(apie nusikaltimo poveikį ar </w:t>
      </w:r>
      <w:r w:rsidR="00A64079">
        <w:t>sav</w:t>
      </w:r>
      <w:r w:rsidRPr="00CE37D0">
        <w:t xml:space="preserve">o </w:t>
      </w:r>
      <w:r w:rsidR="00A64079">
        <w:t>poreikius/</w:t>
      </w:r>
      <w:r w:rsidRPr="00CE37D0">
        <w:t xml:space="preserve">interesus) ir antra, </w:t>
      </w:r>
      <w:r w:rsidR="00A64079">
        <w:t>dalyvaudamas</w:t>
      </w:r>
      <w:r w:rsidRPr="00CE37D0">
        <w:t xml:space="preserve"> sprendimų priėmimo pr</w:t>
      </w:r>
      <w:r w:rsidR="00A64079">
        <w:t>ocese</w:t>
      </w:r>
      <w:r w:rsidRPr="00CE37D0">
        <w:t xml:space="preserve">. </w:t>
      </w:r>
    </w:p>
    <w:p w:rsidR="003E3809" w:rsidRPr="00CE37D0" w:rsidRDefault="003E3809" w:rsidP="003E3809">
      <w:pPr>
        <w:spacing w:line="360" w:lineRule="auto"/>
        <w:ind w:firstLine="851"/>
        <w:jc w:val="both"/>
      </w:pPr>
      <w:r w:rsidRPr="00CE37D0">
        <w:t>Dalyvavimo procese koncepcija yra abstrakti</w:t>
      </w:r>
      <w:r w:rsidR="00A33E8A">
        <w:t>, ją reikia apibrėžti konkrečiai</w:t>
      </w:r>
      <w:r w:rsidRPr="00CE37D0">
        <w:t xml:space="preserve">. </w:t>
      </w:r>
      <w:r w:rsidR="001C7BBB">
        <w:t>D</w:t>
      </w:r>
      <w:r w:rsidRPr="00CE37D0">
        <w:t xml:space="preserve">alyvavimo procese samprata kildintina iš platesnės pilietiškumo koncepcijos ir turi būti apibrėžta kaip galimybė </w:t>
      </w:r>
      <w:r w:rsidR="00AD05DB">
        <w:t>savo teisių gynimui pasinaudoti procesinėmis teisėmis</w:t>
      </w:r>
      <w:r w:rsidRPr="00CE37D0">
        <w:t>, teisė pasisakyti</w:t>
      </w:r>
      <w:r w:rsidR="00AD05DB">
        <w:t>,</w:t>
      </w:r>
      <w:r w:rsidRPr="00CE37D0">
        <w:t xml:space="preserve"> teisė būti išklausytam</w:t>
      </w:r>
      <w:r w:rsidR="00AD05DB">
        <w:t xml:space="preserve"> ir informuotam,</w:t>
      </w:r>
      <w:r w:rsidRPr="00CE37D0">
        <w:t xml:space="preserve"> taip pat teisė į pagarbų elgesį </w:t>
      </w:r>
      <w:r w:rsidR="005D4BA5">
        <w:t>bei</w:t>
      </w:r>
      <w:r w:rsidRPr="00CE37D0">
        <w:t xml:space="preserve"> </w:t>
      </w:r>
      <w:r w:rsidR="00AD05DB">
        <w:t xml:space="preserve">saugumo </w:t>
      </w:r>
      <w:r w:rsidR="005D4BA5">
        <w:t>užtikrinim</w:t>
      </w:r>
      <w:r w:rsidRPr="00CE37D0">
        <w:t xml:space="preserve">ą. </w:t>
      </w:r>
      <w:r w:rsidRPr="00CE37D0">
        <w:rPr>
          <w:vertAlign w:val="superscript"/>
        </w:rPr>
        <w:footnoteReference w:id="370"/>
      </w:r>
      <w:r w:rsidRPr="00CE37D0">
        <w:t xml:space="preserve"> Nukentėjusiųjų dalyvavimas procese sumažina jų atstūmimo jausmą, kurį sukelia įsitikinimas, kad jie nekontroliuoja proceso ir yra jame beteisiai. </w:t>
      </w:r>
      <w:r w:rsidRPr="00CE37D0">
        <w:rPr>
          <w:vertAlign w:val="superscript"/>
        </w:rPr>
        <w:footnoteReference w:id="371"/>
      </w:r>
      <w:r w:rsidRPr="00CE37D0">
        <w:t xml:space="preserve"> Noras dalyvauti procese nėra tolygus keršto bei atlygio poreikiams, todėl būtų neteisinga nukentėjusiojo dalyvavimo poreikį susieti su nuteisimo</w:t>
      </w:r>
      <w:r w:rsidR="00A33E8A">
        <w:t xml:space="preserve"> ir iš to kylančio kuo</w:t>
      </w:r>
      <w:r w:rsidRPr="00CE37D0">
        <w:t xml:space="preserve"> griežtesnės bausmės paskyrimo kaltininkui tikslu. </w:t>
      </w:r>
      <w:r w:rsidRPr="00CE37D0">
        <w:rPr>
          <w:vertAlign w:val="superscript"/>
        </w:rPr>
        <w:footnoteReference w:id="372"/>
      </w:r>
    </w:p>
    <w:p w:rsidR="00AE424F" w:rsidRPr="00CE37D0" w:rsidRDefault="003E3809" w:rsidP="003E3809">
      <w:pPr>
        <w:spacing w:line="360" w:lineRule="auto"/>
        <w:ind w:firstLine="851"/>
        <w:jc w:val="both"/>
      </w:pPr>
      <w:r w:rsidRPr="00CE37D0">
        <w:t>Nuomonės išreiškimas teisme suteikia nukentėjusiajam realią galimybę būti išklausytam, padeda įveikti viktimizacijos padarinius</w:t>
      </w:r>
      <w:r w:rsidR="006E5B2E" w:rsidRPr="00CE37D0">
        <w:t xml:space="preserve">. </w:t>
      </w:r>
      <w:r w:rsidR="001C7BBB">
        <w:t>P</w:t>
      </w:r>
      <w:r w:rsidR="006E5B2E" w:rsidRPr="00CE37D0">
        <w:t>rivataus kaltinimo bylų procese nukentėjusiojo poreiki</w:t>
      </w:r>
      <w:r w:rsidR="00C85EA7">
        <w:t>s</w:t>
      </w:r>
      <w:r w:rsidR="006E5B2E" w:rsidRPr="00CE37D0">
        <w:t xml:space="preserve"> būti išklausytam </w:t>
      </w:r>
      <w:r w:rsidR="00C85EA7">
        <w:t>gali būti veiksmingai įgyvendinamas, kadangi privataus kaltinimo bylų proceso tikslas išspręsti konfliktą suponuoja konfliktuojančių šalių dialogo būtinybę.</w:t>
      </w:r>
    </w:p>
    <w:p w:rsidR="003E3809" w:rsidRPr="00CE37D0" w:rsidRDefault="003E3809" w:rsidP="003E3809">
      <w:pPr>
        <w:spacing w:line="360" w:lineRule="auto"/>
        <w:ind w:firstLine="851"/>
        <w:jc w:val="both"/>
      </w:pPr>
      <w:r w:rsidRPr="00CE37D0">
        <w:t xml:space="preserve">Nukentėjusysis, dalyvaudamas procese, tikisi pagarbaus ir teisingo elgesio su juo, </w:t>
      </w:r>
      <w:r w:rsidRPr="00CE37D0">
        <w:rPr>
          <w:vertAlign w:val="superscript"/>
        </w:rPr>
        <w:footnoteReference w:id="373"/>
      </w:r>
      <w:r w:rsidRPr="00CE37D0">
        <w:t xml:space="preserve"> taip pat, kad valdžios institucijos užtikrins jo saugumą nuo nusikalstamo poveikio. Nors nukentėjusysis </w:t>
      </w:r>
      <w:r w:rsidRPr="00CE37D0">
        <w:lastRenderedPageBreak/>
        <w:t>suinteresuotas dalyvauti procese ir siekti savo materialių teisių užtikrinimo, pats baudžiamasis procesas susijęs su neigiamais išgyvenimais, todėl elgesys su nukentėjusiuoju ir jo saugumo užtikrinimas tiesiogiai susijęs su jo antrine viktimizacija. Teisingumo suvokimą apibrėžia trys faktoriai: individualaus statuso visuomenėje ar jos grupėje pripažinimas, pasitikėjimas</w:t>
      </w:r>
      <w:r w:rsidR="00A33E8A">
        <w:t xml:space="preserve"> palankiais jam</w:t>
      </w:r>
      <w:r w:rsidRPr="00CE37D0">
        <w:t xml:space="preserve"> valdžios institucijų ir pareigūnų</w:t>
      </w:r>
      <w:r w:rsidR="00A33E8A">
        <w:t xml:space="preserve"> </w:t>
      </w:r>
      <w:r w:rsidRPr="00CE37D0">
        <w:t xml:space="preserve">ketinimais ir valdžios institucijų neutralumas priimant nešališką, objektyvų sprendimą. </w:t>
      </w:r>
      <w:r w:rsidRPr="00CE37D0">
        <w:rPr>
          <w:vertAlign w:val="superscript"/>
        </w:rPr>
        <w:footnoteReference w:id="374"/>
      </w:r>
      <w:r w:rsidRPr="00CE37D0">
        <w:t xml:space="preserve"> Nukentėjusiojo statuso pripažinimas turi ypatingą svarbą demonstruojant pagarbų elgesį su juo. Svarbiausias faktorius, darantis įtaką nukentėjusiojo pasitenkinimui baudžiamosios justicijos sistema, yra ne formalus nukentėjusiojo vaidmuo, o oraus ir pagarbaus elgesio su juo laipsnis. </w:t>
      </w:r>
      <w:r w:rsidRPr="00CE37D0">
        <w:rPr>
          <w:vertAlign w:val="superscript"/>
        </w:rPr>
        <w:footnoteReference w:id="375"/>
      </w:r>
      <w:r w:rsidRPr="00CE37D0">
        <w:t xml:space="preserve"> Valstybės pareigūnų realaus dėmesio nusikaltimo aukai skyrimas vertintinas kaip viena iš nukentėjusių asmenų interesų apsaugos teisinių prielaidų. </w:t>
      </w:r>
      <w:r w:rsidRPr="00CE37D0">
        <w:rPr>
          <w:vertAlign w:val="superscript"/>
        </w:rPr>
        <w:footnoteReference w:id="376"/>
      </w:r>
    </w:p>
    <w:p w:rsidR="003E3809" w:rsidRPr="00CE37D0" w:rsidRDefault="003E3809" w:rsidP="003E3809">
      <w:pPr>
        <w:spacing w:line="360" w:lineRule="auto"/>
        <w:ind w:firstLine="851"/>
        <w:jc w:val="both"/>
        <w:rPr>
          <w:b/>
          <w:color w:val="FF0000"/>
          <w:u w:val="single"/>
        </w:rPr>
      </w:pPr>
      <w:r w:rsidRPr="00CE37D0">
        <w:t xml:space="preserve">Taip pat dalyvavimo procese sampratai priskirtina ir teisė būti informuotam. </w:t>
      </w:r>
      <w:r w:rsidRPr="00CE37D0">
        <w:rPr>
          <w:vertAlign w:val="superscript"/>
        </w:rPr>
        <w:footnoteReference w:id="377"/>
      </w:r>
      <w:r w:rsidRPr="00CE37D0">
        <w:t xml:space="preserve"> Nukentėjusiojo procesinis informuotumas sukuria saugumo jausmą. Poreikis būti informuotam susijęs ir su realiu nukentėjusiojo materialinių teisių užtikrinimu: nukentėjusysis privalo ne tik žinoti savo teises ir procesines galimybes, bet ir jas suvokti, kad galėtų efektyviai ginti savo materialų interesą, p</w:t>
      </w:r>
      <w:r w:rsidR="00C85EA7">
        <w:t>avyzdžiui</w:t>
      </w:r>
      <w:r w:rsidRPr="00CE37D0">
        <w:t xml:space="preserve">, į žalos atlyginimą. Nukentėjusysis labiau suinteresuotas išreikšti savo poziciją, daryti įtaką procesui, o ne galutiniam sprendimui byloje, t.y. nagrinėjamu atveju svarbesnis yra reprezentacinis komponentas. </w:t>
      </w:r>
      <w:r w:rsidRPr="00CE37D0">
        <w:rPr>
          <w:vertAlign w:val="superscript"/>
        </w:rPr>
        <w:footnoteReference w:id="378"/>
      </w:r>
      <w:r w:rsidRPr="00CE37D0">
        <w:t xml:space="preserve"> Nukentėjusiojo lūkesčiai gali neatitikti </w:t>
      </w:r>
      <w:r w:rsidRPr="00CE37D0">
        <w:lastRenderedPageBreak/>
        <w:t xml:space="preserve">baudžiamojo proceso suteikiamų galimybių ir dėl nepakankamos informacijos apie bylą jis gali nusivilti teisingumo vykdymu, daryti išvadas, kad procesas neužtikrino jo teisių ir teisėtų interesų, kas sąlygoja apsunkintą nukentėjusiojo ir teisėsaugos institucijų bendradarbiavimą. </w:t>
      </w:r>
      <w:r w:rsidRPr="00CE37D0">
        <w:rPr>
          <w:vertAlign w:val="superscript"/>
        </w:rPr>
        <w:footnoteReference w:id="379"/>
      </w:r>
    </w:p>
    <w:p w:rsidR="003E3809" w:rsidRPr="00CE37D0" w:rsidRDefault="003E3809" w:rsidP="00A02C70">
      <w:pPr>
        <w:pStyle w:val="Antrat3"/>
      </w:pPr>
      <w:bookmarkStart w:id="169" w:name="_Toc320526512"/>
      <w:bookmarkStart w:id="170" w:name="_Toc332025995"/>
      <w:bookmarkStart w:id="171" w:name="_Toc333483935"/>
      <w:bookmarkStart w:id="172" w:name="_Toc365498847"/>
      <w:bookmarkStart w:id="173" w:name="_Toc370139909"/>
      <w:bookmarkStart w:id="174" w:name="_Toc400321689"/>
      <w:r w:rsidRPr="00CE37D0">
        <w:t>1.3. Nukentėjusiojo interesų procesinio realizavimo ypatumai privataus kaltinimo bylų procese</w:t>
      </w:r>
      <w:bookmarkEnd w:id="133"/>
      <w:bookmarkEnd w:id="139"/>
      <w:bookmarkEnd w:id="140"/>
      <w:bookmarkEnd w:id="169"/>
      <w:bookmarkEnd w:id="170"/>
      <w:bookmarkEnd w:id="171"/>
      <w:bookmarkEnd w:id="172"/>
      <w:bookmarkEnd w:id="173"/>
      <w:bookmarkEnd w:id="174"/>
    </w:p>
    <w:p w:rsidR="003E3809" w:rsidRPr="00CE37D0" w:rsidRDefault="007743A7" w:rsidP="00DD1A85">
      <w:pPr>
        <w:spacing w:line="360" w:lineRule="auto"/>
        <w:ind w:firstLine="851"/>
        <w:jc w:val="both"/>
      </w:pPr>
      <w:r w:rsidRPr="00CE37D0">
        <w:t>Viešojo kaltinimo bylose nukentėjusysis yra suinteresuotas bylos baigtimi, t.y. galutiniu sprendimu byloje, kai sprendimas gali turėti įtakos teisinių santykių pobūdžiui, asmenų teisėms ir pareigoms</w:t>
      </w:r>
      <w:r w:rsidR="0074506D">
        <w:t>,</w:t>
      </w:r>
      <w:r w:rsidRPr="00CE37D0">
        <w:t xml:space="preserve"> </w:t>
      </w:r>
      <w:r w:rsidRPr="00CE37D0">
        <w:rPr>
          <w:vertAlign w:val="superscript"/>
        </w:rPr>
        <w:footnoteReference w:id="380"/>
      </w:r>
      <w:r w:rsidRPr="00CE37D0">
        <w:t xml:space="preserve"> tačiau retai kada gali tiesiogiai daryti įtaką proceso eigai (išskyrus įstatymo numatytus atvejus, kai reikalingas nukentėjusiojo sutikimas). </w:t>
      </w:r>
      <w:r w:rsidR="00DD1A85" w:rsidRPr="00CE37D0">
        <w:t>Privataus kaltinimo procese nukentėjusiojo materialinis interesas motyvuoja jį aktyviai procesinei veiklai</w:t>
      </w:r>
      <w:r w:rsidR="001B04CB">
        <w:t>, o</w:t>
      </w:r>
      <w:r w:rsidR="003E3809" w:rsidRPr="00CE37D0">
        <w:t xml:space="preserve"> privataus kaltintojo procesinis statusas suponuoja didesnį suinteresuotumą savo procesine padėtimi: galimybe </w:t>
      </w:r>
      <w:r w:rsidR="001B04CB">
        <w:t>veiksminga</w:t>
      </w:r>
      <w:r w:rsidR="003E3809" w:rsidRPr="00CE37D0">
        <w:t xml:space="preserve">i įgyvendinti savo kaip kaltintojo teises ir pareigas, kas </w:t>
      </w:r>
      <w:r w:rsidR="001B04CB">
        <w:t>įgalina jį</w:t>
      </w:r>
      <w:r w:rsidR="003E3809" w:rsidRPr="00CE37D0">
        <w:t xml:space="preserve"> ginti savo materialųjį interesą. </w:t>
      </w:r>
    </w:p>
    <w:p w:rsidR="00CD1BB5" w:rsidRPr="00CE37D0" w:rsidRDefault="00CD1BB5" w:rsidP="00CD1BB5">
      <w:pPr>
        <w:spacing w:line="360" w:lineRule="auto"/>
        <w:ind w:firstLine="851"/>
        <w:jc w:val="both"/>
      </w:pPr>
      <w:r w:rsidRPr="00CE37D0">
        <w:t>Procesinės veiklos pagrindinės kryptys (funkcijos) yra siejamos su atitinkama proceso subjekto paskirtimi ar vaidmeniu (interesu) baudžiamajame procese.</w:t>
      </w:r>
      <w:r w:rsidR="0074506D">
        <w:t xml:space="preserve"> </w:t>
      </w:r>
      <w:r w:rsidRPr="00CE37D0">
        <w:rPr>
          <w:rStyle w:val="Puslapioinaosnuoroda"/>
        </w:rPr>
        <w:footnoteReference w:id="381"/>
      </w:r>
      <w:r w:rsidRPr="00CE37D0">
        <w:t xml:space="preserve"> Galimybė dalyvauti kaltinimo veikloje – tai vienas iš įstatymo suteiktų būdų nukentėjusiajam ginti savo teises. </w:t>
      </w:r>
      <w:r w:rsidRPr="00CE37D0">
        <w:rPr>
          <w:rStyle w:val="Puslapioinaosnuoroda"/>
        </w:rPr>
        <w:footnoteReference w:id="382"/>
      </w:r>
      <w:r w:rsidRPr="00CE37D0">
        <w:t xml:space="preserve"> Todėl nukentėjusiojo pareikštą kaltinimą tikslinga vertinti kaip iškilusio konflikto sureguliavimo būdą, kuriuo jis siekia apginti ir atkurti savo pažeistas teises </w:t>
      </w:r>
      <w:r w:rsidR="005D4BA5">
        <w:t>bei</w:t>
      </w:r>
      <w:r w:rsidRPr="00CE37D0">
        <w:t xml:space="preserve"> teisėtus interesus. Tuo pagrindu nukentėjusiojo veikloje privataus kaltinimo bylų procese galima išskirti dvi pagrindines funkc</w:t>
      </w:r>
      <w:r w:rsidR="005D4BA5">
        <w:t>ijas: kaltinimo ir savo teisių bei</w:t>
      </w:r>
      <w:r w:rsidRPr="00CE37D0">
        <w:t xml:space="preserve"> interesų, pažeistų nusikalstama veika, </w:t>
      </w:r>
      <w:r w:rsidR="002342DC">
        <w:t>gynyb</w:t>
      </w:r>
      <w:r w:rsidRPr="00CE37D0">
        <w:t>os funkcijas.</w:t>
      </w:r>
      <w:r w:rsidR="0074506D">
        <w:t xml:space="preserve"> </w:t>
      </w:r>
      <w:r w:rsidR="00856C29" w:rsidRPr="00CE37D0">
        <w:rPr>
          <w:rStyle w:val="Puslapioinaosnuoroda"/>
        </w:rPr>
        <w:footnoteReference w:id="383"/>
      </w:r>
    </w:p>
    <w:p w:rsidR="00CD1BB5" w:rsidRPr="00CE37D0" w:rsidRDefault="00CD1BB5" w:rsidP="00CD1BB5">
      <w:pPr>
        <w:spacing w:line="360" w:lineRule="auto"/>
        <w:ind w:firstLine="851"/>
        <w:jc w:val="both"/>
      </w:pPr>
      <w:r w:rsidRPr="00CE37D0">
        <w:t xml:space="preserve">Asmens procesinis interesas ir dalyvavimo procese tikslas yra proceso dalyvio funkcijos turinio sudedamosios dalys. Galutiniame rezultate </w:t>
      </w:r>
      <w:r w:rsidR="001B04CB">
        <w:t>būtent šios sudedamosios dalys lem</w:t>
      </w:r>
      <w:r w:rsidRPr="00CE37D0">
        <w:t>ia baudžiamosios procesinės veiklos kryptį</w:t>
      </w:r>
      <w:r w:rsidR="001B04CB">
        <w:t xml:space="preserve"> ir </w:t>
      </w:r>
      <w:r w:rsidRPr="00CE37D0">
        <w:t>teisinių santykių vystymąsi konkrečioje byloje. Privatus kaltintoj</w:t>
      </w:r>
      <w:r w:rsidR="001B04CB">
        <w:t>as</w:t>
      </w:r>
      <w:r w:rsidR="0092604A">
        <w:t xml:space="preserve"> </w:t>
      </w:r>
      <w:r w:rsidR="001B04CB">
        <w:t>yra</w:t>
      </w:r>
      <w:r w:rsidRPr="00CE37D0">
        <w:t xml:space="preserve"> proceso šeiminink</w:t>
      </w:r>
      <w:r w:rsidR="001B04CB">
        <w:t>as</w:t>
      </w:r>
      <w:r w:rsidRPr="00CE37D0">
        <w:t>, nuo kurio priklauso tiek proceso iniciatyva, tiek eiga, tiek proceso baigtis: jis gali atsisakyti kaltinimo, savo neatvykimu išreikšti intereso kaltinti nebuvimą, susitaikyti su kaltininku arba reikalauti jį nuteisti, taigi jis tiesiogiai daro įtaką proceso eigai. BPK 416 str</w:t>
      </w:r>
      <w:r w:rsidR="00541B80">
        <w:t>aipsnyje</w:t>
      </w:r>
      <w:r w:rsidRPr="00CE37D0">
        <w:t xml:space="preserve"> numatytos nukentėjusiojo teisės iki baigiamųjų kalbų pabaigos atsisakyti kaltinimo arba susitaikyti su kaltinamuoju leidžia privačiam kaltintojui siekti ne vien kaltininko baudžiamojo </w:t>
      </w:r>
      <w:r w:rsidRPr="00CE37D0">
        <w:lastRenderedPageBreak/>
        <w:t xml:space="preserve">persekiojimo, bet ir savo procesine veikla siekti nusikalstamos veikos padarinių minimizavimo, socialinės įtampos, sukeltos nusikalstama veika, sumažinimo, optimalaus konflikto išsprendimo. Toks privataus kaltinimo bylų proceso rezultatas visiškai atitinka nukentėjusiojo interesus, jei nukentėjusysis nesiekia kaltininko patraukimo baudžiamojon atsakomybėn. </w:t>
      </w:r>
    </w:p>
    <w:p w:rsidR="00CD1BB5" w:rsidRPr="00CE37D0" w:rsidRDefault="00CD1BB5" w:rsidP="00CD1BB5">
      <w:pPr>
        <w:spacing w:line="360" w:lineRule="auto"/>
        <w:ind w:firstLine="851"/>
        <w:jc w:val="both"/>
      </w:pPr>
      <w:r w:rsidRPr="00CE37D0">
        <w:t>Privataus kaltintojo procesinė veikla sietina su materialaus intereso realizavimu</w:t>
      </w:r>
      <w:r w:rsidR="001B04CB">
        <w:t>: i</w:t>
      </w:r>
      <w:r w:rsidRPr="00CE37D0">
        <w:t xml:space="preserve">nicijuodamas privataus kaltinimo procesą, nukentėjusysis siekia patenkinti savo materialius interesus. </w:t>
      </w:r>
      <w:r w:rsidRPr="00CE37D0">
        <w:rPr>
          <w:rStyle w:val="Puslapioinaosnuoroda"/>
        </w:rPr>
        <w:footnoteReference w:id="384"/>
      </w:r>
      <w:r w:rsidR="0092604A">
        <w:t xml:space="preserve"> </w:t>
      </w:r>
      <w:r w:rsidR="008110FA" w:rsidRPr="00CE37D0">
        <w:t xml:space="preserve">M. R. Damaška išskiria du nukentėjusio asmens motyvus pateikti kaltinimus: finansinį interesą ir vindikaciją. </w:t>
      </w:r>
      <w:r w:rsidR="008110FA" w:rsidRPr="00CE37D0">
        <w:rPr>
          <w:vertAlign w:val="superscript"/>
        </w:rPr>
        <w:footnoteReference w:id="385"/>
      </w:r>
      <w:r w:rsidR="0092604A">
        <w:t xml:space="preserve"> </w:t>
      </w:r>
      <w:r w:rsidR="000408F4">
        <w:t>P</w:t>
      </w:r>
      <w:r w:rsidRPr="00CE37D0">
        <w:t>rivataus kaltinimo bylose nusikalstamų veikų specifika, teisinių santykių specifika, santykių tarp nukentėjusiojo ir kaltininko ypatumai nulemia, kad siekis</w:t>
      </w:r>
      <w:r w:rsidR="0092604A">
        <w:t xml:space="preserve"> patraukti kaltininką baudžiamojon atsakomybėn, jog</w:t>
      </w:r>
      <w:r w:rsidR="000408F4" w:rsidRPr="00CE37D0">
        <w:t xml:space="preserve"> jam būtų paskirta teisinga bausmė, </w:t>
      </w:r>
      <w:r w:rsidR="008110FA">
        <w:t>nebūtinai yra</w:t>
      </w:r>
      <w:r w:rsidRPr="00CE37D0">
        <w:t xml:space="preserve"> dominuojantis. Akivaizdu, kad asm</w:t>
      </w:r>
      <w:r w:rsidR="0092604A">
        <w:t>uo</w:t>
      </w:r>
      <w:r w:rsidRPr="00CE37D0">
        <w:t>, kurio atžvilgiu padaryta sunki nusikalstama veika, sukėlusi sunkius padarinius, morali</w:t>
      </w:r>
      <w:r w:rsidR="0092604A">
        <w:t xml:space="preserve">ai pasitenkinti ir patenkinti teisingumo jausmą negali vien tik atlyginus žalą ar atsiprašius kaltininkui; </w:t>
      </w:r>
      <w:r w:rsidRPr="00CE37D0">
        <w:t>tokiu atveju nukentėjusysis sieks</w:t>
      </w:r>
      <w:r w:rsidR="0092604A">
        <w:t>, jog būtų paskirta bausmė, atitinkanti</w:t>
      </w:r>
      <w:r w:rsidRPr="00CE37D0">
        <w:t xml:space="preserve"> jo atžvilgiu padarytos nusikalstamos veikos sunkumą. T</w:t>
      </w:r>
      <w:r w:rsidR="000408F4">
        <w:t>ačiau t</w:t>
      </w:r>
      <w:r w:rsidRPr="00CE37D0">
        <w:t xml:space="preserve">eisinė tvarka, pažeista nusikalstamomis veikomis, kurios </w:t>
      </w:r>
      <w:r w:rsidR="009B67BB">
        <w:t>nagrinė</w:t>
      </w:r>
      <w:r w:rsidRPr="00CE37D0">
        <w:t xml:space="preserve">jamos privataus kaltinimo tvarka, gali būti atkurta ir kitomis priemonėmis, nereikalaujančiomis </w:t>
      </w:r>
      <w:r w:rsidR="0092604A">
        <w:t>paskirti realią bausmę</w:t>
      </w:r>
      <w:r w:rsidRPr="00CE37D0">
        <w:t xml:space="preserve">. Tokią galimybę suponuoja nusikalstamos veikos objekto ir teisinio santykio šalių specifika, mažesnis tokių nusikalstamų veikų pavojingumas, nukentėjusiojo nuomonės reikšmingumas. </w:t>
      </w:r>
    </w:p>
    <w:p w:rsidR="009A3C5C" w:rsidRDefault="002342DC" w:rsidP="009A3C5C">
      <w:pPr>
        <w:spacing w:line="360" w:lineRule="auto"/>
        <w:ind w:firstLine="851"/>
        <w:jc w:val="both"/>
      </w:pPr>
      <w:r>
        <w:t>Teoriškai p</w:t>
      </w:r>
      <w:r w:rsidR="00CD1BB5" w:rsidRPr="00CE37D0">
        <w:t>rivataus kaltintojo interesas gali būti nukreiptas į patirtos žalos atlyginimą</w:t>
      </w:r>
      <w:r w:rsidR="002F7C76">
        <w:t>, bausmės paskyrimą ar</w:t>
      </w:r>
      <w:r w:rsidR="00CD1BB5" w:rsidRPr="00CE37D0">
        <w:t xml:space="preserve"> siekį išspręsti iškilusį konfliktą asmeniniuose santykiuose, pasinaudojant valstybės suteikta teise į baudžiamąjį persekiojimą</w:t>
      </w:r>
      <w:r w:rsidR="002F7C76">
        <w:t xml:space="preserve"> (galimi keli iš šių variantų)</w:t>
      </w:r>
      <w:r w:rsidR="00CD1BB5" w:rsidRPr="00CE37D0">
        <w:t xml:space="preserve">. </w:t>
      </w:r>
      <w:r w:rsidR="009A3C5C">
        <w:t>Statistinių duomenų analizė leidžia teigti, kad Lietuvoje privataus kaltinimo teisė įgyvendinama daugiausia dėl dviejų priežasčių:</w:t>
      </w:r>
    </w:p>
    <w:p w:rsidR="009A3C5C" w:rsidRPr="00CE37D0" w:rsidRDefault="005D4BA5" w:rsidP="005D4BA5">
      <w:pPr>
        <w:spacing w:line="360" w:lineRule="auto"/>
        <w:ind w:firstLine="851"/>
        <w:jc w:val="both"/>
      </w:pPr>
      <w:r>
        <w:t>1.</w:t>
      </w:r>
      <w:r w:rsidR="0092604A">
        <w:t xml:space="preserve"> </w:t>
      </w:r>
      <w:r>
        <w:t>P</w:t>
      </w:r>
      <w:r w:rsidR="009A3C5C">
        <w:t>irmosios instancijos teismų nuosprendžių analizė parodė, kad c</w:t>
      </w:r>
      <w:r w:rsidR="009A3C5C" w:rsidRPr="00CE37D0">
        <w:t xml:space="preserve">ivilinis ieškinys dėl žalos atlyginimo buvo pareikštas </w:t>
      </w:r>
      <w:r w:rsidR="009A3C5C">
        <w:t xml:space="preserve">absoliučioje daugumoje privataus kaltinimo bylų: išanalizavus 101 privataus kaltinimo bylą, kurioje </w:t>
      </w:r>
      <w:r w:rsidR="009A3C5C" w:rsidRPr="00CE37D0">
        <w:t>201</w:t>
      </w:r>
      <w:r w:rsidR="009A3C5C">
        <w:t>3</w:t>
      </w:r>
      <w:r w:rsidR="009A3C5C" w:rsidRPr="00CE37D0">
        <w:t xml:space="preserve"> m.</w:t>
      </w:r>
      <w:r w:rsidR="009A3C5C">
        <w:t xml:space="preserve"> procesas pirmoje instancijoje buvo baigtas priimant nuosprendį, civilinis ieškinys buvo pareikštas</w:t>
      </w:r>
      <w:r w:rsidR="0092604A">
        <w:t xml:space="preserve"> </w:t>
      </w:r>
      <w:r w:rsidR="009A3C5C">
        <w:t>95</w:t>
      </w:r>
      <w:r w:rsidR="009A3C5C" w:rsidRPr="00CE37D0">
        <w:t xml:space="preserve"> bylose</w:t>
      </w:r>
      <w:r w:rsidR="009A3C5C">
        <w:t xml:space="preserve"> ir tik 6 </w:t>
      </w:r>
      <w:r w:rsidR="009B67BB">
        <w:t xml:space="preserve">bylose </w:t>
      </w:r>
      <w:r w:rsidR="009A3C5C">
        <w:t>civilinio ieškinio nebuvo</w:t>
      </w:r>
      <w:r w:rsidR="009A3C5C" w:rsidRPr="00CE37D0">
        <w:t xml:space="preserve">. </w:t>
      </w:r>
      <w:r w:rsidR="009A3C5C">
        <w:t xml:space="preserve">Iš 79 bylų, kuriose </w:t>
      </w:r>
      <w:r w:rsidR="009A3C5C" w:rsidRPr="00CE37D0">
        <w:t>201</w:t>
      </w:r>
      <w:r w:rsidR="009A3C5C">
        <w:t>2</w:t>
      </w:r>
      <w:r w:rsidR="009A3C5C" w:rsidRPr="00CE37D0">
        <w:t xml:space="preserve"> m.</w:t>
      </w:r>
      <w:r w:rsidR="009A3C5C">
        <w:t xml:space="preserve"> procesas pirmoje instancijoje buvo baigtas priimant nuosprendį, civilinis ieškinys buvo pareikštas</w:t>
      </w:r>
      <w:r w:rsidR="0092604A">
        <w:t xml:space="preserve"> </w:t>
      </w:r>
      <w:r w:rsidR="009A3C5C">
        <w:t>78</w:t>
      </w:r>
      <w:r w:rsidR="009A3C5C" w:rsidRPr="00CE37D0">
        <w:t xml:space="preserve"> bylose</w:t>
      </w:r>
      <w:r w:rsidR="009A3C5C">
        <w:t>, o jo nebuvo tik vienu atveju.</w:t>
      </w:r>
      <w:r w:rsidR="009B67BB">
        <w:t xml:space="preserve"> </w:t>
      </w:r>
      <w:r w:rsidR="009A3C5C">
        <w:t>Taigi</w:t>
      </w:r>
      <w:r w:rsidR="0092604A">
        <w:t>,</w:t>
      </w:r>
      <w:r w:rsidR="009A3C5C">
        <w:t xml:space="preserve"> apibendrinus statistinius duomenis</w:t>
      </w:r>
      <w:r w:rsidR="0092604A">
        <w:t>,</w:t>
      </w:r>
      <w:r w:rsidR="009A3C5C">
        <w:t xml:space="preserve"> darytina </w:t>
      </w:r>
      <w:r w:rsidR="00745B4E">
        <w:t>prielai</w:t>
      </w:r>
      <w:r w:rsidR="009A3C5C">
        <w:t xml:space="preserve">da, kad </w:t>
      </w:r>
      <w:r w:rsidR="009A3C5C" w:rsidRPr="00CE37D0">
        <w:t xml:space="preserve">žalos atlyginimo siekis </w:t>
      </w:r>
      <w:r w:rsidR="009A3C5C">
        <w:t>y</w:t>
      </w:r>
      <w:r w:rsidR="009A3C5C" w:rsidRPr="00CE37D0">
        <w:t xml:space="preserve">ra pagrindinis nukentėjusio asmens motyvas realizuoti privataus kaltinimo teisę. </w:t>
      </w:r>
      <w:r>
        <w:t>(Priedas Nr. 4).</w:t>
      </w:r>
    </w:p>
    <w:p w:rsidR="002F7C76" w:rsidRDefault="005D4BA5" w:rsidP="005D4BA5">
      <w:pPr>
        <w:spacing w:line="360" w:lineRule="auto"/>
        <w:ind w:firstLine="851"/>
        <w:jc w:val="both"/>
      </w:pPr>
      <w:r>
        <w:lastRenderedPageBreak/>
        <w:t>2.</w:t>
      </w:r>
      <w:r w:rsidR="0092604A">
        <w:t xml:space="preserve"> </w:t>
      </w:r>
      <w:r w:rsidR="00C25713">
        <w:t>P</w:t>
      </w:r>
      <w:r w:rsidR="00E56E33">
        <w:t>rocesinių sprendimų privataus kaltinimo bylose statistika</w:t>
      </w:r>
      <w:r w:rsidR="0092604A">
        <w:t xml:space="preserve"> </w:t>
      </w:r>
      <w:r w:rsidR="00C25713">
        <w:t xml:space="preserve">rodo, kad maždaug trečdalis </w:t>
      </w:r>
      <w:r w:rsidR="00C25713" w:rsidRPr="00CE37D0">
        <w:t>asmenų, inicijuojančių privataus kaltinimo bylas, neturi tikslo patraukti kaltininko baudžiamojon atsakomybėn</w:t>
      </w:r>
      <w:r w:rsidR="00E56E33">
        <w:t>: 2008 m. apkaltinamasis nuosprendis priimtas 144 bylų, o nutraukta šalims susitaikius 95 byl</w:t>
      </w:r>
      <w:r w:rsidR="00FC163D">
        <w:t>os</w:t>
      </w:r>
      <w:r w:rsidR="00E56E33">
        <w:t>, 2009 m. šis santykis yra 139</w:t>
      </w:r>
      <w:r w:rsidR="00FC163D">
        <w:t xml:space="preserve"> ir 72 </w:t>
      </w:r>
      <w:r w:rsidR="00E56E33">
        <w:t xml:space="preserve">bylų, 2010 m. – 160 </w:t>
      </w:r>
      <w:r w:rsidR="00FC163D">
        <w:t>ir 81</w:t>
      </w:r>
      <w:r w:rsidR="00E56E33">
        <w:t xml:space="preserve">. 2011 m. buvo priimta daugiausiai apkaltinamųjų nuosprendžių – 182, o susitaikymo pasiekta tik 44 atvejais. 2012 m. proporcija yra 151 </w:t>
      </w:r>
      <w:r w:rsidR="00FC163D">
        <w:t>ir 62</w:t>
      </w:r>
      <w:r w:rsidR="00E56E33">
        <w:t>.</w:t>
      </w:r>
      <w:r w:rsidR="0074506D">
        <w:t xml:space="preserve"> </w:t>
      </w:r>
      <w:r w:rsidR="00CB4AFE">
        <w:t xml:space="preserve">(Priedas Nr. 3) </w:t>
      </w:r>
      <w:r w:rsidR="00F91616">
        <w:rPr>
          <w:rStyle w:val="Puslapioinaosnuoroda"/>
        </w:rPr>
        <w:footnoteReference w:id="386"/>
      </w:r>
      <w:r w:rsidR="0092604A">
        <w:t xml:space="preserve"> </w:t>
      </w:r>
      <w:r w:rsidR="002F7C76">
        <w:t xml:space="preserve">Šie statistiniai duomenys leidžia daryti </w:t>
      </w:r>
      <w:r w:rsidR="00745B4E">
        <w:t>prielai</w:t>
      </w:r>
      <w:r w:rsidR="002F7C76">
        <w:t>dą, kad privataus kaltinimo teisės įgyvendinimas yra</w:t>
      </w:r>
      <w:r w:rsidR="0092604A">
        <w:t xml:space="preserve"> </w:t>
      </w:r>
      <w:r w:rsidR="00CD1BB5" w:rsidRPr="00CE37D0">
        <w:t xml:space="preserve">nukentėjusiojo (privataus kaltintojo) siekis </w:t>
      </w:r>
      <w:r w:rsidR="009A3C5C">
        <w:t>išspręsti konfliktą</w:t>
      </w:r>
      <w:r w:rsidR="00CD1BB5" w:rsidRPr="00CE37D0">
        <w:t>, kai kitos konflikto sprendimo priemonės išsemtos</w:t>
      </w:r>
      <w:r w:rsidR="00745B4E">
        <w:t>, tačiau nebūtinai siekiama</w:t>
      </w:r>
      <w:r w:rsidR="00745B4E" w:rsidRPr="00CE37D0">
        <w:t xml:space="preserve">, kad </w:t>
      </w:r>
      <w:r w:rsidR="00745B4E">
        <w:t>kaltininkui</w:t>
      </w:r>
      <w:r w:rsidR="00745B4E" w:rsidRPr="00CE37D0">
        <w:t xml:space="preserve"> būtų paskirta bausmė</w:t>
      </w:r>
      <w:r w:rsidR="00CD1BB5" w:rsidRPr="00CE37D0">
        <w:t xml:space="preserve">. </w:t>
      </w:r>
    </w:p>
    <w:p w:rsidR="003E3809" w:rsidRPr="00CE37D0" w:rsidRDefault="003E3809" w:rsidP="003E3809">
      <w:pPr>
        <w:spacing w:line="360" w:lineRule="auto"/>
        <w:ind w:firstLine="851"/>
        <w:jc w:val="both"/>
      </w:pPr>
      <w:r w:rsidRPr="00CE37D0">
        <w:t xml:space="preserve">Kaltinimo formų įvairovė suponuoja išvadą, kad oficialumo principui pavaldi valstybinio kaltinimo institucija gali atstovauti ne visus nukentėjusiojo interesus. </w:t>
      </w:r>
      <w:r w:rsidRPr="00CE37D0">
        <w:rPr>
          <w:vertAlign w:val="superscript"/>
        </w:rPr>
        <w:footnoteReference w:id="387"/>
      </w:r>
      <w:r w:rsidRPr="00CE37D0">
        <w:t xml:space="preserve"> </w:t>
      </w:r>
      <w:r w:rsidR="0092604A">
        <w:t>At</w:t>
      </w:r>
      <w:r w:rsidRPr="00CE37D0">
        <w:t xml:space="preserve">skirdamas prokuratūros </w:t>
      </w:r>
      <w:r w:rsidR="00E328C7">
        <w:t>įgaliojimus</w:t>
      </w:r>
      <w:r w:rsidRPr="00CE37D0">
        <w:t xml:space="preserve"> ir oficialumo principą iš vienos pusės bei nukentėjusiojo dispozityvumą ir privataus kaltinimo įgalinimus iš kitos pusės, įstatymų leidėjas sukūrė teoriškai patikimą, teisinės valstybės principą atitinkančią baudžiamojo proceso formų įvairovę. Savaime suprantama, kad nukentėjusiojo įgalinimai šios įvairovės ribose taip pat gali padėti įgyvendinti ir jo moralinio pasitenkinimo interesus. </w:t>
      </w:r>
      <w:r w:rsidRPr="00CE37D0">
        <w:rPr>
          <w:vertAlign w:val="superscript"/>
        </w:rPr>
        <w:footnoteReference w:id="388"/>
      </w:r>
      <w:r w:rsidRPr="00CE37D0">
        <w:t xml:space="preserve"> Privataus kaltinimo įteisinimo (reglamentavimo) motyvai buvo įvairialypiai: privataus kaltinimo teisės turėtojų įgalinimai turėjo tiesiogiai tarnauti nukentėjusiojo moralinio pasitenkinimo interesams, taip pat sukurta procesinė forma restitucijos interesams užtikrinti. </w:t>
      </w:r>
    </w:p>
    <w:p w:rsidR="003E3809" w:rsidRPr="00CE37D0" w:rsidRDefault="003E3809" w:rsidP="003E3809">
      <w:pPr>
        <w:spacing w:line="360" w:lineRule="auto"/>
        <w:ind w:firstLine="851"/>
        <w:jc w:val="both"/>
      </w:pPr>
      <w:r w:rsidRPr="00CE37D0">
        <w:t xml:space="preserve">Apibendrinant galime daryti išvadą, kad nukentėjusiojo interesai yra tokie patys tiek viešojo, tiek privataus kaltinimo proceso formoje, tačiau jų procesinio realizavimo ypatumus privataus kaltinimo procese lemia privataus intereso dominavimas ir nukentėjusiojo kaip privataus kaltintojo procesinė padėtis šioje proceso formoje. </w:t>
      </w:r>
    </w:p>
    <w:p w:rsidR="003E3809" w:rsidRPr="00D149E5" w:rsidRDefault="00A02C70" w:rsidP="00D149E5">
      <w:pPr>
        <w:pStyle w:val="Antrat1"/>
        <w:rPr>
          <w:rStyle w:val="Antrat1Diagrama"/>
        </w:rPr>
      </w:pPr>
      <w:bookmarkStart w:id="175" w:name="_Toc315263135"/>
      <w:bookmarkStart w:id="176" w:name="_Toc315893178"/>
      <w:bookmarkStart w:id="177" w:name="_Toc316893916"/>
      <w:bookmarkStart w:id="178" w:name="_Toc320526513"/>
      <w:bookmarkStart w:id="179" w:name="_Toc332025996"/>
      <w:bookmarkStart w:id="180" w:name="_Toc333483936"/>
      <w:bookmarkStart w:id="181" w:name="_Toc365498848"/>
      <w:bookmarkStart w:id="182" w:name="_Toc370139910"/>
      <w:bookmarkStart w:id="183" w:name="_Toc400321690"/>
      <w:r w:rsidRPr="00CE37D0">
        <w:t>2</w:t>
      </w:r>
      <w:r w:rsidR="003E3809" w:rsidRPr="00CE37D0">
        <w:t>.</w:t>
      </w:r>
      <w:r w:rsidR="0092604A">
        <w:t xml:space="preserve"> </w:t>
      </w:r>
      <w:r w:rsidR="003E3809" w:rsidRPr="00CE37D0">
        <w:t>Privataus kaltintojo teisinė padėtis</w:t>
      </w:r>
      <w:bookmarkEnd w:id="175"/>
      <w:bookmarkEnd w:id="176"/>
      <w:bookmarkEnd w:id="177"/>
      <w:bookmarkEnd w:id="178"/>
      <w:bookmarkEnd w:id="179"/>
      <w:bookmarkEnd w:id="180"/>
      <w:bookmarkEnd w:id="181"/>
      <w:bookmarkEnd w:id="182"/>
      <w:bookmarkEnd w:id="183"/>
    </w:p>
    <w:p w:rsidR="003E3809" w:rsidRPr="00CE37D0" w:rsidRDefault="003E3809" w:rsidP="003E3809">
      <w:pPr>
        <w:spacing w:line="360" w:lineRule="auto"/>
        <w:ind w:firstLine="851"/>
        <w:jc w:val="both"/>
      </w:pPr>
      <w:r w:rsidRPr="00CE37D0">
        <w:t>Dispozityvumas kaip subjekto galimybė disponuoti savo teisėmis ir įgyvendinti jas v</w:t>
      </w:r>
      <w:r w:rsidR="00E57603">
        <w:t>adovaujantis savo interesais apibūdina</w:t>
      </w:r>
      <w:r w:rsidRPr="00CE37D0">
        <w:t xml:space="preserve"> nukentėjusiojo elgesio privataus kaltinimo bylų procese esmę. Dispozityvumas lemia nepriklausomos nuo valstybinių institucijų sprendimų procesinės figūros formavimąsi nuo pat kreipimosi į teismą su privataus kaltinimo skundu momento </w:t>
      </w:r>
      <w:r w:rsidRPr="00CE37D0">
        <w:rPr>
          <w:rStyle w:val="Puslapioinaosnuoroda"/>
        </w:rPr>
        <w:footnoteReference w:id="389"/>
      </w:r>
      <w:r w:rsidRPr="00CE37D0">
        <w:t xml:space="preserve"> ir </w:t>
      </w:r>
      <w:r w:rsidRPr="00CE37D0">
        <w:lastRenderedPageBreak/>
        <w:t xml:space="preserve">charakterizuoja privataus kaltintojo kaip proceso dalyvio vaidmenį </w:t>
      </w:r>
      <w:r w:rsidR="0092604A">
        <w:t>bei</w:t>
      </w:r>
      <w:r w:rsidRPr="00CE37D0">
        <w:t xml:space="preserve"> jo teisinės padėties ypatumus. </w:t>
      </w:r>
    </w:p>
    <w:p w:rsidR="003E3809" w:rsidRPr="00CE37D0" w:rsidRDefault="00A65EFE" w:rsidP="003E3809">
      <w:pPr>
        <w:spacing w:line="360" w:lineRule="auto"/>
        <w:ind w:firstLine="851"/>
        <w:jc w:val="both"/>
      </w:pPr>
      <w:r w:rsidRPr="00CE37D0">
        <w:t>P</w:t>
      </w:r>
      <w:r w:rsidR="003E3809" w:rsidRPr="00CE37D0">
        <w:t>rivat</w:t>
      </w:r>
      <w:r w:rsidR="005964B7">
        <w:t>a</w:t>
      </w:r>
      <w:r w:rsidR="003E3809" w:rsidRPr="00CE37D0">
        <w:t>us kaltintoj</w:t>
      </w:r>
      <w:r w:rsidR="005964B7">
        <w:t>o</w:t>
      </w:r>
      <w:r w:rsidR="0092604A">
        <w:t xml:space="preserve"> </w:t>
      </w:r>
      <w:r w:rsidR="005964B7">
        <w:t>teisinis statusas yra dvil</w:t>
      </w:r>
      <w:r w:rsidR="00487FA8">
        <w:t>ypis, kadangi</w:t>
      </w:r>
      <w:r w:rsidR="0092604A">
        <w:t xml:space="preserve"> </w:t>
      </w:r>
      <w:r w:rsidR="00487FA8" w:rsidRPr="00CE37D0">
        <w:t xml:space="preserve">tiesiogiai siejamas </w:t>
      </w:r>
      <w:r w:rsidR="00487FA8">
        <w:t xml:space="preserve">ir </w:t>
      </w:r>
      <w:r w:rsidR="00487FA8" w:rsidRPr="00CE37D0">
        <w:t>su nukentėjusiojo</w:t>
      </w:r>
      <w:r w:rsidR="00487FA8">
        <w:t>,</w:t>
      </w:r>
      <w:r w:rsidR="00487FA8" w:rsidRPr="00CE37D0">
        <w:t xml:space="preserve"> ir </w:t>
      </w:r>
      <w:r w:rsidR="00487FA8">
        <w:t>su</w:t>
      </w:r>
      <w:r w:rsidR="00487FA8" w:rsidRPr="00CE37D0">
        <w:t xml:space="preserve"> kaltintojo procesini</w:t>
      </w:r>
      <w:r w:rsidR="00487FA8">
        <w:t>ais</w:t>
      </w:r>
      <w:r w:rsidR="00487FA8" w:rsidRPr="00CE37D0">
        <w:t xml:space="preserve"> vaidmeni</w:t>
      </w:r>
      <w:r w:rsidR="00487FA8">
        <w:t xml:space="preserve">mis, t.y. privačiu kaltintoju </w:t>
      </w:r>
      <w:r w:rsidR="003E3809" w:rsidRPr="00CE37D0">
        <w:t xml:space="preserve">gali būti tik </w:t>
      </w:r>
      <w:r w:rsidRPr="00CE37D0">
        <w:t>tiesiogi</w:t>
      </w:r>
      <w:r w:rsidR="003E3809" w:rsidRPr="00CE37D0">
        <w:t xml:space="preserve">ai nuo nusikalstamos veikos nukentėjęs asmuo (ar </w:t>
      </w:r>
      <w:r w:rsidR="001B04CB">
        <w:t xml:space="preserve">jo </w:t>
      </w:r>
      <w:r w:rsidR="003E3809" w:rsidRPr="00CE37D0">
        <w:t>atstovas</w:t>
      </w:r>
      <w:r w:rsidR="001B04CB">
        <w:t xml:space="preserve"> pagal įstatymą</w:t>
      </w:r>
      <w:r w:rsidR="003E3809" w:rsidRPr="00CE37D0">
        <w:t>), pats arba per įgaliotą atstovą palaikantis kaltinimą privataus kaltinimo bylose</w:t>
      </w:r>
      <w:r w:rsidR="00487FA8">
        <w:t xml:space="preserve"> (BPK 34 str</w:t>
      </w:r>
      <w:r w:rsidR="00CC0743">
        <w:t>aipsnio</w:t>
      </w:r>
      <w:r w:rsidR="00487FA8">
        <w:t xml:space="preserve"> 1 d</w:t>
      </w:r>
      <w:r w:rsidR="00CC0743">
        <w:t>alis</w:t>
      </w:r>
      <w:r w:rsidR="00487FA8">
        <w:t>)</w:t>
      </w:r>
      <w:r w:rsidR="003E3809" w:rsidRPr="00CE37D0">
        <w:t xml:space="preserve">. Tačiau </w:t>
      </w:r>
      <w:r w:rsidRPr="00CE37D0">
        <w:t>privataus kaltintojo teisinės padėties apibrėžimas</w:t>
      </w:r>
      <w:r w:rsidR="0092604A">
        <w:t xml:space="preserve"> </w:t>
      </w:r>
      <w:r w:rsidR="00F71F2E" w:rsidRPr="00CE37D0">
        <w:t>susiej</w:t>
      </w:r>
      <w:r w:rsidRPr="00CE37D0">
        <w:t>ant</w:t>
      </w:r>
      <w:r w:rsidR="00F71F2E" w:rsidRPr="00CE37D0">
        <w:t xml:space="preserve"> su</w:t>
      </w:r>
      <w:r w:rsidR="0092604A">
        <w:t xml:space="preserve"> </w:t>
      </w:r>
      <w:r w:rsidRPr="00CE37D0">
        <w:t>nukentėjusiojo sąvok</w:t>
      </w:r>
      <w:r w:rsidR="00F71F2E" w:rsidRPr="00CE37D0">
        <w:t>a</w:t>
      </w:r>
      <w:r w:rsidR="0092604A">
        <w:t xml:space="preserve"> </w:t>
      </w:r>
      <w:r w:rsidR="003E3809" w:rsidRPr="00CE37D0">
        <w:t xml:space="preserve">kelia abejonių dėl savo tikslumo. </w:t>
      </w:r>
      <w:r w:rsidR="009023F3" w:rsidRPr="00CE37D0">
        <w:t xml:space="preserve">BPK </w:t>
      </w:r>
      <w:r w:rsidR="009023F3" w:rsidRPr="00CE37D0">
        <w:rPr>
          <w:bCs/>
        </w:rPr>
        <w:t>408 str</w:t>
      </w:r>
      <w:r w:rsidR="00E3730A">
        <w:rPr>
          <w:bCs/>
        </w:rPr>
        <w:t>aipsnyje</w:t>
      </w:r>
      <w:r w:rsidR="009023F3">
        <w:rPr>
          <w:bCs/>
        </w:rPr>
        <w:t xml:space="preserve"> teis</w:t>
      </w:r>
      <w:r w:rsidR="00E3730A">
        <w:rPr>
          <w:bCs/>
        </w:rPr>
        <w:t>ė</w:t>
      </w:r>
      <w:r w:rsidR="009023F3">
        <w:rPr>
          <w:bCs/>
        </w:rPr>
        <w:t xml:space="preserve"> paduoti skundą ir palaikyti kaltinimą privataus kaltinimo bylose suteikia</w:t>
      </w:r>
      <w:r w:rsidR="00E3730A">
        <w:rPr>
          <w:bCs/>
        </w:rPr>
        <w:t>ma</w:t>
      </w:r>
      <w:r w:rsidR="009023F3">
        <w:rPr>
          <w:bCs/>
        </w:rPr>
        <w:t xml:space="preserve"> nukentėjusiajam,</w:t>
      </w:r>
      <w:r w:rsidR="00256B92">
        <w:rPr>
          <w:bCs/>
        </w:rPr>
        <w:t xml:space="preserve"> </w:t>
      </w:r>
      <w:r w:rsidR="009023F3">
        <w:t>tačiau n</w:t>
      </w:r>
      <w:r w:rsidR="009023F3" w:rsidRPr="00CE37D0">
        <w:t>ukentėjusiuoju baudžiamajame procese asmuo tampa nuo jo pripažinimo nukentėjusiuoju ikiteisminio tyrimo pareigūno, prokuroro nutarimu ar teismo nutartimi momento</w:t>
      </w:r>
      <w:r w:rsidR="009023F3">
        <w:t>. S</w:t>
      </w:r>
      <w:r w:rsidR="009023F3" w:rsidRPr="00CE37D0">
        <w:t xml:space="preserve">kundo padavimo momentu </w:t>
      </w:r>
      <w:r w:rsidR="009023F3">
        <w:t>p</w:t>
      </w:r>
      <w:r w:rsidR="009023F3" w:rsidRPr="00CE37D0">
        <w:t xml:space="preserve">rivataus kaltinimo </w:t>
      </w:r>
      <w:r w:rsidR="009023F3">
        <w:t>teisę</w:t>
      </w:r>
      <w:r w:rsidR="0092604A">
        <w:t xml:space="preserve"> </w:t>
      </w:r>
      <w:r w:rsidR="009023F3">
        <w:t>įgyvendinantis</w:t>
      </w:r>
      <w:r w:rsidR="009023F3" w:rsidRPr="00CE37D0">
        <w:t xml:space="preserve"> asmuo negali turėti procesinio nukentėjusiojo statuso, kadangi jokiu procesiniu dokumentu jis nėra tokiu pripažintas. </w:t>
      </w:r>
      <w:r w:rsidR="009023F3">
        <w:t>Privataus kaltinimo skundą paduodantis a</w:t>
      </w:r>
      <w:r w:rsidR="009023F3" w:rsidRPr="00CE37D0">
        <w:t>smuo yra nukentėj</w:t>
      </w:r>
      <w:r w:rsidR="009023F3">
        <w:t>ęs</w:t>
      </w:r>
      <w:r w:rsidR="009023F3" w:rsidRPr="00CE37D0">
        <w:t xml:space="preserve"> nuo galimai jo atžvilgiu padarytos nusikalstamos veikos </w:t>
      </w:r>
      <w:r w:rsidR="009023F3" w:rsidRPr="00CE37D0">
        <w:rPr>
          <w:i/>
        </w:rPr>
        <w:t>de facto</w:t>
      </w:r>
      <w:r w:rsidR="009023F3" w:rsidRPr="00CE37D0">
        <w:t xml:space="preserve">, tačiau </w:t>
      </w:r>
      <w:r w:rsidR="009023F3" w:rsidRPr="00CE37D0">
        <w:rPr>
          <w:i/>
        </w:rPr>
        <w:t>de jure</w:t>
      </w:r>
      <w:r w:rsidR="009023F3" w:rsidRPr="00CE37D0">
        <w:t xml:space="preserve"> jis yra tik asmuo, turintis teisę paduoti privataus kaltinimo skundą ir palaikyti privatų kaltinimą teisme. </w:t>
      </w:r>
      <w:r w:rsidR="003E3809" w:rsidRPr="00CE37D0">
        <w:t xml:space="preserve">Įstatymų leidėjas „nukentėjusiojo“ sąvokai suteikia skirtingas reikšmes: vienais atvejais terminas naudojamas procesine, o kitais atvejais - materialiąja teisine prasme. </w:t>
      </w:r>
      <w:r w:rsidR="003E3809" w:rsidRPr="00CE37D0">
        <w:rPr>
          <w:vertAlign w:val="superscript"/>
        </w:rPr>
        <w:footnoteReference w:id="390"/>
      </w:r>
      <w:r w:rsidR="00256B92">
        <w:t xml:space="preserve"> </w:t>
      </w:r>
      <w:r w:rsidR="00CD3B63">
        <w:t>Dėl to n</w:t>
      </w:r>
      <w:r w:rsidR="003E3809" w:rsidRPr="00CE37D0">
        <w:t>ukentėjusio nuo galimai jo atžvilgiu padarytos nusikalstamos veikos asmens sąvoka dirbtinai įspraudžiama į nukentėjusiojo kaip procesinės figūros BPK 28 str</w:t>
      </w:r>
      <w:r w:rsidR="00E3730A">
        <w:t>aipsnio</w:t>
      </w:r>
      <w:r w:rsidR="003E3809" w:rsidRPr="00CE37D0">
        <w:t xml:space="preserve"> prasme sąvokos rėmus. </w:t>
      </w:r>
    </w:p>
    <w:p w:rsidR="003E3809" w:rsidRPr="00CE37D0" w:rsidRDefault="00CD3B63" w:rsidP="003E3809">
      <w:pPr>
        <w:spacing w:line="360" w:lineRule="auto"/>
        <w:ind w:firstLine="851"/>
        <w:jc w:val="both"/>
        <w:rPr>
          <w:rStyle w:val="IskirtacitataDiagrama"/>
        </w:rPr>
      </w:pPr>
      <w:r w:rsidRPr="00CE37D0">
        <w:t xml:space="preserve">Nesant tikslaus privataus kaltintojo statuso atsiradimo momento reglamentavimo BPK, </w:t>
      </w:r>
      <w:r w:rsidR="003E3809" w:rsidRPr="00CE37D0">
        <w:t xml:space="preserve">privataus kaltintojo </w:t>
      </w:r>
      <w:r>
        <w:t>ir</w:t>
      </w:r>
      <w:r w:rsidR="003E3809" w:rsidRPr="00CE37D0">
        <w:t xml:space="preserve"> nukentėjusiojo teisinio statuso atsiradimo moment</w:t>
      </w:r>
      <w:r>
        <w:t>o santykiui apibrėžti</w:t>
      </w:r>
      <w:r w:rsidR="003E3809" w:rsidRPr="00CE37D0">
        <w:t xml:space="preserve"> reikalinga išsamesnė teorinė analizė.</w:t>
      </w:r>
    </w:p>
    <w:p w:rsidR="003E3809" w:rsidRPr="00CE37D0" w:rsidRDefault="003E3809" w:rsidP="003E3809">
      <w:pPr>
        <w:spacing w:line="360" w:lineRule="auto"/>
        <w:ind w:firstLine="851"/>
        <w:jc w:val="both"/>
      </w:pPr>
      <w:r w:rsidRPr="00CE37D0">
        <w:t xml:space="preserve">Plačiąja prasme, asmuo privačiu kaltintoju tampa nuo skundo ar pareiškimo į teismą padavimo </w:t>
      </w:r>
      <w:r w:rsidR="00205CE3" w:rsidRPr="00CE37D0">
        <w:t>momento</w:t>
      </w:r>
      <w:r w:rsidRPr="00CE37D0">
        <w:t xml:space="preserve">, t.y. nuo asmens kreipimosi į teismą siekiant apginti pažeistą interesą. Nuo šio momento laikoma, kad prasideda privataus kaltinimo teisme procedūra. Ir nors tiesiogine prasme privatus kaltinimas, kaip </w:t>
      </w:r>
      <w:r w:rsidR="00205CE3" w:rsidRPr="00CE37D0">
        <w:t xml:space="preserve">baudžiamasis </w:t>
      </w:r>
      <w:r w:rsidRPr="00CE37D0">
        <w:t xml:space="preserve">persekiojimas, pradiniuose šio proceso etapuose nėra vykdomas, nukentėjusiojo valia dėl privataus kaltinimo jau yra išreikšta. Taigi bendriausia prasme privataus kaltintojo statuso pradžios momentas sutampa su privataus kaltinimo baudžiamojoje byloje pradžios momentu. </w:t>
      </w:r>
      <w:r w:rsidRPr="00CE37D0">
        <w:rPr>
          <w:vertAlign w:val="superscript"/>
        </w:rPr>
        <w:footnoteReference w:id="391"/>
      </w:r>
      <w:r w:rsidR="00205CE3" w:rsidRPr="00CE37D0">
        <w:t xml:space="preserve"> Vadinasi,</w:t>
      </w:r>
      <w:r w:rsidRPr="00CE37D0">
        <w:t xml:space="preserve"> nukentėjusiojo statuso atsiradimas nesutampa su privataus kaltintojo statuso atsiradimu</w:t>
      </w:r>
      <w:r w:rsidR="00B92BBD">
        <w:t>,</w:t>
      </w:r>
      <w:r w:rsidRPr="00CE37D0">
        <w:t xml:space="preserve"> kaip jis suprantamas </w:t>
      </w:r>
      <w:r w:rsidR="00205CE3" w:rsidRPr="00CE37D0">
        <w:t>plačiąja prasme. Skundo padavimo</w:t>
      </w:r>
      <w:r w:rsidRPr="00CE37D0">
        <w:t xml:space="preserve"> momentu nukentėjęs nuo nusikalstamos veikos asmuo pripažįstamas nukentėjusiuoju materialiąja prasme, </w:t>
      </w:r>
      <w:r w:rsidRPr="00CE37D0">
        <w:lastRenderedPageBreak/>
        <w:t xml:space="preserve">tačiau procesine prasme jis netampa nukentėjusiuoju iki formalaus teismo </w:t>
      </w:r>
      <w:r w:rsidR="00205CE3" w:rsidRPr="00CE37D0">
        <w:t>sprendi</w:t>
      </w:r>
      <w:r w:rsidRPr="00CE37D0">
        <w:t xml:space="preserve">mo. </w:t>
      </w:r>
      <w:r w:rsidR="00B92BBD">
        <w:t>Privataus kaltinto</w:t>
      </w:r>
      <w:r w:rsidR="00B92BBD" w:rsidRPr="00CE37D0">
        <w:t xml:space="preserve">jo </w:t>
      </w:r>
      <w:r w:rsidRPr="00CE37D0">
        <w:t xml:space="preserve">skundo padavimas </w:t>
      </w:r>
      <w:r w:rsidR="00205CE3" w:rsidRPr="00CE37D0">
        <w:t xml:space="preserve">savaime </w:t>
      </w:r>
      <w:r w:rsidRPr="00CE37D0">
        <w:t>ne</w:t>
      </w:r>
      <w:r w:rsidR="00205CE3" w:rsidRPr="00CE37D0">
        <w:t>suponuoj</w:t>
      </w:r>
      <w:r w:rsidRPr="00CE37D0">
        <w:t xml:space="preserve">a nukentėjusiojo teisinio statuso atsiradimo. </w:t>
      </w:r>
    </w:p>
    <w:p w:rsidR="003E3809" w:rsidRPr="00CE37D0" w:rsidRDefault="003E3809" w:rsidP="00305D0F">
      <w:pPr>
        <w:spacing w:line="360" w:lineRule="auto"/>
        <w:ind w:firstLine="851"/>
        <w:jc w:val="both"/>
      </w:pPr>
      <w:r w:rsidRPr="00CE37D0">
        <w:t>Siauruoju požiūriu</w:t>
      </w:r>
      <w:r w:rsidR="00205CE3" w:rsidRPr="00CE37D0">
        <w:t>,</w:t>
      </w:r>
      <w:r w:rsidRPr="00CE37D0">
        <w:t xml:space="preserve"> privataus kaltintojo statuso baudžiamojoje byloje atsiradimą lemia faktiniai ir juridiniai pagrindai. Faktinis šio statuso pagrindas yra </w:t>
      </w:r>
      <w:r w:rsidR="006B4F39" w:rsidRPr="00CE37D0">
        <w:t xml:space="preserve">visuma </w:t>
      </w:r>
      <w:r w:rsidRPr="00CE37D0">
        <w:t>duomenų, jog nukentėjusiam asmeniui nusikalstama veika padarė fizinės, turtinės ar moralinės žalos</w:t>
      </w:r>
      <w:r w:rsidR="00AB6364" w:rsidRPr="00CE37D0">
        <w:t>,</w:t>
      </w:r>
      <w:r w:rsidRPr="00CE37D0">
        <w:t xml:space="preserve"> ir tai, jog nukentėjusysis su skundu </w:t>
      </w:r>
      <w:r w:rsidR="006B4F39">
        <w:t xml:space="preserve">(ar </w:t>
      </w:r>
      <w:r w:rsidR="006B4F39" w:rsidRPr="00CE37D0">
        <w:t xml:space="preserve">jo atstovas </w:t>
      </w:r>
      <w:r w:rsidR="006B4F39">
        <w:t>su</w:t>
      </w:r>
      <w:r w:rsidRPr="00CE37D0">
        <w:t xml:space="preserve"> pareiškimu</w:t>
      </w:r>
      <w:r w:rsidR="006B4F39">
        <w:t>)</w:t>
      </w:r>
      <w:r w:rsidRPr="00CE37D0">
        <w:t xml:space="preserve"> kreipėsi į teismą dėl privataus kaltinimo pradėjimo. Privataus kaltintojo statuso atsiradimą lemia faktinis pagrindas – </w:t>
      </w:r>
      <w:r w:rsidR="00745B4E">
        <w:t xml:space="preserve">faktiniai duomenys apie </w:t>
      </w:r>
      <w:r w:rsidR="00B92BBD">
        <w:t xml:space="preserve">nusikalstamos veikos </w:t>
      </w:r>
      <w:r w:rsidR="007D4725">
        <w:t>požymių turint</w:t>
      </w:r>
      <w:r w:rsidR="00745B4E">
        <w:t>į</w:t>
      </w:r>
      <w:r w:rsidR="0092604A">
        <w:t xml:space="preserve"> </w:t>
      </w:r>
      <w:r w:rsidRPr="00CE37D0">
        <w:t>konflikt</w:t>
      </w:r>
      <w:r w:rsidR="00745B4E">
        <w:t>ą</w:t>
      </w:r>
      <w:r w:rsidR="0092604A">
        <w:t xml:space="preserve"> </w:t>
      </w:r>
      <w:r w:rsidR="00305D0F" w:rsidRPr="00CE37D0">
        <w:t xml:space="preserve">su kita šalimi </w:t>
      </w:r>
      <w:r w:rsidR="0012019B" w:rsidRPr="00CE37D0">
        <w:t>(</w:t>
      </w:r>
      <w:r w:rsidRPr="00CE37D0">
        <w:t>kaltininku</w:t>
      </w:r>
      <w:r w:rsidR="0012019B" w:rsidRPr="00CE37D0">
        <w:t>)</w:t>
      </w:r>
      <w:r w:rsidRPr="00CE37D0">
        <w:t xml:space="preserve">. </w:t>
      </w:r>
      <w:r w:rsidR="00AB6364" w:rsidRPr="00CE37D0">
        <w:t xml:space="preserve">Tačiau asmuo, padavęs skundą, </w:t>
      </w:r>
      <w:r w:rsidR="00745B4E">
        <w:t>gali ir neįgyti</w:t>
      </w:r>
      <w:r w:rsidR="00AB6364" w:rsidRPr="00CE37D0">
        <w:t xml:space="preserve"> privataus kaltintojo</w:t>
      </w:r>
      <w:r w:rsidR="0092604A">
        <w:t xml:space="preserve"> </w:t>
      </w:r>
      <w:r w:rsidR="00AB6364" w:rsidRPr="00CE37D0">
        <w:t>teisin</w:t>
      </w:r>
      <w:r w:rsidR="00745B4E">
        <w:t>io</w:t>
      </w:r>
      <w:r w:rsidR="00DD53AD">
        <w:t xml:space="preserve"> </w:t>
      </w:r>
      <w:r w:rsidRPr="00CE37D0">
        <w:t>status</w:t>
      </w:r>
      <w:r w:rsidR="00745B4E">
        <w:t>o</w:t>
      </w:r>
      <w:r w:rsidRPr="00CE37D0">
        <w:t xml:space="preserve"> (p</w:t>
      </w:r>
      <w:r w:rsidR="001C38DE">
        <w:t>avyzdžiui</w:t>
      </w:r>
      <w:r w:rsidR="00AB6364" w:rsidRPr="00CE37D0">
        <w:t>, jei</w:t>
      </w:r>
      <w:r w:rsidRPr="00CE37D0">
        <w:t xml:space="preserve"> atsisak</w:t>
      </w:r>
      <w:r w:rsidR="00AB6364" w:rsidRPr="00CE37D0">
        <w:t xml:space="preserve">oma pradėti procesą </w:t>
      </w:r>
      <w:r w:rsidRPr="00CE37D0">
        <w:t xml:space="preserve">BPK 412 </w:t>
      </w:r>
      <w:r w:rsidRPr="00CE37D0">
        <w:rPr>
          <w:vertAlign w:val="superscript"/>
        </w:rPr>
        <w:t>1</w:t>
      </w:r>
      <w:r w:rsidRPr="00CE37D0">
        <w:t xml:space="preserve"> str</w:t>
      </w:r>
      <w:r w:rsidR="00E3730A">
        <w:t>aipsnyje</w:t>
      </w:r>
      <w:r w:rsidR="00AB6364" w:rsidRPr="00CE37D0">
        <w:t xml:space="preserve"> numatytais pagrindais</w:t>
      </w:r>
      <w:r w:rsidRPr="00CE37D0">
        <w:t xml:space="preserve">). </w:t>
      </w:r>
      <w:r w:rsidR="00305D0F" w:rsidRPr="00CE37D0">
        <w:t>Analizuo</w:t>
      </w:r>
      <w:r w:rsidR="0012019B" w:rsidRPr="00CE37D0">
        <w:t>jant BPK XXX skyriaus nuostatas</w:t>
      </w:r>
      <w:r w:rsidR="0092604A">
        <w:t xml:space="preserve">, </w:t>
      </w:r>
      <w:r w:rsidR="00305D0F" w:rsidRPr="00CE37D0">
        <w:t xml:space="preserve">akivaizdu, kad </w:t>
      </w:r>
      <w:r w:rsidR="0012019B" w:rsidRPr="00CE37D0">
        <w:t>pozityvia</w:t>
      </w:r>
      <w:r w:rsidR="00305D0F" w:rsidRPr="00CE37D0">
        <w:t xml:space="preserve">jame reglamentavime privataus kaltintojo teisinio statuso atsiradimo momentas siejamas su kaltinimo funkcijos įgyvendinimo teisme pradžios momentu – teisiamojo posėdžio pradžia. </w:t>
      </w:r>
      <w:r w:rsidR="001C38DE">
        <w:t>N</w:t>
      </w:r>
      <w:r w:rsidRPr="00CE37D0">
        <w:t>utart</w:t>
      </w:r>
      <w:r w:rsidR="007D4725">
        <w:t>i</w:t>
      </w:r>
      <w:r w:rsidR="001C38DE">
        <w:t>mi</w:t>
      </w:r>
      <w:r w:rsidR="0092604A">
        <w:t xml:space="preserve"> </w:t>
      </w:r>
      <w:r w:rsidR="00190B03">
        <w:t>privataus kaltinimo</w:t>
      </w:r>
      <w:r w:rsidR="0092604A">
        <w:t xml:space="preserve"> </w:t>
      </w:r>
      <w:r w:rsidRPr="00CE37D0">
        <w:t xml:space="preserve">skundą </w:t>
      </w:r>
      <w:r w:rsidR="00190B03">
        <w:t xml:space="preserve">(teisėto atstovo pareiškimą) </w:t>
      </w:r>
      <w:r w:rsidRPr="00CE37D0">
        <w:t>perduoti nagrinėti teisiamajame posėdyje</w:t>
      </w:r>
      <w:r w:rsidR="0092604A">
        <w:t xml:space="preserve"> </w:t>
      </w:r>
      <w:r w:rsidR="007D4725">
        <w:t>(</w:t>
      </w:r>
      <w:r w:rsidR="007D4725" w:rsidRPr="00CE37D0">
        <w:t>BPK 413 str</w:t>
      </w:r>
      <w:r w:rsidR="00E3730A">
        <w:t>aipsnis</w:t>
      </w:r>
      <w:r w:rsidR="007D4725">
        <w:t>)</w:t>
      </w:r>
      <w:r w:rsidRPr="00CE37D0">
        <w:t xml:space="preserve"> skundą padavęs asmuo (</w:t>
      </w:r>
      <w:r w:rsidR="001C38DE">
        <w:t xml:space="preserve">pareiškimą padavusio atstovo </w:t>
      </w:r>
      <w:r w:rsidRPr="00CE37D0">
        <w:t xml:space="preserve">atstovaujamasis) pripažįstamas nukentėjusiuoju, </w:t>
      </w:r>
      <w:r w:rsidR="001C38DE">
        <w:t xml:space="preserve">o byla perduodama teisminiam nagrinėjimui, </w:t>
      </w:r>
      <w:r w:rsidRPr="00CE37D0">
        <w:t>todėl ši nutartis yra juridinis pagrindas tiek nukentėjusiojo, tiek privataus kaltinto</w:t>
      </w:r>
      <w:r w:rsidR="00305D0F" w:rsidRPr="00CE37D0">
        <w:t>jo teisiniam statusui atsirasti</w:t>
      </w:r>
      <w:r w:rsidR="005512AA">
        <w:t xml:space="preserve">. </w:t>
      </w:r>
      <w:r w:rsidRPr="00CE37D0">
        <w:rPr>
          <w:rStyle w:val="Puslapioinaosnuoroda"/>
        </w:rPr>
        <w:footnoteReference w:id="392"/>
      </w:r>
      <w:r w:rsidR="0092604A">
        <w:t xml:space="preserve"> </w:t>
      </w:r>
      <w:r w:rsidRPr="00CE37D0">
        <w:t>Taigi</w:t>
      </w:r>
      <w:r w:rsidR="0092604A">
        <w:t>,</w:t>
      </w:r>
      <w:r w:rsidRPr="00CE37D0">
        <w:t xml:space="preserve"> vertinant siauruoju požiūriu, tiek materialiąja, tiek formaliąja prasme nukentėjusiojo ir privataus kaltintojo teisinio statuso atsiradimo momentas sutampa. Iki teisiamojo posėdžio pradžios galime kalbėti tik apie nukentėjusįjį materialiąja prasme – asmenį, patyrusį fizinės, moralinės, materialinės žalos dėl </w:t>
      </w:r>
      <w:r w:rsidR="0092604A">
        <w:t xml:space="preserve">padarytos </w:t>
      </w:r>
      <w:r w:rsidRPr="00CE37D0">
        <w:t xml:space="preserve">nusikalstamos veikos jo atžvilgiu. </w:t>
      </w:r>
      <w:r w:rsidR="002B6B57" w:rsidRPr="00CE37D0">
        <w:t xml:space="preserve">Darytina išvada, kad faktinio ir juridinio proceso dalyvio teisinio statuso </w:t>
      </w:r>
      <w:r w:rsidR="001C38DE">
        <w:t>įgijimo pagrindų visuma tiksliai</w:t>
      </w:r>
      <w:r w:rsidR="002B6B57" w:rsidRPr="00CE37D0">
        <w:t xml:space="preserve"> apibrėžia privataus kaltintojo teisinio statuso atsiradimo momentą. </w:t>
      </w:r>
      <w:r w:rsidR="004B5817">
        <w:t>Šios pozicijos</w:t>
      </w:r>
      <w:r w:rsidR="002B6B57" w:rsidRPr="00CE37D0">
        <w:t>, kad privačiu kaltintoju asmuo tampa, kai atsiranda ir faktinis, ir juridinis pagrindas</w:t>
      </w:r>
      <w:r w:rsidR="004B5817">
        <w:t>,</w:t>
      </w:r>
      <w:r w:rsidR="0092604A">
        <w:t xml:space="preserve"> </w:t>
      </w:r>
      <w:r w:rsidR="004B5817">
        <w:t xml:space="preserve">laikomasi ir teismų praktikoje. </w:t>
      </w:r>
      <w:r w:rsidR="004B5817" w:rsidRPr="00CE37D0">
        <w:rPr>
          <w:vertAlign w:val="superscript"/>
        </w:rPr>
        <w:footnoteReference w:id="393"/>
      </w:r>
    </w:p>
    <w:p w:rsidR="003E3809" w:rsidRPr="00CE37D0" w:rsidRDefault="003E3809" w:rsidP="003E3809">
      <w:pPr>
        <w:spacing w:line="360" w:lineRule="auto"/>
        <w:ind w:firstLine="851"/>
        <w:jc w:val="both"/>
      </w:pPr>
      <w:r w:rsidRPr="00CE37D0">
        <w:t>Skundo padavimo stadijoje, taikinamajame posėdyje, teismui atliekant veiksmus iki teisiamojo posėdžio (</w:t>
      </w:r>
      <w:r w:rsidR="00205CE3" w:rsidRPr="00CE37D0">
        <w:t xml:space="preserve">BPK </w:t>
      </w:r>
      <w:r w:rsidR="001C38DE">
        <w:t>414 str</w:t>
      </w:r>
      <w:r w:rsidR="00E3730A">
        <w:t>aipsnis</w:t>
      </w:r>
      <w:r w:rsidR="001C38DE">
        <w:t xml:space="preserve">) </w:t>
      </w:r>
      <w:r w:rsidRPr="00CE37D0">
        <w:t>skundą padavęs asmuo</w:t>
      </w:r>
      <w:r w:rsidR="006B4F39">
        <w:t xml:space="preserve"> yra</w:t>
      </w:r>
      <w:r w:rsidR="0092604A">
        <w:t xml:space="preserve"> </w:t>
      </w:r>
      <w:r w:rsidR="001C38DE">
        <w:t>įvardij</w:t>
      </w:r>
      <w:r w:rsidRPr="00CE37D0">
        <w:t>amas nukentėjusiuoju (BPK 408 str</w:t>
      </w:r>
      <w:r w:rsidR="00E3730A">
        <w:t>aipsnis</w:t>
      </w:r>
      <w:r w:rsidRPr="00CE37D0">
        <w:t xml:space="preserve">) arba skundą ar pareiškimą padavusiu asmeniu (BPK 412 </w:t>
      </w:r>
      <w:r w:rsidRPr="00CE37D0">
        <w:rPr>
          <w:vertAlign w:val="superscript"/>
        </w:rPr>
        <w:t>1</w:t>
      </w:r>
      <w:r w:rsidRPr="00CE37D0">
        <w:t xml:space="preserve"> str</w:t>
      </w:r>
      <w:r w:rsidR="00E3730A">
        <w:t>aipsnis</w:t>
      </w:r>
      <w:r w:rsidRPr="00CE37D0">
        <w:t>). Tačiau</w:t>
      </w:r>
      <w:r w:rsidR="0092604A">
        <w:t>,</w:t>
      </w:r>
      <w:r w:rsidRPr="00CE37D0">
        <w:t xml:space="preserve"> siekiant tiksliai apibrėžti privataus kaltinimo proceso dalyvių teisinę padėtį, būtina tikslinti įstatyme naudojamas sąvokas. Iki bylos perdavimo teisiamajam posėdžiui proceso dalyvis, padavęs privataus kaltinimo skundą, vadintinas nuo nusikalstamos veikos nukentėjusiu asmeniu (pabrėžiant </w:t>
      </w:r>
      <w:r w:rsidRPr="00CE37D0">
        <w:lastRenderedPageBreak/>
        <w:t xml:space="preserve">materialųjį jo statuso elementą) arba skundą padavusiu asmeniu (akcentuojant procesinį jo teisinio statuso elementą). </w:t>
      </w:r>
    </w:p>
    <w:p w:rsidR="003E3809" w:rsidRPr="00CE37D0" w:rsidRDefault="00256B92" w:rsidP="003E3809">
      <w:pPr>
        <w:spacing w:line="360" w:lineRule="auto"/>
        <w:ind w:firstLine="851"/>
        <w:jc w:val="both"/>
      </w:pPr>
      <w:r w:rsidRPr="00256B92">
        <w:t xml:space="preserve">Su teisiamojo posėdžio pradžios momentu sutampa ir dar vienos procesinės figūros – kaltinamojo, t.y.  nagrinėjimo teisme dalyvio, atsiradimas (BPK 22 straipsnio 2 dalis). Taigi įstatymas yra nuoseklus ir kaltinamojo statusą privataus kaltinimo bylų procese sieja su teisminiu bylos nagrinėjimu. Taikinamasis posėdis nelaikytinas privataus kaltinimo bylos nagrinėjimu, todėl, BPK 22 straipsnio 2 dalies prasme, taikinamojo posėdžio dalyvis įvardijamas ne kaip kaltinamasis, o kaip nusikalstamos veikos padarymu kaltinamas asmuo. Tačiau jei privatus kaltintojas ima vykdyti kaltinimo veiklą tik teisiamajame posėdyje, kodėl taikinamojo posėdžio dalyvis vadinamas nusikalstamos veikos padarymu kaltinamu asmeniu? Atsižvelgiant į tai, kad iki teisiamojo posėdžio nėra kaltintojo, tai negali būti ir kaltinamo asmens. Todėl asmuo, dėl kurio galimai padarytos nusikalstamos veikos pradėtas privataus kaltinimo procesas, iki kaltinamojo procesinio statuso įgijimo turėtų būti įvardijamas nusikalstamos veikos padarymu įtariamu asmeniu (materialusis teisinio statuso elementas) arba asmeniu, kurio atžvilgiu paduotas privataus kaltinimo skundas (procesinis teisinio statuso elementas). Tai svarbu ne tik teoriškai apibrėžiant teisinio statuso atsiradimo momentą, bet ir praktiškai įgyvendinant savo teises: teisę į gynybą, teisę neduoti save kaltinančių parodymų, teisinės neliečiamybės garantijas ir kt. </w:t>
      </w:r>
      <w:r w:rsidR="00215CEA" w:rsidRPr="00CE37D0">
        <w:t>Privatus kaltintojas</w:t>
      </w:r>
      <w:r w:rsidR="00745B4E">
        <w:t>, lyginant su kitais baudžiamojo proceso dalyviais,</w:t>
      </w:r>
      <w:r w:rsidR="0092604A">
        <w:t xml:space="preserve"> </w:t>
      </w:r>
      <w:r w:rsidR="00745B4E">
        <w:t>įgyja papildomas</w:t>
      </w:r>
      <w:r w:rsidR="00215CEA" w:rsidRPr="00CE37D0">
        <w:t xml:space="preserve"> dispozityvi</w:t>
      </w:r>
      <w:r w:rsidR="00745B4E">
        <w:t>as</w:t>
      </w:r>
      <w:r w:rsidR="00215CEA" w:rsidRPr="00CE37D0">
        <w:t xml:space="preserve"> teis</w:t>
      </w:r>
      <w:r w:rsidR="00745B4E">
        <w:t>es</w:t>
      </w:r>
      <w:r w:rsidR="00215CEA" w:rsidRPr="00CE37D0">
        <w:t xml:space="preserve">. </w:t>
      </w:r>
      <w:r w:rsidR="008D570E" w:rsidRPr="00CE37D0">
        <w:t>Privatus kaltintoj</w:t>
      </w:r>
      <w:r w:rsidR="008D570E">
        <w:t xml:space="preserve">as įgyvendina teisinį statusą </w:t>
      </w:r>
      <w:r w:rsidR="00A913C3">
        <w:t xml:space="preserve">gindamas savo </w:t>
      </w:r>
      <w:r w:rsidR="008D570E">
        <w:t>material</w:t>
      </w:r>
      <w:r w:rsidR="00A913C3">
        <w:t>ųjį</w:t>
      </w:r>
      <w:r w:rsidR="008D570E">
        <w:t xml:space="preserve"> interes</w:t>
      </w:r>
      <w:r w:rsidR="00A913C3">
        <w:t>ą</w:t>
      </w:r>
      <w:r w:rsidR="0092604A">
        <w:t xml:space="preserve"> </w:t>
      </w:r>
      <w:r w:rsidR="0015684B">
        <w:t>(</w:t>
      </w:r>
      <w:r w:rsidR="008D570E" w:rsidRPr="00CE37D0">
        <w:t>pažeistų teisių gynyb</w:t>
      </w:r>
      <w:r w:rsidR="00A913C3">
        <w:t>a</w:t>
      </w:r>
      <w:r w:rsidR="0015684B">
        <w:t>)</w:t>
      </w:r>
      <w:r w:rsidR="0092604A">
        <w:t xml:space="preserve"> </w:t>
      </w:r>
      <w:r w:rsidR="008D570E" w:rsidRPr="00CE37D0">
        <w:t xml:space="preserve">bei </w:t>
      </w:r>
      <w:r w:rsidR="008D570E">
        <w:t>procesin</w:t>
      </w:r>
      <w:r w:rsidR="00A913C3">
        <w:t>į</w:t>
      </w:r>
      <w:r w:rsidR="008D570E">
        <w:t xml:space="preserve"> interes</w:t>
      </w:r>
      <w:r w:rsidR="00A913C3">
        <w:t>ą</w:t>
      </w:r>
      <w:r w:rsidR="0092604A">
        <w:t xml:space="preserve"> </w:t>
      </w:r>
      <w:r w:rsidR="0015684B">
        <w:t>(</w:t>
      </w:r>
      <w:r w:rsidR="008D570E" w:rsidRPr="00CE37D0">
        <w:t>kaltinimo funkcij</w:t>
      </w:r>
      <w:r w:rsidR="008D570E">
        <w:t>os vykdym</w:t>
      </w:r>
      <w:r w:rsidR="00A913C3">
        <w:t>as</w:t>
      </w:r>
      <w:r w:rsidR="0015684B">
        <w:t>)</w:t>
      </w:r>
      <w:r w:rsidR="008D570E" w:rsidRPr="00CE37D0">
        <w:t xml:space="preserve">. </w:t>
      </w:r>
      <w:r w:rsidR="00215CEA" w:rsidRPr="00CE37D0">
        <w:t>T</w:t>
      </w:r>
      <w:r w:rsidR="008D570E">
        <w:t>odėl t</w:t>
      </w:r>
      <w:r w:rsidR="00215CEA" w:rsidRPr="00CE37D0">
        <w:t>ik visapusiška</w:t>
      </w:r>
      <w:r w:rsidR="005512AA">
        <w:t>s</w:t>
      </w:r>
      <w:r w:rsidR="00215CEA" w:rsidRPr="00CE37D0">
        <w:t xml:space="preserve"> privataus kaltintojo teisinio statuso reglamenta</w:t>
      </w:r>
      <w:r w:rsidR="005512AA">
        <w:t>vimas</w:t>
      </w:r>
      <w:r w:rsidR="00215CEA" w:rsidRPr="00CE37D0">
        <w:t xml:space="preserve"> BPK gali sudaryti realaus privataus kaltinimo instituto funkcionavimo teisines prielaidas, </w:t>
      </w:r>
      <w:r w:rsidR="0092604A">
        <w:t>vadinasi,</w:t>
      </w:r>
      <w:r w:rsidR="00215CEA" w:rsidRPr="00CE37D0">
        <w:t xml:space="preserve"> privataus kaltintojo teisių ir pareigų analizė </w:t>
      </w:r>
      <w:r w:rsidR="0092604A">
        <w:t>yra ypač svarbi</w:t>
      </w:r>
      <w:r w:rsidR="00215CEA" w:rsidRPr="00CE37D0">
        <w:t xml:space="preserve"> nagrinėjant privataus kaltinimo institutą. </w:t>
      </w:r>
    </w:p>
    <w:p w:rsidR="00C876A6" w:rsidRPr="00CE37D0" w:rsidRDefault="0015684B" w:rsidP="00C876A6">
      <w:pPr>
        <w:spacing w:line="360" w:lineRule="auto"/>
        <w:ind w:firstLine="851"/>
        <w:jc w:val="both"/>
      </w:pPr>
      <w:r>
        <w:t xml:space="preserve">Privataus kaltintojo teisės </w:t>
      </w:r>
      <w:r w:rsidRPr="0015684B">
        <w:rPr>
          <w:i/>
        </w:rPr>
        <w:t>expressis verbis</w:t>
      </w:r>
      <w:r w:rsidR="00E3730A">
        <w:t xml:space="preserve"> įtvirtintos BPK 34 straipsnio</w:t>
      </w:r>
      <w:r>
        <w:t xml:space="preserve"> 2 d</w:t>
      </w:r>
      <w:r w:rsidR="00E3730A">
        <w:t>alyje</w:t>
      </w:r>
      <w:r>
        <w:t>: t</w:t>
      </w:r>
      <w:r w:rsidR="008D570E" w:rsidRPr="00CE37D0">
        <w:t>eisė palaikyti kaltinimą, pateikti įrodymus ir dalyvauti juos tiriant, dalyvauti baigiamosiose kalbose, teikti pasiūlymus teismui dėl teisiamajame posėdyje ištirtų įrodymų vertinimo, baudžiamųjų įstatymų taikymo, bausmės rūšies ir dydžio, nusikalstama veika padarytos žalos atlyginimo</w:t>
      </w:r>
      <w:r w:rsidR="00156A1E">
        <w:t>.</w:t>
      </w:r>
      <w:r w:rsidR="0092604A">
        <w:t xml:space="preserve"> </w:t>
      </w:r>
      <w:r w:rsidRPr="008D570E">
        <w:t>Privataus kaltinimo procesą reguliuojančios normos yra neatsiejamos nuo bendrųjų normų, todėl be BPK 34 str</w:t>
      </w:r>
      <w:r w:rsidR="00E3730A">
        <w:t>aipsnio</w:t>
      </w:r>
      <w:r>
        <w:t xml:space="preserve"> 2 d</w:t>
      </w:r>
      <w:r w:rsidR="00E3730A">
        <w:t>alyje</w:t>
      </w:r>
      <w:r w:rsidRPr="008D570E">
        <w:t xml:space="preserve"> numatytų teisių privatus kaltintojas naudojasi ir kitomis kaltintojo teisėmis</w:t>
      </w:r>
      <w:r w:rsidR="00156A1E">
        <w:t>, nesiejamomis su išimtine prokuroro kompetencija:</w:t>
      </w:r>
      <w:r w:rsidRPr="008D570E">
        <w:t xml:space="preserve"> iki įrodymų tyrimo teisme pabaigos pateikti rašytinį prašymą kaltinime nurodytos veikos faktines aplinkybes pakeisti iš esmės skirtingomis (BPK 256 str</w:t>
      </w:r>
      <w:r w:rsidR="00E3730A">
        <w:t>aipsnio</w:t>
      </w:r>
      <w:r w:rsidRPr="008D570E">
        <w:t xml:space="preserve"> 1 d</w:t>
      </w:r>
      <w:r w:rsidR="00E3730A">
        <w:t>alis</w:t>
      </w:r>
      <w:r w:rsidRPr="008D570E">
        <w:t>)</w:t>
      </w:r>
      <w:r>
        <w:t>,</w:t>
      </w:r>
      <w:r w:rsidR="00156A1E">
        <w:t xml:space="preserve"> reikšti nušalinimą (BPK 57 str</w:t>
      </w:r>
      <w:r w:rsidR="00E3730A">
        <w:t>aipsnis</w:t>
      </w:r>
      <w:r w:rsidR="00156A1E">
        <w:t>), susipažinti su baudžiamąja byla, daryti išrašus ar kopijas (BPK 237 str</w:t>
      </w:r>
      <w:r w:rsidR="00E3730A">
        <w:t>aipsnis</w:t>
      </w:r>
      <w:r w:rsidR="0013188F">
        <w:t>)</w:t>
      </w:r>
      <w:r w:rsidR="00156A1E">
        <w:t xml:space="preserve">, </w:t>
      </w:r>
      <w:r w:rsidR="00E775B0">
        <w:t>užduoti klausimus teisme (BPK 275 str</w:t>
      </w:r>
      <w:r w:rsidR="00E3730A">
        <w:t>aipsnis</w:t>
      </w:r>
      <w:r w:rsidR="00E775B0">
        <w:t>), dalyvauti sk</w:t>
      </w:r>
      <w:r w:rsidR="00E3730A">
        <w:t>el</w:t>
      </w:r>
      <w:r w:rsidR="002B3D3E">
        <w:t>biant nuosprendį (BPK 308 strai</w:t>
      </w:r>
      <w:r w:rsidR="00E3730A">
        <w:t>p</w:t>
      </w:r>
      <w:r w:rsidR="002B3D3E">
        <w:t>s</w:t>
      </w:r>
      <w:r w:rsidR="00E3730A">
        <w:t>nis</w:t>
      </w:r>
      <w:r w:rsidR="00E775B0">
        <w:t>), paduoti</w:t>
      </w:r>
      <w:r w:rsidR="00E3730A">
        <w:t xml:space="preserve"> apeliacinį skundą </w:t>
      </w:r>
      <w:r w:rsidR="00E3730A">
        <w:lastRenderedPageBreak/>
        <w:t>(BPK 312 straipsnis</w:t>
      </w:r>
      <w:r w:rsidR="00E775B0">
        <w:t>) bei jį atšaukti (BPK 316 str</w:t>
      </w:r>
      <w:r w:rsidR="00E3730A">
        <w:t>aipsnio 1 dalis</w:t>
      </w:r>
      <w:r w:rsidR="00E775B0">
        <w:t>), dalyvauti bylą nagrinėjant apeliacinės instancijos teismo posėdyje (</w:t>
      </w:r>
      <w:r w:rsidR="00C24EB1">
        <w:t>BPK 322 str</w:t>
      </w:r>
      <w:r w:rsidR="00E3730A">
        <w:t>aipsnis</w:t>
      </w:r>
      <w:r w:rsidR="00C24EB1">
        <w:t>)</w:t>
      </w:r>
      <w:r w:rsidR="005D4BA5">
        <w:t xml:space="preserve">, paduoti kasacinį skundą (BPK </w:t>
      </w:r>
      <w:r w:rsidR="00E3730A">
        <w:t>367 straipsnio</w:t>
      </w:r>
      <w:r w:rsidR="008B076B">
        <w:t xml:space="preserve"> 3 d</w:t>
      </w:r>
      <w:r w:rsidR="00E3730A">
        <w:t>alis</w:t>
      </w:r>
      <w:r w:rsidR="008B076B">
        <w:t>).</w:t>
      </w:r>
      <w:r w:rsidR="0092604A">
        <w:t xml:space="preserve"> </w:t>
      </w:r>
      <w:r w:rsidR="00C876A6" w:rsidRPr="00CE37D0">
        <w:t xml:space="preserve">Kitos privataus kaltintojo pareigos iš esmės sutampa su nukentėjusiojo procesinėmis galimybėmis: </w:t>
      </w:r>
      <w:r w:rsidR="00C876A6" w:rsidRPr="00CE37D0">
        <w:rPr>
          <w:rStyle w:val="Puslapioinaosnuoroda"/>
        </w:rPr>
        <w:footnoteReference w:id="394"/>
      </w:r>
      <w:r w:rsidR="00C876A6" w:rsidRPr="00CE37D0">
        <w:t xml:space="preserve"> duoti parodymus, atvykti kviečiamam dalyvauti procese bei laikytis nustatytos procesinės tvarkos. </w:t>
      </w:r>
      <w:r w:rsidR="00C876A6" w:rsidRPr="00CE37D0">
        <w:rPr>
          <w:rStyle w:val="Puslapioinaosnuoroda"/>
        </w:rPr>
        <w:footnoteReference w:id="395"/>
      </w:r>
      <w:r w:rsidR="00C876A6" w:rsidRPr="00CE37D0">
        <w:t xml:space="preserve"> Svarbi privataus kaltintojo pareiga yra privataus kaltinimo skunde nurodyti visus duomenis, kurių reikalauja BPK 412 str</w:t>
      </w:r>
      <w:r w:rsidR="00E3730A">
        <w:t>aipsnio</w:t>
      </w:r>
      <w:r w:rsidR="00C876A6" w:rsidRPr="00CE37D0">
        <w:t xml:space="preserve"> 2 d</w:t>
      </w:r>
      <w:r w:rsidR="00E3730A">
        <w:t>alies nuostatos</w:t>
      </w:r>
      <w:r w:rsidR="0074506D">
        <w:t>,</w:t>
      </w:r>
      <w:r w:rsidR="00C876A6" w:rsidRPr="00CE37D0">
        <w:rPr>
          <w:rStyle w:val="Puslapioinaosnuoroda"/>
        </w:rPr>
        <w:footnoteReference w:id="396"/>
      </w:r>
      <w:r w:rsidR="0092604A">
        <w:t xml:space="preserve"> </w:t>
      </w:r>
      <w:r w:rsidR="00C876A6" w:rsidRPr="00CE37D0">
        <w:t xml:space="preserve">nes priešingu atveju būtų pažeidžiama kaltinamojo teisė į teisingą teismą, taip pat teisė žinoti, kuo yra kaltinamas. </w:t>
      </w:r>
      <w:r w:rsidR="00C876A6" w:rsidRPr="00CE37D0">
        <w:rPr>
          <w:rStyle w:val="Puslapioinaosnuoroda"/>
        </w:rPr>
        <w:footnoteReference w:id="397"/>
      </w:r>
    </w:p>
    <w:p w:rsidR="00ED6481" w:rsidRPr="00CE37D0" w:rsidRDefault="00ED6481" w:rsidP="00ED6481">
      <w:pPr>
        <w:spacing w:line="360" w:lineRule="auto"/>
        <w:ind w:firstLine="851"/>
        <w:jc w:val="both"/>
      </w:pPr>
      <w:r w:rsidRPr="00CE37D0">
        <w:t xml:space="preserve">Privataus kaltintojo dvejopas teisinis statusas lemia ir jo pareigų apimties ypatumus. Privatus kaltintojas tuo pačiu metu yra ir nukentėjusysis, </w:t>
      </w:r>
      <w:r w:rsidR="00CE08D5">
        <w:t>todėl</w:t>
      </w:r>
      <w:r w:rsidRPr="00CE37D0">
        <w:t xml:space="preserve"> naudojasi nukentėjusiajam suteiktomis teisėmis </w:t>
      </w:r>
      <w:r w:rsidRPr="00CE37D0">
        <w:rPr>
          <w:rStyle w:val="Puslapioinaosnuoroda"/>
        </w:rPr>
        <w:footnoteReference w:id="398"/>
      </w:r>
      <w:r w:rsidR="0092604A">
        <w:t xml:space="preserve"> </w:t>
      </w:r>
      <w:r w:rsidR="006F58FA">
        <w:t>bei</w:t>
      </w:r>
      <w:r w:rsidR="0092604A">
        <w:t xml:space="preserve"> </w:t>
      </w:r>
      <w:r w:rsidR="006F58FA">
        <w:t xml:space="preserve">papildomai įgyja </w:t>
      </w:r>
      <w:r w:rsidRPr="00CE37D0">
        <w:t>privataus kaltintojo pareig</w:t>
      </w:r>
      <w:r w:rsidR="006F58FA">
        <w:t>a</w:t>
      </w:r>
      <w:r w:rsidRPr="00CE37D0">
        <w:t>s</w:t>
      </w:r>
      <w:r w:rsidR="006F58FA">
        <w:t>, naudojimasis kuriomis</w:t>
      </w:r>
      <w:r w:rsidRPr="00CE37D0">
        <w:t xml:space="preserve"> suponuoja kaltinimo funkcijos įgyvendinim</w:t>
      </w:r>
      <w:r w:rsidR="006F58FA">
        <w:t>ą</w:t>
      </w:r>
      <w:r w:rsidRPr="00CE37D0">
        <w:t xml:space="preserve">. Kaltinimo funkcija yra veikla, kuria palaikomas kaltinimas teisme ir kurios tikslas yra užtikrinti, kad asmeniui, padariusiam nusikalstamą veiką, būtų tinkamai pritaikytas įstatymas, t.y. jam būtų paskirta jo padarytą nusikalstamą veiką ir jo kaltę atitinkanti bausmė ar kitaip išspręstas jo atsakomybės klausimas. </w:t>
      </w:r>
      <w:r w:rsidRPr="00CE37D0">
        <w:rPr>
          <w:rStyle w:val="Puslapioinaosnuoroda"/>
        </w:rPr>
        <w:footnoteReference w:id="399"/>
      </w:r>
      <w:r w:rsidRPr="00CE37D0">
        <w:t xml:space="preserve"> </w:t>
      </w:r>
      <w:r w:rsidRPr="00DD53AD">
        <w:rPr>
          <w:i/>
        </w:rPr>
        <w:t>Kaltinimo funkcija gali būti apibrėžiama kaip visuma procesinių veiksmų, siekiant įkaltinti įtariamą asmenį, kuriam tuo pagrindu gali būti taikoma baudžiamajame įstatyme numatyta bausmė.</w:t>
      </w:r>
      <w:r w:rsidRPr="00CE37D0">
        <w:t xml:space="preserve"> </w:t>
      </w:r>
      <w:r w:rsidRPr="00CE37D0">
        <w:rPr>
          <w:rStyle w:val="Puslapioinaosnuoroda"/>
        </w:rPr>
        <w:footnoteReference w:id="400"/>
      </w:r>
      <w:r w:rsidRPr="00CE37D0">
        <w:t xml:space="preserve"> Taigi kaltinimo funkcijos turinys apima kaltinimo pa</w:t>
      </w:r>
      <w:r w:rsidR="0038032C">
        <w:t>laiky</w:t>
      </w:r>
      <w:r w:rsidRPr="00CE37D0">
        <w:t xml:space="preserve">mą </w:t>
      </w:r>
      <w:r w:rsidR="006F58FA">
        <w:t>teisminiame bylos nagrinėjime</w:t>
      </w:r>
      <w:r w:rsidRPr="00CE37D0">
        <w:t xml:space="preserve">, visus veiksmus, kurių gali arba privalo imtis privatus kaltintojas, siekdamas įrodyti kaltinimo teiginių pagrįstumą ir apkaltinti kaltinamąjį, </w:t>
      </w:r>
      <w:r w:rsidRPr="00CE37D0">
        <w:rPr>
          <w:i/>
        </w:rPr>
        <w:t>inter alia</w:t>
      </w:r>
      <w:r w:rsidRPr="00CE37D0">
        <w:t xml:space="preserve"> apima pareigą teikti įrodymus, dalyvauti bylą nagrinėjant teisme, pasakyti baigiamąją kalbą. Privataus kaltintojo funkcijos turinio elementai yra du: reikalavimas nubausti asmenį (būtinasis) ir reikalavimas atlyginti žalą (papildomas). </w:t>
      </w:r>
      <w:r w:rsidRPr="00CE37D0">
        <w:rPr>
          <w:rStyle w:val="Puslapioinaosnuoroda"/>
        </w:rPr>
        <w:footnoteReference w:id="401"/>
      </w:r>
    </w:p>
    <w:p w:rsidR="00ED6481" w:rsidRPr="00CE37D0" w:rsidRDefault="00ED6481" w:rsidP="00ED6481">
      <w:pPr>
        <w:spacing w:line="360" w:lineRule="auto"/>
        <w:ind w:firstLine="851"/>
        <w:jc w:val="both"/>
      </w:pPr>
      <w:r w:rsidRPr="00CE37D0">
        <w:lastRenderedPageBreak/>
        <w:t>Pagrindinė privataus kaltintojo pareiga yra kaltinimo palaikymas teisme. Privataus kaltintojo materialinis suinteresuotumas suponuoja pareigą aktyviai dalyvauti persekioj</w:t>
      </w:r>
      <w:r w:rsidR="00C009B5">
        <w:t>ant konflikto šalį – kaltinamąjį</w:t>
      </w:r>
      <w:r w:rsidRPr="00CE37D0">
        <w:t xml:space="preserve">. </w:t>
      </w:r>
      <w:r w:rsidR="00C009B5">
        <w:t>T</w:t>
      </w:r>
      <w:r w:rsidRPr="00CE37D0">
        <w:t xml:space="preserve">eisė </w:t>
      </w:r>
      <w:r w:rsidR="00C009B5">
        <w:t xml:space="preserve">inicijuoti privataus kaltinimo procesą </w:t>
      </w:r>
      <w:r w:rsidRPr="00CE37D0">
        <w:t xml:space="preserve">suteikiama išimtinai nuo nusikalstamos veikos nukentėjusiam asmeniui, tik jis gali spręsti: pasinaudoti ja, ar ne. </w:t>
      </w:r>
      <w:r w:rsidR="00693B65">
        <w:t>Dispozityvi yra ne tik privataus kaltinimo inicijavimo teisė, bet ir pareiga palaikyti p</w:t>
      </w:r>
      <w:r w:rsidRPr="00CE37D0">
        <w:t>rivat</w:t>
      </w:r>
      <w:r w:rsidR="00693B65">
        <w:t>ų</w:t>
      </w:r>
      <w:r w:rsidRPr="00CE37D0">
        <w:t xml:space="preserve"> kaltinim</w:t>
      </w:r>
      <w:r w:rsidR="00693B65">
        <w:t>ą</w:t>
      </w:r>
      <w:r w:rsidR="00EA21FE">
        <w:t>.</w:t>
      </w:r>
      <w:r w:rsidR="0074506D">
        <w:t xml:space="preserve"> </w:t>
      </w:r>
      <w:r w:rsidRPr="00CE37D0">
        <w:rPr>
          <w:vertAlign w:val="superscript"/>
        </w:rPr>
        <w:footnoteReference w:id="402"/>
      </w:r>
      <w:r w:rsidR="0092604A">
        <w:t xml:space="preserve"> </w:t>
      </w:r>
      <w:r w:rsidR="00693B65" w:rsidRPr="00CE37D0">
        <w:t xml:space="preserve">Kaltinimo </w:t>
      </w:r>
      <w:r w:rsidR="00693B65">
        <w:t>palaiky</w:t>
      </w:r>
      <w:r w:rsidR="00693B65" w:rsidRPr="00CE37D0">
        <w:t>mas priklauso nuo asmeninės nukentėjusio asmens valios</w:t>
      </w:r>
      <w:r w:rsidR="00693B65">
        <w:t>,</w:t>
      </w:r>
      <w:r w:rsidR="00693B65" w:rsidRPr="00CE37D0">
        <w:t xml:space="preserve"> todėl privatus kaltintojas jos </w:t>
      </w:r>
      <w:r w:rsidR="00693B65">
        <w:t xml:space="preserve">gali </w:t>
      </w:r>
      <w:r w:rsidR="00693B65" w:rsidRPr="00CE37D0">
        <w:t>atsisak</w:t>
      </w:r>
      <w:r w:rsidR="00693B65">
        <w:t>yti</w:t>
      </w:r>
      <w:r w:rsidR="0092604A">
        <w:t>,</w:t>
      </w:r>
      <w:r w:rsidR="00693B65">
        <w:t xml:space="preserve"> ir</w:t>
      </w:r>
      <w:r w:rsidR="00693B65" w:rsidRPr="00CE37D0">
        <w:t xml:space="preserve"> niekas kitas negali šio asmens pakeisti. Nors nukentėjusiam</w:t>
      </w:r>
      <w:r w:rsidR="0092604A">
        <w:t xml:space="preserve"> </w:t>
      </w:r>
      <w:r w:rsidR="00693B65">
        <w:t>asmeniui</w:t>
      </w:r>
      <w:r w:rsidR="00693B65" w:rsidRPr="00CE37D0">
        <w:t xml:space="preserve"> gali atstovauti jo teisėtas atstovas, tačiau jis negali savarankiškai priimti sprendimų dėl kaltinimo funkcijos įgyvendinimo.</w:t>
      </w:r>
      <w:r w:rsidR="00582A3A">
        <w:t xml:space="preserve"> </w:t>
      </w:r>
      <w:r w:rsidRPr="00CE37D0">
        <w:t>Privatus kaltintojas įgyvendina kaltinimo funkciją</w:t>
      </w:r>
      <w:r w:rsidR="0038032C">
        <w:t xml:space="preserve"> (palaiko kaltinimą)</w:t>
      </w:r>
      <w:r w:rsidRPr="00CE37D0">
        <w:t xml:space="preserve"> tik gindamas savo interesus, todėl jis nepriklausomas nuo trečiųjų asmenų valios ir nėra įpareigotas ginti kitų asmenų interesus. </w:t>
      </w:r>
      <w:r w:rsidR="0038032C">
        <w:t>S</w:t>
      </w:r>
      <w:r w:rsidRPr="00CE37D0">
        <w:t xml:space="preserve">avo pobūdžiu </w:t>
      </w:r>
      <w:r w:rsidR="0038032C">
        <w:t xml:space="preserve">privatus kaltinimas </w:t>
      </w:r>
      <w:r w:rsidRPr="00CE37D0">
        <w:t xml:space="preserve">skiriasi </w:t>
      </w:r>
      <w:r w:rsidR="00EA21FE">
        <w:t xml:space="preserve">nuo </w:t>
      </w:r>
      <w:r w:rsidRPr="00CE37D0">
        <w:t xml:space="preserve">prokuroro </w:t>
      </w:r>
      <w:r w:rsidR="0038032C">
        <w:t>palaikomo valstybinio kaltinimo:</w:t>
      </w:r>
      <w:r w:rsidR="00582A3A">
        <w:t xml:space="preserve"> </w:t>
      </w:r>
      <w:r w:rsidR="0038032C">
        <w:t>p</w:t>
      </w:r>
      <w:r w:rsidRPr="00CE37D0">
        <w:t>rivatus kaltintojas kaltina ne valstybės vardu, o savo paties</w:t>
      </w:r>
      <w:r w:rsidR="00582A3A">
        <w:t xml:space="preserve"> </w:t>
      </w:r>
      <w:r w:rsidRPr="00CE37D0">
        <w:t xml:space="preserve">vardu ir savo interesais, </w:t>
      </w:r>
      <w:r w:rsidR="0038032C">
        <w:t xml:space="preserve">todėl </w:t>
      </w:r>
      <w:r w:rsidRPr="00CE37D0">
        <w:t xml:space="preserve">jam negali būti primesta pareiga kaltinti ginant viešąjį interesą. </w:t>
      </w:r>
    </w:p>
    <w:p w:rsidR="003E3809" w:rsidRPr="00CE37D0" w:rsidRDefault="003E3809" w:rsidP="003E3809">
      <w:pPr>
        <w:spacing w:line="360" w:lineRule="auto"/>
        <w:ind w:firstLine="851"/>
        <w:jc w:val="both"/>
        <w:rPr>
          <w:i/>
        </w:rPr>
      </w:pPr>
      <w:r w:rsidRPr="00CE37D0">
        <w:t xml:space="preserve">Nors iš pirmo žvilgsnio privataus kaltintojo teisių įstatyminė reglamentacija atrodo aiški ir nesudaranti sąlygų dviprasmybėms, tačiau, analizuojant teismų praktiką, pastebėtina, kad teismai skirtingai aiškina privataus kaltintojo teises. Išanalizavus </w:t>
      </w:r>
      <w:r w:rsidR="008400FC">
        <w:t>300 procesinių</w:t>
      </w:r>
      <w:r w:rsidR="00C24EB1">
        <w:t xml:space="preserve"> sprendim</w:t>
      </w:r>
      <w:r w:rsidR="008400FC">
        <w:t>ų</w:t>
      </w:r>
      <w:r w:rsidR="00582A3A">
        <w:t xml:space="preserve"> </w:t>
      </w:r>
      <w:r w:rsidRPr="00CE37D0">
        <w:t>privataus kaltinimo byl</w:t>
      </w:r>
      <w:r w:rsidR="00C24EB1">
        <w:t xml:space="preserve">ose, išnagrinėtose </w:t>
      </w:r>
      <w:r w:rsidRPr="00CE37D0">
        <w:t xml:space="preserve">Vilniaus, Kauno, Klaipėdos, Panevėžio, Šiaulių apygardos teismuose apeliacine </w:t>
      </w:r>
      <w:r w:rsidR="008B076B">
        <w:t>tvark</w:t>
      </w:r>
      <w:r w:rsidRPr="00CE37D0">
        <w:t xml:space="preserve">a, </w:t>
      </w:r>
      <w:r w:rsidR="00E775B0">
        <w:t>pastebėta, kad</w:t>
      </w:r>
      <w:r w:rsidRPr="00CE37D0">
        <w:t xml:space="preserve"> Kauno apygardos teisme</w:t>
      </w:r>
      <w:r w:rsidR="00D15E49" w:rsidRPr="00CE37D0">
        <w:t xml:space="preserve"> iki 2012 m. rudens buvo taikoma praktika, kad</w:t>
      </w:r>
      <w:r w:rsidRPr="00CE37D0">
        <w:t xml:space="preserve"> privataus kaltinimo bylų apeliaciniame procese kaltinimą </w:t>
      </w:r>
      <w:r w:rsidR="00D15E49" w:rsidRPr="00CE37D0">
        <w:t xml:space="preserve">(privatų!) </w:t>
      </w:r>
      <w:r w:rsidRPr="00CE37D0">
        <w:t xml:space="preserve">palaiko prokuroras. </w:t>
      </w:r>
      <w:r w:rsidRPr="00CE37D0">
        <w:rPr>
          <w:rStyle w:val="Puslapioinaosnuoroda"/>
        </w:rPr>
        <w:footnoteReference w:id="403"/>
      </w:r>
      <w:r w:rsidR="00582A3A">
        <w:t xml:space="preserve"> </w:t>
      </w:r>
      <w:r w:rsidR="008B076B">
        <w:t>Iki 2014 m. kovo 13 d. nebuvus</w:t>
      </w:r>
      <w:r w:rsidRPr="00CE37D0">
        <w:t xml:space="preserve"> kasacinės instancijos, teismų praktika privataus kaltinimo bylų procese </w:t>
      </w:r>
      <w:r w:rsidR="008B076B">
        <w:t>nebuvo</w:t>
      </w:r>
      <w:r w:rsidRPr="00CE37D0">
        <w:t xml:space="preserve"> vienodinama ir tap</w:t>
      </w:r>
      <w:r w:rsidR="008B076B">
        <w:t>o</w:t>
      </w:r>
      <w:r w:rsidRPr="00CE37D0">
        <w:t xml:space="preserve"> lokali, kaip matyti iš apygardų teismų procesinių </w:t>
      </w:r>
      <w:r w:rsidR="00C876A6">
        <w:t>sprendim</w:t>
      </w:r>
      <w:r w:rsidR="00C876A6" w:rsidRPr="00CE37D0">
        <w:t xml:space="preserve">ų </w:t>
      </w:r>
      <w:r w:rsidRPr="00CE37D0">
        <w:t xml:space="preserve">analizės. Vieno apygardos teismo veiklos teritorijoje </w:t>
      </w:r>
      <w:r w:rsidR="008B076B">
        <w:t xml:space="preserve">buvo </w:t>
      </w:r>
      <w:r w:rsidRPr="00CE37D0">
        <w:t>susidar</w:t>
      </w:r>
      <w:r w:rsidR="008B076B">
        <w:t>iusi</w:t>
      </w:r>
      <w:r w:rsidRPr="00CE37D0">
        <w:t xml:space="preserve"> galimybė susiformuoti visai kitokiai praktikai nei kitoje apygardoje, kas, esant vieningai teismų sistemai</w:t>
      </w:r>
      <w:r w:rsidR="00D15E49" w:rsidRPr="00CE37D0">
        <w:t>,</w:t>
      </w:r>
      <w:r w:rsidRPr="00CE37D0">
        <w:t xml:space="preserve"> neturė</w:t>
      </w:r>
      <w:r w:rsidR="00425993">
        <w:t>jo</w:t>
      </w:r>
      <w:r w:rsidRPr="00CE37D0">
        <w:t xml:space="preserve"> būti </w:t>
      </w:r>
      <w:r w:rsidR="00EA21FE">
        <w:t>įmano</w:t>
      </w:r>
      <w:r w:rsidRPr="00CE37D0">
        <w:t>ma.</w:t>
      </w:r>
      <w:r w:rsidR="0074506D">
        <w:t xml:space="preserve"> </w:t>
      </w:r>
      <w:r w:rsidR="00763198">
        <w:rPr>
          <w:rStyle w:val="Puslapioinaosnuoroda"/>
        </w:rPr>
        <w:footnoteReference w:id="404"/>
      </w:r>
      <w:r w:rsidR="00425993">
        <w:t xml:space="preserve"> Tokia susiklosčiusi teismų praktika neatiti</w:t>
      </w:r>
      <w:r w:rsidRPr="00CE37D0">
        <w:t>k</w:t>
      </w:r>
      <w:r w:rsidR="00425993">
        <w:t>o</w:t>
      </w:r>
      <w:r w:rsidRPr="00CE37D0">
        <w:t xml:space="preserve"> asmenų teisėtų lūkesčių ir lygiateisiškumo prieš įstatymą principo</w:t>
      </w:r>
      <w:r w:rsidR="00582A3A">
        <w:t xml:space="preserve"> </w:t>
      </w:r>
      <w:r w:rsidR="00A913C3">
        <w:rPr>
          <w:rStyle w:val="Puslapioinaosnuoroda"/>
        </w:rPr>
        <w:footnoteReference w:id="405"/>
      </w:r>
      <w:r w:rsidR="00582A3A">
        <w:t xml:space="preserve"> </w:t>
      </w:r>
      <w:r w:rsidR="00425993">
        <w:t>bei sukūrė teisinio netikrumo situaciją</w:t>
      </w:r>
      <w:r w:rsidRPr="00CE37D0">
        <w:t>, ka</w:t>
      </w:r>
      <w:r w:rsidR="00D15E49" w:rsidRPr="00CE37D0">
        <w:t>i,</w:t>
      </w:r>
      <w:r w:rsidRPr="00CE37D0">
        <w:t xml:space="preserve"> esant tokioms pačioms sąlygoms, skirtingai interpretuojamas įstatymas. </w:t>
      </w:r>
      <w:r w:rsidR="00763198">
        <w:rPr>
          <w:rStyle w:val="Puslapioinaosnuoroda"/>
        </w:rPr>
        <w:footnoteReference w:id="406"/>
      </w:r>
    </w:p>
    <w:p w:rsidR="003E3809" w:rsidRPr="00CE37D0" w:rsidRDefault="003E3809" w:rsidP="003E3809">
      <w:pPr>
        <w:spacing w:line="360" w:lineRule="auto"/>
        <w:ind w:firstLine="851"/>
        <w:jc w:val="both"/>
      </w:pPr>
      <w:r w:rsidRPr="00CE37D0">
        <w:t xml:space="preserve">Taigi siekiant išsiaiškinti skirtingo įstatymo taikymo priežastis ir nustatyti įstatymo leidėjo valią, būtina detaliau išanalizuoti normas, reglamentuojančias privataus kaltintojo teisę dalyvauti teisminiame nagrinėjime. </w:t>
      </w:r>
    </w:p>
    <w:p w:rsidR="003328F6" w:rsidRPr="00EE2981" w:rsidRDefault="003E3809" w:rsidP="00CC2867">
      <w:pPr>
        <w:spacing w:line="360" w:lineRule="auto"/>
        <w:ind w:firstLine="851"/>
        <w:jc w:val="both"/>
      </w:pPr>
      <w:r w:rsidRPr="00EE2981">
        <w:lastRenderedPageBreak/>
        <w:t xml:space="preserve">Privatus kaltintojas turi teisę dalyvauti tiek pirmosios instancijos teismo posėdyje, tiek apeliaciniame </w:t>
      </w:r>
      <w:r w:rsidR="00EA21FE" w:rsidRPr="00EE2981">
        <w:t xml:space="preserve">bei kasaciniame </w:t>
      </w:r>
      <w:r w:rsidRPr="00EE2981">
        <w:t xml:space="preserve">procese. Tačiau </w:t>
      </w:r>
      <w:r w:rsidR="00425993" w:rsidRPr="00EE2981">
        <w:t>BPK 34 str</w:t>
      </w:r>
      <w:r w:rsidR="00E3730A" w:rsidRPr="00EE2981">
        <w:t>aipsnyje</w:t>
      </w:r>
      <w:r w:rsidRPr="00EE2981">
        <w:t xml:space="preserve"> </w:t>
      </w:r>
      <w:r w:rsidR="006C38C2" w:rsidRPr="00EE2981">
        <w:rPr>
          <w:i/>
        </w:rPr>
        <w:t>expressis verbis</w:t>
      </w:r>
      <w:r w:rsidR="006C38C2" w:rsidRPr="00EE2981">
        <w:t xml:space="preserve"> įvardytos tik </w:t>
      </w:r>
      <w:r w:rsidRPr="00EE2981">
        <w:t xml:space="preserve">privataus kaltintojo teisės nagrinėjant bylą pirmosios instancijos teisme. </w:t>
      </w:r>
      <w:r w:rsidR="006F58FA" w:rsidRPr="00EE2981">
        <w:t>P</w:t>
      </w:r>
      <w:r w:rsidRPr="00EE2981">
        <w:t>rivataus kaltintojo teisė dalyvauti apeliaciniame procese įstatym</w:t>
      </w:r>
      <w:r w:rsidR="006F58FA" w:rsidRPr="00EE2981">
        <w:t>o formuluotėje</w:t>
      </w:r>
      <w:r w:rsidRPr="00EE2981">
        <w:t xml:space="preserve"> nėra siejama su jokiais aktyviais veiksmais ar pareigomis</w:t>
      </w:r>
      <w:r w:rsidR="006C38C2" w:rsidRPr="00EE2981">
        <w:t xml:space="preserve"> </w:t>
      </w:r>
      <w:r w:rsidR="00E3730A" w:rsidRPr="00EE2981">
        <w:t>(BPK 34 straipsnio</w:t>
      </w:r>
      <w:r w:rsidRPr="00EE2981">
        <w:t xml:space="preserve"> 3 d</w:t>
      </w:r>
      <w:r w:rsidR="00E3730A" w:rsidRPr="00EE2981">
        <w:t>alis</w:t>
      </w:r>
      <w:r w:rsidRPr="00EE2981">
        <w:t>)</w:t>
      </w:r>
      <w:r w:rsidR="006C38C2" w:rsidRPr="00EE2981">
        <w:t xml:space="preserve">, o </w:t>
      </w:r>
      <w:r w:rsidR="00D63433" w:rsidRPr="00EE2981">
        <w:t xml:space="preserve">teisė dalyvauti kasaciniame procese </w:t>
      </w:r>
      <w:r w:rsidR="006C38C2" w:rsidRPr="00EE2981">
        <w:t xml:space="preserve">iš viso </w:t>
      </w:r>
      <w:r w:rsidR="00D63433" w:rsidRPr="00EE2981">
        <w:t xml:space="preserve">nėra </w:t>
      </w:r>
      <w:r w:rsidR="00CC6A92" w:rsidRPr="00EE2981">
        <w:t>nurodyt</w:t>
      </w:r>
      <w:r w:rsidR="00D63433" w:rsidRPr="00EE2981">
        <w:t>a</w:t>
      </w:r>
      <w:r w:rsidRPr="00EE2981">
        <w:t xml:space="preserve"> BPK</w:t>
      </w:r>
      <w:r w:rsidR="00D63433" w:rsidRPr="00EE2981">
        <w:t xml:space="preserve"> 34 straipsnyje</w:t>
      </w:r>
      <w:r w:rsidR="006C38C2" w:rsidRPr="00EE2981">
        <w:t xml:space="preserve">. </w:t>
      </w:r>
      <w:r w:rsidR="00EE2981" w:rsidRPr="00EE2981">
        <w:t xml:space="preserve">Toks privataus kaltintojo teisių reglamentavimas nėra tikslus. </w:t>
      </w:r>
      <w:r w:rsidRPr="00EE2981">
        <w:t xml:space="preserve">XXX skyriuje reglamentuojamas privataus kaltinimo procesas nuo skundo padavimo momento iki proceso pirmosios instancijos teisme pabaigos. Nesant </w:t>
      </w:r>
      <w:r w:rsidR="00582A3A" w:rsidRPr="00EE2981">
        <w:t xml:space="preserve">specialiojo reglamentavimo </w:t>
      </w:r>
      <w:r w:rsidRPr="00EE2981">
        <w:t>privataus kaltinimo bylų proceso apeliacinėje</w:t>
      </w:r>
      <w:r w:rsidR="00570950" w:rsidRPr="00EE2981">
        <w:t xml:space="preserve"> bei kasacinėje</w:t>
      </w:r>
      <w:r w:rsidRPr="00EE2981">
        <w:t xml:space="preserve"> instancijo</w:t>
      </w:r>
      <w:r w:rsidR="00570950" w:rsidRPr="00EE2981">
        <w:t>s</w:t>
      </w:r>
      <w:r w:rsidRPr="00EE2981">
        <w:t xml:space="preserve">e, darytina išvada, kad apeliacinis </w:t>
      </w:r>
      <w:r w:rsidR="00570950" w:rsidRPr="00EE2981">
        <w:t>bei kasacinis procesai</w:t>
      </w:r>
      <w:r w:rsidRPr="00EE2981">
        <w:t xml:space="preserve"> vyksta pagal bendrąsias </w:t>
      </w:r>
      <w:r w:rsidR="00570950" w:rsidRPr="00EE2981">
        <w:t>šiems procesams taikomas</w:t>
      </w:r>
      <w:r w:rsidRPr="00EE2981">
        <w:t xml:space="preserve"> taisykles, numatytas BPK VI</w:t>
      </w:r>
      <w:r w:rsidR="003328F6" w:rsidRPr="00EE2981">
        <w:t xml:space="preserve"> bei VIII dalys</w:t>
      </w:r>
      <w:r w:rsidRPr="00EE2981">
        <w:t>e</w:t>
      </w:r>
      <w:r w:rsidR="00EE2981" w:rsidRPr="00EE2981">
        <w:t>, tačiau su išimtimis, būdingomis privataus kaltinimo bylų procesui</w:t>
      </w:r>
      <w:r w:rsidRPr="00EE2981">
        <w:t>.</w:t>
      </w:r>
      <w:r w:rsidR="00EE2981" w:rsidRPr="00EE2981">
        <w:t xml:space="preserve"> Todėl BPK 34 straipsnyje turi būti</w:t>
      </w:r>
      <w:r w:rsidRPr="00EE2981">
        <w:t xml:space="preserve"> </w:t>
      </w:r>
      <w:r w:rsidR="00EE2981" w:rsidRPr="00EE2981">
        <w:t>numatytos privataus kaltintojo teisės ne tik nagrinėjant bylą pirmojoje instancijoje, bet viso proceso metu, o apeliacinį ir kasacinį procesą reglamentuojančios nuostatos turi būti keičiamos, numatant proceso dalyvį – privatų kaltintoją (žr. pasiūlymus).</w:t>
      </w:r>
    </w:p>
    <w:p w:rsidR="003E3809" w:rsidRPr="00EE2981" w:rsidRDefault="003E3809" w:rsidP="00CC2867">
      <w:pPr>
        <w:spacing w:line="360" w:lineRule="auto"/>
        <w:ind w:firstLine="851"/>
        <w:jc w:val="both"/>
      </w:pPr>
      <w:r w:rsidRPr="00EE2981">
        <w:t>BPK 322 str</w:t>
      </w:r>
      <w:r w:rsidR="00E3730A" w:rsidRPr="00EE2981">
        <w:t>aipsnyje</w:t>
      </w:r>
      <w:r w:rsidRPr="00EE2981">
        <w:t xml:space="preserve"> privatus kaltintojas yra minimas tarp asmenų, kurie turi teisę dalyvauti </w:t>
      </w:r>
      <w:r w:rsidR="003328F6" w:rsidRPr="00EE2981">
        <w:t xml:space="preserve">apeliacinės instancijos teismo </w:t>
      </w:r>
      <w:r w:rsidRPr="00EE2981">
        <w:t>posėdyje, o jo neatvykimas, jeigu jam buvo laiku pranešta apie bylos nagrinėjimo laiką, nekliudo nagrinėti bylą. Tačiau tok</w:t>
      </w:r>
      <w:r w:rsidR="003328F6" w:rsidRPr="00EE2981">
        <w:t>s</w:t>
      </w:r>
      <w:r w:rsidRPr="00EE2981">
        <w:t xml:space="preserve"> reglamenta</w:t>
      </w:r>
      <w:r w:rsidR="003328F6" w:rsidRPr="00EE2981">
        <w:t>vimas</w:t>
      </w:r>
      <w:r w:rsidRPr="00EE2981">
        <w:t xml:space="preserve"> negali būti suprantama</w:t>
      </w:r>
      <w:r w:rsidR="0004453A" w:rsidRPr="00EE2981">
        <w:t>s</w:t>
      </w:r>
      <w:r w:rsidRPr="00EE2981">
        <w:t xml:space="preserve"> kaip prokuroro pareiga palaikyti valstybinį kaltinimą </w:t>
      </w:r>
      <w:r w:rsidR="00C876A6" w:rsidRPr="00EE2981">
        <w:t xml:space="preserve">privataus kaltinimo byloje </w:t>
      </w:r>
      <w:r w:rsidRPr="00EE2981">
        <w:t>apeliaciniame procese</w:t>
      </w:r>
      <w:r w:rsidR="00CC2867" w:rsidRPr="00EE2981">
        <w:t xml:space="preserve">. </w:t>
      </w:r>
      <w:r w:rsidR="0004453A" w:rsidRPr="00EE2981">
        <w:t xml:space="preserve">Ši samprata kyla iš klaidingo BPK 322 straipsnio 1 dalies nuostatos, kuri numato, kad dalyvauti teismo posėdyje nagrinėjant bylą apeliacine tvarka turi prokuroras ir gynėjas, aiškinimo. </w:t>
      </w:r>
      <w:r w:rsidR="00CC6A92" w:rsidRPr="00EE2981">
        <w:t xml:space="preserve">Lygiai taip pat BPK 375 straipsnio 1 dalies nuostata, kad prokuroras dalyvauja nagrinėjant kasacinę bylą žodinio proceso tvarka, negali būti aiškinama kaip prokuroro pareiga palaikyti kaltinimą privataus kaltinimo byloje kasacinėje instancijoje. </w:t>
      </w:r>
      <w:r w:rsidR="00CC2867" w:rsidRPr="00EE2981">
        <w:t>Teisės taikymo klaidas lemia</w:t>
      </w:r>
      <w:r w:rsidRPr="00EE2981">
        <w:t xml:space="preserve"> bendr</w:t>
      </w:r>
      <w:r w:rsidR="0004453A" w:rsidRPr="00EE2981">
        <w:t>ųjų</w:t>
      </w:r>
      <w:r w:rsidRPr="00EE2981">
        <w:t xml:space="preserve"> ir speciali</w:t>
      </w:r>
      <w:r w:rsidR="0004453A" w:rsidRPr="00EE2981">
        <w:t>ųjų</w:t>
      </w:r>
      <w:r w:rsidRPr="00EE2981">
        <w:t xml:space="preserve"> normų ko</w:t>
      </w:r>
      <w:r w:rsidR="006C2AC7" w:rsidRPr="00EE2981">
        <w:t>nkurenci</w:t>
      </w:r>
      <w:r w:rsidRPr="00EE2981">
        <w:t>ja. Bendra norma numato privalomą prokuroro dalyvavimą apeliaciniame procese</w:t>
      </w:r>
      <w:r w:rsidR="0004453A" w:rsidRPr="00EE2981">
        <w:t xml:space="preserve"> bei žodiniame kasacinės bylos nagrinėjime</w:t>
      </w:r>
      <w:r w:rsidRPr="00EE2981">
        <w:t>, tačiau privataus kaltinimo bylų procesą reglamentuojanti specialioji norma numato, kad „privataus kaltinimo bylose [...] kaltinimą</w:t>
      </w:r>
      <w:r w:rsidR="00CC2867" w:rsidRPr="00EE2981">
        <w:t xml:space="preserve"> teisme palaiko nukentėjusysis“</w:t>
      </w:r>
      <w:r w:rsidR="00425993" w:rsidRPr="00EE2981">
        <w:t xml:space="preserve"> (BPK 408 str</w:t>
      </w:r>
      <w:r w:rsidR="00E3730A" w:rsidRPr="00EE2981">
        <w:t>aipsnio</w:t>
      </w:r>
      <w:r w:rsidR="00425993" w:rsidRPr="00EE2981">
        <w:t xml:space="preserve"> 1 d</w:t>
      </w:r>
      <w:r w:rsidR="00E3730A" w:rsidRPr="00EE2981">
        <w:t>alis</w:t>
      </w:r>
      <w:r w:rsidRPr="00EE2981">
        <w:t xml:space="preserve">). Kaltinimo palaikymas reiškia kaltinimo funkcijos vykdymą tiek pirmosios instancijos, tiek apeliacinės </w:t>
      </w:r>
      <w:r w:rsidR="0004453A" w:rsidRPr="00EE2981">
        <w:t xml:space="preserve">ir kasacinės </w:t>
      </w:r>
      <w:r w:rsidRPr="00EE2981">
        <w:t xml:space="preserve">instancijos teisme, todėl ši norma vertintina kaip specialioji BPK 322 </w:t>
      </w:r>
      <w:r w:rsidR="0004453A" w:rsidRPr="00EE2981">
        <w:t xml:space="preserve">ir 375 </w:t>
      </w:r>
      <w:r w:rsidRPr="00EE2981">
        <w:t>str</w:t>
      </w:r>
      <w:r w:rsidR="00E3730A" w:rsidRPr="00EE2981">
        <w:t>aipsn</w:t>
      </w:r>
      <w:r w:rsidR="0004453A" w:rsidRPr="00EE2981">
        <w:t>iuose</w:t>
      </w:r>
      <w:r w:rsidR="00CC2867" w:rsidRPr="00EE2981">
        <w:t xml:space="preserve"> įtvirtint</w:t>
      </w:r>
      <w:r w:rsidR="0004453A" w:rsidRPr="00EE2981">
        <w:t>ų</w:t>
      </w:r>
      <w:r w:rsidR="00CC2867" w:rsidRPr="00EE2981">
        <w:t xml:space="preserve"> norm</w:t>
      </w:r>
      <w:r w:rsidR="0004453A" w:rsidRPr="00EE2981">
        <w:t>ų</w:t>
      </w:r>
      <w:r w:rsidRPr="00EE2981">
        <w:t xml:space="preserve"> atžvilgiu. BPK 34 str</w:t>
      </w:r>
      <w:r w:rsidR="00E3730A" w:rsidRPr="00EE2981">
        <w:t>aipsnio</w:t>
      </w:r>
      <w:r w:rsidR="00425993" w:rsidRPr="00EE2981">
        <w:t xml:space="preserve"> 2 ir 3 d</w:t>
      </w:r>
      <w:r w:rsidR="00E3730A" w:rsidRPr="00EE2981">
        <w:t>alyse</w:t>
      </w:r>
      <w:r w:rsidRPr="00EE2981">
        <w:t xml:space="preserve"> numatytas skirtingas </w:t>
      </w:r>
      <w:r w:rsidR="00CC2867" w:rsidRPr="00EE2981">
        <w:t xml:space="preserve">teisinis </w:t>
      </w:r>
      <w:r w:rsidRPr="00EE2981">
        <w:t>reg</w:t>
      </w:r>
      <w:r w:rsidR="006C2AC7" w:rsidRPr="00EE2981">
        <w:t>uli</w:t>
      </w:r>
      <w:r w:rsidRPr="00EE2981">
        <w:t>avimas, išskiriant kaltinimo pareigą pirmosios instancijos teisme ir kaltinimo teisę apeliaciniame procese</w:t>
      </w:r>
      <w:r w:rsidR="00425993" w:rsidRPr="00EE2981">
        <w:t>,</w:t>
      </w:r>
      <w:r w:rsidRPr="00EE2981">
        <w:t xml:space="preserve"> aiškintinas kaip </w:t>
      </w:r>
      <w:r w:rsidR="001848EE" w:rsidRPr="00EE2981">
        <w:t>teisės į apeliaciją</w:t>
      </w:r>
      <w:r w:rsidRPr="00EE2981">
        <w:t xml:space="preserve"> įstatyminis įtvirtinimas, o ne kaltinimo funkcijos perdavimas prokurorui. Sisteminio </w:t>
      </w:r>
      <w:r w:rsidR="0004453A" w:rsidRPr="00EE2981">
        <w:t xml:space="preserve">teisės </w:t>
      </w:r>
      <w:r w:rsidRPr="00EE2981">
        <w:t>normų aiškinimo teisingum</w:t>
      </w:r>
      <w:r w:rsidR="00E9528C" w:rsidRPr="00EE2981">
        <w:t>as</w:t>
      </w:r>
      <w:r w:rsidRPr="00EE2981">
        <w:t xml:space="preserve"> pa</w:t>
      </w:r>
      <w:r w:rsidR="00E9528C" w:rsidRPr="00EE2981">
        <w:t>tvirtinamas</w:t>
      </w:r>
      <w:r w:rsidRPr="00EE2981">
        <w:t xml:space="preserve"> ir </w:t>
      </w:r>
      <w:r w:rsidR="00E9528C" w:rsidRPr="00EE2981">
        <w:t xml:space="preserve">analizuojant </w:t>
      </w:r>
      <w:r w:rsidRPr="00EE2981">
        <w:t>materialini</w:t>
      </w:r>
      <w:r w:rsidR="00E9528C" w:rsidRPr="00EE2981">
        <w:t>us bei procesinius</w:t>
      </w:r>
      <w:r w:rsidRPr="00EE2981">
        <w:t xml:space="preserve"> privataus kaltinimo </w:t>
      </w:r>
      <w:r w:rsidR="00E9528C" w:rsidRPr="00EE2981">
        <w:t xml:space="preserve">diferencijavimo </w:t>
      </w:r>
      <w:r w:rsidRPr="00EE2981">
        <w:t>pagrind</w:t>
      </w:r>
      <w:r w:rsidR="00E9528C" w:rsidRPr="00EE2981">
        <w:t>us</w:t>
      </w:r>
      <w:r w:rsidRPr="00EE2981">
        <w:t xml:space="preserve">. Nepriklausomai nuo </w:t>
      </w:r>
      <w:r w:rsidRPr="00EE2981">
        <w:lastRenderedPageBreak/>
        <w:t xml:space="preserve">instancijos, privatus interesas dėl konflikto išsprendimo dominuoja, o šalys, jų santykiai ir nusikalstama veika nepakeičia savo pobūdžio, todėl tie patys motyvai, dėl kurių byla buvo priskirta privataus kaltinimo bylų kategorijai taikytini </w:t>
      </w:r>
      <w:r w:rsidR="00E9528C" w:rsidRPr="00EE2981">
        <w:rPr>
          <w:i/>
        </w:rPr>
        <w:t>inter alia</w:t>
      </w:r>
      <w:r w:rsidR="00582A3A" w:rsidRPr="00EE2981">
        <w:rPr>
          <w:i/>
        </w:rPr>
        <w:t xml:space="preserve"> </w:t>
      </w:r>
      <w:r w:rsidR="00E9528C" w:rsidRPr="00EE2981">
        <w:t xml:space="preserve">ir </w:t>
      </w:r>
      <w:r w:rsidRPr="00EE2981">
        <w:t xml:space="preserve">apeliaciniam </w:t>
      </w:r>
      <w:r w:rsidR="006C2AC7" w:rsidRPr="00EE2981">
        <w:t xml:space="preserve">bei kasaciniam </w:t>
      </w:r>
      <w:r w:rsidRPr="00EE2981">
        <w:t>procesui. Todėl prokuroro dalyvavimas ir privataus kaltinimo perėjimas į viešą apeliaciniame</w:t>
      </w:r>
      <w:r w:rsidR="0004453A" w:rsidRPr="00EE2981">
        <w:t xml:space="preserve"> bei kasaciniame</w:t>
      </w:r>
      <w:r w:rsidRPr="00EE2981">
        <w:t xml:space="preserve"> procese </w:t>
      </w:r>
      <w:r w:rsidRPr="00EE2981">
        <w:rPr>
          <w:i/>
        </w:rPr>
        <w:t>per se</w:t>
      </w:r>
      <w:r w:rsidRPr="00EE2981">
        <w:t xml:space="preserve"> yra nepagrįstas</w:t>
      </w:r>
      <w:r w:rsidR="0080403C" w:rsidRPr="00EE2981">
        <w:t xml:space="preserve"> bei prieštarauja privataus kaltinimo perėjimo į viešą taisyklėms, numatytoms BPK 409 str</w:t>
      </w:r>
      <w:r w:rsidR="00E3730A" w:rsidRPr="00EE2981">
        <w:t>aipsnyje</w:t>
      </w:r>
      <w:r w:rsidR="0080403C" w:rsidRPr="00EE2981">
        <w:t>.</w:t>
      </w:r>
    </w:p>
    <w:p w:rsidR="003E3809" w:rsidRPr="00CE37D0" w:rsidRDefault="007F5F7F" w:rsidP="00F93861">
      <w:pPr>
        <w:pStyle w:val="Antrat1"/>
        <w:numPr>
          <w:ilvl w:val="0"/>
          <w:numId w:val="21"/>
        </w:numPr>
      </w:pPr>
      <w:bookmarkStart w:id="184" w:name="_Toc315263136"/>
      <w:bookmarkStart w:id="185" w:name="_Toc315893183"/>
      <w:bookmarkStart w:id="186" w:name="_Toc316893921"/>
      <w:bookmarkStart w:id="187" w:name="_Toc320526518"/>
      <w:bookmarkStart w:id="188" w:name="_Toc332026001"/>
      <w:bookmarkStart w:id="189" w:name="_Toc333483941"/>
      <w:bookmarkStart w:id="190" w:name="_Toc365498852"/>
      <w:bookmarkStart w:id="191" w:name="_Toc370139913"/>
      <w:bookmarkStart w:id="192" w:name="_Toc400321691"/>
      <w:r>
        <w:t xml:space="preserve">Perėjimo iš privataus kaltinimo į viešą </w:t>
      </w:r>
      <w:r w:rsidR="00E830F1">
        <w:t>kriterijai</w:t>
      </w:r>
      <w:bookmarkEnd w:id="184"/>
      <w:bookmarkEnd w:id="185"/>
      <w:bookmarkEnd w:id="186"/>
      <w:bookmarkEnd w:id="187"/>
      <w:bookmarkEnd w:id="188"/>
      <w:bookmarkEnd w:id="189"/>
      <w:bookmarkEnd w:id="190"/>
      <w:bookmarkEnd w:id="191"/>
      <w:bookmarkEnd w:id="192"/>
    </w:p>
    <w:p w:rsidR="00880477" w:rsidRDefault="003E3809" w:rsidP="003E3809">
      <w:pPr>
        <w:spacing w:line="360" w:lineRule="auto"/>
        <w:ind w:firstLine="851"/>
        <w:jc w:val="both"/>
      </w:pPr>
      <w:r w:rsidRPr="00CE37D0">
        <w:t xml:space="preserve">Nors ir būdami lygūs prieš įstatymą, ne visi nukentėjusieji turi lygias galimybes ginti savo interesus. </w:t>
      </w:r>
      <w:r w:rsidR="008400FC">
        <w:t>Subjektyvios ir objektyvios priežastys lemia atvejus, kuriais asmenys</w:t>
      </w:r>
      <w:r w:rsidRPr="00CE37D0">
        <w:t xml:space="preserve"> negali arba negali </w:t>
      </w:r>
      <w:r w:rsidR="005600AA">
        <w:t>vis</w:t>
      </w:r>
      <w:r w:rsidRPr="00CE37D0">
        <w:t xml:space="preserve">a apimtimi ginti savo teisių ir teisėtų interesų. Todėl baudžiamasis procesas numato atvejus, kai nukentėjusiojo teisių gynimas nėra vien tik jo paties dispozityvi teisė ir tik jo privatus interesas. Jei asmuo objektyviai negali ginti savo teisių, jo teisių gynimas laikomas valstybės priederme bei viešuoju interesu. Tokiu atveju </w:t>
      </w:r>
      <w:r w:rsidR="00494331">
        <w:t>tinkamo teisinio proceso garantija</w:t>
      </w:r>
      <w:r w:rsidR="00582A3A">
        <w:t xml:space="preserve"> </w:t>
      </w:r>
      <w:r w:rsidR="00FE57AD">
        <w:t xml:space="preserve">yra </w:t>
      </w:r>
      <w:r w:rsidR="004C3243">
        <w:t>Konstitucijos</w:t>
      </w:r>
      <w:r w:rsidR="00582A3A">
        <w:t xml:space="preserve"> </w:t>
      </w:r>
      <w:r w:rsidRPr="00CE37D0">
        <w:rPr>
          <w:i/>
        </w:rPr>
        <w:t>inter alia</w:t>
      </w:r>
      <w:r w:rsidRPr="00CE37D0">
        <w:t xml:space="preserve"> 118 str</w:t>
      </w:r>
      <w:r w:rsidR="00E3730A">
        <w:t>aipsnyje</w:t>
      </w:r>
      <w:r w:rsidRPr="00CE37D0">
        <w:t xml:space="preserve"> įtvirtintas prokuroro institutas. </w:t>
      </w:r>
      <w:r w:rsidRPr="00CE37D0">
        <w:rPr>
          <w:vertAlign w:val="superscript"/>
        </w:rPr>
        <w:footnoteReference w:id="407"/>
      </w:r>
    </w:p>
    <w:p w:rsidR="003E3809" w:rsidRPr="00CE37D0" w:rsidRDefault="003E3809" w:rsidP="003E3809">
      <w:pPr>
        <w:spacing w:line="360" w:lineRule="auto"/>
        <w:ind w:firstLine="851"/>
        <w:jc w:val="both"/>
      </w:pPr>
      <w:r w:rsidRPr="00CE37D0">
        <w:t xml:space="preserve">Privataus kaltinimo proceso </w:t>
      </w:r>
      <w:r w:rsidR="00880477">
        <w:t xml:space="preserve">teisinis </w:t>
      </w:r>
      <w:r w:rsidRPr="00CE37D0">
        <w:t>reguliavimas su</w:t>
      </w:r>
      <w:r w:rsidR="00880477">
        <w:t>kuria</w:t>
      </w:r>
      <w:r w:rsidR="00582A3A">
        <w:t xml:space="preserve"> </w:t>
      </w:r>
      <w:r w:rsidR="00880477">
        <w:t>išimtinę nukentėjusių asmenų</w:t>
      </w:r>
      <w:r w:rsidRPr="00CE37D0">
        <w:t xml:space="preserve"> interesų apsaug</w:t>
      </w:r>
      <w:r w:rsidR="00880477">
        <w:t>os garantiją</w:t>
      </w:r>
      <w:r w:rsidRPr="00CE37D0">
        <w:t>: perėjimo iš privataus kaltinimo į viešąjį mechanizm</w:t>
      </w:r>
      <w:r w:rsidR="00880477">
        <w:t>ą, kuris užtikrina prokuroro</w:t>
      </w:r>
      <w:r w:rsidRPr="00CE37D0">
        <w:rPr>
          <w:i/>
        </w:rPr>
        <w:t xml:space="preserve">, </w:t>
      </w:r>
      <w:r w:rsidRPr="00880477">
        <w:t>vykd</w:t>
      </w:r>
      <w:r w:rsidR="00880477" w:rsidRPr="00880477">
        <w:t>ančio</w:t>
      </w:r>
      <w:r w:rsidR="00582A3A">
        <w:t xml:space="preserve"> </w:t>
      </w:r>
      <w:r w:rsidRPr="00880477">
        <w:t>konstitucinę priedermę ginti asmens teises bei teisėtus interesus (Konstitu</w:t>
      </w:r>
      <w:r w:rsidR="00880477" w:rsidRPr="00880477">
        <w:t>cijos 118 str</w:t>
      </w:r>
      <w:r w:rsidR="00E3730A">
        <w:t>aipsnio</w:t>
      </w:r>
      <w:r w:rsidR="00880477" w:rsidRPr="00880477">
        <w:t xml:space="preserve"> 2 d</w:t>
      </w:r>
      <w:r w:rsidR="00E3730A">
        <w:t>alis</w:t>
      </w:r>
      <w:r w:rsidR="00880477" w:rsidRPr="00880477">
        <w:t xml:space="preserve">), </w:t>
      </w:r>
      <w:r w:rsidRPr="00880477">
        <w:t>nekvestionuojamą pareigą pradėti baudžiamąjį procesą</w:t>
      </w:r>
      <w:r w:rsidR="00582A3A">
        <w:t xml:space="preserve"> </w:t>
      </w:r>
      <w:r w:rsidRPr="00CE37D0">
        <w:t>įstatymo numatytais atvejais</w:t>
      </w:r>
      <w:r w:rsidR="00FE57AD">
        <w:t xml:space="preserve">. </w:t>
      </w:r>
      <w:r w:rsidR="00880477" w:rsidRPr="00880477">
        <w:rPr>
          <w:rStyle w:val="Puslapioinaosnuoroda"/>
        </w:rPr>
        <w:footnoteReference w:id="408"/>
      </w:r>
      <w:r w:rsidRPr="00CE37D0">
        <w:t xml:space="preserve"> Jei pagrindų prokurorui palaikyti viešąjį kaltinimą net ir tais atvejais, kai įstatyme įtvirtinta privataus kaltinimo procesinė forma, nebūtų numatyta, i</w:t>
      </w:r>
      <w:r w:rsidR="00880477">
        <w:t>škiltų grėsmė, kad nukentėjusio asmens</w:t>
      </w:r>
      <w:r w:rsidRPr="00CE37D0">
        <w:t xml:space="preserve"> teisė kreiptis į teismą būtų tik formali. </w:t>
      </w:r>
      <w:r w:rsidRPr="00CE37D0">
        <w:rPr>
          <w:vertAlign w:val="superscript"/>
        </w:rPr>
        <w:footnoteReference w:id="409"/>
      </w:r>
      <w:r w:rsidRPr="00CE37D0">
        <w:t xml:space="preserve"> Kadangi Lietuvoje </w:t>
      </w:r>
      <w:r w:rsidR="00FE57AD">
        <w:t>neįtvirtintas</w:t>
      </w:r>
      <w:r w:rsidRPr="00CE37D0">
        <w:t xml:space="preserve"> subsidiaraus kaltinimo</w:t>
      </w:r>
      <w:r w:rsidR="000A5965">
        <w:t xml:space="preserve"> institut</w:t>
      </w:r>
      <w:r w:rsidR="00FE57AD">
        <w:t>as</w:t>
      </w:r>
      <w:r w:rsidRPr="00CE37D0">
        <w:t xml:space="preserve">, </w:t>
      </w:r>
      <w:r w:rsidR="00B262A3" w:rsidRPr="00CE37D0">
        <w:t xml:space="preserve">o </w:t>
      </w:r>
      <w:r w:rsidRPr="00CE37D0">
        <w:t xml:space="preserve">valstybinis kaltintojas pakeičia privatų ir atvirkščiai, atitinkamai kaltinimas </w:t>
      </w:r>
      <w:r w:rsidR="00E02082" w:rsidRPr="00CE37D0">
        <w:t xml:space="preserve">gali </w:t>
      </w:r>
      <w:r w:rsidRPr="00CE37D0">
        <w:t>įg</w:t>
      </w:r>
      <w:r w:rsidR="00E02082" w:rsidRPr="00CE37D0">
        <w:t>yti</w:t>
      </w:r>
      <w:r w:rsidRPr="00CE37D0">
        <w:t xml:space="preserve"> privataus kaltinimo arba valstybinio kaltinimo formą. Taigi prokuroro vaidmuo s</w:t>
      </w:r>
      <w:r w:rsidR="00880477">
        <w:t>uponuoj</w:t>
      </w:r>
      <w:r w:rsidRPr="00CE37D0">
        <w:t xml:space="preserve">a ne privatų, o valstybinį kaltinimą, tačiau perėjimo iš privataus kaltinimo į viešą mechanizmas šiame disertaciniame tyrime nagrinėjimas kaip privataus kaltinimo proceso dalis ir vertinamas kaip </w:t>
      </w:r>
      <w:r w:rsidR="00880477">
        <w:t>asmens tei</w:t>
      </w:r>
      <w:r w:rsidRPr="00CE37D0">
        <w:t xml:space="preserve">sių </w:t>
      </w:r>
      <w:r w:rsidR="004C3243">
        <w:t>bei</w:t>
      </w:r>
      <w:r w:rsidRPr="00CE37D0">
        <w:t xml:space="preserve"> teisėtų interesų</w:t>
      </w:r>
      <w:r w:rsidR="00880477">
        <w:t xml:space="preserve"> teisminės gynybos</w:t>
      </w:r>
      <w:r w:rsidR="00582A3A">
        <w:t xml:space="preserve"> </w:t>
      </w:r>
      <w:r w:rsidR="00FE57AD">
        <w:t xml:space="preserve">tęstinumo </w:t>
      </w:r>
      <w:r w:rsidRPr="00CE37D0">
        <w:t xml:space="preserve">garantas. </w:t>
      </w:r>
      <w:r w:rsidR="001C5B2A" w:rsidRPr="00CE37D0">
        <w:t xml:space="preserve">Analizuojant </w:t>
      </w:r>
      <w:r w:rsidR="006F645A" w:rsidRPr="00CE37D0">
        <w:t xml:space="preserve">situacijas, kai </w:t>
      </w:r>
      <w:r w:rsidR="001C5B2A" w:rsidRPr="00CE37D0">
        <w:t>prokuror</w:t>
      </w:r>
      <w:r w:rsidR="006F645A" w:rsidRPr="00CE37D0">
        <w:t>ui kyla</w:t>
      </w:r>
      <w:r w:rsidR="001C5B2A" w:rsidRPr="00CE37D0">
        <w:t xml:space="preserve"> pareig</w:t>
      </w:r>
      <w:r w:rsidR="006F645A" w:rsidRPr="00CE37D0">
        <w:t xml:space="preserve">a </w:t>
      </w:r>
      <w:r w:rsidR="001C5B2A" w:rsidRPr="00CE37D0">
        <w:t>dalyvauti</w:t>
      </w:r>
      <w:r w:rsidR="00BF39BC" w:rsidRPr="00CE37D0">
        <w:t xml:space="preserve"> privataus kaltinimo bylų procese, </w:t>
      </w:r>
      <w:r w:rsidR="006F645A" w:rsidRPr="00CE37D0">
        <w:t xml:space="preserve">bus </w:t>
      </w:r>
      <w:r w:rsidR="00BF39BC" w:rsidRPr="00CE37D0">
        <w:t xml:space="preserve">siekiama atsakyti į klausimą, ar </w:t>
      </w:r>
      <w:r w:rsidR="001C5B2A" w:rsidRPr="00CE37D0">
        <w:t xml:space="preserve">perėjimo iš privataus kaltinimo į viešą </w:t>
      </w:r>
      <w:r w:rsidR="006F645A" w:rsidRPr="00CE37D0">
        <w:t xml:space="preserve">atvejai </w:t>
      </w:r>
      <w:r w:rsidR="001C5B2A" w:rsidRPr="00CE37D0">
        <w:t xml:space="preserve">yra </w:t>
      </w:r>
      <w:r w:rsidR="001C5B2A" w:rsidRPr="00CE37D0">
        <w:lastRenderedPageBreak/>
        <w:t>išimtinis</w:t>
      </w:r>
      <w:r w:rsidR="006F645A" w:rsidRPr="00CE37D0">
        <w:t xml:space="preserve"> būdas ginti proceso dalyvių teises ir teisėtus interesus</w:t>
      </w:r>
      <w:r w:rsidR="00FE57AD">
        <w:t>,</w:t>
      </w:r>
      <w:r w:rsidR="001C5B2A" w:rsidRPr="00CE37D0">
        <w:t xml:space="preserve"> ar būdas </w:t>
      </w:r>
      <w:r w:rsidR="006F645A" w:rsidRPr="00CE37D0">
        <w:t>taisyti</w:t>
      </w:r>
      <w:r w:rsidR="001C5B2A" w:rsidRPr="00CE37D0">
        <w:t xml:space="preserve"> privataus kaltinimo proceso</w:t>
      </w:r>
      <w:r w:rsidR="006F645A" w:rsidRPr="00CE37D0">
        <w:t xml:space="preserve"> kaip proceso formos trūkumus</w:t>
      </w:r>
      <w:r w:rsidR="001C5B2A" w:rsidRPr="00CE37D0">
        <w:t xml:space="preserve">. </w:t>
      </w:r>
    </w:p>
    <w:p w:rsidR="00DF6223" w:rsidRDefault="000A5965" w:rsidP="003E3809">
      <w:pPr>
        <w:spacing w:line="360" w:lineRule="auto"/>
        <w:ind w:firstLine="851"/>
        <w:jc w:val="both"/>
        <w:rPr>
          <w:i/>
        </w:rPr>
      </w:pPr>
      <w:r w:rsidRPr="00CE37D0">
        <w:t>Konstitucinis Teismas išaiškino</w:t>
      </w:r>
      <w:r>
        <w:t xml:space="preserve"> prokuroro teisės pradėti </w:t>
      </w:r>
      <w:r w:rsidRPr="00CE37D0">
        <w:t xml:space="preserve">baudžiamąjį procesą dėl </w:t>
      </w:r>
      <w:r>
        <w:t xml:space="preserve">privataus kaltinimo tvarka nagrinėjamų </w:t>
      </w:r>
      <w:r w:rsidRPr="00CE37D0">
        <w:t xml:space="preserve">veikų </w:t>
      </w:r>
      <w:r w:rsidR="003E3809" w:rsidRPr="00CE37D0">
        <w:t xml:space="preserve">turinį ir konstatavo, kad </w:t>
      </w:r>
      <w:r w:rsidRPr="00CE37D0">
        <w:t>BPK 40</w:t>
      </w:r>
      <w:r w:rsidR="00C85F3A">
        <w:t>9</w:t>
      </w:r>
      <w:r w:rsidR="00E3730A">
        <w:t xml:space="preserve"> straipsnio</w:t>
      </w:r>
      <w:r w:rsidRPr="00CE37D0">
        <w:t xml:space="preserve"> 1 d</w:t>
      </w:r>
      <w:r w:rsidR="00E3730A">
        <w:t>alies</w:t>
      </w:r>
      <w:r w:rsidR="00582A3A">
        <w:t xml:space="preserve"> </w:t>
      </w:r>
      <w:r w:rsidR="003E3809" w:rsidRPr="00CE37D0">
        <w:t xml:space="preserve">nuostata </w:t>
      </w:r>
      <w:r w:rsidR="003E3809" w:rsidRPr="00CE37D0">
        <w:rPr>
          <w:i/>
        </w:rPr>
        <w:t>„įtvirtina prokuroro pareigą pradėti baudžiamąjį procesą dėl nusikalstamų veikų, [...]</w:t>
      </w:r>
      <w:r w:rsidR="00582A3A">
        <w:rPr>
          <w:i/>
        </w:rPr>
        <w:t xml:space="preserve"> </w:t>
      </w:r>
      <w:r w:rsidR="003E3809" w:rsidRPr="00CE37D0">
        <w:rPr>
          <w:i/>
        </w:rPr>
        <w:t>o ne diskreciją pradėti baudžiamąjį procesą nurodytais atvejais.“</w:t>
      </w:r>
      <w:r w:rsidR="0074506D">
        <w:rPr>
          <w:i/>
        </w:rPr>
        <w:t xml:space="preserve"> </w:t>
      </w:r>
      <w:r w:rsidR="003E3809" w:rsidRPr="00CE37D0">
        <w:rPr>
          <w:rStyle w:val="Puslapioinaosnuoroda"/>
          <w:i/>
        </w:rPr>
        <w:footnoteReference w:id="410"/>
      </w:r>
      <w:r w:rsidR="003E3809" w:rsidRPr="00CE37D0">
        <w:t xml:space="preserve"> Nors prokuroro sprendimai gali priklausyti nuo įvairių veiksnių ir aplinkybių visumos vertinimo, ikiteisminio tyrimo pradėjimas yra sietin</w:t>
      </w:r>
      <w:r w:rsidR="00FE57AD">
        <w:t>as</w:t>
      </w:r>
      <w:r w:rsidR="003E3809" w:rsidRPr="00CE37D0">
        <w:t xml:space="preserve"> su objektyvių pagrindų egzistavimu: nusikalstamos veikos visuomenine reikšme arba asmens, kurio teisės ir teisėti interesai buvo pažeisti nusikalstama veika, negalėjimu ginti savo teisių bei teisėtų interesų; todėl prokuroras šioje srityje neturi diskrecijos. Ši nuostata </w:t>
      </w:r>
      <w:r w:rsidRPr="00CE37D0">
        <w:t>Konstitucini</w:t>
      </w:r>
      <w:r>
        <w:t>o</w:t>
      </w:r>
      <w:r w:rsidR="00582A3A">
        <w:t xml:space="preserve"> </w:t>
      </w:r>
      <w:r>
        <w:t>Teismo</w:t>
      </w:r>
      <w:r w:rsidR="00582A3A">
        <w:t xml:space="preserve"> </w:t>
      </w:r>
      <w:r>
        <w:t xml:space="preserve">nutarime </w:t>
      </w:r>
      <w:r w:rsidR="003E3809" w:rsidRPr="00CE37D0">
        <w:t>aiškinama ir negatyviąja prasme</w:t>
      </w:r>
      <w:r>
        <w:t>:</w:t>
      </w:r>
      <w:r w:rsidR="003E3809" w:rsidRPr="00CE37D0">
        <w:t xml:space="preserve"> „</w:t>
      </w:r>
      <w:r w:rsidR="003E3809" w:rsidRPr="00CE37D0">
        <w:rPr>
          <w:i/>
        </w:rPr>
        <w:t>pagal BPK 409 str</w:t>
      </w:r>
      <w:r w:rsidR="004C3243">
        <w:rPr>
          <w:i/>
        </w:rPr>
        <w:t>aipsnio</w:t>
      </w:r>
      <w:r w:rsidR="003E3809" w:rsidRPr="00CE37D0">
        <w:rPr>
          <w:i/>
        </w:rPr>
        <w:t xml:space="preserve"> 1 dalį prokuroras neturi įgaliojimų pradėti baudžiamąjį procesą dėl BPK 407 straipsnyje nurodytos nusikalstamos veikos, kai nėra nė vienos iš BPK 409 straipsnio 1 dalyje nurodytų sąlygų; prokuroras taip pat neturi įgaliojimų pradėti baudžiamąjį procesą dėl BPK </w:t>
      </w:r>
      <w:r w:rsidR="00B262A3" w:rsidRPr="00CE37D0">
        <w:rPr>
          <w:i/>
        </w:rPr>
        <w:t xml:space="preserve">407 </w:t>
      </w:r>
      <w:r w:rsidR="003E3809" w:rsidRPr="00CE37D0">
        <w:rPr>
          <w:i/>
        </w:rPr>
        <w:t>straipsnyje nurodytos nusikalstamos veikos, kai nusikalstama veika, kuri neturi visuomeninės reikšmės, buvo padaryta žala asmeniui, kuris gali (pats arba per teisėtą savo atstovą) išreikšti valią ginti savo teisėtus interesus, tačiau tokios valios nei pats, nei per teisėtą savo atstovą neišreiškia, t. y., nėra nukentėjusiojo skundo ar jo teisėto atstovo pareiškimo.“</w:t>
      </w:r>
      <w:r w:rsidR="0074506D">
        <w:rPr>
          <w:i/>
        </w:rPr>
        <w:t xml:space="preserve"> </w:t>
      </w:r>
      <w:r w:rsidR="003E3809" w:rsidRPr="00CE37D0">
        <w:rPr>
          <w:rStyle w:val="Puslapioinaosnuoroda"/>
        </w:rPr>
        <w:footnoteReference w:id="411"/>
      </w:r>
      <w:r w:rsidR="00DF6223">
        <w:rPr>
          <w:i/>
        </w:rPr>
        <w:t xml:space="preserve"> </w:t>
      </w:r>
      <w:r w:rsidR="00DF6223">
        <w:t xml:space="preserve">Taigi perėjimo iš privataus kaltinimo į viešą kriterijų aiškumas reikšmingas ne tik baudžiamojo proceso mokslui, bet ir praktikai, kadangi </w:t>
      </w:r>
      <w:r w:rsidR="00DF6223" w:rsidRPr="00DF6223">
        <w:t>nuo teisingo kriterijų aiškinimo priklauso, ar prokuroras</w:t>
      </w:r>
      <w:r w:rsidR="00DF6223">
        <w:t>,</w:t>
      </w:r>
      <w:r w:rsidR="00DF6223" w:rsidRPr="00DF6223">
        <w:t xml:space="preserve"> </w:t>
      </w:r>
      <w:r w:rsidR="00DF6223">
        <w:t>spręsdamas dėl procesinės formos,</w:t>
      </w:r>
      <w:r w:rsidR="00DF6223" w:rsidRPr="00DF6223">
        <w:t xml:space="preserve"> tinkamai pasinaudos įgaliojimais</w:t>
      </w:r>
      <w:r w:rsidR="00DF6223">
        <w:rPr>
          <w:i/>
        </w:rPr>
        <w:t xml:space="preserve">. </w:t>
      </w:r>
      <w:r w:rsidR="00DF6223">
        <w:rPr>
          <w:rStyle w:val="Puslapioinaosnuoroda"/>
          <w:i/>
        </w:rPr>
        <w:footnoteReference w:id="412"/>
      </w:r>
    </w:p>
    <w:p w:rsidR="003E3809" w:rsidRPr="00CE37D0" w:rsidRDefault="003E3809" w:rsidP="003E3809">
      <w:pPr>
        <w:spacing w:line="360" w:lineRule="auto"/>
        <w:ind w:firstLine="851"/>
        <w:jc w:val="both"/>
        <w:rPr>
          <w:i/>
        </w:rPr>
      </w:pPr>
      <w:r w:rsidRPr="00CE37D0">
        <w:t>Konstitucinis Teismas nubrėžė gaires, kokie įgalinimai turi būti suteikti prokurorui ir teismui, kad nebūtų pažeista asmens teisė į teisminę gynybą</w:t>
      </w:r>
      <w:r w:rsidR="00E02082" w:rsidRPr="00CE37D0">
        <w:t>:</w:t>
      </w:r>
      <w:r w:rsidRPr="00CE37D0">
        <w:rPr>
          <w:i/>
        </w:rPr>
        <w:t>„</w:t>
      </w:r>
      <w:r w:rsidR="00E02082" w:rsidRPr="00CE37D0">
        <w:rPr>
          <w:i/>
        </w:rPr>
        <w:t>n</w:t>
      </w:r>
      <w:r w:rsidRPr="00CE37D0">
        <w:rPr>
          <w:i/>
        </w:rPr>
        <w:t xml:space="preserve">egali būti tokių teisinių situacijų, kad prokurorui nekiltų pareiga baudžiamojoje byloje palaikyti valstybinį kaltinimą tuo atveju, kai privatus asmuo (ar jo atstovas), palaikydamas kaltinimą baudžiamojoje byloje, negali veiksmingai apginti savo (ar atstovaujamo asmens) teisių ir teisėtų interesų. Iš Konstitucijos kylanti teismo priedermė nustatyti objektyvią tiesą ir teisingai išspręsti bylą suponuoja tai, kad jeigu teismas mano, jog neatlikus ikiteisminio tyrimo ar tam tikrų proceso veiksmų, kurių neįmanoma atlikti teisme, jis negalės teisingai išnagrinėti baudžiamosios bylos ir priimti teisingo sprendimo (pavyzdžiui, dėl to, kad teismo turima informacija yra nepakankama, prieštaringa ir pan.), teismas turi turėti įgaliojimus nuspręsti, kad toje byloje turi būti atliktas ikiteisminis tyrimas ar atskiri </w:t>
      </w:r>
      <w:r w:rsidRPr="00CE37D0">
        <w:rPr>
          <w:i/>
        </w:rPr>
        <w:lastRenderedPageBreak/>
        <w:t>proceso veiksmai ir turi būti duoti tam tikri pavedimai atitinkamiems subjektams.“</w:t>
      </w:r>
      <w:r w:rsidR="0074506D">
        <w:rPr>
          <w:i/>
        </w:rPr>
        <w:t xml:space="preserve"> </w:t>
      </w:r>
      <w:r w:rsidRPr="00CE37D0">
        <w:rPr>
          <w:vertAlign w:val="superscript"/>
        </w:rPr>
        <w:footnoteReference w:id="413"/>
      </w:r>
      <w:r w:rsidRPr="00CE37D0">
        <w:t xml:space="preserve"> Konstitucinis Teismas, atskleisdamas BPK 407</w:t>
      </w:r>
      <w:bookmarkStart w:id="193" w:name="pn4_4"/>
      <w:bookmarkStart w:id="194" w:name="pn4_5"/>
      <w:bookmarkEnd w:id="193"/>
      <w:bookmarkEnd w:id="194"/>
      <w:r w:rsidR="00E02082" w:rsidRPr="00CE37D0">
        <w:t>,</w:t>
      </w:r>
      <w:r w:rsidRPr="00CE37D0">
        <w:t xml:space="preserve"> 409</w:t>
      </w:r>
      <w:bookmarkStart w:id="195" w:name="pn4_6"/>
      <w:bookmarkEnd w:id="195"/>
      <w:r w:rsidRPr="00CE37D0">
        <w:t xml:space="preserve"> str</w:t>
      </w:r>
      <w:r w:rsidR="004836E8" w:rsidRPr="00CE37D0">
        <w:t>aipsnių</w:t>
      </w:r>
      <w:r w:rsidR="00582A3A">
        <w:t xml:space="preserve"> </w:t>
      </w:r>
      <w:r w:rsidR="00FE57AD" w:rsidRPr="00CE37D0">
        <w:t>nuostatų</w:t>
      </w:r>
      <w:r w:rsidR="00582A3A">
        <w:t xml:space="preserve"> </w:t>
      </w:r>
      <w:r w:rsidRPr="00CE37D0">
        <w:t xml:space="preserve">turinį, </w:t>
      </w:r>
      <w:r w:rsidR="00582A3A">
        <w:t>nurodė</w:t>
      </w:r>
      <w:r w:rsidRPr="00CE37D0">
        <w:t xml:space="preserve"> du atvejus, kai prokuroras turi pareigą pradėti baudžiamąjį p</w:t>
      </w:r>
      <w:r w:rsidR="000408F4">
        <w:t>rocesą dėl privataus kaltinimo nusikalstamų veik</w:t>
      </w:r>
      <w:r w:rsidRPr="00CE37D0">
        <w:t>ų bendra tvarka</w:t>
      </w:r>
      <w:r w:rsidRPr="00CE37D0">
        <w:rPr>
          <w:i/>
        </w:rPr>
        <w:t xml:space="preserve">: </w:t>
      </w:r>
    </w:p>
    <w:p w:rsidR="003E3809" w:rsidRPr="00CE37D0" w:rsidRDefault="00E3730A" w:rsidP="003E3809">
      <w:pPr>
        <w:spacing w:line="360" w:lineRule="auto"/>
        <w:ind w:firstLine="851"/>
        <w:jc w:val="both"/>
      </w:pPr>
      <w:r>
        <w:t>1) BPK 407 straipsnyje</w:t>
      </w:r>
      <w:r w:rsidR="003E3809" w:rsidRPr="00CE37D0">
        <w:t xml:space="preserve"> nurodyta nusikalstama</w:t>
      </w:r>
      <w:r w:rsidR="004C3243">
        <w:t xml:space="preserve"> veika turi visuomeninę reikšmę;</w:t>
      </w:r>
    </w:p>
    <w:p w:rsidR="003E3809" w:rsidRPr="00CE37D0" w:rsidRDefault="00E3730A" w:rsidP="003E3809">
      <w:pPr>
        <w:spacing w:line="360" w:lineRule="auto"/>
        <w:ind w:firstLine="851"/>
        <w:jc w:val="both"/>
      </w:pPr>
      <w:r>
        <w:t>2) BPK 407 straipsnyje</w:t>
      </w:r>
      <w:r w:rsidR="003E3809" w:rsidRPr="00CE37D0">
        <w:t xml:space="preserve"> nurodyta nusikalstama veika padaryta žala asmeniui, kuris savarankiškai negali ginti savo teisėtų interesų.</w:t>
      </w:r>
    </w:p>
    <w:p w:rsidR="003E3809" w:rsidRPr="00CE37D0" w:rsidRDefault="003E3809" w:rsidP="003E3809">
      <w:pPr>
        <w:spacing w:line="360" w:lineRule="auto"/>
        <w:ind w:firstLine="851"/>
        <w:jc w:val="both"/>
      </w:pPr>
      <w:r w:rsidRPr="00CE37D0">
        <w:t xml:space="preserve">Šiuos du atvejus panagrinėsime detaliau. </w:t>
      </w:r>
    </w:p>
    <w:p w:rsidR="003E3809" w:rsidRPr="00D149E5" w:rsidRDefault="00D149E5" w:rsidP="00D149E5">
      <w:pPr>
        <w:pStyle w:val="Antrat2"/>
        <w:rPr>
          <w:i w:val="0"/>
        </w:rPr>
      </w:pPr>
      <w:bookmarkStart w:id="196" w:name="_Toc316893922"/>
      <w:bookmarkStart w:id="197" w:name="_Toc320526519"/>
      <w:bookmarkStart w:id="198" w:name="_Toc332026002"/>
      <w:bookmarkStart w:id="199" w:name="_Toc333483942"/>
      <w:bookmarkStart w:id="200" w:name="_Toc365498853"/>
      <w:bookmarkStart w:id="201" w:name="_Toc370139914"/>
      <w:bookmarkStart w:id="202" w:name="_Toc400321692"/>
      <w:r w:rsidRPr="00D149E5">
        <w:rPr>
          <w:i w:val="0"/>
        </w:rPr>
        <w:t>3.1.</w:t>
      </w:r>
      <w:r w:rsidR="003E3809" w:rsidRPr="00D149E5">
        <w:rPr>
          <w:i w:val="0"/>
        </w:rPr>
        <w:t>Nusikalstam</w:t>
      </w:r>
      <w:r w:rsidR="00D40A79" w:rsidRPr="00D149E5">
        <w:rPr>
          <w:i w:val="0"/>
        </w:rPr>
        <w:t>os</w:t>
      </w:r>
      <w:r w:rsidR="003E3809" w:rsidRPr="00D149E5">
        <w:rPr>
          <w:i w:val="0"/>
        </w:rPr>
        <w:t xml:space="preserve"> veik</w:t>
      </w:r>
      <w:r w:rsidR="00D40A79" w:rsidRPr="00D149E5">
        <w:rPr>
          <w:i w:val="0"/>
        </w:rPr>
        <w:t>os</w:t>
      </w:r>
      <w:r w:rsidR="003E3809" w:rsidRPr="00D149E5">
        <w:rPr>
          <w:i w:val="0"/>
        </w:rPr>
        <w:t xml:space="preserve"> visuomenin</w:t>
      </w:r>
      <w:r w:rsidR="00D40A79" w:rsidRPr="00D149E5">
        <w:rPr>
          <w:i w:val="0"/>
        </w:rPr>
        <w:t>ė</w:t>
      </w:r>
      <w:r w:rsidR="003E3809" w:rsidRPr="00D149E5">
        <w:rPr>
          <w:i w:val="0"/>
        </w:rPr>
        <w:t xml:space="preserve"> reikšm</w:t>
      </w:r>
      <w:r w:rsidR="00D40A79" w:rsidRPr="00D149E5">
        <w:rPr>
          <w:i w:val="0"/>
        </w:rPr>
        <w:t>ė</w:t>
      </w:r>
      <w:bookmarkEnd w:id="196"/>
      <w:bookmarkEnd w:id="197"/>
      <w:bookmarkEnd w:id="198"/>
      <w:bookmarkEnd w:id="199"/>
      <w:bookmarkEnd w:id="200"/>
      <w:bookmarkEnd w:id="201"/>
      <w:bookmarkEnd w:id="202"/>
    </w:p>
    <w:p w:rsidR="001C6827" w:rsidRPr="00CE37D0" w:rsidRDefault="00E3730A" w:rsidP="001C6827">
      <w:pPr>
        <w:spacing w:line="360" w:lineRule="auto"/>
        <w:ind w:firstLine="851"/>
        <w:jc w:val="both"/>
      </w:pPr>
      <w:r>
        <w:t>Kai BPK 407 straipsnyje</w:t>
      </w:r>
      <w:r w:rsidR="001C6827" w:rsidRPr="00CE37D0">
        <w:t xml:space="preserve"> nurodyta nusikalstama veika turi visuomeninę reikšmę, prokuroro pareiga dalyvauti procese nepriklauso nuo to, ar yra nukentėjusiojo skundas ar</w:t>
      </w:r>
      <w:r w:rsidR="00091565">
        <w:t>ba</w:t>
      </w:r>
      <w:r w:rsidR="001C6827" w:rsidRPr="00CE37D0">
        <w:t xml:space="preserve"> jo teisėto atstovo pareiškimas. Tokiu atveju baudžiam</w:t>
      </w:r>
      <w:r w:rsidR="00091565">
        <w:t>asis persekiojimas pradedamas nepriklausomai nuo</w:t>
      </w:r>
      <w:r w:rsidR="001C6827" w:rsidRPr="00CE37D0">
        <w:t xml:space="preserve"> nukentėjusiojo valios išreiškimo ir tampa prokuroro pareiga (BPK 167 str</w:t>
      </w:r>
      <w:r>
        <w:t>aipsnis</w:t>
      </w:r>
      <w:r w:rsidR="001C6827" w:rsidRPr="00CE37D0">
        <w:t xml:space="preserve">). Nusikalstama veika tampa reikšminga ne tik nukentėjusiajam asmeniui, bet pažeidžia ir platesnės visuomenės dalies interesus, todėl ir baudžiamasis procesas dėl šios veikos išeina iš privataus intereso įtakos ribų. Kadangi privataus kaltinimo bylų procesas grindžiamas būtent privataus intereso kriterijumi, tokiu atveju, kai interesas dėl nusikalstamos veikos atskleidimo yra ir viešas, nelieka pagrindo tokią veiką priskirti prie privataus kaltinimo bylų. </w:t>
      </w:r>
    </w:p>
    <w:p w:rsidR="00D40A79" w:rsidRDefault="008C07BF" w:rsidP="001C6827">
      <w:pPr>
        <w:spacing w:line="360" w:lineRule="auto"/>
        <w:ind w:firstLine="851"/>
        <w:jc w:val="both"/>
      </w:pPr>
      <w:r>
        <w:t>Moksl</w:t>
      </w:r>
      <w:r w:rsidR="00D40A79">
        <w:t>inėje jurisprudencijoje nusikalstamos veikos visuomeninė reikšmė siejama su viešojo intereso pažeidimu</w:t>
      </w:r>
      <w:r w:rsidR="003B706A">
        <w:t>,</w:t>
      </w:r>
      <w:r w:rsidR="00091565">
        <w:t xml:space="preserve"> </w:t>
      </w:r>
      <w:r w:rsidR="003B706A">
        <w:t>kur</w:t>
      </w:r>
      <w:r w:rsidR="001C6827">
        <w:t>į</w:t>
      </w:r>
      <w:r w:rsidR="004C3243">
        <w:t>,</w:t>
      </w:r>
      <w:r w:rsidR="003B706A">
        <w:t xml:space="preserve"> kaip objektyviai</w:t>
      </w:r>
      <w:r w:rsidR="00091565">
        <w:t xml:space="preserve"> </w:t>
      </w:r>
      <w:r w:rsidR="001C6827">
        <w:t>egzistuojantį</w:t>
      </w:r>
      <w:r w:rsidR="003B706A">
        <w:t>, turi įrodyt</w:t>
      </w:r>
      <w:r w:rsidR="001C6827">
        <w:t>i</w:t>
      </w:r>
      <w:r w:rsidR="003B706A">
        <w:t xml:space="preserve"> prokuror</w:t>
      </w:r>
      <w:r w:rsidR="001C6827">
        <w:t>as</w:t>
      </w:r>
      <w:r w:rsidR="003B706A">
        <w:t xml:space="preserve"> ir teism</w:t>
      </w:r>
      <w:r w:rsidR="001C6827">
        <w:t>as</w:t>
      </w:r>
      <w:r w:rsidR="003B706A">
        <w:t xml:space="preserve">. </w:t>
      </w:r>
      <w:r w:rsidR="00AE726B">
        <w:rPr>
          <w:rStyle w:val="Puslapioinaosnuoroda"/>
        </w:rPr>
        <w:footnoteReference w:id="414"/>
      </w:r>
      <w:r w:rsidR="003B706A">
        <w:t xml:space="preserve"> Viešojo intereso </w:t>
      </w:r>
      <w:r w:rsidR="001C6827">
        <w:t>samprata</w:t>
      </w:r>
      <w:r w:rsidR="00091565">
        <w:t xml:space="preserve"> </w:t>
      </w:r>
      <w:r w:rsidR="001C6827">
        <w:t>apima</w:t>
      </w:r>
      <w:r w:rsidR="003B706A">
        <w:t xml:space="preserve"> teisėtumo, asmens teisių ir nuosavybės apsaugos </w:t>
      </w:r>
      <w:r w:rsidR="00EE1C6A">
        <w:t xml:space="preserve">kriterijus. </w:t>
      </w:r>
      <w:r w:rsidR="00AE726B">
        <w:rPr>
          <w:rStyle w:val="Puslapioinaosnuoroda"/>
        </w:rPr>
        <w:footnoteReference w:id="415"/>
      </w:r>
      <w:r w:rsidR="00091565">
        <w:t xml:space="preserve"> </w:t>
      </w:r>
      <w:r w:rsidR="00CF3197">
        <w:t>I</w:t>
      </w:r>
      <w:r w:rsidR="003B706A">
        <w:t>šskirti</w:t>
      </w:r>
      <w:r w:rsidR="00CF3197">
        <w:t>nos</w:t>
      </w:r>
      <w:r w:rsidR="003B706A">
        <w:t xml:space="preserve"> aplinkybių grup</w:t>
      </w:r>
      <w:r w:rsidR="00CF3197">
        <w:t>ė</w:t>
      </w:r>
      <w:r w:rsidR="003B706A">
        <w:t>s, kurios leidžia apibrėžti viešojo intereso sampratą privataus kaltinimo bylose. Tai:</w:t>
      </w:r>
    </w:p>
    <w:p w:rsidR="003B706A" w:rsidRDefault="00FE57AD" w:rsidP="00755132">
      <w:pPr>
        <w:pStyle w:val="Sraopastraipa"/>
        <w:numPr>
          <w:ilvl w:val="0"/>
          <w:numId w:val="19"/>
        </w:numPr>
      </w:pPr>
      <w:r>
        <w:t>S</w:t>
      </w:r>
      <w:r w:rsidR="003B706A">
        <w:t>ubjektyvi</w:t>
      </w:r>
      <w:r w:rsidR="00D23E6D">
        <w:t>ųjų</w:t>
      </w:r>
      <w:r w:rsidR="003B706A">
        <w:t xml:space="preserve"> ar </w:t>
      </w:r>
      <w:r w:rsidR="00D23E6D">
        <w:t xml:space="preserve">objektyviųjų </w:t>
      </w:r>
      <w:r w:rsidR="003B706A">
        <w:t>nusikal</w:t>
      </w:r>
      <w:r w:rsidR="00D23E6D">
        <w:t>s</w:t>
      </w:r>
      <w:r w:rsidR="003B706A">
        <w:t>t</w:t>
      </w:r>
      <w:r w:rsidR="00D23E6D">
        <w:t>amos</w:t>
      </w:r>
      <w:r w:rsidR="00091565">
        <w:t xml:space="preserve"> </w:t>
      </w:r>
      <w:r w:rsidR="00D23E6D">
        <w:t>veikos požymių</w:t>
      </w:r>
      <w:r w:rsidR="003B706A">
        <w:t xml:space="preserve"> ypatumai;</w:t>
      </w:r>
    </w:p>
    <w:p w:rsidR="003B706A" w:rsidRDefault="00FE57AD" w:rsidP="00755132">
      <w:pPr>
        <w:pStyle w:val="Sraopastraipa"/>
        <w:numPr>
          <w:ilvl w:val="0"/>
          <w:numId w:val="19"/>
        </w:numPr>
      </w:pPr>
      <w:r>
        <w:t>A</w:t>
      </w:r>
      <w:r w:rsidR="003B706A">
        <w:t xml:space="preserve">plinkybės, apsunkinančios </w:t>
      </w:r>
      <w:r w:rsidR="001C6827">
        <w:t xml:space="preserve">privataus kaltinimo </w:t>
      </w:r>
      <w:r w:rsidR="003B706A">
        <w:t>proceso inici</w:t>
      </w:r>
      <w:r w:rsidR="00C85F3A">
        <w:t>j</w:t>
      </w:r>
      <w:r w:rsidR="003B706A">
        <w:t>avimą</w:t>
      </w:r>
      <w:r w:rsidR="001C6827">
        <w:t xml:space="preserve"> ar eigą</w:t>
      </w:r>
      <w:r w:rsidR="003B706A">
        <w:t xml:space="preserve">. </w:t>
      </w:r>
      <w:r w:rsidR="003B706A">
        <w:rPr>
          <w:rStyle w:val="Puslapioinaosnuoroda"/>
        </w:rPr>
        <w:footnoteReference w:id="416"/>
      </w:r>
    </w:p>
    <w:p w:rsidR="00EE1C6A" w:rsidRDefault="00EE1C6A" w:rsidP="00EE1C6A">
      <w:pPr>
        <w:spacing w:line="360" w:lineRule="auto"/>
        <w:ind w:firstLine="851"/>
        <w:jc w:val="both"/>
      </w:pPr>
      <w:r>
        <w:t xml:space="preserve">Taip pat bandoma išskirti konkrečias sąlygas, kurios suponuoja viešojo intereso pažeidimą ir prokuroro pareigą perimti kaltinimą privataus kaltinimo byloje: rezonansinis nusikalstamos veikos pobūdis (atgarsis visuomenėje), nukentėjusio asmens fiziniai, socialiniai ypatumai (negalia, vyresnis amžius, </w:t>
      </w:r>
      <w:r w:rsidR="00A06CBE">
        <w:t>nepilnametystė</w:t>
      </w:r>
      <w:r>
        <w:t xml:space="preserve">), didelė moralinė ar (ir) materialinė žala, sudėtinga įrodinėjimo procedūra, bylos sudėtingumas, </w:t>
      </w:r>
      <w:r w:rsidR="00D34827">
        <w:t xml:space="preserve">dėl nukentėjusio asmens atliekamų pareigų, visuomeninių funkcijų </w:t>
      </w:r>
      <w:r w:rsidR="00D34827">
        <w:lastRenderedPageBreak/>
        <w:t>(susijusi su nukentėjusio asmens viešuoju gyvenimu)</w:t>
      </w:r>
      <w:r w:rsidR="00091565">
        <w:t xml:space="preserve"> padaryta nusikalstama veika</w:t>
      </w:r>
      <w:r>
        <w:t xml:space="preserve">. </w:t>
      </w:r>
      <w:r w:rsidR="00D34827">
        <w:rPr>
          <w:rStyle w:val="Puslapioinaosnuoroda"/>
        </w:rPr>
        <w:footnoteReference w:id="417"/>
      </w:r>
      <w:r w:rsidR="00091565">
        <w:t xml:space="preserve"> </w:t>
      </w:r>
      <w:r w:rsidR="001C6827">
        <w:t>V</w:t>
      </w:r>
      <w:r w:rsidR="00D34827">
        <w:t xml:space="preserve">iešasis interesas siejamas ir su tokiomis objektyviomis aplinkybėmis kaip nusikalstamos veikos padarinių sunkumas dėl sutrikdytos ūkinės veiklos, bankroto, informacijos sklaidos internete. </w:t>
      </w:r>
      <w:r w:rsidR="00D34827">
        <w:rPr>
          <w:rStyle w:val="Puslapioinaosnuoroda"/>
        </w:rPr>
        <w:footnoteReference w:id="418"/>
      </w:r>
    </w:p>
    <w:p w:rsidR="009041A9" w:rsidRDefault="00903FAA" w:rsidP="00EE1C6A">
      <w:pPr>
        <w:spacing w:line="360" w:lineRule="auto"/>
        <w:ind w:firstLine="851"/>
        <w:jc w:val="both"/>
      </w:pPr>
      <w:r>
        <w:t>Taigi</w:t>
      </w:r>
      <w:r w:rsidR="00091565">
        <w:t>,</w:t>
      </w:r>
      <w:r>
        <w:t xml:space="preserve"> apibendrinant viešojo intereso sampratą </w:t>
      </w:r>
      <w:r w:rsidR="008C07BF">
        <w:t>moksl</w:t>
      </w:r>
      <w:r>
        <w:t xml:space="preserve">inėje </w:t>
      </w:r>
      <w:r w:rsidR="00CF3197">
        <w:t>jurisprudencijo</w:t>
      </w:r>
      <w:r>
        <w:t>je, darytina išvada, kad privataus kaltinimo bylose viešasis interesas konstatuotinas esant tam tikriems subjektyviems ir (ar) objektyviems kriterijams. Subjektyvieji kriterijai sietini su nukentėjusiojo asmen</w:t>
      </w:r>
      <w:r w:rsidR="00CF3197">
        <w:t>iu</w:t>
      </w:r>
      <w:r>
        <w:t>: jo negalia, branda, sveikatos būkle, gebėjimu apginti savo teises. Objektyviuosius kriterijus lemia nusikalstamos veikos įvykdymo aplinkybės, padarinių sunkumas (atgarsis, didelė žala) bei procesiniai aspektai (proceso inici</w:t>
      </w:r>
      <w:r w:rsidR="00CF3197">
        <w:t>j</w:t>
      </w:r>
      <w:r>
        <w:t>avimo, įrodinėjimo, bylos</w:t>
      </w:r>
      <w:r w:rsidR="00091565">
        <w:t xml:space="preserve"> </w:t>
      </w:r>
      <w:r>
        <w:t>sudėtingumas).</w:t>
      </w:r>
    </w:p>
    <w:p w:rsidR="00AC1DB2" w:rsidRPr="00CE37D0" w:rsidRDefault="00AC1DB2" w:rsidP="00AC1DB2">
      <w:pPr>
        <w:spacing w:line="360" w:lineRule="auto"/>
        <w:ind w:firstLine="851"/>
        <w:jc w:val="both"/>
      </w:pPr>
      <w:r w:rsidRPr="00CE37D0">
        <w:t xml:space="preserve">Viešojo </w:t>
      </w:r>
      <w:r>
        <w:t xml:space="preserve">(visuomeninio) </w:t>
      </w:r>
      <w:r w:rsidRPr="00CE37D0">
        <w:t>intereso kategorijomis apibrėžiamos prokuroro įsikišimo į privataus kaltinimo procesą ribos ir užsienio šalių baudžiamojo proceso įstatymuose: Danijo</w:t>
      </w:r>
      <w:r w:rsidR="00CF3197">
        <w:t>je</w:t>
      </w:r>
      <w:r w:rsidR="00091565">
        <w:t xml:space="preserve"> </w:t>
      </w:r>
      <w:r w:rsidR="00CF3197">
        <w:t>(</w:t>
      </w:r>
      <w:r w:rsidR="00225A19">
        <w:t>Proceso įstatymo</w:t>
      </w:r>
      <w:r w:rsidR="00B77CA7">
        <w:t xml:space="preserve"> </w:t>
      </w:r>
      <w:r w:rsidRPr="00CE37D0">
        <w:t>727</w:t>
      </w:r>
      <w:r w:rsidR="00B77CA7">
        <w:t xml:space="preserve"> </w:t>
      </w:r>
      <w:r w:rsidRPr="00CE37D0">
        <w:t>str</w:t>
      </w:r>
      <w:r w:rsidR="00E3730A">
        <w:t>aipsnio</w:t>
      </w:r>
      <w:r>
        <w:t xml:space="preserve"> 2 d</w:t>
      </w:r>
      <w:r w:rsidR="00E3730A">
        <w:t>al</w:t>
      </w:r>
      <w:r w:rsidR="00CF3197">
        <w:t xml:space="preserve">is </w:t>
      </w:r>
      <w:r>
        <w:rPr>
          <w:rStyle w:val="Puslapioinaosnuoroda"/>
        </w:rPr>
        <w:footnoteReference w:id="419"/>
      </w:r>
      <w:r w:rsidR="00CF3197">
        <w:t>),</w:t>
      </w:r>
      <w:r w:rsidRPr="00CE37D0">
        <w:t xml:space="preserve"> Vokietijo</w:t>
      </w:r>
      <w:r w:rsidR="00CF3197">
        <w:t>je</w:t>
      </w:r>
      <w:r w:rsidR="00091565">
        <w:t xml:space="preserve"> </w:t>
      </w:r>
      <w:r w:rsidR="00CF3197">
        <w:t>(</w:t>
      </w:r>
      <w:r w:rsidRPr="00CE37D0">
        <w:t>BPK 376 str</w:t>
      </w:r>
      <w:r w:rsidR="00E3730A">
        <w:t>aipsn</w:t>
      </w:r>
      <w:r w:rsidR="00CF3197">
        <w:t>is</w:t>
      </w:r>
      <w:r w:rsidR="00D37E47">
        <w:t xml:space="preserve"> </w:t>
      </w:r>
      <w:r>
        <w:rPr>
          <w:rStyle w:val="Puslapioinaosnuoroda"/>
        </w:rPr>
        <w:footnoteReference w:id="420"/>
      </w:r>
      <w:r w:rsidR="00CF3197">
        <w:t>),</w:t>
      </w:r>
      <w:r w:rsidRPr="00CE37D0">
        <w:t xml:space="preserve"> Austrijoje</w:t>
      </w:r>
      <w:r w:rsidR="00091565">
        <w:t xml:space="preserve"> </w:t>
      </w:r>
      <w:r w:rsidR="00CF3197" w:rsidRPr="00CE37D0">
        <w:t>(BPK 464 str</w:t>
      </w:r>
      <w:r w:rsidR="00CF3197">
        <w:t>aipsnis</w:t>
      </w:r>
      <w:r w:rsidR="00D37E47">
        <w:t xml:space="preserve"> </w:t>
      </w:r>
      <w:r w:rsidR="00CF3197">
        <w:rPr>
          <w:rStyle w:val="Puslapioinaosnuoroda"/>
        </w:rPr>
        <w:footnoteReference w:id="421"/>
      </w:r>
      <w:r w:rsidR="00CF3197" w:rsidRPr="00CE37D0">
        <w:t>)</w:t>
      </w:r>
      <w:r w:rsidRPr="00CE37D0">
        <w:t xml:space="preserve"> kaltinimo palaikymą gali perimti prokuroras nukentėjusiojo prašymu.</w:t>
      </w:r>
      <w:r w:rsidR="00091565">
        <w:t xml:space="preserve"> </w:t>
      </w:r>
      <w:r>
        <w:t>Lenkijos BPK 60 str</w:t>
      </w:r>
      <w:r w:rsidR="00E3730A">
        <w:t>aipsnio 1 dalyje</w:t>
      </w:r>
      <w:r>
        <w:t xml:space="preserve"> visuomenini</w:t>
      </w:r>
      <w:r w:rsidR="00E3730A">
        <w:t>s</w:t>
      </w:r>
      <w:r>
        <w:t xml:space="preserve"> interes</w:t>
      </w:r>
      <w:r w:rsidR="00E3730A">
        <w:t>as įtvirtinamas</w:t>
      </w:r>
      <w:r>
        <w:t xml:space="preserve"> kaip būtin</w:t>
      </w:r>
      <w:r w:rsidR="00E3730A">
        <w:t>oji</w:t>
      </w:r>
      <w:r>
        <w:t xml:space="preserve"> sąlyg</w:t>
      </w:r>
      <w:r w:rsidR="00E3730A">
        <w:t>a</w:t>
      </w:r>
      <w:r>
        <w:t xml:space="preserve"> prokurorui perimti kaltinimą privataus kaltinimo byloje. </w:t>
      </w:r>
      <w:r>
        <w:rPr>
          <w:rStyle w:val="Puslapioinaosnuoroda"/>
        </w:rPr>
        <w:footnoteReference w:id="422"/>
      </w:r>
      <w:r>
        <w:t xml:space="preserve"> Lenkijos </w:t>
      </w:r>
      <w:r w:rsidR="00E3730A">
        <w:t>Aukščiausiojo Teismo</w:t>
      </w:r>
      <w:r>
        <w:t xml:space="preserve"> praktikoje formuluojama pozicija, kad prokuroro sprendimas perimti kaltinimą privataus kaltinimo byloje turi būti pagrįstas visuomeninio intereso pažeidimo motyvuotu vertinimu. </w:t>
      </w:r>
      <w:r>
        <w:rPr>
          <w:rStyle w:val="Puslapioinaosnuoroda"/>
        </w:rPr>
        <w:footnoteReference w:id="423"/>
      </w:r>
      <w:r w:rsidR="00D37E47">
        <w:t xml:space="preserve"> </w:t>
      </w:r>
      <w:r w:rsidRPr="00CE37D0">
        <w:t>Vokietijos mokslininkai vieš</w:t>
      </w:r>
      <w:r w:rsidR="00CF3197">
        <w:t>ąjį</w:t>
      </w:r>
      <w:r w:rsidRPr="00CE37D0">
        <w:t xml:space="preserve"> interesą įžvelgia tais atvejais, kai per nukentėjusiojo asmeninį gyvenimą pažeidžiama ir teisinė tvarka </w:t>
      </w:r>
      <w:proofErr w:type="gramStart"/>
      <w:r w:rsidRPr="00CE37D0">
        <w:t>(</w:t>
      </w:r>
      <w:proofErr w:type="gramEnd"/>
      <w:r w:rsidRPr="00CE37D0">
        <w:t xml:space="preserve">vok. </w:t>
      </w:r>
      <w:r w:rsidRPr="00CE37D0">
        <w:rPr>
          <w:i/>
        </w:rPr>
        <w:t>Rechtsfrieden</w:t>
      </w:r>
      <w:r w:rsidRPr="00CE37D0">
        <w:t>)</w:t>
      </w:r>
      <w:r w:rsidR="00091565">
        <w:t>,</w:t>
      </w:r>
      <w:r w:rsidRPr="00CE37D0">
        <w:t xml:space="preserve"> ir baudžiamuoju persekiojimu tampa suinteresuota visuomenė ar jos dalis, p</w:t>
      </w:r>
      <w:r w:rsidR="00E3730A">
        <w:t>avyzdžiui,</w:t>
      </w:r>
      <w:r w:rsidRPr="00CE37D0">
        <w:t xml:space="preserve"> dėl nusikalstamos veikos apimties, žiaurumo (cinizmo) ar pavojingumo arba nukentėjusiojo ar nusikalstamą veiką galimai padariusio asmens s</w:t>
      </w:r>
      <w:r w:rsidR="00D37E47">
        <w:t>tatuso visuomeniniame gyvenime.</w:t>
      </w:r>
      <w:r w:rsidRPr="00CE37D0">
        <w:rPr>
          <w:vertAlign w:val="superscript"/>
        </w:rPr>
        <w:footnoteReference w:id="424"/>
      </w:r>
    </w:p>
    <w:p w:rsidR="001C6827" w:rsidRDefault="003E3809" w:rsidP="003E3809">
      <w:pPr>
        <w:spacing w:line="360" w:lineRule="auto"/>
        <w:ind w:firstLine="851"/>
        <w:jc w:val="both"/>
      </w:pPr>
      <w:r w:rsidRPr="00CE37D0">
        <w:t>Ko</w:t>
      </w:r>
      <w:r w:rsidR="00E3730A">
        <w:t>nstitucinis Teismas BPK 409 straipsnio 1 dalyje</w:t>
      </w:r>
      <w:r w:rsidR="00091565">
        <w:t xml:space="preserve"> </w:t>
      </w:r>
      <w:r w:rsidR="004836E8" w:rsidRPr="00CE37D0">
        <w:t>vartojamos</w:t>
      </w:r>
      <w:r w:rsidRPr="00CE37D0">
        <w:t xml:space="preserve"> nusikalstamos veikos visuomeninės reikšmės sąvokos turinį aiškino susiedamas</w:t>
      </w:r>
      <w:r w:rsidRPr="00CE37D0">
        <w:rPr>
          <w:i/>
        </w:rPr>
        <w:t xml:space="preserve"> „ne su kuriuo nors vienu nusikalstamos veikos požymiu ar keliais iš jų (pavyzdžiui, su nukentėjusiojo pareigomis ar socialiniu statusu, su nusikalstamos veikos sukeltu atgarsiu visuomenėje ir t.t.), bet su įvairiais nusikalstamos veikos </w:t>
      </w:r>
      <w:r w:rsidRPr="00CE37D0">
        <w:rPr>
          <w:i/>
        </w:rPr>
        <w:lastRenderedPageBreak/>
        <w:t>požymiais ir įvairiomis jos padarymo aplinkybėmis. Sprendžiant, ar nusikalstama veika turi visuomeninę reikšmę, kiekvienu atveju būtina įvertinti, kokie padariniai visuomenei, valstybei ir teisinei sistemai galėtų atsirasti, jeigu dėl šios veikos ir dėl kitų analogiškų veikų baudžiamasis procesas nebūtų pradėtas</w:t>
      </w:r>
      <w:r w:rsidRPr="00CE37D0">
        <w:t>.</w:t>
      </w:r>
      <w:r w:rsidR="004C3243">
        <w:t>“</w:t>
      </w:r>
      <w:r w:rsidR="00D37E47">
        <w:t xml:space="preserve"> </w:t>
      </w:r>
      <w:r w:rsidRPr="00CE37D0">
        <w:rPr>
          <w:vertAlign w:val="superscript"/>
        </w:rPr>
        <w:footnoteReference w:id="425"/>
      </w:r>
      <w:r w:rsidRPr="00CE37D0">
        <w:t xml:space="preserve"> Tai, kad įstatym</w:t>
      </w:r>
      <w:r w:rsidR="004836E8" w:rsidRPr="00CE37D0">
        <w:t>e nėra apibrėžta visuomeninės reikšmės sąvoka</w:t>
      </w:r>
      <w:r w:rsidRPr="00CE37D0">
        <w:t xml:space="preserve">, o konstitucinėje jurisprudencijoje </w:t>
      </w:r>
      <w:r w:rsidR="004836E8" w:rsidRPr="00CE37D0">
        <w:t>š</w:t>
      </w:r>
      <w:r w:rsidR="004C3243">
        <w:t>i</w:t>
      </w:r>
      <w:r w:rsidR="004836E8" w:rsidRPr="00CE37D0">
        <w:t xml:space="preserve"> sąvoka </w:t>
      </w:r>
      <w:r w:rsidRPr="00CE37D0">
        <w:t>aiškinama plačiai, siejant ne tik su nusikalstamos veikos požymiais, bet ir su jos padarymo aplinkybėmis, sudaro galimybę</w:t>
      </w:r>
      <w:r w:rsidR="00AC1DB2">
        <w:t xml:space="preserve"> visuomeninę reikšmę konstatuoti įvairiose situacijose, atitinkančiose suformuluotus kriterijus</w:t>
      </w:r>
      <w:r w:rsidRPr="00CE37D0">
        <w:t xml:space="preserve">. </w:t>
      </w:r>
    </w:p>
    <w:p w:rsidR="003E3809" w:rsidRPr="00CE37D0" w:rsidRDefault="003E3809" w:rsidP="003E3809">
      <w:pPr>
        <w:spacing w:line="360" w:lineRule="auto"/>
        <w:ind w:firstLine="851"/>
        <w:jc w:val="both"/>
        <w:rPr>
          <w:iCs/>
        </w:rPr>
      </w:pPr>
      <w:r w:rsidRPr="00CE37D0">
        <w:t xml:space="preserve">Teismų praktika šiuo klausimu yra nuosekli ir tam tikros situacijos vieningai vertinamos kaip atvejai, kai nusikalstama veika įgyja visuomeninę reikšmę. </w:t>
      </w:r>
      <w:r w:rsidRPr="00CE37D0">
        <w:rPr>
          <w:iCs/>
        </w:rPr>
        <w:t xml:space="preserve">Apibendrinus išanalizuotus teismų sprendimus, galima </w:t>
      </w:r>
      <w:r w:rsidRPr="00CF3197">
        <w:rPr>
          <w:iCs/>
        </w:rPr>
        <w:t xml:space="preserve">santykinai </w:t>
      </w:r>
      <w:r w:rsidRPr="00CE37D0">
        <w:rPr>
          <w:iCs/>
        </w:rPr>
        <w:t>išskirti atvejus, kai vertinama, kad BPK 407 str</w:t>
      </w:r>
      <w:r w:rsidR="00E3730A">
        <w:rPr>
          <w:iCs/>
        </w:rPr>
        <w:t>aipsnyje</w:t>
      </w:r>
      <w:r w:rsidRPr="00CE37D0">
        <w:rPr>
          <w:iCs/>
        </w:rPr>
        <w:t xml:space="preserve"> numatyta nusikalstama veika turi visuomeninę reikšmę</w:t>
      </w:r>
      <w:r w:rsidR="00091565">
        <w:rPr>
          <w:iCs/>
        </w:rPr>
        <w:t>:</w:t>
      </w:r>
    </w:p>
    <w:p w:rsidR="003E3809" w:rsidRPr="000C1D3E" w:rsidRDefault="00091565" w:rsidP="00365E90">
      <w:pPr>
        <w:pStyle w:val="Sraopastraipa"/>
        <w:numPr>
          <w:ilvl w:val="0"/>
          <w:numId w:val="31"/>
        </w:numPr>
        <w:rPr>
          <w:iCs/>
        </w:rPr>
      </w:pPr>
      <w:r w:rsidRPr="00365E90">
        <w:rPr>
          <w:iCs/>
        </w:rPr>
        <w:t>k</w:t>
      </w:r>
      <w:r w:rsidR="003E3809" w:rsidRPr="00365E90">
        <w:rPr>
          <w:iCs/>
        </w:rPr>
        <w:t>ai nusikalstamos veikos tyrimas glaudžiai susijęs su kitos BPK 407 str</w:t>
      </w:r>
      <w:r w:rsidR="00E3730A" w:rsidRPr="00365E90">
        <w:rPr>
          <w:iCs/>
        </w:rPr>
        <w:t>aipsnyje</w:t>
      </w:r>
      <w:r w:rsidR="003E3809" w:rsidRPr="000C1D3E">
        <w:rPr>
          <w:iCs/>
        </w:rPr>
        <w:t xml:space="preserve"> nenumatytos nusikalstamos veikos tyrimu: </w:t>
      </w:r>
    </w:p>
    <w:p w:rsidR="003E3809" w:rsidRPr="00CE37D0" w:rsidRDefault="003E3809" w:rsidP="00755132">
      <w:pPr>
        <w:numPr>
          <w:ilvl w:val="0"/>
          <w:numId w:val="15"/>
        </w:numPr>
        <w:spacing w:line="360" w:lineRule="auto"/>
        <w:ind w:left="0" w:firstLine="851"/>
        <w:jc w:val="both"/>
      </w:pPr>
      <w:r w:rsidRPr="00CE37D0">
        <w:t xml:space="preserve">asmenys yra kaltinami kelių tarpusavyje susijusių nusikalstamų veikų padarymu, </w:t>
      </w:r>
      <w:r w:rsidR="00DD53AD" w:rsidRPr="00CE37D0">
        <w:rPr>
          <w:rStyle w:val="Puslapioinaosnuoroda"/>
        </w:rPr>
        <w:footnoteReference w:id="426"/>
      </w:r>
    </w:p>
    <w:p w:rsidR="003E3809" w:rsidRPr="00CE37D0" w:rsidRDefault="003E3809" w:rsidP="00755132">
      <w:pPr>
        <w:numPr>
          <w:ilvl w:val="0"/>
          <w:numId w:val="15"/>
        </w:numPr>
        <w:spacing w:line="360" w:lineRule="auto"/>
        <w:ind w:left="0" w:firstLine="851"/>
        <w:jc w:val="both"/>
      </w:pPr>
      <w:r w:rsidRPr="00CE37D0">
        <w:t xml:space="preserve">arba asmuo kaltinamas dėl veikų, padarytų prieš vieną nukentėjusįjį, dėl dalies iš kurių baudžiamasis procesas turėtų vykti privataus kaltinimo tvarka. </w:t>
      </w:r>
    </w:p>
    <w:p w:rsidR="003E3809" w:rsidRPr="00CE37D0" w:rsidRDefault="003E3809" w:rsidP="003E3809">
      <w:pPr>
        <w:spacing w:line="360" w:lineRule="auto"/>
        <w:ind w:firstLine="851"/>
        <w:jc w:val="both"/>
      </w:pPr>
      <w:r w:rsidRPr="00CE37D0">
        <w:t xml:space="preserve">Šiuo atveju visuomeninės reikšmės įgijimas siejamas ne su konkrečios nusikalstamos veikos požymiais, o su jos padarymo aplinkybėmis (nusikalstamų veikų pavojingumas didesnis, kai yra padaromos kelios tarpusavyje susijusios nusikalstamos veikos, iš kurių bent viena nėra nagrinėjama privataus kaltinimo tvarka). Taip pat visuomeninė reikšmė aiškinama procesiniu kriterijumi, t.y. nusikalstamų veikų atskleidimo ir įrodinėjimo ypatumais. Kai padarytos nusikalstamos veikos yra tarpusavyje susiję, jų tyrimas bei įrodymų rinkimas yra taip pat susijęs: nutraukus baudžiamąjį procesą dėl privataus kaltinimo veikos, pasunkėtų kitų nusikalstamų veikų atskleidimas ir įrodinėjimas. </w:t>
      </w:r>
      <w:r w:rsidRPr="00CE37D0">
        <w:rPr>
          <w:rStyle w:val="Puslapioinaosnuoroda"/>
        </w:rPr>
        <w:footnoteReference w:id="427"/>
      </w:r>
      <w:r w:rsidRPr="00CE37D0">
        <w:t xml:space="preserve"> Vieninga proceso forma geriausiai užtikrina baudžiamojo proceso tikslų ir uždavinių įgyvendinimą, kas ir </w:t>
      </w:r>
      <w:r w:rsidR="00170214" w:rsidRPr="00CE37D0">
        <w:t>su</w:t>
      </w:r>
      <w:r w:rsidR="00170214">
        <w:t xml:space="preserve">ponuoja </w:t>
      </w:r>
      <w:r w:rsidRPr="00CE37D0">
        <w:t xml:space="preserve">visuomeninį reikšmingumą. </w:t>
      </w:r>
    </w:p>
    <w:p w:rsidR="001C6827" w:rsidRDefault="003E3809" w:rsidP="00DD53AD">
      <w:pPr>
        <w:pStyle w:val="Sraopastraipa"/>
        <w:numPr>
          <w:ilvl w:val="0"/>
          <w:numId w:val="31"/>
        </w:numPr>
        <w:ind w:left="0" w:firstLine="851"/>
      </w:pPr>
      <w:r w:rsidRPr="00CE37D0">
        <w:lastRenderedPageBreak/>
        <w:t xml:space="preserve">Visuomeninės reikšmės įgijimas aiškinamas </w:t>
      </w:r>
      <w:r w:rsidR="004836E8" w:rsidRPr="00DD53AD">
        <w:rPr>
          <w:i/>
        </w:rPr>
        <w:t>inter alia</w:t>
      </w:r>
      <w:r w:rsidRPr="00CE37D0">
        <w:t xml:space="preserve"> atgarsio visuomenėje kilimu, tačiau savai</w:t>
      </w:r>
      <w:r w:rsidR="00CF3197">
        <w:t>me šis kriterijus nebūtų pripažįstam</w:t>
      </w:r>
      <w:r w:rsidRPr="00CE37D0">
        <w:t xml:space="preserve">as pakankamu. </w:t>
      </w:r>
      <w:r w:rsidRPr="00CE37D0">
        <w:rPr>
          <w:rStyle w:val="Puslapioinaosnuoroda"/>
        </w:rPr>
        <w:footnoteReference w:id="428"/>
      </w:r>
      <w:r w:rsidR="00091565">
        <w:t xml:space="preserve"> </w:t>
      </w:r>
      <w:r w:rsidR="00B23393" w:rsidRPr="00CE37D0">
        <w:t xml:space="preserve">Rezonansinis bylos pobūdis teismų praktikoje vertinamas </w:t>
      </w:r>
      <w:r w:rsidR="00091565">
        <w:t>pagal kitų kriterijų visumą</w:t>
      </w:r>
      <w:r w:rsidR="00B23393">
        <w:t xml:space="preserve">. </w:t>
      </w:r>
      <w:r w:rsidR="00B23393" w:rsidRPr="00CE37D0">
        <w:rPr>
          <w:rStyle w:val="Puslapioinaosnuoroda"/>
        </w:rPr>
        <w:footnoteReference w:id="429"/>
      </w:r>
      <w:r w:rsidR="00091565">
        <w:t xml:space="preserve"> </w:t>
      </w:r>
      <w:r w:rsidR="000213A2" w:rsidRPr="00CE37D0">
        <w:t>Sprendžiant, ar nusikalstama veika turi visuomeninę reikšmę, būtina atsižvelgti į tai, jog vien nukentėjusiojo užimamos pareigos ar socialinis statusas savaime nenulemia nusikalstamos veikos visuomeninės reikšmės, nes įstatymui ir teismui visi asmenys yra lygūs, nepaisant jų veiklos rūšies ir pobūdžio bei kitų aplinkybių (B</w:t>
      </w:r>
      <w:r w:rsidR="00E3730A">
        <w:t>PK 6 straipsnio</w:t>
      </w:r>
      <w:r w:rsidR="000213A2" w:rsidRPr="00CE37D0">
        <w:t xml:space="preserve"> 2 d</w:t>
      </w:r>
      <w:r w:rsidR="00E3730A">
        <w:t>alis</w:t>
      </w:r>
      <w:r w:rsidR="000213A2" w:rsidRPr="00CE37D0">
        <w:t xml:space="preserve">), o tą patį procesinį statusą turintys baudžiamojo proceso dalyviai turi ir tokias pačias teises bei pareigas. </w:t>
      </w:r>
      <w:r w:rsidR="000213A2" w:rsidRPr="00CE37D0">
        <w:rPr>
          <w:rStyle w:val="Puslapioinaosnuoroda"/>
        </w:rPr>
        <w:footnoteReference w:id="430"/>
      </w:r>
    </w:p>
    <w:p w:rsidR="003E3809" w:rsidRPr="00446D8E" w:rsidRDefault="00AC1DB2" w:rsidP="00DD53AD">
      <w:pPr>
        <w:numPr>
          <w:ilvl w:val="0"/>
          <w:numId w:val="31"/>
        </w:numPr>
        <w:spacing w:line="360" w:lineRule="auto"/>
        <w:ind w:left="0" w:firstLine="851"/>
        <w:jc w:val="both"/>
      </w:pPr>
      <w:r>
        <w:t xml:space="preserve">Nukentėjusio asmens teisinė padėtis gali lemti padarinius visuomenei, valstybei ir teisinei sistemai, kurių reikšmingumas </w:t>
      </w:r>
      <w:r w:rsidR="00CF3197">
        <w:t>lem</w:t>
      </w:r>
      <w:r>
        <w:t xml:space="preserve">ia juos sukėlusios nusikalstamos veikos visuomeninę reikšmę. </w:t>
      </w:r>
      <w:r w:rsidR="00B23393">
        <w:t xml:space="preserve">Byloje dėl teisėjos įžeidimo LAT konstatavo, kad visuomeninė reikšmė sietina ne su nukentėjusiosios socialiniu statusu ar pareigomis, o su padariniais teisinei sistemai: </w:t>
      </w:r>
      <w:r w:rsidR="00CF3197">
        <w:t>„</w:t>
      </w:r>
      <w:r w:rsidR="00B23393" w:rsidRPr="00B23393">
        <w:rPr>
          <w:i/>
        </w:rPr>
        <w:t>teisėjo, tarp jų ir teismo pirmininko, šmeižimas, skleidžiant su teisingumo vykdymu susijusią tikrovės neatitinkančią informaciją, daugeliu aspektų vertintinas kaip nusikalstama veika, turinti visuomeninę reikšmę.</w:t>
      </w:r>
      <w:r w:rsidR="00CF3197">
        <w:rPr>
          <w:i/>
        </w:rPr>
        <w:t xml:space="preserve">“ </w:t>
      </w:r>
      <w:r w:rsidR="00AE3514">
        <w:rPr>
          <w:rStyle w:val="Puslapioinaosnuoroda"/>
        </w:rPr>
        <w:footnoteReference w:id="431"/>
      </w:r>
    </w:p>
    <w:p w:rsidR="00AC1DB2" w:rsidRDefault="00AC1DB2" w:rsidP="003E3809">
      <w:pPr>
        <w:spacing w:line="360" w:lineRule="auto"/>
        <w:ind w:firstLine="851"/>
        <w:jc w:val="both"/>
      </w:pPr>
      <w:r>
        <w:t>Apibendrinant teismų praktiką, darytina išvada, kad ji formuojama tinkama linkme ir atitinka konstitucinėje jurisprudencijoje suformuluotus visuomeninę nusikalstamos veikos reikšmę apibrėžiančius kriterijus.</w:t>
      </w:r>
    </w:p>
    <w:p w:rsidR="00AC1DB2" w:rsidRDefault="00AC1DB2" w:rsidP="00AC1DB2">
      <w:pPr>
        <w:spacing w:line="360" w:lineRule="auto"/>
        <w:ind w:firstLine="851"/>
        <w:jc w:val="both"/>
      </w:pPr>
      <w:r w:rsidRPr="00CE37D0">
        <w:t>Taigi</w:t>
      </w:r>
      <w:r w:rsidR="00091565">
        <w:t>,</w:t>
      </w:r>
      <w:r w:rsidRPr="00CE37D0">
        <w:t xml:space="preserve"> </w:t>
      </w:r>
      <w:r>
        <w:t>apibendrinus doktrinoje, užsienio įstatymuose</w:t>
      </w:r>
      <w:r w:rsidR="007601AD">
        <w:t xml:space="preserve">, konstitucinėje jurisprudencijoje ir teismų praktikoje reiškiamas pozicijas, darytina išvada, kad </w:t>
      </w:r>
      <w:r w:rsidRPr="00CE37D0">
        <w:t xml:space="preserve">visuomeninė nusikalstamos veikos reikšmė dažniausiai siejama su situacijomis, kai nusikalstama veika yra padaryta kartu su kitomis nusikalstamomis veikomis ir dėl to jos pavojingumas </w:t>
      </w:r>
      <w:r w:rsidR="003A4A8D">
        <w:t>bei</w:t>
      </w:r>
      <w:r w:rsidRPr="00CE37D0">
        <w:t xml:space="preserve"> tyrimo sudėtingumas vertinamas</w:t>
      </w:r>
      <w:proofErr w:type="gramStart"/>
      <w:r w:rsidRPr="00CE37D0">
        <w:t xml:space="preserve">  </w:t>
      </w:r>
      <w:proofErr w:type="gramEnd"/>
      <w:r w:rsidRPr="00CE37D0">
        <w:t xml:space="preserve">kartu su kitomis aplinkybėmis. Tačiau visuomeninę reikšmę gali nulemti ir pačios veikos pobūdis. </w:t>
      </w:r>
      <w:r>
        <w:t>Vertinant prokuroro galimybes pradėti baudžiamąjį procesą</w:t>
      </w:r>
      <w:r w:rsidR="00091565">
        <w:t>,</w:t>
      </w:r>
      <w:r>
        <w:t xml:space="preserve"> negalima pamiršti, kad prokuroras </w:t>
      </w:r>
      <w:r>
        <w:rPr>
          <w:i/>
        </w:rPr>
        <w:t>ex officio</w:t>
      </w:r>
      <w:r>
        <w:t xml:space="preserve"> byloje gina viešajį interesą. Jei nusikalstama veika padaryta žala tik nukentėjusiojo privačiam </w:t>
      </w:r>
      <w:r>
        <w:lastRenderedPageBreak/>
        <w:t xml:space="preserve">interesui, tai teoriškai pagrįstas valstybinis kaltinimas gali būti tik išimtis, o ne taisyklė. Todėl tiek doktrinoje, tiek praktikoje prokuroro dalyvavimas turi būti apibrėžtas aiškiomis ribomis ir </w:t>
      </w:r>
      <w:r w:rsidR="00091565">
        <w:t xml:space="preserve">turi </w:t>
      </w:r>
      <w:r>
        <w:t xml:space="preserve">nepažeisti nukentėjusio asmens teisės išreikšti valią dėl baudžiamojo proceso inicijavimo. </w:t>
      </w:r>
      <w:r w:rsidR="007601AD">
        <w:t xml:space="preserve">Lietuvos konstitucinėje jurisprudencijoje </w:t>
      </w:r>
      <w:r w:rsidR="00D8011B">
        <w:t xml:space="preserve">pateikta </w:t>
      </w:r>
      <w:r w:rsidR="007601AD" w:rsidRPr="00CE37D0">
        <w:t>objektyvi</w:t>
      </w:r>
      <w:r w:rsidR="007601AD">
        <w:t>ai</w:t>
      </w:r>
      <w:r w:rsidR="007601AD" w:rsidRPr="00CE37D0">
        <w:t>s kriterij</w:t>
      </w:r>
      <w:r w:rsidR="007601AD">
        <w:t>ai</w:t>
      </w:r>
      <w:r w:rsidR="007601AD" w:rsidRPr="00CE37D0">
        <w:t>s</w:t>
      </w:r>
      <w:r w:rsidR="007601AD">
        <w:t xml:space="preserve"> apibrėžt</w:t>
      </w:r>
      <w:r w:rsidR="00D8011B">
        <w:t>a</w:t>
      </w:r>
      <w:r w:rsidR="00091565">
        <w:t xml:space="preserve"> </w:t>
      </w:r>
      <w:r w:rsidRPr="00CE37D0">
        <w:t>nusikalstam</w:t>
      </w:r>
      <w:r w:rsidR="007601AD">
        <w:t>os</w:t>
      </w:r>
      <w:r w:rsidRPr="00CE37D0">
        <w:t xml:space="preserve"> veik</w:t>
      </w:r>
      <w:r w:rsidR="007601AD">
        <w:t>os</w:t>
      </w:r>
      <w:r w:rsidRPr="00CE37D0">
        <w:t xml:space="preserve"> visuomenin</w:t>
      </w:r>
      <w:r w:rsidR="007601AD">
        <w:t>ės reikšmės</w:t>
      </w:r>
      <w:r w:rsidR="00091565">
        <w:t xml:space="preserve"> </w:t>
      </w:r>
      <w:r w:rsidR="007601AD">
        <w:t>samprat</w:t>
      </w:r>
      <w:r w:rsidR="00D8011B">
        <w:t>a</w:t>
      </w:r>
      <w:r w:rsidRPr="00CE37D0">
        <w:t xml:space="preserve">, </w:t>
      </w:r>
      <w:r w:rsidR="007601AD">
        <w:t xml:space="preserve">kuria vadovaujantis formuojama </w:t>
      </w:r>
      <w:r w:rsidR="007601AD" w:rsidRPr="00CE37D0">
        <w:t xml:space="preserve">nuosekli ir vieninga </w:t>
      </w:r>
      <w:r w:rsidR="007601AD">
        <w:t>teismų praktika</w:t>
      </w:r>
      <w:r w:rsidRPr="00CE37D0">
        <w:t>.</w:t>
      </w:r>
    </w:p>
    <w:p w:rsidR="003E3809" w:rsidRPr="00CE37D0" w:rsidRDefault="006B0AEE" w:rsidP="003E3809">
      <w:pPr>
        <w:spacing w:line="360" w:lineRule="auto"/>
        <w:ind w:firstLine="851"/>
        <w:jc w:val="both"/>
      </w:pPr>
      <w:r>
        <w:t>Kitas aspektas sietinas su proceso ypatumais, kai prokuroro ir teismo nuomonės dėl nusikalstamos veikos visuomeninės reikšmės išsiskiria</w:t>
      </w:r>
      <w:r w:rsidR="00AC1DB2">
        <w:t xml:space="preserve">. </w:t>
      </w:r>
      <w:r w:rsidR="003E3809" w:rsidRPr="00CE37D0">
        <w:t xml:space="preserve">Siekiant užtikrinti nukentėjusio asmens teises, literatūroje siūloma numatyti, kad teismo išvados (asmeniui apskundus prokuroro atsisakymą tirti bylą viešo kaltinimo tvarka) dėl </w:t>
      </w:r>
      <w:r w:rsidR="00091565">
        <w:t xml:space="preserve">visuomeninės </w:t>
      </w:r>
      <w:r w:rsidR="003E3809" w:rsidRPr="00CE37D0">
        <w:t>veikos reikšmės prokurorui būtų privalomos</w:t>
      </w:r>
      <w:r w:rsidR="00BF345D">
        <w:t>.</w:t>
      </w:r>
      <w:r w:rsidR="003E3809" w:rsidRPr="00CE37D0">
        <w:rPr>
          <w:vertAlign w:val="superscript"/>
        </w:rPr>
        <w:footnoteReference w:id="432"/>
      </w:r>
      <w:r w:rsidR="003E3809" w:rsidRPr="00CE37D0">
        <w:t xml:space="preserve"> Šiuo metu teismų pozicija grindžiama teismo nešališkumo koncepcija, kuri riboja teismo galimybes priimti sprendimą dėl ikiteisminio tyrimo pradėjimo: </w:t>
      </w:r>
      <w:r w:rsidR="00BF345D">
        <w:t>„</w:t>
      </w:r>
      <w:r w:rsidR="003E3809" w:rsidRPr="00CE37D0">
        <w:rPr>
          <w:i/>
        </w:rPr>
        <w:t xml:space="preserve">teismo įpareigojimas prokurorui pradėti ikiteisminį tyrimą, vertintinas kaip teismo šališkumas. </w:t>
      </w:r>
      <w:r w:rsidR="000213A2" w:rsidRPr="00CE37D0">
        <w:rPr>
          <w:i/>
        </w:rPr>
        <w:t>[...]</w:t>
      </w:r>
      <w:r w:rsidR="003E3809" w:rsidRPr="00CE37D0">
        <w:rPr>
          <w:i/>
        </w:rPr>
        <w:t xml:space="preserve"> BPK 166 str. pagrindu sprendimą pradėti ikiteisminį tyrimą priima tik prokuroras, ikiteisminio tyrimo įstaigos vadovas ar šio įgaliotas asmuo, bet jokiu būdu ne teismas</w:t>
      </w:r>
      <w:r w:rsidR="003E3809" w:rsidRPr="00CE37D0">
        <w:t>.</w:t>
      </w:r>
      <w:r w:rsidR="00BF345D">
        <w:t>“</w:t>
      </w:r>
      <w:r w:rsidR="00707CEE">
        <w:t xml:space="preserve"> </w:t>
      </w:r>
      <w:r w:rsidR="003E3809" w:rsidRPr="00CE37D0">
        <w:rPr>
          <w:rStyle w:val="Puslapioinaosnuoroda"/>
        </w:rPr>
        <w:footnoteReference w:id="433"/>
      </w:r>
      <w:r w:rsidR="003E3809" w:rsidRPr="00CE37D0">
        <w:t xml:space="preserve"> M</w:t>
      </w:r>
      <w:r w:rsidR="002113A5">
        <w:t>anytina, kad</w:t>
      </w:r>
      <w:r w:rsidR="003E3809" w:rsidRPr="00CE37D0">
        <w:t xml:space="preserve"> teismo nešališkumo koncepcija neleidžia teismui reikšti pozicijos dėl ikiteisminio tyrimo pradėjimo,</w:t>
      </w:r>
      <w:r w:rsidR="00707CEE">
        <w:t xml:space="preserve"> </w:t>
      </w:r>
      <w:r w:rsidR="00980051">
        <w:rPr>
          <w:rStyle w:val="Puslapioinaosnuoroda"/>
        </w:rPr>
        <w:footnoteReference w:id="434"/>
      </w:r>
      <w:r w:rsidR="003E3809" w:rsidRPr="00CE37D0">
        <w:t xml:space="preserve"> tačiau teismo argumentai, kuriais grindžiama nusikalstamos veikos visuomeninė reikšmė, turi būti (ir yra) privalomi prokurorui. Remdamasis teismo pateiktais argumentais, prokuroras priima sprendimą savarankiškai, tačiau šis sprendimas negali prieštarauti argumentų logikai, todėl prokuroras </w:t>
      </w:r>
      <w:r w:rsidR="000213A2" w:rsidRPr="00CE37D0">
        <w:t>įpareigojamas pradėti</w:t>
      </w:r>
      <w:r w:rsidR="003E3809" w:rsidRPr="00CE37D0">
        <w:t xml:space="preserve"> nusikalstamos veikos ikiteisminį tyrimą, jei teismas </w:t>
      </w:r>
      <w:r w:rsidR="000213A2" w:rsidRPr="00CE37D0">
        <w:t xml:space="preserve">motyvuotai </w:t>
      </w:r>
      <w:r w:rsidR="003E3809" w:rsidRPr="00CE37D0">
        <w:t xml:space="preserve">konstatavo šios veikos visuomeninę reikšmę. </w:t>
      </w:r>
    </w:p>
    <w:p w:rsidR="003E3809" w:rsidRPr="00CE37D0" w:rsidRDefault="004D19AA" w:rsidP="003A7A72">
      <w:pPr>
        <w:pStyle w:val="Antrat2"/>
        <w:rPr>
          <w:i w:val="0"/>
        </w:rPr>
      </w:pPr>
      <w:bookmarkStart w:id="203" w:name="_Toc315263137"/>
      <w:bookmarkStart w:id="204" w:name="_Toc315893184"/>
      <w:bookmarkStart w:id="205" w:name="_Toc316893923"/>
      <w:bookmarkStart w:id="206" w:name="_Toc320526520"/>
      <w:bookmarkStart w:id="207" w:name="_Toc332026003"/>
      <w:bookmarkStart w:id="208" w:name="_Toc333483943"/>
      <w:bookmarkStart w:id="209" w:name="_Toc365498854"/>
      <w:bookmarkStart w:id="210" w:name="_Toc370139915"/>
      <w:bookmarkStart w:id="211" w:name="_Toc400321693"/>
      <w:r w:rsidRPr="00CE37D0">
        <w:rPr>
          <w:i w:val="0"/>
        </w:rPr>
        <w:t>3</w:t>
      </w:r>
      <w:r w:rsidR="003E3809" w:rsidRPr="00CE37D0">
        <w:rPr>
          <w:i w:val="0"/>
        </w:rPr>
        <w:t xml:space="preserve">.2. </w:t>
      </w:r>
      <w:r w:rsidR="005722E1">
        <w:rPr>
          <w:i w:val="0"/>
        </w:rPr>
        <w:t>N</w:t>
      </w:r>
      <w:r w:rsidR="005722E1" w:rsidRPr="00CE37D0">
        <w:rPr>
          <w:i w:val="0"/>
        </w:rPr>
        <w:t>ukentėj</w:t>
      </w:r>
      <w:r w:rsidR="005722E1">
        <w:rPr>
          <w:i w:val="0"/>
        </w:rPr>
        <w:t>usio</w:t>
      </w:r>
      <w:r w:rsidR="00C61D2C">
        <w:rPr>
          <w:i w:val="0"/>
        </w:rPr>
        <w:t xml:space="preserve"> </w:t>
      </w:r>
      <w:r w:rsidR="003E3809" w:rsidRPr="00CE37D0">
        <w:rPr>
          <w:i w:val="0"/>
        </w:rPr>
        <w:t>nuo nusikalstamos veikos asm</w:t>
      </w:r>
      <w:r w:rsidR="005722E1">
        <w:rPr>
          <w:i w:val="0"/>
        </w:rPr>
        <w:t>ens</w:t>
      </w:r>
      <w:r w:rsidR="003E3809" w:rsidRPr="00CE37D0">
        <w:rPr>
          <w:i w:val="0"/>
        </w:rPr>
        <w:t xml:space="preserve"> interesų</w:t>
      </w:r>
      <w:bookmarkEnd w:id="203"/>
      <w:bookmarkEnd w:id="204"/>
      <w:bookmarkEnd w:id="205"/>
      <w:bookmarkEnd w:id="206"/>
      <w:bookmarkEnd w:id="207"/>
      <w:bookmarkEnd w:id="208"/>
      <w:bookmarkEnd w:id="209"/>
      <w:bookmarkEnd w:id="210"/>
      <w:r w:rsidR="005722E1">
        <w:rPr>
          <w:i w:val="0"/>
        </w:rPr>
        <w:t xml:space="preserve"> apsauga</w:t>
      </w:r>
      <w:bookmarkEnd w:id="211"/>
    </w:p>
    <w:p w:rsidR="003E3809" w:rsidRPr="00CE37D0" w:rsidRDefault="003D1272" w:rsidP="003E3809">
      <w:pPr>
        <w:spacing w:line="360" w:lineRule="auto"/>
        <w:ind w:firstLine="851"/>
        <w:jc w:val="both"/>
      </w:pPr>
      <w:r>
        <w:t xml:space="preserve">Konstitucinėje jurisprudencijoje kaltinimo perėmimo kriterijai išskiriami į dvi grupes pagal nusikalstamos veikos visuomeninę reikšmę ir nukentėjusiojo asmens galimybę ginti savo teises ir teisėtus interesus. </w:t>
      </w:r>
      <w:r w:rsidR="003E3809" w:rsidRPr="00CE37D0">
        <w:t>Kitas atvejis, kai prokuroras t</w:t>
      </w:r>
      <w:r w:rsidR="00E3730A">
        <w:t>uri pareigą pradėti BPK 407 straipsnyje</w:t>
      </w:r>
      <w:r w:rsidR="003E3809" w:rsidRPr="00CE37D0">
        <w:t xml:space="preserve"> numatytos nusikalstamos veikos ikiteisminį tyrimą</w:t>
      </w:r>
      <w:r w:rsidR="00091565">
        <w:t>,</w:t>
      </w:r>
      <w:r w:rsidR="003E3809" w:rsidRPr="00CE37D0">
        <w:t xml:space="preserve"> sietinas ne su nusikalstamos veikos charakteristikomis, o su nukentėjusio nuo nusikals</w:t>
      </w:r>
      <w:r w:rsidR="0050532A" w:rsidRPr="00CE37D0">
        <w:t xml:space="preserve">tamos veikos asmens </w:t>
      </w:r>
      <w:r w:rsidR="005722E1">
        <w:t>savybėmis</w:t>
      </w:r>
      <w:r w:rsidR="007974DB">
        <w:t xml:space="preserve">, t.y., kai </w:t>
      </w:r>
      <w:r w:rsidR="007974DB">
        <w:rPr>
          <w:i/>
        </w:rPr>
        <w:t>„</w:t>
      </w:r>
      <w:r w:rsidR="003E3809" w:rsidRPr="00CE37D0">
        <w:rPr>
          <w:i/>
        </w:rPr>
        <w:t xml:space="preserve">BPK 407 str. nurodyta nusikalstama veika padaryta žala asmeniui, kuris apskritai negali (pats arba per teisėtą savo </w:t>
      </w:r>
      <w:r w:rsidR="003E3809" w:rsidRPr="00CE37D0">
        <w:rPr>
          <w:i/>
        </w:rPr>
        <w:lastRenderedPageBreak/>
        <w:t>atstovą) išreikšti valios ginti savo teisėtus interesus ir (arba) negali</w:t>
      </w:r>
      <w:r w:rsidR="00DD53AD">
        <w:rPr>
          <w:i/>
        </w:rPr>
        <w:t xml:space="preserve"> </w:t>
      </w:r>
      <w:r w:rsidR="003E3809" w:rsidRPr="00CE37D0">
        <w:rPr>
          <w:i/>
        </w:rPr>
        <w:t>(pats arba per teisėtą savo atstovą)</w:t>
      </w:r>
      <w:r w:rsidR="00DD53AD">
        <w:rPr>
          <w:i/>
        </w:rPr>
        <w:t xml:space="preserve"> </w:t>
      </w:r>
      <w:r w:rsidR="003E3809" w:rsidRPr="00CE37D0">
        <w:rPr>
          <w:i/>
        </w:rPr>
        <w:t>atlikti tam tikrų veiksmų (imtis kitų priemonių), kuriais šiuos savo teisėtus interesus apgintų, arba kuris (pats arba per teisėtą savo atstovą) gali išreikšti valią ginti savo teisėtus interesus ir (pats arba per teisėtą savo atstovą) yra ją išreiškęs (kreipęsis į kompetentingą instituciją ar pareigūną), tačiau veiksmų, kuriuos jis gali (pats arba per teisėtą savo atstovą) atlikti (kitų priemonių, kurių jis gali imtis) šiems savo teisėtiems interesams ginti, objektyviai negali pakakti, kad tie interesai būtų apginti, - nesvarbu, yra ar nėra nukentėjusiojo skundas ar jo teisėto atstovo pareiškimas.“</w:t>
      </w:r>
      <w:r w:rsidR="00707CEE">
        <w:rPr>
          <w:i/>
        </w:rPr>
        <w:t xml:space="preserve"> </w:t>
      </w:r>
      <w:r w:rsidR="003E3809" w:rsidRPr="00CE37D0">
        <w:rPr>
          <w:vertAlign w:val="superscript"/>
        </w:rPr>
        <w:footnoteReference w:id="435"/>
      </w:r>
    </w:p>
    <w:p w:rsidR="003E3809" w:rsidRPr="00CE37D0" w:rsidRDefault="00180ECC" w:rsidP="003E3809">
      <w:pPr>
        <w:spacing w:line="360" w:lineRule="auto"/>
        <w:ind w:firstLine="851"/>
        <w:jc w:val="both"/>
      </w:pPr>
      <w:r w:rsidRPr="00CE37D0">
        <w:t xml:space="preserve">Vadovaujantis Konstitucinio Teismo suformuotu išaiškinimu, </w:t>
      </w:r>
      <w:r w:rsidR="003E3809" w:rsidRPr="00CE37D0">
        <w:t xml:space="preserve">atkreiptinas dėmesys į </w:t>
      </w:r>
      <w:r w:rsidR="006B0AEE">
        <w:t xml:space="preserve">du </w:t>
      </w:r>
      <w:r w:rsidR="007974DB" w:rsidRPr="00CE37D0">
        <w:t>BPK 409 str</w:t>
      </w:r>
      <w:r w:rsidR="00E3730A">
        <w:t>aipsnio</w:t>
      </w:r>
      <w:r w:rsidR="007974DB" w:rsidRPr="00CE37D0">
        <w:t xml:space="preserve"> 1 d</w:t>
      </w:r>
      <w:r w:rsidR="00E3730A">
        <w:t>alies</w:t>
      </w:r>
      <w:r w:rsidR="00091565">
        <w:t xml:space="preserve"> </w:t>
      </w:r>
      <w:r w:rsidRPr="00CE37D0">
        <w:t>n</w:t>
      </w:r>
      <w:r w:rsidR="007974DB">
        <w:t>uostato</w:t>
      </w:r>
      <w:r w:rsidRPr="00CE37D0">
        <w:t>s</w:t>
      </w:r>
      <w:r w:rsidR="007974DB">
        <w:t>, kurioje į</w:t>
      </w:r>
      <w:r w:rsidR="00091565">
        <w:t>t</w:t>
      </w:r>
      <w:r w:rsidR="007974DB">
        <w:t>virtinama prokuroro pareiga pradėti baudžiamąjį procesą nepriklausomai nuo nukentėjusio asmens skundo (jo teisėto atstovo pareiškimo) buvimo,</w:t>
      </w:r>
      <w:r w:rsidRPr="00CE37D0">
        <w:t xml:space="preserve"> aspektus</w:t>
      </w:r>
      <w:r w:rsidR="003E3809" w:rsidRPr="00CE37D0">
        <w:t>. P</w:t>
      </w:r>
      <w:r w:rsidRPr="00CE37D0">
        <w:t>irma, p</w:t>
      </w:r>
      <w:r w:rsidR="003E3809" w:rsidRPr="00CE37D0">
        <w:t>rokurorui visais atvejais kyla pareiga ginti asmenį, kuris apskritai negali išreikšti valios ginti savo teisėtus interesus ir (arba) negali imtis kitų priemonių teisėtiems interesams apginti</w:t>
      </w:r>
      <w:r w:rsidRPr="00CE37D0">
        <w:t>, nepriklausomai nuo nukentėjusio asmens valios išreiškimo</w:t>
      </w:r>
      <w:r w:rsidR="003E3809" w:rsidRPr="00CE37D0">
        <w:t xml:space="preserve">. </w:t>
      </w:r>
      <w:r w:rsidRPr="00CE37D0">
        <w:t>Antra, k</w:t>
      </w:r>
      <w:r w:rsidR="003E3809" w:rsidRPr="00CE37D0">
        <w:t xml:space="preserve">ai asmuo gali išreikšti valią dėl savo interesų gynimo, tačiau priemonių, kurių jis gali imtis, negali pakakti, kad tie interesai būtų apginti, prokurorui kyla pareiga ginti tokį asmenį tais atvejais, kai jis tokią valią yra išreiškęs. Šiuo atveju asmuo neturi galimybės pasinaudoti procesinėmis savo teisėmis, tačiau </w:t>
      </w:r>
      <w:r w:rsidRPr="00CE37D0">
        <w:t xml:space="preserve">gali išreikšti principinę poziciją dėl savo teisių pažeidimo, todėl </w:t>
      </w:r>
      <w:r w:rsidR="003E3809" w:rsidRPr="00CE37D0">
        <w:t xml:space="preserve">jis pats išreiškia valią dėl </w:t>
      </w:r>
      <w:r w:rsidR="00BF345D">
        <w:t>proceso inicijavimo</w:t>
      </w:r>
      <w:r w:rsidR="003E3809" w:rsidRPr="00CE37D0">
        <w:t xml:space="preserve">. Priešingu atveju asmens gynyba, kai nukentėjęs asmuo to nepageidauja, būtų ne jo teisėtų interesų apsauga, o jo teisių pažeidimas. </w:t>
      </w:r>
      <w:r w:rsidR="00707CEE">
        <w:t>„</w:t>
      </w:r>
      <w:r w:rsidR="003E3809" w:rsidRPr="00CE37D0">
        <w:rPr>
          <w:i/>
        </w:rPr>
        <w:t>Privataus kaltinimo bylose prokuroro palaikomas kaltinimas yra papildantis asmens pažeistų teisių gynybos mechanizmas, kuris gali veikti tik esant konkrečioms įstatyme numatytoms sąlygoms</w:t>
      </w:r>
      <w:r w:rsidR="00707CEE">
        <w:rPr>
          <w:i/>
        </w:rPr>
        <w:t>“</w:t>
      </w:r>
      <w:r w:rsidR="003E3809" w:rsidRPr="00CE37D0">
        <w:rPr>
          <w:i/>
        </w:rPr>
        <w:t>.</w:t>
      </w:r>
      <w:r w:rsidR="00707CEE">
        <w:rPr>
          <w:i/>
        </w:rPr>
        <w:t xml:space="preserve"> </w:t>
      </w:r>
      <w:r w:rsidR="003E3809" w:rsidRPr="00CE37D0">
        <w:rPr>
          <w:vertAlign w:val="superscript"/>
        </w:rPr>
        <w:footnoteReference w:id="436"/>
      </w:r>
      <w:r w:rsidR="003E3809" w:rsidRPr="00CE37D0">
        <w:t xml:space="preserve"> Priežastis, dėl kurių nukentėjęs nuo nusikalstamos veikos asmuo negali efektyviai ginti savo interesų baudžiamajame procese, s</w:t>
      </w:r>
      <w:r w:rsidR="00707CEE">
        <w:t>antykinai galima suskirstyti į dvi</w:t>
      </w:r>
      <w:r w:rsidR="003E3809" w:rsidRPr="00CE37D0">
        <w:t xml:space="preserve"> grupes: </w:t>
      </w:r>
    </w:p>
    <w:p w:rsidR="003E3809" w:rsidRPr="00CE37D0" w:rsidRDefault="003A4A8D" w:rsidP="00755132">
      <w:pPr>
        <w:numPr>
          <w:ilvl w:val="0"/>
          <w:numId w:val="11"/>
        </w:numPr>
        <w:spacing w:line="360" w:lineRule="auto"/>
        <w:ind w:left="0" w:firstLine="851"/>
        <w:jc w:val="both"/>
      </w:pPr>
      <w:r>
        <w:t>n</w:t>
      </w:r>
      <w:r w:rsidR="003E3809" w:rsidRPr="00CE37D0">
        <w:t>ukentėjusiojo asmens ypatumai;</w:t>
      </w:r>
    </w:p>
    <w:p w:rsidR="003E3809" w:rsidRPr="00CE37D0" w:rsidRDefault="003A4A8D" w:rsidP="00755132">
      <w:pPr>
        <w:numPr>
          <w:ilvl w:val="0"/>
          <w:numId w:val="11"/>
        </w:numPr>
        <w:spacing w:line="360" w:lineRule="auto"/>
        <w:ind w:left="0" w:firstLine="851"/>
        <w:jc w:val="both"/>
      </w:pPr>
      <w:r>
        <w:t>p</w:t>
      </w:r>
      <w:r w:rsidR="003E3809" w:rsidRPr="00CE37D0">
        <w:t>rocesin</w:t>
      </w:r>
      <w:r w:rsidR="009041A9">
        <w:t>ės</w:t>
      </w:r>
      <w:r w:rsidR="003E3809" w:rsidRPr="00CE37D0">
        <w:t xml:space="preserve"> kliū</w:t>
      </w:r>
      <w:r w:rsidR="009041A9">
        <w:t>tys</w:t>
      </w:r>
      <w:r w:rsidR="003E3809" w:rsidRPr="00CE37D0">
        <w:t xml:space="preserve">.    </w:t>
      </w:r>
    </w:p>
    <w:p w:rsidR="003E3809" w:rsidRPr="00CE37D0" w:rsidRDefault="004D19AA" w:rsidP="00180ECC">
      <w:pPr>
        <w:pStyle w:val="Antrat3"/>
        <w:jc w:val="both"/>
      </w:pPr>
      <w:bookmarkStart w:id="212" w:name="_Toc316893924"/>
      <w:bookmarkStart w:id="213" w:name="_Toc320526521"/>
      <w:bookmarkStart w:id="214" w:name="_Toc332026004"/>
      <w:bookmarkStart w:id="215" w:name="_Toc333483944"/>
      <w:bookmarkStart w:id="216" w:name="_Toc365498855"/>
      <w:bookmarkStart w:id="217" w:name="_Toc370139916"/>
      <w:bookmarkStart w:id="218" w:name="_Toc400321694"/>
      <w:r w:rsidRPr="00CE37D0">
        <w:t>3</w:t>
      </w:r>
      <w:r w:rsidR="008653DA">
        <w:t>.2.1. Pažeidžiamo n</w:t>
      </w:r>
      <w:r w:rsidR="003E3809" w:rsidRPr="00CE37D0">
        <w:t>ukentėjusiojo interesų</w:t>
      </w:r>
      <w:bookmarkEnd w:id="212"/>
      <w:bookmarkEnd w:id="213"/>
      <w:bookmarkEnd w:id="214"/>
      <w:bookmarkEnd w:id="215"/>
      <w:bookmarkEnd w:id="216"/>
      <w:bookmarkEnd w:id="217"/>
      <w:r w:rsidR="008653DA">
        <w:t xml:space="preserve"> gynybos ypatumai</w:t>
      </w:r>
      <w:bookmarkEnd w:id="218"/>
    </w:p>
    <w:p w:rsidR="00370E38" w:rsidRPr="00370E38" w:rsidRDefault="00593B73" w:rsidP="00370E38">
      <w:pPr>
        <w:spacing w:line="360" w:lineRule="auto"/>
        <w:ind w:firstLine="851"/>
        <w:jc w:val="both"/>
      </w:pPr>
      <w:r>
        <w:t>D</w:t>
      </w:r>
      <w:r w:rsidRPr="00370E38">
        <w:t>iferencijuot</w:t>
      </w:r>
      <w:r>
        <w:t>o</w:t>
      </w:r>
      <w:r w:rsidRPr="00370E38">
        <w:t xml:space="preserve"> teisin</w:t>
      </w:r>
      <w:r>
        <w:t>io</w:t>
      </w:r>
      <w:r w:rsidRPr="00370E38">
        <w:t xml:space="preserve"> reguliavim</w:t>
      </w:r>
      <w:r>
        <w:t>o</w:t>
      </w:r>
      <w:r w:rsidR="00091565">
        <w:t xml:space="preserve"> </w:t>
      </w:r>
      <w:r>
        <w:t xml:space="preserve">nustatymas </w:t>
      </w:r>
      <w:r w:rsidRPr="00370E38">
        <w:t xml:space="preserve">tam tikrų asmenų, priklausančių skirtingoms kategorijoms, atžvilgiu, savaime </w:t>
      </w:r>
      <w:r>
        <w:t>neprieštarauja k</w:t>
      </w:r>
      <w:r w:rsidR="00370E38" w:rsidRPr="00370E38">
        <w:t>onstitucini</w:t>
      </w:r>
      <w:r>
        <w:t>am</w:t>
      </w:r>
      <w:r w:rsidR="00370E38" w:rsidRPr="00370E38">
        <w:t xml:space="preserve"> asmenų lygiateisiškumo princip</w:t>
      </w:r>
      <w:r>
        <w:t>ui</w:t>
      </w:r>
      <w:r w:rsidR="00370E38" w:rsidRPr="00370E38">
        <w:t xml:space="preserve">, jeigu tarp šių asmenų yra tokio pobūdžio skirtumų, kurie tokį diferencijuotą reguliavimą </w:t>
      </w:r>
      <w:r w:rsidR="00370E38" w:rsidRPr="00370E38">
        <w:lastRenderedPageBreak/>
        <w:t xml:space="preserve">daro objektyviai pateisinamą. </w:t>
      </w:r>
      <w:r w:rsidR="00370E38">
        <w:rPr>
          <w:rStyle w:val="Puslapioinaosnuoroda"/>
        </w:rPr>
        <w:footnoteReference w:id="437"/>
      </w:r>
      <w:r w:rsidR="008653DA">
        <w:t xml:space="preserve"> Taigi specifinis privataus kaltinimo bylų proceso, kuriame dalyvauja pažeidžiami proceso dalyviai</w:t>
      </w:r>
      <w:r w:rsidR="007024F3">
        <w:t xml:space="preserve"> </w:t>
      </w:r>
      <w:r>
        <w:rPr>
          <w:rStyle w:val="Puslapioinaosnuoroda"/>
        </w:rPr>
        <w:footnoteReference w:id="438"/>
      </w:r>
      <w:r w:rsidR="008653DA">
        <w:t xml:space="preserve"> (nukentėjusieji), teisinis reguliavimas, </w:t>
      </w:r>
      <w:r w:rsidR="00091565">
        <w:t>tiksliau tariant,</w:t>
      </w:r>
      <w:r w:rsidR="008653DA">
        <w:t xml:space="preserve"> </w:t>
      </w:r>
      <w:r w:rsidR="004C7782">
        <w:t xml:space="preserve">ribojimas savarankiškai įgyvendinti privataus </w:t>
      </w:r>
      <w:r w:rsidR="008653DA">
        <w:t>kaltinimo teis</w:t>
      </w:r>
      <w:r w:rsidR="004C7782">
        <w:t>ę</w:t>
      </w:r>
      <w:r w:rsidR="008653DA">
        <w:t>, yra konstituciškai pagrįstas. Šio ribojimo paskirtis yra veiksminga pažeidžiamų asmenų teisėtų interesų gynyba. Sprendžiant subjektų, kuriems kyla pareiga ginti asmenų, kurie patys negali ginti savo pažeistų teisių, klausimą, atsižvelgtina į tai, kad privataus kaltinimo tvarka ginami privatūs asmens interesai, o privataus kaltinimo teisės įgyvendinimas yra dispozityvi nukentėjusio nuo nusikalstamos veikos asmens teisė. Todėl ši pareiga pirmiausia kyla atstovams pagal įstatymą (BPK 53 str</w:t>
      </w:r>
      <w:r w:rsidR="00E3730A">
        <w:t>aipsnis</w:t>
      </w:r>
      <w:r w:rsidR="008653DA">
        <w:t>), o nesant tokių atstovų – įstatymo numatytais atvejais šeimos nariams ir artimiems giminaičiams (BPK 53 str</w:t>
      </w:r>
      <w:r w:rsidR="00E3730A">
        <w:t>aipsnio</w:t>
      </w:r>
      <w:r w:rsidR="008653DA">
        <w:t xml:space="preserve"> 4 d</w:t>
      </w:r>
      <w:r w:rsidR="00E3730A">
        <w:t>alis</w:t>
      </w:r>
      <w:r w:rsidR="008653DA">
        <w:t>)</w:t>
      </w:r>
      <w:r w:rsidR="00586565">
        <w:t>.</w:t>
      </w:r>
      <w:r w:rsidR="00C829C0">
        <w:t xml:space="preserve"> </w:t>
      </w:r>
      <w:r w:rsidR="00C829C0">
        <w:rPr>
          <w:rStyle w:val="Puslapioinaosnuoroda"/>
        </w:rPr>
        <w:footnoteReference w:id="439"/>
      </w:r>
      <w:r w:rsidR="00C829C0">
        <w:t xml:space="preserve"> </w:t>
      </w:r>
      <w:r w:rsidR="008653DA">
        <w:t>Ir tik tuo atveju, kai asmuo neturi atstovo pagal įstatymą ar šeimos narių bei artimų giminaičių</w:t>
      </w:r>
      <w:r w:rsidR="00320FB7">
        <w:t xml:space="preserve"> (arba jie neveikimu pažeidžia atstovaujamojo teises)</w:t>
      </w:r>
      <w:r w:rsidR="008653DA">
        <w:t xml:space="preserve"> ir negali pasinaudoti įgaliotojo atstovo </w:t>
      </w:r>
      <w:r w:rsidR="00320FB7">
        <w:t xml:space="preserve">teikiama teisine pagalba, pareiga ginti šių asmenų pažeistus interesus kyla </w:t>
      </w:r>
      <w:r w:rsidR="00320FB7" w:rsidRPr="00320FB7">
        <w:rPr>
          <w:i/>
        </w:rPr>
        <w:t>ex officio</w:t>
      </w:r>
      <w:r w:rsidR="00320FB7">
        <w:t xml:space="preserve"> prokurorui. Taigi prokuroro dalyvavimas</w:t>
      </w:r>
      <w:r w:rsidR="00B479F5">
        <w:t xml:space="preserve"> </w:t>
      </w:r>
      <w:r w:rsidR="00320FB7">
        <w:t xml:space="preserve">privataus kaltinimo bylų procese yra išimtinis ir galimas tik tada, kai pažeidžiamas asmuo objektyviai neturi kitų galimybių ginti savo teises. </w:t>
      </w:r>
    </w:p>
    <w:p w:rsidR="003E3809" w:rsidRPr="00CE37D0" w:rsidRDefault="00B1366E" w:rsidP="00370E38">
      <w:pPr>
        <w:spacing w:line="360" w:lineRule="auto"/>
        <w:ind w:firstLine="851"/>
        <w:jc w:val="both"/>
      </w:pPr>
      <w:r>
        <w:t xml:space="preserve">Nukentėjusių asmenų (nusikaltimo aukų) pažeidžiamumą lemia nusikalstamos veikos pobūdis (nusikaltimai artimoje aplinkoje, seksualiniai nusikaltimai), nukentėjusio asmens objektyviosios savybės (amžius, psichikos </w:t>
      </w:r>
      <w:r w:rsidR="004C7782">
        <w:t>sutrikim</w:t>
      </w:r>
      <w:r>
        <w:t>ai, fizinė negalia</w:t>
      </w:r>
      <w:r w:rsidR="007024F3">
        <w:t>) ir esamos ar galimos grėsmės.</w:t>
      </w:r>
      <w:r w:rsidR="00707CEE">
        <w:t xml:space="preserve"> </w:t>
      </w:r>
      <w:r w:rsidR="00320FB7">
        <w:rPr>
          <w:rStyle w:val="Puslapioinaosnuoroda"/>
        </w:rPr>
        <w:lastRenderedPageBreak/>
        <w:footnoteReference w:id="440"/>
      </w:r>
      <w:r w:rsidR="00B479F5">
        <w:t xml:space="preserve"> </w:t>
      </w:r>
      <w:r w:rsidR="00161983">
        <w:t xml:space="preserve">Privataus kaltinimo bylų proceso kontekste reikšmingas yra nukentėjusių asmenų pažeidžiamumas dėl jų objektyviųjų savybių. </w:t>
      </w:r>
      <w:r w:rsidR="003E3809" w:rsidRPr="00CE37D0">
        <w:t>Analizuojant teismų praktiką, Konstitucinio Teismo jurisprudenciją bei baudžiamojo proceso teoriją, galima išskirti su nukentėjusiojo asmen</w:t>
      </w:r>
      <w:r w:rsidR="00BF345D">
        <w:t>iu</w:t>
      </w:r>
      <w:r w:rsidR="003E3809" w:rsidRPr="00CE37D0">
        <w:t xml:space="preserve"> susijusi</w:t>
      </w:r>
      <w:r w:rsidR="003427F1">
        <w:t>a</w:t>
      </w:r>
      <w:r w:rsidR="003E3809" w:rsidRPr="00CE37D0">
        <w:t xml:space="preserve">s </w:t>
      </w:r>
      <w:r w:rsidR="003427F1">
        <w:t>aplinkybe</w:t>
      </w:r>
      <w:r w:rsidR="003E3809" w:rsidRPr="00CE37D0">
        <w:t xml:space="preserve">s, </w:t>
      </w:r>
      <w:r w:rsidR="00320FB7">
        <w:t xml:space="preserve">dėl </w:t>
      </w:r>
      <w:r w:rsidR="003E3809" w:rsidRPr="00CE37D0">
        <w:t>kuri</w:t>
      </w:r>
      <w:r w:rsidR="00320FB7">
        <w:t>ų</w:t>
      </w:r>
      <w:r w:rsidR="00B479F5">
        <w:t xml:space="preserve"> </w:t>
      </w:r>
      <w:r w:rsidR="00320FB7">
        <w:t>nukentėjęs asmuo</w:t>
      </w:r>
      <w:r w:rsidR="00B479F5">
        <w:t xml:space="preserve"> </w:t>
      </w:r>
      <w:r w:rsidR="00320FB7">
        <w:t>negali įgyvendinti privataus kaltinimo teisės</w:t>
      </w:r>
      <w:r w:rsidR="004D19AA" w:rsidRPr="00CE37D0">
        <w:t xml:space="preserve">: tai amžius ir </w:t>
      </w:r>
      <w:r w:rsidR="00430788">
        <w:t>sveikatos būklė</w:t>
      </w:r>
      <w:r w:rsidR="003E3809" w:rsidRPr="00CE37D0">
        <w:t xml:space="preserve">. </w:t>
      </w:r>
    </w:p>
    <w:p w:rsidR="003E3809" w:rsidRPr="00CE37D0" w:rsidRDefault="003E3809" w:rsidP="003E3809">
      <w:pPr>
        <w:spacing w:line="360" w:lineRule="auto"/>
        <w:ind w:firstLine="851"/>
        <w:jc w:val="both"/>
        <w:rPr>
          <w:rStyle w:val="Rykuspabraukimas"/>
        </w:rPr>
      </w:pPr>
      <w:r w:rsidRPr="00CE37D0">
        <w:t xml:space="preserve">BPK </w:t>
      </w:r>
      <w:r w:rsidRPr="00CE37D0">
        <w:rPr>
          <w:bCs/>
          <w:color w:val="000000"/>
        </w:rPr>
        <w:t>408 str</w:t>
      </w:r>
      <w:r w:rsidR="002B3D3E">
        <w:rPr>
          <w:bCs/>
          <w:color w:val="000000"/>
        </w:rPr>
        <w:t>ai</w:t>
      </w:r>
      <w:r w:rsidR="00E3730A">
        <w:rPr>
          <w:bCs/>
          <w:color w:val="000000"/>
        </w:rPr>
        <w:t>p</w:t>
      </w:r>
      <w:r w:rsidR="002B3D3E">
        <w:rPr>
          <w:bCs/>
          <w:color w:val="000000"/>
        </w:rPr>
        <w:t>s</w:t>
      </w:r>
      <w:r w:rsidR="00E3730A">
        <w:rPr>
          <w:bCs/>
          <w:color w:val="000000"/>
        </w:rPr>
        <w:t>nio</w:t>
      </w:r>
      <w:r w:rsidR="00B479F5">
        <w:rPr>
          <w:bCs/>
          <w:color w:val="000000"/>
        </w:rPr>
        <w:t xml:space="preserve"> </w:t>
      </w:r>
      <w:r w:rsidRPr="00CE37D0">
        <w:t>2 d</w:t>
      </w:r>
      <w:r w:rsidR="00E3730A">
        <w:t>alyje</w:t>
      </w:r>
      <w:r w:rsidRPr="00CE37D0">
        <w:t xml:space="preserve"> numato</w:t>
      </w:r>
      <w:r w:rsidR="00E3730A">
        <w:t>mas</w:t>
      </w:r>
      <w:r w:rsidRPr="00CE37D0">
        <w:t xml:space="preserve"> apribojim</w:t>
      </w:r>
      <w:r w:rsidR="00E3730A">
        <w:t>as</w:t>
      </w:r>
      <w:r w:rsidR="004C7782">
        <w:t xml:space="preserve"> savarankiškai </w:t>
      </w:r>
      <w:r w:rsidR="003427F1">
        <w:t xml:space="preserve">įgyvendinti </w:t>
      </w:r>
      <w:r w:rsidRPr="00CE37D0">
        <w:t>privat</w:t>
      </w:r>
      <w:r w:rsidR="003427F1">
        <w:t>a</w:t>
      </w:r>
      <w:r w:rsidRPr="00CE37D0">
        <w:t>us kaltin</w:t>
      </w:r>
      <w:r w:rsidR="003427F1">
        <w:t>imo teisę,</w:t>
      </w:r>
      <w:r w:rsidRPr="00CE37D0">
        <w:t xml:space="preserve"> kai </w:t>
      </w:r>
      <w:r w:rsidR="003427F1">
        <w:t xml:space="preserve">asmuo </w:t>
      </w:r>
      <w:r w:rsidRPr="00CE37D0">
        <w:t>dėl nepilnametystės, fizinių</w:t>
      </w:r>
      <w:r w:rsidR="00B479F5">
        <w:t xml:space="preserve"> </w:t>
      </w:r>
      <w:r w:rsidRPr="00CE37D0">
        <w:t xml:space="preserve">ar psichinių </w:t>
      </w:r>
      <w:r w:rsidR="00161983">
        <w:t xml:space="preserve">sutrikimų </w:t>
      </w:r>
      <w:r w:rsidR="00430788">
        <w:rPr>
          <w:rStyle w:val="Puslapioinaosnuoroda"/>
        </w:rPr>
        <w:footnoteReference w:id="441"/>
      </w:r>
      <w:r w:rsidRPr="00CE37D0">
        <w:t xml:space="preserve"> negali pasinaudoti visomis nukentėjusiojo teisėmis. Tuomet paduoti pareiškimą</w:t>
      </w:r>
      <w:r w:rsidR="00B479F5">
        <w:t xml:space="preserve"> </w:t>
      </w:r>
      <w:r w:rsidRPr="00CE37D0">
        <w:t xml:space="preserve">ir palaikyti kaltinimą teisme gali jo teisėtas atstovas, kuris ir įgyja privataus kaltintojo statusą ir kaltinimą teisme palaiko vienas arba kartu su nukentėjusiuoju. </w:t>
      </w:r>
      <w:r w:rsidRPr="00CE37D0">
        <w:rPr>
          <w:rStyle w:val="Emfaz"/>
          <w:i w:val="0"/>
        </w:rPr>
        <w:t>Įstatymas numato teisę nukentėjusiajam palaikyti kaltinimą kartu su savo teisėtu atstovu net ir tada, kai jis pats savarankiškai negali būti privačiu kaltintoju.</w:t>
      </w:r>
      <w:r w:rsidR="00CF045A" w:rsidRPr="00CE37D0">
        <w:rPr>
          <w:rStyle w:val="Emfaz"/>
          <w:i w:val="0"/>
        </w:rPr>
        <w:t xml:space="preserve"> Šiuo atveju atstovas tampa teisiniu tinkamo nukentėjusio asmens teisių ir pareigų įgyvendinimo garantu, o nukentėjusiam asmeniui suteikiama dispozityvi teisė išreikšti savo valią net ir tuo atveju, kai </w:t>
      </w:r>
      <w:r w:rsidR="00B34A64">
        <w:rPr>
          <w:rStyle w:val="Emfaz"/>
          <w:i w:val="0"/>
        </w:rPr>
        <w:t>vis</w:t>
      </w:r>
      <w:r w:rsidR="00CF045A" w:rsidRPr="00CE37D0">
        <w:rPr>
          <w:rStyle w:val="Emfaz"/>
          <w:i w:val="0"/>
        </w:rPr>
        <w:t xml:space="preserve">avertiškai jis negali įgyvendinti visų (tik tam tikrą dalį) privataus kaltintojo teisių ir pareigų. Taigi tokiu būdu užtikrinamas nukentėjusio asmens privataus kaltinimo teisės įgyvendinimas tiesiogiai bei tinkamas savo interesų gynimas </w:t>
      </w:r>
      <w:r w:rsidR="003427F1" w:rsidRPr="00CE37D0">
        <w:rPr>
          <w:rStyle w:val="Emfaz"/>
          <w:i w:val="0"/>
        </w:rPr>
        <w:t xml:space="preserve">per atstovą </w:t>
      </w:r>
      <w:r w:rsidR="00CF045A" w:rsidRPr="00CE37D0">
        <w:rPr>
          <w:rStyle w:val="Emfaz"/>
          <w:i w:val="0"/>
        </w:rPr>
        <w:t xml:space="preserve">ir šios gynybos veiksmingumas. </w:t>
      </w:r>
    </w:p>
    <w:p w:rsidR="003E3809" w:rsidRPr="00CE37D0" w:rsidRDefault="003E3809" w:rsidP="003E3809">
      <w:pPr>
        <w:spacing w:line="360" w:lineRule="auto"/>
        <w:ind w:firstLine="851"/>
        <w:jc w:val="both"/>
      </w:pPr>
      <w:r w:rsidRPr="00CE37D0">
        <w:t xml:space="preserve">Įstatymas gebėjimą įgyvendinti privataus kaltinimo funkciją sieja su gebėjimu pasinaudoti visomis nukentėjusiojo teisėmis. Tačiau pastebėtina, kad privataus kaltintojo teisių apimtis yra didesnė nei nukentėjusiojo, taip pat privataus kaltinimo funkcija suponuoja ir tam tikras pareigas baudžiamajame procese. Nukentėjusysis gali gebėti pasinaudoti savo teisėmis, tačiau jis turi teisę būti </w:t>
      </w:r>
      <w:r w:rsidR="003427F1" w:rsidRPr="00CE37D0">
        <w:t xml:space="preserve">ir </w:t>
      </w:r>
      <w:r w:rsidRPr="00CE37D0">
        <w:t xml:space="preserve">pasyviu baudžiamojo proceso dalyviu. </w:t>
      </w:r>
      <w:r w:rsidR="003427F1">
        <w:t>Skirtingai nuo nukentėjusiojo, p</w:t>
      </w:r>
      <w:r w:rsidRPr="00CE37D0">
        <w:t>rivatus kaltintojas, įgyvendindamas kaltinimo funkciją, privalo būti aktyvus proceso dalyvis. Privat</w:t>
      </w:r>
      <w:r w:rsidR="003427F1">
        <w:t>aus kaltinimo teisė y</w:t>
      </w:r>
      <w:r w:rsidRPr="00CE37D0">
        <w:t xml:space="preserve">ra dispozityvi teisė </w:t>
      </w:r>
      <w:r w:rsidR="003427F1">
        <w:t>proceso inici</w:t>
      </w:r>
      <w:r w:rsidR="00CF3197">
        <w:t>j</w:t>
      </w:r>
      <w:r w:rsidR="003427F1">
        <w:t xml:space="preserve">avimo stadijoje, t.y. </w:t>
      </w:r>
      <w:r w:rsidRPr="00CE37D0">
        <w:t>pasirenkant, ar kreiptis į teismą, ar ne, tačiau nuo to momento, kai nukentėjusysis tampa priva</w:t>
      </w:r>
      <w:r w:rsidR="00CF3707">
        <w:t>čiu</w:t>
      </w:r>
      <w:r w:rsidRPr="00CE37D0">
        <w:t xml:space="preserve"> kaltintoj</w:t>
      </w:r>
      <w:r w:rsidR="00CF3707">
        <w:t>u</w:t>
      </w:r>
      <w:r w:rsidR="003427F1">
        <w:t xml:space="preserve">, jis yra saistomas </w:t>
      </w:r>
      <w:r w:rsidR="003427F1" w:rsidRPr="00CE37D0">
        <w:rPr>
          <w:i/>
        </w:rPr>
        <w:t>onus probandi</w:t>
      </w:r>
      <w:r w:rsidR="00B479F5">
        <w:rPr>
          <w:i/>
        </w:rPr>
        <w:t xml:space="preserve"> </w:t>
      </w:r>
      <w:r w:rsidR="003427F1">
        <w:t xml:space="preserve">ir </w:t>
      </w:r>
      <w:r w:rsidRPr="00CE37D0">
        <w:t>pareigos aktyviai dalyvauti procese. Privataus kaltintojo neatvyki</w:t>
      </w:r>
      <w:r w:rsidR="006B0AEE">
        <w:t>mas</w:t>
      </w:r>
      <w:r w:rsidRPr="00CE37D0">
        <w:t xml:space="preserve"> į teisminį nagrinėjimą (išskyrus pateisinamas priežastis) sąlygoja proceso pabaigą, nesugebėjimas suformuluoti kaltinimo yra pagrindas atsisakyti pradėti privataus kaltinimo bylų procesą, o nesugebėjimas įrodyti kaltinime nurodytos nusikalstamos veikos nulemia išteisinamąjį nuosprendį. Nukentėjusiojo klaidos neturi tokios lemiamos įtakos proceso eigai. </w:t>
      </w:r>
      <w:r w:rsidR="000408F4">
        <w:t>Prie n</w:t>
      </w:r>
      <w:r w:rsidR="009B25EE" w:rsidRPr="00CE37D0">
        <w:t>u</w:t>
      </w:r>
      <w:r w:rsidRPr="00CE37D0">
        <w:t>kentėjus</w:t>
      </w:r>
      <w:r w:rsidR="009B25EE" w:rsidRPr="00CE37D0">
        <w:t>iojo teis</w:t>
      </w:r>
      <w:r w:rsidR="000408F4">
        <w:t>ių gynimo</w:t>
      </w:r>
      <w:r w:rsidRPr="00CE37D0">
        <w:t xml:space="preserve"> viešojo kaltinimo procese teisminio nagrinėjimo metu </w:t>
      </w:r>
      <w:r w:rsidR="000408F4">
        <w:t xml:space="preserve">prisideda </w:t>
      </w:r>
      <w:r w:rsidR="009B25EE" w:rsidRPr="00CE37D0">
        <w:t>prokuroras, o</w:t>
      </w:r>
      <w:r w:rsidR="00B479F5">
        <w:t xml:space="preserve"> </w:t>
      </w:r>
      <w:r w:rsidR="009B25EE" w:rsidRPr="00CE37D0">
        <w:t>p</w:t>
      </w:r>
      <w:r w:rsidRPr="00CE37D0">
        <w:t xml:space="preserve">rivatus kaltintojas pats </w:t>
      </w:r>
      <w:r w:rsidR="009B25EE" w:rsidRPr="00CE37D0">
        <w:t xml:space="preserve">atsakingas už </w:t>
      </w:r>
      <w:r w:rsidR="009B25EE" w:rsidRPr="00CE37D0">
        <w:lastRenderedPageBreak/>
        <w:t>veiksmingą</w:t>
      </w:r>
      <w:r w:rsidRPr="00CE37D0">
        <w:t xml:space="preserve"> kaltinimo </w:t>
      </w:r>
      <w:r w:rsidR="009B25EE" w:rsidRPr="00CE37D0">
        <w:t>funkcijos įgyvendinimą ir savo teisių gynybą</w:t>
      </w:r>
      <w:r w:rsidRPr="00CE37D0">
        <w:t xml:space="preserve">. Jo procesinis statusas apima ir nukentėjusiojo teises, ir kaltintojo pareigas, todėl tai, kad asmuo geba pasinaudoti nukentėjusiojo teisėmis, negali būti pripažinta pakankamu pagrindu </w:t>
      </w:r>
      <w:r w:rsidR="00B479F5">
        <w:t>vertinant</w:t>
      </w:r>
      <w:r w:rsidRPr="00CE37D0">
        <w:t xml:space="preserve"> jo gebėjimą įgyvendinti privataus kaltinimo teisę ar imtis pakankamai priemonių savo interesams apginti. Taigi </w:t>
      </w:r>
      <w:r w:rsidR="00F46DFC" w:rsidRPr="00CE37D0">
        <w:t xml:space="preserve">darytina išvada, kad </w:t>
      </w:r>
      <w:r w:rsidRPr="00CE37D0">
        <w:t>priva</w:t>
      </w:r>
      <w:r w:rsidR="009142AD">
        <w:t>tus</w:t>
      </w:r>
      <w:r w:rsidRPr="00CE37D0">
        <w:t xml:space="preserve"> kaltintoj</w:t>
      </w:r>
      <w:r w:rsidR="009142AD">
        <w:t>as</w:t>
      </w:r>
      <w:r w:rsidRPr="00CE37D0">
        <w:t xml:space="preserve"> gali būti tas asmuo, kuris gali pasinaudoti visomis nukentėjusiojo teisėmis ir vykdyti visas privataus kaltintojo pareigas. </w:t>
      </w:r>
    </w:p>
    <w:p w:rsidR="003E3809" w:rsidRPr="00CE37D0" w:rsidRDefault="003E3809" w:rsidP="003E3809">
      <w:pPr>
        <w:spacing w:line="360" w:lineRule="auto"/>
        <w:ind w:firstLine="851"/>
        <w:jc w:val="both"/>
      </w:pPr>
      <w:r w:rsidRPr="00CE37D0">
        <w:t xml:space="preserve">Konstitucinio Teismo jurisprudencijoje gebėjimas būti privačiu kaltintoju siejamas su gebėjimu išreikšti valią ginti savo teisėtus interesus ir (arba) atlikti tam tikrus veiksmus (imtis kitų priemonių), kurių objektyviai pakaktų, kad jo interesai būtų apginti. </w:t>
      </w:r>
      <w:r w:rsidRPr="00CE37D0">
        <w:rPr>
          <w:rStyle w:val="Puslapioinaosnuoroda"/>
        </w:rPr>
        <w:footnoteReference w:id="442"/>
      </w:r>
      <w:r w:rsidRPr="00CE37D0">
        <w:t xml:space="preserve"> Ši</w:t>
      </w:r>
      <w:r w:rsidR="00F46DFC" w:rsidRPr="00CE37D0">
        <w:t>e asmens gebėjimai</w:t>
      </w:r>
      <w:r w:rsidRPr="00CE37D0">
        <w:t xml:space="preserve"> nagrinėtin</w:t>
      </w:r>
      <w:r w:rsidR="00F46DFC" w:rsidRPr="00CE37D0">
        <w:t>i</w:t>
      </w:r>
      <w:r w:rsidRPr="00CE37D0">
        <w:t xml:space="preserve"> baudžiamo</w:t>
      </w:r>
      <w:r w:rsidR="00F46DFC" w:rsidRPr="00CE37D0">
        <w:t>jo procesinio veiksnumo sampratos kontekste</w:t>
      </w:r>
      <w:r w:rsidRPr="00CE37D0">
        <w:t xml:space="preserve">. </w:t>
      </w:r>
      <w:r w:rsidR="009142AD" w:rsidRPr="00CE37D0">
        <w:rPr>
          <w:rStyle w:val="Puslapioinaosnuoroda"/>
        </w:rPr>
        <w:footnoteReference w:id="443"/>
      </w:r>
      <w:r w:rsidR="007024F3">
        <w:t xml:space="preserve"> </w:t>
      </w:r>
      <w:r w:rsidRPr="00CE37D0">
        <w:t>Baudžiamajame procese teisnumas ir veiksnumas susijęs su asmens amžiumi, jo fiziniu išsivystymu</w:t>
      </w:r>
      <w:r w:rsidR="00B37CCD">
        <w:t xml:space="preserve"> ir socialine branda</w:t>
      </w:r>
      <w:r w:rsidRPr="00CE37D0">
        <w:t>, leidžianči</w:t>
      </w:r>
      <w:r w:rsidR="00B37CCD">
        <w:t>a</w:t>
      </w:r>
      <w:r w:rsidRPr="00CE37D0">
        <w:t xml:space="preserve"> jam teisingai suvokti bylos aplinkybes, pareigūnų priimamus sprendimus, taip pat suvokti tiek savo veiksmų, tiek ir jo interesams darančių įtaką veiksmų reikšmę ir pasekmes. </w:t>
      </w:r>
      <w:r w:rsidRPr="00CE37D0">
        <w:rPr>
          <w:vertAlign w:val="superscript"/>
        </w:rPr>
        <w:footnoteReference w:id="444"/>
      </w:r>
    </w:p>
    <w:p w:rsidR="009142AD" w:rsidRDefault="00EA6BD9" w:rsidP="003E3809">
      <w:pPr>
        <w:spacing w:line="360" w:lineRule="auto"/>
        <w:ind w:firstLine="851"/>
        <w:jc w:val="both"/>
      </w:pPr>
      <w:r w:rsidRPr="00CE37D0">
        <w:t xml:space="preserve">Baudžiamojo proceso </w:t>
      </w:r>
      <w:r w:rsidR="00A06CBE" w:rsidRPr="00CE37D0">
        <w:t>teorijoje</w:t>
      </w:r>
      <w:r w:rsidRPr="00CE37D0">
        <w:t xml:space="preserve"> paprastai analizuojamas </w:t>
      </w:r>
      <w:r w:rsidR="00456E84">
        <w:t>įtariamojo (</w:t>
      </w:r>
      <w:r w:rsidRPr="00CE37D0">
        <w:t>kaltinamojo</w:t>
      </w:r>
      <w:r w:rsidR="00456E84">
        <w:t>)</w:t>
      </w:r>
      <w:r w:rsidRPr="00CE37D0">
        <w:t xml:space="preserve"> procesin</w:t>
      </w:r>
      <w:r w:rsidR="006B0AEE">
        <w:t>i</w:t>
      </w:r>
      <w:r w:rsidRPr="00CE37D0">
        <w:t>s veiksnumas, todėl procesinis veiksnumas aiškinamas kaip gebėjimas p</w:t>
      </w:r>
      <w:r w:rsidR="00456E84">
        <w:t xml:space="preserve">asinaudoti savo teise į gynybą. </w:t>
      </w:r>
      <w:r w:rsidRPr="00CE37D0">
        <w:t>Tačiau m</w:t>
      </w:r>
      <w:r w:rsidR="003F19E1">
        <w:t>anytina, kad aplinkybės, dėl kurių asmuo</w:t>
      </w:r>
      <w:r w:rsidR="003E3809" w:rsidRPr="00CE37D0">
        <w:t xml:space="preserve"> negali pasinaudoti savo teise į gynybą, </w:t>
      </w:r>
      <w:r w:rsidR="003F19E1">
        <w:t xml:space="preserve">sudaro pagrindą konstatuoti asmens negebėjimą </w:t>
      </w:r>
      <w:r w:rsidR="003E3809" w:rsidRPr="00CE37D0">
        <w:t xml:space="preserve">tinkamai ginti ir kitų savo teisių ir teisėtų interesų, </w:t>
      </w:r>
      <w:r w:rsidR="007024F3" w:rsidRPr="007024F3">
        <w:t>taip pat</w:t>
      </w:r>
      <w:r w:rsidR="003E3809" w:rsidRPr="00CE37D0">
        <w:t xml:space="preserve"> pasinaudoti nukentėjusiojo</w:t>
      </w:r>
      <w:r w:rsidR="00CF3707">
        <w:t>,</w:t>
      </w:r>
      <w:r w:rsidR="00B479F5">
        <w:t xml:space="preserve"> </w:t>
      </w:r>
      <w:r w:rsidR="00CF3707" w:rsidRPr="00CF3707">
        <w:rPr>
          <w:i/>
        </w:rPr>
        <w:t>inter alia</w:t>
      </w:r>
      <w:r w:rsidR="00CF3707">
        <w:t xml:space="preserve"> ir kaip privataus kaltintojo, </w:t>
      </w:r>
      <w:r w:rsidR="003E3809" w:rsidRPr="00CE37D0">
        <w:t xml:space="preserve">teisėmis. </w:t>
      </w:r>
      <w:r w:rsidR="00A9300B">
        <w:t>Savarankiškai įgyvendinti savo procesinį statusą privatus kaltintojas gali tada, kai teisingai suvokia faktines bylos aplinkybes, kuriomis grindžiamas kaltinimas, supranta savo procesinių teisių ir pareigų turinį, teismo proceso bei teismo atliekamų veiksmų tikslą ir reikšmę, geba visavertiškai dalyvauti procese naudodamasis jam suteiktomis procesinėmis priemonėmis.</w:t>
      </w:r>
      <w:r w:rsidR="00872E63">
        <w:t xml:space="preserve"> </w:t>
      </w:r>
      <w:r w:rsidR="004C7782">
        <w:rPr>
          <w:rStyle w:val="Puslapioinaosnuoroda"/>
        </w:rPr>
        <w:footnoteReference w:id="445"/>
      </w:r>
    </w:p>
    <w:p w:rsidR="003E3809" w:rsidRPr="00CE37D0" w:rsidRDefault="003E3809" w:rsidP="003E3809">
      <w:pPr>
        <w:spacing w:line="360" w:lineRule="auto"/>
        <w:ind w:firstLine="851"/>
        <w:jc w:val="both"/>
      </w:pPr>
      <w:r w:rsidRPr="00CE37D0">
        <w:t>Nukentėjusiojo baudžiamojo procesinio veiksnumo vertinimo ypatumus lemia nukentėjusiojo procesinės padėties ypatumai. Nors nukentėjusiojo procesinis veiksnumas glaudžiai susijęs su gebėjimu duoti parodymus, tačiau reikalauja daugiau gebėjimų</w:t>
      </w:r>
      <w:r w:rsidR="005242EA" w:rsidRPr="00CE37D0">
        <w:t>:</w:t>
      </w:r>
      <w:r w:rsidR="00B479F5">
        <w:t xml:space="preserve"> </w:t>
      </w:r>
      <w:r w:rsidR="005242EA" w:rsidRPr="00CE37D0">
        <w:t xml:space="preserve">suprasti nusikaltimo </w:t>
      </w:r>
      <w:r w:rsidR="005242EA" w:rsidRPr="00CE37D0">
        <w:lastRenderedPageBreak/>
        <w:t xml:space="preserve">pobūdį (esmę), dėl to </w:t>
      </w:r>
      <w:r w:rsidR="00CF3707">
        <w:t>vykstan</w:t>
      </w:r>
      <w:r w:rsidR="005242EA" w:rsidRPr="00CE37D0">
        <w:t>tį teismo procesą, sugebėti atkurti pakankamai detalių apie nusikalstamą veiką ir jas išreikšti verbaliniu būdu, sugebėti suprasti ir naudotis savo procesinėmis teisėmis ir atlikti pareigas.</w:t>
      </w:r>
      <w:r w:rsidR="00707CEE">
        <w:t xml:space="preserve"> </w:t>
      </w:r>
      <w:r w:rsidR="005242EA" w:rsidRPr="00CE37D0">
        <w:rPr>
          <w:rStyle w:val="Puslapioinaosnuoroda"/>
        </w:rPr>
        <w:footnoteReference w:id="446"/>
      </w:r>
      <w:r w:rsidR="00B479F5">
        <w:t xml:space="preserve"> </w:t>
      </w:r>
      <w:r w:rsidRPr="00CE37D0">
        <w:t xml:space="preserve">Todėl psichikos sutrikimai, netrukdantys gebėjimui duoti parodymus byloje, gali būti kliūtis pripažinti </w:t>
      </w:r>
      <w:r w:rsidR="004C7782">
        <w:t>visišk</w:t>
      </w:r>
      <w:r w:rsidRPr="00CE37D0">
        <w:t>ą nukentėjusiojo baudžiamąjį procesinį veiksnumą, kas sąlygo</w:t>
      </w:r>
      <w:r w:rsidR="005600AA">
        <w:t>tų išvadą, jog asmuo negali vis</w:t>
      </w:r>
      <w:r w:rsidRPr="00CE37D0">
        <w:t xml:space="preserve">a apimtimi savarankiškai ginti savo teisių ir atstovauti savo interesų, </w:t>
      </w:r>
      <w:r w:rsidRPr="00CE37D0">
        <w:rPr>
          <w:i/>
        </w:rPr>
        <w:t>inter alia</w:t>
      </w:r>
      <w:r w:rsidRPr="00CE37D0">
        <w:t xml:space="preserve"> įgyvendinti privataus kaltinimo teisės ir privataus kaltintojo pareigų. </w:t>
      </w:r>
    </w:p>
    <w:p w:rsidR="003E3809" w:rsidRPr="00CE37D0" w:rsidRDefault="003E3809" w:rsidP="003E3809">
      <w:pPr>
        <w:spacing w:line="360" w:lineRule="auto"/>
        <w:ind w:firstLine="851"/>
        <w:jc w:val="both"/>
      </w:pPr>
      <w:r w:rsidRPr="00CE37D0">
        <w:t>Teismo psichiatrijoje su nukentėjusiojo procesiniu statusu siejamos bejėgiškos padėties ir gebėjimo duoti parodymus kategorijos.</w:t>
      </w:r>
      <w:r w:rsidR="00872E63">
        <w:t xml:space="preserve"> </w:t>
      </w:r>
      <w:r w:rsidRPr="00CE37D0">
        <w:rPr>
          <w:rStyle w:val="Puslapioinaosnuoroda"/>
        </w:rPr>
        <w:footnoteReference w:id="447"/>
      </w:r>
      <w:r w:rsidRPr="00CE37D0">
        <w:t xml:space="preserve"> Probleminėje situacijoje atsiduria asmenys, kurie nėra pripažinti neveiksniais, tačiau kyla abejonių dėl jų gebėjimo ginti savo teises. Tačiau ekspertinis tyrimas, vertinant asmens gebėjimą imtis priemonių, kurių objektyviai pakaktų, kad jo teisėti interesai būtų apginti, ir efektyviai įgyvendinti privataus kaltinimo teisę, negalimas, kadangi jis nėra proceso dalyvis</w:t>
      </w:r>
      <w:r w:rsidR="00DB50B3">
        <w:t xml:space="preserve">, </w:t>
      </w:r>
      <w:r w:rsidR="00A06CBE">
        <w:t>be</w:t>
      </w:r>
      <w:r w:rsidR="00DB50B3">
        <w:t xml:space="preserve"> to, tai nepateisinamai apsunkintų procesą</w:t>
      </w:r>
      <w:r w:rsidRPr="00CE37D0">
        <w:t xml:space="preserve">. Todėl asmens gebėjimas imtis pakankamai priemonių savo interesams apginti priklauso nuo subjektyvaus tokį sprendimą priimančio subjekto vertinimo. Toks vertinimas privalo būti motyvuotas, </w:t>
      </w:r>
      <w:r w:rsidR="00DB50B3">
        <w:t>t.y.</w:t>
      </w:r>
      <w:r w:rsidRPr="00CE37D0">
        <w:t xml:space="preserve"> turi būti pagrįstas juridinio ir medicininio kriterijų vienybe. </w:t>
      </w:r>
      <w:r w:rsidR="00DB50B3">
        <w:t>Esant pagrindui</w:t>
      </w:r>
      <w:r w:rsidR="00B479F5">
        <w:t xml:space="preserve"> </w:t>
      </w:r>
      <w:r w:rsidR="00DB50B3">
        <w:t xml:space="preserve">konstatuoti </w:t>
      </w:r>
      <w:r w:rsidRPr="00CE37D0">
        <w:t xml:space="preserve">medicininį ir juridinį kriterijų, </w:t>
      </w:r>
      <w:r w:rsidR="00DB50B3">
        <w:t xml:space="preserve">galima daryti pagrįstą </w:t>
      </w:r>
      <w:r w:rsidR="00A06CBE">
        <w:t>išvadą</w:t>
      </w:r>
      <w:r w:rsidR="00DB50B3">
        <w:t>,</w:t>
      </w:r>
      <w:r w:rsidRPr="00CE37D0">
        <w:t xml:space="preserve"> kad </w:t>
      </w:r>
      <w:r w:rsidR="00DB50B3">
        <w:t>asmuo</w:t>
      </w:r>
      <w:r w:rsidRPr="00CE37D0">
        <w:t xml:space="preserve"> negebės apginti savo teisių. </w:t>
      </w:r>
      <w:r w:rsidR="00DB50B3">
        <w:t>Kitais atvejais</w:t>
      </w:r>
      <w:r w:rsidRPr="00CE37D0">
        <w:t xml:space="preserve"> turi būti įvertinta, ar tų priemonių, kurių asmuo, turintis psichin</w:t>
      </w:r>
      <w:r w:rsidR="000E1E9D">
        <w:t>ių sutrikimų</w:t>
      </w:r>
      <w:r w:rsidRPr="00CE37D0">
        <w:t xml:space="preserve">, yra pajėgus imtis, pakanka jo interesams apginti. Tokiu atveju </w:t>
      </w:r>
      <w:r w:rsidR="00AF2454">
        <w:t xml:space="preserve">iškilus klausimui dėl </w:t>
      </w:r>
      <w:r w:rsidRPr="00CE37D0">
        <w:t>asmens gebėjimo savarankiškai ginti savo interesus privataus k</w:t>
      </w:r>
      <w:r w:rsidR="00161983">
        <w:t xml:space="preserve">altinimo tvarka </w:t>
      </w:r>
      <w:r w:rsidR="00DD53AD">
        <w:t xml:space="preserve">sprendimas </w:t>
      </w:r>
      <w:r w:rsidR="00161983">
        <w:t>grindžiamas tik</w:t>
      </w:r>
      <w:r w:rsidRPr="00CE37D0">
        <w:t xml:space="preserve"> subjektyviu vertinimu.  </w:t>
      </w:r>
    </w:p>
    <w:p w:rsidR="003E3809" w:rsidRPr="00CE37D0" w:rsidRDefault="004C7782" w:rsidP="00AF2454">
      <w:pPr>
        <w:spacing w:line="360" w:lineRule="auto"/>
        <w:ind w:firstLine="851"/>
        <w:jc w:val="both"/>
      </w:pPr>
      <w:r>
        <w:t>Fiziniai sutrikim</w:t>
      </w:r>
      <w:r w:rsidR="00AF2454">
        <w:t>ai</w:t>
      </w:r>
      <w:r w:rsidR="007024F3">
        <w:t xml:space="preserve"> </w:t>
      </w:r>
      <w:r w:rsidR="00AF2454">
        <w:rPr>
          <w:rStyle w:val="Puslapioinaosnuoroda"/>
        </w:rPr>
        <w:footnoteReference w:id="448"/>
      </w:r>
      <w:r w:rsidR="00B479F5">
        <w:t xml:space="preserve"> </w:t>
      </w:r>
      <w:r w:rsidR="003E3809" w:rsidRPr="00CE37D0">
        <w:t xml:space="preserve">taip pat gali būti kliūtis ginti savo teises. Medicininis kriterijus padeda įvertinti objektyvią situaciją (pvz. judėjimo negalią), tačiau ar asmuo pajėgus apginti savo teises, ar ne, išlieka vertinimo kriterijumi. Asmuo, kuris dėl fizinių </w:t>
      </w:r>
      <w:r>
        <w:t>sutrikim</w:t>
      </w:r>
      <w:r w:rsidR="003E3809" w:rsidRPr="00CE37D0">
        <w:t xml:space="preserve">ų be kitų asmenų pagalbos negali kalbėti, skaityti, rašyti, negali ir </w:t>
      </w:r>
      <w:r>
        <w:t>vis</w:t>
      </w:r>
      <w:r w:rsidR="003E3809" w:rsidRPr="00CE37D0">
        <w:t>avertiškai dalyvauti baudžiamajame procese, pats parengti procesinių dokumentų, dalyvauti žodiniame bylos nagrinėjime, todėl darytina išvada, ka</w:t>
      </w:r>
      <w:r w:rsidR="002761D6" w:rsidRPr="00CE37D0">
        <w:t>d</w:t>
      </w:r>
      <w:r w:rsidR="003E3809" w:rsidRPr="00CE37D0">
        <w:t xml:space="preserve"> ir priemonių, kurių jis gali imti</w:t>
      </w:r>
      <w:r w:rsidR="00D8011B">
        <w:t>s</w:t>
      </w:r>
      <w:r w:rsidR="003E3809" w:rsidRPr="00CE37D0">
        <w:t xml:space="preserve"> pats, negali pakakti, kad jo teisėti interesai būtų apginti. Tačiau </w:t>
      </w:r>
      <w:r w:rsidR="003E3809" w:rsidRPr="00CE37D0">
        <w:lastRenderedPageBreak/>
        <w:t xml:space="preserve">bet kuri liga ar būklė, dėl kurios asmeniui nustatomas </w:t>
      </w:r>
      <w:r w:rsidR="00462DBA">
        <w:t>neįgalu</w:t>
      </w:r>
      <w:r w:rsidR="00A06CBE" w:rsidRPr="00CE37D0">
        <w:t>mas</w:t>
      </w:r>
      <w:r w:rsidR="00CF3707">
        <w:t xml:space="preserve">, </w:t>
      </w:r>
      <w:r w:rsidR="003E3809" w:rsidRPr="00CE37D0">
        <w:rPr>
          <w:rStyle w:val="Puslapioinaosnuoroda"/>
        </w:rPr>
        <w:footnoteReference w:id="449"/>
      </w:r>
      <w:r w:rsidR="003E3809" w:rsidRPr="00CE37D0">
        <w:t xml:space="preserve"> nėra ir negali būti jo procesinio neveiksnumo priežastimi. Tokios nuomonės laikomasi ir teismų praktikoje. </w:t>
      </w:r>
      <w:r w:rsidR="003E3809" w:rsidRPr="00CE37D0">
        <w:rPr>
          <w:rStyle w:val="Puslapioinaosnuoroda"/>
        </w:rPr>
        <w:footnoteReference w:id="450"/>
      </w:r>
    </w:p>
    <w:p w:rsidR="000E1E9D" w:rsidRDefault="003E3809" w:rsidP="003E3809">
      <w:pPr>
        <w:spacing w:line="360" w:lineRule="auto"/>
        <w:ind w:firstLine="851"/>
        <w:jc w:val="both"/>
      </w:pPr>
      <w:r w:rsidRPr="00CE37D0">
        <w:t xml:space="preserve">Atsižvelgiant į tai, kad privataus kaltintojo </w:t>
      </w:r>
      <w:r w:rsidR="00AF2454">
        <w:t xml:space="preserve">teisinis </w:t>
      </w:r>
      <w:r w:rsidRPr="00CE37D0">
        <w:t>statusas suponuoja didel</w:t>
      </w:r>
      <w:r w:rsidR="00AF2454">
        <w:t xml:space="preserve">ę atsakomybę, asmenų su psichikos </w:t>
      </w:r>
      <w:r w:rsidRPr="00CE37D0">
        <w:t>ar fizin</w:t>
      </w:r>
      <w:r w:rsidR="00AF2454">
        <w:t xml:space="preserve">iais </w:t>
      </w:r>
      <w:r w:rsidR="004C7782">
        <w:t>sutrikim</w:t>
      </w:r>
      <w:r w:rsidR="00AF2454">
        <w:t>ais</w:t>
      </w:r>
      <w:r w:rsidRPr="00CE37D0">
        <w:t xml:space="preserve"> teisinė padėtis </w:t>
      </w:r>
      <w:r w:rsidRPr="00CE37D0">
        <w:rPr>
          <w:i/>
        </w:rPr>
        <w:t>a priori</w:t>
      </w:r>
      <w:r w:rsidRPr="00CE37D0">
        <w:t xml:space="preserve"> yra sudėtingesnė</w:t>
      </w:r>
      <w:r w:rsidR="00B479F5">
        <w:t>, o</w:t>
      </w:r>
      <w:r w:rsidRPr="00CE37D0">
        <w:t xml:space="preserve"> jų interesų apsauga reikalauja didesnio dėmesio. Tokių asmenų social</w:t>
      </w:r>
      <w:r w:rsidR="002761D6" w:rsidRPr="00CE37D0">
        <w:t>inis pažeidžiamumas, apsunkinta</w:t>
      </w:r>
      <w:r w:rsidRPr="00CE37D0">
        <w:t xml:space="preserve"> adaptacija ir integracija visuomenėje visais atvejais suponuoja ir didesnį jų, kaip baudžiamojo proceso dalyvių, pažeidžiamumą. Sprendžiant klausimą,</w:t>
      </w:r>
      <w:r w:rsidR="00AF2454">
        <w:t xml:space="preserve"> ar nukentėjęs nuo nusikalstamos veikos asmuo gali veiksmingai įgyvendinti privataus kaltinimo teisę,</w:t>
      </w:r>
      <w:r w:rsidRPr="00CE37D0">
        <w:t xml:space="preserve"> būtina išsiaiškinti, ar pakanka veiksmų (priemonių), kurių </w:t>
      </w:r>
      <w:r w:rsidR="004F687C">
        <w:t>asmuo</w:t>
      </w:r>
      <w:r w:rsidR="00B479F5">
        <w:t xml:space="preserve"> </w:t>
      </w:r>
      <w:r w:rsidR="00AF2454">
        <w:t xml:space="preserve">savarankiškai </w:t>
      </w:r>
      <w:r w:rsidRPr="00CE37D0">
        <w:t xml:space="preserve">gali </w:t>
      </w:r>
      <w:r w:rsidR="004F687C">
        <w:t>imtis.</w:t>
      </w:r>
      <w:r w:rsidRPr="00CE37D0">
        <w:t xml:space="preserve"> Todėl net ir veiksnus asmuo gali būti pripažintas negalin</w:t>
      </w:r>
      <w:r w:rsidR="00241E5B">
        <w:t>čiu</w:t>
      </w:r>
      <w:r w:rsidRPr="00CE37D0">
        <w:t xml:space="preserve"> įgyvendinti</w:t>
      </w:r>
      <w:r w:rsidR="00B479F5">
        <w:t xml:space="preserve"> visų</w:t>
      </w:r>
      <w:r w:rsidRPr="00CE37D0">
        <w:t xml:space="preserve"> nukentėjusiojo teisių ir privata</w:t>
      </w:r>
      <w:r w:rsidR="005600AA">
        <w:t>us kaltintojo pareigų</w:t>
      </w:r>
      <w:r w:rsidRPr="00CE37D0">
        <w:t xml:space="preserve">. </w:t>
      </w:r>
    </w:p>
    <w:p w:rsidR="003E3809" w:rsidRPr="00CE37D0" w:rsidRDefault="000E1E9D" w:rsidP="003E3809">
      <w:pPr>
        <w:spacing w:line="360" w:lineRule="auto"/>
        <w:ind w:firstLine="851"/>
        <w:jc w:val="both"/>
      </w:pPr>
      <w:r>
        <w:t>Konstatavus, kad nukentėjęs nuo nusikalsta</w:t>
      </w:r>
      <w:r w:rsidR="004C7782">
        <w:t>m</w:t>
      </w:r>
      <w:r>
        <w:t xml:space="preserve">os veikos asmuo negali </w:t>
      </w:r>
      <w:r w:rsidR="004C7782">
        <w:t>vis</w:t>
      </w:r>
      <w:r>
        <w:t xml:space="preserve">avertiškai </w:t>
      </w:r>
      <w:r w:rsidR="003E3809" w:rsidRPr="00CE37D0">
        <w:t>ginti savo interesų</w:t>
      </w:r>
      <w:r>
        <w:t xml:space="preserve"> ir veiksmingai įgyvendinti privataus kaltinimo teisės, iškyla klausimas, kam kyla pareiga ginti šių asmenų interesus</w:t>
      </w:r>
      <w:r w:rsidR="003E3809" w:rsidRPr="00CE37D0">
        <w:t>. Ši</w:t>
      </w:r>
      <w:r w:rsidR="00241E5B">
        <w:t>s</w:t>
      </w:r>
      <w:r w:rsidR="00F41BF5">
        <w:t xml:space="preserve"> </w:t>
      </w:r>
      <w:r w:rsidR="00241E5B">
        <w:t>aspektas</w:t>
      </w:r>
      <w:r w:rsidR="003E3809" w:rsidRPr="00CE37D0">
        <w:t xml:space="preserve"> aktual</w:t>
      </w:r>
      <w:r w:rsidR="00241E5B">
        <w:t>us</w:t>
      </w:r>
      <w:r w:rsidR="003E3809" w:rsidRPr="00CE37D0">
        <w:t xml:space="preserve"> sprendžiant</w:t>
      </w:r>
      <w:r w:rsidR="00F41BF5">
        <w:t>, ar būtina dalyvauti prokurorui</w:t>
      </w:r>
      <w:r w:rsidR="003E3809" w:rsidRPr="00CE37D0">
        <w:t>. Prokuroras, spręsdamas, ar jis turi pareigą ginti asmens teises p</w:t>
      </w:r>
      <w:r w:rsidR="00241E5B">
        <w:t>erim</w:t>
      </w:r>
      <w:r w:rsidR="003E3809" w:rsidRPr="00CE37D0">
        <w:t xml:space="preserve">damas </w:t>
      </w:r>
      <w:r w:rsidR="002761D6" w:rsidRPr="00CE37D0">
        <w:t xml:space="preserve">valstybinį </w:t>
      </w:r>
      <w:r w:rsidR="003E3809" w:rsidRPr="00CE37D0">
        <w:t xml:space="preserve">kaltinimą privataus kaltinimo byloje, turi įvertinti asmens motyvaciją, kuri gali </w:t>
      </w:r>
      <w:r w:rsidR="00824FFA">
        <w:t>padėti suvokti aplinkybes, galinčias būti priežastimi</w:t>
      </w:r>
      <w:r w:rsidR="003E3809" w:rsidRPr="00CE37D0">
        <w:t xml:space="preserve"> juridiniam kriterijui konstatuoti. Deja, </w:t>
      </w:r>
      <w:r w:rsidR="002761D6" w:rsidRPr="00CE37D0">
        <w:t xml:space="preserve">asmenų su </w:t>
      </w:r>
      <w:r w:rsidR="00824FFA">
        <w:t>psichikos</w:t>
      </w:r>
      <w:r w:rsidR="00F41BF5">
        <w:t xml:space="preserve"> </w:t>
      </w:r>
      <w:r w:rsidR="002761D6" w:rsidRPr="00CE37D0">
        <w:t>sutrikimais</w:t>
      </w:r>
      <w:r w:rsidR="00161983">
        <w:t>,</w:t>
      </w:r>
      <w:r w:rsidR="00F41BF5">
        <w:t xml:space="preserve"> </w:t>
      </w:r>
      <w:r w:rsidR="00161983" w:rsidRPr="00CE37D0">
        <w:t>tiek įtariam</w:t>
      </w:r>
      <w:r w:rsidR="00161983">
        <w:t>ų (kaltinamų)</w:t>
      </w:r>
      <w:r w:rsidR="00161983" w:rsidRPr="00CE37D0">
        <w:t xml:space="preserve"> padar</w:t>
      </w:r>
      <w:r w:rsidR="00161983">
        <w:t>ius</w:t>
      </w:r>
      <w:r w:rsidR="00161983" w:rsidRPr="00CE37D0">
        <w:t xml:space="preserve"> nusikalstamas veikas, tiek nukentėjusi</w:t>
      </w:r>
      <w:r w:rsidR="00161983">
        <w:t>ų</w:t>
      </w:r>
      <w:r w:rsidR="00F41BF5">
        <w:t xml:space="preserve"> </w:t>
      </w:r>
      <w:r w:rsidR="00161983" w:rsidRPr="00CE37D0">
        <w:t>nuo jų</w:t>
      </w:r>
      <w:r w:rsidR="00161983">
        <w:t>,</w:t>
      </w:r>
      <w:r w:rsidR="00F41BF5">
        <w:t xml:space="preserve"> </w:t>
      </w:r>
      <w:r w:rsidR="002761D6" w:rsidRPr="00CE37D0">
        <w:t xml:space="preserve">integracija baudžiamosios justicijos sistemoje yra itin sudėtinga. </w:t>
      </w:r>
      <w:r w:rsidR="002761D6" w:rsidRPr="00CE37D0">
        <w:rPr>
          <w:rStyle w:val="Puslapioinaosnuoroda"/>
        </w:rPr>
        <w:footnoteReference w:id="451"/>
      </w:r>
      <w:r w:rsidR="003E3809" w:rsidRPr="00CE37D0">
        <w:t xml:space="preserve"> Apsunkintas bendravimas su specialių poreikių asmenimis, ypatingai tokiame sudėtingame mechanizme kaip baudžiamasis procesas, bei specialių žinių trūkumas </w:t>
      </w:r>
      <w:r w:rsidR="002761D6" w:rsidRPr="00CE37D0">
        <w:t xml:space="preserve">praktikoje </w:t>
      </w:r>
      <w:r w:rsidR="00DD53AD">
        <w:t xml:space="preserve">gali </w:t>
      </w:r>
      <w:r w:rsidR="003E3809" w:rsidRPr="00CE37D0">
        <w:t>lem</w:t>
      </w:r>
      <w:r w:rsidR="00DD53AD">
        <w:t>ti</w:t>
      </w:r>
      <w:r w:rsidR="003E3809" w:rsidRPr="00CE37D0">
        <w:t xml:space="preserve"> nenorą imtis iniciatyvos ginant jų teises, net ir tais atvejais, kai įstatymas numato tokią pareigą. </w:t>
      </w:r>
    </w:p>
    <w:p w:rsidR="003E3809" w:rsidRPr="00CE37D0" w:rsidRDefault="004D19AA" w:rsidP="003E3809">
      <w:pPr>
        <w:spacing w:line="360" w:lineRule="auto"/>
        <w:ind w:firstLine="851"/>
        <w:jc w:val="both"/>
      </w:pPr>
      <w:r w:rsidRPr="00CE37D0">
        <w:lastRenderedPageBreak/>
        <w:t>Kita su nukentėjusiojo asmen</w:t>
      </w:r>
      <w:r w:rsidR="00CF3707">
        <w:t>iu</w:t>
      </w:r>
      <w:r w:rsidRPr="00CE37D0">
        <w:t xml:space="preserve"> susijusi aplinkybė, galinti </w:t>
      </w:r>
      <w:r w:rsidR="00F41BF5">
        <w:t>sukliudyti</w:t>
      </w:r>
      <w:r w:rsidRPr="00CE37D0">
        <w:t xml:space="preserve"> veiksmingai ginti savo interesus ir įgyvendinti procesines teises ir pareigas</w:t>
      </w:r>
      <w:r w:rsidR="00F41BF5">
        <w:t>,</w:t>
      </w:r>
      <w:r w:rsidRPr="00CE37D0">
        <w:t xml:space="preserve"> yra amžius. </w:t>
      </w:r>
      <w:r w:rsidR="003E3809" w:rsidRPr="00CE37D0">
        <w:t>Amžius kaip baudžiamojo procesinio veiksnumo kriterijus apima nepilnamečius nukentėjusiuosius (BPK 53 str</w:t>
      </w:r>
      <w:r w:rsidR="00E3730A">
        <w:t>aipsnio</w:t>
      </w:r>
      <w:r w:rsidR="003E3809" w:rsidRPr="00CE37D0">
        <w:t xml:space="preserve"> 1 d</w:t>
      </w:r>
      <w:r w:rsidR="00E3730A">
        <w:t>alis</w:t>
      </w:r>
      <w:r w:rsidR="00707CEE">
        <w:t>)</w:t>
      </w:r>
      <w:r w:rsidR="00241E5B" w:rsidRPr="00CE37D0">
        <w:rPr>
          <w:rStyle w:val="Puslapioinaosnuoroda"/>
        </w:rPr>
        <w:footnoteReference w:id="452"/>
      </w:r>
      <w:r w:rsidR="00F41BF5">
        <w:t xml:space="preserve"> </w:t>
      </w:r>
      <w:r w:rsidR="003E3809" w:rsidRPr="00CE37D0">
        <w:t>ir asmenis, kurie dėl senatvės negali tinkamai pasinaudoti įstatymų s</w:t>
      </w:r>
      <w:r w:rsidR="00E3730A">
        <w:t>uteiktomis teisėmis (BPK 53 straipsnio</w:t>
      </w:r>
      <w:r w:rsidR="003E3809" w:rsidRPr="00CE37D0">
        <w:t xml:space="preserve"> 4 d</w:t>
      </w:r>
      <w:r w:rsidR="00E3730A">
        <w:t>alis</w:t>
      </w:r>
      <w:r w:rsidR="003E3809" w:rsidRPr="00CE37D0">
        <w:t xml:space="preserve">). Taigi vertinant gebėjimą </w:t>
      </w:r>
      <w:r w:rsidR="00B34A64">
        <w:t>vis</w:t>
      </w:r>
      <w:r w:rsidR="003E3809" w:rsidRPr="00CE37D0">
        <w:t>avertiškai ginti savo teises privataus kaltinimo tvarka, išskirtinos dvi grupės nukentėjusių nuo nusikalstamų veikų asmenų: vaikai ir pagyvenę žmonės.</w:t>
      </w:r>
    </w:p>
    <w:p w:rsidR="003E3809" w:rsidRPr="00CE37D0" w:rsidRDefault="003E3809" w:rsidP="003E3809">
      <w:pPr>
        <w:spacing w:line="360" w:lineRule="auto"/>
        <w:ind w:firstLine="851"/>
        <w:jc w:val="both"/>
      </w:pPr>
      <w:r w:rsidRPr="00CE37D0">
        <w:t>Kai kurie mokslininkai teigia, kad teis</w:t>
      </w:r>
      <w:r w:rsidR="00586565">
        <w:t>ė</w:t>
      </w:r>
      <w:r w:rsidRPr="00CE37D0">
        <w:t xml:space="preserve"> paduoti privataus kaltinimo skundą turi </w:t>
      </w:r>
      <w:r w:rsidR="00586565">
        <w:t xml:space="preserve">būti suteikta </w:t>
      </w:r>
      <w:r w:rsidRPr="00CE37D0">
        <w:t>visi</w:t>
      </w:r>
      <w:r w:rsidR="00586565">
        <w:t>ems</w:t>
      </w:r>
      <w:r w:rsidRPr="00CE37D0">
        <w:t xml:space="preserve"> asmen</w:t>
      </w:r>
      <w:r w:rsidR="00586565">
        <w:t>im</w:t>
      </w:r>
      <w:r w:rsidRPr="00CE37D0">
        <w:t>s, nepriklausomai nuo amžiaus ir psichi</w:t>
      </w:r>
      <w:r w:rsidR="00FB0772">
        <w:t>ko</w:t>
      </w:r>
      <w:r w:rsidRPr="00CE37D0">
        <w:t xml:space="preserve">s sveikatos, kadangi tai – sudėtinis teisnumo elementas. </w:t>
      </w:r>
      <w:r w:rsidRPr="00CE37D0">
        <w:rPr>
          <w:vertAlign w:val="superscript"/>
        </w:rPr>
        <w:footnoteReference w:id="453"/>
      </w:r>
      <w:r w:rsidR="00F41BF5">
        <w:t xml:space="preserve"> </w:t>
      </w:r>
      <w:r w:rsidR="005B3289" w:rsidRPr="00CE37D0">
        <w:t>Kitos nuomonės šalininkai</w:t>
      </w:r>
      <w:r w:rsidRPr="00CE37D0">
        <w:t xml:space="preserve"> šį momentą sieja su nukentėjusiojo ir kaltinamojo lygiateisiškumu, pagrįsdami šį faktą tuo, kad amžiu</w:t>
      </w:r>
      <w:r w:rsidR="00241E5B">
        <w:t>s, n</w:t>
      </w:r>
      <w:r w:rsidRPr="00CE37D0">
        <w:t xml:space="preserve">uo kurio atsiranda baudžiamasis procesinis veiksnumas </w:t>
      </w:r>
      <w:r w:rsidR="00241E5B" w:rsidRPr="00CE37D0">
        <w:t xml:space="preserve">nukentėjusiajam </w:t>
      </w:r>
      <w:r w:rsidRPr="00CE37D0">
        <w:t>turi būti toks pat kaip ir kaltinamajam</w:t>
      </w:r>
      <w:r w:rsidR="00272DF3" w:rsidRPr="00CE37D0">
        <w:t>,</w:t>
      </w:r>
      <w:r w:rsidR="00F41BF5">
        <w:t xml:space="preserve"> </w:t>
      </w:r>
      <w:r w:rsidR="00272DF3" w:rsidRPr="00CE37D0">
        <w:t>t</w:t>
      </w:r>
      <w:r w:rsidRPr="00CE37D0">
        <w:t xml:space="preserve">odėl teigiama, kad ir nukentėjusiojo teisė paduoti privataus kaltinimo skundą turėtų būti suteikiama nuo 16 metų. </w:t>
      </w:r>
      <w:r w:rsidRPr="00CE37D0">
        <w:rPr>
          <w:rStyle w:val="Puslapioinaosnuoroda"/>
        </w:rPr>
        <w:footnoteReference w:id="454"/>
      </w:r>
      <w:r w:rsidRPr="00CE37D0">
        <w:t xml:space="preserve"> Tokia motyvacija nelaikytina pagrįsta, kadangi asmuo, nesulaukęs pilnametystės, laikytinas ribotai veiksniu ir dėl psichinės, fizinės ir socialinės brandos ir socialin</w:t>
      </w:r>
      <w:r w:rsidR="005600AA">
        <w:t>ės patirties trūkumo negali vis</w:t>
      </w:r>
      <w:r w:rsidRPr="00CE37D0">
        <w:t>a apimtimi pats įgyvendinti savo baudžiamųjų procesinių teisių</w:t>
      </w:r>
      <w:r w:rsidR="00280D96" w:rsidRPr="00CE37D0">
        <w:t xml:space="preserve"> ir pareigų</w:t>
      </w:r>
      <w:r w:rsidRPr="00CE37D0">
        <w:t xml:space="preserve">. </w:t>
      </w:r>
      <w:r w:rsidRPr="00CE37D0">
        <w:rPr>
          <w:rStyle w:val="Puslapioinaosnuoroda"/>
        </w:rPr>
        <w:footnoteReference w:id="455"/>
      </w:r>
      <w:r w:rsidR="00F41BF5">
        <w:t xml:space="preserve"> </w:t>
      </w:r>
      <w:r w:rsidR="00824FFA">
        <w:t>Šiuo atveju a</w:t>
      </w:r>
      <w:r w:rsidR="00824FFA" w:rsidRPr="00CE37D0">
        <w:t xml:space="preserve">mžius ir branda </w:t>
      </w:r>
      <w:r w:rsidR="00824FFA">
        <w:t>yra</w:t>
      </w:r>
      <w:r w:rsidR="00824FFA" w:rsidRPr="00CE37D0">
        <w:t xml:space="preserve"> atitinkamo proceso dalyvio teisinio statuso įgijimo prielaida. </w:t>
      </w:r>
      <w:r w:rsidR="00824FFA" w:rsidRPr="00CE37D0">
        <w:rPr>
          <w:rStyle w:val="Puslapioinaosnuoroda"/>
        </w:rPr>
        <w:footnoteReference w:id="456"/>
      </w:r>
      <w:r w:rsidR="00F41BF5">
        <w:t xml:space="preserve"> </w:t>
      </w:r>
      <w:r w:rsidR="00272DF3" w:rsidRPr="00CE37D0">
        <w:t>Todėl g</w:t>
      </w:r>
      <w:r w:rsidR="005B3289" w:rsidRPr="00CE37D0">
        <w:t xml:space="preserve">ebėjimas įgyvendinti </w:t>
      </w:r>
      <w:r w:rsidR="00272DF3" w:rsidRPr="00CE37D0">
        <w:t xml:space="preserve">privataus kaltinimo teisę </w:t>
      </w:r>
      <w:r w:rsidR="005B3289" w:rsidRPr="00CE37D0">
        <w:t>sie</w:t>
      </w:r>
      <w:r w:rsidR="00241E5B">
        <w:t>tin</w:t>
      </w:r>
      <w:r w:rsidR="005B3289" w:rsidRPr="00CE37D0">
        <w:t>as su baudžiamojo procesinio veiksnumo atsiradimo momentu.</w:t>
      </w:r>
    </w:p>
    <w:p w:rsidR="003E3809" w:rsidRPr="00CE37D0" w:rsidRDefault="003E3809" w:rsidP="003E3809">
      <w:pPr>
        <w:spacing w:line="360" w:lineRule="auto"/>
        <w:ind w:firstLine="851"/>
        <w:jc w:val="both"/>
      </w:pPr>
      <w:r w:rsidRPr="00CE37D0">
        <w:t xml:space="preserve">Asmens pripažinimas </w:t>
      </w:r>
      <w:r w:rsidR="003F19E1">
        <w:t xml:space="preserve">procesiškai </w:t>
      </w:r>
      <w:r w:rsidRPr="00CE37D0">
        <w:t xml:space="preserve">veiksniu </w:t>
      </w:r>
      <w:r w:rsidR="002D0E2A" w:rsidRPr="00CE37D0">
        <w:t xml:space="preserve">baudžiamajame procese </w:t>
      </w:r>
      <w:r w:rsidRPr="00CE37D0">
        <w:t xml:space="preserve">priklauso nuo socialinio vaidmens, kurį jis pajėgus įgyvendinti baudžiamajame procese. Amžius kaip kriterijus apibūdina individo gebėjimą orientuotis </w:t>
      </w:r>
      <w:r w:rsidR="002D0E2A" w:rsidRPr="00CE37D0">
        <w:t>visuomenėj</w:t>
      </w:r>
      <w:r w:rsidRPr="00CE37D0">
        <w:t xml:space="preserve">e pasirenkant vienas ar kitas visuomenines vertybes ir gebėjimą pagal savo intelektą įgyvendinti atitinkamo baudžiamojo proceso dalyvio </w:t>
      </w:r>
      <w:r w:rsidRPr="00CE37D0">
        <w:lastRenderedPageBreak/>
        <w:t xml:space="preserve">vaidmenį. </w:t>
      </w:r>
      <w:r w:rsidRPr="00CE37D0">
        <w:rPr>
          <w:rStyle w:val="Puslapioinaosnuoroda"/>
        </w:rPr>
        <w:footnoteReference w:id="457"/>
      </w:r>
      <w:r w:rsidRPr="00CE37D0">
        <w:t xml:space="preserve"> Specialia sąlyga pripažintina</w:t>
      </w:r>
      <w:r w:rsidR="00241E5B">
        <w:t>s</w:t>
      </w:r>
      <w:r w:rsidRPr="00CE37D0">
        <w:t xml:space="preserve"> proceso dalyvių socializacijos laipsnis, kuris suprantamas kaip atitinkamos individo socialinės patirties buvimas. Nepilnamečiai asmenys</w:t>
      </w:r>
      <w:r w:rsidR="0032771C">
        <w:t xml:space="preserve"> </w:t>
      </w:r>
      <w:r w:rsidR="007F5D34">
        <w:rPr>
          <w:rStyle w:val="Puslapioinaosnuoroda"/>
        </w:rPr>
        <w:footnoteReference w:id="458"/>
      </w:r>
      <w:r w:rsidRPr="00CE37D0">
        <w:t xml:space="preserve"> neturi tokios patirties, kuri leistų jiems savarankiškai ginti teisme nusikalstama veika pažeistus jų interesus, o jų dalyvavimas procese be atitinkamos įstatyminių atstovų ar prokuroro pagalbos būtų neefektyvus</w:t>
      </w:r>
      <w:r w:rsidR="00401D62">
        <w:t xml:space="preserve">. </w:t>
      </w:r>
      <w:r w:rsidRPr="00CE37D0">
        <w:t xml:space="preserve">Privatus kaltintojas turi ne tik teisę į baudžiamąjį ieškinį, bet ir procesines pareigas, kurios net ir suaugusiam asmeniui, </w:t>
      </w:r>
      <w:r w:rsidR="00401D62">
        <w:t>neturinčiam</w:t>
      </w:r>
      <w:r w:rsidRPr="00CE37D0">
        <w:t xml:space="preserve"> patirties teisės srityje, </w:t>
      </w:r>
      <w:r w:rsidR="00401D62">
        <w:t>yra sudėtingos</w:t>
      </w:r>
      <w:r w:rsidRPr="00CE37D0">
        <w:t xml:space="preserve">. Preziumuoti, kad nurodyto amžiaus pasiekimas reiškia pakankamą socialinę </w:t>
      </w:r>
      <w:r w:rsidR="00401D62">
        <w:t>brandą</w:t>
      </w:r>
      <w:r w:rsidRPr="00CE37D0">
        <w:t xml:space="preserve">, leidžiančią nukentėjusiajam </w:t>
      </w:r>
      <w:r w:rsidR="00401D62">
        <w:t>pagrįstai</w:t>
      </w:r>
      <w:r w:rsidRPr="00CE37D0">
        <w:t xml:space="preserve"> vertinti padaryt</w:t>
      </w:r>
      <w:r w:rsidR="00401D62">
        <w:t>os</w:t>
      </w:r>
      <w:r w:rsidR="00F41BF5">
        <w:t xml:space="preserve"> </w:t>
      </w:r>
      <w:r w:rsidR="00401D62">
        <w:t>jo atžvilgiu</w:t>
      </w:r>
      <w:r w:rsidRPr="00CE37D0">
        <w:t xml:space="preserve"> veik</w:t>
      </w:r>
      <w:r w:rsidR="00401D62">
        <w:t>os</w:t>
      </w:r>
      <w:r w:rsidR="0032771C">
        <w:t xml:space="preserve"> </w:t>
      </w:r>
      <w:r w:rsidR="00401D62">
        <w:t>padarinius jo interesams</w:t>
      </w:r>
      <w:r w:rsidR="0032771C">
        <w:t xml:space="preserve"> </w:t>
      </w:r>
      <w:r w:rsidR="00401D62">
        <w:t>bei</w:t>
      </w:r>
      <w:r w:rsidRPr="00CE37D0">
        <w:t xml:space="preserve"> savarankiškai </w:t>
      </w:r>
      <w:r w:rsidR="00401D62">
        <w:t>įgyvendinti</w:t>
      </w:r>
      <w:r w:rsidRPr="00CE37D0">
        <w:t xml:space="preserve"> privataus kaltinimo </w:t>
      </w:r>
      <w:r w:rsidR="00401D62">
        <w:t>teisę juos ginant</w:t>
      </w:r>
      <w:r w:rsidRPr="00CE37D0">
        <w:t xml:space="preserve">, būtų per drąsu. </w:t>
      </w:r>
      <w:r w:rsidR="005732AB">
        <w:t>„</w:t>
      </w:r>
      <w:r w:rsidR="00824FFA" w:rsidRPr="00824FFA">
        <w:rPr>
          <w:i/>
        </w:rPr>
        <w:t>N</w:t>
      </w:r>
      <w:r w:rsidRPr="00781DC3">
        <w:rPr>
          <w:i/>
        </w:rPr>
        <w:t>epilnametis nukentėjusysis yra laikomas nevisiškai procesiškai veiksniu, todėl turi būti numatytos procesinės priemonės, užtikrinančios nepilnamečio nukentėjusiojo teisių ir pareigų įgyvendinimą</w:t>
      </w:r>
      <w:r w:rsidRPr="00CE37D0">
        <w:t xml:space="preserve"> [...]</w:t>
      </w:r>
      <w:r w:rsidR="005732AB">
        <w:t>“</w:t>
      </w:r>
      <w:r w:rsidRPr="00CE37D0">
        <w:t xml:space="preserve">. </w:t>
      </w:r>
      <w:r w:rsidRPr="00CE37D0">
        <w:rPr>
          <w:rStyle w:val="Puslapioinaosnuoroda"/>
        </w:rPr>
        <w:footnoteReference w:id="459"/>
      </w:r>
      <w:r w:rsidRPr="00CE37D0">
        <w:t xml:space="preserve"> Manytina, kad nepilnamečių nukentėjusiųjų teisė inicijuoti procesą turi būti įgyvendinama per nukentėjusiojo atstovus</w:t>
      </w:r>
      <w:r w:rsidR="003A4A8D">
        <w:t xml:space="preserve"> pagal įstatymą</w:t>
      </w:r>
      <w:r w:rsidRPr="00CE37D0">
        <w:t xml:space="preserve">, tokiu būdu užtikrinant tinkamą nepilnamečio interesų atstovavimą privataus kaltinimo procese. Prokuroras nepilnamečių asmenų interesus turėtų ginti tais atvejais, kai atstovas </w:t>
      </w:r>
      <w:r w:rsidR="003A4A8D">
        <w:t xml:space="preserve">pagal įstatymą </w:t>
      </w:r>
      <w:r w:rsidRPr="00CE37D0">
        <w:t xml:space="preserve">yra nusikalstamą veiką nepilnamečio nukentėjusiojo atžvilgiu padaręs asmuo arba atstovai </w:t>
      </w:r>
      <w:r w:rsidR="003A4A8D">
        <w:t xml:space="preserve">pagal įstatymą </w:t>
      </w:r>
      <w:r w:rsidR="00781DC3">
        <w:t>dėl tam tikrų priežasčių negali</w:t>
      </w:r>
      <w:r w:rsidR="00F41BF5">
        <w:t xml:space="preserve"> </w:t>
      </w:r>
      <w:r w:rsidR="00B34A64">
        <w:t>vis</w:t>
      </w:r>
      <w:r w:rsidRPr="00CE37D0">
        <w:t>avertiškai atstovauti nepilnamečio asmens pažeist</w:t>
      </w:r>
      <w:r w:rsidR="00781DC3">
        <w:t>ų</w:t>
      </w:r>
      <w:r w:rsidRPr="00CE37D0">
        <w:t xml:space="preserve"> teis</w:t>
      </w:r>
      <w:r w:rsidR="00781DC3">
        <w:t>ių</w:t>
      </w:r>
      <w:r w:rsidR="00691B01">
        <w:t xml:space="preserve"> </w:t>
      </w:r>
      <w:r w:rsidRPr="00CE37D0">
        <w:rPr>
          <w:vertAlign w:val="superscript"/>
        </w:rPr>
        <w:footnoteReference w:id="460"/>
      </w:r>
      <w:r w:rsidRPr="00CE37D0">
        <w:t xml:space="preserve"> ir toki</w:t>
      </w:r>
      <w:r w:rsidR="00382412" w:rsidRPr="00CE37D0">
        <w:t>u</w:t>
      </w:r>
      <w:r w:rsidRPr="00CE37D0">
        <w:t xml:space="preserve"> savo neveikimu pažeidžia nukentėjusio vaiko teises. Tokie prokuroro įgalinimai grindžiami </w:t>
      </w:r>
      <w:r w:rsidRPr="00CE37D0">
        <w:rPr>
          <w:i/>
        </w:rPr>
        <w:t>parens patriae</w:t>
      </w:r>
      <w:r w:rsidRPr="00CE37D0">
        <w:t xml:space="preserve"> doktrina, kuri re</w:t>
      </w:r>
      <w:r w:rsidR="002D0E2A" w:rsidRPr="00CE37D0">
        <w:t xml:space="preserve">iškia valstybės teisę </w:t>
      </w:r>
      <w:r w:rsidRPr="00CE37D0">
        <w:t>veikti prieš smurtaujančius ar neveiklius (</w:t>
      </w:r>
      <w:r w:rsidR="00382412" w:rsidRPr="00CE37D0">
        <w:t xml:space="preserve">angl. </w:t>
      </w:r>
      <w:r w:rsidRPr="00CE37D0">
        <w:rPr>
          <w:i/>
        </w:rPr>
        <w:t>abusive or negligent</w:t>
      </w:r>
      <w:r w:rsidRPr="00CE37D0">
        <w:t xml:space="preserve">) tėvus, globėjus, įstatyminius atstovus ir veikti kaip vaiko (ar plačiąja prasme – bet kokio asmens, kuriam reikalinga apsauga) „tėvui“. </w:t>
      </w:r>
      <w:r w:rsidRPr="00CE37D0">
        <w:rPr>
          <w:i/>
        </w:rPr>
        <w:t>Parens patriae</w:t>
      </w:r>
      <w:r w:rsidR="00F41BF5">
        <w:rPr>
          <w:i/>
        </w:rPr>
        <w:t xml:space="preserve"> </w:t>
      </w:r>
      <w:r w:rsidR="00781DC3">
        <w:t xml:space="preserve">doktrina </w:t>
      </w:r>
      <w:r w:rsidRPr="00CE37D0">
        <w:t>gali būti pasitelkiama ir aiškinant valstybės teisę paduoti ieškinį (taip pat ir baudžiamąjį) vietoj tėvų (</w:t>
      </w:r>
      <w:r w:rsidRPr="00CE37D0">
        <w:rPr>
          <w:i/>
        </w:rPr>
        <w:t>in loco parentis</w:t>
      </w:r>
      <w:r w:rsidRPr="00CE37D0">
        <w:t xml:space="preserve">) šių asmenų naudai. </w:t>
      </w:r>
      <w:r w:rsidRPr="00CE37D0">
        <w:rPr>
          <w:rStyle w:val="Puslapioinaosnuoroda"/>
        </w:rPr>
        <w:footnoteReference w:id="461"/>
      </w:r>
    </w:p>
    <w:p w:rsidR="003E3809" w:rsidRPr="00CE37D0" w:rsidRDefault="003E3809" w:rsidP="003E3809">
      <w:pPr>
        <w:spacing w:line="360" w:lineRule="auto"/>
        <w:ind w:firstLine="851"/>
        <w:jc w:val="both"/>
      </w:pPr>
      <w:r w:rsidRPr="00CE37D0">
        <w:t xml:space="preserve">Taip pat išskirtina kita nukentėjusių asmenų, negalinčių ginti savo teisių dėl amžiaus, grupė. Tai pagyvenę žmonės. </w:t>
      </w:r>
      <w:r w:rsidRPr="00CE37D0">
        <w:rPr>
          <w:rStyle w:val="Puslapioinaosnuoroda"/>
        </w:rPr>
        <w:footnoteReference w:id="462"/>
      </w:r>
      <w:r w:rsidRPr="00CE37D0">
        <w:t xml:space="preserve"> P</w:t>
      </w:r>
      <w:r w:rsidR="00EF50B8">
        <w:t>sichologų nuomone, p</w:t>
      </w:r>
      <w:r w:rsidRPr="00CE37D0">
        <w:t xml:space="preserve">agyvenusių žmonių socialinei grupei </w:t>
      </w:r>
      <w:r w:rsidRPr="00CE37D0">
        <w:lastRenderedPageBreak/>
        <w:t>priskirtiniems asmenims yra būdingi fiziniai, intelektiniai ir psichologini</w:t>
      </w:r>
      <w:r w:rsidR="005D26CD">
        <w:t>ai pokyčiai,</w:t>
      </w:r>
      <w:r w:rsidR="00EF50B8">
        <w:t xml:space="preserve"> </w:t>
      </w:r>
      <w:r w:rsidRPr="00CE37D0">
        <w:rPr>
          <w:rStyle w:val="Puslapioinaosnuoroda"/>
        </w:rPr>
        <w:footnoteReference w:id="463"/>
      </w:r>
      <w:r w:rsidR="005D26CD">
        <w:t xml:space="preserve"> kurie lemia</w:t>
      </w:r>
      <w:r w:rsidR="005D26CD" w:rsidRPr="00CE37D0">
        <w:t xml:space="preserve"> pagyvenusių žmonių socializacijos apribojim</w:t>
      </w:r>
      <w:r w:rsidR="005D26CD">
        <w:t>u</w:t>
      </w:r>
      <w:r w:rsidR="005D26CD" w:rsidRPr="00CE37D0">
        <w:t xml:space="preserve">s. </w:t>
      </w:r>
      <w:r w:rsidR="00843313" w:rsidRPr="00CE37D0">
        <w:t xml:space="preserve">Daugelis žmonių susiduria su žinių apie baudžiamąjį procesą trūkumu: jie nežino, ko tikėtis iš </w:t>
      </w:r>
      <w:r w:rsidR="00843313">
        <w:t>baudžiamosios justicijos</w:t>
      </w:r>
      <w:r w:rsidR="00843313" w:rsidRPr="00CE37D0">
        <w:t xml:space="preserve"> sistemos, bijo padaryti klaidų ir pakenkti savo įvaizdžiui. Tai kelia susirūpinimą bet kokios amžiaus grupės nukentėjusiems nuo nusikaltimų asmenims, tačiau pagyvenusi</w:t>
      </w:r>
      <w:r w:rsidR="00F41BF5">
        <w:t>ems žmonėms gali būti dar sunkiau</w:t>
      </w:r>
      <w:r w:rsidR="00843313" w:rsidRPr="00CE37D0">
        <w:t xml:space="preserve"> dėl jiems </w:t>
      </w:r>
      <w:r w:rsidR="00F41BF5">
        <w:t xml:space="preserve">bendrai </w:t>
      </w:r>
      <w:r w:rsidR="00843313" w:rsidRPr="00CE37D0">
        <w:t xml:space="preserve">būdingo padidėjusio nerimo jausmo, sunkumų pakeisti rutininę komforto zoną ir priimti sprendimus naujose situacijose. </w:t>
      </w:r>
      <w:r w:rsidR="00843313" w:rsidRPr="00CE37D0">
        <w:rPr>
          <w:rStyle w:val="Puslapioinaosnuoroda"/>
        </w:rPr>
        <w:footnoteReference w:id="464"/>
      </w:r>
      <w:r w:rsidR="00843313" w:rsidRPr="00CE37D0">
        <w:t xml:space="preserve"> Bendrosios teisės tradicijos šalyse automatiškai tikrinamas </w:t>
      </w:r>
      <w:r w:rsidR="00843313">
        <w:t>pagyvenusio amžiaus</w:t>
      </w:r>
      <w:r w:rsidR="00843313" w:rsidRPr="00CE37D0">
        <w:t xml:space="preserve"> liudytojų patikimumas dėl egzistuojančių stereotipinių įsitikinimų dėl jų susilpnėjusių jutimų (klausos, regėjimo, </w:t>
      </w:r>
      <w:r w:rsidR="00DD53AD">
        <w:t>kt</w:t>
      </w:r>
      <w:r w:rsidR="00843313" w:rsidRPr="00CE37D0">
        <w:t xml:space="preserve">.). Tačiau kontinentinės teisės tradicijos šalyse </w:t>
      </w:r>
      <w:r w:rsidR="00843313" w:rsidRPr="00CE37D0">
        <w:rPr>
          <w:i/>
        </w:rPr>
        <w:t>de facto</w:t>
      </w:r>
      <w:r w:rsidR="00843313" w:rsidRPr="00CE37D0">
        <w:t xml:space="preserve"> preziumuojamas liudytojų patikimumas, jei nekyla abejonių, kad yra priešingai. </w:t>
      </w:r>
      <w:r w:rsidR="00EF50B8">
        <w:t>Remia</w:t>
      </w:r>
      <w:r w:rsidR="00DD53AD">
        <w:t>n</w:t>
      </w:r>
      <w:r w:rsidR="00EF50B8">
        <w:t>tis psichologiniais tyrimais galima daryti prielaidą, kad d</w:t>
      </w:r>
      <w:r w:rsidR="00843313" w:rsidRPr="00CE37D0">
        <w:t xml:space="preserve">ėl nepasitikėjimo savimi pagyvenę žmonės teisme </w:t>
      </w:r>
      <w:r w:rsidR="00D2671B">
        <w:t>gali būti</w:t>
      </w:r>
      <w:r w:rsidR="00843313" w:rsidRPr="00CE37D0">
        <w:t xml:space="preserve"> mažiau patikimi liudytojai nepriklausomai nuo jų realių suvokimo gebėjimų. Šios priežastys gali sukelti minėtų asmenų nenorą kreiptis į teisėsaugos institucijas ginti savo pažeistas teises ir interesus. </w:t>
      </w:r>
      <w:r w:rsidR="00843313" w:rsidRPr="00CE37D0">
        <w:rPr>
          <w:rStyle w:val="Puslapioinaosnuoroda"/>
        </w:rPr>
        <w:footnoteReference w:id="465"/>
      </w:r>
      <w:r w:rsidR="00F41BF5">
        <w:t xml:space="preserve"> </w:t>
      </w:r>
      <w:r w:rsidR="009F07BC">
        <w:t xml:space="preserve">Visgi asmens senyvas amžius savaime nėra pakankamas pagrindas konstatuoti, kad asmuo negali ginti savo teisių, todėl kiekvienu atveju būtina įvertinti esamus fizinius ir psichikos sutrikimus, kurie sumenkina asmens galimybes savarankiškai ginti savo interesus. </w:t>
      </w:r>
      <w:r w:rsidR="009F07BC">
        <w:rPr>
          <w:rStyle w:val="Puslapioinaosnuoroda"/>
        </w:rPr>
        <w:footnoteReference w:id="466"/>
      </w:r>
      <w:r w:rsidR="009F07BC">
        <w:t xml:space="preserve"> Konstatavus, kad asmuo dėl senyvo amžiaus keliamų sveikatos problemų ar (ir) socializacijos sunkumų, savarankiškai negeba ginti savo pažeistų interesų,</w:t>
      </w:r>
      <w:r w:rsidR="009F07BC" w:rsidRPr="009F07BC">
        <w:t xml:space="preserve"> teism</w:t>
      </w:r>
      <w:r w:rsidR="009F07BC">
        <w:t>as</w:t>
      </w:r>
      <w:r w:rsidR="009F07BC" w:rsidRPr="009F07BC">
        <w:t xml:space="preserve"> nutartimi </w:t>
      </w:r>
      <w:r w:rsidR="009F07BC">
        <w:t xml:space="preserve">gali leisti </w:t>
      </w:r>
      <w:r w:rsidR="009F07BC" w:rsidRPr="009F07BC">
        <w:t xml:space="preserve">atstovo pagal įstatymą teisėmis procese dalyvauti asmens, kuris nustatyta tvarka nėra pripažintas neveiksniu, tačiau dėl senatvės </w:t>
      </w:r>
      <w:r w:rsidR="009F07BC">
        <w:t xml:space="preserve">(taip pat </w:t>
      </w:r>
      <w:r w:rsidR="009F07BC" w:rsidRPr="009F07BC">
        <w:t>neįgalumo, ligos ar kitų svarbių priežasčių</w:t>
      </w:r>
      <w:r w:rsidR="009F07BC">
        <w:t>)</w:t>
      </w:r>
      <w:r w:rsidR="009F07BC" w:rsidRPr="009F07BC">
        <w:t xml:space="preserve"> negali tinkamai pasinaudoti įstatymų suteiktomis teisėmis, šeimos nariui ar artimajam giminaičiui</w:t>
      </w:r>
      <w:r w:rsidR="00370E38">
        <w:t xml:space="preserve"> </w:t>
      </w:r>
      <w:r w:rsidR="00370E38">
        <w:lastRenderedPageBreak/>
        <w:t>(BPK 53 str</w:t>
      </w:r>
      <w:r w:rsidR="00E3730A">
        <w:t>aipsnio</w:t>
      </w:r>
      <w:r w:rsidR="00370E38">
        <w:t xml:space="preserve"> 4 d</w:t>
      </w:r>
      <w:r w:rsidR="00E3730A">
        <w:t>alis</w:t>
      </w:r>
      <w:r w:rsidR="00370E38">
        <w:t>)</w:t>
      </w:r>
      <w:r w:rsidR="009F07BC" w:rsidRPr="009F07BC">
        <w:t>.</w:t>
      </w:r>
      <w:r w:rsidR="009F07BC">
        <w:t xml:space="preserve"> Taigi pareiga užtikrinti, kad būtų </w:t>
      </w:r>
      <w:r w:rsidR="003A4A8D">
        <w:t xml:space="preserve">tinkamai ginamos </w:t>
      </w:r>
      <w:r w:rsidR="009F07BC">
        <w:t>pagyvenusio asmens teisės</w:t>
      </w:r>
      <w:r w:rsidR="003A4A8D">
        <w:t xml:space="preserve"> ir teisėti interesai</w:t>
      </w:r>
      <w:r w:rsidR="009F07BC">
        <w:t>, pirmiausia kyla jo šeimos nariams ir artimiems giminaičiams</w:t>
      </w:r>
      <w:r w:rsidR="00F41BF5">
        <w:t>,</w:t>
      </w:r>
      <w:r w:rsidR="009F07BC">
        <w:t xml:space="preserve"> ir tik nustačius, kad šie asmenys neveikimu pažeidžia pagyvenusio žmogaus teisėtus interesus</w:t>
      </w:r>
      <w:r w:rsidR="00370E38">
        <w:t xml:space="preserve"> ar tokių asmenų nukentėjęs asmuo neturi</w:t>
      </w:r>
      <w:r w:rsidR="009F07BC">
        <w:t xml:space="preserve">, tokia pareiga kyla prokurorui. </w:t>
      </w:r>
    </w:p>
    <w:p w:rsidR="001313E0" w:rsidRPr="00CE37D0" w:rsidRDefault="001313E0" w:rsidP="003E3809">
      <w:pPr>
        <w:spacing w:line="360" w:lineRule="auto"/>
        <w:ind w:firstLine="851"/>
        <w:jc w:val="both"/>
      </w:pPr>
      <w:r w:rsidRPr="00CE37D0">
        <w:t xml:space="preserve">Taigi </w:t>
      </w:r>
      <w:r w:rsidR="00974219" w:rsidRPr="00CE37D0">
        <w:t xml:space="preserve">nors </w:t>
      </w:r>
      <w:r w:rsidRPr="00CE37D0">
        <w:t xml:space="preserve">asmens gebėjimas </w:t>
      </w:r>
      <w:r w:rsidR="00B34A64">
        <w:t>vis</w:t>
      </w:r>
      <w:r w:rsidRPr="00CE37D0">
        <w:t>avertiškai ginti savo teises privataus kaltinimo tvarka doktrinoje ir gali būti apibūdinamas objektyviais psichi</w:t>
      </w:r>
      <w:r w:rsidR="005732AB">
        <w:t>nė</w:t>
      </w:r>
      <w:r w:rsidRPr="00CE37D0">
        <w:t xml:space="preserve">s ir fizinės sveikatos bei amžiaus kriterijais, tačiau praktikoje yra gana subjektyvus ir sunkiai pagrindžiamas dėl specialių žinių poreikio vertinant </w:t>
      </w:r>
      <w:r w:rsidR="00387724">
        <w:t xml:space="preserve">baudžiamojo proceso tvarka </w:t>
      </w:r>
      <w:r w:rsidRPr="00CE37D0">
        <w:t xml:space="preserve">asmens gebėjimus ir neapibrėžtos asmens procesinės padėties (negalimumo pasinaudoti specialiosiomis žiniomis). Subjektyvusis faktorius gali nulemti situacijas, kai asmenų, kurie negali savarankiškai pasinaudoti savo procesinėmis teisėmis ir įgyvendinti </w:t>
      </w:r>
      <w:r w:rsidR="00974219">
        <w:t xml:space="preserve">procesinių </w:t>
      </w:r>
      <w:r w:rsidRPr="00CE37D0">
        <w:t xml:space="preserve">pareigų, teisės ir teisėti interesai lieka neapginti būtent dėl </w:t>
      </w:r>
      <w:r w:rsidR="00974219">
        <w:t xml:space="preserve">kliūčių objektyviai ir teisingai </w:t>
      </w:r>
      <w:r w:rsidR="00974219" w:rsidRPr="00CE37D0">
        <w:t>įvertin</w:t>
      </w:r>
      <w:r w:rsidR="00974219">
        <w:t>ti jų gebėjimus</w:t>
      </w:r>
      <w:r w:rsidR="003A4A8D">
        <w:t xml:space="preserve">, todėl </w:t>
      </w:r>
      <w:r w:rsidR="00843313">
        <w:t xml:space="preserve">kyla </w:t>
      </w:r>
      <w:r w:rsidRPr="00CE37D0">
        <w:t>prielaid</w:t>
      </w:r>
      <w:r w:rsidR="00843313">
        <w:t>o</w:t>
      </w:r>
      <w:r w:rsidRPr="00CE37D0">
        <w:t xml:space="preserve">s pažeisti nukentėjusio asmens teisę į teismą.  </w:t>
      </w:r>
    </w:p>
    <w:p w:rsidR="004D19AA" w:rsidRPr="00CE37D0" w:rsidRDefault="004D19AA" w:rsidP="004D19AA">
      <w:pPr>
        <w:pStyle w:val="Antrat3"/>
        <w:jc w:val="both"/>
      </w:pPr>
      <w:bookmarkStart w:id="221" w:name="_Toc316893925"/>
      <w:bookmarkStart w:id="222" w:name="_Toc320526522"/>
      <w:bookmarkStart w:id="223" w:name="_Toc332026005"/>
      <w:bookmarkStart w:id="224" w:name="_Toc333483945"/>
      <w:bookmarkStart w:id="225" w:name="_Toc365498856"/>
      <w:bookmarkStart w:id="226" w:name="_Toc370139917"/>
      <w:bookmarkStart w:id="227" w:name="_Toc400321695"/>
      <w:bookmarkStart w:id="228" w:name="_Toc315893187"/>
      <w:bookmarkStart w:id="229" w:name="_Toc315263138"/>
      <w:bookmarkStart w:id="230" w:name="_Toc315893190"/>
      <w:bookmarkStart w:id="231" w:name="_Toc316893926"/>
      <w:bookmarkStart w:id="232" w:name="_Toc320526523"/>
      <w:bookmarkStart w:id="233" w:name="_Toc332026006"/>
      <w:bookmarkStart w:id="234" w:name="_Toc333483946"/>
      <w:bookmarkStart w:id="235" w:name="_Toc365498857"/>
      <w:r w:rsidRPr="00CE37D0">
        <w:t>3.2.2.</w:t>
      </w:r>
      <w:r w:rsidR="00F41BF5">
        <w:t xml:space="preserve"> </w:t>
      </w:r>
      <w:r w:rsidRPr="00CE37D0">
        <w:t>Procesinės kliūtys nukentėjusiam nuo nusikalstamos veikos asmeniui ginti savo interesus</w:t>
      </w:r>
      <w:bookmarkEnd w:id="221"/>
      <w:bookmarkEnd w:id="222"/>
      <w:bookmarkEnd w:id="223"/>
      <w:bookmarkEnd w:id="224"/>
      <w:bookmarkEnd w:id="225"/>
      <w:bookmarkEnd w:id="226"/>
      <w:bookmarkEnd w:id="227"/>
    </w:p>
    <w:p w:rsidR="004D19AA" w:rsidRPr="00CE37D0" w:rsidRDefault="004D19AA" w:rsidP="004D19AA">
      <w:pPr>
        <w:spacing w:line="360" w:lineRule="auto"/>
        <w:ind w:firstLine="851"/>
        <w:jc w:val="both"/>
      </w:pPr>
      <w:r w:rsidRPr="00CE37D0">
        <w:t xml:space="preserve">Viešojo kaltinimo būtinumą gali nulemti </w:t>
      </w:r>
      <w:r w:rsidR="00207193">
        <w:t>procesinės kliūtys nukentėjusia</w:t>
      </w:r>
      <w:r w:rsidRPr="00CE37D0">
        <w:t>m</w:t>
      </w:r>
      <w:r w:rsidR="00207193">
        <w:t xml:space="preserve"> asmeniui</w:t>
      </w:r>
      <w:r w:rsidRPr="00CE37D0">
        <w:t xml:space="preserve"> įgyti privataus kaltintojo statusą. Pirmiausia būtina apibrėžti procesinių kliūčių sąvoką. Procesinėmis kliūtimis baudžiamajame procese vadinamos baudžiamojo proceso metu susiklostančios tam tikros faktinės ar teisinės aplinkybės, dėl kurių atskiro procesinio veiksmo atlikimas ar sprendimo priėmimas tampa negalimas, jis turi būti atidėtas, iki šios aplinkybės išnyks</w:t>
      </w:r>
      <w:r w:rsidR="00F41BF5">
        <w:t>,</w:t>
      </w:r>
      <w:r w:rsidRPr="00CE37D0">
        <w:t xml:space="preserve"> arba procese turi būti sugrįžta į pirmesnę proceso stadiją tam, kad jos būtų pašalintos, taip pat tokios aplinkybės, dėl kurių visas procesas tampa negalimas ir jis turi būti nutrauktas. </w:t>
      </w:r>
      <w:r w:rsidRPr="00CE37D0">
        <w:rPr>
          <w:rStyle w:val="Puslapioinaosnuoroda"/>
        </w:rPr>
        <w:footnoteReference w:id="467"/>
      </w:r>
      <w:r w:rsidRPr="00CE37D0">
        <w:t xml:space="preserve"> Šiame darbe procesinės kliūtys bus analizuojamos </w:t>
      </w:r>
      <w:r w:rsidR="00502E22">
        <w:t xml:space="preserve">kaip </w:t>
      </w:r>
      <w:r w:rsidRPr="00CE37D0">
        <w:t>aplinkybės, dėl kurių nukentėjęs asmuo negali ginti savo teisių privataus kaltinimo tvarka. Kadangi tai nepagrįstai riboja asmens teisę kreiptis į teismą, jos turi būti pašalintos įprasto proceso numatytomis priemonėmis. Pašalinus procesines kliūtis</w:t>
      </w:r>
      <w:r w:rsidR="00F41BF5">
        <w:t>,</w:t>
      </w:r>
      <w:r w:rsidRPr="00CE37D0">
        <w:t xml:space="preserve"> nukentėjęs asmuo įgauna procesines galimybes pats kreiptis į teismą privataus kaltinimo tvarka</w:t>
      </w:r>
      <w:r w:rsidR="000C4507">
        <w:t xml:space="preserve">, o nesant galimybių šias kliūtis pašalinti, </w:t>
      </w:r>
      <w:r w:rsidRPr="00CE37D0">
        <w:t xml:space="preserve">procesas turi pereiti iš privataus į viešo kaltinimo procesą. </w:t>
      </w:r>
    </w:p>
    <w:p w:rsidR="004D19AA" w:rsidRPr="00CE37D0" w:rsidRDefault="004D19AA" w:rsidP="004D19AA">
      <w:pPr>
        <w:pStyle w:val="Antrat4"/>
        <w:ind w:firstLine="0"/>
      </w:pPr>
      <w:r w:rsidRPr="00CE37D0">
        <w:t>Nusikalstamos veikos padarymu kaltinamas asmuo nėra žinomas</w:t>
      </w:r>
    </w:p>
    <w:bookmarkEnd w:id="228"/>
    <w:p w:rsidR="004D19AA" w:rsidRPr="00CE37D0" w:rsidRDefault="004D19AA" w:rsidP="004D19AA">
      <w:pPr>
        <w:spacing w:line="360" w:lineRule="auto"/>
        <w:ind w:firstLine="851"/>
        <w:jc w:val="both"/>
      </w:pPr>
      <w:r w:rsidRPr="00CE37D0">
        <w:t xml:space="preserve">Vienas iš svarbių atvejų, dėl kurių asmuo negali ginti savo teisėtų interesų privataus kaltinimo tvarka, yra </w:t>
      </w:r>
      <w:r w:rsidRPr="00CE37D0">
        <w:rPr>
          <w:i/>
        </w:rPr>
        <w:t>expressis verbis</w:t>
      </w:r>
      <w:r w:rsidR="00E3730A">
        <w:t xml:space="preserve"> nurodyta</w:t>
      </w:r>
      <w:r w:rsidR="003F7689">
        <w:t>s</w:t>
      </w:r>
      <w:r w:rsidR="00E3730A">
        <w:t xml:space="preserve"> BPK 409 straipsnio</w:t>
      </w:r>
      <w:r w:rsidRPr="00CE37D0">
        <w:t xml:space="preserve"> 3 d</w:t>
      </w:r>
      <w:r w:rsidR="00E3730A">
        <w:t>alyje.</w:t>
      </w:r>
      <w:r w:rsidRPr="00CE37D0">
        <w:t xml:space="preserve"> Situacija, kai nukentėjęs asmuo nežino asmens, kuris įvykdė nusikalstamą veiką (nenustatė tapatybės ar nežino </w:t>
      </w:r>
      <w:r w:rsidRPr="00CE37D0">
        <w:lastRenderedPageBreak/>
        <w:t>anketinių duomenų, būtinų nurodyti privataus kaltinimo skunde), lemia</w:t>
      </w:r>
      <w:r w:rsidR="00F41BF5">
        <w:t xml:space="preserve"> </w:t>
      </w:r>
      <w:r w:rsidRPr="00CE37D0">
        <w:t>objektyvi</w:t>
      </w:r>
      <w:r w:rsidR="00761866">
        <w:t>as</w:t>
      </w:r>
      <w:r w:rsidR="00CF3875">
        <w:t xml:space="preserve"> </w:t>
      </w:r>
      <w:r w:rsidR="00761866">
        <w:t>kliūtis nukentėjusiam asmeniui</w:t>
      </w:r>
      <w:r w:rsidRPr="00CE37D0">
        <w:t xml:space="preserve"> kreiptis į teismą dėl pažeistų teisių gynybos. Ši aplinkybė teisiniame reguliavime pripažįstama procesine kliūtimi privataus kaltinimo procesui, todėl šiuo atveju procesas vyksta bendra tvarka. </w:t>
      </w:r>
      <w:r w:rsidRPr="00CE37D0">
        <w:rPr>
          <w:vertAlign w:val="superscript"/>
        </w:rPr>
        <w:footnoteReference w:id="468"/>
      </w:r>
      <w:r w:rsidR="00761866">
        <w:t xml:space="preserve"> Konstitucinėje jurisprudencijoje pateiktas vertinimas, kad </w:t>
      </w:r>
      <w:r w:rsidRPr="00CE37D0">
        <w:t xml:space="preserve">BPK 409 straipsnį papildžius nauja 3 dalimi buvo </w:t>
      </w:r>
      <w:r w:rsidRPr="00CE37D0">
        <w:rPr>
          <w:i/>
        </w:rPr>
        <w:t xml:space="preserve">„ne įtvirtinta tokia iš esmės nauja nuostata, kurios nebūtų buvę galima kildinti iš ankstesnių šio straipsnio formuluočių, bet teisinis reguliavimas buvo sukonkretintas tuo aspektu, kad buvo </w:t>
      </w:r>
      <w:r w:rsidRPr="00CE37D0">
        <w:rPr>
          <w:i/>
          <w:iCs/>
        </w:rPr>
        <w:t>expressis verbis</w:t>
      </w:r>
      <w:r w:rsidRPr="00CE37D0">
        <w:rPr>
          <w:i/>
        </w:rPr>
        <w:t xml:space="preserve"> nurodyta viena iš svarbių priežasčių, dėl kurių asmuo negali ginti teisėtų savo interesų ir dėl to prokuroras, gavęs nukentėjusiojo skundą ar jo teisėto atstovo pareiškimą, privalo pradėti baudžiamąjį procesą dėl LR BPK 407 straipsnyje (2003 m. birželio 19 d. redakcija) nurodytos nusikalstamos veikos.“</w:t>
      </w:r>
      <w:r w:rsidR="00707CEE">
        <w:rPr>
          <w:i/>
        </w:rPr>
        <w:t xml:space="preserve"> </w:t>
      </w:r>
      <w:r w:rsidRPr="00CE37D0">
        <w:rPr>
          <w:vertAlign w:val="superscript"/>
        </w:rPr>
        <w:footnoteReference w:id="469"/>
      </w:r>
      <w:r w:rsidR="00F41BF5">
        <w:rPr>
          <w:i/>
        </w:rPr>
        <w:t xml:space="preserve"> </w:t>
      </w:r>
      <w:r w:rsidR="000C4507">
        <w:t>Tokia išvada galėjo būti daroma</w:t>
      </w:r>
      <w:r w:rsidR="00F41BF5">
        <w:t>,</w:t>
      </w:r>
      <w:r w:rsidR="000C4507">
        <w:t xml:space="preserve"> sistemiškai aiškinant baudžiamojo proceso nuostatas dėl prokuroro vaidmens baudžiamajame procese, tačiau iki šios nuostatos įtvirtinimo BPK kilo teisės taikymo problemų. </w:t>
      </w:r>
      <w:r w:rsidRPr="00CE37D0">
        <w:t xml:space="preserve">Atsižvelgiant į tai, kad ankstesnis reglamentavimas praktikoje buvo aiškinamas klaidingai, pažeidžiant asmenų, nukentėjusių nuo nusikalstamų veikų teisę į teismą, teisinio reguliavimo sukonkretinimas išsprendė įstatymo taikymo sunkumus. </w:t>
      </w:r>
    </w:p>
    <w:p w:rsidR="004D19AA" w:rsidRPr="00CE37D0" w:rsidRDefault="004D19AA" w:rsidP="004D19AA">
      <w:pPr>
        <w:spacing w:line="360" w:lineRule="auto"/>
        <w:ind w:firstLine="851"/>
        <w:jc w:val="both"/>
      </w:pPr>
      <w:r w:rsidRPr="00CE37D0">
        <w:t>Praktikoje išsiskyrė nuomonės dėl to, ar pradėjus ikiteisminį tyrimą pagal nukentėjusiojo prašymą privataus kaltinimo bylo</w:t>
      </w:r>
      <w:r w:rsidR="003F7689">
        <w:t>j</w:t>
      </w:r>
      <w:r w:rsidRPr="00CE37D0">
        <w:t>e, kai kaltininkas nėra žinomas, o ikiteisminio tyrimo metu kaltininką nustačius, ikiteisminis tyrimas turi būti tęsiamas bendra tvarka ir valstybinį kaltinimą turi palaikyti prokuroras, ar ikiteisminis tyrimas turi būti nutraukiamas BPK 417 str</w:t>
      </w:r>
      <w:r w:rsidR="00541B80">
        <w:t>aipsnyje</w:t>
      </w:r>
      <w:r w:rsidRPr="00CE37D0">
        <w:t xml:space="preserve"> numatyta tvarka ir nukentėjusiajam išaiškinama teisė kreiptis į teismą privataus kaltinimo tvarka. Vilniaus apygardos teismo nutartyje </w:t>
      </w:r>
      <w:r w:rsidR="003F7689">
        <w:t>išdėstyta pozicija</w:t>
      </w:r>
      <w:r w:rsidRPr="00CE37D0">
        <w:t xml:space="preserve">, kad </w:t>
      </w:r>
      <w:r w:rsidR="005732AB">
        <w:t>„</w:t>
      </w:r>
      <w:r w:rsidRPr="00CE37D0">
        <w:rPr>
          <w:i/>
          <w:color w:val="000000"/>
        </w:rPr>
        <w:t xml:space="preserve">jeigu </w:t>
      </w:r>
      <w:r w:rsidRPr="00CE37D0">
        <w:rPr>
          <w:i/>
        </w:rPr>
        <w:t xml:space="preserve">nuo nusikalstamos veikos, nurodytos LR BPK 407 straipsnyje, nukentėjusiojo pažeistos teisės ir teisėti interesai buvo pradėti ginti bendra tvarka, buvo </w:t>
      </w:r>
      <w:r w:rsidRPr="00CE37D0">
        <w:rPr>
          <w:i/>
          <w:color w:val="000000"/>
        </w:rPr>
        <w:t>pradėtas ikiteisminis tyrimas, bendra tvarka šis procesas ir turėjo būti užbaigtas</w:t>
      </w:r>
      <w:r w:rsidR="005732AB">
        <w:rPr>
          <w:i/>
          <w:color w:val="000000"/>
        </w:rPr>
        <w:t>“</w:t>
      </w:r>
      <w:r w:rsidRPr="00CE37D0">
        <w:rPr>
          <w:i/>
          <w:color w:val="000000"/>
        </w:rPr>
        <w:t xml:space="preserve">. </w:t>
      </w:r>
      <w:r w:rsidRPr="00CE37D0">
        <w:rPr>
          <w:vertAlign w:val="superscript"/>
        </w:rPr>
        <w:footnoteReference w:id="470"/>
      </w:r>
      <w:r w:rsidRPr="00CE37D0">
        <w:t xml:space="preserve"> Nors nukentėjusysis gali būti suinteresuotas, kad prokuroras tęstų ikiteisminį tyrimą, jį baigęs perduotų bylą į teismą bendra tvarka ir palaikytų valstybinį kaltinimą, tačiau taip iškreipiama privataus kaltinimo instituto esmė. Asmens, kurio tapatybė nėra žinoma nukentėjusiajam, teisinė padėtis tampa sudėtingesnė lyginant su asmen</w:t>
      </w:r>
      <w:r w:rsidR="003F7689">
        <w:t>iu</w:t>
      </w:r>
      <w:r w:rsidRPr="00CE37D0">
        <w:t xml:space="preserve">, kuris nukentėjusiajam yra žinomas. Vien ta aplinkybė, </w:t>
      </w:r>
      <w:r w:rsidR="00761866">
        <w:t xml:space="preserve">kad </w:t>
      </w:r>
      <w:r w:rsidRPr="00CE37D0">
        <w:t xml:space="preserve">veikos padarymo momentu ar iškart po jos padarymo kaltininko asmenybė yra nustatyta, negali nulemti kaltinamojo teisinės padėties. Prokurorui palaikant valstybinį kaltinimą, </w:t>
      </w:r>
      <w:r w:rsidRPr="00CE37D0">
        <w:lastRenderedPageBreak/>
        <w:t xml:space="preserve">kaltininkas netenka galimybės pasinaudoti BPK 413 straipsnyje numatytu susitaikymo institutu. </w:t>
      </w:r>
      <w:r w:rsidR="00C174DC">
        <w:t xml:space="preserve">Poziciją dėl būtinumo tinkamai išaiškinti kaltininkui ir nukentėjusiajam galimybę susitaikyti dėl privataus kaltinimo veikos ne kartą išsakė ir LAT. </w:t>
      </w:r>
      <w:r w:rsidR="00C174DC">
        <w:rPr>
          <w:rStyle w:val="Puslapioinaosnuoroda"/>
        </w:rPr>
        <w:footnoteReference w:id="471"/>
      </w:r>
      <w:r w:rsidR="00C174DC">
        <w:t xml:space="preserve"> Nesuteikiant galimybės susitaikyti, k</w:t>
      </w:r>
      <w:r w:rsidRPr="00CE37D0">
        <w:t xml:space="preserve">altinamojo padėtis </w:t>
      </w:r>
      <w:r w:rsidR="00C174DC">
        <w:t>nepagrįstai pasunkinama</w:t>
      </w:r>
      <w:bookmarkStart w:id="236" w:name="pmenu"/>
      <w:r w:rsidR="00C174DC">
        <w:t>, k</w:t>
      </w:r>
      <w:r w:rsidR="00C174DC" w:rsidRPr="00C174DC">
        <w:t xml:space="preserve">as </w:t>
      </w:r>
      <w:r w:rsidR="00121937">
        <w:t>„</w:t>
      </w:r>
      <w:r w:rsidR="00C174DC" w:rsidRPr="00C174DC">
        <w:rPr>
          <w:i/>
        </w:rPr>
        <w:t xml:space="preserve">kasacinės instancijos teismo praktikoje laikoma esminiu </w:t>
      </w:r>
      <w:bookmarkStart w:id="237" w:name="n_37"/>
      <w:bookmarkStart w:id="238" w:name="n4_27"/>
      <w:bookmarkEnd w:id="236"/>
      <w:bookmarkEnd w:id="237"/>
      <w:r w:rsidR="00C174DC" w:rsidRPr="00C174DC">
        <w:rPr>
          <w:i/>
        </w:rPr>
        <w:t>BPK</w:t>
      </w:r>
      <w:bookmarkStart w:id="239" w:name="pn4_27"/>
      <w:bookmarkEnd w:id="238"/>
      <w:bookmarkEnd w:id="239"/>
      <w:r w:rsidR="00C174DC" w:rsidRPr="00C174DC">
        <w:rPr>
          <w:i/>
        </w:rPr>
        <w:t xml:space="preserve"> pažeidimu, nes nukentėjusiajam ir kaltinamajam yra atimama galimybė susitaikyti, galbūt susitariant dėl žalos atlyginimo, ir pasiekti baudžiamojo proceso tikslus atkuriant teisinę santarvę racionaliausiu keliu</w:t>
      </w:r>
      <w:r w:rsidR="00C174DC" w:rsidRPr="00C174DC">
        <w:t>.</w:t>
      </w:r>
      <w:r w:rsidR="006E5034">
        <w:t xml:space="preserve">“ </w:t>
      </w:r>
      <w:r w:rsidR="00C174DC">
        <w:rPr>
          <w:rStyle w:val="Puslapioinaosnuoroda"/>
        </w:rPr>
        <w:footnoteReference w:id="472"/>
      </w:r>
      <w:r w:rsidR="00F41BF5">
        <w:t xml:space="preserve"> </w:t>
      </w:r>
      <w:r w:rsidRPr="00CE37D0">
        <w:t>Taigi pritartina pozicijai, kad</w:t>
      </w:r>
      <w:r w:rsidR="00F41BF5">
        <w:t>,</w:t>
      </w:r>
      <w:r w:rsidRPr="00CE37D0">
        <w:t xml:space="preserve"> išnykus pagrindui, dėl kurio privataus kaltinimo procesas negalimas, ikiteisminis tyrimas turi būti nutraukiamas, o nukentėjusiajam išreiškus valią, pradedamas privataus kaltinimo procesas. Šiuo atveju nuostatos, kad procesas vyksta bendra tvarka, paskirtis yra numatyti mechanizmą</w:t>
      </w:r>
      <w:r w:rsidR="00F41BF5">
        <w:t>,</w:t>
      </w:r>
      <w:r w:rsidRPr="00CE37D0">
        <w:t xml:space="preserve"> užtikrin</w:t>
      </w:r>
      <w:r w:rsidR="00F41BF5">
        <w:t>antį</w:t>
      </w:r>
      <w:r w:rsidRPr="00CE37D0">
        <w:t xml:space="preserve"> nukentėjusio asmens teisę į teismą. Todėl aplinkybė, kad pradinėje proceso stadijoje nusikalstamą veiką padaręs asmuo nėra žinomas, nelaikytina pagrindu pereiti iš privataus kaltinimo į viešąjį, o vertintina kaip instrumentas padėti nukentėjusiam asmeniui įgyvendinti privataus kaltinimo teisę nustatant nusikalstamą veiką padariusį asmenį. </w:t>
      </w:r>
      <w:r w:rsidR="00882ADC">
        <w:t>Darytina išvada, kad</w:t>
      </w:r>
      <w:r w:rsidR="00F41BF5">
        <w:t>,</w:t>
      </w:r>
      <w:r w:rsidR="00882ADC">
        <w:t xml:space="preserve"> </w:t>
      </w:r>
      <w:r w:rsidR="009A001D">
        <w:t>n</w:t>
      </w:r>
      <w:r w:rsidR="00C174DC">
        <w:t>ustačius nusikalstamą veiką padariusį asmenį, procesin</w:t>
      </w:r>
      <w:r w:rsidR="00541B80">
        <w:t>ė kliūtis, nurodyta BPK 409 straipsnio</w:t>
      </w:r>
      <w:r w:rsidR="00C174DC">
        <w:t xml:space="preserve"> 3 d</w:t>
      </w:r>
      <w:r w:rsidR="00541B80">
        <w:t>alyje</w:t>
      </w:r>
      <w:r w:rsidR="00C174DC">
        <w:t xml:space="preserve">, </w:t>
      </w:r>
      <w:r w:rsidR="00882ADC">
        <w:t>pašalinama ir nukentėjusiam asmeniui sudaroma galimybė priimti sprendimą dėl nustatyto asmens patraukimo baudžiamojon atsakomybėn privataus kaltinimo tvark</w:t>
      </w:r>
      <w:r w:rsidR="009A001D">
        <w:t>a, taigi</w:t>
      </w:r>
      <w:r w:rsidR="00F41BF5">
        <w:t xml:space="preserve"> </w:t>
      </w:r>
      <w:r w:rsidR="009A001D">
        <w:t xml:space="preserve">nelieka pagrindo prokurorui palaikyti valstybinį kaltinimą. </w:t>
      </w:r>
      <w:r w:rsidR="00C63115">
        <w:t>Valstybinis kaltinimas tokiu atveju gali būti palaikomas prokuroro reikalavimu, jei yra kiti pagrindai valstybiniam kaltinimui palaikyti.</w:t>
      </w:r>
    </w:p>
    <w:p w:rsidR="004D19AA" w:rsidRPr="00CE37D0" w:rsidRDefault="004D19AA" w:rsidP="004D19AA">
      <w:pPr>
        <w:pStyle w:val="Antrat4"/>
        <w:ind w:firstLine="0"/>
      </w:pPr>
      <w:bookmarkStart w:id="240" w:name="_Toc315893188"/>
      <w:r w:rsidRPr="00CE37D0">
        <w:t>Nusikalstamos veikos padarymu kaltinamas asmuo turi teisinę neliečiamybę</w:t>
      </w:r>
      <w:bookmarkEnd w:id="240"/>
    </w:p>
    <w:p w:rsidR="001C79B5" w:rsidRDefault="004D19AA" w:rsidP="004D19AA">
      <w:pPr>
        <w:spacing w:line="360" w:lineRule="auto"/>
        <w:ind w:firstLine="851"/>
        <w:jc w:val="both"/>
      </w:pPr>
      <w:r w:rsidRPr="00CE37D0">
        <w:t>Panaši situacija susiklosto ir tais atvejais, kai kaltininkas yra asmuo, dėl kurio patraukimo baudžiamojon atsakomybėn reikalingas atitinkamos institucijos leidimas.</w:t>
      </w:r>
      <w:r w:rsidR="00EB6B7F">
        <w:t xml:space="preserve"> BPK nereglamentuoja privataus kaltinimo proceso ypatumų teisinę neliečiamybę turinčio asmens atžvilgiu. Atsakymo, kaip spręsti iškilusius teisinius sunkumus šiame procese, nerandame ir specialios</w:t>
      </w:r>
      <w:r w:rsidR="0097603F">
        <w:t>ios</w:t>
      </w:r>
      <w:r w:rsidR="00EB6B7F">
        <w:t xml:space="preserve">e normose, reglamentuojančiose baudžiamojo proceso ypatumus </w:t>
      </w:r>
      <w:r w:rsidR="00EB6B7F" w:rsidRPr="00CE37D0">
        <w:t>asmeniui, kuris</w:t>
      </w:r>
      <w:r w:rsidR="00F41BF5">
        <w:t xml:space="preserve"> </w:t>
      </w:r>
      <w:r w:rsidR="00EB6B7F" w:rsidRPr="00CE37D0">
        <w:t>pagal Lietuvos Respublikos įstatymus ar tarptautinės teisės normas turi imunitetą nuo patraukimo baudžiamojon atsakomybėn, asmeniui, kuris baudžiamojon atsakomybėn gali būti patrauktas tik kompetentingos institucijos leidimu arba kuris pagal tarptautinės teisės normas turi imunitetą nuo baudžiamosios jurisdikcijos</w:t>
      </w:r>
      <w:r w:rsidR="00EB6B7F">
        <w:t xml:space="preserve"> </w:t>
      </w:r>
      <w:r w:rsidR="00EB6B7F">
        <w:lastRenderedPageBreak/>
        <w:t>(</w:t>
      </w:r>
      <w:r w:rsidRPr="00CE37D0">
        <w:t xml:space="preserve">BPK </w:t>
      </w:r>
      <w:bookmarkStart w:id="241" w:name="straipsnis3_2p"/>
      <w:r w:rsidRPr="00CE37D0">
        <w:t>3</w:t>
      </w:r>
      <w:r w:rsidRPr="00CE37D0">
        <w:rPr>
          <w:vertAlign w:val="superscript"/>
        </w:rPr>
        <w:t>2</w:t>
      </w:r>
      <w:r w:rsidR="00EB6B7F">
        <w:t xml:space="preserve"> str</w:t>
      </w:r>
      <w:r w:rsidR="00541B80">
        <w:t>aipsnio</w:t>
      </w:r>
      <w:r w:rsidR="00EB6B7F">
        <w:t xml:space="preserve"> 1 </w:t>
      </w:r>
      <w:r w:rsidR="00A06CBE">
        <w:t>d</w:t>
      </w:r>
      <w:r w:rsidR="00541B80">
        <w:t>alis</w:t>
      </w:r>
      <w:r w:rsidR="00EB6B7F">
        <w:t>)</w:t>
      </w:r>
      <w:bookmarkEnd w:id="241"/>
      <w:r w:rsidR="00EB6B7F">
        <w:t>.</w:t>
      </w:r>
      <w:r w:rsidR="00A62320">
        <w:rPr>
          <w:rStyle w:val="Puslapioinaosnuoroda"/>
        </w:rPr>
        <w:footnoteReference w:id="473"/>
      </w:r>
      <w:r w:rsidR="001C79B5">
        <w:t xml:space="preserve"> Šios nuostatos numato apribojimus, kai baudžiamasis procesas </w:t>
      </w:r>
      <w:r w:rsidR="00A06CBE">
        <w:t>vykdomas</w:t>
      </w:r>
      <w:r w:rsidR="001C79B5">
        <w:t xml:space="preserve"> teisinį imunitetą turinčio asmens atžvilgiu, t.y. </w:t>
      </w:r>
      <w:r w:rsidR="001C79B5" w:rsidRPr="00CE37D0">
        <w:t>jam negali būti surašytas pranešimas apie įtarimą, jis negali būti apklausiamas kaip įtariamasis ar pripažįstamas įtariamuoju, negali būti suimamas ar kitaip suvaržoma jo laisvė</w:t>
      </w:r>
      <w:r w:rsidR="001C79B5">
        <w:t>, tačiau nedraudžia</w:t>
      </w:r>
      <w:r w:rsidR="00F41BF5">
        <w:t xml:space="preserve"> </w:t>
      </w:r>
      <w:r w:rsidRPr="00CE37D0">
        <w:t>baudžiam</w:t>
      </w:r>
      <w:r w:rsidR="001C79B5">
        <w:t>ojo</w:t>
      </w:r>
      <w:r w:rsidRPr="00CE37D0">
        <w:t xml:space="preserve"> proces</w:t>
      </w:r>
      <w:r w:rsidR="001C79B5">
        <w:t>o</w:t>
      </w:r>
      <w:r w:rsidRPr="00CE37D0">
        <w:t xml:space="preserve"> prad</w:t>
      </w:r>
      <w:r w:rsidR="001C79B5">
        <w:t>ėti. Tokių nuostatų taikymas, esant įprastai baudžiamojo proceso formai, nekelia abejonių, tačiau privataus kaltinimo</w:t>
      </w:r>
      <w:r w:rsidR="00CF3875">
        <w:t xml:space="preserve"> </w:t>
      </w:r>
      <w:r w:rsidR="001C79B5">
        <w:t xml:space="preserve">procese nesant </w:t>
      </w:r>
      <w:r w:rsidR="009850B7">
        <w:t xml:space="preserve">ikiteisminio tyrimo stadijai būdingo </w:t>
      </w:r>
      <w:r w:rsidR="001C79B5">
        <w:t xml:space="preserve">proceso dalyvio – įtariamojo – iškyla klausimas, iki kurio momento privataus kaltinimo procesas gali vykti ir kuriame etape </w:t>
      </w:r>
      <w:r w:rsidR="00A62320">
        <w:t xml:space="preserve">turi būti gaunamas </w:t>
      </w:r>
      <w:r w:rsidR="00A62320" w:rsidRPr="00CE37D0">
        <w:t>kom</w:t>
      </w:r>
      <w:r w:rsidR="00A62320">
        <w:t>petentingos institucijos leidimas patraukti asmenį</w:t>
      </w:r>
      <w:r w:rsidR="00F41BF5">
        <w:t xml:space="preserve"> </w:t>
      </w:r>
      <w:r w:rsidR="00A62320">
        <w:t xml:space="preserve">baudžiamojon atsakomybėn. </w:t>
      </w:r>
    </w:p>
    <w:p w:rsidR="004D19AA" w:rsidRPr="00CE37D0" w:rsidRDefault="004D19AA" w:rsidP="004D19AA">
      <w:pPr>
        <w:spacing w:line="360" w:lineRule="auto"/>
        <w:ind w:firstLine="851"/>
        <w:jc w:val="both"/>
        <w:rPr>
          <w:rStyle w:val="Rykuspabraukimas"/>
        </w:rPr>
      </w:pPr>
      <w:r w:rsidRPr="00CE37D0">
        <w:t>Nukentėjusio asmens privataus kaltinimo skundas kartu yra ir dokumentas, kuriuo formuluojamas kaltinimas konkrečiam asmeniui (skunde įvardi</w:t>
      </w:r>
      <w:r w:rsidR="00CF3875">
        <w:t>j</w:t>
      </w:r>
      <w:r w:rsidRPr="00CE37D0">
        <w:t>amas įtariamuoju, kadangi skundo padavimo momentu jis dar nėra įgijęs kaltinamojo procesinio statuso). Privataus kaltinimo procesas pradedamas ne dėl nusikalstamos veikos fakto (</w:t>
      </w:r>
      <w:r w:rsidRPr="00CE37D0">
        <w:rPr>
          <w:i/>
        </w:rPr>
        <w:t>in rem</w:t>
      </w:r>
      <w:r w:rsidRPr="00CE37D0">
        <w:t>), o prieš asmenį (</w:t>
      </w:r>
      <w:r w:rsidRPr="00CE37D0">
        <w:rPr>
          <w:i/>
        </w:rPr>
        <w:t>in personam</w:t>
      </w:r>
      <w:r w:rsidRPr="00CE37D0">
        <w:t xml:space="preserve">). </w:t>
      </w:r>
      <w:r w:rsidRPr="00CE37D0">
        <w:rPr>
          <w:rStyle w:val="Puslapioinaosnuoroda"/>
        </w:rPr>
        <w:footnoteReference w:id="474"/>
      </w:r>
      <w:r w:rsidRPr="00CE37D0">
        <w:t xml:space="preserve"> T</w:t>
      </w:r>
      <w:r w:rsidR="00656DA9">
        <w:t xml:space="preserve">ačiau </w:t>
      </w:r>
      <w:r w:rsidR="0097603F">
        <w:t>kaltinamojo procesinio statuso atsiradimo momentas siejamas su teisiamojo posė</w:t>
      </w:r>
      <w:r w:rsidR="00F41BF5">
        <w:t>d</w:t>
      </w:r>
      <w:r w:rsidR="0097603F">
        <w:t>žio pradžia</w:t>
      </w:r>
      <w:r w:rsidR="00656DA9">
        <w:t>, todėl BPK numatyti teismo veiksmai iki nutarties privataus kaltinimo skundą perduoti nagrinėti teisiamajame posėdyje nelaikytini varžančiais imunitetą turinčio asmens teises</w:t>
      </w:r>
      <w:r w:rsidR="00F23B91">
        <w:t xml:space="preserve"> ir pažeidžiančiais jo teisinę neliečiamybę. Tik priėmus šią nutartį </w:t>
      </w:r>
      <w:r w:rsidR="00185C80">
        <w:t xml:space="preserve">nusikalstamos veikos padarymu kaltinamas asmuo įgyja kaltinamojo teisinį statusą, kuris suponuoja galimybę jo atžvilgiu taikyti procesinės prievartos priemones ir varžyti jo teises. Todėl darytina išvada, kad privataus kaltinimo bylų procesas prieš asmenį, turintį teisinę neliečiamybę, gali vykti iki nutarties perduoti privataus kaltinimo skundą nagrinėti teisiamajame posėdyje. </w:t>
      </w:r>
      <w:r w:rsidR="009850B7">
        <w:rPr>
          <w:rStyle w:val="Puslapioinaosnuoroda"/>
        </w:rPr>
        <w:footnoteReference w:id="475"/>
      </w:r>
    </w:p>
    <w:p w:rsidR="00416064" w:rsidRDefault="0095234F" w:rsidP="004D19AA">
      <w:pPr>
        <w:spacing w:line="360" w:lineRule="auto"/>
        <w:ind w:firstLine="851"/>
        <w:jc w:val="both"/>
      </w:pPr>
      <w:bookmarkStart w:id="242" w:name="OLE_LINK1"/>
      <w:r>
        <w:t>Taigi</w:t>
      </w:r>
      <w:r w:rsidR="00F41BF5">
        <w:t>,</w:t>
      </w:r>
      <w:r>
        <w:t xml:space="preserve"> nors privataus kaltinimo procesas iš principo yra galimas, tačiau</w:t>
      </w:r>
      <w:r w:rsidR="00F41BF5">
        <w:t>,</w:t>
      </w:r>
      <w:r>
        <w:t xml:space="preserve"> šalims nesusitaikius taikinamajame posėdyje, tolesnė proceso eiga tampa teisiškai miglota. Privataus kaltinimo skundo perdavimo nagrinėti teismo posėdyje stadija, nuo kurios privataus kaltinimo tvarka nusikalstama veika kaltinamas asmuo tampa kaltinamuoju, yra galima tik esant kompetentingos institucijos leidimui. Tačiau b</w:t>
      </w:r>
      <w:r w:rsidRPr="00BF7EFF">
        <w:t>audžiamojo proceso taisy</w:t>
      </w:r>
      <w:r>
        <w:t>klės nereglamentuoja procedūros, kaip gauti</w:t>
      </w:r>
      <w:r w:rsidR="00AC5BA3">
        <w:t xml:space="preserve"> </w:t>
      </w:r>
      <w:r>
        <w:t>kompetentingos institucijos</w:t>
      </w:r>
      <w:r w:rsidRPr="00BF7EFF">
        <w:t xml:space="preserve"> sutikimą.</w:t>
      </w:r>
      <w:r>
        <w:t xml:space="preserve"> Ši teisinė spraga sukėlė visišką teisinį chaosą praktikoje. </w:t>
      </w:r>
    </w:p>
    <w:p w:rsidR="004D19AA" w:rsidRPr="00CE37D0" w:rsidRDefault="0095234F" w:rsidP="004D19AA">
      <w:pPr>
        <w:spacing w:line="360" w:lineRule="auto"/>
        <w:ind w:firstLine="851"/>
        <w:jc w:val="both"/>
      </w:pPr>
      <w:r>
        <w:lastRenderedPageBreak/>
        <w:t xml:space="preserve">Kadangi privataus kaltinimo procesas vyksta tik teisme, atsakomybė už išeitį iš šios aklavietės tenka teisėjui, kuris, nagrinėdamas privataus kaltinimo bylą, net ir BPK normų nesureguliuotu klausimu turi </w:t>
      </w:r>
      <w:r w:rsidR="00904F31">
        <w:t>priim</w:t>
      </w:r>
      <w:r>
        <w:t>ti vienok</w:t>
      </w:r>
      <w:r w:rsidR="00904F31">
        <w:t>į ar kitokį</w:t>
      </w:r>
      <w:r w:rsidR="00AC5BA3">
        <w:t xml:space="preserve"> </w:t>
      </w:r>
      <w:r w:rsidR="00904F31">
        <w:t>sprendimą</w:t>
      </w:r>
      <w:r>
        <w:t>.</w:t>
      </w:r>
      <w:r w:rsidR="00904F31">
        <w:t xml:space="preserve"> Svarbiausia užduotis, ieškant mechanizmo, kaip išspręsti kompetentingos institucijos leidimo patraukti teisinę neliečiamybę turintį asmenį baudžiamojon atsakomybėn gavimo klausimą, yra atsakyti į klausimą, koks subjektas turi būti įgaliotas tai padaryti.</w:t>
      </w:r>
      <w:r w:rsidR="00AC5BA3">
        <w:t xml:space="preserve"> </w:t>
      </w:r>
      <w:r w:rsidR="00904F31" w:rsidRPr="00CE37D0">
        <w:t>Bet kuriam asmeniui nėra ir negali būti suteikta teisė kreiptis dėl asmens neliečiamybės panaikinimo, dar daugiau – ši išimtinė teisė yra suteikta Generaliniam prokurorui (</w:t>
      </w:r>
      <w:r w:rsidR="00541B80">
        <w:t>Konstitucijos 74 straipsnis</w:t>
      </w:r>
      <w:r w:rsidR="00EF297D">
        <w:t xml:space="preserve">, </w:t>
      </w:r>
      <w:r w:rsidR="00904F31" w:rsidRPr="00CE37D0">
        <w:t>Seimo Statuto 23 str</w:t>
      </w:r>
      <w:r w:rsidR="00541B80">
        <w:t>aipsnis</w:t>
      </w:r>
      <w:r w:rsidR="00904F31" w:rsidRPr="00CE37D0">
        <w:t xml:space="preserve">, </w:t>
      </w:r>
      <w:r w:rsidR="00904F31">
        <w:t>Seimo rinkimų įstatymo 49 str</w:t>
      </w:r>
      <w:r w:rsidR="00541B80">
        <w:t>aipsnio</w:t>
      </w:r>
      <w:r w:rsidR="00904F31">
        <w:t xml:space="preserve"> 1 d</w:t>
      </w:r>
      <w:r w:rsidR="00541B80">
        <w:t>alis</w:t>
      </w:r>
      <w:r w:rsidR="00EF297D">
        <w:t xml:space="preserve">, Teismų </w:t>
      </w:r>
      <w:r w:rsidR="006C038B">
        <w:t xml:space="preserve">įstatymo </w:t>
      </w:r>
      <w:r w:rsidR="00541B80">
        <w:t>47 straipsnio 1, 4 dalys</w:t>
      </w:r>
      <w:r w:rsidR="00904F31" w:rsidRPr="00CE37D0">
        <w:t xml:space="preserve">). </w:t>
      </w:r>
      <w:r w:rsidR="00904F31" w:rsidRPr="00CE37D0">
        <w:rPr>
          <w:rStyle w:val="Puslapioinaosnuoroda"/>
        </w:rPr>
        <w:footnoteReference w:id="476"/>
      </w:r>
      <w:r w:rsidR="00AC5BA3">
        <w:t xml:space="preserve"> </w:t>
      </w:r>
      <w:r w:rsidR="004D19AA" w:rsidRPr="00CE37D0">
        <w:t>T</w:t>
      </w:r>
      <w:r w:rsidR="006C038B">
        <w:t>aigi t</w:t>
      </w:r>
      <w:r w:rsidR="004D19AA" w:rsidRPr="00CE37D0">
        <w:t xml:space="preserve">eismai nepagrįstai </w:t>
      </w:r>
      <w:r w:rsidR="00151168">
        <w:t xml:space="preserve">įpareigoja </w:t>
      </w:r>
      <w:r w:rsidR="00151168" w:rsidRPr="00CE37D0">
        <w:t>nukentėjus</w:t>
      </w:r>
      <w:r w:rsidR="00151168">
        <w:t>į asmenį</w:t>
      </w:r>
      <w:r w:rsidR="00AC5BA3">
        <w:t xml:space="preserve"> </w:t>
      </w:r>
      <w:r w:rsidR="00151168">
        <w:t xml:space="preserve">paduodant privataus kaltinimo skundą </w:t>
      </w:r>
      <w:r w:rsidR="00151168" w:rsidRPr="00CE37D0">
        <w:t xml:space="preserve">pateikti ir </w:t>
      </w:r>
      <w:r w:rsidR="00151168">
        <w:t>leid</w:t>
      </w:r>
      <w:r w:rsidR="00151168" w:rsidRPr="00CE37D0">
        <w:t>imą tokį asmenį patraukti baudžiamojon atsakomybėn</w:t>
      </w:r>
      <w:r w:rsidR="006C038B">
        <w:t>, kadangi t</w:t>
      </w:r>
      <w:r w:rsidR="004D19AA" w:rsidRPr="00CE37D0">
        <w:t xml:space="preserve">okio </w:t>
      </w:r>
      <w:r w:rsidR="00185C80">
        <w:t>leid</w:t>
      </w:r>
      <w:r w:rsidR="004D19AA" w:rsidRPr="00CE37D0">
        <w:t xml:space="preserve">imo gavimo galimybės privataus kaltinimo bylų proceso tvarka asmeniui, siekiančiam privataus kaltinimo tvarka inicijuoti teisinę neliečiamybę turinčio asmens baudžiamąjį persekiojimą, įstatymai nenumato. Todėl ir reikalavimas iš nukentėjusiojo tokį leidimą pateikti neišvengiamai veda į teisinę aklavietę. </w:t>
      </w:r>
      <w:r w:rsidR="00501A1C">
        <w:t>L</w:t>
      </w:r>
      <w:r w:rsidR="00151168">
        <w:t>eidimo nebuvimas savaime negali būti ir pagrindas baudžiamajam procesui nutraukti</w:t>
      </w:r>
      <w:r w:rsidR="006C038B">
        <w:t xml:space="preserve">, </w:t>
      </w:r>
      <w:r w:rsidR="006C038B">
        <w:rPr>
          <w:rStyle w:val="Puslapioinaosnuoroda"/>
        </w:rPr>
        <w:footnoteReference w:id="477"/>
      </w:r>
      <w:r w:rsidR="00151168">
        <w:t xml:space="preserve"> kadangi </w:t>
      </w:r>
      <w:r w:rsidR="006C038B">
        <w:t xml:space="preserve">vien ta aplinkybė, kad nesikreipta į kompetentingą instituciją dėl teisinę neliečiamybę turinčio asmens patraukimo baudžiamojon atsakomybėn, nedaro proceso negalimo, atvirkščiai, įpareigoja teismą </w:t>
      </w:r>
      <w:r w:rsidR="00151168">
        <w:t xml:space="preserve">priimti </w:t>
      </w:r>
      <w:r w:rsidR="006C038B">
        <w:t>sprendimą, kuris pašalintų kliūtis nukentėjusiam asmeniui ginti savo teises ir teisėtus interesus teisme</w:t>
      </w:r>
      <w:r w:rsidR="00151168">
        <w:t xml:space="preserve">. </w:t>
      </w:r>
    </w:p>
    <w:p w:rsidR="004D19AA" w:rsidRPr="00CE37D0" w:rsidRDefault="004D19AA" w:rsidP="00391F92">
      <w:pPr>
        <w:spacing w:line="360" w:lineRule="auto"/>
        <w:ind w:firstLine="851"/>
        <w:jc w:val="both"/>
      </w:pPr>
      <w:r w:rsidRPr="00CE37D0">
        <w:t xml:space="preserve">Pritartina apeliacinės instancijos teismo pozicijai, kad </w:t>
      </w:r>
      <w:r w:rsidR="00416064">
        <w:t>nesant kompetentingos institucijos</w:t>
      </w:r>
      <w:r w:rsidRPr="00CE37D0">
        <w:t xml:space="preserve"> sutikimo </w:t>
      </w:r>
      <w:r w:rsidR="00416064">
        <w:t>(</w:t>
      </w:r>
      <w:r w:rsidRPr="00CE37D0">
        <w:t xml:space="preserve">ir </w:t>
      </w:r>
      <w:r w:rsidR="00416064">
        <w:t>teisinės galimybės</w:t>
      </w:r>
      <w:r w:rsidRPr="00CE37D0">
        <w:t xml:space="preserve"> jo net prašyti</w:t>
      </w:r>
      <w:r w:rsidR="00416064">
        <w:t>)</w:t>
      </w:r>
      <w:r w:rsidRPr="00CE37D0">
        <w:t xml:space="preserve"> ir BPK 3 str</w:t>
      </w:r>
      <w:r w:rsidR="00541B80">
        <w:t>aipsnio</w:t>
      </w:r>
      <w:r w:rsidRPr="00CE37D0">
        <w:t xml:space="preserve"> 1 d</w:t>
      </w:r>
      <w:r w:rsidR="00541B80">
        <w:t>alies</w:t>
      </w:r>
      <w:r w:rsidRPr="00CE37D0">
        <w:t xml:space="preserve"> 3 p</w:t>
      </w:r>
      <w:r w:rsidR="00A420C8">
        <w:t>.</w:t>
      </w:r>
      <w:r w:rsidRPr="00CE37D0">
        <w:t xml:space="preserve"> pagrindu teismui atsisakant pradėti baudžiamąjį procesą privataus kaltinimo tvarka kyla grėsmė, kad yra pažeidžiama asmens konstitucinė teisė kreiptis į teismą (Konstitucijos 30 str</w:t>
      </w:r>
      <w:r w:rsidR="00541B80">
        <w:t>aipsnio</w:t>
      </w:r>
      <w:r w:rsidRPr="00CE37D0">
        <w:t xml:space="preserve"> 1 d</w:t>
      </w:r>
      <w:r w:rsidR="00541B80">
        <w:t>alis</w:t>
      </w:r>
      <w:r w:rsidRPr="00CE37D0">
        <w:t xml:space="preserve">) bei Žmogaus teisių ir pagrindinių laisvių apsaugos konvencijoje (toliau – Konvencija) 6 straipsnyje numatyta teisė į teisingą teismą, nes teismas tokioje situacijoje išaiškina, kad </w:t>
      </w:r>
      <w:r w:rsidR="00391F92">
        <w:t>imunitetas nuo patraukimo baudžiamojon atsakomybėn yra</w:t>
      </w:r>
      <w:r w:rsidRPr="00CE37D0">
        <w:t xml:space="preserve"> absoliut</w:t>
      </w:r>
      <w:r w:rsidR="00391F92">
        <w:t>us</w:t>
      </w:r>
      <w:r w:rsidRPr="00CE37D0">
        <w:t xml:space="preserve">, t.y. </w:t>
      </w:r>
      <w:r w:rsidR="00391F92">
        <w:t xml:space="preserve">asmuo </w:t>
      </w:r>
      <w:r w:rsidRPr="00CE37D0">
        <w:t>iš viso negali būti persekiojamas esant privačiam kaltinimui dėl nusikalstamų veikų, numatytų BPK 407 str</w:t>
      </w:r>
      <w:r w:rsidR="00541B80">
        <w:t>aipsnyje</w:t>
      </w:r>
      <w:r w:rsidRPr="00CE37D0">
        <w:t xml:space="preserve">. Toks aiškinimas akivaizdžiai prieštarautų </w:t>
      </w:r>
      <w:r w:rsidR="00E47374">
        <w:t>EŽTT</w:t>
      </w:r>
      <w:r w:rsidRPr="00CE37D0">
        <w:t xml:space="preserve"> jurisprudencijos pavyzdžiams, kuriuose buvo nagrinėjami teisės į teisingą teismą realizavimo atvejai parlamentarams netinkamai įgyvendinant saviraiškos laisvę. </w:t>
      </w:r>
      <w:r w:rsidR="00391F92" w:rsidRPr="00CE37D0">
        <w:rPr>
          <w:rStyle w:val="Puslapioinaosnuoroda"/>
        </w:rPr>
        <w:footnoteReference w:id="478"/>
      </w:r>
      <w:r w:rsidR="001F1EC1">
        <w:t xml:space="preserve"> „</w:t>
      </w:r>
      <w:r w:rsidR="00E47374" w:rsidRPr="00391F92">
        <w:rPr>
          <w:i/>
        </w:rPr>
        <w:t>B</w:t>
      </w:r>
      <w:r w:rsidRPr="00391F92">
        <w:rPr>
          <w:i/>
        </w:rPr>
        <w:t>ylose I</w:t>
      </w:r>
      <w:r w:rsidR="00D46565" w:rsidRPr="00391F92">
        <w:rPr>
          <w:i/>
        </w:rPr>
        <w:t>elo</w:t>
      </w:r>
      <w:r w:rsidRPr="00391F92">
        <w:rPr>
          <w:i/>
        </w:rPr>
        <w:t xml:space="preserve"> prieš Italiją, T</w:t>
      </w:r>
      <w:r w:rsidR="00D46565" w:rsidRPr="00391F92">
        <w:rPr>
          <w:i/>
        </w:rPr>
        <w:t>salkitzis prieš Graikiją</w:t>
      </w:r>
      <w:r w:rsidRPr="00391F92">
        <w:rPr>
          <w:i/>
          <w:iCs/>
        </w:rPr>
        <w:t>,</w:t>
      </w:r>
      <w:r w:rsidRPr="00391F92">
        <w:rPr>
          <w:i/>
        </w:rPr>
        <w:t xml:space="preserve"> P</w:t>
      </w:r>
      <w:r w:rsidR="00D46565" w:rsidRPr="00391F92">
        <w:rPr>
          <w:i/>
        </w:rPr>
        <w:t>atrono</w:t>
      </w:r>
      <w:r w:rsidRPr="00391F92">
        <w:rPr>
          <w:i/>
        </w:rPr>
        <w:t>, C</w:t>
      </w:r>
      <w:r w:rsidR="00D46565" w:rsidRPr="00391F92">
        <w:rPr>
          <w:i/>
        </w:rPr>
        <w:t>ascini</w:t>
      </w:r>
      <w:r w:rsidRPr="00391F92">
        <w:rPr>
          <w:i/>
        </w:rPr>
        <w:t xml:space="preserve"> ir S</w:t>
      </w:r>
      <w:r w:rsidR="00D46565" w:rsidRPr="00391F92">
        <w:rPr>
          <w:i/>
        </w:rPr>
        <w:t xml:space="preserve">tefanelli </w:t>
      </w:r>
      <w:r w:rsidRPr="00391F92">
        <w:rPr>
          <w:i/>
        </w:rPr>
        <w:t xml:space="preserve">prieš Italiją buvo </w:t>
      </w:r>
      <w:r w:rsidRPr="00391F92">
        <w:rPr>
          <w:i/>
        </w:rPr>
        <w:lastRenderedPageBreak/>
        <w:t xml:space="preserve">konstatuoti Konvencijos 6 straipsnio 1 dalies pažeidimai suvaržant asmens teisę į teismą, kai atitinkamos institucijos sureikšmino parlamento narių imunitetą baudžiamajai jurisdikcijai privataus kaltinimo bylose. EŽTT pabrėžė proporcingumo principo svarbą išsaugant teisingą pusiausvyrą tarp bendruomenės viešojo intereso reikalavimų ir poreikio apsaugoti asmens pagrindines teises. Nesant ryšio tarp </w:t>
      </w:r>
      <w:r w:rsidR="00E47374" w:rsidRPr="00391F92">
        <w:rPr>
          <w:i/>
        </w:rPr>
        <w:t xml:space="preserve">veiksmų, dėl kurių asmenį siekiama patraukti baudžiamojon atsakomybėn, </w:t>
      </w:r>
      <w:r w:rsidRPr="00391F92">
        <w:rPr>
          <w:i/>
        </w:rPr>
        <w:t>ir j</w:t>
      </w:r>
      <w:r w:rsidR="00E47374" w:rsidRPr="00391F92">
        <w:rPr>
          <w:i/>
        </w:rPr>
        <w:t>o vykdomos</w:t>
      </w:r>
      <w:r w:rsidRPr="00391F92">
        <w:rPr>
          <w:i/>
        </w:rPr>
        <w:t xml:space="preserve"> veiklos,</w:t>
      </w:r>
      <w:r w:rsidR="00E47374" w:rsidRPr="00391F92">
        <w:rPr>
          <w:i/>
        </w:rPr>
        <w:t xml:space="preserve"> dėl kurios jam suteiktas imunitetas,</w:t>
      </w:r>
      <w:r w:rsidRPr="00391F92">
        <w:rPr>
          <w:i/>
        </w:rPr>
        <w:t xml:space="preserve"> taikytinas proporcingumo tarp siekiamo tikslo ir naudojamų priemonių principo siaurąja prasme aiškinimas. EŽTT teismo praktika yra nuosekli – teisei į teismą, kad asmuo galėtų veiksmingai apginti Konvencijoje įtvirtintas teises, suteikiamas prioritetas, o parlamento narių imunitetas baudžiamajai jurisdikcijai taikytinas tik tuo atveju, kai jų veiksmai susiję su parlamentine veikla, t.y. gali būti apibrėžiami parlamentinės politinės saviraiškos laisvės sąvoka.</w:t>
      </w:r>
      <w:r w:rsidR="001F1EC1">
        <w:rPr>
          <w:i/>
        </w:rPr>
        <w:t xml:space="preserve">“ </w:t>
      </w:r>
      <w:r w:rsidRPr="00CE37D0">
        <w:rPr>
          <w:rStyle w:val="Puslapioinaosnuoroda"/>
        </w:rPr>
        <w:footnoteReference w:id="479"/>
      </w:r>
      <w:r w:rsidRPr="00CE37D0">
        <w:t xml:space="preserve"> Imuniteto panaikinimas turėtų būti grindžiamas būtent EŽTT nurodytais motyvais, nustatant veikos santyk</w:t>
      </w:r>
      <w:r w:rsidR="001F1EC1">
        <w:t>į</w:t>
      </w:r>
      <w:r w:rsidRPr="00CE37D0">
        <w:t xml:space="preserve"> su parlamentinės politinės</w:t>
      </w:r>
      <w:r w:rsidR="00CF3875">
        <w:t xml:space="preserve"> veiklos</w:t>
      </w:r>
      <w:r w:rsidRPr="00CE37D0">
        <w:t xml:space="preserve"> išraiška, o ne</w:t>
      </w:r>
      <w:r w:rsidR="001F1EC1">
        <w:t>,</w:t>
      </w:r>
      <w:r w:rsidRPr="00CE37D0">
        <w:t xml:space="preserve"> kaip tampa įprasta Lietuvoje</w:t>
      </w:r>
      <w:r w:rsidR="001F1EC1">
        <w:t>,</w:t>
      </w:r>
      <w:r w:rsidRPr="00CE37D0">
        <w:t xml:space="preserve"> išreiškiant solidarumą partijos </w:t>
      </w:r>
      <w:r w:rsidR="001F1EC1">
        <w:t>nariui</w:t>
      </w:r>
      <w:r w:rsidRPr="00CE37D0">
        <w:t xml:space="preserve">. </w:t>
      </w:r>
      <w:r w:rsidRPr="00CE37D0">
        <w:rPr>
          <w:rStyle w:val="Puslapioinaosnuoroda"/>
        </w:rPr>
        <w:footnoteReference w:id="480"/>
      </w:r>
      <w:r w:rsidR="00AC5BA3">
        <w:t xml:space="preserve"> </w:t>
      </w:r>
      <w:r w:rsidR="00391F92" w:rsidRPr="00CE37D0">
        <w:t xml:space="preserve">EŽTT sprendime </w:t>
      </w:r>
      <w:r w:rsidR="00391F92" w:rsidRPr="001F1EC1">
        <w:rPr>
          <w:i/>
        </w:rPr>
        <w:t xml:space="preserve">Cudak </w:t>
      </w:r>
      <w:r w:rsidR="00F93D17">
        <w:rPr>
          <w:i/>
        </w:rPr>
        <w:t>v.</w:t>
      </w:r>
      <w:r w:rsidR="00391F92" w:rsidRPr="001F1EC1">
        <w:rPr>
          <w:i/>
        </w:rPr>
        <w:t xml:space="preserve"> Li</w:t>
      </w:r>
      <w:r w:rsidR="00F93D17">
        <w:rPr>
          <w:i/>
        </w:rPr>
        <w:t>thuania</w:t>
      </w:r>
      <w:r w:rsidR="00391F92" w:rsidRPr="00CE37D0">
        <w:t xml:space="preserve"> ko</w:t>
      </w:r>
      <w:r w:rsidR="00501A1C">
        <w:t>nstatavo, kad Konvencijos 6 str</w:t>
      </w:r>
      <w:r w:rsidR="00541B80">
        <w:t>aipsnio</w:t>
      </w:r>
      <w:r w:rsidR="00391F92" w:rsidRPr="00CE37D0">
        <w:t xml:space="preserve"> 1 d</w:t>
      </w:r>
      <w:r w:rsidR="00541B80">
        <w:t>alyje</w:t>
      </w:r>
      <w:r w:rsidR="00391F92" w:rsidRPr="00CE37D0">
        <w:t xml:space="preserve"> įtvirtinta teisė į teisingą bylos nagrinėjimą turi būti aiškinama atsižvelgiant į teisės viršenybės principą, kuris reikalauja, kad visi bylininkai turėtų veiksmingą teisminės gynybos priemonę [...]</w:t>
      </w:r>
      <w:r w:rsidR="001F1EC1">
        <w:t>.</w:t>
      </w:r>
      <w:r w:rsidR="00F93D17">
        <w:t xml:space="preserve"> </w:t>
      </w:r>
      <w:r w:rsidR="00391F92" w:rsidRPr="00CE37D0">
        <w:rPr>
          <w:rStyle w:val="Puslapioinaosnuoroda"/>
        </w:rPr>
        <w:footnoteReference w:id="481"/>
      </w:r>
      <w:r w:rsidR="00AC5BA3">
        <w:t xml:space="preserve"> </w:t>
      </w:r>
      <w:r w:rsidR="00391F92" w:rsidRPr="00CE37D0">
        <w:t>Aiškinant EŽTT argumentus Lietuvos kontekste, teisė į teismą būtų apribojama tik tuo atveju, jei įstatymas nenumatytų mechanizmo panaikinti imunitetą</w:t>
      </w:r>
      <w:r w:rsidR="00391F92">
        <w:t xml:space="preserve"> baudžiamajai atsakomybei</w:t>
      </w:r>
      <w:r w:rsidR="00391F92" w:rsidRPr="00CE37D0">
        <w:t>.</w:t>
      </w:r>
      <w:r w:rsidR="00391F92">
        <w:t xml:space="preserve"> Taigi</w:t>
      </w:r>
      <w:r w:rsidR="00AC5BA3">
        <w:t>,</w:t>
      </w:r>
      <w:r w:rsidR="00391F92">
        <w:t xml:space="preserve"> jei privataus kaltinimo procesas būtų negalimas dėl to, kad nėra mechanizmo </w:t>
      </w:r>
      <w:r w:rsidR="004664A9">
        <w:t xml:space="preserve">panaikinti privataus kaltinimo tvarka kaltinamo asmens teisinę neliečiamybę, tai turėtų būti pripažinta </w:t>
      </w:r>
      <w:r w:rsidR="004664A9" w:rsidRPr="00CE37D0">
        <w:t>K</w:t>
      </w:r>
      <w:r w:rsidR="004664A9">
        <w:t>onvencijos 6 str</w:t>
      </w:r>
      <w:r w:rsidR="00541B80">
        <w:t>aipsnio</w:t>
      </w:r>
      <w:r w:rsidR="004664A9">
        <w:t xml:space="preserve"> 1 d</w:t>
      </w:r>
      <w:r w:rsidR="00541B80">
        <w:t>alies</w:t>
      </w:r>
      <w:r w:rsidR="004664A9">
        <w:t xml:space="preserve"> pažeidim</w:t>
      </w:r>
      <w:r w:rsidR="00501A1C">
        <w:t>u</w:t>
      </w:r>
      <w:r w:rsidR="004664A9">
        <w:t>, suvaržan</w:t>
      </w:r>
      <w:r w:rsidR="0045776C">
        <w:t>čiu</w:t>
      </w:r>
      <w:r w:rsidR="004664A9">
        <w:t xml:space="preserve"> asmens teisę į teismą. </w:t>
      </w:r>
    </w:p>
    <w:bookmarkEnd w:id="242"/>
    <w:p w:rsidR="00EB7072" w:rsidRDefault="004664A9" w:rsidP="004D19AA">
      <w:pPr>
        <w:spacing w:line="360" w:lineRule="auto"/>
        <w:ind w:firstLine="851"/>
        <w:jc w:val="both"/>
      </w:pPr>
      <w:r>
        <w:t>Taigi</w:t>
      </w:r>
      <w:r w:rsidR="00AC5BA3">
        <w:t>,</w:t>
      </w:r>
      <w:r>
        <w:t xml:space="preserve"> sprendžiant subjekto, kuris turi kreiptis į kompetentingą instituciją dėl imuniteto panaikinimo, klausimą, darytin</w:t>
      </w:r>
      <w:r w:rsidR="00501A1C">
        <w:t>a</w:t>
      </w:r>
      <w:r>
        <w:t xml:space="preserve"> prielaida, kad vienintelis subjektas, kuriam konstituciškai suteikta tokia teisė, yra Generalinis prokuroras. Erdvės interpretacijoms subjekto klausimu teisinis reguliavimas nepalieka, tačiau lieka neaiški </w:t>
      </w:r>
      <w:r w:rsidR="0045534B">
        <w:t xml:space="preserve">įgyvendinimo </w:t>
      </w:r>
      <w:r>
        <w:t xml:space="preserve">procedūra. </w:t>
      </w:r>
      <w:r w:rsidR="006453E7">
        <w:t>Šios procedūros paieškos suformavo praktiką, kai</w:t>
      </w:r>
      <w:r w:rsidR="00AC5BA3">
        <w:t>,</w:t>
      </w:r>
      <w:r w:rsidR="006453E7">
        <w:t xml:space="preserve"> į</w:t>
      </w:r>
      <w:r w:rsidR="004D19AA" w:rsidRPr="00CE37D0">
        <w:t>žvelg</w:t>
      </w:r>
      <w:r w:rsidR="006453E7">
        <w:t>ęs</w:t>
      </w:r>
      <w:r w:rsidR="004D19AA" w:rsidRPr="00CE37D0">
        <w:t xml:space="preserve"> būtinumą panaikinti Seimo nario imunitetą nuo patraukimo </w:t>
      </w:r>
      <w:r w:rsidR="004D19AA" w:rsidRPr="00CE37D0">
        <w:lastRenderedPageBreak/>
        <w:t>baudžiamojon atsakomybėn, teismas kreip</w:t>
      </w:r>
      <w:r w:rsidR="006453E7">
        <w:t>iasi</w:t>
      </w:r>
      <w:r w:rsidR="004D19AA" w:rsidRPr="00CE37D0">
        <w:t xml:space="preserve"> į Generalinį prokurorą, kad šis atliktų atitinkamus veiksmus dėl asmens teisinio imuniteto panaikinimo. Tokia buvo ir prokuratūros pozicija byloje, kurioje buvo siekiama patraukti baudžiamojon atsakomybėn Seimo narį dėl šmeižimo:</w:t>
      </w:r>
      <w:r w:rsidR="0045776C">
        <w:t xml:space="preserve"> „</w:t>
      </w:r>
      <w:r w:rsidR="00D821FB" w:rsidRPr="006453E7">
        <w:rPr>
          <w:i/>
        </w:rPr>
        <w:t xml:space="preserve">atsisakydamas pradėti </w:t>
      </w:r>
      <w:r w:rsidR="004D19AA" w:rsidRPr="006453E7">
        <w:rPr>
          <w:i/>
        </w:rPr>
        <w:t>ikiteisminį tyrimą dėl galimo šmeižimo, nenusta</w:t>
      </w:r>
      <w:r w:rsidR="00D821FB" w:rsidRPr="006453E7">
        <w:rPr>
          <w:i/>
        </w:rPr>
        <w:t>čiu</w:t>
      </w:r>
      <w:r w:rsidR="004D19AA" w:rsidRPr="006453E7">
        <w:rPr>
          <w:i/>
        </w:rPr>
        <w:t>s, kad ši veika turi visuomeninę reikšmę arba kad ja padaryta žala asmeniui, kuris dėl svarbių priežasčių negali pats ginti savo teisėtų interesų</w:t>
      </w:r>
      <w:r w:rsidR="00D821FB" w:rsidRPr="006453E7">
        <w:rPr>
          <w:i/>
        </w:rPr>
        <w:t xml:space="preserve">, </w:t>
      </w:r>
      <w:r w:rsidR="004D19AA" w:rsidRPr="006453E7">
        <w:rPr>
          <w:i/>
        </w:rPr>
        <w:t xml:space="preserve">prokuroras nurodė </w:t>
      </w:r>
      <w:bookmarkStart w:id="243" w:name="Buk_14"/>
      <w:r w:rsidR="00D821FB" w:rsidRPr="006453E7">
        <w:rPr>
          <w:i/>
        </w:rPr>
        <w:t>nukentėjusiam asmeniui</w:t>
      </w:r>
      <w:bookmarkEnd w:id="243"/>
      <w:r w:rsidR="00CF3875">
        <w:rPr>
          <w:i/>
        </w:rPr>
        <w:t xml:space="preserve"> </w:t>
      </w:r>
      <w:r w:rsidR="004D19AA" w:rsidRPr="006453E7">
        <w:rPr>
          <w:i/>
        </w:rPr>
        <w:t>galimybę ginti savo teises teisme ir išdėstė vieną iš prokurorui priimtinų būdų, kaip spręsti proceso įstatymais nesureguliuotą klausimą: jei apygardos teismas įžvelgtų būtinumą atimti Seimo nariui imunitetą baudžiamajai atsakomybei, tai teismas galėtų kreiptis į Generalinį prokurorą, kad šis atliktų Seimo statute nurodytus veiksmus dėl Seimo nario asmens neliečiamybės atėmimo. Tokie teismo veiksmai sprendžiant šį klausimą privataus kaltinimo byloje atitiktų BPK 287 straipsnyje ir BPK 414 straipsnio 2 dalyje esančias taisykles.</w:t>
      </w:r>
      <w:r w:rsidR="0045776C">
        <w:rPr>
          <w:i/>
        </w:rPr>
        <w:t>“</w:t>
      </w:r>
      <w:r w:rsidR="00707CEE">
        <w:rPr>
          <w:i/>
        </w:rPr>
        <w:t xml:space="preserve"> </w:t>
      </w:r>
      <w:r w:rsidR="004D19AA" w:rsidRPr="00CE37D0">
        <w:rPr>
          <w:vertAlign w:val="superscript"/>
        </w:rPr>
        <w:footnoteReference w:id="482"/>
      </w:r>
      <w:r w:rsidR="00F93D17">
        <w:rPr>
          <w:i/>
        </w:rPr>
        <w:t xml:space="preserve"> </w:t>
      </w:r>
      <w:r w:rsidR="00D821FB">
        <w:t xml:space="preserve">Tokia </w:t>
      </w:r>
      <w:r w:rsidR="0042509D">
        <w:t xml:space="preserve">pozicija </w:t>
      </w:r>
      <w:r w:rsidR="00D821FB">
        <w:t>nuo 2013 m. į</w:t>
      </w:r>
      <w:r w:rsidR="0042509D">
        <w:t>tvirtinama ir teismų praktikoje</w:t>
      </w:r>
      <w:r w:rsidR="00D821FB">
        <w:t xml:space="preserve">, motyvuojant konstituciniu aktyvaus teismo modeliu, </w:t>
      </w:r>
      <w:r w:rsidR="00D821FB" w:rsidRPr="00D821FB">
        <w:t>kuris įpareigoja teismą būti aktyvi</w:t>
      </w:r>
      <w:r w:rsidR="00501A1C">
        <w:t>u</w:t>
      </w:r>
      <w:r w:rsidR="00D821FB" w:rsidRPr="00D821FB">
        <w:t xml:space="preserve"> ne </w:t>
      </w:r>
      <w:r w:rsidR="0042509D" w:rsidRPr="00D821FB">
        <w:t xml:space="preserve">tik </w:t>
      </w:r>
      <w:r w:rsidR="00AC5BA3">
        <w:t>nustatant tiesą</w:t>
      </w:r>
      <w:r w:rsidR="0042509D" w:rsidRPr="00D821FB">
        <w:t xml:space="preserve">, </w:t>
      </w:r>
      <w:r w:rsidR="00AC5BA3">
        <w:t>bet</w:t>
      </w:r>
      <w:r w:rsidR="0042509D" w:rsidRPr="00D821FB">
        <w:t xml:space="preserve"> ir procesine prasme. Konstitucinis </w:t>
      </w:r>
      <w:r w:rsidR="0045776C">
        <w:t>T</w:t>
      </w:r>
      <w:r w:rsidR="0042509D" w:rsidRPr="00D821FB">
        <w:t xml:space="preserve">eismas yra pažymėjęs, jog teismas, nagrinėdamas baudžiamąją bylą, turi veikti taip, kad baudžiamojoje byloje būtų nustatyta objektyvi tiesa ir teisingai išspręstas asmens, kaltinamo padarius nusikalstamą veiką, kaltumo klausimas. </w:t>
      </w:r>
      <w:r w:rsidR="0045776C">
        <w:t>„</w:t>
      </w:r>
      <w:r w:rsidR="00D821FB" w:rsidRPr="006453E7">
        <w:rPr>
          <w:i/>
        </w:rPr>
        <w:t>E</w:t>
      </w:r>
      <w:r w:rsidR="0042509D" w:rsidRPr="006453E7">
        <w:rPr>
          <w:i/>
        </w:rPr>
        <w:t xml:space="preserve">sant tokiai situacijai, kai </w:t>
      </w:r>
      <w:r w:rsidR="00D821FB" w:rsidRPr="006453E7">
        <w:rPr>
          <w:i/>
        </w:rPr>
        <w:t>privataus kaltinimo byloje nusikalstama veika kaltinamas</w:t>
      </w:r>
      <w:r w:rsidR="0042509D" w:rsidRPr="006453E7">
        <w:rPr>
          <w:i/>
        </w:rPr>
        <w:t xml:space="preserve"> asmuo yra Seimo narys, tur</w:t>
      </w:r>
      <w:r w:rsidR="00D821FB" w:rsidRPr="006453E7">
        <w:rPr>
          <w:i/>
        </w:rPr>
        <w:t>i</w:t>
      </w:r>
      <w:r w:rsidR="0042509D" w:rsidRPr="006453E7">
        <w:rPr>
          <w:i/>
        </w:rPr>
        <w:t xml:space="preserve"> būti sprendžiamas klausimas dėl kreipimosi į Generalinį proku</w:t>
      </w:r>
      <w:r w:rsidR="00D821FB" w:rsidRPr="006453E7">
        <w:rPr>
          <w:i/>
        </w:rPr>
        <w:t>rorą dėl neliečiamybės panaikinimo.</w:t>
      </w:r>
      <w:r w:rsidR="0045776C">
        <w:rPr>
          <w:i/>
        </w:rPr>
        <w:t xml:space="preserve">“ </w:t>
      </w:r>
      <w:r w:rsidR="00D821FB" w:rsidRPr="00D821FB">
        <w:rPr>
          <w:rStyle w:val="Puslapioinaosnuoroda"/>
        </w:rPr>
        <w:footnoteReference w:id="483"/>
      </w:r>
      <w:r w:rsidR="00AC5BA3">
        <w:rPr>
          <w:i/>
        </w:rPr>
        <w:t xml:space="preserve"> </w:t>
      </w:r>
      <w:r w:rsidR="00AC5BA3">
        <w:t>Nors praktika formuojama būtent šiuo būdu, manytina, kad jis</w:t>
      </w:r>
      <w:r w:rsidR="00877C91">
        <w:t xml:space="preserve"> neatitinka prokuroro </w:t>
      </w:r>
      <w:r w:rsidR="00DF1119">
        <w:t>konstitucinės paskirties baudžiamajame procese</w:t>
      </w:r>
      <w:r w:rsidR="00AC5BA3">
        <w:t xml:space="preserve"> </w:t>
      </w:r>
      <w:r w:rsidR="00DF1119">
        <w:t>bei jo nepriklausomumo principo.</w:t>
      </w:r>
      <w:r w:rsidR="006453E7">
        <w:t xml:space="preserve"> Be to, </w:t>
      </w:r>
      <w:r w:rsidR="006453E7" w:rsidRPr="006453E7">
        <w:t>BPK 287 str</w:t>
      </w:r>
      <w:r w:rsidR="00541B80">
        <w:t>aipsnio</w:t>
      </w:r>
      <w:r w:rsidR="006453E7" w:rsidRPr="006453E7">
        <w:t xml:space="preserve"> i</w:t>
      </w:r>
      <w:r w:rsidR="006453E7">
        <w:t>r BPK 414 str</w:t>
      </w:r>
      <w:r w:rsidR="00541B80">
        <w:t>aipsnio</w:t>
      </w:r>
      <w:r w:rsidR="00501A1C">
        <w:t xml:space="preserve"> 2 d</w:t>
      </w:r>
      <w:r w:rsidR="00541B80">
        <w:t>alies</w:t>
      </w:r>
      <w:r w:rsidR="00AC5BA3">
        <w:t xml:space="preserve"> </w:t>
      </w:r>
      <w:r w:rsidR="006453E7">
        <w:t>nuostatų taikymas šioje situacijoje nėra pagrįstas.</w:t>
      </w:r>
      <w:r w:rsidR="00AC5BA3">
        <w:t xml:space="preserve"> </w:t>
      </w:r>
      <w:r w:rsidR="006453E7">
        <w:t>BPK 287 str</w:t>
      </w:r>
      <w:r w:rsidR="00541B80">
        <w:t>aipsnis</w:t>
      </w:r>
      <w:r w:rsidR="006453E7">
        <w:t xml:space="preserve"> numato pavedimą nustatyti teisines ir faktines nagrinėjamos </w:t>
      </w:r>
      <w:r w:rsidR="006453E7" w:rsidRPr="006453E7">
        <w:t xml:space="preserve">bylos </w:t>
      </w:r>
      <w:r w:rsidR="006453E7">
        <w:t>aplinkybes</w:t>
      </w:r>
      <w:r w:rsidR="00E47F66">
        <w:t>, kurioms imuniteto panaikinimo klau</w:t>
      </w:r>
      <w:r w:rsidR="00707CEE">
        <w:t>simas negali būti priskiriamas.</w:t>
      </w:r>
      <w:r w:rsidR="00E47F66">
        <w:rPr>
          <w:rStyle w:val="Puslapioinaosnuoroda"/>
        </w:rPr>
        <w:footnoteReference w:id="484"/>
      </w:r>
      <w:r w:rsidR="00AC5BA3">
        <w:t xml:space="preserve"> </w:t>
      </w:r>
      <w:r w:rsidR="00E47F66">
        <w:t>BPK 414 str</w:t>
      </w:r>
      <w:r w:rsidR="00541B80">
        <w:t>aipsnio</w:t>
      </w:r>
      <w:r w:rsidR="00501A1C">
        <w:t xml:space="preserve"> 2 d</w:t>
      </w:r>
      <w:r w:rsidR="00541B80">
        <w:t>alies</w:t>
      </w:r>
      <w:r w:rsidR="00E47F66">
        <w:t xml:space="preserve"> nuostatų taikymas šioje situacijoje negalimas dėl to, kad šios nuostatos reglamentuoja pavedimą prokurorui jau perdavus bylą nagrinėti teismo posėdyje. Kadangi šios nutarties priėmimo momentas sutampa su privataus kaltinimo tvarka kaltinamo asmens kaltinamojo statuso atsiradimo momentu, leidimas patraukti asmenį baudžiamojon atsakomybėn turi būti gautas iki šios nutarties priėmimo, t.y. stadijoje, kurioje negali būti </w:t>
      </w:r>
      <w:r w:rsidR="00E47F66">
        <w:lastRenderedPageBreak/>
        <w:t>vadovaujamasi BPK 414 str</w:t>
      </w:r>
      <w:r w:rsidR="00541B80">
        <w:t>aipsnio</w:t>
      </w:r>
      <w:r w:rsidR="00E47F66">
        <w:t xml:space="preserve"> 2 d</w:t>
      </w:r>
      <w:r w:rsidR="00541B80">
        <w:t>alies</w:t>
      </w:r>
      <w:r w:rsidR="00E47F66">
        <w:t xml:space="preserve"> nuostatomis. </w:t>
      </w:r>
      <w:r w:rsidR="00E47F66">
        <w:rPr>
          <w:rStyle w:val="Puslapioinaosnuoroda"/>
        </w:rPr>
        <w:footnoteReference w:id="485"/>
      </w:r>
      <w:r w:rsidR="00AC5BA3">
        <w:t xml:space="preserve"> </w:t>
      </w:r>
      <w:r w:rsidR="00DF1119">
        <w:t xml:space="preserve">Pagal besiformuojantį </w:t>
      </w:r>
      <w:r w:rsidR="00EB7072">
        <w:t xml:space="preserve">subsidiaraus kaltinimo elementų įgyjantį </w:t>
      </w:r>
      <w:r w:rsidR="00DF1119">
        <w:t>modelį, Generalinis prokuroras, prokuratūrai nevadovaujant ikiteisminiam tyrimui bei nepalaikant kaltinimo byloje, teismo nutarties pagrindu kreipiasi į kompetentingą instituciją dėl privataus kaltinimo byloje kaltinamo asmens imuniteto panaikinimo</w:t>
      </w:r>
      <w:r w:rsidR="00AC5BA3">
        <w:t>,</w:t>
      </w:r>
      <w:r w:rsidR="00DF1119">
        <w:t xml:space="preserve"> nežino</w:t>
      </w:r>
      <w:r w:rsidR="00E47F66">
        <w:t>damas</w:t>
      </w:r>
      <w:r w:rsidR="00DF1119">
        <w:t xml:space="preserve"> jokių bylos duomenų bei aplinkybių, išskyrus tas, kurias jam nurodė teismas, nevertina duomenų pakankamumo bei </w:t>
      </w:r>
      <w:r w:rsidR="006D4C11">
        <w:t>kaltinimo</w:t>
      </w:r>
      <w:r w:rsidR="00DF1119">
        <w:t xml:space="preserve"> pagrįstumo. Tai iškreipia Generalinio prokuroro išimtinės teisės kreiptis dėl Seimo nario imuniteto panaikinimo </w:t>
      </w:r>
      <w:r w:rsidR="006D4C11">
        <w:t>esmę</w:t>
      </w:r>
      <w:r w:rsidR="00AC5BA3">
        <w:t>,</w:t>
      </w:r>
      <w:r w:rsidR="006D4C11">
        <w:t xml:space="preserve"> ir jis tampa tik formaliu procedūros vykdytoju. </w:t>
      </w:r>
      <w:r w:rsidR="00501A1C">
        <w:t>Galim</w:t>
      </w:r>
      <w:r w:rsidR="006D4C11">
        <w:t>a situacija, kad</w:t>
      </w:r>
      <w:r w:rsidR="00AC5BA3">
        <w:t>,</w:t>
      </w:r>
      <w:r w:rsidR="006D4C11">
        <w:t xml:space="preserve"> pats vadovaudamas ikiteisminiam tyrimui ir vertindamas surinktus duomenis bei faktines bylos aplinkybes, prokuroras toje pačioje byloje neturėtų pagrindo kaltinimui teisme palaikyti ir nesikreiptų dėl imuniteto panaikinimo</w:t>
      </w:r>
      <w:r w:rsidR="00AC3414">
        <w:t>.</w:t>
      </w:r>
      <w:r w:rsidR="00E47F66">
        <w:t xml:space="preserve"> Be to, Generalinis prokuroras negali pateikti jokių garantijų, kad bus užtikrintas baudžiamojo proceso prieš asmenį, kurio teisinę neliečiamybę prašoma panaikinti,</w:t>
      </w:r>
      <w:r w:rsidR="00AC5BA3">
        <w:t xml:space="preserve"> </w:t>
      </w:r>
      <w:r w:rsidR="00E47F66">
        <w:t xml:space="preserve">teisėtumas, nešališkumas, apolitiškumas, </w:t>
      </w:r>
      <w:r w:rsidR="00EB7072">
        <w:t xml:space="preserve">negali </w:t>
      </w:r>
      <w:r w:rsidR="0045776C">
        <w:t xml:space="preserve">pagrįsti duomenų </w:t>
      </w:r>
      <w:r w:rsidR="00EB7072">
        <w:t xml:space="preserve">dėl galimai padarytos nusikalstamos veikos pakankamumo bei baudžiamojo proceso imunitetą turinčio asmens atžvilgiu pagrįstumo, </w:t>
      </w:r>
      <w:r w:rsidR="00E47F66">
        <w:t xml:space="preserve">kadangi prokuroras šiame procese net nedalyvauja. </w:t>
      </w:r>
    </w:p>
    <w:p w:rsidR="0042509D" w:rsidRDefault="00E47F66" w:rsidP="004D19AA">
      <w:pPr>
        <w:spacing w:line="360" w:lineRule="auto"/>
        <w:ind w:firstLine="851"/>
        <w:jc w:val="both"/>
      </w:pPr>
      <w:r>
        <w:t>Įv</w:t>
      </w:r>
      <w:r w:rsidR="00AC3414">
        <w:t>ertint</w:t>
      </w:r>
      <w:r>
        <w:t>inus šiuos argumentus</w:t>
      </w:r>
      <w:r w:rsidR="00AC3414">
        <w:t xml:space="preserve">, </w:t>
      </w:r>
      <w:r>
        <w:t xml:space="preserve">darytina išvada, </w:t>
      </w:r>
      <w:r w:rsidR="00AC3414">
        <w:t>kad baudžiamojo proceso paskirtį nagrinėjamu atveju labiau atitiktų bendroji proceso forma, kai prokuroras nešališkai ir objektyviai įvertina, ar veika, dėl kurios prašoma teisinę neliečiamybę turintį asmenį patraukti baudžiamojon atsakomybėn, atitinka nusikalstamos veikos sudėtį</w:t>
      </w:r>
      <w:r w:rsidR="00497570">
        <w:t>,</w:t>
      </w:r>
      <w:r w:rsidR="00AC3414">
        <w:t xml:space="preserve"> ar pakanka duomenų kaltinimui teisme palaikyti</w:t>
      </w:r>
      <w:r w:rsidR="00497570">
        <w:t xml:space="preserve"> bei turi pareigą užtikrinti tolesnio proceso teisėtumą</w:t>
      </w:r>
      <w:r w:rsidR="00A35E75">
        <w:t>,</w:t>
      </w:r>
      <w:r w:rsidR="00497570">
        <w:t xml:space="preserve"> nešališkumą</w:t>
      </w:r>
      <w:r w:rsidR="00A35E75">
        <w:t xml:space="preserve"> ir apolitiškumą</w:t>
      </w:r>
      <w:r w:rsidR="00AC3414">
        <w:t xml:space="preserve">. Be abejo, besiformuojančiai praktikai turi įtakos ne tik teisiniai motyvai, bet ir politinis tokio pobūdžio bylų atspalvis, </w:t>
      </w:r>
      <w:r w:rsidR="00AC5BA3">
        <w:t>dėl kurio tampa sunkiau įgyvendinti nešališkumo principą,</w:t>
      </w:r>
      <w:r w:rsidR="00AC3414">
        <w:t xml:space="preserve"> todėl</w:t>
      </w:r>
      <w:r w:rsidR="00AC5BA3">
        <w:t xml:space="preserve"> tokio pobūdžio bylose</w:t>
      </w:r>
      <w:r w:rsidR="00AC3414">
        <w:t xml:space="preserve"> siekiama surasti „patogiausią“, o ne </w:t>
      </w:r>
      <w:r w:rsidR="00AC5BA3">
        <w:t>„</w:t>
      </w:r>
      <w:r w:rsidR="00AC3414">
        <w:t>teisingiausią</w:t>
      </w:r>
      <w:r w:rsidR="00AC5BA3">
        <w:t>“</w:t>
      </w:r>
      <w:r w:rsidR="00AC3414">
        <w:t xml:space="preserve"> mechanizmą. </w:t>
      </w:r>
    </w:p>
    <w:p w:rsidR="004D19AA" w:rsidRPr="00CE37D0" w:rsidRDefault="00497570" w:rsidP="004D19AA">
      <w:pPr>
        <w:spacing w:line="360" w:lineRule="auto"/>
        <w:ind w:firstLine="851"/>
        <w:jc w:val="both"/>
      </w:pPr>
      <w:r>
        <w:t xml:space="preserve">Taigi esamo teisinio reguliavimo ir teismų praktikos analizė </w:t>
      </w:r>
      <w:r w:rsidR="00AC5BA3">
        <w:t>nepaaiškina privataus kaltinimo proceso</w:t>
      </w:r>
      <w:r>
        <w:t xml:space="preserve"> teisinę neliečiamybę turinčio asmens atžvilgiu. </w:t>
      </w:r>
      <w:r w:rsidR="001C7F25">
        <w:t>Esant konstituciškai įgaliotam vieninteliam subjektui – Generaliniam prokurorui – gauti leidimą tokį asmenį patraukti baudžiamojon atsakomybėn, šios procedūros vykdymo privataus kaltinimo procese modeliai sunkiai įsivaizduojami, kadangi prokur</w:t>
      </w:r>
      <w:r w:rsidR="00AC5BA3">
        <w:t>oras iš principo negali dalyvauti šiame procese</w:t>
      </w:r>
      <w:r w:rsidR="001C7F25">
        <w:t>. Todėl manytina, kad</w:t>
      </w:r>
      <w:r w:rsidR="00C22784">
        <w:t>,</w:t>
      </w:r>
      <w:r w:rsidR="001C7F25">
        <w:t xml:space="preserve"> </w:t>
      </w:r>
      <w:r>
        <w:t>n</w:t>
      </w:r>
      <w:r w:rsidR="004D19AA" w:rsidRPr="00CE37D0">
        <w:t xml:space="preserve">esant leidimo patraukti baudžiamojon atsakomybėn asmenį, kuris baudžiamojon atsakomybėn gali būti patrauktas tik kompetentingos institucijos leidimu arba kuris pagal tarptautinės teisės normas turi imunitetą nuo baudžiamosios jurisdikcijos, baudžiamasis persekiojimas specialiojo </w:t>
      </w:r>
      <w:r w:rsidR="004D19AA" w:rsidRPr="00CE37D0">
        <w:lastRenderedPageBreak/>
        <w:t>subjekto atžvilgiu ne apskritai negalimas, bet negalimas tokia proceso forma kaip privatus kaltinimas, kadangi veiksmai, reikalingi baudžiamajam procesui pradėti ir vykdyti</w:t>
      </w:r>
      <w:r w:rsidR="00AC3414">
        <w:t>,</w:t>
      </w:r>
      <w:r w:rsidR="004D19AA" w:rsidRPr="00CE37D0">
        <w:t xml:space="preserve"> viršija privataus kaltintojo kompetenciją. T</w:t>
      </w:r>
      <w:r w:rsidR="001C7F25">
        <w:t>ai</w:t>
      </w:r>
      <w:r w:rsidR="00501A1C">
        <w:t>gi</w:t>
      </w:r>
      <w:r w:rsidR="00C22784">
        <w:t xml:space="preserve">, </w:t>
      </w:r>
      <w:r w:rsidR="00501A1C">
        <w:t>tuo atveju</w:t>
      </w:r>
      <w:r w:rsidR="00501A1C" w:rsidRPr="00CE37D0">
        <w:t xml:space="preserve">, kai </w:t>
      </w:r>
      <w:r w:rsidR="00501A1C">
        <w:t>privataus kaltinimo tvarka paduodamas skundas</w:t>
      </w:r>
      <w:r w:rsidR="00501A1C" w:rsidRPr="00CE37D0">
        <w:t xml:space="preserve"> teisinę neliečiamybę </w:t>
      </w:r>
      <w:r w:rsidR="00501A1C">
        <w:t xml:space="preserve">turinčio </w:t>
      </w:r>
      <w:r w:rsidR="00501A1C" w:rsidRPr="00CE37D0">
        <w:t>asm</w:t>
      </w:r>
      <w:r w:rsidR="00501A1C">
        <w:t xml:space="preserve">ens atžvilgiu, </w:t>
      </w:r>
      <w:r w:rsidR="00414EA9">
        <w:t>siūlytina</w:t>
      </w:r>
      <w:r w:rsidR="00501A1C">
        <w:t xml:space="preserve"> </w:t>
      </w:r>
      <w:r w:rsidR="001C7F25">
        <w:t>per</w:t>
      </w:r>
      <w:r w:rsidR="00414EA9">
        <w:t>eiti iš privataus į viešą</w:t>
      </w:r>
      <w:r w:rsidR="004D19AA" w:rsidRPr="00CE37D0">
        <w:t xml:space="preserve"> kaltinimą. </w:t>
      </w:r>
      <w:r w:rsidR="001C7F25">
        <w:t>Tokiu atveju n</w:t>
      </w:r>
      <w:r w:rsidR="004D19AA" w:rsidRPr="00CE37D0">
        <w:t>ukentėjusio</w:t>
      </w:r>
      <w:r w:rsidR="001C7F25">
        <w:t xml:space="preserve"> asmens privataus kaltinimo</w:t>
      </w:r>
      <w:r w:rsidR="004D19AA" w:rsidRPr="00CE37D0">
        <w:t xml:space="preserve"> skundas perduotinas prokurorui BPK 409 str</w:t>
      </w:r>
      <w:r w:rsidR="00541B80">
        <w:t>aipsnio</w:t>
      </w:r>
      <w:r w:rsidR="004D19AA" w:rsidRPr="00CE37D0">
        <w:t xml:space="preserve"> 2 d</w:t>
      </w:r>
      <w:r w:rsidR="00541B80">
        <w:t>alies</w:t>
      </w:r>
      <w:r w:rsidR="004D19AA" w:rsidRPr="00CE37D0">
        <w:t xml:space="preserve"> tvarka, motyvuojant tuo, kad padaryta žala asmeniui, kuris dėl svarbių priežasčių, t.y. procesinių kliūčių, negali ginti teisėtų savo interesų. </w:t>
      </w:r>
    </w:p>
    <w:p w:rsidR="004D19AA" w:rsidRDefault="00A4709C" w:rsidP="004D19AA">
      <w:pPr>
        <w:spacing w:line="360" w:lineRule="auto"/>
        <w:ind w:firstLine="851"/>
        <w:jc w:val="both"/>
      </w:pPr>
      <w:r>
        <w:t xml:space="preserve">Toks būdas spręsti šį </w:t>
      </w:r>
      <w:r w:rsidRPr="00D821FB">
        <w:t>įstatymais nesureguliuotą klausimą</w:t>
      </w:r>
      <w:r w:rsidR="00C22784">
        <w:t xml:space="preserve"> </w:t>
      </w:r>
      <w:r>
        <w:t>neretai siūlomas ir</w:t>
      </w:r>
      <w:r w:rsidR="004D19AA" w:rsidRPr="00CE37D0">
        <w:t xml:space="preserve"> teismų praktikoje</w:t>
      </w:r>
      <w:r>
        <w:t>, tačiau nurodomi skirtingi motyvai tokiai pozicijai pagrįsti:</w:t>
      </w:r>
      <w:r w:rsidR="00C22784">
        <w:t xml:space="preserve"> </w:t>
      </w:r>
      <w:r w:rsidR="001C7F25">
        <w:t>š</w:t>
      </w:r>
      <w:r w:rsidR="001C7F25" w:rsidRPr="00CE37D0">
        <w:t xml:space="preserve">i teisinė situacija </w:t>
      </w:r>
      <w:r w:rsidR="001C7F25">
        <w:t xml:space="preserve">vertinama kaip suponuojanti </w:t>
      </w:r>
      <w:r w:rsidR="001C7F25" w:rsidRPr="00CE37D0">
        <w:t xml:space="preserve">pareiškėjų skundų </w:t>
      </w:r>
      <w:r w:rsidR="001C7F25">
        <w:t>nagrinėjimo visuomeninę reikšmę</w:t>
      </w:r>
      <w:r w:rsidR="00C22784">
        <w:t xml:space="preserve"> </w:t>
      </w:r>
      <w:r w:rsidR="00707CEE">
        <w:t>(t.y. materialusis aspektas)</w:t>
      </w:r>
      <w:r w:rsidR="00EC011B">
        <w:rPr>
          <w:rStyle w:val="Puslapioinaosnuoroda"/>
        </w:rPr>
        <w:footnoteReference w:id="486"/>
      </w:r>
      <w:r w:rsidR="00C22784">
        <w:t xml:space="preserve"> </w:t>
      </w:r>
      <w:r w:rsidR="001C7F25">
        <w:t>arba</w:t>
      </w:r>
      <w:r>
        <w:t xml:space="preserve"> laikom</w:t>
      </w:r>
      <w:r w:rsidR="004D19AA" w:rsidRPr="00CE37D0">
        <w:t xml:space="preserve">a </w:t>
      </w:r>
      <w:r w:rsidR="004D19AA" w:rsidRPr="00CE37D0">
        <w:rPr>
          <w:iCs/>
        </w:rPr>
        <w:t>svarbia priežastimi</w:t>
      </w:r>
      <w:r w:rsidR="004D19AA" w:rsidRPr="00CE37D0">
        <w:t>, dėl kurios pareiškėjai patys negali ginti sa</w:t>
      </w:r>
      <w:r>
        <w:t>vo teisėtų interesų</w:t>
      </w:r>
      <w:bookmarkStart w:id="244" w:name="straipsnis409"/>
      <w:r w:rsidR="00C22784">
        <w:t xml:space="preserve"> </w:t>
      </w:r>
      <w:r>
        <w:t>(t.y. procesinis aspektas)</w:t>
      </w:r>
      <w:r w:rsidR="001C7F25">
        <w:t>.</w:t>
      </w:r>
      <w:r w:rsidR="00707CEE">
        <w:t xml:space="preserve"> </w:t>
      </w:r>
      <w:r w:rsidR="001C7F25" w:rsidRPr="00CE37D0">
        <w:rPr>
          <w:vertAlign w:val="superscript"/>
        </w:rPr>
        <w:footnoteReference w:id="487"/>
      </w:r>
      <w:r w:rsidR="00C22784">
        <w:t xml:space="preserve"> </w:t>
      </w:r>
      <w:r w:rsidR="00EC011B">
        <w:t>K</w:t>
      </w:r>
      <w:r w:rsidR="004D19AA" w:rsidRPr="00CE37D0">
        <w:t>onstitucin</w:t>
      </w:r>
      <w:r w:rsidR="00EC011B">
        <w:t>ėje</w:t>
      </w:r>
      <w:r w:rsidR="004D19AA" w:rsidRPr="00CE37D0">
        <w:t xml:space="preserve"> doktrin</w:t>
      </w:r>
      <w:r w:rsidR="00EC011B">
        <w:t>oje taip pat akcentuojamas</w:t>
      </w:r>
      <w:r w:rsidR="00C22784">
        <w:t xml:space="preserve"> </w:t>
      </w:r>
      <w:r w:rsidR="00EC011B">
        <w:t>procesinis aspektas</w:t>
      </w:r>
      <w:r w:rsidR="004D19AA" w:rsidRPr="00CE37D0">
        <w:t>, nes</w:t>
      </w:r>
      <w:r w:rsidR="004D19AA" w:rsidRPr="00CE37D0">
        <w:rPr>
          <w:bCs/>
          <w:i/>
          <w:iCs/>
        </w:rPr>
        <w:t xml:space="preserve"> „teisinėje valstybėje negalima situacija, kai Lietuvos Respublikos pilietis negali pasinaudoti galimybe teisinėmis priemonėmis apginti savo teises ir teisėtus interesus“.</w:t>
      </w:r>
      <w:r w:rsidR="00707CEE">
        <w:rPr>
          <w:bCs/>
          <w:i/>
          <w:iCs/>
        </w:rPr>
        <w:t xml:space="preserve"> </w:t>
      </w:r>
      <w:r w:rsidR="004D19AA" w:rsidRPr="00CE37D0">
        <w:rPr>
          <w:rStyle w:val="Puslapioinaosnuoroda"/>
          <w:bCs/>
          <w:i/>
          <w:iCs/>
        </w:rPr>
        <w:footnoteReference w:id="488"/>
      </w:r>
    </w:p>
    <w:p w:rsidR="00B92447" w:rsidRDefault="00A7336D" w:rsidP="004D19AA">
      <w:pPr>
        <w:spacing w:line="360" w:lineRule="auto"/>
        <w:ind w:firstLine="851"/>
        <w:jc w:val="both"/>
      </w:pPr>
      <w:r>
        <w:t>Dar kitokia situacija modeliuotina tuo atveju, kai privataus kaltinimo skundas paduodamas kaltinant nusikalstamos veikos padarymu asmenį, kurio atžvilgiu baudžiamąjį procesą gali pradėti tik įgaliotas subjektas</w:t>
      </w:r>
      <w:r w:rsidR="004D3286">
        <w:t xml:space="preserve"> (Generalinis prokuroras)</w:t>
      </w:r>
      <w:r>
        <w:t>, nors šis asmuo neturi imuniteto nuo patraukimo baudžiamojon atsakomybėn</w:t>
      </w:r>
      <w:r w:rsidR="00B92447">
        <w:t>.</w:t>
      </w:r>
      <w:r w:rsidR="00707CEE">
        <w:t xml:space="preserve"> </w:t>
      </w:r>
      <w:r w:rsidR="00EF297D">
        <w:rPr>
          <w:rStyle w:val="Puslapioinaosnuoroda"/>
        </w:rPr>
        <w:footnoteReference w:id="489"/>
      </w:r>
      <w:r w:rsidR="004D3286">
        <w:t xml:space="preserve"> Tais atvejais, kai </w:t>
      </w:r>
      <w:r w:rsidR="006F2B62" w:rsidRPr="00A7336D">
        <w:t>prad</w:t>
      </w:r>
      <w:r w:rsidR="00C22784">
        <w:t>edant</w:t>
      </w:r>
      <w:r w:rsidR="006F2B62" w:rsidRPr="00A7336D">
        <w:t xml:space="preserve"> baudžiam</w:t>
      </w:r>
      <w:r w:rsidR="006F2B62">
        <w:t>ą</w:t>
      </w:r>
      <w:r w:rsidR="006F2B62" w:rsidRPr="00A7336D">
        <w:t>j</w:t>
      </w:r>
      <w:r w:rsidR="006F2B62">
        <w:t>į</w:t>
      </w:r>
      <w:r w:rsidR="006F2B62" w:rsidRPr="00A7336D">
        <w:t xml:space="preserve"> persekiojim</w:t>
      </w:r>
      <w:r w:rsidR="006F2B62">
        <w:t>ą</w:t>
      </w:r>
      <w:r w:rsidR="006F2B62" w:rsidRPr="00A7336D">
        <w:t xml:space="preserve"> nereik</w:t>
      </w:r>
      <w:r w:rsidR="00C22784">
        <w:t>ia</w:t>
      </w:r>
      <w:r w:rsidR="006F2B62" w:rsidRPr="00A7336D">
        <w:t xml:space="preserve"> gauti kompetentingos institucijos leidimo, </w:t>
      </w:r>
      <w:bookmarkStart w:id="245" w:name="n4_11"/>
      <w:r w:rsidR="006F2B62" w:rsidRPr="00A7336D">
        <w:t>n</w:t>
      </w:r>
      <w:r w:rsidR="006F2B62">
        <w:t>ė</w:t>
      </w:r>
      <w:r w:rsidR="006F2B62" w:rsidRPr="00A7336D">
        <w:t>ra pagrindo taikyti</w:t>
      </w:r>
      <w:r w:rsidR="006F2B62">
        <w:t xml:space="preserve"> ir </w:t>
      </w:r>
      <w:r w:rsidR="006F2B62" w:rsidRPr="00A7336D">
        <w:t>BPK</w:t>
      </w:r>
      <w:bookmarkStart w:id="246" w:name="pn4_11"/>
      <w:bookmarkStart w:id="247" w:name="n4_12"/>
      <w:bookmarkEnd w:id="245"/>
      <w:bookmarkEnd w:id="246"/>
      <w:r w:rsidR="003347CA">
        <w:t xml:space="preserve"> </w:t>
      </w:r>
      <w:r w:rsidR="006F2B62" w:rsidRPr="00A7336D">
        <w:t>3</w:t>
      </w:r>
      <w:bookmarkStart w:id="248" w:name="pn4_12"/>
      <w:bookmarkEnd w:id="247"/>
      <w:bookmarkEnd w:id="248"/>
      <w:r w:rsidR="00541B80">
        <w:t xml:space="preserve"> straipsnio</w:t>
      </w:r>
      <w:r w:rsidR="006F2B62" w:rsidRPr="00A7336D">
        <w:t xml:space="preserve"> 1 d</w:t>
      </w:r>
      <w:r w:rsidR="00541B80">
        <w:t>alies</w:t>
      </w:r>
      <w:r w:rsidR="006F2B62" w:rsidRPr="00A7336D">
        <w:t xml:space="preserve"> </w:t>
      </w:r>
      <w:r w:rsidR="00B12152">
        <w:t>1</w:t>
      </w:r>
      <w:r w:rsidR="006F2B62" w:rsidRPr="00A7336D">
        <w:t xml:space="preserve"> p</w:t>
      </w:r>
      <w:r w:rsidR="00541B80">
        <w:t>.</w:t>
      </w:r>
      <w:r w:rsidR="006F2B62" w:rsidRPr="00A7336D">
        <w:t xml:space="preserve"> bei </w:t>
      </w:r>
      <w:bookmarkStart w:id="249" w:name="n4_13"/>
      <w:r w:rsidR="006F2B62" w:rsidRPr="00A7336D">
        <w:t>BPK</w:t>
      </w:r>
      <w:bookmarkStart w:id="250" w:name="pn4_13"/>
      <w:bookmarkStart w:id="251" w:name="n4_14"/>
      <w:bookmarkEnd w:id="249"/>
      <w:bookmarkEnd w:id="250"/>
      <w:r w:rsidR="00B12152">
        <w:t xml:space="preserve"> </w:t>
      </w:r>
      <w:r w:rsidR="006F2B62" w:rsidRPr="00A7336D">
        <w:t>3</w:t>
      </w:r>
      <w:r w:rsidR="006F2B62" w:rsidRPr="00A7336D">
        <w:rPr>
          <w:vertAlign w:val="superscript"/>
        </w:rPr>
        <w:t>2</w:t>
      </w:r>
      <w:bookmarkStart w:id="252" w:name="pn4_14"/>
      <w:bookmarkStart w:id="253" w:name="pn4_15"/>
      <w:bookmarkStart w:id="254" w:name="n4_15"/>
      <w:bookmarkEnd w:id="251"/>
      <w:bookmarkEnd w:id="252"/>
      <w:bookmarkEnd w:id="253"/>
      <w:bookmarkEnd w:id="254"/>
      <w:r w:rsidR="003347CA">
        <w:rPr>
          <w:vertAlign w:val="superscript"/>
        </w:rPr>
        <w:t xml:space="preserve"> </w:t>
      </w:r>
      <w:r w:rsidR="006F2B62" w:rsidRPr="00A7336D">
        <w:t>straipsnio 1 dalies nuostat</w:t>
      </w:r>
      <w:r w:rsidR="006F2B62">
        <w:t xml:space="preserve">ų. </w:t>
      </w:r>
      <w:r w:rsidRPr="00A7336D">
        <w:rPr>
          <w:rStyle w:val="Puslapioinaosnuoroda"/>
        </w:rPr>
        <w:footnoteReference w:id="490"/>
      </w:r>
      <w:r w:rsidR="00365E90">
        <w:t xml:space="preserve"> </w:t>
      </w:r>
      <w:r w:rsidR="00670A0F" w:rsidRPr="00365E90">
        <w:t xml:space="preserve">Šiuo atveju </w:t>
      </w:r>
      <w:r w:rsidR="00365E90" w:rsidRPr="00365E90">
        <w:t xml:space="preserve">formuojama </w:t>
      </w:r>
      <w:r w:rsidR="00365E90">
        <w:t>teisinga</w:t>
      </w:r>
      <w:r w:rsidR="00365E90" w:rsidRPr="00365E90">
        <w:t xml:space="preserve"> </w:t>
      </w:r>
      <w:r w:rsidR="00670A0F" w:rsidRPr="00365E90">
        <w:t>t</w:t>
      </w:r>
      <w:r w:rsidR="00D75303" w:rsidRPr="00365E90">
        <w:t xml:space="preserve">eismų praktika </w:t>
      </w:r>
      <w:r w:rsidR="00365E90" w:rsidRPr="00365E90">
        <w:t xml:space="preserve">perduoti Generaliniam prokurorui </w:t>
      </w:r>
      <w:r w:rsidR="006F2B62" w:rsidRPr="00365E90">
        <w:t xml:space="preserve">privataus kaltinimo bylą </w:t>
      </w:r>
      <w:r w:rsidR="00365E90" w:rsidRPr="00365E90">
        <w:t>sprendimui dėl b</w:t>
      </w:r>
      <w:r w:rsidR="00365E90" w:rsidRPr="006F2B62">
        <w:t>audžiamojo proceso pradžios priimti</w:t>
      </w:r>
      <w:bookmarkStart w:id="255" w:name="pn4_59"/>
      <w:bookmarkEnd w:id="255"/>
      <w:r w:rsidR="006F2B62" w:rsidRPr="006F2B62">
        <w:t>.</w:t>
      </w:r>
      <w:r w:rsidR="003347CA">
        <w:t xml:space="preserve"> </w:t>
      </w:r>
      <w:r w:rsidR="008A38EB">
        <w:rPr>
          <w:rStyle w:val="Puslapioinaosnuoroda"/>
        </w:rPr>
        <w:footnoteReference w:id="491"/>
      </w:r>
      <w:r w:rsidR="00C22784">
        <w:t xml:space="preserve"> </w:t>
      </w:r>
      <w:r w:rsidR="009A1E97">
        <w:t>S</w:t>
      </w:r>
      <w:r w:rsidR="006F2B62">
        <w:t>pecial</w:t>
      </w:r>
      <w:r w:rsidR="009A1E97">
        <w:t>iojo</w:t>
      </w:r>
      <w:r w:rsidR="006F2B62">
        <w:t xml:space="preserve"> subjekto atžvilgiu procesinį sprendimą dėl baudžiamojo proceso pradžios gali priimti tik Generalinis prokuroras, todėl privat</w:t>
      </w:r>
      <w:r w:rsidR="00CF3875">
        <w:t>aus</w:t>
      </w:r>
      <w:r w:rsidR="00C22784">
        <w:t xml:space="preserve"> kaltinimo procesą inicijuoti</w:t>
      </w:r>
      <w:r w:rsidR="006F2B62">
        <w:t xml:space="preserve"> dėl prokuroro </w:t>
      </w:r>
      <w:r w:rsidR="00CF3875">
        <w:t xml:space="preserve">galimai </w:t>
      </w:r>
      <w:r w:rsidR="006F2B62">
        <w:t>padarytos nusikalstamos veikos yra negalima dėl procesinių kliūčių ir t</w:t>
      </w:r>
      <w:r w:rsidR="00C22784">
        <w:t>odėl procesas turi pereiti iš privataus</w:t>
      </w:r>
      <w:r w:rsidR="006F2B62">
        <w:t xml:space="preserve"> į valstybinį kaltinimą. </w:t>
      </w:r>
    </w:p>
    <w:p w:rsidR="00EB2947" w:rsidRPr="006F2B62" w:rsidRDefault="00EB2947" w:rsidP="00EB2947">
      <w:pPr>
        <w:spacing w:line="360" w:lineRule="auto"/>
        <w:ind w:firstLine="851"/>
        <w:jc w:val="both"/>
      </w:pPr>
      <w:r>
        <w:lastRenderedPageBreak/>
        <w:t>Specialiojo subjekto problema privataus kaltinimo procese nėra svetima ir užsienio šalių baudžiamajame procese. Lenkijoje atvejai, kai privataus kaltinimo procesas inicijuojamas teisėjo, prokuroro, policijos pareigūno, kitų statutinių organizacijų (pasienio, saugumo tarnybų ir pan.) pareigūno atžvilgiu, prokuroras perima procesą</w:t>
      </w:r>
      <w:r w:rsidR="00C22784">
        <w:t>,</w:t>
      </w:r>
      <w:r>
        <w:t xml:space="preserve"> ir bendra tvarka atliekamas ikiteisminis tyrimas. Tokiu atveju nukentėjusysis gali prisijungti prie kaltinimo pagalbinio (subsidiaraus) kaltintojo teisėmis. </w:t>
      </w:r>
      <w:r>
        <w:rPr>
          <w:rStyle w:val="Puslapioinaosnuoroda"/>
        </w:rPr>
        <w:footnoteReference w:id="492"/>
      </w:r>
    </w:p>
    <w:p w:rsidR="004D19AA" w:rsidRPr="00761866" w:rsidRDefault="004D19AA" w:rsidP="00761866">
      <w:pPr>
        <w:pStyle w:val="Antrat4"/>
        <w:ind w:firstLine="0"/>
      </w:pPr>
      <w:r w:rsidRPr="00761866">
        <w:t>Procesinės kliūtys juridiniam asmeniui tapti privačiu kaltintoju</w:t>
      </w:r>
    </w:p>
    <w:p w:rsidR="004D19AA" w:rsidRPr="00CE37D0" w:rsidRDefault="004D19AA" w:rsidP="004D19AA">
      <w:pPr>
        <w:spacing w:line="360" w:lineRule="auto"/>
        <w:ind w:firstLine="851"/>
        <w:jc w:val="both"/>
      </w:pPr>
      <w:r w:rsidRPr="00CE37D0">
        <w:t xml:space="preserve">Pozityviojoje teisėje nepaliekama erdvės interpretacijoms, </w:t>
      </w:r>
      <w:r w:rsidRPr="00CE37D0">
        <w:rPr>
          <w:i/>
        </w:rPr>
        <w:t>expressis verbis</w:t>
      </w:r>
      <w:r w:rsidRPr="00CE37D0">
        <w:t xml:space="preserve"> įtvirtinant, kad nukentėjusysis yra tik fizinis asmuo. Privataus kaltintojo statusą įstatymui siejant su nukentėjusiojo procesiniu statusu, juridiniai asmenys eliminuojami iš privataus kaltinimo teise gal</w:t>
      </w:r>
      <w:r w:rsidR="00D04833">
        <w:t>inčių pasinaudoti subjektų rato</w:t>
      </w:r>
      <w:r w:rsidR="00D04833" w:rsidRPr="00CE37D0">
        <w:t>, tačiau siūl</w:t>
      </w:r>
      <w:r w:rsidR="009326DC">
        <w:t>ymai</w:t>
      </w:r>
      <w:r w:rsidR="00D04833" w:rsidRPr="00CE37D0">
        <w:t xml:space="preserve"> nukentėjusiuoju pripažinti ne tik fizinį, bet ir juridinį asmenį, </w:t>
      </w:r>
      <w:r w:rsidR="00D04833">
        <w:t>nepaisant įstatymų leidybos iniciatyvos</w:t>
      </w:r>
      <w:r w:rsidR="003347CA">
        <w:t>,</w:t>
      </w:r>
      <w:r w:rsidR="00D04833">
        <w:t xml:space="preserve"> </w:t>
      </w:r>
      <w:r w:rsidR="00D04833">
        <w:rPr>
          <w:rStyle w:val="Puslapioinaosnuoroda"/>
        </w:rPr>
        <w:footnoteReference w:id="493"/>
      </w:r>
      <w:r w:rsidR="00D04833">
        <w:t xml:space="preserve"> </w:t>
      </w:r>
      <w:r w:rsidR="00D04833" w:rsidRPr="00CE37D0">
        <w:t>nesulaukia įstatymų leidėjo dėmesio.</w:t>
      </w:r>
      <w:r w:rsidR="00707CEE">
        <w:t xml:space="preserve"> </w:t>
      </w:r>
      <w:r w:rsidR="00D04833" w:rsidRPr="00CE37D0">
        <w:rPr>
          <w:vertAlign w:val="superscript"/>
        </w:rPr>
        <w:footnoteReference w:id="494"/>
      </w:r>
    </w:p>
    <w:p w:rsidR="004D19AA" w:rsidRPr="00CE37D0" w:rsidRDefault="004D19AA" w:rsidP="004D19AA">
      <w:pPr>
        <w:autoSpaceDE w:val="0"/>
        <w:autoSpaceDN w:val="0"/>
        <w:adjustRightInd w:val="0"/>
        <w:spacing w:line="360" w:lineRule="auto"/>
        <w:ind w:firstLine="851"/>
        <w:jc w:val="both"/>
      </w:pPr>
      <w:r w:rsidRPr="00CE37D0">
        <w:t xml:space="preserve">Baudžiamajame procese juridiniai asmenys, patyrę turtinę žalą dėl nusikalstamos veikos padarymo, gali įgyti tik civilinio ieškovo teises, kurių </w:t>
      </w:r>
      <w:r w:rsidR="006505DE">
        <w:t>pagal įstatymo logiką turėtų pakakti</w:t>
      </w:r>
      <w:r w:rsidRPr="00CE37D0">
        <w:t xml:space="preserve"> tam, kad būtų apgintos juridinio asmens turtinės teisės. Kiti klausimai, taip pat ir nubaudimo klausimas, </w:t>
      </w:r>
      <w:r w:rsidRPr="00CE37D0">
        <w:rPr>
          <w:rStyle w:val="Puslapioinaosnuoroda"/>
        </w:rPr>
        <w:footnoteReference w:id="495"/>
      </w:r>
      <w:r w:rsidRPr="00CE37D0">
        <w:t xml:space="preserve"> neįeina į civilinio ieškovo kompetenciją.</w:t>
      </w:r>
      <w:r w:rsidR="00707CEE">
        <w:t xml:space="preserve"> </w:t>
      </w:r>
      <w:r w:rsidR="006505DE">
        <w:rPr>
          <w:rStyle w:val="Puslapioinaosnuoroda"/>
        </w:rPr>
        <w:footnoteReference w:id="496"/>
      </w:r>
      <w:r w:rsidRPr="00CE37D0">
        <w:t xml:space="preserve"> Neginčytina, kad nukentėjusiojo </w:t>
      </w:r>
      <w:r w:rsidR="002C7456">
        <w:t>–</w:t>
      </w:r>
      <w:r w:rsidR="002C7456" w:rsidRPr="00CE37D0">
        <w:t xml:space="preserve"> </w:t>
      </w:r>
      <w:r w:rsidRPr="00CE37D0">
        <w:t xml:space="preserve">fizinio asmens, patyrusio turtinę žalą, teisių apimtis yra platesnė už civilinio ieškovo – juridinio asmens. Tai gali būti motyvuojama tuo, kad nukentėjusysis – fizinis asmuo dėl nusikalstamos veikos patiria ne tik turtinę, bet tuo pačiu ir moralinę arba fizinę žalą, todėl jo interesų gynybai baudžiamajame procese suteikiama daugiau teisių nei juridiniam asmeniui. </w:t>
      </w:r>
    </w:p>
    <w:p w:rsidR="004D19AA" w:rsidRPr="00CE37D0" w:rsidRDefault="004D19AA" w:rsidP="004D19AA">
      <w:pPr>
        <w:autoSpaceDE w:val="0"/>
        <w:autoSpaceDN w:val="0"/>
        <w:adjustRightInd w:val="0"/>
        <w:spacing w:line="360" w:lineRule="auto"/>
        <w:ind w:firstLine="851"/>
        <w:jc w:val="both"/>
      </w:pPr>
      <w:r w:rsidRPr="00CE37D0">
        <w:t xml:space="preserve">Ilgą laiką buvo pripažįstama, kad juridinis asmuo kaip asmuo, nukentėjęs nuo nusikalstamos veikos, gali turėti vienintelį interesą ginti savo teises teisme </w:t>
      </w:r>
      <w:r w:rsidR="002C7456">
        <w:t>–</w:t>
      </w:r>
      <w:r w:rsidR="002C7456" w:rsidRPr="00CE37D0">
        <w:t xml:space="preserve"> </w:t>
      </w:r>
      <w:r w:rsidRPr="00CE37D0">
        <w:t xml:space="preserve">turtinės žalos atlyginimą. </w:t>
      </w:r>
      <w:r w:rsidR="000F709B" w:rsidRPr="00CE37D0">
        <w:t>Teisę</w:t>
      </w:r>
      <w:r w:rsidR="000F709B">
        <w:t xml:space="preserve"> į žalos atlyginimą</w:t>
      </w:r>
      <w:r w:rsidR="000F709B" w:rsidRPr="00CE37D0">
        <w:t xml:space="preserve"> juridinis asmuo įgyja kartu su civilinio ieškovo </w:t>
      </w:r>
      <w:r w:rsidR="00541B80">
        <w:t xml:space="preserve">teisiniu statusu </w:t>
      </w:r>
      <w:r w:rsidR="00541B80">
        <w:lastRenderedPageBreak/>
        <w:t>(BPK 110 straipsnis</w:t>
      </w:r>
      <w:r w:rsidR="000F709B">
        <w:t xml:space="preserve">). </w:t>
      </w:r>
      <w:r w:rsidRPr="00CE37D0">
        <w:t xml:space="preserve">Nusikalstama veika padarytos turtinės žalos atlyginimo klausimą juridinis asmuo gali spręsti ir civilinio proceso tvarka kreipdamasis į teismą. Jei būtų laikomasi pozicijos, kad juridinis asmuo nei moralinės, nei fizinės žalos patirti negali, taip pat negali turėti moralinio pasitenkinimo, atsilyginimo už padarytą skriaudą poreikių, iš to sektų išvada, kad civilinis procesas visiškai patenkina juridinio asmens, patyrusio turtinę žalą dėl nusikalstamos veikos, interesus ir yra pakankama priemonė atkurti teisinius santykius, buvusius iki nusikalstamos veikos padarymo. F. K. </w:t>
      </w:r>
      <w:r w:rsidR="00532AD0">
        <w:t xml:space="preserve">von </w:t>
      </w:r>
      <w:r w:rsidRPr="00CE37D0">
        <w:t>Savigny teigė, kad „</w:t>
      </w:r>
      <w:r w:rsidRPr="00D04833">
        <w:rPr>
          <w:i/>
        </w:rPr>
        <w:t>baudžiamoji teisė yra susijusi su fiziniais asmenimis, galinčiais mąstyti ir jausti bei laisvai reiškiančiais savo valią. Juridinis asmuo nėra toks [...] Šio asmens tikrovė yra pagrįsta konkrečių asmenų atstovaujamąja valia, kuri fikcijos būdu yra priskiriama juridinio asmens valiai</w:t>
      </w:r>
      <w:r w:rsidRPr="00CE37D0">
        <w:t xml:space="preserve">.“ </w:t>
      </w:r>
      <w:r w:rsidRPr="00CE37D0">
        <w:rPr>
          <w:vertAlign w:val="superscript"/>
        </w:rPr>
        <w:footnoteReference w:id="497"/>
      </w:r>
      <w:r w:rsidRPr="00CE37D0">
        <w:t xml:space="preserve"> Tačiau civilinėje teisėje pripažįstama, kad juridinis asmuo gali patirti ir neturtinę žalą</w:t>
      </w:r>
      <w:r w:rsidR="002C7456">
        <w:t>,</w:t>
      </w:r>
      <w:r w:rsidRPr="00CE37D0">
        <w:t xml:space="preserve"> bei įtvirtinta galimybė reikalauti neturtinės žalos atlyginimo</w:t>
      </w:r>
      <w:r w:rsidR="002C7456">
        <w:t xml:space="preserve"> </w:t>
      </w:r>
      <w:r w:rsidR="00741A89" w:rsidRPr="00741A89">
        <w:t>(</w:t>
      </w:r>
      <w:r w:rsidR="000F709B">
        <w:t xml:space="preserve">pavyzdžiui, </w:t>
      </w:r>
      <w:r w:rsidR="00741A89" w:rsidRPr="00741A89">
        <w:t>CK 2.42 str</w:t>
      </w:r>
      <w:r w:rsidR="00541B80">
        <w:t>aipsnio</w:t>
      </w:r>
      <w:r w:rsidR="00741A89" w:rsidRPr="00741A89">
        <w:t xml:space="preserve"> 2 d</w:t>
      </w:r>
      <w:r w:rsidR="00541B80">
        <w:t>alis</w:t>
      </w:r>
      <w:r w:rsidR="00741A89" w:rsidRPr="00741A89">
        <w:t>)</w:t>
      </w:r>
      <w:r w:rsidRPr="00CE37D0">
        <w:t>.</w:t>
      </w:r>
      <w:r w:rsidR="00707CEE">
        <w:t xml:space="preserve"> </w:t>
      </w:r>
      <w:r w:rsidR="00BC1378">
        <w:rPr>
          <w:rStyle w:val="Puslapioinaosnuoroda"/>
        </w:rPr>
        <w:footnoteReference w:id="498"/>
      </w:r>
      <w:r w:rsidR="004F7491">
        <w:t xml:space="preserve"> </w:t>
      </w:r>
      <w:r w:rsidR="000F709B">
        <w:t>T</w:t>
      </w:r>
      <w:r w:rsidRPr="00CE37D0">
        <w:t xml:space="preserve">ai skatina iš naujo apsvarstyti, ar </w:t>
      </w:r>
      <w:r w:rsidR="001F2ADC">
        <w:t>turtinės žalos atlyginimas</w:t>
      </w:r>
      <w:r w:rsidRPr="00CE37D0">
        <w:t xml:space="preserve"> visiškai patenkina juridinio asmens, patyrusio žalą dėl nus</w:t>
      </w:r>
      <w:r w:rsidR="000F709B">
        <w:t xml:space="preserve">ikalstamos veikos, interesus, ar </w:t>
      </w:r>
      <w:r w:rsidRPr="00CE37D0">
        <w:t>juridini</w:t>
      </w:r>
      <w:r w:rsidR="000F709B">
        <w:t>am</w:t>
      </w:r>
      <w:r w:rsidRPr="00CE37D0">
        <w:t xml:space="preserve"> asmen</w:t>
      </w:r>
      <w:r w:rsidR="000F709B">
        <w:t>iui</w:t>
      </w:r>
      <w:r w:rsidR="002C7456">
        <w:t xml:space="preserve"> </w:t>
      </w:r>
      <w:r w:rsidR="000F709B">
        <w:t xml:space="preserve">turi būti suteikta </w:t>
      </w:r>
      <w:r w:rsidR="001F2ADC">
        <w:t>daugiau teisių</w:t>
      </w:r>
      <w:r w:rsidRPr="00CE37D0">
        <w:t xml:space="preserve"> ginti savo pažeistas teises baudžiamajame procese: ne tik viešojo, bet ir privataus kaltinimo tvarka. </w:t>
      </w:r>
      <w:r w:rsidR="001F2ADC">
        <w:t>M</w:t>
      </w:r>
      <w:r w:rsidR="001F2ADC" w:rsidRPr="00CE37D0">
        <w:t>aterialioji privataus kaltinimo teisė, t.y. teisė disponuoti kaltinimu, teisiniame reguliavime neturėtų būti si</w:t>
      </w:r>
      <w:r w:rsidR="001F2ADC">
        <w:t>ejama vien su fiziniu asmeniu</w:t>
      </w:r>
      <w:r w:rsidR="001F1FEF">
        <w:t xml:space="preserve">. </w:t>
      </w:r>
      <w:r w:rsidR="001F1FEF" w:rsidRPr="00CE37D0">
        <w:t>Nukentėję nuo nusikalstamos veikos juridiniai asmenys turi turėti lygias teises su fiziniais asmenimis reikšti baudžiamąjį ieškinį ir įgyvendinti kaltin</w:t>
      </w:r>
      <w:r w:rsidR="001F1FEF">
        <w:t>imo funkcij</w:t>
      </w:r>
      <w:r w:rsidR="001F1FEF" w:rsidRPr="00CE37D0">
        <w:t xml:space="preserve">ą. </w:t>
      </w:r>
      <w:r w:rsidR="001F1FEF">
        <w:t xml:space="preserve">Kadangi BPK </w:t>
      </w:r>
      <w:r w:rsidR="001F1FEF" w:rsidRPr="00CE37D0">
        <w:t xml:space="preserve">privataus kaltintojo ir nukentėjusiojo </w:t>
      </w:r>
      <w:r w:rsidR="001F1FEF">
        <w:t xml:space="preserve">procesinis </w:t>
      </w:r>
      <w:r w:rsidR="001F1FEF" w:rsidRPr="00CE37D0">
        <w:t>teisin</w:t>
      </w:r>
      <w:r w:rsidR="001F1FEF">
        <w:t>is</w:t>
      </w:r>
      <w:r w:rsidR="001F1FEF" w:rsidRPr="00CE37D0">
        <w:t xml:space="preserve"> status</w:t>
      </w:r>
      <w:r w:rsidR="001F1FEF">
        <w:t>as yra neatsiejamas</w:t>
      </w:r>
      <w:r w:rsidR="001F1FEF" w:rsidRPr="00CE37D0">
        <w:t>, juridinio asmens procesinės galimybės pasinaudoti privataus kaltinimo teise tiesiogiai priklauso nuo jo galimybių įgyti nukentėjusiojo teisinį statusą.</w:t>
      </w:r>
    </w:p>
    <w:p w:rsidR="004D19AA" w:rsidRPr="00CE37D0" w:rsidRDefault="004D19AA" w:rsidP="004D19AA">
      <w:pPr>
        <w:autoSpaceDE w:val="0"/>
        <w:autoSpaceDN w:val="0"/>
        <w:adjustRightInd w:val="0"/>
        <w:spacing w:line="360" w:lineRule="auto"/>
        <w:ind w:firstLine="851"/>
        <w:jc w:val="both"/>
      </w:pPr>
      <w:r w:rsidRPr="00CE37D0">
        <w:t xml:space="preserve">Kai kurių užsienio šalių pozityviojoje teisėje juridiniai asmenys gali įgyti nukentėjusiojo teisinį statusą. Pavyzdžiui, Vokietijos baudžiamajame procese juridinio asmens teisė paduoti ieškinį traktuojama analogiškai kaip civiliniame procese ir subjektiškumas siejamas su civiliniu teisiniu subjektiškumu. Vokietijos BPK </w:t>
      </w:r>
      <w:r w:rsidR="004F7491">
        <w:t xml:space="preserve">374 straipsnio 3 dalis </w:t>
      </w:r>
      <w:r w:rsidRPr="00CE37D0">
        <w:t>numato, kad</w:t>
      </w:r>
      <w:r w:rsidR="002C7456">
        <w:t>,</w:t>
      </w:r>
      <w:r w:rsidRPr="00CE37D0">
        <w:t xml:space="preserve"> jei nukentėjęs asmuo yra korporacija, kompanija ar kitokia asociacija, turinti teisę paduoti ieškinį civilinio proceso tvarka, tai teisę pradėti privataus kaltinimo procesą ji turi per tuos pačius asmenis, kurie turi teisę ją atstovauti civiliniame procese. </w:t>
      </w:r>
      <w:r w:rsidRPr="00CE37D0">
        <w:rPr>
          <w:vertAlign w:val="superscript"/>
        </w:rPr>
        <w:footnoteReference w:id="499"/>
      </w:r>
      <w:r w:rsidR="00541B80">
        <w:t xml:space="preserve"> Lenkijos BPK 49 straipsnis</w:t>
      </w:r>
      <w:r w:rsidRPr="00CE37D0">
        <w:t xml:space="preserve"> numato, kad nukentėjusysis gali būti tiek </w:t>
      </w:r>
      <w:r w:rsidRPr="00CE37D0">
        <w:lastRenderedPageBreak/>
        <w:t>fiz</w:t>
      </w:r>
      <w:r w:rsidR="00541B80">
        <w:t>inis, tiek juridinis asmuo (1 dalis</w:t>
      </w:r>
      <w:r w:rsidRPr="00CE37D0">
        <w:t>), o taip pat valdžios, savivaldos ar socialinė institucija, neturinti juridinio asmens teisių</w:t>
      </w:r>
      <w:r w:rsidR="001F2ADC">
        <w:t xml:space="preserve"> (2 d</w:t>
      </w:r>
      <w:r w:rsidR="00541B80">
        <w:t>alis</w:t>
      </w:r>
      <w:r w:rsidR="001F2ADC">
        <w:t xml:space="preserve">), </w:t>
      </w:r>
      <w:r w:rsidRPr="00CE37D0">
        <w:t>jeigu jai pad</w:t>
      </w:r>
      <w:r w:rsidR="00541B80">
        <w:t>aryta žala. Lenkijos BPK 59 straipsnio</w:t>
      </w:r>
      <w:r w:rsidRPr="00CE37D0">
        <w:t xml:space="preserve"> 1 d</w:t>
      </w:r>
      <w:r w:rsidR="00541B80">
        <w:t>alyje</w:t>
      </w:r>
      <w:r w:rsidRPr="00CE37D0">
        <w:t xml:space="preserve"> privataus kaltinimo teisė suteikiama nukentėjusiajam, t.y. taip pat ir juridiniam asmeniui. </w:t>
      </w:r>
      <w:r w:rsidRPr="00CE37D0">
        <w:rPr>
          <w:rStyle w:val="Puslapioinaosnuoroda"/>
        </w:rPr>
        <w:footnoteReference w:id="500"/>
      </w:r>
      <w:r w:rsidRPr="00CE37D0">
        <w:t xml:space="preserve"> Esant teisinei galimybei tapti nukentėjusiuoju baudžiamajame procese, juridinis asmuo įgyja galimybę daryti įtaką kaltinimo dalykui ir apimčiai, dalyvauti įrodinėjimo procese, reikšti nuomonę dėl bausmės skyrimo, taip pat reikšti baudžiamąjį ieškinį privataus kaltinimo bylų procese. </w:t>
      </w:r>
    </w:p>
    <w:p w:rsidR="00630E77" w:rsidRPr="00CE37D0" w:rsidRDefault="00630E77" w:rsidP="00630E77">
      <w:pPr>
        <w:autoSpaceDE w:val="0"/>
        <w:autoSpaceDN w:val="0"/>
        <w:adjustRightInd w:val="0"/>
        <w:spacing w:line="360" w:lineRule="auto"/>
        <w:ind w:firstLine="851"/>
        <w:jc w:val="both"/>
      </w:pPr>
      <w:r w:rsidRPr="00CE37D0">
        <w:t>Teisė įgyti nukentėjusiojo statusą ir teisė pradėti baudžiamąjį persekiojimą privataus kaltinimo tvarka nėra tapatūs dalykai, todėl juridinių asme</w:t>
      </w:r>
      <w:r>
        <w:t>nų teisė į baudžiamąjį ieškinį tur</w:t>
      </w:r>
      <w:r w:rsidRPr="00CE37D0">
        <w:t xml:space="preserve">i būti nagrinėjama kaip savarankiška teisė. </w:t>
      </w:r>
      <w:r w:rsidRPr="00CE37D0">
        <w:rPr>
          <w:vertAlign w:val="superscript"/>
        </w:rPr>
        <w:footnoteReference w:id="501"/>
      </w:r>
      <w:r w:rsidRPr="00CE37D0">
        <w:t xml:space="preserve"> Analizuojant juridinio asmens privataus kaltinimo teisę kaip savarankišką teisę, būtina pasitelkti juridinio asmens sampratos teorijas</w:t>
      </w:r>
      <w:r w:rsidR="00D04833">
        <w:t>:</w:t>
      </w:r>
      <w:r w:rsidRPr="00CE37D0">
        <w:t xml:space="preserve"> fikcijos ir realistinę. </w:t>
      </w:r>
      <w:r w:rsidR="00D04833">
        <w:t>„</w:t>
      </w:r>
      <w:r w:rsidRPr="00AC6286">
        <w:rPr>
          <w:i/>
        </w:rPr>
        <w:t>Kertinė fikcijos teorijos nuostata yra ta, kad juridinis asmuo realiai neegzistuoja, o teisinių santykių dalyviai yra juridinio asmens atstovai, kurie ir yra teisių ir pareigų subjektai. Šia teorija paneigiamas juridinio asmens subjektiškumas. Realistinė teorija grindžiama nuostata, kad juridinis asmuo yra savarankiškas subjektas, turintis savo valią, galintis mąstyti, turintis teises ir pareigas, todėl netapatintinas su jo dalyviais. Juridinis asmuo suvokiamas kaip socialinė tikrovė, jis turi „asmeninių“ interesų ir tikslų, kurie nėra identiški jo dalyvių interesams ir tikslams</w:t>
      </w:r>
      <w:r w:rsidRPr="00CE37D0">
        <w:t>.</w:t>
      </w:r>
      <w:r w:rsidR="00D04833">
        <w:t>“</w:t>
      </w:r>
      <w:r w:rsidR="00707CEE">
        <w:t xml:space="preserve"> </w:t>
      </w:r>
      <w:r w:rsidRPr="00CE37D0">
        <w:rPr>
          <w:vertAlign w:val="superscript"/>
        </w:rPr>
        <w:footnoteReference w:id="502"/>
      </w:r>
    </w:p>
    <w:p w:rsidR="00630E77" w:rsidRPr="00CE37D0" w:rsidRDefault="00630E77" w:rsidP="00630E77">
      <w:pPr>
        <w:spacing w:line="360" w:lineRule="auto"/>
        <w:ind w:firstLine="851"/>
        <w:jc w:val="both"/>
      </w:pPr>
      <w:r w:rsidRPr="00CE37D0">
        <w:t>2003 m. BK įtvirtinta juridinių asmenų baudžiamoji atsakomybė pagrįsta realistine juridinio asmens sampratos koncepcija</w:t>
      </w:r>
      <w:r w:rsidR="002C7456">
        <w:t>,</w:t>
      </w:r>
      <w:r w:rsidRPr="00CE37D0">
        <w:t xml:space="preserve"> pripažįstamas visiškas juridinio asmens subjektiškumas. </w:t>
      </w:r>
      <w:r w:rsidRPr="00CE37D0">
        <w:rPr>
          <w:vertAlign w:val="superscript"/>
        </w:rPr>
        <w:footnoteReference w:id="503"/>
      </w:r>
      <w:r w:rsidRPr="00CE37D0">
        <w:t xml:space="preserve"> Lietuvos teisėje pripažįstant juridinio asmens subjektiškumą ir tai, kad jis turi savarankišką valią, teises ir pareigas, </w:t>
      </w:r>
      <w:r w:rsidRPr="00CE37D0">
        <w:rPr>
          <w:rStyle w:val="Puslapioinaosnuoroda"/>
        </w:rPr>
        <w:footnoteReference w:id="504"/>
      </w:r>
      <w:r w:rsidRPr="00CE37D0">
        <w:t xml:space="preserve"> tokios koncepcijos turėtų būti laikomasi ir baudžiamajame procese. Jei juridinis asmuo savo vardu gali įgyti teises ir pareigas, tai jis gali dalyvauti teisminiame procese: tiek civiliniame</w:t>
      </w:r>
      <w:r w:rsidR="002C7456">
        <w:t>,</w:t>
      </w:r>
      <w:r w:rsidRPr="00CE37D0">
        <w:t xml:space="preserve"> parei</w:t>
      </w:r>
      <w:r w:rsidR="002C7456">
        <w:t>kšdamas</w:t>
      </w:r>
      <w:r w:rsidRPr="00CE37D0">
        <w:t xml:space="preserve"> civilinį ieškinį, tiek ir baudžiamajame</w:t>
      </w:r>
      <w:r w:rsidR="002C7456">
        <w:t>,</w:t>
      </w:r>
      <w:r w:rsidRPr="00CE37D0">
        <w:t xml:space="preserve"> parei</w:t>
      </w:r>
      <w:r w:rsidR="002C7456">
        <w:t>kšdamas</w:t>
      </w:r>
      <w:r w:rsidRPr="00CE37D0">
        <w:t xml:space="preserve"> baudžiamąjį ieškinį savo interesais. Todėl juridiniam asmeniui turėtų būti suteikta savarankiška privataus kaltinimo teisė. Įstatymas neturėtų riboti juridinio asmens valios apsispręsti, kokia apimtimi ir kokia tvarka ginti savo teises. Jei BPK suteikia dispozityvią teisę spręsti dėl kaltinimo apimties ir </w:t>
      </w:r>
      <w:r w:rsidRPr="00CE37D0">
        <w:lastRenderedPageBreak/>
        <w:t xml:space="preserve">baudžiamojo persekiojimo, ši teisė turėtų būti vienodai suteikta visiems nuo nusikalstamos veikos nukentėjusiems asmenims, nepriklausomai nuo jų </w:t>
      </w:r>
      <w:r w:rsidRPr="00FD3FAC">
        <w:t>teisinio statuso</w:t>
      </w:r>
      <w:r w:rsidR="00A77677">
        <w:t xml:space="preserve"> civilinėje teisėje. </w:t>
      </w:r>
    </w:p>
    <w:p w:rsidR="00630E77" w:rsidRPr="00161B77" w:rsidRDefault="001F1FEF" w:rsidP="00630E77">
      <w:pPr>
        <w:spacing w:line="360" w:lineRule="auto"/>
        <w:ind w:firstLine="851"/>
        <w:jc w:val="both"/>
      </w:pPr>
      <w:r>
        <w:t xml:space="preserve">Esamas </w:t>
      </w:r>
      <w:r w:rsidR="004D19AA" w:rsidRPr="00CE37D0">
        <w:t xml:space="preserve">teisinis reguliavimas sukuria prielaidas atsirasti teisinėms situacijoms, kai juridinis asmuo, nukentėjęs nuo nusikalstamos veikos, </w:t>
      </w:r>
      <w:r w:rsidR="00DD53AD">
        <w:t>nagrinė</w:t>
      </w:r>
      <w:r w:rsidR="004D19AA" w:rsidRPr="00CE37D0">
        <w:t xml:space="preserve">jamos privataus kaltinimo tvarka, pats negali ginti savo teisių baudžiamajame procese. </w:t>
      </w:r>
      <w:r>
        <w:t xml:space="preserve">Tokia teisinė situacija suponuoja vertinimą, kad </w:t>
      </w:r>
      <w:r w:rsidR="004D19AA" w:rsidRPr="00CE37D0">
        <w:t>žala padaryta asmeniui (šiuo atveju - juridiniam), kuris dėl svarbių priežasčių negali ginti savo teisių, kadangi jam nesuteikta tokia procesinė galimybė. Tai laikytina procesine kliūtimi asmeniui ginti savo teises, dėl ko privataus kaltinimo proceso forma yra negalima. Tokia pozicija atsispindi ir teismų praktikoje</w:t>
      </w:r>
      <w:r w:rsidR="00161B77">
        <w:t xml:space="preserve">: </w:t>
      </w:r>
      <w:r w:rsidR="00161B77" w:rsidRPr="00161B77">
        <w:t>juridiniam asmeniui svarbi priežastis yra baudžiamojo proceso įstatymo normos, numatančios galimybę privataus kaltinimo tvarka ginti savo teises ir teisėtus interesus tik fiziniam asmeniui</w:t>
      </w:r>
      <w:r w:rsidR="00161B77">
        <w:t>.</w:t>
      </w:r>
      <w:r w:rsidR="002C7456">
        <w:t xml:space="preserve"> </w:t>
      </w:r>
      <w:r w:rsidR="00161B77">
        <w:t xml:space="preserve">Tokiu atveju turi būti </w:t>
      </w:r>
      <w:r w:rsidR="00161B77" w:rsidRPr="00161B77">
        <w:t>remia</w:t>
      </w:r>
      <w:r w:rsidR="00161B77">
        <w:t>masi</w:t>
      </w:r>
      <w:r w:rsidR="00541B80">
        <w:t xml:space="preserve"> BPK 409 straipsnio 1 dalies</w:t>
      </w:r>
      <w:r w:rsidR="00161B77" w:rsidRPr="00161B77">
        <w:t xml:space="preserve"> nuostata, kad</w:t>
      </w:r>
      <w:r w:rsidR="002C7456">
        <w:t>,</w:t>
      </w:r>
      <w:r w:rsidR="00161B77" w:rsidRPr="00161B77">
        <w:t xml:space="preserve"> jeigu BPK 407 str</w:t>
      </w:r>
      <w:r w:rsidR="00541B80">
        <w:t>aipsnyje</w:t>
      </w:r>
      <w:r w:rsidR="00161B77" w:rsidRPr="00161B77">
        <w:t xml:space="preserve"> nurodytomis nusikalstamomis veikomis padaryta žala asmeniui, kuris dėl svarbių priežasčių negali ginti teisėtų savo inte</w:t>
      </w:r>
      <w:r w:rsidR="00CF3875">
        <w:t>resų, prokuroras</w:t>
      </w:r>
      <w:r w:rsidR="00161B77" w:rsidRPr="00161B77">
        <w:t xml:space="preserve"> dėl šių veikų privalo pradėti baudžiamąjį procesą.</w:t>
      </w:r>
      <w:r w:rsidR="00707CEE">
        <w:t xml:space="preserve"> </w:t>
      </w:r>
      <w:r w:rsidR="00161B77" w:rsidRPr="00CE37D0">
        <w:rPr>
          <w:vertAlign w:val="superscript"/>
        </w:rPr>
        <w:footnoteReference w:id="505"/>
      </w:r>
    </w:p>
    <w:p w:rsidR="00BE21E4" w:rsidRDefault="00BE21E4" w:rsidP="00BE21E4">
      <w:pPr>
        <w:spacing w:line="360" w:lineRule="auto"/>
        <w:ind w:firstLine="851"/>
        <w:jc w:val="both"/>
        <w:rPr>
          <w:szCs w:val="20"/>
        </w:rPr>
      </w:pPr>
      <w:r w:rsidRPr="00CE37D0">
        <w:t xml:space="preserve">Vertinant pagal intereso kriterijų, toks teisinis reguliavimas nėra pagrįstas. Prokuroro vaidmuo ginant juridinio asmens interesus, kurie turėtų būti ginami privataus kaltinimo tvarka, vertintinas ne kaip juridinio asmens interesų didesnės apsaugos garantas ar viešojo intereso srities išplėtimas, o kaip būdas užpildyti teisės spragas. Nors susiformavo teismų praktika, leidžianti pasinaudoti perėjimo iš privataus į viešąjį kaltinimą mechanizmu, tačiau teisinis reguliavimas, iš kurio kyla pareiga prokurorui ginti juridinio asmens turtinius interesus dėl to, kad jam pačiam tokia procesinė galimybė nesuteikta, neatitinka teisingumo principo ir sudaro prielaidas pažeisti juridinio asmens teisę savo interesus ginti teisme. </w:t>
      </w:r>
      <w:r w:rsidR="00630E77">
        <w:rPr>
          <w:szCs w:val="20"/>
        </w:rPr>
        <w:t>T</w:t>
      </w:r>
      <w:r>
        <w:rPr>
          <w:szCs w:val="20"/>
        </w:rPr>
        <w:t>odėl t</w:t>
      </w:r>
      <w:r w:rsidR="00630E77">
        <w:rPr>
          <w:szCs w:val="20"/>
        </w:rPr>
        <w:t>eism</w:t>
      </w:r>
      <w:r w:rsidR="00A42A4F">
        <w:rPr>
          <w:szCs w:val="20"/>
        </w:rPr>
        <w:t>ų</w:t>
      </w:r>
      <w:r w:rsidR="00630E77">
        <w:rPr>
          <w:szCs w:val="20"/>
        </w:rPr>
        <w:t xml:space="preserve"> praktik</w:t>
      </w:r>
      <w:r w:rsidR="00A42A4F">
        <w:rPr>
          <w:szCs w:val="20"/>
        </w:rPr>
        <w:t>oje galima rasti pavyzdžių, kai</w:t>
      </w:r>
      <w:r w:rsidR="00630E77">
        <w:rPr>
          <w:szCs w:val="20"/>
        </w:rPr>
        <w:t xml:space="preserve"> privataus kaltintojo status</w:t>
      </w:r>
      <w:r w:rsidR="00A42A4F">
        <w:rPr>
          <w:szCs w:val="20"/>
        </w:rPr>
        <w:t>as</w:t>
      </w:r>
      <w:r w:rsidR="00630E77">
        <w:rPr>
          <w:szCs w:val="20"/>
        </w:rPr>
        <w:t xml:space="preserve"> sie</w:t>
      </w:r>
      <w:r w:rsidR="00A42A4F">
        <w:rPr>
          <w:szCs w:val="20"/>
        </w:rPr>
        <w:t>jamas</w:t>
      </w:r>
      <w:r w:rsidR="00630E77">
        <w:rPr>
          <w:szCs w:val="20"/>
        </w:rPr>
        <w:t xml:space="preserve"> ne su procesiniu nukentėjusiojo statusu, o su materialiuoju</w:t>
      </w:r>
      <w:r w:rsidR="00A42A4F">
        <w:rPr>
          <w:szCs w:val="20"/>
        </w:rPr>
        <w:t>,</w:t>
      </w:r>
      <w:r w:rsidR="00630E77">
        <w:rPr>
          <w:szCs w:val="20"/>
        </w:rPr>
        <w:t xml:space="preserve"> ir ši nuomon</w:t>
      </w:r>
      <w:r w:rsidR="00A42A4F">
        <w:rPr>
          <w:szCs w:val="20"/>
        </w:rPr>
        <w:t>ė</w:t>
      </w:r>
      <w:r w:rsidR="00630E77">
        <w:rPr>
          <w:szCs w:val="20"/>
        </w:rPr>
        <w:t xml:space="preserve"> grindžia</w:t>
      </w:r>
      <w:r w:rsidR="00A42A4F">
        <w:rPr>
          <w:szCs w:val="20"/>
        </w:rPr>
        <w:t>ma</w:t>
      </w:r>
      <w:r w:rsidR="00630E77">
        <w:rPr>
          <w:szCs w:val="20"/>
        </w:rPr>
        <w:t xml:space="preserve"> privataus kaltinimo instituto paskirtimi. Vilniaus apygardos</w:t>
      </w:r>
      <w:r w:rsidR="00630E77" w:rsidRPr="00630E77">
        <w:rPr>
          <w:szCs w:val="20"/>
        </w:rPr>
        <w:t xml:space="preserve"> teismas pa</w:t>
      </w:r>
      <w:r w:rsidR="00630E77">
        <w:rPr>
          <w:szCs w:val="20"/>
        </w:rPr>
        <w:t>tvirtino pirmosios instancijos teismo sprendimą juridinį asmenį</w:t>
      </w:r>
      <w:r w:rsidR="00630E77" w:rsidRPr="00630E77">
        <w:rPr>
          <w:szCs w:val="20"/>
        </w:rPr>
        <w:t xml:space="preserve"> pripažin</w:t>
      </w:r>
      <w:r w:rsidR="00630E77">
        <w:rPr>
          <w:szCs w:val="20"/>
        </w:rPr>
        <w:t>ti</w:t>
      </w:r>
      <w:r w:rsidR="00630E77" w:rsidRPr="00630E77">
        <w:rPr>
          <w:szCs w:val="20"/>
        </w:rPr>
        <w:t xml:space="preserve"> kaip tinkamą privataus kaltintojo statusą atitinkantį proceso dalyvį</w:t>
      </w:r>
      <w:r>
        <w:rPr>
          <w:szCs w:val="20"/>
        </w:rPr>
        <w:t>,</w:t>
      </w:r>
      <w:r w:rsidR="00850020">
        <w:rPr>
          <w:szCs w:val="20"/>
        </w:rPr>
        <w:t xml:space="preserve"> </w:t>
      </w:r>
      <w:r w:rsidRPr="00630E77">
        <w:rPr>
          <w:szCs w:val="20"/>
        </w:rPr>
        <w:t xml:space="preserve">nes </w:t>
      </w:r>
      <w:r w:rsidR="00AC6286">
        <w:rPr>
          <w:szCs w:val="20"/>
        </w:rPr>
        <w:t>„</w:t>
      </w:r>
      <w:r w:rsidRPr="00A42A4F">
        <w:rPr>
          <w:i/>
          <w:szCs w:val="20"/>
        </w:rPr>
        <w:t>pareiškėjas dėl nusikalstamų veikų, kurios numatytos BPK 407</w:t>
      </w:r>
      <w:bookmarkStart w:id="256" w:name="pn4_10"/>
      <w:bookmarkEnd w:id="256"/>
      <w:r w:rsidRPr="00A42A4F">
        <w:rPr>
          <w:i/>
          <w:szCs w:val="20"/>
        </w:rPr>
        <w:t xml:space="preserve"> straipsnyje, patyrė turtinę žalą ir taip nukentėjo</w:t>
      </w:r>
      <w:r>
        <w:rPr>
          <w:szCs w:val="20"/>
        </w:rPr>
        <w:t>.</w:t>
      </w:r>
      <w:r w:rsidR="00AC6286">
        <w:rPr>
          <w:szCs w:val="20"/>
        </w:rPr>
        <w:t xml:space="preserve">“ </w:t>
      </w:r>
      <w:r>
        <w:rPr>
          <w:rStyle w:val="Puslapioinaosnuoroda"/>
          <w:szCs w:val="20"/>
        </w:rPr>
        <w:footnoteReference w:id="506"/>
      </w:r>
      <w:r>
        <w:rPr>
          <w:szCs w:val="20"/>
        </w:rPr>
        <w:t xml:space="preserve"> P</w:t>
      </w:r>
      <w:r w:rsidR="00630E77" w:rsidRPr="00630E77">
        <w:rPr>
          <w:szCs w:val="20"/>
        </w:rPr>
        <w:t xml:space="preserve">erduodamas bylą nagrinėti teisiamajame posėdyje, </w:t>
      </w:r>
      <w:r>
        <w:rPr>
          <w:szCs w:val="20"/>
        </w:rPr>
        <w:t>teismas n</w:t>
      </w:r>
      <w:r w:rsidRPr="00630E77">
        <w:rPr>
          <w:szCs w:val="20"/>
        </w:rPr>
        <w:t>utartimi</w:t>
      </w:r>
      <w:r w:rsidR="00850020">
        <w:rPr>
          <w:szCs w:val="20"/>
        </w:rPr>
        <w:t xml:space="preserve"> </w:t>
      </w:r>
      <w:r w:rsidR="000D198B">
        <w:rPr>
          <w:szCs w:val="20"/>
        </w:rPr>
        <w:t>juridinį asmenį</w:t>
      </w:r>
      <w:r w:rsidR="00630E77" w:rsidRPr="00630E77">
        <w:rPr>
          <w:szCs w:val="20"/>
        </w:rPr>
        <w:t xml:space="preserve"> pripažino civiliniu ieškovu</w:t>
      </w:r>
      <w:r>
        <w:rPr>
          <w:szCs w:val="20"/>
        </w:rPr>
        <w:t>,</w:t>
      </w:r>
      <w:r w:rsidR="00A42A4F">
        <w:rPr>
          <w:szCs w:val="20"/>
        </w:rPr>
        <w:t xml:space="preserve"> tokiu būdu taikydamas analogiją įstatymo, numatančio pripažinimo nukentėjusiuoju procedūrą</w:t>
      </w:r>
      <w:r>
        <w:rPr>
          <w:szCs w:val="20"/>
        </w:rPr>
        <w:t xml:space="preserve">. Nors toks įstatymo taikymas nėra nepriekaištingas, tačiau </w:t>
      </w:r>
      <w:r w:rsidR="00A42A4F">
        <w:rPr>
          <w:szCs w:val="20"/>
        </w:rPr>
        <w:t>motyvacija</w:t>
      </w:r>
      <w:r>
        <w:rPr>
          <w:szCs w:val="20"/>
        </w:rPr>
        <w:t xml:space="preserve"> atspindi privataus kaltinimo instituto paskirtį. </w:t>
      </w:r>
    </w:p>
    <w:p w:rsidR="00654921" w:rsidRDefault="00BE21E4" w:rsidP="00BE21E4">
      <w:pPr>
        <w:spacing w:line="360" w:lineRule="auto"/>
        <w:ind w:firstLine="851"/>
        <w:jc w:val="both"/>
      </w:pPr>
      <w:r>
        <w:lastRenderedPageBreak/>
        <w:t xml:space="preserve">Siekiant užtikrinti visų patyrusių žalą dėl nusikalstamų veikų asmenų galimybę ginti savo teises privataus kaltinimo tvarka, siūlytina keisti </w:t>
      </w:r>
      <w:r w:rsidR="00370498">
        <w:t>BPK nuostatas, apibrėžiančias nukentėjusiojo ir privataus kaltintojo sąvokas.</w:t>
      </w:r>
      <w:r w:rsidR="00850020">
        <w:t xml:space="preserve"> </w:t>
      </w:r>
      <w:r w:rsidR="00370498">
        <w:t>Kadangi privataus kaltintojo teisinis statusas tiesiogiai siejamas su nukentėjusiojo teisiniu statusu, BPK nuostatas siūlytina keisti sistemiškai bei suteikti galimybę tiek nukentėjusiojo, tiek privataus kaltintojo procesinį statusą įgyti ne tik fiziniam, bet ir juridiniam asmeniui. Nors</w:t>
      </w:r>
      <w:r w:rsidR="00370498" w:rsidRPr="00CE37D0">
        <w:t xml:space="preserve"> juridinio asmens galimybės įgyti nukentėjusiojo procesinį statusą nėra šio tyrimo dalykas, </w:t>
      </w:r>
      <w:r w:rsidR="00370498">
        <w:t xml:space="preserve">tačiau plečiant asmenų, galinčių įgyti </w:t>
      </w:r>
      <w:r w:rsidR="00370498" w:rsidRPr="00CE37D0">
        <w:t xml:space="preserve">privataus kaltintojo </w:t>
      </w:r>
      <w:r w:rsidR="00370498">
        <w:t xml:space="preserve">teisinį statusą, ratą, būtina išplėsti ir nukentėjusiojo sąvoką (BPK 28 straispnio 1 dalis), suteikiant galimybę nukentėjusiojo procesinį statusą įgyti ne tik fiziniam, bet ir juridiniam asmeniui. </w:t>
      </w:r>
      <w:r w:rsidR="00654921" w:rsidRPr="00CE37D0">
        <w:t xml:space="preserve">BPK </w:t>
      </w:r>
      <w:r w:rsidR="00654921" w:rsidRPr="00CE37D0">
        <w:rPr>
          <w:bCs/>
        </w:rPr>
        <w:t>34 str</w:t>
      </w:r>
      <w:r w:rsidR="00654921">
        <w:rPr>
          <w:bCs/>
        </w:rPr>
        <w:t>aipsnio</w:t>
      </w:r>
      <w:r w:rsidR="00654921" w:rsidRPr="00CE37D0">
        <w:t xml:space="preserve"> 1 d</w:t>
      </w:r>
      <w:r w:rsidR="00654921">
        <w:t>alyje</w:t>
      </w:r>
      <w:r w:rsidR="00654921" w:rsidRPr="00CE37D0">
        <w:t xml:space="preserve"> pateikta</w:t>
      </w:r>
      <w:r w:rsidR="00370498">
        <w:t>me</w:t>
      </w:r>
      <w:r w:rsidR="00654921" w:rsidRPr="00CE37D0">
        <w:t xml:space="preserve"> apibrėžim</w:t>
      </w:r>
      <w:r w:rsidR="00370498">
        <w:t>e</w:t>
      </w:r>
      <w:r w:rsidR="00654921" w:rsidRPr="00CE37D0">
        <w:t xml:space="preserve"> naudojamą „nukentėjusiojo“ sąvoką </w:t>
      </w:r>
      <w:r w:rsidR="00370498">
        <w:t>s</w:t>
      </w:r>
      <w:r w:rsidR="00370498" w:rsidRPr="00CE37D0">
        <w:t xml:space="preserve">iūlytina </w:t>
      </w:r>
      <w:r w:rsidR="00654921" w:rsidRPr="00CE37D0">
        <w:t>keisti „nukentėjusio nuo galimai jo atžvilgiu padarytos nusikalstamos veikos asmens</w:t>
      </w:r>
      <w:r w:rsidR="00370498">
        <w:t>“</w:t>
      </w:r>
      <w:r w:rsidR="00654921" w:rsidRPr="00CE37D0">
        <w:t xml:space="preserve"> sąvoka</w:t>
      </w:r>
      <w:r w:rsidR="00654921">
        <w:t xml:space="preserve">. </w:t>
      </w:r>
      <w:r w:rsidR="00370498">
        <w:rPr>
          <w:rStyle w:val="Puslapioinaosnuoroda"/>
        </w:rPr>
        <w:footnoteReference w:id="507"/>
      </w:r>
      <w:r w:rsidR="00850020">
        <w:t xml:space="preserve"> </w:t>
      </w:r>
      <w:r w:rsidR="006D73A1" w:rsidRPr="00CE37D0">
        <w:t xml:space="preserve">Tokia formuluotė </w:t>
      </w:r>
      <w:r w:rsidR="00850020">
        <w:t>leistų</w:t>
      </w:r>
      <w:r w:rsidR="006D73A1" w:rsidRPr="00CE37D0">
        <w:t xml:space="preserve"> ir juridiniams asmenims paduoti privataus kaltinimo skundą bei palaikyti kaltinimą dėl jų atžvilgiu padarytų nusikalstamų veikų, </w:t>
      </w:r>
      <w:r w:rsidR="00DD53AD">
        <w:t>nagrinė</w:t>
      </w:r>
      <w:r w:rsidR="006D73A1" w:rsidRPr="00CE37D0">
        <w:t xml:space="preserve">jamų privataus kaltinimo tvarka. </w:t>
      </w:r>
      <w:r w:rsidR="00370498">
        <w:t xml:space="preserve">Be to, siūlomi teisės normų pakeitimai padėtų išvengti plečiamojo įstatymo aiškinimo bei skirtingos teismų praktikos nagrinėjant privataus kaltinimo bylas. </w:t>
      </w:r>
    </w:p>
    <w:p w:rsidR="003E3809" w:rsidRPr="00CE37D0" w:rsidRDefault="004D19AA" w:rsidP="00F93861">
      <w:pPr>
        <w:pStyle w:val="Antrat1"/>
      </w:pPr>
      <w:bookmarkStart w:id="257" w:name="_Toc370139918"/>
      <w:bookmarkStart w:id="258" w:name="_Toc400321696"/>
      <w:bookmarkEnd w:id="244"/>
      <w:r w:rsidRPr="00CE37D0">
        <w:t>4</w:t>
      </w:r>
      <w:r w:rsidR="003E3809" w:rsidRPr="00CE37D0">
        <w:t>. Perėjimo iš privataus kaltinimo į viešą</w:t>
      </w:r>
      <w:bookmarkEnd w:id="229"/>
      <w:r w:rsidR="003E3809" w:rsidRPr="00CE37D0">
        <w:t xml:space="preserve"> ir </w:t>
      </w:r>
      <w:bookmarkEnd w:id="230"/>
      <w:r w:rsidR="003E3809" w:rsidRPr="00CE37D0">
        <w:t>iš viešo kaltinimo į privatų procesiniai ypatumai</w:t>
      </w:r>
      <w:bookmarkEnd w:id="231"/>
      <w:bookmarkEnd w:id="232"/>
      <w:bookmarkEnd w:id="233"/>
      <w:bookmarkEnd w:id="234"/>
      <w:bookmarkEnd w:id="235"/>
      <w:bookmarkEnd w:id="257"/>
      <w:bookmarkEnd w:id="258"/>
    </w:p>
    <w:p w:rsidR="008E7E49" w:rsidRPr="008E7E49" w:rsidRDefault="008E7E49" w:rsidP="008E7E49">
      <w:pPr>
        <w:pStyle w:val="Antrat3"/>
      </w:pPr>
      <w:bookmarkStart w:id="259" w:name="_Toc320526524"/>
      <w:bookmarkStart w:id="260" w:name="_Toc332026007"/>
      <w:bookmarkStart w:id="261" w:name="_Toc333483947"/>
      <w:bookmarkStart w:id="262" w:name="_Toc365498858"/>
      <w:bookmarkStart w:id="263" w:name="_Toc400321697"/>
      <w:r>
        <w:t>4</w:t>
      </w:r>
      <w:r w:rsidRPr="008E7E49">
        <w:t>.1. Prokuroro reikalavimas</w:t>
      </w:r>
      <w:bookmarkEnd w:id="259"/>
      <w:bookmarkEnd w:id="260"/>
      <w:bookmarkEnd w:id="261"/>
      <w:bookmarkEnd w:id="262"/>
      <w:bookmarkEnd w:id="263"/>
    </w:p>
    <w:p w:rsidR="008E7E49" w:rsidRPr="00CE37D0" w:rsidRDefault="008E7E49" w:rsidP="008E7E49">
      <w:pPr>
        <w:spacing w:line="360" w:lineRule="auto"/>
        <w:ind w:firstLine="851"/>
        <w:jc w:val="both"/>
      </w:pPr>
      <w:r w:rsidRPr="00CE37D0">
        <w:t>Esant aprašytoms situacijoms, kai nukentėjęs asmuo negali apginti savo teisių ir teisėtų interesų privataus kaltinimo tvarka, įstatymas numato prokuroro įsikišimą į privataus kaltinimo bylų procesą, kas suponuoja ir procesinės formos pasikeitimą. Prokuroro dalyvavimas yra proceso dalyvių, pirmiausia</w:t>
      </w:r>
      <w:r w:rsidR="00850020">
        <w:t>,</w:t>
      </w:r>
      <w:r w:rsidRPr="00CE37D0">
        <w:t xml:space="preserve"> nukentėjusio asmens veiksmingo teisių realizavimo garantas, todėl toliau bus pateikta prokuroro funkcijų privataus kaltinimo bylų procese bei perėjimo iš privataus kaltinimo į viešąjį procedūros teisinio reg</w:t>
      </w:r>
      <w:r w:rsidR="00A15E30">
        <w:t>ulia</w:t>
      </w:r>
      <w:r w:rsidRPr="00CE37D0">
        <w:t>vimo analizė.</w:t>
      </w:r>
    </w:p>
    <w:p w:rsidR="008E7E49" w:rsidRPr="008E7E49" w:rsidRDefault="008E7E49" w:rsidP="008E7E49">
      <w:pPr>
        <w:spacing w:line="360" w:lineRule="auto"/>
        <w:ind w:firstLine="851"/>
        <w:jc w:val="both"/>
      </w:pPr>
      <w:r w:rsidRPr="008E7E49">
        <w:t>Ikiteisminio tyrimo pradėjimo stadijoje prokuroras yra subjektas, sprendžiantis, ar egzistuoja pagrindai atlikti ikiteisminį tyrimą bendra tvarka dėl nusikalstamos veikos, dėl kurios numatytas privataus kaltinimo procesas.</w:t>
      </w:r>
      <w:r w:rsidR="00C11265">
        <w:t xml:space="preserve"> Šis prokuroro sprendimas išreiškiamas prokuroro reikalavimu.</w:t>
      </w:r>
      <w:r w:rsidR="00A15E30">
        <w:t xml:space="preserve"> „</w:t>
      </w:r>
      <w:r w:rsidRPr="008E7E49">
        <w:rPr>
          <w:i/>
        </w:rPr>
        <w:t xml:space="preserve">Prokuroro reikalavimas – tai baudžiamojo proceso pradėjimo forma, skirta viešajam interesui ginti, o nukentėjusio asmens pareiškimas ir jo teisėto atstovo skundas skirti privačiam interesui ginti. Šios teisėtos baudžiamojo proceso pradėjimo formos neturi būti suprantamos kaip viena kitą paneigiančios, jos yra skirtos žmogaus ir asmens teisėms bei laisvėms, visuomenės ir </w:t>
      </w:r>
      <w:r w:rsidRPr="008E7E49">
        <w:rPr>
          <w:i/>
        </w:rPr>
        <w:lastRenderedPageBreak/>
        <w:t>valstybės interesams ginti.</w:t>
      </w:r>
      <w:r w:rsidR="00A15E30">
        <w:rPr>
          <w:i/>
        </w:rPr>
        <w:t xml:space="preserve">“ </w:t>
      </w:r>
      <w:r w:rsidRPr="008E7E49">
        <w:rPr>
          <w:vertAlign w:val="superscript"/>
        </w:rPr>
        <w:footnoteReference w:id="508"/>
      </w:r>
      <w:r w:rsidRPr="008E7E49">
        <w:t xml:space="preserve"> Priklausomai nuo įstatyme numatytų sąlygų, prokuroro reikalavimas gali būti pareiškiamas esant nukentėjusiojo skundui (pareiškimui) (kai nukentėjęs asmuo gali išreikšti valią dėl baudžiamojo persekiojimo) arba be nukentėjusiojo sutikimo, kai nukentėjęs asmuo negeba išreikšti savo valios. Pripažinus, kad padaryta nusikalstama veika turi visuomeninę reikšmę, prokuroro sprendimui neturi įtakos, ar yra nukentėjusiojo ar jo teisėto atstovo skundas, ar ne, kadangi</w:t>
      </w:r>
      <w:r w:rsidR="00850020">
        <w:t>,</w:t>
      </w:r>
      <w:r w:rsidRPr="008E7E49">
        <w:t xml:space="preserve"> net nesant nukentėjusiojo privataus intereso, prokuroras </w:t>
      </w:r>
      <w:r w:rsidRPr="008E7E49">
        <w:rPr>
          <w:i/>
        </w:rPr>
        <w:t>ex officio</w:t>
      </w:r>
      <w:r w:rsidRPr="008E7E49">
        <w:t xml:space="preserve"> privalo ginti viešąjį interesą. </w:t>
      </w:r>
    </w:p>
    <w:p w:rsidR="008E7E49" w:rsidRPr="008E7E49" w:rsidRDefault="008E7E49" w:rsidP="008E7E49">
      <w:pPr>
        <w:spacing w:line="360" w:lineRule="auto"/>
        <w:ind w:firstLine="851"/>
        <w:jc w:val="both"/>
      </w:pPr>
      <w:r w:rsidRPr="008E7E49">
        <w:t xml:space="preserve">Įstatymas nenumato formos, kuria turi būti išreikštas prokuroro reikalavimas. </w:t>
      </w:r>
      <w:r w:rsidR="00C11265">
        <w:t>P</w:t>
      </w:r>
      <w:r w:rsidR="00C11265" w:rsidRPr="008E7E49">
        <w:t xml:space="preserve">rokuroro reikalavimo sąvoka ir galimos formos </w:t>
      </w:r>
      <w:r w:rsidR="00C11265">
        <w:t xml:space="preserve">aptartos </w:t>
      </w:r>
      <w:r w:rsidRPr="008E7E49">
        <w:t>Generalinio prokuroro rekomendacij</w:t>
      </w:r>
      <w:r w:rsidR="00C11265">
        <w:t>ų</w:t>
      </w:r>
      <w:r w:rsidRPr="008E7E49">
        <w:t xml:space="preserve"> ,,Dėl ikiteisminio tyrimo pradžios ir jos registravimo tvarkos patvirtinimo“ 5 p</w:t>
      </w:r>
      <w:r w:rsidR="00281C76">
        <w:t>.</w:t>
      </w:r>
      <w:r w:rsidRPr="008E7E49">
        <w:t>: p</w:t>
      </w:r>
      <w:r w:rsidRPr="008E7E49">
        <w:rPr>
          <w:bCs/>
        </w:rPr>
        <w:t>rokuroro reikalavimas</w:t>
      </w:r>
      <w:r w:rsidRPr="008E7E49">
        <w:t>– prokuroro sprendimas pradėti ikiteisminį tyrimą dėl BPK 167 str</w:t>
      </w:r>
      <w:r w:rsidR="00E3730A">
        <w:t>aipsnio</w:t>
      </w:r>
      <w:r w:rsidRPr="008E7E49">
        <w:t xml:space="preserve"> 1 d</w:t>
      </w:r>
      <w:r w:rsidR="00E3730A">
        <w:t>alyje</w:t>
      </w:r>
      <w:r w:rsidRPr="008E7E49">
        <w:t xml:space="preserve"> ir 407 st</w:t>
      </w:r>
      <w:r w:rsidR="00E3730A">
        <w:t>raipsnyje</w:t>
      </w:r>
      <w:r w:rsidRPr="008E7E49">
        <w:t xml:space="preserve"> nurodytų nusikalstamų veikų BPK 167 str</w:t>
      </w:r>
      <w:r w:rsidR="00E3730A">
        <w:t>aipsnio</w:t>
      </w:r>
      <w:r w:rsidRPr="008E7E49">
        <w:t xml:space="preserve"> 2 d</w:t>
      </w:r>
      <w:r w:rsidR="00E3730A">
        <w:t>alyje</w:t>
      </w:r>
      <w:r w:rsidRPr="008E7E49">
        <w:t xml:space="preserve"> ir 409 str</w:t>
      </w:r>
      <w:r w:rsidR="00E3730A">
        <w:t>aipsnio</w:t>
      </w:r>
      <w:r w:rsidRPr="008E7E49">
        <w:t xml:space="preserve"> 1 d</w:t>
      </w:r>
      <w:r w:rsidR="00E3730A">
        <w:t>alyje</w:t>
      </w:r>
      <w:r w:rsidRPr="008E7E49">
        <w:t xml:space="preserve"> nustatytais atvejais. Prokuroro reikalavimas išreiškiamas rezoliucija arba atskiru rašytiniu dokumentu ar nutarimu. </w:t>
      </w:r>
      <w:r w:rsidR="00C11265" w:rsidRPr="008E7E49">
        <w:rPr>
          <w:vertAlign w:val="superscript"/>
        </w:rPr>
        <w:footnoteReference w:id="509"/>
      </w:r>
      <w:r w:rsidR="00850020">
        <w:t xml:space="preserve"> </w:t>
      </w:r>
      <w:r w:rsidRPr="008E7E49">
        <w:t>Taigi</w:t>
      </w:r>
      <w:r w:rsidR="00850020">
        <w:t>,</w:t>
      </w:r>
      <w:r w:rsidRPr="008E7E49">
        <w:t xml:space="preserve"> </w:t>
      </w:r>
      <w:r w:rsidR="00C11265">
        <w:t>vadovauj</w:t>
      </w:r>
      <w:r w:rsidRPr="008E7E49">
        <w:t>antis rekomendacijose numatyt</w:t>
      </w:r>
      <w:r w:rsidR="00C11265">
        <w:t>omis alternatyvomis</w:t>
      </w:r>
      <w:r w:rsidRPr="008E7E49">
        <w:t>, praktikoje sutinkami skirtingi prokuroro reikalavimo procesiniai įforminimai</w:t>
      </w:r>
      <w:r w:rsidRPr="00CC2579">
        <w:t>. Kyla abejonių</w:t>
      </w:r>
      <w:r w:rsidR="00CC2579" w:rsidRPr="00CC2579">
        <w:t>, ar tinkama</w:t>
      </w:r>
      <w:r w:rsidRPr="00CC2579">
        <w:t xml:space="preserve"> prokuroro </w:t>
      </w:r>
      <w:r w:rsidR="00CC2579" w:rsidRPr="00CC2579">
        <w:t xml:space="preserve">reikalavimą </w:t>
      </w:r>
      <w:r w:rsidRPr="00CC2579">
        <w:t>pradėti ikiteisminį tyrimą įformin</w:t>
      </w:r>
      <w:r w:rsidR="00CC2579" w:rsidRPr="00CC2579">
        <w:t>ti</w:t>
      </w:r>
      <w:r w:rsidRPr="00CC2579">
        <w:t xml:space="preserve"> rezoliucija </w:t>
      </w:r>
      <w:r w:rsidR="00C11265" w:rsidRPr="00CC2579">
        <w:t>(esant nukentėjusiojo skundui ar jo teisėto atstovo pareiškimui)</w:t>
      </w:r>
      <w:r w:rsidRPr="00CC2579">
        <w:t xml:space="preserve">, kadangi rezoliucijoje </w:t>
      </w:r>
      <w:r w:rsidR="00CC2579" w:rsidRPr="00CC2579">
        <w:t>nenurodom</w:t>
      </w:r>
      <w:r w:rsidR="00CC2579">
        <w:t>i</w:t>
      </w:r>
      <w:r w:rsidR="00CC2579" w:rsidRPr="008E7E49">
        <w:t xml:space="preserve"> </w:t>
      </w:r>
      <w:r w:rsidRPr="008E7E49">
        <w:t xml:space="preserve">tokio sprendimo </w:t>
      </w:r>
      <w:r w:rsidR="00CC2579" w:rsidRPr="008E7E49">
        <w:t>argumenta</w:t>
      </w:r>
      <w:r w:rsidR="00CC2579">
        <w:t>i</w:t>
      </w:r>
      <w:r w:rsidRPr="008E7E49">
        <w:t>. Konstitucinio Teismo 2006</w:t>
      </w:r>
      <w:r w:rsidR="00850020">
        <w:t xml:space="preserve"> </w:t>
      </w:r>
      <w:r w:rsidRPr="008E7E49">
        <w:t>m. sausio 16 d. nutarime išaiškinta, kad prokuroras, įgyvendindamas arba atsisakydamas įgyvendinti savo įgaliojimus, nustatytus BPK 409 str</w:t>
      </w:r>
      <w:r w:rsidR="00E3730A">
        <w:t>aipsnio</w:t>
      </w:r>
      <w:r w:rsidRPr="008E7E49">
        <w:t xml:space="preserve"> 1 ar 2 d</w:t>
      </w:r>
      <w:r w:rsidR="00E3730A">
        <w:t>alyje</w:t>
      </w:r>
      <w:r w:rsidRPr="008E7E49">
        <w:t xml:space="preserve">, turi pagrįsti sprendimą teisiniais argumentais. Prokuroras privalo motyvuoti savo sprendimą dėl ikiteisminio tyrimo pradėjimo dėl privataus kaltinimo proceso tvarka nagrinėtinos nusikalstamos veikos visais atvejais, nepriklausomai nuo to, ar yra nukentėjusiojo (jo teisėto atstovo) skundas, ar ne, todėl toks sprendimas turėtų būti įforminamas atskiru dokumentu. Teismų praktikoje buvo siūloma prokuroro reikalavimą įforminti nutarimu. </w:t>
      </w:r>
      <w:r w:rsidRPr="008E7E49">
        <w:rPr>
          <w:vertAlign w:val="superscript"/>
        </w:rPr>
        <w:footnoteReference w:id="510"/>
      </w:r>
      <w:r w:rsidR="00850020">
        <w:t xml:space="preserve"> </w:t>
      </w:r>
      <w:r w:rsidR="00565255">
        <w:t>Tačiau ir k</w:t>
      </w:r>
      <w:r w:rsidR="00565255" w:rsidRPr="008E7E49">
        <w:t>itokia prokuroro reikalavimo forma nei nutarimas nebuvo pripažinta proceso pažeidimu ir</w:t>
      </w:r>
      <w:r w:rsidR="00850020">
        <w:t xml:space="preserve"> </w:t>
      </w:r>
      <w:r w:rsidR="00565255" w:rsidRPr="008E7E49">
        <w:t>pagrindu procesą nutraukti, pritaikius BPK 3 str</w:t>
      </w:r>
      <w:r w:rsidR="00E3730A">
        <w:t>aipsnio</w:t>
      </w:r>
      <w:r w:rsidR="00565255" w:rsidRPr="008E7E49">
        <w:t xml:space="preserve"> 1 d</w:t>
      </w:r>
      <w:r w:rsidR="00E3730A">
        <w:t>alies</w:t>
      </w:r>
      <w:r w:rsidR="00565255" w:rsidRPr="008E7E49">
        <w:t xml:space="preserve"> 6 p</w:t>
      </w:r>
      <w:r w:rsidR="00281C76">
        <w:t>.</w:t>
      </w:r>
      <w:r w:rsidR="00565255" w:rsidRPr="008E7E49">
        <w:t xml:space="preserve"> nuostatas, esant materialiam pagrindui baudžiamąjį procesą dėl privataus kaltinimo </w:t>
      </w:r>
      <w:r w:rsidR="00A15E30">
        <w:t>tvarka nagrinėjamos nusika</w:t>
      </w:r>
      <w:r w:rsidR="00850020">
        <w:t>l</w:t>
      </w:r>
      <w:r w:rsidR="00A15E30">
        <w:t>stamos veikos</w:t>
      </w:r>
      <w:r w:rsidR="00565255" w:rsidRPr="008E7E49">
        <w:t xml:space="preserve"> pradėti prokuroro reikalavimu. </w:t>
      </w:r>
      <w:r w:rsidR="00565255">
        <w:lastRenderedPageBreak/>
        <w:t xml:space="preserve">Pavyzdžiui, </w:t>
      </w:r>
      <w:r w:rsidR="004D086D">
        <w:t>LAT</w:t>
      </w:r>
      <w:r w:rsidRPr="008E7E49">
        <w:t xml:space="preserve"> prokuroro pavedimą policijos komisariatui atlikti ikiteisminį tyrimą pripažino kaip prokuroro reikalavimą pradėti ikiteisminį tyrimą. </w:t>
      </w:r>
      <w:r w:rsidRPr="008E7E49">
        <w:rPr>
          <w:vertAlign w:val="superscript"/>
        </w:rPr>
        <w:footnoteReference w:id="511"/>
      </w:r>
      <w:r w:rsidRPr="008E7E49">
        <w:t xml:space="preserve"> </w:t>
      </w:r>
      <w:r w:rsidRPr="00CF3875">
        <w:rPr>
          <w:i/>
        </w:rPr>
        <w:t>Pavedimo policijos komisariatui atlikti ikiteisminį tyrimą papildymas, kuriame prokuroras nurodė, kad</w:t>
      </w:r>
      <w:r w:rsidR="0013286E" w:rsidRPr="00CF3875">
        <w:rPr>
          <w:i/>
        </w:rPr>
        <w:t>,</w:t>
      </w:r>
      <w:r w:rsidRPr="00CF3875">
        <w:rPr>
          <w:i/>
        </w:rPr>
        <w:t xml:space="preserve"> vadovaudamasis BPK 409 str</w:t>
      </w:r>
      <w:r w:rsidR="00E3730A" w:rsidRPr="00CF3875">
        <w:rPr>
          <w:i/>
        </w:rPr>
        <w:t>aipsnio</w:t>
      </w:r>
      <w:r w:rsidRPr="00CF3875">
        <w:rPr>
          <w:i/>
        </w:rPr>
        <w:t xml:space="preserve"> 1 d</w:t>
      </w:r>
      <w:r w:rsidR="0013286E" w:rsidRPr="00CF3875">
        <w:rPr>
          <w:i/>
        </w:rPr>
        <w:t>alies</w:t>
      </w:r>
      <w:r w:rsidRPr="00CF3875">
        <w:rPr>
          <w:i/>
        </w:rPr>
        <w:t xml:space="preserve"> ir 407 str</w:t>
      </w:r>
      <w:r w:rsidR="0013286E" w:rsidRPr="00CF3875">
        <w:rPr>
          <w:i/>
        </w:rPr>
        <w:t>aipsnio nuostatomis,</w:t>
      </w:r>
      <w:r w:rsidRPr="00CF3875">
        <w:rPr>
          <w:i/>
        </w:rPr>
        <w:t xml:space="preserve"> jis paveda ikiteisminį tyrimą šioje byloje atlikti ir pagal privataus kaltinimo bylų procesui priskirtinas nusikalstamas veikas,</w:t>
      </w:r>
      <w:r w:rsidR="00850020" w:rsidRPr="00CF3875">
        <w:rPr>
          <w:i/>
        </w:rPr>
        <w:t xml:space="preserve"> </w:t>
      </w:r>
      <w:r w:rsidRPr="00CF3875">
        <w:rPr>
          <w:i/>
        </w:rPr>
        <w:t>nevisiškai atitinka BPK 409 str</w:t>
      </w:r>
      <w:r w:rsidR="0013286E" w:rsidRPr="00CF3875">
        <w:rPr>
          <w:i/>
        </w:rPr>
        <w:t>aipsnio</w:t>
      </w:r>
      <w:r w:rsidRPr="00CF3875">
        <w:rPr>
          <w:i/>
        </w:rPr>
        <w:t xml:space="preserve"> 1 d</w:t>
      </w:r>
      <w:r w:rsidR="0013286E" w:rsidRPr="00CF3875">
        <w:rPr>
          <w:i/>
        </w:rPr>
        <w:t>alies</w:t>
      </w:r>
      <w:r w:rsidRPr="00CF3875">
        <w:rPr>
          <w:i/>
        </w:rPr>
        <w:t xml:space="preserve"> nuostatas, nes jame nenurodyta, dėl kurios iš aptariamoje normoje išvardintų dviejų priežasčių prokuroras pradeda baudžiamąjį procesą</w:t>
      </w:r>
      <w:r w:rsidR="00565255">
        <w:t xml:space="preserve">, tačiau </w:t>
      </w:r>
      <w:r w:rsidR="00565255" w:rsidRPr="00565255">
        <w:t>paminėti netikslumai prokuroro pavedime n</w:t>
      </w:r>
      <w:r w:rsidR="00565255">
        <w:t>ebuvo pripažinti pagrindu</w:t>
      </w:r>
      <w:r w:rsidR="00565255" w:rsidRPr="00565255">
        <w:t xml:space="preserve"> bylos dalį</w:t>
      </w:r>
      <w:r w:rsidR="00565255">
        <w:t xml:space="preserve"> dėl privataus kaltinimo veikos</w:t>
      </w:r>
      <w:r w:rsidR="00565255" w:rsidRPr="00565255">
        <w:t xml:space="preserve"> nutraukti</w:t>
      </w:r>
      <w:r w:rsidRPr="008E7E49">
        <w:t xml:space="preserve">. </w:t>
      </w:r>
      <w:r w:rsidRPr="008E7E49">
        <w:rPr>
          <w:vertAlign w:val="superscript"/>
        </w:rPr>
        <w:footnoteReference w:id="512"/>
      </w:r>
      <w:r w:rsidR="001A4BAB">
        <w:t xml:space="preserve"> </w:t>
      </w:r>
      <w:r w:rsidR="00565255">
        <w:t>Visgi</w:t>
      </w:r>
      <w:r w:rsidRPr="008E7E49">
        <w:t xml:space="preserve"> pritartina nuomonei, kad prokuroro reikalavimas tiksliausiai įforminamas nutarimu, kadangi būtent nutarimo struktūroje </w:t>
      </w:r>
      <w:r w:rsidR="00A15E30">
        <w:t>turi būti</w:t>
      </w:r>
      <w:r w:rsidRPr="008E7E49">
        <w:t xml:space="preserve"> privaloma motyvuojamoji dalis. </w:t>
      </w:r>
    </w:p>
    <w:p w:rsidR="008E7E49" w:rsidRPr="00EC6454" w:rsidRDefault="008E7E49" w:rsidP="00EC6454">
      <w:pPr>
        <w:spacing w:line="360" w:lineRule="auto"/>
        <w:ind w:firstLine="851"/>
        <w:jc w:val="both"/>
        <w:rPr>
          <w:iCs/>
        </w:rPr>
      </w:pPr>
      <w:r w:rsidRPr="008E7E49">
        <w:t xml:space="preserve">Iki 2007 m. teismų praktikoje buvo išreikšta tendencija, jog bendra tvarka pradėtas procesas dėl privataus kaltinimo tvarka nagrinėjamos nusikalstamos veikos gali būti tęsiamas tik esant prokuroro reikalavimui. </w:t>
      </w:r>
      <w:r w:rsidRPr="008E7E49">
        <w:rPr>
          <w:vertAlign w:val="superscript"/>
        </w:rPr>
        <w:footnoteReference w:id="513"/>
      </w:r>
      <w:r w:rsidRPr="008E7E49">
        <w:t xml:space="preserve"> Nuo 2008 m. </w:t>
      </w:r>
      <w:r w:rsidR="004D086D">
        <w:t>LAT</w:t>
      </w:r>
      <w:r w:rsidRPr="008E7E49">
        <w:t xml:space="preserve"> formuoja praktiką, kad </w:t>
      </w:r>
      <w:r w:rsidR="00EC6454" w:rsidRPr="003D34FD">
        <w:rPr>
          <w:iCs/>
        </w:rPr>
        <w:t>i</w:t>
      </w:r>
      <w:r w:rsidRPr="003D34FD">
        <w:rPr>
          <w:iCs/>
        </w:rPr>
        <w:t xml:space="preserve">kiteisminio tyrimo atlikimas ir apkaltinamojo nuosprendžio priėmimas dėl </w:t>
      </w:r>
      <w:r w:rsidR="003D34FD" w:rsidRPr="003D34FD">
        <w:t xml:space="preserve">privataus kaltinimo </w:t>
      </w:r>
      <w:r w:rsidRPr="003D34FD">
        <w:rPr>
          <w:iCs/>
        </w:rPr>
        <w:t xml:space="preserve">veikos padarymo, nesant tinkamai įforminto nukentėjusiojo skundo ar prokuroro reikalavimo nelaikytinas esminiu </w:t>
      </w:r>
      <w:r w:rsidRPr="003D34FD">
        <w:t xml:space="preserve">BPK </w:t>
      </w:r>
      <w:r w:rsidRPr="003D34FD">
        <w:rPr>
          <w:iCs/>
        </w:rPr>
        <w:t>pažeidimu, jeigu nukentėjusysis iš esmės išreiškė poziciją, kad būtina vykdyti baudžiamąjį procesą, atsisakė susitaikyti su kaltinamuoju, o prokuroras turėjo teisinį pagrindą reikalauti vykdyti baudžiamąjį procesą bendrąja tvarka.</w:t>
      </w:r>
      <w:r w:rsidR="001A4BAB">
        <w:rPr>
          <w:iCs/>
        </w:rPr>
        <w:t xml:space="preserve"> </w:t>
      </w:r>
      <w:r w:rsidRPr="008E7E49">
        <w:rPr>
          <w:iCs/>
          <w:vertAlign w:val="superscript"/>
        </w:rPr>
        <w:footnoteReference w:id="514"/>
      </w:r>
      <w:r w:rsidR="00850020">
        <w:rPr>
          <w:iCs/>
        </w:rPr>
        <w:t xml:space="preserve"> </w:t>
      </w:r>
      <w:r w:rsidRPr="008E7E49">
        <w:t xml:space="preserve">Remiantis konstitucine doktrina, teismai pripažįsta </w:t>
      </w:r>
      <w:r w:rsidR="00B66D4D">
        <w:t xml:space="preserve">baudžiamojo </w:t>
      </w:r>
      <w:r w:rsidRPr="008E7E49">
        <w:t xml:space="preserve">proceso pažeidimu nemotyvuotą </w:t>
      </w:r>
      <w:r w:rsidR="00B66D4D">
        <w:t xml:space="preserve">ir nepakankamai motyvuotą </w:t>
      </w:r>
      <w:r w:rsidRPr="008E7E49">
        <w:t>prokuroro reikalavimą, tačiau nelaiko jo esminiu, jeigu faktiškai buvo vienas iš BPK 409 str</w:t>
      </w:r>
      <w:r w:rsidR="0013286E">
        <w:t>aipsnio</w:t>
      </w:r>
      <w:r w:rsidRPr="008E7E49">
        <w:t xml:space="preserve"> 1 d</w:t>
      </w:r>
      <w:r w:rsidR="0013286E">
        <w:t>alyje</w:t>
      </w:r>
      <w:r w:rsidRPr="008E7E49">
        <w:t xml:space="preserve"> numatytų pagrindų byloje palaikyti valstybinį kaltinimą.</w:t>
      </w:r>
      <w:r w:rsidR="007B7828">
        <w:t xml:space="preserve"> </w:t>
      </w:r>
      <w:r w:rsidRPr="003D34FD">
        <w:rPr>
          <w:vertAlign w:val="superscript"/>
        </w:rPr>
        <w:footnoteReference w:id="515"/>
      </w:r>
    </w:p>
    <w:p w:rsidR="008E7E49" w:rsidRPr="008E7E49" w:rsidRDefault="00A15E30" w:rsidP="008E7E49">
      <w:pPr>
        <w:spacing w:line="360" w:lineRule="auto"/>
        <w:ind w:firstLine="851"/>
        <w:jc w:val="both"/>
        <w:rPr>
          <w:iCs/>
        </w:rPr>
      </w:pPr>
      <w:r>
        <w:rPr>
          <w:iCs/>
        </w:rPr>
        <w:t>D</w:t>
      </w:r>
      <w:r w:rsidRPr="008E7E49">
        <w:rPr>
          <w:iCs/>
        </w:rPr>
        <w:t xml:space="preserve">u alternatyvius </w:t>
      </w:r>
      <w:r>
        <w:rPr>
          <w:iCs/>
        </w:rPr>
        <w:t>e</w:t>
      </w:r>
      <w:r w:rsidR="008E7E49" w:rsidRPr="008E7E49">
        <w:rPr>
          <w:iCs/>
        </w:rPr>
        <w:t>sminių baudžiamojo proceso kodekso pažeidimų požymius įstatymų leidėjas apibrėžė BPK 369 str</w:t>
      </w:r>
      <w:r w:rsidR="0013286E">
        <w:rPr>
          <w:iCs/>
        </w:rPr>
        <w:t>aipsnio</w:t>
      </w:r>
      <w:r w:rsidR="008E7E49" w:rsidRPr="008E7E49">
        <w:rPr>
          <w:iCs/>
        </w:rPr>
        <w:t xml:space="preserve"> 3 d</w:t>
      </w:r>
      <w:r w:rsidR="0013286E">
        <w:rPr>
          <w:iCs/>
        </w:rPr>
        <w:t>alies nuostatose</w:t>
      </w:r>
      <w:r w:rsidR="008E7E49" w:rsidRPr="008E7E49">
        <w:rPr>
          <w:iCs/>
        </w:rPr>
        <w:t xml:space="preserve">: </w:t>
      </w:r>
      <w:r w:rsidR="00B66D4D">
        <w:rPr>
          <w:iCs/>
        </w:rPr>
        <w:t>tai</w:t>
      </w:r>
      <w:r w:rsidR="00850020">
        <w:rPr>
          <w:iCs/>
        </w:rPr>
        <w:t xml:space="preserve"> </w:t>
      </w:r>
      <w:r w:rsidR="008E7E49" w:rsidRPr="008E7E49">
        <w:rPr>
          <w:iCs/>
        </w:rPr>
        <w:t>įstatymų garantuot</w:t>
      </w:r>
      <w:r w:rsidR="00B66D4D">
        <w:rPr>
          <w:iCs/>
        </w:rPr>
        <w:t>ų</w:t>
      </w:r>
      <w:r w:rsidR="008E7E49" w:rsidRPr="008E7E49">
        <w:rPr>
          <w:iCs/>
        </w:rPr>
        <w:t xml:space="preserve"> kaltinamojo teis</w:t>
      </w:r>
      <w:r w:rsidR="00B66D4D">
        <w:rPr>
          <w:iCs/>
        </w:rPr>
        <w:t>ių</w:t>
      </w:r>
      <w:r w:rsidR="00850020">
        <w:rPr>
          <w:iCs/>
        </w:rPr>
        <w:t xml:space="preserve"> </w:t>
      </w:r>
      <w:r w:rsidR="00B66D4D" w:rsidRPr="008E7E49">
        <w:rPr>
          <w:iCs/>
        </w:rPr>
        <w:t>suvaržy</w:t>
      </w:r>
      <w:r w:rsidR="00B66D4D">
        <w:rPr>
          <w:iCs/>
        </w:rPr>
        <w:t>ma</w:t>
      </w:r>
      <w:r w:rsidR="00B66D4D" w:rsidRPr="008E7E49">
        <w:rPr>
          <w:iCs/>
        </w:rPr>
        <w:t xml:space="preserve">s </w:t>
      </w:r>
      <w:r w:rsidR="00B66D4D">
        <w:rPr>
          <w:iCs/>
        </w:rPr>
        <w:t>ir sukliudymas</w:t>
      </w:r>
      <w:r w:rsidR="008E7E49" w:rsidRPr="008E7E49">
        <w:rPr>
          <w:iCs/>
        </w:rPr>
        <w:t xml:space="preserve"> teismui išsamiai ir nešališkai išnagrinėti bylą </w:t>
      </w:r>
      <w:r w:rsidR="00850020">
        <w:rPr>
          <w:iCs/>
        </w:rPr>
        <w:t>bei</w:t>
      </w:r>
      <w:r w:rsidR="008E7E49" w:rsidRPr="008E7E49">
        <w:rPr>
          <w:iCs/>
        </w:rPr>
        <w:t xml:space="preserve"> priimti teisingą nuosprendį ar nutartį. Aiškinant esminio baudžiamojo proceso kodekso pažeidimo sąvoką, remsimės E. Rimšelio atliktu moksliniu tyrimu, kuriame pagrindžiama nuomonė, kad esminiu baudžiamojo proceso teisės pažeidimu laikytinas ne bet koks formalus kaltinamojo teisės pažeidimas, o turintis priežastinį ryšį su neteising</w:t>
      </w:r>
      <w:r w:rsidR="00EC6454">
        <w:rPr>
          <w:iCs/>
        </w:rPr>
        <w:t>u</w:t>
      </w:r>
      <w:r w:rsidR="008E7E49" w:rsidRPr="008E7E49">
        <w:rPr>
          <w:iCs/>
        </w:rPr>
        <w:t xml:space="preserve"> bylos išnagrinėjim</w:t>
      </w:r>
      <w:r w:rsidR="00EC6454">
        <w:rPr>
          <w:iCs/>
        </w:rPr>
        <w:t>u</w:t>
      </w:r>
      <w:r w:rsidR="008E7E49" w:rsidRPr="008E7E49">
        <w:rPr>
          <w:iCs/>
        </w:rPr>
        <w:t xml:space="preserve"> (neteising</w:t>
      </w:r>
      <w:r w:rsidR="00EC6454">
        <w:rPr>
          <w:iCs/>
        </w:rPr>
        <w:t xml:space="preserve">u teismo </w:t>
      </w:r>
      <w:r w:rsidR="00EC6454">
        <w:rPr>
          <w:iCs/>
        </w:rPr>
        <w:lastRenderedPageBreak/>
        <w:t>sprendimo priėmimu</w:t>
      </w:r>
      <w:r w:rsidR="008E7E49" w:rsidRPr="008E7E49">
        <w:rPr>
          <w:iCs/>
        </w:rPr>
        <w:t>)</w:t>
      </w:r>
      <w:r w:rsidR="00EC6454">
        <w:rPr>
          <w:iCs/>
        </w:rPr>
        <w:t>, t.y.</w:t>
      </w:r>
      <w:r w:rsidR="008E7E49" w:rsidRPr="008E7E49">
        <w:rPr>
          <w:iCs/>
        </w:rPr>
        <w:t xml:space="preserve"> tuomet, kai negalima atmesti galimybės, jog</w:t>
      </w:r>
      <w:r w:rsidR="00850020">
        <w:rPr>
          <w:iCs/>
        </w:rPr>
        <w:t>,</w:t>
      </w:r>
      <w:r w:rsidR="008E7E49" w:rsidRPr="008E7E49">
        <w:rPr>
          <w:iCs/>
        </w:rPr>
        <w:t xml:space="preserve"> jeigu pažeidimas nebūtų padarytas, teismas būtų priėmęs kitokį sprendimą. </w:t>
      </w:r>
      <w:r w:rsidR="008E7E49" w:rsidRPr="00CF3875">
        <w:rPr>
          <w:i/>
          <w:iCs/>
        </w:rPr>
        <w:t>Kitaip tariant, priežastinio ryšio tarp baudžiamojo proceso teisės pažeidimo ir neteisingo teismo sprendimo priėmimo nėra tuomet, kai yra visiškai akivaizdu, jog baudžiamojo proceso teisės pažeidimas neturėjo jokios įtakos teismo sprendimui arba įtaka teismo sprendimui yra grynai teorinė, bet ne reali</w:t>
      </w:r>
      <w:r w:rsidR="008E7E49" w:rsidRPr="008E7E49">
        <w:rPr>
          <w:iCs/>
        </w:rPr>
        <w:t xml:space="preserve">. </w:t>
      </w:r>
      <w:r w:rsidR="008E7E49" w:rsidRPr="008E7E49">
        <w:rPr>
          <w:iCs/>
          <w:vertAlign w:val="superscript"/>
        </w:rPr>
        <w:footnoteReference w:id="516"/>
      </w:r>
      <w:r w:rsidR="00850020">
        <w:rPr>
          <w:iCs/>
        </w:rPr>
        <w:t xml:space="preserve"> </w:t>
      </w:r>
      <w:r w:rsidR="004D086D">
        <w:rPr>
          <w:iCs/>
        </w:rPr>
        <w:t>LAT</w:t>
      </w:r>
      <w:r w:rsidR="008E7E49" w:rsidRPr="008E7E49">
        <w:rPr>
          <w:iCs/>
        </w:rPr>
        <w:t xml:space="preserve"> praktika taip pat remiasi tokia prielaida. Nutartyse, susijusiose su BPK nuostatų dėl privataus kaltinimo bylų proceso reglamentavimo taikymu, baudžiamojo proceso pažeidimo esmingumas siejamas su galimybės nukentėjusiajam ir kaltininkui susitaikyti suteikimu, kadangi būtent galimybės susitaikyti nebuvimas viešo kaltinimo procese susiaurina kaltinamojo ir nukentėjusiojo teisių apimtį ir pasunkina kaltinamojo procesinę padėtį, jei nukentėjęs ir kaltininkas turėjo norą susitaikyti, tačiau jiems nebuvo suteikta tokia procesinė galimybė. </w:t>
      </w:r>
    </w:p>
    <w:p w:rsidR="008E7E49" w:rsidRPr="008E7E49" w:rsidRDefault="004D086D" w:rsidP="008E7E49">
      <w:pPr>
        <w:spacing w:line="360" w:lineRule="auto"/>
        <w:ind w:firstLine="851"/>
        <w:jc w:val="both"/>
        <w:rPr>
          <w:iCs/>
        </w:rPr>
      </w:pPr>
      <w:r>
        <w:t>Į</w:t>
      </w:r>
      <w:r w:rsidR="008E7E49" w:rsidRPr="008E7E49">
        <w:t xml:space="preserve">statyme nustatytos valstybinio kaltinimo bylų perėjimo į privataus </w:t>
      </w:r>
      <w:r w:rsidR="00B66D4D">
        <w:t xml:space="preserve">kaltinimo </w:t>
      </w:r>
      <w:r w:rsidR="008E7E49" w:rsidRPr="008E7E49">
        <w:t>bylų procesą procedūr</w:t>
      </w:r>
      <w:r w:rsidR="00A15E30">
        <w:t>os</w:t>
      </w:r>
      <w:r w:rsidR="008E7E49" w:rsidRPr="008E7E49">
        <w:t xml:space="preserve"> nesilaikym</w:t>
      </w:r>
      <w:r w:rsidR="00A15E30">
        <w:t>as</w:t>
      </w:r>
      <w:r w:rsidR="008E7E49" w:rsidRPr="008E7E49">
        <w:t>, t.y. proceso dalyvių neinformavim</w:t>
      </w:r>
      <w:r w:rsidR="00850020">
        <w:t>as</w:t>
      </w:r>
      <w:r w:rsidR="008E7E49" w:rsidRPr="008E7E49">
        <w:t xml:space="preserve"> apie galimybę perkvalifikuoti nusikalstamą veiką, nagrinėjamą valstybinio kaltinimo tvarka, į nusikalstamą veiką, nagrinėjamą privataus kaltinimo tvarka, bei susitaikymo galimybės, jeigu veika būtų perkvalifikuota, neaptarim</w:t>
      </w:r>
      <w:r w:rsidR="00A15E30">
        <w:t>as</w:t>
      </w:r>
      <w:r w:rsidR="008E7E49" w:rsidRPr="008E7E49">
        <w:t xml:space="preserve">, </w:t>
      </w:r>
      <w:r>
        <w:t xml:space="preserve">LAT praktikoje </w:t>
      </w:r>
      <w:r w:rsidR="008E7E49" w:rsidRPr="008E7E49">
        <w:t>pripažįsta</w:t>
      </w:r>
      <w:r>
        <w:t>ma</w:t>
      </w:r>
      <w:r w:rsidR="00A15E30">
        <w:t>s</w:t>
      </w:r>
      <w:r w:rsidR="008E7E49" w:rsidRPr="008E7E49">
        <w:t xml:space="preserve"> esminiu baudžiamojo proceso pažeidimu: „</w:t>
      </w:r>
      <w:r w:rsidR="008E7E49" w:rsidRPr="008E7E49">
        <w:rPr>
          <w:i/>
        </w:rPr>
        <w:t>BPK 417 straipsnio 2 dalyje nustatytų reikalavimų pažeidimas yra esminis baudžiamojo proceso įstatymo pažeidimas (BPK 369 straipsnio 3 dalis), dėl kurio pirmosios instancijos teismo nutartis negali būti pripažįstama teisėta.“</w:t>
      </w:r>
      <w:r w:rsidR="00707CEE">
        <w:rPr>
          <w:i/>
        </w:rPr>
        <w:t xml:space="preserve"> </w:t>
      </w:r>
      <w:r w:rsidR="008E7E49" w:rsidRPr="008E7E49">
        <w:rPr>
          <w:i/>
          <w:vertAlign w:val="superscript"/>
        </w:rPr>
        <w:footnoteReference w:id="517"/>
      </w:r>
      <w:r w:rsidR="005D542B">
        <w:rPr>
          <w:i/>
        </w:rPr>
        <w:t xml:space="preserve"> </w:t>
      </w:r>
      <w:r w:rsidR="00C219C7">
        <w:t>Baudžiamasis procesas ir apkaltinamojo nuosprendžio priėmimas, n</w:t>
      </w:r>
      <w:r w:rsidR="008E7E49" w:rsidRPr="008E7E49">
        <w:rPr>
          <w:iCs/>
        </w:rPr>
        <w:t>esant prokuroro reikalavimo tęsti pradėtą baudžiamąjį procesą BPK 409 str</w:t>
      </w:r>
      <w:r w:rsidR="0013286E">
        <w:rPr>
          <w:iCs/>
        </w:rPr>
        <w:t>aipsnio 1 dalyje</w:t>
      </w:r>
      <w:r w:rsidR="008E7E49" w:rsidRPr="008E7E49">
        <w:rPr>
          <w:iCs/>
        </w:rPr>
        <w:t xml:space="preserve"> numatytais pagrindais, iš esmės pažeidžia</w:t>
      </w:r>
      <w:r w:rsidR="00C219C7">
        <w:rPr>
          <w:iCs/>
        </w:rPr>
        <w:t>nt</w:t>
      </w:r>
      <w:r w:rsidR="008E7E49" w:rsidRPr="008E7E49">
        <w:rPr>
          <w:iCs/>
        </w:rPr>
        <w:t xml:space="preserve"> BPK 407 str</w:t>
      </w:r>
      <w:r w:rsidR="0013286E">
        <w:rPr>
          <w:iCs/>
        </w:rPr>
        <w:t>aipsnio</w:t>
      </w:r>
      <w:r w:rsidR="008E7E49" w:rsidRPr="008E7E49">
        <w:rPr>
          <w:iCs/>
        </w:rPr>
        <w:t>, 417 str</w:t>
      </w:r>
      <w:r w:rsidR="0013286E">
        <w:rPr>
          <w:iCs/>
        </w:rPr>
        <w:t>aipsnio</w:t>
      </w:r>
      <w:r w:rsidR="008E7E49" w:rsidRPr="008E7E49">
        <w:rPr>
          <w:iCs/>
        </w:rPr>
        <w:t xml:space="preserve"> 1 d</w:t>
      </w:r>
      <w:r w:rsidR="0013286E">
        <w:rPr>
          <w:iCs/>
        </w:rPr>
        <w:t>alies</w:t>
      </w:r>
      <w:r w:rsidR="008E7E49" w:rsidRPr="008E7E49">
        <w:rPr>
          <w:iCs/>
        </w:rPr>
        <w:t xml:space="preserve"> reikalavim</w:t>
      </w:r>
      <w:r w:rsidR="00C219C7">
        <w:rPr>
          <w:iCs/>
        </w:rPr>
        <w:t>u</w:t>
      </w:r>
      <w:r w:rsidR="005D542B">
        <w:rPr>
          <w:iCs/>
        </w:rPr>
        <w:t>s</w:t>
      </w:r>
      <w:r w:rsidR="00C219C7">
        <w:rPr>
          <w:iCs/>
        </w:rPr>
        <w:t>,</w:t>
      </w:r>
      <w:r w:rsidR="005D542B">
        <w:rPr>
          <w:iCs/>
        </w:rPr>
        <w:t xml:space="preserve"> </w:t>
      </w:r>
      <w:r w:rsidR="000D7A29">
        <w:rPr>
          <w:iCs/>
        </w:rPr>
        <w:t>bei proceso dalyvi</w:t>
      </w:r>
      <w:r w:rsidR="00404135">
        <w:rPr>
          <w:iCs/>
        </w:rPr>
        <w:t>a</w:t>
      </w:r>
      <w:r w:rsidR="000D7A29">
        <w:rPr>
          <w:iCs/>
        </w:rPr>
        <w:t xml:space="preserve">ms neišaiškinus </w:t>
      </w:r>
      <w:r w:rsidR="00404135">
        <w:rPr>
          <w:iCs/>
        </w:rPr>
        <w:t xml:space="preserve">teisės susitaikyti dėl privataus kaltinimo tvarka nagrinėjamos nusikalstamos veikos, </w:t>
      </w:r>
      <w:r w:rsidR="008E7E49" w:rsidRPr="008E7E49">
        <w:rPr>
          <w:iCs/>
        </w:rPr>
        <w:t>pažei</w:t>
      </w:r>
      <w:r w:rsidR="00C219C7">
        <w:rPr>
          <w:iCs/>
        </w:rPr>
        <w:t>džia</w:t>
      </w:r>
      <w:r w:rsidR="008E7E49" w:rsidRPr="008E7E49">
        <w:rPr>
          <w:iCs/>
        </w:rPr>
        <w:t xml:space="preserve"> kaltinamojo teis</w:t>
      </w:r>
      <w:r w:rsidR="00C219C7">
        <w:rPr>
          <w:iCs/>
        </w:rPr>
        <w:t>ę</w:t>
      </w:r>
      <w:r w:rsidR="008E7E49" w:rsidRPr="008E7E49">
        <w:rPr>
          <w:iCs/>
        </w:rPr>
        <w:t xml:space="preserve"> į tinkamą jo padarytos nusikalstamos veikos tyrimo procesą: jis nete</w:t>
      </w:r>
      <w:r w:rsidR="00C219C7">
        <w:rPr>
          <w:iCs/>
        </w:rPr>
        <w:t>nka</w:t>
      </w:r>
      <w:r w:rsidR="008E7E49" w:rsidRPr="008E7E49">
        <w:rPr>
          <w:iCs/>
        </w:rPr>
        <w:t xml:space="preserve"> galimybės pasinaudoti BPK 413 str</w:t>
      </w:r>
      <w:r w:rsidR="0013286E">
        <w:rPr>
          <w:iCs/>
        </w:rPr>
        <w:t>aipsnyje</w:t>
      </w:r>
      <w:r w:rsidR="008E7E49" w:rsidRPr="008E7E49">
        <w:rPr>
          <w:iCs/>
        </w:rPr>
        <w:t xml:space="preserve"> numatytu tik privataus kaltinimo bylų procesui būdingu sutaikinimo institutu. </w:t>
      </w:r>
      <w:r w:rsidR="008E7E49" w:rsidRPr="008E7E49">
        <w:rPr>
          <w:iCs/>
          <w:vertAlign w:val="superscript"/>
        </w:rPr>
        <w:footnoteReference w:id="518"/>
      </w:r>
    </w:p>
    <w:p w:rsidR="008E7E49" w:rsidRPr="008E7E49" w:rsidRDefault="008E7E49" w:rsidP="008E7E49">
      <w:pPr>
        <w:spacing w:line="360" w:lineRule="auto"/>
        <w:ind w:firstLine="851"/>
        <w:jc w:val="both"/>
        <w:rPr>
          <w:iCs/>
        </w:rPr>
      </w:pPr>
      <w:r w:rsidRPr="008E7E49">
        <w:rPr>
          <w:iCs/>
        </w:rPr>
        <w:t>Bylos nagrinėjimo teisme metu paaiškėjus, kad baudžiamasis procesas dėl BPK 407 str</w:t>
      </w:r>
      <w:r w:rsidR="0013286E">
        <w:rPr>
          <w:iCs/>
        </w:rPr>
        <w:t>aipsnyje</w:t>
      </w:r>
      <w:r w:rsidRPr="008E7E49">
        <w:rPr>
          <w:iCs/>
        </w:rPr>
        <w:t xml:space="preserve"> nurodytos nusikalstamos veikos buvo pradėtas ir daromas nesant prokuroro reikalavimo, </w:t>
      </w:r>
      <w:r w:rsidRPr="008E7E49">
        <w:rPr>
          <w:iCs/>
        </w:rPr>
        <w:lastRenderedPageBreak/>
        <w:t>bylos nagrinėjimas gali būti tęsiamas, jei to reikalauja nukentėjusysis ar jo teisėtas atstovas. Vien tik aplinkybė, kad nėra nukentėjusiojo skundo, nebūtų pakankamas pagrindas naikinti nuosprendį, jeigu teismas laikytųsi perėjimo iš valstybinio kaltinimo į privatų procedūros. Jeigu nukentėjusysis ar jo teisėtas atstovas nepareiškia reikalavimo tęsti procesą, procesas gali būti tęsiamas, jeigu tokią valią i</w:t>
      </w:r>
      <w:r w:rsidR="003D34FD">
        <w:rPr>
          <w:iCs/>
        </w:rPr>
        <w:t>šreiškia p</w:t>
      </w:r>
      <w:r w:rsidR="0013286E">
        <w:rPr>
          <w:iCs/>
        </w:rPr>
        <w:t>rokuroras BPK 409 straipsnio</w:t>
      </w:r>
      <w:r w:rsidRPr="008E7E49">
        <w:rPr>
          <w:iCs/>
        </w:rPr>
        <w:t xml:space="preserve"> 1 d</w:t>
      </w:r>
      <w:r w:rsidR="0013286E">
        <w:rPr>
          <w:iCs/>
        </w:rPr>
        <w:t>alyje</w:t>
      </w:r>
      <w:r w:rsidRPr="008E7E49">
        <w:rPr>
          <w:iCs/>
        </w:rPr>
        <w:t xml:space="preserve"> numatytais pagrindais.</w:t>
      </w:r>
      <w:r w:rsidR="005D542B">
        <w:rPr>
          <w:iCs/>
        </w:rPr>
        <w:t xml:space="preserve"> </w:t>
      </w:r>
      <w:r w:rsidR="005F5529" w:rsidRPr="008E7E49">
        <w:rPr>
          <w:iCs/>
        </w:rPr>
        <w:t>Esminiu proceso pažeidimu teismų praktikoje nelaikomi atvejai, kai privataus kaltinimo tvarka nagrinėtinos nusikalstamos veikos nagrinėj</w:t>
      </w:r>
      <w:r w:rsidR="00CF3875">
        <w:rPr>
          <w:iCs/>
        </w:rPr>
        <w:t>i</w:t>
      </w:r>
      <w:r w:rsidR="005F5529" w:rsidRPr="008E7E49">
        <w:rPr>
          <w:iCs/>
        </w:rPr>
        <w:t>mas tęsiamas valstybinio kaltinimo tvarka</w:t>
      </w:r>
      <w:r w:rsidR="005F5529">
        <w:rPr>
          <w:iCs/>
        </w:rPr>
        <w:t xml:space="preserve"> net ir nesant prokuroro reikalavimo</w:t>
      </w:r>
      <w:r w:rsidR="005F5529" w:rsidRPr="008E7E49">
        <w:rPr>
          <w:iCs/>
        </w:rPr>
        <w:t xml:space="preserve">, jei nukentėjusysis išreiškė valią dėl tolesnio bylos nagrinėjimo, o galimybė kaltinamajam ir nukentėjusiajam susitaikyti buvo sudaryta. </w:t>
      </w:r>
      <w:r w:rsidR="00377592" w:rsidRPr="008E7E49">
        <w:rPr>
          <w:iCs/>
          <w:vertAlign w:val="superscript"/>
        </w:rPr>
        <w:footnoteReference w:id="519"/>
      </w:r>
      <w:r w:rsidR="00377592">
        <w:rPr>
          <w:iCs/>
        </w:rPr>
        <w:t xml:space="preserve"> Šiuo atveju siekiama užtikrinti ir nukentėjusiojo </w:t>
      </w:r>
      <w:r w:rsidR="00377592" w:rsidRPr="00377592">
        <w:rPr>
          <w:iCs/>
        </w:rPr>
        <w:t>teis</w:t>
      </w:r>
      <w:r w:rsidR="00377592">
        <w:rPr>
          <w:iCs/>
        </w:rPr>
        <w:t>ę</w:t>
      </w:r>
      <w:r w:rsidR="00377592" w:rsidRPr="00377592">
        <w:rPr>
          <w:iCs/>
        </w:rPr>
        <w:t xml:space="preserve"> reikalauti, kad būtų nustatytas ir teisingai nubaustas nusikalstamą veiką padaręs asmuo, taip pat gauti dėl nusikalstamos veikos padarytos žalos atlyginimą (BPK 44 str</w:t>
      </w:r>
      <w:r w:rsidR="0013286E">
        <w:rPr>
          <w:iCs/>
        </w:rPr>
        <w:t>aipsnio</w:t>
      </w:r>
      <w:r w:rsidR="00377592" w:rsidRPr="00377592">
        <w:rPr>
          <w:iCs/>
        </w:rPr>
        <w:t xml:space="preserve"> 10 d</w:t>
      </w:r>
      <w:r w:rsidR="0013286E">
        <w:rPr>
          <w:iCs/>
        </w:rPr>
        <w:t>alis</w:t>
      </w:r>
      <w:r w:rsidR="00377592" w:rsidRPr="00377592">
        <w:rPr>
          <w:iCs/>
        </w:rPr>
        <w:t>).</w:t>
      </w:r>
      <w:r w:rsidR="00377592">
        <w:rPr>
          <w:iCs/>
        </w:rPr>
        <w:t xml:space="preserve"> Teismui ignoruojant nukentėjusiojo poziciją, kad būtų nubaustas BPK 407 str</w:t>
      </w:r>
      <w:r w:rsidR="0013286E">
        <w:rPr>
          <w:iCs/>
        </w:rPr>
        <w:t>aipsnyje</w:t>
      </w:r>
      <w:r w:rsidR="00377592">
        <w:rPr>
          <w:iCs/>
        </w:rPr>
        <w:t xml:space="preserve"> numatytos nusikalstamos veikos padarymu kaltinamas asmuo, būtų suvaržytos nukentėjusiojo teisės. </w:t>
      </w:r>
      <w:r w:rsidR="00377592" w:rsidRPr="008E7E49">
        <w:rPr>
          <w:iCs/>
          <w:vertAlign w:val="superscript"/>
        </w:rPr>
        <w:footnoteReference w:id="520"/>
      </w:r>
      <w:r w:rsidR="005D542B">
        <w:rPr>
          <w:iCs/>
        </w:rPr>
        <w:t xml:space="preserve"> </w:t>
      </w:r>
      <w:r w:rsidR="005F5529" w:rsidRPr="008E7E49">
        <w:rPr>
          <w:iCs/>
        </w:rPr>
        <w:t>Sistemiškai analizuojant privataus kaltinimo bylų proceso nuostatas, konstatuotina, kad sutaikinimo procedūra padeda išvengti tiek teisiamojo, tiek nukentėjusiojo procesinių teisių pažeidimo ir tam tikrais atvejais panaikina kliūtis teismui priimti nuosprendį dėl BPK 407</w:t>
      </w:r>
      <w:r w:rsidR="007B7828">
        <w:rPr>
          <w:iCs/>
        </w:rPr>
        <w:t xml:space="preserve"> </w:t>
      </w:r>
      <w:r w:rsidR="005F5529" w:rsidRPr="008E7E49">
        <w:rPr>
          <w:iCs/>
        </w:rPr>
        <w:t>str</w:t>
      </w:r>
      <w:r w:rsidR="0013286E">
        <w:rPr>
          <w:iCs/>
        </w:rPr>
        <w:t>aipsnyje</w:t>
      </w:r>
      <w:r w:rsidR="005F5529" w:rsidRPr="008E7E49">
        <w:rPr>
          <w:iCs/>
        </w:rPr>
        <w:t xml:space="preserve"> nurodytos nusikalstamos veikos net ir tuo atveju, kai </w:t>
      </w:r>
      <w:r w:rsidR="00377592">
        <w:rPr>
          <w:iCs/>
        </w:rPr>
        <w:t>procesas vyko bendra tvarka</w:t>
      </w:r>
      <w:r w:rsidR="005F5529" w:rsidRPr="008E7E49">
        <w:rPr>
          <w:iCs/>
        </w:rPr>
        <w:t xml:space="preserve">. </w:t>
      </w:r>
    </w:p>
    <w:p w:rsidR="008E7E49" w:rsidRPr="008E7E49" w:rsidRDefault="00377592" w:rsidP="008E7E49">
      <w:pPr>
        <w:spacing w:line="360" w:lineRule="auto"/>
        <w:ind w:firstLine="851"/>
        <w:jc w:val="both"/>
      </w:pPr>
      <w:r>
        <w:t>Taigi teismų praktikos analizė leidžia daryti išvadą, kad atvejai, kai</w:t>
      </w:r>
      <w:r w:rsidR="005D542B">
        <w:t xml:space="preserve"> </w:t>
      </w:r>
      <w:r w:rsidR="008E7E49" w:rsidRPr="008E7E49">
        <w:t>baudžiamojo proceso pažeidimai, ikiteisminio tyrimo subjektams ir vėliau teismui netinkamai pasirinkus bylos tyrimo ir nagrinėjimo procesinę formą, nesutrukdo priimti teismams teisingo sprendimo</w:t>
      </w:r>
      <w:r>
        <w:t>, nelaikomi esminiais baudžiamojo proceso pažeidimais.</w:t>
      </w:r>
      <w:r w:rsidR="0056554C">
        <w:t xml:space="preserve"> Pritartina nuomonei, kad „e</w:t>
      </w:r>
      <w:r w:rsidR="00D0392E" w:rsidRPr="00D0392E">
        <w:rPr>
          <w:i/>
        </w:rPr>
        <w:t>sant</w:t>
      </w:r>
      <w:r w:rsidR="008E7E49" w:rsidRPr="00D0392E">
        <w:rPr>
          <w:i/>
        </w:rPr>
        <w:t xml:space="preserve"> procesinė</w:t>
      </w:r>
      <w:r w:rsidR="00D0392E" w:rsidRPr="00D0392E">
        <w:rPr>
          <w:i/>
        </w:rPr>
        <w:t>m</w:t>
      </w:r>
      <w:r w:rsidR="008E7E49" w:rsidRPr="00D0392E">
        <w:rPr>
          <w:i/>
        </w:rPr>
        <w:t>s prielaido</w:t>
      </w:r>
      <w:r w:rsidR="00D0392E" w:rsidRPr="00D0392E">
        <w:rPr>
          <w:i/>
        </w:rPr>
        <w:t>m</w:t>
      </w:r>
      <w:r w:rsidR="008E7E49" w:rsidRPr="00D0392E">
        <w:rPr>
          <w:i/>
        </w:rPr>
        <w:t>s: nukentėjusiojo pozicija</w:t>
      </w:r>
      <w:r w:rsidR="00D0392E" w:rsidRPr="00D0392E">
        <w:rPr>
          <w:i/>
        </w:rPr>
        <w:t>i</w:t>
      </w:r>
      <w:r w:rsidR="005D542B">
        <w:rPr>
          <w:i/>
        </w:rPr>
        <w:t xml:space="preserve"> </w:t>
      </w:r>
      <w:r w:rsidR="008E7E49" w:rsidRPr="00D0392E">
        <w:rPr>
          <w:i/>
        </w:rPr>
        <w:t>nesitaikyti ir aplinkybė</w:t>
      </w:r>
      <w:r w:rsidR="00D0392E" w:rsidRPr="00D0392E">
        <w:rPr>
          <w:i/>
        </w:rPr>
        <w:t>m</w:t>
      </w:r>
      <w:r w:rsidR="008E7E49" w:rsidRPr="00D0392E">
        <w:rPr>
          <w:i/>
        </w:rPr>
        <w:t>s, leidusio</w:t>
      </w:r>
      <w:r w:rsidR="00D0392E" w:rsidRPr="00D0392E">
        <w:rPr>
          <w:i/>
        </w:rPr>
        <w:t>m</w:t>
      </w:r>
      <w:r w:rsidR="008E7E49" w:rsidRPr="00D0392E">
        <w:rPr>
          <w:i/>
        </w:rPr>
        <w:t>s prokurorui palaikyti kaltinimą, baudžiamojo proceso paskirties (BPK 1 str.) dominantė prieš specialiąsias BPK normas yra pateisinama.</w:t>
      </w:r>
      <w:r w:rsidR="0056554C">
        <w:rPr>
          <w:i/>
        </w:rPr>
        <w:t xml:space="preserve">“ </w:t>
      </w:r>
      <w:r w:rsidR="008E7E49" w:rsidRPr="008E7E49">
        <w:rPr>
          <w:vertAlign w:val="superscript"/>
        </w:rPr>
        <w:footnoteReference w:id="521"/>
      </w:r>
    </w:p>
    <w:p w:rsidR="008E7E49" w:rsidRDefault="008E7E49" w:rsidP="008E7E49">
      <w:pPr>
        <w:pStyle w:val="Antrat3"/>
      </w:pPr>
      <w:bookmarkStart w:id="274" w:name="_Toc320526525"/>
      <w:bookmarkStart w:id="275" w:name="_Toc332026008"/>
      <w:bookmarkStart w:id="276" w:name="_Toc333483948"/>
      <w:bookmarkStart w:id="277" w:name="_Toc365498859"/>
      <w:bookmarkStart w:id="278" w:name="_Toc400321698"/>
      <w:r>
        <w:t>4.2.</w:t>
      </w:r>
      <w:r w:rsidR="00F93861">
        <w:t xml:space="preserve"> </w:t>
      </w:r>
      <w:r w:rsidRPr="00B262A3">
        <w:t>Proceso formos pakeitimo procedūra teisminio nagrinėjimo metu</w:t>
      </w:r>
      <w:bookmarkEnd w:id="274"/>
      <w:bookmarkEnd w:id="275"/>
      <w:bookmarkEnd w:id="276"/>
      <w:bookmarkEnd w:id="277"/>
      <w:bookmarkEnd w:id="278"/>
    </w:p>
    <w:p w:rsidR="003E3809" w:rsidRPr="00CE37D0" w:rsidRDefault="003E3809" w:rsidP="003E3809">
      <w:pPr>
        <w:spacing w:line="360" w:lineRule="auto"/>
        <w:ind w:firstLine="851"/>
        <w:jc w:val="both"/>
      </w:pPr>
      <w:r w:rsidRPr="00CE37D0">
        <w:t>BPK 409 str</w:t>
      </w:r>
      <w:r w:rsidR="0013286E">
        <w:t>aipsnio</w:t>
      </w:r>
      <w:r w:rsidRPr="00CE37D0">
        <w:t xml:space="preserve"> 1 d</w:t>
      </w:r>
      <w:r w:rsidR="0013286E">
        <w:t>alyje</w:t>
      </w:r>
      <w:r w:rsidRPr="00CE37D0">
        <w:t xml:space="preserve"> numatyta garantija, kad privataus kaltinimo teisinio reguliavimo sričiai priklausantys atvejai, kurie laikytini viešojo intereso dalyku BPK 409 str</w:t>
      </w:r>
      <w:r w:rsidR="0013286E">
        <w:t>aipsnio</w:t>
      </w:r>
      <w:r w:rsidRPr="00CE37D0">
        <w:t xml:space="preserve"> 1 d</w:t>
      </w:r>
      <w:r w:rsidR="0013286E">
        <w:t>alies</w:t>
      </w:r>
      <w:r w:rsidRPr="00CE37D0">
        <w:t xml:space="preserve"> prasme, nepatektų už prokuroro įgalinimų ribų net ir privataus kaltinimo byl</w:t>
      </w:r>
      <w:r w:rsidR="001038EC">
        <w:t>os</w:t>
      </w:r>
      <w:r w:rsidRPr="00CE37D0">
        <w:t xml:space="preserve"> proces</w:t>
      </w:r>
      <w:r w:rsidR="001038EC">
        <w:t>o metu</w:t>
      </w:r>
      <w:r w:rsidRPr="00CE37D0">
        <w:t xml:space="preserve">. Baudžiamojo </w:t>
      </w:r>
      <w:r w:rsidR="001038EC">
        <w:t>proceso formos pakeitimas pereinant iš privataus kaltinimo į v</w:t>
      </w:r>
      <w:r w:rsidR="0056554C">
        <w:t>iešą</w:t>
      </w:r>
      <w:r w:rsidR="001038EC">
        <w:t xml:space="preserve"> gali vykti </w:t>
      </w:r>
      <w:r w:rsidR="001038EC">
        <w:lastRenderedPageBreak/>
        <w:t xml:space="preserve">dviem skirtingais būdais: </w:t>
      </w:r>
      <w:r w:rsidR="001038EC" w:rsidRPr="00CE37D0">
        <w:t xml:space="preserve">prokuroras </w:t>
      </w:r>
      <w:r w:rsidRPr="00CE37D0">
        <w:t xml:space="preserve">perimti procesą privataus kaltinimo byloje gali savo iniciatyva arba teismo sprendimu. </w:t>
      </w:r>
      <w:r w:rsidR="001038EC">
        <w:t>Tačiau prokurorui suteikiama</w:t>
      </w:r>
      <w:r w:rsidR="005D542B">
        <w:t xml:space="preserve"> </w:t>
      </w:r>
      <w:r w:rsidR="001038EC">
        <w:t xml:space="preserve">teisė paduoti teismui </w:t>
      </w:r>
      <w:r w:rsidR="001038EC" w:rsidRPr="001038EC">
        <w:t>rašytinį pareiškimą, kad šioje byloje palaikys valstybinį kaltinimą</w:t>
      </w:r>
      <w:r w:rsidR="001132D8">
        <w:t>,</w:t>
      </w:r>
      <w:r w:rsidR="001038EC">
        <w:t xml:space="preserve"> tik iki įrodymų tyrimo pradžios</w:t>
      </w:r>
      <w:r w:rsidR="001132D8">
        <w:t xml:space="preserve"> (BPK 409 str</w:t>
      </w:r>
      <w:r w:rsidR="0013286E">
        <w:t>aipsnio</w:t>
      </w:r>
      <w:r w:rsidR="001132D8">
        <w:t xml:space="preserve"> 2 d</w:t>
      </w:r>
      <w:r w:rsidR="0013286E">
        <w:t>alis</w:t>
      </w:r>
      <w:r w:rsidR="001132D8">
        <w:t>)</w:t>
      </w:r>
      <w:r w:rsidR="001038EC">
        <w:t xml:space="preserve">. </w:t>
      </w:r>
      <w:r w:rsidR="001132D8" w:rsidRPr="00CE37D0">
        <w:t xml:space="preserve">Jeigu </w:t>
      </w:r>
      <w:r w:rsidR="001132D8">
        <w:t xml:space="preserve">aplinkybės, </w:t>
      </w:r>
      <w:r w:rsidR="001132D8" w:rsidRPr="00CE37D0">
        <w:t>dėl kuri</w:t>
      </w:r>
      <w:r w:rsidR="001132D8">
        <w:t>ų</w:t>
      </w:r>
      <w:r w:rsidR="001132D8" w:rsidRPr="00CE37D0">
        <w:t xml:space="preserve"> turi būti palaikomas valstybinis kaltinimas, paaiškėja nagrinėjant privataus kaltinimo bylą teisme, privataus kaltinimo procesas nutraukiamas ir bylos medžiaga perduodama prokurorui</w:t>
      </w:r>
      <w:r w:rsidR="001132D8">
        <w:t xml:space="preserve"> teismo iniciatyva</w:t>
      </w:r>
      <w:r w:rsidR="001132D8" w:rsidRPr="00CE37D0">
        <w:t xml:space="preserve"> (BPK 409 str</w:t>
      </w:r>
      <w:r w:rsidR="0013286E">
        <w:t>aipsnio</w:t>
      </w:r>
      <w:r w:rsidR="005D542B">
        <w:t xml:space="preserve"> </w:t>
      </w:r>
      <w:r w:rsidR="001132D8">
        <w:t>5</w:t>
      </w:r>
      <w:r w:rsidR="001132D8" w:rsidRPr="00CE37D0">
        <w:t xml:space="preserve"> d</w:t>
      </w:r>
      <w:r w:rsidR="0013286E">
        <w:t>alis</w:t>
      </w:r>
      <w:r w:rsidR="001132D8" w:rsidRPr="00CE37D0">
        <w:t xml:space="preserve">). </w:t>
      </w:r>
      <w:r w:rsidRPr="00CE37D0">
        <w:t>Abiem atvejais</w:t>
      </w:r>
      <w:r w:rsidR="005D542B">
        <w:t>,</w:t>
      </w:r>
      <w:r w:rsidRPr="00CE37D0">
        <w:t xml:space="preserve"> perdavus bylą prokurorui</w:t>
      </w:r>
      <w:r w:rsidR="005D542B">
        <w:t>,</w:t>
      </w:r>
      <w:r w:rsidRPr="00CE37D0">
        <w:t xml:space="preserve"> privataus kaltinimo bylų procesas pasibaigia</w:t>
      </w:r>
      <w:r w:rsidR="005D542B">
        <w:t xml:space="preserve"> ir nėra tęsiamas</w:t>
      </w:r>
      <w:r w:rsidRPr="00CE37D0">
        <w:t>. Ikiteisminis tyrimas ir bylos nagrinėjimas teisme vyksta bendra tvarka</w:t>
      </w:r>
      <w:bookmarkStart w:id="279" w:name="estr409"/>
      <w:bookmarkStart w:id="280" w:name="410str"/>
      <w:bookmarkEnd w:id="279"/>
      <w:bookmarkEnd w:id="280"/>
      <w:r w:rsidRPr="00CE37D0">
        <w:t xml:space="preserve"> nuo pradinės stadijos. </w:t>
      </w:r>
    </w:p>
    <w:p w:rsidR="00AF4A7E" w:rsidRDefault="003E3809" w:rsidP="00480DD3">
      <w:pPr>
        <w:spacing w:line="360" w:lineRule="auto"/>
        <w:ind w:firstLine="851"/>
        <w:jc w:val="both"/>
      </w:pPr>
      <w:r w:rsidRPr="00CE37D0">
        <w:t>Prokuroras nėra privataus kaltinimo bylų proceso subjektas. Nedalyvaudamas privataus kaltinimo bylų procese</w:t>
      </w:r>
      <w:r w:rsidR="005D542B">
        <w:t>,</w:t>
      </w:r>
      <w:r w:rsidRPr="00CE37D0">
        <w:t xml:space="preserve"> prokuroras neturi galimybių sužinoti apie </w:t>
      </w:r>
      <w:r w:rsidR="005D542B">
        <w:t>būtinybę</w:t>
      </w:r>
      <w:r w:rsidRPr="00CE37D0">
        <w:t xml:space="preserve"> perimti kaltinimo palaikymą, išskyrus tą atvejį, kai tai nutartimi jam praneša teismas. </w:t>
      </w:r>
      <w:r w:rsidR="001132D8">
        <w:t>Tačiau p</w:t>
      </w:r>
      <w:r w:rsidRPr="00CE37D0">
        <w:t>rokuroro sužinojimo apie viešojo intereso privataus kaltinimo byloje egzistavimą savo iniciatyva mechanizmo nėr</w:t>
      </w:r>
      <w:r w:rsidR="008C2F02" w:rsidRPr="00CE37D0">
        <w:t>a</w:t>
      </w:r>
      <w:r w:rsidRPr="00CE37D0">
        <w:t xml:space="preserve">. </w:t>
      </w:r>
      <w:r w:rsidR="00376E6E" w:rsidRPr="00CE37D0">
        <w:t>BPK reglamentuoja tik prokuroro kreipimosi į teismą, kad jis palaikys valstybinį kaltinimą, formą. Teoriškai įmanoma, kad prokuroras sužin</w:t>
      </w:r>
      <w:r w:rsidR="00376E6E">
        <w:t>o</w:t>
      </w:r>
      <w:r w:rsidR="00376E6E" w:rsidRPr="00CE37D0">
        <w:t>tų apie privataus kaltinimo procesą iš nukentėjusiojo prašymo prokuratūrai palaikyti valstybinį kaltinimą privataus kaltinimo byloje.</w:t>
      </w:r>
      <w:r w:rsidR="00CF3875">
        <w:t xml:space="preserve"> </w:t>
      </w:r>
      <w:r w:rsidR="00376E6E" w:rsidRPr="00CE37D0">
        <w:t>Visgi praktikoje yra pasitaikę atvejų, kai prokuroras šią teisę realizavo, tačiau</w:t>
      </w:r>
      <w:r w:rsidR="00376E6E">
        <w:t>,</w:t>
      </w:r>
      <w:r w:rsidR="00376E6E" w:rsidRPr="00CE37D0">
        <w:t xml:space="preserve"> atsižvelgiant į subjekto, kurį buvo siekiama patraukti baudžiamojon atsakomybėn, ypatingą padėtį visuomenėje, reiktų daryti išvadą, kad apie privataus kaltinimo procesą prokuroras sužinojo ne </w:t>
      </w:r>
      <w:r w:rsidR="00CC2579">
        <w:t xml:space="preserve">naudodamasis </w:t>
      </w:r>
      <w:r w:rsidR="00376E6E" w:rsidRPr="00CE37D0">
        <w:t xml:space="preserve">procesinėmis priemonėmis. </w:t>
      </w:r>
      <w:r w:rsidR="00376E6E" w:rsidRPr="00CE37D0">
        <w:rPr>
          <w:vertAlign w:val="superscript"/>
        </w:rPr>
        <w:footnoteReference w:id="522"/>
      </w:r>
    </w:p>
    <w:p w:rsidR="00376E6E" w:rsidRPr="00CE37D0" w:rsidRDefault="00AF4A7E" w:rsidP="00480DD3">
      <w:pPr>
        <w:spacing w:line="360" w:lineRule="auto"/>
        <w:ind w:firstLine="851"/>
        <w:jc w:val="both"/>
      </w:pPr>
      <w:r w:rsidRPr="00CE37D0">
        <w:t>Vokietijoje prokuroras turi teisę dalyvauti privataus kaltinimo bylos teisminiame nagrinėjime ir reikalauti susipažinti su bylos dokumentais.</w:t>
      </w:r>
      <w:r w:rsidR="007B7828">
        <w:t xml:space="preserve"> </w:t>
      </w:r>
      <w:r w:rsidRPr="00CE37D0">
        <w:rPr>
          <w:vertAlign w:val="superscript"/>
        </w:rPr>
        <w:footnoteReference w:id="523"/>
      </w:r>
      <w:r>
        <w:t xml:space="preserve"> Tačiau ir Vokietijoje tokia praktika</w:t>
      </w:r>
      <w:r w:rsidR="00081FD6">
        <w:t xml:space="preserve"> </w:t>
      </w:r>
      <w:r w:rsidRPr="00CE37D0">
        <w:t xml:space="preserve">reta, </w:t>
      </w:r>
      <w:r w:rsidR="00081FD6">
        <w:t>to</w:t>
      </w:r>
      <w:r w:rsidRPr="00CE37D0">
        <w:t xml:space="preserve">dėl dažniausiai </w:t>
      </w:r>
      <w:r>
        <w:t xml:space="preserve">privataus kaltinimo procese neišvengiama teismo </w:t>
      </w:r>
      <w:r w:rsidRPr="00CE37D0">
        <w:t xml:space="preserve">rašytinio sprendimo. Nuo privataus kaltintojo </w:t>
      </w:r>
      <w:r>
        <w:t xml:space="preserve">iniciatyvumo </w:t>
      </w:r>
      <w:r w:rsidRPr="00CE37D0">
        <w:t xml:space="preserve">priklauso, ar privataus kaltinimo </w:t>
      </w:r>
      <w:r>
        <w:t xml:space="preserve">procesas pereis į </w:t>
      </w:r>
      <w:r w:rsidR="00401D2A">
        <w:t xml:space="preserve">viešąjį </w:t>
      </w:r>
      <w:r>
        <w:t>kaltinimą</w:t>
      </w:r>
      <w:r w:rsidRPr="00CE37D0">
        <w:t>, t.y. ar prokuroras tinkamais atvejais perim</w:t>
      </w:r>
      <w:r>
        <w:t>s</w:t>
      </w:r>
      <w:r w:rsidRPr="00CE37D0">
        <w:t xml:space="preserve"> procesą. </w:t>
      </w:r>
      <w:r w:rsidRPr="00CE37D0">
        <w:rPr>
          <w:vertAlign w:val="superscript"/>
        </w:rPr>
        <w:footnoteReference w:id="524"/>
      </w:r>
    </w:p>
    <w:p w:rsidR="00376E6E" w:rsidRDefault="00EC70E5" w:rsidP="00BE240F">
      <w:pPr>
        <w:spacing w:line="360" w:lineRule="auto"/>
        <w:ind w:firstLine="851"/>
        <w:jc w:val="both"/>
      </w:pPr>
      <w:r>
        <w:t>Kelia abejonių ir nuostatos, reglamentuojančios</w:t>
      </w:r>
      <w:r w:rsidR="00BE240F">
        <w:t xml:space="preserve"> moment</w:t>
      </w:r>
      <w:r>
        <w:t>ą</w:t>
      </w:r>
      <w:r w:rsidR="00BE240F">
        <w:t xml:space="preserve">, iki kurio prokuroras gali paduoti pareiškimą dėl valstybinio kaltinimo palaikymo, tikslingumas. </w:t>
      </w:r>
      <w:r w:rsidR="00081FD6">
        <w:t>Net ir teorinė prokuroro</w:t>
      </w:r>
      <w:r w:rsidR="00BE240F">
        <w:t xml:space="preserve"> galimybė sužinoti apie būtinumą palaikyti valstybinį kaltinimą privataus kaltinimo byloje sumažėja, jei j</w:t>
      </w:r>
      <w:r w:rsidR="00081FD6">
        <w:t xml:space="preserve">ą apriboja </w:t>
      </w:r>
      <w:r w:rsidR="00BE240F">
        <w:t>įrodymų tyrimo pradžios moment</w:t>
      </w:r>
      <w:r w:rsidR="00081FD6">
        <w:t xml:space="preserve">as </w:t>
      </w:r>
      <w:r w:rsidR="00376E6E" w:rsidRPr="00CE37D0">
        <w:t xml:space="preserve">(palyginimui: Vokietijoje prokuroras tokią teisę turi iki </w:t>
      </w:r>
      <w:r w:rsidR="00376E6E" w:rsidRPr="00CE37D0">
        <w:lastRenderedPageBreak/>
        <w:t>nuosprendžio įsiteisėjimo, įskaitant ir apeliacinį skundą, kurio padavimas reiškia bylos perėmimą</w:t>
      </w:r>
      <w:r w:rsidR="00401D2A">
        <w:t>).</w:t>
      </w:r>
      <w:r w:rsidR="00376E6E" w:rsidRPr="00CE37D0">
        <w:rPr>
          <w:vertAlign w:val="superscript"/>
        </w:rPr>
        <w:footnoteReference w:id="525"/>
      </w:r>
      <w:r w:rsidR="00BE240F">
        <w:t xml:space="preserve"> Priešingai, būtent įrodymų tyrimo metu gali paaiškėti aplinkybės, dėl kurių prokuroras turėtų pareigą reikalauti perduoti bylą ikiteisminiam tyrimui atlikti. Todėl manytina, kad prokuroras turėtų turėti </w:t>
      </w:r>
      <w:r w:rsidR="00660F5B">
        <w:t>teisę</w:t>
      </w:r>
      <w:r w:rsidR="00BE240F">
        <w:t xml:space="preserve"> pareikšti nuomonę dėl valstybinio kaltinimo tikslingumo ne iki įrodymų tyrimo pradžios, o iki įrodymų tyrimo pabaigos. </w:t>
      </w:r>
    </w:p>
    <w:p w:rsidR="00BE240F" w:rsidRPr="00930CED" w:rsidRDefault="0013286E" w:rsidP="00930CED">
      <w:pPr>
        <w:spacing w:line="360" w:lineRule="auto"/>
        <w:ind w:firstLine="851"/>
        <w:jc w:val="both"/>
      </w:pPr>
      <w:r>
        <w:t>Nors BPK 409 straipsnio</w:t>
      </w:r>
      <w:r w:rsidR="00376E6E" w:rsidRPr="00CE37D0">
        <w:t xml:space="preserve"> 2 d</w:t>
      </w:r>
      <w:r>
        <w:t>alyje</w:t>
      </w:r>
      <w:r w:rsidR="00376E6E" w:rsidRPr="00CE37D0">
        <w:t xml:space="preserve"> naudojama formuluotė „palaikys valstybinį kaltinimą“, prokuroras nepakeičia privataus kaltintojo teisminio nagrinėjimo stadijoje. Prokuroro įstojimas į privataus kaltinimo bylų procesą nereiškia proceso tęstinumo, atvirkščiai, procesas</w:t>
      </w:r>
      <w:r w:rsidR="00B77054">
        <w:t xml:space="preserve"> nutrūksta</w:t>
      </w:r>
      <w:r w:rsidR="00376E6E" w:rsidRPr="00CE37D0">
        <w:t xml:space="preserve">. Valstybinio kaltinimo palaikymas šiuo atveju suponuoja </w:t>
      </w:r>
      <w:r w:rsidR="00B77054">
        <w:t xml:space="preserve">ikiteisminio tyrimo </w:t>
      </w:r>
      <w:r w:rsidR="00376E6E" w:rsidRPr="00CE37D0">
        <w:t>procesą</w:t>
      </w:r>
      <w:r w:rsidR="00B77054">
        <w:t xml:space="preserve"> ir bylos nagrinėjimą teisme</w:t>
      </w:r>
      <w:r w:rsidR="00376E6E" w:rsidRPr="00CE37D0">
        <w:t xml:space="preserve"> bendra tvarka. Įstatymas numato procedūrą, kad</w:t>
      </w:r>
      <w:r w:rsidR="00081FD6">
        <w:t>,</w:t>
      </w:r>
      <w:r w:rsidR="00376E6E" w:rsidRPr="00CE37D0">
        <w:t xml:space="preserve"> prokurorui pateikus tokį rašytinį prašymą, byla perduodama prokurorui. Taigi įstatymo formuluotė, kad „prokuroras pateikia pareiškimą teismui, kad palaikys valstybinį kaltinimą“, nėra tiksli. </w:t>
      </w:r>
      <w:r w:rsidR="00BE240F">
        <w:t>Todėl BPK 409 str</w:t>
      </w:r>
      <w:r>
        <w:t>aipsnio</w:t>
      </w:r>
      <w:r w:rsidR="00BE240F">
        <w:t xml:space="preserve"> 2 d</w:t>
      </w:r>
      <w:r>
        <w:t>alyje</w:t>
      </w:r>
      <w:r w:rsidR="00BE240F">
        <w:t xml:space="preserve"> įvirtint</w:t>
      </w:r>
      <w:r w:rsidR="00EC70E5">
        <w:t>ą</w:t>
      </w:r>
      <w:r w:rsidR="00BE240F">
        <w:t xml:space="preserve"> nuostatą siūlytina keisti </w:t>
      </w:r>
      <w:r w:rsidR="00930CED">
        <w:t xml:space="preserve">numatant galimybę prokurorui </w:t>
      </w:r>
      <w:r w:rsidR="00BE240F" w:rsidRPr="00930CED">
        <w:rPr>
          <w:szCs w:val="20"/>
        </w:rPr>
        <w:t>iki įrodymų tyrimo pabaigos</w:t>
      </w:r>
      <w:r w:rsidR="00081FD6" w:rsidRPr="00930CED">
        <w:rPr>
          <w:szCs w:val="20"/>
        </w:rPr>
        <w:t xml:space="preserve"> </w:t>
      </w:r>
      <w:r w:rsidR="00BE240F" w:rsidRPr="00930CED">
        <w:rPr>
          <w:szCs w:val="20"/>
        </w:rPr>
        <w:t xml:space="preserve">pateikti teismui rašytinį </w:t>
      </w:r>
      <w:r w:rsidR="00B77054" w:rsidRPr="00930CED">
        <w:t>prašymą perduoti bylą prokurorui ikiteisminiam tyrimui organizuoti</w:t>
      </w:r>
      <w:r w:rsidR="00BE240F" w:rsidRPr="00930CED">
        <w:rPr>
          <w:szCs w:val="20"/>
        </w:rPr>
        <w:t>.</w:t>
      </w:r>
      <w:r w:rsidR="00930CED" w:rsidRPr="00930CED">
        <w:rPr>
          <w:rStyle w:val="Puslapioinaosnuoroda"/>
        </w:rPr>
        <w:t xml:space="preserve"> </w:t>
      </w:r>
      <w:r w:rsidR="00930CED">
        <w:rPr>
          <w:rStyle w:val="Puslapioinaosnuoroda"/>
        </w:rPr>
        <w:footnoteReference w:id="526"/>
      </w:r>
    </w:p>
    <w:p w:rsidR="004358E4" w:rsidRPr="00CE37D0" w:rsidRDefault="00081FD6" w:rsidP="004358E4">
      <w:pPr>
        <w:spacing w:line="360" w:lineRule="auto"/>
        <w:ind w:firstLine="851"/>
        <w:jc w:val="both"/>
      </w:pPr>
      <w:r>
        <w:t>Taip pat nėra tiksli t</w:t>
      </w:r>
      <w:r w:rsidR="00A54FDC">
        <w:t>eismo iniciatyvą pakeisti proceso formą reglamentuojanti BPK 409 str</w:t>
      </w:r>
      <w:r w:rsidR="0013286E">
        <w:t>aipsnio</w:t>
      </w:r>
      <w:r w:rsidR="00BE240F">
        <w:t xml:space="preserve"> 5 d</w:t>
      </w:r>
      <w:r w:rsidR="0013286E">
        <w:t>alies</w:t>
      </w:r>
      <w:r w:rsidR="00BE240F">
        <w:t xml:space="preserve"> nuostata, kad </w:t>
      </w:r>
      <w:r w:rsidR="00BE240F" w:rsidRPr="00BE240F">
        <w:t>privataus kaltinimo procesas nutraukiamas ir bylos medžiaga perduodama prokurorui</w:t>
      </w:r>
      <w:r w:rsidR="00BE240F">
        <w:t>,</w:t>
      </w:r>
      <w:r>
        <w:t xml:space="preserve"> </w:t>
      </w:r>
      <w:r w:rsidR="00BE240F">
        <w:t>j</w:t>
      </w:r>
      <w:r w:rsidR="00BE240F" w:rsidRPr="00BE240F">
        <w:t>eigu nagrinėjant privataus kaltinimo bylą teisme paaiškėja, kad kaltinamasis padarė nusikalstamą veiką, dėl kurios turi būti palaikomas valstybinis kaltinimas</w:t>
      </w:r>
      <w:r w:rsidR="00A54FDC">
        <w:t>.</w:t>
      </w:r>
      <w:r>
        <w:t xml:space="preserve"> </w:t>
      </w:r>
      <w:r w:rsidR="00A54FDC">
        <w:t>Aiškinant šią normą lingvistiniu būdu, darytina išvada, kad teismas nutraukti privataus kaltinimo procesą ir perduoti bylą prokurorui gali tik tuomet, kai nustatoma kitos nusikalstamos veikos, nenumatytos BPK 407 str</w:t>
      </w:r>
      <w:r w:rsidR="0013286E">
        <w:t>aipsnyje</w:t>
      </w:r>
      <w:r w:rsidR="00A54FDC">
        <w:t xml:space="preserve">, požymiai. Toks aiškinimas neapima </w:t>
      </w:r>
      <w:r w:rsidR="009957C6">
        <w:t>BPK 409 str</w:t>
      </w:r>
      <w:r w:rsidR="0013286E">
        <w:t>aipsio</w:t>
      </w:r>
      <w:r w:rsidR="009957C6">
        <w:t xml:space="preserve"> 1 d</w:t>
      </w:r>
      <w:r w:rsidR="0013286E">
        <w:t>alyje</w:t>
      </w:r>
      <w:r w:rsidR="009957C6">
        <w:t xml:space="preserve"> numatytų aplinkybių, dėl kurių turi būti palaikomas valstybinis kaltinimas. Prokurorui turint galimybę </w:t>
      </w:r>
      <w:r w:rsidR="00720480">
        <w:t>inicijuoti proceso formos pakeitimą</w:t>
      </w:r>
      <w:r w:rsidR="009957C6">
        <w:t xml:space="preserve"> tik iki įrodymų tyrimo pradžios, o teismui – tik galimybę perduoti bylą prokurorui dėl veikų, nenumatytų BPK 407 str</w:t>
      </w:r>
      <w:r w:rsidR="0013286E">
        <w:t>aipsnyje</w:t>
      </w:r>
      <w:r w:rsidR="009957C6">
        <w:t>, padarymo, įrodymų tyrimo metu nustačius veikos visuomeninę reikšmę arba svarbias priežastis, dėl kurių asmuo negali ginti savo teisių</w:t>
      </w:r>
      <w:r w:rsidR="00926935">
        <w:t>, proceso formos pakeitimas tampa neįmanomas, kadangi tokia galimybė įstatyme nėra numatyta</w:t>
      </w:r>
      <w:r w:rsidR="00BA000B">
        <w:t xml:space="preserve">. </w:t>
      </w:r>
      <w:r w:rsidR="00BA000B">
        <w:rPr>
          <w:rStyle w:val="Puslapioinaosnuoroda"/>
        </w:rPr>
        <w:footnoteReference w:id="527"/>
      </w:r>
      <w:r w:rsidR="00926935">
        <w:t xml:space="preserve"> </w:t>
      </w:r>
      <w:r w:rsidR="004358E4">
        <w:t>Sistemiškai aiškinant privataus kaltinimo bylų procesą reglamentuojančias normas galima prieiti prie išvados, kad teismas turi inicijuoti perėjimą iš p</w:t>
      </w:r>
      <w:r w:rsidR="00720480">
        <w:t>rivataus kaltinimo į v</w:t>
      </w:r>
      <w:r w:rsidR="004F3DEF">
        <w:t>iešą</w:t>
      </w:r>
      <w:r w:rsidR="004358E4">
        <w:t xml:space="preserve"> nustatęs ne tik BPK 409 str</w:t>
      </w:r>
      <w:r w:rsidR="0013286E">
        <w:t>aipsnio</w:t>
      </w:r>
      <w:r w:rsidR="004358E4">
        <w:t xml:space="preserve"> 5 d</w:t>
      </w:r>
      <w:r w:rsidR="0013286E">
        <w:t>alyje</w:t>
      </w:r>
      <w:r w:rsidR="004358E4">
        <w:t xml:space="preserve"> numatytą aplinkybę, bet ir ap</w:t>
      </w:r>
      <w:r w:rsidR="0013286E">
        <w:t xml:space="preserve">linkybes, numatytas BPK </w:t>
      </w:r>
      <w:r w:rsidR="0013286E">
        <w:lastRenderedPageBreak/>
        <w:t>409 straipsnio</w:t>
      </w:r>
      <w:r w:rsidR="004358E4">
        <w:t xml:space="preserve"> 1 d</w:t>
      </w:r>
      <w:r w:rsidR="0013286E">
        <w:t>alyje</w:t>
      </w:r>
      <w:r w:rsidR="004358E4">
        <w:t xml:space="preserve">. Aplinkybėmis, kurias nustačius nagrinėjant privataus kaltinimo bylą teisme teismas turėtų teisę perduoti bylą prokurorui, pripažintina: </w:t>
      </w:r>
    </w:p>
    <w:p w:rsidR="004358E4" w:rsidRDefault="004F3DEF" w:rsidP="00755132">
      <w:pPr>
        <w:pStyle w:val="Sraopastraipa"/>
        <w:numPr>
          <w:ilvl w:val="0"/>
          <w:numId w:val="20"/>
        </w:numPr>
      </w:pPr>
      <w:r>
        <w:t>N</w:t>
      </w:r>
      <w:r w:rsidR="004358E4">
        <w:t>usikalstamos veikos visuomeninė reikšmė</w:t>
      </w:r>
      <w:r w:rsidR="004358E4" w:rsidRPr="00CE37D0">
        <w:t>;</w:t>
      </w:r>
    </w:p>
    <w:p w:rsidR="004358E4" w:rsidRPr="00CE37D0" w:rsidRDefault="004F3DEF" w:rsidP="00755132">
      <w:pPr>
        <w:pStyle w:val="Sraopastraipa"/>
        <w:numPr>
          <w:ilvl w:val="0"/>
          <w:numId w:val="20"/>
        </w:numPr>
      </w:pPr>
      <w:r>
        <w:t>S</w:t>
      </w:r>
      <w:r w:rsidR="004358E4">
        <w:t xml:space="preserve">varbios priežastys, dėl kurių privatus kaltintojas </w:t>
      </w:r>
      <w:r w:rsidR="004358E4" w:rsidRPr="00926935">
        <w:t xml:space="preserve">negali (pats arba per teisėtą savo atstovą) </w:t>
      </w:r>
      <w:r w:rsidR="004358E4">
        <w:t xml:space="preserve">ginti savo teisėtų interesų arba priemonių, kurių jis gali imtis, </w:t>
      </w:r>
      <w:r w:rsidR="004358E4" w:rsidRPr="00926935">
        <w:t>objektyviai negali pakakti,</w:t>
      </w:r>
      <w:r w:rsidR="004358E4">
        <w:t xml:space="preserve"> kad tie interesai būtų apginti; </w:t>
      </w:r>
    </w:p>
    <w:p w:rsidR="004358E4" w:rsidRPr="00CE37D0" w:rsidRDefault="004F3DEF" w:rsidP="00755132">
      <w:pPr>
        <w:pStyle w:val="Sraopastraipa"/>
        <w:numPr>
          <w:ilvl w:val="0"/>
          <w:numId w:val="20"/>
        </w:numPr>
      </w:pPr>
      <w:r>
        <w:t>P</w:t>
      </w:r>
      <w:r w:rsidR="00720480">
        <w:t>ožymiain</w:t>
      </w:r>
      <w:r w:rsidR="004358E4" w:rsidRPr="00CE37D0">
        <w:t>usikalstam</w:t>
      </w:r>
      <w:r w:rsidR="00720480">
        <w:t>os</w:t>
      </w:r>
      <w:r w:rsidR="004358E4" w:rsidRPr="00CE37D0">
        <w:t xml:space="preserve"> veik</w:t>
      </w:r>
      <w:r w:rsidR="00720480">
        <w:t>os</w:t>
      </w:r>
      <w:r w:rsidR="004358E4" w:rsidRPr="00CE37D0">
        <w:t xml:space="preserve">, dėl kurios turi būti palaikomas valstybinis kaltinimas. </w:t>
      </w:r>
    </w:p>
    <w:p w:rsidR="004358E4" w:rsidRPr="00BD3B6C" w:rsidRDefault="004358E4" w:rsidP="004358E4">
      <w:pPr>
        <w:spacing w:line="360" w:lineRule="auto"/>
        <w:ind w:firstLine="851"/>
        <w:jc w:val="both"/>
      </w:pPr>
      <w:r>
        <w:t>Apibrėžiant teismo kompetenciją</w:t>
      </w:r>
      <w:r w:rsidR="00926935">
        <w:t xml:space="preserve"> inicijuo</w:t>
      </w:r>
      <w:r w:rsidR="00720480">
        <w:t>ti</w:t>
      </w:r>
      <w:r w:rsidR="00081FD6">
        <w:t xml:space="preserve"> </w:t>
      </w:r>
      <w:r w:rsidR="00926935">
        <w:t xml:space="preserve">perėjimą iš </w:t>
      </w:r>
      <w:r w:rsidR="003E3809" w:rsidRPr="00CE37D0">
        <w:t>privataus kaltinimo proces</w:t>
      </w:r>
      <w:r w:rsidR="00926935">
        <w:t xml:space="preserve">o į </w:t>
      </w:r>
      <w:r w:rsidR="004F3DEF">
        <w:t>viešą</w:t>
      </w:r>
      <w:r>
        <w:t>,</w:t>
      </w:r>
      <w:r w:rsidR="00081FD6">
        <w:t xml:space="preserve"> </w:t>
      </w:r>
      <w:r>
        <w:t>būtina reglamentuoti visus atvejus, kai teismas</w:t>
      </w:r>
      <w:r w:rsidR="00081FD6">
        <w:t xml:space="preserve"> </w:t>
      </w:r>
      <w:r>
        <w:t xml:space="preserve">gali </w:t>
      </w:r>
      <w:r w:rsidR="00926935">
        <w:t>perduoti</w:t>
      </w:r>
      <w:r w:rsidR="003E3809" w:rsidRPr="00CE37D0">
        <w:t xml:space="preserve"> bylos medžiagą prokurorui</w:t>
      </w:r>
      <w:r w:rsidR="00926935">
        <w:t xml:space="preserve"> val</w:t>
      </w:r>
      <w:r w:rsidR="00FA5735">
        <w:t>stybiniam kaltinimui palaikyti.</w:t>
      </w:r>
      <w:r w:rsidR="001C22DB">
        <w:t xml:space="preserve"> Teismo sprendimas p</w:t>
      </w:r>
      <w:r w:rsidR="00943BA4">
        <w:t xml:space="preserve">rivalo būti motyvuotas, kadangi, </w:t>
      </w:r>
      <w:r w:rsidR="001F3E60">
        <w:t>nepažeisdamas teismo nešališkumo koncepcijos, teismas gali</w:t>
      </w:r>
      <w:r w:rsidR="00081FD6">
        <w:t xml:space="preserve"> </w:t>
      </w:r>
      <w:r w:rsidR="001F3E60">
        <w:t xml:space="preserve">išdėstyti tik teisinius argumentus, bet ne priimti sprendimą dėl ikiteisminio </w:t>
      </w:r>
      <w:r w:rsidR="00943BA4">
        <w:t>tyrimo pradėjimo.</w:t>
      </w:r>
      <w:r w:rsidR="00707CEE">
        <w:t xml:space="preserve"> </w:t>
      </w:r>
      <w:r w:rsidR="007A2173">
        <w:rPr>
          <w:rStyle w:val="Puslapioinaosnuoroda"/>
        </w:rPr>
        <w:footnoteReference w:id="528"/>
      </w:r>
      <w:r w:rsidR="00943BA4">
        <w:t xml:space="preserve"> Teismo</w:t>
      </w:r>
      <w:r w:rsidR="00081FD6">
        <w:t xml:space="preserve"> </w:t>
      </w:r>
      <w:r w:rsidR="00943BA4">
        <w:t>motyv</w:t>
      </w:r>
      <w:r w:rsidR="001F3E60">
        <w:t xml:space="preserve">ai turi suponuoti vienintelį galimą sprendimą – pradėti ikiteisminį tyrimą ir nekelti abejonių dėl pagrindo valstybiniam kaltinimui palaikyti buvimo. </w:t>
      </w:r>
      <w:r>
        <w:t xml:space="preserve">Šiuo tikslu </w:t>
      </w:r>
      <w:r w:rsidR="00BD3B6C">
        <w:t xml:space="preserve">BPK 409 straipsnio 5 dalies nuostata turėtų būti papildyta, numatant teismui galimybę nutraukti </w:t>
      </w:r>
      <w:r w:rsidR="00BD3B6C" w:rsidRPr="004358E4">
        <w:t>privataus kaltinimo proces</w:t>
      </w:r>
      <w:r w:rsidR="00BD3B6C">
        <w:t>ą</w:t>
      </w:r>
      <w:r w:rsidR="00BD3B6C" w:rsidRPr="004358E4">
        <w:t xml:space="preserve"> ir bylos medžiag</w:t>
      </w:r>
      <w:r w:rsidR="00BD3B6C">
        <w:t>ą</w:t>
      </w:r>
      <w:r w:rsidR="00BD3B6C" w:rsidRPr="004358E4">
        <w:t xml:space="preserve"> perduo</w:t>
      </w:r>
      <w:r w:rsidR="00BD3B6C">
        <w:t>ti</w:t>
      </w:r>
      <w:r w:rsidR="00BD3B6C" w:rsidRPr="004358E4">
        <w:t xml:space="preserve"> prokurorui</w:t>
      </w:r>
      <w:r w:rsidR="00BD3B6C">
        <w:t>, jei</w:t>
      </w:r>
      <w:r w:rsidR="00BD3B6C" w:rsidRPr="004358E4">
        <w:t xml:space="preserve"> </w:t>
      </w:r>
      <w:r w:rsidRPr="004358E4">
        <w:t>nagrinėjant privataus kaltinimo bylą teisme paaiškėja</w:t>
      </w:r>
      <w:r w:rsidR="00BD3B6C">
        <w:t xml:space="preserve"> 409</w:t>
      </w:r>
      <w:r w:rsidR="00720480" w:rsidRPr="00BD3B6C">
        <w:t xml:space="preserve"> straipsnio 1 dalyje numatytos aplinkybės</w:t>
      </w:r>
      <w:r w:rsidRPr="00BD3B6C">
        <w:t xml:space="preserve">. </w:t>
      </w:r>
      <w:r w:rsidR="00BD3B6C">
        <w:rPr>
          <w:rStyle w:val="Puslapioinaosnuoroda"/>
        </w:rPr>
        <w:footnoteReference w:id="529"/>
      </w:r>
    </w:p>
    <w:p w:rsidR="003E3809" w:rsidRPr="00CE37D0" w:rsidRDefault="003E3809" w:rsidP="003E3809">
      <w:pPr>
        <w:spacing w:line="360" w:lineRule="auto"/>
        <w:ind w:firstLine="851"/>
        <w:jc w:val="both"/>
      </w:pPr>
      <w:r w:rsidRPr="00CE37D0">
        <w:t>Teismas</w:t>
      </w:r>
      <w:r w:rsidR="00376E6E">
        <w:t xml:space="preserve"> privalo</w:t>
      </w:r>
      <w:r w:rsidRPr="00CE37D0">
        <w:t xml:space="preserve"> nurod</w:t>
      </w:r>
      <w:r w:rsidR="00376E6E">
        <w:t>yti</w:t>
      </w:r>
      <w:r w:rsidRPr="00CE37D0">
        <w:t xml:space="preserve"> privataus kaltinimo proceso nutraukimo teisinius pagrindus, tačiau teismo motyvai dėl veikos kvalifikacijos prokuroro nesaisto. Neginčijant teismo sprendimų privalomumo</w:t>
      </w:r>
      <w:r w:rsidR="008C2F02" w:rsidRPr="00CE37D0">
        <w:t>,</w:t>
      </w:r>
      <w:r w:rsidR="00707CEE">
        <w:t xml:space="preserve"> </w:t>
      </w:r>
      <w:r w:rsidRPr="00CE37D0">
        <w:rPr>
          <w:vertAlign w:val="superscript"/>
        </w:rPr>
        <w:footnoteReference w:id="530"/>
      </w:r>
      <w:r w:rsidRPr="00CE37D0">
        <w:t xml:space="preserve"> pastebėtina, kad teismo nuomonė dėl veikos galimos kvalifikacijos negali būti </w:t>
      </w:r>
      <w:r w:rsidRPr="00CE37D0">
        <w:lastRenderedPageBreak/>
        <w:t xml:space="preserve">vertinama kaip galutinė kvalifikacija, kadangi išsamus nusikalstamos veikos ikiteisminis tyrimas gali suponuoti visai kitokį veikos teisinį vertinimą. Atlikus ikiteisminį tyrimą prokuroras turi teisę priimti savarankišką sprendimą, nepriklausomai nuo teismo išankstinės nuomonės dėl galimos </w:t>
      </w:r>
      <w:r w:rsidR="00376E6E">
        <w:t xml:space="preserve">nusikalstamos veikos </w:t>
      </w:r>
      <w:r w:rsidRPr="00CE37D0">
        <w:t>kvalifikacijos, vertinant tuo metu (iki ikiteisminio tyrimo atlikimo) nustatytus nusikalstamos veikos požymius. Prokuroras privalo perimti procesą, tačiau jis yra savarankiškas ir priim</w:t>
      </w:r>
      <w:r w:rsidR="00376E6E">
        <w:t>damas</w:t>
      </w:r>
      <w:r w:rsidRPr="00CE37D0">
        <w:t xml:space="preserve"> sprendimą dėl </w:t>
      </w:r>
      <w:r w:rsidR="00376E6E">
        <w:t xml:space="preserve">nusikalstamos </w:t>
      </w:r>
      <w:r w:rsidRPr="00CE37D0">
        <w:t xml:space="preserve">veikos kvalifikavimo </w:t>
      </w:r>
      <w:r w:rsidR="00376E6E">
        <w:t xml:space="preserve">yra </w:t>
      </w:r>
      <w:r w:rsidR="00376E6E" w:rsidRPr="00CE37D0">
        <w:t>saistomas tik įstatymų</w:t>
      </w:r>
      <w:r w:rsidR="00FC1829">
        <w:t xml:space="preserve">. </w:t>
      </w:r>
    </w:p>
    <w:p w:rsidR="005B1C75" w:rsidRDefault="004D7D1E" w:rsidP="00746847">
      <w:pPr>
        <w:spacing w:line="360" w:lineRule="auto"/>
        <w:ind w:firstLine="851"/>
        <w:jc w:val="both"/>
      </w:pPr>
      <w:r>
        <w:t>T</w:t>
      </w:r>
      <w:r w:rsidRPr="00CE37D0">
        <w:t>eismo sprendimas pradė</w:t>
      </w:r>
      <w:r>
        <w:t>ti privataus kaltinimo procesą negali būti laikomas</w:t>
      </w:r>
      <w:r w:rsidRPr="00CE37D0">
        <w:t xml:space="preserve"> absoliu</w:t>
      </w:r>
      <w:r>
        <w:t>čiu pagrindu</w:t>
      </w:r>
      <w:r w:rsidRPr="00CE37D0">
        <w:t xml:space="preserve"> tęsti baudžiamąjį procesą bendra tvarka, </w:t>
      </w:r>
      <w:r w:rsidR="003E3809" w:rsidRPr="00CE37D0">
        <w:t xml:space="preserve">todėl kyla klausimas, ar pereinant iš privataus kaltinimo į </w:t>
      </w:r>
      <w:r w:rsidR="004F3DEF">
        <w:t>viešą</w:t>
      </w:r>
      <w:r w:rsidR="003E3809" w:rsidRPr="00CE37D0">
        <w:t xml:space="preserve"> ikiteisminis tyrimas laikomas pradėtu, ar prokuroras turi priimti atskirą sprendimą. Kai prokuroro pareiškimo pagrindu teismas perduoda </w:t>
      </w:r>
      <w:r w:rsidR="006B5A3A" w:rsidRPr="00CE37D0">
        <w:t xml:space="preserve">privataus kaltinimo </w:t>
      </w:r>
      <w:r w:rsidR="003E3809" w:rsidRPr="00CE37D0">
        <w:t>bylą prokurorui, jis įsipareigoja atlikti ikiteisminį tyrimą byloje</w:t>
      </w:r>
      <w:r>
        <w:t>. Tačiau šio prokuroro pareiškimo paskirtis yra visai kita ir šis dokumentas nėra galutinis procesinis sprendimas proceso formos pakeitimo klausimu. Proceso forma yra keičiama teismo nutartimi, kuria nutraukiamas privataus kaltinimo procesas</w:t>
      </w:r>
      <w:r w:rsidR="003E3809" w:rsidRPr="00CE37D0">
        <w:t>.</w:t>
      </w:r>
      <w:r w:rsidR="00A80EFE">
        <w:t xml:space="preserve"> Kaip minėta, tęstinumo pereinant iš vienos proceso formos į kitą nėra, todėl</w:t>
      </w:r>
      <w:r w:rsidR="004F3DEF">
        <w:t>,</w:t>
      </w:r>
      <w:r w:rsidR="00A80EFE">
        <w:t xml:space="preserve"> pradedant procesą bendra tvarka, būtinas atskiras sprendimas. Tačiau negali susidaryti situacija, kai proceso formos keitimo eigoje procesas nutrūksta</w:t>
      </w:r>
      <w:r w:rsidR="00A80EFE" w:rsidRPr="00CE37D0">
        <w:t>: prokuroras atsisako atlikti ikiteisminį tyrimą</w:t>
      </w:r>
      <w:r w:rsidR="00676BA2">
        <w:t xml:space="preserve"> </w:t>
      </w:r>
      <w:r w:rsidR="00A80EFE" w:rsidRPr="00CE37D0">
        <w:t>ir siūlo kreiptis į teismą privataus kaltinimo tvarka, o teismas privataus kaltinimo procesą nutraukia, nurodydamas, kad nusikalstamos veikos tyrimas turi vykti bendra tvarka.</w:t>
      </w:r>
      <w:r w:rsidR="00A80EFE">
        <w:t xml:space="preserve"> Šiuo a</w:t>
      </w:r>
      <w:r w:rsidR="006B5A3A" w:rsidRPr="00CE37D0">
        <w:t xml:space="preserve">tveju </w:t>
      </w:r>
      <w:r w:rsidR="00A80EFE" w:rsidRPr="00CE37D0">
        <w:t>gali susidaryti situacija, kai nukentėj</w:t>
      </w:r>
      <w:r w:rsidR="00A80EFE">
        <w:t>ę</w:t>
      </w:r>
      <w:r w:rsidR="00A80EFE" w:rsidRPr="00CE37D0">
        <w:t>s</w:t>
      </w:r>
      <w:r w:rsidR="00A80EFE">
        <w:t xml:space="preserve"> asmuo</w:t>
      </w:r>
      <w:r w:rsidR="00A80EFE" w:rsidRPr="00CE37D0">
        <w:t xml:space="preserve"> nebeturi procesinių priemonių savo teisėms apginti</w:t>
      </w:r>
      <w:r w:rsidR="001F0563">
        <w:t xml:space="preserve"> ir pažeidžiama </w:t>
      </w:r>
      <w:r w:rsidR="00A80EFE">
        <w:t>jo teisė į teismą</w:t>
      </w:r>
      <w:r w:rsidR="00A80EFE" w:rsidRPr="00CE37D0">
        <w:t xml:space="preserve">. </w:t>
      </w:r>
      <w:r w:rsidR="00A80EFE" w:rsidRPr="00CE37D0">
        <w:rPr>
          <w:vertAlign w:val="superscript"/>
        </w:rPr>
        <w:footnoteReference w:id="531"/>
      </w:r>
    </w:p>
    <w:p w:rsidR="00CE3CF5" w:rsidRDefault="00CE3CF5">
      <w:r>
        <w:lastRenderedPageBreak/>
        <w:br w:type="page"/>
      </w:r>
    </w:p>
    <w:p w:rsidR="00A80EFE" w:rsidRDefault="00A80EFE" w:rsidP="003E3809">
      <w:pPr>
        <w:spacing w:line="360" w:lineRule="auto"/>
        <w:ind w:firstLine="851"/>
        <w:jc w:val="both"/>
      </w:pPr>
    </w:p>
    <w:p w:rsidR="003E3809" w:rsidRPr="00AB02A9" w:rsidRDefault="003E3809" w:rsidP="00707CEE">
      <w:pPr>
        <w:spacing w:line="360" w:lineRule="auto"/>
        <w:ind w:firstLine="851"/>
        <w:jc w:val="right"/>
      </w:pPr>
      <w:bookmarkStart w:id="286" w:name="_Toc321911344"/>
      <w:bookmarkStart w:id="287" w:name="_Toc321911481"/>
      <w:bookmarkStart w:id="288" w:name="_Toc321911518"/>
      <w:bookmarkStart w:id="289" w:name="_Toc324414327"/>
      <w:r w:rsidRPr="00CE37D0">
        <w:rPr>
          <w:rFonts w:eastAsia="Times New Roman"/>
        </w:rPr>
        <w:t xml:space="preserve">Konfliktas – tai socializacijos forma. </w:t>
      </w:r>
    </w:p>
    <w:p w:rsidR="00AD1A73" w:rsidRDefault="003E3809" w:rsidP="0021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eastAsia="Times New Roman"/>
        </w:rPr>
      </w:pPr>
      <w:r w:rsidRPr="00CE37D0">
        <w:rPr>
          <w:rFonts w:eastAsia="Times New Roman"/>
        </w:rPr>
        <w:t xml:space="preserve">Georg Simmel </w:t>
      </w:r>
    </w:p>
    <w:p w:rsidR="003E3809" w:rsidRPr="00CE37D0" w:rsidRDefault="003E3809" w:rsidP="0021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eastAsia="Times New Roman"/>
        </w:rPr>
      </w:pPr>
      <w:r w:rsidRPr="00CE37D0">
        <w:rPr>
          <w:rFonts w:eastAsia="Times New Roman"/>
        </w:rPr>
        <w:t>„Conflict“</w:t>
      </w:r>
    </w:p>
    <w:p w:rsidR="003E3809" w:rsidRPr="00CE37D0" w:rsidRDefault="003E3809" w:rsidP="003E3809">
      <w:pPr>
        <w:pStyle w:val="Antrat1"/>
        <w:spacing w:before="0" w:after="0" w:line="360" w:lineRule="auto"/>
        <w:rPr>
          <w:rFonts w:ascii="Times New Roman" w:hAnsi="Times New Roman"/>
        </w:rPr>
      </w:pPr>
      <w:bookmarkStart w:id="290" w:name="_Toc341009851"/>
      <w:bookmarkStart w:id="291" w:name="_Toc346795976"/>
      <w:bookmarkStart w:id="292" w:name="_Toc365498861"/>
      <w:bookmarkStart w:id="293" w:name="_Toc370139919"/>
      <w:bookmarkStart w:id="294" w:name="_Toc327528893"/>
      <w:bookmarkStart w:id="295" w:name="_Toc327528949"/>
      <w:bookmarkStart w:id="296" w:name="_Toc327529038"/>
      <w:bookmarkStart w:id="297" w:name="_Toc333483881"/>
      <w:bookmarkStart w:id="298" w:name="_Toc400321699"/>
      <w:r w:rsidRPr="00CE37D0">
        <w:rPr>
          <w:rFonts w:ascii="Times New Roman" w:hAnsi="Times New Roman"/>
        </w:rPr>
        <w:t>III skyrius. Privataus kaltinimo bylų nagrinėjimo teisme ypatumai</w:t>
      </w:r>
      <w:bookmarkEnd w:id="286"/>
      <w:bookmarkEnd w:id="287"/>
      <w:bookmarkEnd w:id="288"/>
      <w:bookmarkEnd w:id="289"/>
      <w:bookmarkEnd w:id="290"/>
      <w:bookmarkEnd w:id="291"/>
      <w:bookmarkEnd w:id="292"/>
      <w:bookmarkEnd w:id="293"/>
      <w:bookmarkEnd w:id="294"/>
      <w:bookmarkEnd w:id="295"/>
      <w:bookmarkEnd w:id="296"/>
      <w:bookmarkEnd w:id="297"/>
      <w:bookmarkEnd w:id="298"/>
    </w:p>
    <w:p w:rsidR="003E3809" w:rsidRPr="00CE37D0" w:rsidRDefault="003E3809" w:rsidP="00F93861">
      <w:pPr>
        <w:pStyle w:val="Antrat1"/>
        <w:numPr>
          <w:ilvl w:val="0"/>
          <w:numId w:val="16"/>
        </w:numPr>
      </w:pPr>
      <w:bookmarkStart w:id="299" w:name="_Toc321911345"/>
      <w:bookmarkStart w:id="300" w:name="_Toc321911482"/>
      <w:bookmarkStart w:id="301" w:name="_Toc321911519"/>
      <w:bookmarkStart w:id="302" w:name="_Toc324414328"/>
      <w:bookmarkStart w:id="303" w:name="_Toc327528894"/>
      <w:bookmarkStart w:id="304" w:name="_Toc327528950"/>
      <w:bookmarkStart w:id="305" w:name="_Toc327529039"/>
      <w:bookmarkStart w:id="306" w:name="_Toc333483882"/>
      <w:bookmarkStart w:id="307" w:name="_Toc341009852"/>
      <w:bookmarkStart w:id="308" w:name="_Toc346795977"/>
      <w:bookmarkStart w:id="309" w:name="_Toc365498862"/>
      <w:bookmarkStart w:id="310" w:name="_Toc370139920"/>
      <w:bookmarkStart w:id="311" w:name="_Toc400321700"/>
      <w:r w:rsidRPr="00CE37D0">
        <w:t>Privataus kaltinimo skundas - privataus kaltinimo teisės procesinė išraiška</w:t>
      </w:r>
      <w:bookmarkEnd w:id="299"/>
      <w:bookmarkEnd w:id="300"/>
      <w:bookmarkEnd w:id="301"/>
      <w:bookmarkEnd w:id="302"/>
      <w:bookmarkEnd w:id="303"/>
      <w:bookmarkEnd w:id="304"/>
      <w:bookmarkEnd w:id="305"/>
      <w:bookmarkEnd w:id="306"/>
      <w:bookmarkEnd w:id="307"/>
      <w:bookmarkEnd w:id="308"/>
      <w:bookmarkEnd w:id="309"/>
      <w:bookmarkEnd w:id="310"/>
      <w:bookmarkEnd w:id="311"/>
    </w:p>
    <w:p w:rsidR="003E3809" w:rsidRPr="00CE37D0" w:rsidRDefault="003E3809" w:rsidP="00F93861">
      <w:pPr>
        <w:pStyle w:val="Antrat3"/>
        <w:numPr>
          <w:ilvl w:val="1"/>
          <w:numId w:val="16"/>
        </w:numPr>
        <w:ind w:hanging="360"/>
      </w:pPr>
      <w:bookmarkStart w:id="312" w:name="_Toc321911346"/>
      <w:bookmarkStart w:id="313" w:name="_Toc321911483"/>
      <w:bookmarkStart w:id="314" w:name="_Toc321911520"/>
      <w:bookmarkStart w:id="315" w:name="_Toc324414329"/>
      <w:bookmarkStart w:id="316" w:name="_Toc327528895"/>
      <w:bookmarkStart w:id="317" w:name="_Toc327528951"/>
      <w:bookmarkStart w:id="318" w:name="_Toc327529040"/>
      <w:bookmarkStart w:id="319" w:name="_Toc333483883"/>
      <w:bookmarkStart w:id="320" w:name="_Toc341009853"/>
      <w:bookmarkStart w:id="321" w:name="_Toc346795978"/>
      <w:bookmarkStart w:id="322" w:name="_Toc365498863"/>
      <w:bookmarkStart w:id="323" w:name="_Toc370139921"/>
      <w:bookmarkStart w:id="324" w:name="_Toc400321701"/>
      <w:r w:rsidRPr="00CE37D0">
        <w:t xml:space="preserve">Privataus kaltinimo teisė kaip teisė į </w:t>
      </w:r>
      <w:r w:rsidR="00056AB6" w:rsidRPr="00CE37D0">
        <w:t>teis</w:t>
      </w:r>
      <w:r w:rsidR="00C31F53">
        <w:t>minę gynybą</w:t>
      </w:r>
      <w:bookmarkEnd w:id="312"/>
      <w:bookmarkEnd w:id="313"/>
      <w:bookmarkEnd w:id="314"/>
      <w:bookmarkEnd w:id="315"/>
      <w:bookmarkEnd w:id="316"/>
      <w:bookmarkEnd w:id="317"/>
      <w:bookmarkEnd w:id="318"/>
      <w:bookmarkEnd w:id="319"/>
      <w:bookmarkEnd w:id="320"/>
      <w:bookmarkEnd w:id="321"/>
      <w:bookmarkEnd w:id="322"/>
      <w:bookmarkEnd w:id="323"/>
      <w:bookmarkEnd w:id="324"/>
    </w:p>
    <w:p w:rsidR="00A70AA1" w:rsidRPr="00CE37D0" w:rsidRDefault="003E3809" w:rsidP="00A70AA1">
      <w:pPr>
        <w:spacing w:line="360" w:lineRule="auto"/>
        <w:ind w:firstLine="720"/>
        <w:jc w:val="both"/>
        <w:rPr>
          <w:rFonts w:eastAsia="Times New Roman"/>
        </w:rPr>
      </w:pPr>
      <w:r w:rsidRPr="00CE37D0">
        <w:rPr>
          <w:rFonts w:eastAsia="Times New Roman"/>
        </w:rPr>
        <w:t>Teisė į teismą yra būtina teisingumo įgyvendinimo sąlyga ir neatskiriamas konstitucinio teisinės valst</w:t>
      </w:r>
      <w:r w:rsidR="00AB152C">
        <w:rPr>
          <w:rFonts w:eastAsia="Times New Roman"/>
        </w:rPr>
        <w:t>ybės principo turinio elementas.</w:t>
      </w:r>
      <w:r w:rsidR="00707CEE">
        <w:rPr>
          <w:rFonts w:eastAsia="Times New Roman"/>
        </w:rPr>
        <w:t xml:space="preserve"> </w:t>
      </w:r>
      <w:r w:rsidRPr="00CE37D0">
        <w:rPr>
          <w:rFonts w:eastAsia="Times New Roman"/>
          <w:vertAlign w:val="superscript"/>
        </w:rPr>
        <w:footnoteReference w:id="532"/>
      </w:r>
      <w:r w:rsidR="00676BA2">
        <w:rPr>
          <w:rFonts w:eastAsia="Times New Roman"/>
        </w:rPr>
        <w:t xml:space="preserve"> </w:t>
      </w:r>
      <w:r w:rsidR="00AB152C">
        <w:rPr>
          <w:rFonts w:eastAsia="Times New Roman"/>
        </w:rPr>
        <w:t>Teisinės valstybės principas</w:t>
      </w:r>
      <w:r w:rsidR="00676BA2">
        <w:rPr>
          <w:rFonts w:eastAsia="Times New Roman"/>
        </w:rPr>
        <w:t xml:space="preserve"> </w:t>
      </w:r>
      <w:r w:rsidRPr="00CE37D0">
        <w:rPr>
          <w:rFonts w:eastAsia="Times New Roman"/>
          <w:i/>
        </w:rPr>
        <w:t>inter alia</w:t>
      </w:r>
      <w:r w:rsidRPr="00CE37D0">
        <w:rPr>
          <w:rFonts w:eastAsia="Times New Roman"/>
        </w:rPr>
        <w:t xml:space="preserve"> suponuoja ir asmens teisę į tinkamą (teisingą) teisinį procesą</w:t>
      </w:r>
      <w:r w:rsidR="00F33B3C" w:rsidRPr="00CE37D0">
        <w:rPr>
          <w:rFonts w:eastAsia="Times New Roman"/>
        </w:rPr>
        <w:t>.</w:t>
      </w:r>
      <w:r w:rsidR="00707CEE">
        <w:rPr>
          <w:rFonts w:eastAsia="Times New Roman"/>
        </w:rPr>
        <w:t xml:space="preserve"> </w:t>
      </w:r>
      <w:r w:rsidR="002F1880" w:rsidRPr="00CE37D0">
        <w:rPr>
          <w:rFonts w:eastAsia="Times New Roman"/>
          <w:vertAlign w:val="superscript"/>
        </w:rPr>
        <w:footnoteReference w:id="533"/>
      </w:r>
      <w:r w:rsidR="00676BA2">
        <w:rPr>
          <w:rFonts w:eastAsia="Times New Roman"/>
        </w:rPr>
        <w:t xml:space="preserve"> </w:t>
      </w:r>
      <w:r w:rsidR="003B3C35" w:rsidRPr="00CE37D0">
        <w:rPr>
          <w:rFonts w:eastAsia="Times New Roman"/>
        </w:rPr>
        <w:t>T</w:t>
      </w:r>
      <w:r w:rsidR="00DD74A3" w:rsidRPr="00CE37D0">
        <w:rPr>
          <w:szCs w:val="20"/>
        </w:rPr>
        <w:t>eisė</w:t>
      </w:r>
      <w:r w:rsidR="00676BA2">
        <w:rPr>
          <w:szCs w:val="20"/>
        </w:rPr>
        <w:t xml:space="preserve"> </w:t>
      </w:r>
      <w:r w:rsidR="00DD74A3" w:rsidRPr="00CE37D0">
        <w:rPr>
          <w:szCs w:val="20"/>
        </w:rPr>
        <w:t>į teisingą teis</w:t>
      </w:r>
      <w:r w:rsidR="003B3C35" w:rsidRPr="00CE37D0">
        <w:rPr>
          <w:szCs w:val="20"/>
        </w:rPr>
        <w:t>inį procesą</w:t>
      </w:r>
      <w:r w:rsidR="00676BA2">
        <w:rPr>
          <w:szCs w:val="20"/>
        </w:rPr>
        <w:t xml:space="preserve"> </w:t>
      </w:r>
      <w:r w:rsidR="003B3C35" w:rsidRPr="00CE37D0">
        <w:rPr>
          <w:szCs w:val="20"/>
        </w:rPr>
        <w:t>yra plačiausia sąvoka, apimanti</w:t>
      </w:r>
      <w:r w:rsidR="00676BA2">
        <w:rPr>
          <w:szCs w:val="20"/>
        </w:rPr>
        <w:t xml:space="preserve"> </w:t>
      </w:r>
      <w:r w:rsidR="003B3C35" w:rsidRPr="00CE37D0">
        <w:rPr>
          <w:szCs w:val="20"/>
        </w:rPr>
        <w:t xml:space="preserve">skirtingus </w:t>
      </w:r>
      <w:r w:rsidR="00DD74A3" w:rsidRPr="00CE37D0">
        <w:rPr>
          <w:szCs w:val="20"/>
        </w:rPr>
        <w:t>element</w:t>
      </w:r>
      <w:r w:rsidR="003B3C35" w:rsidRPr="00CE37D0">
        <w:rPr>
          <w:szCs w:val="20"/>
        </w:rPr>
        <w:t>us ne tik teisminiame procese, bet ir ikiteisminiame tyrime</w:t>
      </w:r>
      <w:r w:rsidR="00DD74A3" w:rsidRPr="00CE37D0">
        <w:rPr>
          <w:szCs w:val="20"/>
        </w:rPr>
        <w:t>: teis</w:t>
      </w:r>
      <w:r w:rsidR="003B3C35" w:rsidRPr="00CE37D0">
        <w:rPr>
          <w:szCs w:val="20"/>
        </w:rPr>
        <w:t>ę</w:t>
      </w:r>
      <w:r w:rsidR="00DD74A3" w:rsidRPr="00CE37D0">
        <w:rPr>
          <w:szCs w:val="20"/>
        </w:rPr>
        <w:t xml:space="preserve"> į teismą, lygiateis</w:t>
      </w:r>
      <w:r w:rsidR="003B3C35" w:rsidRPr="00CE37D0">
        <w:rPr>
          <w:szCs w:val="20"/>
        </w:rPr>
        <w:t>iškumo ir rungtyniškumo principus</w:t>
      </w:r>
      <w:r w:rsidR="00DD74A3" w:rsidRPr="00CE37D0">
        <w:rPr>
          <w:szCs w:val="20"/>
        </w:rPr>
        <w:t xml:space="preserve">, </w:t>
      </w:r>
      <w:r w:rsidR="003B3C35" w:rsidRPr="00CE37D0">
        <w:rPr>
          <w:szCs w:val="20"/>
        </w:rPr>
        <w:t>teisę į gynybą</w:t>
      </w:r>
      <w:r w:rsidR="00DD74A3" w:rsidRPr="00CE37D0">
        <w:rPr>
          <w:szCs w:val="20"/>
        </w:rPr>
        <w:t>, teis</w:t>
      </w:r>
      <w:r w:rsidR="003B3C35" w:rsidRPr="00CE37D0">
        <w:rPr>
          <w:szCs w:val="20"/>
        </w:rPr>
        <w:t>ę</w:t>
      </w:r>
      <w:r w:rsidR="00DD74A3" w:rsidRPr="00CE37D0">
        <w:rPr>
          <w:szCs w:val="20"/>
        </w:rPr>
        <w:t xml:space="preserve"> dalyvauti teismo procese bei teis</w:t>
      </w:r>
      <w:r w:rsidR="003B3C35" w:rsidRPr="00CE37D0">
        <w:rPr>
          <w:szCs w:val="20"/>
        </w:rPr>
        <w:t>ę</w:t>
      </w:r>
      <w:r w:rsidR="00DD74A3" w:rsidRPr="00CE37D0">
        <w:rPr>
          <w:szCs w:val="20"/>
        </w:rPr>
        <w:t xml:space="preserve"> į pagrįstą teismo sprendimą.</w:t>
      </w:r>
      <w:r w:rsidR="00707CEE">
        <w:rPr>
          <w:szCs w:val="20"/>
        </w:rPr>
        <w:t xml:space="preserve"> </w:t>
      </w:r>
      <w:r w:rsidR="003B3C35" w:rsidRPr="00CE37D0">
        <w:rPr>
          <w:rStyle w:val="Puslapioinaosnuoroda"/>
        </w:rPr>
        <w:footnoteReference w:id="534"/>
      </w:r>
      <w:r w:rsidR="003B3C35" w:rsidRPr="00CE37D0">
        <w:rPr>
          <w:rFonts w:eastAsia="Times New Roman"/>
        </w:rPr>
        <w:t xml:space="preserve"> Šioje analizėje bus vartojamos sąvokos „teisė į teismą“ privataus kaltinimo skundo padavimo teismui stadijos kontekste, ir „teisė į teisingą teismą“, kai bus akcentuojama teisė į tinkamą teisminį procesą bei procesinių garantijų užtikrinimą privataus kaltinimo bylų procese. </w:t>
      </w:r>
      <w:r w:rsidRPr="00CE37D0">
        <w:rPr>
          <w:rFonts w:eastAsia="Times New Roman"/>
        </w:rPr>
        <w:t>Teisė į teisingą teismą dažniausiai yra analizuojama kaltinamojo teisių kontekste, tačiau šiame tyrime bus akcentuojama šios teisės samprata nukentėjusiojo nuo nusikalstamos veikos požiūriu, kadangi baudžiamojo proceso santykių teisinis reguliavimas „</w:t>
      </w:r>
      <w:r w:rsidRPr="00CE37D0">
        <w:rPr>
          <w:rFonts w:eastAsia="Times New Roman"/>
          <w:i/>
        </w:rPr>
        <w:t>turi būti toks, kad būtų užtikrinta veiksminga asmens, nukentėjusio nuo nusikalstamos veikos, teisių apsauga ir kad toks asmuo galėtų naudotis visomis iš Konstitucijos kylančiomis teisėmis, [...] ir toks, kad nebūtų pažeistos ir asmens, įtariamo, kaltinamo padarius nusikalstamą veiką, konstitucinės teisės [...]“</w:t>
      </w:r>
      <w:r w:rsidRPr="00CE37D0">
        <w:rPr>
          <w:rFonts w:eastAsia="Times New Roman"/>
        </w:rPr>
        <w:t xml:space="preserve">. </w:t>
      </w:r>
      <w:r w:rsidRPr="00CE37D0">
        <w:rPr>
          <w:rStyle w:val="Puslapioinaosnuoroda"/>
        </w:rPr>
        <w:footnoteReference w:id="535"/>
      </w:r>
    </w:p>
    <w:p w:rsidR="00CD1BB5" w:rsidRPr="00CE37D0" w:rsidRDefault="003E3809" w:rsidP="00CD1BB5">
      <w:pPr>
        <w:spacing w:line="360" w:lineRule="auto"/>
        <w:ind w:firstLine="851"/>
        <w:jc w:val="both"/>
      </w:pPr>
      <w:r w:rsidRPr="00CE37D0">
        <w:rPr>
          <w:rFonts w:eastAsia="Times New Roman"/>
        </w:rPr>
        <w:t>Konstitucinė nukentėjusiojo teisė į teis</w:t>
      </w:r>
      <w:r w:rsidR="00056AB6" w:rsidRPr="00CE37D0">
        <w:rPr>
          <w:rFonts w:eastAsia="Times New Roman"/>
        </w:rPr>
        <w:t>ing</w:t>
      </w:r>
      <w:r w:rsidRPr="00CE37D0">
        <w:rPr>
          <w:rFonts w:eastAsia="Times New Roman"/>
        </w:rPr>
        <w:t>ą</w:t>
      </w:r>
      <w:r w:rsidR="00056AB6" w:rsidRPr="00CE37D0">
        <w:rPr>
          <w:rFonts w:eastAsia="Times New Roman"/>
        </w:rPr>
        <w:t xml:space="preserve"> teismą</w:t>
      </w:r>
      <w:r w:rsidRPr="00CE37D0">
        <w:rPr>
          <w:rFonts w:eastAsia="Times New Roman"/>
        </w:rPr>
        <w:t xml:space="preserve"> įtvirtinama ir BPK 44 str</w:t>
      </w:r>
      <w:r w:rsidR="0013286E">
        <w:rPr>
          <w:rFonts w:eastAsia="Times New Roman"/>
        </w:rPr>
        <w:t>aipsnio</w:t>
      </w:r>
      <w:r w:rsidRPr="00CE37D0">
        <w:rPr>
          <w:rFonts w:eastAsia="Times New Roman"/>
        </w:rPr>
        <w:t xml:space="preserve"> 10 d</w:t>
      </w:r>
      <w:r w:rsidR="0013286E">
        <w:rPr>
          <w:rFonts w:eastAsia="Times New Roman"/>
        </w:rPr>
        <w:t>alyje</w:t>
      </w:r>
      <w:r w:rsidRPr="00CE37D0">
        <w:rPr>
          <w:rFonts w:eastAsia="Times New Roman"/>
        </w:rPr>
        <w:t>, kurioje numatyta kiekvieno asmens, pripažinto nukentėjusiuoju</w:t>
      </w:r>
      <w:r w:rsidR="00056AB6" w:rsidRPr="00CE37D0">
        <w:rPr>
          <w:rFonts w:eastAsia="Times New Roman"/>
        </w:rPr>
        <w:t>,</w:t>
      </w:r>
      <w:r w:rsidRPr="00CE37D0">
        <w:rPr>
          <w:rFonts w:eastAsia="Times New Roman"/>
        </w:rPr>
        <w:t xml:space="preserve"> teisė reikalauti</w:t>
      </w:r>
      <w:r w:rsidRPr="00CE37D0">
        <w:rPr>
          <w:rFonts w:eastAsia="Times New Roman"/>
          <w:i/>
          <w:iCs/>
        </w:rPr>
        <w:t xml:space="preserve">, </w:t>
      </w:r>
      <w:r w:rsidRPr="00707CEE">
        <w:rPr>
          <w:rFonts w:eastAsia="Times New Roman"/>
          <w:iCs/>
        </w:rPr>
        <w:t xml:space="preserve">kad būtų </w:t>
      </w:r>
      <w:r w:rsidRPr="00707CEE">
        <w:rPr>
          <w:rFonts w:eastAsia="Times New Roman"/>
          <w:iCs/>
        </w:rPr>
        <w:lastRenderedPageBreak/>
        <w:t>nustatytas ir teisingai nubaustas nusikalstamą veiką padaręs asmuo, gauti dėl nusikalstamos veikos padarytos žalos atlyginimą</w:t>
      </w:r>
      <w:r w:rsidRPr="00CE37D0">
        <w:rPr>
          <w:rFonts w:eastAsia="Times New Roman"/>
        </w:rPr>
        <w:t>.</w:t>
      </w:r>
      <w:r w:rsidR="00707CEE">
        <w:rPr>
          <w:rFonts w:eastAsia="Times New Roman"/>
        </w:rPr>
        <w:t xml:space="preserve"> </w:t>
      </w:r>
      <w:r w:rsidRPr="00CE37D0">
        <w:rPr>
          <w:rStyle w:val="Puslapioinaosnuoroda"/>
        </w:rPr>
        <w:footnoteReference w:id="536"/>
      </w:r>
      <w:r w:rsidRPr="00CE37D0">
        <w:rPr>
          <w:rFonts w:eastAsia="Times New Roman"/>
        </w:rPr>
        <w:t xml:space="preserve"> BPK 407 str</w:t>
      </w:r>
      <w:r w:rsidR="0013286E">
        <w:rPr>
          <w:rFonts w:eastAsia="Times New Roman"/>
        </w:rPr>
        <w:t>aipsnyje</w:t>
      </w:r>
      <w:r w:rsidRPr="00CE37D0">
        <w:rPr>
          <w:rFonts w:eastAsia="Times New Roman"/>
        </w:rPr>
        <w:t xml:space="preserve"> numatytais atvejais nukentėjęs nuo nusikalstamos veikos asmuo savo teisę į teismą gali realizuoti privataus kaltinimo bylų proceso tvarka </w:t>
      </w:r>
      <w:r w:rsidR="00AD1A73">
        <w:rPr>
          <w:rFonts w:eastAsia="Times New Roman"/>
        </w:rPr>
        <w:t>betarpišk</w:t>
      </w:r>
      <w:r w:rsidRPr="00CE37D0">
        <w:rPr>
          <w:rFonts w:eastAsia="Times New Roman"/>
        </w:rPr>
        <w:t xml:space="preserve">ai teismui paduodamas privataus kaltinimo skundą dėl savo pažeistų teisių gynimo baudžiamojo proceso tvarka. </w:t>
      </w:r>
      <w:r w:rsidR="00CD1BB5" w:rsidRPr="00CE37D0">
        <w:t xml:space="preserve">Nukentėjusiajam suteikiama teisė (privilegija) veikti kaip privačiam kaltintojui teisme aktyvioje procesinėje padėtyje ir siekti kaltininko nubaudimo laikytina teisės į teismą įgyvendinimo forma. </w:t>
      </w:r>
      <w:r w:rsidR="00CD1BB5" w:rsidRPr="00CE37D0">
        <w:rPr>
          <w:vertAlign w:val="superscript"/>
        </w:rPr>
        <w:footnoteReference w:id="537"/>
      </w:r>
      <w:r w:rsidR="001637D0">
        <w:t xml:space="preserve"> </w:t>
      </w:r>
      <w:r w:rsidRPr="00CE37D0">
        <w:rPr>
          <w:rFonts w:eastAsia="Times New Roman"/>
        </w:rPr>
        <w:t>Konstitucinis Teismas, analizuodamas privataus kaltinimo proceso konstitucingumą, konstatavo, kad</w:t>
      </w:r>
      <w:r w:rsidR="00056AB6" w:rsidRPr="00CE37D0">
        <w:rPr>
          <w:rFonts w:eastAsia="Times New Roman"/>
        </w:rPr>
        <w:t xml:space="preserve"> privataus kaltinimo teisė kaip asmens teisės į teismą įgyvendinimo forma yra suderinama su teisės į teisingą teismą konstituciniu principu. </w:t>
      </w:r>
      <w:r w:rsidRPr="00CE37D0">
        <w:rPr>
          <w:rFonts w:eastAsia="Times New Roman"/>
          <w:vertAlign w:val="superscript"/>
        </w:rPr>
        <w:footnoteReference w:id="538"/>
      </w:r>
    </w:p>
    <w:p w:rsidR="00A70AA1" w:rsidRPr="00CE37D0" w:rsidRDefault="00AB152C" w:rsidP="00A70AA1">
      <w:pPr>
        <w:spacing w:line="360" w:lineRule="auto"/>
        <w:ind w:firstLine="720"/>
        <w:jc w:val="both"/>
        <w:rPr>
          <w:rFonts w:eastAsia="Times New Roman"/>
        </w:rPr>
      </w:pPr>
      <w:r w:rsidRPr="00CE37D0">
        <w:rPr>
          <w:rFonts w:eastAsia="Times New Roman"/>
        </w:rPr>
        <w:t>Konstitucinę teisę į teismą (Konstitucijos 30 str</w:t>
      </w:r>
      <w:r w:rsidR="0013286E">
        <w:rPr>
          <w:rFonts w:eastAsia="Times New Roman"/>
        </w:rPr>
        <w:t>aipsnis</w:t>
      </w:r>
      <w:r w:rsidRPr="00CE37D0">
        <w:rPr>
          <w:rFonts w:eastAsia="Times New Roman"/>
        </w:rPr>
        <w:t xml:space="preserve">) nagrinėjantys autoriai ją sieja su atitinkamomis garantijomis, užtikrinančiomis šios teisės realaus įgyvendinimo galimybę. </w:t>
      </w:r>
      <w:r w:rsidRPr="00CE37D0">
        <w:rPr>
          <w:rStyle w:val="Puslapioinaosnuoroda"/>
        </w:rPr>
        <w:footnoteReference w:id="539"/>
      </w:r>
      <w:r w:rsidR="001637D0">
        <w:rPr>
          <w:rFonts w:eastAsia="Times New Roman"/>
        </w:rPr>
        <w:t xml:space="preserve"> </w:t>
      </w:r>
      <w:r w:rsidR="003E3809" w:rsidRPr="00CE37D0">
        <w:rPr>
          <w:rFonts w:eastAsia="Times New Roman"/>
        </w:rPr>
        <w:t>Teisė į teismą turi būti ne tik teoriškai įtvirtinta teisės aktų lygmeniu, bet ir sudarytos sąl</w:t>
      </w:r>
      <w:r w:rsidR="00056AB6" w:rsidRPr="00CE37D0">
        <w:rPr>
          <w:rFonts w:eastAsia="Times New Roman"/>
        </w:rPr>
        <w:t>ygos ją realiai (veiksmingai) įgyvendinti, kitaip</w:t>
      </w:r>
      <w:r w:rsidR="001637D0">
        <w:rPr>
          <w:rFonts w:eastAsia="Times New Roman"/>
        </w:rPr>
        <w:t xml:space="preserve"> </w:t>
      </w:r>
      <w:r w:rsidR="00056AB6" w:rsidRPr="00CE37D0">
        <w:rPr>
          <w:rFonts w:eastAsia="Times New Roman"/>
        </w:rPr>
        <w:t>š</w:t>
      </w:r>
      <w:r w:rsidR="003E3809" w:rsidRPr="00CE37D0">
        <w:rPr>
          <w:rFonts w:eastAsia="Times New Roman"/>
        </w:rPr>
        <w:t xml:space="preserve">i teisė prarastų savo esmę. </w:t>
      </w:r>
      <w:r w:rsidR="003E3809" w:rsidRPr="00CE37D0">
        <w:rPr>
          <w:rStyle w:val="Puslapioinaosnuoroda"/>
        </w:rPr>
        <w:footnoteReference w:id="540"/>
      </w:r>
      <w:r w:rsidR="003E3809" w:rsidRPr="00CE37D0">
        <w:rPr>
          <w:rFonts w:eastAsia="Times New Roman"/>
        </w:rPr>
        <w:t xml:space="preserve"> Teisės į teismą veiksmingumo garantija siejama su teismo įgaliojimais spręsti tiek fakto, tiek teisės klausimus </w:t>
      </w:r>
      <w:r w:rsidR="003E3809" w:rsidRPr="00CE37D0">
        <w:rPr>
          <w:rStyle w:val="Puslapioinaosnuoroda"/>
        </w:rPr>
        <w:footnoteReference w:id="541"/>
      </w:r>
      <w:r w:rsidR="003E3809" w:rsidRPr="00CE37D0">
        <w:rPr>
          <w:rFonts w:eastAsia="Times New Roman"/>
        </w:rPr>
        <w:t xml:space="preserve"> bei įstatymo, reglamentuojančio kreipimąsi į teismą, nuostatų aiškumu. Jei įstatymo nuostatos yra neaiškios ir asmeniui sudėtinga jas suprasti, sukuriama teisinio netikrumo būsena yra laikoma veiksmingos teisės kreiptis į teismą pažeidimu. </w:t>
      </w:r>
      <w:r w:rsidR="003E3809" w:rsidRPr="00CE37D0">
        <w:rPr>
          <w:rStyle w:val="Puslapioinaosnuoroda"/>
        </w:rPr>
        <w:footnoteReference w:id="542"/>
      </w:r>
    </w:p>
    <w:p w:rsidR="003E3809" w:rsidRPr="00CE37D0" w:rsidRDefault="00056AB6" w:rsidP="00A70AA1">
      <w:pPr>
        <w:spacing w:line="360" w:lineRule="auto"/>
        <w:ind w:firstLine="720"/>
        <w:jc w:val="both"/>
        <w:rPr>
          <w:rFonts w:eastAsia="Times New Roman"/>
        </w:rPr>
      </w:pPr>
      <w:r w:rsidRPr="00CE37D0">
        <w:rPr>
          <w:rFonts w:eastAsia="Times New Roman"/>
        </w:rPr>
        <w:t xml:space="preserve">Nagrinėjant privataus kaltinimo teisę kaip teisę į </w:t>
      </w:r>
      <w:r w:rsidR="00AB152C">
        <w:rPr>
          <w:rFonts w:eastAsia="Times New Roman"/>
        </w:rPr>
        <w:t xml:space="preserve">teisingą </w:t>
      </w:r>
      <w:r w:rsidRPr="00CE37D0">
        <w:rPr>
          <w:rFonts w:eastAsia="Times New Roman"/>
        </w:rPr>
        <w:t xml:space="preserve">teismą, kyla klausimas dėl privataus kaltinimo teisės ribojimų pagrįstumo. </w:t>
      </w:r>
      <w:r w:rsidR="003E3809" w:rsidRPr="00CE37D0">
        <w:rPr>
          <w:rFonts w:eastAsia="Times New Roman"/>
        </w:rPr>
        <w:t xml:space="preserve">Teisės į </w:t>
      </w:r>
      <w:r w:rsidR="0042172D" w:rsidRPr="00CE37D0">
        <w:rPr>
          <w:rFonts w:eastAsia="Times New Roman"/>
        </w:rPr>
        <w:t xml:space="preserve">teisingą </w:t>
      </w:r>
      <w:r w:rsidR="003E3809" w:rsidRPr="00CE37D0">
        <w:rPr>
          <w:rFonts w:eastAsia="Times New Roman"/>
        </w:rPr>
        <w:t xml:space="preserve">teismą absoliutumas įvairių autorių vertinamas skirtingai priklausomai nuo to, kokiems šios teisės elementams teikiamas prioritetas. T. Birmontienė teisę į </w:t>
      </w:r>
      <w:r w:rsidR="0042172D" w:rsidRPr="00CE37D0">
        <w:rPr>
          <w:rFonts w:eastAsia="Times New Roman"/>
        </w:rPr>
        <w:t xml:space="preserve">teisingą </w:t>
      </w:r>
      <w:r w:rsidR="003E3809" w:rsidRPr="00CE37D0">
        <w:rPr>
          <w:rFonts w:eastAsia="Times New Roman"/>
        </w:rPr>
        <w:t>teismą vertina kaip absoliučią teisę pagal teisės į teisingą teismą teisingumo elementą: „</w:t>
      </w:r>
      <w:r w:rsidR="003E3809" w:rsidRPr="00CE37D0">
        <w:rPr>
          <w:rFonts w:eastAsia="Times New Roman"/>
          <w:i/>
        </w:rPr>
        <w:t xml:space="preserve">nei pati Konvencija, nei EŽTT praktika nenumato jokių teisingo teismo, t.y. </w:t>
      </w:r>
      <w:r w:rsidR="003E3809" w:rsidRPr="00CE37D0">
        <w:rPr>
          <w:rFonts w:eastAsia="Times New Roman"/>
          <w:i/>
        </w:rPr>
        <w:lastRenderedPageBreak/>
        <w:t>teisingumo elemento, apribojimų, todėl ši teisė galėtų būti laikoma absoliučia</w:t>
      </w:r>
      <w:r w:rsidR="003E3809" w:rsidRPr="00CE37D0">
        <w:rPr>
          <w:rFonts w:eastAsia="Times New Roman"/>
        </w:rPr>
        <w:t xml:space="preserve">“. </w:t>
      </w:r>
      <w:r w:rsidR="003E3809" w:rsidRPr="00CE37D0">
        <w:rPr>
          <w:rStyle w:val="Puslapioinaosnuoroda"/>
        </w:rPr>
        <w:footnoteReference w:id="543"/>
      </w:r>
      <w:r w:rsidR="003E3809" w:rsidRPr="00CE37D0">
        <w:rPr>
          <w:rFonts w:eastAsia="Times New Roman"/>
        </w:rPr>
        <w:t xml:space="preserve"> Konstitucinė teisė į </w:t>
      </w:r>
      <w:r w:rsidR="0042172D" w:rsidRPr="00CE37D0">
        <w:rPr>
          <w:rFonts w:eastAsia="Times New Roman"/>
        </w:rPr>
        <w:t xml:space="preserve">teisingą </w:t>
      </w:r>
      <w:r w:rsidR="003E3809" w:rsidRPr="00CE37D0">
        <w:rPr>
          <w:rFonts w:eastAsia="Times New Roman"/>
        </w:rPr>
        <w:t>teismą įvardijama k</w:t>
      </w:r>
      <w:r w:rsidR="00927F5E">
        <w:rPr>
          <w:rFonts w:eastAsia="Times New Roman"/>
        </w:rPr>
        <w:t>aip absoliuti ir Konstitucinio T</w:t>
      </w:r>
      <w:r w:rsidR="003E3809" w:rsidRPr="00CE37D0">
        <w:rPr>
          <w:rFonts w:eastAsia="Times New Roman"/>
        </w:rPr>
        <w:t>eismo jurisprudencijoje</w:t>
      </w:r>
      <w:r w:rsidR="00DD74A3" w:rsidRPr="00CE37D0">
        <w:rPr>
          <w:rFonts w:eastAsia="Times New Roman"/>
        </w:rPr>
        <w:t>:</w:t>
      </w:r>
      <w:r w:rsidR="001637D0">
        <w:rPr>
          <w:rFonts w:eastAsia="Times New Roman"/>
        </w:rPr>
        <w:t xml:space="preserve"> </w:t>
      </w:r>
      <w:r w:rsidR="00DD74A3" w:rsidRPr="00CE37D0">
        <w:rPr>
          <w:rFonts w:eastAsia="Times New Roman"/>
        </w:rPr>
        <w:t>t</w:t>
      </w:r>
      <w:r w:rsidR="00AB121F" w:rsidRPr="00CE37D0">
        <w:rPr>
          <w:rFonts w:eastAsia="Times New Roman"/>
        </w:rPr>
        <w:t>eisės į nepriklausomą ir nešališką teismą absoliutumas kildinamas iš</w:t>
      </w:r>
      <w:r w:rsidR="001637D0">
        <w:rPr>
          <w:rFonts w:eastAsia="Times New Roman"/>
        </w:rPr>
        <w:t xml:space="preserve"> </w:t>
      </w:r>
      <w:r w:rsidR="00AB121F" w:rsidRPr="00CE37D0">
        <w:rPr>
          <w:rFonts w:eastAsia="Times New Roman"/>
        </w:rPr>
        <w:t xml:space="preserve">konstitucinio teisinės valstybės principo aiškinimo. </w:t>
      </w:r>
      <w:r w:rsidR="003E3809" w:rsidRPr="00CE37D0">
        <w:rPr>
          <w:rStyle w:val="Puslapioinaosnuoroda"/>
        </w:rPr>
        <w:footnoteReference w:id="544"/>
      </w:r>
      <w:r w:rsidR="003E3809" w:rsidRPr="00CE37D0">
        <w:rPr>
          <w:rFonts w:eastAsia="Times New Roman"/>
        </w:rPr>
        <w:t xml:space="preserve"> </w:t>
      </w:r>
      <w:r w:rsidR="003E3809" w:rsidRPr="001637D0">
        <w:rPr>
          <w:rFonts w:eastAsia="Times New Roman"/>
        </w:rPr>
        <w:t>L. Štarienė</w:t>
      </w:r>
      <w:r w:rsidR="001637D0" w:rsidRPr="00CC2579">
        <w:rPr>
          <w:rFonts w:eastAsia="Times New Roman"/>
        </w:rPr>
        <w:t>, analizuodama</w:t>
      </w:r>
      <w:r w:rsidR="003E3809" w:rsidRPr="001637D0">
        <w:rPr>
          <w:rFonts w:eastAsia="Times New Roman"/>
        </w:rPr>
        <w:t xml:space="preserve"> teisę į teisingą teismą kaip ją sudarančių lygiaverčių elementų visumą</w:t>
      </w:r>
      <w:r w:rsidR="001637D0" w:rsidRPr="00CC2579">
        <w:rPr>
          <w:rFonts w:eastAsia="Times New Roman"/>
        </w:rPr>
        <w:t>,</w:t>
      </w:r>
      <w:r w:rsidR="003E3809" w:rsidRPr="001637D0">
        <w:rPr>
          <w:rFonts w:eastAsia="Times New Roman"/>
        </w:rPr>
        <w:t xml:space="preserve"> daro išvadą, kad ji labiau sąlyginė nei absoliuti, nes vienos iš svarbiausių teisės į teisingą teismą</w:t>
      </w:r>
      <w:r w:rsidR="003E3809" w:rsidRPr="00CE37D0">
        <w:rPr>
          <w:rFonts w:eastAsia="Times New Roman"/>
        </w:rPr>
        <w:t xml:space="preserve"> teisių – teisės į teismą – atžvilgiu gali būti teisėtai </w:t>
      </w:r>
      <w:r w:rsidR="000A1495" w:rsidRPr="00CE37D0">
        <w:rPr>
          <w:rFonts w:eastAsia="Times New Roman"/>
        </w:rPr>
        <w:t>apibrėžiam</w:t>
      </w:r>
      <w:r w:rsidR="003E3809" w:rsidRPr="00CE37D0">
        <w:rPr>
          <w:rFonts w:eastAsia="Times New Roman"/>
        </w:rPr>
        <w:t xml:space="preserve">os tam tikros jos taikymo ribos. </w:t>
      </w:r>
      <w:r w:rsidR="003E3809" w:rsidRPr="00CE37D0">
        <w:rPr>
          <w:rStyle w:val="Puslapioinaosnuoroda"/>
        </w:rPr>
        <w:footnoteReference w:id="545"/>
      </w:r>
    </w:p>
    <w:p w:rsidR="003E3809" w:rsidRPr="00CE37D0" w:rsidRDefault="003E3809" w:rsidP="00044CCF">
      <w:pPr>
        <w:spacing w:line="360" w:lineRule="auto"/>
        <w:ind w:firstLine="720"/>
        <w:jc w:val="both"/>
        <w:rPr>
          <w:rFonts w:eastAsia="Times New Roman"/>
        </w:rPr>
      </w:pPr>
      <w:r w:rsidRPr="00CE37D0">
        <w:rPr>
          <w:rFonts w:eastAsia="Times New Roman"/>
        </w:rPr>
        <w:t>EŽTT jurisprudencijoje laikomasi pozicijos, kad teisė į teismą gali būti apribota, tačiau bet kokie taikomi ribojimai negali pažeist</w:t>
      </w:r>
      <w:r w:rsidR="00141A00" w:rsidRPr="00CE37D0">
        <w:rPr>
          <w:rFonts w:eastAsia="Times New Roman"/>
        </w:rPr>
        <w:t>i</w:t>
      </w:r>
      <w:r w:rsidRPr="00CE37D0">
        <w:rPr>
          <w:rFonts w:eastAsia="Times New Roman"/>
        </w:rPr>
        <w:t xml:space="preserve"> pa</w:t>
      </w:r>
      <w:r w:rsidR="00141A00" w:rsidRPr="00CE37D0">
        <w:rPr>
          <w:rFonts w:eastAsia="Times New Roman"/>
        </w:rPr>
        <w:t>čios</w:t>
      </w:r>
      <w:r w:rsidRPr="00CE37D0">
        <w:rPr>
          <w:rFonts w:eastAsia="Times New Roman"/>
        </w:rPr>
        <w:t xml:space="preserve"> teisės esmė</w:t>
      </w:r>
      <w:r w:rsidR="00141A00" w:rsidRPr="00CE37D0">
        <w:rPr>
          <w:rFonts w:eastAsia="Times New Roman"/>
        </w:rPr>
        <w:t>s</w:t>
      </w:r>
      <w:r w:rsidRPr="00CE37D0">
        <w:rPr>
          <w:rFonts w:eastAsia="Times New Roman"/>
        </w:rPr>
        <w:t xml:space="preserve">. Teisės į teismą apribojimas pateisinamas, jei atitinka tam tikrus reikalavimus: 1) neturi būti pažeista teisės į teismą esmė; 2) apribojimu turi būti siekiama teisėto tikslo; 3) turi būti užtikrintas ribojančių teisę į teismą priemonių ir siekiamo tikslo proporcingumo principas. </w:t>
      </w:r>
      <w:r w:rsidRPr="00CE37D0">
        <w:rPr>
          <w:rStyle w:val="Puslapioinaosnuoroda"/>
        </w:rPr>
        <w:footnoteReference w:id="546"/>
      </w:r>
      <w:r w:rsidRPr="00CE37D0">
        <w:rPr>
          <w:rFonts w:eastAsia="Times New Roman"/>
        </w:rPr>
        <w:t xml:space="preserve"> EŽTT </w:t>
      </w:r>
      <w:r w:rsidRPr="00CE37D0">
        <w:rPr>
          <w:rFonts w:eastAsia="Times New Roman"/>
          <w:i/>
        </w:rPr>
        <w:t>Ashingdane v. United Kingdom</w:t>
      </w:r>
      <w:r w:rsidRPr="00CE37D0">
        <w:rPr>
          <w:rFonts w:eastAsia="Times New Roman"/>
        </w:rPr>
        <w:t xml:space="preserve"> byloje apibrėžė teisės į teismą apribojimų kriterijus, </w:t>
      </w:r>
      <w:r w:rsidRPr="00CE37D0">
        <w:rPr>
          <w:rStyle w:val="Puslapioinaosnuoroda"/>
        </w:rPr>
        <w:footnoteReference w:id="547"/>
      </w:r>
      <w:r w:rsidRPr="00CE37D0">
        <w:rPr>
          <w:rFonts w:eastAsia="Times New Roman"/>
        </w:rPr>
        <w:t xml:space="preserve"> iš kurių aptarsime tik tuos, kurie yra aktualūs nagrinėjant privataus kaltinimo skundo padavimą, t.y. apribojimus tam</w:t>
      </w:r>
      <w:r w:rsidR="00141A00" w:rsidRPr="00CE37D0">
        <w:rPr>
          <w:rFonts w:eastAsia="Times New Roman"/>
        </w:rPr>
        <w:t xml:space="preserve"> tikrų asmenų grupių atžvilgiu,</w:t>
      </w:r>
      <w:r w:rsidRPr="00CE37D0">
        <w:rPr>
          <w:rFonts w:eastAsia="Times New Roman"/>
        </w:rPr>
        <w:t xml:space="preserve"> terminus bei procesinius reikalavimus skundui paduoti. </w:t>
      </w:r>
    </w:p>
    <w:p w:rsidR="00141A00" w:rsidRPr="00CE37D0" w:rsidRDefault="003E3809" w:rsidP="00141A00">
      <w:pPr>
        <w:spacing w:line="360" w:lineRule="auto"/>
        <w:ind w:firstLine="720"/>
        <w:jc w:val="both"/>
        <w:rPr>
          <w:rFonts w:eastAsia="Times New Roman"/>
        </w:rPr>
      </w:pPr>
      <w:r w:rsidRPr="00CE37D0">
        <w:rPr>
          <w:rFonts w:eastAsia="Times New Roman"/>
          <w:i/>
        </w:rPr>
        <w:t>Golder v. United Kingdom</w:t>
      </w:r>
      <w:r w:rsidRPr="00CE37D0">
        <w:rPr>
          <w:rFonts w:eastAsia="Times New Roman"/>
        </w:rPr>
        <w:t xml:space="preserve"> byloje </w:t>
      </w:r>
      <w:r w:rsidR="00CF3875">
        <w:rPr>
          <w:rFonts w:eastAsia="Times New Roman"/>
        </w:rPr>
        <w:t>pripažįstam</w:t>
      </w:r>
      <w:r w:rsidRPr="00CE37D0">
        <w:rPr>
          <w:rFonts w:eastAsia="Times New Roman"/>
        </w:rPr>
        <w:t xml:space="preserve">a galimybė taikyti teisės į teismą apribojimus tam tikroms asmenų grupėms, eksplicitiškai nurodant nepilnamečius ir </w:t>
      </w:r>
      <w:r w:rsidR="00660F5B">
        <w:rPr>
          <w:rFonts w:eastAsia="Times New Roman"/>
        </w:rPr>
        <w:t xml:space="preserve">asmenis su psichikos </w:t>
      </w:r>
      <w:r w:rsidR="00B34A64">
        <w:rPr>
          <w:rFonts w:eastAsia="Times New Roman"/>
        </w:rPr>
        <w:t>sutriki</w:t>
      </w:r>
      <w:r w:rsidR="00660F5B">
        <w:rPr>
          <w:rFonts w:eastAsia="Times New Roman"/>
        </w:rPr>
        <w:t>mais (sutrikimais)</w:t>
      </w:r>
      <w:r w:rsidRPr="00CE37D0">
        <w:rPr>
          <w:rFonts w:eastAsia="Times New Roman"/>
        </w:rPr>
        <w:t xml:space="preserve">. </w:t>
      </w:r>
      <w:r w:rsidRPr="00CE37D0">
        <w:rPr>
          <w:rStyle w:val="Puslapioinaosnuoroda"/>
        </w:rPr>
        <w:footnoteReference w:id="548"/>
      </w:r>
      <w:r w:rsidRPr="00CE37D0">
        <w:rPr>
          <w:rFonts w:eastAsia="Times New Roman"/>
        </w:rPr>
        <w:t xml:space="preserve"> Taisyklės, numatančios teisės kreiptis į teismą apribojimus, siekiant užkirsti kelią piktnaudžiavimui šia teise ir apsisaugoti nuo nepagrįstų procesų, nepažeidžia Konvencijos 6 straipsnio 1 dalies, nes tokiais atvejais siekiama teisėto tikslo – užtikrinti tinkamą teisingumo vykdymą. </w:t>
      </w:r>
      <w:r w:rsidR="00141A00" w:rsidRPr="00CE37D0">
        <w:rPr>
          <w:rFonts w:eastAsia="Times New Roman"/>
        </w:rPr>
        <w:t xml:space="preserve">Šiuo aspektu </w:t>
      </w:r>
      <w:r w:rsidR="00FE1D55">
        <w:rPr>
          <w:rFonts w:eastAsia="Times New Roman"/>
        </w:rPr>
        <w:t xml:space="preserve">sistemiškai </w:t>
      </w:r>
      <w:r w:rsidR="00141A00" w:rsidRPr="00CE37D0">
        <w:rPr>
          <w:rFonts w:eastAsia="Times New Roman"/>
        </w:rPr>
        <w:t xml:space="preserve">vertinant Lietuvos </w:t>
      </w:r>
      <w:r w:rsidR="00FE1D55">
        <w:rPr>
          <w:rFonts w:eastAsia="Times New Roman"/>
        </w:rPr>
        <w:t>BPK nuostatas, reglamentuojančias privataus kaltinimo proceso ir atstovavimo instituto ypatumus</w:t>
      </w:r>
      <w:r w:rsidR="00141A00" w:rsidRPr="00CE37D0">
        <w:rPr>
          <w:rFonts w:eastAsia="Times New Roman"/>
        </w:rPr>
        <w:t>, a</w:t>
      </w:r>
      <w:r w:rsidRPr="00CE37D0">
        <w:rPr>
          <w:rFonts w:eastAsia="Times New Roman"/>
        </w:rPr>
        <w:t xml:space="preserve">smenys, priklausantys minėtai kategorijai, nors jiems ir nesuteikta teisė kreiptis į teismą privataus kaltinimo tvarka, gali šią teisę įgyvendinti per teisėtus atstovus, todėl laikytina, kad jų teisė į teismą nėra pažeidžiama. </w:t>
      </w:r>
    </w:p>
    <w:p w:rsidR="00141A00" w:rsidRPr="00CE37D0" w:rsidRDefault="003E3809" w:rsidP="00141A00">
      <w:pPr>
        <w:spacing w:line="360" w:lineRule="auto"/>
        <w:ind w:firstLine="720"/>
        <w:jc w:val="both"/>
        <w:rPr>
          <w:rFonts w:eastAsia="Times New Roman"/>
        </w:rPr>
      </w:pPr>
      <w:r w:rsidRPr="00CE37D0">
        <w:rPr>
          <w:rFonts w:eastAsia="Times New Roman"/>
        </w:rPr>
        <w:lastRenderedPageBreak/>
        <w:t>Lietuvoje privataus kaltinimo skundo padavimo teisė nėra ribojama terminais, išskyrus bendrus senaties terminus, t.y., nukentėjęs asmuo ar jo teisėtas atstovas turi teisę paduoti privataus kaltinimo skundą</w:t>
      </w:r>
      <w:r w:rsidR="001637D0">
        <w:rPr>
          <w:rFonts w:eastAsia="Times New Roman"/>
        </w:rPr>
        <w:t>,</w:t>
      </w:r>
      <w:r w:rsidRPr="00CE37D0">
        <w:rPr>
          <w:rFonts w:eastAsia="Times New Roman"/>
        </w:rPr>
        <w:t xml:space="preserve"> kol nesuėję senaties terminai dėl jų atžvilgiu padarytos nusikalstamos veikos. Konvencijos įgyvendinimo prasme BK nustatyti senaties terminai bei reikalavimai privataus kaltinimo skundui laikytini pagrįstais. Terminai ieškiniui ar skundui paduoti, senaties terminai ar kiti procesiniai reikalavimai skundui ar ieškiniui paduoti yra laikomi teisėtais apribojimais, nes jais yra siekiama užtikrinti tinkamą teisingumo vykdymą. </w:t>
      </w:r>
      <w:r w:rsidRPr="00CE37D0">
        <w:rPr>
          <w:rStyle w:val="Puslapioinaosnuoroda"/>
        </w:rPr>
        <w:footnoteReference w:id="549"/>
      </w:r>
      <w:r w:rsidRPr="00CE37D0">
        <w:rPr>
          <w:rFonts w:eastAsia="Times New Roman"/>
        </w:rPr>
        <w:t xml:space="preserve"> Užsienio valstybių pozityviojoje teisėje šiuo aspektu teisinis reguliavimas gana įvairus. Vokietijoje privataus kaltinimo iškėlimas taip pat nėra saistomas terminų</w:t>
      </w:r>
      <w:r w:rsidR="00AD1A73">
        <w:rPr>
          <w:rFonts w:eastAsia="Times New Roman"/>
        </w:rPr>
        <w:t>,</w:t>
      </w:r>
      <w:r w:rsidR="008F5354">
        <w:rPr>
          <w:rFonts w:eastAsia="Times New Roman"/>
        </w:rPr>
        <w:t xml:space="preserve"> </w:t>
      </w:r>
      <w:r w:rsidRPr="00CE37D0">
        <w:rPr>
          <w:rFonts w:eastAsia="Times New Roman"/>
          <w:vertAlign w:val="superscript"/>
        </w:rPr>
        <w:footnoteReference w:id="550"/>
      </w:r>
      <w:r w:rsidRPr="00CE37D0">
        <w:rPr>
          <w:rFonts w:eastAsia="Times New Roman"/>
        </w:rPr>
        <w:t xml:space="preserve"> tačiau daugelio valstybių baudžiamojo proceso įstatymai numato terminą, per kurį nukentėjęs asmuo turi paduoti privataus kaltinimo skundą. Austrijoje privatus kaltinimas turi būti inicijuotas per 6 savaites nuo to momento, kai nusikalstama veika ir kaltininkas tapo žinomi privačiam kaltintojui</w:t>
      </w:r>
      <w:r w:rsidR="00495223">
        <w:rPr>
          <w:rFonts w:eastAsia="Times New Roman"/>
        </w:rPr>
        <w:t>, o subsidiarus kaltintojas gali įstoti į procesą per 14 dienų nuo valstybinio kaltintojo atsisakymo kaltinti</w:t>
      </w:r>
      <w:r w:rsidRPr="00CE37D0">
        <w:rPr>
          <w:rFonts w:eastAsia="Times New Roman"/>
        </w:rPr>
        <w:t xml:space="preserve">. </w:t>
      </w:r>
      <w:r w:rsidRPr="00CE37D0">
        <w:rPr>
          <w:rStyle w:val="Puslapioinaosnuoroda"/>
        </w:rPr>
        <w:footnoteReference w:id="551"/>
      </w:r>
      <w:r w:rsidRPr="00CE37D0">
        <w:rPr>
          <w:rFonts w:eastAsia="Times New Roman"/>
        </w:rPr>
        <w:t xml:space="preserve"> Kroatijoje privatus kaltinimas turi būti pareikštas per 3 mėnesius nuo tos dienos, kai privataus kaltinimo teisę turintis asmuo sužino apie nusikalstamą veiką (nusikaltimo </w:t>
      </w:r>
      <w:r w:rsidRPr="00CE37D0">
        <w:rPr>
          <w:rFonts w:eastAsia="Times New Roman"/>
          <w:i/>
          <w:iCs/>
        </w:rPr>
        <w:t xml:space="preserve">die scientiae) </w:t>
      </w:r>
      <w:r w:rsidRPr="00CE37D0">
        <w:rPr>
          <w:rFonts w:eastAsia="Times New Roman"/>
        </w:rPr>
        <w:t>ir kaltininko tapatybę</w:t>
      </w:r>
      <w:r w:rsidR="0013286E">
        <w:rPr>
          <w:rFonts w:eastAsia="Times New Roman"/>
        </w:rPr>
        <w:t xml:space="preserve"> (Kroatijos BPK 49 straipsnio</w:t>
      </w:r>
      <w:r w:rsidR="00495223">
        <w:rPr>
          <w:rFonts w:eastAsia="Times New Roman"/>
        </w:rPr>
        <w:t xml:space="preserve"> 9 d</w:t>
      </w:r>
      <w:r w:rsidR="0013286E">
        <w:rPr>
          <w:rFonts w:eastAsia="Times New Roman"/>
        </w:rPr>
        <w:t>alis</w:t>
      </w:r>
      <w:r w:rsidR="00495223">
        <w:rPr>
          <w:rFonts w:eastAsia="Times New Roman"/>
        </w:rPr>
        <w:t>, 55-63 str</w:t>
      </w:r>
      <w:r w:rsidR="0013286E">
        <w:rPr>
          <w:rFonts w:eastAsia="Times New Roman"/>
        </w:rPr>
        <w:t>aipsniai</w:t>
      </w:r>
      <w:r w:rsidR="00495223">
        <w:rPr>
          <w:rFonts w:eastAsia="Times New Roman"/>
        </w:rPr>
        <w:t>)</w:t>
      </w:r>
      <w:r w:rsidRPr="00CE37D0">
        <w:rPr>
          <w:rFonts w:eastAsia="Times New Roman"/>
        </w:rPr>
        <w:t xml:space="preserve">. </w:t>
      </w:r>
      <w:r w:rsidRPr="00CE37D0">
        <w:rPr>
          <w:rStyle w:val="Puslapioinaosnuoroda"/>
        </w:rPr>
        <w:footnoteReference w:id="552"/>
      </w:r>
      <w:r w:rsidR="00004AB2">
        <w:rPr>
          <w:rFonts w:eastAsia="Times New Roman"/>
        </w:rPr>
        <w:t xml:space="preserve"> Privataus kaltinimo skundo padavimo terminų nustatymas sietinas su privataus kaltinimo tvarka nagrinėjamų nusikalstamų veikų bei paties proceso ypatumais. Dėl šių nusikalstamų veikų mažesnio pavojingumo, jomis pažeidžiamų privačių interesų pobūdžio, konflikto as</w:t>
      </w:r>
      <w:r w:rsidR="00366FC5">
        <w:rPr>
          <w:rFonts w:eastAsia="Times New Roman"/>
        </w:rPr>
        <w:t>meniškumo, iki senaties terminų gresiantis baudžiamasis procesas gali tapti nepateisinama našta</w:t>
      </w:r>
      <w:r w:rsidR="001637D0">
        <w:rPr>
          <w:rFonts w:eastAsia="Times New Roman"/>
        </w:rPr>
        <w:t xml:space="preserve"> </w:t>
      </w:r>
      <w:r w:rsidR="00366FC5">
        <w:rPr>
          <w:rFonts w:eastAsia="Times New Roman"/>
        </w:rPr>
        <w:t>galimai nusikalstamą veiką padariusiam asmeniui. Dėl</w:t>
      </w:r>
      <w:r w:rsidR="00004AB2">
        <w:rPr>
          <w:rFonts w:eastAsia="Times New Roman"/>
        </w:rPr>
        <w:t xml:space="preserve"> įrodinėjimo</w:t>
      </w:r>
      <w:proofErr w:type="gramStart"/>
      <w:r w:rsidR="00004AB2">
        <w:rPr>
          <w:rFonts w:eastAsia="Times New Roman"/>
        </w:rPr>
        <w:t xml:space="preserve"> </w:t>
      </w:r>
      <w:r w:rsidR="00366FC5">
        <w:rPr>
          <w:rFonts w:eastAsia="Times New Roman"/>
        </w:rPr>
        <w:t xml:space="preserve"> </w:t>
      </w:r>
      <w:proofErr w:type="gramEnd"/>
      <w:r w:rsidR="00366FC5">
        <w:rPr>
          <w:rFonts w:eastAsia="Times New Roman"/>
        </w:rPr>
        <w:t xml:space="preserve">proceso ypatumų privataus kaltinimo bylose vis didesnis laiko tarpas nuo nusikalstamos veikos padarymo gali apsunkinti privataus kaltinimo bylos nagrinėjimą. Todėl terminų privataus kaltinimo skundui paduoti nustatymas užtikrintų greitesnį, veiksmingesnį baudžiamąjį procesą bei atsaką į padarytą nusikalstamą veiką ir konflikto išsprendimą arba aktyviai veikiant baudžiamojo proceso priemonėmis, arba pasyviai atsisakant inicijuoti baudžiamąjį procesą. </w:t>
      </w:r>
      <w:r w:rsidR="00DA0F2C">
        <w:rPr>
          <w:rFonts w:eastAsia="Times New Roman"/>
        </w:rPr>
        <w:t xml:space="preserve">Privataus kaltinimo skundo padavimas teismui praėjus ilgesniam laikui po nusikalstamos veikos taip pat sudaro prielaidas manyti, kad privataus kaltinimo proceso inicijavimą lėmė ne tikras nukentėjusio asmens teisių pažeidimas, o kiti asmeniniai motyvai. Štai LAT nutartyje iškelta abejonių privataus kaltintojo </w:t>
      </w:r>
      <w:r w:rsidR="00DA0F2C">
        <w:rPr>
          <w:rFonts w:eastAsia="Times New Roman"/>
        </w:rPr>
        <w:lastRenderedPageBreak/>
        <w:t xml:space="preserve">pretenzijų pagrįstumu, kai privataus kaltinimo skundas buvo paduotas </w:t>
      </w:r>
      <w:r w:rsidR="00DA0F2C" w:rsidRPr="00DA0F2C">
        <w:rPr>
          <w:rFonts w:eastAsia="Times New Roman"/>
        </w:rPr>
        <w:t>daugiau kaip po aštuonių mėnesių</w:t>
      </w:r>
      <w:r w:rsidR="00DA0F2C">
        <w:rPr>
          <w:rFonts w:eastAsia="Times New Roman"/>
        </w:rPr>
        <w:t xml:space="preserve"> nuo galimos nusikalstamos veikos padarymo</w:t>
      </w:r>
      <w:r w:rsidR="00DA0F2C" w:rsidRPr="00DA0F2C">
        <w:rPr>
          <w:rFonts w:eastAsia="Times New Roman"/>
        </w:rPr>
        <w:t xml:space="preserve">. </w:t>
      </w:r>
      <w:r w:rsidR="00DA0F2C">
        <w:rPr>
          <w:rStyle w:val="Puslapioinaosnuoroda"/>
          <w:rFonts w:eastAsia="Times New Roman"/>
        </w:rPr>
        <w:footnoteReference w:id="553"/>
      </w:r>
      <w:r w:rsidR="001637D0">
        <w:rPr>
          <w:rFonts w:eastAsia="Times New Roman"/>
        </w:rPr>
        <w:t xml:space="preserve"> </w:t>
      </w:r>
      <w:r w:rsidR="00A21F35">
        <w:rPr>
          <w:rFonts w:eastAsia="Times New Roman"/>
        </w:rPr>
        <w:t xml:space="preserve">Nors konstatuotina, kad privataus kaltinimo skundo padavimo terminai turėtų būti trumpesni nei apkaltinamojo nuosprendžio priėmimo senaties terminai, tačiau </w:t>
      </w:r>
      <w:r w:rsidR="00A7090A">
        <w:rPr>
          <w:rFonts w:eastAsia="Times New Roman"/>
        </w:rPr>
        <w:t xml:space="preserve">trūksta patikimų teisinių argumentų konkrečiam </w:t>
      </w:r>
      <w:r w:rsidR="00004AB2">
        <w:rPr>
          <w:rFonts w:eastAsia="Times New Roman"/>
        </w:rPr>
        <w:t>terminui nustatyti</w:t>
      </w:r>
      <w:r w:rsidR="00A21F35">
        <w:rPr>
          <w:rFonts w:eastAsia="Times New Roman"/>
        </w:rPr>
        <w:t>, todėl konkretaus termino nustatymas išlieka diskusinis klausimas</w:t>
      </w:r>
      <w:r w:rsidR="00004AB2">
        <w:rPr>
          <w:rFonts w:eastAsia="Times New Roman"/>
        </w:rPr>
        <w:t>.</w:t>
      </w:r>
    </w:p>
    <w:p w:rsidR="003E3809" w:rsidRPr="00CE37D0" w:rsidRDefault="003E3809" w:rsidP="00141A00">
      <w:pPr>
        <w:spacing w:line="360" w:lineRule="auto"/>
        <w:ind w:firstLine="720"/>
        <w:jc w:val="both"/>
        <w:rPr>
          <w:rFonts w:eastAsia="Times New Roman"/>
        </w:rPr>
      </w:pPr>
      <w:r w:rsidRPr="00CE37D0">
        <w:rPr>
          <w:rFonts w:eastAsia="Times New Roman"/>
        </w:rPr>
        <w:t xml:space="preserve">Be abejo, vadovaujantis </w:t>
      </w:r>
      <w:r w:rsidRPr="00CE37D0">
        <w:rPr>
          <w:rFonts w:eastAsia="Times New Roman"/>
          <w:i/>
        </w:rPr>
        <w:t>ne bis in idem</w:t>
      </w:r>
      <w:r w:rsidRPr="00CE37D0">
        <w:rPr>
          <w:rFonts w:eastAsia="Times New Roman"/>
        </w:rPr>
        <w:t xml:space="preserve"> principu, privataus kaltinimo skundai negali būti paduoti pakartotinai, jei teismas priėmė sprendimą dėl tos pačios nusikalstamos veikos to paties asmens atžvilgiu</w:t>
      </w:r>
      <w:r w:rsidR="001637D0">
        <w:rPr>
          <w:rFonts w:eastAsia="Times New Roman"/>
        </w:rPr>
        <w:t xml:space="preserve"> </w:t>
      </w:r>
      <w:proofErr w:type="gramStart"/>
      <w:r w:rsidR="00FE1D55">
        <w:rPr>
          <w:rFonts w:eastAsia="Times New Roman"/>
        </w:rPr>
        <w:t>(</w:t>
      </w:r>
      <w:proofErr w:type="gramEnd"/>
      <w:r w:rsidR="00FE1D55">
        <w:rPr>
          <w:rFonts w:eastAsia="Times New Roman"/>
        </w:rPr>
        <w:t>BPK 3 str</w:t>
      </w:r>
      <w:r w:rsidR="0013286E">
        <w:rPr>
          <w:rFonts w:eastAsia="Times New Roman"/>
        </w:rPr>
        <w:t>aipsnio 1 dalies</w:t>
      </w:r>
      <w:r w:rsidR="00FE1D55">
        <w:rPr>
          <w:rFonts w:eastAsia="Times New Roman"/>
        </w:rPr>
        <w:t xml:space="preserve"> 8 p.)</w:t>
      </w:r>
      <w:r w:rsidRPr="00CE37D0">
        <w:rPr>
          <w:rFonts w:eastAsia="Times New Roman"/>
        </w:rPr>
        <w:t>. Galutiniai teismo sprendimai, kurie užkerta kelią pakartotinai paduoti privataus kaltinimo skundą</w:t>
      </w:r>
      <w:r w:rsidR="001637D0">
        <w:rPr>
          <w:rFonts w:eastAsia="Times New Roman"/>
        </w:rPr>
        <w:t>,</w:t>
      </w:r>
      <w:r w:rsidRPr="00CE37D0">
        <w:rPr>
          <w:rFonts w:eastAsia="Times New Roman"/>
        </w:rPr>
        <w:t xml:space="preserve"> yra tie, kuriais byla yra išsprendžiama iš esmės, t.y. nuosprendžiai (apkaltinamieji, išteisinamieji ar nuosprendžiai, kuriais nutraukiama baudžiamoji byla) ir nutartys nutraukti privataus kaltinimo bylą. Nuta</w:t>
      </w:r>
      <w:r w:rsidR="00DA0F2C">
        <w:rPr>
          <w:rFonts w:eastAsia="Times New Roman"/>
        </w:rPr>
        <w:t>rtys procesiniais klausimais, pavyzdžiui,</w:t>
      </w:r>
      <w:r w:rsidRPr="00CE37D0">
        <w:rPr>
          <w:rFonts w:eastAsia="Times New Roman"/>
        </w:rPr>
        <w:t xml:space="preserve"> dėl </w:t>
      </w:r>
      <w:r w:rsidR="001637D0">
        <w:rPr>
          <w:rFonts w:eastAsia="Times New Roman"/>
        </w:rPr>
        <w:t>to, kad skundo forma neatitinka reikalavimų</w:t>
      </w:r>
      <w:r w:rsidRPr="00CE37D0">
        <w:rPr>
          <w:rFonts w:eastAsia="Times New Roman"/>
        </w:rPr>
        <w:t>, ne</w:t>
      </w:r>
      <w:r w:rsidR="001637D0">
        <w:rPr>
          <w:rFonts w:eastAsia="Times New Roman"/>
        </w:rPr>
        <w:t>trukdo</w:t>
      </w:r>
      <w:r w:rsidRPr="00CE37D0">
        <w:rPr>
          <w:rFonts w:eastAsia="Times New Roman"/>
        </w:rPr>
        <w:t xml:space="preserve"> iš naujo paduoti skundą teismui. Atvejų, kai nukentėjęs asmuo pakartotinai kreipiasi į teismą dėl tos pačios jo atžvilgiu padarytos nusikalstamos veikos, pasitaiko ir teismų praktikoje</w:t>
      </w:r>
      <w:r w:rsidR="00931E70" w:rsidRPr="00CE37D0">
        <w:rPr>
          <w:rFonts w:eastAsia="Times New Roman"/>
        </w:rPr>
        <w:t>,</w:t>
      </w:r>
      <w:r w:rsidR="008F5354">
        <w:rPr>
          <w:rFonts w:eastAsia="Times New Roman"/>
        </w:rPr>
        <w:t xml:space="preserve"> </w:t>
      </w:r>
      <w:r w:rsidRPr="00CE37D0">
        <w:rPr>
          <w:rFonts w:eastAsia="Times New Roman"/>
          <w:vertAlign w:val="superscript"/>
        </w:rPr>
        <w:footnoteReference w:id="554"/>
      </w:r>
      <w:r w:rsidR="00931E70" w:rsidRPr="00CE37D0">
        <w:rPr>
          <w:rFonts w:eastAsia="Times New Roman"/>
        </w:rPr>
        <w:t xml:space="preserve"> tačiau ribojimas tuo pačiu pagrindu kreiptis į teismą yra pagrįstas ir nepažeidžia teisės į teismą principo. </w:t>
      </w:r>
    </w:p>
    <w:p w:rsidR="00141A00" w:rsidRPr="00CE37D0" w:rsidRDefault="00141A00" w:rsidP="00141A00">
      <w:pPr>
        <w:spacing w:line="360" w:lineRule="auto"/>
        <w:ind w:firstLine="720"/>
        <w:jc w:val="both"/>
        <w:rPr>
          <w:rFonts w:eastAsia="Times New Roman"/>
        </w:rPr>
      </w:pPr>
      <w:r w:rsidRPr="00CE37D0">
        <w:rPr>
          <w:rFonts w:eastAsia="Times New Roman"/>
        </w:rPr>
        <w:t>Ta</w:t>
      </w:r>
      <w:r w:rsidR="00DA0F2C">
        <w:rPr>
          <w:rFonts w:eastAsia="Times New Roman"/>
        </w:rPr>
        <w:t>igi trumpa Konstitucinio T</w:t>
      </w:r>
      <w:r w:rsidRPr="00CE37D0">
        <w:rPr>
          <w:rFonts w:eastAsia="Times New Roman"/>
        </w:rPr>
        <w:t>eismo, EŽTT</w:t>
      </w:r>
      <w:r w:rsidR="001637D0">
        <w:rPr>
          <w:rFonts w:eastAsia="Times New Roman"/>
        </w:rPr>
        <w:t xml:space="preserve"> </w:t>
      </w:r>
      <w:r w:rsidRPr="00CE37D0">
        <w:rPr>
          <w:rFonts w:eastAsia="Times New Roman"/>
        </w:rPr>
        <w:t xml:space="preserve">jurisprudencijos ir BPK nuostatų analizė leidžia daryti išvadą, kad </w:t>
      </w:r>
      <w:r w:rsidR="00FE1D55">
        <w:rPr>
          <w:rFonts w:eastAsia="Times New Roman"/>
        </w:rPr>
        <w:t>privataus kaltinimo teisė yra teisės į teismą įgyvendinimo forma, kuri</w:t>
      </w:r>
      <w:r w:rsidRPr="00CE37D0">
        <w:rPr>
          <w:rFonts w:eastAsia="Times New Roman"/>
        </w:rPr>
        <w:t xml:space="preserve"> gali būti teisėtai ribo</w:t>
      </w:r>
      <w:r w:rsidR="00FE1D55">
        <w:rPr>
          <w:rFonts w:eastAsia="Times New Roman"/>
        </w:rPr>
        <w:t>jama įstatyme numatytais atvejais</w:t>
      </w:r>
      <w:r w:rsidR="000A1495" w:rsidRPr="00CE37D0">
        <w:rPr>
          <w:rFonts w:eastAsia="Times New Roman"/>
        </w:rPr>
        <w:t>. Šiuo požiūriu</w:t>
      </w:r>
      <w:r w:rsidRPr="00CE37D0">
        <w:rPr>
          <w:rFonts w:eastAsia="Times New Roman"/>
        </w:rPr>
        <w:t xml:space="preserve"> bus remiamasi tolesnėje privataus kaltinimo </w:t>
      </w:r>
      <w:r w:rsidR="00931E70" w:rsidRPr="00CE37D0">
        <w:rPr>
          <w:rFonts w:eastAsia="Times New Roman"/>
        </w:rPr>
        <w:t xml:space="preserve">teisės </w:t>
      </w:r>
      <w:r w:rsidRPr="00CE37D0">
        <w:rPr>
          <w:rFonts w:eastAsia="Times New Roman"/>
        </w:rPr>
        <w:t xml:space="preserve">analizėje. </w:t>
      </w:r>
    </w:p>
    <w:p w:rsidR="003E3809" w:rsidRPr="00F93861" w:rsidRDefault="003E3809" w:rsidP="008F5354">
      <w:pPr>
        <w:pStyle w:val="Antrat3"/>
        <w:numPr>
          <w:ilvl w:val="1"/>
          <w:numId w:val="16"/>
        </w:numPr>
        <w:ind w:hanging="360"/>
      </w:pPr>
      <w:bookmarkStart w:id="325" w:name="_Toc321911347"/>
      <w:bookmarkStart w:id="326" w:name="_Toc321911484"/>
      <w:bookmarkStart w:id="327" w:name="_Toc321911521"/>
      <w:bookmarkStart w:id="328" w:name="_Toc324414330"/>
      <w:bookmarkStart w:id="329" w:name="_Toc327528896"/>
      <w:bookmarkStart w:id="330" w:name="_Toc327528952"/>
      <w:bookmarkStart w:id="331" w:name="_Toc327529041"/>
      <w:bookmarkStart w:id="332" w:name="_Toc333483884"/>
      <w:bookmarkStart w:id="333" w:name="_Toc341009854"/>
      <w:bookmarkStart w:id="334" w:name="_Toc346795979"/>
      <w:bookmarkStart w:id="335" w:name="_Toc365498864"/>
      <w:bookmarkStart w:id="336" w:name="_Toc370139922"/>
      <w:bookmarkStart w:id="337" w:name="_Toc400321702"/>
      <w:r w:rsidRPr="00F93861">
        <w:t>Nukentėjusiojo skundo procesinė reikšmė</w:t>
      </w:r>
      <w:bookmarkEnd w:id="325"/>
      <w:bookmarkEnd w:id="326"/>
      <w:bookmarkEnd w:id="327"/>
      <w:bookmarkEnd w:id="328"/>
      <w:bookmarkEnd w:id="329"/>
      <w:bookmarkEnd w:id="330"/>
      <w:bookmarkEnd w:id="331"/>
      <w:bookmarkEnd w:id="332"/>
      <w:bookmarkEnd w:id="333"/>
      <w:bookmarkEnd w:id="334"/>
      <w:bookmarkEnd w:id="335"/>
      <w:bookmarkEnd w:id="336"/>
      <w:bookmarkEnd w:id="337"/>
    </w:p>
    <w:p w:rsidR="000A1495" w:rsidRPr="00CE37D0" w:rsidRDefault="00DA0F2C" w:rsidP="000A1495">
      <w:pPr>
        <w:spacing w:line="360" w:lineRule="auto"/>
        <w:ind w:firstLine="851"/>
        <w:jc w:val="both"/>
        <w:rPr>
          <w:rFonts w:eastAsia="Times New Roman"/>
        </w:rPr>
      </w:pPr>
      <w:r>
        <w:rPr>
          <w:rFonts w:eastAsia="Times New Roman"/>
        </w:rPr>
        <w:t>Konstitucinio T</w:t>
      </w:r>
      <w:r w:rsidR="000A1495" w:rsidRPr="00CE37D0">
        <w:rPr>
          <w:rFonts w:eastAsia="Times New Roman"/>
        </w:rPr>
        <w:t>eismo jurisprudencijoje įtvirtinta nuostata, kad gali būti nustatyti kreipimosi į teismą</w:t>
      </w:r>
      <w:r w:rsidR="00931E70" w:rsidRPr="00CE37D0">
        <w:rPr>
          <w:rFonts w:eastAsia="Times New Roman"/>
        </w:rPr>
        <w:t xml:space="preserve">, </w:t>
      </w:r>
      <w:r w:rsidR="00931E70" w:rsidRPr="00CE37D0">
        <w:rPr>
          <w:rFonts w:eastAsia="Times New Roman"/>
          <w:i/>
        </w:rPr>
        <w:t>inter alia</w:t>
      </w:r>
      <w:r w:rsidR="00931E70" w:rsidRPr="00CE37D0">
        <w:rPr>
          <w:rFonts w:eastAsia="Times New Roman"/>
        </w:rPr>
        <w:t xml:space="preserve"> privataus kaltinimo tvarka,</w:t>
      </w:r>
      <w:r w:rsidR="000A1495" w:rsidRPr="00CE37D0">
        <w:rPr>
          <w:rFonts w:eastAsia="Times New Roman"/>
        </w:rPr>
        <w:t xml:space="preserve"> formalūs reikalavimai</w:t>
      </w:r>
      <w:r w:rsidR="00931E70" w:rsidRPr="00CE37D0">
        <w:rPr>
          <w:rFonts w:eastAsia="Times New Roman"/>
        </w:rPr>
        <w:t xml:space="preserve">. </w:t>
      </w:r>
      <w:r w:rsidR="005C3BE3" w:rsidRPr="00CE37D0">
        <w:rPr>
          <w:rFonts w:eastAsia="Times New Roman"/>
        </w:rPr>
        <w:t xml:space="preserve">Privataus kaltinimo skundo formos analizė leis suformuluoti išvadas dėl nukentėjusiojo skundo procesinės reikšmės. </w:t>
      </w:r>
    </w:p>
    <w:p w:rsidR="003E3809" w:rsidRPr="00CE37D0" w:rsidRDefault="00110C0F" w:rsidP="00FE1D55">
      <w:pPr>
        <w:spacing w:line="360" w:lineRule="auto"/>
        <w:ind w:firstLine="851"/>
        <w:jc w:val="both"/>
        <w:rPr>
          <w:rFonts w:eastAsia="Times New Roman"/>
        </w:rPr>
      </w:pPr>
      <w:r>
        <w:rPr>
          <w:rFonts w:eastAsia="Times New Roman"/>
        </w:rPr>
        <w:t>S</w:t>
      </w:r>
      <w:r w:rsidR="003E3809" w:rsidRPr="00CE37D0">
        <w:rPr>
          <w:rFonts w:eastAsia="Times New Roman"/>
        </w:rPr>
        <w:t xml:space="preserve">kundas yra baudžiamumo sąlyga, kadangi privataus kaltinimo tvarka </w:t>
      </w:r>
      <w:r w:rsidR="00D8011B">
        <w:rPr>
          <w:rFonts w:eastAsia="Times New Roman"/>
        </w:rPr>
        <w:t>nagrinė</w:t>
      </w:r>
      <w:r w:rsidR="003E3809" w:rsidRPr="00CE37D0">
        <w:rPr>
          <w:rFonts w:eastAsia="Times New Roman"/>
        </w:rPr>
        <w:t>jamos nusi</w:t>
      </w:r>
      <w:r w:rsidR="00D8011B">
        <w:rPr>
          <w:rFonts w:eastAsia="Times New Roman"/>
        </w:rPr>
        <w:t>kalstamos veikos yra baudžiamos</w:t>
      </w:r>
      <w:r w:rsidR="001637D0">
        <w:rPr>
          <w:rFonts w:eastAsia="Times New Roman"/>
        </w:rPr>
        <w:t xml:space="preserve"> </w:t>
      </w:r>
      <w:r w:rsidR="00DA0F2C">
        <w:rPr>
          <w:rFonts w:eastAsia="Times New Roman"/>
        </w:rPr>
        <w:t>su sąlyg</w:t>
      </w:r>
      <w:r w:rsidR="003E3809" w:rsidRPr="00CE37D0">
        <w:rPr>
          <w:rFonts w:eastAsia="Times New Roman"/>
        </w:rPr>
        <w:t>a, ka</w:t>
      </w:r>
      <w:r w:rsidR="00DA0F2C">
        <w:rPr>
          <w:rFonts w:eastAsia="Times New Roman"/>
        </w:rPr>
        <w:t>d</w:t>
      </w:r>
      <w:r w:rsidR="003E3809" w:rsidRPr="00CE37D0">
        <w:rPr>
          <w:rFonts w:eastAsia="Times New Roman"/>
        </w:rPr>
        <w:t xml:space="preserve"> nukentėjęs asmuo </w:t>
      </w:r>
      <w:r w:rsidR="00DA0F2C">
        <w:rPr>
          <w:rFonts w:eastAsia="Times New Roman"/>
        </w:rPr>
        <w:t xml:space="preserve">to </w:t>
      </w:r>
      <w:r w:rsidR="003E3809" w:rsidRPr="00CE37D0">
        <w:rPr>
          <w:rFonts w:eastAsia="Times New Roman"/>
        </w:rPr>
        <w:t>pageidauja ir dėl to paduoda skundą teismui.</w:t>
      </w:r>
      <w:r w:rsidR="008F5354">
        <w:rPr>
          <w:rFonts w:eastAsia="Times New Roman"/>
        </w:rPr>
        <w:t xml:space="preserve"> </w:t>
      </w:r>
      <w:r w:rsidRPr="00CE37D0">
        <w:rPr>
          <w:rStyle w:val="Puslapioinaosnuoroda"/>
        </w:rPr>
        <w:footnoteReference w:id="555"/>
      </w:r>
      <w:r w:rsidR="003E3809" w:rsidRPr="00CE37D0">
        <w:rPr>
          <w:rFonts w:eastAsia="Times New Roman"/>
        </w:rPr>
        <w:t xml:space="preserve"> Valstybės teisė bausti ir baudžiamosios atsakomybės sąlygos yra materialiosios baudžiamosios teisės dalykas, todėl </w:t>
      </w:r>
      <w:r>
        <w:rPr>
          <w:rFonts w:eastAsia="Times New Roman"/>
        </w:rPr>
        <w:t>mokslinėje literatūroje sutinkama nuomonė</w:t>
      </w:r>
      <w:r w:rsidR="003E3809" w:rsidRPr="00CE37D0">
        <w:rPr>
          <w:rFonts w:eastAsia="Times New Roman"/>
        </w:rPr>
        <w:t xml:space="preserve">, kad nusikalstamų veikų, dėl kurių bylos nagrinėjamos privataus kaltinimo tvarka, sąrašą turi numatyti </w:t>
      </w:r>
      <w:r w:rsidR="003E3809" w:rsidRPr="00CE37D0">
        <w:rPr>
          <w:rFonts w:eastAsia="Times New Roman"/>
        </w:rPr>
        <w:lastRenderedPageBreak/>
        <w:t xml:space="preserve">ne baudžiamojo proceso, o baudžiamosios teisės normos. </w:t>
      </w:r>
      <w:r w:rsidR="003E3809" w:rsidRPr="00CE37D0">
        <w:rPr>
          <w:rFonts w:eastAsia="Times New Roman"/>
          <w:vertAlign w:val="superscript"/>
        </w:rPr>
        <w:footnoteReference w:id="556"/>
      </w:r>
      <w:r w:rsidR="001637D0">
        <w:rPr>
          <w:rFonts w:eastAsia="Times New Roman"/>
        </w:rPr>
        <w:t xml:space="preserve"> </w:t>
      </w:r>
      <w:r w:rsidR="00973B0F" w:rsidRPr="00CE37D0">
        <w:rPr>
          <w:rFonts w:eastAsia="Times New Roman"/>
        </w:rPr>
        <w:t>Ši idėja nėra svetima ir Lietuvos mokslui</w:t>
      </w:r>
      <w:r w:rsidR="00D8011B">
        <w:rPr>
          <w:rFonts w:eastAsia="Times New Roman"/>
        </w:rPr>
        <w:t>:</w:t>
      </w:r>
      <w:r w:rsidR="00973B0F" w:rsidRPr="00CE37D0">
        <w:rPr>
          <w:rFonts w:eastAsia="Times New Roman"/>
        </w:rPr>
        <w:t xml:space="preserve"> V. Piesliak</w:t>
      </w:r>
      <w:r w:rsidR="00471957">
        <w:rPr>
          <w:rFonts w:eastAsia="Times New Roman"/>
        </w:rPr>
        <w:t xml:space="preserve">o nuomone, </w:t>
      </w:r>
      <w:r w:rsidR="00973B0F" w:rsidRPr="00CE37D0">
        <w:rPr>
          <w:rFonts w:eastAsia="Times New Roman"/>
        </w:rPr>
        <w:t>p</w:t>
      </w:r>
      <w:r w:rsidR="000A1495" w:rsidRPr="00CE37D0">
        <w:rPr>
          <w:rFonts w:eastAsia="Times New Roman"/>
        </w:rPr>
        <w:t xml:space="preserve">rivataus </w:t>
      </w:r>
      <w:r w:rsidR="00471957">
        <w:rPr>
          <w:rFonts w:eastAsia="Times New Roman"/>
        </w:rPr>
        <w:t>asmens (nukentėjusiojo) nuožiūra</w:t>
      </w:r>
      <w:r w:rsidR="000A1495" w:rsidRPr="00CE37D0">
        <w:rPr>
          <w:rFonts w:eastAsia="Times New Roman"/>
        </w:rPr>
        <w:t xml:space="preserve"> </w:t>
      </w:r>
      <w:r w:rsidR="00973B0F" w:rsidRPr="00CE37D0">
        <w:rPr>
          <w:rFonts w:eastAsia="Times New Roman"/>
        </w:rPr>
        <w:t>pripaž</w:t>
      </w:r>
      <w:r w:rsidR="00471957">
        <w:rPr>
          <w:rFonts w:eastAsia="Times New Roman"/>
        </w:rPr>
        <w:t>intina</w:t>
      </w:r>
      <w:r w:rsidR="00973B0F" w:rsidRPr="00CE37D0">
        <w:rPr>
          <w:rFonts w:eastAsia="Times New Roman"/>
        </w:rPr>
        <w:t xml:space="preserve"> </w:t>
      </w:r>
      <w:r w:rsidR="000A1495" w:rsidRPr="00CE37D0">
        <w:rPr>
          <w:rFonts w:eastAsia="Times New Roman"/>
        </w:rPr>
        <w:t>baudžiamosios teisės principu.</w:t>
      </w:r>
      <w:r w:rsidR="008F5354">
        <w:rPr>
          <w:rFonts w:eastAsia="Times New Roman"/>
        </w:rPr>
        <w:t xml:space="preserve"> </w:t>
      </w:r>
      <w:r w:rsidR="00973B0F" w:rsidRPr="00CE37D0">
        <w:rPr>
          <w:rStyle w:val="Puslapioinaosnuoroda"/>
          <w:rFonts w:eastAsia="Times New Roman"/>
        </w:rPr>
        <w:footnoteReference w:id="557"/>
      </w:r>
      <w:r w:rsidR="001637D0">
        <w:rPr>
          <w:rFonts w:eastAsia="Times New Roman"/>
        </w:rPr>
        <w:t xml:space="preserve"> </w:t>
      </w:r>
      <w:r>
        <w:rPr>
          <w:rFonts w:eastAsia="Times New Roman"/>
        </w:rPr>
        <w:t>Tokia</w:t>
      </w:r>
      <w:r w:rsidR="000A1495" w:rsidRPr="00CE37D0">
        <w:rPr>
          <w:rFonts w:eastAsia="Times New Roman"/>
        </w:rPr>
        <w:t xml:space="preserve"> pozicija atsispindi ir Lietuvos pozityviajame teisiniame reguliavime, kadangi nuostatos dėl nukentėjusiojo skundo būtinumo buvo numatytos BK specialiosios dalies normose. </w:t>
      </w:r>
      <w:r w:rsidR="00810487">
        <w:rPr>
          <w:rFonts w:eastAsia="Times New Roman"/>
        </w:rPr>
        <w:t>Visgi b</w:t>
      </w:r>
      <w:r w:rsidR="007D7E8C">
        <w:rPr>
          <w:rFonts w:eastAsia="Times New Roman"/>
        </w:rPr>
        <w:t>audžiamojo proceso teisėje pabrėž</w:t>
      </w:r>
      <w:r w:rsidR="00810487">
        <w:rPr>
          <w:rFonts w:eastAsia="Times New Roman"/>
        </w:rPr>
        <w:t>tin</w:t>
      </w:r>
      <w:r w:rsidR="007D7E8C">
        <w:rPr>
          <w:rFonts w:eastAsia="Times New Roman"/>
        </w:rPr>
        <w:t xml:space="preserve">as procesinis aspektas: privataus kaltinimo </w:t>
      </w:r>
      <w:r w:rsidR="003E3809" w:rsidRPr="00CE37D0">
        <w:rPr>
          <w:rFonts w:eastAsia="Times New Roman"/>
        </w:rPr>
        <w:t xml:space="preserve">skundas </w:t>
      </w:r>
      <w:r w:rsidR="007D7E8C">
        <w:rPr>
          <w:rFonts w:eastAsia="Times New Roman"/>
        </w:rPr>
        <w:t xml:space="preserve">laikomas </w:t>
      </w:r>
      <w:r w:rsidR="003E3809" w:rsidRPr="00CE37D0">
        <w:rPr>
          <w:rFonts w:eastAsia="Times New Roman"/>
        </w:rPr>
        <w:t>nukentėjusio asmens</w:t>
      </w:r>
      <w:r w:rsidR="007D7E8C">
        <w:rPr>
          <w:rFonts w:eastAsia="Times New Roman"/>
        </w:rPr>
        <w:t xml:space="preserve"> valios procesine išraiška ir</w:t>
      </w:r>
      <w:r w:rsidR="001637D0">
        <w:rPr>
          <w:rFonts w:eastAsia="Times New Roman"/>
        </w:rPr>
        <w:t xml:space="preserve"> </w:t>
      </w:r>
      <w:r w:rsidR="007D7E8C">
        <w:rPr>
          <w:rFonts w:eastAsia="Times New Roman"/>
        </w:rPr>
        <w:t>vertinamas kaip</w:t>
      </w:r>
      <w:r w:rsidR="001637D0">
        <w:rPr>
          <w:rFonts w:eastAsia="Times New Roman"/>
        </w:rPr>
        <w:t xml:space="preserve"> </w:t>
      </w:r>
      <w:r w:rsidR="003E3809" w:rsidRPr="00CE37D0">
        <w:rPr>
          <w:rFonts w:eastAsia="Times New Roman"/>
        </w:rPr>
        <w:t>baudžiamojo proceso pradėjimo formali</w:t>
      </w:r>
      <w:r w:rsidR="000D1D95">
        <w:rPr>
          <w:rFonts w:eastAsia="Times New Roman"/>
        </w:rPr>
        <w:t>oji</w:t>
      </w:r>
      <w:r w:rsidR="003E3809" w:rsidRPr="00CE37D0">
        <w:rPr>
          <w:rFonts w:eastAsia="Times New Roman"/>
        </w:rPr>
        <w:t xml:space="preserve"> prie</w:t>
      </w:r>
      <w:r w:rsidR="007D7E8C">
        <w:rPr>
          <w:rFonts w:eastAsia="Times New Roman"/>
        </w:rPr>
        <w:t>laida bei būtina sąlyga</w:t>
      </w:r>
      <w:r w:rsidR="003E3809" w:rsidRPr="00CE37D0">
        <w:rPr>
          <w:rFonts w:eastAsia="Times New Roman"/>
        </w:rPr>
        <w:t>.</w:t>
      </w:r>
    </w:p>
    <w:p w:rsidR="003E3809" w:rsidRPr="00CE37D0" w:rsidRDefault="003E3809" w:rsidP="00044CCF">
      <w:pPr>
        <w:spacing w:line="360" w:lineRule="auto"/>
        <w:ind w:firstLine="1296"/>
        <w:jc w:val="both"/>
        <w:rPr>
          <w:rFonts w:eastAsia="Times New Roman"/>
        </w:rPr>
      </w:pPr>
      <w:r w:rsidRPr="00CE37D0">
        <w:rPr>
          <w:rFonts w:eastAsia="Times New Roman"/>
        </w:rPr>
        <w:t xml:space="preserve">Bylos nagrinėjimo stadijoje privataus kaltinimo skundas yra kaltinimo pagrindas, </w:t>
      </w:r>
      <w:r w:rsidR="00DA0F2C">
        <w:rPr>
          <w:rFonts w:eastAsia="Times New Roman"/>
        </w:rPr>
        <w:t>lemian</w:t>
      </w:r>
      <w:r w:rsidRPr="00CE37D0">
        <w:rPr>
          <w:rFonts w:eastAsia="Times New Roman"/>
        </w:rPr>
        <w:t xml:space="preserve">tis kaltinimo apimtį ir ribas. </w:t>
      </w:r>
      <w:r w:rsidRPr="00CE37D0">
        <w:rPr>
          <w:rFonts w:eastAsia="Times New Roman"/>
          <w:i/>
        </w:rPr>
        <w:t>Deweer v. Belgium</w:t>
      </w:r>
      <w:r w:rsidRPr="00CE37D0">
        <w:rPr>
          <w:rFonts w:eastAsia="Times New Roman"/>
        </w:rPr>
        <w:t xml:space="preserve"> byloje atskleid</w:t>
      </w:r>
      <w:r w:rsidR="00036155">
        <w:rPr>
          <w:rFonts w:eastAsia="Times New Roman"/>
        </w:rPr>
        <w:t>žiamas</w:t>
      </w:r>
      <w:r w:rsidRPr="00CE37D0">
        <w:rPr>
          <w:rFonts w:eastAsia="Times New Roman"/>
        </w:rPr>
        <w:t xml:space="preserve"> kaltinimo sąvokos turin</w:t>
      </w:r>
      <w:r w:rsidR="00036155">
        <w:rPr>
          <w:rFonts w:eastAsia="Times New Roman"/>
        </w:rPr>
        <w:t>ys,</w:t>
      </w:r>
      <w:r w:rsidRPr="00CE37D0">
        <w:rPr>
          <w:rFonts w:eastAsia="Times New Roman"/>
        </w:rPr>
        <w:t xml:space="preserve"> apibūdin</w:t>
      </w:r>
      <w:r w:rsidR="00036155">
        <w:rPr>
          <w:rFonts w:eastAsia="Times New Roman"/>
        </w:rPr>
        <w:t>ant</w:t>
      </w:r>
      <w:r w:rsidRPr="00CE37D0">
        <w:rPr>
          <w:rFonts w:eastAsia="Times New Roman"/>
        </w:rPr>
        <w:t xml:space="preserve"> kaltinimą kaip „oficialų kompetentingos institucijos pranešimą apie įtarimą, kad asmuo padarė nusikalstamą veiką (angl. </w:t>
      </w:r>
      <w:r w:rsidRPr="00CE37D0">
        <w:rPr>
          <w:rFonts w:eastAsia="Times New Roman"/>
          <w:i/>
        </w:rPr>
        <w:t>criminal offence</w:t>
      </w:r>
      <w:r w:rsidRPr="00CE37D0">
        <w:rPr>
          <w:rFonts w:eastAsia="Times New Roman"/>
        </w:rPr>
        <w:t xml:space="preserve">)“. </w:t>
      </w:r>
      <w:r w:rsidRPr="00CE37D0">
        <w:rPr>
          <w:rStyle w:val="Puslapioinaosnuoroda"/>
        </w:rPr>
        <w:footnoteReference w:id="558"/>
      </w:r>
      <w:r w:rsidRPr="00CE37D0">
        <w:rPr>
          <w:rFonts w:eastAsia="Times New Roman"/>
        </w:rPr>
        <w:t xml:space="preserve"> Remiantis EŽTT praktika, kaltinimui prilygsta baudžiamojo persekiojimo pradėjimas </w:t>
      </w:r>
      <w:r w:rsidRPr="00CE37D0">
        <w:rPr>
          <w:rStyle w:val="Puslapioinaosnuoroda"/>
        </w:rPr>
        <w:footnoteReference w:id="559"/>
      </w:r>
      <w:r w:rsidRPr="00CE37D0">
        <w:rPr>
          <w:rFonts w:eastAsia="Times New Roman"/>
        </w:rPr>
        <w:t xml:space="preserve"> ar net prašymas panaikinti asmens imunitetą. </w:t>
      </w:r>
      <w:r w:rsidRPr="00CE37D0">
        <w:rPr>
          <w:rStyle w:val="Puslapioinaosnuoroda"/>
        </w:rPr>
        <w:footnoteReference w:id="560"/>
      </w:r>
      <w:r w:rsidR="001637D0">
        <w:rPr>
          <w:rFonts w:eastAsia="Times New Roman"/>
        </w:rPr>
        <w:t xml:space="preserve"> </w:t>
      </w:r>
      <w:r w:rsidR="00036155">
        <w:rPr>
          <w:rFonts w:eastAsia="Times New Roman"/>
        </w:rPr>
        <w:t xml:space="preserve">Privataus kaltinimo skundas </w:t>
      </w:r>
      <w:r w:rsidR="001637D0">
        <w:rPr>
          <w:rFonts w:eastAsia="Times New Roman"/>
        </w:rPr>
        <w:t xml:space="preserve">pagal </w:t>
      </w:r>
      <w:r w:rsidRPr="00CE37D0">
        <w:rPr>
          <w:rFonts w:eastAsia="Times New Roman"/>
        </w:rPr>
        <w:t>Konvencijos 6 str</w:t>
      </w:r>
      <w:r w:rsidR="0013286E">
        <w:rPr>
          <w:rFonts w:eastAsia="Times New Roman"/>
        </w:rPr>
        <w:t xml:space="preserve">aipsnio </w:t>
      </w:r>
      <w:r w:rsidRPr="00CE37D0">
        <w:rPr>
          <w:rFonts w:eastAsia="Times New Roman"/>
        </w:rPr>
        <w:t>1 d</w:t>
      </w:r>
      <w:r w:rsidR="0013286E">
        <w:rPr>
          <w:rFonts w:eastAsia="Times New Roman"/>
        </w:rPr>
        <w:t>al</w:t>
      </w:r>
      <w:r w:rsidR="001637D0">
        <w:rPr>
          <w:rFonts w:eastAsia="Times New Roman"/>
        </w:rPr>
        <w:t xml:space="preserve">į </w:t>
      </w:r>
      <w:r w:rsidR="00110C0F">
        <w:rPr>
          <w:rFonts w:eastAsia="Times New Roman"/>
        </w:rPr>
        <w:t xml:space="preserve">taip pat </w:t>
      </w:r>
      <w:r w:rsidR="00036155">
        <w:rPr>
          <w:rFonts w:eastAsia="Times New Roman"/>
        </w:rPr>
        <w:t>ver</w:t>
      </w:r>
      <w:r w:rsidR="00036155" w:rsidRPr="00CE37D0">
        <w:rPr>
          <w:rFonts w:eastAsia="Times New Roman"/>
        </w:rPr>
        <w:t>tintinas kaip kaltinimas</w:t>
      </w:r>
      <w:r w:rsidRPr="00CE37D0">
        <w:rPr>
          <w:rFonts w:eastAsia="Times New Roman"/>
        </w:rPr>
        <w:t xml:space="preserve">. Taigi teismas, </w:t>
      </w:r>
      <w:r w:rsidR="00036155">
        <w:rPr>
          <w:rFonts w:eastAsia="Times New Roman"/>
        </w:rPr>
        <w:t xml:space="preserve">išsiųsdamas nukentėjusiojo </w:t>
      </w:r>
      <w:r w:rsidRPr="00CE37D0">
        <w:rPr>
          <w:rFonts w:eastAsia="Times New Roman"/>
        </w:rPr>
        <w:t>skundo nuorašą</w:t>
      </w:r>
      <w:r w:rsidR="00036155">
        <w:rPr>
          <w:rFonts w:eastAsia="Times New Roman"/>
        </w:rPr>
        <w:t xml:space="preserve"> privataus kaltinimo tvarka nusikalstama veika kaltinamam asmeniui</w:t>
      </w:r>
      <w:r w:rsidRPr="00CE37D0">
        <w:rPr>
          <w:rFonts w:eastAsia="Times New Roman"/>
        </w:rPr>
        <w:t>, patvirtina, kad privataus kaltinimo skundo pagrindu ir jo ribose pradedamas baudžiamasis p</w:t>
      </w:r>
      <w:r w:rsidR="00036155">
        <w:rPr>
          <w:rFonts w:eastAsia="Times New Roman"/>
        </w:rPr>
        <w:t>roces</w:t>
      </w:r>
      <w:r w:rsidRPr="00CE37D0">
        <w:rPr>
          <w:rFonts w:eastAsia="Times New Roman"/>
        </w:rPr>
        <w:t>as.</w:t>
      </w:r>
    </w:p>
    <w:p w:rsidR="003E3809" w:rsidRPr="00CE37D0" w:rsidRDefault="003E3809" w:rsidP="00044CCF">
      <w:pPr>
        <w:spacing w:line="360" w:lineRule="auto"/>
        <w:ind w:firstLine="1296"/>
        <w:jc w:val="both"/>
        <w:rPr>
          <w:rFonts w:eastAsia="Times New Roman"/>
        </w:rPr>
      </w:pPr>
      <w:r w:rsidRPr="00CE37D0">
        <w:rPr>
          <w:rFonts w:eastAsia="Times New Roman"/>
        </w:rPr>
        <w:t>Įstatymas numato dvi kreipimosi į teismą privataus kaltinimo tvarka formas: skundą, kai jį paduoda nukentėjęs asmuo</w:t>
      </w:r>
      <w:r w:rsidR="008F5354">
        <w:rPr>
          <w:rFonts w:eastAsia="Times New Roman"/>
        </w:rPr>
        <w:t>,</w:t>
      </w:r>
      <w:r w:rsidRPr="00CE37D0">
        <w:rPr>
          <w:rFonts w:eastAsia="Times New Roman"/>
        </w:rPr>
        <w:t xml:space="preserve"> </w:t>
      </w:r>
      <w:r w:rsidRPr="00CE37D0">
        <w:rPr>
          <w:rStyle w:val="Puslapioinaosnuoroda"/>
        </w:rPr>
        <w:footnoteReference w:id="561"/>
      </w:r>
      <w:r w:rsidRPr="00CE37D0">
        <w:rPr>
          <w:rFonts w:eastAsia="Times New Roman"/>
        </w:rPr>
        <w:t xml:space="preserve"> ir pareiškimą, kai į teismą dėl baudžiamojo persekiojimo pradėjimo kreipiasi nukentėjusio</w:t>
      </w:r>
      <w:r w:rsidR="00036155">
        <w:rPr>
          <w:rFonts w:eastAsia="Times New Roman"/>
        </w:rPr>
        <w:t xml:space="preserve"> asmens</w:t>
      </w:r>
      <w:r w:rsidRPr="00CE37D0">
        <w:rPr>
          <w:rFonts w:eastAsia="Times New Roman"/>
        </w:rPr>
        <w:t xml:space="preserve"> teisėtas atstovas. Įstatymas ne atsitiktinai įtvirtina </w:t>
      </w:r>
      <w:r w:rsidR="00036155" w:rsidRPr="00CE37D0">
        <w:rPr>
          <w:rFonts w:eastAsia="Times New Roman"/>
        </w:rPr>
        <w:t xml:space="preserve">skirtingas sąvokas </w:t>
      </w:r>
      <w:r w:rsidRPr="00CE37D0">
        <w:rPr>
          <w:rFonts w:eastAsia="Times New Roman"/>
        </w:rPr>
        <w:t>kreipimuisi į teismą privataus kaltinimo tvarka įvard</w:t>
      </w:r>
      <w:r w:rsidR="00105CF1">
        <w:rPr>
          <w:rFonts w:eastAsia="Times New Roman"/>
        </w:rPr>
        <w:t>y</w:t>
      </w:r>
      <w:r w:rsidRPr="00CE37D0">
        <w:rPr>
          <w:rFonts w:eastAsia="Times New Roman"/>
        </w:rPr>
        <w:t xml:space="preserve">ti, priklausomai nuo besikreipiančio į teismą subjekto. </w:t>
      </w:r>
      <w:r w:rsidR="00105CF1">
        <w:rPr>
          <w:rFonts w:eastAsia="Times New Roman"/>
        </w:rPr>
        <w:t>E</w:t>
      </w:r>
      <w:r w:rsidRPr="00CE37D0">
        <w:rPr>
          <w:rFonts w:eastAsia="Times New Roman"/>
        </w:rPr>
        <w:t>sminis skirtumas tarp skundo ir pareiškimo yra jo turinio specifika, susijusi su asmenini</w:t>
      </w:r>
      <w:r w:rsidR="00105CF1">
        <w:rPr>
          <w:rFonts w:eastAsia="Times New Roman"/>
        </w:rPr>
        <w:t>u</w:t>
      </w:r>
      <w:r w:rsidRPr="00CE37D0">
        <w:rPr>
          <w:rFonts w:eastAsia="Times New Roman"/>
        </w:rPr>
        <w:t xml:space="preserve"> santyki</w:t>
      </w:r>
      <w:r w:rsidR="00105CF1">
        <w:rPr>
          <w:rFonts w:eastAsia="Times New Roman"/>
        </w:rPr>
        <w:t>u</w:t>
      </w:r>
      <w:r w:rsidRPr="00CE37D0">
        <w:rPr>
          <w:rFonts w:eastAsia="Times New Roman"/>
        </w:rPr>
        <w:t xml:space="preserve"> su </w:t>
      </w:r>
      <w:r w:rsidR="005137E8">
        <w:rPr>
          <w:rFonts w:eastAsia="Times New Roman"/>
        </w:rPr>
        <w:t xml:space="preserve">skunde </w:t>
      </w:r>
      <w:r w:rsidRPr="00CE37D0">
        <w:rPr>
          <w:rFonts w:eastAsia="Times New Roman"/>
        </w:rPr>
        <w:t xml:space="preserve">nurodytomis aplinkybėmis. Skunde asmuo nurodo savo teisių ir teisėtų </w:t>
      </w:r>
      <w:r w:rsidR="005137E8">
        <w:rPr>
          <w:rFonts w:eastAsia="Times New Roman"/>
        </w:rPr>
        <w:t>interesų</w:t>
      </w:r>
      <w:r w:rsidRPr="00CE37D0">
        <w:rPr>
          <w:rFonts w:eastAsia="Times New Roman"/>
        </w:rPr>
        <w:t xml:space="preserve"> pažeidimo faktines aplinkybes ir suformuluoja reikalavimą teismui (privataus kaltinimo skunde – patraukti kaltą asmenį baudžiamojon atsakomybėn, priteisti nusikalstama veika padarytos žalos atlyginimą), o pareiški</w:t>
      </w:r>
      <w:r w:rsidR="005137E8">
        <w:rPr>
          <w:rFonts w:eastAsia="Times New Roman"/>
        </w:rPr>
        <w:t>me asmuo nurodo kito asmens (</w:t>
      </w:r>
      <w:r w:rsidRPr="00CE37D0">
        <w:rPr>
          <w:rFonts w:eastAsia="Times New Roman"/>
        </w:rPr>
        <w:t xml:space="preserve">atstovaujamojo) teisių ir teisėtų interesų pažeidimą </w:t>
      </w:r>
      <w:r w:rsidR="00973B0F" w:rsidRPr="00CE37D0">
        <w:rPr>
          <w:rFonts w:eastAsia="Times New Roman"/>
        </w:rPr>
        <w:t>(</w:t>
      </w:r>
      <w:r w:rsidRPr="00CE37D0">
        <w:rPr>
          <w:rFonts w:eastAsia="Times New Roman"/>
        </w:rPr>
        <w:t xml:space="preserve">su </w:t>
      </w:r>
      <w:r w:rsidR="00973B0F" w:rsidRPr="00CE37D0">
        <w:rPr>
          <w:rFonts w:eastAsia="Times New Roman"/>
        </w:rPr>
        <w:t>pažeidimu</w:t>
      </w:r>
      <w:r w:rsidRPr="00CE37D0">
        <w:rPr>
          <w:rFonts w:eastAsia="Times New Roman"/>
        </w:rPr>
        <w:t xml:space="preserve"> jo nesieja asmeninis santykis) bei reikalavimą teismui atstovaujamojo interesais. </w:t>
      </w:r>
    </w:p>
    <w:p w:rsidR="003E3809" w:rsidRPr="00CE37D0" w:rsidRDefault="003E3809" w:rsidP="00F818D3">
      <w:pPr>
        <w:spacing w:line="360" w:lineRule="auto"/>
        <w:ind w:firstLine="1296"/>
        <w:jc w:val="both"/>
      </w:pPr>
      <w:r w:rsidRPr="00CE37D0">
        <w:lastRenderedPageBreak/>
        <w:t>Reikalavimo patraukti baudžiamojon atsakomybėn asmenį</w:t>
      </w:r>
      <w:r w:rsidR="005137E8">
        <w:t>,</w:t>
      </w:r>
      <w:r w:rsidR="001637D0">
        <w:t xml:space="preserve"> </w:t>
      </w:r>
      <w:r w:rsidR="005137E8" w:rsidRPr="00CE37D0">
        <w:t xml:space="preserve">kuris kaltas nusikalstamos veikos padarymu, </w:t>
      </w:r>
      <w:r w:rsidRPr="00CE37D0">
        <w:t xml:space="preserve">suformulavimas yra būtinas </w:t>
      </w:r>
      <w:r w:rsidR="005137E8">
        <w:t>skundo turinio elementas</w:t>
      </w:r>
      <w:r w:rsidRPr="00CE37D0">
        <w:t>, kai įstatymas numato baudžiamojo proceso pradėjimo galimybę tik esant nukentėjusiojo skundui</w:t>
      </w:r>
      <w:r w:rsidR="005137E8">
        <w:t xml:space="preserve">, </w:t>
      </w:r>
      <w:r w:rsidRPr="00CE37D0">
        <w:t xml:space="preserve">t.y. privataus ir </w:t>
      </w:r>
      <w:r w:rsidR="00397E48">
        <w:t>privačiai viešo</w:t>
      </w:r>
      <w:r w:rsidR="005137E8">
        <w:t xml:space="preserve"> kaltinimo bylose </w:t>
      </w:r>
      <w:r w:rsidR="005137E8" w:rsidRPr="00CE37D0">
        <w:t>(papildomas reikalavimas gali būti priteisti padarytos nusikalstama veika žalos atlyginimą)</w:t>
      </w:r>
      <w:r w:rsidRPr="00CE37D0">
        <w:t>. Dokumentas, kuriame tik išdėstytos faktinės aplinkybės ir nesuformuluotas reikalavimas</w:t>
      </w:r>
      <w:r w:rsidR="001637D0">
        <w:t>,</w:t>
      </w:r>
      <w:r w:rsidRPr="00CE37D0">
        <w:t xml:space="preserve"> negali būti laikomas skundu</w:t>
      </w:r>
      <w:r w:rsidR="005137E8">
        <w:t xml:space="preserve"> (jo</w:t>
      </w:r>
      <w:r w:rsidRPr="00CE37D0">
        <w:t xml:space="preserve"> paskirtis – informuoti, pranešti atitinkamai institucijai tam tikrus faktus</w:t>
      </w:r>
      <w:r w:rsidR="005137E8">
        <w:t>)</w:t>
      </w:r>
      <w:r w:rsidRPr="00CE37D0">
        <w:t xml:space="preserve">. Nesant reikalavimo </w:t>
      </w:r>
      <w:r w:rsidR="005137E8">
        <w:t>privataus kaltinimo</w:t>
      </w:r>
      <w:r w:rsidRPr="00CE37D0">
        <w:t xml:space="preserve"> procesas negalimas, nes būtent nukentėj</w:t>
      </w:r>
      <w:r w:rsidR="005137E8">
        <w:t>ęs asmuo</w:t>
      </w:r>
      <w:r w:rsidRPr="00CE37D0">
        <w:t xml:space="preserve"> turi išreikšti valią dėl kaltininko patraukimo baudžiamojon atsakomybėn. </w:t>
      </w:r>
      <w:r w:rsidRPr="00CE37D0">
        <w:rPr>
          <w:rStyle w:val="Puslapioinaosnuoroda"/>
        </w:rPr>
        <w:footnoteReference w:id="562"/>
      </w:r>
      <w:r w:rsidRPr="00CE37D0">
        <w:t xml:space="preserve"> Be reikalavimo (prašymo) patraukti baudžiamojon atsakomybėn asmenį teismas negali savo iniciatyva pradėti baudžiamojo p</w:t>
      </w:r>
      <w:r w:rsidR="005137E8">
        <w:t>roces</w:t>
      </w:r>
      <w:r w:rsidRPr="00CE37D0">
        <w:t xml:space="preserve">o ir patraukti kaltus asmenis baudžiamojon atsakomybėn privataus kaltinimo procese. </w:t>
      </w:r>
      <w:r w:rsidR="005137E8">
        <w:t>Nukentėjusio asmens valia, išreikšta privataus kaltinimo skunde, sukelia</w:t>
      </w:r>
      <w:r w:rsidRPr="00CE37D0">
        <w:rPr>
          <w:rFonts w:eastAsia="Times New Roman"/>
        </w:rPr>
        <w:t xml:space="preserve"> teisines pasekmes ir todėl yra juridinis faktas, </w:t>
      </w:r>
      <w:r w:rsidR="005137E8">
        <w:rPr>
          <w:rFonts w:eastAsia="Times New Roman"/>
        </w:rPr>
        <w:t>sukuriantis</w:t>
      </w:r>
      <w:r w:rsidRPr="00CE37D0">
        <w:rPr>
          <w:rFonts w:eastAsia="Times New Roman"/>
        </w:rPr>
        <w:t xml:space="preserve"> baudžiamuosius procesinius santykius. </w:t>
      </w:r>
      <w:r w:rsidR="00110C0F">
        <w:rPr>
          <w:rFonts w:eastAsia="Times New Roman"/>
        </w:rPr>
        <w:t>Todėl, analizuojant BPK 412 str</w:t>
      </w:r>
      <w:r w:rsidR="0013286E">
        <w:rPr>
          <w:rFonts w:eastAsia="Times New Roman"/>
        </w:rPr>
        <w:t>aipsnio</w:t>
      </w:r>
      <w:r w:rsidRPr="00CE37D0">
        <w:rPr>
          <w:rFonts w:eastAsia="Times New Roman"/>
        </w:rPr>
        <w:t xml:space="preserve"> 2 d</w:t>
      </w:r>
      <w:r w:rsidR="0013286E">
        <w:rPr>
          <w:rFonts w:eastAsia="Times New Roman"/>
        </w:rPr>
        <w:t>alyje</w:t>
      </w:r>
      <w:r w:rsidRPr="00CE37D0">
        <w:rPr>
          <w:rFonts w:eastAsia="Times New Roman"/>
        </w:rPr>
        <w:t xml:space="preserve"> numatytus formos reikalavimus nukentėjusiojo skundui ir jo teisėto atstovo pareiškimui, darytina išvada, kad įstatyme nepagrįstai nenurodyta, kad skunde (pareiškime) turi būti suformuluotas reikalavimas teismui dėl asmens, padariusio nusikalstamą veiką, patraukimo baudžiamojon atsakomybėn. </w:t>
      </w:r>
    </w:p>
    <w:p w:rsidR="003E3809" w:rsidRPr="00CE37D0" w:rsidRDefault="003E3809" w:rsidP="00044CCF">
      <w:pPr>
        <w:spacing w:line="360" w:lineRule="auto"/>
        <w:ind w:firstLine="1296"/>
        <w:jc w:val="both"/>
      </w:pPr>
      <w:r w:rsidRPr="00CE37D0">
        <w:rPr>
          <w:rFonts w:eastAsia="Times New Roman"/>
        </w:rPr>
        <w:t xml:space="preserve">Atsižvelgdamas į tai, kad nukentėjusiojo skundas (jo teisėto atstovo pareiškimas) </w:t>
      </w:r>
      <w:r w:rsidR="005A4334">
        <w:rPr>
          <w:rFonts w:eastAsia="Times New Roman"/>
        </w:rPr>
        <w:t>apibrėžia kaltinimo nagrinėjimo teisme apimtį ir ribas</w:t>
      </w:r>
      <w:r w:rsidRPr="00CE37D0">
        <w:rPr>
          <w:rFonts w:eastAsia="Times New Roman"/>
        </w:rPr>
        <w:t>, įstatymų leidėjas nustato formalius reikalavimus šiam dokumentui (BPK 412 str</w:t>
      </w:r>
      <w:r w:rsidR="00105CF1">
        <w:rPr>
          <w:rFonts w:eastAsia="Times New Roman"/>
        </w:rPr>
        <w:t>aipsnio</w:t>
      </w:r>
      <w:r w:rsidRPr="00CE37D0">
        <w:rPr>
          <w:rFonts w:eastAsia="Times New Roman"/>
        </w:rPr>
        <w:t xml:space="preserve"> 2 d</w:t>
      </w:r>
      <w:r w:rsidR="00105CF1">
        <w:rPr>
          <w:rFonts w:eastAsia="Times New Roman"/>
        </w:rPr>
        <w:t>alis</w:t>
      </w:r>
      <w:r w:rsidRPr="00CE37D0">
        <w:rPr>
          <w:rFonts w:eastAsia="Times New Roman"/>
        </w:rPr>
        <w:t>).</w:t>
      </w:r>
      <w:r w:rsidR="00761E0B">
        <w:rPr>
          <w:rFonts w:eastAsia="Times New Roman"/>
        </w:rPr>
        <w:t xml:space="preserve"> </w:t>
      </w:r>
      <w:r w:rsidRPr="00CE37D0">
        <w:rPr>
          <w:rStyle w:val="Puslapioinaosnuoroda"/>
        </w:rPr>
        <w:footnoteReference w:id="563"/>
      </w:r>
      <w:r w:rsidR="001637D0">
        <w:rPr>
          <w:rFonts w:eastAsia="Times New Roman"/>
        </w:rPr>
        <w:t xml:space="preserve"> </w:t>
      </w:r>
      <w:r w:rsidRPr="00CE37D0">
        <w:t xml:space="preserve">Reikalavimų privataus kaltinimo skundui įtvirtinimas įstatyme ir jų realus laikymasis turi didelę reikšmę asmeniui, kuris kaltinamas padaręs privataus kaltinimo tvarka </w:t>
      </w:r>
      <w:r w:rsidR="00CF3875">
        <w:t>nagrinė</w:t>
      </w:r>
      <w:r w:rsidRPr="00CE37D0">
        <w:t>jamą nusikalstamą veiką, kadangi būtent iš skundo jis sužino, kuo yra kaltinamas. Konstitucinis Teismas konstatavo</w:t>
      </w:r>
      <w:r w:rsidR="005A4334">
        <w:t xml:space="preserve">, kad </w:t>
      </w:r>
      <w:r w:rsidRPr="00CE37D0">
        <w:t>tinkam</w:t>
      </w:r>
      <w:r w:rsidR="005A4334">
        <w:t>a</w:t>
      </w:r>
      <w:r w:rsidRPr="00CE37D0">
        <w:t xml:space="preserve"> teisminė procedūr</w:t>
      </w:r>
      <w:r w:rsidR="005A4334">
        <w:t>a, leidžianti</w:t>
      </w:r>
      <w:r w:rsidRPr="00CE37D0">
        <w:t xml:space="preserve"> kaltinamajam žinoti viską, kas jam inkriminuojama</w:t>
      </w:r>
      <w:r w:rsidR="005A4334">
        <w:t>,</w:t>
      </w:r>
      <w:r w:rsidRPr="00CE37D0">
        <w:t xml:space="preserve"> ir kuo pagrįsti reiškiami kaltinimai, </w:t>
      </w:r>
      <w:r w:rsidR="005A4334">
        <w:t>yra</w:t>
      </w:r>
      <w:r w:rsidR="001637D0">
        <w:t xml:space="preserve"> </w:t>
      </w:r>
      <w:r w:rsidR="005A4334" w:rsidRPr="00CE37D0">
        <w:t>sąlyg</w:t>
      </w:r>
      <w:r w:rsidR="005A4334">
        <w:t>a</w:t>
      </w:r>
      <w:r w:rsidR="00CF3875">
        <w:t xml:space="preserve"> </w:t>
      </w:r>
      <w:r w:rsidRPr="00CE37D0">
        <w:t>pripažin</w:t>
      </w:r>
      <w:r w:rsidR="005A4334">
        <w:t>t</w:t>
      </w:r>
      <w:r w:rsidRPr="00CE37D0">
        <w:t>i</w:t>
      </w:r>
      <w:r w:rsidR="005A4334">
        <w:t xml:space="preserve"> jį</w:t>
      </w:r>
      <w:r w:rsidRPr="00CE37D0">
        <w:t xml:space="preserve"> kaltu</w:t>
      </w:r>
      <w:r w:rsidR="005A4334">
        <w:t xml:space="preserve"> dėl inkriminuojamų jam nusikalstamų veikų</w:t>
      </w:r>
      <w:r w:rsidRPr="00CE37D0">
        <w:t xml:space="preserve">. </w:t>
      </w:r>
      <w:r w:rsidRPr="00CE37D0">
        <w:rPr>
          <w:vertAlign w:val="superscript"/>
        </w:rPr>
        <w:footnoteReference w:id="564"/>
      </w:r>
      <w:r w:rsidRPr="00CE37D0">
        <w:t xml:space="preserve"> Todėl skundo reikalavimų laikymasis yra tiesiogiai susijęs su asmens teisės žinoti, kuo yra kaltinamas, įgyvendinimu bei realia galimybe pasinaudoti teise į gynybą. </w:t>
      </w:r>
    </w:p>
    <w:p w:rsidR="003E3809" w:rsidRPr="00CE37D0" w:rsidRDefault="003E3809" w:rsidP="00044CCF">
      <w:pPr>
        <w:spacing w:line="360" w:lineRule="auto"/>
        <w:ind w:firstLine="1296"/>
        <w:jc w:val="both"/>
        <w:rPr>
          <w:rFonts w:eastAsia="Times New Roman"/>
        </w:rPr>
      </w:pPr>
      <w:r w:rsidRPr="00CE37D0">
        <w:rPr>
          <w:rFonts w:eastAsia="Times New Roman"/>
        </w:rPr>
        <w:t>Klausimas, ar reikalavimai privataus kaltinimo skundui neriboja nukentėjusio asmens teisės į teisminę gynybą</w:t>
      </w:r>
      <w:r w:rsidR="001637D0">
        <w:rPr>
          <w:rFonts w:eastAsia="Times New Roman"/>
        </w:rPr>
        <w:t>,</w:t>
      </w:r>
      <w:r w:rsidRPr="00CE37D0">
        <w:rPr>
          <w:rFonts w:eastAsia="Times New Roman"/>
        </w:rPr>
        <w:t xml:space="preserve"> buvo nagrinėjamas tiek Lietuvos, tiek užsienio </w:t>
      </w:r>
      <w:r w:rsidR="008C07BF">
        <w:rPr>
          <w:rFonts w:eastAsia="Times New Roman"/>
        </w:rPr>
        <w:t>moksl</w:t>
      </w:r>
      <w:r w:rsidRPr="00CE37D0">
        <w:rPr>
          <w:rFonts w:eastAsia="Times New Roman"/>
        </w:rPr>
        <w:t xml:space="preserve">inėje </w:t>
      </w:r>
      <w:r w:rsidRPr="00CE37D0">
        <w:rPr>
          <w:rFonts w:eastAsia="Times New Roman"/>
        </w:rPr>
        <w:lastRenderedPageBreak/>
        <w:t>jurisprudencijoje</w:t>
      </w:r>
      <w:r w:rsidR="00105CF1">
        <w:rPr>
          <w:rFonts w:eastAsia="Times New Roman"/>
        </w:rPr>
        <w:t>,</w:t>
      </w:r>
      <w:r w:rsidRPr="00CE37D0">
        <w:rPr>
          <w:rFonts w:eastAsia="Times New Roman"/>
          <w:vertAlign w:val="superscript"/>
        </w:rPr>
        <w:footnoteReference w:id="565"/>
      </w:r>
      <w:r w:rsidRPr="00CE37D0">
        <w:rPr>
          <w:rFonts w:eastAsia="Times New Roman"/>
        </w:rPr>
        <w:t xml:space="preserve"> taip pat buvo </w:t>
      </w:r>
      <w:r w:rsidR="005A4334">
        <w:rPr>
          <w:rFonts w:eastAsia="Times New Roman"/>
        </w:rPr>
        <w:t>tiriamas</w:t>
      </w:r>
      <w:r w:rsidR="001637D0">
        <w:rPr>
          <w:rFonts w:eastAsia="Times New Roman"/>
        </w:rPr>
        <w:t xml:space="preserve"> </w:t>
      </w:r>
      <w:r w:rsidR="005A4334">
        <w:rPr>
          <w:rFonts w:eastAsia="Times New Roman"/>
        </w:rPr>
        <w:t xml:space="preserve">ir šių reikalavimų </w:t>
      </w:r>
      <w:r w:rsidRPr="00CE37D0">
        <w:rPr>
          <w:rFonts w:eastAsia="Times New Roman"/>
        </w:rPr>
        <w:t>konstitucin</w:t>
      </w:r>
      <w:r w:rsidR="005A4334">
        <w:rPr>
          <w:rFonts w:eastAsia="Times New Roman"/>
        </w:rPr>
        <w:t>guma</w:t>
      </w:r>
      <w:r w:rsidRPr="00CE37D0">
        <w:rPr>
          <w:rFonts w:eastAsia="Times New Roman"/>
        </w:rPr>
        <w:t xml:space="preserve">s. </w:t>
      </w:r>
      <w:r w:rsidRPr="00CE37D0">
        <w:rPr>
          <w:rFonts w:eastAsia="Times New Roman"/>
          <w:vertAlign w:val="superscript"/>
        </w:rPr>
        <w:footnoteReference w:id="566"/>
      </w:r>
      <w:r w:rsidRPr="00CE37D0">
        <w:rPr>
          <w:rFonts w:eastAsia="Times New Roman"/>
        </w:rPr>
        <w:t xml:space="preserve"> Konstitucinis </w:t>
      </w:r>
      <w:r w:rsidR="0013286E">
        <w:rPr>
          <w:rFonts w:eastAsia="Times New Roman"/>
        </w:rPr>
        <w:t>T</w:t>
      </w:r>
      <w:r w:rsidRPr="00CE37D0">
        <w:rPr>
          <w:rFonts w:eastAsia="Times New Roman"/>
        </w:rPr>
        <w:t xml:space="preserve">eismas </w:t>
      </w:r>
      <w:r w:rsidR="005E38AE">
        <w:rPr>
          <w:rFonts w:eastAsia="Times New Roman"/>
        </w:rPr>
        <w:t>BPK 412 straipsnio</w:t>
      </w:r>
      <w:r w:rsidR="005A4334" w:rsidRPr="005A4334">
        <w:rPr>
          <w:rFonts w:eastAsia="Times New Roman"/>
        </w:rPr>
        <w:t xml:space="preserve"> 2 d</w:t>
      </w:r>
      <w:r w:rsidR="005E38AE">
        <w:rPr>
          <w:rFonts w:eastAsia="Times New Roman"/>
        </w:rPr>
        <w:t>alyje</w:t>
      </w:r>
      <w:r w:rsidR="005A4334" w:rsidRPr="005A4334">
        <w:rPr>
          <w:rFonts w:eastAsia="Times New Roman"/>
        </w:rPr>
        <w:t xml:space="preserve"> nurodyt</w:t>
      </w:r>
      <w:r w:rsidR="005A4334">
        <w:rPr>
          <w:rFonts w:eastAsia="Times New Roman"/>
        </w:rPr>
        <w:t>us</w:t>
      </w:r>
      <w:r w:rsidR="005A4334" w:rsidRPr="005A4334">
        <w:rPr>
          <w:rFonts w:eastAsia="Times New Roman"/>
        </w:rPr>
        <w:t xml:space="preserve"> element</w:t>
      </w:r>
      <w:r w:rsidR="005A4334">
        <w:rPr>
          <w:rFonts w:eastAsia="Times New Roman"/>
        </w:rPr>
        <w:t>us</w:t>
      </w:r>
      <w:r w:rsidR="001637D0">
        <w:rPr>
          <w:rFonts w:eastAsia="Times New Roman"/>
        </w:rPr>
        <w:t xml:space="preserve"> </w:t>
      </w:r>
      <w:r w:rsidR="005A4334">
        <w:rPr>
          <w:rFonts w:eastAsia="Times New Roman"/>
        </w:rPr>
        <w:t xml:space="preserve">įvertino kaip </w:t>
      </w:r>
      <w:r w:rsidR="005A4334" w:rsidRPr="005A4334">
        <w:rPr>
          <w:rFonts w:eastAsia="Times New Roman"/>
        </w:rPr>
        <w:t>pagrįst</w:t>
      </w:r>
      <w:r w:rsidR="005A4334">
        <w:rPr>
          <w:rFonts w:eastAsia="Times New Roman"/>
        </w:rPr>
        <w:t>us</w:t>
      </w:r>
      <w:r w:rsidR="005A4334" w:rsidRPr="005A4334">
        <w:rPr>
          <w:rFonts w:eastAsia="Times New Roman"/>
        </w:rPr>
        <w:t xml:space="preserve"> ir racional</w:t>
      </w:r>
      <w:r w:rsidR="005A4334">
        <w:rPr>
          <w:rFonts w:eastAsia="Times New Roman"/>
        </w:rPr>
        <w:t>iu</w:t>
      </w:r>
      <w:r w:rsidR="005A4334" w:rsidRPr="005A4334">
        <w:rPr>
          <w:rFonts w:eastAsia="Times New Roman"/>
        </w:rPr>
        <w:t>s</w:t>
      </w:r>
      <w:r w:rsidR="005A4334">
        <w:rPr>
          <w:rFonts w:eastAsia="Times New Roman"/>
        </w:rPr>
        <w:t xml:space="preserve"> bei</w:t>
      </w:r>
      <w:r w:rsidR="001637D0">
        <w:rPr>
          <w:rFonts w:eastAsia="Times New Roman"/>
        </w:rPr>
        <w:t xml:space="preserve"> </w:t>
      </w:r>
      <w:r w:rsidRPr="00CE37D0">
        <w:rPr>
          <w:rFonts w:eastAsia="Times New Roman"/>
        </w:rPr>
        <w:t>konstatavo, kad „</w:t>
      </w:r>
      <w:r w:rsidRPr="00CE37D0">
        <w:rPr>
          <w:rFonts w:eastAsia="Times New Roman"/>
          <w:i/>
        </w:rPr>
        <w:t>baudžiamojo proceso įstatyme išdėstyti reikalavimai privataus kaltinimo skundui jo formai ir turiniui yra vienas iš būdų užtikrinti kaltinamajam teisę į gynybą nuo nepagrįsto kaltinimo, o nukentėjusiajam – apsaugą nuo jo teisių ir interesų pažeidimo. Pats savaime tokių reikalavimų nustatymas dar nereiškia, kad yra dirbtinai suvaržyta asmens konstitucinė teisė kreiptis į teismą ar nepagrįstai apsunkintas šios teisės įgyvendinimas.</w:t>
      </w:r>
      <w:r w:rsidRPr="00CE37D0">
        <w:rPr>
          <w:rFonts w:eastAsia="Times New Roman"/>
        </w:rPr>
        <w:t xml:space="preserve">“ </w:t>
      </w:r>
      <w:r w:rsidRPr="00CE37D0">
        <w:rPr>
          <w:rFonts w:eastAsia="Times New Roman"/>
          <w:vertAlign w:val="superscript"/>
        </w:rPr>
        <w:footnoteReference w:id="567"/>
      </w:r>
      <w:r w:rsidRPr="00CE37D0">
        <w:rPr>
          <w:rFonts w:eastAsia="Times New Roman"/>
        </w:rPr>
        <w:t xml:space="preserve"> Privataus kaltinimo bylose</w:t>
      </w:r>
      <w:r w:rsidR="00D3753B">
        <w:rPr>
          <w:rFonts w:eastAsia="Times New Roman"/>
        </w:rPr>
        <w:t>,</w:t>
      </w:r>
      <w:r w:rsidRPr="00CE37D0">
        <w:rPr>
          <w:rFonts w:eastAsia="Times New Roman"/>
        </w:rPr>
        <w:t xml:space="preserve"> nesant ikiteisminio tyrimo st</w:t>
      </w:r>
      <w:r w:rsidR="00D3753B">
        <w:rPr>
          <w:rFonts w:eastAsia="Times New Roman"/>
        </w:rPr>
        <w:t>adijos</w:t>
      </w:r>
      <w:r w:rsidRPr="00CE37D0">
        <w:rPr>
          <w:rFonts w:eastAsia="Times New Roman"/>
        </w:rPr>
        <w:t xml:space="preserve">, privataus kaltinimo tvarka paduodamo skundo paskirtis, skirtingai nei skundo viešo ir </w:t>
      </w:r>
      <w:r w:rsidR="00397E48">
        <w:rPr>
          <w:rFonts w:eastAsia="Times New Roman"/>
        </w:rPr>
        <w:t>privačiai viešo</w:t>
      </w:r>
      <w:r w:rsidRPr="00CE37D0">
        <w:rPr>
          <w:rFonts w:eastAsia="Times New Roman"/>
        </w:rPr>
        <w:t xml:space="preserve"> kaltinimo bylose (BPK 166, 167</w:t>
      </w:r>
      <w:r w:rsidR="005E38AE">
        <w:rPr>
          <w:rFonts w:eastAsia="Times New Roman"/>
        </w:rPr>
        <w:t xml:space="preserve"> straipsniai</w:t>
      </w:r>
      <w:r w:rsidRPr="00CE37D0">
        <w:rPr>
          <w:rFonts w:eastAsia="Times New Roman"/>
        </w:rPr>
        <w:t xml:space="preserve">), yra ne tik pranešimas apie nusikalstamą veiką, bet ir kaltinimų asmeniui pateikimas. </w:t>
      </w:r>
      <w:r w:rsidRPr="00CE37D0">
        <w:rPr>
          <w:rFonts w:eastAsia="Times New Roman"/>
          <w:vertAlign w:val="superscript"/>
        </w:rPr>
        <w:footnoteReference w:id="568"/>
      </w:r>
      <w:r w:rsidRPr="00CE37D0">
        <w:rPr>
          <w:rFonts w:eastAsia="Times New Roman"/>
        </w:rPr>
        <w:t xml:space="preserve"> Taigi privataus kaltinimo skundas nagrinė</w:t>
      </w:r>
      <w:r w:rsidR="00D3753B">
        <w:rPr>
          <w:rFonts w:eastAsia="Times New Roman"/>
        </w:rPr>
        <w:t>tin</w:t>
      </w:r>
      <w:r w:rsidRPr="00CE37D0">
        <w:rPr>
          <w:rFonts w:eastAsia="Times New Roman"/>
        </w:rPr>
        <w:t>as ir kaip dokumentas, pakeičiantis kaltinamąjį aktą ir prilyginamas jam. Nagrinėjant privataus kaltinimo skundo reikalavimus neišvengiamai susiduriame su nukentėjusio ir kaltinamo</w:t>
      </w:r>
      <w:r w:rsidR="00D3753B">
        <w:rPr>
          <w:rFonts w:eastAsia="Times New Roman"/>
        </w:rPr>
        <w:t xml:space="preserve"> asmens</w:t>
      </w:r>
      <w:r w:rsidRPr="00CE37D0">
        <w:rPr>
          <w:rFonts w:eastAsia="Times New Roman"/>
        </w:rPr>
        <w:t xml:space="preserve"> interesų konfliktu, kurio sprendimas turi pasiūlyti tiek geriausią nukentėjusio</w:t>
      </w:r>
      <w:r w:rsidR="00D3753B">
        <w:rPr>
          <w:rFonts w:eastAsia="Times New Roman"/>
        </w:rPr>
        <w:t>jo</w:t>
      </w:r>
      <w:r w:rsidRPr="00CE37D0">
        <w:rPr>
          <w:rFonts w:eastAsia="Times New Roman"/>
        </w:rPr>
        <w:t xml:space="preserve"> teisėtų interesų apsaugą, tiek kaltinamo</w:t>
      </w:r>
      <w:r w:rsidR="00D3753B">
        <w:rPr>
          <w:rFonts w:eastAsia="Times New Roman"/>
        </w:rPr>
        <w:t>jo</w:t>
      </w:r>
      <w:r w:rsidRPr="00CE37D0">
        <w:rPr>
          <w:rFonts w:eastAsia="Times New Roman"/>
        </w:rPr>
        <w:t xml:space="preserve"> teisių užtikrinimą. Liberalizuojant reikalavimus </w:t>
      </w:r>
      <w:r w:rsidR="00D3753B">
        <w:rPr>
          <w:rFonts w:eastAsia="Times New Roman"/>
        </w:rPr>
        <w:t>privataus kaltinimo</w:t>
      </w:r>
      <w:r w:rsidRPr="00CE37D0">
        <w:rPr>
          <w:rFonts w:eastAsia="Times New Roman"/>
        </w:rPr>
        <w:t xml:space="preserve"> skundui</w:t>
      </w:r>
      <w:r w:rsidR="00D3753B">
        <w:rPr>
          <w:rFonts w:eastAsia="Times New Roman"/>
        </w:rPr>
        <w:t>,</w:t>
      </w:r>
      <w:r w:rsidRPr="00CE37D0">
        <w:rPr>
          <w:rFonts w:eastAsia="Times New Roman"/>
        </w:rPr>
        <w:t xml:space="preserve"> kyla grėsmė </w:t>
      </w:r>
      <w:r w:rsidR="00D10395">
        <w:rPr>
          <w:rFonts w:eastAsia="Times New Roman"/>
        </w:rPr>
        <w:t xml:space="preserve">pažeidžiant </w:t>
      </w:r>
      <w:r w:rsidR="00D10395" w:rsidRPr="00CE37D0">
        <w:rPr>
          <w:rFonts w:eastAsia="Times New Roman"/>
        </w:rPr>
        <w:t>teisę žinoti, kuo yra kaltinamas</w:t>
      </w:r>
      <w:r w:rsidR="00D10395">
        <w:rPr>
          <w:rFonts w:eastAsia="Times New Roman"/>
        </w:rPr>
        <w:t>,</w:t>
      </w:r>
      <w:r w:rsidR="00D10395" w:rsidRPr="00CE37D0">
        <w:rPr>
          <w:rFonts w:eastAsia="Times New Roman"/>
        </w:rPr>
        <w:t xml:space="preserve"> </w:t>
      </w:r>
      <w:r w:rsidRPr="00CE37D0">
        <w:rPr>
          <w:rFonts w:eastAsia="Times New Roman"/>
        </w:rPr>
        <w:t xml:space="preserve">pažeisti kaltinamojo teisę į gynybą, o griežtinant – ribojama nukentėjusio asmens teisė kreiptis į teismą. </w:t>
      </w:r>
    </w:p>
    <w:p w:rsidR="003E3809" w:rsidRPr="00401FB4" w:rsidRDefault="003E3809" w:rsidP="00044CCF">
      <w:pPr>
        <w:spacing w:line="360" w:lineRule="auto"/>
        <w:ind w:firstLine="1296"/>
        <w:jc w:val="both"/>
        <w:rPr>
          <w:rFonts w:eastAsia="Times New Roman"/>
          <w:bCs/>
        </w:rPr>
      </w:pPr>
      <w:r w:rsidRPr="00CE37D0">
        <w:rPr>
          <w:rFonts w:eastAsia="Times New Roman"/>
        </w:rPr>
        <w:t xml:space="preserve">Reikalavimai skundo (pareiškimo) formai palengvina teismų darbą sprendžiant skundo priimtinumo klausimą. Taip pat keliama teisinė kultūra, o išsamaus, kokybiško skundo surašymas turi įtakos teisingam šios kategorijos bylų teisminiam nagrinėjimui. Nesant skunde aprašytos nusikalstamos veikos padarymo laiko, vietos, kitų aplinkybių, </w:t>
      </w:r>
      <w:r w:rsidR="00661385">
        <w:rPr>
          <w:rFonts w:eastAsia="Times New Roman"/>
        </w:rPr>
        <w:t xml:space="preserve">apsunkinama </w:t>
      </w:r>
      <w:r w:rsidRPr="00CE37D0">
        <w:rPr>
          <w:rFonts w:eastAsia="Times New Roman"/>
        </w:rPr>
        <w:t>teism</w:t>
      </w:r>
      <w:r w:rsidR="00661385">
        <w:rPr>
          <w:rFonts w:eastAsia="Times New Roman"/>
        </w:rPr>
        <w:t>o</w:t>
      </w:r>
      <w:r w:rsidRPr="00CE37D0">
        <w:rPr>
          <w:rFonts w:eastAsia="Times New Roman"/>
        </w:rPr>
        <w:t xml:space="preserve"> </w:t>
      </w:r>
      <w:r w:rsidR="00E432C0">
        <w:rPr>
          <w:rFonts w:eastAsia="Times New Roman"/>
        </w:rPr>
        <w:t>veikla sprendžiant</w:t>
      </w:r>
      <w:r w:rsidRPr="00CE37D0">
        <w:rPr>
          <w:rFonts w:eastAsia="Times New Roman"/>
        </w:rPr>
        <w:t>, ar yra pakankamas pagrindas baudžiamajam persekiojimui, ar asmens, kurio atžvilgiu paduotas skundas, veika atitinka nusikalstamos veikos sudėties požymius, ar byla teisminga teismui, kuriam paduotas skundas, ar nesuėję senaties terminai. Todėl įstatyme ne tik numatomi būtinieji reikalavimai privataus kaltinimo skundui (pareiškimui), bet ir šių reikalavimų nesilaikymo teisinės pasekmės – skundas (pareiškimas) grąžinamas jį padavusiam asmeniui. Teismas turėtų vadovautis minimaliomis įrodinėjimo ribomis</w:t>
      </w:r>
      <w:r w:rsidR="001637D0">
        <w:rPr>
          <w:rFonts w:eastAsia="Times New Roman"/>
        </w:rPr>
        <w:t>,</w:t>
      </w:r>
      <w:r w:rsidRPr="00CE37D0">
        <w:rPr>
          <w:rFonts w:eastAsia="Times New Roman"/>
        </w:rPr>
        <w:t xml:space="preserve"> spręsdamas klausimą, ar priimti nagrinėti privataus </w:t>
      </w:r>
      <w:r w:rsidRPr="00CE37D0">
        <w:rPr>
          <w:rFonts w:eastAsia="Times New Roman"/>
        </w:rPr>
        <w:lastRenderedPageBreak/>
        <w:t xml:space="preserve">kaltinimo skundą. </w:t>
      </w:r>
      <w:r w:rsidR="00105CF1">
        <w:rPr>
          <w:rFonts w:eastAsia="Times New Roman"/>
        </w:rPr>
        <w:t>„</w:t>
      </w:r>
      <w:r w:rsidRPr="00CE37D0">
        <w:rPr>
          <w:rFonts w:eastAsia="Times New Roman"/>
          <w:i/>
        </w:rPr>
        <w:t>Nuostata, kad reikalavimų neatitinkantis skundas nepriimamas ir grąžinamas jį padavusiam asmeniui, suponuoja tai, kad asmeniui, kurio skundas nepriimamas, turi būti nurodyti skundo trūkumai, kuriuos reikia pašalinti.</w:t>
      </w:r>
      <w:r w:rsidR="00105CF1">
        <w:rPr>
          <w:rFonts w:eastAsia="Times New Roman"/>
          <w:i/>
        </w:rPr>
        <w:t xml:space="preserve">“ </w:t>
      </w:r>
      <w:r w:rsidRPr="00CE37D0">
        <w:rPr>
          <w:rFonts w:eastAsia="Times New Roman"/>
          <w:i/>
          <w:vertAlign w:val="superscript"/>
        </w:rPr>
        <w:footnoteReference w:id="569"/>
      </w:r>
      <w:r w:rsidR="00401FB4">
        <w:rPr>
          <w:rFonts w:eastAsia="Times New Roman"/>
        </w:rPr>
        <w:t xml:space="preserve"> Lenkijoje privačiam kaltintojui suteikiama galimybė ištaisyti formalius skundo trūkumus per 7 dienas, ir tik </w:t>
      </w:r>
      <w:r w:rsidR="00105CF1">
        <w:rPr>
          <w:rFonts w:eastAsia="Times New Roman"/>
        </w:rPr>
        <w:t xml:space="preserve">šių </w:t>
      </w:r>
      <w:r w:rsidR="00401FB4">
        <w:rPr>
          <w:rFonts w:eastAsia="Times New Roman"/>
        </w:rPr>
        <w:t>trūkumų neištaisius, skundas nenagrinėjamas.</w:t>
      </w:r>
      <w:r w:rsidR="00761E0B">
        <w:rPr>
          <w:rFonts w:eastAsia="Times New Roman"/>
        </w:rPr>
        <w:t xml:space="preserve"> </w:t>
      </w:r>
      <w:r w:rsidR="00401FB4">
        <w:rPr>
          <w:rStyle w:val="Puslapioinaosnuoroda"/>
          <w:rFonts w:eastAsia="Times New Roman"/>
        </w:rPr>
        <w:footnoteReference w:id="570"/>
      </w:r>
      <w:r w:rsidR="00AD3D2F">
        <w:rPr>
          <w:rFonts w:eastAsia="Times New Roman"/>
        </w:rPr>
        <w:t xml:space="preserve"> Toks teisinis reguliavimas vertas dėmesio, kadangi</w:t>
      </w:r>
      <w:r w:rsidR="001637D0">
        <w:rPr>
          <w:rFonts w:eastAsia="Times New Roman"/>
        </w:rPr>
        <w:t>,</w:t>
      </w:r>
      <w:r w:rsidR="00AD3D2F">
        <w:rPr>
          <w:rFonts w:eastAsia="Times New Roman"/>
        </w:rPr>
        <w:t xml:space="preserve"> </w:t>
      </w:r>
      <w:r w:rsidR="000D1D95">
        <w:rPr>
          <w:rFonts w:eastAsia="Times New Roman"/>
        </w:rPr>
        <w:t>leidus ištaisyti privataus kaltinimo skundo trūkumus per teismo nustatytą terminą</w:t>
      </w:r>
      <w:r w:rsidR="001637D0">
        <w:rPr>
          <w:rFonts w:eastAsia="Times New Roman"/>
        </w:rPr>
        <w:t>,</w:t>
      </w:r>
      <w:r w:rsidR="000D1D95">
        <w:rPr>
          <w:rFonts w:eastAsia="Times New Roman"/>
        </w:rPr>
        <w:t xml:space="preserve"> </w:t>
      </w:r>
      <w:r w:rsidR="00AD3D2F">
        <w:rPr>
          <w:rFonts w:eastAsia="Times New Roman"/>
        </w:rPr>
        <w:t xml:space="preserve">sutrumpėtų laikas, kuris gaištamas kelis kartus sprendžiant privataus kaltinimo skundo priimtinumo klausimą, nukentėjusiam asmeniui vis taisant teismo nurodytus trūkumus. </w:t>
      </w:r>
    </w:p>
    <w:p w:rsidR="003E3809" w:rsidRPr="00CE37D0" w:rsidRDefault="003E3809" w:rsidP="00F927E2">
      <w:pPr>
        <w:spacing w:line="360" w:lineRule="auto"/>
        <w:ind w:firstLine="851"/>
        <w:jc w:val="both"/>
        <w:rPr>
          <w:rFonts w:eastAsia="Times New Roman"/>
        </w:rPr>
      </w:pPr>
      <w:r w:rsidRPr="00CE37D0">
        <w:rPr>
          <w:rFonts w:eastAsia="Times New Roman"/>
        </w:rPr>
        <w:t>BPK 412 str</w:t>
      </w:r>
      <w:r w:rsidR="005E38AE">
        <w:rPr>
          <w:rFonts w:eastAsia="Times New Roman"/>
        </w:rPr>
        <w:t>aipsnio</w:t>
      </w:r>
      <w:r w:rsidRPr="00CE37D0">
        <w:rPr>
          <w:rFonts w:eastAsia="Times New Roman"/>
        </w:rPr>
        <w:t xml:space="preserve"> 2 d</w:t>
      </w:r>
      <w:r w:rsidR="005E38AE">
        <w:rPr>
          <w:rFonts w:eastAsia="Times New Roman"/>
        </w:rPr>
        <w:t>alyje</w:t>
      </w:r>
      <w:r w:rsidRPr="00CE37D0">
        <w:rPr>
          <w:rFonts w:eastAsia="Times New Roman"/>
        </w:rPr>
        <w:t xml:space="preserve"> kaip būtini reikalavimai skundui nurodytos tik faktinės aplinkybės ir nereikalaujama pateikti nusikalstamos veikos teisinį vertinimą. Tokiu teisėkūros sprendimu įstatymų leidėjas atsižvelgia į tai, kad skundą (pareiškimą) paduoda ne teisininkas profesionalas. Suprantama, kad tais atvejais, kai nukentėjęs asmuo kreipiasi teisinės pagalbos ar yra atstovaujamas atstovo pagal įgaliojimą, paprastai skunde nurodomas ir teisinis nusikalstamos veikos vertinimas, tačiau tai </w:t>
      </w:r>
      <w:r w:rsidR="00D3753B">
        <w:rPr>
          <w:rFonts w:eastAsia="Times New Roman"/>
        </w:rPr>
        <w:t>nėra</w:t>
      </w:r>
      <w:r w:rsidRPr="00CE37D0">
        <w:rPr>
          <w:rFonts w:eastAsia="Times New Roman"/>
        </w:rPr>
        <w:t xml:space="preserve"> būtinas reikalavimas</w:t>
      </w:r>
      <w:r w:rsidR="00D3753B">
        <w:rPr>
          <w:rFonts w:eastAsia="Times New Roman"/>
        </w:rPr>
        <w:t>. Tokiu teisiniu reguliavimu</w:t>
      </w:r>
      <w:r w:rsidRPr="00CE37D0">
        <w:rPr>
          <w:rFonts w:eastAsia="Times New Roman"/>
        </w:rPr>
        <w:t xml:space="preserve"> siekia</w:t>
      </w:r>
      <w:r w:rsidR="00D3753B">
        <w:rPr>
          <w:rFonts w:eastAsia="Times New Roman"/>
        </w:rPr>
        <w:t>ma</w:t>
      </w:r>
      <w:r w:rsidRPr="00CE37D0">
        <w:rPr>
          <w:rFonts w:eastAsia="Times New Roman"/>
        </w:rPr>
        <w:t xml:space="preserve"> neužkirsti kelio </w:t>
      </w:r>
      <w:r w:rsidR="00D3753B" w:rsidRPr="00CE37D0">
        <w:rPr>
          <w:rFonts w:eastAsia="Times New Roman"/>
        </w:rPr>
        <w:t xml:space="preserve">dėl teisinių žinių stokos </w:t>
      </w:r>
      <w:r w:rsidRPr="00CE37D0">
        <w:rPr>
          <w:rFonts w:eastAsia="Times New Roman"/>
        </w:rPr>
        <w:t>nukentėjusiam asmeniui kreiptis į teismą</w:t>
      </w:r>
      <w:r w:rsidR="00D06EE0">
        <w:rPr>
          <w:rFonts w:eastAsia="Times New Roman"/>
        </w:rPr>
        <w:t xml:space="preserve"> dėl pažeistų teisių gynimo</w:t>
      </w:r>
      <w:r w:rsidRPr="00CE37D0">
        <w:rPr>
          <w:rFonts w:eastAsia="Times New Roman"/>
        </w:rPr>
        <w:t xml:space="preserve">. </w:t>
      </w:r>
    </w:p>
    <w:p w:rsidR="003E3809" w:rsidRPr="00CE37D0" w:rsidRDefault="000D1D95" w:rsidP="00F927E2">
      <w:pPr>
        <w:spacing w:line="360" w:lineRule="auto"/>
        <w:ind w:firstLine="851"/>
        <w:jc w:val="both"/>
        <w:rPr>
          <w:rStyle w:val="Rykuspabraukimas"/>
        </w:rPr>
      </w:pPr>
      <w:r>
        <w:t xml:space="preserve">Kita vertus, </w:t>
      </w:r>
      <w:r w:rsidR="007D069E" w:rsidRPr="00CE37D0">
        <w:t>Konvencijos 6 str</w:t>
      </w:r>
      <w:r w:rsidR="007D069E">
        <w:t>aipsnio</w:t>
      </w:r>
      <w:r w:rsidR="007D069E" w:rsidRPr="00CE37D0">
        <w:t xml:space="preserve"> 3 d</w:t>
      </w:r>
      <w:r w:rsidR="007D069E">
        <w:t>alies</w:t>
      </w:r>
      <w:r w:rsidR="007D069E" w:rsidRPr="00CE37D0">
        <w:t xml:space="preserve"> a p</w:t>
      </w:r>
      <w:r w:rsidR="007D069E">
        <w:t>.</w:t>
      </w:r>
      <w:r w:rsidR="007D069E" w:rsidRPr="00CE37D0">
        <w:t xml:space="preserve"> ir BPK 44 str</w:t>
      </w:r>
      <w:r w:rsidR="007D069E">
        <w:t xml:space="preserve">aipsnio </w:t>
      </w:r>
      <w:r w:rsidR="007D069E" w:rsidRPr="00CE37D0">
        <w:t>7 d</w:t>
      </w:r>
      <w:r w:rsidR="007D069E">
        <w:t xml:space="preserve">alyje yra </w:t>
      </w:r>
      <w:r w:rsidR="007D069E" w:rsidRPr="00CE37D0">
        <w:t>įtvirtinta</w:t>
      </w:r>
      <w:r w:rsidR="001637D0">
        <w:t xml:space="preserve"> </w:t>
      </w:r>
      <w:r>
        <w:t>a</w:t>
      </w:r>
      <w:r w:rsidR="003E3809" w:rsidRPr="00CE37D0">
        <w:t>smens teis</w:t>
      </w:r>
      <w:r w:rsidR="00D3753B">
        <w:t>ė</w:t>
      </w:r>
      <w:r w:rsidR="003E3809" w:rsidRPr="00CE37D0">
        <w:t>, kad jam suprantama kalba būtų skubiai ir nuodugniai pranešta apie jam reiškiamo kaltinimo pobūdį ir pagrindą</w:t>
      </w:r>
      <w:r w:rsidR="007D069E">
        <w:t>.</w:t>
      </w:r>
      <w:r w:rsidR="001637D0">
        <w:t xml:space="preserve"> </w:t>
      </w:r>
      <w:r w:rsidR="003E3809" w:rsidRPr="00CE37D0">
        <w:t xml:space="preserve">EŽTT </w:t>
      </w:r>
      <w:r w:rsidR="00D3753B">
        <w:t>jurisprudencijoje</w:t>
      </w:r>
      <w:r w:rsidR="003E3809" w:rsidRPr="00CE37D0">
        <w:t xml:space="preserve"> teisė būti skubiai ir nuodugniai informuotam apie reiškiamo įtarimo pobūdį ir pagrindą </w:t>
      </w:r>
      <w:r w:rsidR="00D3753B">
        <w:t>laikoma</w:t>
      </w:r>
      <w:r w:rsidR="003E3809" w:rsidRPr="00CE37D0">
        <w:t xml:space="preserve"> savarankiška, su kitais tyrimo ar proceso veiksmais nesusijusi</w:t>
      </w:r>
      <w:r w:rsidR="00D3753B">
        <w:t>a</w:t>
      </w:r>
      <w:r w:rsidR="003E3809" w:rsidRPr="00CE37D0">
        <w:t>, nuo jų nepriklausan</w:t>
      </w:r>
      <w:r w:rsidR="00D3753B">
        <w:t>čia</w:t>
      </w:r>
      <w:r w:rsidR="003E3809" w:rsidRPr="00CE37D0">
        <w:t xml:space="preserve"> teis</w:t>
      </w:r>
      <w:r w:rsidR="00D3753B">
        <w:t>e</w:t>
      </w:r>
      <w:r w:rsidR="00A41B7A">
        <w:t>.</w:t>
      </w:r>
      <w:r w:rsidR="001637D0">
        <w:t xml:space="preserve"> </w:t>
      </w:r>
      <w:r w:rsidR="00D3753B" w:rsidRPr="00CE37D0">
        <w:rPr>
          <w:vertAlign w:val="superscript"/>
        </w:rPr>
        <w:footnoteReference w:id="571"/>
      </w:r>
      <w:r w:rsidR="001637D0">
        <w:t xml:space="preserve"> </w:t>
      </w:r>
      <w:r>
        <w:t>Š</w:t>
      </w:r>
      <w:r w:rsidR="003E3809" w:rsidRPr="00CE37D0">
        <w:t>i teisė yra teisės į gynybą</w:t>
      </w:r>
      <w:r w:rsidR="007D069E">
        <w:t>, o platesne prasme</w:t>
      </w:r>
      <w:r w:rsidR="00CD5312">
        <w:t>,</w:t>
      </w:r>
      <w:r w:rsidR="007D069E">
        <w:t xml:space="preserve"> </w:t>
      </w:r>
      <w:r w:rsidR="007D069E" w:rsidRPr="00CE37D0">
        <w:t>netgi sąžiningo baudžiamojo proceso</w:t>
      </w:r>
      <w:r w:rsidR="00CD5312">
        <w:t xml:space="preserve"> </w:t>
      </w:r>
      <w:r w:rsidR="003E3809" w:rsidRPr="00CE37D0">
        <w:t>garantija</w:t>
      </w:r>
      <w:r w:rsidR="007D069E">
        <w:t>:</w:t>
      </w:r>
      <w:r w:rsidR="003E3809" w:rsidRPr="00CE37D0">
        <w:t xml:space="preserve"> nežinant, kuo esi įtariamas, neįmanoma ne tik veiksminga, bet ir apskritai jokia teisinė gynyba </w:t>
      </w:r>
      <w:r w:rsidR="003E3809" w:rsidRPr="00CE37D0">
        <w:rPr>
          <w:vertAlign w:val="superscript"/>
        </w:rPr>
        <w:footnoteReference w:id="572"/>
      </w:r>
      <w:r w:rsidR="003E3809" w:rsidRPr="00CE37D0">
        <w:t>. Konvencijos 6 str</w:t>
      </w:r>
      <w:r w:rsidR="00B36791">
        <w:t>aipsnio</w:t>
      </w:r>
      <w:r w:rsidR="003E3809" w:rsidRPr="00CE37D0">
        <w:t xml:space="preserve"> 3 d</w:t>
      </w:r>
      <w:r w:rsidR="00B36791">
        <w:t>alies</w:t>
      </w:r>
      <w:r w:rsidR="003E3809" w:rsidRPr="00CE37D0">
        <w:t xml:space="preserve"> a p</w:t>
      </w:r>
      <w:r w:rsidR="00B36791">
        <w:t>.</w:t>
      </w:r>
      <w:r w:rsidR="003E3809" w:rsidRPr="00CE37D0">
        <w:t xml:space="preserve"> numatyta garantija yra savarankiška ir nepriklausoma nuo kitų garantijų</w:t>
      </w:r>
      <w:r w:rsidR="00CD5312">
        <w:t xml:space="preserve"> </w:t>
      </w:r>
      <w:r w:rsidRPr="00CE37D0">
        <w:t xml:space="preserve">(angl. </w:t>
      </w:r>
      <w:r w:rsidRPr="00CE37D0">
        <w:rPr>
          <w:i/>
        </w:rPr>
        <w:t>absolutist approach</w:t>
      </w:r>
      <w:r w:rsidRPr="00CE37D0">
        <w:t>)</w:t>
      </w:r>
      <w:r>
        <w:t xml:space="preserve"> </w:t>
      </w:r>
      <w:r w:rsidR="00CD5312">
        <w:t xml:space="preserve">– </w:t>
      </w:r>
      <w:r>
        <w:t>j</w:t>
      </w:r>
      <w:r w:rsidR="003E3809" w:rsidRPr="00CE37D0">
        <w:t xml:space="preserve">os pažeidimas būtų pripažįstamas netgi tada, kai nėra duomenų, kad geresnis informuotumas būtų </w:t>
      </w:r>
      <w:r w:rsidR="00426937">
        <w:t xml:space="preserve">turėjęs </w:t>
      </w:r>
      <w:r w:rsidR="003E3809" w:rsidRPr="00CE37D0">
        <w:t>įtakos gynybos galimyb</w:t>
      </w:r>
      <w:r w:rsidR="00426937">
        <w:t>ėm</w:t>
      </w:r>
      <w:r w:rsidR="003E3809" w:rsidRPr="00CE37D0">
        <w:t xml:space="preserve">s. </w:t>
      </w:r>
      <w:r w:rsidR="003E3809" w:rsidRPr="00CE37D0">
        <w:rPr>
          <w:vertAlign w:val="superscript"/>
        </w:rPr>
        <w:footnoteReference w:id="573"/>
      </w:r>
      <w:r w:rsidR="00CD5312">
        <w:t xml:space="preserve"> </w:t>
      </w:r>
      <w:r w:rsidR="003E3809" w:rsidRPr="00CE37D0">
        <w:rPr>
          <w:rFonts w:eastAsia="Times New Roman"/>
        </w:rPr>
        <w:t xml:space="preserve">EŽTT byloje </w:t>
      </w:r>
      <w:r w:rsidR="003E3809" w:rsidRPr="00CE37D0">
        <w:rPr>
          <w:rFonts w:eastAsia="Times New Roman"/>
          <w:i/>
        </w:rPr>
        <w:t>Pellisier and Sassi v. France</w:t>
      </w:r>
      <w:r w:rsidR="003E3809" w:rsidRPr="00CE37D0">
        <w:rPr>
          <w:rFonts w:eastAsia="Times New Roman"/>
        </w:rPr>
        <w:t xml:space="preserve"> išaiškino, kad </w:t>
      </w:r>
      <w:r w:rsidR="00426937">
        <w:rPr>
          <w:rFonts w:eastAsia="Times New Roman"/>
        </w:rPr>
        <w:t>K</w:t>
      </w:r>
      <w:r w:rsidR="003E3809" w:rsidRPr="00CE37D0">
        <w:rPr>
          <w:rFonts w:eastAsia="Times New Roman"/>
        </w:rPr>
        <w:t>onvencijos 6 str</w:t>
      </w:r>
      <w:r w:rsidR="00B36791">
        <w:rPr>
          <w:rFonts w:eastAsia="Times New Roman"/>
        </w:rPr>
        <w:t>aipsnio</w:t>
      </w:r>
      <w:r w:rsidR="003E3809" w:rsidRPr="00CE37D0">
        <w:rPr>
          <w:rFonts w:eastAsia="Times New Roman"/>
        </w:rPr>
        <w:t xml:space="preserve"> 3 d</w:t>
      </w:r>
      <w:r w:rsidR="00B36791">
        <w:rPr>
          <w:rFonts w:eastAsia="Times New Roman"/>
        </w:rPr>
        <w:t>alies</w:t>
      </w:r>
      <w:r w:rsidR="003E3809" w:rsidRPr="00CE37D0">
        <w:rPr>
          <w:rFonts w:eastAsia="Times New Roman"/>
        </w:rPr>
        <w:t xml:space="preserve"> a p</w:t>
      </w:r>
      <w:r w:rsidR="00B36791">
        <w:rPr>
          <w:rFonts w:eastAsia="Times New Roman"/>
        </w:rPr>
        <w:t>.</w:t>
      </w:r>
      <w:r w:rsidR="003E3809" w:rsidRPr="00CE37D0">
        <w:rPr>
          <w:rFonts w:eastAsia="Times New Roman"/>
        </w:rPr>
        <w:t xml:space="preserve"> suteikia kaltinamajam teisę būti informuotam ne ti</w:t>
      </w:r>
      <w:r w:rsidR="00426937">
        <w:rPr>
          <w:rFonts w:eastAsia="Times New Roman"/>
        </w:rPr>
        <w:t>k apie kaltinimo pagrindą, t.y.</w:t>
      </w:r>
      <w:r w:rsidR="003E3809" w:rsidRPr="00CE37D0">
        <w:rPr>
          <w:rFonts w:eastAsia="Times New Roman"/>
        </w:rPr>
        <w:t xml:space="preserve"> veiksmus, kuriuos jis padarė ir kuriais grindžiamas kaltinimas, bet ir</w:t>
      </w:r>
      <w:r w:rsidR="00CD5312">
        <w:rPr>
          <w:rFonts w:eastAsia="Times New Roman"/>
        </w:rPr>
        <w:t xml:space="preserve"> apie</w:t>
      </w:r>
      <w:r w:rsidR="003E3809" w:rsidRPr="00CE37D0">
        <w:rPr>
          <w:rFonts w:eastAsia="Times New Roman"/>
        </w:rPr>
        <w:t xml:space="preserve"> teisinį šių veiksmų kvalifikavimą. Kaltinamajam privaloma pateikti pakankamai informacijos, kad jis visiškai suprastų pateiktų kaltinimų apimtį ir galėtų pasirengti </w:t>
      </w:r>
      <w:r w:rsidR="003E3809" w:rsidRPr="00CE37D0">
        <w:rPr>
          <w:rFonts w:eastAsia="Times New Roman"/>
        </w:rPr>
        <w:lastRenderedPageBreak/>
        <w:t xml:space="preserve">gynybai. </w:t>
      </w:r>
      <w:r w:rsidR="003E3809" w:rsidRPr="00CE37D0">
        <w:rPr>
          <w:rFonts w:eastAsia="Times New Roman"/>
          <w:vertAlign w:val="superscript"/>
        </w:rPr>
        <w:footnoteReference w:id="574"/>
      </w:r>
      <w:r w:rsidR="00CD5312">
        <w:rPr>
          <w:rFonts w:eastAsia="Times New Roman"/>
        </w:rPr>
        <w:t xml:space="preserve"> </w:t>
      </w:r>
      <w:r w:rsidR="003E3809" w:rsidRPr="00CE37D0">
        <w:rPr>
          <w:rFonts w:eastAsia="Times New Roman"/>
        </w:rPr>
        <w:t xml:space="preserve">Taigi EŽTT jurisprudencijoje kaltinamojo teisės būti informuotam aiškinimas apima ir jo veiksmų teisinį įvertinimą, tuo siekiant užtikrinti jo teisę į gynybą. Todėl reikalavimo nurodyti nusikalstamos veikos kvalifikaciją privataus kaltinimo skunde įtvirtinimas pagrindžiamas ir Konvencijos aiškinimu. </w:t>
      </w:r>
    </w:p>
    <w:p w:rsidR="003E3809" w:rsidRPr="00CE37D0" w:rsidRDefault="003E3809" w:rsidP="00F927E2">
      <w:pPr>
        <w:spacing w:line="360" w:lineRule="auto"/>
        <w:ind w:firstLine="851"/>
        <w:jc w:val="both"/>
      </w:pPr>
      <w:r w:rsidRPr="00CE37D0">
        <w:t xml:space="preserve">Garantija būti informuotam apie kaltinimą turi du aspektus. Vienas susijęs su gynybos teise nedelsiant gauti informaciją, o kitas atitinka </w:t>
      </w:r>
      <w:r w:rsidRPr="00CE37D0">
        <w:rPr>
          <w:i/>
        </w:rPr>
        <w:t>nemo iudex sine actore</w:t>
      </w:r>
      <w:r w:rsidRPr="00CE37D0">
        <w:t xml:space="preserve"> maksimą. Antrasis aspektas yra loginė pirmojo tąsa: nuo to momento, kai pateikiama informacija, kaltinimas negali būti keičiamas, jei nėra </w:t>
      </w:r>
      <w:r w:rsidR="00F927E2">
        <w:t xml:space="preserve">pateikta </w:t>
      </w:r>
      <w:r w:rsidRPr="00CE37D0">
        <w:t>naujo</w:t>
      </w:r>
      <w:r w:rsidR="00F927E2">
        <w:t>s</w:t>
      </w:r>
      <w:r w:rsidRPr="00CE37D0">
        <w:t xml:space="preserve"> informacijos ir</w:t>
      </w:r>
      <w:r w:rsidR="00F927E2">
        <w:t xml:space="preserve"> yra</w:t>
      </w:r>
      <w:r w:rsidRPr="00CE37D0">
        <w:t xml:space="preserve"> pakankam</w:t>
      </w:r>
      <w:r w:rsidR="00F927E2">
        <w:t>ai</w:t>
      </w:r>
      <w:r w:rsidRPr="00CE37D0">
        <w:t xml:space="preserve"> laiko gynybai prisitaikyti prie naujos situacijos. Šis teisinis imperatyvas vadinamas nekintamumo principu (angl. </w:t>
      </w:r>
      <w:r w:rsidRPr="00CE37D0">
        <w:rPr>
          <w:i/>
        </w:rPr>
        <w:t>principle of immutability)</w:t>
      </w:r>
      <w:r w:rsidRPr="00CE37D0">
        <w:t xml:space="preserve">. Tai reiškia, kad teismas nėra saistomas pirminės nusikalstamos veikos kvalifikacijos, o pareiga informuoti apie kaltinimo pasikeitimus perkeliama kaltintojui. </w:t>
      </w:r>
      <w:r w:rsidRPr="00CE37D0">
        <w:rPr>
          <w:rStyle w:val="Puslapioinaosnuoroda"/>
        </w:rPr>
        <w:footnoteReference w:id="575"/>
      </w:r>
    </w:p>
    <w:p w:rsidR="00AA1245" w:rsidRDefault="003E3809" w:rsidP="00AA1245">
      <w:pPr>
        <w:spacing w:line="360" w:lineRule="auto"/>
        <w:ind w:firstLine="851"/>
        <w:jc w:val="both"/>
        <w:rPr>
          <w:rFonts w:eastAsia="Times New Roman"/>
        </w:rPr>
      </w:pPr>
      <w:r w:rsidRPr="00CE37D0">
        <w:rPr>
          <w:rFonts w:eastAsia="Times New Roman"/>
        </w:rPr>
        <w:t>Lyginant reikalavimus, kurie keliami prokuroro surašomam kaltinamajam aktui (BPK 219 str</w:t>
      </w:r>
      <w:r w:rsidR="007D069E">
        <w:rPr>
          <w:rFonts w:eastAsia="Times New Roman"/>
        </w:rPr>
        <w:t>aipsnis</w:t>
      </w:r>
      <w:r w:rsidRPr="00CE37D0">
        <w:rPr>
          <w:rFonts w:eastAsia="Times New Roman"/>
        </w:rPr>
        <w:t>) ir privataus kaltinimo skundui (BPK 418 str</w:t>
      </w:r>
      <w:r w:rsidR="007D069E">
        <w:rPr>
          <w:rFonts w:eastAsia="Times New Roman"/>
        </w:rPr>
        <w:t>aipsnio</w:t>
      </w:r>
      <w:r w:rsidRPr="00CE37D0">
        <w:rPr>
          <w:rFonts w:eastAsia="Times New Roman"/>
        </w:rPr>
        <w:t xml:space="preserve"> 2 d</w:t>
      </w:r>
      <w:r w:rsidR="007D069E">
        <w:rPr>
          <w:rFonts w:eastAsia="Times New Roman"/>
        </w:rPr>
        <w:t>alis</w:t>
      </w:r>
      <w:r w:rsidRPr="00CE37D0">
        <w:rPr>
          <w:rFonts w:eastAsia="Times New Roman"/>
        </w:rPr>
        <w:t xml:space="preserve">), pagrindinis skirtumas yra duomenų apie proceso dalyvius išsamumas ir nusikalstamos veikos teisinis vertinimas. Skirtingai nei privataus kaltinimo skunde, kaltinamajame akte reikalaujama nurodyti </w:t>
      </w:r>
      <w:r w:rsidRPr="00CE37D0">
        <w:t xml:space="preserve">BK straipsnį (jo dalį ir punktą), numatantį atsakomybę už padarytą veiką </w:t>
      </w:r>
      <w:proofErr w:type="gramStart"/>
      <w:r w:rsidRPr="00CE37D0">
        <w:t>(</w:t>
      </w:r>
      <w:proofErr w:type="gramEnd"/>
      <w:r w:rsidRPr="00CE37D0">
        <w:t>BPK 218 str</w:t>
      </w:r>
      <w:r w:rsidR="007D069E">
        <w:t>aipsnio</w:t>
      </w:r>
      <w:r w:rsidRPr="00CE37D0">
        <w:t xml:space="preserve"> 5 p.). M</w:t>
      </w:r>
      <w:r w:rsidR="00DB4ECD">
        <w:t>anytina</w:t>
      </w:r>
      <w:r w:rsidRPr="00CE37D0">
        <w:t>,</w:t>
      </w:r>
      <w:r w:rsidR="00DB4ECD">
        <w:t xml:space="preserve"> kad</w:t>
      </w:r>
      <w:r w:rsidRPr="00CE37D0">
        <w:t xml:space="preserve"> kaltinime nesant nurodytos nusikalstamos veikos kvalifikacijos, ne</w:t>
      </w:r>
      <w:r w:rsidR="00973B0F" w:rsidRPr="00CE37D0">
        <w:t>priklausomai nuo proceso formos,</w:t>
      </w:r>
      <w:r w:rsidRPr="00CE37D0">
        <w:t xml:space="preserve"> tai turėtų būti pripažįstama esminiu BPK pažeidimu, dėl kurio buvo suvaržytos įstatymų garantuotos kaltinamojo teisės, būtent</w:t>
      </w:r>
      <w:r w:rsidR="00CD5312">
        <w:t>,</w:t>
      </w:r>
      <w:r w:rsidR="007D069E">
        <w:t xml:space="preserve"> jo teisė į gynybą (BPK 369 straipsnio</w:t>
      </w:r>
      <w:r w:rsidRPr="00CE37D0">
        <w:t xml:space="preserve"> 3 d</w:t>
      </w:r>
      <w:r w:rsidR="007D069E">
        <w:t>alis</w:t>
      </w:r>
      <w:r w:rsidRPr="00CE37D0">
        <w:t xml:space="preserve">). Pasak R. Merkevičiaus, procesinis tikslas užtikrinti veiksmingą galimybę realizuoti teisę į gynybą pasiekiamas tuomet, kai </w:t>
      </w:r>
      <w:r w:rsidR="002C25ED" w:rsidRPr="00CE37D0">
        <w:rPr>
          <w:i/>
        </w:rPr>
        <w:t>inter alia</w:t>
      </w:r>
      <w:r w:rsidRPr="00CE37D0">
        <w:t xml:space="preserve"> nurodoma inkriminuojama nusikalstama veika bei įvardijamas baudžiamasis įstatymas, pagal kurį </w:t>
      </w:r>
      <w:r w:rsidR="002C25ED" w:rsidRPr="00CE37D0">
        <w:t xml:space="preserve">ji </w:t>
      </w:r>
      <w:r w:rsidRPr="00CE37D0">
        <w:t xml:space="preserve">kvalifikuojama. </w:t>
      </w:r>
      <w:r w:rsidRPr="00CE37D0">
        <w:rPr>
          <w:rStyle w:val="Puslapioinaosnuoroda"/>
        </w:rPr>
        <w:footnoteReference w:id="576"/>
      </w:r>
      <w:r w:rsidRPr="00CE37D0">
        <w:t xml:space="preserve"> Iš esmės tokią pačią nuomonę išsako ir </w:t>
      </w:r>
      <w:r w:rsidRPr="00CE37D0">
        <w:rPr>
          <w:rFonts w:eastAsia="Times New Roman"/>
        </w:rPr>
        <w:t xml:space="preserve">R. Ažubalytė, kuri teigia, kad iš nukentėjusiojo skundo kaltinamajam turi būti aiškūs jam pateikiami kaltinimai: tiek faktinės aplinkybės, tiek teisinis jų vertinimas. </w:t>
      </w:r>
      <w:r w:rsidRPr="00CE37D0">
        <w:rPr>
          <w:rFonts w:eastAsia="Times New Roman"/>
          <w:vertAlign w:val="superscript"/>
        </w:rPr>
        <w:footnoteReference w:id="577"/>
      </w:r>
      <w:r w:rsidR="00CD5312">
        <w:rPr>
          <w:rFonts w:eastAsia="Times New Roman"/>
        </w:rPr>
        <w:t xml:space="preserve"> </w:t>
      </w:r>
      <w:r w:rsidRPr="00CE37D0">
        <w:t>Dar vienas motyvas, pagrindžiantis poziciją, kad privataus kaltinimo skunde turėtų būti nurodomas nusikalstamos veikos teisinis įvertinimas, yra BPK 417 str</w:t>
      </w:r>
      <w:r w:rsidR="007D069E">
        <w:t>aipsnio</w:t>
      </w:r>
      <w:r w:rsidRPr="00CE37D0">
        <w:t xml:space="preserve"> formuluotė, t.y. veikos, procesas dėl kurių vyksta </w:t>
      </w:r>
      <w:r w:rsidRPr="00CE37D0">
        <w:lastRenderedPageBreak/>
        <w:t>privataus kaltinimo tvarka, nurodomos BK straipsnių pagrindu. Taigi nukentėjęs asmuo, kreipdamasis į teismą privataus kaltinimo tvarka, turi žinoti jo atžvilgiu padarytos nusikalstamos veikos teisinį vertinimą, kadangi tik tokiu būdu jis gali žinoti, ar ši veika nagrinėtina privataus kaltinimo tvarka, ar ne. Privataus kaltintojo pareiga suformuluoti ir įrodyti kaltinimą, teisė keisti kaltinime nurodytos nusikalstamos veikos esmines faktines aplinkybes ir nusikalstamos ve</w:t>
      </w:r>
      <w:r w:rsidR="007D069E">
        <w:t>ikos kvalifikavimą (BPK 256 straipsnis</w:t>
      </w:r>
      <w:r w:rsidRPr="00CE37D0">
        <w:t>) taip pat susijusi su teisiniu nusikalstamos veikos vertinimu, todėl privataus kaltintojo kaltinimo funkcijos įgyvendinim</w:t>
      </w:r>
      <w:r w:rsidR="0096492B">
        <w:t>o veiksmingum</w:t>
      </w:r>
      <w:r w:rsidRPr="00CE37D0">
        <w:t xml:space="preserve">as neišvengiamai susijęs su minimaliomis teisinėmis žiniomis ir jų taikymu. </w:t>
      </w:r>
      <w:r w:rsidRPr="00CE37D0">
        <w:rPr>
          <w:rStyle w:val="Puslapioinaosnuoroda"/>
        </w:rPr>
        <w:footnoteReference w:id="578"/>
      </w:r>
      <w:r w:rsidRPr="00CE37D0">
        <w:t xml:space="preserve"> Todėl darytina išvada, kad privataus kaltinimo skunde turi būti nurodomos ne tik faktinės nusikalstamos veikos padarymo aplinkybės, bet ir veikos kvalifikacija. </w:t>
      </w:r>
      <w:r w:rsidRPr="00CE37D0">
        <w:rPr>
          <w:rFonts w:eastAsia="Times New Roman"/>
        </w:rPr>
        <w:t xml:space="preserve">Skirtumas tarp reikalavimų kaltinamajam aktui ir privataus kaltinimo skundui galimas tik tiek, kiek tai susiję su prokuroro ir privataus kaltintojo galimybių disponuoti informacija skirtumu. </w:t>
      </w:r>
    </w:p>
    <w:p w:rsidR="00AA1245" w:rsidRDefault="00973B0F" w:rsidP="00AA1245">
      <w:pPr>
        <w:spacing w:line="360" w:lineRule="auto"/>
        <w:ind w:firstLine="851"/>
        <w:jc w:val="both"/>
      </w:pPr>
      <w:r w:rsidRPr="00CE37D0">
        <w:t>Vis tik t</w:t>
      </w:r>
      <w:r w:rsidR="003E3809" w:rsidRPr="00CE37D0">
        <w:t>eismų praktikoje remiamasi BPK 412 str</w:t>
      </w:r>
      <w:r w:rsidR="007D069E">
        <w:t>aipsniu</w:t>
      </w:r>
      <w:r w:rsidR="003E3809" w:rsidRPr="00CE37D0">
        <w:t>, kuris nereikalauja, kad nukentėjusysis privataus kaltinimo skunde nurodytų nusikalstamos veikos, kuria ka</w:t>
      </w:r>
      <w:r w:rsidR="002C25ED" w:rsidRPr="00CE37D0">
        <w:t>ltinamas asmuo, kvalifikaciją</w:t>
      </w:r>
      <w:r w:rsidR="003E3809" w:rsidRPr="00CE37D0">
        <w:t>, ir laikomasi pozicijos, kad privataus kaltinimo skunde „</w:t>
      </w:r>
      <w:r w:rsidR="003E3809" w:rsidRPr="00CE37D0">
        <w:rPr>
          <w:i/>
        </w:rPr>
        <w:t xml:space="preserve">nurodyta veikos kvalifikacija neįpareigoja teisėjo savo nutartyje perduoti skundą į teisiamąjį posėdį nurodant būtent tą BK straipsnį ar jo dalį, nes teisėjas, įvertinęs skunde aprašytas veikos aplinkybes, pats nustato nusikalstamos veikos požymius ir inkriminuoja kaltinamajam reikiamą baudžiamąjį įstatymą.“ </w:t>
      </w:r>
      <w:r w:rsidR="003E3809" w:rsidRPr="00CE37D0">
        <w:rPr>
          <w:rStyle w:val="Puslapioinaosnuoroda"/>
        </w:rPr>
        <w:footnoteReference w:id="579"/>
      </w:r>
      <w:r w:rsidR="003E3809" w:rsidRPr="00CE37D0">
        <w:t xml:space="preserve"> Šio teisinio </w:t>
      </w:r>
      <w:r w:rsidR="00F1114E">
        <w:t>reguli</w:t>
      </w:r>
      <w:r w:rsidR="003E3809" w:rsidRPr="00CE37D0">
        <w:t xml:space="preserve">avimo kontekste iškeltinas klausimas, ar teisėjo pareiga pačiam nustatyti nusikalstamos veikos požymius ir inkriminuoti baudžiamąjį įstatymą nėra kaltinimo funkcijos vykdymas ir ar suderinama su tiesiogine teisingumo vykdymo funkcija. </w:t>
      </w:r>
      <w:bookmarkStart w:id="340" w:name="Buk_35"/>
      <w:r w:rsidR="003E3809" w:rsidRPr="00CE37D0">
        <w:t>Privataus kaltinimo bylų procese, nenumačius privataus kaltintojo pareigos kvalifikuoti nusikalstamą veiką, ši p</w:t>
      </w:r>
      <w:r w:rsidR="002C25ED" w:rsidRPr="00CE37D0">
        <w:t>areiga tenka teismui</w:t>
      </w:r>
      <w:r w:rsidR="00F1114E">
        <w:t xml:space="preserve"> bylos</w:t>
      </w:r>
      <w:r w:rsidR="003E3809" w:rsidRPr="00CE37D0">
        <w:t xml:space="preserve"> nagrinėti teisiamajame posėdyje</w:t>
      </w:r>
      <w:r w:rsidR="00CD5312">
        <w:t xml:space="preserve"> </w:t>
      </w:r>
      <w:r w:rsidR="00F1114E">
        <w:t xml:space="preserve">perdavimo </w:t>
      </w:r>
      <w:r w:rsidR="002C25ED" w:rsidRPr="00CE37D0">
        <w:t>stadijoje</w:t>
      </w:r>
      <w:r w:rsidR="003E3809" w:rsidRPr="00CE37D0">
        <w:t xml:space="preserve">, t.y. neišnagrinėjus faktinių aplinkybių ir neįvertinus įrodymų. Atsižvelgiant į tai, manytina, kad </w:t>
      </w:r>
      <w:r w:rsidR="00D8011B" w:rsidRPr="00D8011B">
        <w:rPr>
          <w:i/>
        </w:rPr>
        <w:t>de lege ferenda</w:t>
      </w:r>
      <w:r w:rsidR="00CD5312">
        <w:rPr>
          <w:i/>
        </w:rPr>
        <w:t xml:space="preserve"> </w:t>
      </w:r>
      <w:r w:rsidR="003E3809" w:rsidRPr="00CE37D0">
        <w:t xml:space="preserve">privataus kaltintojo pareiga nurodyti nusikalstamos veikos kvalifikavimą padėtų išvengti </w:t>
      </w:r>
      <w:r w:rsidR="000D1D95">
        <w:t xml:space="preserve">galimo </w:t>
      </w:r>
      <w:r w:rsidRPr="00CE37D0">
        <w:t xml:space="preserve">objektyvaus </w:t>
      </w:r>
      <w:r w:rsidR="003E3809" w:rsidRPr="00CE37D0">
        <w:lastRenderedPageBreak/>
        <w:t>teismo šališkumo</w:t>
      </w:r>
      <w:r w:rsidR="00AA533A">
        <w:t xml:space="preserve">, </w:t>
      </w:r>
      <w:r w:rsidRPr="00CE37D0">
        <w:rPr>
          <w:rStyle w:val="Puslapioinaosnuoroda"/>
        </w:rPr>
        <w:footnoteReference w:id="580"/>
      </w:r>
      <w:r w:rsidR="003E3809" w:rsidRPr="00CE37D0">
        <w:t xml:space="preserve"> kurį suponuoja nusikalstamos veikos faktinių aplinkybių ir teisinis vertinimas</w:t>
      </w:r>
      <w:r w:rsidR="00CD5312">
        <w:t xml:space="preserve"> </w:t>
      </w:r>
      <w:r w:rsidR="00E6249A" w:rsidRPr="00E6249A">
        <w:rPr>
          <w:i/>
        </w:rPr>
        <w:t>a priori</w:t>
      </w:r>
      <w:r w:rsidR="003E3809" w:rsidRPr="00CE37D0">
        <w:t>.</w:t>
      </w:r>
      <w:bookmarkEnd w:id="340"/>
    </w:p>
    <w:p w:rsidR="00AA1245" w:rsidRDefault="003E3809" w:rsidP="00AA1245">
      <w:pPr>
        <w:spacing w:line="360" w:lineRule="auto"/>
        <w:ind w:firstLine="851"/>
        <w:jc w:val="both"/>
        <w:rPr>
          <w:rFonts w:eastAsia="Times New Roman"/>
        </w:rPr>
      </w:pPr>
      <w:r w:rsidRPr="00CE37D0">
        <w:rPr>
          <w:rFonts w:eastAsia="Times New Roman"/>
        </w:rPr>
        <w:t>N</w:t>
      </w:r>
      <w:r w:rsidRPr="00CE37D0">
        <w:t xml:space="preserve">eteisinga nusikalstamos veikos kvalifikacija neturėtų būti pagrindas atsisakyti priimti privataus kaltinimo skundą, atsižvelgiant į tai, kad privatus kaltintojas nėra teisininkas profesionalas bei į įstatymo suteiktą galimybę ištaisyti tokį skundo trūkumą </w:t>
      </w:r>
      <w:r w:rsidR="00CD5312">
        <w:t>–</w:t>
      </w:r>
      <w:r w:rsidR="00CD5312" w:rsidRPr="00CE37D0">
        <w:t xml:space="preserve"> </w:t>
      </w:r>
      <w:r w:rsidRPr="00CE37D0">
        <w:t>teisę keisti veikos kvalifikavimą teisme</w:t>
      </w:r>
      <w:r w:rsidR="007D069E">
        <w:t xml:space="preserve"> (BPK 256 straipsnis</w:t>
      </w:r>
      <w:r w:rsidR="0096492B">
        <w:t>)</w:t>
      </w:r>
      <w:r w:rsidR="00AA533A">
        <w:t xml:space="preserve">. </w:t>
      </w:r>
      <w:r w:rsidR="00763198">
        <w:rPr>
          <w:rStyle w:val="Puslapioinaosnuoroda"/>
        </w:rPr>
        <w:footnoteReference w:id="581"/>
      </w:r>
      <w:r w:rsidR="00CD5312">
        <w:t xml:space="preserve"> </w:t>
      </w:r>
      <w:r w:rsidRPr="00CE37D0" w:rsidDel="0096492B">
        <w:rPr>
          <w:rFonts w:eastAsia="Times New Roman"/>
        </w:rPr>
        <w:t>Pavyzdžiui, Vokietijos BPK 381 str</w:t>
      </w:r>
      <w:r w:rsidR="007D069E">
        <w:rPr>
          <w:rFonts w:eastAsia="Times New Roman"/>
        </w:rPr>
        <w:t>aipsnyje</w:t>
      </w:r>
      <w:r w:rsidRPr="00CE37D0" w:rsidDel="0096492B">
        <w:rPr>
          <w:rFonts w:eastAsia="Times New Roman"/>
        </w:rPr>
        <w:t xml:space="preserve"> tiesiogiai nurodoma, kad kaltinimui privataus kaltinimo bylų procese keliami tokie patys individualizavimo ir konkretizavimo reikalavimai kaip kaltinamajam aktui (Vokietijos BPK 200 str</w:t>
      </w:r>
      <w:r w:rsidR="007D069E">
        <w:rPr>
          <w:rFonts w:eastAsia="Times New Roman"/>
        </w:rPr>
        <w:t>aipsnio</w:t>
      </w:r>
      <w:r w:rsidRPr="00CE37D0" w:rsidDel="0096492B">
        <w:rPr>
          <w:rFonts w:eastAsia="Times New Roman"/>
        </w:rPr>
        <w:t xml:space="preserve"> 1 d</w:t>
      </w:r>
      <w:r w:rsidR="007D069E">
        <w:rPr>
          <w:rFonts w:eastAsia="Times New Roman"/>
        </w:rPr>
        <w:t>alis</w:t>
      </w:r>
      <w:r w:rsidRPr="00CE37D0" w:rsidDel="0096492B">
        <w:rPr>
          <w:rFonts w:eastAsia="Times New Roman"/>
        </w:rPr>
        <w:t xml:space="preserve">), </w:t>
      </w:r>
      <w:r w:rsidRPr="00CE37D0">
        <w:rPr>
          <w:rFonts w:eastAsia="Times New Roman"/>
        </w:rPr>
        <w:t>tačiau</w:t>
      </w:r>
      <w:r w:rsidR="00CD5312">
        <w:rPr>
          <w:rFonts w:eastAsia="Times New Roman"/>
        </w:rPr>
        <w:t>,</w:t>
      </w:r>
      <w:r w:rsidRPr="00CE37D0">
        <w:rPr>
          <w:rFonts w:eastAsia="Times New Roman"/>
        </w:rPr>
        <w:t xml:space="preserve"> skirtingai nuo viešo kaltinimo proceso, numatyta galimybė ignoruoti bet kokius formos trūkumus, kai kaltinimą pareiškė privatus kaltintojas be teisinės pagalbos ir jei jie nedaro įtakos konkrečios veikos identifikavimui. </w:t>
      </w:r>
      <w:r w:rsidRPr="00CE37D0">
        <w:rPr>
          <w:rFonts w:eastAsia="Times New Roman"/>
          <w:vertAlign w:val="superscript"/>
        </w:rPr>
        <w:footnoteReference w:id="582"/>
      </w:r>
      <w:r w:rsidRPr="00CE37D0">
        <w:rPr>
          <w:rFonts w:eastAsia="Times New Roman"/>
        </w:rPr>
        <w:t xml:space="preserve"> Toks teisinis reg</w:t>
      </w:r>
      <w:r w:rsidR="00AA533A">
        <w:rPr>
          <w:rFonts w:eastAsia="Times New Roman"/>
        </w:rPr>
        <w:t>ulia</w:t>
      </w:r>
      <w:r w:rsidRPr="00CE37D0">
        <w:rPr>
          <w:rFonts w:eastAsia="Times New Roman"/>
        </w:rPr>
        <w:t xml:space="preserve">vimas vertintinas kaip labiausiai atitinkantis kaltinamojo teisės į gynybą reikalavimus ir tuo pačiu lankstus privataus kaltintojo procesinės padėties ir galimybių atžvilgiu. </w:t>
      </w:r>
    </w:p>
    <w:p w:rsidR="00AA1245" w:rsidRDefault="003E3809" w:rsidP="00AA1245">
      <w:pPr>
        <w:spacing w:line="360" w:lineRule="auto"/>
        <w:ind w:firstLine="851"/>
        <w:jc w:val="both"/>
        <w:rPr>
          <w:rFonts w:eastAsia="Times New Roman"/>
        </w:rPr>
      </w:pPr>
      <w:r w:rsidRPr="00CE37D0">
        <w:rPr>
          <w:rFonts w:eastAsia="Times New Roman"/>
        </w:rPr>
        <w:t>Lietuvos konstitucinėje doktrinoje taip pat pasisakyta, kad „</w:t>
      </w:r>
      <w:r w:rsidRPr="00CE37D0">
        <w:rPr>
          <w:rFonts w:eastAsia="Times New Roman"/>
          <w:i/>
        </w:rPr>
        <w:t>neesminiai privataus kaltinimo skundo formos trūkumai, formalūs privataus kaltinimo skundo nukrypimai nuo nustatytų reikalavimų nereiškia, kad teismas apskritai neturi įgaliojimų tokio skundo priimti</w:t>
      </w:r>
      <w:r w:rsidRPr="00CE37D0">
        <w:rPr>
          <w:rFonts w:eastAsia="Times New Roman"/>
        </w:rPr>
        <w:t xml:space="preserve">“. </w:t>
      </w:r>
      <w:r w:rsidRPr="00CE37D0">
        <w:rPr>
          <w:rFonts w:eastAsia="Times New Roman"/>
          <w:vertAlign w:val="superscript"/>
        </w:rPr>
        <w:footnoteReference w:id="583"/>
      </w:r>
      <w:r w:rsidRPr="00CE37D0">
        <w:rPr>
          <w:rFonts w:eastAsia="Times New Roman"/>
        </w:rPr>
        <w:t xml:space="preserve"> Tačiau teismų praktikoje susiduriama su itin formalizuotu požiūriu vertinant p</w:t>
      </w:r>
      <w:r w:rsidR="00F1114E">
        <w:rPr>
          <w:rFonts w:eastAsia="Times New Roman"/>
        </w:rPr>
        <w:t xml:space="preserve">rivataus kaltinimo skundų formą. </w:t>
      </w:r>
      <w:r w:rsidR="008C57CF">
        <w:rPr>
          <w:rFonts w:eastAsia="Times New Roman"/>
        </w:rPr>
        <w:t>Tai rodo ir statistiniai duomenys: 2008 m. 508 atvejais skundai buvo grąžinti kaip neatitinkantys BPK 412 str</w:t>
      </w:r>
      <w:r w:rsidR="007D069E">
        <w:rPr>
          <w:rFonts w:eastAsia="Times New Roman"/>
        </w:rPr>
        <w:t>aipsnio</w:t>
      </w:r>
      <w:r w:rsidR="008C57CF">
        <w:rPr>
          <w:rFonts w:eastAsia="Times New Roman"/>
        </w:rPr>
        <w:t xml:space="preserve"> reikalavimų (iš 1232 bylų), 2009 m. 503 iš 1191, 2010 m. 452 iš 1199, 2011 m. 481 iš 1270, 2012 m. 469 iš 1168 bylų.</w:t>
      </w:r>
      <w:r w:rsidR="00AA533A">
        <w:rPr>
          <w:rFonts w:eastAsia="Times New Roman"/>
        </w:rPr>
        <w:t xml:space="preserve"> (Priedas Nr. 3) </w:t>
      </w:r>
      <w:r w:rsidR="008C57CF">
        <w:rPr>
          <w:rFonts w:eastAsia="Times New Roman"/>
        </w:rPr>
        <w:t>Toks formalizuotas požiūris</w:t>
      </w:r>
      <w:r w:rsidRPr="00CE37D0">
        <w:rPr>
          <w:rFonts w:eastAsia="Times New Roman"/>
        </w:rPr>
        <w:t xml:space="preserve"> dažnai sąlygoja nukentėjusio asmens teisės į teismą pažeidimą, todėl toliau skirsime daugiau dėmesio teismų praktikos privataus kaltinimo skundo priėmimo stadijoje vertinimui. </w:t>
      </w:r>
    </w:p>
    <w:p w:rsidR="00AA1245" w:rsidRDefault="00973B0F" w:rsidP="00AA1245">
      <w:pPr>
        <w:spacing w:line="360" w:lineRule="auto"/>
        <w:ind w:firstLine="851"/>
        <w:jc w:val="both"/>
      </w:pPr>
      <w:r w:rsidRPr="00CE37D0">
        <w:rPr>
          <w:rFonts w:eastAsia="Times New Roman"/>
        </w:rPr>
        <w:t xml:space="preserve">Duomenų apie proceso dalyvius išsamumo reikalavimas susijęs su skirtingu kaltintojo statusu: prokuroras turi teisę disponuoti visais valstybės turimais asmeniniais proceso dalyvių duomenimis, o privatus asmuo yra ribojamas asmens duomenų teisinės apsaugos reikalavimų. Pagal </w:t>
      </w:r>
      <w:r w:rsidR="007D069E">
        <w:rPr>
          <w:rFonts w:eastAsia="Times New Roman"/>
        </w:rPr>
        <w:t>A</w:t>
      </w:r>
      <w:r w:rsidRPr="00CE37D0">
        <w:rPr>
          <w:rFonts w:eastAsia="Times New Roman"/>
        </w:rPr>
        <w:t xml:space="preserve">smens duomenų teisinės apsaugos įstatymo nuostatas, asmens duomenys yra bet kuri informacija, susijusi su fiziniu asmeniu, kurio tapatybė yra žinoma arba gali būti tiesiogiai ar netiesiogiai </w:t>
      </w:r>
      <w:r w:rsidRPr="00CE37D0">
        <w:rPr>
          <w:rFonts w:eastAsia="Times New Roman"/>
        </w:rPr>
        <w:lastRenderedPageBreak/>
        <w:t xml:space="preserve">nustatyta pasinaudojant tokiais duomenimis kaip asmens kodas, vienas ar keli asmeniui būdingi fizinio, fiziologinio, psichologinio, ekonominio, kultūrinio ar socialinio pobūdžio požymiai. </w:t>
      </w:r>
      <w:r w:rsidRPr="00CE37D0">
        <w:rPr>
          <w:rStyle w:val="Puslapioinaosnuoroda"/>
        </w:rPr>
        <w:footnoteReference w:id="584"/>
      </w:r>
      <w:r w:rsidRPr="00CE37D0">
        <w:rPr>
          <w:rFonts w:eastAsia="Times New Roman"/>
        </w:rPr>
        <w:t xml:space="preserve"> Kadangi privatus kaltintojas turi ribotą prieigą prie proceso dalyvių asmens duomenų, įstatymas reikalauja nurodyti minimalius asmens duomenis, pagal kuriuos gali būti nustatoma asmens tapatybė bei jis galėtų būti šaukiamas į teismą: turi būti nurodyta </w:t>
      </w:r>
      <w:r w:rsidRPr="00CE37D0">
        <w:t>nusikalstamos veikos padarymu įtariamo asmens bei liudytojų vardai, pavardės ir gyvenamoji vieta. Pareiškėjui, kuris privataus kaltinimo tvarka kreipiasi į teismą dėl jo atžvilgiu įvykdytos nusikalstamos veikos, nenurodžius kalto asmens gyvenamosios vietos arba ją nurodžius netiksliai, negalima įteikti kaltininkui skundo nuorašo, iškviesti jo į teismą bei atlikti kitų būtinų procesinių veiksmų, o kaltinamojo dalyvavimas nagrinėjant baudžiamąją bylą, yra privalomas (BPK 246 str</w:t>
      </w:r>
      <w:r w:rsidR="007D069E">
        <w:t>aipsnis</w:t>
      </w:r>
      <w:r w:rsidRPr="00CE37D0">
        <w:t xml:space="preserve">). </w:t>
      </w:r>
      <w:r w:rsidR="000D1D95">
        <w:t>Manytina, kad p</w:t>
      </w:r>
      <w:r w:rsidR="00787C44">
        <w:t>rocesas kaltinamajam nedalyvaujant (BPK XXXII skyriuje numatyta tvarka),</w:t>
      </w:r>
      <w:r w:rsidR="00CD5312">
        <w:t xml:space="preserve"> </w:t>
      </w:r>
      <w:r w:rsidR="00787C44" w:rsidRPr="00CE37D0">
        <w:t>kai kaltinamasis yra ne Lietuvos Respublikos teritorijoje ir vengia atvykti į teismo posėdį</w:t>
      </w:r>
      <w:r w:rsidR="00787C44">
        <w:t>, privataus kaltinimo byloje negalima</w:t>
      </w:r>
      <w:r w:rsidR="00AA533A">
        <w:t>s</w:t>
      </w:r>
      <w:r w:rsidR="007D069E">
        <w:t xml:space="preserve"> (BPK 436 straipsnio 1 dalis</w:t>
      </w:r>
      <w:r w:rsidR="006F14E8">
        <w:t>). Privataus kaltinimo proceso paskirtis – konflikto išsprendimas – suponuoja kaltinamojo ir nukentėjusiojo procesinį dialogą, kurio labiausiai pageidaujama baigtis yra taikus šalių susitarimas. Nedalyvaujant kaltinamajam, šis proceso tikslas negalėtų būti pasiekiamas. Kita vertus, kaltinamojo vengimas atvykti į posėdį išreiškia jo požiūrį į procesą ir rodo jo priešišką poziciją. Būtų galima daryti išvadą, kad šio dialogo kaltinamasis pats atsisako savo procesiniu elgesiu.</w:t>
      </w:r>
      <w:r w:rsidR="00D06EE0">
        <w:t xml:space="preserve"> </w:t>
      </w:r>
      <w:r w:rsidR="006F14E8">
        <w:t xml:space="preserve">Vertinant proceso </w:t>
      </w:r>
      <w:r w:rsidR="006F14E8" w:rsidRPr="006F14E8">
        <w:rPr>
          <w:i/>
        </w:rPr>
        <w:t>in absentia</w:t>
      </w:r>
      <w:r w:rsidR="006F14E8">
        <w:t xml:space="preserve"> teorinę galimybę privataus kaltinimo byloje, svarbiausia įvertinti, ar nebūtų pažeist</w:t>
      </w:r>
      <w:r w:rsidR="00D06EE0">
        <w:t>a</w:t>
      </w:r>
      <w:r w:rsidR="006F14E8">
        <w:t xml:space="preserve"> kaltinamojo teisė į gynybą. Privatus kaltintojas neturi pareigos rinkti tiek kaltinančių, tiek teisinančių duomenų, nustatyti objektyvią tiesą byloje. Atvirkščiai, privatus kaltintojas gina savo interesą ir įrodinėja „savo tiesą“, todėl vykdydamas kaltinimo funkciją jis nėra nešališkas ir negali toks būti. Todėl privataus kaltinimo bylos nagrinėjimas gali pažeisti kaltinamojo teisę į gynybą. </w:t>
      </w:r>
      <w:r w:rsidR="00787C44">
        <w:t xml:space="preserve">Taigi privataus kaltinimo procesas visais atvejais vyksta tik dalyvaujant kaltinamajam. </w:t>
      </w:r>
      <w:r w:rsidR="00A44BE2">
        <w:t>Kita vertus, situacija, kai kaltinamasis yra ne Lietuvos Respublikos teritorijoje ir vengia atvykti į teismo posėdį, kai jam yra apie posėdžio datą ir vietą</w:t>
      </w:r>
      <w:r w:rsidR="00CD5312">
        <w:t xml:space="preserve"> </w:t>
      </w:r>
      <w:r w:rsidR="00A44BE2">
        <w:t xml:space="preserve">pranešta tinkamai, sudaro kliūtis išnagrinėti privataus kaltinimo bylą ir apginti nukentėjusio asmens interesus. </w:t>
      </w:r>
    </w:p>
    <w:p w:rsidR="003E3809" w:rsidRPr="00CE37D0" w:rsidRDefault="003E3809" w:rsidP="00AA1245">
      <w:pPr>
        <w:spacing w:line="360" w:lineRule="auto"/>
        <w:ind w:firstLine="851"/>
        <w:jc w:val="both"/>
        <w:rPr>
          <w:rFonts w:eastAsia="Times New Roman"/>
          <w:i/>
        </w:rPr>
      </w:pPr>
      <w:r w:rsidRPr="00CE37D0">
        <w:rPr>
          <w:rFonts w:eastAsia="Times New Roman"/>
        </w:rPr>
        <w:t xml:space="preserve">Praktikoje pasitaiko atvejų, kai nukentėjęs asmuo nežino kaltininko gyvenamosios vietos. Šiuo klausimu gausi teismų praktika formuojama palankiai nukentėjusiajam. Šiaulių apygardos teismas pripažino, kad nukentėjusiajam neturint realių galimybių sužinoti kaltinamojo gyvenamosios vietos, pažeidžiama jo teisė į teisminę gynybą, todėl negali būti formaliu pagrindu nepriimamas nukentėjusiojo skundas. Pareiškėjui </w:t>
      </w:r>
      <w:r w:rsidRPr="00CE37D0">
        <w:rPr>
          <w:rFonts w:eastAsia="Times New Roman"/>
          <w:i/>
        </w:rPr>
        <w:t xml:space="preserve">„neįmanoma gauti informaciją apie kaltininko </w:t>
      </w:r>
      <w:r w:rsidRPr="00CE37D0">
        <w:rPr>
          <w:rFonts w:eastAsia="Times New Roman"/>
          <w:i/>
        </w:rPr>
        <w:lastRenderedPageBreak/>
        <w:t xml:space="preserve">deklaruotą gyvenamąją vietą, kas užkerta jam visus kelius kreiptis į teismą ir ginti pažeistas savo teises. Šiuo atveju visus įgaliojimus sužinoti reikiamą informaciją turi tik teismas. [...]“.  </w:t>
      </w:r>
      <w:r w:rsidRPr="00CE37D0">
        <w:rPr>
          <w:rStyle w:val="Puslapioinaosnuoroda"/>
        </w:rPr>
        <w:footnoteReference w:id="585"/>
      </w:r>
    </w:p>
    <w:p w:rsidR="00AA1245" w:rsidRDefault="00845308" w:rsidP="00AA1245">
      <w:pPr>
        <w:spacing w:line="360" w:lineRule="auto"/>
        <w:ind w:firstLine="851"/>
        <w:jc w:val="both"/>
      </w:pPr>
      <w:r w:rsidRPr="00CE37D0">
        <w:t>Dažna situacija, kai nukentėjusysis nežino kaltininko gyvenamosios vietos ar</w:t>
      </w:r>
      <w:r w:rsidR="00650050">
        <w:t>,</w:t>
      </w:r>
      <w:r w:rsidRPr="00CE37D0">
        <w:t xml:space="preserve"> prasidėjus procesui</w:t>
      </w:r>
      <w:r w:rsidR="00650050">
        <w:t>,</w:t>
      </w:r>
      <w:r w:rsidRPr="00CE37D0">
        <w:t xml:space="preserve"> kaltininkas būna ją pakeitęs. Pirmosios instancijos teismų sprendimuose stebima tendencija tokiais atvejais </w:t>
      </w:r>
      <w:r w:rsidR="00650050">
        <w:t>skundą grąžinti nukentėjusiajam</w:t>
      </w:r>
      <w:r w:rsidR="007D069E">
        <w:t xml:space="preserve"> kaip neatitinkantį BPK 412 straipsnio</w:t>
      </w:r>
      <w:r w:rsidRPr="00CE37D0">
        <w:t xml:space="preserve"> 2 d</w:t>
      </w:r>
      <w:r w:rsidR="007D069E">
        <w:t>alies</w:t>
      </w:r>
      <w:r w:rsidRPr="00CE37D0">
        <w:t xml:space="preserve"> reikalavimų. Tačiau </w:t>
      </w:r>
      <w:r w:rsidR="00650050">
        <w:t>aukštesnieji teismai pripažįsta nurodytus duomenis tinkamais,</w:t>
      </w:r>
      <w:r w:rsidRPr="00CE37D0">
        <w:t xml:space="preserve"> jei nukentėj</w:t>
      </w:r>
      <w:r w:rsidR="00650050">
        <w:t>ęs asmuo</w:t>
      </w:r>
      <w:r w:rsidRPr="00CE37D0">
        <w:t xml:space="preserve"> negali sužinoti kaltininko gyvenamosios vietos</w:t>
      </w:r>
      <w:r w:rsidR="00650050">
        <w:t xml:space="preserve"> ir</w:t>
      </w:r>
      <w:r w:rsidRPr="00CE37D0">
        <w:t xml:space="preserve"> nurodo paskutinę jam žinomą gyvenamąją vietą ar darbovietės adresą. </w:t>
      </w:r>
      <w:r w:rsidRPr="00CE37D0">
        <w:rPr>
          <w:vertAlign w:val="superscript"/>
        </w:rPr>
        <w:footnoteReference w:id="586"/>
      </w:r>
      <w:r w:rsidRPr="00CE37D0">
        <w:t xml:space="preserve"> Tokiai praktikai pritartina, siekiant užtikrinti nukentėjusio</w:t>
      </w:r>
      <w:r w:rsidR="00650050">
        <w:t xml:space="preserve"> asmens</w:t>
      </w:r>
      <w:r w:rsidRPr="00CE37D0">
        <w:t xml:space="preserve"> teisę į </w:t>
      </w:r>
      <w:r w:rsidR="00650050">
        <w:t>teism</w:t>
      </w:r>
      <w:r w:rsidRPr="00CE37D0">
        <w:t xml:space="preserve">ą bei išvengti jos suvaržymų ir proceso vilkinimo. Atsižvelgtina į tai, kad teismas turi teisę ir privalo imtis priemonių, kurios neprieinamos pareiškėjui (šiuo atveju - paklausimai į įvairias institucijas dėl asmens duomenų), todėl skundo nepriėmimas, nesant duomenų, kurių nukentėjęs nuo nusikalstamos veikos asmuo neturi galimybės sužinoti, pažeidžia asmens teisę į teismą. </w:t>
      </w:r>
    </w:p>
    <w:p w:rsidR="00AA1245" w:rsidRDefault="003E3809" w:rsidP="00AA1245">
      <w:pPr>
        <w:spacing w:line="360" w:lineRule="auto"/>
        <w:ind w:firstLine="851"/>
        <w:jc w:val="both"/>
      </w:pPr>
      <w:r w:rsidRPr="00CE37D0">
        <w:rPr>
          <w:rFonts w:eastAsia="Times New Roman"/>
        </w:rPr>
        <w:t xml:space="preserve">Teismų praktikoje pripažįstama, kad tais atvejais, kai asmens gyvenamąją vietą teismas gali sužinoti ne iš privataus kaltinimo skundo, o iš kitų šaltinių, nelaikytina, kad skundo trūkumai esminiai. </w:t>
      </w:r>
      <w:r w:rsidRPr="00CE37D0">
        <w:rPr>
          <w:rFonts w:eastAsia="Times New Roman"/>
          <w:i/>
        </w:rPr>
        <w:t>„Nors pareiškimo forma bei teiginių dėstymo metodika ir nėra ideali, tačiau tai negali būti pagrindu atsisakyti jį priimti, tuo dirbtinai suvaržant asmens konstitucinę teisę kreiptis į teismą bei nepagrįstai pasunkinant jos įgyvendinimą, juolab, kad iš pareiškimo turinio galima suprasti kas ir kokia nusikalstama veika kaltinamas, nurodyta šios veikos padarymo vieta, laikas, jos padarymu įtariamo asmens vardas, pavardė, pareigos, darbo vieta bei kitos esminės aplinkybės.“</w:t>
      </w:r>
      <w:r w:rsidRPr="00CE37D0">
        <w:rPr>
          <w:rFonts w:eastAsia="Times New Roman"/>
        </w:rPr>
        <w:t xml:space="preserve"> Gyvenamosios vietos</w:t>
      </w:r>
      <w:r w:rsidR="00650050">
        <w:rPr>
          <w:rFonts w:eastAsia="Times New Roman"/>
        </w:rPr>
        <w:t xml:space="preserve"> adreso nenurodymas šiuo atveju</w:t>
      </w:r>
      <w:r w:rsidRPr="00CE37D0">
        <w:rPr>
          <w:rFonts w:eastAsia="Times New Roman"/>
        </w:rPr>
        <w:t xml:space="preserve"> traktuotas kaip „</w:t>
      </w:r>
      <w:r w:rsidRPr="00CE37D0">
        <w:rPr>
          <w:rFonts w:eastAsia="Times New Roman"/>
          <w:i/>
        </w:rPr>
        <w:t>formalus nukrypimas nuo nustatytų reikalavimų, kuris nėra esminis ir pareiškimo priimti nekliudo, juolab, kad [...] duomenų apie nusikalstamos veikos padarymu įtariamą asmenį nukentėjusiojo pareiškime pakanka</w:t>
      </w:r>
      <w:r w:rsidRPr="00CE37D0">
        <w:rPr>
          <w:rFonts w:eastAsia="Times New Roman"/>
        </w:rPr>
        <w:t xml:space="preserve">.“ </w:t>
      </w:r>
      <w:r w:rsidRPr="00CE37D0">
        <w:rPr>
          <w:rStyle w:val="Puslapioinaosnuoroda"/>
        </w:rPr>
        <w:footnoteReference w:id="587"/>
      </w:r>
      <w:r w:rsidR="0084245B">
        <w:rPr>
          <w:rFonts w:eastAsia="Times New Roman"/>
        </w:rPr>
        <w:t xml:space="preserve"> </w:t>
      </w:r>
      <w:r w:rsidRPr="00CE37D0">
        <w:t xml:space="preserve">Apylinkės teismui atsisakius priimti pareiškėjos skundą motyvuojant, esą nėra pateikti duomenys dėl liudytojų gyvenamosios vietos, Vilniaus apygardos teismas konstatavo, kad </w:t>
      </w:r>
      <w:r w:rsidR="008F5354">
        <w:t>„</w:t>
      </w:r>
      <w:r w:rsidRPr="00650050">
        <w:rPr>
          <w:i/>
        </w:rPr>
        <w:t>nepriimti skundo dėl jame neva esančių trūkumų, nebuvo teisinio pagrindo, kadangi pareiškėja skunde paaiškino, kad neturi galimybės pateikti duomenis apie šių liudytojų gyvenamąją vietą, ir prašė teismo vadovautis ikiteisminio tyrimo byloje esančiais duomenimis</w:t>
      </w:r>
      <w:r w:rsidR="008F5354">
        <w:rPr>
          <w:i/>
        </w:rPr>
        <w:t>“</w:t>
      </w:r>
      <w:r w:rsidRPr="00650050">
        <w:rPr>
          <w:i/>
        </w:rPr>
        <w:t>.</w:t>
      </w:r>
      <w:r w:rsidR="008F5354">
        <w:rPr>
          <w:i/>
        </w:rPr>
        <w:t xml:space="preserve"> </w:t>
      </w:r>
      <w:r w:rsidRPr="00CE37D0">
        <w:rPr>
          <w:rStyle w:val="Puslapioinaosnuoroda"/>
        </w:rPr>
        <w:footnoteReference w:id="588"/>
      </w:r>
    </w:p>
    <w:p w:rsidR="00AA1245" w:rsidRDefault="007A185D" w:rsidP="00AA1245">
      <w:pPr>
        <w:spacing w:line="360" w:lineRule="auto"/>
        <w:ind w:firstLine="851"/>
        <w:jc w:val="both"/>
        <w:rPr>
          <w:rFonts w:eastAsia="Times New Roman"/>
        </w:rPr>
      </w:pPr>
      <w:r>
        <w:rPr>
          <w:rFonts w:eastAsia="Times New Roman"/>
        </w:rPr>
        <w:lastRenderedPageBreak/>
        <w:t>A</w:t>
      </w:r>
      <w:r w:rsidR="003E3809" w:rsidRPr="00CE37D0">
        <w:rPr>
          <w:rFonts w:eastAsia="Times New Roman"/>
        </w:rPr>
        <w:t>plinkyb</w:t>
      </w:r>
      <w:r>
        <w:rPr>
          <w:rFonts w:eastAsia="Times New Roman"/>
        </w:rPr>
        <w:t>ė</w:t>
      </w:r>
      <w:r w:rsidR="003E3809" w:rsidRPr="00CE37D0">
        <w:rPr>
          <w:rFonts w:eastAsia="Times New Roman"/>
        </w:rPr>
        <w:t xml:space="preserve">, kad nusikalstamos veikos padarymu kaltinamas asmuo galimai pakeitė savo gyvenamąją vietą, </w:t>
      </w:r>
      <w:r>
        <w:rPr>
          <w:rFonts w:eastAsia="Times New Roman"/>
        </w:rPr>
        <w:t>teismų praktikoje nebuvo</w:t>
      </w:r>
      <w:r w:rsidR="003E3809" w:rsidRPr="00CE37D0">
        <w:rPr>
          <w:rFonts w:eastAsia="Times New Roman"/>
        </w:rPr>
        <w:t xml:space="preserve"> laikoma trūkumu, suteikiančiu pagrindą grąžinti privataus kaltinimo tvarka paduotą skundą, kuris jau priimtas ir paskirtas nagrinėti taikinamajame posėdyje. </w:t>
      </w:r>
      <w:r w:rsidR="003E3809" w:rsidRPr="00CE37D0">
        <w:rPr>
          <w:rStyle w:val="Puslapioinaosnuoroda"/>
        </w:rPr>
        <w:footnoteReference w:id="589"/>
      </w:r>
      <w:r w:rsidR="003E3809" w:rsidRPr="00CE37D0">
        <w:rPr>
          <w:rFonts w:eastAsia="Times New Roman"/>
        </w:rPr>
        <w:t xml:space="preserve"> Tas pats teismas analogiškoje situacijoje, kai nusikalstamos veikos padarymu įtariamas asmuo skunde nurodytu adresu negyveno, yra išsakęs ir priešingą nuomonę, pritardamas apylinkės teismo sprendimui grąžinti skundą jį padavusiam asmeniui kaip neatitinkantį įstatymo reikalavimų. Vilniaus apygardos teismo nuomone, „</w:t>
      </w:r>
      <w:r w:rsidR="003E3809" w:rsidRPr="00CE37D0">
        <w:rPr>
          <w:rFonts w:eastAsia="Times New Roman"/>
          <w:i/>
        </w:rPr>
        <w:t>pirmos instancijos teismas, neturėdamas įstatyminio pagrindo perduoti bylą nagrinėti teisiamajame posėdyje, neturėjo teisės imtis priemonių nustatyti įtariamo nusikalstamos veikos padarymu asmens buvimo vietos adresą. Sutinkamai su BPK 414 str., teismas tokių veiksmų gali imtis tik priėmęs sprendimą dėl nukentėjusiojo skundo perdavimo nagrinėti teisiamajame posėdyje.</w:t>
      </w:r>
      <w:r w:rsidR="003E3809" w:rsidRPr="00CE37D0">
        <w:rPr>
          <w:rFonts w:eastAsia="Times New Roman"/>
        </w:rPr>
        <w:t xml:space="preserve">“ </w:t>
      </w:r>
      <w:r w:rsidR="003E3809" w:rsidRPr="00CE37D0">
        <w:rPr>
          <w:rStyle w:val="Puslapioinaosnuoroda"/>
        </w:rPr>
        <w:footnoteReference w:id="590"/>
      </w:r>
      <w:r w:rsidR="003E3809" w:rsidRPr="00CE37D0">
        <w:rPr>
          <w:rFonts w:eastAsia="Times New Roman"/>
        </w:rPr>
        <w:t xml:space="preserve"> Tačiau su tokiu formaliu teismo įgaliojimų aiškinimu sutikti negalima, kadangi tai apriboja nukentėjusio</w:t>
      </w:r>
      <w:r>
        <w:rPr>
          <w:rFonts w:eastAsia="Times New Roman"/>
        </w:rPr>
        <w:t xml:space="preserve"> asmens</w:t>
      </w:r>
      <w:r w:rsidR="003E3809" w:rsidRPr="00CE37D0">
        <w:rPr>
          <w:rFonts w:eastAsia="Times New Roman"/>
        </w:rPr>
        <w:t xml:space="preserve"> teisę į teismą. </w:t>
      </w:r>
    </w:p>
    <w:p w:rsidR="00AA1245" w:rsidRDefault="003E3809" w:rsidP="00AA1245">
      <w:pPr>
        <w:spacing w:line="360" w:lineRule="auto"/>
        <w:ind w:firstLine="851"/>
        <w:jc w:val="both"/>
        <w:rPr>
          <w:rFonts w:eastAsia="Times New Roman"/>
        </w:rPr>
      </w:pPr>
      <w:r w:rsidRPr="00CE37D0">
        <w:rPr>
          <w:rFonts w:eastAsia="Times New Roman"/>
        </w:rPr>
        <w:t xml:space="preserve">Tuo atveju, kai privataus kaltinimo skunde nebuvo nurodyta kaltinamo asmens gyvenamoji vieta, tačiau jo asmens duomenys buvo nurodyti ikiteisminio tyrimo įstaigos pateiktoje medžiagoje dėl atsisakymo pradėti ikiteisminį tyrimą, </w:t>
      </w:r>
      <w:r w:rsidR="007A185D">
        <w:rPr>
          <w:rFonts w:eastAsia="Times New Roman"/>
        </w:rPr>
        <w:t>aukštesnysis</w:t>
      </w:r>
      <w:r w:rsidRPr="00CE37D0">
        <w:rPr>
          <w:rFonts w:eastAsia="Times New Roman"/>
        </w:rPr>
        <w:t xml:space="preserve"> teismas konstatavo, kad pirmosios instancijos teismas turėjo galimybę pats nustatyti kaltinamo asmens gyvenamosios vietos adresą ir spręsti klausimą dėl privataus kaltinimo bylos proceso pradėjimo. </w:t>
      </w:r>
      <w:r w:rsidRPr="00CE37D0">
        <w:rPr>
          <w:rStyle w:val="Puslapioinaosnuoroda"/>
        </w:rPr>
        <w:footnoteReference w:id="591"/>
      </w:r>
      <w:r w:rsidRPr="00CE37D0">
        <w:rPr>
          <w:rFonts w:eastAsia="Times New Roman"/>
        </w:rPr>
        <w:t xml:space="preserve"> Tas pats teismas pripažino, kad privataus kaltinimo skundas buvo atmestas nepagrįstai ir tuo atveju, kai ikiteisminio tyrimo įstaigos pateiktoje medžiagoje dėl atsisakymo pradėti ikiteisminį tyrimą </w:t>
      </w:r>
      <w:r w:rsidR="007A185D">
        <w:rPr>
          <w:rFonts w:eastAsia="Times New Roman"/>
        </w:rPr>
        <w:t xml:space="preserve">buvo </w:t>
      </w:r>
      <w:r w:rsidRPr="00CE37D0">
        <w:rPr>
          <w:rFonts w:eastAsia="Times New Roman"/>
        </w:rPr>
        <w:t>nurodyta, kad kaltinamas asmuo yra įtrauktas į gyvenamosios vietos neturinčių asmenų apskaitą, tačiau savo prisipažinime nurodė gyvenamosios vietos adresą. Atsižvelgiant į tai, apeliacinį skundą nagrinėjęs teismas konstatavo, kad privataus kaltinimo tvarka kaltinamo asmens gyvenamoji vieta yra</w:t>
      </w:r>
      <w:r w:rsidR="008F5354">
        <w:rPr>
          <w:rFonts w:eastAsia="Times New Roman"/>
        </w:rPr>
        <w:t xml:space="preserve"> žinoma.</w:t>
      </w:r>
      <w:r w:rsidRPr="00CE37D0">
        <w:rPr>
          <w:rStyle w:val="Puslapioinaosnuoroda"/>
        </w:rPr>
        <w:footnoteReference w:id="592"/>
      </w:r>
    </w:p>
    <w:p w:rsidR="00AA1245" w:rsidRDefault="003E3809" w:rsidP="00AA1245">
      <w:pPr>
        <w:spacing w:line="360" w:lineRule="auto"/>
        <w:ind w:firstLine="851"/>
        <w:jc w:val="both"/>
        <w:rPr>
          <w:rFonts w:eastAsia="Times New Roman"/>
        </w:rPr>
      </w:pPr>
      <w:r w:rsidRPr="00CE37D0">
        <w:rPr>
          <w:rFonts w:eastAsia="Times New Roman"/>
        </w:rPr>
        <w:t xml:space="preserve">Darytina išvada, kad nei tada, kai </w:t>
      </w:r>
      <w:r w:rsidR="007D069E">
        <w:rPr>
          <w:rFonts w:eastAsia="Times New Roman"/>
        </w:rPr>
        <w:t>vadovaujantis</w:t>
      </w:r>
      <w:r w:rsidRPr="00CE37D0">
        <w:rPr>
          <w:rFonts w:eastAsia="Times New Roman"/>
        </w:rPr>
        <w:t xml:space="preserve"> BPK 412 str</w:t>
      </w:r>
      <w:r w:rsidR="007D069E">
        <w:rPr>
          <w:rFonts w:eastAsia="Times New Roman"/>
        </w:rPr>
        <w:t>aipsnio</w:t>
      </w:r>
      <w:r w:rsidRPr="00CE37D0">
        <w:rPr>
          <w:rFonts w:eastAsia="Times New Roman"/>
        </w:rPr>
        <w:t xml:space="preserve"> 3 d</w:t>
      </w:r>
      <w:r w:rsidR="007D069E">
        <w:rPr>
          <w:rFonts w:eastAsia="Times New Roman"/>
        </w:rPr>
        <w:t>alies nuostatomis</w:t>
      </w:r>
      <w:r w:rsidRPr="00CE37D0">
        <w:rPr>
          <w:rFonts w:eastAsia="Times New Roman"/>
        </w:rPr>
        <w:t xml:space="preserve"> skundas nepriimamas ir grąžinamas jį padavusiam asmeniui dėl tokių šio skundo trūkumų, kuriuos gali pašalinti pats jį padavęs asmuo, nei tada, kai skundo trūkumų jį padavęs asmuo negali pašalinti, nes jie gali būti pašalinti tik atlikus ikiteisminį tyrimą ar atskirus proceso veiksmus, nuo nusikalstamos veikos, nurodytos BPK 407</w:t>
      </w:r>
      <w:r w:rsidR="00AA1245">
        <w:rPr>
          <w:rFonts w:eastAsia="Times New Roman"/>
        </w:rPr>
        <w:t xml:space="preserve"> str</w:t>
      </w:r>
      <w:r w:rsidR="007D069E">
        <w:rPr>
          <w:rFonts w:eastAsia="Times New Roman"/>
        </w:rPr>
        <w:t>aipsnyje</w:t>
      </w:r>
      <w:r w:rsidRPr="00CE37D0">
        <w:rPr>
          <w:rFonts w:eastAsia="Times New Roman"/>
        </w:rPr>
        <w:t>, nukentėjusiam asmeniui (jo atstovui) neužkertamas kelias ginti pažeistas teises ar teisėtus interesus teisme</w:t>
      </w:r>
      <w:r w:rsidR="007A185D">
        <w:rPr>
          <w:rFonts w:eastAsia="Times New Roman"/>
        </w:rPr>
        <w:t>:</w:t>
      </w:r>
      <w:r w:rsidRPr="00CE37D0">
        <w:rPr>
          <w:rFonts w:eastAsia="Times New Roman"/>
        </w:rPr>
        <w:t xml:space="preserve"> pirmuoju atveju nuo nusikalstamos veikos nukentėjęs asmuo (jo atstovas), pašalinęs nurodytus trūkumus, vėl gali kreiptis į teismą privataus kaltinimo bylų proceso tvarka, antruoju atveju </w:t>
      </w:r>
      <w:r w:rsidR="007A185D">
        <w:rPr>
          <w:rFonts w:eastAsia="Times New Roman"/>
        </w:rPr>
        <w:t>-</w:t>
      </w:r>
      <w:r w:rsidRPr="00CE37D0">
        <w:rPr>
          <w:rFonts w:eastAsia="Times New Roman"/>
        </w:rPr>
        <w:t xml:space="preserve"> savo pažeistas teises ar </w:t>
      </w:r>
      <w:r w:rsidRPr="00CE37D0">
        <w:rPr>
          <w:rFonts w:eastAsia="Times New Roman"/>
        </w:rPr>
        <w:lastRenderedPageBreak/>
        <w:t xml:space="preserve">teisėtus interesus gali ginti kreipdamasis į prokurorą. Šiuo klausimu pasisakyta ir teismų praktikoje: </w:t>
      </w:r>
      <w:r w:rsidRPr="00CE37D0">
        <w:rPr>
          <w:rFonts w:eastAsia="Times New Roman"/>
          <w:i/>
        </w:rPr>
        <w:t>„Pirmosios instancijos teismas nustatęs nukentėjusiosios A.</w:t>
      </w:r>
      <w:bookmarkStart w:id="341" w:name="Buk_158"/>
      <w:r w:rsidR="00CD5312">
        <w:rPr>
          <w:rFonts w:eastAsia="Times New Roman"/>
          <w:i/>
        </w:rPr>
        <w:t xml:space="preserve"> </w:t>
      </w:r>
      <w:r w:rsidRPr="00CE37D0">
        <w:rPr>
          <w:rFonts w:eastAsia="Times New Roman"/>
          <w:i/>
        </w:rPr>
        <w:t xml:space="preserve">E. R. </w:t>
      </w:r>
      <w:bookmarkEnd w:id="341"/>
      <w:r w:rsidRPr="00CE37D0">
        <w:rPr>
          <w:rFonts w:eastAsia="Times New Roman"/>
          <w:i/>
        </w:rPr>
        <w:t>skundo turinio trūkumus, neatitinkančius BPK 412 str. 2 d. nustatytų privalomų reikalavimų, nepažeidė nukentėjusiosios teisės kreiptis į teismą ir teisės į teisminę gynybą, nutartyje išaiškino teises, pašalinus nustatytus skundo trūkumus, iš naujo kreiptis į teismą. Nukentėjusiosios teisės nebuvo suvaržytos ar kitaip apribotos, nes ji pateikė skundą dėl minėtos nutarties</w:t>
      </w:r>
      <w:r w:rsidR="007A185D">
        <w:rPr>
          <w:rFonts w:eastAsia="Times New Roman"/>
          <w:i/>
        </w:rPr>
        <w:t xml:space="preserve"> [...]</w:t>
      </w:r>
      <w:r w:rsidRPr="00CE37D0">
        <w:rPr>
          <w:rFonts w:eastAsia="Times New Roman"/>
          <w:i/>
        </w:rPr>
        <w:t>, tuo realizavo savo teisę į instancinę teisminę gynybą. Todėl teismas konstatuoja, kad nukentėjusiosios teisė kreiptis į teismą nebuvo pažeista ar suvaržyta.“</w:t>
      </w:r>
      <w:r w:rsidRPr="00CE37D0">
        <w:rPr>
          <w:rStyle w:val="Puslapioinaosnuoroda"/>
        </w:rPr>
        <w:footnoteReference w:id="593"/>
      </w:r>
    </w:p>
    <w:p w:rsidR="003E3809" w:rsidRPr="00CE37D0" w:rsidRDefault="003E3809" w:rsidP="00AA1245">
      <w:pPr>
        <w:spacing w:line="360" w:lineRule="auto"/>
        <w:ind w:firstLine="851"/>
        <w:jc w:val="both"/>
        <w:rPr>
          <w:rFonts w:eastAsia="Times New Roman"/>
        </w:rPr>
      </w:pPr>
      <w:r w:rsidRPr="00CE37D0">
        <w:rPr>
          <w:rFonts w:eastAsia="Times New Roman"/>
        </w:rPr>
        <w:t>Taigi pripažintina, kad tais atvejais, kai privatus asmuo neturi objektyvių galimybių teisėtomis priemonėmis gauti duomenis, privalomus nurodyti privataus kaltinimo skunde, teismas turi pareigą padėti gauti šiuos duomenis. Šiuo atveju formalus įstatyme numatytų reikalavimų privataus kaltinimo skundui laikymasis sudaro prielaidas pažeisti asmens konstitucin</w:t>
      </w:r>
      <w:r w:rsidR="00376C31">
        <w:rPr>
          <w:rFonts w:eastAsia="Times New Roman"/>
        </w:rPr>
        <w:t>ę teisę į teismą. Teismas</w:t>
      </w:r>
      <w:r w:rsidRPr="00CE37D0">
        <w:rPr>
          <w:rFonts w:eastAsia="Times New Roman"/>
        </w:rPr>
        <w:t xml:space="preserve"> turi užtikrinti, kad tokia teisė nebūtų pažeista, taip pat ir aktyviais veiksmais. </w:t>
      </w:r>
    </w:p>
    <w:p w:rsidR="003E3809" w:rsidRPr="00F93861" w:rsidRDefault="003E3809" w:rsidP="00F93861">
      <w:pPr>
        <w:pStyle w:val="Antrat3"/>
        <w:numPr>
          <w:ilvl w:val="1"/>
          <w:numId w:val="31"/>
        </w:numPr>
      </w:pPr>
      <w:bookmarkStart w:id="342" w:name="_Toc321911349"/>
      <w:bookmarkStart w:id="343" w:name="_Toc321911486"/>
      <w:bookmarkStart w:id="344" w:name="_Toc321911523"/>
      <w:bookmarkStart w:id="345" w:name="_Toc324414331"/>
      <w:bookmarkStart w:id="346" w:name="_Toc327528897"/>
      <w:bookmarkStart w:id="347" w:name="_Toc327528953"/>
      <w:bookmarkStart w:id="348" w:name="_Toc327529042"/>
      <w:bookmarkStart w:id="349" w:name="_Toc333483885"/>
      <w:bookmarkStart w:id="350" w:name="_Toc341009855"/>
      <w:bookmarkStart w:id="351" w:name="_Toc346795980"/>
      <w:bookmarkStart w:id="352" w:name="_Toc365498865"/>
      <w:bookmarkStart w:id="353" w:name="_Toc370139923"/>
      <w:bookmarkStart w:id="354" w:name="_Toc400321703"/>
      <w:r w:rsidRPr="00F93861">
        <w:t>Privataus kaltinimo teisės pereinamumo problema</w:t>
      </w:r>
      <w:bookmarkEnd w:id="342"/>
      <w:bookmarkEnd w:id="343"/>
      <w:bookmarkEnd w:id="344"/>
      <w:bookmarkEnd w:id="345"/>
      <w:bookmarkEnd w:id="346"/>
      <w:bookmarkEnd w:id="347"/>
      <w:bookmarkEnd w:id="348"/>
      <w:bookmarkEnd w:id="349"/>
      <w:bookmarkEnd w:id="350"/>
      <w:bookmarkEnd w:id="351"/>
      <w:bookmarkEnd w:id="352"/>
      <w:bookmarkEnd w:id="353"/>
      <w:bookmarkEnd w:id="354"/>
    </w:p>
    <w:p w:rsidR="00DC19CA" w:rsidRDefault="004B50B2" w:rsidP="00DC19CA">
      <w:pPr>
        <w:spacing w:line="360" w:lineRule="auto"/>
        <w:ind w:firstLine="851"/>
        <w:jc w:val="both"/>
        <w:rPr>
          <w:rFonts w:eastAsia="Times New Roman"/>
        </w:rPr>
      </w:pPr>
      <w:r>
        <w:rPr>
          <w:rFonts w:eastAsia="Times New Roman"/>
        </w:rPr>
        <w:t xml:space="preserve">Privataus kaltinimo teisė yra suteikta tik tiesiogiai nuo nusikalstamos veikos nukentėjusiam asmeniui. Net ir jo įgaliotas atstovas negali jo pakeisti ir priimti sprendimų svarbiausiais klausimais, </w:t>
      </w:r>
      <w:r w:rsidR="00351E81">
        <w:rPr>
          <w:rFonts w:eastAsia="Times New Roman"/>
        </w:rPr>
        <w:t>lemia</w:t>
      </w:r>
      <w:r>
        <w:rPr>
          <w:rFonts w:eastAsia="Times New Roman"/>
        </w:rPr>
        <w:t xml:space="preserve">nčiais proceso eigą. </w:t>
      </w:r>
      <w:r w:rsidR="00AD0485">
        <w:rPr>
          <w:rFonts w:eastAsia="Times New Roman"/>
        </w:rPr>
        <w:t>Todėl sistemiškai aiškinant BPK nuostatas, reglamentuojančias nukentėjusiojo ir privataus kaltintojo teisinį statusą, darytina išvada</w:t>
      </w:r>
      <w:r w:rsidR="003E3809" w:rsidRPr="00CE37D0">
        <w:rPr>
          <w:rFonts w:eastAsia="Times New Roman"/>
        </w:rPr>
        <w:t>,</w:t>
      </w:r>
      <w:r w:rsidR="00AD0485">
        <w:rPr>
          <w:rFonts w:eastAsia="Times New Roman"/>
        </w:rPr>
        <w:t xml:space="preserve"> kad</w:t>
      </w:r>
      <w:r w:rsidR="00CD5312">
        <w:rPr>
          <w:rFonts w:eastAsia="Times New Roman"/>
        </w:rPr>
        <w:t>,</w:t>
      </w:r>
      <w:r w:rsidR="00AD0485">
        <w:rPr>
          <w:rFonts w:eastAsia="Times New Roman"/>
        </w:rPr>
        <w:t xml:space="preserve"> privačiam kaltintojui mirus, tolesnis procesas negalimas.</w:t>
      </w:r>
    </w:p>
    <w:p w:rsidR="00DC19CA" w:rsidRDefault="003E3809" w:rsidP="00DC19CA">
      <w:pPr>
        <w:spacing w:line="360" w:lineRule="auto"/>
        <w:ind w:firstLine="851"/>
        <w:jc w:val="both"/>
        <w:rPr>
          <w:rFonts w:eastAsia="Times New Roman"/>
        </w:rPr>
      </w:pPr>
      <w:r w:rsidRPr="00CE37D0">
        <w:rPr>
          <w:rFonts w:eastAsia="Times New Roman"/>
        </w:rPr>
        <w:t>Privataus kaltinimo pereinamumo klausimu tiek įvairių valstyb</w:t>
      </w:r>
      <w:r w:rsidR="008C07BF">
        <w:rPr>
          <w:rFonts w:eastAsia="Times New Roman"/>
        </w:rPr>
        <w:t>ių pozityviojoje teisėje, tiek moksl</w:t>
      </w:r>
      <w:r w:rsidRPr="00CE37D0">
        <w:rPr>
          <w:rFonts w:eastAsia="Times New Roman"/>
        </w:rPr>
        <w:t xml:space="preserve">inėje jurisprudencijoje sutinkame dvi priešingas nuomones. </w:t>
      </w:r>
    </w:p>
    <w:p w:rsidR="00DC19CA" w:rsidRDefault="003E3809" w:rsidP="00DC19CA">
      <w:pPr>
        <w:spacing w:line="360" w:lineRule="auto"/>
        <w:ind w:firstLine="851"/>
        <w:jc w:val="both"/>
        <w:rPr>
          <w:rFonts w:eastAsia="Times New Roman"/>
        </w:rPr>
      </w:pPr>
      <w:r w:rsidRPr="00CE37D0">
        <w:rPr>
          <w:rFonts w:eastAsia="Times New Roman"/>
        </w:rPr>
        <w:t xml:space="preserve">Privataus kaltinimo teisės pereinamumo galimybę neigianti pozicija remiasi argumentu, kad disponavimo baudžiamuoju reikalavimu (pretenzija) teisė priklauso tik nukentėjusiajam ir negali būti pratęsta po jo mirties. </w:t>
      </w:r>
      <w:r w:rsidR="006323B9" w:rsidRPr="00CE37D0">
        <w:rPr>
          <w:rFonts w:eastAsia="Times New Roman"/>
        </w:rPr>
        <w:t xml:space="preserve">Pavyzdžiui, Rumunijos baudžiamajame </w:t>
      </w:r>
      <w:r w:rsidR="00A06CBE" w:rsidRPr="00CE37D0">
        <w:rPr>
          <w:rFonts w:eastAsia="Times New Roman"/>
        </w:rPr>
        <w:t>procese</w:t>
      </w:r>
      <w:r w:rsidR="006323B9" w:rsidRPr="00CE37D0">
        <w:rPr>
          <w:rFonts w:eastAsia="Times New Roman"/>
        </w:rPr>
        <w:t xml:space="preserve"> sprendimas dėl kaltininko patraukimo baudžiamojon atsakomybėn laikomas išimtine asmenine nukentėjusiojo teise ir galimybė ją perimti nenumatyta. </w:t>
      </w:r>
      <w:r w:rsidR="006323B9" w:rsidRPr="00CE37D0">
        <w:rPr>
          <w:rFonts w:eastAsia="Times New Roman"/>
          <w:vertAlign w:val="superscript"/>
        </w:rPr>
        <w:footnoteReference w:id="594"/>
      </w:r>
      <w:r w:rsidR="00CD5312">
        <w:rPr>
          <w:rFonts w:eastAsia="Times New Roman"/>
        </w:rPr>
        <w:t xml:space="preserve"> </w:t>
      </w:r>
      <w:r w:rsidRPr="00CE37D0">
        <w:rPr>
          <w:rFonts w:eastAsia="Times New Roman"/>
        </w:rPr>
        <w:t xml:space="preserve">I. J. Foinickio nuomone, nukentėjusiojo mirtis pabaigia visus jo asmeninius santykius su kaltininku, jo paveldėtojams pereina tik jo turtiniai santykiai, o ne asmeniniai, kurie yra neatskiriami nuo jo individualumo (asmenybės). Todėl nukentėjusiojo mirtis vertintina kaip atleidimo nuo bausmės už visus nusikaltimus, </w:t>
      </w:r>
      <w:r w:rsidR="00DD53AD">
        <w:rPr>
          <w:rFonts w:eastAsia="Times New Roman"/>
        </w:rPr>
        <w:t>nagrinė</w:t>
      </w:r>
      <w:r w:rsidRPr="00CE37D0">
        <w:rPr>
          <w:rFonts w:eastAsia="Times New Roman"/>
        </w:rPr>
        <w:t xml:space="preserve">jamus privataus kaltinimo tvarka sąlyga, jei šių nusikalstamų veikų objektas buvo asmeninis, neatskiriamas nuo mirusiojo individualumo gėris, pvz. jo garbė, laisvė, fizinis neliečiamumas. Mirus nukentėjusiam asmeniui, </w:t>
      </w:r>
      <w:r w:rsidRPr="00CE37D0">
        <w:rPr>
          <w:rFonts w:eastAsia="Times New Roman"/>
        </w:rPr>
        <w:lastRenderedPageBreak/>
        <w:t xml:space="preserve">baudžiamasis persekiojimas dėl tokių veikų negali būti vykdomas. </w:t>
      </w:r>
      <w:r w:rsidRPr="00CE37D0">
        <w:rPr>
          <w:rStyle w:val="Puslapioinaosnuoroda"/>
        </w:rPr>
        <w:footnoteReference w:id="595"/>
      </w:r>
      <w:r w:rsidRPr="00CE37D0">
        <w:rPr>
          <w:rFonts w:eastAsia="Times New Roman"/>
        </w:rPr>
        <w:t xml:space="preserve"> Iš tiesų, pritartina nuomonei, kad kaltinimo, kurį palaiko nukentėjusysis privataus kaltinimo bylose, esmę sudaro nukentėjusiojo tvirtinimas, kad asmuo, kurį jis siekia patraukti baudžiamojon atsakomybėn, yra padaręs jo atžvilgiu nusikalstamą veiką ir šis tvirtinimas </w:t>
      </w:r>
      <w:r w:rsidR="00351E81">
        <w:rPr>
          <w:rFonts w:eastAsia="Times New Roman"/>
        </w:rPr>
        <w:t>lemi</w:t>
      </w:r>
      <w:r w:rsidRPr="00CE37D0">
        <w:rPr>
          <w:rFonts w:eastAsia="Times New Roman"/>
        </w:rPr>
        <w:t>a teisminio nagrinėjim</w:t>
      </w:r>
      <w:r w:rsidR="00351E81">
        <w:rPr>
          <w:rFonts w:eastAsia="Times New Roman"/>
        </w:rPr>
        <w:t>o turinį. Todėl kaltinimą turi tiesiogi</w:t>
      </w:r>
      <w:r w:rsidRPr="00CE37D0">
        <w:rPr>
          <w:rFonts w:eastAsia="Times New Roman"/>
        </w:rPr>
        <w:t xml:space="preserve">ai suformuluoti nukentėjęs nuo nusikalstamos veikos asmuo. Jeigu nukentėjęs asmuo mirė iki skundo privataus kaltinimo tvarka padavimo teismui, tokiu atveju privataus kaltinimo teisė išnyksta nukentėjusiojo mirties momentu, kadangi ši teisė yra asmeninė, individuali gynybos priemonė, vadinasi, negali </w:t>
      </w:r>
      <w:r w:rsidR="00E271EF">
        <w:rPr>
          <w:rFonts w:eastAsia="Times New Roman"/>
        </w:rPr>
        <w:t>pereiti kitiems asmenims</w:t>
      </w:r>
      <w:r w:rsidRPr="00CE37D0">
        <w:rPr>
          <w:rFonts w:eastAsia="Times New Roman"/>
        </w:rPr>
        <w:t xml:space="preserve">. </w:t>
      </w:r>
      <w:r w:rsidRPr="00CE37D0">
        <w:rPr>
          <w:rStyle w:val="Puslapioinaosnuoroda"/>
        </w:rPr>
        <w:footnoteReference w:id="596"/>
      </w:r>
      <w:r w:rsidRPr="00CE37D0">
        <w:rPr>
          <w:rFonts w:eastAsia="Times New Roman"/>
        </w:rPr>
        <w:t xml:space="preserve"> Tokiu atveju baudžiamąjį persekiojimą gali pradėti prokuroras, esant BPK 409 str</w:t>
      </w:r>
      <w:r w:rsidR="007D069E">
        <w:rPr>
          <w:rFonts w:eastAsia="Times New Roman"/>
        </w:rPr>
        <w:t>aipsnio</w:t>
      </w:r>
      <w:r w:rsidRPr="00CE37D0">
        <w:rPr>
          <w:rFonts w:eastAsia="Times New Roman"/>
        </w:rPr>
        <w:t xml:space="preserve"> 1 d</w:t>
      </w:r>
      <w:r w:rsidR="007D069E">
        <w:rPr>
          <w:rFonts w:eastAsia="Times New Roman"/>
        </w:rPr>
        <w:t>alyje numatytiems</w:t>
      </w:r>
      <w:r w:rsidRPr="00CE37D0">
        <w:rPr>
          <w:rFonts w:eastAsia="Times New Roman"/>
        </w:rPr>
        <w:t xml:space="preserve"> pagrindams. </w:t>
      </w:r>
    </w:p>
    <w:p w:rsidR="002328FA" w:rsidRDefault="003E3809" w:rsidP="002328FA">
      <w:pPr>
        <w:spacing w:line="360" w:lineRule="auto"/>
        <w:ind w:firstLine="851"/>
        <w:jc w:val="both"/>
        <w:rPr>
          <w:rFonts w:eastAsia="Times New Roman"/>
        </w:rPr>
      </w:pPr>
      <w:r w:rsidRPr="00CE37D0">
        <w:rPr>
          <w:rFonts w:eastAsia="Times New Roman"/>
        </w:rPr>
        <w:t>Be to, baudžiamojo persekiojimo šios kategorijos bylose nukentėjusysis turi galimybę atsisakyti nuo kaltinimo, kas sąlygoja tolesnio proceso nutraukimą. Teisė susitaikyti su kaltinamuoju yra ne tik vienas iš privataus kaltinimo byloms būdingų bruožų, bet taip pat susitaikymas pripažįstamas labiausiai pageidaujamu, priimtiniausiu konflikto tarp nukentėjusiojo ir kaltinamojo išsprendimo būdu. Aktyvus nukentėjusiojo vaidmuo ir jo nuomonės dėl baudžiamosios bylos perspektyvos sprendžiamoji reikšmė yra priežastis manyti, kad kaltinimo funkcijos perėjimas kitiems asmenims nukentėjusiojo mirties atveju yra neleistinas. Šios kategorijos bylose kaltinimo teisė – grynai asmeninė, individuali teisinės gynybos priemonė nuo tam tikros rūšies nusikalstamų kėsinimųsi. Šios priemonės taikymas yra asmens specifinė subjektyvi teisė, kuria jis yra laisvas disponuoti visa apimtimi, įskaitant ir disponavimą pačiu kaltinimu. Tiesiogiai nukentėjusio nuo nusikalstamos veikos asmens nuomonė dėl konflikto su kaltininku, konflikto vertinimas gali visiškai skirtis nuo nukentėjusio</w:t>
      </w:r>
      <w:r w:rsidR="00351E81">
        <w:rPr>
          <w:rFonts w:eastAsia="Times New Roman"/>
        </w:rPr>
        <w:t xml:space="preserve"> asmens</w:t>
      </w:r>
      <w:r w:rsidRPr="00CE37D0">
        <w:rPr>
          <w:rFonts w:eastAsia="Times New Roman"/>
        </w:rPr>
        <w:t xml:space="preserve"> artimų giminaičių nuomonės, taip pat galimi prieštaravimai ir tarp artimų giminaičių, turinčių teisę perimti kaltinimą. Remiantis šiais motyvais darytina išvada, kad nukentėjusiojo mirtis yra faktinė aplinkybė, laikytina pagrindu nutraukti privataus kaltinimo bylą. </w:t>
      </w:r>
      <w:r w:rsidR="00351E81">
        <w:rPr>
          <w:rFonts w:eastAsia="Times New Roman"/>
        </w:rPr>
        <w:t>Taip pat</w:t>
      </w:r>
      <w:r w:rsidRPr="00CE37D0">
        <w:rPr>
          <w:rFonts w:eastAsia="Times New Roman"/>
        </w:rPr>
        <w:t xml:space="preserve"> netikslinga suteikti artimiems giminaičiams teisę inicijuoti privataus kaltinimo procesą po nukentėjusio asmens mirties, jei pats nukentėjęs asmuo nepadavė privataus kaltinimo skundo siekdamas patraukti kaltininką baudžiamojon atsakomybėn. </w:t>
      </w:r>
      <w:r w:rsidRPr="00CE37D0">
        <w:rPr>
          <w:rStyle w:val="Puslapioinaosnuoroda"/>
        </w:rPr>
        <w:footnoteReference w:id="597"/>
      </w:r>
    </w:p>
    <w:p w:rsidR="002328FA" w:rsidRDefault="003E3809" w:rsidP="002328FA">
      <w:pPr>
        <w:spacing w:line="360" w:lineRule="auto"/>
        <w:ind w:firstLine="851"/>
        <w:jc w:val="both"/>
        <w:rPr>
          <w:rFonts w:eastAsia="Times New Roman"/>
        </w:rPr>
      </w:pPr>
      <w:r w:rsidRPr="00CE37D0">
        <w:rPr>
          <w:rFonts w:eastAsia="Times New Roman"/>
        </w:rPr>
        <w:t xml:space="preserve">Kitokią nuomonę sutinkame Lietuvos baudžiamojo proceso mokslininkų darbuose. </w:t>
      </w:r>
      <w:r w:rsidRPr="00CE37D0">
        <w:rPr>
          <w:rStyle w:val="Puslapioinaosnuoroda"/>
        </w:rPr>
        <w:footnoteReference w:id="598"/>
      </w:r>
      <w:r w:rsidRPr="00CE37D0">
        <w:rPr>
          <w:rFonts w:eastAsia="Times New Roman"/>
        </w:rPr>
        <w:t xml:space="preserve"> R. Ažubalytė teigia, kad privačiam kaltintojui mirus, jo paveldėtojai turi teisę perimti jo procesines </w:t>
      </w:r>
      <w:r w:rsidRPr="00CE37D0">
        <w:rPr>
          <w:rFonts w:eastAsia="Times New Roman"/>
        </w:rPr>
        <w:lastRenderedPageBreak/>
        <w:t xml:space="preserve">teises ir siūlo remtis įstatymo analogija bei vadovautis </w:t>
      </w:r>
      <w:r w:rsidR="002328FA">
        <w:rPr>
          <w:rFonts w:eastAsia="Times New Roman"/>
        </w:rPr>
        <w:t>CPK</w:t>
      </w:r>
      <w:r w:rsidRPr="00CE37D0">
        <w:rPr>
          <w:rFonts w:eastAsia="Times New Roman"/>
        </w:rPr>
        <w:t xml:space="preserve"> 48 str</w:t>
      </w:r>
      <w:r w:rsidR="007D069E">
        <w:rPr>
          <w:rFonts w:eastAsia="Times New Roman"/>
        </w:rPr>
        <w:t>aipsniu</w:t>
      </w:r>
      <w:r w:rsidRPr="00CE37D0">
        <w:rPr>
          <w:rFonts w:eastAsia="Times New Roman"/>
        </w:rPr>
        <w:t xml:space="preserve">, kuris reguliuoja procesinį teisių perėmimą, bei teismų praktika dėl teisės palaikyti civilinį ieškinį perėmimu. </w:t>
      </w:r>
      <w:r w:rsidRPr="00CE37D0">
        <w:rPr>
          <w:rFonts w:eastAsia="Times New Roman"/>
          <w:vertAlign w:val="superscript"/>
        </w:rPr>
        <w:footnoteReference w:id="599"/>
      </w:r>
      <w:r w:rsidRPr="00CE37D0">
        <w:rPr>
          <w:rFonts w:eastAsia="Times New Roman"/>
        </w:rPr>
        <w:t xml:space="preserve"> Kadangi vienas iš privataus kaltintojo reikalavimų yra (gali būti) susijęs su reikalavimu atlyginti žalą, privataus kaltinimo teisė lyginama su situacija, kai pradinis civilinis ieškovas baudžiamojoje byloje pasitraukia iš proceso (pavyzdžiui, fizinio asmens mirties atveju), o į jo vietą įtraukiamas kitas asmuo. Tokiu atveju teismai remiasi civilinio proceso įstatymais. </w:t>
      </w:r>
      <w:r w:rsidRPr="00CE37D0">
        <w:rPr>
          <w:rStyle w:val="Puslapioinaosnuoroda"/>
        </w:rPr>
        <w:footnoteReference w:id="600"/>
      </w:r>
      <w:r w:rsidRPr="00CE37D0">
        <w:rPr>
          <w:rFonts w:eastAsia="Times New Roman"/>
        </w:rPr>
        <w:t xml:space="preserve"> </w:t>
      </w:r>
      <w:r w:rsidR="00962158">
        <w:rPr>
          <w:rFonts w:eastAsia="Times New Roman"/>
        </w:rPr>
        <w:t>P</w:t>
      </w:r>
      <w:r w:rsidRPr="00CE37D0">
        <w:rPr>
          <w:rFonts w:eastAsia="Times New Roman"/>
        </w:rPr>
        <w:t>rocesinių teisių perėjimo apimtį lemia atitinkamų materialiųjų subj</w:t>
      </w:r>
      <w:r w:rsidR="00962158">
        <w:rPr>
          <w:rFonts w:eastAsia="Times New Roman"/>
        </w:rPr>
        <w:t>ektinių teisių perėmimo apimtis</w:t>
      </w:r>
      <w:r w:rsidRPr="00CE37D0">
        <w:rPr>
          <w:rFonts w:eastAsia="Times New Roman"/>
        </w:rPr>
        <w:t xml:space="preserve"> </w:t>
      </w:r>
      <w:r w:rsidR="00962158">
        <w:rPr>
          <w:rFonts w:eastAsia="Times New Roman"/>
        </w:rPr>
        <w:t>(</w:t>
      </w:r>
      <w:r w:rsidR="00962158" w:rsidRPr="00CE37D0">
        <w:rPr>
          <w:rFonts w:eastAsia="Times New Roman"/>
        </w:rPr>
        <w:t>CPK 48 str</w:t>
      </w:r>
      <w:r w:rsidR="00962158">
        <w:rPr>
          <w:rFonts w:eastAsia="Times New Roman"/>
        </w:rPr>
        <w:t>aipsnio</w:t>
      </w:r>
      <w:r w:rsidR="00962158" w:rsidRPr="00CE37D0">
        <w:rPr>
          <w:rFonts w:eastAsia="Times New Roman"/>
        </w:rPr>
        <w:t xml:space="preserve"> 1 d</w:t>
      </w:r>
      <w:r w:rsidR="00962158">
        <w:rPr>
          <w:rFonts w:eastAsia="Times New Roman"/>
        </w:rPr>
        <w:t xml:space="preserve">alis). </w:t>
      </w:r>
      <w:r w:rsidRPr="00CE37D0">
        <w:rPr>
          <w:rFonts w:eastAsia="Times New Roman"/>
        </w:rPr>
        <w:t>Privataus kaltinimo teisės pereinamumo vertinimas susijęs su atsakymu į klausimą, ar teisė pateikti privatų skundą ir reikalauti žalos atlyginimo bei kaltininko baudžiamosios atsakomybės, priklauso asmeninėms neturtinėms ir turtinėms teisė</w:t>
      </w:r>
      <w:r w:rsidR="002328FA">
        <w:rPr>
          <w:rFonts w:eastAsia="Times New Roman"/>
        </w:rPr>
        <w:t>m</w:t>
      </w:r>
      <w:r w:rsidRPr="00CE37D0">
        <w:rPr>
          <w:rFonts w:eastAsia="Times New Roman"/>
        </w:rPr>
        <w:t>s, kurios neatskiriamai susijusios su palikėjo asmeniu ir kitam asmeniui nepereina (CK 5.1 str</w:t>
      </w:r>
      <w:r w:rsidR="007D069E">
        <w:rPr>
          <w:rFonts w:eastAsia="Times New Roman"/>
        </w:rPr>
        <w:t>aipsnio</w:t>
      </w:r>
      <w:r w:rsidRPr="00CE37D0">
        <w:rPr>
          <w:rFonts w:eastAsia="Times New Roman"/>
        </w:rPr>
        <w:t xml:space="preserve"> 3 d</w:t>
      </w:r>
      <w:r w:rsidR="007D069E">
        <w:rPr>
          <w:rFonts w:eastAsia="Times New Roman"/>
        </w:rPr>
        <w:t>alis</w:t>
      </w:r>
      <w:r w:rsidRPr="00CE37D0">
        <w:rPr>
          <w:rFonts w:eastAsia="Times New Roman"/>
        </w:rPr>
        <w:t>). Teismų praktikoje neturtinės žalos, padarytos smurtiniu nusikaltimu, atlyginimo reikalavimas priskiriamas prie palikėjo turtinės reikalavimo teisės</w:t>
      </w:r>
      <w:r w:rsidR="008F5354">
        <w:rPr>
          <w:rFonts w:eastAsia="Times New Roman"/>
        </w:rPr>
        <w:t>.</w:t>
      </w:r>
      <w:r w:rsidRPr="00CE37D0">
        <w:rPr>
          <w:rFonts w:eastAsia="Times New Roman"/>
        </w:rPr>
        <w:t xml:space="preserve"> „</w:t>
      </w:r>
      <w:r w:rsidRPr="00CE37D0">
        <w:rPr>
          <w:rFonts w:eastAsia="Times New Roman"/>
          <w:i/>
        </w:rPr>
        <w:t>Pagal CK 5.1 straipsnio 2 dalį palikėjo turtinės reikalavimo teisės yra paveldimos. Vadinasi, perėmus palikėjo materialiąsias subjektines teises, galimas ir procesinių teisių perėmimas</w:t>
      </w:r>
      <w:r w:rsidRPr="00CE37D0">
        <w:rPr>
          <w:rFonts w:eastAsia="Times New Roman"/>
        </w:rPr>
        <w:t xml:space="preserve">.“ </w:t>
      </w:r>
      <w:r w:rsidRPr="00CE37D0">
        <w:rPr>
          <w:rStyle w:val="Puslapioinaosnuoroda"/>
        </w:rPr>
        <w:footnoteReference w:id="601"/>
      </w:r>
      <w:r w:rsidRPr="00CE37D0">
        <w:rPr>
          <w:rFonts w:eastAsia="Times New Roman"/>
        </w:rPr>
        <w:t xml:space="preserve"> Konstitucinis Teismas konstatavo, </w:t>
      </w:r>
      <w:r w:rsidRPr="00F80D00">
        <w:rPr>
          <w:rFonts w:eastAsia="Times New Roman"/>
        </w:rPr>
        <w:t>kad</w:t>
      </w:r>
      <w:r w:rsidR="00076C63">
        <w:rPr>
          <w:rFonts w:eastAsia="Times New Roman"/>
        </w:rPr>
        <w:t xml:space="preserve"> </w:t>
      </w:r>
      <w:r w:rsidR="00F80D00">
        <w:rPr>
          <w:rFonts w:eastAsia="Times New Roman"/>
          <w:i/>
        </w:rPr>
        <w:t>„</w:t>
      </w:r>
      <w:r w:rsidRPr="00CE37D0">
        <w:rPr>
          <w:rFonts w:eastAsia="Times New Roman"/>
          <w:i/>
        </w:rPr>
        <w:t>teisė reikalauti tam tikros materialinės žalos atlyginimo paprastai turi būti p</w:t>
      </w:r>
      <w:r w:rsidR="00F80D00">
        <w:rPr>
          <w:rFonts w:eastAsia="Times New Roman"/>
          <w:i/>
        </w:rPr>
        <w:t>aveldima ar kitaip perleidžiama[</w:t>
      </w:r>
      <w:r w:rsidR="00076C63">
        <w:rPr>
          <w:rFonts w:eastAsia="Times New Roman"/>
          <w:i/>
        </w:rPr>
        <w:t>.</w:t>
      </w:r>
      <w:r w:rsidRPr="00CE37D0">
        <w:rPr>
          <w:rFonts w:eastAsia="Times New Roman"/>
          <w:i/>
        </w:rPr>
        <w:t>..</w:t>
      </w:r>
      <w:r w:rsidR="00F80D00">
        <w:rPr>
          <w:rFonts w:eastAsia="Times New Roman"/>
          <w:i/>
        </w:rPr>
        <w:t>]</w:t>
      </w:r>
      <w:r w:rsidRPr="00CE37D0">
        <w:rPr>
          <w:rFonts w:eastAsia="Times New Roman"/>
          <w:i/>
        </w:rPr>
        <w:t>. Taip pat ir teisė reikalauti materialiai atlyginti asmeniui padarytą moralinę žalą vienais atvejais gali būti siejama vien su tą žalą patyrusiu asmeniu, tačiau pagal Konstituciją yra įmanomos ir tokios teisinės situacijos, kai ši teisė gali pereit</w:t>
      </w:r>
      <w:r w:rsidR="00F80D00">
        <w:rPr>
          <w:rFonts w:eastAsia="Times New Roman"/>
          <w:i/>
        </w:rPr>
        <w:t>i tam tikriems kitiems asmenims[</w:t>
      </w:r>
      <w:r w:rsidRPr="00CE37D0">
        <w:rPr>
          <w:rFonts w:eastAsia="Times New Roman"/>
          <w:i/>
        </w:rPr>
        <w:t>...</w:t>
      </w:r>
      <w:r w:rsidR="00F80D00">
        <w:rPr>
          <w:rFonts w:eastAsia="Times New Roman"/>
          <w:i/>
        </w:rPr>
        <w:t xml:space="preserve">]. </w:t>
      </w:r>
      <w:r w:rsidR="00F80D00" w:rsidRPr="00076C63">
        <w:rPr>
          <w:rStyle w:val="Puslapioinaosnuoroda"/>
          <w:rFonts w:eastAsia="Times New Roman"/>
        </w:rPr>
        <w:footnoteReference w:id="602"/>
      </w:r>
      <w:r w:rsidR="00076C63">
        <w:rPr>
          <w:rFonts w:eastAsia="Times New Roman"/>
          <w:i/>
        </w:rPr>
        <w:t xml:space="preserve"> </w:t>
      </w:r>
      <w:r w:rsidR="007F6E16">
        <w:rPr>
          <w:rFonts w:eastAsia="Times New Roman"/>
        </w:rPr>
        <w:t>Tačiau p</w:t>
      </w:r>
      <w:r w:rsidRPr="00CE37D0">
        <w:rPr>
          <w:rFonts w:eastAsia="Times New Roman"/>
        </w:rPr>
        <w:t xml:space="preserve">rivataus kaltinimo teisės ir teisės palaikyti civilinį ieškinį analogija teisės pereinamumo požiūriu kritikuotina dėl to, kad privataus kaltinimo teisė nėra vien tik teisė į žalos atlyginimą, o apima kur kas platesnius įgaliojimus disponuoti baudžiamojo proceso suteikiamomis </w:t>
      </w:r>
      <w:r w:rsidR="002328FA">
        <w:rPr>
          <w:rFonts w:eastAsia="Times New Roman"/>
        </w:rPr>
        <w:t xml:space="preserve">teisminės gynybos priemonėmis. </w:t>
      </w:r>
    </w:p>
    <w:p w:rsidR="002328FA" w:rsidRDefault="00BF762A" w:rsidP="002328FA">
      <w:pPr>
        <w:spacing w:line="360" w:lineRule="auto"/>
        <w:ind w:firstLine="851"/>
        <w:jc w:val="both"/>
        <w:rPr>
          <w:rFonts w:eastAsia="Times New Roman"/>
        </w:rPr>
      </w:pPr>
      <w:r w:rsidRPr="00CE37D0">
        <w:rPr>
          <w:rFonts w:eastAsia="Times New Roman"/>
        </w:rPr>
        <w:t>Nukentėjusiojo teisių pereinamum</w:t>
      </w:r>
      <w:r w:rsidR="00B45D24">
        <w:rPr>
          <w:rFonts w:eastAsia="Times New Roman"/>
        </w:rPr>
        <w:t>as</w:t>
      </w:r>
      <w:r w:rsidR="00E432C0">
        <w:rPr>
          <w:rFonts w:eastAsia="Times New Roman"/>
        </w:rPr>
        <w:t xml:space="preserve"> </w:t>
      </w:r>
      <w:r w:rsidRPr="00CE37D0">
        <w:rPr>
          <w:rFonts w:eastAsia="Times New Roman"/>
        </w:rPr>
        <w:t xml:space="preserve">yra </w:t>
      </w:r>
      <w:r w:rsidR="00B45D24">
        <w:rPr>
          <w:rFonts w:eastAsia="Times New Roman"/>
        </w:rPr>
        <w:t>įtvirtintas</w:t>
      </w:r>
      <w:r w:rsidRPr="00CE37D0">
        <w:rPr>
          <w:rFonts w:eastAsia="Times New Roman"/>
        </w:rPr>
        <w:t xml:space="preserve"> ir</w:t>
      </w:r>
      <w:r w:rsidR="00E432C0">
        <w:rPr>
          <w:rFonts w:eastAsia="Times New Roman"/>
        </w:rPr>
        <w:t xml:space="preserve"> </w:t>
      </w:r>
      <w:r w:rsidRPr="00CE37D0">
        <w:rPr>
          <w:rFonts w:eastAsia="Times New Roman"/>
        </w:rPr>
        <w:t xml:space="preserve">kai kurių </w:t>
      </w:r>
      <w:r w:rsidR="006323B9" w:rsidRPr="00CE37D0">
        <w:rPr>
          <w:rFonts w:eastAsia="Times New Roman"/>
        </w:rPr>
        <w:t xml:space="preserve">užsienio valstybių </w:t>
      </w:r>
      <w:r w:rsidRPr="00CE37D0">
        <w:rPr>
          <w:rFonts w:eastAsia="Times New Roman"/>
        </w:rPr>
        <w:t>pozityviojoje teisėje,</w:t>
      </w:r>
      <w:r w:rsidR="00E432C0">
        <w:rPr>
          <w:rFonts w:eastAsia="Times New Roman"/>
        </w:rPr>
        <w:t xml:space="preserve"> </w:t>
      </w:r>
      <w:r w:rsidRPr="00CE37D0">
        <w:rPr>
          <w:rFonts w:eastAsia="Times New Roman"/>
        </w:rPr>
        <w:t xml:space="preserve">baudžiamojo proceso nuostatose </w:t>
      </w:r>
      <w:r w:rsidR="006323B9" w:rsidRPr="00CE37D0">
        <w:rPr>
          <w:rFonts w:eastAsia="Times New Roman"/>
        </w:rPr>
        <w:t>pripažįsta</w:t>
      </w:r>
      <w:r w:rsidRPr="00CE37D0">
        <w:rPr>
          <w:rFonts w:eastAsia="Times New Roman"/>
        </w:rPr>
        <w:t>nt</w:t>
      </w:r>
      <w:r w:rsidR="006323B9" w:rsidRPr="00CE37D0">
        <w:rPr>
          <w:rFonts w:eastAsia="Times New Roman"/>
        </w:rPr>
        <w:t xml:space="preserve"> galimyb</w:t>
      </w:r>
      <w:r w:rsidRPr="00CE37D0">
        <w:rPr>
          <w:rFonts w:eastAsia="Times New Roman"/>
        </w:rPr>
        <w:t>ę</w:t>
      </w:r>
      <w:r w:rsidR="006323B9" w:rsidRPr="00CE37D0">
        <w:rPr>
          <w:rFonts w:eastAsia="Times New Roman"/>
        </w:rPr>
        <w:t xml:space="preserve"> perimti privataus kaltinimo teisę nukentėjusiajam mirus. Sutinkamas įvairus šio instituto </w:t>
      </w:r>
      <w:r w:rsidRPr="00CE37D0">
        <w:rPr>
          <w:rFonts w:eastAsia="Times New Roman"/>
        </w:rPr>
        <w:t xml:space="preserve">teisinis </w:t>
      </w:r>
      <w:r w:rsidR="006323B9" w:rsidRPr="00CE37D0">
        <w:rPr>
          <w:rFonts w:eastAsia="Times New Roman"/>
        </w:rPr>
        <w:t>reg</w:t>
      </w:r>
      <w:r w:rsidR="002256BB">
        <w:rPr>
          <w:rFonts w:eastAsia="Times New Roman"/>
        </w:rPr>
        <w:t>u</w:t>
      </w:r>
      <w:r w:rsidR="006323B9" w:rsidRPr="00CE37D0">
        <w:rPr>
          <w:rFonts w:eastAsia="Times New Roman"/>
        </w:rPr>
        <w:t>l</w:t>
      </w:r>
      <w:r w:rsidR="002256BB">
        <w:rPr>
          <w:rFonts w:eastAsia="Times New Roman"/>
        </w:rPr>
        <w:t>i</w:t>
      </w:r>
      <w:r w:rsidR="006323B9" w:rsidRPr="00CE37D0">
        <w:rPr>
          <w:rFonts w:eastAsia="Times New Roman"/>
        </w:rPr>
        <w:t xml:space="preserve">avimas. </w:t>
      </w:r>
      <w:r w:rsidR="006323B9" w:rsidRPr="00CE37D0">
        <w:rPr>
          <w:rFonts w:eastAsia="Times New Roman"/>
          <w:vertAlign w:val="superscript"/>
        </w:rPr>
        <w:footnoteReference w:id="603"/>
      </w:r>
      <w:r w:rsidR="006323B9" w:rsidRPr="00CE37D0">
        <w:rPr>
          <w:rFonts w:eastAsia="Times New Roman"/>
        </w:rPr>
        <w:t xml:space="preserve"> Pavyzdžiui, Bulgarijos BPK 76 str</w:t>
      </w:r>
      <w:r w:rsidR="007D069E">
        <w:rPr>
          <w:rFonts w:eastAsia="Times New Roman"/>
        </w:rPr>
        <w:t>aipsnyje</w:t>
      </w:r>
      <w:r w:rsidR="006323B9" w:rsidRPr="00CE37D0">
        <w:rPr>
          <w:rFonts w:eastAsia="Times New Roman"/>
        </w:rPr>
        <w:t xml:space="preserve"> numato</w:t>
      </w:r>
      <w:r w:rsidR="007D069E">
        <w:rPr>
          <w:rFonts w:eastAsia="Times New Roman"/>
        </w:rPr>
        <w:t>ma</w:t>
      </w:r>
      <w:r w:rsidR="006323B9" w:rsidRPr="00CE37D0">
        <w:rPr>
          <w:rFonts w:eastAsia="Times New Roman"/>
        </w:rPr>
        <w:t xml:space="preserve">, kad po nukentėjusiojo mirties teisė dalyvauti </w:t>
      </w:r>
      <w:r w:rsidR="006323B9" w:rsidRPr="00CE37D0">
        <w:rPr>
          <w:rFonts w:eastAsia="Times New Roman"/>
        </w:rPr>
        <w:lastRenderedPageBreak/>
        <w:t>baudžiamajame procese pereina privataus kaltintojo veiksniems įpėdiniams arba įpėdinio įstatyminiam atstovui. Vengrijos BPK 31 str</w:t>
      </w:r>
      <w:r w:rsidR="007D069E">
        <w:rPr>
          <w:rFonts w:eastAsia="Times New Roman"/>
        </w:rPr>
        <w:t>aipsnio</w:t>
      </w:r>
      <w:r w:rsidR="006323B9" w:rsidRPr="00CE37D0">
        <w:rPr>
          <w:rFonts w:eastAsia="Times New Roman"/>
        </w:rPr>
        <w:t xml:space="preserve"> 4 d</w:t>
      </w:r>
      <w:r w:rsidR="007D069E">
        <w:rPr>
          <w:rFonts w:eastAsia="Times New Roman"/>
        </w:rPr>
        <w:t>alyje</w:t>
      </w:r>
      <w:r w:rsidR="00CD5312">
        <w:rPr>
          <w:rFonts w:eastAsia="Times New Roman"/>
        </w:rPr>
        <w:t xml:space="preserve"> </w:t>
      </w:r>
      <w:r w:rsidR="00664A6D">
        <w:rPr>
          <w:rFonts w:eastAsia="Times New Roman"/>
        </w:rPr>
        <w:t xml:space="preserve">įtvirtintas </w:t>
      </w:r>
      <w:r w:rsidR="006323B9" w:rsidRPr="00CE37D0">
        <w:rPr>
          <w:rFonts w:eastAsia="Times New Roman"/>
        </w:rPr>
        <w:t>mirusio nukentėjusiojo skundo teisė</w:t>
      </w:r>
      <w:r w:rsidR="00664A6D">
        <w:rPr>
          <w:rFonts w:eastAsia="Times New Roman"/>
        </w:rPr>
        <w:t>s pereinamumas</w:t>
      </w:r>
      <w:r w:rsidR="006323B9" w:rsidRPr="00CE37D0">
        <w:rPr>
          <w:rFonts w:eastAsia="Times New Roman"/>
        </w:rPr>
        <w:t xml:space="preserve"> jo giminaičiui. Įstatymai riboja giminaičio galimybę įstoti į privataus kaltinimo procesą 30 dienų termin</w:t>
      </w:r>
      <w:r w:rsidR="00D06EE0">
        <w:rPr>
          <w:rFonts w:eastAsia="Times New Roman"/>
        </w:rPr>
        <w:t>u</w:t>
      </w:r>
      <w:r w:rsidR="006323B9" w:rsidRPr="00CE37D0">
        <w:rPr>
          <w:rFonts w:eastAsia="Times New Roman"/>
        </w:rPr>
        <w:t xml:space="preserve"> (Vengrijos BPK 123 str</w:t>
      </w:r>
      <w:r w:rsidR="007D069E">
        <w:rPr>
          <w:rFonts w:eastAsia="Times New Roman"/>
        </w:rPr>
        <w:t>aipsnio</w:t>
      </w:r>
      <w:r w:rsidR="006323B9" w:rsidRPr="00CE37D0">
        <w:rPr>
          <w:rFonts w:eastAsia="Times New Roman"/>
        </w:rPr>
        <w:t xml:space="preserve"> 3 d</w:t>
      </w:r>
      <w:r w:rsidR="007D069E">
        <w:rPr>
          <w:rFonts w:eastAsia="Times New Roman"/>
        </w:rPr>
        <w:t>alis</w:t>
      </w:r>
      <w:r w:rsidR="006323B9" w:rsidRPr="00CE37D0">
        <w:rPr>
          <w:rFonts w:eastAsia="Times New Roman"/>
        </w:rPr>
        <w:t xml:space="preserve">), </w:t>
      </w:r>
      <w:r w:rsidR="00C871D5">
        <w:rPr>
          <w:rFonts w:eastAsia="Times New Roman"/>
        </w:rPr>
        <w:t>o nepasinaudojimas šia teise</w:t>
      </w:r>
      <w:r w:rsidR="006323B9" w:rsidRPr="00CE37D0">
        <w:rPr>
          <w:rFonts w:eastAsia="Times New Roman"/>
        </w:rPr>
        <w:t xml:space="preserve"> vertinama</w:t>
      </w:r>
      <w:r w:rsidR="00C871D5">
        <w:rPr>
          <w:rFonts w:eastAsia="Times New Roman"/>
        </w:rPr>
        <w:t>s</w:t>
      </w:r>
      <w:r w:rsidR="006323B9" w:rsidRPr="00CE37D0">
        <w:rPr>
          <w:rFonts w:eastAsia="Times New Roman"/>
        </w:rPr>
        <w:t xml:space="preserve"> kaip kaltinimo atsisakymas.</w:t>
      </w:r>
      <w:r w:rsidR="00962158">
        <w:rPr>
          <w:rFonts w:eastAsia="Times New Roman"/>
        </w:rPr>
        <w:t xml:space="preserve"> </w:t>
      </w:r>
      <w:r w:rsidR="00245FF8">
        <w:rPr>
          <w:rStyle w:val="Puslapioinaosnuoroda"/>
          <w:rFonts w:eastAsia="Times New Roman"/>
        </w:rPr>
        <w:footnoteReference w:id="604"/>
      </w:r>
      <w:r w:rsidR="006323B9" w:rsidRPr="00CE37D0">
        <w:rPr>
          <w:rFonts w:eastAsia="Times New Roman"/>
        </w:rPr>
        <w:t xml:space="preserve"> Nukentėjusiojo teisių perėmimas privataus kaltinimo bylose galimas ir pagal Vokietijos baudžiamojo proceso teisę (Vokietijos BPK 374 str</w:t>
      </w:r>
      <w:r w:rsidR="00664A6D">
        <w:rPr>
          <w:rFonts w:eastAsia="Times New Roman"/>
        </w:rPr>
        <w:t>aipsnio 2 dalis</w:t>
      </w:r>
      <w:r w:rsidR="006323B9" w:rsidRPr="00CE37D0">
        <w:rPr>
          <w:rFonts w:eastAsia="Times New Roman"/>
        </w:rPr>
        <w:t>).</w:t>
      </w:r>
      <w:r w:rsidR="00962158">
        <w:rPr>
          <w:rFonts w:eastAsia="Times New Roman"/>
        </w:rPr>
        <w:t xml:space="preserve"> </w:t>
      </w:r>
      <w:r w:rsidR="00962158">
        <w:rPr>
          <w:rStyle w:val="Puslapioinaosnuoroda"/>
          <w:rFonts w:eastAsia="Times New Roman"/>
        </w:rPr>
        <w:footnoteReference w:id="605"/>
      </w:r>
      <w:r w:rsidR="00EB2C24">
        <w:rPr>
          <w:rFonts w:eastAsia="Times New Roman"/>
        </w:rPr>
        <w:t xml:space="preserve"> Lenkijos BPK taip pat num</w:t>
      </w:r>
      <w:r w:rsidR="00664A6D">
        <w:rPr>
          <w:rFonts w:eastAsia="Times New Roman"/>
        </w:rPr>
        <w:t>ato privataus kaltinimo (61 straipsnis</w:t>
      </w:r>
      <w:r w:rsidR="00EB2C24">
        <w:rPr>
          <w:rFonts w:eastAsia="Times New Roman"/>
        </w:rPr>
        <w:t>) ir</w:t>
      </w:r>
      <w:r w:rsidR="00664A6D">
        <w:rPr>
          <w:rFonts w:eastAsia="Times New Roman"/>
        </w:rPr>
        <w:t xml:space="preserve"> subsidiaraus kaltinimo (58 straipsnis</w:t>
      </w:r>
      <w:r w:rsidR="00EB2C24">
        <w:rPr>
          <w:rFonts w:eastAsia="Times New Roman"/>
        </w:rPr>
        <w:t xml:space="preserve">) perėmimo galimybę artimiems giminaičiams, privačiam ar subsidiariam kaltintojui mirus. </w:t>
      </w:r>
      <w:r w:rsidR="00C871D5">
        <w:rPr>
          <w:rFonts w:eastAsia="Times New Roman"/>
        </w:rPr>
        <w:t>Toks</w:t>
      </w:r>
      <w:r w:rsidR="00CD5312">
        <w:rPr>
          <w:rFonts w:eastAsia="Times New Roman"/>
        </w:rPr>
        <w:t xml:space="preserve"> </w:t>
      </w:r>
      <w:r w:rsidR="00C871D5">
        <w:rPr>
          <w:rFonts w:eastAsia="Times New Roman"/>
        </w:rPr>
        <w:t>teisinis reguliavimas išplaukia iš to, kad nukentėjusiojo teises, jam mirus, įgyvendina jo artimiausi giminaičiai (</w:t>
      </w:r>
      <w:r w:rsidR="00EB2C24">
        <w:rPr>
          <w:rFonts w:eastAsia="Times New Roman"/>
        </w:rPr>
        <w:t>52 str</w:t>
      </w:r>
      <w:r w:rsidR="00664A6D">
        <w:rPr>
          <w:rFonts w:eastAsia="Times New Roman"/>
        </w:rPr>
        <w:t>aipsnis</w:t>
      </w:r>
      <w:r w:rsidR="00C871D5">
        <w:rPr>
          <w:rFonts w:eastAsia="Times New Roman"/>
        </w:rPr>
        <w:t xml:space="preserve">). </w:t>
      </w:r>
      <w:r w:rsidR="00C871D5">
        <w:rPr>
          <w:rStyle w:val="Puslapioinaosnuoroda"/>
          <w:rFonts w:eastAsia="Times New Roman"/>
        </w:rPr>
        <w:footnoteReference w:id="606"/>
      </w:r>
    </w:p>
    <w:p w:rsidR="003E3809" w:rsidRPr="00CE37D0" w:rsidRDefault="003E3809" w:rsidP="002328FA">
      <w:pPr>
        <w:spacing w:line="360" w:lineRule="auto"/>
        <w:ind w:firstLine="851"/>
        <w:jc w:val="both"/>
        <w:rPr>
          <w:rFonts w:eastAsia="Times New Roman"/>
        </w:rPr>
      </w:pPr>
      <w:r w:rsidRPr="00CE37D0">
        <w:rPr>
          <w:rFonts w:eastAsia="Times New Roman"/>
        </w:rPr>
        <w:t xml:space="preserve">Apibendrinant diskusiją, </w:t>
      </w:r>
      <w:r w:rsidR="00F818D3" w:rsidRPr="00CE37D0">
        <w:rPr>
          <w:rFonts w:eastAsia="Times New Roman"/>
        </w:rPr>
        <w:t xml:space="preserve">darytina išvada, kad pozicija dėl privataus kaltinimo teisės pereinamumo priklauso nuo to, kokiam privataus kaltinimo teisės elementui teikiamas prioritetas: teisei </w:t>
      </w:r>
      <w:r w:rsidR="00965BB0" w:rsidRPr="00CE37D0">
        <w:rPr>
          <w:rFonts w:eastAsia="Times New Roman"/>
        </w:rPr>
        <w:t>disponuoti kaltinimu</w:t>
      </w:r>
      <w:r w:rsidR="00F818D3" w:rsidRPr="00CE37D0">
        <w:rPr>
          <w:rFonts w:eastAsia="Times New Roman"/>
        </w:rPr>
        <w:t xml:space="preserve"> ar teisei reikalauti žalos atlyginimo. Jei teisė reikalauti žalos atlyginimo laikytina privataus kaltinimo pagrindiniu elementu</w:t>
      </w:r>
      <w:r w:rsidR="00965BB0" w:rsidRPr="00CE37D0">
        <w:rPr>
          <w:rFonts w:eastAsia="Times New Roman"/>
        </w:rPr>
        <w:t>, tuomet privatus kaltinimas galėtų būti vertinamas kaip priemonė įgyvendinti teisę reikalauti žalos atlyginimo. Tačiau m</w:t>
      </w:r>
      <w:r w:rsidR="00DB4ECD">
        <w:rPr>
          <w:rFonts w:eastAsia="Times New Roman"/>
        </w:rPr>
        <w:t>anytina</w:t>
      </w:r>
      <w:r w:rsidR="00965BB0" w:rsidRPr="00CE37D0">
        <w:rPr>
          <w:rFonts w:eastAsia="Times New Roman"/>
        </w:rPr>
        <w:t xml:space="preserve">, </w:t>
      </w:r>
      <w:r w:rsidR="00DB4ECD">
        <w:rPr>
          <w:rFonts w:eastAsia="Times New Roman"/>
        </w:rPr>
        <w:t xml:space="preserve">kad </w:t>
      </w:r>
      <w:r w:rsidR="00965BB0" w:rsidRPr="00CE37D0">
        <w:rPr>
          <w:rFonts w:eastAsia="Times New Roman"/>
        </w:rPr>
        <w:t xml:space="preserve">pirmenybė teiktina teisei disponuoti kaltinimu, o teisė pareikšti civilinį ieškinį, įgyti civilinio ieškovo statusą laikytina išvestine iš privataus kaltintojo teisės disponuoti kaltinimu. </w:t>
      </w:r>
      <w:r w:rsidRPr="00CE37D0">
        <w:rPr>
          <w:rFonts w:eastAsia="Times New Roman"/>
        </w:rPr>
        <w:t>Teisė į žalos atlyginimą vykdant kaltinimo funkciją neatsiej</w:t>
      </w:r>
      <w:r w:rsidR="00965BB0" w:rsidRPr="00CE37D0">
        <w:rPr>
          <w:rFonts w:eastAsia="Times New Roman"/>
        </w:rPr>
        <w:t>ama nuo baudžiamojo reikalavimo, priešingai nei viešojo kaltinimo procese, kuriame kaltintojas ir civilinis ieškovas yra atskiri proceso subjektai, o baudžiamojo ieškinio (kaltinimo) ir civilinio ieškinio nagrinėjimas pagal skirtingų procesų normas leidžia šiuos reikalavimus atskirti.</w:t>
      </w:r>
      <w:r w:rsidR="00D06EE0">
        <w:rPr>
          <w:rFonts w:eastAsia="Times New Roman"/>
        </w:rPr>
        <w:t xml:space="preserve"> </w:t>
      </w:r>
      <w:r w:rsidR="00965BB0" w:rsidRPr="00CE37D0">
        <w:rPr>
          <w:rFonts w:eastAsia="Times New Roman"/>
        </w:rPr>
        <w:t>Todėl vertinant privataus kaltinimo teisę baudžiamųjų teisinių santykių kontekste, g</w:t>
      </w:r>
      <w:r w:rsidRPr="00CE37D0">
        <w:rPr>
          <w:rFonts w:eastAsia="Times New Roman"/>
        </w:rPr>
        <w:t>alimybė pateikti privataus kaltinimo skundą</w:t>
      </w:r>
      <w:r w:rsidR="00965BB0" w:rsidRPr="00CE37D0">
        <w:rPr>
          <w:rFonts w:eastAsia="Times New Roman"/>
        </w:rPr>
        <w:t>,</w:t>
      </w:r>
      <w:r w:rsidR="0049462B">
        <w:rPr>
          <w:rFonts w:eastAsia="Times New Roman"/>
        </w:rPr>
        <w:t xml:space="preserve"> </w:t>
      </w:r>
      <w:r w:rsidR="00965BB0" w:rsidRPr="00CE37D0">
        <w:rPr>
          <w:rFonts w:eastAsia="Times New Roman"/>
          <w:i/>
        </w:rPr>
        <w:t>inter alia</w:t>
      </w:r>
      <w:r w:rsidR="00965BB0" w:rsidRPr="00CE37D0">
        <w:rPr>
          <w:rFonts w:eastAsia="Times New Roman"/>
        </w:rPr>
        <w:t xml:space="preserve"> reikalauti žalos atlyginimo, turėtų būti </w:t>
      </w:r>
      <w:r w:rsidRPr="00CE37D0">
        <w:rPr>
          <w:rFonts w:eastAsia="Times New Roman"/>
        </w:rPr>
        <w:t xml:space="preserve">siejama vien tik su nukentėjusiojo asmeniu </w:t>
      </w:r>
      <w:r w:rsidR="0043367D">
        <w:rPr>
          <w:rFonts w:eastAsia="Times New Roman"/>
        </w:rPr>
        <w:t xml:space="preserve">ir </w:t>
      </w:r>
      <w:r w:rsidRPr="00CE37D0">
        <w:rPr>
          <w:rFonts w:eastAsia="Times New Roman"/>
        </w:rPr>
        <w:t xml:space="preserve">negali būti suteikiama niekam kitam. Todėl, nesant subjekto, turinčio teisę disponuoti kaltinimu, negalimas ir teisės į žalos atlyginimą įgyvendinimas. </w:t>
      </w:r>
      <w:r w:rsidR="00053586">
        <w:rPr>
          <w:rFonts w:eastAsia="Times New Roman"/>
        </w:rPr>
        <w:t>Taigi mirus</w:t>
      </w:r>
      <w:r w:rsidR="00E432C0">
        <w:rPr>
          <w:rFonts w:eastAsia="Times New Roman"/>
        </w:rPr>
        <w:t xml:space="preserve"> </w:t>
      </w:r>
      <w:r w:rsidR="00053586">
        <w:rPr>
          <w:rFonts w:eastAsia="Times New Roman"/>
        </w:rPr>
        <w:t xml:space="preserve">privačiam </w:t>
      </w:r>
      <w:r w:rsidRPr="00CE37D0">
        <w:rPr>
          <w:rFonts w:eastAsia="Times New Roman"/>
        </w:rPr>
        <w:t>kaltintoj</w:t>
      </w:r>
      <w:r w:rsidR="00053586">
        <w:rPr>
          <w:rFonts w:eastAsia="Times New Roman"/>
        </w:rPr>
        <w:t>ui</w:t>
      </w:r>
      <w:r w:rsidRPr="00CE37D0">
        <w:rPr>
          <w:rFonts w:eastAsia="Times New Roman"/>
        </w:rPr>
        <w:t xml:space="preserve">, </w:t>
      </w:r>
      <w:r w:rsidR="00053586">
        <w:rPr>
          <w:rFonts w:eastAsia="Times New Roman"/>
        </w:rPr>
        <w:t>privataus kaltinimo bylų</w:t>
      </w:r>
      <w:r w:rsidRPr="00CE37D0">
        <w:rPr>
          <w:rFonts w:eastAsia="Times New Roman"/>
        </w:rPr>
        <w:t xml:space="preserve"> procesas turi būti nutraukiamas, o procesinių teisių perėmimas</w:t>
      </w:r>
      <w:r w:rsidR="00E432C0">
        <w:rPr>
          <w:rFonts w:eastAsia="Times New Roman"/>
        </w:rPr>
        <w:t xml:space="preserve"> </w:t>
      </w:r>
      <w:r w:rsidRPr="00CE37D0">
        <w:rPr>
          <w:rFonts w:eastAsia="Times New Roman"/>
        </w:rPr>
        <w:t xml:space="preserve">negalimas. </w:t>
      </w:r>
      <w:r w:rsidR="00671F01">
        <w:rPr>
          <w:rFonts w:eastAsia="Times New Roman"/>
        </w:rPr>
        <w:t>Šiuo atveju g</w:t>
      </w:r>
      <w:r w:rsidR="00053586">
        <w:rPr>
          <w:rFonts w:eastAsia="Times New Roman"/>
        </w:rPr>
        <w:t xml:space="preserve">alimybė </w:t>
      </w:r>
      <w:r w:rsidR="00671F01">
        <w:rPr>
          <w:rFonts w:eastAsia="Times New Roman"/>
        </w:rPr>
        <w:t>reikalau</w:t>
      </w:r>
      <w:r w:rsidR="00053586">
        <w:rPr>
          <w:rFonts w:eastAsia="Times New Roman"/>
        </w:rPr>
        <w:t>ti žalos atlyginim</w:t>
      </w:r>
      <w:r w:rsidR="00671F01">
        <w:rPr>
          <w:rFonts w:eastAsia="Times New Roman"/>
        </w:rPr>
        <w:t>o</w:t>
      </w:r>
      <w:r w:rsidR="00053586">
        <w:rPr>
          <w:rFonts w:eastAsia="Times New Roman"/>
        </w:rPr>
        <w:t>, nors ir ribot</w:t>
      </w:r>
      <w:r w:rsidR="00671F01">
        <w:rPr>
          <w:rFonts w:eastAsia="Times New Roman"/>
        </w:rPr>
        <w:t>a</w:t>
      </w:r>
      <w:r w:rsidR="00053586">
        <w:rPr>
          <w:rFonts w:eastAsia="Times New Roman"/>
        </w:rPr>
        <w:t>, išlieka civiliniame procese.</w:t>
      </w:r>
    </w:p>
    <w:p w:rsidR="003E3809" w:rsidRPr="00232E3F" w:rsidRDefault="00232E3F" w:rsidP="00F93861">
      <w:pPr>
        <w:pStyle w:val="Antrat1"/>
        <w:numPr>
          <w:ilvl w:val="0"/>
          <w:numId w:val="17"/>
        </w:numPr>
      </w:pPr>
      <w:bookmarkStart w:id="355" w:name="_Toc321911350"/>
      <w:bookmarkStart w:id="356" w:name="_Toc321911487"/>
      <w:bookmarkStart w:id="357" w:name="_Toc321911524"/>
      <w:bookmarkStart w:id="358" w:name="_Toc324414332"/>
      <w:bookmarkStart w:id="359" w:name="_Toc327528898"/>
      <w:bookmarkStart w:id="360" w:name="_Toc327528954"/>
      <w:bookmarkStart w:id="361" w:name="_Toc327529043"/>
      <w:bookmarkStart w:id="362" w:name="_Toc333483886"/>
      <w:bookmarkStart w:id="363" w:name="_Toc341009856"/>
      <w:bookmarkStart w:id="364" w:name="_Toc346795981"/>
      <w:bookmarkStart w:id="365" w:name="_Toc365498866"/>
      <w:bookmarkStart w:id="366" w:name="_Toc370139924"/>
      <w:bookmarkStart w:id="367" w:name="_Toc400321704"/>
      <w:r w:rsidRPr="00232E3F">
        <w:lastRenderedPageBreak/>
        <w:t>Susitaikymas</w:t>
      </w:r>
      <w:r w:rsidR="003E3809" w:rsidRPr="00232E3F">
        <w:t xml:space="preserve"> privataus kaltinimo bylų procese</w:t>
      </w:r>
      <w:bookmarkEnd w:id="355"/>
      <w:bookmarkEnd w:id="356"/>
      <w:bookmarkEnd w:id="357"/>
      <w:bookmarkEnd w:id="358"/>
      <w:bookmarkEnd w:id="359"/>
      <w:bookmarkEnd w:id="360"/>
      <w:bookmarkEnd w:id="361"/>
      <w:bookmarkEnd w:id="362"/>
      <w:bookmarkEnd w:id="363"/>
      <w:bookmarkEnd w:id="364"/>
      <w:bookmarkEnd w:id="365"/>
      <w:bookmarkEnd w:id="366"/>
      <w:bookmarkEnd w:id="367"/>
    </w:p>
    <w:p w:rsidR="003E3809" w:rsidRPr="00F93861" w:rsidRDefault="003E3809" w:rsidP="00F93861">
      <w:pPr>
        <w:pStyle w:val="Antrat3"/>
        <w:numPr>
          <w:ilvl w:val="1"/>
          <w:numId w:val="17"/>
        </w:numPr>
      </w:pPr>
      <w:bookmarkStart w:id="368" w:name="_Toc321911351"/>
      <w:bookmarkStart w:id="369" w:name="_Toc321911488"/>
      <w:bookmarkStart w:id="370" w:name="_Toc321911525"/>
      <w:bookmarkStart w:id="371" w:name="_Toc324414333"/>
      <w:bookmarkStart w:id="372" w:name="_Toc327528899"/>
      <w:bookmarkStart w:id="373" w:name="_Toc327528955"/>
      <w:bookmarkStart w:id="374" w:name="_Toc327529044"/>
      <w:bookmarkStart w:id="375" w:name="_Toc333483887"/>
      <w:bookmarkStart w:id="376" w:name="_Toc341009857"/>
      <w:bookmarkStart w:id="377" w:name="_Toc346795982"/>
      <w:bookmarkStart w:id="378" w:name="_Toc365498867"/>
      <w:bookmarkStart w:id="379" w:name="_Toc370139925"/>
      <w:bookmarkStart w:id="380" w:name="_Toc400321705"/>
      <w:r w:rsidRPr="00F93861">
        <w:t xml:space="preserve">Konflikto šalių sutaikymas – pagrindinis privataus kaltinimo </w:t>
      </w:r>
      <w:r w:rsidR="0015747F" w:rsidRPr="00F93861">
        <w:t xml:space="preserve">bylų proceso </w:t>
      </w:r>
      <w:r w:rsidRPr="00F93861">
        <w:t>tikslas</w:t>
      </w:r>
      <w:bookmarkEnd w:id="368"/>
      <w:bookmarkEnd w:id="369"/>
      <w:bookmarkEnd w:id="370"/>
      <w:bookmarkEnd w:id="371"/>
      <w:bookmarkEnd w:id="372"/>
      <w:bookmarkEnd w:id="373"/>
      <w:bookmarkEnd w:id="374"/>
      <w:bookmarkEnd w:id="375"/>
      <w:bookmarkEnd w:id="376"/>
      <w:bookmarkEnd w:id="377"/>
      <w:bookmarkEnd w:id="378"/>
      <w:bookmarkEnd w:id="379"/>
      <w:bookmarkEnd w:id="380"/>
    </w:p>
    <w:p w:rsidR="002328FA" w:rsidRDefault="003E3809" w:rsidP="00044CCF">
      <w:pPr>
        <w:spacing w:line="360" w:lineRule="auto"/>
        <w:ind w:firstLine="1080"/>
        <w:jc w:val="both"/>
        <w:rPr>
          <w:rFonts w:eastAsia="Times New Roman"/>
        </w:rPr>
      </w:pPr>
      <w:r w:rsidRPr="00CE37D0">
        <w:rPr>
          <w:rFonts w:eastAsia="Times New Roman"/>
        </w:rPr>
        <w:t xml:space="preserve">Proceso teorijos (angl. </w:t>
      </w:r>
      <w:r w:rsidRPr="00CE37D0">
        <w:rPr>
          <w:rFonts w:eastAsia="Times New Roman"/>
          <w:i/>
        </w:rPr>
        <w:t>theory of procedure</w:t>
      </w:r>
      <w:r w:rsidRPr="00CE37D0">
        <w:rPr>
          <w:rFonts w:eastAsia="Times New Roman"/>
        </w:rPr>
        <w:t>) autoriai išskiria du konflikto išsprendimo tikslus bet kokiame procese, nepriklausomai nuo jo rūšies: tiesą</w:t>
      </w:r>
      <w:r w:rsidR="0049462B">
        <w:rPr>
          <w:rFonts w:eastAsia="Times New Roman"/>
        </w:rPr>
        <w:t xml:space="preserve"> </w:t>
      </w:r>
      <w:r w:rsidR="003C24BD">
        <w:rPr>
          <w:rFonts w:eastAsia="Times New Roman"/>
        </w:rPr>
        <w:t xml:space="preserve">(materialią tiesą) </w:t>
      </w:r>
      <w:r w:rsidRPr="00CE37D0">
        <w:rPr>
          <w:rFonts w:eastAsia="Times New Roman"/>
        </w:rPr>
        <w:t>ir teisingumą</w:t>
      </w:r>
      <w:r w:rsidR="003C24BD">
        <w:rPr>
          <w:rFonts w:eastAsia="Times New Roman"/>
        </w:rPr>
        <w:t xml:space="preserve"> (formalią tiesą)</w:t>
      </w:r>
      <w:r w:rsidRPr="00CE37D0">
        <w:rPr>
          <w:rFonts w:eastAsia="Times New Roman"/>
        </w:rPr>
        <w:t xml:space="preserve">. </w:t>
      </w:r>
      <w:r w:rsidRPr="00CE37D0">
        <w:rPr>
          <w:rFonts w:eastAsia="Times New Roman"/>
          <w:vertAlign w:val="superscript"/>
        </w:rPr>
        <w:footnoteReference w:id="607"/>
      </w:r>
      <w:r w:rsidR="0049462B">
        <w:rPr>
          <w:rFonts w:eastAsia="Times New Roman"/>
        </w:rPr>
        <w:t xml:space="preserve"> </w:t>
      </w:r>
      <w:r w:rsidR="009F147E" w:rsidRPr="00CE37D0">
        <w:rPr>
          <w:rFonts w:eastAsia="Times New Roman"/>
        </w:rPr>
        <w:t>Priklausomai nuo konflikto išsprendimo prioritetinio tikslo, modeliuojamas ir teisinis reg</w:t>
      </w:r>
      <w:r w:rsidR="003C24BD">
        <w:rPr>
          <w:rFonts w:eastAsia="Times New Roman"/>
        </w:rPr>
        <w:t>uliav</w:t>
      </w:r>
      <w:r w:rsidR="009F147E" w:rsidRPr="00CE37D0">
        <w:rPr>
          <w:rFonts w:eastAsia="Times New Roman"/>
        </w:rPr>
        <w:t>imas. Neatsitiktinai reglamentuojant privataus kaltinimo bylų procesą</w:t>
      </w:r>
      <w:r w:rsidRPr="00CE37D0">
        <w:rPr>
          <w:rFonts w:eastAsia="Times New Roman"/>
        </w:rPr>
        <w:t xml:space="preserve">, pirmiausia numatytas taikinamasis posėdis, ir tik nepavykus alternatyviu būdu išspręsti konflikto, kaip </w:t>
      </w:r>
      <w:r w:rsidRPr="00CE37D0">
        <w:rPr>
          <w:rFonts w:eastAsia="Times New Roman"/>
          <w:i/>
        </w:rPr>
        <w:t>ultima ratio</w:t>
      </w:r>
      <w:r w:rsidRPr="00CE37D0">
        <w:rPr>
          <w:rFonts w:eastAsia="Times New Roman"/>
        </w:rPr>
        <w:t xml:space="preserve"> rengiamas teisiamasis posėdis. G</w:t>
      </w:r>
      <w:r w:rsidR="0069654B">
        <w:rPr>
          <w:rFonts w:eastAsia="Times New Roman"/>
        </w:rPr>
        <w:t xml:space="preserve">alimybė susitaikyti šalims </w:t>
      </w:r>
      <w:r w:rsidRPr="00CE37D0">
        <w:rPr>
          <w:rFonts w:eastAsia="Times New Roman"/>
        </w:rPr>
        <w:t>viso proceso metu</w:t>
      </w:r>
      <w:r w:rsidR="000A377F">
        <w:rPr>
          <w:rFonts w:eastAsia="Times New Roman"/>
        </w:rPr>
        <w:t xml:space="preserve"> </w:t>
      </w:r>
      <w:r w:rsidR="0069654B">
        <w:rPr>
          <w:rStyle w:val="Puslapioinaosnuoroda"/>
          <w:rFonts w:eastAsia="Times New Roman"/>
        </w:rPr>
        <w:footnoteReference w:id="608"/>
      </w:r>
      <w:r w:rsidR="0069654B">
        <w:rPr>
          <w:rFonts w:eastAsia="Times New Roman"/>
        </w:rPr>
        <w:t xml:space="preserve"> BPK 3 straipsnio 1 dalies 5 p. pagrindu </w:t>
      </w:r>
      <w:r w:rsidRPr="00CE37D0">
        <w:rPr>
          <w:rFonts w:eastAsia="Times New Roman"/>
        </w:rPr>
        <w:t>būdinga išimtinai privataus kaltinimo bylų procesui. Šie teisinio reguliavimo ypatumai leidžia daryti išvadą, kad pirminis šio proceso tikslas yra ne tiesos nustatymas</w:t>
      </w:r>
      <w:r w:rsidR="00053586">
        <w:rPr>
          <w:rFonts w:eastAsia="Times New Roman"/>
        </w:rPr>
        <w:t>,</w:t>
      </w:r>
      <w:r w:rsidR="00982235">
        <w:rPr>
          <w:rFonts w:eastAsia="Times New Roman"/>
        </w:rPr>
        <w:t xml:space="preserve"> </w:t>
      </w:r>
      <w:r w:rsidRPr="00CE37D0">
        <w:rPr>
          <w:rStyle w:val="Puslapioinaosnuoroda"/>
        </w:rPr>
        <w:footnoteReference w:id="609"/>
      </w:r>
      <w:r w:rsidRPr="00CE37D0">
        <w:rPr>
          <w:rFonts w:eastAsia="Times New Roman"/>
        </w:rPr>
        <w:t xml:space="preserve"> o konflikto išsprendimas. Apskritai, šiuolaikinio baudžiamojo proceso tikslu kai kurie autoriai įvardija teisinės tvarkos, kuri sutrikdoma pažeidus baudžiamąjį įstatymą, atkūrimą arba nusikalstamos veikos sukelto socialinio konflikto išsprendimą. </w:t>
      </w:r>
      <w:r w:rsidRPr="00CE37D0">
        <w:rPr>
          <w:rStyle w:val="Puslapioinaosnuoroda"/>
        </w:rPr>
        <w:footnoteReference w:id="610"/>
      </w:r>
      <w:r w:rsidRPr="00CE37D0">
        <w:rPr>
          <w:rFonts w:eastAsia="Times New Roman"/>
        </w:rPr>
        <w:t xml:space="preserve"> Baudžiamojo proceso paskirties samprata kaip materialiu požiūriu teisingo nuosprendžio priėmimas taip pat iškelia teisingumo tikslo siekį baudžiamajame procese. </w:t>
      </w:r>
      <w:r w:rsidRPr="00CE37D0">
        <w:rPr>
          <w:rStyle w:val="Puslapioinaosnuoroda"/>
        </w:rPr>
        <w:footnoteReference w:id="611"/>
      </w:r>
      <w:r w:rsidRPr="00CE37D0">
        <w:rPr>
          <w:rFonts w:eastAsia="Times New Roman"/>
        </w:rPr>
        <w:t xml:space="preserve"> Tokiu būdu, nepaneigiant tiesos nustatymo byloje būtinumo teisingo sprendimo priėmimui, prioritetas teikiamas teisingumo tikslui. </w:t>
      </w:r>
      <w:r w:rsidRPr="00CE37D0">
        <w:rPr>
          <w:rFonts w:eastAsia="Times New Roman"/>
          <w:vertAlign w:val="superscript"/>
        </w:rPr>
        <w:footnoteReference w:id="612"/>
      </w:r>
    </w:p>
    <w:p w:rsidR="003E3809" w:rsidRPr="00CE37D0" w:rsidRDefault="003E3809" w:rsidP="00044CCF">
      <w:pPr>
        <w:spacing w:line="360" w:lineRule="auto"/>
        <w:ind w:firstLine="1080"/>
        <w:jc w:val="both"/>
        <w:rPr>
          <w:rFonts w:eastAsia="Times New Roman"/>
        </w:rPr>
      </w:pPr>
      <w:r w:rsidRPr="00CE37D0">
        <w:rPr>
          <w:rFonts w:eastAsia="Times New Roman"/>
        </w:rPr>
        <w:t>Privataus kaltinimo procese dominuojantis dispozityvumo principas ir privataus intereso prerogatyva nulemia ir šios proceso formos paskirties išskirtinumą. Idėja, kad proceso šalis reikia iš pradžių bandyti sutaikyti, pirmiausia pradėta vystyti teisės sociologijoje, o vėliau akceptuota civiliniame procese. Teisės sociologijoje yra teigiama, kad</w:t>
      </w:r>
      <w:r w:rsidR="0049462B">
        <w:rPr>
          <w:rFonts w:eastAsia="Times New Roman"/>
        </w:rPr>
        <w:t>,</w:t>
      </w:r>
      <w:r w:rsidRPr="00CE37D0">
        <w:rPr>
          <w:rFonts w:eastAsia="Times New Roman"/>
        </w:rPr>
        <w:t xml:space="preserve"> </w:t>
      </w:r>
      <w:r w:rsidR="00E33A9F">
        <w:rPr>
          <w:rFonts w:eastAsia="Times New Roman"/>
        </w:rPr>
        <w:t>k</w:t>
      </w:r>
      <w:r w:rsidRPr="00CE37D0">
        <w:rPr>
          <w:rFonts w:eastAsia="Times New Roman"/>
        </w:rPr>
        <w:t>adangi konfliktas kyla iš priva</w:t>
      </w:r>
      <w:r w:rsidR="0043367D">
        <w:rPr>
          <w:rFonts w:eastAsia="Times New Roman"/>
        </w:rPr>
        <w:t>č</w:t>
      </w:r>
      <w:r w:rsidRPr="00CE37D0">
        <w:rPr>
          <w:rFonts w:eastAsia="Times New Roman"/>
        </w:rPr>
        <w:t xml:space="preserve">ių santykių, yra didelė tikimybė, </w:t>
      </w:r>
      <w:r w:rsidR="0049462B">
        <w:rPr>
          <w:rFonts w:eastAsia="Times New Roman"/>
        </w:rPr>
        <w:t>jog</w:t>
      </w:r>
      <w:r w:rsidR="0049462B" w:rsidRPr="00CE37D0">
        <w:rPr>
          <w:rFonts w:eastAsia="Times New Roman"/>
        </w:rPr>
        <w:t xml:space="preserve"> </w:t>
      </w:r>
      <w:r w:rsidRPr="00CE37D0">
        <w:rPr>
          <w:rFonts w:eastAsia="Times New Roman"/>
        </w:rPr>
        <w:t xml:space="preserve">konflikto šalys pačios gali išspręsti iškilusį konfliktą, o teismo </w:t>
      </w:r>
      <w:r w:rsidRPr="00CE37D0">
        <w:rPr>
          <w:rFonts w:eastAsia="Times New Roman"/>
        </w:rPr>
        <w:lastRenderedPageBreak/>
        <w:t xml:space="preserve">funkcija yra padėti šalims tai padaryti taikiai. </w:t>
      </w:r>
      <w:r w:rsidRPr="00CE37D0">
        <w:rPr>
          <w:rStyle w:val="Puslapioinaosnuoroda"/>
        </w:rPr>
        <w:footnoteReference w:id="613"/>
      </w:r>
      <w:r w:rsidRPr="00CE37D0">
        <w:rPr>
          <w:rFonts w:eastAsia="Times New Roman"/>
        </w:rPr>
        <w:t xml:space="preserve"> Privataus kaltinimo procese nagrinėjami teisiniai konfliktai kyla dažniausiai taip pat iš asmeninių santykių. N</w:t>
      </w:r>
      <w:r w:rsidRPr="00CE37D0">
        <w:rPr>
          <w:rFonts w:eastAsia="Times New Roman"/>
          <w:iCs/>
        </w:rPr>
        <w:t xml:space="preserve">ukentėjusio asmens </w:t>
      </w:r>
      <w:r w:rsidRPr="00CE37D0">
        <w:rPr>
          <w:rFonts w:eastAsia="Times New Roman"/>
        </w:rPr>
        <w:t>dispozityvi teisė, išskirtinė</w:t>
      </w:r>
      <w:r w:rsidRPr="00CE37D0">
        <w:rPr>
          <w:rFonts w:eastAsia="Times New Roman"/>
          <w:iCs/>
        </w:rPr>
        <w:t xml:space="preserve"> galimybė disponuoti kaltinimu savo nuožiūra, </w:t>
      </w:r>
      <w:r w:rsidRPr="00CE37D0">
        <w:rPr>
          <w:rFonts w:eastAsia="Times New Roman"/>
          <w:i/>
          <w:iCs/>
        </w:rPr>
        <w:t>inter alia</w:t>
      </w:r>
      <w:r w:rsidRPr="00CE37D0">
        <w:rPr>
          <w:rFonts w:eastAsia="Times New Roman"/>
          <w:iCs/>
        </w:rPr>
        <w:t xml:space="preserve"> reiškia ir galimybę savo nuožiūra nutraukti procesą susitaikius su kaltinamuoju</w:t>
      </w:r>
      <w:r w:rsidRPr="00CE37D0">
        <w:rPr>
          <w:rFonts w:eastAsia="Times New Roman"/>
        </w:rPr>
        <w:t xml:space="preserve">. Teisinių santykių privatus pobūdis ir privatus interesas išspręsti konfliktą yra bendras vardiklis analizuojant sutaikymo institutą tiek civiliniame procese, </w:t>
      </w:r>
      <w:r w:rsidR="009F147E" w:rsidRPr="00CE37D0">
        <w:rPr>
          <w:rFonts w:eastAsia="Times New Roman"/>
        </w:rPr>
        <w:t>tiek administraciniame,</w:t>
      </w:r>
      <w:r w:rsidR="00982235">
        <w:rPr>
          <w:rFonts w:eastAsia="Times New Roman"/>
        </w:rPr>
        <w:t xml:space="preserve"> </w:t>
      </w:r>
      <w:r w:rsidR="00E33A9F">
        <w:rPr>
          <w:rStyle w:val="Puslapioinaosnuoroda"/>
          <w:rFonts w:eastAsia="Times New Roman"/>
        </w:rPr>
        <w:footnoteReference w:id="614"/>
      </w:r>
      <w:r w:rsidR="0049462B">
        <w:rPr>
          <w:rFonts w:eastAsia="Times New Roman"/>
        </w:rPr>
        <w:t xml:space="preserve"> </w:t>
      </w:r>
      <w:r w:rsidRPr="00CE37D0">
        <w:rPr>
          <w:rFonts w:eastAsia="Times New Roman"/>
        </w:rPr>
        <w:t>tiek</w:t>
      </w:r>
      <w:r w:rsidR="009F147E" w:rsidRPr="00CE37D0">
        <w:rPr>
          <w:rFonts w:eastAsia="Times New Roman"/>
        </w:rPr>
        <w:t xml:space="preserve"> ir</w:t>
      </w:r>
      <w:r w:rsidRPr="00CE37D0">
        <w:rPr>
          <w:rFonts w:eastAsia="Times New Roman"/>
        </w:rPr>
        <w:t xml:space="preserve"> privataus kaltinimo bylų procese. Kai kurie civilinio proceso mokslo atstovai teigia, </w:t>
      </w:r>
      <w:r w:rsidR="009F147E" w:rsidRPr="00CE37D0">
        <w:rPr>
          <w:rFonts w:eastAsia="Times New Roman"/>
        </w:rPr>
        <w:t xml:space="preserve">kad </w:t>
      </w:r>
      <w:r w:rsidRPr="00CE37D0">
        <w:rPr>
          <w:rFonts w:eastAsia="Times New Roman"/>
        </w:rPr>
        <w:t xml:space="preserve">šalių sutaikymas yra vienas iš teisinės taikos elementų. </w:t>
      </w:r>
      <w:r w:rsidRPr="00CE37D0">
        <w:rPr>
          <w:rStyle w:val="Puslapioinaosnuoroda"/>
        </w:rPr>
        <w:footnoteReference w:id="615"/>
      </w:r>
      <w:r w:rsidRPr="00CE37D0">
        <w:rPr>
          <w:rFonts w:eastAsia="Times New Roman"/>
        </w:rPr>
        <w:t xml:space="preserve"> Kaip tik dėl to, kad taikinamasis posėdis yra privalomas privataus kaltinimo bylų proceso etapas</w:t>
      </w:r>
      <w:r w:rsidR="00982235">
        <w:rPr>
          <w:rFonts w:eastAsia="Times New Roman"/>
        </w:rPr>
        <w:t>,</w:t>
      </w:r>
      <w:r w:rsidRPr="00CE37D0">
        <w:rPr>
          <w:rFonts w:eastAsia="Times New Roman"/>
        </w:rPr>
        <w:t xml:space="preserve"> </w:t>
      </w:r>
      <w:r w:rsidRPr="00CE37D0">
        <w:rPr>
          <w:rFonts w:eastAsia="Times New Roman"/>
          <w:vertAlign w:val="superscript"/>
        </w:rPr>
        <w:footnoteReference w:id="616"/>
      </w:r>
      <w:r w:rsidRPr="00CE37D0">
        <w:rPr>
          <w:rFonts w:eastAsia="Times New Roman"/>
        </w:rPr>
        <w:t xml:space="preserve"> galime daryti išvadą, kad konflikto šalių sutaikinimas yra privataus kaltinimo proceso pirminis tikslas. Tik tuomet, jei šalių sutaikyti nepavyksta, tolesniu procesu siekiama nustatyti, ar kaltinamas asmuo yra kaltas padaręs nusikalstamą veiką, ir, esant pagrindui, teisingai jį nubausti. </w:t>
      </w:r>
    </w:p>
    <w:p w:rsidR="003E3809" w:rsidRPr="00CE37D0" w:rsidRDefault="003E3809" w:rsidP="00044CCF">
      <w:pPr>
        <w:spacing w:line="360" w:lineRule="auto"/>
        <w:ind w:firstLine="1080"/>
        <w:jc w:val="both"/>
        <w:rPr>
          <w:rFonts w:eastAsia="Times New Roman"/>
        </w:rPr>
      </w:pPr>
      <w:r w:rsidRPr="00CE37D0">
        <w:rPr>
          <w:rFonts w:eastAsia="Times New Roman"/>
        </w:rPr>
        <w:t xml:space="preserve">Socialinės taikos pasiekimas yra naudingas tiek ginčo šalims, tiek valstybei, </w:t>
      </w:r>
      <w:r w:rsidRPr="00CE37D0">
        <w:rPr>
          <w:rStyle w:val="Puslapioinaosnuoroda"/>
        </w:rPr>
        <w:footnoteReference w:id="617"/>
      </w:r>
      <w:r w:rsidRPr="00CE37D0">
        <w:rPr>
          <w:rFonts w:eastAsia="Times New Roman"/>
        </w:rPr>
        <w:t xml:space="preserve"> o tai leidžia daryti išvadą dėl pozityvaus efekto tiek valstybės institucijų organizaciniams poreikiams, tiek konflikto šalių interesams, o tiek valstybės, tiek privačių asmenų poreikių suderinimas jau savaime yra privalumas. </w:t>
      </w:r>
      <w:r w:rsidRPr="00CE37D0">
        <w:rPr>
          <w:rFonts w:eastAsia="Times New Roman"/>
          <w:vertAlign w:val="superscript"/>
        </w:rPr>
        <w:footnoteReference w:id="618"/>
      </w:r>
      <w:r w:rsidRPr="00CE37D0">
        <w:rPr>
          <w:rFonts w:eastAsia="Times New Roman"/>
        </w:rPr>
        <w:t xml:space="preserve"> Taikus konflikto išsprendimas šalims susitaikius turi teigiamos įtakos ir subjektyviam procedūriniam teisingumui bei pasitikėjimui teismais, teismo autoritetui visuomenėje.</w:t>
      </w:r>
      <w:r w:rsidRPr="00CE37D0">
        <w:rPr>
          <w:rFonts w:eastAsia="Times New Roman"/>
          <w:vertAlign w:val="superscript"/>
        </w:rPr>
        <w:footnoteReference w:id="619"/>
      </w:r>
      <w:r w:rsidRPr="00CE37D0">
        <w:rPr>
          <w:rFonts w:eastAsia="Times New Roman"/>
        </w:rPr>
        <w:t xml:space="preserve"> Moksliniais tyrimais yra įrodyta, kad dėmesingas šalių nuomonių išklausymas, pagarba ir pasitikėjimas jomis, sąlygų sudarymas pačioms ginčo šalims imtis veiksmų spręsti kilusį konfliktą paprastai sukelia didesnį pasitikėjimą teisingumo vykdymo procesu ir formuoja šalių įsivaizdavimą apie teisingą teismo procesą net ir tada, kai galutinis rezultatas būna nepalankus. </w:t>
      </w:r>
      <w:r w:rsidRPr="00CE37D0">
        <w:rPr>
          <w:rFonts w:eastAsia="Times New Roman"/>
          <w:vertAlign w:val="superscript"/>
        </w:rPr>
        <w:footnoteReference w:id="620"/>
      </w:r>
      <w:r w:rsidRPr="00CE37D0">
        <w:rPr>
          <w:rFonts w:eastAsia="Times New Roman"/>
        </w:rPr>
        <w:t xml:space="preserve"> Kai kurie autoriai daro vienareikšmišką išvadą, kad paprastai susitaikymas geriau atspindi </w:t>
      </w:r>
      <w:r w:rsidRPr="00CE37D0">
        <w:rPr>
          <w:rFonts w:eastAsia="Times New Roman"/>
        </w:rPr>
        <w:lastRenderedPageBreak/>
        <w:t xml:space="preserve">teisingumo idėją </w:t>
      </w:r>
      <w:proofErr w:type="gramStart"/>
      <w:r w:rsidRPr="00CE37D0">
        <w:rPr>
          <w:rFonts w:eastAsia="Times New Roman"/>
        </w:rPr>
        <w:t>(</w:t>
      </w:r>
      <w:proofErr w:type="gramEnd"/>
      <w:r w:rsidRPr="00CE37D0">
        <w:rPr>
          <w:rFonts w:eastAsia="Times New Roman"/>
        </w:rPr>
        <w:t xml:space="preserve">vok. </w:t>
      </w:r>
      <w:r w:rsidRPr="00CE37D0">
        <w:rPr>
          <w:rFonts w:eastAsia="Times New Roman"/>
          <w:i/>
        </w:rPr>
        <w:t>Rechtsfrieden</w:t>
      </w:r>
      <w:r w:rsidRPr="00CE37D0">
        <w:rPr>
          <w:rFonts w:eastAsia="Times New Roman"/>
        </w:rPr>
        <w:t xml:space="preserve">) negu teisingas ir tinkamai pagrįstas nuosprendis, tačiau sutinka, kad galimos išimtys, kai procesą būtina užbaigti nuosprendžiu. </w:t>
      </w:r>
      <w:r w:rsidRPr="00CE37D0">
        <w:rPr>
          <w:rStyle w:val="Puslapioinaosnuoroda"/>
        </w:rPr>
        <w:footnoteReference w:id="621"/>
      </w:r>
    </w:p>
    <w:p w:rsidR="003E3809" w:rsidRPr="00CE37D0" w:rsidRDefault="003E3809" w:rsidP="0071562F">
      <w:pPr>
        <w:spacing w:line="360" w:lineRule="auto"/>
        <w:ind w:firstLine="1080"/>
        <w:jc w:val="both"/>
        <w:rPr>
          <w:rFonts w:eastAsia="Times New Roman"/>
        </w:rPr>
      </w:pPr>
      <w:r w:rsidRPr="00CE37D0">
        <w:rPr>
          <w:rFonts w:eastAsia="Times New Roman"/>
        </w:rPr>
        <w:t xml:space="preserve">Pasiekus susitarimą yra greičiau užbaigiamas ginčo nagrinėjimas teisme. Jei šalys susitaria jau taikinamajame posėdyje, nereikia vykdyti įrodymų tyrimo, nėra ginčijamas teismo sprendimo teisėtumas ir pagrįstumas. Taigi šalių susitaikymas atitinka ir </w:t>
      </w:r>
      <w:r w:rsidR="00E33A9F">
        <w:rPr>
          <w:rFonts w:eastAsia="Times New Roman"/>
        </w:rPr>
        <w:t>K</w:t>
      </w:r>
      <w:r w:rsidRPr="00CE37D0">
        <w:rPr>
          <w:rFonts w:eastAsia="Times New Roman"/>
        </w:rPr>
        <w:t>onvencijoje įtvirtintą asmens teisę, kad byla būtų išnagrinėta per įmanomai trumpiausią laiką.</w:t>
      </w:r>
      <w:r w:rsidR="00452526">
        <w:rPr>
          <w:rFonts w:eastAsia="Times New Roman"/>
        </w:rPr>
        <w:t xml:space="preserve"> </w:t>
      </w:r>
      <w:r w:rsidRPr="00CE37D0">
        <w:rPr>
          <w:rFonts w:eastAsia="Times New Roman"/>
        </w:rPr>
        <w:t xml:space="preserve">Susitaikymo instituto baudžiamosiose bylose konstitucingumo klausimu </w:t>
      </w:r>
      <w:r w:rsidRPr="00CE37D0">
        <w:rPr>
          <w:rStyle w:val="Puslapioinaosnuoroda"/>
        </w:rPr>
        <w:footnoteReference w:id="622"/>
      </w:r>
      <w:r w:rsidRPr="00CE37D0">
        <w:rPr>
          <w:rFonts w:eastAsia="Times New Roman"/>
        </w:rPr>
        <w:t xml:space="preserve"> pasisakyta ir konstitucinėje jurisprudencijoje: ,,</w:t>
      </w:r>
      <w:r w:rsidR="002F525D">
        <w:rPr>
          <w:rFonts w:eastAsia="Times New Roman"/>
          <w:i/>
          <w:iCs/>
        </w:rPr>
        <w:t>r</w:t>
      </w:r>
      <w:r w:rsidRPr="00CE37D0">
        <w:rPr>
          <w:rFonts w:eastAsia="Times New Roman"/>
          <w:i/>
          <w:iCs/>
        </w:rPr>
        <w:t xml:space="preserve">eguliuodamas baudžiamojo proceso santykius įstatymų leidėjas, </w:t>
      </w:r>
      <w:r w:rsidR="002F525D">
        <w:rPr>
          <w:rFonts w:eastAsia="Times New Roman"/>
          <w:i/>
          <w:iCs/>
        </w:rPr>
        <w:t>[...]</w:t>
      </w:r>
      <w:r w:rsidRPr="00CE37D0">
        <w:rPr>
          <w:rFonts w:eastAsia="Times New Roman"/>
          <w:i/>
          <w:iCs/>
        </w:rPr>
        <w:t>, turi diskreciją nustatyti ir tokį teisinį reguliavimą, kad nukentėjusysis (jo atstovas) ir asmuo, kaltinamas padaręs nusikalstamą veiką, turėtų galimybę susitaikyti ir šis susitaikymas būtų pagrindas nutraukti baudžiamąjį procesą. Susitaikymas galimas ir tose baudžiamosiose bylose, kuriose kaltinimą teisme palaiko pats nukentėjusysis (jo atstovas), ir tose, kuriose valstybinį kaltinimą palaiko prokuroras.“</w:t>
      </w:r>
      <w:r w:rsidR="00962158">
        <w:rPr>
          <w:rFonts w:eastAsia="Times New Roman"/>
          <w:i/>
          <w:iCs/>
        </w:rPr>
        <w:t xml:space="preserve"> </w:t>
      </w:r>
      <w:r w:rsidRPr="00CE37D0">
        <w:rPr>
          <w:rStyle w:val="Puslapioinaosnuoroda"/>
        </w:rPr>
        <w:footnoteReference w:id="623"/>
      </w:r>
      <w:r w:rsidR="00CC2579">
        <w:rPr>
          <w:rFonts w:eastAsia="Times New Roman"/>
          <w:i/>
          <w:iCs/>
        </w:rPr>
        <w:t xml:space="preserve"> </w:t>
      </w:r>
      <w:r w:rsidRPr="00CE37D0">
        <w:rPr>
          <w:sz w:val="26"/>
          <w:szCs w:val="26"/>
        </w:rPr>
        <w:t>Š</w:t>
      </w:r>
      <w:r w:rsidRPr="00CE37D0">
        <w:rPr>
          <w:rFonts w:eastAsia="Times New Roman"/>
        </w:rPr>
        <w:t>alims taikiai susitarus, yra taupom</w:t>
      </w:r>
      <w:r w:rsidR="00C249C5" w:rsidRPr="00CE37D0">
        <w:rPr>
          <w:rFonts w:eastAsia="Times New Roman"/>
        </w:rPr>
        <w:t>a</w:t>
      </w:r>
      <w:r w:rsidRPr="00CE37D0">
        <w:rPr>
          <w:rFonts w:eastAsia="Times New Roman"/>
        </w:rPr>
        <w:t>s jų laikas ir lėšos, nes mažėja išlaidos, s</w:t>
      </w:r>
      <w:r w:rsidR="00C249C5" w:rsidRPr="00CE37D0">
        <w:rPr>
          <w:rFonts w:eastAsia="Times New Roman"/>
        </w:rPr>
        <w:t xml:space="preserve">usijusios su bylos nagrinėjimu; toks ginčų sprendimo būdas </w:t>
      </w:r>
      <w:r w:rsidRPr="00CE37D0">
        <w:rPr>
          <w:rFonts w:eastAsia="Times New Roman"/>
        </w:rPr>
        <w:t xml:space="preserve">teigiamai </w:t>
      </w:r>
      <w:r w:rsidR="00452526">
        <w:rPr>
          <w:rFonts w:eastAsia="Times New Roman"/>
        </w:rPr>
        <w:t>veikia ir administracinius poreikius</w:t>
      </w:r>
      <w:r w:rsidRPr="00CE37D0">
        <w:rPr>
          <w:rFonts w:eastAsia="Times New Roman"/>
        </w:rPr>
        <w:t>: mažėja teisingumo vykdym</w:t>
      </w:r>
      <w:r w:rsidR="00C249C5" w:rsidRPr="00CE37D0">
        <w:rPr>
          <w:rFonts w:eastAsia="Times New Roman"/>
        </w:rPr>
        <w:t>o išlaido</w:t>
      </w:r>
      <w:r w:rsidR="00D8011B">
        <w:rPr>
          <w:rFonts w:eastAsia="Times New Roman"/>
        </w:rPr>
        <w:t>s</w:t>
      </w:r>
      <w:r w:rsidRPr="00CE37D0">
        <w:rPr>
          <w:rFonts w:eastAsia="Times New Roman"/>
        </w:rPr>
        <w:t>, teismų darbo krūvis. Baudžiamajame procese konflikto sprendimas šalių sutaikymu</w:t>
      </w:r>
      <w:r w:rsidR="0071562F" w:rsidRPr="00CE37D0">
        <w:rPr>
          <w:rFonts w:eastAsia="Times New Roman"/>
        </w:rPr>
        <w:t xml:space="preserve"> maksimaliai priimtinas abiems šali</w:t>
      </w:r>
      <w:r w:rsidRPr="00CE37D0">
        <w:rPr>
          <w:rFonts w:eastAsia="Times New Roman"/>
        </w:rPr>
        <w:t>ms: nukentėjusysis pasiekia moralinę satisfakciją tapęs padėties šeimininku, nuo kurio priklauso tolesnis proceso ir paties kaltininko likimas, šalys susitaria dėl žalos atlyginimo ir (ar) teisinės padėties atkūrimo (pvz., informacijos paneigimo)</w:t>
      </w:r>
      <w:r w:rsidR="002328FA">
        <w:rPr>
          <w:rFonts w:eastAsia="Times New Roman"/>
        </w:rPr>
        <w:t>, o kaltininkas atleidžiamas nuo baudžiamosios atsakomybės už padarytą nusikalstamą veiką</w:t>
      </w:r>
      <w:r w:rsidRPr="00CE37D0">
        <w:rPr>
          <w:rFonts w:eastAsia="Times New Roman"/>
        </w:rPr>
        <w:t xml:space="preserve">. </w:t>
      </w:r>
    </w:p>
    <w:p w:rsidR="003E3809" w:rsidRPr="00CE37D0" w:rsidRDefault="003E3809" w:rsidP="00044CCF">
      <w:pPr>
        <w:spacing w:line="360" w:lineRule="auto"/>
        <w:ind w:firstLine="1080"/>
        <w:jc w:val="both"/>
        <w:rPr>
          <w:rFonts w:eastAsia="Times New Roman"/>
        </w:rPr>
      </w:pPr>
      <w:r w:rsidRPr="00CE37D0">
        <w:rPr>
          <w:rFonts w:eastAsia="Times New Roman"/>
        </w:rPr>
        <w:t xml:space="preserve">Tiek viešojo, tiek privataus kaltinimo procese susitaikymas numatytas kaip baudžiamojo konflikto išsprendimo galimybė, tačiau ši sąvoka nėra tapati abiejose baudžiamojo proceso formose. Analizuodama sutaikinimo prigimtį, R. Ažubalytė teigia, kad </w:t>
      </w:r>
      <w:r w:rsidR="002F525D">
        <w:rPr>
          <w:rFonts w:eastAsia="Times New Roman"/>
        </w:rPr>
        <w:t>„</w:t>
      </w:r>
      <w:r w:rsidRPr="00CE37D0">
        <w:rPr>
          <w:rFonts w:eastAsia="Times New Roman"/>
          <w:i/>
        </w:rPr>
        <w:t>viešojo kaltinimo bylose susitaikymas yra atkuriamojo teisingumo koncepcijos dalis</w:t>
      </w:r>
      <w:r w:rsidR="000A377F">
        <w:rPr>
          <w:rFonts w:eastAsia="Times New Roman"/>
          <w:i/>
        </w:rPr>
        <w:t>,</w:t>
      </w:r>
      <w:r w:rsidRPr="00CE37D0">
        <w:rPr>
          <w:rFonts w:eastAsia="Times New Roman"/>
          <w:i/>
        </w:rPr>
        <w:t xml:space="preserve"> o privataus kaltinimo bylose taikinamasis posėdis [...] yra logiška specifinio proceso, kuriame nukentėjusiojo valia yra lemianti proceso eigą, dalis</w:t>
      </w:r>
      <w:r w:rsidRPr="00CE37D0">
        <w:rPr>
          <w:rFonts w:eastAsia="Times New Roman"/>
        </w:rPr>
        <w:t xml:space="preserve">. </w:t>
      </w:r>
      <w:r w:rsidRPr="00CE37D0">
        <w:rPr>
          <w:rFonts w:eastAsia="Times New Roman"/>
          <w:i/>
        </w:rPr>
        <w:t xml:space="preserve">Tačiau šių savo prigimtimi skirtingų institutų teisinio reguliavimo tikslas turi bendrą </w:t>
      </w:r>
      <w:r w:rsidR="00166417" w:rsidRPr="00CE37D0">
        <w:rPr>
          <w:rFonts w:eastAsia="Times New Roman"/>
          <w:i/>
        </w:rPr>
        <w:t>vardiklį</w:t>
      </w:r>
      <w:r w:rsidR="005E2D39" w:rsidRPr="00CE37D0">
        <w:rPr>
          <w:rFonts w:eastAsia="Times New Roman"/>
          <w:i/>
        </w:rPr>
        <w:t>, kuri</w:t>
      </w:r>
      <w:r w:rsidR="00166417" w:rsidRPr="00CE37D0">
        <w:rPr>
          <w:rFonts w:eastAsia="Times New Roman"/>
          <w:i/>
        </w:rPr>
        <w:t>s</w:t>
      </w:r>
      <w:r w:rsidR="00046171">
        <w:rPr>
          <w:rFonts w:eastAsia="Times New Roman"/>
          <w:i/>
        </w:rPr>
        <w:t xml:space="preserve"> </w:t>
      </w:r>
      <w:r w:rsidR="00166417" w:rsidRPr="00CE37D0">
        <w:rPr>
          <w:rFonts w:eastAsia="Times New Roman"/>
          <w:i/>
        </w:rPr>
        <w:t xml:space="preserve">išreiškiamas </w:t>
      </w:r>
      <w:r w:rsidRPr="00CE37D0">
        <w:rPr>
          <w:rFonts w:eastAsia="Times New Roman"/>
          <w:i/>
        </w:rPr>
        <w:t>proces</w:t>
      </w:r>
      <w:r w:rsidR="005E2D39" w:rsidRPr="00CE37D0">
        <w:rPr>
          <w:rFonts w:eastAsia="Times New Roman"/>
          <w:i/>
        </w:rPr>
        <w:t>o nuostatas</w:t>
      </w:r>
      <w:r w:rsidRPr="00CE37D0">
        <w:rPr>
          <w:rFonts w:eastAsia="Times New Roman"/>
          <w:i/>
        </w:rPr>
        <w:t xml:space="preserve"> modeli</w:t>
      </w:r>
      <w:r w:rsidR="00166417" w:rsidRPr="00CE37D0">
        <w:rPr>
          <w:rFonts w:eastAsia="Times New Roman"/>
          <w:i/>
        </w:rPr>
        <w:t>uojant</w:t>
      </w:r>
      <w:r w:rsidRPr="00CE37D0">
        <w:rPr>
          <w:rFonts w:eastAsia="Times New Roman"/>
          <w:i/>
        </w:rPr>
        <w:t xml:space="preserve"> taip, kad pirmiausia būtų nukentėjusiajam atlyginta nusikaltim</w:t>
      </w:r>
      <w:r w:rsidR="005E2D39" w:rsidRPr="00CE37D0">
        <w:rPr>
          <w:rFonts w:eastAsia="Times New Roman"/>
          <w:i/>
        </w:rPr>
        <w:t>u</w:t>
      </w:r>
      <w:r w:rsidRPr="00CE37D0">
        <w:rPr>
          <w:rFonts w:eastAsia="Times New Roman"/>
          <w:i/>
        </w:rPr>
        <w:t xml:space="preserve"> padaryta </w:t>
      </w:r>
      <w:r w:rsidR="005E2D39" w:rsidRPr="00CE37D0">
        <w:rPr>
          <w:rFonts w:eastAsia="Times New Roman"/>
          <w:i/>
        </w:rPr>
        <w:t>žal</w:t>
      </w:r>
      <w:r w:rsidRPr="00CE37D0">
        <w:rPr>
          <w:rFonts w:eastAsia="Times New Roman"/>
          <w:i/>
        </w:rPr>
        <w:t>a</w:t>
      </w:r>
      <w:r w:rsidR="002F525D">
        <w:rPr>
          <w:rFonts w:eastAsia="Times New Roman"/>
          <w:i/>
        </w:rPr>
        <w:t>“</w:t>
      </w:r>
      <w:r w:rsidRPr="00CE37D0">
        <w:rPr>
          <w:rFonts w:eastAsia="Times New Roman"/>
          <w:i/>
        </w:rPr>
        <w:t>.</w:t>
      </w:r>
      <w:r w:rsidRPr="00CE37D0">
        <w:rPr>
          <w:rFonts w:eastAsia="Times New Roman"/>
        </w:rPr>
        <w:t xml:space="preserve"> </w:t>
      </w:r>
      <w:r w:rsidR="00046171" w:rsidRPr="00CE37D0">
        <w:rPr>
          <w:rFonts w:eastAsia="Times New Roman"/>
          <w:i/>
          <w:vertAlign w:val="superscript"/>
        </w:rPr>
        <w:footnoteReference w:id="624"/>
      </w:r>
      <w:r w:rsidR="00046171">
        <w:rPr>
          <w:rFonts w:eastAsia="Times New Roman"/>
        </w:rPr>
        <w:t xml:space="preserve"> </w:t>
      </w:r>
      <w:r w:rsidRPr="00CE37D0">
        <w:rPr>
          <w:rFonts w:eastAsia="Times New Roman"/>
        </w:rPr>
        <w:t xml:space="preserve">Lyginant su viešojo kaltinimo procesu, bylose dėl privataus kaltinimo tvarka </w:t>
      </w:r>
      <w:r w:rsidR="002F525D">
        <w:rPr>
          <w:rFonts w:eastAsia="Times New Roman"/>
        </w:rPr>
        <w:t>nagrinėj</w:t>
      </w:r>
      <w:r w:rsidRPr="00CE37D0">
        <w:rPr>
          <w:rFonts w:eastAsia="Times New Roman"/>
        </w:rPr>
        <w:t xml:space="preserve">amų </w:t>
      </w:r>
      <w:r w:rsidR="002F525D">
        <w:rPr>
          <w:rFonts w:eastAsia="Times New Roman"/>
        </w:rPr>
        <w:t xml:space="preserve">nusikalstamų </w:t>
      </w:r>
      <w:r w:rsidRPr="00CE37D0">
        <w:rPr>
          <w:rFonts w:eastAsia="Times New Roman"/>
        </w:rPr>
        <w:t xml:space="preserve">veikų minimaliai orientuojamasi į teisingumo vykdymo modeliui būdingą atpildo, t.y. bausmės, kaltininkui siekį. </w:t>
      </w:r>
      <w:r w:rsidRPr="00CE37D0">
        <w:rPr>
          <w:rFonts w:eastAsia="Times New Roman"/>
          <w:bCs/>
        </w:rPr>
        <w:t xml:space="preserve">Prioritetas teikiamas </w:t>
      </w:r>
      <w:r w:rsidRPr="00CE37D0">
        <w:rPr>
          <w:rFonts w:eastAsia="Times New Roman"/>
        </w:rPr>
        <w:lastRenderedPageBreak/>
        <w:t>etiniams klausimams,</w:t>
      </w:r>
      <w:r w:rsidR="00452526">
        <w:rPr>
          <w:rFonts w:eastAsia="Times New Roman"/>
        </w:rPr>
        <w:t xml:space="preserve"> tiksliau tariant,</w:t>
      </w:r>
      <w:r w:rsidRPr="00CE37D0">
        <w:rPr>
          <w:rFonts w:eastAsia="Times New Roman"/>
        </w:rPr>
        <w:t xml:space="preserve"> </w:t>
      </w:r>
      <w:r w:rsidRPr="00CE37D0">
        <w:rPr>
          <w:rFonts w:eastAsia="Times New Roman"/>
          <w:bCs/>
        </w:rPr>
        <w:t>siekiui atstatyti normalius nukentėjusiojo ir kaltininko santykius</w:t>
      </w:r>
      <w:r w:rsidRPr="00CE37D0">
        <w:rPr>
          <w:rFonts w:eastAsia="Times New Roman"/>
        </w:rPr>
        <w:t xml:space="preserve">. </w:t>
      </w:r>
    </w:p>
    <w:p w:rsidR="003E3809" w:rsidRPr="00CE37D0" w:rsidRDefault="00EF1F41" w:rsidP="00044CCF">
      <w:pPr>
        <w:spacing w:line="360" w:lineRule="auto"/>
        <w:ind w:firstLine="1080"/>
        <w:jc w:val="both"/>
        <w:rPr>
          <w:rFonts w:eastAsia="Times New Roman"/>
        </w:rPr>
      </w:pPr>
      <w:r>
        <w:rPr>
          <w:rFonts w:eastAsia="Times New Roman"/>
        </w:rPr>
        <w:t>Dispozityvus teisinis reguliavimas ir privataus intereso dominantė suponuoja sutaikinimo procedūros ypatumus privataus kaltinimo procese. Tai atsiskleidžia lyginant</w:t>
      </w:r>
      <w:r w:rsidR="003E3809" w:rsidRPr="00CE37D0">
        <w:rPr>
          <w:rFonts w:eastAsia="Times New Roman"/>
        </w:rPr>
        <w:t xml:space="preserve"> susitaikymo institutą privataus ir viešojo kaltinimo bylose</w:t>
      </w:r>
      <w:r>
        <w:rPr>
          <w:rFonts w:eastAsia="Times New Roman"/>
        </w:rPr>
        <w:t>.</w:t>
      </w:r>
      <w:r w:rsidR="00452526">
        <w:rPr>
          <w:rFonts w:eastAsia="Times New Roman"/>
        </w:rPr>
        <w:t xml:space="preserve"> </w:t>
      </w:r>
      <w:r w:rsidR="00631DA3">
        <w:rPr>
          <w:rFonts w:eastAsia="Times New Roman"/>
        </w:rPr>
        <w:t>Toliau bus analizuojami</w:t>
      </w:r>
      <w:r w:rsidR="003E3809" w:rsidRPr="00CE37D0">
        <w:rPr>
          <w:rFonts w:eastAsia="Times New Roman"/>
        </w:rPr>
        <w:t xml:space="preserve"> taikinimo sąlygų, procedūrų ir teisinių pasekmių skirtum</w:t>
      </w:r>
      <w:r w:rsidR="00631DA3">
        <w:rPr>
          <w:rFonts w:eastAsia="Times New Roman"/>
        </w:rPr>
        <w:t>ai</w:t>
      </w:r>
      <w:r w:rsidR="003E3809" w:rsidRPr="00CE37D0">
        <w:rPr>
          <w:rFonts w:eastAsia="Times New Roman"/>
        </w:rPr>
        <w:t xml:space="preserve">. </w:t>
      </w:r>
      <w:r w:rsidR="003E3809" w:rsidRPr="00CE37D0">
        <w:rPr>
          <w:rFonts w:eastAsia="Times New Roman"/>
          <w:vertAlign w:val="superscript"/>
        </w:rPr>
        <w:footnoteReference w:id="625"/>
      </w:r>
    </w:p>
    <w:p w:rsidR="003E3809" w:rsidRPr="00CE37D0" w:rsidRDefault="003E3809" w:rsidP="00044CCF">
      <w:pPr>
        <w:spacing w:line="360" w:lineRule="auto"/>
        <w:ind w:firstLine="1080"/>
        <w:jc w:val="both"/>
        <w:rPr>
          <w:rFonts w:eastAsia="Times New Roman"/>
        </w:rPr>
      </w:pPr>
      <w:r w:rsidRPr="00CE37D0">
        <w:rPr>
          <w:rFonts w:eastAsia="Times New Roman"/>
        </w:rPr>
        <w:t>Viešojo kaltinimo bylose nukentėjusiojo ir kaltininko susitaikymas galimas tik esant visoms įstatyme</w:t>
      </w:r>
      <w:r w:rsidR="00126829">
        <w:rPr>
          <w:rFonts w:eastAsia="Times New Roman"/>
        </w:rPr>
        <w:t xml:space="preserve"> numatytoms sąlygoms (BK 38 straipsnio</w:t>
      </w:r>
      <w:r w:rsidRPr="00CE37D0">
        <w:rPr>
          <w:rFonts w:eastAsia="Times New Roman"/>
        </w:rPr>
        <w:t xml:space="preserve"> 1 d</w:t>
      </w:r>
      <w:r w:rsidR="00126829">
        <w:rPr>
          <w:rFonts w:eastAsia="Times New Roman"/>
        </w:rPr>
        <w:t>alis</w:t>
      </w:r>
      <w:r w:rsidRPr="00CE37D0">
        <w:rPr>
          <w:rFonts w:eastAsia="Times New Roman"/>
        </w:rPr>
        <w:t xml:space="preserve">). Privataus kaltinimo bylų procese nenumatytos jokios išankstinės sąlygos, todėl taikymasis galimas visais atvejais. Kaltininko asmenybė, ankstesni teistumai ar sąlyginiai sprendimai nutraukti baudžiamąjį procesą jo atžvilgiu neturi įtakos galimybei susitaikyti. Taip pat netaikomas ir viešojo intereso suponuotas reikalavimas, kad kaltininkas savo elgesiu, asmenybės ypatumais ir pan. sudarytų pagrindą manymui, kad nedarys naujų nusikalstamų veikų ateityje. Vertintina, kad privataus kaltinimo tvarka </w:t>
      </w:r>
      <w:r w:rsidR="00DD53AD">
        <w:rPr>
          <w:rFonts w:eastAsia="Times New Roman"/>
        </w:rPr>
        <w:t>nagrinė</w:t>
      </w:r>
      <w:r w:rsidRPr="00CE37D0">
        <w:rPr>
          <w:rFonts w:eastAsia="Times New Roman"/>
        </w:rPr>
        <w:t>jamų nusikalstamų veikų padarymas nesukelia konflikto su valstybe ir visuomene (ar tas konfliktas nėra reikšmingas), todėl ir nekelia</w:t>
      </w:r>
      <w:r w:rsidR="002F525D">
        <w:rPr>
          <w:rFonts w:eastAsia="Times New Roman"/>
        </w:rPr>
        <w:t>mos</w:t>
      </w:r>
      <w:r w:rsidRPr="00CE37D0">
        <w:rPr>
          <w:rFonts w:eastAsia="Times New Roman"/>
        </w:rPr>
        <w:t xml:space="preserve"> sąlyg</w:t>
      </w:r>
      <w:r w:rsidR="002F525D">
        <w:rPr>
          <w:rFonts w:eastAsia="Times New Roman"/>
        </w:rPr>
        <w:t>os</w:t>
      </w:r>
      <w:r w:rsidRPr="00CE37D0">
        <w:rPr>
          <w:rFonts w:eastAsia="Times New Roman"/>
        </w:rPr>
        <w:t xml:space="preserve"> kaltininko asmenybei bei nesikiša</w:t>
      </w:r>
      <w:r w:rsidR="002F525D">
        <w:rPr>
          <w:rFonts w:eastAsia="Times New Roman"/>
        </w:rPr>
        <w:t>ma</w:t>
      </w:r>
      <w:r w:rsidRPr="00CE37D0">
        <w:rPr>
          <w:rFonts w:eastAsia="Times New Roman"/>
        </w:rPr>
        <w:t xml:space="preserve"> į </w:t>
      </w:r>
      <w:r w:rsidR="002F525D">
        <w:rPr>
          <w:rFonts w:eastAsia="Times New Roman"/>
        </w:rPr>
        <w:t xml:space="preserve">šalių santykius, kai šios susitaria dėl </w:t>
      </w:r>
      <w:r w:rsidRPr="00CE37D0">
        <w:rPr>
          <w:rFonts w:eastAsia="Times New Roman"/>
        </w:rPr>
        <w:t>taikaus konflikto išsprendim</w:t>
      </w:r>
      <w:r w:rsidR="002F525D">
        <w:rPr>
          <w:rFonts w:eastAsia="Times New Roman"/>
        </w:rPr>
        <w:t>o</w:t>
      </w:r>
      <w:r w:rsidRPr="00CE37D0">
        <w:rPr>
          <w:rFonts w:eastAsia="Times New Roman"/>
        </w:rPr>
        <w:t xml:space="preserve">. Iš to </w:t>
      </w:r>
      <w:r w:rsidR="00452526">
        <w:rPr>
          <w:rFonts w:eastAsia="Times New Roman"/>
        </w:rPr>
        <w:t>išplaukia</w:t>
      </w:r>
      <w:r w:rsidR="00452526" w:rsidRPr="00CE37D0">
        <w:rPr>
          <w:rFonts w:eastAsia="Times New Roman"/>
        </w:rPr>
        <w:t xml:space="preserve"> </w:t>
      </w:r>
      <w:r w:rsidRPr="00CE37D0">
        <w:rPr>
          <w:rFonts w:eastAsia="Times New Roman"/>
        </w:rPr>
        <w:t>ir antras skirtumas. Sprendimas nutraukti baudžiamąją bylą kaltininkui ir nukentėjusiajam susitaikius viešojo kaltinimo procese yra prokuroro ir teismo teisė. Privataus kaltinimo bylose šalys gali susitaikyti bet kuriuo proceso momentu, jos neprivalo savo sprendimo teismui motyvuoti, o šalių sprendimas susitaikyti teism</w:t>
      </w:r>
      <w:r w:rsidR="00126829">
        <w:rPr>
          <w:rFonts w:eastAsia="Times New Roman"/>
        </w:rPr>
        <w:t>ui yra privalomas (BPK 413 straipsnio</w:t>
      </w:r>
      <w:r w:rsidRPr="00CE37D0">
        <w:rPr>
          <w:rFonts w:eastAsia="Times New Roman"/>
        </w:rPr>
        <w:t xml:space="preserve"> 2 d</w:t>
      </w:r>
      <w:r w:rsidR="00126829">
        <w:rPr>
          <w:rFonts w:eastAsia="Times New Roman"/>
        </w:rPr>
        <w:t>alis</w:t>
      </w:r>
      <w:r w:rsidRPr="00CE37D0">
        <w:rPr>
          <w:rFonts w:eastAsia="Times New Roman"/>
        </w:rPr>
        <w:t>, 416 str</w:t>
      </w:r>
      <w:r w:rsidR="00126829">
        <w:rPr>
          <w:rFonts w:eastAsia="Times New Roman"/>
        </w:rPr>
        <w:t>aipsnio</w:t>
      </w:r>
      <w:r w:rsidRPr="00CE37D0">
        <w:rPr>
          <w:rFonts w:eastAsia="Times New Roman"/>
        </w:rPr>
        <w:t xml:space="preserve"> 3 d</w:t>
      </w:r>
      <w:r w:rsidR="00126829">
        <w:rPr>
          <w:rFonts w:eastAsia="Times New Roman"/>
        </w:rPr>
        <w:t>alis</w:t>
      </w:r>
      <w:r w:rsidRPr="00CE37D0">
        <w:rPr>
          <w:rFonts w:eastAsia="Times New Roman"/>
        </w:rPr>
        <w:t>)</w:t>
      </w:r>
      <w:r w:rsidR="00452526">
        <w:rPr>
          <w:rFonts w:eastAsia="Times New Roman"/>
        </w:rPr>
        <w:t>.</w:t>
      </w:r>
      <w:r w:rsidRPr="00CE37D0">
        <w:rPr>
          <w:rFonts w:eastAsia="Times New Roman"/>
        </w:rPr>
        <w:t xml:space="preserve"> Tai aiškintina disponavimo kaltinimu teorija. Tais atvejais, kai kaltinimu disponuoja nukentėjusysis, jis ir priima sprendimą dėl susitaikymo ir tolesnio baudžiamojo persekiojimo atsisakymo. Kai kaltinimu disponuoja valstybė, sprendimo teisė sutaikyti šalis priklauso valstybės atstovui – prokurorui ar teismui. </w:t>
      </w:r>
    </w:p>
    <w:p w:rsidR="003E3809" w:rsidRPr="00CE37D0" w:rsidRDefault="003E3809" w:rsidP="00044CCF">
      <w:pPr>
        <w:spacing w:line="360" w:lineRule="auto"/>
        <w:ind w:firstLine="1080"/>
        <w:jc w:val="both"/>
        <w:rPr>
          <w:rFonts w:eastAsia="Times New Roman"/>
        </w:rPr>
      </w:pPr>
      <w:r w:rsidRPr="00CE37D0">
        <w:rPr>
          <w:rFonts w:eastAsia="Times New Roman"/>
        </w:rPr>
        <w:t>Labai svarbus susitaikymo instituto skirtumas viešojo ir privataus kaltinimo procese yra teisinių pasekmių buvimas. Viešojo kaltinimo bylų procese atleidimas nuo baudžiamosios atsakomybės šalims susitaikius yra sąlyginis: sprendimas gali būti panaikintas ir asmuo patrauktas baudžiamojon atsakomybėn, jei kaltininkas nesilaiko prisiimtų įsipareigojimų nukentėjusiajam (nesilaiko susitarimo dėl žalos atlyginimo sąlygų) ar valstybei (padaro naują nusikalstamą veiką nepraėjus vieneriems metams nuo sprendimo atleisti nuo baudžiamosios atsakomybės priėmimo). Be to, ket</w:t>
      </w:r>
      <w:r w:rsidR="00452526">
        <w:rPr>
          <w:rFonts w:eastAsia="Times New Roman"/>
        </w:rPr>
        <w:t>verius</w:t>
      </w:r>
      <w:r w:rsidRPr="00CE37D0">
        <w:rPr>
          <w:rFonts w:eastAsia="Times New Roman"/>
        </w:rPr>
        <w:t xml:space="preserve"> metus nuo šio sprendimo priėmimo kaltininkas negali būti antrą kartą atleidžiamas nuo baudžiamosios atsakomybės tokiu pačiu pagrindu. Susitaikymas privataus kaltinimo</w:t>
      </w:r>
      <w:r w:rsidR="001C5381">
        <w:rPr>
          <w:rFonts w:eastAsia="Times New Roman"/>
        </w:rPr>
        <w:t xml:space="preserve"> procese</w:t>
      </w:r>
      <w:r w:rsidR="00452526">
        <w:rPr>
          <w:rFonts w:eastAsia="Times New Roman"/>
        </w:rPr>
        <w:t xml:space="preserve"> </w:t>
      </w:r>
      <w:r w:rsidRPr="00CE37D0">
        <w:rPr>
          <w:rFonts w:eastAsia="Times New Roman"/>
        </w:rPr>
        <w:lastRenderedPageBreak/>
        <w:t xml:space="preserve">nesukelia tokių teisinių pasekmių. Teisines pasekmes sukelia sutartis dėl žalos atlyginimo, jei tokią nukentėjusysis ir (ar) jo teisėtas atstovas bei nusikalstamos veikos padarymu kaltinamas asmuo susitaikydami sudaro. Ji prilygsta taikos sutarčiai, numatytai </w:t>
      </w:r>
      <w:r w:rsidR="001C5381">
        <w:rPr>
          <w:rFonts w:eastAsia="Times New Roman"/>
        </w:rPr>
        <w:t>CPK</w:t>
      </w:r>
      <w:r w:rsidRPr="00CE37D0">
        <w:rPr>
          <w:rFonts w:eastAsia="Times New Roman"/>
        </w:rPr>
        <w:t xml:space="preserve"> 584 str</w:t>
      </w:r>
      <w:r w:rsidR="00126829">
        <w:rPr>
          <w:rFonts w:eastAsia="Times New Roman"/>
        </w:rPr>
        <w:t>aipsnio</w:t>
      </w:r>
      <w:r w:rsidRPr="00CE37D0">
        <w:rPr>
          <w:rFonts w:eastAsia="Times New Roman"/>
        </w:rPr>
        <w:t xml:space="preserve"> 1 d</w:t>
      </w:r>
      <w:r w:rsidR="00126829">
        <w:rPr>
          <w:rFonts w:eastAsia="Times New Roman"/>
        </w:rPr>
        <w:t>alies</w:t>
      </w:r>
      <w:r w:rsidRPr="00CE37D0">
        <w:rPr>
          <w:rFonts w:eastAsia="Times New Roman"/>
        </w:rPr>
        <w:t xml:space="preserve"> 4 p</w:t>
      </w:r>
      <w:r w:rsidR="00126829">
        <w:rPr>
          <w:rFonts w:eastAsia="Times New Roman"/>
        </w:rPr>
        <w:t>.</w:t>
      </w:r>
      <w:r w:rsidRPr="00CE37D0">
        <w:rPr>
          <w:rFonts w:eastAsia="Times New Roman"/>
        </w:rPr>
        <w:t>, ir yra vykdytinas dokumentas tais atvejais, kai žala neatlyginama sutartyje nurodytomis sąlygomis</w:t>
      </w:r>
      <w:r w:rsidR="00452526">
        <w:rPr>
          <w:rFonts w:eastAsia="Times New Roman"/>
        </w:rPr>
        <w:t xml:space="preserve"> </w:t>
      </w:r>
      <w:r w:rsidR="001C5381">
        <w:rPr>
          <w:rFonts w:eastAsia="Times New Roman"/>
        </w:rPr>
        <w:t xml:space="preserve">(gali būti išduodamas </w:t>
      </w:r>
      <w:r w:rsidR="001C5381" w:rsidRPr="00CE37D0">
        <w:rPr>
          <w:rFonts w:eastAsia="Times New Roman"/>
        </w:rPr>
        <w:t>vykdomasis dokumentas (BPK 413 str</w:t>
      </w:r>
      <w:r w:rsidR="00126829">
        <w:rPr>
          <w:rFonts w:eastAsia="Times New Roman"/>
        </w:rPr>
        <w:t>aipsnio 3 dalis</w:t>
      </w:r>
      <w:proofErr w:type="gramStart"/>
      <w:r w:rsidR="001C5381" w:rsidRPr="00CE37D0">
        <w:rPr>
          <w:rFonts w:eastAsia="Times New Roman"/>
        </w:rPr>
        <w:t>)</w:t>
      </w:r>
      <w:r w:rsidR="001C5381">
        <w:rPr>
          <w:rFonts w:eastAsia="Times New Roman"/>
        </w:rPr>
        <w:t>)</w:t>
      </w:r>
      <w:proofErr w:type="gramEnd"/>
      <w:r w:rsidR="00962158">
        <w:rPr>
          <w:rFonts w:eastAsia="Times New Roman"/>
        </w:rPr>
        <w:t xml:space="preserve">, </w:t>
      </w:r>
      <w:r w:rsidRPr="00CE37D0">
        <w:rPr>
          <w:rFonts w:eastAsia="Times New Roman"/>
          <w:vertAlign w:val="superscript"/>
        </w:rPr>
        <w:footnoteReference w:id="626"/>
      </w:r>
      <w:r w:rsidRPr="00CE37D0">
        <w:rPr>
          <w:rFonts w:eastAsia="Times New Roman"/>
        </w:rPr>
        <w:t xml:space="preserve"> tačiau jokių pasekmių baudžiamosios atsakomybės taikymo aspektu nesukelia. </w:t>
      </w:r>
    </w:p>
    <w:p w:rsidR="001C5381" w:rsidRPr="00CE37D0" w:rsidRDefault="003E3809" w:rsidP="001C5381">
      <w:pPr>
        <w:spacing w:line="360" w:lineRule="auto"/>
        <w:ind w:firstLine="851"/>
        <w:jc w:val="both"/>
        <w:rPr>
          <w:iCs/>
        </w:rPr>
      </w:pPr>
      <w:r w:rsidRPr="00CE37D0">
        <w:rPr>
          <w:rFonts w:eastAsia="Times New Roman"/>
        </w:rPr>
        <w:t xml:space="preserve">Skiriasi ir pati taikinimo procedūra viešojo ir privataus kaltinimo bylose. Viešojo kaltinimo bylose susitaikymo iniciatyvos ir procedūriniai klausimai nėra sureguliuoti. Privataus kaltinimo procese, priešingai, taikinimo procedūrai skiriamas nemažas įstatymo leidėjo dėmesys. Tokio skirtumo priežastis – taikinimo procedūros privalomumas ir prioritetas privataus kaltinimo bylose. Taikinimo iniciatyva ir funkcija yra pavedama teisėjui, jis turi imtis priemonių nukentėjusįjį ir nusikalstamos veikos padarymu kaltinamą asmenį sutaikyti taikinamajame posėdyje. Vėlesnėse proceso stadijose susitaikymo iniciatyva tenka šalims. </w:t>
      </w:r>
      <w:r w:rsidR="004D086D">
        <w:rPr>
          <w:rFonts w:eastAsia="Times New Roman"/>
        </w:rPr>
        <w:t>LAT</w:t>
      </w:r>
      <w:r w:rsidRPr="00CE37D0">
        <w:rPr>
          <w:rFonts w:eastAsia="Times New Roman"/>
        </w:rPr>
        <w:t xml:space="preserve"> formuoja vieningą teismų praktiką pereinant iš viešo kaltinimo į privatų tuo aspektu, kad</w:t>
      </w:r>
      <w:r w:rsidR="00452526">
        <w:rPr>
          <w:rFonts w:eastAsia="Times New Roman"/>
        </w:rPr>
        <w:t>,</w:t>
      </w:r>
      <w:r w:rsidRPr="00CE37D0">
        <w:rPr>
          <w:rFonts w:eastAsia="Times New Roman"/>
        </w:rPr>
        <w:t xml:space="preserve"> teisme perkvalifikavus veiką į tokią, dėl kurios procesas vyksta privataus kaltinimo tvarka (o tai pirmiausia suteikia papildomą galimybę šalims susitaikyti)</w:t>
      </w:r>
      <w:r w:rsidR="00452526">
        <w:rPr>
          <w:rFonts w:eastAsia="Times New Roman"/>
        </w:rPr>
        <w:t>,</w:t>
      </w:r>
      <w:r w:rsidRPr="00CE37D0">
        <w:rPr>
          <w:rFonts w:eastAsia="Times New Roman"/>
        </w:rPr>
        <w:t xml:space="preserve"> teisėjas turi išsiaiškinti proceso dalyvių valią (norą) taikytis. Tai suponuoja aktyvų teisėjo vaidmenį siekiant šalis sutaikyti. </w:t>
      </w:r>
      <w:r w:rsidR="001C5381" w:rsidRPr="00CE37D0">
        <w:rPr>
          <w:iCs/>
        </w:rPr>
        <w:t xml:space="preserve">Nutartyse, susijusiose su BPK nuostatų dėl privataus kaltinimo bylų proceso reglamentavimo taikymu, baudžiamojo proceso pažeidimo esmingumas siejamas su galimybės nukentėjusiajam ir kaltininkui susitaikyti suteikimu, kadangi būtent galimybės susitaikyti nebuvimas viešo kaltinimo procese susiaurina kaltinamojo ir nukentėjusiojo teisių apimtį ir pasunkina kaltinamojo procesinę padėtį, jei nukentėjęs ir kaltininkas turėjo norą susitaikyti, tačiau jiems nebuvo suteikta tokia procesinė galimybė. </w:t>
      </w:r>
    </w:p>
    <w:p w:rsidR="00A33FC1" w:rsidRDefault="003E3809" w:rsidP="00A33FC1">
      <w:pPr>
        <w:spacing w:line="360" w:lineRule="auto"/>
        <w:ind w:firstLine="851"/>
        <w:jc w:val="both"/>
        <w:rPr>
          <w:rFonts w:eastAsia="Times New Roman"/>
        </w:rPr>
      </w:pPr>
      <w:r w:rsidRPr="00CE37D0">
        <w:rPr>
          <w:rFonts w:eastAsia="Times New Roman"/>
        </w:rPr>
        <w:t>BPK taikinimo procedūra reglamentuota kaip sudėtinė privataus kaltinimo bylų proceso dalis, kadangi vykdoma teismui priėmus privataus kaltinimo skundą (ar</w:t>
      </w:r>
      <w:r w:rsidR="001C5381">
        <w:rPr>
          <w:rFonts w:eastAsia="Times New Roman"/>
        </w:rPr>
        <w:t xml:space="preserve"> jo teisėto atstovo pareiškimą)</w:t>
      </w:r>
      <w:r w:rsidR="00452526">
        <w:rPr>
          <w:rFonts w:eastAsia="Times New Roman"/>
        </w:rPr>
        <w:t xml:space="preserve"> </w:t>
      </w:r>
      <w:r w:rsidR="001C5381" w:rsidRPr="00CE37D0">
        <w:rPr>
          <w:rFonts w:eastAsia="Times New Roman"/>
        </w:rPr>
        <w:t>iki privataus kaltinimo bylos perdavimo teism</w:t>
      </w:r>
      <w:r w:rsidR="00126829">
        <w:rPr>
          <w:rFonts w:eastAsia="Times New Roman"/>
        </w:rPr>
        <w:t>iniam nagrinėjimui (BPK 413 straipsnio</w:t>
      </w:r>
      <w:r w:rsidR="001C5381" w:rsidRPr="00CE37D0">
        <w:rPr>
          <w:rFonts w:eastAsia="Times New Roman"/>
        </w:rPr>
        <w:t xml:space="preserve"> 1 d</w:t>
      </w:r>
      <w:r w:rsidR="00126829">
        <w:rPr>
          <w:rFonts w:eastAsia="Times New Roman"/>
        </w:rPr>
        <w:t>alis</w:t>
      </w:r>
      <w:r w:rsidR="001C5381" w:rsidRPr="00CE37D0">
        <w:rPr>
          <w:rFonts w:eastAsia="Times New Roman"/>
        </w:rPr>
        <w:t xml:space="preserve">). </w:t>
      </w:r>
      <w:r w:rsidR="001C5381" w:rsidRPr="00CE37D0">
        <w:rPr>
          <w:rStyle w:val="Puslapioinaosnuoroda"/>
        </w:rPr>
        <w:footnoteReference w:id="627"/>
      </w:r>
      <w:r w:rsidR="00452526">
        <w:rPr>
          <w:rFonts w:eastAsia="Times New Roman"/>
        </w:rPr>
        <w:t xml:space="preserve"> </w:t>
      </w:r>
      <w:r w:rsidRPr="00CE37D0">
        <w:rPr>
          <w:rFonts w:eastAsia="Times New Roman"/>
        </w:rPr>
        <w:t xml:space="preserve">Vokietijos teisėje, skirtingai nuo Lietuvos, taikinimo procedūra yra būtina sąlyga prieš </w:t>
      </w:r>
      <w:r w:rsidRPr="00CE37D0">
        <w:rPr>
          <w:rFonts w:eastAsia="Times New Roman"/>
        </w:rPr>
        <w:lastRenderedPageBreak/>
        <w:t xml:space="preserve">inicijuojant privataus kaltinimo procesą teisme. Tam tikrų nusikalstamų veikų atveju (būsto neliečiamumo pažeidimas, įžeidimas, susirašinėjimo slaptumo pažeidimas, kūno sužalojimas, grasinimas, žalos padarymas turtui) yra numatyta privaloma ikiteisminė taikinimo procedūra </w:t>
      </w:r>
      <w:proofErr w:type="gramStart"/>
      <w:r w:rsidRPr="00CE37D0">
        <w:rPr>
          <w:rFonts w:eastAsia="Times New Roman"/>
        </w:rPr>
        <w:t>(</w:t>
      </w:r>
      <w:proofErr w:type="gramEnd"/>
      <w:r w:rsidRPr="00CE37D0">
        <w:rPr>
          <w:rFonts w:eastAsia="Times New Roman"/>
        </w:rPr>
        <w:t xml:space="preserve">vok. </w:t>
      </w:r>
      <w:r w:rsidRPr="00CE37D0">
        <w:rPr>
          <w:rFonts w:eastAsia="Times New Roman"/>
          <w:i/>
        </w:rPr>
        <w:t>S</w:t>
      </w:r>
      <w:r w:rsidR="00D06EE0">
        <w:rPr>
          <w:rFonts w:eastAsia="Times New Roman"/>
          <w:i/>
        </w:rPr>
        <w:t>ü</w:t>
      </w:r>
      <w:r w:rsidRPr="00CE37D0">
        <w:rPr>
          <w:rFonts w:eastAsia="Times New Roman"/>
          <w:i/>
        </w:rPr>
        <w:t>hneversuch</w:t>
      </w:r>
      <w:r w:rsidRPr="00CE37D0">
        <w:rPr>
          <w:rFonts w:eastAsia="Times New Roman"/>
        </w:rPr>
        <w:t xml:space="preserve">, angl. </w:t>
      </w:r>
      <w:r w:rsidRPr="00CE37D0">
        <w:rPr>
          <w:rFonts w:eastAsia="Times New Roman"/>
          <w:i/>
        </w:rPr>
        <w:t>conciliation attempt</w:t>
      </w:r>
      <w:r w:rsidRPr="00CE37D0">
        <w:rPr>
          <w:rFonts w:eastAsia="Times New Roman"/>
        </w:rPr>
        <w:t xml:space="preserve">, t.y. mėginimas sutaikyti). Vokietijos baudžiamajame procese stebima tendencija išplėsti privalomo ikiteisminio taikinimo atvejus: pradžioje privalomo taikinimo procedūra buvo būtina tik įžeidimo atveju, o šiuo metu taikoma </w:t>
      </w:r>
      <w:r w:rsidR="00EF1F41">
        <w:rPr>
          <w:rFonts w:eastAsia="Times New Roman"/>
        </w:rPr>
        <w:t xml:space="preserve">dėl </w:t>
      </w:r>
      <w:r w:rsidRPr="00CE37D0">
        <w:rPr>
          <w:rFonts w:eastAsia="Times New Roman"/>
        </w:rPr>
        <w:t xml:space="preserve">daugelio </w:t>
      </w:r>
      <w:r w:rsidR="0043367D">
        <w:rPr>
          <w:rFonts w:eastAsia="Times New Roman"/>
        </w:rPr>
        <w:t xml:space="preserve">privataus kaltinimo tvarka nagrinėjamų </w:t>
      </w:r>
      <w:r w:rsidR="00EF1F41">
        <w:rPr>
          <w:rFonts w:eastAsia="Times New Roman"/>
        </w:rPr>
        <w:t xml:space="preserve">nusikalstamų </w:t>
      </w:r>
      <w:r w:rsidRPr="00CE37D0">
        <w:rPr>
          <w:rFonts w:eastAsia="Times New Roman"/>
        </w:rPr>
        <w:t xml:space="preserve">veikų. </w:t>
      </w:r>
      <w:r w:rsidRPr="00CE37D0">
        <w:rPr>
          <w:rFonts w:eastAsia="Times New Roman"/>
          <w:vertAlign w:val="superscript"/>
        </w:rPr>
        <w:footnoteReference w:id="628"/>
      </w:r>
      <w:r w:rsidRPr="00CE37D0">
        <w:rPr>
          <w:rFonts w:eastAsia="Times New Roman"/>
        </w:rPr>
        <w:t xml:space="preserve"> Ikiteisminės taikinimo procedūros reikšmė yra proceso ekonomija. Šios procedūros paskirtis yra išspręsti konfliktą ikiteisminėmis priemonėmis ir užkirsti kelią teisminiam konflikto sprendimui </w:t>
      </w:r>
      <w:r w:rsidR="0063785E">
        <w:rPr>
          <w:rFonts w:eastAsia="Times New Roman"/>
        </w:rPr>
        <w:t>–</w:t>
      </w:r>
      <w:r w:rsidR="0063785E" w:rsidRPr="00CE37D0">
        <w:rPr>
          <w:rFonts w:eastAsia="Times New Roman"/>
        </w:rPr>
        <w:t xml:space="preserve"> </w:t>
      </w:r>
      <w:r w:rsidRPr="00CE37D0">
        <w:rPr>
          <w:rFonts w:eastAsia="Times New Roman"/>
        </w:rPr>
        <w:t xml:space="preserve">privataus kaltinimo bylų procesui. Ikiteisminis taikinimas turi veikti kaip filtras, kuris tik po mėginimo pasiekti taikų konfliktuojančių šalių susitarimą įgalina iškelti kaltinimą teisme. Šio instituto nuostatos kildinamos iš viešojo intereso, kad teismai nebūtų apkraunami neproporcingai dideliu skundų kiekiu, tačiau tuo pačiu gali užtikrinti efektyvų teisėtų interesų gynimą tais atvejais, kai tai iš tiesų būtina. </w:t>
      </w:r>
      <w:r w:rsidRPr="00CE37D0">
        <w:rPr>
          <w:rFonts w:eastAsia="Times New Roman"/>
          <w:vertAlign w:val="superscript"/>
        </w:rPr>
        <w:footnoteReference w:id="629"/>
      </w:r>
      <w:r w:rsidRPr="00CE37D0">
        <w:rPr>
          <w:rFonts w:eastAsia="Times New Roman"/>
        </w:rPr>
        <w:t xml:space="preserve"> Ši ikiteisminė taikinimosi procedūra nepakeičia galimybės šalims susitaikyti teisminio nagrinėjimo metu. Susitaikymas teisminio nagrinėjimo stadijoje </w:t>
      </w:r>
      <w:proofErr w:type="gramStart"/>
      <w:r w:rsidRPr="00CE37D0">
        <w:rPr>
          <w:rFonts w:eastAsia="Times New Roman"/>
        </w:rPr>
        <w:t>(</w:t>
      </w:r>
      <w:proofErr w:type="gramEnd"/>
      <w:r w:rsidRPr="00CE37D0">
        <w:rPr>
          <w:rFonts w:eastAsia="Times New Roman"/>
        </w:rPr>
        <w:t xml:space="preserve">vok. </w:t>
      </w:r>
      <w:r w:rsidRPr="00CE37D0">
        <w:rPr>
          <w:rFonts w:eastAsia="Times New Roman"/>
          <w:i/>
        </w:rPr>
        <w:t>Vergleich</w:t>
      </w:r>
      <w:r w:rsidRPr="00CE37D0">
        <w:rPr>
          <w:rFonts w:eastAsia="Times New Roman"/>
        </w:rPr>
        <w:t>) y</w:t>
      </w:r>
      <w:r w:rsidR="00814484" w:rsidRPr="00CE37D0">
        <w:rPr>
          <w:rFonts w:eastAsia="Times New Roman"/>
        </w:rPr>
        <w:t>ra pagrindas nutraukti procesą.</w:t>
      </w:r>
    </w:p>
    <w:p w:rsidR="00814484" w:rsidRPr="00CE37D0" w:rsidRDefault="00814484" w:rsidP="00A33FC1">
      <w:pPr>
        <w:tabs>
          <w:tab w:val="left" w:pos="851"/>
        </w:tabs>
        <w:spacing w:line="360" w:lineRule="auto"/>
        <w:ind w:firstLine="851"/>
        <w:jc w:val="both"/>
        <w:rPr>
          <w:rFonts w:eastAsia="Times New Roman"/>
        </w:rPr>
      </w:pPr>
      <w:r w:rsidRPr="00CE37D0">
        <w:rPr>
          <w:rFonts w:eastAsia="Times New Roman"/>
        </w:rPr>
        <w:t>Atsižvelgiant į tai, kad pirminis privataus kaltinimo bylų proceso tikslas yra konflikto išsprendimas</w:t>
      </w:r>
      <w:r w:rsidR="00C47877" w:rsidRPr="00CE37D0">
        <w:rPr>
          <w:rFonts w:eastAsia="Times New Roman"/>
        </w:rPr>
        <w:t>,</w:t>
      </w:r>
      <w:r w:rsidRPr="00CE37D0">
        <w:rPr>
          <w:rFonts w:eastAsia="Times New Roman"/>
        </w:rPr>
        <w:t xml:space="preserve"> bei ieškant veiksmingiausio </w:t>
      </w:r>
      <w:r w:rsidR="00C47877" w:rsidRPr="00CE37D0">
        <w:rPr>
          <w:rFonts w:eastAsia="Times New Roman"/>
        </w:rPr>
        <w:t xml:space="preserve">sutaikymo proceso privataus kaltinimo bylose </w:t>
      </w:r>
      <w:r w:rsidRPr="00CE37D0">
        <w:rPr>
          <w:rFonts w:eastAsia="Times New Roman"/>
        </w:rPr>
        <w:t>teisinio reg</w:t>
      </w:r>
      <w:r w:rsidR="00D06EE0">
        <w:rPr>
          <w:rFonts w:eastAsia="Times New Roman"/>
        </w:rPr>
        <w:t>ulia</w:t>
      </w:r>
      <w:r w:rsidRPr="00CE37D0">
        <w:rPr>
          <w:rFonts w:eastAsia="Times New Roman"/>
        </w:rPr>
        <w:t>vimo modelio</w:t>
      </w:r>
      <w:r w:rsidR="00C47877" w:rsidRPr="00CE37D0">
        <w:rPr>
          <w:rFonts w:eastAsia="Times New Roman"/>
        </w:rPr>
        <w:t xml:space="preserve">, tikslinga nagrinėti skirtingų alternatyvių ginčo sprendimo formų galimybes. </w:t>
      </w:r>
    </w:p>
    <w:p w:rsidR="003E3809" w:rsidRPr="00F93861" w:rsidRDefault="003E3809" w:rsidP="00F93861">
      <w:pPr>
        <w:pStyle w:val="Antrat3"/>
        <w:numPr>
          <w:ilvl w:val="1"/>
          <w:numId w:val="11"/>
        </w:numPr>
      </w:pPr>
      <w:bookmarkStart w:id="381" w:name="_Toc321911352"/>
      <w:bookmarkStart w:id="382" w:name="_Toc321911489"/>
      <w:bookmarkStart w:id="383" w:name="_Toc321911526"/>
      <w:bookmarkStart w:id="384" w:name="_Toc324414334"/>
      <w:bookmarkStart w:id="385" w:name="_Toc327528900"/>
      <w:bookmarkStart w:id="386" w:name="_Toc327528956"/>
      <w:bookmarkStart w:id="387" w:name="_Toc327529045"/>
      <w:bookmarkStart w:id="388" w:name="_Toc333483888"/>
      <w:bookmarkStart w:id="389" w:name="_Toc341009858"/>
      <w:bookmarkStart w:id="390" w:name="_Toc346795983"/>
      <w:bookmarkStart w:id="391" w:name="_Toc365498868"/>
      <w:bookmarkStart w:id="392" w:name="_Toc370139926"/>
      <w:bookmarkStart w:id="393" w:name="_Toc400321706"/>
      <w:r w:rsidRPr="00F93861">
        <w:t>Alternatyvių ginčo sprendimo formų taikymo galimybės privataus kaltinimo procese</w:t>
      </w:r>
      <w:bookmarkEnd w:id="381"/>
      <w:bookmarkEnd w:id="382"/>
      <w:bookmarkEnd w:id="383"/>
      <w:bookmarkEnd w:id="384"/>
      <w:bookmarkEnd w:id="385"/>
      <w:bookmarkEnd w:id="386"/>
      <w:bookmarkEnd w:id="387"/>
      <w:bookmarkEnd w:id="388"/>
      <w:bookmarkEnd w:id="389"/>
      <w:bookmarkEnd w:id="390"/>
      <w:bookmarkEnd w:id="391"/>
      <w:bookmarkEnd w:id="392"/>
      <w:bookmarkEnd w:id="393"/>
    </w:p>
    <w:p w:rsidR="003E3809" w:rsidRPr="00CE37D0" w:rsidRDefault="003E3809" w:rsidP="00A06CAB">
      <w:pPr>
        <w:spacing w:line="360" w:lineRule="auto"/>
        <w:ind w:firstLine="851"/>
        <w:jc w:val="both"/>
        <w:rPr>
          <w:rFonts w:eastAsia="Times New Roman"/>
        </w:rPr>
      </w:pPr>
      <w:r w:rsidRPr="00CE37D0">
        <w:rPr>
          <w:rFonts w:eastAsia="Times New Roman"/>
        </w:rPr>
        <w:t xml:space="preserve">Vienas iš reikšmingų šiuolaikinio teisinio mąstymo pokyčių yra didėjantis suinteresuotumas atkuriamuoju teisingumu. Atkuriamasis teisingumas pabrėžia didėjantį nusikaltimo aukų ir bendruomenės narių vaidmenį, perkeliant tiesiogiai pažeidėjams atskaitomybę žmonėms, kurių interesus pažeidė savo nusikalstama veika, </w:t>
      </w:r>
      <w:r w:rsidR="00F906C7">
        <w:rPr>
          <w:rFonts w:eastAsia="Times New Roman"/>
        </w:rPr>
        <w:t>atlyginant</w:t>
      </w:r>
      <w:r w:rsidR="00F906C7" w:rsidRPr="00CE37D0">
        <w:rPr>
          <w:rFonts w:eastAsia="Times New Roman"/>
        </w:rPr>
        <w:t xml:space="preserve"> </w:t>
      </w:r>
      <w:r w:rsidR="00F906C7">
        <w:rPr>
          <w:rFonts w:eastAsia="Times New Roman"/>
        </w:rPr>
        <w:t>turtinę ir neturtinę</w:t>
      </w:r>
      <w:r w:rsidRPr="00CE37D0">
        <w:rPr>
          <w:rFonts w:eastAsia="Times New Roman"/>
        </w:rPr>
        <w:t xml:space="preserve"> žalą aukoms ir suteikiant platų galimybių spektrą dialogui, deryboms ir problemų sprendimui, kur tik įmanoma.</w:t>
      </w:r>
      <w:r w:rsidR="00F957BE">
        <w:rPr>
          <w:rFonts w:eastAsia="Times New Roman"/>
        </w:rPr>
        <w:t xml:space="preserve"> </w:t>
      </w:r>
      <w:r w:rsidRPr="00CE37D0">
        <w:rPr>
          <w:rFonts w:eastAsia="Times New Roman"/>
        </w:rPr>
        <w:t xml:space="preserve">Tokio mechanizmo siekiamas rezultatas yra didesnis bendruomenės saugumo jausmas, efektyvesnis konfliktų sprendimas ir sėkmingesnė jų baigtis visiems, kurie su tuo susiję. </w:t>
      </w:r>
      <w:r w:rsidRPr="00CE37D0">
        <w:rPr>
          <w:rStyle w:val="Puslapioinaosnuoroda"/>
        </w:rPr>
        <w:footnoteReference w:id="630"/>
      </w:r>
      <w:r w:rsidR="00F957BE">
        <w:rPr>
          <w:rFonts w:eastAsia="Times New Roman"/>
        </w:rPr>
        <w:t xml:space="preserve"> </w:t>
      </w:r>
      <w:r w:rsidR="008D4FE9">
        <w:rPr>
          <w:rFonts w:eastAsia="Times New Roman"/>
        </w:rPr>
        <w:t xml:space="preserve">Nors </w:t>
      </w:r>
      <w:r w:rsidR="001B6740">
        <w:rPr>
          <w:rFonts w:eastAsia="Times New Roman"/>
        </w:rPr>
        <w:t xml:space="preserve">privataus kaltinimo bylų procesas nėra </w:t>
      </w:r>
      <w:r w:rsidR="008D4FE9">
        <w:rPr>
          <w:rFonts w:eastAsia="Times New Roman"/>
        </w:rPr>
        <w:t>atkuriam</w:t>
      </w:r>
      <w:r w:rsidR="001B6740">
        <w:rPr>
          <w:rFonts w:eastAsia="Times New Roman"/>
        </w:rPr>
        <w:t>ojo</w:t>
      </w:r>
      <w:r w:rsidR="008D4FE9">
        <w:rPr>
          <w:rFonts w:eastAsia="Times New Roman"/>
        </w:rPr>
        <w:t xml:space="preserve"> teisingumo</w:t>
      </w:r>
      <w:r w:rsidR="001B6740">
        <w:rPr>
          <w:rFonts w:eastAsia="Times New Roman"/>
        </w:rPr>
        <w:t xml:space="preserve"> elementas, tačiau</w:t>
      </w:r>
      <w:r w:rsidR="00F957BE">
        <w:rPr>
          <w:rFonts w:eastAsia="Times New Roman"/>
        </w:rPr>
        <w:t xml:space="preserve"> </w:t>
      </w:r>
      <w:r w:rsidR="001B6740">
        <w:rPr>
          <w:rFonts w:eastAsia="Times New Roman"/>
        </w:rPr>
        <w:t>š</w:t>
      </w:r>
      <w:r w:rsidR="008D4FE9">
        <w:rPr>
          <w:rFonts w:eastAsia="Times New Roman"/>
        </w:rPr>
        <w:t xml:space="preserve">is rezultatas gali būti įvardijamas ir </w:t>
      </w:r>
      <w:r w:rsidR="00F957BE">
        <w:rPr>
          <w:rFonts w:eastAsia="Times New Roman"/>
        </w:rPr>
        <w:t xml:space="preserve">kaip </w:t>
      </w:r>
      <w:r w:rsidR="008D4FE9">
        <w:rPr>
          <w:rFonts w:eastAsia="Times New Roman"/>
        </w:rPr>
        <w:t>privataus kaltinimo bylų proceso siekiamyb</w:t>
      </w:r>
      <w:r w:rsidR="00F957BE">
        <w:rPr>
          <w:rFonts w:eastAsia="Times New Roman"/>
        </w:rPr>
        <w:t>ė</w:t>
      </w:r>
      <w:r w:rsidR="008D4FE9">
        <w:rPr>
          <w:rFonts w:eastAsia="Times New Roman"/>
        </w:rPr>
        <w:t xml:space="preserve">. </w:t>
      </w:r>
      <w:r w:rsidR="001B6740">
        <w:rPr>
          <w:rFonts w:eastAsia="Times New Roman"/>
        </w:rPr>
        <w:t>T</w:t>
      </w:r>
      <w:r w:rsidR="008D4FE9" w:rsidRPr="00CE37D0">
        <w:rPr>
          <w:rFonts w:eastAsia="Times New Roman"/>
        </w:rPr>
        <w:t xml:space="preserve">aikinamasis posėdis </w:t>
      </w:r>
      <w:r w:rsidR="008D4FE9" w:rsidRPr="00CE37D0">
        <w:rPr>
          <w:rFonts w:eastAsia="Times New Roman"/>
        </w:rPr>
        <w:lastRenderedPageBreak/>
        <w:t xml:space="preserve">privataus kaltinimo bylų procese užtikrina nukentėjusiojo ir kaltinamojo teisę pasiekti taikų susitarimą, tačiau diskutuotina, ar šalių taikinimo forma </w:t>
      </w:r>
      <w:r w:rsidR="008D4FE9" w:rsidRPr="00CE37D0">
        <w:rPr>
          <w:rFonts w:eastAsia="Times New Roman"/>
          <w:i/>
        </w:rPr>
        <w:t>de lege lata</w:t>
      </w:r>
      <w:r w:rsidR="008C07BF">
        <w:rPr>
          <w:rFonts w:eastAsia="Times New Roman"/>
        </w:rPr>
        <w:t xml:space="preserve"> yra optimalu</w:t>
      </w:r>
      <w:r w:rsidR="008D4FE9" w:rsidRPr="00CE37D0">
        <w:rPr>
          <w:rFonts w:eastAsia="Times New Roman"/>
        </w:rPr>
        <w:t>s šios teisės užtikrinimo mechanizmas.</w:t>
      </w:r>
    </w:p>
    <w:p w:rsidR="003E3809" w:rsidRPr="00CE37D0" w:rsidRDefault="003E3809" w:rsidP="00044CCF">
      <w:pPr>
        <w:spacing w:line="360" w:lineRule="auto"/>
        <w:ind w:firstLine="1080"/>
        <w:jc w:val="both"/>
        <w:rPr>
          <w:rFonts w:eastAsia="Times New Roman"/>
        </w:rPr>
      </w:pPr>
      <w:r w:rsidRPr="00CE37D0">
        <w:rPr>
          <w:rFonts w:eastAsia="Times New Roman"/>
        </w:rPr>
        <w:t>XX a. septintajame – aštuntajame dešimtmetyje</w:t>
      </w:r>
      <w:r w:rsidR="00962158">
        <w:rPr>
          <w:rFonts w:eastAsia="Times New Roman"/>
        </w:rPr>
        <w:t>,</w:t>
      </w:r>
      <w:r w:rsidRPr="00CE37D0">
        <w:rPr>
          <w:rFonts w:eastAsia="Times New Roman"/>
        </w:rPr>
        <w:t xml:space="preserve"> </w:t>
      </w:r>
      <w:r w:rsidRPr="00CE37D0">
        <w:rPr>
          <w:rStyle w:val="Puslapioinaosnuoroda"/>
        </w:rPr>
        <w:footnoteReference w:id="631"/>
      </w:r>
      <w:r w:rsidRPr="00CE37D0">
        <w:rPr>
          <w:rFonts w:eastAsia="Times New Roman"/>
        </w:rPr>
        <w:t xml:space="preserve"> siekiant supaprastinti biurokratines ginčų sprendimo procedūras ir pagerinti teisingumo prieinamumą, </w:t>
      </w:r>
      <w:r w:rsidRPr="00CE37D0">
        <w:rPr>
          <w:rStyle w:val="Puslapioinaosnuoroda"/>
        </w:rPr>
        <w:footnoteReference w:id="632"/>
      </w:r>
      <w:r w:rsidRPr="00CE37D0">
        <w:rPr>
          <w:rFonts w:eastAsia="Times New Roman"/>
        </w:rPr>
        <w:t xml:space="preserve"> buvo išplėtotas spektras netradicinių konfliktų sprendimų procesų, bendrai </w:t>
      </w:r>
      <w:r w:rsidR="00C47877" w:rsidRPr="00CE37D0">
        <w:rPr>
          <w:rFonts w:eastAsia="Times New Roman"/>
        </w:rPr>
        <w:t xml:space="preserve">teisės doktrinoje </w:t>
      </w:r>
      <w:r w:rsidRPr="00CE37D0">
        <w:rPr>
          <w:rFonts w:eastAsia="Times New Roman"/>
        </w:rPr>
        <w:t xml:space="preserve">vadinamų alternatyviais konfliktų sprendimais (angl. </w:t>
      </w:r>
      <w:r w:rsidRPr="00CE37D0">
        <w:rPr>
          <w:rFonts w:eastAsia="Times New Roman"/>
          <w:i/>
        </w:rPr>
        <w:t>alternative dispute resolution</w:t>
      </w:r>
      <w:r w:rsidRPr="00CE37D0">
        <w:rPr>
          <w:rFonts w:eastAsia="Times New Roman"/>
        </w:rPr>
        <w:t xml:space="preserve">). </w:t>
      </w:r>
      <w:r w:rsidRPr="00CE37D0">
        <w:rPr>
          <w:rStyle w:val="Puslapioinaosnuoroda"/>
        </w:rPr>
        <w:footnoteReference w:id="633"/>
      </w:r>
      <w:r w:rsidRPr="00CE37D0">
        <w:rPr>
          <w:rFonts w:eastAsia="Times New Roman"/>
        </w:rPr>
        <w:t xml:space="preserve"> U. Trumpulis alternatyvumą aiškina ne tik kaip galimybę išspręsti ginčą paprastesniu, greitesniu, neretai pigesniu būdu, bet ir kaip galimybę pas</w:t>
      </w:r>
      <w:r w:rsidR="008C07BF">
        <w:rPr>
          <w:rFonts w:eastAsia="Times New Roman"/>
        </w:rPr>
        <w:t>irinkti efektyviausią ir optimalų</w:t>
      </w:r>
      <w:r w:rsidRPr="00CE37D0">
        <w:rPr>
          <w:rFonts w:eastAsia="Times New Roman"/>
        </w:rPr>
        <w:t xml:space="preserve"> konfliktinės situacijos sureguliavimo būdą. </w:t>
      </w:r>
      <w:r w:rsidRPr="00CE37D0">
        <w:rPr>
          <w:rStyle w:val="Puslapioinaosnuoroda"/>
        </w:rPr>
        <w:footnoteReference w:id="634"/>
      </w:r>
      <w:r w:rsidRPr="00CE37D0">
        <w:rPr>
          <w:rFonts w:eastAsia="Times New Roman"/>
        </w:rPr>
        <w:t xml:space="preserve"> Alternatyvių ginč</w:t>
      </w:r>
      <w:r w:rsidR="00F54942">
        <w:rPr>
          <w:rFonts w:eastAsia="Times New Roman"/>
        </w:rPr>
        <w:t>o</w:t>
      </w:r>
      <w:r w:rsidRPr="00CE37D0">
        <w:rPr>
          <w:rFonts w:eastAsia="Times New Roman"/>
        </w:rPr>
        <w:t xml:space="preserve"> sprendimų tikslas yra kompromis</w:t>
      </w:r>
      <w:r w:rsidR="00C47877" w:rsidRPr="00CE37D0">
        <w:rPr>
          <w:rFonts w:eastAsia="Times New Roman"/>
        </w:rPr>
        <w:t>as</w:t>
      </w:r>
      <w:r w:rsidRPr="00CE37D0">
        <w:rPr>
          <w:rFonts w:eastAsia="Times New Roman"/>
        </w:rPr>
        <w:t xml:space="preserve"> ir neteismini</w:t>
      </w:r>
      <w:r w:rsidR="00C47877" w:rsidRPr="00CE37D0">
        <w:rPr>
          <w:rFonts w:eastAsia="Times New Roman"/>
        </w:rPr>
        <w:t>s</w:t>
      </w:r>
      <w:r w:rsidRPr="00CE37D0">
        <w:rPr>
          <w:rFonts w:eastAsia="Times New Roman"/>
        </w:rPr>
        <w:t xml:space="preserve"> susitarim</w:t>
      </w:r>
      <w:r w:rsidR="00C47877" w:rsidRPr="00CE37D0">
        <w:rPr>
          <w:rFonts w:eastAsia="Times New Roman"/>
        </w:rPr>
        <w:t>as</w:t>
      </w:r>
      <w:r w:rsidRPr="00CE37D0">
        <w:rPr>
          <w:rFonts w:eastAsia="Times New Roman"/>
        </w:rPr>
        <w:t xml:space="preserve">, </w:t>
      </w:r>
      <w:r w:rsidRPr="00CE37D0">
        <w:rPr>
          <w:rFonts w:eastAsia="Times New Roman"/>
          <w:vertAlign w:val="superscript"/>
        </w:rPr>
        <w:footnoteReference w:id="635"/>
      </w:r>
      <w:r w:rsidRPr="00CE37D0">
        <w:rPr>
          <w:rFonts w:eastAsia="Times New Roman"/>
        </w:rPr>
        <w:t xml:space="preserve"> kuris labiausiai atspindėtų šalių interesus. Alternatyvaus ginčų sprendimo koncepcija atitinka nukentėjusiojo kaltinimo teisės dispozityvų pobūdį, kai pats nukentėjusysis sprendžia, kokiu būdu sureguliuotinas konfliktas su kaltininku. Taigi alternatyvus ginčų sprendimas siejamas su </w:t>
      </w:r>
      <w:r w:rsidR="00C47877" w:rsidRPr="00CE37D0">
        <w:rPr>
          <w:rFonts w:eastAsia="Times New Roman"/>
        </w:rPr>
        <w:t>sprendim</w:t>
      </w:r>
      <w:r w:rsidRPr="00CE37D0">
        <w:rPr>
          <w:rFonts w:eastAsia="Times New Roman"/>
        </w:rPr>
        <w:t xml:space="preserve">o teisės ir dominuojančio vaidmens nukentėjusiajam suteikimu susitaikymo procese, atkuriant šalių santykius, </w:t>
      </w:r>
      <w:r w:rsidRPr="00CE37D0">
        <w:rPr>
          <w:rFonts w:eastAsia="Times New Roman"/>
          <w:vertAlign w:val="superscript"/>
        </w:rPr>
        <w:footnoteReference w:id="636"/>
      </w:r>
      <w:r w:rsidRPr="00CE37D0">
        <w:rPr>
          <w:rFonts w:eastAsia="Times New Roman"/>
        </w:rPr>
        <w:t xml:space="preserve"> o </w:t>
      </w:r>
      <w:r w:rsidR="00C47877" w:rsidRPr="00CE37D0">
        <w:rPr>
          <w:rFonts w:eastAsia="Times New Roman"/>
        </w:rPr>
        <w:t>teisinio</w:t>
      </w:r>
      <w:r w:rsidRPr="00CE37D0">
        <w:rPr>
          <w:rFonts w:eastAsia="Times New Roman"/>
        </w:rPr>
        <w:t xml:space="preserve"> reguliavimo mechanizmas turi būti skirtas padėti š</w:t>
      </w:r>
      <w:r w:rsidR="008C07BF">
        <w:rPr>
          <w:rFonts w:eastAsia="Times New Roman"/>
        </w:rPr>
        <w:t>ią teisę įgyvendinti optimal</w:t>
      </w:r>
      <w:r w:rsidRPr="00CE37D0">
        <w:rPr>
          <w:rFonts w:eastAsia="Times New Roman"/>
        </w:rPr>
        <w:t xml:space="preserve">iu būdu. </w:t>
      </w:r>
    </w:p>
    <w:p w:rsidR="000C5F80" w:rsidRPr="00CE37D0" w:rsidRDefault="000C5F80" w:rsidP="000C5F80">
      <w:pPr>
        <w:spacing w:line="360" w:lineRule="auto"/>
        <w:ind w:firstLine="1080"/>
        <w:jc w:val="both"/>
        <w:rPr>
          <w:rFonts w:eastAsia="Times New Roman"/>
        </w:rPr>
      </w:pPr>
      <w:r w:rsidRPr="00CE37D0">
        <w:rPr>
          <w:rFonts w:eastAsia="Times New Roman"/>
        </w:rPr>
        <w:t>Alternatyvių ginč</w:t>
      </w:r>
      <w:r w:rsidR="00F54942">
        <w:rPr>
          <w:rFonts w:eastAsia="Times New Roman"/>
        </w:rPr>
        <w:t>o</w:t>
      </w:r>
      <w:r w:rsidRPr="00CE37D0">
        <w:rPr>
          <w:rFonts w:eastAsia="Times New Roman"/>
        </w:rPr>
        <w:t xml:space="preserve"> sprendimų metodų taikymas privataus kaltinimo bylose negalėtų būti sukritikuotas netgi tais argumentais, kuriais skeptikai grindžia s</w:t>
      </w:r>
      <w:r w:rsidR="00F54942">
        <w:rPr>
          <w:rFonts w:eastAsia="Times New Roman"/>
        </w:rPr>
        <w:t>avo požiūrį į alternatyvių ginčo</w:t>
      </w:r>
      <w:r w:rsidRPr="00CE37D0">
        <w:rPr>
          <w:rFonts w:eastAsia="Times New Roman"/>
        </w:rPr>
        <w:t xml:space="preserve"> sprendimų taikymą baudžiamosiose bylose. </w:t>
      </w:r>
      <w:r w:rsidR="003D70A8">
        <w:rPr>
          <w:rFonts w:eastAsia="Times New Roman"/>
        </w:rPr>
        <w:t>T</w:t>
      </w:r>
      <w:r w:rsidRPr="00CE37D0">
        <w:rPr>
          <w:rFonts w:eastAsia="Times New Roman"/>
        </w:rPr>
        <w:t>eigia</w:t>
      </w:r>
      <w:r w:rsidR="003D70A8">
        <w:rPr>
          <w:rFonts w:eastAsia="Times New Roman"/>
        </w:rPr>
        <w:t>ma</w:t>
      </w:r>
      <w:r w:rsidRPr="00CE37D0">
        <w:rPr>
          <w:rFonts w:eastAsia="Times New Roman"/>
        </w:rPr>
        <w:t xml:space="preserve">, kad taikus susitarimas sumenkina teismo proceso korekcinį vaidmenį ir privatizuoja ginčus, paaukojant visuomeninį teisingumą. </w:t>
      </w:r>
      <w:r w:rsidR="003D70A8">
        <w:rPr>
          <w:rFonts w:eastAsia="Times New Roman"/>
        </w:rPr>
        <w:t>K</w:t>
      </w:r>
      <w:r w:rsidRPr="00CE37D0">
        <w:rPr>
          <w:rFonts w:eastAsia="Times New Roman"/>
        </w:rPr>
        <w:t>ritikuoja</w:t>
      </w:r>
      <w:r w:rsidR="003D70A8">
        <w:rPr>
          <w:rFonts w:eastAsia="Times New Roman"/>
        </w:rPr>
        <w:t>nt</w:t>
      </w:r>
      <w:r w:rsidRPr="00CE37D0">
        <w:rPr>
          <w:rFonts w:eastAsia="Times New Roman"/>
        </w:rPr>
        <w:t xml:space="preserve"> alternatyvius ginčų sprendimo metodus kaip pernelyg individualistinius ir neatitinkančius visuomeninių poreikių (viešųjų tikslų)</w:t>
      </w:r>
      <w:r w:rsidR="003D70A8">
        <w:rPr>
          <w:rFonts w:eastAsia="Times New Roman"/>
        </w:rPr>
        <w:t>,</w:t>
      </w:r>
      <w:r w:rsidR="00F957BE">
        <w:rPr>
          <w:rFonts w:eastAsia="Times New Roman"/>
        </w:rPr>
        <w:t xml:space="preserve"> </w:t>
      </w:r>
      <w:r w:rsidR="003D70A8">
        <w:rPr>
          <w:rFonts w:eastAsia="Times New Roman"/>
        </w:rPr>
        <w:t>i</w:t>
      </w:r>
      <w:r w:rsidR="003D70A8" w:rsidRPr="00CE37D0">
        <w:rPr>
          <w:rFonts w:eastAsia="Times New Roman"/>
        </w:rPr>
        <w:t>škelia</w:t>
      </w:r>
      <w:r w:rsidR="003D70A8">
        <w:rPr>
          <w:rFonts w:eastAsia="Times New Roman"/>
        </w:rPr>
        <w:t>mas</w:t>
      </w:r>
      <w:r w:rsidR="003D70A8" w:rsidRPr="00CE37D0">
        <w:rPr>
          <w:rFonts w:eastAsia="Times New Roman"/>
        </w:rPr>
        <w:t xml:space="preserve"> teismų vaidmens prioritet</w:t>
      </w:r>
      <w:r w:rsidR="003D70A8">
        <w:rPr>
          <w:rFonts w:eastAsia="Times New Roman"/>
        </w:rPr>
        <w:t>as</w:t>
      </w:r>
      <w:r w:rsidR="003D70A8" w:rsidRPr="00CE37D0">
        <w:rPr>
          <w:rFonts w:eastAsia="Times New Roman"/>
        </w:rPr>
        <w:t xml:space="preserve"> patvirtinant </w:t>
      </w:r>
      <w:r w:rsidR="003D70A8" w:rsidRPr="00CE37D0">
        <w:rPr>
          <w:rFonts w:eastAsia="Times New Roman"/>
        </w:rPr>
        <w:lastRenderedPageBreak/>
        <w:t>visuomenines vertybes nuosprendžiu</w:t>
      </w:r>
      <w:r w:rsidR="003D70A8">
        <w:rPr>
          <w:rFonts w:eastAsia="Times New Roman"/>
        </w:rPr>
        <w:t>.</w:t>
      </w:r>
      <w:r w:rsidR="00962158">
        <w:rPr>
          <w:rFonts w:eastAsia="Times New Roman"/>
        </w:rPr>
        <w:t xml:space="preserve"> </w:t>
      </w:r>
      <w:r w:rsidRPr="00CE37D0">
        <w:rPr>
          <w:rFonts w:eastAsia="Times New Roman"/>
          <w:vertAlign w:val="superscript"/>
        </w:rPr>
        <w:footnoteReference w:id="637"/>
      </w:r>
      <w:r w:rsidRPr="00CE37D0">
        <w:rPr>
          <w:rFonts w:eastAsia="Times New Roman"/>
        </w:rPr>
        <w:t xml:space="preserve"> Alternatyvių ginč</w:t>
      </w:r>
      <w:r w:rsidR="00F54942">
        <w:rPr>
          <w:rFonts w:eastAsia="Times New Roman"/>
        </w:rPr>
        <w:t>o</w:t>
      </w:r>
      <w:r w:rsidRPr="00CE37D0">
        <w:rPr>
          <w:rFonts w:eastAsia="Times New Roman"/>
        </w:rPr>
        <w:t xml:space="preserve"> sprendimų oponentų argumentai aiškiai atskleidžia šių metodų nevienareikšmišką vertinimą baudžiamajame procese. Tačiau </w:t>
      </w:r>
      <w:r w:rsidR="00F46F00">
        <w:rPr>
          <w:rFonts w:eastAsia="Times New Roman"/>
        </w:rPr>
        <w:t>kritik</w:t>
      </w:r>
      <w:r w:rsidR="00F957BE">
        <w:rPr>
          <w:rFonts w:eastAsia="Times New Roman"/>
        </w:rPr>
        <w:t>uojamas</w:t>
      </w:r>
      <w:r w:rsidRPr="00CE37D0">
        <w:rPr>
          <w:rFonts w:eastAsia="Times New Roman"/>
        </w:rPr>
        <w:t xml:space="preserve"> alternatyv</w:t>
      </w:r>
      <w:r w:rsidR="00F957BE">
        <w:rPr>
          <w:rFonts w:eastAsia="Times New Roman"/>
        </w:rPr>
        <w:t>us</w:t>
      </w:r>
      <w:r w:rsidRPr="00CE37D0">
        <w:rPr>
          <w:rFonts w:eastAsia="Times New Roman"/>
        </w:rPr>
        <w:t xml:space="preserve"> ginčų sprendim</w:t>
      </w:r>
      <w:r w:rsidR="00F957BE">
        <w:rPr>
          <w:rFonts w:eastAsia="Times New Roman"/>
        </w:rPr>
        <w:t>as</w:t>
      </w:r>
      <w:r w:rsidRPr="00CE37D0">
        <w:rPr>
          <w:rFonts w:eastAsia="Times New Roman"/>
        </w:rPr>
        <w:t xml:space="preserve"> bendrojoje proceso formoje, kurioje dominuoja viešasis interesas ir nusikaltimų kontrolės modelis. Privataus kaltinimo formoje, </w:t>
      </w:r>
      <w:r w:rsidR="00F46F00">
        <w:rPr>
          <w:rFonts w:eastAsia="Times New Roman"/>
        </w:rPr>
        <w:t>atvirkščiai, šiais</w:t>
      </w:r>
      <w:r w:rsidRPr="00CE37D0">
        <w:rPr>
          <w:rFonts w:eastAsia="Times New Roman"/>
        </w:rPr>
        <w:t xml:space="preserve"> argumentais gali būti pagrindžiamas alternatyvių ginč</w:t>
      </w:r>
      <w:r w:rsidR="00F54942">
        <w:rPr>
          <w:rFonts w:eastAsia="Times New Roman"/>
        </w:rPr>
        <w:t>o</w:t>
      </w:r>
      <w:r w:rsidRPr="00CE37D0">
        <w:rPr>
          <w:rFonts w:eastAsia="Times New Roman"/>
        </w:rPr>
        <w:t xml:space="preserve"> sprendimo metodų taikymo prioritetas prieš teismo procesą</w:t>
      </w:r>
      <w:r w:rsidR="00F46F00">
        <w:rPr>
          <w:rFonts w:eastAsia="Times New Roman"/>
        </w:rPr>
        <w:t>, kadangi privataus kaltinimo procese</w:t>
      </w:r>
      <w:r w:rsidR="00F46F00" w:rsidRPr="00CE37D0">
        <w:rPr>
          <w:rFonts w:eastAsia="Times New Roman"/>
        </w:rPr>
        <w:t xml:space="preserve"> dominuoja šalių dispozityvu</w:t>
      </w:r>
      <w:r w:rsidR="00F46F00">
        <w:rPr>
          <w:rFonts w:eastAsia="Times New Roman"/>
        </w:rPr>
        <w:t>mas ir privatūs šalių interesai.</w:t>
      </w:r>
    </w:p>
    <w:p w:rsidR="003E3809" w:rsidRPr="00CE37D0" w:rsidRDefault="003E3809" w:rsidP="00044CCF">
      <w:pPr>
        <w:spacing w:line="360" w:lineRule="auto"/>
        <w:ind w:firstLine="1080"/>
        <w:jc w:val="both"/>
        <w:rPr>
          <w:rFonts w:eastAsia="Times New Roman"/>
        </w:rPr>
      </w:pPr>
      <w:r w:rsidRPr="00CE37D0">
        <w:rPr>
          <w:rFonts w:eastAsia="Times New Roman"/>
        </w:rPr>
        <w:t>Baudžiam</w:t>
      </w:r>
      <w:r w:rsidR="00C47877" w:rsidRPr="00CE37D0">
        <w:rPr>
          <w:rFonts w:eastAsia="Times New Roman"/>
        </w:rPr>
        <w:t>ajame</w:t>
      </w:r>
      <w:r w:rsidRPr="00CE37D0">
        <w:rPr>
          <w:rFonts w:eastAsia="Times New Roman"/>
        </w:rPr>
        <w:t xml:space="preserve"> procese alternatyvių ginč</w:t>
      </w:r>
      <w:r w:rsidR="00F54942">
        <w:rPr>
          <w:rFonts w:eastAsia="Times New Roman"/>
        </w:rPr>
        <w:t>o</w:t>
      </w:r>
      <w:r w:rsidRPr="00CE37D0">
        <w:rPr>
          <w:rFonts w:eastAsia="Times New Roman"/>
        </w:rPr>
        <w:t xml:space="preserve"> sprendimų spektras yra siauresnis nei civiliniame procese, jam priskirtin</w:t>
      </w:r>
      <w:r w:rsidR="00F957BE">
        <w:rPr>
          <w:rFonts w:eastAsia="Times New Roman"/>
        </w:rPr>
        <w:t>i</w:t>
      </w:r>
      <w:r w:rsidRPr="00CE37D0">
        <w:rPr>
          <w:rFonts w:eastAsia="Times New Roman"/>
        </w:rPr>
        <w:t xml:space="preserve"> šalių sutaikymas ir teisminė mediacija. </w:t>
      </w:r>
      <w:r w:rsidRPr="00CE37D0">
        <w:rPr>
          <w:rStyle w:val="Puslapioinaosnuoroda"/>
        </w:rPr>
        <w:footnoteReference w:id="638"/>
      </w:r>
    </w:p>
    <w:p w:rsidR="0043367D" w:rsidRDefault="004B77FE" w:rsidP="00E54438">
      <w:pPr>
        <w:spacing w:line="360" w:lineRule="auto"/>
        <w:ind w:firstLine="1080"/>
        <w:jc w:val="both"/>
        <w:rPr>
          <w:rFonts w:eastAsia="Times New Roman"/>
        </w:rPr>
      </w:pPr>
      <w:r>
        <w:rPr>
          <w:rFonts w:eastAsia="Times New Roman"/>
        </w:rPr>
        <w:t xml:space="preserve">BPK naudojama sąvoka „taikinamasis posėdis“ iš esmės reiškia šalių sutaikymo procedūrą, kuri yra reglamentuota kaip būtina, savarankiška ir atskira privataus kaltinimo stadija. </w:t>
      </w:r>
      <w:r w:rsidR="003E3809" w:rsidRPr="00CE37D0">
        <w:rPr>
          <w:rFonts w:eastAsia="Times New Roman"/>
        </w:rPr>
        <w:t xml:space="preserve">Susitaikymas privataus kaltinimo procese reiškia susitarimą dėl abiems pusėms priimtiniausių konflikto išsprendimo sąlygų, </w:t>
      </w:r>
      <w:r w:rsidR="003E3809" w:rsidRPr="00CE37D0">
        <w:rPr>
          <w:rFonts w:eastAsia="Times New Roman"/>
          <w:vertAlign w:val="superscript"/>
        </w:rPr>
        <w:footnoteReference w:id="639"/>
      </w:r>
      <w:r w:rsidR="003E3809" w:rsidRPr="00CE37D0">
        <w:rPr>
          <w:rFonts w:eastAsia="Times New Roman"/>
        </w:rPr>
        <w:t xml:space="preserve"> kai tarpininko funkciją atlieka teisėjas, kuris taikinamajame posėdyje aktyviais veiksmais siekia sutaikyti konflikto šalis. </w:t>
      </w:r>
    </w:p>
    <w:p w:rsidR="0043367D" w:rsidRDefault="003E3809" w:rsidP="00044CCF">
      <w:pPr>
        <w:spacing w:line="360" w:lineRule="auto"/>
        <w:ind w:firstLine="1080"/>
        <w:jc w:val="both"/>
        <w:rPr>
          <w:rFonts w:eastAsia="Times New Roman"/>
        </w:rPr>
      </w:pPr>
      <w:r w:rsidRPr="00CE37D0">
        <w:rPr>
          <w:rFonts w:eastAsia="Times New Roman"/>
        </w:rPr>
        <w:t>Lietuvos pozityvio</w:t>
      </w:r>
      <w:r w:rsidR="00E54438">
        <w:rPr>
          <w:rFonts w:eastAsia="Times New Roman"/>
        </w:rPr>
        <w:t>joje</w:t>
      </w:r>
      <w:r w:rsidRPr="00CE37D0">
        <w:rPr>
          <w:rFonts w:eastAsia="Times New Roman"/>
        </w:rPr>
        <w:t xml:space="preserve"> teisė</w:t>
      </w:r>
      <w:r w:rsidR="00E54438">
        <w:rPr>
          <w:rFonts w:eastAsia="Times New Roman"/>
        </w:rPr>
        <w:t>je įtvirtint</w:t>
      </w:r>
      <w:r w:rsidRPr="00CE37D0">
        <w:rPr>
          <w:rFonts w:eastAsia="Times New Roman"/>
        </w:rPr>
        <w:t xml:space="preserve">a vadinamoji taikos teisėjo koncepcija, kuri reiškia, kad taikinimo procedūroje dalyvavęs teisėjas vėliau nagrinėja tą pačią bylą. </w:t>
      </w:r>
      <w:r w:rsidRPr="00CE37D0">
        <w:rPr>
          <w:rStyle w:val="Puslapioinaosnuoroda"/>
        </w:rPr>
        <w:footnoteReference w:id="640"/>
      </w:r>
      <w:r w:rsidRPr="00CE37D0">
        <w:rPr>
          <w:rFonts w:eastAsia="Times New Roman"/>
        </w:rPr>
        <w:t xml:space="preserve"> Tiek baudžiamojo proceso teorijoje, tiek skirtingų šalių pozityviojoje teisėje sutinkamos įvairios pozicijos dėl teisėjo, dalyvaujančio taikinimo procedūroje, statuso ir galimybės dalyvauti tolesniame procese, vykdant savo tiesiogines teismines funkcijas, jei taikinimo procedūra neduoda teigiamų rezultatų. </w:t>
      </w:r>
      <w:r w:rsidRPr="00CE37D0">
        <w:rPr>
          <w:rFonts w:eastAsia="Times New Roman"/>
          <w:vertAlign w:val="superscript"/>
        </w:rPr>
        <w:footnoteReference w:id="641"/>
      </w:r>
      <w:r w:rsidRPr="00CE37D0">
        <w:rPr>
          <w:rFonts w:eastAsia="Times New Roman"/>
        </w:rPr>
        <w:t xml:space="preserve"> Taikos teisėjo modelis kritikuojamas, kadangi taikinamojo proceso metu, imdamasis aktyvių veiksmų sutaikinti šalis, teisėjas gali išreikšti savo požiūrį į bylą, įrodymų vertinimą ir kitokiu būdu parodyti išankstinį nusistatymą, dėl kurio sprendimas byloje gali būti vertinamas kaip priimtas šališko teismo. Manytina, kad ieškant optimalaus teisėjo nešališkumo ir aktyvumo santykio</w:t>
      </w:r>
      <w:r w:rsidR="000A491D">
        <w:rPr>
          <w:rFonts w:eastAsia="Times New Roman"/>
        </w:rPr>
        <w:t xml:space="preserve"> teisinio reguliavimo, </w:t>
      </w:r>
      <w:r w:rsidRPr="00CE37D0">
        <w:rPr>
          <w:rFonts w:eastAsia="Times New Roman"/>
        </w:rPr>
        <w:t xml:space="preserve">turi būti </w:t>
      </w:r>
      <w:r w:rsidR="000A491D">
        <w:rPr>
          <w:rFonts w:eastAsia="Times New Roman"/>
        </w:rPr>
        <w:t>koreguojama ne teisėjo įgalinimų apimtis</w:t>
      </w:r>
      <w:r w:rsidR="00962158">
        <w:rPr>
          <w:rFonts w:eastAsia="Times New Roman"/>
        </w:rPr>
        <w:t xml:space="preserve">, </w:t>
      </w:r>
      <w:r w:rsidRPr="00CE37D0">
        <w:rPr>
          <w:rFonts w:eastAsia="Times New Roman"/>
          <w:vertAlign w:val="superscript"/>
        </w:rPr>
        <w:footnoteReference w:id="642"/>
      </w:r>
      <w:r w:rsidRPr="00CE37D0">
        <w:rPr>
          <w:rFonts w:eastAsia="Times New Roman"/>
        </w:rPr>
        <w:t xml:space="preserve"> o iš esmės sprendžiama taikinimo procedūrą vykdančio subjekto problema. </w:t>
      </w:r>
    </w:p>
    <w:p w:rsidR="003E3809" w:rsidRPr="00CE37D0" w:rsidRDefault="0043367D" w:rsidP="00044CCF">
      <w:pPr>
        <w:spacing w:line="360" w:lineRule="auto"/>
        <w:ind w:firstLine="1080"/>
        <w:jc w:val="both"/>
        <w:rPr>
          <w:rFonts w:eastAsia="Times New Roman"/>
        </w:rPr>
      </w:pPr>
      <w:r w:rsidRPr="00CE37D0">
        <w:rPr>
          <w:rFonts w:eastAsia="Times New Roman"/>
        </w:rPr>
        <w:lastRenderedPageBreak/>
        <w:t>R. Uscil</w:t>
      </w:r>
      <w:r>
        <w:rPr>
          <w:rFonts w:eastAsia="Times New Roman"/>
        </w:rPr>
        <w:t>a</w:t>
      </w:r>
      <w:r w:rsidRPr="00CE37D0">
        <w:rPr>
          <w:rFonts w:eastAsia="Times New Roman"/>
        </w:rPr>
        <w:t xml:space="preserve"> kritikuoja nusikaltimo aukos ir nusikaltėlio susitaikym</w:t>
      </w:r>
      <w:r>
        <w:rPr>
          <w:rFonts w:eastAsia="Times New Roman"/>
        </w:rPr>
        <w:t>ą</w:t>
      </w:r>
      <w:r w:rsidRPr="00CE37D0">
        <w:rPr>
          <w:rFonts w:eastAsia="Times New Roman"/>
        </w:rPr>
        <w:t xml:space="preserve"> ir susitarim</w:t>
      </w:r>
      <w:r>
        <w:rPr>
          <w:rFonts w:eastAsia="Times New Roman"/>
        </w:rPr>
        <w:t>ą</w:t>
      </w:r>
      <w:r w:rsidRPr="00CE37D0">
        <w:rPr>
          <w:rFonts w:eastAsia="Times New Roman"/>
        </w:rPr>
        <w:t xml:space="preserve"> dėl viktimizacijos padarinių pašalinimo kaip proces</w:t>
      </w:r>
      <w:r>
        <w:rPr>
          <w:rFonts w:eastAsia="Times New Roman"/>
        </w:rPr>
        <w:t>ą</w:t>
      </w:r>
      <w:r w:rsidRPr="00CE37D0">
        <w:rPr>
          <w:rFonts w:eastAsia="Times New Roman"/>
        </w:rPr>
        <w:t>, neišsprendžian</w:t>
      </w:r>
      <w:r>
        <w:rPr>
          <w:rFonts w:eastAsia="Times New Roman"/>
        </w:rPr>
        <w:t>tį</w:t>
      </w:r>
      <w:r w:rsidRPr="00CE37D0">
        <w:rPr>
          <w:rFonts w:eastAsia="Times New Roman"/>
        </w:rPr>
        <w:t xml:space="preserve"> konflikto, o atskirais atvejais netgi sudarant</w:t>
      </w:r>
      <w:r>
        <w:rPr>
          <w:rFonts w:eastAsia="Times New Roman"/>
        </w:rPr>
        <w:t>į</w:t>
      </w:r>
      <w:r w:rsidRPr="00CE37D0">
        <w:rPr>
          <w:rFonts w:eastAsia="Times New Roman"/>
        </w:rPr>
        <w:t xml:space="preserve"> prielaidas, skatinančias pakartotinę, </w:t>
      </w:r>
      <w:r>
        <w:rPr>
          <w:rFonts w:eastAsia="Times New Roman"/>
        </w:rPr>
        <w:t>tęstinę viktimizaciją bei siūlo</w:t>
      </w:r>
      <w:r w:rsidRPr="00CE37D0">
        <w:rPr>
          <w:rFonts w:eastAsia="Times New Roman"/>
        </w:rPr>
        <w:t xml:space="preserve"> taikų šalių konflikto sprendi</w:t>
      </w:r>
      <w:r>
        <w:rPr>
          <w:rFonts w:eastAsia="Times New Roman"/>
        </w:rPr>
        <w:t>mą įgyvendinti mediacijos keliu</w:t>
      </w:r>
      <w:r w:rsidR="00962158">
        <w:rPr>
          <w:rFonts w:eastAsia="Times New Roman"/>
        </w:rPr>
        <w:t xml:space="preserve">. </w:t>
      </w:r>
      <w:r w:rsidRPr="00CE37D0">
        <w:rPr>
          <w:rStyle w:val="Puslapioinaosnuoroda"/>
        </w:rPr>
        <w:footnoteReference w:id="643"/>
      </w:r>
      <w:r w:rsidR="00D44F3A">
        <w:rPr>
          <w:rFonts w:eastAsia="Times New Roman"/>
        </w:rPr>
        <w:t xml:space="preserve"> </w:t>
      </w:r>
      <w:r w:rsidR="003E3809" w:rsidRPr="00CE37D0">
        <w:rPr>
          <w:rFonts w:eastAsia="Times New Roman"/>
        </w:rPr>
        <w:t>Šios problemos sprendimas gali būti mediacijos, kurioje tarpininkas yra ne teisėjas, o kitas nešališkas asmuo, reglamentavimas. Deleguotoji mediacija vykdoma pasitelkiant tarpinink</w:t>
      </w:r>
      <w:r w:rsidR="00D44F3A">
        <w:rPr>
          <w:rFonts w:eastAsia="Times New Roman"/>
        </w:rPr>
        <w:t>ą</w:t>
      </w:r>
      <w:r w:rsidR="003E3809" w:rsidRPr="00CE37D0">
        <w:rPr>
          <w:rFonts w:eastAsia="Times New Roman"/>
        </w:rPr>
        <w:t xml:space="preserve"> (mediato</w:t>
      </w:r>
      <w:r w:rsidR="00D44F3A">
        <w:rPr>
          <w:rFonts w:eastAsia="Times New Roman"/>
        </w:rPr>
        <w:t>rių</w:t>
      </w:r>
      <w:r w:rsidR="003E3809" w:rsidRPr="00CE37D0">
        <w:rPr>
          <w:rFonts w:eastAsia="Times New Roman"/>
        </w:rPr>
        <w:t xml:space="preserve">), kuris nėra teisingumo vykdymo sistemos atstovas. </w:t>
      </w:r>
      <w:r w:rsidR="003E3809" w:rsidRPr="00CE37D0">
        <w:rPr>
          <w:rStyle w:val="Puslapioinaosnuoroda"/>
        </w:rPr>
        <w:footnoteReference w:id="644"/>
      </w:r>
      <w:r w:rsidR="003E3809" w:rsidRPr="00CE37D0">
        <w:rPr>
          <w:rFonts w:eastAsia="Times New Roman"/>
        </w:rPr>
        <w:t xml:space="preserve"> Tokiu atveju bylą teisėjas nukreipia </w:t>
      </w:r>
      <w:r w:rsidR="0013690B">
        <w:rPr>
          <w:rFonts w:eastAsia="Times New Roman"/>
        </w:rPr>
        <w:t xml:space="preserve">(„deleguoja“) </w:t>
      </w:r>
      <w:r w:rsidR="003E3809" w:rsidRPr="00CE37D0">
        <w:rPr>
          <w:rFonts w:eastAsia="Times New Roman"/>
        </w:rPr>
        <w:t xml:space="preserve">mediatoriui, kuris yra profesionalus tarpininkas sprendžiant baudžiamuosius ginčus. Deleguotos mediacijos privalumu laikytinas teismo nešališkumo principo užtikrinimas: nepavykus šalių sutaikinti, negalima suabejoti teismo objektyvumu ir išankstinės nuomonės turėjimu. Toks modelis pasirinktas Lenkijoje, įtvirtinant, kad taikinimo procese dalyvavęs teisėjas, sutaikinimui nepavykus, tolesniame bylos nagrinėjime nedalyvauja. </w:t>
      </w:r>
      <w:r w:rsidR="003E3809" w:rsidRPr="00CE37D0">
        <w:rPr>
          <w:rStyle w:val="Puslapioinaosnuoroda"/>
        </w:rPr>
        <w:footnoteReference w:id="645"/>
      </w:r>
    </w:p>
    <w:p w:rsidR="003E3809" w:rsidRPr="00CE37D0" w:rsidRDefault="003E3809" w:rsidP="00044CCF">
      <w:pPr>
        <w:spacing w:line="360" w:lineRule="auto"/>
        <w:ind w:firstLine="1296"/>
        <w:jc w:val="both"/>
        <w:rPr>
          <w:rFonts w:eastAsia="Times New Roman"/>
        </w:rPr>
      </w:pPr>
      <w:r w:rsidRPr="00CE37D0">
        <w:rPr>
          <w:rFonts w:eastAsia="Times New Roman"/>
        </w:rPr>
        <w:t xml:space="preserve">Atsižvelgiant į privataus kaltinimo bylų procese iškylančių teisinių santykių ypatumus, konflikto šalių specifiką, šalių sutaikinimas yra ilgas procesas, reikalaujantis ne tik teisinių, bet ir psichologinių žinių. </w:t>
      </w:r>
      <w:r w:rsidRPr="00CE37D0">
        <w:rPr>
          <w:rFonts w:eastAsia="Times New Roman"/>
          <w:vertAlign w:val="superscript"/>
        </w:rPr>
        <w:footnoteReference w:id="646"/>
      </w:r>
      <w:r w:rsidRPr="00CE37D0">
        <w:rPr>
          <w:rFonts w:eastAsia="Times New Roman"/>
        </w:rPr>
        <w:t xml:space="preserve"> Teisėjo vykdoma tarpininkavimo funkcija yra brangi, </w:t>
      </w:r>
      <w:r w:rsidR="00D44F3A">
        <w:rPr>
          <w:rFonts w:eastAsia="Times New Roman"/>
        </w:rPr>
        <w:t>prireikia</w:t>
      </w:r>
      <w:r w:rsidRPr="00CE37D0">
        <w:rPr>
          <w:rFonts w:eastAsia="Times New Roman"/>
        </w:rPr>
        <w:t xml:space="preserve"> daug teismo laiko ir pastangų, tačiau </w:t>
      </w:r>
      <w:r w:rsidR="00D44F3A">
        <w:rPr>
          <w:rFonts w:eastAsia="Times New Roman"/>
        </w:rPr>
        <w:t xml:space="preserve">ji </w:t>
      </w:r>
      <w:r w:rsidRPr="00CE37D0">
        <w:rPr>
          <w:rFonts w:eastAsia="Times New Roman"/>
        </w:rPr>
        <w:t xml:space="preserve">nėra susijusi su tiesiogine teismo funkcija vykdyti teisingumą. Todėl iškeltina hipotezė, kad privataus kaltinimo procese tikslinga </w:t>
      </w:r>
      <w:r w:rsidR="004B77FE" w:rsidRPr="00CE37D0">
        <w:rPr>
          <w:rFonts w:eastAsia="Times New Roman"/>
        </w:rPr>
        <w:t>pasitelk</w:t>
      </w:r>
      <w:r w:rsidR="004B77FE">
        <w:rPr>
          <w:rFonts w:eastAsia="Times New Roman"/>
        </w:rPr>
        <w:t>ti</w:t>
      </w:r>
      <w:r w:rsidR="004B77FE" w:rsidRPr="00CE37D0">
        <w:rPr>
          <w:rFonts w:eastAsia="Times New Roman"/>
        </w:rPr>
        <w:t xml:space="preserve"> deleguotosios mediacijos procedūrą</w:t>
      </w:r>
      <w:r w:rsidR="004B77FE">
        <w:rPr>
          <w:rFonts w:eastAsia="Times New Roman"/>
        </w:rPr>
        <w:t xml:space="preserve"> vietoj teisme vykdomo šalių sutaikinimo kaip baudžiamojo proceso stadijos</w:t>
      </w:r>
      <w:r w:rsidRPr="00CE37D0">
        <w:rPr>
          <w:rFonts w:eastAsia="Times New Roman"/>
        </w:rPr>
        <w:t xml:space="preserve">. </w:t>
      </w:r>
    </w:p>
    <w:p w:rsidR="004B77FE" w:rsidRPr="00CE37D0" w:rsidRDefault="00E54438" w:rsidP="004B77FE">
      <w:pPr>
        <w:spacing w:line="360" w:lineRule="auto"/>
        <w:ind w:firstLine="1080"/>
        <w:jc w:val="both"/>
        <w:rPr>
          <w:rFonts w:eastAsia="Times New Roman"/>
        </w:rPr>
      </w:pPr>
      <w:r>
        <w:rPr>
          <w:rFonts w:eastAsia="Times New Roman"/>
        </w:rPr>
        <w:t>Doktrinoje m</w:t>
      </w:r>
      <w:r w:rsidR="004B77FE" w:rsidRPr="00CE37D0">
        <w:rPr>
          <w:rFonts w:eastAsia="Times New Roman"/>
        </w:rPr>
        <w:t>ediacija paprastai yra suprantama kaip ginčo sprendimo procedūra, kai kilusį ginčą tarp šalių yra bandoma taikiai išspręsti</w:t>
      </w:r>
      <w:r w:rsidR="00D44F3A">
        <w:rPr>
          <w:rFonts w:eastAsia="Times New Roman"/>
        </w:rPr>
        <w:t xml:space="preserve"> per</w:t>
      </w:r>
      <w:r w:rsidR="004B77FE" w:rsidRPr="00CE37D0">
        <w:rPr>
          <w:rFonts w:eastAsia="Times New Roman"/>
        </w:rPr>
        <w:t xml:space="preserve"> mediatori</w:t>
      </w:r>
      <w:r w:rsidR="00D44F3A">
        <w:rPr>
          <w:rFonts w:eastAsia="Times New Roman"/>
        </w:rPr>
        <w:t>ų</w:t>
      </w:r>
      <w:r w:rsidR="004B77FE" w:rsidRPr="00CE37D0">
        <w:rPr>
          <w:rFonts w:eastAsia="Times New Roman"/>
        </w:rPr>
        <w:t xml:space="preserve"> (ar keli</w:t>
      </w:r>
      <w:r w:rsidR="00D44F3A">
        <w:rPr>
          <w:rFonts w:eastAsia="Times New Roman"/>
        </w:rPr>
        <w:t>s</w:t>
      </w:r>
      <w:r w:rsidR="004B77FE" w:rsidRPr="00CE37D0">
        <w:rPr>
          <w:rFonts w:eastAsia="Times New Roman"/>
        </w:rPr>
        <w:t xml:space="preserve"> mediatori</w:t>
      </w:r>
      <w:r w:rsidR="00D44F3A">
        <w:rPr>
          <w:rFonts w:eastAsia="Times New Roman"/>
        </w:rPr>
        <w:t>us</w:t>
      </w:r>
      <w:r w:rsidR="004B77FE" w:rsidRPr="00CE37D0">
        <w:rPr>
          <w:rFonts w:eastAsia="Times New Roman"/>
        </w:rPr>
        <w:t xml:space="preserve">). </w:t>
      </w:r>
      <w:r w:rsidR="004B77FE" w:rsidRPr="00CE37D0">
        <w:rPr>
          <w:rStyle w:val="Puslapioinaosnuoroda"/>
        </w:rPr>
        <w:footnoteReference w:id="647"/>
      </w:r>
      <w:r w:rsidR="00D44F3A">
        <w:rPr>
          <w:rFonts w:eastAsia="Times New Roman"/>
        </w:rPr>
        <w:t xml:space="preserve"> </w:t>
      </w:r>
      <w:r>
        <w:rPr>
          <w:rFonts w:eastAsia="Times New Roman"/>
        </w:rPr>
        <w:t>M</w:t>
      </w:r>
      <w:r w:rsidR="004B77FE" w:rsidRPr="00CE37D0">
        <w:rPr>
          <w:rFonts w:eastAsia="Times New Roman"/>
        </w:rPr>
        <w:t xml:space="preserve">ediacija baudžiamosiose bylose apibrėžiama kaip savanoriškas abiejų šalių (kaltininko ir </w:t>
      </w:r>
      <w:r w:rsidR="004B77FE" w:rsidRPr="00CE37D0">
        <w:rPr>
          <w:rFonts w:eastAsia="Times New Roman"/>
        </w:rPr>
        <w:lastRenderedPageBreak/>
        <w:t xml:space="preserve">nukentėjusiojo) bandymas išspręsti konfliktą, kilusį dėl nusikaltimo, bei sudaryti kaltininko ir nukentėjusiojo sutartį dėl žalos atlyginimo tarpininkaujant nešališkam tarpininkui. </w:t>
      </w:r>
      <w:r w:rsidR="004B77FE" w:rsidRPr="00CE37D0">
        <w:rPr>
          <w:rStyle w:val="Puslapioinaosnuoroda"/>
        </w:rPr>
        <w:footnoteReference w:id="648"/>
      </w:r>
      <w:r w:rsidR="004B77FE" w:rsidRPr="00CE37D0">
        <w:rPr>
          <w:rFonts w:eastAsia="Times New Roman"/>
        </w:rPr>
        <w:t xml:space="preserve"> Bet kokiame procese mediacijos esmė yra konflikto išsprendimas (konfliktuojančių šalių susitarimas) tarpininkaujant trečiajai šaliai, nedalyvaujančiai ginče, t.y. mediacija </w:t>
      </w:r>
      <w:r w:rsidR="004B77FE">
        <w:rPr>
          <w:rFonts w:eastAsia="Times New Roman"/>
        </w:rPr>
        <w:t>suprantama kaip</w:t>
      </w:r>
      <w:r w:rsidR="00D44F3A">
        <w:rPr>
          <w:rFonts w:eastAsia="Times New Roman"/>
        </w:rPr>
        <w:t xml:space="preserve"> </w:t>
      </w:r>
      <w:r w:rsidR="004B77FE" w:rsidRPr="00CE37D0">
        <w:rPr>
          <w:rFonts w:eastAsia="Times New Roman"/>
        </w:rPr>
        <w:t>tarpininkavimo proces</w:t>
      </w:r>
      <w:r w:rsidR="004B77FE">
        <w:rPr>
          <w:rFonts w:eastAsia="Times New Roman"/>
        </w:rPr>
        <w:t xml:space="preserve">as ar </w:t>
      </w:r>
      <w:r w:rsidR="004B77FE" w:rsidRPr="00CE37D0">
        <w:rPr>
          <w:rFonts w:eastAsia="Times New Roman"/>
        </w:rPr>
        <w:t>speciali derybų</w:t>
      </w:r>
      <w:r w:rsidR="004B77FE">
        <w:rPr>
          <w:rFonts w:eastAsia="Times New Roman"/>
        </w:rPr>
        <w:t xml:space="preserve"> forma</w:t>
      </w:r>
      <w:r w:rsidR="004B77FE" w:rsidRPr="00CE37D0">
        <w:rPr>
          <w:rFonts w:eastAsia="Times New Roman"/>
        </w:rPr>
        <w:t xml:space="preserve">. </w:t>
      </w:r>
      <w:r w:rsidR="004B77FE" w:rsidRPr="00CE37D0">
        <w:rPr>
          <w:rStyle w:val="Puslapioinaosnuoroda"/>
        </w:rPr>
        <w:footnoteReference w:id="649"/>
      </w:r>
      <w:r w:rsidR="00D44F3A">
        <w:rPr>
          <w:rFonts w:eastAsia="Times New Roman"/>
        </w:rPr>
        <w:t xml:space="preserve"> </w:t>
      </w:r>
      <w:r w:rsidR="004B77FE" w:rsidRPr="00CE37D0">
        <w:rPr>
          <w:rFonts w:eastAsia="Times New Roman"/>
        </w:rPr>
        <w:t>Mediacijos taikymas susijęs su atkuriam</w:t>
      </w:r>
      <w:r w:rsidR="00D44F3A">
        <w:rPr>
          <w:rFonts w:eastAsia="Times New Roman"/>
        </w:rPr>
        <w:t>uoju</w:t>
      </w:r>
      <w:r w:rsidR="004B77FE" w:rsidRPr="00CE37D0">
        <w:rPr>
          <w:rFonts w:eastAsia="Times New Roman"/>
        </w:rPr>
        <w:t xml:space="preserve"> teisingum</w:t>
      </w:r>
      <w:r w:rsidR="00D44F3A">
        <w:rPr>
          <w:rFonts w:eastAsia="Times New Roman"/>
        </w:rPr>
        <w:t>u</w:t>
      </w:r>
      <w:r w:rsidR="004B77FE" w:rsidRPr="00CE37D0">
        <w:rPr>
          <w:rFonts w:eastAsia="Times New Roman"/>
        </w:rPr>
        <w:t>, kurio pagrindinis tikslas yra nusikaltimu padarytos skriaudos atlyginimas arba kompensavimas</w:t>
      </w:r>
      <w:r w:rsidR="004B77FE">
        <w:rPr>
          <w:rFonts w:eastAsia="Times New Roman"/>
        </w:rPr>
        <w:t>,</w:t>
      </w:r>
      <w:r w:rsidR="004B77FE" w:rsidRPr="00CE37D0">
        <w:rPr>
          <w:rFonts w:eastAsia="Times New Roman"/>
        </w:rPr>
        <w:t xml:space="preserve"> kaip reakcijos į nusikalstamumą koncepcija. </w:t>
      </w:r>
      <w:r w:rsidR="004B77FE" w:rsidRPr="00CE37D0">
        <w:rPr>
          <w:rStyle w:val="Puslapioinaosnuoroda"/>
        </w:rPr>
        <w:footnoteReference w:id="650"/>
      </w:r>
      <w:r w:rsidR="004B77FE" w:rsidRPr="00CE37D0">
        <w:rPr>
          <w:rFonts w:eastAsia="Times New Roman"/>
        </w:rPr>
        <w:t xml:space="preserve"> Atkuriamojo teisingumo koncepcijoje problema, iš kurios kilo baudžiamasis teisinis santykis, suprantama kaip santykių pažeidimas, todėl jos sprendimu turi būti siekiama atkurti kaltininko santykius su auka ir su bendruomene. </w:t>
      </w:r>
      <w:r w:rsidR="004B77FE" w:rsidRPr="00CE37D0">
        <w:rPr>
          <w:rStyle w:val="Puslapioinaosnuoroda"/>
        </w:rPr>
        <w:footnoteReference w:id="651"/>
      </w:r>
    </w:p>
    <w:p w:rsidR="004B77FE" w:rsidRPr="00CE37D0" w:rsidRDefault="004B77FE" w:rsidP="004B77FE">
      <w:pPr>
        <w:spacing w:line="360" w:lineRule="auto"/>
        <w:ind w:firstLine="1080"/>
        <w:jc w:val="both"/>
        <w:rPr>
          <w:rFonts w:eastAsia="Times New Roman"/>
        </w:rPr>
      </w:pPr>
      <w:r w:rsidRPr="00CE37D0">
        <w:rPr>
          <w:rFonts w:eastAsia="Times New Roman"/>
        </w:rPr>
        <w:t>Pirmiausia mediacija paplito anglosaksų baudžiamajame procese</w:t>
      </w:r>
      <w:r>
        <w:rPr>
          <w:rFonts w:eastAsia="Times New Roman"/>
        </w:rPr>
        <w:t xml:space="preserve"> dėl jam</w:t>
      </w:r>
      <w:r w:rsidRPr="00CE37D0">
        <w:rPr>
          <w:rFonts w:eastAsia="Times New Roman"/>
        </w:rPr>
        <w:t xml:space="preserve"> būding</w:t>
      </w:r>
      <w:r>
        <w:rPr>
          <w:rFonts w:eastAsia="Times New Roman"/>
        </w:rPr>
        <w:t>o</w:t>
      </w:r>
      <w:r w:rsidRPr="00CE37D0">
        <w:rPr>
          <w:rFonts w:eastAsia="Times New Roman"/>
        </w:rPr>
        <w:t xml:space="preserve"> dispozityvum</w:t>
      </w:r>
      <w:r>
        <w:rPr>
          <w:rFonts w:eastAsia="Times New Roman"/>
        </w:rPr>
        <w:t>o</w:t>
      </w:r>
      <w:r w:rsidRPr="00CE37D0">
        <w:rPr>
          <w:rFonts w:eastAsia="Times New Roman"/>
        </w:rPr>
        <w:t xml:space="preserve">. </w:t>
      </w:r>
      <w:r w:rsidRPr="00CE37D0">
        <w:rPr>
          <w:rStyle w:val="Puslapioinaosnuoroda"/>
        </w:rPr>
        <w:footnoteReference w:id="652"/>
      </w:r>
      <w:r w:rsidRPr="00CE37D0">
        <w:rPr>
          <w:rFonts w:eastAsia="Times New Roman"/>
        </w:rPr>
        <w:t xml:space="preserve"> Dispozityvaus reguliavimo dominantė privataus kaltinimo bylų procese suponuoja mediacijos taikymo galimybę ir Lietuvos baudžiamajame procese. Atsiž</w:t>
      </w:r>
      <w:r>
        <w:rPr>
          <w:rFonts w:eastAsia="Times New Roman"/>
        </w:rPr>
        <w:t xml:space="preserve">velgiant į privataus kaltinimo </w:t>
      </w:r>
      <w:r w:rsidRPr="00CE37D0">
        <w:rPr>
          <w:rFonts w:eastAsia="Times New Roman"/>
        </w:rPr>
        <w:t xml:space="preserve">proceso pirminį tikslą – sutaikyti konfliktuojančias šalis – būtent šioje proceso formoje egzistuoja plačios galimybės taikyti mediaciją kaip alternatyvų ginčų sprendimo metodą. </w:t>
      </w:r>
      <w:r w:rsidR="00D44F3A">
        <w:rPr>
          <w:rFonts w:eastAsia="Times New Roman"/>
        </w:rPr>
        <w:t>Su tuo,</w:t>
      </w:r>
      <w:r w:rsidRPr="00CE37D0">
        <w:rPr>
          <w:rFonts w:eastAsia="Times New Roman"/>
        </w:rPr>
        <w:t xml:space="preserve"> kad mediacija taikytina privataus kaltinimo bylose</w:t>
      </w:r>
      <w:r w:rsidR="00D44F3A">
        <w:rPr>
          <w:rFonts w:eastAsia="Times New Roman"/>
        </w:rPr>
        <w:t>,</w:t>
      </w:r>
      <w:r w:rsidRPr="00CE37D0">
        <w:rPr>
          <w:rFonts w:eastAsia="Times New Roman"/>
        </w:rPr>
        <w:t xml:space="preserve"> sutinka ir R. Simaitis, nors pripažįstama, kad smurto panaudojimas ir giliai įsišaknijusi priešprieša apsunkina mediacijos vykdymą. </w:t>
      </w:r>
      <w:r w:rsidRPr="00CE37D0">
        <w:rPr>
          <w:rFonts w:eastAsia="Times New Roman"/>
          <w:vertAlign w:val="superscript"/>
        </w:rPr>
        <w:footnoteReference w:id="653"/>
      </w:r>
    </w:p>
    <w:p w:rsidR="004B77FE" w:rsidRPr="00CE37D0" w:rsidRDefault="004B77FE" w:rsidP="004B77FE">
      <w:pPr>
        <w:spacing w:line="360" w:lineRule="auto"/>
        <w:ind w:firstLine="1080"/>
        <w:jc w:val="both"/>
        <w:rPr>
          <w:rFonts w:eastAsia="Times New Roman"/>
        </w:rPr>
      </w:pPr>
      <w:r>
        <w:rPr>
          <w:rFonts w:eastAsia="Times New Roman"/>
        </w:rPr>
        <w:t>P</w:t>
      </w:r>
      <w:r w:rsidRPr="00CE37D0">
        <w:rPr>
          <w:rFonts w:eastAsia="Times New Roman"/>
        </w:rPr>
        <w:t>rocedūra, kurioje teismo paskirtas arba rekomenduotas neutralus mediatorius padeda šalims pasiekti kompromisinį susitarim</w:t>
      </w:r>
      <w:r>
        <w:rPr>
          <w:rFonts w:eastAsia="Times New Roman"/>
        </w:rPr>
        <w:t>ą teismo nustatytais klausimais, vadinama</w:t>
      </w:r>
      <w:r w:rsidR="00D44F3A">
        <w:rPr>
          <w:rFonts w:eastAsia="Times New Roman"/>
        </w:rPr>
        <w:t xml:space="preserve"> </w:t>
      </w:r>
      <w:r>
        <w:rPr>
          <w:rFonts w:eastAsia="Times New Roman"/>
        </w:rPr>
        <w:t>t</w:t>
      </w:r>
      <w:r w:rsidRPr="00CE37D0">
        <w:rPr>
          <w:rFonts w:eastAsia="Times New Roman"/>
        </w:rPr>
        <w:t>eismin</w:t>
      </w:r>
      <w:r>
        <w:rPr>
          <w:rFonts w:eastAsia="Times New Roman"/>
        </w:rPr>
        <w:t>e</w:t>
      </w:r>
      <w:r w:rsidRPr="00CE37D0">
        <w:rPr>
          <w:rFonts w:eastAsia="Times New Roman"/>
        </w:rPr>
        <w:t xml:space="preserve"> mediacija (tarpininkavim</w:t>
      </w:r>
      <w:r>
        <w:rPr>
          <w:rFonts w:eastAsia="Times New Roman"/>
        </w:rPr>
        <w:t>u</w:t>
      </w:r>
      <w:r w:rsidRPr="00CE37D0">
        <w:rPr>
          <w:rFonts w:eastAsia="Times New Roman"/>
        </w:rPr>
        <w:t>)</w:t>
      </w:r>
      <w:r>
        <w:rPr>
          <w:rFonts w:eastAsia="Times New Roman"/>
        </w:rPr>
        <w:t>.</w:t>
      </w:r>
      <w:r w:rsidRPr="00CE37D0">
        <w:rPr>
          <w:rFonts w:eastAsia="Times New Roman"/>
        </w:rPr>
        <w:t xml:space="preserve"> Teisminė mediacija reiškia ne tiek formalią teismo proceso ir mediacijos jungtinę strategiją, kiek bendrą interesą padėti besiginčijančioms šalims visomis įmanomomis ir prieinamomis priemonėmis kuo greičiau išspręsti ginčą. </w:t>
      </w:r>
      <w:r w:rsidRPr="00CE37D0">
        <w:rPr>
          <w:rStyle w:val="Puslapioinaosnuoroda"/>
        </w:rPr>
        <w:footnoteReference w:id="654"/>
      </w:r>
    </w:p>
    <w:p w:rsidR="003E3809" w:rsidRPr="00CE37D0" w:rsidRDefault="003E3809" w:rsidP="00044CCF">
      <w:pPr>
        <w:spacing w:line="360" w:lineRule="auto"/>
        <w:ind w:firstLine="1296"/>
        <w:jc w:val="both"/>
        <w:rPr>
          <w:rFonts w:eastAsia="Times New Roman"/>
        </w:rPr>
      </w:pPr>
      <w:r w:rsidRPr="00CE37D0">
        <w:rPr>
          <w:rFonts w:eastAsia="Times New Roman"/>
        </w:rPr>
        <w:t xml:space="preserve">Nagrinėjant mediacijos įdiegimo galimybę Lietuvos baudžiamajame procese, problematika išskaidytina į kelis momentus: privalomumo problema, nukreipimo mechanizmo problema ir reglamentavimo problema. </w:t>
      </w:r>
    </w:p>
    <w:p w:rsidR="00962158" w:rsidRDefault="00D44F3A" w:rsidP="00962158">
      <w:pPr>
        <w:spacing w:line="360" w:lineRule="auto"/>
        <w:ind w:firstLine="1296"/>
        <w:jc w:val="both"/>
        <w:rPr>
          <w:rFonts w:eastAsia="Times New Roman"/>
        </w:rPr>
      </w:pPr>
      <w:r>
        <w:rPr>
          <w:rFonts w:eastAsia="Times New Roman"/>
        </w:rPr>
        <w:t xml:space="preserve">Mokslininkai daug diskutuoja apie </w:t>
      </w:r>
      <w:r w:rsidR="003E3809" w:rsidRPr="00CE37D0">
        <w:rPr>
          <w:rFonts w:eastAsia="Times New Roman"/>
        </w:rPr>
        <w:t>pasirinkimo tarp savanoriškos ir privalomos mediacijos problem</w:t>
      </w:r>
      <w:r>
        <w:rPr>
          <w:rFonts w:eastAsia="Times New Roman"/>
        </w:rPr>
        <w:t>ą</w:t>
      </w:r>
      <w:r w:rsidR="003E3809" w:rsidRPr="00CE37D0">
        <w:rPr>
          <w:rFonts w:eastAsia="Times New Roman"/>
        </w:rPr>
        <w:t xml:space="preserve">. Civiliniuose ginčuose dažniausiai teikiama pirmenybė savanoriškai </w:t>
      </w:r>
      <w:r w:rsidR="003E3809" w:rsidRPr="00CE37D0">
        <w:rPr>
          <w:rFonts w:eastAsia="Times New Roman"/>
        </w:rPr>
        <w:lastRenderedPageBreak/>
        <w:t xml:space="preserve">mediacijai. </w:t>
      </w:r>
      <w:r w:rsidR="003E3809" w:rsidRPr="00CE37D0">
        <w:rPr>
          <w:rStyle w:val="Puslapioinaosnuoroda"/>
        </w:rPr>
        <w:footnoteReference w:id="655"/>
      </w:r>
      <w:r w:rsidR="003E3809" w:rsidRPr="00CE37D0">
        <w:rPr>
          <w:rFonts w:eastAsia="Times New Roman"/>
        </w:rPr>
        <w:t xml:space="preserve"> Privataus kaltinimo bylų procese galimi keli mediacijos įdiegimo variantai: kaip privalomos procedūros ir kaip alternatyvos taikinamajam posėdžiui. Įvertinant mediacijos įsitvirtinimo Lietuvos teisinėje sistemoje sunkumus bei mentaliteto ypatumus, sunku būtų patikėti mediacijos sėkme, jei ji nebūtų numatyta kaip privaloma procedūra. Taikinamąjį posėdį, kuriame iniciatyvos sutaikinti proceso šalis imasi teisėjas, pakeitus privaloma mediacijos procedūra, kurioje šalims sprendžiant konfliktą tarpininkauja profesionalus mediatorius, būtų išsaugotas pirminis privataus kaltinimo proceso tikslas sutaikyti šalis bei užtikrinamas pigesnis procesas. Tačiau mediacijos institutui įrodžius savo veiksmingumą ir įsitvirtinus Lietuvos teisėje, galimas ir alternatyvios mediacijos procedūros reglamentavimas. Mediacija kaip alternatyva taikinamajam posėdžiui numatyta Lenkijos BPK 489 str</w:t>
      </w:r>
      <w:r w:rsidR="00126829">
        <w:rPr>
          <w:rFonts w:eastAsia="Times New Roman"/>
        </w:rPr>
        <w:t>aipsnio</w:t>
      </w:r>
      <w:r w:rsidR="003E3809" w:rsidRPr="00CE37D0">
        <w:rPr>
          <w:rFonts w:eastAsia="Times New Roman"/>
        </w:rPr>
        <w:t xml:space="preserve"> 2 d</w:t>
      </w:r>
      <w:r w:rsidR="00126829">
        <w:rPr>
          <w:rFonts w:eastAsia="Times New Roman"/>
        </w:rPr>
        <w:t>alyje</w:t>
      </w:r>
      <w:r w:rsidR="003E3809" w:rsidRPr="00CE37D0">
        <w:rPr>
          <w:rFonts w:eastAsia="Times New Roman"/>
        </w:rPr>
        <w:t xml:space="preserve"> ir gali būti teismo paskirta šalių prašymu arba sutikimu, numatant terminą šiai procedūrai įgyvendinti. Privalomos ikiteisminės mediacijos modelis kritikuojamas kaip nepagrįstai suvaržantis teisę į efektyvią t</w:t>
      </w:r>
      <w:r w:rsidR="00962158">
        <w:rPr>
          <w:rFonts w:eastAsia="Times New Roman"/>
        </w:rPr>
        <w:t>eisminę pažeistų teisių gynybą.</w:t>
      </w:r>
      <w:r w:rsidR="003E3809" w:rsidRPr="00CE37D0">
        <w:rPr>
          <w:rStyle w:val="Puslapioinaosnuoroda"/>
        </w:rPr>
        <w:footnoteReference w:id="656"/>
      </w:r>
      <w:r w:rsidR="003E3809" w:rsidRPr="00CE37D0">
        <w:rPr>
          <w:rFonts w:eastAsia="Times New Roman"/>
        </w:rPr>
        <w:t xml:space="preserve"> Todėl </w:t>
      </w:r>
      <w:r w:rsidR="00432455">
        <w:rPr>
          <w:rFonts w:eastAsia="Times New Roman"/>
        </w:rPr>
        <w:t>manytina</w:t>
      </w:r>
      <w:r w:rsidR="003E3809" w:rsidRPr="00CE37D0">
        <w:rPr>
          <w:rFonts w:eastAsia="Times New Roman"/>
        </w:rPr>
        <w:t xml:space="preserve">, kad prioritetas </w:t>
      </w:r>
      <w:r w:rsidR="00432455">
        <w:rPr>
          <w:rFonts w:eastAsia="Times New Roman"/>
        </w:rPr>
        <w:t xml:space="preserve">turėtų būti </w:t>
      </w:r>
      <w:r w:rsidR="003E3809" w:rsidRPr="00CE37D0">
        <w:rPr>
          <w:rFonts w:eastAsia="Times New Roman"/>
        </w:rPr>
        <w:t>teik</w:t>
      </w:r>
      <w:r w:rsidR="00432455">
        <w:rPr>
          <w:rFonts w:eastAsia="Times New Roman"/>
        </w:rPr>
        <w:t>iam</w:t>
      </w:r>
      <w:r w:rsidR="003E3809" w:rsidRPr="00CE37D0">
        <w:rPr>
          <w:rFonts w:eastAsia="Times New Roman"/>
        </w:rPr>
        <w:t>as teisės į teismą (te</w:t>
      </w:r>
      <w:r w:rsidR="00432455">
        <w:rPr>
          <w:rFonts w:eastAsia="Times New Roman"/>
        </w:rPr>
        <w:t>ismo prieinamumo) užtikrinimui neribojant būtina sąlyga pasinaudoti ikiteisminėmis procedūromis.</w:t>
      </w:r>
    </w:p>
    <w:p w:rsidR="003E3809" w:rsidRPr="00CE37D0" w:rsidRDefault="003E3809" w:rsidP="00962158">
      <w:pPr>
        <w:spacing w:line="360" w:lineRule="auto"/>
        <w:ind w:firstLine="1296"/>
        <w:jc w:val="both"/>
        <w:rPr>
          <w:rFonts w:eastAsia="Times New Roman"/>
        </w:rPr>
      </w:pPr>
      <w:r w:rsidRPr="00CE37D0">
        <w:rPr>
          <w:rFonts w:eastAsia="Times New Roman"/>
        </w:rPr>
        <w:t>Pasirinkus mediacijos modelį taikinimo funkcijai privataus kaltinimo bylų procese įgyvendinti, iškyla jo reglamentavimo klausimai. Nors Lietuvos įstatymai nedraudžia spręsti teisinių ginčų pasinaudojant tarpininkavimu</w:t>
      </w:r>
      <w:r w:rsidR="00B645CB">
        <w:rPr>
          <w:rFonts w:eastAsia="Times New Roman"/>
        </w:rPr>
        <w:t>,</w:t>
      </w:r>
      <w:r w:rsidRPr="00CE37D0">
        <w:rPr>
          <w:rFonts w:eastAsia="Times New Roman"/>
        </w:rPr>
        <w:t xml:space="preserve"> </w:t>
      </w:r>
      <w:r w:rsidRPr="00CE37D0">
        <w:rPr>
          <w:rStyle w:val="Puslapioinaosnuoroda"/>
        </w:rPr>
        <w:footnoteReference w:id="657"/>
      </w:r>
      <w:r w:rsidRPr="00CE37D0">
        <w:rPr>
          <w:rFonts w:eastAsia="Times New Roman"/>
        </w:rPr>
        <w:t xml:space="preserve"> tačiau</w:t>
      </w:r>
      <w:r w:rsidR="00D44F3A">
        <w:rPr>
          <w:rFonts w:eastAsia="Times New Roman"/>
        </w:rPr>
        <w:t>,</w:t>
      </w:r>
      <w:r w:rsidRPr="00CE37D0">
        <w:rPr>
          <w:rFonts w:eastAsia="Times New Roman"/>
        </w:rPr>
        <w:t xml:space="preserve"> siekiant, kad deleguota mediacija taptų privalomu privataus kaltinimo bylų proceso etapu, būtina tai </w:t>
      </w:r>
      <w:r w:rsidR="00432455">
        <w:rPr>
          <w:rFonts w:eastAsia="Times New Roman"/>
        </w:rPr>
        <w:t>reglamentuoti</w:t>
      </w:r>
      <w:r w:rsidRPr="00CE37D0">
        <w:rPr>
          <w:rFonts w:eastAsia="Times New Roman"/>
        </w:rPr>
        <w:t xml:space="preserve"> BPK</w:t>
      </w:r>
      <w:r w:rsidR="00432455">
        <w:rPr>
          <w:rFonts w:eastAsia="Times New Roman"/>
        </w:rPr>
        <w:t xml:space="preserve"> normose</w:t>
      </w:r>
      <w:r w:rsidRPr="00CE37D0">
        <w:rPr>
          <w:rFonts w:eastAsia="Times New Roman"/>
        </w:rPr>
        <w:t>. Atliktame kriminologiniame tyrime apie mediacijos įdiegimo galimybes Lietuvoje, prieita prie išvados, kad mūsų šalyje labiausiai tiktų kontinentinės teisės</w:t>
      </w:r>
      <w:r w:rsidR="00432455">
        <w:rPr>
          <w:rFonts w:eastAsia="Times New Roman"/>
        </w:rPr>
        <w:t xml:space="preserve"> šalyse dažnas teisinio r</w:t>
      </w:r>
      <w:r w:rsidRPr="00CE37D0">
        <w:rPr>
          <w:rFonts w:eastAsia="Times New Roman"/>
        </w:rPr>
        <w:t>eg</w:t>
      </w:r>
      <w:r w:rsidR="00432455">
        <w:rPr>
          <w:rFonts w:eastAsia="Times New Roman"/>
        </w:rPr>
        <w:t>u</w:t>
      </w:r>
      <w:r w:rsidRPr="00CE37D0">
        <w:rPr>
          <w:rFonts w:eastAsia="Times New Roman"/>
        </w:rPr>
        <w:t>l</w:t>
      </w:r>
      <w:r w:rsidR="00432455">
        <w:rPr>
          <w:rFonts w:eastAsia="Times New Roman"/>
        </w:rPr>
        <w:t>iavimo modelis, kai BPK numatyta nukreipimo (delegavimo) procedūra</w:t>
      </w:r>
      <w:r w:rsidR="001A1757">
        <w:rPr>
          <w:rFonts w:eastAsia="Times New Roman"/>
        </w:rPr>
        <w:t>,</w:t>
      </w:r>
      <w:r w:rsidR="00962158">
        <w:rPr>
          <w:rFonts w:eastAsia="Times New Roman"/>
        </w:rPr>
        <w:t xml:space="preserve"> </w:t>
      </w:r>
      <w:r w:rsidR="004D6EE2" w:rsidRPr="00CE37D0">
        <w:rPr>
          <w:rStyle w:val="Puslapioinaosnuoroda"/>
        </w:rPr>
        <w:footnoteReference w:id="658"/>
      </w:r>
      <w:r w:rsidR="00432455">
        <w:rPr>
          <w:rFonts w:eastAsia="Times New Roman"/>
        </w:rPr>
        <w:t xml:space="preserve"> t.y.</w:t>
      </w:r>
      <w:r w:rsidRPr="00CE37D0">
        <w:rPr>
          <w:rFonts w:eastAsia="Times New Roman"/>
        </w:rPr>
        <w:t xml:space="preserve"> kad įstatymo nustatytais atvejais pareigūnas (privataus kaltinimo procese – teisėjas) gali siūlyti nukentėjusiajam ir kaltininkui pasinaudoti mediatoriaus paslaugomis arba jų sutikimu persiųsti bylą mediacijos įstaigai (mediatoriui), o patį mediacijos procesą reglamentuoja atskiras įstatymas. </w:t>
      </w:r>
      <w:r w:rsidRPr="00CE37D0">
        <w:rPr>
          <w:rStyle w:val="Puslapioinaosnuoroda"/>
        </w:rPr>
        <w:footnoteReference w:id="659"/>
      </w:r>
      <w:r w:rsidR="00D44F3A">
        <w:rPr>
          <w:rFonts w:eastAsia="Times New Roman"/>
        </w:rPr>
        <w:t xml:space="preserve"> </w:t>
      </w:r>
      <w:r w:rsidRPr="00CE37D0">
        <w:rPr>
          <w:rFonts w:eastAsia="Times New Roman"/>
        </w:rPr>
        <w:t xml:space="preserve">Mediacijos (tarpininkavimo) procedūros, sprendžiant baudžiamuosius teisinius ginčus, konkrečių teisinio reguliavimo nuostatų formulavimas nėra šio disertacinio tyrimo dalykas, kadangi dėl savo apimties </w:t>
      </w:r>
      <w:r w:rsidR="00432455">
        <w:rPr>
          <w:rFonts w:eastAsia="Times New Roman"/>
        </w:rPr>
        <w:lastRenderedPageBreak/>
        <w:t xml:space="preserve">tai </w:t>
      </w:r>
      <w:r w:rsidRPr="00CE37D0">
        <w:rPr>
          <w:rFonts w:eastAsia="Times New Roman"/>
        </w:rPr>
        <w:t xml:space="preserve">reikalauja atskiro tyrimo, todėl šiame darbe galimas teisinis mediacijos reguliavimas nebus modeliuojamas. </w:t>
      </w:r>
    </w:p>
    <w:p w:rsidR="003E3809" w:rsidRPr="00CE37D0" w:rsidRDefault="003E3809" w:rsidP="00044CCF">
      <w:pPr>
        <w:spacing w:line="360" w:lineRule="auto"/>
        <w:ind w:firstLine="1296"/>
        <w:jc w:val="both"/>
        <w:rPr>
          <w:rFonts w:eastAsia="Times New Roman"/>
        </w:rPr>
      </w:pPr>
      <w:r w:rsidRPr="00CE37D0">
        <w:rPr>
          <w:rFonts w:eastAsia="Times New Roman"/>
        </w:rPr>
        <w:t>Privalomas bylos perdavimas mediacijos procedūrai labiau nei teisėjo rengiamas taikinamasis posėdis atitiktų tiek proceso dalyvių interesus, tiek valstybės institucijų administracinius poreikius. Taikinamajame posėdyje daugiausia dėmesio skiriama teisiniams klausimams: kaltininko ir nukentėjusiojo susitarimui dėl teisine prasme reikšmingų aplinkybių. Teisine prasme reikšmingos aplinkybės yra tik tos, kurios turi įtakos baudžiamojo proceso eigai, pvz.: žalos atlyginimas</w:t>
      </w:r>
      <w:r w:rsidR="004D6EE2">
        <w:rPr>
          <w:rFonts w:eastAsia="Times New Roman"/>
        </w:rPr>
        <w:t>, principinis sutarimas dėl įvykdytos nusikalstamos veikos, jos aplinkybių ir padarinių</w:t>
      </w:r>
      <w:r w:rsidRPr="00CE37D0">
        <w:rPr>
          <w:rFonts w:eastAsia="Times New Roman"/>
        </w:rPr>
        <w:t xml:space="preserve">. Susitarimas dėl susitaikymo yra reikšmingas dėl savo teisinių pasekmių, t.y. jis yra pagrindas nutraukti privataus kaltinimo procesą. Tačiau konflikto šalims svarbios aplinkybės gali neapsiriboti tomis, kurios reikšmingos bylai. Mediacijos procese sudaromos galimybės aptarti ne tik teisines pasekmes </w:t>
      </w:r>
      <w:r w:rsidR="00432455">
        <w:rPr>
          <w:rFonts w:eastAsia="Times New Roman"/>
        </w:rPr>
        <w:t>sukeli</w:t>
      </w:r>
      <w:r w:rsidRPr="00CE37D0">
        <w:rPr>
          <w:rFonts w:eastAsia="Times New Roman"/>
        </w:rPr>
        <w:t>ančias aplinkybes, bet ir kit</w:t>
      </w:r>
      <w:r w:rsidR="00432455">
        <w:rPr>
          <w:rFonts w:eastAsia="Times New Roman"/>
        </w:rPr>
        <w:t>u</w:t>
      </w:r>
      <w:r w:rsidRPr="00CE37D0">
        <w:rPr>
          <w:rFonts w:eastAsia="Times New Roman"/>
        </w:rPr>
        <w:t xml:space="preserve">s į konflikto sritį patenkančius asmeninius, psichologinius ginčo aspektus. Privataus kaltinimo procesas vyksta ne dėl proceso šalių konflikto iš esmės, o dėl to </w:t>
      </w:r>
      <w:r w:rsidR="007E0228">
        <w:rPr>
          <w:rFonts w:eastAsia="Times New Roman"/>
        </w:rPr>
        <w:t xml:space="preserve">jo </w:t>
      </w:r>
      <w:r w:rsidRPr="00CE37D0">
        <w:rPr>
          <w:rFonts w:eastAsia="Times New Roman"/>
        </w:rPr>
        <w:t>epizodo, kuris kvalifikuojamas kaip atitinkantis nusikalstamos veikos požymius. Todėl ir taikinamojo posėdžio tikslas yra išspręsti ne patį konfliktą, o tik tą jo dalį, kuri patenka į baudžiamosios teisės reguliavimo sferą. Mediacija, skirtingai nuo taikinamojo posėdžio, gali sudaryti sąlygas konflikto šalims ne tik pasiekti susitarimą dėl baudžiamojo proceso dalyko, bet ir išspręsti priežastis, lėmusias nusikalstamos veikos padarymą, su</w:t>
      </w:r>
      <w:r w:rsidR="007E0228">
        <w:rPr>
          <w:rFonts w:eastAsia="Times New Roman"/>
        </w:rPr>
        <w:t>kur</w:t>
      </w:r>
      <w:r w:rsidRPr="00CE37D0">
        <w:rPr>
          <w:rFonts w:eastAsia="Times New Roman"/>
        </w:rPr>
        <w:t>ti erdvę civilizuotai išspręsti konfliktą, sudaryti terpę būti išgirstiems ir išsakyti savo nuomonę ir užkirsti kelią konflikto sąlygotai deviacijai ateityje. Kaip rodo procedūrinį teisingumą analizuojantys tyrimai, kartais tai proceso šalims yra svarbiau nei tiesos nustatymas. Todėl darytina išvada, kad privalomą taikinamąjį posėdį pakeitus privaloma mediacija, tai turėtų teigiamą įtaką tiek nukentėjusiojo, tiek kaltininko interesams, taip pat konflikto išsprendimo kokybei ir recidyvo</w:t>
      </w:r>
      <w:r w:rsidR="00F54942">
        <w:rPr>
          <w:rFonts w:eastAsia="Times New Roman"/>
        </w:rPr>
        <w:t xml:space="preserve"> prevencijai. Alternatyvių ginčo</w:t>
      </w:r>
      <w:r w:rsidRPr="00CE37D0">
        <w:rPr>
          <w:rFonts w:eastAsia="Times New Roman"/>
        </w:rPr>
        <w:t xml:space="preserve"> sprendimų pagalba teisiniai konfliktai </w:t>
      </w:r>
      <w:r w:rsidR="00D06EE0">
        <w:rPr>
          <w:rFonts w:eastAsia="Times New Roman"/>
        </w:rPr>
        <w:t xml:space="preserve">būtų </w:t>
      </w:r>
      <w:r w:rsidRPr="00CE37D0">
        <w:rPr>
          <w:rFonts w:eastAsia="Times New Roman"/>
        </w:rPr>
        <w:t xml:space="preserve">pašalinami iš teismų, turint pagrindinį tikslą suteikti naudos šalims, sumažinti bylinėjimosi išlaidas ir vilkinimą (uždelsimą) </w:t>
      </w:r>
      <w:r w:rsidRPr="00CE37D0">
        <w:rPr>
          <w:rFonts w:eastAsia="Times New Roman"/>
          <w:vertAlign w:val="superscript"/>
        </w:rPr>
        <w:footnoteReference w:id="660"/>
      </w:r>
      <w:r w:rsidRPr="00CE37D0">
        <w:rPr>
          <w:rFonts w:eastAsia="Times New Roman"/>
        </w:rPr>
        <w:t xml:space="preserve"> bei užkirsti kelią tolesniems teisiniams ginčams. </w:t>
      </w:r>
      <w:r w:rsidRPr="00CE37D0">
        <w:rPr>
          <w:rFonts w:eastAsia="Times New Roman"/>
          <w:vertAlign w:val="superscript"/>
        </w:rPr>
        <w:footnoteReference w:id="661"/>
      </w:r>
      <w:r w:rsidRPr="00CE37D0">
        <w:rPr>
          <w:rFonts w:eastAsia="Times New Roman"/>
        </w:rPr>
        <w:t xml:space="preserve"> Todėl mediacijos įdiegimas turėtų pozityvios įtakos ir teisingumo vykdymo sistemos administravimui. Dėl šių priežasčių darytina išvada, kad deleguotos mediacijos procedūra labiau atitiktų proceso šalių interesus ir sudarytų prielaidas </w:t>
      </w:r>
      <w:r w:rsidR="00D44F3A">
        <w:rPr>
          <w:rFonts w:eastAsia="Times New Roman"/>
        </w:rPr>
        <w:t>išspręsti konfliktą palankiausiai abiems šalims</w:t>
      </w:r>
      <w:r w:rsidRPr="00CE37D0">
        <w:rPr>
          <w:rFonts w:eastAsia="Times New Roman"/>
        </w:rPr>
        <w:t xml:space="preserve">. </w:t>
      </w:r>
    </w:p>
    <w:p w:rsidR="00C77E1D" w:rsidRPr="00CE37D0" w:rsidRDefault="00C77E1D" w:rsidP="00C77E1D">
      <w:pPr>
        <w:spacing w:line="360" w:lineRule="auto"/>
        <w:ind w:firstLine="851"/>
        <w:jc w:val="both"/>
      </w:pPr>
      <w:r w:rsidRPr="00CE37D0">
        <w:lastRenderedPageBreak/>
        <w:t>Privataus kaltinimo bylų procesas nėra greitas procesas, bylos nagrinėjimo trukmę (ne tik teisminio nagrinėjimo, bet ir laikotarpio nuo nusikalstamos veikos padarymo iki procesinio sprendimo) lemia taikinamosios procedūros trukmė, procesinių dokumentų trūkumų šalinimas (grąžinant skundą kaip neatitinkantį BPK 412 str</w:t>
      </w:r>
      <w:r w:rsidR="00126829">
        <w:t>aipsnio</w:t>
      </w:r>
      <w:r w:rsidRPr="00CE37D0">
        <w:t xml:space="preserve"> reikalavimų), proceso formos keitimas (perduodant bylą prokurorui dėl įstatyme numatytų aplinkybių). Taip pat tai nėra pigus procesas, kadangi visi sprendimai priimami teismo, dėl visų privataus kaltinimo skundų rengiami teismo posėdžiai. Pavyzdžiui, analizuojant privataus kaltinimo bylų nagrinėjimo rezultatus, apkaltinamieji nuosprendžiai sudaro tik nedidelę dalį visų teismo sprendimų (2008 m. 144 atvejais iš 1232 bylų, 2009 m. 139 atvejais iš 1191 bylų, 2010 m. 160 iš 1199 bylų, 2011 m. 182 iš 1270 bylų, 2012 m. 151 iš 1168 bylų). Palyginimui, privatus kaltintojas atsisakė kaltinimo 2008 m. 331 byloje, 2009 m. 306 bylose, 2010 m. 337 bylose, 2011 m. 339 bylose, 2012 m. 268 bylose. Taip pat d</w:t>
      </w:r>
      <w:r w:rsidR="00D44F3A">
        <w:t>aug</w:t>
      </w:r>
      <w:r w:rsidRPr="00CE37D0">
        <w:t xml:space="preserve"> nekokybiškų skundų, ku</w:t>
      </w:r>
      <w:r w:rsidR="00126829">
        <w:t>rie dėl BPK 412 straipsnio</w:t>
      </w:r>
      <w:r w:rsidRPr="00CE37D0">
        <w:t xml:space="preserve"> reikalavimų </w:t>
      </w:r>
      <w:r w:rsidR="00D44F3A">
        <w:t xml:space="preserve">neatitikimo </w:t>
      </w:r>
      <w:r w:rsidRPr="00CE37D0">
        <w:t>buvo grąžinti nukentėjusiam asmeniui (jo atstovui): 2008 m. 508 skundai, 2009 m. 503 skundai, 2010 m. 453, 2011 m. – 481, 2012 m. – 469, t.y. nuo 37,78 iki</w:t>
      </w:r>
      <w:r w:rsidR="007E0228">
        <w:t xml:space="preserve"> 42,23 procento. (Priedas Nr.</w:t>
      </w:r>
      <w:r w:rsidR="00484A04">
        <w:t xml:space="preserve"> 3</w:t>
      </w:r>
      <w:r w:rsidR="007E0228">
        <w:t xml:space="preserve">) </w:t>
      </w:r>
      <w:r w:rsidR="007E0228">
        <w:rPr>
          <w:rStyle w:val="Puslapioinaosnuoroda"/>
        </w:rPr>
        <w:footnoteReference w:id="662"/>
      </w:r>
    </w:p>
    <w:p w:rsidR="007E32DD" w:rsidRPr="007E32DD" w:rsidRDefault="007E32DD" w:rsidP="00F93861">
      <w:pPr>
        <w:pStyle w:val="Antrat1"/>
        <w:numPr>
          <w:ilvl w:val="0"/>
          <w:numId w:val="11"/>
        </w:numPr>
      </w:pPr>
      <w:bookmarkStart w:id="394" w:name="_Toc400321707"/>
      <w:bookmarkStart w:id="395" w:name="_Toc321911353"/>
      <w:bookmarkStart w:id="396" w:name="_Toc321911490"/>
      <w:bookmarkStart w:id="397" w:name="_Toc321911527"/>
      <w:bookmarkStart w:id="398" w:name="_Toc324414335"/>
      <w:bookmarkStart w:id="399" w:name="_Toc327528901"/>
      <w:bookmarkStart w:id="400" w:name="_Toc327528957"/>
      <w:bookmarkStart w:id="401" w:name="_Toc327529046"/>
      <w:bookmarkStart w:id="402" w:name="_Toc333483889"/>
      <w:bookmarkStart w:id="403" w:name="_Toc341009859"/>
      <w:bookmarkStart w:id="404" w:name="_Toc346795984"/>
      <w:bookmarkStart w:id="405" w:name="_Toc365498869"/>
      <w:bookmarkStart w:id="406" w:name="_Toc370139927"/>
      <w:r w:rsidRPr="007E32DD">
        <w:t>Procesas pirmo</w:t>
      </w:r>
      <w:r w:rsidR="00445FF7">
        <w:t>sio</w:t>
      </w:r>
      <w:r w:rsidRPr="007E32DD">
        <w:t>s instancijos teismuose</w:t>
      </w:r>
      <w:bookmarkEnd w:id="394"/>
    </w:p>
    <w:p w:rsidR="007E32DD" w:rsidRPr="007E32DD" w:rsidRDefault="007E32DD" w:rsidP="007E32DD">
      <w:pPr>
        <w:spacing w:line="360" w:lineRule="auto"/>
        <w:ind w:firstLine="720"/>
        <w:jc w:val="both"/>
        <w:rPr>
          <w:rFonts w:eastAsia="Times New Roman"/>
        </w:rPr>
      </w:pPr>
      <w:r w:rsidRPr="007E32DD">
        <w:rPr>
          <w:rFonts w:eastAsia="Times New Roman"/>
        </w:rPr>
        <w:t>Privataus kaltinimo bylų nagrinėjimą teisme reglamentuoja bendros nagrinėjimo teisme taisyklės bei specialiosios normos, numatančios tik šiai proceso formai būdingas iši</w:t>
      </w:r>
      <w:r w:rsidR="00126829">
        <w:rPr>
          <w:rFonts w:eastAsia="Times New Roman"/>
        </w:rPr>
        <w:t>mtis (BPK 410, 411, 415-417 straipsniai</w:t>
      </w:r>
      <w:r w:rsidRPr="007E32DD">
        <w:rPr>
          <w:rFonts w:eastAsia="Times New Roman"/>
        </w:rPr>
        <w:t>)</w:t>
      </w:r>
      <w:r w:rsidR="00962158">
        <w:rPr>
          <w:rFonts w:eastAsia="Times New Roman"/>
        </w:rPr>
        <w:t>.</w:t>
      </w:r>
      <w:r w:rsidRPr="007E32DD">
        <w:rPr>
          <w:rFonts w:eastAsia="Times New Roman"/>
        </w:rPr>
        <w:t xml:space="preserve"> </w:t>
      </w:r>
      <w:r w:rsidRPr="007E32DD">
        <w:rPr>
          <w:vertAlign w:val="superscript"/>
        </w:rPr>
        <w:footnoteReference w:id="663"/>
      </w:r>
      <w:r w:rsidRPr="007E32DD">
        <w:rPr>
          <w:rFonts w:eastAsia="Times New Roman"/>
        </w:rPr>
        <w:t xml:space="preserve"> Konkuruojant bendrosioms ir specialiosioms teisės normo</w:t>
      </w:r>
      <w:r w:rsidR="00D06EE0">
        <w:rPr>
          <w:rFonts w:eastAsia="Times New Roman"/>
        </w:rPr>
        <w:t>m</w:t>
      </w:r>
      <w:r w:rsidRPr="007E32DD">
        <w:rPr>
          <w:rFonts w:eastAsia="Times New Roman"/>
        </w:rPr>
        <w:t>s, taikomos specialiosios privataus kaltinimo procesą reglamentuojančios nuostatos, o nesant specialiojo teisinio reg</w:t>
      </w:r>
      <w:r w:rsidR="00D06EE0">
        <w:rPr>
          <w:rFonts w:eastAsia="Times New Roman"/>
        </w:rPr>
        <w:t>u</w:t>
      </w:r>
      <w:r w:rsidRPr="007E32DD">
        <w:rPr>
          <w:rFonts w:eastAsia="Times New Roman"/>
        </w:rPr>
        <w:t>l</w:t>
      </w:r>
      <w:r w:rsidR="00D06EE0">
        <w:rPr>
          <w:rFonts w:eastAsia="Times New Roman"/>
        </w:rPr>
        <w:t>i</w:t>
      </w:r>
      <w:r w:rsidRPr="007E32DD">
        <w:rPr>
          <w:rFonts w:eastAsia="Times New Roman"/>
        </w:rPr>
        <w:t xml:space="preserve">avimo, procesas vyksta pagal bendrąsias taisykles. Įprastinio proceso taisyklės reglamentuoja procesinės prievartos priemonių taikymą privataus kaltinimo bylų procese, civilinio ieškinio užtikrinimą, įrodinėjimo procesą, nuosprendžio (nutarties) surašymo ir paskelbimo taisykles. Išanalizavus </w:t>
      </w:r>
      <w:r w:rsidR="0024342C">
        <w:rPr>
          <w:rFonts w:eastAsia="Times New Roman"/>
        </w:rPr>
        <w:t xml:space="preserve">260 sprendimų, priimtų 2012 m. </w:t>
      </w:r>
      <w:r w:rsidR="0024342C" w:rsidRPr="007E32DD">
        <w:rPr>
          <w:rFonts w:eastAsia="Times New Roman"/>
        </w:rPr>
        <w:t>privataus kaltinimo bylose,</w:t>
      </w:r>
      <w:r w:rsidR="00D44F3A">
        <w:rPr>
          <w:rFonts w:eastAsia="Times New Roman"/>
        </w:rPr>
        <w:t xml:space="preserve"> </w:t>
      </w:r>
      <w:r w:rsidR="00A423ED" w:rsidRPr="007E32DD">
        <w:rPr>
          <w:rFonts w:eastAsia="Times New Roman"/>
        </w:rPr>
        <w:t xml:space="preserve">kardomosios priemonės buvo paskirtos </w:t>
      </w:r>
      <w:r w:rsidR="00A423ED">
        <w:rPr>
          <w:rFonts w:eastAsia="Times New Roman"/>
        </w:rPr>
        <w:t>9</w:t>
      </w:r>
      <w:r w:rsidR="00A423ED" w:rsidRPr="007E32DD">
        <w:rPr>
          <w:rFonts w:eastAsia="Times New Roman"/>
        </w:rPr>
        <w:t xml:space="preserve"> bylose</w:t>
      </w:r>
      <w:r w:rsidR="00A423ED">
        <w:rPr>
          <w:rFonts w:eastAsia="Times New Roman"/>
        </w:rPr>
        <w:t>,</w:t>
      </w:r>
      <w:r w:rsidR="00D44F3A">
        <w:rPr>
          <w:rFonts w:eastAsia="Times New Roman"/>
        </w:rPr>
        <w:t xml:space="preserve"> </w:t>
      </w:r>
      <w:r w:rsidR="0024342C">
        <w:rPr>
          <w:rFonts w:eastAsia="Times New Roman"/>
        </w:rPr>
        <w:t xml:space="preserve">5 atvejais buvo paskirta kardomoji priemonė – rašytinis pasižadėjimas neišvykti, 3 atvejais kaltinamasis buvo įpareigotas gyventi skyrium nuo nukentėjusiosios, 1 byloje kardomoji priemonė </w:t>
      </w:r>
      <w:r w:rsidR="00D44F3A">
        <w:rPr>
          <w:rFonts w:eastAsia="Times New Roman"/>
        </w:rPr>
        <w:t xml:space="preserve">– </w:t>
      </w:r>
      <w:r w:rsidR="0024342C">
        <w:rPr>
          <w:rFonts w:eastAsia="Times New Roman"/>
        </w:rPr>
        <w:t>įpareigojimas gyventi skyrium</w:t>
      </w:r>
      <w:r w:rsidR="00D44F3A">
        <w:rPr>
          <w:rFonts w:eastAsia="Times New Roman"/>
        </w:rPr>
        <w:t xml:space="preserve"> –</w:t>
      </w:r>
      <w:r w:rsidR="0024342C">
        <w:rPr>
          <w:rFonts w:eastAsia="Times New Roman"/>
        </w:rPr>
        <w:t xml:space="preserve"> buvo pakeista į suėmimą.</w:t>
      </w:r>
      <w:r w:rsidR="00D44F3A">
        <w:rPr>
          <w:rFonts w:eastAsia="Times New Roman"/>
        </w:rPr>
        <w:t xml:space="preserve"> </w:t>
      </w:r>
      <w:r w:rsidR="00D06EE0">
        <w:rPr>
          <w:rFonts w:eastAsia="Times New Roman"/>
        </w:rPr>
        <w:t xml:space="preserve">Išanalizavus </w:t>
      </w:r>
      <w:r w:rsidRPr="007E32DD">
        <w:rPr>
          <w:rFonts w:eastAsia="Times New Roman"/>
        </w:rPr>
        <w:t>350 sprendimų, priimtų 2013 m.</w:t>
      </w:r>
      <w:r w:rsidR="00D06EE0">
        <w:rPr>
          <w:rFonts w:eastAsia="Times New Roman"/>
        </w:rPr>
        <w:t>,</w:t>
      </w:r>
      <w:r w:rsidRPr="007E32DD">
        <w:rPr>
          <w:rFonts w:eastAsia="Times New Roman"/>
        </w:rPr>
        <w:t xml:space="preserve"> nustatyta, kad kardomosios priemonės buvo paskirtos tik 5 bylose (3 atvejais – rašytinis pasižadėjimas neišvykti, 2 atvejais – suėmimas). </w:t>
      </w:r>
      <w:r w:rsidRPr="007E32DD">
        <w:rPr>
          <w:rFonts w:eastAsia="Times New Roman"/>
        </w:rPr>
        <w:lastRenderedPageBreak/>
        <w:t xml:space="preserve">Taigi galima daryti išvadą, kad kardomosios priemonės privataus kaltinimo bylose skiriamos retai, </w:t>
      </w:r>
      <w:r w:rsidRPr="007E32DD">
        <w:rPr>
          <w:rFonts w:eastAsia="Times New Roman"/>
          <w:vertAlign w:val="superscript"/>
        </w:rPr>
        <w:footnoteReference w:id="664"/>
      </w:r>
      <w:r w:rsidRPr="007E32DD">
        <w:rPr>
          <w:rFonts w:eastAsia="Times New Roman"/>
        </w:rPr>
        <w:t xml:space="preserve"> tačiau, esant pagrindams, gali būti teismo skiriama ir griežčiausia kardomoji priemonė – suėmimas (abiem atvejais ši kardomoji priemonė paskirta teismo iniciatyva). </w:t>
      </w:r>
      <w:r w:rsidR="00512EE8">
        <w:rPr>
          <w:rFonts w:eastAsia="Times New Roman"/>
        </w:rPr>
        <w:t xml:space="preserve">(Priedas Nr. 5) </w:t>
      </w:r>
      <w:r w:rsidRPr="007E32DD">
        <w:rPr>
          <w:rFonts w:eastAsia="Times New Roman"/>
          <w:vertAlign w:val="superscript"/>
        </w:rPr>
        <w:footnoteReference w:id="665"/>
      </w:r>
      <w:r w:rsidRPr="007E32DD">
        <w:rPr>
          <w:rFonts w:eastAsia="Times New Roman"/>
        </w:rPr>
        <w:t xml:space="preserve"> Laikinas nuosavybės teisių apribojimas buvo taikomas 2013 m. 1 atveju (iš 350 analizuotų teismų sprendimų)</w:t>
      </w:r>
      <w:r w:rsidR="00962158">
        <w:rPr>
          <w:rFonts w:eastAsia="Times New Roman"/>
        </w:rPr>
        <w:t>,</w:t>
      </w:r>
      <w:r w:rsidRPr="007E32DD">
        <w:rPr>
          <w:rFonts w:eastAsia="Times New Roman"/>
        </w:rPr>
        <w:t xml:space="preserve"> </w:t>
      </w:r>
      <w:r w:rsidRPr="007E32DD">
        <w:rPr>
          <w:rFonts w:eastAsia="Times New Roman"/>
          <w:vertAlign w:val="superscript"/>
        </w:rPr>
        <w:footnoteReference w:id="666"/>
      </w:r>
      <w:r w:rsidRPr="007E32DD">
        <w:rPr>
          <w:rFonts w:eastAsia="Times New Roman"/>
        </w:rPr>
        <w:t xml:space="preserve"> 2012 m. – 1 atveju (iš 300 analizuotų sprendimų)</w:t>
      </w:r>
      <w:r w:rsidR="00962158">
        <w:rPr>
          <w:rFonts w:eastAsia="Times New Roman"/>
        </w:rPr>
        <w:t>.</w:t>
      </w:r>
      <w:r w:rsidRPr="007E32DD">
        <w:rPr>
          <w:rFonts w:eastAsia="Times New Roman"/>
        </w:rPr>
        <w:t xml:space="preserve"> </w:t>
      </w:r>
      <w:r w:rsidRPr="007E32DD">
        <w:rPr>
          <w:rFonts w:eastAsia="Times New Roman"/>
          <w:vertAlign w:val="superscript"/>
        </w:rPr>
        <w:footnoteReference w:id="667"/>
      </w:r>
      <w:r w:rsidRPr="007E32DD">
        <w:rPr>
          <w:rFonts w:eastAsia="Times New Roman"/>
        </w:rPr>
        <w:t xml:space="preserve"> Taigi privataus kaltinimo procese procesinių prievartos priemonių taikymas, nors ir vykdomas pagal bendrąsias taisykles, yra reikšmingai retesnis nei bendrojoje proceso formoje. Tai lemia tiek privataus kaltinimo tvarka nagrinėjamų nusikalstamų veikų mažesnis pavojingumas, tiek privataus intereso gynimo dispozityvumas. Privataus kaltintojo dispozityvi teisė praš</w:t>
      </w:r>
      <w:r w:rsidR="00D06EE0">
        <w:rPr>
          <w:rFonts w:eastAsia="Times New Roman"/>
        </w:rPr>
        <w:t>yti</w:t>
      </w:r>
      <w:r w:rsidRPr="007E32DD">
        <w:rPr>
          <w:rFonts w:eastAsia="Times New Roman"/>
        </w:rPr>
        <w:t xml:space="preserve"> taikyti procesinės prievartos priemon</w:t>
      </w:r>
      <w:r w:rsidR="00D06EE0">
        <w:rPr>
          <w:rFonts w:eastAsia="Times New Roman"/>
        </w:rPr>
        <w:t>e</w:t>
      </w:r>
      <w:r w:rsidRPr="007E32DD">
        <w:rPr>
          <w:rFonts w:eastAsia="Times New Roman"/>
        </w:rPr>
        <w:t>s lyginant su prokuroro pareiga numatytais atvejais jas taikyti pačiam arba kreiptis į teismą dėl tokių priemonių taikymo lemia tai, kad teisme rečiau inicijuojamas kardomųjų priemonių, civilinio ieškinio užtikrinimo priemonių taikymo klausimas.</w:t>
      </w:r>
    </w:p>
    <w:p w:rsidR="007E32DD" w:rsidRPr="007E32DD" w:rsidRDefault="007E32DD" w:rsidP="007E32DD">
      <w:pPr>
        <w:spacing w:line="360" w:lineRule="auto"/>
        <w:ind w:firstLine="720"/>
        <w:jc w:val="both"/>
        <w:rPr>
          <w:rFonts w:eastAsia="Times New Roman"/>
        </w:rPr>
      </w:pPr>
      <w:r w:rsidRPr="007E32DD">
        <w:rPr>
          <w:rFonts w:eastAsia="Times New Roman"/>
        </w:rPr>
        <w:t>Privataus kaltinimo proceso ypatumai susiję su privataus kaltinimo bylų proceso paruošiamąja stadija, t.y. privataus kaltinimo bylos parengimu nagrinėti teisme, privataus kaltintojo teise atsisakyti kaltinimo ir procesiniu bendrininkavimu. Bendros visoms bylų kategorijoms nagrinėjimo pirmos instancijos teisme taisyklės nėra šio disertacinio tyrimo dalykas, todėl detaliau bus analizuojami tik ypatumai, būdingi privataus</w:t>
      </w:r>
      <w:r w:rsidR="00A423ED">
        <w:rPr>
          <w:rFonts w:eastAsia="Times New Roman"/>
        </w:rPr>
        <w:t xml:space="preserve"> kaltinimo procesinei formai.  </w:t>
      </w:r>
    </w:p>
    <w:p w:rsidR="007E32DD" w:rsidRPr="00F93861" w:rsidRDefault="007E32DD" w:rsidP="00F93861">
      <w:pPr>
        <w:pStyle w:val="Antrat3"/>
        <w:numPr>
          <w:ilvl w:val="1"/>
          <w:numId w:val="20"/>
        </w:numPr>
      </w:pPr>
      <w:bookmarkStart w:id="407" w:name="_Toc400321708"/>
      <w:r w:rsidRPr="00F93861">
        <w:t>Privataus kaltinimo bylos parengimas nagrinėti teisme</w:t>
      </w:r>
      <w:bookmarkEnd w:id="407"/>
    </w:p>
    <w:p w:rsidR="007E32DD" w:rsidRPr="007E32DD" w:rsidRDefault="007E32DD" w:rsidP="00445FF7">
      <w:pPr>
        <w:spacing w:line="360" w:lineRule="auto"/>
        <w:ind w:firstLine="851"/>
        <w:jc w:val="both"/>
        <w:rPr>
          <w:rFonts w:eastAsia="Times New Roman"/>
        </w:rPr>
      </w:pPr>
      <w:r w:rsidRPr="007E32DD">
        <w:rPr>
          <w:rFonts w:eastAsia="Times New Roman"/>
        </w:rPr>
        <w:t>Bylos parengim</w:t>
      </w:r>
      <w:r w:rsidR="001B6740">
        <w:rPr>
          <w:rFonts w:eastAsia="Times New Roman"/>
        </w:rPr>
        <w:t>as</w:t>
      </w:r>
      <w:r w:rsidRPr="007E32DD">
        <w:rPr>
          <w:rFonts w:eastAsia="Times New Roman"/>
        </w:rPr>
        <w:t xml:space="preserve"> nagrinėti teisme gali</w:t>
      </w:r>
      <w:r w:rsidR="001B6740">
        <w:rPr>
          <w:rFonts w:eastAsia="Times New Roman"/>
        </w:rPr>
        <w:t xml:space="preserve"> būti</w:t>
      </w:r>
      <w:r w:rsidRPr="007E32DD">
        <w:rPr>
          <w:rFonts w:eastAsia="Times New Roman"/>
        </w:rPr>
        <w:t xml:space="preserve"> apibūdin</w:t>
      </w:r>
      <w:r w:rsidR="001B6740">
        <w:rPr>
          <w:rFonts w:eastAsia="Times New Roman"/>
        </w:rPr>
        <w:t>amas</w:t>
      </w:r>
      <w:r w:rsidRPr="007E32DD">
        <w:rPr>
          <w:rFonts w:eastAsia="Times New Roman"/>
        </w:rPr>
        <w:t xml:space="preserve"> kaip paruošiam</w:t>
      </w:r>
      <w:r w:rsidR="001B6740">
        <w:rPr>
          <w:rFonts w:eastAsia="Times New Roman"/>
        </w:rPr>
        <w:t>asis etapas</w:t>
      </w:r>
      <w:r w:rsidRPr="007E32DD">
        <w:rPr>
          <w:rFonts w:eastAsia="Times New Roman"/>
        </w:rPr>
        <w:t>, kadangi ši</w:t>
      </w:r>
      <w:r w:rsidR="001B6740">
        <w:rPr>
          <w:rFonts w:eastAsia="Times New Roman"/>
        </w:rPr>
        <w:t>ame etap</w:t>
      </w:r>
      <w:r w:rsidRPr="007E32DD">
        <w:rPr>
          <w:rFonts w:eastAsia="Times New Roman"/>
        </w:rPr>
        <w:t>e priimamas nukentėjusiojo skundas (ar jo teisėto atstovo pareiškimas), vyksta susipažinimas su skundo (pareiškimo) forma ir turiniu: patikrinama, ar skundas atitinka BPK 412 str</w:t>
      </w:r>
      <w:r w:rsidR="00126829">
        <w:rPr>
          <w:rFonts w:eastAsia="Times New Roman"/>
        </w:rPr>
        <w:t>aipsnio 2 dalies</w:t>
      </w:r>
      <w:r w:rsidRPr="007E32DD">
        <w:rPr>
          <w:rFonts w:eastAsia="Times New Roman"/>
        </w:rPr>
        <w:t xml:space="preserve"> reikalavimus, ar nėra aplinkybių, dėl kurių baudžiamasis procesas negalimas, ar byla teisminga teismui, kuriam paduotas skundas (pareiškimas). Šiame etape priimamas sprendimas, ar nėra kliūčių nagrinėti bylą teisme, ir galimi galutiniai teismo sprendimai, lemiantys tai, kad privataus kaltinimo procesas nebus pradėtas: 1. skundo grąžinimas jį padavusiam asmeniui, nurodant pašalinti turinio </w:t>
      </w:r>
      <w:r w:rsidR="00126829">
        <w:rPr>
          <w:rFonts w:eastAsia="Times New Roman"/>
        </w:rPr>
        <w:t>ar formos trūkumus (BPK 412 straipsnio</w:t>
      </w:r>
      <w:r w:rsidRPr="007E32DD">
        <w:rPr>
          <w:rFonts w:eastAsia="Times New Roman"/>
        </w:rPr>
        <w:t xml:space="preserve"> 3 d</w:t>
      </w:r>
      <w:r w:rsidR="00126829">
        <w:rPr>
          <w:rFonts w:eastAsia="Times New Roman"/>
        </w:rPr>
        <w:t>alis</w:t>
      </w:r>
      <w:r w:rsidRPr="007E32DD">
        <w:rPr>
          <w:rFonts w:eastAsia="Times New Roman"/>
        </w:rPr>
        <w:t xml:space="preserve">) (galimas pakartotinis skundo padavimas); 2. atsisakymas pradėti privataus kaltinimo bylų procesą, esant aplinkybėms, dėl </w:t>
      </w:r>
      <w:r w:rsidRPr="007E32DD">
        <w:rPr>
          <w:rFonts w:eastAsia="Times New Roman"/>
        </w:rPr>
        <w:lastRenderedPageBreak/>
        <w:t xml:space="preserve">kurių baudžiamasis procesas negalimas ar esant nurodytiems akivaizdžiai neteisingiems faktams (BPK 412 </w:t>
      </w:r>
      <w:r w:rsidRPr="007E32DD">
        <w:rPr>
          <w:rFonts w:eastAsia="Times New Roman"/>
          <w:vertAlign w:val="superscript"/>
        </w:rPr>
        <w:t>1</w:t>
      </w:r>
      <w:r w:rsidRPr="007E32DD">
        <w:rPr>
          <w:rFonts w:eastAsia="Times New Roman"/>
        </w:rPr>
        <w:t xml:space="preserve"> str</w:t>
      </w:r>
      <w:r w:rsidR="00126829">
        <w:rPr>
          <w:rFonts w:eastAsia="Times New Roman"/>
        </w:rPr>
        <w:t>aipsnis</w:t>
      </w:r>
      <w:r w:rsidRPr="007E32DD">
        <w:rPr>
          <w:rFonts w:eastAsia="Times New Roman"/>
        </w:rPr>
        <w:t xml:space="preserve">) (pakartotinis skundo padavimas negalimas). </w:t>
      </w:r>
    </w:p>
    <w:p w:rsidR="007E32DD" w:rsidRPr="007E32DD" w:rsidRDefault="007E32DD" w:rsidP="00445FF7">
      <w:pPr>
        <w:spacing w:line="360" w:lineRule="auto"/>
        <w:ind w:firstLine="851"/>
        <w:jc w:val="both"/>
        <w:rPr>
          <w:rFonts w:eastAsia="Times New Roman"/>
          <w:bCs/>
        </w:rPr>
      </w:pPr>
      <w:r w:rsidRPr="007E32DD">
        <w:rPr>
          <w:rFonts w:eastAsia="Times New Roman"/>
        </w:rPr>
        <w:t>Sprendimą dėl kaltininko baudžiamojo persekiojimo ir kaltinimo jam formulavimo priima nukentėjęs asmuo, o ne teismas. Teismo vaidmuo šiame etape reiškia tik jo teisę priimti nagrinėjimui nukentėjusiojo skundą, o atsisakyti priimti nukentėjusiojo skundą teismas gali tik dėl procesinių trūkumų (BPK 412 str</w:t>
      </w:r>
      <w:r w:rsidR="00126829">
        <w:rPr>
          <w:rFonts w:eastAsia="Times New Roman"/>
        </w:rPr>
        <w:t>aipsnio</w:t>
      </w:r>
      <w:r w:rsidRPr="007E32DD">
        <w:rPr>
          <w:rFonts w:eastAsia="Times New Roman"/>
        </w:rPr>
        <w:t xml:space="preserve"> 3 d</w:t>
      </w:r>
      <w:r w:rsidR="00126829">
        <w:rPr>
          <w:rFonts w:eastAsia="Times New Roman"/>
        </w:rPr>
        <w:t>alis</w:t>
      </w:r>
      <w:r w:rsidRPr="007E32DD">
        <w:rPr>
          <w:rFonts w:eastAsia="Times New Roman"/>
        </w:rPr>
        <w:t xml:space="preserve">). Tik nuo 2007 m. rugsėjo 1 d. įsigaliojo BPK 412 </w:t>
      </w:r>
      <w:r w:rsidRPr="007E32DD">
        <w:rPr>
          <w:rFonts w:eastAsia="Times New Roman"/>
          <w:vertAlign w:val="superscript"/>
        </w:rPr>
        <w:t>1</w:t>
      </w:r>
      <w:r w:rsidRPr="007E32DD">
        <w:rPr>
          <w:rFonts w:eastAsia="Times New Roman"/>
        </w:rPr>
        <w:t xml:space="preserve"> straipsnis</w:t>
      </w:r>
      <w:r w:rsidR="00962158">
        <w:rPr>
          <w:rFonts w:eastAsia="Times New Roman"/>
        </w:rPr>
        <w:t>,</w:t>
      </w:r>
      <w:r w:rsidRPr="007E32DD">
        <w:rPr>
          <w:rFonts w:eastAsia="Times New Roman"/>
        </w:rPr>
        <w:t xml:space="preserve"> </w:t>
      </w:r>
      <w:r w:rsidRPr="007E32DD">
        <w:rPr>
          <w:vertAlign w:val="superscript"/>
        </w:rPr>
        <w:footnoteReference w:id="668"/>
      </w:r>
      <w:r w:rsidRPr="007E32DD">
        <w:rPr>
          <w:rFonts w:eastAsia="Times New Roman"/>
        </w:rPr>
        <w:t xml:space="preserve"> suteikęs teisėjui įgalinimą </w:t>
      </w:r>
      <w:r w:rsidRPr="007E32DD">
        <w:rPr>
          <w:rFonts w:eastAsia="Times New Roman"/>
          <w:bCs/>
        </w:rPr>
        <w:t>gavus nukentėjusiojo skundą ar jo teisėto atstovo pareiškimą, nutartimi atsisakyti pradėti privataus kaltinimo bylų procesą, jeigu skunde ar pareiškime nurodyti faktai apie nusikalstamą veiką yra akivaizdžiai neteisingi ar yra aiškios BPK 3 str</w:t>
      </w:r>
      <w:r w:rsidR="00126829">
        <w:rPr>
          <w:rFonts w:eastAsia="Times New Roman"/>
          <w:bCs/>
        </w:rPr>
        <w:t>aipsnio</w:t>
      </w:r>
      <w:r w:rsidRPr="007E32DD">
        <w:rPr>
          <w:rFonts w:eastAsia="Times New Roman"/>
          <w:bCs/>
        </w:rPr>
        <w:t xml:space="preserve"> 1 d</w:t>
      </w:r>
      <w:r w:rsidR="00126829">
        <w:rPr>
          <w:rFonts w:eastAsia="Times New Roman"/>
          <w:bCs/>
        </w:rPr>
        <w:t>alyje</w:t>
      </w:r>
      <w:r w:rsidRPr="007E32DD">
        <w:rPr>
          <w:rFonts w:eastAsia="Times New Roman"/>
          <w:bCs/>
        </w:rPr>
        <w:t xml:space="preserve"> nurodytos aplinkybės. Analizuojant BPK nuostatas sistemiškai, pastebėtina, kad atsisakymo pradėti privataus kaltinimo bylų procesą pagrindai yra analogiški atsisakymo pradėti ikiteisminį tyrimą pagrindams (BPK 168 str</w:t>
      </w:r>
      <w:r w:rsidR="00126829">
        <w:rPr>
          <w:rFonts w:eastAsia="Times New Roman"/>
          <w:bCs/>
        </w:rPr>
        <w:t>aipsnio</w:t>
      </w:r>
      <w:r w:rsidRPr="007E32DD">
        <w:rPr>
          <w:rFonts w:eastAsia="Times New Roman"/>
          <w:bCs/>
        </w:rPr>
        <w:t xml:space="preserve"> 1 d</w:t>
      </w:r>
      <w:r w:rsidR="00126829">
        <w:rPr>
          <w:rFonts w:eastAsia="Times New Roman"/>
          <w:bCs/>
        </w:rPr>
        <w:t>alis</w:t>
      </w:r>
      <w:r w:rsidRPr="007E32DD">
        <w:rPr>
          <w:rFonts w:eastAsia="Times New Roman"/>
          <w:bCs/>
        </w:rPr>
        <w:t>). Tokia nuostata BPK buvo būtina, kadangi</w:t>
      </w:r>
      <w:r w:rsidR="00FE1649">
        <w:rPr>
          <w:rFonts w:eastAsia="Times New Roman"/>
          <w:bCs/>
        </w:rPr>
        <w:t>,</w:t>
      </w:r>
      <w:r w:rsidRPr="007E32DD">
        <w:rPr>
          <w:rFonts w:eastAsia="Times New Roman"/>
          <w:bCs/>
        </w:rPr>
        <w:t xml:space="preserve"> nenumačius atsisakymo pradėti privataus kaltinimo procesą pagrindų, procesas vis tiek turėtų vykti bendra tvarka ir tik galutiniame teismo procesiniame dokumente (nutartyje ar nuosprendyje) būtų galima konstatuoti absoliučius proceso negalimumo pagrindus.  </w:t>
      </w:r>
    </w:p>
    <w:p w:rsidR="007E32DD" w:rsidRPr="007E32DD" w:rsidRDefault="007E32DD" w:rsidP="007E32DD">
      <w:pPr>
        <w:spacing w:line="360" w:lineRule="auto"/>
        <w:ind w:firstLine="709"/>
        <w:jc w:val="both"/>
        <w:rPr>
          <w:rFonts w:eastAsia="Times New Roman"/>
          <w:bCs/>
        </w:rPr>
      </w:pPr>
      <w:r w:rsidRPr="007E32DD">
        <w:rPr>
          <w:rFonts w:eastAsia="Times New Roman"/>
          <w:bCs/>
        </w:rPr>
        <w:t>Atsisakymas pradėti privataus kaltinimo bylos procesą galimas tik iki taikinamojo posėdžio. Teismų praktikoje atsisakymas pradėti privataus kaltinimo procesą po taikinamojo posėdžio pripažįstamas esminiu proceso pažeidimu, motyvuojant tuo, kad taikinamojo posėdžio paskyrimas rodo teismo poziciją, jog nebuvo nustatyta BPK 412</w:t>
      </w:r>
      <w:r w:rsidRPr="007E32DD">
        <w:rPr>
          <w:rFonts w:eastAsia="Times New Roman"/>
          <w:bCs/>
          <w:vertAlign w:val="superscript"/>
        </w:rPr>
        <w:t>1</w:t>
      </w:r>
      <w:r w:rsidRPr="007E32DD">
        <w:rPr>
          <w:rFonts w:eastAsia="Times New Roman"/>
          <w:bCs/>
        </w:rPr>
        <w:t xml:space="preserve"> str</w:t>
      </w:r>
      <w:r w:rsidR="00126829">
        <w:rPr>
          <w:rFonts w:eastAsia="Times New Roman"/>
          <w:bCs/>
        </w:rPr>
        <w:t>aipsnio</w:t>
      </w:r>
      <w:r w:rsidRPr="007E32DD">
        <w:rPr>
          <w:rFonts w:eastAsia="Times New Roman"/>
          <w:bCs/>
        </w:rPr>
        <w:t xml:space="preserve"> 1 d</w:t>
      </w:r>
      <w:r w:rsidR="00126829">
        <w:rPr>
          <w:rFonts w:eastAsia="Times New Roman"/>
          <w:bCs/>
        </w:rPr>
        <w:t>alyje</w:t>
      </w:r>
      <w:r w:rsidRPr="007E32DD">
        <w:rPr>
          <w:rFonts w:eastAsia="Times New Roman"/>
          <w:bCs/>
        </w:rPr>
        <w:t xml:space="preserve"> numatytų pagrindų. Taikinamojo posėdžio metu asmenims nesusitaikius, teismas gali priimti tik vieną sprendimą: skundą perduoti nagrinėti teisiamajame posėdyje (BPK 413 str</w:t>
      </w:r>
      <w:r w:rsidR="00126829">
        <w:rPr>
          <w:rFonts w:eastAsia="Times New Roman"/>
          <w:bCs/>
        </w:rPr>
        <w:t>aipsnio</w:t>
      </w:r>
      <w:r w:rsidRPr="007E32DD">
        <w:rPr>
          <w:rFonts w:eastAsia="Times New Roman"/>
          <w:bCs/>
        </w:rPr>
        <w:t xml:space="preserve"> 5 d</w:t>
      </w:r>
      <w:r w:rsidR="00126829">
        <w:rPr>
          <w:rFonts w:eastAsia="Times New Roman"/>
          <w:bCs/>
        </w:rPr>
        <w:t>alis</w:t>
      </w:r>
      <w:r w:rsidRPr="007E32DD">
        <w:rPr>
          <w:rFonts w:eastAsia="Times New Roman"/>
          <w:bCs/>
        </w:rPr>
        <w:t xml:space="preserve">). </w:t>
      </w:r>
      <w:r w:rsidRPr="007E32DD">
        <w:rPr>
          <w:vertAlign w:val="superscript"/>
        </w:rPr>
        <w:footnoteReference w:id="669"/>
      </w:r>
    </w:p>
    <w:p w:rsidR="007E32DD" w:rsidRPr="007E32DD" w:rsidRDefault="007E32DD" w:rsidP="007E32DD">
      <w:pPr>
        <w:spacing w:line="360" w:lineRule="auto"/>
        <w:ind w:firstLine="709"/>
        <w:jc w:val="both"/>
        <w:rPr>
          <w:rFonts w:eastAsia="Times New Roman"/>
        </w:rPr>
      </w:pPr>
      <w:r w:rsidRPr="007E32DD">
        <w:rPr>
          <w:rFonts w:eastAsia="Times New Roman"/>
        </w:rPr>
        <w:t>Priimant sprendimą dėl kliūčių nagrinėti bylą teisme nebuvimo, turi būti įdėmiai išanalizuoti procesiniai dokumenta</w:t>
      </w:r>
      <w:r w:rsidR="00126829">
        <w:rPr>
          <w:rFonts w:eastAsia="Times New Roman"/>
        </w:rPr>
        <w:t>i ir kita medžiaga (BPK 233 straipsnis</w:t>
      </w:r>
      <w:r w:rsidRPr="007E32DD">
        <w:rPr>
          <w:rFonts w:eastAsia="Times New Roman"/>
        </w:rPr>
        <w:t xml:space="preserve">). </w:t>
      </w:r>
      <w:r w:rsidRPr="007E32DD">
        <w:rPr>
          <w:vertAlign w:val="superscript"/>
        </w:rPr>
        <w:footnoteReference w:id="670"/>
      </w:r>
      <w:r w:rsidRPr="007E32DD">
        <w:rPr>
          <w:rFonts w:eastAsia="Times New Roman"/>
        </w:rPr>
        <w:t xml:space="preserve"> R. Merkevičius kritikuoja bylos parengimo nagrinėti teisme struktūrą, kadangi ji lemia kaltinimo funkcijos dominavimą prieš visas kitas procesines funkcijas ir formuoja preliminarų teismo vidinį įsitikinimą.</w:t>
      </w:r>
      <w:r w:rsidR="00962158">
        <w:rPr>
          <w:rFonts w:eastAsia="Times New Roman"/>
        </w:rPr>
        <w:t xml:space="preserve"> </w:t>
      </w:r>
      <w:r w:rsidRPr="007E32DD">
        <w:rPr>
          <w:vertAlign w:val="superscript"/>
        </w:rPr>
        <w:footnoteReference w:id="671"/>
      </w:r>
      <w:r w:rsidRPr="007E32DD">
        <w:rPr>
          <w:rFonts w:eastAsia="Times New Roman"/>
        </w:rPr>
        <w:t xml:space="preserve"> Privataus kaltinimo procese tokia pasirengimo teisminiam nagrinėjimui struktūra yra pateisinama dėl dviejų priežasčių. </w:t>
      </w:r>
      <w:r w:rsidRPr="007E32DD">
        <w:rPr>
          <w:rFonts w:eastAsia="Times New Roman"/>
        </w:rPr>
        <w:lastRenderedPageBreak/>
        <w:t>Pirma, nukentėjusiojo skundą dažnais atvejais rengia ne teisininkas profesionalas ir dažniau nei tuomet, kai bylą teisminiam nagrinėjimui parengia prokuroras, pasitaiko skundų, kurių formos ir turinio trūkumai užkerta kelią tolesniam procesui. Todėl privataus kaltinimo skundo medžiaga</w:t>
      </w:r>
      <w:r w:rsidR="00FE1649">
        <w:rPr>
          <w:rFonts w:eastAsia="Times New Roman"/>
        </w:rPr>
        <w:t xml:space="preserve"> turi būti atidžiau patikrinama</w:t>
      </w:r>
      <w:r w:rsidRPr="007E32DD">
        <w:rPr>
          <w:rFonts w:eastAsia="Times New Roman"/>
        </w:rPr>
        <w:t xml:space="preserve">. Antra, teisėjo vaidmuo privataus kaltinimo procese yra aktyvesnis nei bendrojoje proceso formoje. Vykdydamas savo įstatyminę pareigą surengti taikinamąjį posėdį ir imtis priemonių šalims sutaikyti, teisėjas privalo įsigilinti į bylos aplinkybes. </w:t>
      </w:r>
    </w:p>
    <w:p w:rsidR="007E32DD" w:rsidRPr="007E32DD" w:rsidRDefault="007E32DD" w:rsidP="00F93861">
      <w:pPr>
        <w:pStyle w:val="Antrat3"/>
        <w:numPr>
          <w:ilvl w:val="1"/>
          <w:numId w:val="20"/>
        </w:numPr>
      </w:pPr>
      <w:bookmarkStart w:id="408" w:name="_Toc400321709"/>
      <w:r w:rsidRPr="007E32DD">
        <w:t>Prisijungimas prie kaltinimo</w:t>
      </w:r>
      <w:bookmarkEnd w:id="408"/>
    </w:p>
    <w:p w:rsidR="00A423ED" w:rsidRPr="00A423ED" w:rsidRDefault="00A423ED" w:rsidP="00445FF7">
      <w:pPr>
        <w:spacing w:line="360" w:lineRule="auto"/>
        <w:ind w:firstLine="851"/>
        <w:jc w:val="both"/>
      </w:pPr>
      <w:r w:rsidRPr="00A423ED">
        <w:rPr>
          <w:bCs/>
        </w:rPr>
        <w:t>Kitas p</w:t>
      </w:r>
      <w:r w:rsidRPr="00A423ED">
        <w:t xml:space="preserve">rivataus kaltinimo proceso specifinis bruožas susijęs su procesiniu bendrininkavimu. Procesinis bendrininkavimas baudžiamajame procese galimas tik privataus kaltinimo procesinėje formoje. Jo ypatumai bus atskleisti analizuojant prisijungimo prie kaltinimo institutą.  </w:t>
      </w:r>
    </w:p>
    <w:p w:rsidR="00445FF7" w:rsidRDefault="007E32DD" w:rsidP="00445FF7">
      <w:pPr>
        <w:spacing w:line="360" w:lineRule="auto"/>
        <w:ind w:firstLine="851"/>
        <w:jc w:val="both"/>
        <w:rPr>
          <w:rFonts w:eastAsia="Times New Roman"/>
        </w:rPr>
      </w:pPr>
      <w:r w:rsidRPr="007E32DD">
        <w:rPr>
          <w:rFonts w:eastAsia="Times New Roman"/>
        </w:rPr>
        <w:t xml:space="preserve">Procesinio bendrininkavimo sąvoka apibrėžiama civilinio proceso teisėje kaip proceso šalių, sudarytų iš kelių asmenų, veikla. Baudžiamojo ieškinio teorijos kontekste, procesinis bendrininkavimas galimas ir baudžiamajame procese. </w:t>
      </w:r>
      <w:r w:rsidRPr="007E32DD">
        <w:rPr>
          <w:vertAlign w:val="superscript"/>
        </w:rPr>
        <w:footnoteReference w:id="672"/>
      </w:r>
      <w:r w:rsidRPr="007E32DD">
        <w:rPr>
          <w:rFonts w:eastAsia="Times New Roman"/>
        </w:rPr>
        <w:t xml:space="preserve"> Remiantis CPK 43 str</w:t>
      </w:r>
      <w:r w:rsidR="00126829">
        <w:rPr>
          <w:rFonts w:eastAsia="Times New Roman"/>
        </w:rPr>
        <w:t>aipsnio</w:t>
      </w:r>
      <w:r w:rsidRPr="007E32DD">
        <w:rPr>
          <w:rFonts w:eastAsia="Times New Roman"/>
        </w:rPr>
        <w:t xml:space="preserve"> 1 d</w:t>
      </w:r>
      <w:r w:rsidR="00126829">
        <w:rPr>
          <w:rFonts w:eastAsia="Times New Roman"/>
        </w:rPr>
        <w:t>alies</w:t>
      </w:r>
      <w:r w:rsidRPr="007E32DD">
        <w:rPr>
          <w:rFonts w:eastAsia="Times New Roman"/>
        </w:rPr>
        <w:t xml:space="preserve"> analogija, </w:t>
      </w:r>
      <w:r w:rsidRPr="007E32DD">
        <w:rPr>
          <w:rFonts w:eastAsia="Times New Roman"/>
          <w:bCs/>
        </w:rPr>
        <w:t>bendrininkavimą</w:t>
      </w:r>
      <w:r w:rsidRPr="007E32DD">
        <w:rPr>
          <w:rFonts w:eastAsia="Times New Roman"/>
        </w:rPr>
        <w:t xml:space="preserve"> baudžiamajame procese galima apibrėžti kaip kelių ieškovų bendrai reiškiamą ieškinį, kai baudžiamojo ieškinio dalykas yra to paties pobūdžio reikalavimai arba įsipareigojimai, pagrįsti ta pačia medžiaga fakto ir teisės klausimais, kai kiekvienas iš reikalavimų atskirai galėtų būti atskiro baudžiamojo ieškinio dalykas. </w:t>
      </w:r>
    </w:p>
    <w:p w:rsidR="00445FF7" w:rsidRDefault="007E32DD" w:rsidP="00445FF7">
      <w:pPr>
        <w:spacing w:line="360" w:lineRule="auto"/>
        <w:ind w:firstLine="851"/>
        <w:jc w:val="both"/>
        <w:rPr>
          <w:rFonts w:eastAsia="Times New Roman"/>
        </w:rPr>
      </w:pPr>
      <w:r w:rsidRPr="007E32DD">
        <w:rPr>
          <w:rFonts w:eastAsia="Times New Roman"/>
        </w:rPr>
        <w:t xml:space="preserve">Jei keli asmenys, turintys privataus kaltinimo teisę, nori pareikšti kaltinimą, jie gali tai padaryti dviem būdais: arba iš karto paduodami privataus kaltinimo skundą kaip bendrakaltintojai, arba prisijungimo prie kaltinimo būdu. Lietuvos pozityviojoje teisėje </w:t>
      </w:r>
      <w:r w:rsidRPr="007E32DD">
        <w:rPr>
          <w:rFonts w:eastAsia="Times New Roman"/>
          <w:i/>
        </w:rPr>
        <w:t>expressis verbis</w:t>
      </w:r>
      <w:r w:rsidRPr="007E32DD">
        <w:rPr>
          <w:rFonts w:eastAsia="Times New Roman"/>
        </w:rPr>
        <w:t xml:space="preserve"> nenumatytas kolektyvinis privataus kaltinimo skundas, tačiau neabejotina tokios procesinės galimybės leistinumu. </w:t>
      </w:r>
      <w:r w:rsidR="00445FF7" w:rsidRPr="007E32DD">
        <w:rPr>
          <w:rFonts w:eastAsia="Times New Roman"/>
          <w:vertAlign w:val="superscript"/>
        </w:rPr>
        <w:footnoteReference w:id="673"/>
      </w:r>
      <w:r w:rsidR="001A1757">
        <w:rPr>
          <w:rFonts w:eastAsia="Times New Roman"/>
        </w:rPr>
        <w:t xml:space="preserve"> </w:t>
      </w:r>
      <w:r w:rsidRPr="007E32DD">
        <w:rPr>
          <w:rFonts w:eastAsia="Times New Roman"/>
        </w:rPr>
        <w:t xml:space="preserve">Savo valią bendrakaltintojai gali išdėstyti ir tame pačiame skunde, tuomet jie įgyja lygiaverčių privačių kaltintojų teisinį statusą. Tačiau atkreiptinas dėmesys, kad vieno privataus kaltintojo kaltinimas kelių nukentėjusiųjų vardu yra negalimas, jei jis neatitinka įgaliotam atstovui keliamų reikalavimų. Naudodamasis privataus kaltinimo teise, kiekvienas nukentėjusysis yra savarankiškas, laisvas priimti sprendimus savo valia ir yra nepriklausomas nuo kitų nukentėjusiųjų valios. Keli privatūs kaltintojai gali dalyvauti byloje tik kaip lygiaverčiai kaltintojai, atstovaujantys savo privatų, o ne grupės nukentėjusiųjų interesą. </w:t>
      </w:r>
    </w:p>
    <w:p w:rsidR="00445FF7" w:rsidRDefault="007E32DD" w:rsidP="00445FF7">
      <w:pPr>
        <w:spacing w:line="360" w:lineRule="auto"/>
        <w:ind w:firstLine="851"/>
        <w:jc w:val="both"/>
        <w:rPr>
          <w:rFonts w:eastAsia="Times New Roman"/>
          <w:b/>
          <w:bCs/>
        </w:rPr>
      </w:pPr>
      <w:r w:rsidRPr="007E32DD">
        <w:rPr>
          <w:rFonts w:eastAsia="Times New Roman"/>
        </w:rPr>
        <w:lastRenderedPageBreak/>
        <w:t>Tik privataus kaltinimo procesinėje formoje galima tokia procesinio bendrininkavimo forma kaip prisijungimas prie kaltinimo. Prisijungimą prie kaltinimo reglamentuojančios nuostatos remiasi prielaida, kad privataus kaltinimo nusikalstam</w:t>
      </w:r>
      <w:r w:rsidR="001B6740">
        <w:rPr>
          <w:rFonts w:eastAsia="Times New Roman"/>
        </w:rPr>
        <w:t>ą</w:t>
      </w:r>
      <w:r w:rsidRPr="007E32DD">
        <w:rPr>
          <w:rFonts w:eastAsia="Times New Roman"/>
        </w:rPr>
        <w:t xml:space="preserve"> veik</w:t>
      </w:r>
      <w:r w:rsidR="001B6740">
        <w:rPr>
          <w:rFonts w:eastAsia="Times New Roman"/>
        </w:rPr>
        <w:t>ą padaręs asmuo savo neteisėtais veiksmais</w:t>
      </w:r>
      <w:r w:rsidRPr="007E32DD">
        <w:rPr>
          <w:rFonts w:eastAsia="Times New Roman"/>
        </w:rPr>
        <w:t xml:space="preserve"> gali pažeisti daugiau nei vieno asmens teises ir teisėtus interesus. Prisijungimo prie jau pareikšto kaltinimo reglamentavimo privataus kaltinimo bylų procese tikslas yra siekis išvengti dvigubo nubaudimo </w:t>
      </w:r>
      <w:r w:rsidR="001B6740">
        <w:rPr>
          <w:rFonts w:eastAsia="Times New Roman"/>
        </w:rPr>
        <w:t>(</w:t>
      </w:r>
      <w:r w:rsidRPr="007E32DD">
        <w:rPr>
          <w:rFonts w:eastAsia="Times New Roman"/>
          <w:i/>
        </w:rPr>
        <w:t>ne bis in idem</w:t>
      </w:r>
      <w:r w:rsidR="001B6740">
        <w:rPr>
          <w:rFonts w:eastAsia="Times New Roman"/>
          <w:i/>
        </w:rPr>
        <w:t>)</w:t>
      </w:r>
      <w:r w:rsidRPr="007E32DD">
        <w:rPr>
          <w:rFonts w:eastAsia="Times New Roman"/>
        </w:rPr>
        <w:t>, kaltininko procesinės padėties pasunkinimo keliais baudžiamaisiais procesais</w:t>
      </w:r>
      <w:r w:rsidR="00445FF7">
        <w:rPr>
          <w:rFonts w:eastAsia="Times New Roman"/>
        </w:rPr>
        <w:t xml:space="preserve"> bei teismo darbo optimizavimo</w:t>
      </w:r>
      <w:r w:rsidRPr="007E32DD">
        <w:rPr>
          <w:rFonts w:eastAsia="Times New Roman"/>
        </w:rPr>
        <w:t xml:space="preserve">. </w:t>
      </w:r>
      <w:r w:rsidRPr="007E32DD">
        <w:rPr>
          <w:vertAlign w:val="superscript"/>
        </w:rPr>
        <w:footnoteReference w:id="674"/>
      </w:r>
      <w:r w:rsidRPr="007E32DD">
        <w:rPr>
          <w:rFonts w:eastAsia="Times New Roman"/>
        </w:rPr>
        <w:t xml:space="preserve"> Privataus kaltinimo tvarka nagrinėjamose bylose asmenys, nukentėję nuo kaltinamojo nusikalstamų veikų, kurios susijusios su jau pareikštu privačiu kaltinimu, turi teisę iki įrodymų tyrimo teisme pradžios prisidėti prie jau nagrinėjamo kaltinimo, tuomet šie kaltinimai nagrinėjami vienoje byloje </w:t>
      </w:r>
      <w:r w:rsidRPr="007E32DD">
        <w:rPr>
          <w:rFonts w:eastAsia="Times New Roman"/>
          <w:bCs/>
        </w:rPr>
        <w:t>(BPK 411 str</w:t>
      </w:r>
      <w:r w:rsidR="00126829">
        <w:rPr>
          <w:rFonts w:eastAsia="Times New Roman"/>
          <w:bCs/>
        </w:rPr>
        <w:t>aipsnis</w:t>
      </w:r>
      <w:r w:rsidRPr="007E32DD">
        <w:rPr>
          <w:rFonts w:eastAsia="Times New Roman"/>
          <w:bCs/>
        </w:rPr>
        <w:t>).</w:t>
      </w:r>
    </w:p>
    <w:p w:rsidR="00445FF7" w:rsidRDefault="007E32DD" w:rsidP="00445FF7">
      <w:pPr>
        <w:spacing w:line="360" w:lineRule="auto"/>
        <w:ind w:firstLine="851"/>
        <w:jc w:val="both"/>
        <w:rPr>
          <w:rFonts w:eastAsia="Times New Roman"/>
        </w:rPr>
      </w:pPr>
      <w:r w:rsidRPr="007E32DD">
        <w:rPr>
          <w:rFonts w:eastAsia="Times New Roman"/>
        </w:rPr>
        <w:t xml:space="preserve">Doktrinoje </w:t>
      </w:r>
      <w:r w:rsidR="00A423ED">
        <w:rPr>
          <w:rFonts w:eastAsia="Times New Roman"/>
        </w:rPr>
        <w:t xml:space="preserve">laikomasi nuomonės, kad </w:t>
      </w:r>
      <w:r w:rsidRPr="007E32DD">
        <w:rPr>
          <w:rFonts w:eastAsia="Times New Roman"/>
        </w:rPr>
        <w:t>privataus kaltinimo teisės savarankiško įgyvendinimo galimybė ribojama, jei iš kelių turinčių teisę paduoti privataus kaltinimo skundą asmenų jį paduoda tik vienas</w:t>
      </w:r>
      <w:r w:rsidR="00A423ED">
        <w:rPr>
          <w:rFonts w:eastAsia="Times New Roman"/>
        </w:rPr>
        <w:t xml:space="preserve">, o </w:t>
      </w:r>
      <w:r w:rsidRPr="007E32DD">
        <w:rPr>
          <w:rFonts w:eastAsia="Times New Roman"/>
        </w:rPr>
        <w:t>kit</w:t>
      </w:r>
      <w:r w:rsidR="00A423ED">
        <w:rPr>
          <w:rFonts w:eastAsia="Times New Roman"/>
        </w:rPr>
        <w:t>i</w:t>
      </w:r>
      <w:r w:rsidRPr="007E32DD">
        <w:rPr>
          <w:rFonts w:eastAsia="Times New Roman"/>
        </w:rPr>
        <w:t>, nepadav</w:t>
      </w:r>
      <w:r w:rsidR="00A423ED">
        <w:rPr>
          <w:rFonts w:eastAsia="Times New Roman"/>
        </w:rPr>
        <w:t>ę</w:t>
      </w:r>
      <w:r w:rsidRPr="007E32DD">
        <w:rPr>
          <w:rFonts w:eastAsia="Times New Roman"/>
        </w:rPr>
        <w:t xml:space="preserve"> privataus kaltinimo skundo nukentėj</w:t>
      </w:r>
      <w:r w:rsidR="00A423ED">
        <w:rPr>
          <w:rFonts w:eastAsia="Times New Roman"/>
        </w:rPr>
        <w:t>ę</w:t>
      </w:r>
      <w:r w:rsidRPr="007E32DD">
        <w:rPr>
          <w:rFonts w:eastAsia="Times New Roman"/>
        </w:rPr>
        <w:t xml:space="preserve"> asmen</w:t>
      </w:r>
      <w:r w:rsidR="00A423ED">
        <w:rPr>
          <w:rFonts w:eastAsia="Times New Roman"/>
        </w:rPr>
        <w:t>ys,</w:t>
      </w:r>
      <w:r w:rsidR="00FE1649">
        <w:rPr>
          <w:rFonts w:eastAsia="Times New Roman"/>
        </w:rPr>
        <w:t xml:space="preserve"> </w:t>
      </w:r>
      <w:r w:rsidR="00A423ED">
        <w:rPr>
          <w:rFonts w:eastAsia="Times New Roman"/>
        </w:rPr>
        <w:t xml:space="preserve">privataus kaltinimo </w:t>
      </w:r>
      <w:r w:rsidRPr="007E32DD">
        <w:rPr>
          <w:rFonts w:eastAsia="Times New Roman"/>
        </w:rPr>
        <w:t>teis</w:t>
      </w:r>
      <w:r w:rsidR="00A423ED">
        <w:rPr>
          <w:rFonts w:eastAsia="Times New Roman"/>
        </w:rPr>
        <w:t>ę</w:t>
      </w:r>
      <w:r w:rsidR="00FE1649">
        <w:rPr>
          <w:rFonts w:eastAsia="Times New Roman"/>
        </w:rPr>
        <w:t xml:space="preserve"> </w:t>
      </w:r>
      <w:r w:rsidR="00A423ED">
        <w:rPr>
          <w:rFonts w:eastAsia="Times New Roman"/>
        </w:rPr>
        <w:t>gali įgyvendinti</w:t>
      </w:r>
      <w:r w:rsidR="00FE1649">
        <w:rPr>
          <w:rFonts w:eastAsia="Times New Roman"/>
        </w:rPr>
        <w:t xml:space="preserve"> </w:t>
      </w:r>
      <w:r w:rsidR="00A423ED">
        <w:rPr>
          <w:rFonts w:eastAsia="Times New Roman"/>
        </w:rPr>
        <w:t>tik</w:t>
      </w:r>
      <w:r w:rsidRPr="007E32DD">
        <w:rPr>
          <w:rFonts w:eastAsia="Times New Roman"/>
        </w:rPr>
        <w:t xml:space="preserve"> prisijung</w:t>
      </w:r>
      <w:r w:rsidR="00A423ED">
        <w:rPr>
          <w:rFonts w:eastAsia="Times New Roman"/>
        </w:rPr>
        <w:t>dam</w:t>
      </w:r>
      <w:r w:rsidRPr="007E32DD">
        <w:rPr>
          <w:rFonts w:eastAsia="Times New Roman"/>
        </w:rPr>
        <w:t xml:space="preserve">i prie jau pareikšto kaltinimo. Apribojimai yra tik procesinio pobūdžio, </w:t>
      </w:r>
      <w:r w:rsidR="00876038">
        <w:rPr>
          <w:rFonts w:eastAsia="Times New Roman"/>
        </w:rPr>
        <w:t>numatant vienintelę procesinę galimybę – prisijungimą prie kaltinimo. Materialiąja prasme</w:t>
      </w:r>
      <w:r w:rsidRPr="007E32DD">
        <w:rPr>
          <w:rFonts w:eastAsia="Times New Roman"/>
        </w:rPr>
        <w:t xml:space="preserve"> pareikšto kaltinimo turinys riboja prisijungiantįjį prie kaltinimo privatų kaltintoją tik tiek, kad nusikalstam</w:t>
      </w:r>
      <w:r w:rsidR="00876038">
        <w:rPr>
          <w:rFonts w:eastAsia="Times New Roman"/>
        </w:rPr>
        <w:t>os</w:t>
      </w:r>
      <w:r w:rsidRPr="007E32DD">
        <w:rPr>
          <w:rFonts w:eastAsia="Times New Roman"/>
        </w:rPr>
        <w:t xml:space="preserve"> veik</w:t>
      </w:r>
      <w:r w:rsidR="00876038">
        <w:rPr>
          <w:rFonts w:eastAsia="Times New Roman"/>
        </w:rPr>
        <w:t xml:space="preserve">os naujame ir </w:t>
      </w:r>
      <w:r w:rsidR="00876038" w:rsidRPr="007E32DD">
        <w:rPr>
          <w:rFonts w:eastAsia="Times New Roman"/>
        </w:rPr>
        <w:t>pareikšt</w:t>
      </w:r>
      <w:r w:rsidR="00876038">
        <w:rPr>
          <w:rFonts w:eastAsia="Times New Roman"/>
        </w:rPr>
        <w:t>ame</w:t>
      </w:r>
      <w:r w:rsidR="00876038" w:rsidRPr="007E32DD">
        <w:rPr>
          <w:rFonts w:eastAsia="Times New Roman"/>
        </w:rPr>
        <w:t xml:space="preserve"> kaltinim</w:t>
      </w:r>
      <w:r w:rsidR="00876038">
        <w:rPr>
          <w:rFonts w:eastAsia="Times New Roman"/>
        </w:rPr>
        <w:t>e turi būti susiję.</w:t>
      </w:r>
      <w:r w:rsidR="00FE1649">
        <w:rPr>
          <w:rFonts w:eastAsia="Times New Roman"/>
        </w:rPr>
        <w:t xml:space="preserve"> </w:t>
      </w:r>
      <w:r w:rsidR="00876038">
        <w:rPr>
          <w:rFonts w:eastAsia="Times New Roman"/>
        </w:rPr>
        <w:t>K</w:t>
      </w:r>
      <w:r w:rsidRPr="007E32DD">
        <w:rPr>
          <w:rFonts w:eastAsia="Times New Roman"/>
        </w:rPr>
        <w:t>iekvienas privatus kaltintojas turi teisę skunde išdėstyti jo nuomone reikšmingas faktines aplinkybes ir pateikti tai įrodančius duomenis, t.y. kiekvienas privatus kaltintojas yra savarankiškas materialiąja prasme, tačiau saistom</w:t>
      </w:r>
      <w:r w:rsidR="00FE1649">
        <w:rPr>
          <w:rFonts w:eastAsia="Times New Roman"/>
        </w:rPr>
        <w:t>as</w:t>
      </w:r>
      <w:r w:rsidRPr="007E32DD">
        <w:rPr>
          <w:rFonts w:eastAsia="Times New Roman"/>
        </w:rPr>
        <w:t xml:space="preserve"> vieno proceso. Vokietijos baudžiamajame procese apribojimai pareikšti savarankišką kaltinimą egzistuoja net ir tuomet, kai iškeltas privatus kaltinimas yra neleistinas, tačiau dar nėra atmestas. Jei kiti privatūs kaltintojai nori išvengti prisijungimo prie kaltinimo, jie turi sulaukti, kol bus priimtas teismo sprendimas atmesti pirmąjį skundą. </w:t>
      </w:r>
      <w:r w:rsidRPr="007E32DD">
        <w:rPr>
          <w:vertAlign w:val="superscript"/>
        </w:rPr>
        <w:footnoteReference w:id="675"/>
      </w:r>
      <w:r w:rsidRPr="007E32DD">
        <w:rPr>
          <w:rFonts w:eastAsia="Times New Roman"/>
        </w:rPr>
        <w:t xml:space="preserve"> Šie procesiniai apribojimai</w:t>
      </w:r>
      <w:r w:rsidR="00876038">
        <w:rPr>
          <w:rFonts w:eastAsia="Times New Roman"/>
        </w:rPr>
        <w:t>, taikomi keliems savarankiškiems privatiems kaltintojams paduodant privataus kaltinimo skundą dėl susijusių nusikalstamų veikų,</w:t>
      </w:r>
      <w:r w:rsidRPr="007E32DD">
        <w:rPr>
          <w:rFonts w:eastAsia="Times New Roman"/>
        </w:rPr>
        <w:t xml:space="preserve"> laikytini proceso formos ypatumais, užtikrinančiais </w:t>
      </w:r>
      <w:r w:rsidRPr="007E32DD">
        <w:rPr>
          <w:rFonts w:eastAsia="Times New Roman"/>
          <w:i/>
        </w:rPr>
        <w:t>ne bis in idem</w:t>
      </w:r>
      <w:r w:rsidRPr="007E32DD">
        <w:rPr>
          <w:rFonts w:eastAsia="Times New Roman"/>
        </w:rPr>
        <w:t xml:space="preserve"> principą, ir nevertintini kaip teisės į teismą apribojimai, kadangi jais nėra susiaurinama materialioji teisė, o tik nustatoma tam tikra jos įgyvendinimo tvarka. Praktikoje prisijungimas prie kaltinimo yra gana retas, kadangi ribojamas proceso stadija – </w:t>
      </w:r>
      <w:r w:rsidR="00876038">
        <w:rPr>
          <w:rFonts w:eastAsia="Times New Roman"/>
        </w:rPr>
        <w:t xml:space="preserve">tai </w:t>
      </w:r>
      <w:r w:rsidRPr="007E32DD">
        <w:rPr>
          <w:rFonts w:eastAsia="Times New Roman"/>
        </w:rPr>
        <w:t>turi būti p</w:t>
      </w:r>
      <w:r w:rsidR="00876038">
        <w:rPr>
          <w:rFonts w:eastAsia="Times New Roman"/>
        </w:rPr>
        <w:t>adaryt</w:t>
      </w:r>
      <w:r w:rsidRPr="007E32DD">
        <w:rPr>
          <w:rFonts w:eastAsia="Times New Roman"/>
        </w:rPr>
        <w:t xml:space="preserve">a iki įrodymų tyrimo, be to, kiekvieno privataus kaltinimo skundo priėmimo klausimas </w:t>
      </w:r>
      <w:r w:rsidRPr="007E32DD">
        <w:rPr>
          <w:rFonts w:eastAsia="Times New Roman"/>
        </w:rPr>
        <w:lastRenderedPageBreak/>
        <w:t xml:space="preserve">sprendžiamas atskirai ir nėra tikrinama, ar to paties asmens atžvilgiu yra pradėti kiti privataus kaltinimo procesai bei kiek paduoti skundai yra susiję. </w:t>
      </w:r>
      <w:r w:rsidRPr="007E32DD">
        <w:rPr>
          <w:rFonts w:eastAsia="Times New Roman"/>
          <w:vertAlign w:val="superscript"/>
        </w:rPr>
        <w:footnoteReference w:id="676"/>
      </w:r>
    </w:p>
    <w:p w:rsidR="00445FF7" w:rsidRDefault="007E32DD" w:rsidP="00445FF7">
      <w:pPr>
        <w:spacing w:line="360" w:lineRule="auto"/>
        <w:ind w:firstLine="851"/>
        <w:jc w:val="both"/>
        <w:rPr>
          <w:rFonts w:eastAsia="Times New Roman"/>
        </w:rPr>
      </w:pPr>
      <w:r w:rsidRPr="007E32DD">
        <w:rPr>
          <w:rFonts w:eastAsia="Times New Roman"/>
        </w:rPr>
        <w:t>Prisijungimo prie kaltinimo efektyvumui neturi reikšmės privat</w:t>
      </w:r>
      <w:r w:rsidR="00291232">
        <w:rPr>
          <w:rFonts w:eastAsia="Times New Roman"/>
        </w:rPr>
        <w:t>a</w:t>
      </w:r>
      <w:r w:rsidRPr="007E32DD">
        <w:rPr>
          <w:rFonts w:eastAsia="Times New Roman"/>
        </w:rPr>
        <w:t>us kaltinim</w:t>
      </w:r>
      <w:r w:rsidR="00291232">
        <w:rPr>
          <w:rFonts w:eastAsia="Times New Roman"/>
        </w:rPr>
        <w:t>o</w:t>
      </w:r>
      <w:r w:rsidRPr="007E32DD">
        <w:rPr>
          <w:rFonts w:eastAsia="Times New Roman"/>
        </w:rPr>
        <w:t xml:space="preserve">, prie kurio prisijungiama, </w:t>
      </w:r>
      <w:r w:rsidR="00291232">
        <w:rPr>
          <w:rFonts w:eastAsia="Times New Roman"/>
        </w:rPr>
        <w:t>ne</w:t>
      </w:r>
      <w:r w:rsidRPr="007E32DD">
        <w:rPr>
          <w:rFonts w:eastAsia="Times New Roman"/>
        </w:rPr>
        <w:t>priimtin</w:t>
      </w:r>
      <w:r w:rsidR="00291232">
        <w:rPr>
          <w:rFonts w:eastAsia="Times New Roman"/>
        </w:rPr>
        <w:t>uma</w:t>
      </w:r>
      <w:r w:rsidRPr="007E32DD">
        <w:rPr>
          <w:rFonts w:eastAsia="Times New Roman"/>
        </w:rPr>
        <w:t>s dėl neleistinumo ar nepagrįstumo. Jei yra atsisakoma priimti pirmąjį privataus kaltinimo skundą (p</w:t>
      </w:r>
      <w:r w:rsidR="00543F06">
        <w:rPr>
          <w:rFonts w:eastAsia="Times New Roman"/>
        </w:rPr>
        <w:t>a</w:t>
      </w:r>
      <w:r w:rsidRPr="007E32DD">
        <w:rPr>
          <w:rFonts w:eastAsia="Times New Roman"/>
        </w:rPr>
        <w:t>v</w:t>
      </w:r>
      <w:r w:rsidR="00543F06">
        <w:rPr>
          <w:rFonts w:eastAsia="Times New Roman"/>
        </w:rPr>
        <w:t>y</w:t>
      </w:r>
      <w:r w:rsidRPr="007E32DD">
        <w:rPr>
          <w:rFonts w:eastAsia="Times New Roman"/>
        </w:rPr>
        <w:t>z</w:t>
      </w:r>
      <w:r w:rsidR="00543F06">
        <w:rPr>
          <w:rFonts w:eastAsia="Times New Roman"/>
        </w:rPr>
        <w:t>džiui</w:t>
      </w:r>
      <w:r w:rsidRPr="007E32DD">
        <w:rPr>
          <w:rFonts w:eastAsia="Times New Roman"/>
        </w:rPr>
        <w:t>, jis neatitinka formos reikalavimų), kitas privataus kaltinimo skundas (ar keli), kuriuo buvo prisijungta prie jau pareikšto kaltinimo, yra nagrinėjami toliau. Taip pat pirmojo privataus kaltintojo atsisakymas nuo kaltinimo arba susitaikymas su kaltinamuoju nesukelia teisinių pasekmių kitiems privatiems kaltintojams byloje. Taigi esant kiekvienam kaltintojui savarankiškam, kiekvienas naudojasi savo teisėmis, numatytomis BPK 34 str</w:t>
      </w:r>
      <w:r w:rsidR="00126829">
        <w:rPr>
          <w:rFonts w:eastAsia="Times New Roman"/>
        </w:rPr>
        <w:t>aipsnyje</w:t>
      </w:r>
      <w:r w:rsidRPr="007E32DD">
        <w:rPr>
          <w:rFonts w:eastAsia="Times New Roman"/>
        </w:rPr>
        <w:t xml:space="preserve">, ir vieno privataus kaltintojo procesinė padėtis nepriklauso nuo kito kaltintojo procesinės padėties, jei tos aplinkybės nesusiję su jo paduotu skundu. </w:t>
      </w:r>
    </w:p>
    <w:p w:rsidR="00445FF7" w:rsidRDefault="007E32DD" w:rsidP="00445FF7">
      <w:pPr>
        <w:spacing w:line="360" w:lineRule="auto"/>
        <w:ind w:firstLine="851"/>
        <w:jc w:val="both"/>
        <w:rPr>
          <w:rFonts w:eastAsia="Times New Roman"/>
        </w:rPr>
      </w:pPr>
      <w:r w:rsidRPr="007E32DD">
        <w:rPr>
          <w:rFonts w:eastAsia="Times New Roman"/>
        </w:rPr>
        <w:t>Lietuvos BPK nuostatose prisijungimas prie pareikšto privataus kaltinimo leidžiamas tik iki įrodymų tyrimo pradžios. Sistemiškai analizuo</w:t>
      </w:r>
      <w:r w:rsidR="00034AE8">
        <w:rPr>
          <w:rFonts w:eastAsia="Times New Roman"/>
        </w:rPr>
        <w:t>jant</w:t>
      </w:r>
      <w:r w:rsidRPr="007E32DD">
        <w:rPr>
          <w:rFonts w:eastAsia="Times New Roman"/>
        </w:rPr>
        <w:t xml:space="preserve"> BPK, </w:t>
      </w:r>
      <w:r w:rsidR="00034AE8">
        <w:rPr>
          <w:rFonts w:eastAsia="Times New Roman"/>
        </w:rPr>
        <w:t xml:space="preserve">galima </w:t>
      </w:r>
      <w:r w:rsidRPr="007E32DD">
        <w:rPr>
          <w:rFonts w:eastAsia="Times New Roman"/>
        </w:rPr>
        <w:t>pastebė</w:t>
      </w:r>
      <w:r w:rsidR="00034AE8">
        <w:rPr>
          <w:rFonts w:eastAsia="Times New Roman"/>
        </w:rPr>
        <w:t>t</w:t>
      </w:r>
      <w:r w:rsidRPr="007E32DD">
        <w:rPr>
          <w:rFonts w:eastAsia="Times New Roman"/>
        </w:rPr>
        <w:t>i, kad daugelis tolesnei proceso eigai įtaką turinčių procesinių veiksmų leidžiami iki įrodymų tyrimo pradžios</w:t>
      </w:r>
      <w:r w:rsidR="00034AE8">
        <w:rPr>
          <w:rFonts w:eastAsia="Times New Roman"/>
        </w:rPr>
        <w:t>, todėl tokia nuostata privataus kaltinimo procese atitinka BPK nuostatų sistemiškumą</w:t>
      </w:r>
      <w:r w:rsidRPr="007E32DD">
        <w:rPr>
          <w:rFonts w:eastAsia="Times New Roman"/>
        </w:rPr>
        <w:t>. Tai paaiškinama tuo, kad</w:t>
      </w:r>
      <w:r w:rsidR="00FE1649">
        <w:rPr>
          <w:rFonts w:eastAsia="Times New Roman"/>
        </w:rPr>
        <w:t>,</w:t>
      </w:r>
      <w:r w:rsidRPr="007E32DD">
        <w:rPr>
          <w:rFonts w:eastAsia="Times New Roman"/>
        </w:rPr>
        <w:t xml:space="preserve"> prisijungus vėlesniuose proceso etapuose, būtų negalima</w:t>
      </w:r>
      <w:r w:rsidR="00FE1649">
        <w:rPr>
          <w:rFonts w:eastAsia="Times New Roman"/>
        </w:rPr>
        <w:t xml:space="preserve"> išsamiai ištirti faktinių aplinkybių</w:t>
      </w:r>
      <w:r w:rsidRPr="007E32DD">
        <w:rPr>
          <w:rFonts w:eastAsia="Times New Roman"/>
        </w:rPr>
        <w:t xml:space="preserve"> arba susijusios aplinkybės turėtų būti tiriamos dar kartą. </w:t>
      </w:r>
      <w:r w:rsidR="00906741">
        <w:rPr>
          <w:rFonts w:eastAsia="Times New Roman"/>
        </w:rPr>
        <w:t>Užsienio šal</w:t>
      </w:r>
      <w:r w:rsidR="00C52502">
        <w:rPr>
          <w:rFonts w:eastAsia="Times New Roman"/>
        </w:rPr>
        <w:t xml:space="preserve">ių baudžiamuosiuose procesuose </w:t>
      </w:r>
      <w:r w:rsidR="00906741">
        <w:rPr>
          <w:rFonts w:eastAsia="Times New Roman"/>
        </w:rPr>
        <w:t xml:space="preserve">galima rasti ir kitokių </w:t>
      </w:r>
      <w:r w:rsidR="00C52502">
        <w:rPr>
          <w:rFonts w:eastAsia="Times New Roman"/>
        </w:rPr>
        <w:t xml:space="preserve">nuostatų, reguliuojančių </w:t>
      </w:r>
      <w:r w:rsidR="00906741" w:rsidRPr="007E32DD">
        <w:rPr>
          <w:rFonts w:eastAsia="Times New Roman"/>
        </w:rPr>
        <w:t>prisijungim</w:t>
      </w:r>
      <w:r w:rsidR="00906741">
        <w:rPr>
          <w:rFonts w:eastAsia="Times New Roman"/>
        </w:rPr>
        <w:t>o</w:t>
      </w:r>
      <w:r w:rsidR="00906741" w:rsidRPr="007E32DD">
        <w:rPr>
          <w:rFonts w:eastAsia="Times New Roman"/>
        </w:rPr>
        <w:t xml:space="preserve"> prie pareikšto privataus kaltinimo </w:t>
      </w:r>
      <w:r w:rsidR="00906741">
        <w:rPr>
          <w:rFonts w:eastAsia="Times New Roman"/>
        </w:rPr>
        <w:t>moment</w:t>
      </w:r>
      <w:r w:rsidR="00C52502">
        <w:rPr>
          <w:rFonts w:eastAsia="Times New Roman"/>
        </w:rPr>
        <w:t>ą</w:t>
      </w:r>
      <w:r w:rsidR="00906741">
        <w:rPr>
          <w:rFonts w:eastAsia="Times New Roman"/>
        </w:rPr>
        <w:t xml:space="preserve">. Pavyzdžiui, </w:t>
      </w:r>
      <w:r w:rsidRPr="007E32DD">
        <w:rPr>
          <w:rFonts w:eastAsia="Times New Roman"/>
        </w:rPr>
        <w:t>Vokietijos BPK prisijung</w:t>
      </w:r>
      <w:r w:rsidR="00FE1649">
        <w:rPr>
          <w:rFonts w:eastAsia="Times New Roman"/>
        </w:rPr>
        <w:t>ti prie kaltinimo leidžiama iki</w:t>
      </w:r>
      <w:proofErr w:type="gramStart"/>
      <w:r w:rsidR="00FE1649">
        <w:rPr>
          <w:rFonts w:eastAsia="Times New Roman"/>
        </w:rPr>
        <w:t xml:space="preserve"> </w:t>
      </w:r>
      <w:r w:rsidRPr="007E32DD">
        <w:rPr>
          <w:rFonts w:eastAsia="Times New Roman"/>
        </w:rPr>
        <w:t xml:space="preserve"> </w:t>
      </w:r>
      <w:proofErr w:type="gramEnd"/>
      <w:r w:rsidRPr="007E32DD">
        <w:rPr>
          <w:rFonts w:eastAsia="Times New Roman"/>
        </w:rPr>
        <w:t xml:space="preserve">nuosprendžio įsiteisėjimo, taip pat apeliacinėje (vok. </w:t>
      </w:r>
      <w:r w:rsidRPr="007E32DD">
        <w:rPr>
          <w:rFonts w:eastAsia="Times New Roman"/>
          <w:i/>
        </w:rPr>
        <w:t>Berufungsinstanz</w:t>
      </w:r>
      <w:r w:rsidRPr="007E32DD">
        <w:rPr>
          <w:rFonts w:eastAsia="Times New Roman"/>
        </w:rPr>
        <w:t xml:space="preserve">) ir kasacinėje </w:t>
      </w:r>
      <w:proofErr w:type="gramStart"/>
      <w:r w:rsidRPr="007E32DD">
        <w:rPr>
          <w:rFonts w:eastAsia="Times New Roman"/>
        </w:rPr>
        <w:t>(</w:t>
      </w:r>
      <w:proofErr w:type="gramEnd"/>
      <w:r w:rsidRPr="007E32DD">
        <w:rPr>
          <w:rFonts w:eastAsia="Times New Roman"/>
        </w:rPr>
        <w:t xml:space="preserve">vok. </w:t>
      </w:r>
      <w:r w:rsidRPr="007E32DD">
        <w:rPr>
          <w:rFonts w:eastAsia="Times New Roman"/>
          <w:i/>
        </w:rPr>
        <w:t>Revisionsinstanz</w:t>
      </w:r>
      <w:r w:rsidRPr="007E32DD">
        <w:rPr>
          <w:rFonts w:eastAsia="Times New Roman"/>
        </w:rPr>
        <w:t xml:space="preserve">) instancijose. </w:t>
      </w:r>
      <w:r w:rsidRPr="007E32DD">
        <w:rPr>
          <w:vertAlign w:val="superscript"/>
        </w:rPr>
        <w:footnoteReference w:id="677"/>
      </w:r>
      <w:r w:rsidRPr="007E32DD">
        <w:rPr>
          <w:rFonts w:eastAsia="Times New Roman"/>
        </w:rPr>
        <w:t xml:space="preserve"> Taip pat</w:t>
      </w:r>
      <w:r w:rsidR="00FE1649">
        <w:rPr>
          <w:rFonts w:eastAsia="Times New Roman"/>
        </w:rPr>
        <w:t xml:space="preserve"> prisijungimu prie kaltinimo laikomas</w:t>
      </w:r>
      <w:r w:rsidRPr="007E32DD">
        <w:rPr>
          <w:rFonts w:eastAsia="Times New Roman"/>
        </w:rPr>
        <w:t xml:space="preserve"> apeliacinio skundo padavimas (galimas apeliacinių terminų ribose). Prisijungiantis prie kaltinimo privatus kaltintojas įstoja į procesą tokioje stadijoje, kokioje tuo metu yra skundo, prie kurio prisijungiama, nagrinėjimas. Nuo šio momento prisijungęs nukentėjusysis naudojasi visomis privataus kaltintojo teisėmis ir procesinėmis galimybėmis bei yra savarankiškas ir nepriklausomas nuo kitų privačių kaltintojų. </w:t>
      </w:r>
    </w:p>
    <w:p w:rsidR="007E32DD" w:rsidRPr="007E32DD" w:rsidRDefault="00126829" w:rsidP="00445FF7">
      <w:pPr>
        <w:spacing w:line="360" w:lineRule="auto"/>
        <w:ind w:firstLine="851"/>
        <w:jc w:val="both"/>
        <w:rPr>
          <w:rFonts w:eastAsia="Times New Roman"/>
        </w:rPr>
      </w:pPr>
      <w:r>
        <w:rPr>
          <w:rFonts w:eastAsia="Times New Roman"/>
        </w:rPr>
        <w:t>BPK 3 straipsnio 1 dalies</w:t>
      </w:r>
      <w:r w:rsidR="007E32DD" w:rsidRPr="007E32DD">
        <w:rPr>
          <w:rFonts w:eastAsia="Times New Roman"/>
        </w:rPr>
        <w:t xml:space="preserve"> 8 p. įtvirtina </w:t>
      </w:r>
      <w:r w:rsidR="007E32DD" w:rsidRPr="007E32DD">
        <w:rPr>
          <w:rFonts w:eastAsia="Times New Roman"/>
          <w:i/>
        </w:rPr>
        <w:t>ne bis in idem</w:t>
      </w:r>
      <w:r w:rsidR="007E32DD" w:rsidRPr="007E32DD">
        <w:rPr>
          <w:rFonts w:eastAsia="Times New Roman"/>
        </w:rPr>
        <w:t xml:space="preserve"> reikalavimą, kuris suponuoja baudžiamojo proceso negalimumą, jei įsiteisėjo teismo nuosprendis dėl to paties kaltinimo arba teismo nutartis ar prokuroro nutarimas nutraukti procesą tuo pačiu pagrindu. Tačiau jei nusikalstama veika, už kurią nuteistas kaltinamasis privataus kaltinimo tvarka, neapima visų </w:t>
      </w:r>
      <w:r w:rsidR="007E32DD" w:rsidRPr="007E32DD">
        <w:rPr>
          <w:rFonts w:eastAsia="Times New Roman"/>
        </w:rPr>
        <w:lastRenderedPageBreak/>
        <w:t xml:space="preserve">padarinių, pvz. sveikatos sutrikdymo kitam nukentėjusiajam, laikytina, kad buvo padaryta kita nusikalstama veika, už kurią kaltininkas nebuvo nuteistas, todėl procesas dėl tokios pačios veikos kitų nukentėjusiųjų atžvilgiu nelaikytinas procesu dėl to paties kaltinimo. Šiuo klausimu įdomus teisinis reguliavimas įtvirtintas Vokietijos baudžiamajame </w:t>
      </w:r>
      <w:r>
        <w:rPr>
          <w:rFonts w:eastAsia="Times New Roman"/>
        </w:rPr>
        <w:t>procese. Vokietijos BPK 375 straipsnio</w:t>
      </w:r>
      <w:r w:rsidR="007E32DD" w:rsidRPr="007E32DD">
        <w:rPr>
          <w:rFonts w:eastAsia="Times New Roman"/>
        </w:rPr>
        <w:t xml:space="preserve"> 3 d</w:t>
      </w:r>
      <w:r>
        <w:rPr>
          <w:rFonts w:eastAsia="Times New Roman"/>
        </w:rPr>
        <w:t>alyje</w:t>
      </w:r>
      <w:r w:rsidR="007E32DD" w:rsidRPr="007E32DD">
        <w:rPr>
          <w:rFonts w:eastAsia="Times New Roman"/>
        </w:rPr>
        <w:t xml:space="preserve"> nurodoma, kad nuteistojo naudai bet koks sprendimas byloje taip pat galioja ir kitų nukentėjusiųjų, kurie nepareiškė privataus kaltinimo, atžvilgiu. Šia norma siekiama užkirsti kelią pakartotinam baudžiamajam persekiojimui dėl tos pačios veikos. Neturi reikšmės priežastys, dėl kurių turintis privataus kaltinimo teisę asmuo nepasinaudojo savo teise savarankiškai pareikšti kaltinimą ar prisijungti prie jau pareikšto kaltinimo. Net jei nukentėjusysis neprisijungė prie kaltinimo ne dėl savo kaltės ar nežinojo apie baudžiamąjį procesą, šiuo atveju prioritetas teikiamas kaltinamojo teisių apsaugai. </w:t>
      </w:r>
      <w:r w:rsidR="007E32DD" w:rsidRPr="007E32DD">
        <w:rPr>
          <w:vertAlign w:val="superscript"/>
        </w:rPr>
        <w:footnoteReference w:id="678"/>
      </w:r>
      <w:r w:rsidR="007E32DD" w:rsidRPr="007E32DD">
        <w:rPr>
          <w:rFonts w:eastAsia="Times New Roman"/>
        </w:rPr>
        <w:t xml:space="preserve"> Vokietijos baudžiamajame procese šia prasme reikšmingi yra tik įsiteisėję teismo nuosprendžiai ir nutartys, nes iki įsiteisėjimo nukentėjusieji, turintys teisę paduoti privataus kaltinimo skundo, tačiau jo nepadavę ir neprisijungę prie kaltinimo, gali paduoti apeliacinį skundą ir tokiu būdu įstoti į procesą. </w:t>
      </w:r>
    </w:p>
    <w:p w:rsidR="007E32DD" w:rsidRPr="007E32DD" w:rsidRDefault="007E32DD" w:rsidP="00F93861">
      <w:pPr>
        <w:pStyle w:val="Antrat3"/>
        <w:numPr>
          <w:ilvl w:val="1"/>
          <w:numId w:val="20"/>
        </w:numPr>
      </w:pPr>
      <w:bookmarkStart w:id="409" w:name="_Toc400321710"/>
      <w:r w:rsidRPr="007E32DD">
        <w:t>Priešpriešinis kaltinimas</w:t>
      </w:r>
      <w:bookmarkEnd w:id="409"/>
    </w:p>
    <w:p w:rsidR="00291232" w:rsidRPr="00291232" w:rsidRDefault="00C52502" w:rsidP="00445FF7">
      <w:pPr>
        <w:spacing w:line="360" w:lineRule="auto"/>
        <w:ind w:firstLine="851"/>
        <w:jc w:val="both"/>
      </w:pPr>
      <w:r>
        <w:t>Dar vienas di</w:t>
      </w:r>
      <w:r w:rsidR="00291232" w:rsidRPr="00291232">
        <w:t>sp</w:t>
      </w:r>
      <w:r>
        <w:t xml:space="preserve">ozityvumo kriterijaus pagrindu </w:t>
      </w:r>
      <w:r w:rsidR="00291232" w:rsidRPr="00291232">
        <w:t>išskirti</w:t>
      </w:r>
      <w:r>
        <w:t>nas</w:t>
      </w:r>
      <w:r w:rsidR="00291232" w:rsidRPr="00291232">
        <w:t xml:space="preserve"> privataus kaltinimo bylų proceso ypatum</w:t>
      </w:r>
      <w:r>
        <w:t>a</w:t>
      </w:r>
      <w:r w:rsidR="00291232" w:rsidRPr="00291232">
        <w:t>s</w:t>
      </w:r>
      <w:r>
        <w:t xml:space="preserve"> </w:t>
      </w:r>
      <w:r w:rsidR="00FE1649">
        <w:t>–</w:t>
      </w:r>
      <w:r w:rsidR="00FE1649" w:rsidRPr="00291232">
        <w:t xml:space="preserve"> </w:t>
      </w:r>
      <w:r w:rsidR="00291232" w:rsidRPr="00291232">
        <w:t>priešpriešinio kaltinimo institut</w:t>
      </w:r>
      <w:r>
        <w:t>as, kurį</w:t>
      </w:r>
      <w:r w:rsidR="00291232" w:rsidRPr="00291232">
        <w:t xml:space="preserve"> aptarsime detaliau. </w:t>
      </w:r>
    </w:p>
    <w:p w:rsidR="00445FF7" w:rsidRDefault="007E32DD" w:rsidP="00445FF7">
      <w:pPr>
        <w:spacing w:line="360" w:lineRule="auto"/>
        <w:ind w:firstLine="851"/>
        <w:jc w:val="both"/>
        <w:rPr>
          <w:rFonts w:eastAsia="Times New Roman"/>
        </w:rPr>
      </w:pPr>
      <w:r w:rsidRPr="007E32DD">
        <w:rPr>
          <w:rFonts w:eastAsia="Times New Roman"/>
        </w:rPr>
        <w:t xml:space="preserve">Privataus kaltinimo tvarka nagrinėjamoms byloms būdinga tai, kad konflikto šalys dažnai būna priešiškuose asmeniniuose santykiuose. Nusikalstama veika kyla iš asmeninių konfliktų, dažnai ilgalaikių, o nusikalstama veika būna tik šių nesutarimų kulminacija, ar epizodas, peržengęs teisėtumo ribas. Privataus kaltinimo bylų procese nukentėjusysis dažnai neatitinka idealios aukos sampratos. N. Christie idealiajai aukai priskyrė tokius elementus: aukos silpnumas, garbingos misijos vykdymas nusikalstamos veikos jo atžvilgiu padarymo metu, negalimumas būti apkaltintam už atsiradimą nusikaltimo vietoje nusikaltimo metu. Be to, kaltininkas turi būti stiprus ir nesusijęs asmeniniais santykiais su auka. </w:t>
      </w:r>
      <w:r w:rsidRPr="007E32DD">
        <w:rPr>
          <w:vertAlign w:val="superscript"/>
        </w:rPr>
        <w:footnoteReference w:id="679"/>
      </w:r>
      <w:r w:rsidRPr="007E32DD">
        <w:rPr>
          <w:rFonts w:eastAsia="Times New Roman"/>
        </w:rPr>
        <w:t xml:space="preserve"> Pagrindiniai idealios aukos požymiai yra kuo didesnis pažeidžiamumas (tiek fizinis, tiek ekonominis) ir nekaltumas. </w:t>
      </w:r>
      <w:r w:rsidRPr="007E32DD">
        <w:rPr>
          <w:vertAlign w:val="superscript"/>
        </w:rPr>
        <w:footnoteReference w:id="680"/>
      </w:r>
      <w:r w:rsidRPr="007E32DD">
        <w:rPr>
          <w:rFonts w:eastAsia="Times New Roman"/>
        </w:rPr>
        <w:t xml:space="preserve"> Kuo labiau nukentėjęs asmuo atitinka idealios aukos stereotipą, tuo daugiau dėmesio jam tikėtinai bus skirta baudžiamosios justicijos procese. </w:t>
      </w:r>
      <w:r w:rsidRPr="007E32DD">
        <w:rPr>
          <w:vertAlign w:val="superscript"/>
        </w:rPr>
        <w:footnoteReference w:id="681"/>
      </w:r>
      <w:r w:rsidRPr="007E32DD">
        <w:rPr>
          <w:rFonts w:eastAsia="Times New Roman"/>
        </w:rPr>
        <w:t xml:space="preserve"> N. Christie idealiosios aukos teorija iškėlė paradoksą tarp realių aukų ir teorinio jų modelio. Šis paradoksas leidžia paaiškinti priešpriešinio kaltinimo instituto teorines </w:t>
      </w:r>
      <w:r w:rsidRPr="007E32DD">
        <w:rPr>
          <w:rFonts w:eastAsia="Times New Roman"/>
        </w:rPr>
        <w:lastRenderedPageBreak/>
        <w:t xml:space="preserve">prielaidas. Privataus kaltinimo byloje nukentėjusysis gali būti tiek asmeninio konflikto iniciatorius, tiek aktyvus jo dalyvis, tokiu atveju idealiosios aukos teorijos kontekste jis negalėtų būti laikomas nekalta konflikto šalimi. </w:t>
      </w:r>
      <w:r w:rsidRPr="007E32DD">
        <w:rPr>
          <w:vertAlign w:val="superscript"/>
        </w:rPr>
        <w:footnoteReference w:id="682"/>
      </w:r>
      <w:r w:rsidRPr="007E32DD">
        <w:rPr>
          <w:rFonts w:eastAsia="Times New Roman"/>
        </w:rPr>
        <w:t xml:space="preserve"> Būtent tai, kad nukentėjusia ir nekalta konflikto šalimi gali jaustis abi pusės, suponuoja priešpriešinių kaltinimų tikimybę. Vienai konflikto šaliai padavus privataus kaltinimo skundą, kita šalis gali turėti taip pat baudžiamojo proceso tvarka nagrinėtinų pretenzijų dėl to paties konflikto. </w:t>
      </w:r>
      <w:r w:rsidRPr="007E32DD">
        <w:rPr>
          <w:rFonts w:eastAsia="Times New Roman"/>
          <w:bCs/>
        </w:rPr>
        <w:t xml:space="preserve">Todėl </w:t>
      </w:r>
      <w:r w:rsidRPr="007E32DD">
        <w:rPr>
          <w:rFonts w:eastAsia="Times New Roman"/>
        </w:rPr>
        <w:t xml:space="preserve">privataus kaltinimo byloje iki įrodymų tyrimo teisme pradžios </w:t>
      </w:r>
      <w:r w:rsidRPr="007E32DD">
        <w:rPr>
          <w:rFonts w:eastAsia="Times New Roman"/>
          <w:bCs/>
        </w:rPr>
        <w:t>numatyta galimybė kaltinamajam</w:t>
      </w:r>
      <w:r w:rsidRPr="007E32DD">
        <w:rPr>
          <w:rFonts w:eastAsia="Times New Roman"/>
        </w:rPr>
        <w:t xml:space="preserve"> paduoti skundą prieš nukentėjusįjį, kaltinant jį nusikalstamos veikos, nagrinėjamos privataus kaltinimo tvarka, padarymu, jeigu ši veika yra susijusi su jam pareikštu kaltinimu. </w:t>
      </w:r>
    </w:p>
    <w:p w:rsidR="00445FF7" w:rsidRDefault="007E32DD" w:rsidP="00445FF7">
      <w:pPr>
        <w:spacing w:line="360" w:lineRule="auto"/>
        <w:ind w:firstLine="851"/>
        <w:jc w:val="both"/>
        <w:rPr>
          <w:rFonts w:eastAsia="Times New Roman"/>
        </w:rPr>
      </w:pPr>
      <w:r w:rsidRPr="007E32DD">
        <w:rPr>
          <w:rFonts w:eastAsia="Times New Roman"/>
        </w:rPr>
        <w:t xml:space="preserve">Priešpriešinis kaltinimas yra materialinis teisinis reikalavimas, nukreiptas į privataus kaltintojo pareikšto kaltinimo paneigimą. Taigi pirmiausia priešpriešinis kaltinimas yra asmens, kurio atžvilgiu pareikštas kaltinimas, gynybos priemonė. </w:t>
      </w:r>
      <w:r w:rsidRPr="007E32DD">
        <w:rPr>
          <w:vertAlign w:val="superscript"/>
        </w:rPr>
        <w:footnoteReference w:id="683"/>
      </w:r>
      <w:r w:rsidRPr="007E32DD">
        <w:rPr>
          <w:rFonts w:eastAsia="Times New Roman"/>
        </w:rPr>
        <w:t xml:space="preserve"> Reikšdamas priešpriešinį kaltinimą asmuo, kaltinamas privataus kaltintojo, tokiu būdu įgyvendina savo teisę į gynybą, </w:t>
      </w:r>
      <w:r w:rsidRPr="007E32DD">
        <w:rPr>
          <w:vertAlign w:val="superscript"/>
        </w:rPr>
        <w:footnoteReference w:id="684"/>
      </w:r>
      <w:r w:rsidRPr="007E32DD">
        <w:rPr>
          <w:rFonts w:eastAsia="Times New Roman"/>
        </w:rPr>
        <w:t xml:space="preserve"> siekia parodyti nukentėjusiojo vaidmenį konflikte ir savo gynybą pagrįsti tuo, kad nukentėjusysis nėra ideali auka, o atvirkščiai, išprovokavęs konfliktą ar prie jo aktyviais veiksmais prisidėjęs. Todėl priešpriešinio kaltinimo pagrindinė paskirtis yra ne teisės į teismą, o teisės į gynybą realizavimas. Antra, priešpriešinis skundas vertintinas kaip teisės būti išklausytam (</w:t>
      </w:r>
      <w:r w:rsidRPr="007E32DD">
        <w:rPr>
          <w:rFonts w:eastAsia="Times New Roman"/>
          <w:i/>
        </w:rPr>
        <w:t>audiatur et altera pars</w:t>
      </w:r>
      <w:r w:rsidRPr="007E32DD">
        <w:rPr>
          <w:rFonts w:eastAsia="Times New Roman"/>
        </w:rPr>
        <w:t xml:space="preserve">) įgyvendinimas. Priešpriešiniame skunde kaltininkas gali pateikti savą to paties įvykio ir šalių veiksmų interpretavimą. Nors tai jis gali padaryti duodamas parodymus, teikdamas paaiškinimus, tačiau priešpriešinio kaltinimo pareiškimas suteikia jam procesinį pranašumą: teisę ne tik gintis nuo pareikšto kaltinimo, bet ir aktyviai kaltinti nukentėjusįjį ir įrodinėti jo kaltumą dėl įvykusio konflikto. Be abejo, reikšdamas priešpriešinį kaltinimą, kaltinamasis turi pateikti pagrindžiančius priešpriešinį kaltinimą duomenis. Nepagrįstas ir formos reikalavimų neatitinkantis priešpriešinis skundas nebus nagrinėjamas ir bus atmestas, vadovaujantis BPK 412 </w:t>
      </w:r>
      <w:r w:rsidRPr="007E32DD">
        <w:rPr>
          <w:rFonts w:eastAsia="Times New Roman"/>
          <w:vertAlign w:val="superscript"/>
        </w:rPr>
        <w:t>1</w:t>
      </w:r>
      <w:r w:rsidRPr="007E32DD">
        <w:rPr>
          <w:rFonts w:eastAsia="Times New Roman"/>
        </w:rPr>
        <w:t xml:space="preserve"> str</w:t>
      </w:r>
      <w:r w:rsidR="00126829">
        <w:rPr>
          <w:rFonts w:eastAsia="Times New Roman"/>
        </w:rPr>
        <w:t>aipsnio</w:t>
      </w:r>
      <w:r w:rsidRPr="007E32DD">
        <w:rPr>
          <w:rFonts w:eastAsia="Times New Roman"/>
        </w:rPr>
        <w:t xml:space="preserve"> 1 d</w:t>
      </w:r>
      <w:r w:rsidR="00126829">
        <w:rPr>
          <w:rFonts w:eastAsia="Times New Roman"/>
        </w:rPr>
        <w:t>alies nuostata</w:t>
      </w:r>
      <w:r w:rsidRPr="007E32DD">
        <w:rPr>
          <w:rFonts w:eastAsia="Times New Roman"/>
        </w:rPr>
        <w:t xml:space="preserve">. </w:t>
      </w:r>
    </w:p>
    <w:p w:rsidR="00445FF7" w:rsidRDefault="007E32DD" w:rsidP="00445FF7">
      <w:pPr>
        <w:spacing w:line="360" w:lineRule="auto"/>
        <w:ind w:firstLine="851"/>
        <w:jc w:val="both"/>
        <w:rPr>
          <w:rFonts w:eastAsia="Times New Roman"/>
        </w:rPr>
      </w:pPr>
      <w:r w:rsidRPr="007E32DD">
        <w:rPr>
          <w:rFonts w:eastAsia="Times New Roman"/>
        </w:rPr>
        <w:t xml:space="preserve">BPK numato apribojimą priešpriešinio skundo padavimui teisminio nagrinėjimo stadijos aspektu. Priešpriešinis skundas gali būti paduotas tik iki įrodymų tyrimo teisme pradžios. Pažeidus šį reikalavimą, priešpriešinis skundas negali būti nagrinėjamas ir teismo nutartimi yra atmetamas. Siekiant išvengti kelių procesų dėl to paties įvykio, priešpriešinių kaltinimų nagrinėjimas numatytas toje pačioje byloje (BPK </w:t>
      </w:r>
      <w:r w:rsidRPr="007E32DD">
        <w:rPr>
          <w:rFonts w:eastAsia="Times New Roman"/>
          <w:bCs/>
        </w:rPr>
        <w:t>410 str</w:t>
      </w:r>
      <w:r w:rsidR="00126829">
        <w:rPr>
          <w:rFonts w:eastAsia="Times New Roman"/>
          <w:bCs/>
        </w:rPr>
        <w:t>aipsnio</w:t>
      </w:r>
      <w:r w:rsidR="00445FF7">
        <w:rPr>
          <w:rFonts w:eastAsia="Times New Roman"/>
          <w:bCs/>
        </w:rPr>
        <w:t xml:space="preserve"> 1 d</w:t>
      </w:r>
      <w:r w:rsidR="00126829">
        <w:rPr>
          <w:rFonts w:eastAsia="Times New Roman"/>
          <w:bCs/>
        </w:rPr>
        <w:t>alis</w:t>
      </w:r>
      <w:r w:rsidRPr="007E32DD">
        <w:rPr>
          <w:rFonts w:eastAsia="Times New Roman"/>
          <w:bCs/>
        </w:rPr>
        <w:t>) pagal įstatyme numatytas proceso dalyvių pasisakymų pirmumo taisykles</w:t>
      </w:r>
      <w:r w:rsidRPr="007E32DD">
        <w:rPr>
          <w:rFonts w:eastAsia="Times New Roman"/>
        </w:rPr>
        <w:t xml:space="preserve"> (BPK </w:t>
      </w:r>
      <w:r w:rsidRPr="007E32DD">
        <w:rPr>
          <w:rFonts w:eastAsia="Times New Roman"/>
          <w:bCs/>
        </w:rPr>
        <w:t>410 str</w:t>
      </w:r>
      <w:r w:rsidR="00126829">
        <w:rPr>
          <w:rFonts w:eastAsia="Times New Roman"/>
          <w:bCs/>
        </w:rPr>
        <w:t>aipsnio</w:t>
      </w:r>
      <w:r w:rsidRPr="007E32DD">
        <w:rPr>
          <w:rFonts w:eastAsia="Times New Roman"/>
          <w:bCs/>
        </w:rPr>
        <w:t xml:space="preserve"> 2 d</w:t>
      </w:r>
      <w:r w:rsidR="00126829">
        <w:rPr>
          <w:rFonts w:eastAsia="Times New Roman"/>
          <w:bCs/>
        </w:rPr>
        <w:t>alis</w:t>
      </w:r>
      <w:r w:rsidRPr="007E32DD">
        <w:rPr>
          <w:rFonts w:eastAsia="Times New Roman"/>
          <w:bCs/>
        </w:rPr>
        <w:t>)</w:t>
      </w:r>
      <w:r w:rsidRPr="007E32DD">
        <w:rPr>
          <w:rFonts w:eastAsia="Times New Roman"/>
        </w:rPr>
        <w:t xml:space="preserve">. </w:t>
      </w:r>
    </w:p>
    <w:p w:rsidR="00445FF7" w:rsidRDefault="007E32DD" w:rsidP="00445FF7">
      <w:pPr>
        <w:spacing w:line="360" w:lineRule="auto"/>
        <w:ind w:firstLine="851"/>
        <w:jc w:val="both"/>
        <w:rPr>
          <w:rFonts w:eastAsia="Times New Roman"/>
        </w:rPr>
      </w:pPr>
      <w:r w:rsidRPr="007E32DD">
        <w:rPr>
          <w:rFonts w:eastAsia="Times New Roman"/>
        </w:rPr>
        <w:lastRenderedPageBreak/>
        <w:t>Vienas iš svarbių privataus kaltinimo bylų nagrinėjimo ypatumų yra tai, kad</w:t>
      </w:r>
      <w:r w:rsidR="00FE1649">
        <w:rPr>
          <w:rFonts w:eastAsia="Times New Roman"/>
        </w:rPr>
        <w:t>,</w:t>
      </w:r>
      <w:r w:rsidRPr="007E32DD">
        <w:rPr>
          <w:rFonts w:eastAsia="Times New Roman"/>
        </w:rPr>
        <w:t xml:space="preserve"> sujungus pirminį ir priešpriešinį kaltinimus į vieną procesą, tas pats asmuo tuo pat metu yra ir nukentėjusysis, ir kaltinamasis. Šių proceso dalyvių vykdomos procesinės funkcijos numato skirtingas procesines teises ir pareigas: pvz., nukentėjusysis privalo duoti teisingus parodymus, kai kaltinamasis gali atsisakyti duoti parodymus, taip pat neperspėjamas dėl atsakomybės už melagingų parodymų davimą. </w:t>
      </w:r>
      <w:r w:rsidR="008C07BF">
        <w:rPr>
          <w:rFonts w:eastAsia="Times New Roman"/>
        </w:rPr>
        <w:t>Moksl</w:t>
      </w:r>
      <w:r w:rsidRPr="007E32DD">
        <w:rPr>
          <w:rFonts w:eastAsia="Times New Roman"/>
        </w:rPr>
        <w:t xml:space="preserve">inėje jurisprudencijoje reiškiama nuomonė, kad asmenų su dvejopa procesine padėtimi apklausa apie aplinkybes, kurias jie išdėstė savo skunduose, vykdoma pagal nukentėjusiojo apklausos taisykles, o apie aplinkybes, išdėstytas priešpriešiniuose skunduose – pagal kaltinamojo apklausos taisykles. Kiekviena šalis naudojasi nukentėjusiojo ir kaltinamojo teisėmis priklausomai nuo teisme nagrinėjamo nusikalstamos veikos epizodo. </w:t>
      </w:r>
      <w:r w:rsidRPr="007E32DD">
        <w:rPr>
          <w:vertAlign w:val="superscript"/>
        </w:rPr>
        <w:footnoteReference w:id="685"/>
      </w:r>
      <w:r w:rsidRPr="007E32DD">
        <w:rPr>
          <w:rFonts w:eastAsia="Times New Roman"/>
        </w:rPr>
        <w:t xml:space="preserve"> Tačiau toks procesinių statusų atskyrimas aiškus tik teorijoje. Praktikoje dviejų priešpriešinių kaltinimų nagrinėjimas, ir iš to sekantis asmenų su dvigubu teisiniu statusu dalyvavimas </w:t>
      </w:r>
      <w:r w:rsidR="00FE1649">
        <w:rPr>
          <w:rFonts w:eastAsia="Times New Roman"/>
        </w:rPr>
        <w:t>sukelia</w:t>
      </w:r>
      <w:r w:rsidRPr="007E32DD">
        <w:rPr>
          <w:rFonts w:eastAsia="Times New Roman"/>
        </w:rPr>
        <w:t xml:space="preserve"> daug keblumų nagrinėjant privataus kaltinimo bylą. Procesinių statusų atskyrimas praktiškai neįmanomas dėl to, kad priešpriešinis skundas paduodamas dėl susijusių su pareikštu pirminiu kaltinimu faktų, t.y. arba šie faktai susijungia priežastiniu ryšiu, arba turi bendrą pagrindą, tik pateikiama kitokia įvykių interpretacija. Pirmiausia kyla atsakomybės už melagingų parodymų davimą ir parodymų davimo prieš save problema, kadangi proceso dalyviai su dvigubu teisiniu statusu apklausiami dėl tų pačių įvykių ir jų parodymai dažniausiai būna prieštaringi. Todėl praktikoje kyla keblumų dėl teisių ir pareigų išaiškinimo apklausiamiems asmenims,</w:t>
      </w:r>
      <w:r w:rsidR="00D06EE0">
        <w:rPr>
          <w:rFonts w:eastAsia="Times New Roman"/>
        </w:rPr>
        <w:t xml:space="preserve"> </w:t>
      </w:r>
      <w:r w:rsidRPr="007E32DD">
        <w:rPr>
          <w:rFonts w:eastAsia="Times New Roman"/>
        </w:rPr>
        <w:t xml:space="preserve">dėl jų apklausų procedūrų, dėl teisės neduoti parodymų prieš save užtikrinimo. </w:t>
      </w:r>
    </w:p>
    <w:p w:rsidR="007E32DD" w:rsidRDefault="007E32DD" w:rsidP="00445FF7">
      <w:pPr>
        <w:spacing w:line="360" w:lineRule="auto"/>
        <w:ind w:firstLine="851"/>
        <w:jc w:val="both"/>
        <w:rPr>
          <w:rFonts w:eastAsia="Times New Roman"/>
        </w:rPr>
      </w:pPr>
      <w:r w:rsidRPr="007E32DD">
        <w:rPr>
          <w:rFonts w:eastAsia="Times New Roman"/>
        </w:rPr>
        <w:t xml:space="preserve">Klaidų nagrinėjant priešpriešinį kaltinimą privataus kaltinimo byloje pasitaiko ir teismų praktikoje. Teismas, </w:t>
      </w:r>
      <w:r w:rsidRPr="007E32DD">
        <w:rPr>
          <w:rFonts w:eastAsia="Times New Roman"/>
          <w:i/>
        </w:rPr>
        <w:t>„gavęs priešpriešinį G. Š. skundą [...] nepaskelbė šio skundo turinio, neklausė proceso dalyvių nuomonės dėl pateikto priešpriešinio skundo, nesprendė skundo priimtinumo, atsižvelgiant į BPK 412 str. įtvirtintus privataus kaltinimo tvarka paduodamo skundo turiniui keliamus reikalavimus, klausimo, tik pridėjo jį prie bylos medžiagos kaip eilinį dokumentą. [...]</w:t>
      </w:r>
      <w:r w:rsidR="00ED45F0">
        <w:rPr>
          <w:rFonts w:eastAsia="Times New Roman"/>
          <w:i/>
        </w:rPr>
        <w:t xml:space="preserve"> </w:t>
      </w:r>
      <w:r w:rsidRPr="007E32DD">
        <w:rPr>
          <w:rFonts w:eastAsia="Times New Roman"/>
          <w:i/>
        </w:rPr>
        <w:t xml:space="preserve">Teismas V. J. išaiškino tiek nukentėjusiojo, tiek kaltinamojo teises, nors byloje nepripažino jos kaltinamąja, o, atvirkščiai, pripažino nukentėjusiąja [...], įspėjo dėl atsakomybės pagal BPK 163 str. už atsisakymą arba vengimą duoti parodymus ir dėl atsakomybės pagal BK 235 str. už melagingus parodymus, ją prisaikdino bei apklausė, o po apklausos V. J., kaip kaltinamajai, išaiškino teises duoti paaiškinimus, atsakyti į klausimus ar atsisakyti tai daryti. Tokiu būdu, supainiodamas kaltinamojo ir nukentėjusiojo procesines teises, teismas privertė V. J. duoti </w:t>
      </w:r>
      <w:r w:rsidRPr="007E32DD">
        <w:rPr>
          <w:rFonts w:eastAsia="Times New Roman"/>
          <w:i/>
        </w:rPr>
        <w:lastRenderedPageBreak/>
        <w:t xml:space="preserve">parodymus prieš save, tuo suvaržydamas įstatymo garantuotas kaltinamojo teises į gynybą. </w:t>
      </w:r>
      <w:r w:rsidRPr="007E32DD">
        <w:rPr>
          <w:vertAlign w:val="superscript"/>
        </w:rPr>
        <w:footnoteReference w:id="686"/>
      </w:r>
      <w:r w:rsidRPr="007E32DD">
        <w:rPr>
          <w:rFonts w:eastAsia="Times New Roman"/>
        </w:rPr>
        <w:t xml:space="preserve"> Kaip matome, nukentėjusiojo ir kaltinamojo teisinės padėties atribojimas nagrinėjant priešpriešinius skundus privataus kaltinimo byloje nėra vien teorinė problema. Atvirkščiai, tai lemia esminius </w:t>
      </w:r>
      <w:r w:rsidR="00445FF7">
        <w:rPr>
          <w:rFonts w:eastAsia="Times New Roman"/>
        </w:rPr>
        <w:t xml:space="preserve">baudžiamojo </w:t>
      </w:r>
      <w:r w:rsidRPr="007E32DD">
        <w:rPr>
          <w:rFonts w:eastAsia="Times New Roman"/>
        </w:rPr>
        <w:t>proceso pažeidimus. Todėl</w:t>
      </w:r>
      <w:r w:rsidR="00FE1649">
        <w:rPr>
          <w:rFonts w:eastAsia="Times New Roman"/>
        </w:rPr>
        <w:t>,</w:t>
      </w:r>
      <w:r w:rsidRPr="007E32DD">
        <w:rPr>
          <w:rFonts w:eastAsia="Times New Roman"/>
        </w:rPr>
        <w:t xml:space="preserve"> sprendžiant parodymų gavimo ir vertinimo klausimą, prerogatyvą reikėtų teikti konstitucinei asmens teisei neduoti save kaltinančių parodymų.</w:t>
      </w:r>
    </w:p>
    <w:p w:rsidR="0037439C" w:rsidRPr="007E32DD" w:rsidRDefault="0037439C" w:rsidP="0037439C">
      <w:pPr>
        <w:spacing w:line="360" w:lineRule="auto"/>
        <w:ind w:firstLine="851"/>
        <w:jc w:val="both"/>
        <w:rPr>
          <w:rFonts w:eastAsia="Times New Roman"/>
        </w:rPr>
      </w:pPr>
      <w:r w:rsidRPr="007E32DD">
        <w:rPr>
          <w:rFonts w:eastAsia="Times New Roman"/>
        </w:rPr>
        <w:t xml:space="preserve">Toliau analizuodami privataus kaltinimo bylų proceso specifiką teisminio nagrinėjimo stadijoje, susiduriame su įrodinėjimo problema. Siekiant įvertinti įrodinėjimo proceso veiksmingumą privataus kaltinimo bylose, bus analizuojamas įrodinėjimo proceso teisinis reguliavimas, įrodinėjimo ypatumus lemiantys veiksniai, praktikoje iškylančios problemos, taip pat modeliuojami jų sprendimo galimi būdai.  </w:t>
      </w:r>
    </w:p>
    <w:p w:rsidR="007E32DD" w:rsidRPr="007E32DD" w:rsidRDefault="007E32DD" w:rsidP="00F93861">
      <w:pPr>
        <w:pStyle w:val="Antrat3"/>
        <w:numPr>
          <w:ilvl w:val="1"/>
          <w:numId w:val="20"/>
        </w:numPr>
      </w:pPr>
      <w:bookmarkStart w:id="410" w:name="_Toc400321711"/>
      <w:r w:rsidRPr="007E32DD">
        <w:t>Įrodinėjimo ypatumai</w:t>
      </w:r>
      <w:bookmarkEnd w:id="410"/>
    </w:p>
    <w:p w:rsidR="007E32DD" w:rsidRPr="007E32DD" w:rsidRDefault="007E32DD" w:rsidP="00DF6BB5">
      <w:pPr>
        <w:spacing w:line="360" w:lineRule="auto"/>
        <w:ind w:firstLine="851"/>
        <w:jc w:val="both"/>
        <w:rPr>
          <w:rFonts w:eastAsia="Times New Roman"/>
        </w:rPr>
      </w:pPr>
      <w:r w:rsidRPr="007E32DD">
        <w:rPr>
          <w:rFonts w:eastAsia="Times New Roman"/>
        </w:rPr>
        <w:t xml:space="preserve">Privataus kaltinimo procese pirminis informacijos gavimas iš nurodytų informacijos šaltinių vyksta teisminio nagrinėjimo stadijoje. Privataus kaltintojo pateiktų duomenų ištyrimas teisme yra vienintelė įrodinėjimo stadija privataus kaltinimo bylų procese. </w:t>
      </w:r>
      <w:r w:rsidRPr="007E32DD">
        <w:rPr>
          <w:vertAlign w:val="superscript"/>
        </w:rPr>
        <w:footnoteReference w:id="687"/>
      </w:r>
      <w:r w:rsidRPr="007E32DD">
        <w:rPr>
          <w:rFonts w:eastAsia="Times New Roman"/>
        </w:rPr>
        <w:t xml:space="preserve"> Taigi duomenų rinkimo ir jų tyrimo procesas sutampa. </w:t>
      </w:r>
      <w:r w:rsidRPr="007E32DD">
        <w:rPr>
          <w:vertAlign w:val="superscript"/>
        </w:rPr>
        <w:footnoteReference w:id="688"/>
      </w:r>
      <w:r w:rsidRPr="007E32DD">
        <w:rPr>
          <w:rFonts w:eastAsia="Times New Roman"/>
        </w:rPr>
        <w:t xml:space="preserve"> Baudžiamasis procesas pradedamas iš karto teisminėje stadijoje, o duomenų rinkimo procesas kaip privataus kaltintojo pasirengimo kaltinimo funkcijos įgyvendinimui teisme veikla nėra reglamentuota įstatymo, todėl</w:t>
      </w:r>
      <w:r w:rsidR="00905AF0">
        <w:rPr>
          <w:rFonts w:eastAsia="Times New Roman"/>
        </w:rPr>
        <w:t xml:space="preserve"> privataus kaltintojo veikla, susijusi su</w:t>
      </w:r>
      <w:r w:rsidRPr="007E32DD">
        <w:rPr>
          <w:rFonts w:eastAsia="Times New Roman"/>
        </w:rPr>
        <w:t xml:space="preserve"> įrodomosios informacijos rinkim</w:t>
      </w:r>
      <w:r w:rsidR="00905AF0">
        <w:rPr>
          <w:rFonts w:eastAsia="Times New Roman"/>
        </w:rPr>
        <w:t>u</w:t>
      </w:r>
      <w:r w:rsidRPr="007E32DD">
        <w:rPr>
          <w:rFonts w:eastAsia="Times New Roman"/>
        </w:rPr>
        <w:t xml:space="preserve"> ir įtvirtinim</w:t>
      </w:r>
      <w:r w:rsidR="00905AF0">
        <w:rPr>
          <w:rFonts w:eastAsia="Times New Roman"/>
        </w:rPr>
        <w:t>u,</w:t>
      </w:r>
      <w:r w:rsidRPr="007E32DD">
        <w:rPr>
          <w:rFonts w:eastAsia="Times New Roman"/>
        </w:rPr>
        <w:t xml:space="preserve"> negali būti pripažinta procesine veikla.</w:t>
      </w:r>
    </w:p>
    <w:p w:rsidR="007E32DD" w:rsidRPr="007E32DD" w:rsidRDefault="007E32DD" w:rsidP="00DF6BB5">
      <w:pPr>
        <w:spacing w:line="360" w:lineRule="auto"/>
        <w:ind w:firstLine="851"/>
        <w:jc w:val="both"/>
        <w:rPr>
          <w:rFonts w:eastAsia="Times New Roman"/>
        </w:rPr>
      </w:pPr>
      <w:r w:rsidRPr="007E32DD">
        <w:rPr>
          <w:rFonts w:eastAsia="Times New Roman"/>
        </w:rPr>
        <w:t xml:space="preserve">Tačiau negalima teigti, kad privatus kaltintojas nėra saistomas jokių taisyklių rinkdamas duomenis, kuriuos teisme pateikia kaip įrodymus. Bet kokiems duomenims, taip pat ir pateikiamiems privataus kaltintojo, kad jie būtų pripažinti įrodymais teisme, taikomi leistinumo </w:t>
      </w:r>
      <w:r w:rsidR="00126829">
        <w:rPr>
          <w:rFonts w:eastAsia="Times New Roman"/>
        </w:rPr>
        <w:lastRenderedPageBreak/>
        <w:t>(BPK 20 straipsnio</w:t>
      </w:r>
      <w:r w:rsidRPr="007E32DD">
        <w:rPr>
          <w:rFonts w:eastAsia="Times New Roman"/>
        </w:rPr>
        <w:t xml:space="preserve"> 1 d</w:t>
      </w:r>
      <w:r w:rsidR="00126829">
        <w:rPr>
          <w:rFonts w:eastAsia="Times New Roman"/>
        </w:rPr>
        <w:t>alis) ir sąsajumo (BPK 20 straipsnio 3 dalis</w:t>
      </w:r>
      <w:r w:rsidRPr="007E32DD">
        <w:rPr>
          <w:rFonts w:eastAsia="Times New Roman"/>
        </w:rPr>
        <w:t xml:space="preserve">), tikrumo ir pakankamumo kriterijai. </w:t>
      </w:r>
      <w:r w:rsidRPr="007E32DD">
        <w:rPr>
          <w:vertAlign w:val="superscript"/>
        </w:rPr>
        <w:footnoteReference w:id="689"/>
      </w:r>
      <w:r w:rsidRPr="007E32DD">
        <w:rPr>
          <w:rFonts w:eastAsia="Times New Roman"/>
        </w:rPr>
        <w:t xml:space="preserve"> Įrodomoji informacija, nors jos rinkimas nėra procesinė veikla baudžiamojo proceso prasme, turi atitikti teisėtumo reikalavimus ir būti gauta nepažeidžiant įstatymų reikalavimų. Teisėtumo reikalavimas taikomas visiems teisme pateikiamiems duomenims, kuriais siekiama įrodyti bylai reikšmingas aplinkybes, nepriklausomai nuo to, ar šie duomenys buvo renkami pagal BPK taisykles, reglamentuojančias ikiteisminio tyrimo veiksmus, ar gauti kitais būdais. </w:t>
      </w:r>
    </w:p>
    <w:p w:rsidR="007E32DD" w:rsidRPr="007E32DD" w:rsidRDefault="007E32DD" w:rsidP="00DF6BB5">
      <w:pPr>
        <w:spacing w:line="360" w:lineRule="auto"/>
        <w:ind w:firstLine="851"/>
        <w:jc w:val="both"/>
        <w:rPr>
          <w:rFonts w:eastAsia="Times New Roman"/>
        </w:rPr>
      </w:pPr>
      <w:r w:rsidRPr="007E32DD">
        <w:rPr>
          <w:rFonts w:eastAsia="Times New Roman"/>
        </w:rPr>
        <w:t>Pagal įrodinėjimo procese dalyvaujančių subjektų ratą ir šio proceso turinį, įrodinėjimas gali būti suprantamas plačiąja prasme kaip visų procese dalyvaujančių subjektų pažintinė veikla, apimanti įrodymų rinkimą, tikrinimą ir vertinimą</w:t>
      </w:r>
      <w:r w:rsidR="0022001D">
        <w:rPr>
          <w:rFonts w:eastAsia="Times New Roman"/>
        </w:rPr>
        <w:t>,</w:t>
      </w:r>
      <w:r w:rsidRPr="007E32DD">
        <w:rPr>
          <w:rFonts w:eastAsia="Times New Roman"/>
        </w:rPr>
        <w:t xml:space="preserve"> ir siaurąja prasme kaip loginė veikla pagrįsti iškeltai tezei. </w:t>
      </w:r>
      <w:r w:rsidRPr="007E32DD">
        <w:rPr>
          <w:vertAlign w:val="superscript"/>
        </w:rPr>
        <w:footnoteReference w:id="690"/>
      </w:r>
      <w:r w:rsidRPr="007E32DD">
        <w:rPr>
          <w:rFonts w:eastAsia="Times New Roman"/>
        </w:rPr>
        <w:t xml:space="preserve"> Plačiąja prasme įrodinėjimo sampratą aiškina ir </w:t>
      </w:r>
      <w:r w:rsidR="004D086D">
        <w:rPr>
          <w:rFonts w:eastAsia="Times New Roman"/>
        </w:rPr>
        <w:t>LAT</w:t>
      </w:r>
      <w:r w:rsidRPr="007E32DD">
        <w:rPr>
          <w:rFonts w:eastAsia="Times New Roman"/>
        </w:rPr>
        <w:t>: įrodinėjimas baudžiamajame procese yra teismo reglamentuota ikiteisminio tyrimo įstaigų ir jų pareigūnų, prokuroro, ikiteisminio tyrimo teisėjo, teismo ir proceso dalyvių (</w:t>
      </w:r>
      <w:r w:rsidRPr="007E32DD">
        <w:rPr>
          <w:rFonts w:eastAsia="Times New Roman"/>
          <w:i/>
        </w:rPr>
        <w:t>t.y. ir privataus kaltintojo, jo teisėto atstovo</w:t>
      </w:r>
      <w:r w:rsidRPr="007E32DD">
        <w:rPr>
          <w:rFonts w:eastAsia="Times New Roman"/>
        </w:rPr>
        <w:t xml:space="preserve">) veikla, kurioje renkami, pateikiami, tikrinami ir vertinami duomenys, reikšmingi tiriamo įvykio aplinkybių, nusikalstamos veikos buvimo ar nebuvimo, kitų aplinkybių, turinčių reikšmės bylai išspręsti teisingai, nustatymui. </w:t>
      </w:r>
      <w:r w:rsidRPr="007E32DD">
        <w:rPr>
          <w:vertAlign w:val="superscript"/>
        </w:rPr>
        <w:footnoteReference w:id="691"/>
      </w:r>
    </w:p>
    <w:p w:rsidR="007E32DD" w:rsidRPr="007E32DD" w:rsidRDefault="007E32DD" w:rsidP="00DF6BB5">
      <w:pPr>
        <w:spacing w:line="360" w:lineRule="auto"/>
        <w:ind w:firstLine="851"/>
        <w:jc w:val="both"/>
        <w:rPr>
          <w:rFonts w:eastAsia="Times New Roman"/>
        </w:rPr>
      </w:pPr>
      <w:r w:rsidRPr="007E32DD">
        <w:rPr>
          <w:rFonts w:eastAsia="Times New Roman"/>
        </w:rPr>
        <w:t xml:space="preserve">Pagrindiniais įrodinėjimo proceso elementais pripažįstama duomenų, turinčių reikšmės bylai išnagrinėti, rinkimas, jų tyrimas ir vertinimas. Duomenų tyrimas ir vertinimas teisme privataus kaltinimo bylų procese vykdomas pagal bendras BPK taisykles, todėl detaliau nagrinėjamas nebus. Probleminių aspektų daugiausia išskirtina įrodymų rinkimo ir fiksavimo procese. Įrodymų rinkimas yra įrodinėjimo subjektų jų kompetencijos ribose procesinė veikla, </w:t>
      </w:r>
      <w:r w:rsidR="004101F1">
        <w:rPr>
          <w:rFonts w:eastAsia="Times New Roman"/>
        </w:rPr>
        <w:t>susijusi su</w:t>
      </w:r>
      <w:r w:rsidRPr="004101F1">
        <w:rPr>
          <w:rFonts w:eastAsia="Times New Roman"/>
        </w:rPr>
        <w:t xml:space="preserve"> </w:t>
      </w:r>
      <w:r w:rsidRPr="00F906C7">
        <w:rPr>
          <w:rFonts w:eastAsia="Times New Roman"/>
        </w:rPr>
        <w:t>bylai išnagrinėti reikalingos informacijos radim</w:t>
      </w:r>
      <w:r w:rsidR="004101F1" w:rsidRPr="00F906C7">
        <w:rPr>
          <w:rFonts w:eastAsia="Times New Roman"/>
        </w:rPr>
        <w:t>u</w:t>
      </w:r>
      <w:r w:rsidRPr="00F906C7">
        <w:rPr>
          <w:rFonts w:eastAsia="Times New Roman"/>
        </w:rPr>
        <w:t xml:space="preserve"> (išreikalavim</w:t>
      </w:r>
      <w:r w:rsidR="004101F1" w:rsidRPr="00F906C7">
        <w:rPr>
          <w:rFonts w:eastAsia="Times New Roman"/>
        </w:rPr>
        <w:t>u</w:t>
      </w:r>
      <w:r w:rsidRPr="00F906C7">
        <w:rPr>
          <w:rFonts w:eastAsia="Times New Roman"/>
        </w:rPr>
        <w:t>), gavim</w:t>
      </w:r>
      <w:r w:rsidR="004101F1" w:rsidRPr="00F906C7">
        <w:rPr>
          <w:rFonts w:eastAsia="Times New Roman"/>
        </w:rPr>
        <w:t>u</w:t>
      </w:r>
      <w:r w:rsidRPr="00F906C7">
        <w:rPr>
          <w:rFonts w:eastAsia="Times New Roman"/>
        </w:rPr>
        <w:t>, įtvirtinim</w:t>
      </w:r>
      <w:r w:rsidR="004101F1" w:rsidRPr="00F906C7">
        <w:rPr>
          <w:rFonts w:eastAsia="Times New Roman"/>
        </w:rPr>
        <w:t>u</w:t>
      </w:r>
      <w:r w:rsidRPr="00F906C7">
        <w:rPr>
          <w:rFonts w:eastAsia="Times New Roman"/>
        </w:rPr>
        <w:t xml:space="preserve"> ir jos pateikim</w:t>
      </w:r>
      <w:r w:rsidR="004101F1" w:rsidRPr="00F906C7">
        <w:rPr>
          <w:rFonts w:eastAsia="Times New Roman"/>
        </w:rPr>
        <w:t>u</w:t>
      </w:r>
      <w:r w:rsidRPr="00F906C7">
        <w:rPr>
          <w:rFonts w:eastAsia="Times New Roman"/>
        </w:rPr>
        <w:t xml:space="preserve"> teismui</w:t>
      </w:r>
      <w:r w:rsidRPr="007E32DD">
        <w:rPr>
          <w:rFonts w:eastAsia="Times New Roman"/>
        </w:rPr>
        <w:t xml:space="preserve">. </w:t>
      </w:r>
      <w:r w:rsidRPr="007E32DD">
        <w:rPr>
          <w:vertAlign w:val="superscript"/>
        </w:rPr>
        <w:footnoteReference w:id="692"/>
      </w:r>
      <w:r w:rsidRPr="007E32DD">
        <w:rPr>
          <w:rFonts w:eastAsia="Times New Roman"/>
        </w:rPr>
        <w:t xml:space="preserve"> Pagal teisinį reg</w:t>
      </w:r>
      <w:r w:rsidR="00D06EE0">
        <w:rPr>
          <w:rFonts w:eastAsia="Times New Roman"/>
        </w:rPr>
        <w:t>u</w:t>
      </w:r>
      <w:r w:rsidRPr="007E32DD">
        <w:rPr>
          <w:rFonts w:eastAsia="Times New Roman"/>
        </w:rPr>
        <w:t>l</w:t>
      </w:r>
      <w:r w:rsidR="00D06EE0">
        <w:rPr>
          <w:rFonts w:eastAsia="Times New Roman"/>
        </w:rPr>
        <w:t>i</w:t>
      </w:r>
      <w:r w:rsidRPr="007E32DD">
        <w:rPr>
          <w:rFonts w:eastAsia="Times New Roman"/>
        </w:rPr>
        <w:t>avimą skiriamos procesinė (reglamentuojama BPK)</w:t>
      </w:r>
      <w:r w:rsidR="00ED45F0">
        <w:rPr>
          <w:rFonts w:eastAsia="Times New Roman"/>
        </w:rPr>
        <w:t xml:space="preserve"> </w:t>
      </w:r>
      <w:r w:rsidR="008579E0" w:rsidRPr="007E32DD">
        <w:rPr>
          <w:vertAlign w:val="superscript"/>
        </w:rPr>
        <w:footnoteReference w:id="693"/>
      </w:r>
      <w:r w:rsidR="004101F1">
        <w:rPr>
          <w:rFonts w:eastAsia="Times New Roman"/>
        </w:rPr>
        <w:t xml:space="preserve"> </w:t>
      </w:r>
      <w:r w:rsidRPr="007E32DD">
        <w:rPr>
          <w:rFonts w:eastAsia="Times New Roman"/>
        </w:rPr>
        <w:t xml:space="preserve">ir neprocesinė įrodomosios informacijos rinkimo formos. </w:t>
      </w:r>
      <w:r w:rsidR="00FB23A6" w:rsidRPr="00FB23A6">
        <w:t xml:space="preserve">Privataus kaltinimo bylų procese galima </w:t>
      </w:r>
      <w:r w:rsidR="0080536C">
        <w:t xml:space="preserve">panaudoti </w:t>
      </w:r>
      <w:r w:rsidR="00FB23A6" w:rsidRPr="00FB23A6">
        <w:t>ir administracin</w:t>
      </w:r>
      <w:r w:rsidR="0080536C">
        <w:t>io proceso metu užfiksuotus duomenis</w:t>
      </w:r>
      <w:r w:rsidR="00FB23A6" w:rsidRPr="00FB23A6">
        <w:t xml:space="preserve"> tais atvejais, kai</w:t>
      </w:r>
      <w:r w:rsidR="004101F1">
        <w:t xml:space="preserve">, išsiaiškinus įvykio </w:t>
      </w:r>
      <w:r w:rsidR="004101F1">
        <w:lastRenderedPageBreak/>
        <w:t>aplinkybes,</w:t>
      </w:r>
      <w:r w:rsidR="00FB23A6" w:rsidRPr="00FB23A6">
        <w:t xml:space="preserve"> pradedama administracinio teisės pažeidimo byla, jei veikoje yra administracinio teisės pažeidimo požymių. </w:t>
      </w:r>
      <w:r w:rsidR="0080536C">
        <w:t>Nagrinėjant p</w:t>
      </w:r>
      <w:r w:rsidR="00FB23A6" w:rsidRPr="00FB23A6">
        <w:t>rivataus kaltinimo byl</w:t>
      </w:r>
      <w:r w:rsidR="0080536C">
        <w:t>ą</w:t>
      </w:r>
      <w:r w:rsidR="004101F1">
        <w:t>,</w:t>
      </w:r>
      <w:r w:rsidR="00FB23A6" w:rsidRPr="00FB23A6">
        <w:t xml:space="preserve"> šie duomenys gali būti panaudoti kaip įrodomoji informacija. Šiuo atveju </w:t>
      </w:r>
      <w:r w:rsidR="00D06EE0">
        <w:t>duomenys</w:t>
      </w:r>
      <w:r w:rsidR="00FB23A6" w:rsidRPr="00FB23A6">
        <w:t xml:space="preserve"> renkami ir fiksuojami </w:t>
      </w:r>
      <w:r w:rsidR="0080536C">
        <w:t>iki baudžiamojo proceso pradžios (neatliekant ikiteisminio tyrimo ir neprasidėjus privataus kaltinimo procesui), todėl santykinai gali būti pavadinti</w:t>
      </w:r>
      <w:r w:rsidR="00FB23A6" w:rsidRPr="00FB23A6">
        <w:t xml:space="preserve"> neprocesine įrodymų rinkimo forma. </w:t>
      </w:r>
      <w:r w:rsidR="0022001D">
        <w:rPr>
          <w:rFonts w:eastAsia="Times New Roman"/>
        </w:rPr>
        <w:t xml:space="preserve">Privataus kaltinimo procese </w:t>
      </w:r>
      <w:r w:rsidR="00A051B8">
        <w:rPr>
          <w:rFonts w:eastAsia="Times New Roman"/>
        </w:rPr>
        <w:t>kaip įrodomoji informacija gali būti naudojami</w:t>
      </w:r>
      <w:r w:rsidRPr="007E32DD">
        <w:rPr>
          <w:rFonts w:eastAsia="Times New Roman"/>
        </w:rPr>
        <w:t xml:space="preserve"> priva</w:t>
      </w:r>
      <w:r w:rsidR="00FB23A6">
        <w:rPr>
          <w:rFonts w:eastAsia="Times New Roman"/>
        </w:rPr>
        <w:t xml:space="preserve">čių asmenų </w:t>
      </w:r>
      <w:r w:rsidR="00A051B8">
        <w:rPr>
          <w:rFonts w:eastAsia="Times New Roman"/>
        </w:rPr>
        <w:t>nepažeidžiant įstatymo</w:t>
      </w:r>
      <w:r w:rsidR="004101F1">
        <w:rPr>
          <w:rFonts w:eastAsia="Times New Roman"/>
        </w:rPr>
        <w:t xml:space="preserve"> </w:t>
      </w:r>
      <w:r w:rsidR="00FB23A6">
        <w:rPr>
          <w:rFonts w:eastAsia="Times New Roman"/>
        </w:rPr>
        <w:t>gaunam</w:t>
      </w:r>
      <w:r w:rsidR="00A051B8">
        <w:rPr>
          <w:rFonts w:eastAsia="Times New Roman"/>
        </w:rPr>
        <w:t>i</w:t>
      </w:r>
      <w:r w:rsidR="004101F1">
        <w:rPr>
          <w:rFonts w:eastAsia="Times New Roman"/>
        </w:rPr>
        <w:t xml:space="preserve"> </w:t>
      </w:r>
      <w:r w:rsidR="00A051B8">
        <w:rPr>
          <w:rFonts w:eastAsia="Times New Roman"/>
        </w:rPr>
        <w:t>duomenys</w:t>
      </w:r>
      <w:r w:rsidR="00FB23A6">
        <w:rPr>
          <w:rFonts w:eastAsia="Times New Roman"/>
        </w:rPr>
        <w:t xml:space="preserve">. </w:t>
      </w:r>
      <w:r w:rsidR="00A051B8" w:rsidRPr="007E32DD">
        <w:rPr>
          <w:vertAlign w:val="superscript"/>
        </w:rPr>
        <w:footnoteReference w:id="694"/>
      </w:r>
    </w:p>
    <w:p w:rsidR="007E32DD" w:rsidRPr="007E32DD" w:rsidRDefault="007E32DD" w:rsidP="007E32DD">
      <w:pPr>
        <w:spacing w:line="360" w:lineRule="auto"/>
        <w:ind w:firstLine="1080"/>
        <w:jc w:val="both"/>
        <w:rPr>
          <w:rFonts w:eastAsia="Times New Roman"/>
        </w:rPr>
      </w:pPr>
      <w:r w:rsidRPr="007E32DD">
        <w:rPr>
          <w:rFonts w:eastAsia="Times New Roman"/>
        </w:rPr>
        <w:t xml:space="preserve">Ikiteisminio tyrimo metu gali būti panaudojamos tik procesinės įrodymų rinkimo formos, t.y. duomenys renkami BPK nustatyta tvarka. Kitų įstatymų nustatyta tvarka duomenys paprastai gaunami prieš pradedant ikiteisminį tyrimą arba suinteresuotų proceso dalyvių, neturinčių įgalinimų atlikti ikiteisminį tyrimą, o ikiteisminio tyrimo metu gali būti ieškoma tik duomenų šaltinių, kuriuos nustačius, atliekami proceso veiksmai. Vertinant duomenų gavimo teisėtumą, pirmiausia reikia išsiaiškinti, koks subjektas šiuos duomenis surinko ir pateikė į bylą, nes skirtingų subjektų elgesiui taikomi skirtingi principai. Privačių asmenų vykdoma įrodinėjimo veikla apibrėžiama principu </w:t>
      </w:r>
      <w:r w:rsidR="001657F4">
        <w:rPr>
          <w:rFonts w:eastAsia="Times New Roman"/>
        </w:rPr>
        <w:t>„</w:t>
      </w:r>
      <w:r w:rsidRPr="007E32DD">
        <w:rPr>
          <w:rFonts w:eastAsia="Times New Roman"/>
        </w:rPr>
        <w:t xml:space="preserve">galima tai, kas neuždrausta įstatymo“. </w:t>
      </w:r>
      <w:r w:rsidR="00D27C1D" w:rsidRPr="007E32DD">
        <w:rPr>
          <w:vertAlign w:val="superscript"/>
        </w:rPr>
        <w:footnoteReference w:id="695"/>
      </w:r>
      <w:r w:rsidR="00D27C1D" w:rsidRPr="007E32DD">
        <w:rPr>
          <w:rFonts w:eastAsia="Times New Roman"/>
        </w:rPr>
        <w:t xml:space="preserve"> </w:t>
      </w:r>
      <w:r w:rsidRPr="007E32DD">
        <w:rPr>
          <w:rFonts w:eastAsia="Times New Roman"/>
        </w:rPr>
        <w:t xml:space="preserve">Taigi valstybės institucijos (pareigūno) įstatyme nenumatytų </w:t>
      </w:r>
      <w:r w:rsidR="00D06EE0">
        <w:rPr>
          <w:rFonts w:eastAsia="Times New Roman"/>
        </w:rPr>
        <w:t>duomen</w:t>
      </w:r>
      <w:r w:rsidRPr="007E32DD">
        <w:rPr>
          <w:rFonts w:eastAsia="Times New Roman"/>
        </w:rPr>
        <w:t xml:space="preserve">ų rinkimo formų panaudojimas suponuoja tokių duomenų absoliutų neleistinumą, o kitų įrodinėjimo subjektų, taip pat ir privataus kaltintojo, surinkti bei pateikti į bylą duomenys gali būti pripažinti įrodymais, jei jie gauti įstatyme tiesiogiai neuždraustu būdu. </w:t>
      </w:r>
      <w:r w:rsidRPr="007E32DD">
        <w:rPr>
          <w:rFonts w:eastAsia="Times New Roman"/>
          <w:vertAlign w:val="superscript"/>
        </w:rPr>
        <w:footnoteReference w:id="696"/>
      </w:r>
    </w:p>
    <w:p w:rsidR="00A051B8" w:rsidRDefault="007E32DD" w:rsidP="007E32DD">
      <w:pPr>
        <w:spacing w:line="360" w:lineRule="auto"/>
        <w:ind w:firstLine="1080"/>
        <w:jc w:val="both"/>
        <w:rPr>
          <w:bCs/>
          <w:iCs/>
        </w:rPr>
      </w:pPr>
      <w:r w:rsidRPr="007E32DD">
        <w:rPr>
          <w:rFonts w:eastAsia="Times New Roman"/>
          <w:lang w:eastAsia="lt-LT"/>
        </w:rPr>
        <w:t xml:space="preserve">Privačiam kaltintojui (nukentėjusiajam) vykdant kaltinimo funkciją bei ginant savo nusikalstama veika pažeistas teises ir teisėtus interesus, teisę į tinkamą teisminę gynybą apsunkina jo ribotos galimybės rinkti ir teikti įrodymus, teisinių žinių trūkumas. Nors teisinės prielaidos nukentėjusiajam ginti savo teises ir teisėtus interesus privataus kaltinimo tvarka yra sudarytos, tačiau veiksminga savo interesų gynyba pirmiausia priklauso nuo asmens gebėjimo pasinaudoti privataus kaltintojo teisėmis ir įgyvendinti pareigas. Nukentėjusiojo gebėjimas savarankiškai apginti savo interesus (tiek moralinės satisfakcijos, tiek restitucinius) tiesiogiai priklauso nuo jo gebėjimo </w:t>
      </w:r>
      <w:r w:rsidRPr="007E32DD">
        <w:rPr>
          <w:rFonts w:eastAsia="Times New Roman"/>
          <w:lang w:eastAsia="lt-LT"/>
        </w:rPr>
        <w:lastRenderedPageBreak/>
        <w:t xml:space="preserve">įgyvendinti kaltinimo funkciją, t.y. suformuluoti kaltinimą, jį pagrįsti ir įrodyti. Ši pareiga yra sudėtinga, </w:t>
      </w:r>
      <w:r w:rsidR="004101F1">
        <w:rPr>
          <w:rFonts w:eastAsia="Times New Roman"/>
          <w:lang w:eastAsia="lt-LT"/>
        </w:rPr>
        <w:t>reikia</w:t>
      </w:r>
      <w:r w:rsidRPr="007E32DD">
        <w:rPr>
          <w:rFonts w:eastAsia="Times New Roman"/>
          <w:lang w:eastAsia="lt-LT"/>
        </w:rPr>
        <w:t xml:space="preserve"> teisinių žinių, organizacinių gebėjimų, </w:t>
      </w:r>
      <w:r w:rsidR="004101F1">
        <w:rPr>
          <w:rFonts w:eastAsia="Times New Roman"/>
          <w:lang w:eastAsia="lt-LT"/>
        </w:rPr>
        <w:t xml:space="preserve">tam tikrų </w:t>
      </w:r>
      <w:r w:rsidRPr="007E32DD">
        <w:rPr>
          <w:rFonts w:eastAsia="Times New Roman"/>
          <w:lang w:eastAsia="lt-LT"/>
        </w:rPr>
        <w:t xml:space="preserve">asmeninių savybių. Net specialius įgalinimus turintis valstybės atstovas – prokuroras – ne visais atvejais </w:t>
      </w:r>
      <w:r w:rsidR="004101F1">
        <w:rPr>
          <w:rFonts w:eastAsia="Times New Roman"/>
          <w:lang w:eastAsia="lt-LT"/>
        </w:rPr>
        <w:t>pajėgia</w:t>
      </w:r>
      <w:r w:rsidRPr="007E32DD">
        <w:rPr>
          <w:rFonts w:eastAsia="Times New Roman"/>
          <w:lang w:eastAsia="lt-LT"/>
        </w:rPr>
        <w:t xml:space="preserve"> pagrįsti kaltinimą ir pasiekti kaltininko nubaudimo. Privataus kaltinimo procese ši pareiga, tiesa, mažiau sudėtingose bylose, tačiau ne mažiau sudėtingame procese tenka asmeniui, neturinčiam jokių specialių teisių ar įgalinimų rinkti </w:t>
      </w:r>
      <w:r w:rsidR="00D06EE0">
        <w:rPr>
          <w:rFonts w:eastAsia="Times New Roman"/>
          <w:lang w:eastAsia="lt-LT"/>
        </w:rPr>
        <w:t>bylos nagrinėjimui reikšmingus duomenis</w:t>
      </w:r>
      <w:r w:rsidRPr="007E32DD">
        <w:rPr>
          <w:rFonts w:eastAsia="Times New Roman"/>
          <w:lang w:eastAsia="lt-LT"/>
        </w:rPr>
        <w:t xml:space="preserve">. </w:t>
      </w:r>
      <w:r w:rsidRPr="007E32DD">
        <w:rPr>
          <w:bCs/>
          <w:iCs/>
        </w:rPr>
        <w:t xml:space="preserve">Kai kurie mokslininkai iš esmės kritikuoja privataus kaltinimo bylų procesą kaip neefektyvią proceso formą siekti savo pažeistų teisių </w:t>
      </w:r>
      <w:r w:rsidR="00D06EE0">
        <w:rPr>
          <w:bCs/>
          <w:iCs/>
        </w:rPr>
        <w:t>gynybos ir vertina kaip</w:t>
      </w:r>
      <w:r w:rsidRPr="007E32DD">
        <w:rPr>
          <w:bCs/>
          <w:iCs/>
        </w:rPr>
        <w:t xml:space="preserve"> naštą nukentėjusiajam. </w:t>
      </w:r>
      <w:r w:rsidRPr="007E32DD">
        <w:rPr>
          <w:bCs/>
          <w:iCs/>
          <w:vertAlign w:val="superscript"/>
        </w:rPr>
        <w:footnoteReference w:id="697"/>
      </w:r>
      <w:r w:rsidRPr="007E32DD">
        <w:rPr>
          <w:bCs/>
          <w:iCs/>
        </w:rPr>
        <w:t xml:space="preserve"> Vokietijos baudžiamojo proceso moksle nuolat vyksta diskusija dėl </w:t>
      </w:r>
      <w:r w:rsidR="004101F1">
        <w:rPr>
          <w:bCs/>
          <w:iCs/>
        </w:rPr>
        <w:t>to, ar privataus kaltinimo procesinė forma atitinka nukentėjusiojo interesus</w:t>
      </w:r>
      <w:r w:rsidRPr="007E32DD">
        <w:rPr>
          <w:bCs/>
          <w:iCs/>
        </w:rPr>
        <w:t xml:space="preserve">. </w:t>
      </w:r>
      <w:r w:rsidRPr="007E32DD">
        <w:rPr>
          <w:bCs/>
          <w:iCs/>
          <w:vertAlign w:val="superscript"/>
        </w:rPr>
        <w:footnoteReference w:id="698"/>
      </w:r>
      <w:r w:rsidRPr="007E32DD">
        <w:rPr>
          <w:bCs/>
          <w:iCs/>
        </w:rPr>
        <w:t xml:space="preserve"> </w:t>
      </w:r>
      <w:r w:rsidR="00BF2E33">
        <w:rPr>
          <w:bCs/>
          <w:iCs/>
        </w:rPr>
        <w:t>Yra nuomonių</w:t>
      </w:r>
      <w:r w:rsidRPr="007E32DD">
        <w:rPr>
          <w:bCs/>
          <w:iCs/>
        </w:rPr>
        <w:t xml:space="preserve">, kad teisinėje realybėje privatus kaltinimas yra sunkiai pakeliama nukentėjusiojo pareiga, o įstatymų leidėjo ketinimas suteikti įrankį nukentėjusiajam vykdyti baudžiamąjį persekiojimą virto į baudžiamojo persekiojimo naštą. </w:t>
      </w:r>
      <w:r w:rsidRPr="007E32DD">
        <w:rPr>
          <w:bCs/>
          <w:iCs/>
          <w:vertAlign w:val="superscript"/>
        </w:rPr>
        <w:footnoteReference w:id="699"/>
      </w:r>
      <w:r w:rsidRPr="007E32DD">
        <w:rPr>
          <w:bCs/>
          <w:iCs/>
        </w:rPr>
        <w:t xml:space="preserve"> Asmuo, siekiantis apginti savo teisėtus interesus privataus kaltinimo tvarka ir tikėdamasis, kad privataus kaltinimo procesinė forma siūlo lygiavertę teisinę apsaugą kaip valstybinio kaltinimo procesinė forma, pirmiausia turi gebėti pasinaudoti įstatymo jam suteiktomis galimybėmis. Tačiau dažnai nukentėjusysis yra nepajėgus racionaliai ir sėkmingai vykdyti savo procesinių pareigų ir veiksmingai ginti savo teisėtų interesų. Toliau</w:t>
      </w:r>
      <w:r w:rsidR="00F85E09">
        <w:rPr>
          <w:bCs/>
          <w:iCs/>
        </w:rPr>
        <w:t xml:space="preserve"> </w:t>
      </w:r>
      <w:r w:rsidR="00ED08A6">
        <w:rPr>
          <w:rStyle w:val="Puslapioinaosnuoroda"/>
          <w:bCs/>
          <w:iCs/>
        </w:rPr>
        <w:footnoteReference w:id="700"/>
      </w:r>
      <w:r w:rsidRPr="007E32DD">
        <w:rPr>
          <w:bCs/>
          <w:iCs/>
        </w:rPr>
        <w:t xml:space="preserve"> trumpai bus panagrinėtos pagrindinės procesinės garantijos, padedančios privačiam kaltintojui į</w:t>
      </w:r>
      <w:r w:rsidR="00A051B8">
        <w:rPr>
          <w:bCs/>
          <w:iCs/>
        </w:rPr>
        <w:t>rodinė</w:t>
      </w:r>
      <w:r w:rsidRPr="007E32DD">
        <w:rPr>
          <w:bCs/>
          <w:iCs/>
        </w:rPr>
        <w:t xml:space="preserve">ti </w:t>
      </w:r>
      <w:r w:rsidR="00A051B8">
        <w:rPr>
          <w:bCs/>
          <w:iCs/>
        </w:rPr>
        <w:t xml:space="preserve">pareikštą </w:t>
      </w:r>
      <w:r w:rsidRPr="007E32DD">
        <w:rPr>
          <w:bCs/>
          <w:iCs/>
        </w:rPr>
        <w:t xml:space="preserve">kaltinimą (tuo pačiu veiksmingiau apginti savo interesus): </w:t>
      </w:r>
    </w:p>
    <w:p w:rsidR="00A051B8" w:rsidRPr="00A051B8" w:rsidRDefault="00491413" w:rsidP="00A051B8">
      <w:pPr>
        <w:pStyle w:val="Sraopastraipa"/>
        <w:numPr>
          <w:ilvl w:val="0"/>
          <w:numId w:val="25"/>
        </w:numPr>
      </w:pPr>
      <w:r w:rsidRPr="00A051B8">
        <w:rPr>
          <w:bCs/>
          <w:iCs/>
        </w:rPr>
        <w:t>aktyvaus teismo vaidmuo</w:t>
      </w:r>
      <w:r w:rsidR="00F2698B">
        <w:rPr>
          <w:bCs/>
          <w:iCs/>
        </w:rPr>
        <w:t>;</w:t>
      </w:r>
    </w:p>
    <w:p w:rsidR="00F2698B" w:rsidRPr="00F2698B" w:rsidRDefault="000E307C" w:rsidP="00A051B8">
      <w:pPr>
        <w:pStyle w:val="Sraopastraipa"/>
        <w:numPr>
          <w:ilvl w:val="0"/>
          <w:numId w:val="25"/>
        </w:numPr>
      </w:pPr>
      <w:r w:rsidRPr="00A051B8">
        <w:rPr>
          <w:bCs/>
          <w:iCs/>
        </w:rPr>
        <w:t>privačių subjektų surinktų duomenų naudojimo galimybės</w:t>
      </w:r>
      <w:r w:rsidR="00F2698B">
        <w:rPr>
          <w:bCs/>
          <w:iCs/>
        </w:rPr>
        <w:t>;</w:t>
      </w:r>
    </w:p>
    <w:p w:rsidR="007E32DD" w:rsidRPr="00A051B8" w:rsidRDefault="007E32DD" w:rsidP="00A051B8">
      <w:pPr>
        <w:pStyle w:val="Sraopastraipa"/>
        <w:numPr>
          <w:ilvl w:val="0"/>
          <w:numId w:val="25"/>
        </w:numPr>
      </w:pPr>
      <w:r w:rsidRPr="00A051B8">
        <w:rPr>
          <w:bCs/>
          <w:iCs/>
        </w:rPr>
        <w:t>teisinės pagalbos (atstovavimo pagal įgaliojimą) institutas.</w:t>
      </w:r>
    </w:p>
    <w:p w:rsidR="007E32DD" w:rsidRPr="007E32DD" w:rsidRDefault="007E32DD" w:rsidP="007E32DD">
      <w:pPr>
        <w:spacing w:line="360" w:lineRule="auto"/>
        <w:ind w:firstLine="851"/>
        <w:jc w:val="both"/>
        <w:rPr>
          <w:bCs/>
          <w:iCs/>
        </w:rPr>
      </w:pPr>
      <w:r w:rsidRPr="007E32DD">
        <w:rPr>
          <w:bCs/>
          <w:iCs/>
        </w:rPr>
        <w:t>Atsižvelgiant į privataus kaltintojo ribotas galimybes teikti įrodymus,</w:t>
      </w:r>
      <w:r w:rsidR="004101F1">
        <w:rPr>
          <w:bCs/>
          <w:iCs/>
        </w:rPr>
        <w:t xml:space="preserve"> taip pat </w:t>
      </w:r>
      <w:r w:rsidR="004101F1" w:rsidRPr="004101F1">
        <w:rPr>
          <w:bCs/>
          <w:iCs/>
        </w:rPr>
        <w:t>ir</w:t>
      </w:r>
      <w:r w:rsidR="004101F1" w:rsidRPr="00F906C7">
        <w:rPr>
          <w:bCs/>
          <w:i/>
          <w:iCs/>
        </w:rPr>
        <w:t xml:space="preserve"> teismui</w:t>
      </w:r>
      <w:r w:rsidR="004101F1">
        <w:rPr>
          <w:bCs/>
          <w:iCs/>
        </w:rPr>
        <w:t xml:space="preserve"> </w:t>
      </w:r>
      <w:r w:rsidR="004101F1" w:rsidRPr="00F906C7">
        <w:rPr>
          <w:bCs/>
          <w:i/>
          <w:iCs/>
        </w:rPr>
        <w:t>tenka</w:t>
      </w:r>
      <w:r w:rsidRPr="00F906C7">
        <w:rPr>
          <w:bCs/>
          <w:i/>
          <w:iCs/>
        </w:rPr>
        <w:t xml:space="preserve"> itin svarbus</w:t>
      </w:r>
      <w:r w:rsidRPr="007E32DD">
        <w:rPr>
          <w:bCs/>
          <w:iCs/>
        </w:rPr>
        <w:t xml:space="preserve"> </w:t>
      </w:r>
      <w:r w:rsidRPr="00F43147">
        <w:rPr>
          <w:bCs/>
          <w:i/>
          <w:iCs/>
        </w:rPr>
        <w:t>vaidmuo įrodinėjimo procese</w:t>
      </w:r>
      <w:r w:rsidRPr="007E32DD">
        <w:rPr>
          <w:bCs/>
          <w:iCs/>
        </w:rPr>
        <w:t xml:space="preserve"> </w:t>
      </w:r>
      <w:r w:rsidR="004101F1">
        <w:rPr>
          <w:bCs/>
          <w:iCs/>
        </w:rPr>
        <w:t>bei</w:t>
      </w:r>
      <w:r w:rsidRPr="007E32DD">
        <w:rPr>
          <w:bCs/>
          <w:iCs/>
        </w:rPr>
        <w:t xml:space="preserve"> užtikrinant nukentėjusiojo (privataus kaltintojo) veiksmingą savo funkcijų </w:t>
      </w:r>
      <w:r w:rsidR="004101F1">
        <w:rPr>
          <w:bCs/>
          <w:iCs/>
        </w:rPr>
        <w:t xml:space="preserve">įgyvendinimą </w:t>
      </w:r>
      <w:r w:rsidRPr="007E32DD">
        <w:rPr>
          <w:bCs/>
          <w:iCs/>
        </w:rPr>
        <w:t>privataus kaltinimo (kaltinimo ir savo teisių bei interesų gynimo)</w:t>
      </w:r>
      <w:r w:rsidR="004101F1">
        <w:rPr>
          <w:bCs/>
          <w:iCs/>
        </w:rPr>
        <w:t xml:space="preserve"> procese</w:t>
      </w:r>
      <w:r w:rsidRPr="007E32DD">
        <w:rPr>
          <w:bCs/>
          <w:iCs/>
        </w:rPr>
        <w:t xml:space="preserve">. </w:t>
      </w:r>
    </w:p>
    <w:p w:rsidR="007E32DD" w:rsidRPr="007E32DD" w:rsidRDefault="007E32DD" w:rsidP="007E32DD">
      <w:pPr>
        <w:spacing w:line="360" w:lineRule="auto"/>
        <w:ind w:firstLine="1080"/>
        <w:jc w:val="both"/>
        <w:rPr>
          <w:rFonts w:eastAsia="Times New Roman"/>
        </w:rPr>
      </w:pPr>
      <w:r w:rsidRPr="00F43147">
        <w:rPr>
          <w:rFonts w:eastAsia="Times New Roman"/>
        </w:rPr>
        <w:t>Teisėjo vaidmuo</w:t>
      </w:r>
      <w:r w:rsidRPr="007E32DD">
        <w:rPr>
          <w:rFonts w:eastAsia="Times New Roman"/>
        </w:rPr>
        <w:t xml:space="preserve"> </w:t>
      </w:r>
      <w:r w:rsidR="00D06EE0">
        <w:rPr>
          <w:rFonts w:eastAsia="Times New Roman"/>
        </w:rPr>
        <w:t>duomen</w:t>
      </w:r>
      <w:r w:rsidRPr="007E32DD">
        <w:rPr>
          <w:rFonts w:eastAsia="Times New Roman"/>
        </w:rPr>
        <w:t xml:space="preserve">ų rinkimo procese privataus kaltinimo bylose analizuotinas per rungtyniškumo sampratos prizmę. Rungimosi principo esmę sudaro </w:t>
      </w:r>
      <w:r w:rsidR="00F2698B">
        <w:rPr>
          <w:rFonts w:eastAsia="Times New Roman"/>
        </w:rPr>
        <w:t xml:space="preserve">tai, kad </w:t>
      </w:r>
      <w:r w:rsidRPr="007E32DD">
        <w:rPr>
          <w:rFonts w:eastAsia="Times New Roman"/>
        </w:rPr>
        <w:t>teismo vaidm</w:t>
      </w:r>
      <w:r w:rsidR="00F2698B">
        <w:rPr>
          <w:rFonts w:eastAsia="Times New Roman"/>
        </w:rPr>
        <w:t>uo yra</w:t>
      </w:r>
      <w:r w:rsidRPr="007E32DD">
        <w:rPr>
          <w:rFonts w:eastAsia="Times New Roman"/>
        </w:rPr>
        <w:t xml:space="preserve"> riboj</w:t>
      </w:r>
      <w:r w:rsidR="00F2698B">
        <w:rPr>
          <w:rFonts w:eastAsia="Times New Roman"/>
        </w:rPr>
        <w:t>a</w:t>
      </w:r>
      <w:r w:rsidRPr="007E32DD">
        <w:rPr>
          <w:rFonts w:eastAsia="Times New Roman"/>
        </w:rPr>
        <w:t>mas įrodymų vertinimo funkcija</w:t>
      </w:r>
      <w:r w:rsidR="00F2698B">
        <w:rPr>
          <w:rFonts w:eastAsia="Times New Roman"/>
        </w:rPr>
        <w:t>, todėl</w:t>
      </w:r>
      <w:r w:rsidRPr="007E32DD">
        <w:rPr>
          <w:rFonts w:eastAsia="Times New Roman"/>
        </w:rPr>
        <w:t xml:space="preserve"> kaip įrodinėjimo subjektas teismas sietinas tik su šiuo įrodinėjimo proceso etapu. Rungimosi principas klasikine prasme pasireiškia tuo, kad teismas naujų </w:t>
      </w:r>
      <w:r w:rsidRPr="007E32DD">
        <w:rPr>
          <w:rFonts w:eastAsia="Times New Roman"/>
        </w:rPr>
        <w:lastRenderedPageBreak/>
        <w:t xml:space="preserve">įrodymų neišreikalauja, aktyviai nedalyvauja tiriant proceso dalyvių pateiktus </w:t>
      </w:r>
      <w:r w:rsidR="00D06EE0">
        <w:rPr>
          <w:rFonts w:eastAsia="Times New Roman"/>
        </w:rPr>
        <w:t>duomeni</w:t>
      </w:r>
      <w:r w:rsidRPr="007E32DD">
        <w:rPr>
          <w:rFonts w:eastAsia="Times New Roman"/>
        </w:rPr>
        <w:t>s ir priima sprendimą remdamasis proceso šalių pateikta medžiaga.</w:t>
      </w:r>
      <w:r w:rsidR="00ED45F0">
        <w:rPr>
          <w:rFonts w:eastAsia="Times New Roman"/>
        </w:rPr>
        <w:t xml:space="preserve"> </w:t>
      </w:r>
      <w:r w:rsidRPr="007E32DD">
        <w:rPr>
          <w:rFonts w:eastAsia="Times New Roman"/>
          <w:vertAlign w:val="superscript"/>
        </w:rPr>
        <w:footnoteReference w:id="701"/>
      </w:r>
      <w:r w:rsidRPr="007E32DD">
        <w:rPr>
          <w:rFonts w:eastAsia="Times New Roman"/>
        </w:rPr>
        <w:t xml:space="preserve"> Taigi šiame teoriniame modelyje įrodymų pateikimas yra šalių funkcija. Tačiau pasyvi teismo pozicija gali būti realizuota tik esant kaltinimo ir gynybos šalių vienodoms galimybėms rinkti ir teikti įrodymus. </w:t>
      </w:r>
      <w:r w:rsidR="00ED45F0">
        <w:rPr>
          <w:rFonts w:eastAsia="Times New Roman"/>
        </w:rPr>
        <w:t>„</w:t>
      </w:r>
      <w:r w:rsidRPr="007E32DD">
        <w:rPr>
          <w:rFonts w:eastAsia="Times New Roman"/>
          <w:i/>
        </w:rPr>
        <w:t>Svarbiausia teismo užduotis – užtikrinti šalims vienodas galimybes įrodinėjant savo teiginius, pateikiant papildomus įrodymus ir savo ruožtu išnaudoti teismo turimas galimybes tikrinant pateikiamų įrodymų tikrumą, leistinumą ir kt.</w:t>
      </w:r>
      <w:r w:rsidR="00ED45F0">
        <w:rPr>
          <w:rFonts w:eastAsia="Times New Roman"/>
          <w:i/>
        </w:rPr>
        <w:t xml:space="preserve">“. </w:t>
      </w:r>
      <w:r w:rsidRPr="007E32DD">
        <w:rPr>
          <w:vertAlign w:val="superscript"/>
        </w:rPr>
        <w:footnoteReference w:id="702"/>
      </w:r>
      <w:r w:rsidRPr="007E32DD">
        <w:rPr>
          <w:rFonts w:eastAsia="Times New Roman"/>
        </w:rPr>
        <w:t xml:space="preserve"> Nors Lietuvoje teisminis procesas vyksta pagal rungtyniškumo taisykles, teisėjo vaidmens negalima tapatinti su bendrosios teisės sistemos šalims būdingu teisėjo kaip nešališko arbitro vaidmeniu. </w:t>
      </w:r>
    </w:p>
    <w:p w:rsidR="005B3DC7" w:rsidRDefault="007E32DD" w:rsidP="005B3DC7">
      <w:pPr>
        <w:spacing w:line="360" w:lineRule="auto"/>
        <w:ind w:firstLine="1080"/>
        <w:jc w:val="both"/>
        <w:rPr>
          <w:rFonts w:eastAsia="Times New Roman"/>
        </w:rPr>
      </w:pPr>
      <w:r w:rsidRPr="007E32DD">
        <w:rPr>
          <w:rFonts w:eastAsia="Times New Roman"/>
        </w:rPr>
        <w:t>Lietuvos konstitucinėje jurisprudencijoje legitimizuojama aktyvaus teismo doktrina: ”</w:t>
      </w:r>
      <w:r w:rsidRPr="007E32DD">
        <w:rPr>
          <w:rFonts w:eastAsia="Times New Roman"/>
          <w:i/>
        </w:rPr>
        <w:t>teismas baudžiamajame procese turi būti ir nešališkas arbitras, objektyviai vertinantis baudžiamojoje byloje esančius nusikalstamos veikos padarymo aplinkybių duomenis (įrodymus) ir priimantis teisingą sprendimą dėl asmens, kaltinamo padarius nusikalstamą veiką, kaltumo, ir kartu teismas, siekdamas nustatyti objektyvią tiesą, turi aktyviai veikti baudžiamajame procese - apibrėžti baudžiamosios bylos nagrinėjimo ribas, atlikti tam tikrus proceso veiksmus, asmenims, dalyvaujantiems teisme vykstančiame procese, neleisti piktnaudžiauti savo teisėmis ar įgaliojimais, spręsti kitus su baudžiamosios bylos nagrinėjimu teisme susijusius klausimus [,,,]“.</w:t>
      </w:r>
      <w:r w:rsidR="00ED45F0">
        <w:rPr>
          <w:rFonts w:eastAsia="Times New Roman"/>
          <w:i/>
        </w:rPr>
        <w:t xml:space="preserve"> </w:t>
      </w:r>
      <w:r w:rsidRPr="007E32DD">
        <w:rPr>
          <w:rFonts w:eastAsia="Times New Roman"/>
          <w:vertAlign w:val="superscript"/>
        </w:rPr>
        <w:footnoteReference w:id="703"/>
      </w:r>
      <w:r w:rsidRPr="007E32DD">
        <w:rPr>
          <w:rFonts w:eastAsia="Times New Roman"/>
        </w:rPr>
        <w:t xml:space="preserve"> Taigi Lietuvos baudžiamajame procese akceptuota aktyvaus teismo doktrina įtvirtina teismo pareigą ne tik vertinti įrodymus, bet ir dalyvauti jų rinkimo procese: teismas privalo surinktus ir pateiktus teismui reikšmingus bylai duomenis tikrinti, prireikus rinkti papildomus duomenis, spręsti</w:t>
      </w:r>
      <w:r w:rsidR="008E0379">
        <w:rPr>
          <w:rFonts w:eastAsia="Times New Roman"/>
        </w:rPr>
        <w:t>,</w:t>
      </w:r>
      <w:r w:rsidRPr="007E32DD">
        <w:rPr>
          <w:rFonts w:eastAsia="Times New Roman"/>
        </w:rPr>
        <w:t xml:space="preserve"> ar tai yra įrody</w:t>
      </w:r>
      <w:r w:rsidR="00D27C1D">
        <w:rPr>
          <w:rFonts w:eastAsia="Times New Roman"/>
        </w:rPr>
        <w:t>mai, ir vertinti</w:t>
      </w:r>
      <w:r w:rsidR="00015906">
        <w:rPr>
          <w:rFonts w:eastAsia="Times New Roman"/>
        </w:rPr>
        <w:t>.</w:t>
      </w:r>
      <w:r w:rsidR="00ED45F0">
        <w:rPr>
          <w:rFonts w:eastAsia="Times New Roman"/>
        </w:rPr>
        <w:t xml:space="preserve"> </w:t>
      </w:r>
      <w:r w:rsidRPr="007E32DD">
        <w:rPr>
          <w:rFonts w:eastAsia="Times New Roman"/>
          <w:vertAlign w:val="superscript"/>
        </w:rPr>
        <w:footnoteReference w:id="704"/>
      </w:r>
      <w:r w:rsidR="0071671A">
        <w:rPr>
          <w:rFonts w:eastAsia="Times New Roman"/>
        </w:rPr>
        <w:t xml:space="preserve"> </w:t>
      </w:r>
    </w:p>
    <w:p w:rsidR="005B3DC7" w:rsidRPr="007E32DD" w:rsidRDefault="0071671A" w:rsidP="005B3DC7">
      <w:pPr>
        <w:spacing w:line="360" w:lineRule="auto"/>
        <w:ind w:firstLine="1080"/>
        <w:jc w:val="both"/>
        <w:rPr>
          <w:rFonts w:eastAsia="Times New Roman"/>
        </w:rPr>
      </w:pPr>
      <w:r>
        <w:rPr>
          <w:rFonts w:eastAsia="Times New Roman"/>
        </w:rPr>
        <w:t xml:space="preserve">Įrodinėjimo privataus kaltinimo bylų procese ypatumus lemia taip pat ir tai, kad </w:t>
      </w:r>
      <w:r w:rsidR="00D06EE0">
        <w:rPr>
          <w:rFonts w:eastAsia="Times New Roman"/>
        </w:rPr>
        <w:t>duomeni</w:t>
      </w:r>
      <w:r w:rsidR="005B3DC7">
        <w:rPr>
          <w:rFonts w:eastAsia="Times New Roman"/>
        </w:rPr>
        <w:t xml:space="preserve">s teikia (arba prašo išreikalauti) </w:t>
      </w:r>
      <w:r>
        <w:rPr>
          <w:rFonts w:eastAsia="Times New Roman"/>
        </w:rPr>
        <w:t>šio proceso šalys</w:t>
      </w:r>
      <w:r w:rsidR="005B3DC7">
        <w:rPr>
          <w:rFonts w:eastAsia="Times New Roman"/>
        </w:rPr>
        <w:t>, kurios</w:t>
      </w:r>
      <w:r>
        <w:rPr>
          <w:rFonts w:eastAsia="Times New Roman"/>
        </w:rPr>
        <w:t xml:space="preserve"> yra suinteresuotos </w:t>
      </w:r>
      <w:r w:rsidR="005B3DC7">
        <w:rPr>
          <w:rFonts w:eastAsia="Times New Roman"/>
        </w:rPr>
        <w:t xml:space="preserve">įrodyti savo teiginius ir nebūtinai siekia nustatyti tiesą byloje. Privatus kaltintojas, vykdydamas kaltinimo funkciją, nurodo apklaustinus teismo posėdyje liudytojus, taip </w:t>
      </w:r>
      <w:r w:rsidR="00D06EE0">
        <w:rPr>
          <w:rFonts w:eastAsia="Times New Roman"/>
        </w:rPr>
        <w:t>pat</w:t>
      </w:r>
      <w:r w:rsidR="005B3DC7">
        <w:rPr>
          <w:rFonts w:eastAsia="Times New Roman"/>
        </w:rPr>
        <w:t xml:space="preserve"> tokią teisę turi ir kaltinamasis. Be abejo, privatus kaltintojas prašys kviesti liudyti tuos asmenis, kurių parodymai jam padės pagrįsti kaltinimą, o kaltinamasis – tuos, kur</w:t>
      </w:r>
      <w:r w:rsidR="00AA00E0">
        <w:rPr>
          <w:rFonts w:eastAsia="Times New Roman"/>
        </w:rPr>
        <w:t xml:space="preserve">ie paneigs kaltinimo teiginius, todėl galima daryti prielaidą, kad liudytojų parodymų patikimumas privataus kaltinimo procese yra mažesnis nei nagrinėjant bylas </w:t>
      </w:r>
      <w:r w:rsidR="00AA00E0">
        <w:rPr>
          <w:rFonts w:eastAsia="Times New Roman"/>
        </w:rPr>
        <w:lastRenderedPageBreak/>
        <w:t xml:space="preserve">įprasto proceso tvarka. Tai lemia privataus kaltintojo (arba kaltinamojo) galimybė savo nuožiūra kviesti liudytojus, kurių parodymai naudingi jų pozicijai pagrįsti. </w:t>
      </w:r>
      <w:r w:rsidR="005B3DC7">
        <w:rPr>
          <w:rFonts w:eastAsia="Times New Roman"/>
        </w:rPr>
        <w:t xml:space="preserve">Nors rašytinių įrodymų </w:t>
      </w:r>
      <w:r w:rsidR="005B3DC7" w:rsidRPr="005B3DC7">
        <w:rPr>
          <w:rFonts w:eastAsia="Times New Roman"/>
          <w:i/>
        </w:rPr>
        <w:t>prima facie</w:t>
      </w:r>
      <w:r w:rsidR="005B3DC7">
        <w:rPr>
          <w:rFonts w:eastAsia="Times New Roman"/>
        </w:rPr>
        <w:t xml:space="preserve"> įrodomoji galia prieš kitus įrodymus yra civilinio proceso nuostata (CPK 197 straipsnio 2 dalis), tačiau vertinant privataus kaltintojo įrodinėjimo veiklą privataus kaltinimo byloje ir įrodinėjimą civilinėje byloje įžvelgtini panašumai.</w:t>
      </w:r>
      <w:r w:rsidR="00AA00E0">
        <w:rPr>
          <w:rFonts w:eastAsia="Times New Roman"/>
        </w:rPr>
        <w:t xml:space="preserve"> </w:t>
      </w:r>
      <w:r w:rsidR="00AA00E0">
        <w:rPr>
          <w:rStyle w:val="Puslapioinaosnuoroda"/>
          <w:rFonts w:eastAsia="Times New Roman"/>
        </w:rPr>
        <w:footnoteReference w:id="705"/>
      </w:r>
      <w:r w:rsidR="005B3DC7">
        <w:rPr>
          <w:rFonts w:eastAsia="Times New Roman"/>
        </w:rPr>
        <w:t xml:space="preserve"> </w:t>
      </w:r>
      <w:r w:rsidR="00AA00E0">
        <w:rPr>
          <w:rFonts w:eastAsia="Times New Roman"/>
        </w:rPr>
        <w:t xml:space="preserve">Taigi </w:t>
      </w:r>
      <w:r w:rsidR="005B3DC7">
        <w:rPr>
          <w:rFonts w:eastAsia="Times New Roman"/>
        </w:rPr>
        <w:t>vertinant įrodymus privataus kaltinimo byloje, didesnę įrodomąją galią turėtų turėti</w:t>
      </w:r>
      <w:r w:rsidR="00AA00E0">
        <w:rPr>
          <w:rFonts w:eastAsia="Times New Roman"/>
        </w:rPr>
        <w:t xml:space="preserve"> oficialūs</w:t>
      </w:r>
      <w:r w:rsidR="005B3DC7">
        <w:rPr>
          <w:rFonts w:eastAsia="Times New Roman"/>
        </w:rPr>
        <w:t xml:space="preserve"> rašytiniai įrodymai. </w:t>
      </w:r>
      <w:r w:rsidR="005B3DC7" w:rsidRPr="0071671A">
        <w:rPr>
          <w:rFonts w:eastAsia="Times New Roman"/>
        </w:rPr>
        <w:t>T</w:t>
      </w:r>
      <w:r w:rsidR="00AA00E0">
        <w:rPr>
          <w:rFonts w:eastAsia="Times New Roman"/>
        </w:rPr>
        <w:t>ai nepaneigia nuostatos, kad t</w:t>
      </w:r>
      <w:r w:rsidR="005B3DC7" w:rsidRPr="0071671A">
        <w:rPr>
          <w:rFonts w:eastAsia="Times New Roman"/>
        </w:rPr>
        <w:t>eisėjai įrodymus įvertina pagal savo vidinį įsitikinimą, pagrįstą išsamiu ir nešališku visų bylos aplinkybių išnagrinėjimu, vadovaudamiesi įstatymu</w:t>
      </w:r>
      <w:r w:rsidR="005B3DC7">
        <w:rPr>
          <w:rFonts w:eastAsia="Times New Roman"/>
        </w:rPr>
        <w:t xml:space="preserve"> (BPK 20 straipsnio 5 dalis)</w:t>
      </w:r>
      <w:r w:rsidR="00AA00E0">
        <w:rPr>
          <w:rFonts w:eastAsia="Times New Roman"/>
        </w:rPr>
        <w:t>.</w:t>
      </w:r>
    </w:p>
    <w:p w:rsidR="000E307C" w:rsidRPr="007E32DD" w:rsidRDefault="000E307C" w:rsidP="000E307C">
      <w:pPr>
        <w:spacing w:line="360" w:lineRule="auto"/>
        <w:ind w:firstLine="1080"/>
        <w:jc w:val="both"/>
        <w:rPr>
          <w:rFonts w:eastAsia="Times New Roman"/>
        </w:rPr>
      </w:pPr>
      <w:r w:rsidRPr="007E32DD">
        <w:rPr>
          <w:rFonts w:eastAsia="Times New Roman"/>
        </w:rPr>
        <w:t xml:space="preserve">Teismo aktyvumo įrodinėjimo procese, t. y. teismo vaidmens nustatinėjant faktines bylos aplinkybes, problema privataus kaltinimo bylų procese aktuali ypatingai dėl to, kad šiame procese joks kitas įrodinėjimo subjektas neturi pareigos padėti nustatyti tiesą byloje. Nors privatus kaltintojas turi pareigą pagrįsti pareikštą kaltinimą, tačiau jo tiesa yra subjektyvi ir ginami interesai – privatūs. Jis nėra saistomas objektyvumo reikalavimo ir pareigos užtikrinti kaltinamojo teises. Todėl šiame kontekste kyla problema dėl teismo šališkumo ir baudžiamojo proceso funkcijų atskyrimo.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Pripažįstant teismo aktyvumo doktriną, kyla klausimas, kokios yra teismo aktyvaus dalyvavimo įrodinėjimo procese ribos. Problemos esmę sudaro klausimas, ar teisėjas turi teisę savarankiškai, savo nuožiūra ir iniciatyva rinkti įrodymus nagrinėjant privataus kaltinimo baudžiamąsias bylas, ar tai jis turi daryti tik šalių prašymu; ar gali jis aktyviai vadovauti kaltintojui, pakreipdamas jo įrodinėjimo veiklą reikiama linkme; ar teismas turi nustatyti įrodinėjimo ribas, siekdamas visapusiškai ištirti aplinkybes, ar turi vadovautis šalių nustatytomis ribomis.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 „</w:t>
      </w:r>
      <w:r w:rsidRPr="00AD4628">
        <w:rPr>
          <w:rFonts w:eastAsia="Times New Roman"/>
          <w:i/>
        </w:rPr>
        <w:t>Privataus kaltinimo procese teismo vaidmuo nustatant įrodinėjimo ribas yra aktyvus, nes įrodymų rinkime jis dažnai koreguoja įrodinėjimo ribas, atmesdamas ar tenkindamas šalių prašymus dėl naujų įrodymų pateikimo ar išreikalavimo, pasiūlo šalims pateikti įrodymų dėl teismo nuomone įrodinėtinų aplinkybių. Šalia pareigos objektyviai vertinti šalių pateiktus duomenis apie bylos aplinkybes, siekdamas nustatyti objektyvią tiesą, teismas turi aktyviai veikti baudžiamajame procese ir negali užimti pasyvios pozicijos</w:t>
      </w:r>
      <w:r w:rsidRPr="007E32DD">
        <w:rPr>
          <w:rFonts w:eastAsia="Times New Roman"/>
        </w:rPr>
        <w:t xml:space="preserve">.“ </w:t>
      </w:r>
      <w:r w:rsidRPr="007E32DD">
        <w:rPr>
          <w:rFonts w:eastAsia="Times New Roman"/>
          <w:vertAlign w:val="superscript"/>
        </w:rPr>
        <w:footnoteReference w:id="706"/>
      </w:r>
      <w:r w:rsidRPr="007E32DD">
        <w:rPr>
          <w:rFonts w:eastAsia="Times New Roman"/>
        </w:rPr>
        <w:t xml:space="preserve"> Privataus kaltinimo </w:t>
      </w:r>
      <w:r w:rsidR="00D648DD">
        <w:rPr>
          <w:rFonts w:eastAsia="Times New Roman"/>
        </w:rPr>
        <w:t>bylose aktyvus teismo vaidmuo svarbus ir dėl to</w:t>
      </w:r>
      <w:r w:rsidRPr="007E32DD">
        <w:rPr>
          <w:rFonts w:eastAsia="Times New Roman"/>
        </w:rPr>
        <w:t>, kad</w:t>
      </w:r>
      <w:r w:rsidR="008E0379">
        <w:rPr>
          <w:rFonts w:eastAsia="Times New Roman"/>
        </w:rPr>
        <w:t xml:space="preserve"> </w:t>
      </w:r>
      <w:r w:rsidRPr="007E32DD">
        <w:rPr>
          <w:rFonts w:eastAsia="Times New Roman"/>
        </w:rPr>
        <w:t xml:space="preserve">kaltintojas nėra teisininkas profesionalas, o jo įgaliojimai įrodinėjimo procese yra riboti. Privataus kaltintojo tiek žinių, tiek įgaliojimų ribotumas negali būti legitimia priežastimi, dėl kurios nukentėtų teisingumo vykdymas. Todėl teisėjo kaip teisingumo vykdytojo vaidmuo suponuoja pareigą užtikrinti, kad privataus kaltinimo bylų procese, </w:t>
      </w:r>
      <w:r w:rsidRPr="007E32DD">
        <w:rPr>
          <w:rFonts w:eastAsia="Times New Roman"/>
          <w:i/>
        </w:rPr>
        <w:t>inter alia</w:t>
      </w:r>
      <w:r w:rsidRPr="007E32DD">
        <w:rPr>
          <w:rFonts w:eastAsia="Times New Roman"/>
        </w:rPr>
        <w:t xml:space="preserve"> įrodinėjimo procese, </w:t>
      </w:r>
      <w:r w:rsidRPr="007E32DD">
        <w:rPr>
          <w:rFonts w:eastAsia="Times New Roman"/>
        </w:rPr>
        <w:lastRenderedPageBreak/>
        <w:t>nebūtų pažeisti teisėti šalių interesai. Valstybė, esant tokiam teisiniam reg</w:t>
      </w:r>
      <w:r w:rsidR="00D06EE0">
        <w:rPr>
          <w:rFonts w:eastAsia="Times New Roman"/>
        </w:rPr>
        <w:t>u</w:t>
      </w:r>
      <w:r w:rsidRPr="007E32DD">
        <w:rPr>
          <w:rFonts w:eastAsia="Times New Roman"/>
        </w:rPr>
        <w:t>l</w:t>
      </w:r>
      <w:r w:rsidR="00D06EE0">
        <w:rPr>
          <w:rFonts w:eastAsia="Times New Roman"/>
        </w:rPr>
        <w:t>i</w:t>
      </w:r>
      <w:r w:rsidRPr="007E32DD">
        <w:rPr>
          <w:rFonts w:eastAsia="Times New Roman"/>
        </w:rPr>
        <w:t xml:space="preserve">avimui, kai asmuo pats savarankiškai turi ginti savo teisėtus interesus, privalo suteikti kaltintojui privataus kaltinimo bylose pagalbą renkant įrodymus. Pagalba renkant įrodymus suvokiama ne tik kaip teismo teisė, bet ir kaip pareiga, o teismas priskirtinas prie subjektų, kuriems tenka įrodinėjimo našta. </w:t>
      </w:r>
      <w:r w:rsidRPr="007E32DD">
        <w:rPr>
          <w:vertAlign w:val="superscript"/>
        </w:rPr>
        <w:footnoteReference w:id="707"/>
      </w:r>
      <w:r w:rsidRPr="007E32DD">
        <w:rPr>
          <w:rFonts w:eastAsia="Times New Roman"/>
        </w:rPr>
        <w:t xml:space="preserve"> Priešingu atveju, privataus kaltinimo procesinė forma tebūtų teisės į teismą formalus deklaravimas, o ne realus jos įgyvendinimo užtikrinimas. </w:t>
      </w:r>
    </w:p>
    <w:p w:rsidR="007E32DD" w:rsidRDefault="007E32DD" w:rsidP="007E32DD">
      <w:pPr>
        <w:spacing w:line="360" w:lineRule="auto"/>
        <w:ind w:firstLine="1080"/>
        <w:jc w:val="both"/>
        <w:rPr>
          <w:rFonts w:eastAsia="Times New Roman"/>
        </w:rPr>
      </w:pPr>
      <w:r w:rsidRPr="007E32DD">
        <w:rPr>
          <w:rFonts w:eastAsia="Times New Roman"/>
        </w:rPr>
        <w:t>BPK 414 str</w:t>
      </w:r>
      <w:r w:rsidR="00126829">
        <w:rPr>
          <w:rFonts w:eastAsia="Times New Roman"/>
        </w:rPr>
        <w:t>aipsnio</w:t>
      </w:r>
      <w:r w:rsidRPr="007E32DD">
        <w:rPr>
          <w:rFonts w:eastAsia="Times New Roman"/>
        </w:rPr>
        <w:t xml:space="preserve"> 2 d</w:t>
      </w:r>
      <w:r w:rsidR="00126829">
        <w:rPr>
          <w:rFonts w:eastAsia="Times New Roman"/>
        </w:rPr>
        <w:t>alyje</w:t>
      </w:r>
      <w:r w:rsidRPr="007E32DD">
        <w:rPr>
          <w:rFonts w:eastAsia="Times New Roman"/>
        </w:rPr>
        <w:t xml:space="preserve"> eksplicitiškai numatyta teismo pareiga dalyvauti įrodinėjimo procese: jis turi imtis priemonių pats savarankiškai nustatyti tam tikras aplinkybes, o jeigu byloje yra aplinkybių, kurių teismas negali nustatyti, teisėjas turi pavesti prokurorui ištirti šias aplinkybes per nustatytą laikotarpį. Teismo teisės duoti pavedimus (nurodymus) ikiteisminio tyrimo institucijoms ar prokurorams buvo kvestionuojama kaip teismo kišimasis į įrodymų rinkimo procesą, dėl ko gali būti sudarytos prielaidos teismo šališkumui. Konstitucinis </w:t>
      </w:r>
      <w:r w:rsidR="00126829">
        <w:rPr>
          <w:rFonts w:eastAsia="Times New Roman"/>
        </w:rPr>
        <w:t>T</w:t>
      </w:r>
      <w:r w:rsidRPr="007E32DD">
        <w:rPr>
          <w:rFonts w:eastAsia="Times New Roman"/>
        </w:rPr>
        <w:t xml:space="preserve">eismas, nagrinėdamas šios normos konstitucingumą, </w:t>
      </w:r>
      <w:r w:rsidR="007E2D5B">
        <w:rPr>
          <w:rFonts w:eastAsia="Times New Roman"/>
        </w:rPr>
        <w:t>apibrėžė</w:t>
      </w:r>
      <w:r w:rsidRPr="007E32DD">
        <w:rPr>
          <w:rFonts w:eastAsia="Times New Roman"/>
        </w:rPr>
        <w:t xml:space="preserve"> teismo kaip įrodinėjimo subjekto vaidmenį </w:t>
      </w:r>
      <w:r w:rsidR="007E2D5B" w:rsidRPr="007E2D5B">
        <w:rPr>
          <w:rFonts w:eastAsia="Times New Roman"/>
          <w:i/>
        </w:rPr>
        <w:t>inter alia</w:t>
      </w:r>
      <w:r w:rsidR="00BF2E33">
        <w:rPr>
          <w:rFonts w:eastAsia="Times New Roman"/>
          <w:i/>
        </w:rPr>
        <w:t xml:space="preserve"> </w:t>
      </w:r>
      <w:r w:rsidRPr="007E32DD">
        <w:rPr>
          <w:rFonts w:eastAsia="Times New Roman"/>
        </w:rPr>
        <w:t>privataus kaltinimo procese.</w:t>
      </w:r>
      <w:r w:rsidR="00ED45F0">
        <w:rPr>
          <w:rFonts w:eastAsia="Times New Roman"/>
        </w:rPr>
        <w:t xml:space="preserve"> </w:t>
      </w:r>
      <w:r w:rsidRPr="007E32DD">
        <w:rPr>
          <w:rFonts w:eastAsia="Times New Roman"/>
          <w:vertAlign w:val="superscript"/>
        </w:rPr>
        <w:footnoteReference w:id="708"/>
      </w:r>
      <w:r w:rsidR="008E0379">
        <w:rPr>
          <w:rFonts w:eastAsia="Times New Roman"/>
        </w:rPr>
        <w:t xml:space="preserve"> </w:t>
      </w:r>
      <w:r w:rsidR="00B45D24">
        <w:rPr>
          <w:rFonts w:eastAsia="Times New Roman"/>
        </w:rPr>
        <w:t>B</w:t>
      </w:r>
      <w:r w:rsidRPr="007E32DD">
        <w:rPr>
          <w:rFonts w:eastAsia="Times New Roman"/>
        </w:rPr>
        <w:t xml:space="preserve">audžiamojo proceso teisinio reguliavimo </w:t>
      </w:r>
      <w:r w:rsidR="00B45D24">
        <w:rPr>
          <w:rFonts w:eastAsia="Times New Roman"/>
        </w:rPr>
        <w:t xml:space="preserve">pokyčiai </w:t>
      </w:r>
      <w:r w:rsidR="007E2D5B">
        <w:rPr>
          <w:rFonts w:eastAsia="Times New Roman"/>
        </w:rPr>
        <w:t xml:space="preserve">atsispindi ir </w:t>
      </w:r>
      <w:r w:rsidR="00B45D24">
        <w:rPr>
          <w:rFonts w:eastAsia="Times New Roman"/>
        </w:rPr>
        <w:t>k</w:t>
      </w:r>
      <w:r w:rsidRPr="007E32DD">
        <w:rPr>
          <w:rFonts w:eastAsia="Times New Roman"/>
        </w:rPr>
        <w:t>onstitucin</w:t>
      </w:r>
      <w:r w:rsidR="00B45D24">
        <w:rPr>
          <w:rFonts w:eastAsia="Times New Roman"/>
        </w:rPr>
        <w:t>ė</w:t>
      </w:r>
      <w:r w:rsidR="007E2D5B">
        <w:rPr>
          <w:rFonts w:eastAsia="Times New Roman"/>
        </w:rPr>
        <w:t>je</w:t>
      </w:r>
      <w:r w:rsidR="00B45D24">
        <w:rPr>
          <w:rFonts w:eastAsia="Times New Roman"/>
        </w:rPr>
        <w:t xml:space="preserve"> doktrino</w:t>
      </w:r>
      <w:r w:rsidR="007E2D5B">
        <w:rPr>
          <w:rFonts w:eastAsia="Times New Roman"/>
        </w:rPr>
        <w:t>je</w:t>
      </w:r>
      <w:r w:rsidR="008E0379">
        <w:rPr>
          <w:rFonts w:eastAsia="Times New Roman"/>
        </w:rPr>
        <w:t>,</w:t>
      </w:r>
      <w:r w:rsidRPr="007E32DD">
        <w:rPr>
          <w:rFonts w:eastAsia="Times New Roman"/>
        </w:rPr>
        <w:t xml:space="preserve"> teismo kaip bešališko arbitro samprat</w:t>
      </w:r>
      <w:r w:rsidR="007E2D5B">
        <w:rPr>
          <w:rFonts w:eastAsia="Times New Roman"/>
        </w:rPr>
        <w:t>ą</w:t>
      </w:r>
      <w:r w:rsidR="00ED45F0">
        <w:rPr>
          <w:rFonts w:eastAsia="Times New Roman"/>
        </w:rPr>
        <w:t xml:space="preserve"> </w:t>
      </w:r>
      <w:r w:rsidRPr="007E32DD">
        <w:rPr>
          <w:rFonts w:eastAsia="Times New Roman"/>
          <w:vertAlign w:val="superscript"/>
        </w:rPr>
        <w:footnoteReference w:id="709"/>
      </w:r>
      <w:r w:rsidRPr="007E32DD">
        <w:rPr>
          <w:rFonts w:eastAsia="Times New Roman"/>
        </w:rPr>
        <w:t xml:space="preserve"> pakei</w:t>
      </w:r>
      <w:r w:rsidR="007E2D5B">
        <w:rPr>
          <w:rFonts w:eastAsia="Times New Roman"/>
        </w:rPr>
        <w:t>čiant</w:t>
      </w:r>
      <w:r w:rsidRPr="007E32DD">
        <w:rPr>
          <w:rFonts w:eastAsia="Times New Roman"/>
        </w:rPr>
        <w:t xml:space="preserve"> aktyvaus teismo </w:t>
      </w:r>
      <w:r w:rsidR="007E2D5B">
        <w:rPr>
          <w:rFonts w:eastAsia="Times New Roman"/>
        </w:rPr>
        <w:t>modeliu</w:t>
      </w:r>
      <w:r w:rsidRPr="007E32DD">
        <w:rPr>
          <w:rFonts w:eastAsia="Times New Roman"/>
        </w:rPr>
        <w:t xml:space="preserve">: </w:t>
      </w:r>
      <w:r w:rsidRPr="007E32DD">
        <w:rPr>
          <w:rFonts w:eastAsia="Times New Roman"/>
          <w:i/>
        </w:rPr>
        <w:t>,,teismas negali būti suprantamas kaip „pasyvus“ bylų proceso stebėtojas ir kad teisingumo vykdymas negali priklausyti tik nuo to, kokia</w:t>
      </w:r>
      <w:r w:rsidR="00A74256">
        <w:rPr>
          <w:rFonts w:eastAsia="Times New Roman"/>
          <w:i/>
        </w:rPr>
        <w:t xml:space="preserve"> medžiaga teismui yra pateikta</w:t>
      </w:r>
      <w:r w:rsidRPr="007E32DD">
        <w:rPr>
          <w:rFonts w:eastAsia="Times New Roman"/>
          <w:i/>
        </w:rPr>
        <w:t>.“</w:t>
      </w:r>
      <w:r w:rsidR="00ED45F0">
        <w:rPr>
          <w:rFonts w:eastAsia="Times New Roman"/>
          <w:i/>
        </w:rPr>
        <w:t xml:space="preserve"> </w:t>
      </w:r>
      <w:r w:rsidRPr="007E32DD">
        <w:rPr>
          <w:rFonts w:eastAsia="Times New Roman"/>
          <w:i/>
          <w:vertAlign w:val="superscript"/>
        </w:rPr>
        <w:footnoteReference w:id="710"/>
      </w:r>
      <w:r w:rsidR="008E0379">
        <w:rPr>
          <w:rFonts w:eastAsia="Times New Roman"/>
          <w:i/>
        </w:rPr>
        <w:t xml:space="preserve"> </w:t>
      </w:r>
      <w:r w:rsidRPr="007E32DD">
        <w:rPr>
          <w:rFonts w:eastAsia="Times New Roman"/>
          <w:iCs/>
        </w:rPr>
        <w:t xml:space="preserve">Konstitucinio Teismo doktrinoje atribojamas teismo sprendimas pavesti atlikti ikiteisminį tyrimą ir teismo sprendimas pavesti atlikti atskirus proceso veiksmus, kuriuos duodamas </w:t>
      </w:r>
      <w:r w:rsidR="00ED45F0">
        <w:rPr>
          <w:rFonts w:eastAsia="Times New Roman"/>
          <w:iCs/>
        </w:rPr>
        <w:t>„</w:t>
      </w:r>
      <w:r w:rsidRPr="007E32DD">
        <w:rPr>
          <w:rFonts w:eastAsia="Times New Roman"/>
          <w:i/>
          <w:iCs/>
        </w:rPr>
        <w:t>teismas turi veikti taip, kad nebūtų sudaryta prielaidų manyti, jog teismas yra šališkas,</w:t>
      </w:r>
      <w:r w:rsidR="00ED45F0">
        <w:rPr>
          <w:rFonts w:eastAsia="Times New Roman"/>
          <w:i/>
          <w:iCs/>
        </w:rPr>
        <w:t xml:space="preserve"> </w:t>
      </w:r>
      <w:r w:rsidRPr="007E32DD">
        <w:rPr>
          <w:rFonts w:eastAsia="Times New Roman"/>
          <w:i/>
          <w:iCs/>
        </w:rPr>
        <w:t xml:space="preserve">[...] </w:t>
      </w:r>
      <w:r w:rsidRPr="00ED45F0">
        <w:rPr>
          <w:rFonts w:eastAsia="Times New Roman"/>
          <w:i/>
          <w:iCs/>
        </w:rPr>
        <w:t>t.y.,</w:t>
      </w:r>
      <w:r w:rsidRPr="007E32DD">
        <w:rPr>
          <w:rFonts w:eastAsia="Times New Roman"/>
          <w:i/>
          <w:iCs/>
        </w:rPr>
        <w:t xml:space="preserve"> neturi nurodyti, kaip toks pavedimas privalo būti vykdomas, kokį rezultatą norima gauti ir pan.“</w:t>
      </w:r>
      <w:r w:rsidR="00ED45F0">
        <w:rPr>
          <w:rFonts w:eastAsia="Times New Roman"/>
          <w:i/>
          <w:iCs/>
        </w:rPr>
        <w:t xml:space="preserve"> </w:t>
      </w:r>
      <w:r w:rsidRPr="007E32DD">
        <w:rPr>
          <w:rFonts w:eastAsia="Times New Roman"/>
          <w:vertAlign w:val="superscript"/>
        </w:rPr>
        <w:footnoteReference w:id="711"/>
      </w:r>
      <w:r w:rsidRPr="007E32DD">
        <w:rPr>
          <w:rFonts w:eastAsia="Times New Roman"/>
        </w:rPr>
        <w:t xml:space="preserve"> BPK nenumato galimybės teismui duoti pavedimą atlikti ikiteisminį tyrimą, nors egzistuoja nuomonė, kad tokia galimybė, įgyvendinant Konstitucinio Teismo nutarimą, turėtų būti numatyta BPK, taip pat numatant ir atitinkamo sprendimo priėmimo pagrindus (kriterijus).</w:t>
      </w:r>
      <w:r w:rsidR="00ED45F0">
        <w:rPr>
          <w:rFonts w:eastAsia="Times New Roman"/>
        </w:rPr>
        <w:t xml:space="preserve"> </w:t>
      </w:r>
      <w:r w:rsidRPr="007E32DD">
        <w:rPr>
          <w:rFonts w:eastAsia="Times New Roman"/>
          <w:vertAlign w:val="superscript"/>
        </w:rPr>
        <w:footnoteReference w:id="712"/>
      </w:r>
      <w:r w:rsidRPr="007E32DD">
        <w:rPr>
          <w:rFonts w:eastAsia="Times New Roman"/>
        </w:rPr>
        <w:t xml:space="preserve"> Įstatymų leidėjas šią galimybę susiejo su privataus kaltinimo bylų proceso </w:t>
      </w:r>
      <w:r w:rsidR="002B2B7D">
        <w:rPr>
          <w:rFonts w:eastAsia="Times New Roman"/>
        </w:rPr>
        <w:t>etapu iki teisiamojo posėdžio</w:t>
      </w:r>
      <w:r w:rsidRPr="007E32DD">
        <w:rPr>
          <w:rFonts w:eastAsia="Times New Roman"/>
        </w:rPr>
        <w:t>. Vėlesn</w:t>
      </w:r>
      <w:r w:rsidR="002B2B7D">
        <w:rPr>
          <w:rFonts w:eastAsia="Times New Roman"/>
        </w:rPr>
        <w:t>iuo</w:t>
      </w:r>
      <w:r w:rsidRPr="007E32DD">
        <w:rPr>
          <w:rFonts w:eastAsia="Times New Roman"/>
        </w:rPr>
        <w:t>se privata</w:t>
      </w:r>
      <w:r w:rsidR="002B2B7D">
        <w:rPr>
          <w:rFonts w:eastAsia="Times New Roman"/>
        </w:rPr>
        <w:t>us kaltinimo bylos nagrinėjimo etapu</w:t>
      </w:r>
      <w:r w:rsidRPr="007E32DD">
        <w:rPr>
          <w:rFonts w:eastAsia="Times New Roman"/>
        </w:rPr>
        <w:t>ose teismas gali įpareigoti atlikti p</w:t>
      </w:r>
      <w:r w:rsidR="00126829">
        <w:rPr>
          <w:rFonts w:eastAsia="Times New Roman"/>
        </w:rPr>
        <w:t xml:space="preserve">rocesinius veiksmus </w:t>
      </w:r>
      <w:r w:rsidR="00126829">
        <w:rPr>
          <w:rFonts w:eastAsia="Times New Roman"/>
        </w:rPr>
        <w:lastRenderedPageBreak/>
        <w:t>BPK 287 straipsnio</w:t>
      </w:r>
      <w:r w:rsidRPr="007E32DD">
        <w:rPr>
          <w:rFonts w:eastAsia="Times New Roman"/>
        </w:rPr>
        <w:t xml:space="preserve"> pagrindu, nes bylos nagrinėjimas teisme vyksta vadovaujantis bendromis nuostatomis.</w:t>
      </w:r>
      <w:r w:rsidR="0071671A">
        <w:rPr>
          <w:rFonts w:eastAsia="Times New Roman"/>
        </w:rPr>
        <w:t xml:space="preserve"> </w:t>
      </w:r>
    </w:p>
    <w:p w:rsidR="007E32DD" w:rsidRPr="007E32DD" w:rsidRDefault="007E32DD" w:rsidP="007E32DD">
      <w:pPr>
        <w:spacing w:line="360" w:lineRule="auto"/>
        <w:ind w:firstLine="1080"/>
        <w:jc w:val="both"/>
        <w:rPr>
          <w:rFonts w:eastAsia="Times New Roman"/>
        </w:rPr>
      </w:pPr>
      <w:r w:rsidRPr="007E32DD">
        <w:rPr>
          <w:rFonts w:eastAsia="Times New Roman"/>
        </w:rPr>
        <w:t>Įrodinėjim</w:t>
      </w:r>
      <w:r w:rsidR="008E0379">
        <w:rPr>
          <w:rFonts w:eastAsia="Times New Roman"/>
        </w:rPr>
        <w:t>ui</w:t>
      </w:r>
      <w:r w:rsidRPr="007E32DD">
        <w:rPr>
          <w:rFonts w:eastAsia="Times New Roman"/>
        </w:rPr>
        <w:t xml:space="preserve"> privataus kaltinimo bylų procese</w:t>
      </w:r>
      <w:r w:rsidR="008E0379">
        <w:rPr>
          <w:rFonts w:eastAsia="Times New Roman"/>
        </w:rPr>
        <w:t xml:space="preserve"> būdinga tai, </w:t>
      </w:r>
      <w:r w:rsidRPr="007E32DD">
        <w:rPr>
          <w:rFonts w:eastAsia="Times New Roman"/>
        </w:rPr>
        <w:t>kad įstatymas nenumato įpareigojimo jokiam įrodinėjimo subjektui rinkti įrodymus kaltinamojo naudai. Negatyviąja prasme nekaltumo prezumpcija draudžia perkelti įrodinėjimo pareigą kaltinamajam ar jo gynėjui, taip pat apima ir įpareigojimą nepašalintas abejones vertinti kaltinamojo naudai (</w:t>
      </w:r>
      <w:r w:rsidRPr="007E32DD">
        <w:rPr>
          <w:rFonts w:eastAsia="Times New Roman"/>
          <w:i/>
        </w:rPr>
        <w:t>in dubio pro reo</w:t>
      </w:r>
      <w:r w:rsidRPr="007E32DD">
        <w:rPr>
          <w:rFonts w:eastAsia="Times New Roman"/>
        </w:rPr>
        <w:t xml:space="preserve">). Iš principo, kad įtariamasis neturi įrodinėti savo nekaltumo, kyla ikiteisminio tyrimo pareigūnų pareiga ikiteisminio tyrimo metu rinkti ne tik asmenį kaltinančius, bet ir jį teisinančius ar kitaip jo teisinę padėtį lengvinančius parodymus. </w:t>
      </w:r>
      <w:r w:rsidRPr="007E32DD">
        <w:rPr>
          <w:vertAlign w:val="superscript"/>
        </w:rPr>
        <w:footnoteReference w:id="713"/>
      </w:r>
      <w:r w:rsidRPr="007E32DD">
        <w:rPr>
          <w:rFonts w:eastAsia="Times New Roman"/>
        </w:rPr>
        <w:t xml:space="preserve"> Todėl ši pareiga tenka teismui, kuris priimdamas sprendimą negali remtis vien tik kaltinančiais duomenimis. Be abejo, kaltinamasis gali pats užimti aktyvią gynybos poziciją ir aktyviai dalyvauti įrodinėjimo procese. Tačiau dalyvavimas įrodinėjime yra kaltinamojo teisė, o ne pareiga, todėl gali būti įgyvendinamas ir neveikimu („pasyvusis įrodinėjimas“). Kaltinamasis turi teisę išsaugoti absoliutų pasyvumą – nedalyvauti įrodinėjimo procese ir neatsakyti į jam reiškiamą kaltinimą. </w:t>
      </w:r>
      <w:r w:rsidRPr="007E32DD">
        <w:rPr>
          <w:vertAlign w:val="superscript"/>
        </w:rPr>
        <w:footnoteReference w:id="714"/>
      </w:r>
    </w:p>
    <w:p w:rsidR="00BF2E33" w:rsidRPr="007E32DD" w:rsidRDefault="007E32DD" w:rsidP="00BF2E33">
      <w:pPr>
        <w:spacing w:line="360" w:lineRule="auto"/>
        <w:ind w:firstLine="1080"/>
        <w:jc w:val="both"/>
        <w:rPr>
          <w:rFonts w:eastAsia="Times New Roman"/>
        </w:rPr>
      </w:pPr>
      <w:r w:rsidRPr="007E32DD">
        <w:rPr>
          <w:rFonts w:eastAsia="Times New Roman"/>
        </w:rPr>
        <w:t xml:space="preserve">Privačiam kaltintojui tenkanti </w:t>
      </w:r>
      <w:r w:rsidRPr="007E32DD">
        <w:rPr>
          <w:rFonts w:eastAsia="Times New Roman"/>
          <w:i/>
        </w:rPr>
        <w:t xml:space="preserve">onus probandi </w:t>
      </w:r>
      <w:r w:rsidRPr="007E32DD">
        <w:rPr>
          <w:rFonts w:eastAsia="Times New Roman"/>
        </w:rPr>
        <w:t xml:space="preserve">yra vienas iš svarbių privataus kaltinimo proceso ypatumų. </w:t>
      </w:r>
      <w:r w:rsidRPr="007E32DD">
        <w:rPr>
          <w:vertAlign w:val="superscript"/>
        </w:rPr>
        <w:footnoteReference w:id="715"/>
      </w:r>
      <w:r w:rsidR="008E0379">
        <w:rPr>
          <w:rFonts w:eastAsia="Times New Roman"/>
        </w:rPr>
        <w:t xml:space="preserve"> </w:t>
      </w:r>
      <w:r w:rsidR="00BF2E33" w:rsidRPr="007E32DD">
        <w:rPr>
          <w:rFonts w:eastAsia="Times New Roman"/>
        </w:rPr>
        <w:t xml:space="preserve">Nukentėjusysis privataus kaltinimo procese kaltinimo funkciją vykdo savarankiškai, tačiau, kai kurių mokslininkų nuomone, nukentėjusysis nei intelektualiai, nei materialiai neišgali nešti įrodinėjimo naštos. </w:t>
      </w:r>
      <w:r w:rsidR="00BF2E33" w:rsidRPr="007E32DD">
        <w:rPr>
          <w:vertAlign w:val="superscript"/>
        </w:rPr>
        <w:footnoteReference w:id="716"/>
      </w:r>
      <w:r w:rsidR="00BF2E33" w:rsidRPr="007E32DD">
        <w:rPr>
          <w:rFonts w:eastAsia="Times New Roman"/>
        </w:rPr>
        <w:t xml:space="preserve"> Pirmiausia, nukentėjusiajam nesuteikti įgaliojimai, būtini efektyviai įrodomosios informacijos rinkimo veiklai. Be to, tam reikalingi materialiniai ir organizaciniai ištekliai. </w:t>
      </w:r>
    </w:p>
    <w:p w:rsidR="007E32DD" w:rsidRPr="007E32DD" w:rsidRDefault="007E32DD" w:rsidP="007E32DD">
      <w:pPr>
        <w:spacing w:line="360" w:lineRule="auto"/>
        <w:ind w:firstLine="1080"/>
        <w:jc w:val="both"/>
        <w:rPr>
          <w:rFonts w:eastAsia="Times New Roman"/>
        </w:rPr>
      </w:pPr>
      <w:r w:rsidRPr="007E32DD">
        <w:t xml:space="preserve">Privataus kaltinimo procese galioja ne objektyvios tiesos nustatymo, o kaltinimo įrodymo principas. </w:t>
      </w:r>
      <w:r w:rsidRPr="007E32DD">
        <w:rPr>
          <w:vertAlign w:val="superscript"/>
        </w:rPr>
        <w:footnoteReference w:id="717"/>
      </w:r>
      <w:r w:rsidR="008E0379">
        <w:t xml:space="preserve"> </w:t>
      </w:r>
      <w:r w:rsidRPr="007E32DD">
        <w:rPr>
          <w:rFonts w:eastAsia="Times New Roman"/>
        </w:rPr>
        <w:t xml:space="preserve">Privatus kaltintojas privalo įrodyti savo iškeltų kaltinamųjų teiginių pagrįstumą, todėl </w:t>
      </w:r>
      <w:r w:rsidR="007176E6">
        <w:rPr>
          <w:rFonts w:eastAsia="Times New Roman"/>
        </w:rPr>
        <w:t xml:space="preserve">jis </w:t>
      </w:r>
      <w:r w:rsidRPr="007E32DD">
        <w:rPr>
          <w:rFonts w:eastAsia="Times New Roman"/>
        </w:rPr>
        <w:t xml:space="preserve">įrodinėja </w:t>
      </w:r>
      <w:r w:rsidR="007176E6">
        <w:rPr>
          <w:rFonts w:eastAsia="Times New Roman"/>
        </w:rPr>
        <w:t>savo suvoktą</w:t>
      </w:r>
      <w:r w:rsidRPr="007E32DD">
        <w:rPr>
          <w:rFonts w:eastAsia="Times New Roman"/>
        </w:rPr>
        <w:t>, o ne objektyvi</w:t>
      </w:r>
      <w:r w:rsidR="007176E6">
        <w:rPr>
          <w:rFonts w:eastAsia="Times New Roman"/>
        </w:rPr>
        <w:t>ą</w:t>
      </w:r>
      <w:r w:rsidRPr="007E32DD">
        <w:rPr>
          <w:rFonts w:eastAsia="Times New Roman"/>
        </w:rPr>
        <w:t xml:space="preserve"> ties</w:t>
      </w:r>
      <w:r w:rsidR="007176E6">
        <w:rPr>
          <w:rFonts w:eastAsia="Times New Roman"/>
        </w:rPr>
        <w:t>ą</w:t>
      </w:r>
      <w:r w:rsidRPr="007E32DD">
        <w:rPr>
          <w:rFonts w:eastAsia="Times New Roman"/>
        </w:rPr>
        <w:t xml:space="preserve">. Pažinimo procesas neatsiejamas nuo įvykio aplinkybes tiriančio individo asmeninių savybių, turimų žinių, patirties, </w:t>
      </w:r>
      <w:r w:rsidR="008E0379">
        <w:rPr>
          <w:rFonts w:eastAsia="Times New Roman"/>
        </w:rPr>
        <w:t>kuri</w:t>
      </w:r>
      <w:r w:rsidRPr="007E32DD">
        <w:rPr>
          <w:rFonts w:eastAsia="Times New Roman"/>
        </w:rPr>
        <w:t xml:space="preserve"> turi </w:t>
      </w:r>
      <w:r w:rsidRPr="007E32DD">
        <w:rPr>
          <w:rFonts w:eastAsia="Times New Roman"/>
        </w:rPr>
        <w:lastRenderedPageBreak/>
        <w:t>didžiulės įtakos suvokiant tikrovę, t.y.</w:t>
      </w:r>
      <w:r w:rsidR="008E0379">
        <w:rPr>
          <w:rFonts w:eastAsia="Times New Roman"/>
        </w:rPr>
        <w:t xml:space="preserve"> jis</w:t>
      </w:r>
      <w:r w:rsidRPr="007E32DD">
        <w:rPr>
          <w:rFonts w:eastAsia="Times New Roman"/>
        </w:rPr>
        <w:t xml:space="preserve"> gana subjektyvus. </w:t>
      </w:r>
      <w:r w:rsidRPr="007E32DD">
        <w:rPr>
          <w:vertAlign w:val="superscript"/>
        </w:rPr>
        <w:footnoteReference w:id="718"/>
      </w:r>
      <w:r w:rsidR="008E0379">
        <w:rPr>
          <w:rFonts w:eastAsia="Times New Roman"/>
        </w:rPr>
        <w:t xml:space="preserve"> </w:t>
      </w:r>
      <w:r w:rsidRPr="007E32DD">
        <w:t>Privataus kaltintojo įrodinėjimo tikslas yra savo kaltinamosios pretenzijos kaltinamajam pagrįstumo įrodymas, kitaip tariant, „savo tiesos“ ir žalos jam įrodymas. Skirtingai nuo i</w:t>
      </w:r>
      <w:r w:rsidRPr="007E32DD">
        <w:rPr>
          <w:rFonts w:eastAsia="Times New Roman"/>
        </w:rPr>
        <w:t xml:space="preserve">kiteisminio tyrimo pareigūno, prokuroro ir teismo pareigos siekti, kad būtų išaiškintos visos bylai reikšmingos aplinkybės, nustatinėti tiek asmenį kaltinančius, tiek teisinančius duomenis, t. y. nustatyti tiesą byloje, privatus kaltintojas siekia apginti savo privatų interesą, kuris nebūtinai sutampa su objektyvios tiesos nustatymu baudžiamojoje byloje. </w:t>
      </w:r>
      <w:r w:rsidRPr="007E32DD">
        <w:t xml:space="preserve">Todėl privataus kaltinimo procese pakanka nustatyti santykinę (formalią) tiesą, o teismo sprendimas vertinamas kaip formaliai teisingas, kai juo yra patenkintos abi šalys. </w:t>
      </w:r>
      <w:r w:rsidRPr="007E32DD">
        <w:rPr>
          <w:vertAlign w:val="superscript"/>
        </w:rPr>
        <w:footnoteReference w:id="719"/>
      </w:r>
      <w:r w:rsidR="0071671A">
        <w:t xml:space="preserve"> </w:t>
      </w:r>
    </w:p>
    <w:p w:rsidR="007E32DD" w:rsidRPr="007E32DD" w:rsidRDefault="000E307C" w:rsidP="007E32DD">
      <w:pPr>
        <w:spacing w:line="360" w:lineRule="auto"/>
        <w:ind w:firstLine="1080"/>
        <w:jc w:val="both"/>
        <w:rPr>
          <w:rFonts w:eastAsia="Times New Roman"/>
        </w:rPr>
      </w:pPr>
      <w:r>
        <w:rPr>
          <w:rFonts w:eastAsia="Times New Roman"/>
        </w:rPr>
        <w:t>Teisinis privataus kaltinimo bylų proceso reg</w:t>
      </w:r>
      <w:r w:rsidR="008454E2">
        <w:rPr>
          <w:rFonts w:eastAsia="Times New Roman"/>
        </w:rPr>
        <w:t>u</w:t>
      </w:r>
      <w:r>
        <w:rPr>
          <w:rFonts w:eastAsia="Times New Roman"/>
        </w:rPr>
        <w:t>l</w:t>
      </w:r>
      <w:r w:rsidR="008454E2">
        <w:rPr>
          <w:rFonts w:eastAsia="Times New Roman"/>
        </w:rPr>
        <w:t>ia</w:t>
      </w:r>
      <w:r>
        <w:rPr>
          <w:rFonts w:eastAsia="Times New Roman"/>
        </w:rPr>
        <w:t>vima</w:t>
      </w:r>
      <w:r w:rsidR="007E32DD" w:rsidRPr="007E32DD">
        <w:rPr>
          <w:rFonts w:eastAsia="Times New Roman"/>
        </w:rPr>
        <w:t>s nesuteikia galimybės priv</w:t>
      </w:r>
      <w:r>
        <w:rPr>
          <w:rFonts w:eastAsia="Times New Roman"/>
        </w:rPr>
        <w:t>ačiam kaltintojui užimti pasyvios pozicijos</w:t>
      </w:r>
      <w:r w:rsidR="007E32DD" w:rsidRPr="007E32DD">
        <w:rPr>
          <w:rFonts w:eastAsia="Times New Roman"/>
        </w:rPr>
        <w:t xml:space="preserve">: jis arba privalo aktyviai įrodinėti kaltinimą, arba jo atsisakyti. Privatus kaltintojas yra suinteresuotas bylos baigtimi, todėl, siekdamas apginti savo interesus, yra saistomas būtinumo įrodyti savo reikalavimų pagrįstumą. Pasyvi nukentėjusiojo pozicija sukelia teisinius padarinius, t.y. lemia proceso pabaigą, tačiau tai nėra procesinė sankcija, kadangi sankcijų taikymas pažeistų dispozityvumo principą. </w:t>
      </w:r>
      <w:r w:rsidR="007E32DD" w:rsidRPr="007E32DD">
        <w:rPr>
          <w:vertAlign w:val="superscript"/>
        </w:rPr>
        <w:footnoteReference w:id="720"/>
      </w:r>
    </w:p>
    <w:p w:rsidR="007E32DD" w:rsidRPr="007E32DD" w:rsidRDefault="007E32DD" w:rsidP="007E32DD">
      <w:pPr>
        <w:spacing w:line="360" w:lineRule="auto"/>
        <w:ind w:firstLine="1080"/>
        <w:jc w:val="both"/>
        <w:rPr>
          <w:rFonts w:eastAsia="Times New Roman"/>
        </w:rPr>
      </w:pPr>
      <w:r w:rsidRPr="007E32DD">
        <w:rPr>
          <w:rFonts w:eastAsia="Times New Roman"/>
        </w:rPr>
        <w:t xml:space="preserve">Šalių teisės įrodinėti turinį sudaro teisė teigti, t.y. teisė remtis teisiškai reikšmingomis aplinkybėmis, ir teisė prašyti ištirti įrodymus, juos išreikalauti ir užtikrinti, dalyvauti tiriant įrodymus, teikti teismui nuomonę dėl jų vertinimo ir juridinių faktų (ne)pakankamumo. </w:t>
      </w:r>
      <w:r w:rsidRPr="007E32DD">
        <w:rPr>
          <w:vertAlign w:val="superscript"/>
        </w:rPr>
        <w:footnoteReference w:id="721"/>
      </w:r>
      <w:r w:rsidRPr="007E32DD">
        <w:rPr>
          <w:rFonts w:eastAsia="Times New Roman"/>
        </w:rPr>
        <w:t xml:space="preserve"> Privataus kaltintojo teisė teigti tiesiogiai sietina su jo galimybėmis savarankiškai rinkti įrodymus.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Privataus kaltintojo vykdoma įrodinėjimo veikla pasižymi specifika, susijusia su tuo, kad privatus kaltintojas yra fizinis asmuo. Privataus kaltintojo statusas nesuteikia jokių papildomų įgalinimų </w:t>
      </w:r>
      <w:r w:rsidR="00ED45F0">
        <w:rPr>
          <w:rFonts w:eastAsia="Times New Roman"/>
        </w:rPr>
        <w:t>renkant įrodymus. BPK nurodyti trys</w:t>
      </w:r>
      <w:r w:rsidRPr="007E32DD">
        <w:rPr>
          <w:rFonts w:eastAsia="Times New Roman"/>
        </w:rPr>
        <w:t xml:space="preserve"> galimi įrodymų rinkimo būdai: atliekant procesinius veiksmus, taikant procesines prievartos priemones ir išreikalaujant bei pateikiant daiktus ir dokumentus. Privatus kaltintojas, neturėdamas įgaliojimų atlikti procesinius veiksmus ir taikyti procesines prievartos priemones, savarankiškai </w:t>
      </w:r>
      <w:r w:rsidR="00D569E9">
        <w:rPr>
          <w:rFonts w:eastAsia="Times New Roman"/>
        </w:rPr>
        <w:t xml:space="preserve">(be atstovo pagal įgaliojimą pagalbos) </w:t>
      </w:r>
      <w:r w:rsidRPr="007E32DD">
        <w:rPr>
          <w:rFonts w:eastAsia="Times New Roman"/>
        </w:rPr>
        <w:t xml:space="preserve">gali gauti įrodymus tik juos pateikdamas ir tam tikrais atvejais – išreikalaudamas, t.y. tik tuos įrodymus, kurie yra jo dispozicijoje arba kuriems gauti nereikalingi specialaus subjekto įgalinimai (bendro pobūdžio </w:t>
      </w:r>
      <w:r w:rsidRPr="007E32DD">
        <w:rPr>
          <w:rFonts w:eastAsia="Times New Roman"/>
        </w:rPr>
        <w:lastRenderedPageBreak/>
        <w:t>informacija, atsakymai į paklausimus dėl viešai skelbiamų duomenų).</w:t>
      </w:r>
      <w:r w:rsidR="008454E2">
        <w:rPr>
          <w:rFonts w:eastAsia="Times New Roman"/>
        </w:rPr>
        <w:t xml:space="preserve"> </w:t>
      </w:r>
      <w:r w:rsidR="008454E2">
        <w:rPr>
          <w:rStyle w:val="Puslapioinaosnuoroda"/>
          <w:rFonts w:eastAsia="Times New Roman"/>
        </w:rPr>
        <w:footnoteReference w:id="722"/>
      </w:r>
      <w:r w:rsidRPr="007E32DD">
        <w:rPr>
          <w:rFonts w:eastAsia="Times New Roman"/>
        </w:rPr>
        <w:t xml:space="preserve"> </w:t>
      </w:r>
      <w:r w:rsidR="00BB1A10">
        <w:rPr>
          <w:rFonts w:eastAsia="Times New Roman"/>
        </w:rPr>
        <w:t>Teisė teikti duomenis gali būti ribojama tik vieninteliu aspektu – jei jie yra akivaizdžia</w:t>
      </w:r>
      <w:r w:rsidR="004C51ED">
        <w:rPr>
          <w:rFonts w:eastAsia="Times New Roman"/>
        </w:rPr>
        <w:t xml:space="preserve">i nesusiję su nagrinėjama byla, taigi vien tik ta aplinkybė, kad privatus baudžiamojo proceso dalyvis pateikia neteisėtomis priemonėmis surinktus duomenis, nesuteikia teisės atsisakyti juos priimti. </w:t>
      </w:r>
      <w:r w:rsidR="00BB1A10">
        <w:rPr>
          <w:rStyle w:val="Puslapioinaosnuoroda"/>
          <w:rFonts w:eastAsia="Times New Roman"/>
        </w:rPr>
        <w:footnoteReference w:id="723"/>
      </w:r>
      <w:r w:rsidR="00E40A54">
        <w:rPr>
          <w:rFonts w:eastAsia="Times New Roman"/>
        </w:rPr>
        <w:t xml:space="preserve"> </w:t>
      </w:r>
      <w:r w:rsidRPr="007E32DD">
        <w:rPr>
          <w:rFonts w:eastAsia="Times New Roman"/>
        </w:rPr>
        <w:t>Nukentėjusiojo teisė teikti įrodymus teismui neprilygintina teisei savarankiškai rinkti įrodymus</w:t>
      </w:r>
      <w:r w:rsidR="00D569E9">
        <w:rPr>
          <w:rFonts w:eastAsia="Times New Roman"/>
        </w:rPr>
        <w:t>,</w:t>
      </w:r>
      <w:r w:rsidR="00ED45F0">
        <w:rPr>
          <w:rFonts w:eastAsia="Times New Roman"/>
        </w:rPr>
        <w:t xml:space="preserve"> </w:t>
      </w:r>
      <w:r w:rsidRPr="007E32DD">
        <w:rPr>
          <w:rFonts w:eastAsia="Times New Roman"/>
          <w:vertAlign w:val="superscript"/>
        </w:rPr>
        <w:footnoteReference w:id="724"/>
      </w:r>
      <w:r w:rsidR="00E40A54">
        <w:rPr>
          <w:rFonts w:eastAsia="Times New Roman"/>
        </w:rPr>
        <w:t xml:space="preserve"> </w:t>
      </w:r>
      <w:r w:rsidR="00C907A4">
        <w:rPr>
          <w:rFonts w:eastAsia="Times New Roman"/>
        </w:rPr>
        <w:t xml:space="preserve">todėl </w:t>
      </w:r>
      <w:r w:rsidR="00C907A4" w:rsidRPr="007E32DD">
        <w:rPr>
          <w:rFonts w:eastAsia="Times New Roman"/>
        </w:rPr>
        <w:t xml:space="preserve">darytina išvada, kad nukentėjusysis, būdamas pagrindine privataus kaltinimo bylų proceso figūra, neturi galimybės atlikti būtinų veiksmų, </w:t>
      </w:r>
      <w:r w:rsidR="00E40A54">
        <w:rPr>
          <w:rFonts w:eastAsia="Times New Roman"/>
        </w:rPr>
        <w:t>kurių reikia įrodymams išreikalauti, gauti ir patvirtinti</w:t>
      </w:r>
      <w:r w:rsidR="00C907A4" w:rsidRPr="007E32DD">
        <w:rPr>
          <w:rFonts w:eastAsia="Times New Roman"/>
        </w:rPr>
        <w:t xml:space="preserve">. </w:t>
      </w:r>
      <w:r w:rsidR="008454E2">
        <w:rPr>
          <w:rFonts w:eastAsia="Times New Roman"/>
        </w:rPr>
        <w:t>Tokia</w:t>
      </w:r>
      <w:r w:rsidRPr="007E32DD">
        <w:rPr>
          <w:rFonts w:eastAsia="Times New Roman"/>
        </w:rPr>
        <w:t xml:space="preserve"> nukentėjusiojo įgaliojimų reglamentacija suderinama su kontinentinės teisės sistemos tradicija, kuriai būdingas nepasitikėjimas privačia iniciatyva ir prioritetų teikimas valstybės institucijoms, tačiau prieštarauja rungtyninio proceso koncepcijai.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Kita įrodinėjimo teisės turinį sudaranti teisė reikšti prašymus teismui išreikalauti įrodymus, kurių jis pats savarankiškai negali gauti, </w:t>
      </w:r>
      <w:r w:rsidRPr="007E32DD">
        <w:rPr>
          <w:rFonts w:eastAsia="Times New Roman"/>
          <w:vertAlign w:val="superscript"/>
        </w:rPr>
        <w:footnoteReference w:id="725"/>
      </w:r>
      <w:r w:rsidRPr="007E32DD">
        <w:rPr>
          <w:rFonts w:eastAsia="Times New Roman"/>
        </w:rPr>
        <w:t xml:space="preserve"> nurodant informacijos šaltinius iš dalies kompensuoja privataus kaltintojo ribotas galimybes savarankiškai rinkti įrodymus. Teisės aktai nesuteikia teisės asmenims išreikalauti duomenų iš kitų fizinių ar juridinių asmenų, valstybės institucijų savo interesų gynimo tikslais, norint ją pateikti teismui kaip medžiagą, pagrindžiančią reikšmingas privataus kaltinimo bylai aplinkybes. Privataus kaltintojo teisė prašyti teismo išreikalauti duomenis atitinka teismo pareigą aktyviai dalyvauti įrodinėjimo procese</w:t>
      </w:r>
      <w:r w:rsidR="00DE43F9">
        <w:rPr>
          <w:rFonts w:eastAsia="Times New Roman"/>
        </w:rPr>
        <w:t xml:space="preserve"> (jei procese nedalyvauja atstovas pagal įgaliojimą, teikiantis teisinę pagalbą)</w:t>
      </w:r>
      <w:r w:rsidRPr="007E32DD">
        <w:rPr>
          <w:rFonts w:eastAsia="Times New Roman"/>
        </w:rPr>
        <w:t>. Kad teismo atsisakymas padėti rinkti įrodymus sąlygoja nukentėjusiojo negalimumą vykdyti kaltinimo funkciją, pripažįstama ir teismų praktikoje:</w:t>
      </w:r>
      <w:r w:rsidRPr="007E32DD">
        <w:rPr>
          <w:rFonts w:eastAsia="Times New Roman"/>
          <w:i/>
        </w:rPr>
        <w:t xml:space="preserve"> </w:t>
      </w:r>
      <w:r w:rsidR="00ED45F0">
        <w:rPr>
          <w:rFonts w:eastAsia="Times New Roman"/>
          <w:i/>
        </w:rPr>
        <w:t>„</w:t>
      </w:r>
      <w:r w:rsidRPr="007E32DD">
        <w:rPr>
          <w:rFonts w:eastAsia="Times New Roman"/>
          <w:i/>
        </w:rPr>
        <w:t>apylinkės teismas, priėmęs nukentėjusiosios skundą, turėjo tenkinti jos prašymą ir išreikalauti [...] tyrimo medžiagą, reikšmingą baudžiamosios bylos nagrinėjimui</w:t>
      </w:r>
      <w:r w:rsidR="00ED45F0">
        <w:rPr>
          <w:rFonts w:eastAsia="Times New Roman"/>
          <w:i/>
        </w:rPr>
        <w:t>“</w:t>
      </w:r>
      <w:r w:rsidRPr="007E32DD">
        <w:rPr>
          <w:rFonts w:eastAsia="Times New Roman"/>
        </w:rPr>
        <w:t xml:space="preserve">. </w:t>
      </w:r>
      <w:r w:rsidRPr="007E32DD">
        <w:rPr>
          <w:rFonts w:eastAsia="Times New Roman"/>
          <w:vertAlign w:val="superscript"/>
        </w:rPr>
        <w:footnoteReference w:id="726"/>
      </w:r>
      <w:r w:rsidRPr="007E32DD">
        <w:rPr>
          <w:rFonts w:eastAsia="Times New Roman"/>
        </w:rPr>
        <w:t xml:space="preserve"> Privatus kaltintojas gali ieškoti tik duomenų šaltinių, o įgaliojimus ir pareigą atlikti procesinį veiksmą turi tik </w:t>
      </w:r>
      <w:r w:rsidRPr="007E32DD">
        <w:rPr>
          <w:rFonts w:eastAsia="Times New Roman"/>
        </w:rPr>
        <w:lastRenderedPageBreak/>
        <w:t>teismas. Šiuo aspektu reikšminga ne tik teismo pareiga bendradarbiauti įrodinėjimo procese, bet ir teisėto atstovo vaidmuo. Teismų praktikoje sutinkama pozicija, kad tiek teismas, tiek teisėtas atstovas turi pareigą aktyviai dalyvauti įrodinėjimo procese: „</w:t>
      </w:r>
      <w:r w:rsidRPr="007E32DD">
        <w:rPr>
          <w:rFonts w:eastAsia="Times New Roman"/>
          <w:i/>
        </w:rPr>
        <w:t>Tai, kad nukentėjusioji nepateikė teismui [...] video įrašo, negali būti pripažinta esminiu skundo trūkumu, nes teismas, tuo atveju, jei skundas bus priimtas nagrinėti, šį video įrašą gali išreikalauti iš minėtos visuomenės informavimo priemonės administracijos. Pažymėtina, kad [...] paskirtas advokatu, teikiančiu S. Š. antrinę teisinę pagalbą, turėjo teisę ir pareigą išreikalauti [...] video įrašą bei padėti nukentėjusiajai sukonkretinti savo skundą.„</w:t>
      </w:r>
      <w:r w:rsidRPr="007E32DD">
        <w:rPr>
          <w:rFonts w:eastAsia="Times New Roman"/>
          <w:vertAlign w:val="superscript"/>
        </w:rPr>
        <w:footnoteReference w:id="727"/>
      </w:r>
    </w:p>
    <w:p w:rsidR="007E32DD" w:rsidRPr="007E32DD" w:rsidRDefault="007E32DD" w:rsidP="007E32DD">
      <w:pPr>
        <w:spacing w:line="360" w:lineRule="auto"/>
        <w:ind w:firstLine="1080"/>
        <w:jc w:val="both"/>
        <w:rPr>
          <w:rFonts w:eastAsia="Times New Roman"/>
        </w:rPr>
      </w:pPr>
      <w:r w:rsidRPr="007E32DD">
        <w:rPr>
          <w:rFonts w:eastAsia="Times New Roman"/>
        </w:rPr>
        <w:t xml:space="preserve">Privataus kaltintojo įrodinėjimo dalyko turinys nesutampa su valstybinio kaltintojo įrodinėjimo dalyko turiniu. </w:t>
      </w:r>
      <w:r w:rsidR="00FC313B" w:rsidRPr="007E32DD">
        <w:rPr>
          <w:rFonts w:eastAsia="Times New Roman"/>
          <w:vertAlign w:val="superscript"/>
        </w:rPr>
        <w:footnoteReference w:id="728"/>
      </w:r>
      <w:r w:rsidRPr="007E32DD">
        <w:rPr>
          <w:rFonts w:eastAsia="Times New Roman"/>
        </w:rPr>
        <w:t xml:space="preserve"> Nekelia abejonių tai, kad privataus kaltintojo įrodinėjimo veikla pirmiausia nukreipta į jo baudžiamojo reikalavimo (</w:t>
      </w:r>
      <w:r w:rsidR="00FC313B">
        <w:rPr>
          <w:rFonts w:eastAsia="Times New Roman"/>
        </w:rPr>
        <w:t xml:space="preserve">nusikalstamos veikos sudėties elementų, </w:t>
      </w:r>
      <w:r w:rsidRPr="007E32DD">
        <w:rPr>
          <w:rFonts w:eastAsia="Times New Roman"/>
        </w:rPr>
        <w:t>kaltinamojo kaltumo ir žalos) įrodinėjimą. Šiuo aspektu privataus kaltintojo veikla vienpusiška. Privataus kaltintojo įrodinėjimo tikslas yra ne visapusiškos tiesos byloje nustatymas, o savo interesų gynimas. To</w:t>
      </w:r>
      <w:r w:rsidR="00FC313B">
        <w:rPr>
          <w:rFonts w:eastAsia="Times New Roman"/>
        </w:rPr>
        <w:t>dėl</w:t>
      </w:r>
      <w:r w:rsidRPr="007E32DD">
        <w:rPr>
          <w:rFonts w:eastAsia="Times New Roman"/>
        </w:rPr>
        <w:t xml:space="preserve"> privataus kaltintojo įrodinėjimo veiklos dalykas daro įtaką kitų įrodinėjimo subjektų įrodinėjimo veiklai ir sąlygoja gynėjo ir teismo aktyvumą įrodinėjant</w:t>
      </w:r>
      <w:r w:rsidR="00FC313B">
        <w:rPr>
          <w:rFonts w:eastAsia="Times New Roman"/>
        </w:rPr>
        <w:t xml:space="preserve"> tas aplinkybes, kurių neturi suinteresuotumo įrodinėti privatus kaltintojas</w:t>
      </w:r>
      <w:r w:rsidRPr="007E32DD">
        <w:rPr>
          <w:rFonts w:eastAsia="Times New Roman"/>
        </w:rPr>
        <w:t>. T</w:t>
      </w:r>
      <w:r w:rsidR="00FC313B">
        <w:rPr>
          <w:rFonts w:eastAsia="Times New Roman"/>
        </w:rPr>
        <w:t>aigi</w:t>
      </w:r>
      <w:r w:rsidRPr="007E32DD">
        <w:rPr>
          <w:rFonts w:eastAsia="Times New Roman"/>
        </w:rPr>
        <w:t xml:space="preserve"> atskirų įrodinėjimo dalyko elementų aspektu privataus kaltinimo bylų procese proceso subjektų įrodinėjimo veikla diferencijuojama. Kaltinamąjį teisinančių ir jo asmenybę apibūdinančių duomenų rinkimas, aplinkybių, šalinančių veikos baudžiamumą bei švelninančių ar sunkinančių baudžiamąją atsakomybę, pateikimas privataus kaltinimo procese yra teismo pareiga, kadangi</w:t>
      </w:r>
      <w:r w:rsidR="00E40A54">
        <w:rPr>
          <w:rFonts w:eastAsia="Times New Roman"/>
        </w:rPr>
        <w:t>,</w:t>
      </w:r>
      <w:r w:rsidRPr="007E32DD">
        <w:rPr>
          <w:rFonts w:eastAsia="Times New Roman"/>
        </w:rPr>
        <w:t xml:space="preserve"> remiantis privataus kaltintojo pateiktais tendencingais, vien tik kaltinimą pagrindžiančiais duomenimis, negalimas teisingo sprendimo priėmimas. Šie duomenys sietini ne su privataus kaltintojo ginamu privačiu interesu, o su kaltinamojo interesais. </w:t>
      </w:r>
      <w:r w:rsidRPr="007E32DD">
        <w:rPr>
          <w:rFonts w:eastAsia="Times New Roman"/>
          <w:vertAlign w:val="superscript"/>
        </w:rPr>
        <w:footnoteReference w:id="729"/>
      </w:r>
      <w:r w:rsidRPr="007E32DD">
        <w:rPr>
          <w:rFonts w:eastAsia="Times New Roman"/>
        </w:rPr>
        <w:t xml:space="preserve"> Nesant šioje proceso formoje ikiteisminio tyrimo stadijos, duomenis apie reikšmingas bylos išsprendimui aplinkybes, susijusias su teisingo sprendimo byloje priėmimu, ypač tas, kurios lemia bausmės paskyrimo kaltinamajam individualizavimą, surinkti iniciatyvos turi imtis teismas. Todėl darytina išvada, kad šios aplinkybės nepriskirtinos prie privataus kaltintojo vykdomo įrodinėjimo dalyko. </w:t>
      </w:r>
    </w:p>
    <w:p w:rsidR="007E32DD" w:rsidRPr="007E32DD" w:rsidRDefault="007E32DD" w:rsidP="007E32DD">
      <w:pPr>
        <w:spacing w:line="360" w:lineRule="auto"/>
        <w:ind w:firstLine="1080"/>
        <w:jc w:val="both"/>
        <w:rPr>
          <w:rFonts w:eastAsia="Times New Roman"/>
        </w:rPr>
      </w:pPr>
      <w:r w:rsidRPr="007E32DD">
        <w:rPr>
          <w:rFonts w:eastAsia="Times New Roman"/>
        </w:rPr>
        <w:lastRenderedPageBreak/>
        <w:t xml:space="preserve">Vertinant kaltinamojo ir privataus kaltintojo statusą įrodinėjimo procese, galima daryti išvadą, kad jie yra lygiateisiai įrodinėjimo subjektai ne tik </w:t>
      </w:r>
      <w:r w:rsidRPr="007E32DD">
        <w:rPr>
          <w:rFonts w:eastAsia="Times New Roman"/>
          <w:i/>
        </w:rPr>
        <w:t>de jure</w:t>
      </w:r>
      <w:r w:rsidRPr="007E32DD">
        <w:rPr>
          <w:rFonts w:eastAsia="Times New Roman"/>
        </w:rPr>
        <w:t xml:space="preserve">, bet ir </w:t>
      </w:r>
      <w:r w:rsidRPr="007E32DD">
        <w:rPr>
          <w:rFonts w:eastAsia="Times New Roman"/>
          <w:i/>
        </w:rPr>
        <w:t>de facto</w:t>
      </w:r>
      <w:r w:rsidRPr="007E32DD">
        <w:rPr>
          <w:rFonts w:eastAsia="Times New Roman"/>
        </w:rPr>
        <w:t>. Šiuo aspektu privataus kaltinimo proceso forma savo esme yra artima klasikiniam rungtyniniam procesui. Lyginant su bendruoju procesu, kuriame prokuroro specialus išsilavinimas ir praktinė patirtis, procesinės teis</w:t>
      </w:r>
      <w:r w:rsidR="00B87FEA">
        <w:rPr>
          <w:rFonts w:eastAsia="Times New Roman"/>
        </w:rPr>
        <w:t>inės ir faktinės galimybės paveik</w:t>
      </w:r>
      <w:r w:rsidRPr="007E32DD">
        <w:rPr>
          <w:rFonts w:eastAsia="Times New Roman"/>
        </w:rPr>
        <w:t xml:space="preserve">ti proceso eigą ir rezultatus lemia funkcinę kaltinimo ir gynybos šalių nelygybę, </w:t>
      </w:r>
      <w:r w:rsidRPr="007E32DD">
        <w:rPr>
          <w:vertAlign w:val="superscript"/>
        </w:rPr>
        <w:footnoteReference w:id="730"/>
      </w:r>
      <w:r w:rsidRPr="007E32DD">
        <w:rPr>
          <w:rFonts w:eastAsia="Times New Roman"/>
        </w:rPr>
        <w:t xml:space="preserve"> privataus kaltinimo procese nei viena iš šalių neturi pranašumo prieš kitą, </w:t>
      </w:r>
      <w:r w:rsidR="00E40A54">
        <w:rPr>
          <w:rFonts w:eastAsia="Times New Roman"/>
        </w:rPr>
        <w:t>joms</w:t>
      </w:r>
      <w:r w:rsidRPr="007E32DD">
        <w:rPr>
          <w:rFonts w:eastAsia="Times New Roman"/>
        </w:rPr>
        <w:t xml:space="preserve"> yra suteiktos vienodos teisės ir priemonės įrodinėjimo procese. Šalių lygiateisiškumas pasireiškia privačiam kaltinimo procese ir tuo, kad abi pusės pateikia teismui įrodomąją informaciją</w:t>
      </w:r>
      <w:r w:rsidR="00DE43F9">
        <w:rPr>
          <w:rFonts w:eastAsia="Times New Roman"/>
        </w:rPr>
        <w:t xml:space="preserve"> teisminio nagrinėjimo metu</w:t>
      </w:r>
      <w:r w:rsidR="00E40A54">
        <w:rPr>
          <w:rFonts w:eastAsia="Times New Roman"/>
        </w:rPr>
        <w:t>,</w:t>
      </w:r>
      <w:r w:rsidR="00DE43F9">
        <w:rPr>
          <w:rFonts w:eastAsia="Times New Roman"/>
        </w:rPr>
        <w:t xml:space="preserve"> </w:t>
      </w:r>
      <w:r w:rsidRPr="007E32DD">
        <w:rPr>
          <w:rFonts w:eastAsia="Times New Roman"/>
        </w:rPr>
        <w:t xml:space="preserve">priešingai nei bendrajame procese, kur kaltinančioji pusė teisme pateikia ikiteisminio tyrimo metu surinktus ir užfiksuotus duomenis, todėl gynyba visa apimtimi su šiais duomenimis susipažįsta ir į juos gali atsikirsti tik teisminio nagrinėjimo stadijoje. </w:t>
      </w:r>
      <w:r w:rsidRPr="007E32DD">
        <w:rPr>
          <w:vertAlign w:val="superscript"/>
        </w:rPr>
        <w:footnoteReference w:id="731"/>
      </w:r>
    </w:p>
    <w:p w:rsidR="007E32DD" w:rsidRPr="007E32DD" w:rsidRDefault="007E32DD" w:rsidP="007E32DD">
      <w:pPr>
        <w:spacing w:line="360" w:lineRule="auto"/>
        <w:ind w:firstLine="1080"/>
        <w:jc w:val="both"/>
        <w:rPr>
          <w:rFonts w:eastAsia="Times New Roman"/>
        </w:rPr>
      </w:pPr>
      <w:r w:rsidRPr="007E32DD">
        <w:rPr>
          <w:rFonts w:eastAsia="Times New Roman"/>
        </w:rPr>
        <w:t>Privataus kaltinimo procese, kuriame nėra ikiteisminio tyrimo stadijos, ryškiau nei bendrajame procese iškyla klausimas dėl įgaliojimų suteikimo privatiems asmenims atlikti tam tikrus tyrimo veiksmus ar net savarankišką lygiagretų tyrimą. Privati detektyvinė veikla, kai atliekamas paralelinis įvykio tyrimas, plačiai naudojama bendrosios teisės sistemos šalyse, ypač J</w:t>
      </w:r>
      <w:r w:rsidR="00C907A4">
        <w:rPr>
          <w:rFonts w:eastAsia="Times New Roman"/>
        </w:rPr>
        <w:t>ungtinėse Amerikos Valstijose</w:t>
      </w:r>
      <w:r w:rsidRPr="007E32DD">
        <w:rPr>
          <w:rFonts w:eastAsia="Times New Roman"/>
        </w:rPr>
        <w:t>.</w:t>
      </w:r>
      <w:r w:rsidR="00ED45F0">
        <w:rPr>
          <w:rFonts w:eastAsia="Times New Roman"/>
        </w:rPr>
        <w:t xml:space="preserve"> </w:t>
      </w:r>
      <w:r w:rsidR="00D07FC9">
        <w:rPr>
          <w:rStyle w:val="Puslapioinaosnuoroda"/>
          <w:rFonts w:eastAsia="Times New Roman"/>
        </w:rPr>
        <w:footnoteReference w:id="732"/>
      </w:r>
      <w:r w:rsidRPr="007E32DD">
        <w:rPr>
          <w:rFonts w:eastAsia="Times New Roman"/>
        </w:rPr>
        <w:t xml:space="preserve"> Kai kuriose bendrosios teisės sistemos šalyse yra numatyta galimybė privatiems asmenims atliekant tyrimą naudotis privačių detektyvų paslaugomis.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Ši neprocesinio įrodymų rinkimo forma turi potencialą privataus kaltinimo procese ir kompensuotų įrodinėjimo proceso trūkumus, nesant ikiteisminio tyrimo stadijos. </w:t>
      </w:r>
      <w:r w:rsidRPr="007E32DD">
        <w:rPr>
          <w:rFonts w:eastAsia="Times New Roman"/>
          <w:vertAlign w:val="superscript"/>
        </w:rPr>
        <w:footnoteReference w:id="733"/>
      </w:r>
      <w:r w:rsidRPr="007E32DD">
        <w:rPr>
          <w:rFonts w:eastAsia="Times New Roman"/>
        </w:rPr>
        <w:t xml:space="preserve"> Privataus </w:t>
      </w:r>
      <w:r w:rsidRPr="007E32DD">
        <w:rPr>
          <w:rFonts w:eastAsia="Times New Roman"/>
        </w:rPr>
        <w:lastRenderedPageBreak/>
        <w:t>tyrimo reglamentavimas pagrįstas ir praktiniu reikalingumu. Privatus kaltin</w:t>
      </w:r>
      <w:r w:rsidR="00D13E54">
        <w:rPr>
          <w:rFonts w:eastAsia="Times New Roman"/>
        </w:rPr>
        <w:t>tojas</w:t>
      </w:r>
      <w:r w:rsidRPr="007E32DD">
        <w:rPr>
          <w:rFonts w:eastAsia="Times New Roman"/>
        </w:rPr>
        <w:t>, suvokdamas jam už</w:t>
      </w:r>
      <w:r w:rsidR="00E40A54">
        <w:rPr>
          <w:rFonts w:eastAsia="Times New Roman"/>
        </w:rPr>
        <w:t>krautą</w:t>
      </w:r>
      <w:r w:rsidRPr="007E32DD">
        <w:rPr>
          <w:rFonts w:eastAsia="Times New Roman"/>
        </w:rPr>
        <w:t xml:space="preserve"> įrodinėjimo naštą ir abejodamas savo tikimybe sėkmingai įgyvendinti kaltinimo funkciją, neretai kreipiasi į profesionalius teisininkus teisinės pagalbos. Be to, privati detektyvinė veikla susijusi ne tik su privataus kaltintojo, bet ir su kaltinamojo teise į gynybą, t.y., gynėjo teise atlikti savarankišką, paralelinį valstybės institucijų atliekamam, tyrimą. </w:t>
      </w:r>
    </w:p>
    <w:p w:rsidR="007E32DD" w:rsidRPr="007E32DD" w:rsidRDefault="00D13E54" w:rsidP="007E32DD">
      <w:pPr>
        <w:spacing w:line="360" w:lineRule="auto"/>
        <w:ind w:firstLine="1080"/>
        <w:jc w:val="both"/>
        <w:rPr>
          <w:rFonts w:eastAsia="Times New Roman"/>
        </w:rPr>
      </w:pPr>
      <w:r>
        <w:rPr>
          <w:rFonts w:eastAsia="Times New Roman"/>
        </w:rPr>
        <w:t>Būtinybė</w:t>
      </w:r>
      <w:r w:rsidR="007E32DD" w:rsidRPr="007E32DD">
        <w:rPr>
          <w:rFonts w:eastAsia="Times New Roman"/>
        </w:rPr>
        <w:t xml:space="preserve"> teisiškai </w:t>
      </w:r>
      <w:r>
        <w:rPr>
          <w:rFonts w:eastAsia="Times New Roman"/>
        </w:rPr>
        <w:t>reglamentuo</w:t>
      </w:r>
      <w:r w:rsidR="007E32DD" w:rsidRPr="007E32DD">
        <w:rPr>
          <w:rFonts w:eastAsia="Times New Roman"/>
        </w:rPr>
        <w:t>ti privačią detektyvinę veiklą ne tik analizuojama akademinėse diskusijose</w:t>
      </w:r>
      <w:r w:rsidR="00ED45F0">
        <w:rPr>
          <w:rFonts w:eastAsia="Times New Roman"/>
        </w:rPr>
        <w:t>,</w:t>
      </w:r>
      <w:r w:rsidR="007E32DD" w:rsidRPr="007E32DD">
        <w:rPr>
          <w:rFonts w:eastAsia="Times New Roman"/>
        </w:rPr>
        <w:t xml:space="preserve"> </w:t>
      </w:r>
      <w:r w:rsidR="007E32DD" w:rsidRPr="007E32DD">
        <w:rPr>
          <w:vertAlign w:val="superscript"/>
        </w:rPr>
        <w:footnoteReference w:id="734"/>
      </w:r>
      <w:r w:rsidR="007E32DD" w:rsidRPr="007E32DD">
        <w:rPr>
          <w:rFonts w:eastAsia="Times New Roman"/>
        </w:rPr>
        <w:t xml:space="preserve"> bet </w:t>
      </w:r>
      <w:r>
        <w:rPr>
          <w:rFonts w:eastAsia="Times New Roman"/>
        </w:rPr>
        <w:t xml:space="preserve">iniciatyva </w:t>
      </w:r>
      <w:r w:rsidR="007E32DD" w:rsidRPr="007E32DD">
        <w:rPr>
          <w:rFonts w:eastAsia="Times New Roman"/>
        </w:rPr>
        <w:t>taip pat reiš</w:t>
      </w:r>
      <w:r>
        <w:rPr>
          <w:rFonts w:eastAsia="Times New Roman"/>
        </w:rPr>
        <w:t>kiama ir pozityviojoje teisėje</w:t>
      </w:r>
      <w:r w:rsidR="00ED45F0">
        <w:rPr>
          <w:rFonts w:eastAsia="Times New Roman"/>
        </w:rPr>
        <w:t>.</w:t>
      </w:r>
      <w:r>
        <w:rPr>
          <w:rFonts w:eastAsia="Times New Roman"/>
        </w:rPr>
        <w:t xml:space="preserve"> </w:t>
      </w:r>
      <w:r w:rsidR="007E32DD" w:rsidRPr="007E32DD">
        <w:rPr>
          <w:vertAlign w:val="superscript"/>
        </w:rPr>
        <w:footnoteReference w:id="735"/>
      </w:r>
      <w:r w:rsidR="00E40A54">
        <w:rPr>
          <w:rFonts w:eastAsia="Times New Roman"/>
        </w:rPr>
        <w:t xml:space="preserve"> </w:t>
      </w:r>
      <w:r w:rsidRPr="00A148C0">
        <w:rPr>
          <w:rFonts w:eastAsia="Times New Roman"/>
        </w:rPr>
        <w:t>Privačios detektyvinės veiklos</w:t>
      </w:r>
      <w:r w:rsidR="007E32DD" w:rsidRPr="00A148C0">
        <w:rPr>
          <w:rFonts w:eastAsia="Times New Roman"/>
        </w:rPr>
        <w:t xml:space="preserve"> teisinis reguliavimas privataus kaltinimo proceso kontekste yra reikšmingas ta apimtimi, kuria suteikia papildomų galimybių privačiam kaltintojui vykdyti įrodinėjimo veiklą.</w:t>
      </w:r>
      <w:r w:rsidR="007E32DD" w:rsidRPr="007E32DD">
        <w:rPr>
          <w:rFonts w:eastAsia="Times New Roman"/>
        </w:rPr>
        <w:t xml:space="preserve"> </w:t>
      </w:r>
    </w:p>
    <w:p w:rsidR="007E32DD" w:rsidRPr="007E32DD" w:rsidRDefault="00395291" w:rsidP="007E32DD">
      <w:pPr>
        <w:spacing w:line="360" w:lineRule="auto"/>
        <w:ind w:firstLine="1080"/>
        <w:jc w:val="both"/>
        <w:rPr>
          <w:rFonts w:eastAsia="Times New Roman"/>
        </w:rPr>
      </w:pPr>
      <w:r>
        <w:rPr>
          <w:rFonts w:eastAsia="Times New Roman"/>
        </w:rPr>
        <w:t xml:space="preserve">Ši problematika sietina ir su diskusijomis dėl gynėjo galimybių dalyvauti </w:t>
      </w:r>
      <w:r w:rsidR="00A148C0">
        <w:rPr>
          <w:rFonts w:eastAsia="Times New Roman"/>
        </w:rPr>
        <w:t>renkant įrodymus</w:t>
      </w:r>
      <w:r>
        <w:rPr>
          <w:rFonts w:eastAsia="Times New Roman"/>
        </w:rPr>
        <w:t xml:space="preserve">. </w:t>
      </w:r>
      <w:r w:rsidR="007E32DD" w:rsidRPr="007E32DD">
        <w:rPr>
          <w:rFonts w:eastAsia="Times New Roman"/>
        </w:rPr>
        <w:t xml:space="preserve">Teorijoje atribojama gynėjo teisė gauti informaciją apie esmines bylos aplinkybes nuo lygiagretaus tyrimo atlikimo. Gynėjas gali rinkti įrodomąją informaciją neatlikdamas jokios procesinės veiklos. Tačiau jis neturi valdinių įgaliojimų ir negali įpareigoti asmenų atlikti kokius nors veiksmus. Visas gynybos įrodomosios reikšmės duomenų rinkimo procesas grindžiamas kitų asmenų gera valia. </w:t>
      </w:r>
      <w:r w:rsidR="007E32DD" w:rsidRPr="007E32DD">
        <w:rPr>
          <w:vertAlign w:val="superscript"/>
        </w:rPr>
        <w:footnoteReference w:id="736"/>
      </w:r>
      <w:r w:rsidR="007E32DD" w:rsidRPr="007E32DD">
        <w:rPr>
          <w:rFonts w:eastAsia="Times New Roman"/>
        </w:rPr>
        <w:t xml:space="preserve"> Kyla ir tokių duomenų patikimumo problema, nes</w:t>
      </w:r>
      <w:r w:rsidR="00A148C0">
        <w:rPr>
          <w:rFonts w:eastAsia="Times New Roman"/>
        </w:rPr>
        <w:t>,</w:t>
      </w:r>
      <w:r w:rsidR="007E32DD" w:rsidRPr="007E32DD">
        <w:rPr>
          <w:rFonts w:eastAsia="Times New Roman"/>
        </w:rPr>
        <w:t xml:space="preserve"> skirtingai nei teisminiame procese, asmuo, teikiantis informaciją advokatui, nėra saistomas atsakomybės už jo teikiamų parodymų tikrumą. Taip pat nėra mechanizmo įforminti advokato surinktus įrodomuosius duomenis, todėl jie neturi procesinės reikšmės tol, kol nebus ištirti teisme. Teorijoje buvo pasiūlymų suteikti advokatui įgaliojimus savarankiškai apklausti gynybos liudytojus ir fiksuoti jų parodymus, rinkti kitus įrodymus, išreikalauti dokumentus, netgi surašyti išteisinančią išvadą. </w:t>
      </w:r>
      <w:r w:rsidR="007E32DD" w:rsidRPr="007E32DD">
        <w:rPr>
          <w:vertAlign w:val="superscript"/>
        </w:rPr>
        <w:footnoteReference w:id="737"/>
      </w:r>
      <w:r w:rsidR="007E32DD" w:rsidRPr="007E32DD">
        <w:rPr>
          <w:rFonts w:eastAsia="Times New Roman"/>
        </w:rPr>
        <w:t xml:space="preserve"> Tokiam siūlymui oponuojama teigiant, kad įstatymu nereguliuojama privačių asmenų tiriamoji veikla, nesant valstybinių </w:t>
      </w:r>
      <w:r w:rsidR="00792810">
        <w:rPr>
          <w:rFonts w:eastAsia="Times New Roman"/>
        </w:rPr>
        <w:t>institucij</w:t>
      </w:r>
      <w:r w:rsidR="007E32DD" w:rsidRPr="007E32DD">
        <w:rPr>
          <w:rFonts w:eastAsia="Times New Roman"/>
        </w:rPr>
        <w:t xml:space="preserve">ų kontrolės, gali sukelti asmens teisių pažeidimus. Siekiant, kad įrodinėjimo procesas kuo labiau atitiktų rungtyniškumo principo reikalavimus, siūloma išplėsti ratą subjektų, turinčių įgaliojimus atlikti tyrimo veiksmus, ypač nesusijusius su procesine prievarta: </w:t>
      </w:r>
      <w:r w:rsidR="007E32DD" w:rsidRPr="007E32DD">
        <w:rPr>
          <w:rFonts w:eastAsia="Times New Roman"/>
        </w:rPr>
        <w:lastRenderedPageBreak/>
        <w:t xml:space="preserve">apžiūrą, patikrinimą, pateikimą atpažinti, parodymų patikrinimą vietoje, eksperimentą. </w:t>
      </w:r>
      <w:r w:rsidR="007E32DD" w:rsidRPr="007E32DD">
        <w:rPr>
          <w:vertAlign w:val="superscript"/>
        </w:rPr>
        <w:footnoteReference w:id="738"/>
      </w:r>
      <w:r w:rsidR="007E32DD" w:rsidRPr="007E32DD">
        <w:rPr>
          <w:rFonts w:eastAsia="Times New Roman"/>
        </w:rPr>
        <w:t xml:space="preserve"> Kai kuriuose šaltiniuose siūloma įtvirtinti privataus kaltintojo teisę savarankiškai rinkti įrodymus, jei tai nėra susiję su prievartos priemonių panaudojimu. Jei gauti įrodymus neįmanoma nepanaudojant procesinių prievartos priemonių, siūloma suteikti kaltintojui teisę kreiptis pagalbos į ikiteisminio tyrimo instituciją remiantis teisėjo nutartimi. Galiojančiame BPK taip pat yra privataus asmens ir valstybinių institucijų bendradarbiavimo įrodinėjimo procese elementų: pvz., teisėjas gali įpareigoti prokurorą atlikti tam tikr</w:t>
      </w:r>
      <w:r w:rsidR="00664A6D">
        <w:rPr>
          <w:rFonts w:eastAsia="Times New Roman"/>
        </w:rPr>
        <w:t>us tyrimo veiksmus (BPK 414 straipsnio 2 dalis</w:t>
      </w:r>
      <w:r w:rsidR="007E32DD" w:rsidRPr="007E32DD">
        <w:rPr>
          <w:rFonts w:eastAsia="Times New Roman"/>
        </w:rPr>
        <w:t>)</w:t>
      </w:r>
      <w:r w:rsidR="00664A6D">
        <w:rPr>
          <w:rFonts w:eastAsia="Times New Roman"/>
        </w:rPr>
        <w:t>.</w:t>
      </w:r>
      <w:r w:rsidR="007E32DD" w:rsidRPr="007E32DD">
        <w:rPr>
          <w:rFonts w:eastAsia="Times New Roman"/>
        </w:rPr>
        <w:t xml:space="preserve"> Ši teismo teisė kompensuoja privataus kaltintojo ribotas galimybes rinkti įrodymus ir vertintina kaip mechanizmas, užtikrinantis privataus kaltintojo vykdomos kaltinimo veiklos veiksmingumą. </w:t>
      </w:r>
    </w:p>
    <w:p w:rsidR="007E32DD" w:rsidRPr="007E32DD" w:rsidRDefault="007E32DD" w:rsidP="007E32DD">
      <w:pPr>
        <w:spacing w:line="360" w:lineRule="auto"/>
        <w:ind w:firstLine="1080"/>
        <w:jc w:val="both"/>
        <w:rPr>
          <w:rFonts w:eastAsia="Times New Roman"/>
        </w:rPr>
      </w:pPr>
      <w:r w:rsidRPr="007E32DD">
        <w:rPr>
          <w:rFonts w:eastAsia="Times New Roman"/>
        </w:rPr>
        <w:t>Gynėjo pareiga panaudoti visas galimas gynybos priemones ir būdus, kad būtų nustatytos aplinkybės, lengvinančios ginamojo teisinę padėtį ir švelnina</w:t>
      </w:r>
      <w:r w:rsidR="00664A6D">
        <w:rPr>
          <w:rFonts w:eastAsia="Times New Roman"/>
        </w:rPr>
        <w:t>nčios jo atsakomybę (BPK 48 straipsnio</w:t>
      </w:r>
      <w:r w:rsidRPr="007E32DD">
        <w:rPr>
          <w:rFonts w:eastAsia="Times New Roman"/>
        </w:rPr>
        <w:t xml:space="preserve"> 2 d</w:t>
      </w:r>
      <w:r w:rsidR="00664A6D">
        <w:rPr>
          <w:rFonts w:eastAsia="Times New Roman"/>
        </w:rPr>
        <w:t>alis</w:t>
      </w:r>
      <w:r w:rsidRPr="007E32DD">
        <w:rPr>
          <w:rFonts w:eastAsia="Times New Roman"/>
        </w:rPr>
        <w:t xml:space="preserve">) netapatintina su įrodinėjimo pareiga. </w:t>
      </w:r>
      <w:r w:rsidRPr="007E32DD">
        <w:rPr>
          <w:rFonts w:eastAsia="Times New Roman"/>
          <w:vertAlign w:val="superscript"/>
        </w:rPr>
        <w:footnoteReference w:id="739"/>
      </w:r>
      <w:r w:rsidRPr="007E32DD">
        <w:rPr>
          <w:rFonts w:eastAsia="Times New Roman"/>
        </w:rPr>
        <w:t xml:space="preserve"> Ši nuostata neįpareigoja gynėjo įrodinėti kaltinamojo nekaltumą ar aplinkybes, turinčias reikšmės bylą išspręsti teisingai. Gynybos funkciją galima realizuoti ir apskritai nieko neįrodinėjant, o tik iškeliant abejonę dėl kaltinimo pagrįstumo, nuginčijant kaltinimo pusės pateikiamus įrodymus ir argumentus. </w:t>
      </w:r>
      <w:r w:rsidRPr="007E32DD">
        <w:rPr>
          <w:vertAlign w:val="superscript"/>
        </w:rPr>
        <w:footnoteReference w:id="740"/>
      </w:r>
    </w:p>
    <w:p w:rsidR="007E32DD" w:rsidRPr="007E32DD" w:rsidRDefault="008C07BF" w:rsidP="007E32DD">
      <w:pPr>
        <w:spacing w:line="360" w:lineRule="auto"/>
        <w:ind w:firstLine="1080"/>
        <w:jc w:val="both"/>
        <w:rPr>
          <w:rFonts w:eastAsia="Times New Roman"/>
        </w:rPr>
      </w:pPr>
      <w:r>
        <w:rPr>
          <w:rFonts w:eastAsia="Times New Roman"/>
        </w:rPr>
        <w:t>Moksl</w:t>
      </w:r>
      <w:r w:rsidR="007E32DD" w:rsidRPr="007E32DD">
        <w:rPr>
          <w:rFonts w:eastAsia="Times New Roman"/>
        </w:rPr>
        <w:t>inėje jurisprudencijoje analizuojant gynėjo dalyvavimo įrodinėjimo veikloje galimybes, siūloma įtraukti į BPK nepiktnaudžiavimo procesinėmis garantijomis principą, kuris vienodai būtų taikomas visiems proceso dalyviams. Šio principo įvedimo tikslas būtų užkirsti piktnaudžiavimo procesinėmis subjektinėmis teisėmis galimybes ir užtikrinti sąžiningo proceso įgyvendinimą: galime tik tai, ką galime daryti teisėtai (</w:t>
      </w:r>
      <w:r w:rsidR="007E32DD" w:rsidRPr="007E32DD">
        <w:rPr>
          <w:rFonts w:eastAsia="Times New Roman"/>
          <w:i/>
        </w:rPr>
        <w:t>id tantum possumus, quod de iure possumus</w:t>
      </w:r>
      <w:r w:rsidR="007E32DD" w:rsidRPr="007E32DD">
        <w:rPr>
          <w:rFonts w:eastAsia="Times New Roman"/>
        </w:rPr>
        <w:t xml:space="preserve">). </w:t>
      </w:r>
      <w:r w:rsidR="007E32DD" w:rsidRPr="007E32DD">
        <w:rPr>
          <w:vertAlign w:val="superscript"/>
        </w:rPr>
        <w:footnoteReference w:id="741"/>
      </w:r>
      <w:r w:rsidR="007E32DD" w:rsidRPr="007E32DD">
        <w:rPr>
          <w:rFonts w:eastAsia="Times New Roman"/>
        </w:rPr>
        <w:t xml:space="preserve"> Šio principo įtvirtinimas būtų reikšmingas įrodinėjimui privataus kaltinimo bylų procese ta prasme, kad suteiktų galimybę neprocesinės įrodymų rinkimo formos rezultatus pripažinti leistinais įrodymais teisme.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Vertinant įrodinėjimo proceso privataus kaltinimo bylų procese teisinį reguliavimą nukentėjusiojo teisių įgyvendinimo realaus užtikrinimo aspektu, darytina išvada, kad privataus kaltintojo kaip įrodinėjimo subjekto teisinė padėtis yra probleminė. Privatus kaltintojas neturi realių </w:t>
      </w:r>
      <w:r w:rsidRPr="007E32DD">
        <w:rPr>
          <w:rFonts w:eastAsia="Times New Roman"/>
        </w:rPr>
        <w:lastRenderedPageBreak/>
        <w:t xml:space="preserve">galimybių kokybiškai įgyvendinti kaltinimo funkciją, nes įstatymas jam nesuteikia teisinių instrumentų, įgalinančių jį rinkti ir fiksuoti duomenis, kuriais jis galėtų pagrįsti pareikštą kaltinimą. Privataus kaltintojo vykdoma įrodinėjimo veikla apsiriboja jo paties turimų savo dispozicijoje duomenų apie jo atžvilgiu įvykdytą nusikalstamą veiką (žinių, dokumentų) pateikimu bei prašymų teismui išreikalauti tokius duomenis reiškimu. Todėl privataus kaltintojo galimybių savarankiškai kokybiškai įgyvendinti kaltinimo funkciją bei ginti savo teisėtus interesus teisinis reguliavimas vertintinas kaip nepakankamas. </w:t>
      </w:r>
    </w:p>
    <w:p w:rsidR="007E32DD" w:rsidRPr="007E32DD" w:rsidRDefault="007E32DD" w:rsidP="007E32DD">
      <w:pPr>
        <w:spacing w:line="360" w:lineRule="auto"/>
        <w:ind w:firstLine="851"/>
        <w:jc w:val="both"/>
        <w:rPr>
          <w:bCs/>
          <w:iCs/>
        </w:rPr>
      </w:pPr>
      <w:r w:rsidRPr="007E32DD">
        <w:rPr>
          <w:bCs/>
          <w:iCs/>
        </w:rPr>
        <w:t xml:space="preserve">Teisinės pagalbos (atstovavimo pagal įgaliojimą) institutas yra viena iš priemonių, padedančių įgyvendinti asmens teisę į teisminę gynybą ir užtikrinti teisminės gynybos prieinamumą. </w:t>
      </w:r>
      <w:r w:rsidRPr="007E32DD">
        <w:rPr>
          <w:bCs/>
          <w:iCs/>
          <w:vertAlign w:val="superscript"/>
        </w:rPr>
        <w:footnoteReference w:id="742"/>
      </w:r>
    </w:p>
    <w:p w:rsidR="007E32DD" w:rsidRPr="007E32DD" w:rsidRDefault="007E32DD" w:rsidP="007E32DD">
      <w:pPr>
        <w:spacing w:line="360" w:lineRule="auto"/>
        <w:ind w:firstLine="851"/>
        <w:jc w:val="both"/>
      </w:pPr>
      <w:r w:rsidRPr="007E32DD">
        <w:t xml:space="preserve">Atstovavimo civiliniame procese ir atstovavimo baudžiamajame procese institutas turi daug bendrumų. </w:t>
      </w:r>
      <w:r w:rsidRPr="007E32DD">
        <w:rPr>
          <w:vertAlign w:val="superscript"/>
        </w:rPr>
        <w:footnoteReference w:id="743"/>
      </w:r>
      <w:r w:rsidRPr="007E32DD">
        <w:t xml:space="preserve"> Civilinio proceso doktrinoje išskiriami atstovavimo tikslai atitinka ir šio instituto tikslus baudžiamajame procese: procesinių veiksmų atstovaujamojo vardu ir interesais atlikimas, </w:t>
      </w:r>
      <w:r w:rsidRPr="007E32DD">
        <w:rPr>
          <w:vertAlign w:val="superscript"/>
        </w:rPr>
        <w:footnoteReference w:id="744"/>
      </w:r>
      <w:r w:rsidRPr="007E32DD">
        <w:t xml:space="preserve"> kvalifikuotos teisinės pagalbos ar kvalifikuotų teisinių paslaugų </w:t>
      </w:r>
      <w:r w:rsidRPr="007E32DD">
        <w:rPr>
          <w:vertAlign w:val="superscript"/>
        </w:rPr>
        <w:footnoteReference w:id="745"/>
      </w:r>
      <w:r w:rsidRPr="007E32DD">
        <w:t xml:space="preserve"> atstovaujamajam teikimą atliekant konkrečius procesinius veiksmus ir pagalbą vykdant teisingumą. </w:t>
      </w:r>
      <w:r w:rsidRPr="007E32DD">
        <w:rPr>
          <w:vertAlign w:val="superscript"/>
        </w:rPr>
        <w:footnoteReference w:id="746"/>
      </w:r>
      <w:r w:rsidRPr="007E32DD">
        <w:t xml:space="preserve"> Baudžiamajame procese nukentėjusiojo atstovo procesinė funkcija yra atstovaujamojo asmens interesų gynyba. </w:t>
      </w:r>
      <w:r w:rsidRPr="007E32DD">
        <w:rPr>
          <w:vertAlign w:val="superscript"/>
        </w:rPr>
        <w:footnoteReference w:id="747"/>
      </w:r>
      <w:r w:rsidRPr="007E32DD">
        <w:t xml:space="preserve"> Atstovavimo </w:t>
      </w:r>
      <w:r w:rsidR="008C631E">
        <w:t xml:space="preserve">pagal įstatymą </w:t>
      </w:r>
      <w:r w:rsidRPr="007E32DD">
        <w:t>instituto baudžiamajame procese paskirtis yra tinkamai užtikrinti neveiksnių, ribotai veiksnių ar turinčių kitokių sunkumų tinkamai ginti savo teisėtus interesus asmenų dalyvavimo b</w:t>
      </w:r>
      <w:r w:rsidR="008C631E">
        <w:t xml:space="preserve">audžiamajame procese galimybes, o </w:t>
      </w:r>
      <w:r w:rsidRPr="007E32DD">
        <w:t xml:space="preserve">atstovo </w:t>
      </w:r>
      <w:r w:rsidR="008C631E">
        <w:t xml:space="preserve">pagal įgaliojimą </w:t>
      </w:r>
      <w:r w:rsidRPr="007E32DD">
        <w:lastRenderedPageBreak/>
        <w:t xml:space="preserve">paskirtis yra profesionalus jo teisių apsaugos užtikrinimas. </w:t>
      </w:r>
      <w:r w:rsidRPr="007E32DD">
        <w:rPr>
          <w:vertAlign w:val="superscript"/>
        </w:rPr>
        <w:footnoteReference w:id="748"/>
      </w:r>
      <w:r w:rsidRPr="007E32DD">
        <w:t xml:space="preserve"> Atstovavimas šiame disertaciniame tyrime nagrinėjamas kaip viena iš nukentėjusiojo teisių užtikrinimo garantijų ir teisinė prielaida tinkamai įvykdyti teisingumą baudžiamajame procese. </w:t>
      </w:r>
    </w:p>
    <w:p w:rsidR="007E32DD" w:rsidRPr="007E32DD" w:rsidRDefault="007E32DD" w:rsidP="007E32DD">
      <w:pPr>
        <w:spacing w:line="360" w:lineRule="auto"/>
        <w:ind w:firstLine="851"/>
        <w:jc w:val="both"/>
      </w:pPr>
      <w:r w:rsidRPr="007E32DD">
        <w:t>Privataus kaltinimo bylų procesą reglamentuojančiose normose naudojama sąvoka „teisėtas atstovas“, kurios turinys at</w:t>
      </w:r>
      <w:r w:rsidR="00D303C4">
        <w:t>s</w:t>
      </w:r>
      <w:r w:rsidRPr="007E32DD">
        <w:t xml:space="preserve">kleidžiamas per atstovavimo instituto bendrą reglamentavimą ir apima abi atstovavimo rūšis. Atstovavimas baudžiamajame procese, </w:t>
      </w:r>
      <w:r w:rsidRPr="007E32DD">
        <w:rPr>
          <w:i/>
        </w:rPr>
        <w:t>inter alia</w:t>
      </w:r>
      <w:r w:rsidRPr="007E32DD">
        <w:t xml:space="preserve"> privataus kaltinimo bylų procese, gali būti pagal įstatymą (arba privalomas (BPK 53 str</w:t>
      </w:r>
      <w:r w:rsidR="00664A6D">
        <w:t>aipsnio</w:t>
      </w:r>
      <w:r w:rsidRPr="007E32DD">
        <w:t xml:space="preserve"> 1, 2 d</w:t>
      </w:r>
      <w:r w:rsidR="00664A6D">
        <w:t>alys</w:t>
      </w:r>
      <w:proofErr w:type="gramStart"/>
      <w:r w:rsidRPr="007E32DD">
        <w:t>))</w:t>
      </w:r>
      <w:proofErr w:type="gramEnd"/>
      <w:r w:rsidRPr="007E32DD">
        <w:t xml:space="preserve"> ir pagal pavedimą (galimą (BPK 53 str</w:t>
      </w:r>
      <w:r w:rsidR="00664A6D">
        <w:t>aipsnio</w:t>
      </w:r>
      <w:r w:rsidRPr="007E32DD">
        <w:t xml:space="preserve"> 4 d</w:t>
      </w:r>
      <w:r w:rsidR="00664A6D">
        <w:t>alis</w:t>
      </w:r>
      <w:r w:rsidRPr="007E32DD">
        <w:t xml:space="preserve">)). </w:t>
      </w:r>
      <w:r w:rsidRPr="007E32DD">
        <w:rPr>
          <w:vertAlign w:val="superscript"/>
        </w:rPr>
        <w:footnoteReference w:id="749"/>
      </w:r>
      <w:r w:rsidRPr="007E32DD">
        <w:t xml:space="preserve"> Skiriasi šių atstovavimo formų esmė ir paskirtis.</w:t>
      </w:r>
    </w:p>
    <w:p w:rsidR="007E32DD" w:rsidRPr="007E32DD" w:rsidRDefault="007E32DD" w:rsidP="007E32DD">
      <w:pPr>
        <w:spacing w:line="360" w:lineRule="auto"/>
        <w:ind w:firstLine="851"/>
        <w:jc w:val="both"/>
      </w:pPr>
      <w:r w:rsidRPr="007E32DD">
        <w:t>Įvertinus procesinės kaltinimo funkcijos – pradedant kreipimusi į teismą – turinį, manytina, kad teisės į teisminę gynybą privataus kaltinimo bylose prieinamumas realiai gali būti užtikrinamas tik siejant jos realizavimą su veiksminga teisine pagalba</w:t>
      </w:r>
      <w:r w:rsidR="00ED45F0">
        <w:t>:</w:t>
      </w:r>
      <w:r w:rsidRPr="007E32DD">
        <w:t xml:space="preserve"> </w:t>
      </w:r>
      <w:r w:rsidRPr="007E32DD">
        <w:rPr>
          <w:vertAlign w:val="superscript"/>
        </w:rPr>
        <w:footnoteReference w:id="750"/>
      </w:r>
      <w:r w:rsidRPr="007E32DD">
        <w:t xml:space="preserve"> nukentėjusiajam (privačiam kaltintojui) pasinaudojant atstovavimo pagal įgaliojimą instituto galimybėmis. </w:t>
      </w:r>
      <w:r w:rsidRPr="007E32DD">
        <w:rPr>
          <w:vertAlign w:val="superscript"/>
        </w:rPr>
        <w:footnoteReference w:id="751"/>
      </w:r>
      <w:r w:rsidRPr="007E32DD">
        <w:t xml:space="preserve"> Todėl teisės į tinkamą teisminę gynybą įgyvendinimo privataus kaltinimo procese kontekste nagrinėtinas būtent atstovavimas pagal įgaliojimą. Veiksmingos teisinės pagalbos suteikimo principo turinys siejamas su konkretaus teisinę pagalbą teikiančio subjekto dalykinėms ir asmeninėms savybėms keliamais reikalavimais ir tinkamų procesinių garantijų, sudarančių sąlygas veiksmingam šios pagalbos suteikimui, užtikrinimu. </w:t>
      </w:r>
      <w:r w:rsidRPr="007E32DD">
        <w:rPr>
          <w:vertAlign w:val="superscript"/>
        </w:rPr>
        <w:footnoteReference w:id="752"/>
      </w:r>
      <w:r w:rsidRPr="007E32DD">
        <w:t xml:space="preserve"> Nors advokato teikiamos teisinės pagalbos kokybė neabejotinai susijusi su atstovavimo instituto veiksmingumu, šis klausimas nebus analizuojamas, kadangi tai nėra baudžiamojo proceso reguliavimo dalykas. </w:t>
      </w:r>
      <w:r w:rsidRPr="007E32DD">
        <w:rPr>
          <w:vertAlign w:val="superscript"/>
        </w:rPr>
        <w:footnoteReference w:id="753"/>
      </w:r>
    </w:p>
    <w:p w:rsidR="007E32DD" w:rsidRPr="007E32DD" w:rsidRDefault="007E32DD" w:rsidP="007E32DD">
      <w:pPr>
        <w:spacing w:line="360" w:lineRule="auto"/>
        <w:ind w:firstLine="851"/>
        <w:jc w:val="both"/>
        <w:rPr>
          <w:bCs/>
          <w:iCs/>
        </w:rPr>
      </w:pPr>
      <w:r w:rsidRPr="007E32DD">
        <w:rPr>
          <w:bCs/>
          <w:iCs/>
        </w:rPr>
        <w:t>Privataus kaltinimo teisės įgyvendinimo veiksmingumo aspektu nagrinėtina privataus kaltintojo bei jo įgalioto atstovo galimybės dalyvauti įrodinėjimo procese. Privatus kaltintojas, lygiai taip pat kaip ir kaltinamasis, neturi įgaliojimų rinkti duomenis tais būdais, kuriuos įstatymas leidžia jo įgaliotam atstovui, teikiančiam jam teisinę pagalbą (Advokatūros įstatymo 44 str</w:t>
      </w:r>
      <w:r w:rsidR="00664A6D">
        <w:rPr>
          <w:bCs/>
          <w:iCs/>
        </w:rPr>
        <w:t>aipsnis</w:t>
      </w:r>
      <w:r w:rsidR="00ED45F0">
        <w:rPr>
          <w:bCs/>
          <w:iCs/>
        </w:rPr>
        <w:t>).</w:t>
      </w:r>
      <w:r w:rsidRPr="007E32DD">
        <w:rPr>
          <w:vertAlign w:val="superscript"/>
        </w:rPr>
        <w:footnoteReference w:id="754"/>
      </w:r>
      <w:r w:rsidRPr="007E32DD">
        <w:rPr>
          <w:bCs/>
          <w:iCs/>
        </w:rPr>
        <w:t xml:space="preserve"> Taigi savarankiškai įgyvendindamas privataus kaltinimo teisę privatus kaltintojas yra silpnesnėje pozicijoje ir negali </w:t>
      </w:r>
      <w:r w:rsidR="00B34A64">
        <w:rPr>
          <w:bCs/>
          <w:iCs/>
        </w:rPr>
        <w:t>vis</w:t>
      </w:r>
      <w:r w:rsidRPr="007E32DD">
        <w:rPr>
          <w:bCs/>
          <w:iCs/>
        </w:rPr>
        <w:t xml:space="preserve">avertiškai įgyvendinti jam suteiktos įrodinėjimo pareigos. Todėl </w:t>
      </w:r>
      <w:r w:rsidRPr="007E32DD">
        <w:rPr>
          <w:bCs/>
          <w:iCs/>
        </w:rPr>
        <w:lastRenderedPageBreak/>
        <w:t xml:space="preserve">teisinė pagalba vertintina kaip viena iš teisinių priemonių, įgalinančių privatų kaltintoją įgyvendinti savo teisinį statusą, t.y. tinkamai vykdyti savo procesines pareigas, ypatingai įrodinėjimo procese, ir veiksmingai ginti savo teises. EŽTT ne kartą yra pripažinęs, kad galimybė turėti advokatą yra viena iš veiksmingo teisės kreiptis į teismą įgyvendinimo sąlygų. </w:t>
      </w:r>
      <w:r w:rsidRPr="007E32DD">
        <w:rPr>
          <w:bCs/>
          <w:iCs/>
          <w:vertAlign w:val="superscript"/>
        </w:rPr>
        <w:footnoteReference w:id="755"/>
      </w:r>
      <w:r w:rsidRPr="007E32DD">
        <w:rPr>
          <w:bCs/>
          <w:iCs/>
        </w:rPr>
        <w:t xml:space="preserve"> Nors teisė turėti advokatą paprastai siejama su kaltinamojo statusu, tačiau vertinant privataus kaltinimo teisės, kaip teisės kreiptis į teismą, veiksmingumą, realaus šios teisės įgyvendinimo galimybė</w:t>
      </w:r>
      <w:r w:rsidR="00D303C4">
        <w:rPr>
          <w:bCs/>
          <w:iCs/>
        </w:rPr>
        <w:t xml:space="preserve"> labai</w:t>
      </w:r>
      <w:r w:rsidRPr="007E32DD">
        <w:rPr>
          <w:bCs/>
          <w:iCs/>
        </w:rPr>
        <w:t xml:space="preserve"> priklauso nuo advokato dalyvavimo. </w:t>
      </w:r>
      <w:r w:rsidR="00ED45F0">
        <w:rPr>
          <w:bCs/>
          <w:iCs/>
        </w:rPr>
        <w:t>„</w:t>
      </w:r>
      <w:r w:rsidRPr="007E32DD">
        <w:rPr>
          <w:bCs/>
          <w:i/>
          <w:iCs/>
        </w:rPr>
        <w:t>Įstatymais baudžiamojo proceso santykiai turi būti reguliuojami taip, kad baudžiamojo proceso teisinių santykių subjektai, kurie mano, jog jų teisės pažeistos, turėtų teisę savo teises ginti teisme nepriklausomai nuo savo teisinio statuso baudžiamajame procese</w:t>
      </w:r>
      <w:r w:rsidR="00ED45F0">
        <w:rPr>
          <w:bCs/>
          <w:i/>
          <w:iCs/>
        </w:rPr>
        <w:t>“</w:t>
      </w:r>
      <w:r w:rsidRPr="007E32DD">
        <w:rPr>
          <w:bCs/>
          <w:i/>
          <w:iCs/>
        </w:rPr>
        <w:t>.</w:t>
      </w:r>
      <w:r w:rsidR="00ED45F0">
        <w:rPr>
          <w:bCs/>
          <w:i/>
          <w:iCs/>
        </w:rPr>
        <w:t xml:space="preserve"> </w:t>
      </w:r>
      <w:r w:rsidRPr="007E32DD">
        <w:rPr>
          <w:bCs/>
          <w:iCs/>
          <w:vertAlign w:val="superscript"/>
        </w:rPr>
        <w:footnoteReference w:id="756"/>
      </w:r>
      <w:r w:rsidRPr="007E32DD">
        <w:rPr>
          <w:bCs/>
          <w:iCs/>
        </w:rPr>
        <w:t xml:space="preserve"> Taigi galimybė turėti advokatą kaip teisės į teisminę gynybą įgyvendinimo garantas nesietina su </w:t>
      </w:r>
      <w:r w:rsidR="001751ED">
        <w:rPr>
          <w:bCs/>
          <w:iCs/>
        </w:rPr>
        <w:t>nukentėjusioj</w:t>
      </w:r>
      <w:r w:rsidRPr="007E32DD">
        <w:rPr>
          <w:bCs/>
          <w:iCs/>
        </w:rPr>
        <w:t xml:space="preserve">o </w:t>
      </w:r>
      <w:r w:rsidR="001751ED">
        <w:rPr>
          <w:bCs/>
          <w:iCs/>
        </w:rPr>
        <w:t>teisinio statuso įgijimo momentu</w:t>
      </w:r>
      <w:r w:rsidRPr="007E32DD">
        <w:rPr>
          <w:bCs/>
          <w:i/>
          <w:iCs/>
        </w:rPr>
        <w:t>.</w:t>
      </w:r>
    </w:p>
    <w:p w:rsidR="007E32DD" w:rsidRDefault="007E32DD" w:rsidP="007E32DD">
      <w:pPr>
        <w:spacing w:line="360" w:lineRule="auto"/>
        <w:ind w:firstLine="851"/>
        <w:jc w:val="both"/>
        <w:rPr>
          <w:bCs/>
          <w:iCs/>
        </w:rPr>
      </w:pPr>
      <w:r w:rsidRPr="007E32DD">
        <w:rPr>
          <w:bCs/>
          <w:iCs/>
        </w:rPr>
        <w:t>Didelę reikšmę turi ir procesinių garantijų, sudarančių teisines prielaidas veiksmingam teisinės pagalbos suteikimui, įtvirtinimas įstatyme. Konstitucinis Teismas normų, reglamentuojančių advokato teisę gauti informaciją, konstitucingumo kontekste pasisakė, kad „</w:t>
      </w:r>
      <w:r w:rsidRPr="007E32DD">
        <w:rPr>
          <w:bCs/>
          <w:i/>
          <w:iCs/>
        </w:rPr>
        <w:t>teisė kreiptis į teismą ir iš Konstitucijos, inter alia jos 30 straipsnio 1 dalies, 31 straipsnio 6 dalies, nuostatų kylantis reikalavimas asmens teises ginti ne formaliai, o realiai ir veiksmingai inter alia reiškia, kad įstatymų leidėjas turi nustatyti tokį teisinį reguliavimą, kuris sudarytų prielaidas advokato teikiamai teisinei pagalbai, kuria asmuo turi teisę naudotis gindamas savo pažeistas teises ir teisėtus interesus, inter alia kreipdamasis į teismą, būti veiksmingai. [...] Advokatas, vykdydamas savarankišką profesinę veiklą ir teikdamas teisinę pagalbą [...], padeda įgyvendinti konstitucinę asmens teisę į teisminę gynybą. Taigi asmens teisė turėti advokatą yra viena iš asmens teisės į teisminę gynybą veiksmingo įgyvendinimo sąlygų.</w:t>
      </w:r>
      <w:r w:rsidRPr="007E32DD">
        <w:rPr>
          <w:bCs/>
          <w:iCs/>
        </w:rPr>
        <w:t xml:space="preserve">“ </w:t>
      </w:r>
      <w:r w:rsidRPr="007E32DD">
        <w:rPr>
          <w:bCs/>
          <w:iCs/>
          <w:vertAlign w:val="superscript"/>
        </w:rPr>
        <w:footnoteReference w:id="757"/>
      </w:r>
      <w:r w:rsidRPr="007E32DD">
        <w:rPr>
          <w:bCs/>
          <w:iCs/>
        </w:rPr>
        <w:t xml:space="preserve"> Taigi advokatų profesinės veiklos tikslas yra padėti asmeniui užtikrinti teisės į teisminę gynybą, </w:t>
      </w:r>
      <w:r w:rsidRPr="007E32DD">
        <w:rPr>
          <w:bCs/>
          <w:i/>
          <w:iCs/>
        </w:rPr>
        <w:t>inter alia</w:t>
      </w:r>
      <w:r w:rsidRPr="007E32DD">
        <w:rPr>
          <w:bCs/>
          <w:iCs/>
        </w:rPr>
        <w:t xml:space="preserve"> teisės kreiptis į teismą veiksmingą įgyvendinimą. Konstitucinio Teismo nutarime nurodoma, kad viena iš įstatymų leidėjo pareigų yra </w:t>
      </w:r>
      <w:r w:rsidRPr="007E32DD">
        <w:rPr>
          <w:bCs/>
          <w:i/>
          <w:iCs/>
        </w:rPr>
        <w:t>„[...] nustatyti inter alia tokį teisinį reguliavimą, pagal kurį advokatas galėtų gauti valstybės ir savivaldybių institucijų turimą šiai asmens teisei įgyvendinti būtiną informaciją.</w:t>
      </w:r>
      <w:r w:rsidRPr="007E32DD">
        <w:rPr>
          <w:bCs/>
          <w:iCs/>
        </w:rPr>
        <w:t xml:space="preserve">“ </w:t>
      </w:r>
      <w:r w:rsidRPr="007E32DD">
        <w:rPr>
          <w:bCs/>
          <w:iCs/>
          <w:vertAlign w:val="superscript"/>
        </w:rPr>
        <w:footnoteReference w:id="758"/>
      </w:r>
      <w:r w:rsidRPr="007E32DD">
        <w:rPr>
          <w:bCs/>
          <w:iCs/>
        </w:rPr>
        <w:t xml:space="preserve"> Šios nuostatos yra svarbios privataus kaltinimo bylų procese užtikrinant teisinės pagalbos, kaip nukentėjusiojo teisių ir teisėtų interesų gynimo garanto, realumą ir veiksmingumą. </w:t>
      </w:r>
    </w:p>
    <w:p w:rsidR="00A2070D" w:rsidRPr="007E32DD" w:rsidRDefault="00A2070D" w:rsidP="007E32DD">
      <w:pPr>
        <w:spacing w:line="360" w:lineRule="auto"/>
        <w:ind w:firstLine="851"/>
        <w:jc w:val="both"/>
        <w:rPr>
          <w:bCs/>
          <w:iCs/>
        </w:rPr>
      </w:pPr>
      <w:r>
        <w:rPr>
          <w:bCs/>
          <w:iCs/>
        </w:rPr>
        <w:lastRenderedPageBreak/>
        <w:t>Empirini</w:t>
      </w:r>
      <w:r w:rsidR="00FB1025">
        <w:rPr>
          <w:bCs/>
          <w:iCs/>
        </w:rPr>
        <w:t>o</w:t>
      </w:r>
      <w:r>
        <w:rPr>
          <w:bCs/>
          <w:iCs/>
        </w:rPr>
        <w:t xml:space="preserve"> tyrim</w:t>
      </w:r>
      <w:r w:rsidR="00FB1025">
        <w:rPr>
          <w:bCs/>
          <w:iCs/>
        </w:rPr>
        <w:t>o duomenimis, išanalizavus 74 bylas, kurios 2012 m. pirmosios instancijos teismuose buvo baigtos nuosprendžiu,nustatyta, kad atstovas pagal įgaliojimą dalyvavo 72 proc. atvejų (53 bylose), ir 2013 m. 79 proc. atvejų, t.y. 82 bylose iš 104 atvejų, kai 2013 m. pirmosios instancijos teismuose buvo baigtos nuosprendžiu.</w:t>
      </w:r>
      <w:r>
        <w:rPr>
          <w:bCs/>
          <w:iCs/>
        </w:rPr>
        <w:t xml:space="preserve"> (Priedas Nr. </w:t>
      </w:r>
      <w:r w:rsidR="00FB1025">
        <w:rPr>
          <w:bCs/>
          <w:iCs/>
        </w:rPr>
        <w:t xml:space="preserve">6) Tačiau išteisinamųjų ir apkaltinamųjų nuosprendžių (įskaitant nuosprendžius, kuriuose kaltinamasis nuteistas dėl dalies jam inkriminuotų nusikalstamų veikų, o dėl kitų išteisintas) santykis yra toks pat tiek bylose, kuriose dalyvavo atstovas pagal įgaliojimą, tiek tose, kuriose jis nedalyvavo, taigi darytina </w:t>
      </w:r>
      <w:r w:rsidR="00021461">
        <w:rPr>
          <w:bCs/>
          <w:iCs/>
        </w:rPr>
        <w:t>prielaid</w:t>
      </w:r>
      <w:r w:rsidR="00FB1025">
        <w:rPr>
          <w:bCs/>
          <w:iCs/>
        </w:rPr>
        <w:t>a, kad atstovo pagal įgaliojimą dalyvavimas neturi įtakos galutiniam procesiniam sprendimui.</w:t>
      </w:r>
    </w:p>
    <w:p w:rsidR="007E32DD" w:rsidRPr="007E32DD" w:rsidRDefault="00307B4A" w:rsidP="007E32DD">
      <w:pPr>
        <w:spacing w:line="360" w:lineRule="auto"/>
        <w:ind w:firstLine="851"/>
        <w:jc w:val="both"/>
        <w:rPr>
          <w:bCs/>
          <w:iCs/>
        </w:rPr>
      </w:pPr>
      <w:r>
        <w:rPr>
          <w:bCs/>
          <w:iCs/>
        </w:rPr>
        <w:t xml:space="preserve">Valstybės garantuojamos teisinės pagalbos teikimo teisinis reguliavimas neužtikrina veiksmingo teisinės pagalbos suteikimo nukentėjusiam asmeniui privataus kaltinimo procese. </w:t>
      </w:r>
      <w:r w:rsidR="00CF0859" w:rsidRPr="007E32DD">
        <w:rPr>
          <w:bCs/>
          <w:iCs/>
        </w:rPr>
        <w:t>Valstybės garantuojamos teisinės pagalbos įstatym</w:t>
      </w:r>
      <w:r w:rsidR="00CF0859">
        <w:rPr>
          <w:bCs/>
          <w:iCs/>
        </w:rPr>
        <w:t>o nuostatos</w:t>
      </w:r>
      <w:r w:rsidR="00D303C4">
        <w:rPr>
          <w:bCs/>
          <w:iCs/>
        </w:rPr>
        <w:t xml:space="preserve"> </w:t>
      </w:r>
      <w:r w:rsidR="00CF0859">
        <w:rPr>
          <w:bCs/>
          <w:iCs/>
        </w:rPr>
        <w:t>numato a</w:t>
      </w:r>
      <w:r w:rsidR="007E32DD" w:rsidRPr="007E32DD">
        <w:rPr>
          <w:bCs/>
          <w:iCs/>
        </w:rPr>
        <w:t>ntrinė</w:t>
      </w:r>
      <w:r w:rsidR="00CF0859">
        <w:rPr>
          <w:bCs/>
          <w:iCs/>
        </w:rPr>
        <w:t>s</w:t>
      </w:r>
      <w:r w:rsidR="007E32DD" w:rsidRPr="007E32DD">
        <w:rPr>
          <w:bCs/>
          <w:iCs/>
        </w:rPr>
        <w:t xml:space="preserve"> teisinė</w:t>
      </w:r>
      <w:r w:rsidR="00CF0859">
        <w:rPr>
          <w:bCs/>
          <w:iCs/>
        </w:rPr>
        <w:t>s</w:t>
      </w:r>
      <w:r w:rsidR="007E32DD" w:rsidRPr="007E32DD">
        <w:rPr>
          <w:bCs/>
          <w:iCs/>
        </w:rPr>
        <w:t xml:space="preserve"> pagalb</w:t>
      </w:r>
      <w:r w:rsidR="00CF0859">
        <w:rPr>
          <w:bCs/>
          <w:iCs/>
        </w:rPr>
        <w:t>os</w:t>
      </w:r>
      <w:r w:rsidR="007E32DD" w:rsidRPr="007E32DD">
        <w:rPr>
          <w:bCs/>
          <w:iCs/>
        </w:rPr>
        <w:t xml:space="preserve"> nukentėjusiam asmeniui užtikrin</w:t>
      </w:r>
      <w:r w:rsidR="00CF0859">
        <w:rPr>
          <w:bCs/>
          <w:iCs/>
        </w:rPr>
        <w:t>imą</w:t>
      </w:r>
      <w:r w:rsidR="007E32DD" w:rsidRPr="007E32DD">
        <w:rPr>
          <w:bCs/>
          <w:iCs/>
        </w:rPr>
        <w:t xml:space="preserve"> nepriklausomai nuo jo turtinės padėties </w:t>
      </w:r>
      <w:r w:rsidR="00CF0859">
        <w:rPr>
          <w:bCs/>
          <w:iCs/>
        </w:rPr>
        <w:t>(</w:t>
      </w:r>
      <w:r w:rsidR="00CF0859" w:rsidRPr="00C8142D">
        <w:t>1</w:t>
      </w:r>
      <w:r w:rsidR="00CF0859">
        <w:t>2 straipsnio 1 dalies 2 p.)</w:t>
      </w:r>
      <w:r w:rsidR="007E32DD" w:rsidRPr="007E32DD">
        <w:rPr>
          <w:bCs/>
          <w:iCs/>
        </w:rPr>
        <w:t>, tačiau paradoksalu, kad pagrindas suteikti ją yra ,,ikiteisminio tyrimo pareigūno, prokuroro nutarimas ar teismo nutartis, kuriais asmuo pripažįstamas nukentėjusiuoju, ir (ar) teismo nuosprendis“ (13 str</w:t>
      </w:r>
      <w:r w:rsidR="00664A6D">
        <w:rPr>
          <w:bCs/>
          <w:iCs/>
        </w:rPr>
        <w:t>aipsnio</w:t>
      </w:r>
      <w:r w:rsidR="00ED45F0">
        <w:rPr>
          <w:bCs/>
          <w:iCs/>
        </w:rPr>
        <w:t xml:space="preserve"> </w:t>
      </w:r>
      <w:r w:rsidR="007E32DD" w:rsidRPr="007E32DD">
        <w:rPr>
          <w:bCs/>
          <w:iCs/>
        </w:rPr>
        <w:t>3 p</w:t>
      </w:r>
      <w:r w:rsidR="00792810">
        <w:rPr>
          <w:bCs/>
          <w:iCs/>
        </w:rPr>
        <w:t>.</w:t>
      </w:r>
      <w:r w:rsidR="007E32DD" w:rsidRPr="007E32DD">
        <w:rPr>
          <w:bCs/>
          <w:iCs/>
        </w:rPr>
        <w:t>)</w:t>
      </w:r>
      <w:r w:rsidR="00ED45F0">
        <w:rPr>
          <w:bCs/>
          <w:iCs/>
        </w:rPr>
        <w:t xml:space="preserve">. </w:t>
      </w:r>
      <w:r w:rsidR="00CF0859" w:rsidRPr="007E32DD">
        <w:rPr>
          <w:bCs/>
          <w:iCs/>
          <w:vertAlign w:val="superscript"/>
        </w:rPr>
        <w:footnoteReference w:id="759"/>
      </w:r>
      <w:r w:rsidR="00ED45F0">
        <w:rPr>
          <w:bCs/>
          <w:iCs/>
        </w:rPr>
        <w:t xml:space="preserve"> </w:t>
      </w:r>
      <w:r w:rsidR="00C26B36">
        <w:t>T</w:t>
      </w:r>
      <w:r w:rsidR="007E32DD" w:rsidRPr="007E32DD">
        <w:t>aikinamajame posėdyje (BPK 413 str</w:t>
      </w:r>
      <w:r w:rsidR="00664A6D">
        <w:t>aipsnis</w:t>
      </w:r>
      <w:r w:rsidR="007E32DD" w:rsidRPr="007E32DD">
        <w:t>)</w:t>
      </w:r>
      <w:r w:rsidR="00C26B36">
        <w:t xml:space="preserve"> bei</w:t>
      </w:r>
      <w:r w:rsidR="007E32DD" w:rsidRPr="007E32DD">
        <w:t xml:space="preserve"> teismui atliekant veiksmus iki teisiamojo posėdžio (BPK 414 str</w:t>
      </w:r>
      <w:r w:rsidR="00664A6D">
        <w:t>aipsnis</w:t>
      </w:r>
      <w:r w:rsidR="007E32DD" w:rsidRPr="007E32DD">
        <w:t>) privataus kaltintojo figūra neminima, o skundą padavęs asmuo vadinamas nukentėjusiuoju (BPK 408 str</w:t>
      </w:r>
      <w:r w:rsidR="00664A6D">
        <w:t>aipsnis</w:t>
      </w:r>
      <w:r w:rsidR="007E32DD" w:rsidRPr="007E32DD">
        <w:t>) arba skundą ar pareiškimą padavusiu asmeniu (BPK 412</w:t>
      </w:r>
      <w:r w:rsidR="007E32DD" w:rsidRPr="007E32DD">
        <w:rPr>
          <w:vertAlign w:val="superscript"/>
        </w:rPr>
        <w:t>1</w:t>
      </w:r>
      <w:r w:rsidR="007E32DD" w:rsidRPr="007E32DD">
        <w:t xml:space="preserve"> str</w:t>
      </w:r>
      <w:r w:rsidR="00664A6D">
        <w:t>aipsnis</w:t>
      </w:r>
      <w:r w:rsidR="007E32DD" w:rsidRPr="007E32DD">
        <w:t xml:space="preserve">). Tačiau nukentėjusiuoju privataus kaltinimo skundą padavęs asmuo tampa tik perduodant bylą nagrinėti teisiamajame posėdyje teismo nutartimi, kuria taip pat asmuo pripažįstamas ir nukentėjusiuoju. </w:t>
      </w:r>
      <w:r w:rsidR="007E32DD" w:rsidRPr="007E32DD">
        <w:rPr>
          <w:bCs/>
          <w:iCs/>
        </w:rPr>
        <w:t>Taigi laikantis nustatytos tvarkos praktiškai neįmanoma pasinaudoti antrine teisine pagalba, nes, laikantis įstatymo</w:t>
      </w:r>
      <w:r w:rsidR="00D303C4">
        <w:rPr>
          <w:bCs/>
          <w:iCs/>
        </w:rPr>
        <w:t xml:space="preserve"> pažodžiui</w:t>
      </w:r>
      <w:r w:rsidR="007E32DD" w:rsidRPr="007E32DD">
        <w:rPr>
          <w:bCs/>
          <w:iCs/>
        </w:rPr>
        <w:t xml:space="preserve">, asmuo įgyja nukentėjusiojo ir privataus kaltintojo statusą tik </w:t>
      </w:r>
      <w:r w:rsidR="00D57743">
        <w:rPr>
          <w:bCs/>
          <w:iCs/>
        </w:rPr>
        <w:t xml:space="preserve">priėmus nutartį bylą perduoti nagrinėti </w:t>
      </w:r>
      <w:r w:rsidR="00C26B36">
        <w:rPr>
          <w:bCs/>
          <w:iCs/>
        </w:rPr>
        <w:t>teisiamajame posėdyje</w:t>
      </w:r>
      <w:r w:rsidR="007E32DD" w:rsidRPr="007E32DD">
        <w:rPr>
          <w:bCs/>
          <w:iCs/>
        </w:rPr>
        <w:t xml:space="preserve"> (BPK 408 str</w:t>
      </w:r>
      <w:r w:rsidR="00664A6D">
        <w:rPr>
          <w:bCs/>
          <w:iCs/>
        </w:rPr>
        <w:t>aipsnio</w:t>
      </w:r>
      <w:r w:rsidR="007E32DD" w:rsidRPr="007E32DD">
        <w:rPr>
          <w:bCs/>
          <w:iCs/>
        </w:rPr>
        <w:t xml:space="preserve"> 1 d</w:t>
      </w:r>
      <w:r w:rsidR="00664A6D">
        <w:rPr>
          <w:bCs/>
          <w:iCs/>
        </w:rPr>
        <w:t>alis</w:t>
      </w:r>
      <w:r w:rsidR="007E32DD" w:rsidRPr="007E32DD">
        <w:rPr>
          <w:bCs/>
          <w:iCs/>
        </w:rPr>
        <w:t>). Sprendžiant asmenų, kurie dėl sunkios turtinės padėties negali pasinaudoti teisinėmis paslaugomis, valstybės garantuojamos teisinės pagalbos suteikimo klausimą</w:t>
      </w:r>
      <w:r w:rsidR="00D303C4">
        <w:rPr>
          <w:bCs/>
          <w:iCs/>
        </w:rPr>
        <w:t>,</w:t>
      </w:r>
      <w:r w:rsidR="007E32DD" w:rsidRPr="007E32DD">
        <w:rPr>
          <w:bCs/>
          <w:iCs/>
        </w:rPr>
        <w:t xml:space="preserve"> būtina įvertinti jos suteikimą laiku – teisinė pagalba turi būti suteikta tada, kai ji reikalinga, taip pat ir iki teisinio proceso</w:t>
      </w:r>
      <w:r w:rsidR="00ED45F0">
        <w:rPr>
          <w:bCs/>
          <w:iCs/>
        </w:rPr>
        <w:t>.</w:t>
      </w:r>
      <w:r w:rsidR="007E32DD" w:rsidRPr="007E32DD">
        <w:rPr>
          <w:bCs/>
          <w:iCs/>
        </w:rPr>
        <w:t xml:space="preserve"> </w:t>
      </w:r>
      <w:r w:rsidR="007E32DD" w:rsidRPr="007E32DD">
        <w:rPr>
          <w:bCs/>
          <w:iCs/>
          <w:vertAlign w:val="superscript"/>
        </w:rPr>
        <w:footnoteReference w:id="760"/>
      </w:r>
      <w:r w:rsidR="007E32DD" w:rsidRPr="007E32DD">
        <w:rPr>
          <w:bCs/>
          <w:iCs/>
        </w:rPr>
        <w:t xml:space="preserve"> Taigi rengiant teismui svarbiausią procesinį dokumentą – nukentėjusiojo privataus kaltinimo skundą, kuris </w:t>
      </w:r>
      <w:r w:rsidR="00E271EF">
        <w:rPr>
          <w:bCs/>
          <w:iCs/>
        </w:rPr>
        <w:t>nulem</w:t>
      </w:r>
      <w:r w:rsidR="007E32DD" w:rsidRPr="007E32DD">
        <w:rPr>
          <w:bCs/>
          <w:iCs/>
        </w:rPr>
        <w:t xml:space="preserve">ia teisminio nagrinėjimo ribas ir kuriame formuluojamas kaltinimas, kurį vėliau privatus kaltintojas turi pareigą pagrįsti, nukentėjęs asmuo negali gauti kvalifikuotos antrinės teisinės pagalbos. Tinkamo kaltinimo ribas apibrėžiančio dokumento nebuvimas užkerta kelią tolesniam greitam ir veiksmingam procesui. </w:t>
      </w:r>
    </w:p>
    <w:p w:rsidR="009F7544" w:rsidRDefault="007E32DD" w:rsidP="009F7544">
      <w:pPr>
        <w:spacing w:line="360" w:lineRule="auto"/>
        <w:ind w:firstLine="851"/>
        <w:jc w:val="both"/>
        <w:rPr>
          <w:bCs/>
          <w:iCs/>
        </w:rPr>
      </w:pPr>
      <w:r w:rsidRPr="007E32DD">
        <w:rPr>
          <w:bCs/>
          <w:iCs/>
        </w:rPr>
        <w:lastRenderedPageBreak/>
        <w:t>Taigi išanalizavus įgalioto atstovo, teikiančio teisinę pagalbą, reikšmę privataus kaltinimo procese, darytina išvada, kad teisinė pagalba yra ir viena iš nukentėjusiojo teisių užtikrinimo garantijų, ir teisinė prielaida tinkamai vykdyti privataus kaltintojo p</w:t>
      </w:r>
      <w:r w:rsidR="009F7544">
        <w:rPr>
          <w:bCs/>
          <w:iCs/>
        </w:rPr>
        <w:t xml:space="preserve">areigas baudžiamajame procese. </w:t>
      </w:r>
    </w:p>
    <w:p w:rsidR="007E32DD" w:rsidRPr="00AD4628" w:rsidRDefault="009F7544" w:rsidP="009F7544">
      <w:pPr>
        <w:spacing w:line="360" w:lineRule="auto"/>
        <w:ind w:firstLine="851"/>
        <w:jc w:val="both"/>
        <w:rPr>
          <w:bCs/>
          <w:iCs/>
        </w:rPr>
      </w:pPr>
      <w:r>
        <w:rPr>
          <w:iCs/>
        </w:rPr>
        <w:t>A</w:t>
      </w:r>
      <w:r w:rsidR="007E32DD" w:rsidRPr="007E32DD">
        <w:rPr>
          <w:iCs/>
        </w:rPr>
        <w:t>pibendrinant darytina išvada, kad privataus kaltinimo bylų procesas patenkina nukentėjusiojo interesus, suteikdamas galimybę pasiekti žalos atlyginimą, gauti kaltininko atsiprašymą, susitaikyti taikinamajame posėdyje, jei nukentėjusysis neturi tikslo patraukti kaltininką baudžiamojon atsakomybėn, pademonstruoti savo galimybę spręsti kaltininko patraukimo baudžiamojon atsakomybėn klausimą, tuo patenkinant savo satisfakcijos siekį, bei suteikia galimybę siekti būtent patraukimo baudžiamojon atsakomybėn ir sunkiausių pasekmių kaltininkui, esant tokiam poreikiui. Tačiau nukentėjusiojo kaip privataus kaltintojo dalyvavimas baudžiamajame procese visais atvejais yra jam sudėtingas ir daug pastangų bei lėšų reikalaujantis procesas. Todėl tiek įstatyminiame reglamentavime, tiek konstitucinėje jurisprudencijoje ir teismų praktikoje siekiama aiškiai apibrėžti atvejus, kada privataus kaltinimo funkcijos vykdymas nukentėjusiajam yra per daug sudėtinga pareiga, o nesugebėjimas pasinaudoti procesinėmis galimybėmis inicijuojant privataus kaltinimo bylų procesą lemia nukentėjusio asmens teisių į teisingą teismą, nusikalstama veika padarytos žalos atlyginimą ir teisingą kaltininko nubaudimą pažeidimą. Tokiais atvejais prokuroro dalyvavimas ir perėjimas iš privataus kaltinimo proceso į viešą tampa nukentėjusiojo teisių apsaugos garantu.</w:t>
      </w:r>
    </w:p>
    <w:p w:rsidR="001559CF" w:rsidRPr="007E32DD" w:rsidRDefault="001559CF" w:rsidP="00F93861">
      <w:pPr>
        <w:pStyle w:val="Antrat3"/>
        <w:numPr>
          <w:ilvl w:val="1"/>
          <w:numId w:val="25"/>
        </w:numPr>
      </w:pPr>
      <w:bookmarkStart w:id="411" w:name="_Toc400321712"/>
      <w:r w:rsidRPr="007E32DD">
        <w:t>Specifiniai privataus kaltinimo bylų proceso nutraukimo pagrindai</w:t>
      </w:r>
      <w:bookmarkEnd w:id="411"/>
    </w:p>
    <w:p w:rsidR="001559CF" w:rsidRPr="007E32DD" w:rsidRDefault="001559CF" w:rsidP="00792810">
      <w:pPr>
        <w:spacing w:line="360" w:lineRule="auto"/>
        <w:ind w:firstLine="851"/>
        <w:jc w:val="both"/>
        <w:rPr>
          <w:rFonts w:eastAsia="Times New Roman"/>
        </w:rPr>
      </w:pPr>
      <w:r w:rsidRPr="007E32DD">
        <w:rPr>
          <w:rFonts w:eastAsia="Times New Roman"/>
        </w:rPr>
        <w:t>Disponavimo kaltinimu doktrina suponuoja privataus kaltinimo bylų proceso nutraukimo specifinius pagrindus, kai privatus kaltintojas atsisako nuo kaltinimo. Nukentėjusiojo (privataus kaltintojo) valia pagrįsta kaltinimo pozicija daro lemiamą įtaką bylos eigai ir jos rezultatams ne tik iki taikinamojo posėdžio, bet ir viso bylos nagrinėjimo teisme metu</w:t>
      </w:r>
      <w:r w:rsidR="00ED45F0">
        <w:rPr>
          <w:rFonts w:eastAsia="Times New Roman"/>
        </w:rPr>
        <w:t>.</w:t>
      </w:r>
      <w:r w:rsidRPr="007E32DD">
        <w:rPr>
          <w:rFonts w:eastAsia="Times New Roman"/>
        </w:rPr>
        <w:t xml:space="preserve"> </w:t>
      </w:r>
      <w:r w:rsidRPr="007E32DD">
        <w:rPr>
          <w:rFonts w:eastAsia="Times New Roman"/>
          <w:vertAlign w:val="superscript"/>
        </w:rPr>
        <w:footnoteReference w:id="761"/>
      </w:r>
      <w:r w:rsidRPr="007E32DD">
        <w:rPr>
          <w:rFonts w:eastAsia="Times New Roman"/>
        </w:rPr>
        <w:t xml:space="preserve"> Nukentėjusiajam atsisakius nuo kaltinimo</w:t>
      </w:r>
      <w:r w:rsidR="00D303C4">
        <w:rPr>
          <w:rFonts w:eastAsia="Times New Roman"/>
        </w:rPr>
        <w:t>,</w:t>
      </w:r>
      <w:r w:rsidRPr="007E32DD">
        <w:rPr>
          <w:rFonts w:eastAsia="Times New Roman"/>
        </w:rPr>
        <w:t xml:space="preserve"> tolesnis procesas negalimas. </w:t>
      </w:r>
    </w:p>
    <w:p w:rsidR="001559CF" w:rsidRPr="007E32DD" w:rsidRDefault="001559CF" w:rsidP="00792810">
      <w:pPr>
        <w:spacing w:line="360" w:lineRule="auto"/>
        <w:ind w:firstLine="851"/>
        <w:jc w:val="both"/>
        <w:rPr>
          <w:rFonts w:eastAsia="Times New Roman"/>
        </w:rPr>
      </w:pPr>
      <w:r w:rsidRPr="007E32DD">
        <w:rPr>
          <w:rFonts w:eastAsia="Times New Roman"/>
        </w:rPr>
        <w:t>Įstatymo leidėjas numatė du alternatyvius privataus kaltinimo bylos proceso nutraukimo teisiamajame posėdyje pagrindus: 1) jeigu privatus kaltintojas atsisakė kaltinimo; 2) privatus kaltintojas su kaltinamuoju susitaikė (BPK 416 str</w:t>
      </w:r>
      <w:r w:rsidR="00664A6D">
        <w:rPr>
          <w:rFonts w:eastAsia="Times New Roman"/>
        </w:rPr>
        <w:t>aipsnio</w:t>
      </w:r>
      <w:r w:rsidRPr="007E32DD">
        <w:rPr>
          <w:rFonts w:eastAsia="Times New Roman"/>
        </w:rPr>
        <w:t xml:space="preserve"> 3 d</w:t>
      </w:r>
      <w:r w:rsidR="00664A6D">
        <w:rPr>
          <w:rFonts w:eastAsia="Times New Roman"/>
        </w:rPr>
        <w:t>alis</w:t>
      </w:r>
      <w:r w:rsidRPr="007E32DD">
        <w:rPr>
          <w:rFonts w:eastAsia="Times New Roman"/>
        </w:rPr>
        <w:t>, 3 str</w:t>
      </w:r>
      <w:r w:rsidR="00664A6D">
        <w:rPr>
          <w:rFonts w:eastAsia="Times New Roman"/>
        </w:rPr>
        <w:t>aipsnio 1 dalies</w:t>
      </w:r>
      <w:r w:rsidRPr="007E32DD">
        <w:rPr>
          <w:rFonts w:eastAsia="Times New Roman"/>
        </w:rPr>
        <w:t xml:space="preserve"> 5 p.).</w:t>
      </w:r>
      <w:r w:rsidR="00ED45F0">
        <w:rPr>
          <w:rFonts w:eastAsia="Times New Roman"/>
        </w:rPr>
        <w:t xml:space="preserve"> </w:t>
      </w:r>
      <w:r>
        <w:rPr>
          <w:rStyle w:val="Puslapioinaosnuoroda"/>
          <w:rFonts w:eastAsia="Times New Roman"/>
        </w:rPr>
        <w:footnoteReference w:id="762"/>
      </w:r>
      <w:r w:rsidRPr="007E32DD">
        <w:rPr>
          <w:rFonts w:eastAsia="Times New Roman"/>
        </w:rPr>
        <w:t xml:space="preserve"> Tačiau kiekvienu iš šių dviejų proceso nutraukimo pagrindų sukeliamos skirtingos teisinės pasekmės privataus kaltinimo bylos šalims</w:t>
      </w:r>
      <w:r w:rsidR="00D303C4">
        <w:rPr>
          <w:rFonts w:eastAsia="Times New Roman"/>
        </w:rPr>
        <w:t>:</w:t>
      </w:r>
      <w:r w:rsidRPr="007E32DD">
        <w:rPr>
          <w:rFonts w:eastAsia="Times New Roman"/>
        </w:rPr>
        <w:t xml:space="preserve"> jei privatus kaltintojas atsisako kaltinimo, tai privatus kaltintojas taip pat atsisako ir teisės į žalos atlyginimą, priešingai nei privačiam kaltintojui su </w:t>
      </w:r>
      <w:r w:rsidRPr="007E32DD">
        <w:rPr>
          <w:rFonts w:eastAsia="Times New Roman"/>
        </w:rPr>
        <w:lastRenderedPageBreak/>
        <w:t>kaltinamuoju susitaikius. Kaltinimo atsisakymas reiškia abiejų kaltinimo funkcijos elementų</w:t>
      </w:r>
      <w:r w:rsidR="00D303C4">
        <w:rPr>
          <w:rFonts w:eastAsia="Times New Roman"/>
        </w:rPr>
        <w:t>,</w:t>
      </w:r>
      <w:r w:rsidRPr="007E32DD">
        <w:rPr>
          <w:rFonts w:eastAsia="Times New Roman"/>
        </w:rPr>
        <w:t xml:space="preserve"> tiek reikalavimo nubausti kaltinamąjį, tiek reikalavimo atlyginti žalą atsisakymą. Skirtingai nuo kaltinimo atsisakymo, susitaikymas yra kompromisinis abiejų šalių – nukentėjusiojo ir kaltinamojo – sprendimas, kai šalys pačios susitaria dėl konflikto išsprendimo ir žalos atlyginimo, todėl tolesnio baudžiamojo proceso vykdymu tampa nesuinteresuotos. Atsisakymui nuo kaltinimo prilyginama situacija, kai privatus kaltintojas be svarbios priežasties neatvyksta į teisiamąjį posėdį (BPK 416 str</w:t>
      </w:r>
      <w:r w:rsidR="00664A6D">
        <w:rPr>
          <w:rFonts w:eastAsia="Times New Roman"/>
        </w:rPr>
        <w:t>aipsnio</w:t>
      </w:r>
      <w:r w:rsidRPr="007E32DD">
        <w:rPr>
          <w:rFonts w:eastAsia="Times New Roman"/>
        </w:rPr>
        <w:t xml:space="preserve"> 2 d</w:t>
      </w:r>
      <w:r w:rsidR="00664A6D">
        <w:rPr>
          <w:rFonts w:eastAsia="Times New Roman"/>
        </w:rPr>
        <w:t>alis</w:t>
      </w:r>
      <w:r w:rsidRPr="007E32DD">
        <w:rPr>
          <w:rFonts w:eastAsia="Times New Roman"/>
        </w:rPr>
        <w:t>). Privataus kaltinimo procesas teisme gali vykti tik tuo atveju, jeigu teisiamajame posėdyje dalyvauja privatus kaltintojas ir palaiko kaltinimą. Jo neatvykimas be svarbios priežasties vertinamas kaip konkliudentiniais veiksmais išreikštas atsisakymas nuo kaltinimo.</w:t>
      </w:r>
    </w:p>
    <w:p w:rsidR="001559CF" w:rsidRPr="007E32DD" w:rsidRDefault="001559CF" w:rsidP="00792810">
      <w:pPr>
        <w:spacing w:line="360" w:lineRule="auto"/>
        <w:ind w:firstLine="851"/>
        <w:jc w:val="both"/>
        <w:rPr>
          <w:rFonts w:eastAsia="Times New Roman"/>
        </w:rPr>
      </w:pPr>
      <w:r w:rsidRPr="007E32DD">
        <w:rPr>
          <w:rFonts w:eastAsia="Times New Roman"/>
        </w:rPr>
        <w:t>Privataus kaltintojo (nukentėjusiojo) teisė atsisakyti kaltinimo arba susitaikyti su kaltinamuoju ribojama baigiamųjų kalbų stadija, t. y. atsisakyti kaltinimo ar išreikšti valią dėl susitaikymo nukentėjusysis gali savo baigiamosios kalbos metu, taip pat kai po proceso dalyvių kalbų jis pasako savo atsikirtimus ir pastabas (BPK 416 str</w:t>
      </w:r>
      <w:r w:rsidR="00664A6D">
        <w:rPr>
          <w:rFonts w:eastAsia="Times New Roman"/>
        </w:rPr>
        <w:t>aipsnio</w:t>
      </w:r>
      <w:r w:rsidRPr="007E32DD">
        <w:rPr>
          <w:rFonts w:eastAsia="Times New Roman"/>
        </w:rPr>
        <w:t xml:space="preserve"> 1 d</w:t>
      </w:r>
      <w:r w:rsidR="00664A6D">
        <w:rPr>
          <w:rFonts w:eastAsia="Times New Roman"/>
        </w:rPr>
        <w:t>alis)</w:t>
      </w:r>
      <w:r w:rsidRPr="007E32DD">
        <w:rPr>
          <w:rFonts w:eastAsia="Times New Roman"/>
        </w:rPr>
        <w:t xml:space="preserve">. Remiantis šia įstatymo nuostata, vėliau, t. y. kaltinamojo paskutinio žodžio metu ir teismui išeinant į pasitarimų kambarį priimti </w:t>
      </w:r>
      <w:r w:rsidR="00792810">
        <w:rPr>
          <w:rFonts w:eastAsia="Times New Roman"/>
        </w:rPr>
        <w:t>galutinio procesinio sprendimo</w:t>
      </w:r>
      <w:r w:rsidRPr="007E32DD">
        <w:rPr>
          <w:rFonts w:eastAsia="Times New Roman"/>
        </w:rPr>
        <w:t xml:space="preserve">, pareikštas atsisakymas nuo kaltinimo ar pageidavimas susitaikyti su kaltinamuoju negalioja. Tačiau pastebėtina, kad materialiąją teisę disponuoti kaltinimu (taip pat ir atsisakyti kaltinimo) privatus kaltintojas turi viso proceso metu iki teismo nuosprendžio (nutarties) įsiteisėjimo: ši teisė nei nutrūksta, nei išnyksta, todėl valios dėl kaltinimo atsisakymo išreiškimas negali būti vertinamas kaip niekinis teisine prasme. Po baigiamųjų kalbų negalimas tik procesinis šios teisės įgyvendinimas. Siekiant užtikrinti šalių interesus ir proceso ekonomiškumą </w:t>
      </w:r>
      <w:r w:rsidR="00312DB5">
        <w:rPr>
          <w:rFonts w:eastAsia="Times New Roman"/>
        </w:rPr>
        <w:t>bei</w:t>
      </w:r>
      <w:r w:rsidRPr="007E32DD">
        <w:rPr>
          <w:rFonts w:eastAsia="Times New Roman"/>
        </w:rPr>
        <w:t xml:space="preserve"> vadovaujantis kaltinimo disponavimo teorija, privačiam kaltintojui išreiškus valią atsisakyti kaltinimo (susitaikyti su kaltinamuoju) po baigiamųjų kalbų, procesinės kliūtys realizuoti šią teisę turėtų būti pašalintos atnaujinant įrodymų tyrimo stadiją (BPK 295 str</w:t>
      </w:r>
      <w:r w:rsidR="00664A6D">
        <w:rPr>
          <w:rFonts w:eastAsia="Times New Roman"/>
        </w:rPr>
        <w:t>aipsnio</w:t>
      </w:r>
      <w:r w:rsidRPr="007E32DD">
        <w:rPr>
          <w:rFonts w:eastAsia="Times New Roman"/>
        </w:rPr>
        <w:t xml:space="preserve"> 1 d</w:t>
      </w:r>
      <w:r w:rsidR="00664A6D">
        <w:rPr>
          <w:rFonts w:eastAsia="Times New Roman"/>
        </w:rPr>
        <w:t>alis</w:t>
      </w:r>
      <w:r w:rsidRPr="007E32DD">
        <w:rPr>
          <w:rFonts w:eastAsia="Times New Roman"/>
        </w:rPr>
        <w:t>).</w:t>
      </w:r>
    </w:p>
    <w:p w:rsidR="001559CF" w:rsidRPr="007E32DD" w:rsidRDefault="001559CF" w:rsidP="00792810">
      <w:pPr>
        <w:tabs>
          <w:tab w:val="left" w:pos="851"/>
        </w:tabs>
        <w:spacing w:line="360" w:lineRule="auto"/>
        <w:ind w:firstLine="851"/>
        <w:jc w:val="both"/>
        <w:rPr>
          <w:rFonts w:eastAsia="Times New Roman"/>
        </w:rPr>
      </w:pPr>
      <w:r w:rsidRPr="007E32DD">
        <w:rPr>
          <w:rFonts w:eastAsia="Times New Roman"/>
        </w:rPr>
        <w:t>Pirmos ir apeliacinės instancijos teismai kartais skirtingai vertina privataus kaltintojo neatvykimo į taikinamąjį posėdį ir teisiamąjį posėdį be svarbios priežasties pasekmes: „</w:t>
      </w:r>
      <w:proofErr w:type="gramStart"/>
      <w:r w:rsidRPr="007E32DD">
        <w:rPr>
          <w:rFonts w:eastAsia="Times New Roman"/>
        </w:rPr>
        <w:t>[</w:t>
      </w:r>
      <w:proofErr w:type="gramEnd"/>
      <w:r w:rsidRPr="007E32DD">
        <w:rPr>
          <w:rFonts w:eastAsia="Times New Roman"/>
        </w:rPr>
        <w:t xml:space="preserve">...] </w:t>
      </w:r>
      <w:r w:rsidRPr="007E32DD">
        <w:rPr>
          <w:rFonts w:eastAsia="Times New Roman"/>
          <w:i/>
        </w:rPr>
        <w:t xml:space="preserve">Nagrinėjant šios baudžiamosios bylos nutraukimo klausimą apeliacine tvarka trečią kartą, akivaizdu, kad bylos teisminiam nagrinėjimui tęsiantis nuo 2005-01-05, ko priežastis yra nuolatiniai teismo posėdžių atidėjimai dėl nukentėjusiojo – privataus kaltintojo neatvykimo, grubiai pažeidžiamos nusikalstamų veikų padarymu kaltinamos L. K. teisės į greitą ir nešališką bylos išnagrinėjimą. </w:t>
      </w:r>
      <w:r w:rsidRPr="007E32DD">
        <w:rPr>
          <w:rFonts w:eastAsia="Times New Roman"/>
        </w:rPr>
        <w:t xml:space="preserve">[...] </w:t>
      </w:r>
      <w:r w:rsidRPr="007E32DD">
        <w:rPr>
          <w:rFonts w:eastAsia="Times New Roman"/>
          <w:i/>
        </w:rPr>
        <w:t xml:space="preserve">Nors į vėlesnius posėdžius A. B. ir atvykdavo, tačiau sudarydavo kliūtis pradėti bylą nagrinėti iš esmės, todėl pirmosios instancijos teismas pagrįstai pripažino tokį nukentėjusiojo elgesį kaip normalaus teismo darbo trukdymą ir kaltinamosios L. K. teisių per kuo trumpiausią </w:t>
      </w:r>
      <w:r w:rsidRPr="007E32DD">
        <w:rPr>
          <w:rFonts w:eastAsia="Times New Roman"/>
          <w:i/>
        </w:rPr>
        <w:lastRenderedPageBreak/>
        <w:t>laiką teisingai išnagrinėti bylą lygybės ir viešumo sąlygomis pažeidimą.</w:t>
      </w:r>
      <w:r w:rsidRPr="007E32DD">
        <w:rPr>
          <w:rFonts w:eastAsia="Times New Roman"/>
        </w:rPr>
        <w:t>“</w:t>
      </w:r>
      <w:r w:rsidR="00406663">
        <w:rPr>
          <w:rFonts w:eastAsia="Times New Roman"/>
        </w:rPr>
        <w:t xml:space="preserve"> </w:t>
      </w:r>
      <w:r w:rsidRPr="007E32DD">
        <w:rPr>
          <w:rFonts w:eastAsia="Times New Roman"/>
          <w:vertAlign w:val="superscript"/>
        </w:rPr>
        <w:footnoteReference w:id="763"/>
      </w:r>
      <w:r w:rsidRPr="007E32DD">
        <w:rPr>
          <w:rFonts w:eastAsia="Times New Roman"/>
        </w:rPr>
        <w:t xml:space="preserve"> Vertinant privataus kaltintojo neatvykimo į teisiamąjį posėdį priežastis būtina atsižvelgti tiek į nukentėjusiojo iniciatyvą informuoti teismą, imtis visų priemonių, kad pašalintų kliūtis, trukdančias jam dalyvauti teismo posėdyje, į objektyvias jo neatvykimo priežastis, tiek į kaltinamojo teis</w:t>
      </w:r>
      <w:r w:rsidR="00312DB5">
        <w:rPr>
          <w:rFonts w:eastAsia="Times New Roman"/>
        </w:rPr>
        <w:t>ės</w:t>
      </w:r>
      <w:r w:rsidRPr="007E32DD">
        <w:rPr>
          <w:rFonts w:eastAsia="Times New Roman"/>
        </w:rPr>
        <w:t xml:space="preserve"> į teisingą teismą užtikrinimą. </w:t>
      </w:r>
      <w:r w:rsidRPr="007E32DD">
        <w:rPr>
          <w:rFonts w:eastAsia="Times New Roman"/>
          <w:vertAlign w:val="superscript"/>
        </w:rPr>
        <w:footnoteReference w:id="764"/>
      </w:r>
    </w:p>
    <w:p w:rsidR="007E32DD" w:rsidRPr="007E32DD" w:rsidRDefault="007E32DD" w:rsidP="00F93861">
      <w:pPr>
        <w:pStyle w:val="Antrat3"/>
        <w:numPr>
          <w:ilvl w:val="1"/>
          <w:numId w:val="25"/>
        </w:numPr>
      </w:pPr>
      <w:bookmarkStart w:id="412" w:name="_Toc400321713"/>
      <w:r w:rsidRPr="007E32DD">
        <w:t>Atsakomybė už nepagrįstą kaltinimą</w:t>
      </w:r>
      <w:bookmarkEnd w:id="412"/>
    </w:p>
    <w:p w:rsidR="007E32DD" w:rsidRPr="007E32DD" w:rsidRDefault="00860446" w:rsidP="00312DB5">
      <w:pPr>
        <w:spacing w:line="360" w:lineRule="auto"/>
        <w:ind w:firstLine="851"/>
        <w:jc w:val="both"/>
        <w:rPr>
          <w:rFonts w:eastAsia="Times New Roman"/>
        </w:rPr>
      </w:pPr>
      <w:r>
        <w:rPr>
          <w:rFonts w:eastAsia="Times New Roman"/>
        </w:rPr>
        <w:t>Be jau nagrinėto teisinio reguliavimo, numatančio privataus kaltinimo proceso perėji</w:t>
      </w:r>
      <w:r w:rsidR="0029302C">
        <w:rPr>
          <w:rFonts w:eastAsia="Times New Roman"/>
        </w:rPr>
        <w:t>mo į bendrą proceso formą atvejus</w:t>
      </w:r>
      <w:r>
        <w:rPr>
          <w:rFonts w:eastAsia="Times New Roman"/>
        </w:rPr>
        <w:t>, n</w:t>
      </w:r>
      <w:r w:rsidR="007E32DD" w:rsidRPr="007E32DD">
        <w:rPr>
          <w:rFonts w:eastAsia="Times New Roman"/>
        </w:rPr>
        <w:t>ukentėjusiojo dispozityvumą sprendžiant dėl kaltininko baudžiamojo persekiojimo pradėjimo riboja draudimas piktnaudžia</w:t>
      </w:r>
      <w:r>
        <w:rPr>
          <w:rFonts w:eastAsia="Times New Roman"/>
        </w:rPr>
        <w:t>uti teise</w:t>
      </w:r>
      <w:r w:rsidR="007E32DD" w:rsidRPr="007E32DD">
        <w:rPr>
          <w:rFonts w:eastAsia="Times New Roman"/>
        </w:rPr>
        <w:t xml:space="preserve">. Konstitucinėje jurisprudencijoje taip pat </w:t>
      </w:r>
      <w:r>
        <w:rPr>
          <w:rFonts w:eastAsia="Times New Roman"/>
        </w:rPr>
        <w:t>pabrėžiama galimybė</w:t>
      </w:r>
      <w:r w:rsidR="00D303C4">
        <w:rPr>
          <w:rFonts w:eastAsia="Times New Roman"/>
        </w:rPr>
        <w:t xml:space="preserve"> </w:t>
      </w:r>
      <w:r w:rsidR="00406663">
        <w:rPr>
          <w:rFonts w:eastAsia="Times New Roman"/>
        </w:rPr>
        <w:t>„</w:t>
      </w:r>
      <w:r w:rsidR="007E32DD" w:rsidRPr="007E32DD">
        <w:rPr>
          <w:rFonts w:eastAsia="Times New Roman"/>
          <w:i/>
        </w:rPr>
        <w:t>reglamentuojan</w:t>
      </w:r>
      <w:r>
        <w:rPr>
          <w:rFonts w:eastAsia="Times New Roman"/>
          <w:i/>
        </w:rPr>
        <w:t>t baudžiamojo proceso santykius</w:t>
      </w:r>
      <w:r w:rsidR="007E32DD" w:rsidRPr="007E32DD">
        <w:rPr>
          <w:rFonts w:eastAsia="Times New Roman"/>
          <w:i/>
        </w:rPr>
        <w:t xml:space="preserve"> nustatyti ir tokį teisinį reguliavimą, kad nebūtų leidžiama asmeniui piktnaudžiauti konstitucine teise kreiptis į teismą, kai tokiam kreipimuisi nėra jokio pagrindo</w:t>
      </w:r>
      <w:r w:rsidR="00406663">
        <w:rPr>
          <w:rFonts w:eastAsia="Times New Roman"/>
          <w:i/>
        </w:rPr>
        <w:t>“</w:t>
      </w:r>
      <w:r w:rsidR="007E32DD" w:rsidRPr="007E32DD">
        <w:rPr>
          <w:rFonts w:eastAsia="Times New Roman"/>
        </w:rPr>
        <w:t xml:space="preserve">. </w:t>
      </w:r>
      <w:r w:rsidR="007E32DD" w:rsidRPr="007E32DD">
        <w:rPr>
          <w:vertAlign w:val="superscript"/>
        </w:rPr>
        <w:footnoteReference w:id="765"/>
      </w:r>
      <w:r w:rsidR="007E32DD" w:rsidRPr="007E32DD">
        <w:rPr>
          <w:rFonts w:eastAsia="Times New Roman"/>
        </w:rPr>
        <w:t xml:space="preserve"> Siekiant užkirsti kelią nukentėjusiajam piktnaudžiauti privataus kaltinimo teise, privataus kaltinimo proceso reglamentavime numatoma privataus kaltintojo atsakomybė, nepasitvirtinus kaltinimui. Šias priemones paanalizuosime lyginamuoju aspektu bei </w:t>
      </w:r>
      <w:r w:rsidR="00312DB5">
        <w:rPr>
          <w:rFonts w:eastAsia="Times New Roman"/>
        </w:rPr>
        <w:t>jų įtvirtinimą galiojančiuose teisės aktuose</w:t>
      </w:r>
      <w:r w:rsidR="007E32DD" w:rsidRPr="007E32DD">
        <w:rPr>
          <w:rFonts w:eastAsia="Times New Roman"/>
        </w:rPr>
        <w:t xml:space="preserve">. </w:t>
      </w:r>
    </w:p>
    <w:p w:rsidR="007E32DD" w:rsidRPr="007E32DD" w:rsidRDefault="007E32DD" w:rsidP="00312DB5">
      <w:pPr>
        <w:spacing w:line="360" w:lineRule="auto"/>
        <w:ind w:firstLine="851"/>
        <w:jc w:val="both"/>
        <w:rPr>
          <w:rFonts w:eastAsia="Times New Roman"/>
        </w:rPr>
      </w:pPr>
      <w:r w:rsidRPr="007E32DD">
        <w:rPr>
          <w:rFonts w:eastAsia="Times New Roman"/>
        </w:rPr>
        <w:t xml:space="preserve">Baudžiamasis persekiojimas asmeniui, kurio atžvilgiu jis vykdomas, lyginant su kitomis teisinėmis priemonėmis už teisės pažeidimus, sukelia daugiausiai neigiamo pobūdžio pasekmių ir sunkiausių procesinių apribojimų. Baudžiamoji atsakomybė yra sunkiausia asmens atsakomybės forma, todėl ir nukentėjusiojo kaltinimo teisė turi būti įgyvendinama atsakingai ir pagrįstai. </w:t>
      </w:r>
    </w:p>
    <w:p w:rsidR="007E32DD" w:rsidRPr="007E32DD" w:rsidRDefault="007E32DD" w:rsidP="00144A75">
      <w:pPr>
        <w:spacing w:line="360" w:lineRule="auto"/>
        <w:ind w:firstLine="851"/>
        <w:jc w:val="both"/>
        <w:rPr>
          <w:rFonts w:eastAsia="Times New Roman"/>
        </w:rPr>
      </w:pPr>
      <w:r w:rsidRPr="007E32DD">
        <w:rPr>
          <w:rFonts w:eastAsia="Times New Roman"/>
        </w:rPr>
        <w:t>Piktnaudžiavimas teise yra toks pat senas reiškinys kaip ir teisė. Todėl</w:t>
      </w:r>
      <w:r w:rsidR="00D303C4">
        <w:rPr>
          <w:rFonts w:eastAsia="Times New Roman"/>
        </w:rPr>
        <w:t>,</w:t>
      </w:r>
      <w:r w:rsidRPr="007E32DD">
        <w:rPr>
          <w:rFonts w:eastAsia="Times New Roman"/>
        </w:rPr>
        <w:t xml:space="preserve"> tyrinėdami privataus kaltinimo teisės istoriją, matome, kad nuo senų laikų buvo numatytos priemonės, kuriomis buvo siekiama užkirsti kelią piktnaudžiavimui privataus kaltinimo teise ir numatyti atsakomybę už melagingus </w:t>
      </w:r>
      <w:r w:rsidR="00312DB5">
        <w:rPr>
          <w:rFonts w:eastAsia="Times New Roman"/>
        </w:rPr>
        <w:t>bei</w:t>
      </w:r>
      <w:r w:rsidRPr="007E32DD">
        <w:rPr>
          <w:rFonts w:eastAsia="Times New Roman"/>
        </w:rPr>
        <w:t xml:space="preserve"> nepagrįstus kaltinimus.</w:t>
      </w:r>
      <w:r w:rsidR="00406663">
        <w:rPr>
          <w:rFonts w:eastAsia="Times New Roman"/>
        </w:rPr>
        <w:t xml:space="preserve"> </w:t>
      </w:r>
      <w:r w:rsidR="00144A75">
        <w:rPr>
          <w:rStyle w:val="Puslapioinaosnuoroda"/>
          <w:rFonts w:eastAsia="Times New Roman"/>
        </w:rPr>
        <w:footnoteReference w:id="766"/>
      </w:r>
      <w:r w:rsidRPr="007E32DD">
        <w:rPr>
          <w:rFonts w:eastAsia="Times New Roman"/>
        </w:rPr>
        <w:t xml:space="preserve"> Kai kurios priemonės buvo iš tiesų išradingos, todėl </w:t>
      </w:r>
      <w:r w:rsidR="00144A75">
        <w:rPr>
          <w:rFonts w:eastAsia="Times New Roman"/>
        </w:rPr>
        <w:lastRenderedPageBreak/>
        <w:t>manytina</w:t>
      </w:r>
      <w:r w:rsidRPr="007E32DD">
        <w:rPr>
          <w:rFonts w:eastAsia="Times New Roman"/>
        </w:rPr>
        <w:t>, kad jos buvo skirtos ne vien tik numatyti atsakomybę už nepagrįstus kaltinimus, bet ir demotyvuoti nukentėjusiuosius bylinėtis.</w:t>
      </w:r>
      <w:r w:rsidR="00D303C4">
        <w:rPr>
          <w:rFonts w:eastAsia="Times New Roman"/>
        </w:rPr>
        <w:t xml:space="preserve"> </w:t>
      </w:r>
      <w:r w:rsidRPr="007E32DD">
        <w:rPr>
          <w:rFonts w:eastAsia="Times New Roman"/>
        </w:rPr>
        <w:t>Šiuolaikinių valstybių baudžiamojo proceso teisėje taip pat numatyta atsakomybė už nepagrįstą kaltinimą. Atsakomybės pobūdis ir taikomos priemonės skirtingų valstybių įstatymuose skiriasi.</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Atsakomybė baudžiamajame procese yra ribojantis mechanizmas, kuris kartu su kitomis garantijomis užtikrina visišką subjektyvių teisių įgyvendinimą, apsaugo jas nuo pažeidimų, ir kartu geriausiai patenkina baudžiamojo proceso dalyvių teisėtus interesus ir socialines reikmes. </w:t>
      </w:r>
      <w:r w:rsidRPr="007E32DD">
        <w:rPr>
          <w:rFonts w:eastAsia="Times New Roman"/>
          <w:vertAlign w:val="superscript"/>
        </w:rPr>
        <w:footnoteReference w:id="767"/>
      </w:r>
      <w:r w:rsidRPr="007E32DD">
        <w:rPr>
          <w:rFonts w:eastAsia="Times New Roman"/>
        </w:rPr>
        <w:t xml:space="preserve"> Kaltintojo pareiga pagrįsti kaltinimą kyla ne prieš valstybę, iš kurios jis reikalauja taikyti bausmę kitam asmeniui, o prieš kaltinamąjį, kuris dėl to patiria tam tikras kančias, savo teisių suvaržymus, susijusi</w:t>
      </w:r>
      <w:r w:rsidR="00D303C4">
        <w:rPr>
          <w:rFonts w:eastAsia="Times New Roman"/>
        </w:rPr>
        <w:t>u</w:t>
      </w:r>
      <w:r w:rsidRPr="007E32DD">
        <w:rPr>
          <w:rFonts w:eastAsia="Times New Roman"/>
        </w:rPr>
        <w:t xml:space="preserve">s su baudžiamuoju persekiojimu. Teismui priėmus išteisinamąjį nuosprendį, pareiga įrodyti yra neįvykdyta, todėl kaltintojui turi kilti tam tikra procesinė atsakomybė. </w:t>
      </w:r>
      <w:r w:rsidRPr="007E32DD">
        <w:rPr>
          <w:rFonts w:eastAsia="Times New Roman"/>
          <w:vertAlign w:val="superscript"/>
        </w:rPr>
        <w:footnoteReference w:id="768"/>
      </w:r>
      <w:r w:rsidRPr="007E32DD">
        <w:rPr>
          <w:rFonts w:eastAsia="Times New Roman"/>
        </w:rPr>
        <w:t xml:space="preserve"> Pagal A. Vaišvilos suformuotą subjektinių teisių ir pareigų vienovės koncepciją, nėra subjektinių teisių be pareigų, ir pareigų, kurios nesukurtų subjektinių teisių. </w:t>
      </w:r>
      <w:r w:rsidRPr="007E32DD">
        <w:rPr>
          <w:rFonts w:eastAsia="Times New Roman"/>
          <w:vertAlign w:val="superscript"/>
        </w:rPr>
        <w:footnoteReference w:id="769"/>
      </w:r>
      <w:r w:rsidR="00A07B34">
        <w:rPr>
          <w:rFonts w:eastAsia="Times New Roman"/>
        </w:rPr>
        <w:t xml:space="preserve"> Privačiam</w:t>
      </w:r>
      <w:r w:rsidRPr="007E32DD">
        <w:rPr>
          <w:rFonts w:eastAsia="Times New Roman"/>
        </w:rPr>
        <w:t xml:space="preserve"> kaltin</w:t>
      </w:r>
      <w:r w:rsidR="00A07B34">
        <w:rPr>
          <w:rFonts w:eastAsia="Times New Roman"/>
        </w:rPr>
        <w:t>tojui</w:t>
      </w:r>
      <w:r w:rsidRPr="007E32DD">
        <w:rPr>
          <w:rFonts w:eastAsia="Times New Roman"/>
        </w:rPr>
        <w:t xml:space="preserve"> neįvykdžius pareigos įrodyti </w:t>
      </w:r>
      <w:r w:rsidRPr="007E32DD">
        <w:rPr>
          <w:rFonts w:eastAsia="Times New Roman"/>
        </w:rPr>
        <w:lastRenderedPageBreak/>
        <w:t>savo iškeltą kaltinimą</w:t>
      </w:r>
      <w:r w:rsidR="00D303C4">
        <w:rPr>
          <w:rFonts w:eastAsia="Times New Roman"/>
        </w:rPr>
        <w:t>,</w:t>
      </w:r>
      <w:r w:rsidRPr="007E32DD">
        <w:rPr>
          <w:rFonts w:eastAsia="Times New Roman"/>
        </w:rPr>
        <w:t xml:space="preserve"> atsiranda pagrindas taikyti </w:t>
      </w:r>
      <w:r w:rsidR="00A07B34">
        <w:rPr>
          <w:rFonts w:eastAsia="Times New Roman"/>
        </w:rPr>
        <w:t xml:space="preserve">jam </w:t>
      </w:r>
      <w:r w:rsidRPr="007E32DD">
        <w:rPr>
          <w:rFonts w:eastAsia="Times New Roman"/>
        </w:rPr>
        <w:t xml:space="preserve">procesinės atsakomybės priemones. Pagal taikymo momentą išskirtinos perspektyvinės priemonės, skirtos išvengti nepagrįstų kaltinimų, ir retrospektyvinė atsakomybė už nepagrįstą kaltinimą. </w:t>
      </w:r>
    </w:p>
    <w:p w:rsidR="007E32DD" w:rsidRPr="007E32DD" w:rsidRDefault="007E32DD" w:rsidP="007E32DD">
      <w:pPr>
        <w:spacing w:line="360" w:lineRule="auto"/>
        <w:ind w:firstLine="1080"/>
        <w:jc w:val="both"/>
        <w:rPr>
          <w:rFonts w:eastAsia="Times New Roman"/>
        </w:rPr>
      </w:pPr>
      <w:r w:rsidRPr="007E32DD">
        <w:rPr>
          <w:rFonts w:eastAsia="Times New Roman"/>
        </w:rPr>
        <w:t xml:space="preserve">Jei privatus kaltintojas negali įrodyti savo kaltinamųjų teiginių, laikytina, kad jo kaltinimas nepagrįstas, tačiau įstatymas numato minimalias teisines pasekmes privačiam kaltintojui, jei jo kaltinimas nepasitvirtino dėl įrodymų stokos. </w:t>
      </w:r>
      <w:r w:rsidRPr="007E32DD">
        <w:rPr>
          <w:rFonts w:eastAsia="Times New Roman"/>
          <w:vertAlign w:val="superscript"/>
        </w:rPr>
        <w:footnoteReference w:id="770"/>
      </w:r>
      <w:r w:rsidRPr="007E32DD">
        <w:rPr>
          <w:rFonts w:eastAsia="Times New Roman"/>
        </w:rPr>
        <w:t xml:space="preserve"> Tokia pozityviosios teisės nuostata kyla iš siekio užtikrinti nukentėjusiajam teisę į teismą bei atsižvelgiant į tai, kad įrodinėjimo procese jis nėra profesionalas. Sankcijų už nesugebėjimą pagrįsti kaltinimą grėsmė būtų kliūtis nukentėjusiajam ginti savo teises ir teisėtus interesus privataus kaltinimo tvarka. Todėl tiek Lietuvoje, tiek užsienio šalių baudžiamuosiuose procesuose paprastai numatoma atsakomybė tik už proceso išlaidas. </w:t>
      </w:r>
    </w:p>
    <w:p w:rsidR="007E32DD" w:rsidRPr="007E32DD" w:rsidRDefault="007E32DD" w:rsidP="007E32DD">
      <w:pPr>
        <w:spacing w:line="360" w:lineRule="auto"/>
        <w:ind w:firstLine="1080"/>
        <w:jc w:val="both"/>
        <w:rPr>
          <w:rFonts w:eastAsia="Times New Roman"/>
        </w:rPr>
      </w:pPr>
      <w:r w:rsidRPr="007E32DD">
        <w:rPr>
          <w:rFonts w:eastAsia="Times New Roman"/>
        </w:rPr>
        <w:t>Bendrojoje baudžiamojo proceso formoje proceso išlaidų prasme šalys nėra lygiavertės, kadangi viena iš jų yra valstybė, todėl sprendžiama tik kaltinamojo atsakomybė už proceso išlaidas. Privataus kaltinimo bylų procese atsakomybė už proceso išlaidas turi daug panašumų su bylinėjimosi išlaidų institutu civiliniu procesu. Šiuos panašumus lemia tai, kad proceso šalys yra lygiateisiai privatūs asmenys. R. Simaitis išskiria tokias pagrindines bylinėjimosi (teismo) išlaidų instituto civiliniame procese funkcijas:</w:t>
      </w:r>
      <w:r w:rsidR="00406663">
        <w:rPr>
          <w:rFonts w:eastAsia="Times New Roman"/>
        </w:rPr>
        <w:t xml:space="preserve"> </w:t>
      </w:r>
      <w:r w:rsidRPr="007E32DD">
        <w:rPr>
          <w:vertAlign w:val="superscript"/>
        </w:rPr>
        <w:footnoteReference w:id="771"/>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t xml:space="preserve">Nustatyti šalių prisidėjimo finansuojant teisingumo vykdymą mechanizmą; </w:t>
      </w:r>
      <w:r w:rsidRPr="007E32DD">
        <w:rPr>
          <w:vertAlign w:val="superscript"/>
        </w:rPr>
        <w:footnoteReference w:id="772"/>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t>Teikti finansinę pagalbą nepasiturintiems proceso dalyviams;</w:t>
      </w:r>
      <w:r w:rsidR="00406663">
        <w:rPr>
          <w:rFonts w:eastAsia="Times New Roman"/>
        </w:rPr>
        <w:t xml:space="preserve"> </w:t>
      </w:r>
      <w:r w:rsidRPr="007E32DD">
        <w:rPr>
          <w:vertAlign w:val="superscript"/>
        </w:rPr>
        <w:footnoteReference w:id="773"/>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t>Užtikrinti proceso veiksmingumą ir kokybę;</w:t>
      </w:r>
      <w:r w:rsidR="00406663">
        <w:rPr>
          <w:rFonts w:eastAsia="Times New Roman"/>
        </w:rPr>
        <w:t xml:space="preserve"> </w:t>
      </w:r>
      <w:r w:rsidRPr="007E32DD">
        <w:rPr>
          <w:vertAlign w:val="superscript"/>
        </w:rPr>
        <w:footnoteReference w:id="774"/>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lastRenderedPageBreak/>
        <w:t>Atlyginti byloje dalyvaujantiems asmenims bylinėjimosi išlaidas (išlaidų kompensacijos);</w:t>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t xml:space="preserve">Reguliuoti byloje dalyvaujančių asmenų procesinį elgesį; </w:t>
      </w:r>
      <w:r w:rsidRPr="007E32DD">
        <w:rPr>
          <w:vertAlign w:val="superscript"/>
        </w:rPr>
        <w:footnoteReference w:id="775"/>
      </w:r>
    </w:p>
    <w:p w:rsidR="007E32DD" w:rsidRPr="007E32DD" w:rsidRDefault="007E32DD" w:rsidP="00755132">
      <w:pPr>
        <w:numPr>
          <w:ilvl w:val="0"/>
          <w:numId w:val="18"/>
        </w:numPr>
        <w:spacing w:line="360" w:lineRule="auto"/>
        <w:ind w:left="0" w:firstLine="709"/>
        <w:jc w:val="both"/>
        <w:rPr>
          <w:rFonts w:eastAsia="Times New Roman"/>
        </w:rPr>
      </w:pPr>
      <w:r w:rsidRPr="007E32DD">
        <w:rPr>
          <w:rFonts w:eastAsia="Times New Roman"/>
        </w:rPr>
        <w:t xml:space="preserve">Užkardyti piktnaudžiavimą procesu (nepagrįstų kreipimųsi į teismą prevencija). </w:t>
      </w:r>
    </w:p>
    <w:p w:rsidR="00765A6D" w:rsidRDefault="007E32DD" w:rsidP="00765A6D">
      <w:pPr>
        <w:spacing w:line="360" w:lineRule="auto"/>
        <w:ind w:firstLine="720"/>
        <w:jc w:val="both"/>
        <w:rPr>
          <w:rFonts w:eastAsia="Times New Roman"/>
        </w:rPr>
      </w:pPr>
      <w:r w:rsidRPr="007E32DD">
        <w:rPr>
          <w:rFonts w:eastAsia="Times New Roman"/>
        </w:rPr>
        <w:t xml:space="preserve">Šias bylinėjimosi išlaidų funkcijas su išlygomis pripažįstant ir baudžiamajame procese, konstatuotina, kad pagrindinė proceso išlaidų paskirtis yra privataus kaltinimo byloje dalyvaujančių asmenų bylinėjimosi išlaidų atlyginimas ir piktnaudžiavimo procesu užkardymas. Proceso išlaidų atlyginimas laikytinas privataus kaltintojo procesinės atsakomybės forma, kadangi atsakomybė už proceso išlaidas priklauso nuo privataus kaltintojo kaltinamosios veiklos rezultatų ir vertintina kaip teisinės pasekmės. </w:t>
      </w:r>
    </w:p>
    <w:p w:rsidR="00765A6D" w:rsidRDefault="007E32DD" w:rsidP="00765A6D">
      <w:pPr>
        <w:spacing w:line="360" w:lineRule="auto"/>
        <w:ind w:firstLine="720"/>
        <w:jc w:val="both"/>
        <w:rPr>
          <w:rFonts w:eastAsia="Times New Roman"/>
        </w:rPr>
      </w:pPr>
      <w:r w:rsidRPr="007E32DD">
        <w:rPr>
          <w:rFonts w:eastAsia="Times New Roman"/>
        </w:rPr>
        <w:t xml:space="preserve">Civilinio proceso teorijoje bylinėjimosi išlaidos klasifikuojamos į „teismo mokesčius“ (žyminis mokestis) ir bylinėjimosi išlaidas. </w:t>
      </w:r>
      <w:r w:rsidRPr="007E32DD">
        <w:rPr>
          <w:vertAlign w:val="superscript"/>
        </w:rPr>
        <w:footnoteReference w:id="776"/>
      </w:r>
      <w:r w:rsidRPr="007E32DD">
        <w:rPr>
          <w:rFonts w:eastAsia="Times New Roman"/>
        </w:rPr>
        <w:t xml:space="preserve"> Toks skirstymas galimas ir baudžiamojo proceso teorijoje, kadangi nemažai užsienio valstybių numato žyminį mokes</w:t>
      </w:r>
      <w:r w:rsidR="00406663">
        <w:rPr>
          <w:rFonts w:eastAsia="Times New Roman"/>
        </w:rPr>
        <w:t>tį privataus kaltinimo skundui.</w:t>
      </w:r>
      <w:r w:rsidRPr="007E32DD">
        <w:rPr>
          <w:vertAlign w:val="superscript"/>
        </w:rPr>
        <w:footnoteReference w:id="777"/>
      </w:r>
      <w:r w:rsidRPr="007E32DD">
        <w:rPr>
          <w:rFonts w:eastAsia="Times New Roman"/>
        </w:rPr>
        <w:t xml:space="preserve"> Tačiau Lietuvos pozityviojoje teisėje žyminis mokestis baudžiamojoje teisenoje nėra numatytas, todėl galime nagrinėti tik išlaidų, susijusių su bylos nagrinėjimu, atlyginimo institutą, kuris nagrinėjamu aspektu vertintinas kaip atsakomybės už nepagrįstą privatų kaltinimą forma. Ši atsakomybė grindžiama Konstitucijos 28 str</w:t>
      </w:r>
      <w:r w:rsidR="00144A75">
        <w:rPr>
          <w:rFonts w:eastAsia="Times New Roman"/>
        </w:rPr>
        <w:t>aipsnyje</w:t>
      </w:r>
      <w:r w:rsidRPr="007E32DD">
        <w:rPr>
          <w:rFonts w:eastAsia="Times New Roman"/>
        </w:rPr>
        <w:t xml:space="preserve"> įtvirtintu draudimu įgyvendinant savo teises varžyti kitų žmonių teises ir laisves. Priimti sprendimą dėl proceso išlaidų konkrečiu atveju yra teismo prerogatyva. Kai kaltinamasis išteisinamas baudžiamojoje byloje, pradėtoje tik pagal nukentėjusiojo pareiškimą, teismas turi teisę nuspręsti, kad visas proceso išlaidas ar jų dalį apmoka asmuo, pagal kurio pareiškimą buvo pradėtas procesas (BPK 105 str</w:t>
      </w:r>
      <w:r w:rsidR="00144A75">
        <w:rPr>
          <w:rFonts w:eastAsia="Times New Roman"/>
        </w:rPr>
        <w:t>aipsnio</w:t>
      </w:r>
      <w:r w:rsidRPr="007E32DD">
        <w:rPr>
          <w:rFonts w:eastAsia="Times New Roman"/>
        </w:rPr>
        <w:t xml:space="preserve"> 6 d</w:t>
      </w:r>
      <w:r w:rsidR="00144A75">
        <w:rPr>
          <w:rFonts w:eastAsia="Times New Roman"/>
        </w:rPr>
        <w:t>alis</w:t>
      </w:r>
      <w:r w:rsidRPr="007E32DD">
        <w:rPr>
          <w:rFonts w:eastAsia="Times New Roman"/>
        </w:rPr>
        <w:t xml:space="preserve">). Proceso išlaidų paskirstymas šalims priklauso nuo šalių kaltės, nors teismų praktikoje kiekvienas atvejis individualizuojamas priklausomai ir nuo šalių finansinės padėties: </w:t>
      </w:r>
      <w:r w:rsidR="00A07B34">
        <w:rPr>
          <w:rFonts w:eastAsia="Times New Roman"/>
        </w:rPr>
        <w:t>„t</w:t>
      </w:r>
      <w:r w:rsidRPr="007E32DD">
        <w:rPr>
          <w:rFonts w:eastAsia="Times New Roman"/>
          <w:i/>
        </w:rPr>
        <w:t xml:space="preserve">eisėjų kolegija atsižvelgia į </w:t>
      </w:r>
      <w:r w:rsidRPr="007E32DD">
        <w:rPr>
          <w:rFonts w:eastAsia="Times New Roman"/>
          <w:i/>
        </w:rPr>
        <w:lastRenderedPageBreak/>
        <w:t>pateiktų nusikalstamų veikų pobūdį ir sunkumą (nesunkūs nusikaltimai), suteiktos pagalbos kompleksiškumą, specialių žinių reikalingumą, sprendžiamų teisinių klausimų naujumą, teisinei pagalbai teikti skirtą laiką. [...], be to, atsižvelgtina ir į privačios kaltintojos dabartinę turtinę padėtį.</w:t>
      </w:r>
      <w:r w:rsidR="00A07B34">
        <w:rPr>
          <w:rFonts w:eastAsia="Times New Roman"/>
          <w:i/>
        </w:rPr>
        <w:t xml:space="preserve">“ </w:t>
      </w:r>
      <w:r w:rsidRPr="007E32DD">
        <w:rPr>
          <w:vertAlign w:val="superscript"/>
        </w:rPr>
        <w:footnoteReference w:id="778"/>
      </w:r>
      <w:r w:rsidRPr="007E32DD">
        <w:rPr>
          <w:rFonts w:eastAsia="Times New Roman"/>
        </w:rPr>
        <w:t xml:space="preserve"> Jeigu nustatoma, kad nukentėjusysis inicijavo procesą, neturėdamas tam pakankamo pagrindo, proceso išlaidos paprastai priteisiamos </w:t>
      </w:r>
      <w:r w:rsidR="0037439C">
        <w:rPr>
          <w:rFonts w:eastAsia="Times New Roman"/>
        </w:rPr>
        <w:t>iš jo</w:t>
      </w:r>
      <w:r w:rsidR="00A07B34">
        <w:rPr>
          <w:rFonts w:eastAsia="Times New Roman"/>
        </w:rPr>
        <w:t xml:space="preserve">. </w:t>
      </w:r>
      <w:r w:rsidRPr="007E32DD">
        <w:rPr>
          <w:vertAlign w:val="superscript"/>
        </w:rPr>
        <w:footnoteReference w:id="779"/>
      </w:r>
      <w:r w:rsidRPr="007E32DD">
        <w:rPr>
          <w:rFonts w:eastAsia="Times New Roman"/>
        </w:rPr>
        <w:t xml:space="preserve"> Civilinio proceso tvarka nagrinėjant teismo išlaidų privataus kaltinimo byloje klausimą, teismai remiasi ir civilinės teisės normomis, o būtent, pareiga elgtis apdairiai ir rūpestingai: „</w:t>
      </w:r>
      <w:proofErr w:type="gramStart"/>
      <w:r w:rsidRPr="007E32DD">
        <w:rPr>
          <w:rFonts w:eastAsia="Times New Roman"/>
        </w:rPr>
        <w:t>[</w:t>
      </w:r>
      <w:proofErr w:type="gramEnd"/>
      <w:r w:rsidRPr="007E32DD">
        <w:rPr>
          <w:rFonts w:eastAsia="Times New Roman"/>
        </w:rPr>
        <w:t>...]</w:t>
      </w:r>
      <w:r w:rsidR="00C50B77">
        <w:rPr>
          <w:rFonts w:eastAsia="Times New Roman"/>
        </w:rPr>
        <w:t xml:space="preserve"> </w:t>
      </w:r>
      <w:r w:rsidRPr="007E32DD">
        <w:rPr>
          <w:rFonts w:eastAsia="Times New Roman"/>
          <w:i/>
        </w:rPr>
        <w:t>atsakovė nepagrįstai apkaltino ieškovę nusikaltimo padarymu. [...] atsakovė, paduodama privataus kaltinimo pareiškimą prieš ieškovę be pagrindo, pažeidė CK 6.246 str. 1 d. bendro pobūdžio pareigą elgtis apdairiai ir rūpestingai, todėl turi prisiimti atsakomybę už ieškovės patirtas išlaidas, susijusias su jai iškeltos bylos nagrinėjimu.</w:t>
      </w:r>
      <w:r w:rsidR="00C50B77">
        <w:rPr>
          <w:rFonts w:eastAsia="Times New Roman"/>
          <w:i/>
        </w:rPr>
        <w:t>“</w:t>
      </w:r>
      <w:r w:rsidRPr="007E32DD">
        <w:rPr>
          <w:vertAlign w:val="superscript"/>
        </w:rPr>
        <w:footnoteReference w:id="780"/>
      </w:r>
    </w:p>
    <w:p w:rsidR="00765A6D" w:rsidRDefault="007E32DD" w:rsidP="00765A6D">
      <w:pPr>
        <w:spacing w:line="360" w:lineRule="auto"/>
        <w:ind w:firstLine="720"/>
        <w:jc w:val="both"/>
        <w:rPr>
          <w:rFonts w:eastAsia="Times New Roman"/>
        </w:rPr>
      </w:pPr>
      <w:r w:rsidRPr="007E32DD">
        <w:rPr>
          <w:rFonts w:eastAsia="Times New Roman"/>
        </w:rPr>
        <w:t xml:space="preserve">Įstatymas suteikia diskreciją teismui spręsti dėl proceso išlaidų atlyginimo, kai šalys susitaiko. Kai privataus kaltinimo procesas nutraukiamas, nes nukentėjusysis susitaikė su kaltinamuoju, teismas turi teisę nuspręsti, kad proceso išlaidas turi sumokėti kaltinamasis ir nukentėjusysis arba vienas iš jų (BPK 105 </w:t>
      </w:r>
      <w:r w:rsidR="00144A75">
        <w:rPr>
          <w:rFonts w:eastAsia="Times New Roman"/>
        </w:rPr>
        <w:t>straipsnio</w:t>
      </w:r>
      <w:r w:rsidRPr="007E32DD">
        <w:rPr>
          <w:rFonts w:eastAsia="Times New Roman"/>
        </w:rPr>
        <w:t xml:space="preserve"> 7 d</w:t>
      </w:r>
      <w:r w:rsidR="00144A75">
        <w:rPr>
          <w:rFonts w:eastAsia="Times New Roman"/>
        </w:rPr>
        <w:t>alis</w:t>
      </w:r>
      <w:r w:rsidRPr="007E32DD">
        <w:rPr>
          <w:rFonts w:eastAsia="Times New Roman"/>
        </w:rPr>
        <w:t xml:space="preserve">). Teismų praktikoje susitaikymo atveju kaltininko kaltė preziumuojama ir tai laikoma pagrindu </w:t>
      </w:r>
      <w:r w:rsidR="0037439C">
        <w:rPr>
          <w:rFonts w:eastAsia="Times New Roman"/>
        </w:rPr>
        <w:t>iš jo</w:t>
      </w:r>
      <w:r w:rsidRPr="007E32DD">
        <w:rPr>
          <w:rFonts w:eastAsia="Times New Roman"/>
        </w:rPr>
        <w:t xml:space="preserve"> priteisti bylinėjimosi išlaidas</w:t>
      </w:r>
      <w:r w:rsidR="00406663">
        <w:rPr>
          <w:rFonts w:eastAsia="Times New Roman"/>
        </w:rPr>
        <w:t>.</w:t>
      </w:r>
      <w:r w:rsidRPr="007E32DD">
        <w:rPr>
          <w:rFonts w:eastAsia="Times New Roman"/>
        </w:rPr>
        <w:t xml:space="preserve"> </w:t>
      </w:r>
      <w:r w:rsidRPr="007E32DD">
        <w:rPr>
          <w:rFonts w:eastAsia="Times New Roman"/>
          <w:vertAlign w:val="superscript"/>
        </w:rPr>
        <w:footnoteReference w:id="781"/>
      </w:r>
      <w:r w:rsidRPr="007E32DD">
        <w:rPr>
          <w:rFonts w:eastAsia="Times New Roman"/>
        </w:rPr>
        <w:t xml:space="preserve"> Proceso išlaidų atlyginimui turi įtakos ir ta aplinkybė, ar buvo paduotas priešpriešinis skundas. Jei </w:t>
      </w:r>
      <w:r w:rsidR="00765A6D">
        <w:rPr>
          <w:rFonts w:eastAsia="Times New Roman"/>
        </w:rPr>
        <w:t>kaltinamasis</w:t>
      </w:r>
      <w:r w:rsidRPr="007E32DD">
        <w:rPr>
          <w:rFonts w:eastAsia="Times New Roman"/>
        </w:rPr>
        <w:t xml:space="preserve"> paduoda priešpriešinį skundą, jis taip pat vykdo kaltinamąją veiklą, todėl proceso išlaidos patiriamos tiek ginantis nuo pareikšto kaltinimo, tiek kaltinant kitą asmenį. Tokiu atveju teismų praktikoje nukentėjusiajam nepriteisiamos proceso išlaidos iš kaltinamojo net ir tais atvejais</w:t>
      </w:r>
      <w:r w:rsidR="00144A75">
        <w:rPr>
          <w:rFonts w:eastAsia="Times New Roman"/>
        </w:rPr>
        <w:t>, kai kaltinimas nepasitvirtina</w:t>
      </w:r>
      <w:r w:rsidR="00406663">
        <w:rPr>
          <w:rFonts w:eastAsia="Times New Roman"/>
        </w:rPr>
        <w:t xml:space="preserve">. </w:t>
      </w:r>
      <w:r w:rsidRPr="007E32DD">
        <w:rPr>
          <w:vertAlign w:val="superscript"/>
        </w:rPr>
        <w:footnoteReference w:id="782"/>
      </w:r>
    </w:p>
    <w:p w:rsidR="00765A6D" w:rsidRDefault="007E32DD" w:rsidP="00765A6D">
      <w:pPr>
        <w:spacing w:line="360" w:lineRule="auto"/>
        <w:ind w:firstLine="720"/>
        <w:jc w:val="both"/>
        <w:rPr>
          <w:rFonts w:eastAsia="Times New Roman"/>
        </w:rPr>
      </w:pPr>
      <w:r w:rsidRPr="007E32DD">
        <w:rPr>
          <w:rFonts w:eastAsia="Times New Roman"/>
        </w:rPr>
        <w:t>Teismai pasisakė ir dėl teisės į neturtinės žalos atlyginimą, nepasitvirtinus kaltinimui privataus kaltinimo byloje: „</w:t>
      </w:r>
      <w:proofErr w:type="gramStart"/>
      <w:r w:rsidRPr="007E32DD">
        <w:rPr>
          <w:rFonts w:eastAsia="Times New Roman"/>
        </w:rPr>
        <w:t>[</w:t>
      </w:r>
      <w:proofErr w:type="gramEnd"/>
      <w:r w:rsidRPr="007E32DD">
        <w:rPr>
          <w:rFonts w:eastAsia="Times New Roman"/>
        </w:rPr>
        <w:t>...]</w:t>
      </w:r>
      <w:r w:rsidRPr="007E32DD">
        <w:rPr>
          <w:rFonts w:eastAsia="Times New Roman"/>
          <w:i/>
        </w:rPr>
        <w:t xml:space="preserve"> dėl nepagrįsto kaltinimo ieškovė patyrė neigiamus dvasinius išgyvenimus, nepagrįstas kaltinimas pakenkė jos reputacijai, jai buvo pritaikyta kardomoji priemonė [...], kas reiškia, kad buvo suvaržytos jos teises laisvai judėti, ir pan. Tačiau atsakovė V.</w:t>
      </w:r>
      <w:r w:rsidR="00406663">
        <w:rPr>
          <w:rFonts w:eastAsia="Times New Roman"/>
          <w:i/>
        </w:rPr>
        <w:t xml:space="preserve"> </w:t>
      </w:r>
      <w:r w:rsidRPr="007E32DD">
        <w:rPr>
          <w:rFonts w:eastAsia="Times New Roman"/>
          <w:i/>
        </w:rPr>
        <w:t>K. kreipėsi į teismą dėl baudžiamosios bylos iškėlimo privataus kaltinimo tvarka (BPK 407 str.), t.y. siekė apginti savo pažeistas teises baudžiamojo proceso kodekso numatyta tvarka; tai, kad ieškovė A.</w:t>
      </w:r>
      <w:r w:rsidR="00406663">
        <w:rPr>
          <w:rFonts w:eastAsia="Times New Roman"/>
          <w:i/>
        </w:rPr>
        <w:t xml:space="preserve"> </w:t>
      </w:r>
      <w:r w:rsidRPr="007E32DD">
        <w:rPr>
          <w:rFonts w:eastAsia="Times New Roman"/>
          <w:i/>
        </w:rPr>
        <w:t>D. buvo išteisinta, nepaneigė atsakovės V.</w:t>
      </w:r>
      <w:r w:rsidR="00406663">
        <w:rPr>
          <w:rFonts w:eastAsia="Times New Roman"/>
          <w:i/>
        </w:rPr>
        <w:t xml:space="preserve"> </w:t>
      </w:r>
      <w:r w:rsidRPr="007E32DD">
        <w:rPr>
          <w:rFonts w:eastAsia="Times New Roman"/>
          <w:i/>
        </w:rPr>
        <w:t xml:space="preserve">K. veiksmų teisėtumo. Įstatymas nenumato neturtinės žalos atlyginimo tuo atveju, jeigu kaltinimas privataus kaltinimo bylose nepasitvirtino, taigi ieškovė </w:t>
      </w:r>
      <w:r w:rsidRPr="007E32DD">
        <w:rPr>
          <w:rFonts w:eastAsia="Times New Roman"/>
          <w:i/>
        </w:rPr>
        <w:lastRenderedPageBreak/>
        <w:t>neįgijo teisės į neturtinės žalos atlyginimą.“</w:t>
      </w:r>
      <w:r w:rsidR="00406663">
        <w:rPr>
          <w:rFonts w:eastAsia="Times New Roman"/>
          <w:i/>
        </w:rPr>
        <w:t xml:space="preserve"> </w:t>
      </w:r>
      <w:r w:rsidRPr="007E32DD">
        <w:rPr>
          <w:vertAlign w:val="superscript"/>
        </w:rPr>
        <w:footnoteReference w:id="783"/>
      </w:r>
      <w:r w:rsidRPr="007E32DD">
        <w:rPr>
          <w:rFonts w:eastAsia="Times New Roman"/>
        </w:rPr>
        <w:t xml:space="preserve"> Taigi vadovaujantis tuo, kad įstatymas eksplicitiškai neįtvirtina neturtinės žalos atlyginimo galimybės nepasitvirtinus kaltinimui privataus kaltinimo byloje, neturtinės žalos atlyginimas negalimas kaip atsakomybės už nepagrįstą kaltinimą forma. </w:t>
      </w:r>
    </w:p>
    <w:p w:rsidR="00765A6D" w:rsidRDefault="007E32DD" w:rsidP="00765A6D">
      <w:pPr>
        <w:spacing w:line="360" w:lineRule="auto"/>
        <w:ind w:firstLine="720"/>
        <w:jc w:val="both"/>
        <w:rPr>
          <w:rFonts w:eastAsia="Times New Roman"/>
        </w:rPr>
      </w:pPr>
      <w:r w:rsidRPr="007E32DD">
        <w:rPr>
          <w:rFonts w:eastAsia="Times New Roman"/>
        </w:rPr>
        <w:t xml:space="preserve">Užsienio šalių teisėje sutinkamas teisinis reguliavimas, kai privačių asmenų iniciatyvos dėl jų ginčo sprendimo keliu baudžiamojo proceso tvarka rezultatas užtraukia civilinę atsakomybę. Įprasta praktika, kai asmeniui, teigiančiam, kad jis turi būti pripažintas nukentėjusiuoju nuo nusikalstamos veikos, priteisiama sumokėti bylinėjimosi išlaidas, kai baudžiamoji byla buvo nutraukta ar kaltinamasis išteisintas dėl nukentėjusiojo skundo (Vokietijos, Belgijos ir Prancūzijos teisinėse sistemose). Prancūzijoje, apsaugos nuo „netikrų aukų“ priemonės buvo neseniai sugriežtintos, numatant baudą civiliniam ieškovui </w:t>
      </w:r>
      <w:r w:rsidRPr="007E32DD">
        <w:rPr>
          <w:vertAlign w:val="superscript"/>
        </w:rPr>
        <w:footnoteReference w:id="784"/>
      </w:r>
      <w:r w:rsidRPr="007E32DD">
        <w:rPr>
          <w:rFonts w:eastAsia="Times New Roman"/>
        </w:rPr>
        <w:t xml:space="preserve"> (pranc.</w:t>
      </w:r>
      <w:r w:rsidR="006A1AA7">
        <w:rPr>
          <w:rFonts w:eastAsia="Times New Roman"/>
        </w:rPr>
        <w:t xml:space="preserve"> </w:t>
      </w:r>
      <w:r w:rsidRPr="007E32DD">
        <w:rPr>
          <w:rFonts w:eastAsia="Times New Roman"/>
          <w:bCs/>
          <w:i/>
          <w:iCs/>
        </w:rPr>
        <w:t>partie civile</w:t>
      </w:r>
      <w:r w:rsidRPr="007E32DD">
        <w:rPr>
          <w:rFonts w:eastAsia="Times New Roman"/>
          <w:bCs/>
          <w:iCs/>
        </w:rPr>
        <w:t>)</w:t>
      </w:r>
      <w:r w:rsidR="006A1AA7">
        <w:rPr>
          <w:rFonts w:eastAsia="Times New Roman"/>
          <w:bCs/>
          <w:iCs/>
        </w:rPr>
        <w:t xml:space="preserve"> </w:t>
      </w:r>
      <w:r w:rsidRPr="007E32DD">
        <w:rPr>
          <w:rFonts w:eastAsia="Times New Roman"/>
          <w:bCs/>
          <w:iCs/>
        </w:rPr>
        <w:t xml:space="preserve">už piktnaudžiavimą ieškiniu ar jo nagrinėjimo vilkinimą </w:t>
      </w:r>
      <w:proofErr w:type="gramStart"/>
      <w:r w:rsidRPr="007E32DD">
        <w:rPr>
          <w:rFonts w:eastAsia="Times New Roman"/>
          <w:bCs/>
          <w:iCs/>
        </w:rPr>
        <w:t>(</w:t>
      </w:r>
      <w:proofErr w:type="gramEnd"/>
      <w:r w:rsidRPr="007E32DD">
        <w:rPr>
          <w:rFonts w:eastAsia="Times New Roman"/>
          <w:bCs/>
          <w:iCs/>
        </w:rPr>
        <w:t xml:space="preserve">angl. </w:t>
      </w:r>
      <w:r w:rsidRPr="007E32DD">
        <w:rPr>
          <w:rFonts w:eastAsia="Times New Roman"/>
          <w:i/>
        </w:rPr>
        <w:t>'abusive or dilatory' claim</w:t>
      </w:r>
      <w:r w:rsidRPr="007E32DD">
        <w:rPr>
          <w:rFonts w:eastAsia="Times New Roman"/>
        </w:rPr>
        <w:t>).</w:t>
      </w:r>
      <w:r w:rsidR="00406663">
        <w:rPr>
          <w:rFonts w:eastAsia="Times New Roman"/>
        </w:rPr>
        <w:t xml:space="preserve"> </w:t>
      </w:r>
      <w:r w:rsidRPr="007E32DD">
        <w:rPr>
          <w:vertAlign w:val="superscript"/>
        </w:rPr>
        <w:footnoteReference w:id="785"/>
      </w:r>
    </w:p>
    <w:p w:rsidR="007E32DD" w:rsidRPr="007E32DD" w:rsidRDefault="007E32DD" w:rsidP="00765A6D">
      <w:pPr>
        <w:spacing w:line="360" w:lineRule="auto"/>
        <w:ind w:firstLine="720"/>
        <w:jc w:val="both"/>
        <w:rPr>
          <w:rFonts w:eastAsia="Times New Roman"/>
        </w:rPr>
      </w:pPr>
      <w:r w:rsidRPr="007E32DD">
        <w:rPr>
          <w:rFonts w:eastAsia="Times New Roman"/>
        </w:rPr>
        <w:t>Taigi nors privataus kaltinimo istorijoje buvo dedama daug pastangų užkirsti kelią piktnaudžiavimui privataus kaltinimo teise, šiuolaikiniame baudžiamajame procese tiek Lietuvoje, tiek užsienio šalyse prioritetas teikiamas teisės į teismą realiam užtikrinimui. Lietuvoje atsakomybė už nepagrįstą kaltinimą galima tik įstatymo numatytais atvejais, t.y. atlyginant materialines išlaidas, susijusias su bylos nagrinėjimu. Neturtinės žalos padarymas įstatymų nustatyta tvarka įgyvendinant teisę į teismą nepripažįstamas.</w:t>
      </w:r>
    </w:p>
    <w:p w:rsidR="007E32DD" w:rsidRPr="007E32DD" w:rsidRDefault="007E32DD" w:rsidP="00F93861">
      <w:pPr>
        <w:pStyle w:val="Antrat1"/>
        <w:numPr>
          <w:ilvl w:val="0"/>
          <w:numId w:val="25"/>
        </w:numPr>
      </w:pPr>
      <w:bookmarkStart w:id="413" w:name="_Toc400321714"/>
      <w:r w:rsidRPr="007E32DD">
        <w:t>Apskundimo teisė privataus kaltinimo bylų procese</w:t>
      </w:r>
      <w:bookmarkEnd w:id="413"/>
    </w:p>
    <w:p w:rsidR="000D7696" w:rsidRDefault="000D7696" w:rsidP="006D791B">
      <w:pPr>
        <w:spacing w:line="360" w:lineRule="auto"/>
        <w:ind w:firstLine="851"/>
        <w:jc w:val="both"/>
      </w:pPr>
      <w:r>
        <w:t xml:space="preserve">2014 m. kovo 13 d. BPK </w:t>
      </w:r>
      <w:r w:rsidR="00765A6D">
        <w:t>367 str</w:t>
      </w:r>
      <w:r w:rsidR="00144A75">
        <w:t>aipsnio</w:t>
      </w:r>
      <w:r w:rsidR="00406663">
        <w:t xml:space="preserve"> </w:t>
      </w:r>
      <w:r w:rsidR="0029716F">
        <w:t>3 d</w:t>
      </w:r>
      <w:r w:rsidR="00144A75">
        <w:t>alies</w:t>
      </w:r>
      <w:r w:rsidR="0029716F">
        <w:t xml:space="preserve"> nuostatų</w:t>
      </w:r>
      <w:r w:rsidR="006A1AA7">
        <w:t xml:space="preserve"> </w:t>
      </w:r>
      <w:r>
        <w:t xml:space="preserve">pakeitimai panaikino </w:t>
      </w:r>
      <w:r w:rsidR="00CD08D4" w:rsidRPr="007E32DD">
        <w:t xml:space="preserve">kasacijos </w:t>
      </w:r>
      <w:r w:rsidR="006F5834">
        <w:t>prieinamumo ribojimą</w:t>
      </w:r>
      <w:r w:rsidR="006A1AA7">
        <w:t xml:space="preserve"> </w:t>
      </w:r>
      <w:r w:rsidR="00CD08D4">
        <w:t>privataus kaltinimo bylose.</w:t>
      </w:r>
      <w:r w:rsidR="00406663">
        <w:t xml:space="preserve"> </w:t>
      </w:r>
      <w:r w:rsidR="00B27494">
        <w:rPr>
          <w:rStyle w:val="Puslapioinaosnuoroda"/>
        </w:rPr>
        <w:footnoteReference w:id="786"/>
      </w:r>
      <w:r w:rsidR="006A1AA7">
        <w:t xml:space="preserve"> </w:t>
      </w:r>
      <w:r w:rsidR="0029716F">
        <w:t>Pagal a</w:t>
      </w:r>
      <w:r w:rsidR="00B27494">
        <w:t>nkste</w:t>
      </w:r>
      <w:r w:rsidR="0029716F">
        <w:t>s</w:t>
      </w:r>
      <w:r w:rsidR="00B27494">
        <w:t>n</w:t>
      </w:r>
      <w:r w:rsidR="0029716F">
        <w:t>į</w:t>
      </w:r>
      <w:r w:rsidR="00B27494">
        <w:t xml:space="preserve"> teisin</w:t>
      </w:r>
      <w:r w:rsidR="0029716F">
        <w:t>į</w:t>
      </w:r>
      <w:r w:rsidR="00B27494">
        <w:t xml:space="preserve"> reguliavim</w:t>
      </w:r>
      <w:r w:rsidR="0029716F">
        <w:t>ą</w:t>
      </w:r>
      <w:r w:rsidR="006A1AA7">
        <w:t xml:space="preserve"> </w:t>
      </w:r>
      <w:r w:rsidR="00B27494" w:rsidRPr="007E32DD">
        <w:t>teismo sprendimas privataus kaltinimo byloje gal</w:t>
      </w:r>
      <w:r w:rsidR="0029716F">
        <w:t>ėjo</w:t>
      </w:r>
      <w:r w:rsidR="00B27494" w:rsidRPr="007E32DD">
        <w:t xml:space="preserve"> būti peržiūrėtas tik vieną kartą apeliacin</w:t>
      </w:r>
      <w:r w:rsidR="006A1AA7">
        <w:t>ėje instancijoje</w:t>
      </w:r>
      <w:r w:rsidR="00B27494" w:rsidRPr="007E32DD">
        <w:t>, kurioje tikrinami tiek fakto, tiek teisės klausimai.</w:t>
      </w:r>
      <w:r w:rsidR="006A1AA7">
        <w:t xml:space="preserve"> </w:t>
      </w:r>
      <w:r w:rsidR="0029716F">
        <w:t>Paanalizuosime, koks t</w:t>
      </w:r>
      <w:r w:rsidR="0029716F" w:rsidRPr="007E32DD">
        <w:t xml:space="preserve">eisminės kontrolės formų </w:t>
      </w:r>
      <w:r w:rsidR="0029716F">
        <w:t>modelis privatau</w:t>
      </w:r>
      <w:r w:rsidR="008C07BF">
        <w:t>s kaltinimo procese yra optimalu</w:t>
      </w:r>
      <w:r w:rsidR="0029716F">
        <w:t xml:space="preserve">s ir kokios priežastys nulėmė </w:t>
      </w:r>
      <w:r w:rsidR="0029716F" w:rsidRPr="007E32DD">
        <w:t>teisini</w:t>
      </w:r>
      <w:r w:rsidR="0029716F">
        <w:t>o</w:t>
      </w:r>
      <w:r w:rsidR="0029716F" w:rsidRPr="007E32DD">
        <w:t xml:space="preserve"> reg</w:t>
      </w:r>
      <w:r w:rsidR="0029716F">
        <w:t xml:space="preserve">uliavimo pakeitimus. </w:t>
      </w:r>
      <w:r w:rsidR="00B909AD">
        <w:rPr>
          <w:rStyle w:val="Puslapioinaosnuoroda"/>
        </w:rPr>
        <w:footnoteReference w:id="787"/>
      </w:r>
    </w:p>
    <w:p w:rsidR="008B2C23" w:rsidRPr="007E32DD" w:rsidRDefault="00B909AD" w:rsidP="008B2C23">
      <w:pPr>
        <w:spacing w:line="360" w:lineRule="auto"/>
        <w:ind w:firstLine="720"/>
        <w:jc w:val="both"/>
        <w:rPr>
          <w:rFonts w:eastAsia="Times New Roman"/>
        </w:rPr>
      </w:pPr>
      <w:r w:rsidRPr="007E32DD">
        <w:rPr>
          <w:rFonts w:eastAsia="Times New Roman"/>
        </w:rPr>
        <w:t xml:space="preserve">Siekiant </w:t>
      </w:r>
      <w:r>
        <w:rPr>
          <w:rFonts w:eastAsia="Times New Roman"/>
        </w:rPr>
        <w:t>įvertinti</w:t>
      </w:r>
      <w:r w:rsidRPr="007E32DD">
        <w:rPr>
          <w:rFonts w:eastAsia="Times New Roman"/>
        </w:rPr>
        <w:t xml:space="preserve"> galimybių pasinaudoti teismų sprendimų kontrolės formomis apribojimus privataus kaltinimo procese, būtina atsakyti į klausimą, ar teisė skųsti priimtą teismo sprendimą yra </w:t>
      </w:r>
      <w:r w:rsidRPr="007E32DD">
        <w:rPr>
          <w:rFonts w:eastAsia="Times New Roman"/>
        </w:rPr>
        <w:lastRenderedPageBreak/>
        <w:t xml:space="preserve">neatsiejamas teisės į teisminę gynybą elementas (jos sudėtinė dalis). </w:t>
      </w:r>
      <w:r w:rsidR="008B2C23" w:rsidRPr="007E32DD">
        <w:rPr>
          <w:rFonts w:eastAsia="Times New Roman"/>
        </w:rPr>
        <w:t xml:space="preserve">Šiuo klausimu konstitucinės teisės ir civilinio proceso moksle daug diskutuota, tačiau vieningos nuomonės nėra. </w:t>
      </w:r>
      <w:r w:rsidR="008B2C23" w:rsidRPr="007E32DD">
        <w:rPr>
          <w:vertAlign w:val="superscript"/>
        </w:rPr>
        <w:footnoteReference w:id="788"/>
      </w:r>
      <w:r w:rsidR="008B2C23" w:rsidRPr="007E32DD">
        <w:rPr>
          <w:rFonts w:eastAsia="Times New Roman"/>
        </w:rPr>
        <w:t xml:space="preserve"> Konstitucinės teisės moksle ir Konstitucinio Teismo jurisprudencijoje išsakoma pozicija, kad „</w:t>
      </w:r>
      <w:r w:rsidR="008B2C23" w:rsidRPr="007E32DD">
        <w:rPr>
          <w:rFonts w:eastAsia="Times New Roman"/>
          <w:i/>
        </w:rPr>
        <w:t>teisė į apeliaciją yra Konstitucijos 30 str. numatytos teisės į teisminę gynybą elementas, išvedamas iš pakopinės teismų sistemos konstitucinio įtvirtinimo. Bendrosios kompetencijos teismų instancinė sistema suponuoja tai, kad bet kurį pirmosios instancijos bendrosios kompetencijos teismo baigiamąjį aktą turi būti galima nustatyta tvarka apskųsti bent vienos aukštesnės instancijos bendrosios kompetencijos teismui“.</w:t>
      </w:r>
      <w:r w:rsidR="00406663">
        <w:rPr>
          <w:rFonts w:eastAsia="Times New Roman"/>
          <w:i/>
        </w:rPr>
        <w:t xml:space="preserve"> </w:t>
      </w:r>
      <w:r w:rsidR="008B2C23" w:rsidRPr="007E32DD">
        <w:rPr>
          <w:rFonts w:eastAsia="Times New Roman"/>
          <w:vertAlign w:val="superscript"/>
        </w:rPr>
        <w:footnoteReference w:id="789"/>
      </w:r>
    </w:p>
    <w:p w:rsidR="00B909AD" w:rsidRPr="007E32DD" w:rsidRDefault="00B909AD" w:rsidP="00B909AD">
      <w:pPr>
        <w:spacing w:line="360" w:lineRule="auto"/>
        <w:ind w:firstLine="720"/>
        <w:jc w:val="both"/>
      </w:pPr>
      <w:r w:rsidRPr="007E32DD">
        <w:t xml:space="preserve">Žmogaus teisių apsaugos kontekste apeliacijos teisė yra reikšminga individui kaip galimybė pasiekti palankesnį teismo sprendimą aukštesnėje instancijoje, t.y. apeliacijoje dominuoja privataus intereso gynimas. Negalima paneigti ir apeliacijos teisės netiesioginio poveikio viešajam interesui: potencialo padaryti įtaką proceso teisingumui (angl. </w:t>
      </w:r>
      <w:r w:rsidRPr="007E32DD">
        <w:rPr>
          <w:i/>
        </w:rPr>
        <w:t>fairness of proceedings</w:t>
      </w:r>
      <w:r w:rsidRPr="007E32DD">
        <w:t xml:space="preserve">). Teismų sprendimų kontrolė turi ir prevencinį efektą, t.y. sukuria stiprią motyvaciją teisėjui dirbti sąžiningai ir vengti klaidų ar savivalės. Šia prasme apskundimo galimybė sietina su teise į pagrįstą sprendimą. </w:t>
      </w:r>
      <w:r w:rsidRPr="007E32DD">
        <w:rPr>
          <w:vertAlign w:val="superscript"/>
        </w:rPr>
        <w:footnoteReference w:id="790"/>
      </w:r>
      <w:r w:rsidRPr="007E32DD">
        <w:t xml:space="preserve"> Taip pat pripažintina neabejotina sąsaja tarp apeliacijos teisės ir teisės į veiksmingą gynybą (angl. </w:t>
      </w:r>
      <w:r w:rsidRPr="007E32DD">
        <w:rPr>
          <w:i/>
        </w:rPr>
        <w:t>effective remedy</w:t>
      </w:r>
      <w:r w:rsidRPr="007E32DD">
        <w:t>), numatytos Konvencijos 13 str</w:t>
      </w:r>
      <w:r w:rsidR="00144A75">
        <w:t>aipsnyje</w:t>
      </w:r>
      <w:r w:rsidRPr="007E32DD">
        <w:t xml:space="preserve"> ir Tarptautinio pilietinių ir politinių teisių pakto 2 str</w:t>
      </w:r>
      <w:r w:rsidR="00144A75">
        <w:t>aipsnio</w:t>
      </w:r>
      <w:r w:rsidRPr="007E32DD">
        <w:t xml:space="preserve"> 3(a) p. </w:t>
      </w:r>
      <w:r w:rsidRPr="007E32DD">
        <w:rPr>
          <w:vertAlign w:val="superscript"/>
        </w:rPr>
        <w:footnoteReference w:id="791"/>
      </w:r>
    </w:p>
    <w:p w:rsidR="008B2C23" w:rsidRPr="007E32DD" w:rsidRDefault="008B2C23" w:rsidP="008B2C23">
      <w:pPr>
        <w:spacing w:line="360" w:lineRule="auto"/>
        <w:ind w:firstLine="720"/>
        <w:jc w:val="both"/>
        <w:rPr>
          <w:rFonts w:eastAsia="Times New Roman"/>
        </w:rPr>
      </w:pPr>
      <w:r w:rsidRPr="007E32DD">
        <w:rPr>
          <w:rFonts w:eastAsia="Times New Roman"/>
        </w:rPr>
        <w:t xml:space="preserve">Analizuojant, ar pateisinamas kasacijos </w:t>
      </w:r>
      <w:r w:rsidR="006F5834">
        <w:rPr>
          <w:rFonts w:eastAsia="Times New Roman"/>
        </w:rPr>
        <w:t>prieinamumo ribojimas</w:t>
      </w:r>
      <w:r w:rsidRPr="007E32DD">
        <w:rPr>
          <w:rFonts w:eastAsia="Times New Roman"/>
        </w:rPr>
        <w:t xml:space="preserve"> privataus kaltinimo bylų procese, būtina apibrėžti teisės į teisminę gynybą turinį, t.y., ar apeliacijos ir kasacijos teisė laikytina teisės į teisminę gynybą sudėtine dalimi. Civilinio proceso mokslininkų nuomonės šiuo klausimu išsiskiria. V. Mikelėnas teisę apskųsti teismo sprendimą laiko neatsiejama tinkamo proceso garantija, taigi ir teisės į teisminę gynybą turinio dalimi. G. Kavaliauskienė apeliacijos teisę ir teisę kreiptis į kasacinį teismą vienareikšmiškai vertina kaip sudėtinę teisės į teisminę gynybą dalį. </w:t>
      </w:r>
      <w:r w:rsidRPr="007E32DD">
        <w:rPr>
          <w:rFonts w:eastAsia="Times New Roman"/>
          <w:vertAlign w:val="superscript"/>
        </w:rPr>
        <w:footnoteReference w:id="792"/>
      </w:r>
      <w:r w:rsidRPr="007E32DD">
        <w:rPr>
          <w:rFonts w:eastAsia="Times New Roman"/>
        </w:rPr>
        <w:t xml:space="preserve"> V. Nekrošius ir G. Ambrasaitė pagrindžia poziciją, kad </w:t>
      </w:r>
      <w:r w:rsidRPr="007E32DD">
        <w:t xml:space="preserve">asmens teisė į teisminę gynybą realizuojama pirmosios instancijos teisme, o tolesnės galimybės skųsti teismo sprendimą priklauso </w:t>
      </w:r>
      <w:r w:rsidRPr="007E32DD">
        <w:lastRenderedPageBreak/>
        <w:t xml:space="preserve">tik nuo valstybės valios ir požiūrio į teisingumo vykdymo sistemą. </w:t>
      </w:r>
      <w:r w:rsidRPr="007E32DD">
        <w:rPr>
          <w:vertAlign w:val="superscript"/>
        </w:rPr>
        <w:footnoteReference w:id="793"/>
      </w:r>
      <w:r w:rsidRPr="007E32DD">
        <w:t xml:space="preserve"> Baudžiamajame procese ši problema buvo nagrinėta tik fragmentiškai, išsakant nuomonę, kad „</w:t>
      </w:r>
      <w:r w:rsidRPr="00B909AD">
        <w:rPr>
          <w:i/>
        </w:rPr>
        <w:t>apeliacinis procesas yra baudžiamojo proceso dalyvių teisės į teisminę gynybą sudedamoji dalis</w:t>
      </w:r>
      <w:r w:rsidRPr="007E32DD">
        <w:t xml:space="preserve">“. </w:t>
      </w:r>
      <w:r w:rsidRPr="007E32DD">
        <w:rPr>
          <w:vertAlign w:val="superscript"/>
        </w:rPr>
        <w:footnoteReference w:id="794"/>
      </w:r>
    </w:p>
    <w:p w:rsidR="008B2C23" w:rsidRPr="007E32DD" w:rsidRDefault="008B2C23" w:rsidP="008B2C23">
      <w:pPr>
        <w:spacing w:line="360" w:lineRule="auto"/>
        <w:ind w:firstLine="720"/>
        <w:jc w:val="both"/>
        <w:rPr>
          <w:rFonts w:eastAsia="Times New Roman"/>
        </w:rPr>
      </w:pPr>
      <w:r w:rsidRPr="007E32DD">
        <w:rPr>
          <w:rFonts w:eastAsia="Times New Roman"/>
        </w:rPr>
        <w:t>Konvencijos 6 str</w:t>
      </w:r>
      <w:r w:rsidR="00144A75">
        <w:rPr>
          <w:rFonts w:eastAsia="Times New Roman"/>
        </w:rPr>
        <w:t>aipsnyje</w:t>
      </w:r>
      <w:r w:rsidRPr="007E32DD">
        <w:rPr>
          <w:rFonts w:eastAsia="Times New Roman"/>
        </w:rPr>
        <w:t xml:space="preserve"> numato</w:t>
      </w:r>
      <w:r w:rsidR="00144A75">
        <w:rPr>
          <w:rFonts w:eastAsia="Times New Roman"/>
        </w:rPr>
        <w:t>mos procesinės garantijo</w:t>
      </w:r>
      <w:r w:rsidRPr="007E32DD">
        <w:rPr>
          <w:rFonts w:eastAsia="Times New Roman"/>
        </w:rPr>
        <w:t>s, sudaranči</w:t>
      </w:r>
      <w:r w:rsidR="00144A75">
        <w:rPr>
          <w:rFonts w:eastAsia="Times New Roman"/>
        </w:rPr>
        <w:t>o</w:t>
      </w:r>
      <w:r w:rsidRPr="007E32DD">
        <w:rPr>
          <w:rFonts w:eastAsia="Times New Roman"/>
        </w:rPr>
        <w:t>s teisės į tinkamą teismo procesą turinį. Šiame straipsnyje eksplicitiškai neįtvirtinta teisė skųstis aukštesnės instancijos teismui. Kai kurie mokslininkai teigia, kad a</w:t>
      </w:r>
      <w:r w:rsidRPr="007E32DD">
        <w:t xml:space="preserve">peliacijos teisė tiesiogiai negali būti kildinama iš teisės į teisingą teismą. </w:t>
      </w:r>
      <w:r w:rsidRPr="007E32DD">
        <w:rPr>
          <w:vertAlign w:val="superscript"/>
        </w:rPr>
        <w:footnoteReference w:id="795"/>
      </w:r>
      <w:r w:rsidRPr="007E32DD">
        <w:t xml:space="preserve"> Apeliacijos teisės baudžiamosiose bylose papildomas įtvirtinimas Konvencijos 7 protokolo 2 straipsnyje taip pat patvirtina tai, kad ši teisė nėra Konvencijos 6 str</w:t>
      </w:r>
      <w:r w:rsidR="00664A6D">
        <w:t>aipsnio</w:t>
      </w:r>
      <w:r w:rsidRPr="007E32DD">
        <w:t xml:space="preserve"> sudėtinė dalis. </w:t>
      </w:r>
      <w:r w:rsidR="00FC009A">
        <w:t>Tačiau n</w:t>
      </w:r>
      <w:r w:rsidR="00FC009A" w:rsidRPr="007E32DD">
        <w:t>et įtvirtinus atskirą apeliacijos teisę baudžiamajame procese, Konvencijos 6 str</w:t>
      </w:r>
      <w:r w:rsidR="00FC009A">
        <w:t>aipsnio</w:t>
      </w:r>
      <w:r w:rsidR="00FC009A" w:rsidRPr="007E32DD">
        <w:t xml:space="preserve"> taikymo apimtis nesumažėja. </w:t>
      </w:r>
      <w:r w:rsidR="00FC009A" w:rsidRPr="007E32DD">
        <w:rPr>
          <w:vertAlign w:val="superscript"/>
        </w:rPr>
        <w:footnoteReference w:id="796"/>
      </w:r>
      <w:r w:rsidR="006A1AA7">
        <w:t xml:space="preserve"> </w:t>
      </w:r>
      <w:r w:rsidRPr="007E32DD">
        <w:t>EŽTT</w:t>
      </w:r>
      <w:r w:rsidR="00F87400">
        <w:t xml:space="preserve"> jurisprudencijoje</w:t>
      </w:r>
      <w:r w:rsidRPr="007E32DD">
        <w:t xml:space="preserve"> Konvencijos 6 str</w:t>
      </w:r>
      <w:r w:rsidR="00144A75">
        <w:t>aipsnio</w:t>
      </w:r>
      <w:r w:rsidRPr="007E32DD">
        <w:t xml:space="preserve"> ir Papildomojo protokolo santyk</w:t>
      </w:r>
      <w:r w:rsidR="006F5834">
        <w:t>is suprantamas taip</w:t>
      </w:r>
      <w:r w:rsidRPr="007E32DD">
        <w:t>, kad Papildom</w:t>
      </w:r>
      <w:r w:rsidR="00FC009A">
        <w:t>o</w:t>
      </w:r>
      <w:r w:rsidRPr="007E32DD">
        <w:t xml:space="preserve"> protoko</w:t>
      </w:r>
      <w:r w:rsidR="00FC009A">
        <w:t>lo</w:t>
      </w:r>
      <w:r w:rsidR="006A1AA7">
        <w:t xml:space="preserve"> </w:t>
      </w:r>
      <w:r w:rsidR="00FC009A">
        <w:t xml:space="preserve">aiškinimas </w:t>
      </w:r>
      <w:r w:rsidRPr="007E32DD">
        <w:t>negali apriboti Konvencijos 6 str</w:t>
      </w:r>
      <w:r w:rsidR="00144A75">
        <w:t>aipsnyje</w:t>
      </w:r>
      <w:r w:rsidRPr="007E32DD">
        <w:t xml:space="preserve"> įtvirtintų garantijų taikym</w:t>
      </w:r>
      <w:r w:rsidR="00FC009A">
        <w:t>o</w:t>
      </w:r>
      <w:r w:rsidRPr="007E32DD">
        <w:t xml:space="preserve"> apeliacinės instancijos teismuose. </w:t>
      </w:r>
      <w:r w:rsidRPr="007E32DD">
        <w:rPr>
          <w:vertAlign w:val="superscript"/>
        </w:rPr>
        <w:footnoteReference w:id="797"/>
      </w:r>
      <w:r w:rsidRPr="007E32DD">
        <w:t xml:space="preserve"> A</w:t>
      </w:r>
      <w:r w:rsidRPr="007E32DD">
        <w:rPr>
          <w:rFonts w:eastAsia="Times New Roman"/>
        </w:rPr>
        <w:t>peliacinių ir kasacinių teismų steigimas yra valstybės diskrecija, tačiau</w:t>
      </w:r>
      <w:r w:rsidR="00FC009A">
        <w:rPr>
          <w:rFonts w:eastAsia="Times New Roman"/>
        </w:rPr>
        <w:t>,</w:t>
      </w:r>
      <w:r w:rsidRPr="007E32DD">
        <w:rPr>
          <w:rFonts w:eastAsia="Times New Roman"/>
        </w:rPr>
        <w:t xml:space="preserve"> jei jie įsteigti, valstybė privalo užtikrinti, kad asmenys šiuose teismuose naudotųsi pagrindinėmis Konvencijos 6 str</w:t>
      </w:r>
      <w:r w:rsidR="00144A75">
        <w:rPr>
          <w:rFonts w:eastAsia="Times New Roman"/>
        </w:rPr>
        <w:t>aipsnio</w:t>
      </w:r>
      <w:r w:rsidRPr="007E32DD">
        <w:rPr>
          <w:rFonts w:eastAsia="Times New Roman"/>
        </w:rPr>
        <w:t xml:space="preserve"> garantijomis. </w:t>
      </w:r>
      <w:r w:rsidRPr="007E32DD">
        <w:rPr>
          <w:rFonts w:eastAsia="Times New Roman"/>
          <w:vertAlign w:val="superscript"/>
        </w:rPr>
        <w:footnoteReference w:id="798"/>
      </w:r>
      <w:r w:rsidRPr="007E32DD">
        <w:rPr>
          <w:rFonts w:eastAsia="Times New Roman"/>
        </w:rPr>
        <w:t xml:space="preserve"> Sprendžiant, kokia apimtimi Konvencijos 6 str</w:t>
      </w:r>
      <w:r w:rsidR="00144A75">
        <w:rPr>
          <w:rFonts w:eastAsia="Times New Roman"/>
        </w:rPr>
        <w:t>aipsnis</w:t>
      </w:r>
      <w:r w:rsidRPr="007E32DD">
        <w:rPr>
          <w:rFonts w:eastAsia="Times New Roman"/>
        </w:rPr>
        <w:t xml:space="preserve"> taikytinas konkrečiai proceso stadijai, turi būti atsižvelgiama į šio</w:t>
      </w:r>
      <w:r w:rsidR="001950F9">
        <w:rPr>
          <w:rFonts w:eastAsia="Times New Roman"/>
        </w:rPr>
        <w:t>s stadijos ypatumus ir paskirtį,</w:t>
      </w:r>
      <w:r w:rsidR="00406663">
        <w:rPr>
          <w:rFonts w:eastAsia="Times New Roman"/>
        </w:rPr>
        <w:t xml:space="preserve"> </w:t>
      </w:r>
      <w:r w:rsidRPr="007E32DD">
        <w:rPr>
          <w:vertAlign w:val="superscript"/>
        </w:rPr>
        <w:footnoteReference w:id="799"/>
      </w:r>
      <w:r w:rsidRPr="007E32DD">
        <w:rPr>
          <w:rFonts w:eastAsia="Times New Roman"/>
        </w:rPr>
        <w:t xml:space="preserve"> EŽTT </w:t>
      </w:r>
      <w:r w:rsidR="00F87400">
        <w:rPr>
          <w:rFonts w:eastAsia="Times New Roman"/>
        </w:rPr>
        <w:t>juris</w:t>
      </w:r>
      <w:r w:rsidR="006A1AA7">
        <w:rPr>
          <w:rFonts w:eastAsia="Times New Roman"/>
        </w:rPr>
        <w:t>p</w:t>
      </w:r>
      <w:r w:rsidR="00F87400">
        <w:rPr>
          <w:rFonts w:eastAsia="Times New Roman"/>
        </w:rPr>
        <w:t xml:space="preserve">rudencijoje </w:t>
      </w:r>
      <w:r w:rsidRPr="007E32DD">
        <w:rPr>
          <w:rFonts w:eastAsia="Times New Roman"/>
        </w:rPr>
        <w:t>taip pat yra konstat</w:t>
      </w:r>
      <w:r w:rsidR="00F87400">
        <w:rPr>
          <w:rFonts w:eastAsia="Times New Roman"/>
        </w:rPr>
        <w:t>uota</w:t>
      </w:r>
      <w:r w:rsidRPr="007E32DD">
        <w:rPr>
          <w:rFonts w:eastAsia="Times New Roman"/>
        </w:rPr>
        <w:t>, kad kasaciniam procesui taikomi apribojimai gali būti didesni nei taikytini apeliaciniam procesui, nors konkre</w:t>
      </w:r>
      <w:r w:rsidR="001950F9">
        <w:rPr>
          <w:rFonts w:eastAsia="Times New Roman"/>
        </w:rPr>
        <w:t>tūs</w:t>
      </w:r>
      <w:r w:rsidRPr="007E32DD">
        <w:rPr>
          <w:rFonts w:eastAsia="Times New Roman"/>
        </w:rPr>
        <w:t xml:space="preserve"> kriterij</w:t>
      </w:r>
      <w:r w:rsidR="001950F9">
        <w:rPr>
          <w:rFonts w:eastAsia="Times New Roman"/>
        </w:rPr>
        <w:t>ai</w:t>
      </w:r>
      <w:r w:rsidRPr="007E32DD">
        <w:rPr>
          <w:rFonts w:eastAsia="Times New Roman"/>
        </w:rPr>
        <w:t>, skirian</w:t>
      </w:r>
      <w:r w:rsidR="001950F9">
        <w:rPr>
          <w:rFonts w:eastAsia="Times New Roman"/>
        </w:rPr>
        <w:t>tys</w:t>
      </w:r>
      <w:r w:rsidRPr="007E32DD">
        <w:rPr>
          <w:rFonts w:eastAsia="Times New Roman"/>
        </w:rPr>
        <w:t xml:space="preserve"> apeliaciniame ir kasaciniame procesuose leistinus apribojimus, nėra suformul</w:t>
      </w:r>
      <w:r w:rsidR="001950F9">
        <w:rPr>
          <w:rFonts w:eastAsia="Times New Roman"/>
        </w:rPr>
        <w:t>uoti</w:t>
      </w:r>
      <w:r w:rsidRPr="007E32DD">
        <w:rPr>
          <w:rFonts w:eastAsia="Times New Roman"/>
        </w:rPr>
        <w:t xml:space="preserve">. </w:t>
      </w:r>
      <w:r w:rsidRPr="007E32DD">
        <w:rPr>
          <w:vertAlign w:val="superscript"/>
        </w:rPr>
        <w:footnoteReference w:id="800"/>
      </w:r>
      <w:r w:rsidRPr="007E32DD">
        <w:rPr>
          <w:rFonts w:eastAsia="Times New Roman"/>
        </w:rPr>
        <w:t xml:space="preserve"> </w:t>
      </w:r>
      <w:r w:rsidRPr="006A1AA7">
        <w:rPr>
          <w:rFonts w:eastAsia="Times New Roman"/>
        </w:rPr>
        <w:t xml:space="preserve">EŽTT </w:t>
      </w:r>
      <w:r w:rsidRPr="00D75BEF">
        <w:rPr>
          <w:rFonts w:eastAsia="Times New Roman"/>
        </w:rPr>
        <w:t xml:space="preserve">jurisprudencijoje kasacijos </w:t>
      </w:r>
      <w:r w:rsidR="001950F9" w:rsidRPr="00D75BEF">
        <w:rPr>
          <w:rFonts w:eastAsia="Times New Roman"/>
        </w:rPr>
        <w:t xml:space="preserve">prieinamumo </w:t>
      </w:r>
      <w:r w:rsidRPr="00D75BEF">
        <w:rPr>
          <w:rFonts w:eastAsia="Times New Roman"/>
        </w:rPr>
        <w:t xml:space="preserve">ribojimų teisėtumas grindžiamas </w:t>
      </w:r>
      <w:r w:rsidR="00D75BEF" w:rsidRPr="00D75BEF">
        <w:rPr>
          <w:rFonts w:eastAsia="Times New Roman"/>
        </w:rPr>
        <w:t xml:space="preserve">tuo, kad </w:t>
      </w:r>
      <w:r w:rsidRPr="00D75BEF">
        <w:rPr>
          <w:rFonts w:eastAsia="Times New Roman"/>
        </w:rPr>
        <w:t xml:space="preserve">ši teismų sprendimų kontrolės </w:t>
      </w:r>
      <w:r w:rsidR="00D75BEF" w:rsidRPr="00D75BEF">
        <w:rPr>
          <w:rFonts w:eastAsia="Times New Roman"/>
        </w:rPr>
        <w:t>forma yra</w:t>
      </w:r>
      <w:r w:rsidRPr="00D75BEF">
        <w:rPr>
          <w:rFonts w:eastAsia="Times New Roman"/>
        </w:rPr>
        <w:t xml:space="preserve"> išimtin</w:t>
      </w:r>
      <w:r w:rsidR="00D75BEF">
        <w:rPr>
          <w:rFonts w:eastAsia="Times New Roman"/>
        </w:rPr>
        <w:t>ė</w:t>
      </w:r>
      <w:r w:rsidRPr="007E32DD">
        <w:rPr>
          <w:rFonts w:eastAsia="Times New Roman"/>
        </w:rPr>
        <w:t xml:space="preserve">, o galimybė kasaciniame procese netaikyti kai kurių </w:t>
      </w:r>
      <w:r w:rsidRPr="007E32DD">
        <w:rPr>
          <w:rFonts w:eastAsia="Times New Roman"/>
        </w:rPr>
        <w:lastRenderedPageBreak/>
        <w:t xml:space="preserve">procesinių garantijų siejama su tuo, kad kasaciniame procese nagrinėjami tik teisės klausimai, o fakto klausimai iš naujo netiriami ir paprastai nepriimamas naujas sprendimas dėl ginčo esmės. </w:t>
      </w:r>
      <w:r w:rsidRPr="007E32DD">
        <w:rPr>
          <w:vertAlign w:val="superscript"/>
        </w:rPr>
        <w:footnoteReference w:id="801"/>
      </w:r>
      <w:r w:rsidRPr="007E32DD">
        <w:rPr>
          <w:rFonts w:eastAsia="Times New Roman"/>
        </w:rPr>
        <w:t xml:space="preserve"> Taigi EŽTT jurisprudencijoje apeliacijos ir kasacijos teisės nelaikomos sudėtine teisės į teismą (teisės į teisminę gynybą) dalimi, todėl aukštesnių instancijų prieinamumas gali būti ribojamas, o Konvencijos 6 str</w:t>
      </w:r>
      <w:r w:rsidR="00144A75">
        <w:rPr>
          <w:rFonts w:eastAsia="Times New Roman"/>
        </w:rPr>
        <w:t>aipsnio</w:t>
      </w:r>
      <w:r w:rsidRPr="007E32DD">
        <w:rPr>
          <w:rFonts w:eastAsia="Times New Roman"/>
        </w:rPr>
        <w:t xml:space="preserve"> procesinių garantijų taikymo apimtis aukštesnių instancijų teismo procesuose gali būti siauresnė lyginant su pirmosios instancijos teismo procese taikomomis procesinėmis garantijomis. </w:t>
      </w:r>
    </w:p>
    <w:p w:rsidR="007E32DD" w:rsidRPr="007E32DD" w:rsidRDefault="00B909AD" w:rsidP="00B909AD">
      <w:pPr>
        <w:spacing w:line="360" w:lineRule="auto"/>
        <w:ind w:firstLine="720"/>
        <w:jc w:val="both"/>
      </w:pPr>
      <w:r>
        <w:t>V</w:t>
      </w:r>
      <w:r w:rsidR="007E32DD" w:rsidRPr="007E32DD">
        <w:t>ertin</w:t>
      </w:r>
      <w:r>
        <w:t>ant</w:t>
      </w:r>
      <w:r w:rsidR="007E32DD" w:rsidRPr="007E32DD">
        <w:t xml:space="preserve"> teisminės kontrolės formų teisinį reg</w:t>
      </w:r>
      <w:r w:rsidR="00FC009A">
        <w:t>u</w:t>
      </w:r>
      <w:r w:rsidR="007E32DD" w:rsidRPr="007E32DD">
        <w:t>l</w:t>
      </w:r>
      <w:r w:rsidR="00FC009A">
        <w:t>i</w:t>
      </w:r>
      <w:r w:rsidR="007E32DD" w:rsidRPr="007E32DD">
        <w:t xml:space="preserve">avimą privataus kaltinimo bylose, pirmiausia šis klausimas turi būti nagrinėjamas teisės į teisingą teismą aspektu. </w:t>
      </w:r>
      <w:r w:rsidR="00E71D60">
        <w:t xml:space="preserve">Ar ankstesnis teisinis reguliavimas, numatęs </w:t>
      </w:r>
      <w:r w:rsidR="00E71D60" w:rsidRPr="007E32DD">
        <w:t>privataus kaltinimo bylų proceso apribojim</w:t>
      </w:r>
      <w:r w:rsidR="00E71D60">
        <w:t>ą</w:t>
      </w:r>
      <w:r w:rsidR="00E71D60" w:rsidRPr="007E32DD">
        <w:t xml:space="preserve"> dviejų instancijų teisminiu nagrinėjimu</w:t>
      </w:r>
      <w:r w:rsidR="00406663">
        <w:t xml:space="preserve"> </w:t>
      </w:r>
      <w:r w:rsidR="00E71D60" w:rsidRPr="007E32DD">
        <w:rPr>
          <w:vertAlign w:val="superscript"/>
        </w:rPr>
        <w:footnoteReference w:id="802"/>
      </w:r>
      <w:r w:rsidR="00E71D60" w:rsidRPr="007E32DD">
        <w:t xml:space="preserve"> nepažeid</w:t>
      </w:r>
      <w:r w:rsidR="00E71D60">
        <w:t>ė</w:t>
      </w:r>
      <w:r w:rsidR="00E71D60" w:rsidRPr="007E32DD">
        <w:t xml:space="preserve"> nukentėjusiojo ir kaltinamojo teisės į teisingą teismą? </w:t>
      </w:r>
      <w:r w:rsidR="007E32DD" w:rsidRPr="007E32DD">
        <w:t xml:space="preserve">Siekdami atsakyti į šį klausimą, remsimės </w:t>
      </w:r>
      <w:r w:rsidR="008C07BF">
        <w:t>moksl</w:t>
      </w:r>
      <w:r w:rsidR="007E32DD" w:rsidRPr="007E32DD">
        <w:t xml:space="preserve">ine jurisprudencija teismų sprendimų kontrolės formų sistemos klausimu ir </w:t>
      </w:r>
      <w:r w:rsidR="004D086D">
        <w:t>EŽTT</w:t>
      </w:r>
      <w:r w:rsidR="007E32DD" w:rsidRPr="007E32DD">
        <w:t xml:space="preserve"> praktikos analize. </w:t>
      </w:r>
    </w:p>
    <w:p w:rsidR="00567CAF" w:rsidRDefault="007E32DD" w:rsidP="00B909AD">
      <w:pPr>
        <w:spacing w:line="360" w:lineRule="auto"/>
        <w:ind w:firstLine="720"/>
        <w:jc w:val="both"/>
      </w:pPr>
      <w:r w:rsidRPr="007E32DD">
        <w:t xml:space="preserve">Mokslinėje literatūroje išskiriami teismų sprendimų kontrolės formų tikslai: teisingumo įgyvendinimas, žmogaus teisių ir laisvių apsaugos užtikrinimas, teismų klaidų pašalinimas, teisės aiškinimas, vienodos teismų praktikos formavimas, viešųjų ir privačių interesų tenkinimas. Kiekvienoje iš apskundimo formų vyrauja vienas ar keli pagrindiniai tikslai, o juos papildo šalutiniai tikslai, kurie kitoje teismų sprendimų kontrolės formoje gali būti pagrindiniai. </w:t>
      </w:r>
      <w:r w:rsidRPr="007E32DD">
        <w:rPr>
          <w:vertAlign w:val="superscript"/>
        </w:rPr>
        <w:footnoteReference w:id="803"/>
      </w:r>
      <w:r w:rsidR="006A1AA7">
        <w:t xml:space="preserve"> </w:t>
      </w:r>
      <w:r w:rsidR="00567CAF" w:rsidRPr="007E32DD">
        <w:t xml:space="preserve">Teismų sprendimų kontrolės sistemos modelį </w:t>
      </w:r>
      <w:r w:rsidR="00E271EF">
        <w:t>nulem</w:t>
      </w:r>
      <w:r w:rsidR="00567CAF" w:rsidRPr="007E32DD">
        <w:t xml:space="preserve">ia baudžiamojo proceso politikos prioritetai. Jei teikiamas prioritetas teismų sprendimų stabilumui, </w:t>
      </w:r>
      <w:r w:rsidR="00567CAF" w:rsidRPr="007E32DD">
        <w:rPr>
          <w:vertAlign w:val="superscript"/>
        </w:rPr>
        <w:footnoteReference w:id="804"/>
      </w:r>
      <w:r w:rsidR="00567CAF" w:rsidRPr="007E32DD">
        <w:t xml:space="preserve"> galimybės skųsti teismų sprendimus bus ribojamos, o jei teisėtumui – atvirkščiai. </w:t>
      </w:r>
      <w:r w:rsidR="00567CAF" w:rsidRPr="007E32DD">
        <w:rPr>
          <w:vertAlign w:val="superscript"/>
        </w:rPr>
        <w:footnoteReference w:id="805"/>
      </w:r>
    </w:p>
    <w:p w:rsidR="007E32DD" w:rsidRPr="007E32DD" w:rsidRDefault="007E32DD" w:rsidP="007E32DD">
      <w:pPr>
        <w:spacing w:line="360" w:lineRule="auto"/>
        <w:ind w:firstLine="720"/>
        <w:jc w:val="both"/>
      </w:pPr>
      <w:r w:rsidRPr="007E32DD">
        <w:lastRenderedPageBreak/>
        <w:t>Viešojo intereso gynimas yra bendras visų teismų sprendimų kontrolės formų tikslas.</w:t>
      </w:r>
      <w:r w:rsidR="006A1AA7">
        <w:t xml:space="preserve"> </w:t>
      </w:r>
      <w:r w:rsidRPr="007E32DD">
        <w:t>Konstitucinis Teismas yra konstatavęs, kad</w:t>
      </w:r>
      <w:r w:rsidRPr="007E32DD">
        <w:rPr>
          <w:i/>
        </w:rPr>
        <w:t xml:space="preserve"> „teismų instancinės sistemos paskirtis yra šalinti galimas žemesnių instancijų teismų klaidas, neleisti, kad būtų įvykdytas neteisingumas, ir šitaip apsaugoti asmens, visuomenės teises ir teisėtus interesus“. </w:t>
      </w:r>
      <w:r w:rsidRPr="007E32DD">
        <w:rPr>
          <w:vertAlign w:val="superscript"/>
        </w:rPr>
        <w:footnoteReference w:id="806"/>
      </w:r>
      <w:r w:rsidR="00ED27CE">
        <w:rPr>
          <w:i/>
        </w:rPr>
        <w:t xml:space="preserve"> </w:t>
      </w:r>
      <w:r w:rsidRPr="007E32DD">
        <w:t xml:space="preserve">Viešojo intereso gynimas kaip dominuojantis ir prioritetinis tikslas būdingas kasacijai. </w:t>
      </w:r>
      <w:r w:rsidRPr="007E32DD">
        <w:rPr>
          <w:vertAlign w:val="superscript"/>
        </w:rPr>
        <w:footnoteReference w:id="807"/>
      </w:r>
      <w:r w:rsidRPr="007E32DD">
        <w:t xml:space="preserve"> Nuomonė, kad kasacijos galimybė ištaisyti žemesnės instancijos teismo padarytas teisės taikymo ir aiškinimo klaidas reiškia,</w:t>
      </w:r>
      <w:r w:rsidR="00406663">
        <w:t xml:space="preserve"> </w:t>
      </w:r>
      <w:r w:rsidR="006A1AA7">
        <w:t>jog</w:t>
      </w:r>
      <w:r w:rsidRPr="007E32DD">
        <w:t xml:space="preserve"> yra ginamas ir privatus interesas, nepaneigia viešojo intereso dominantės kasacinėje instancijoje, o tik patvirtina, kad šalia pagrindinio tikslo egzistuoja ir šalutinis privataus intereso gynimo tikslas. </w:t>
      </w:r>
      <w:r w:rsidR="00567CAF">
        <w:t>Todėl kasacija privataus kaltinimo procese</w:t>
      </w:r>
      <w:r w:rsidR="00462A95">
        <w:t>, kuriame ginamas išimtinai privatus interesas,</w:t>
      </w:r>
      <w:r w:rsidR="00567CAF">
        <w:t xml:space="preserve"> neprieštarau</w:t>
      </w:r>
      <w:r w:rsidR="00B909AD">
        <w:t>ja</w:t>
      </w:r>
      <w:r w:rsidR="00567CAF">
        <w:t xml:space="preserve"> kasacijos tikslams</w:t>
      </w:r>
      <w:r w:rsidR="00462A95">
        <w:t>.</w:t>
      </w:r>
      <w:r w:rsidR="006A1AA7">
        <w:t xml:space="preserve"> </w:t>
      </w:r>
      <w:r w:rsidR="00694131" w:rsidRPr="007E32DD">
        <w:rPr>
          <w:rFonts w:eastAsia="Times New Roman"/>
        </w:rPr>
        <w:t>Kadangi kasacija baudžiamajame procese nėra neribota ir kasacinio s</w:t>
      </w:r>
      <w:r w:rsidR="006A1AA7">
        <w:rPr>
          <w:rFonts w:eastAsia="Times New Roman"/>
        </w:rPr>
        <w:t>k</w:t>
      </w:r>
      <w:r w:rsidR="00694131" w:rsidRPr="007E32DD">
        <w:rPr>
          <w:rFonts w:eastAsia="Times New Roman"/>
        </w:rPr>
        <w:t>undo priėmimo klausimą sprendžia atrankos kolegija (BPK 372 str</w:t>
      </w:r>
      <w:r w:rsidR="00144A75">
        <w:rPr>
          <w:rFonts w:eastAsia="Times New Roman"/>
        </w:rPr>
        <w:t>aipsnio</w:t>
      </w:r>
      <w:r w:rsidR="00694131" w:rsidRPr="007E32DD">
        <w:rPr>
          <w:rFonts w:eastAsia="Times New Roman"/>
        </w:rPr>
        <w:t xml:space="preserve"> 3 d</w:t>
      </w:r>
      <w:r w:rsidR="00144A75">
        <w:rPr>
          <w:rFonts w:eastAsia="Times New Roman"/>
        </w:rPr>
        <w:t>alis</w:t>
      </w:r>
      <w:r w:rsidR="00694131" w:rsidRPr="007E32DD">
        <w:rPr>
          <w:rFonts w:eastAsia="Times New Roman"/>
        </w:rPr>
        <w:t xml:space="preserve">), įstatymas sudaro prielaidas kasacine tvarka nagrinėti tik tas bylas, kurios yra reikšmingos formuojant vieningą praktiką ar </w:t>
      </w:r>
      <w:r w:rsidR="006A1AA7">
        <w:rPr>
          <w:rFonts w:eastAsia="Times New Roman"/>
        </w:rPr>
        <w:t xml:space="preserve">jose </w:t>
      </w:r>
      <w:r w:rsidR="00694131" w:rsidRPr="007E32DD">
        <w:rPr>
          <w:rFonts w:eastAsia="Times New Roman"/>
        </w:rPr>
        <w:t>būtina ištaisyti žemesnių instancijų padarytus esminius baudžiamojo proceso pažeidimus</w:t>
      </w:r>
      <w:r w:rsidR="00694131">
        <w:rPr>
          <w:rFonts w:eastAsia="Times New Roman"/>
        </w:rPr>
        <w:t>.</w:t>
      </w:r>
    </w:p>
    <w:p w:rsidR="007E32DD" w:rsidRPr="007E32DD" w:rsidRDefault="007E32DD" w:rsidP="007E32DD">
      <w:pPr>
        <w:spacing w:line="360" w:lineRule="auto"/>
        <w:ind w:firstLine="720"/>
        <w:jc w:val="both"/>
      </w:pPr>
      <w:r w:rsidRPr="007E32DD">
        <w:t xml:space="preserve">Viešojo intereso gynimas glaudžiai siejamas ir su kitu teismų sprendimų kontrolės formų tikslu – teisės aiškinimu ir jos vystymu, kuris taip pat dominuoja kasacijoje. </w:t>
      </w:r>
      <w:r w:rsidRPr="007E32DD">
        <w:rPr>
          <w:vertAlign w:val="superscript"/>
        </w:rPr>
        <w:footnoteReference w:id="808"/>
      </w:r>
      <w:r w:rsidRPr="007E32DD">
        <w:t xml:space="preserve"> Aiškinant teisę yra formuojama vienoda teismų praktika bei išgryninami teismų precedentai, mažinama klaidų tikimybė, o tuo yra suinteresuoti ne tik proceso dalyviai, bet ir visa visuomenė. </w:t>
      </w:r>
      <w:r w:rsidRPr="007E32DD">
        <w:rPr>
          <w:vertAlign w:val="superscript"/>
        </w:rPr>
        <w:footnoteReference w:id="809"/>
      </w:r>
      <w:r w:rsidR="006A1AA7">
        <w:t xml:space="preserve"> </w:t>
      </w:r>
      <w:r w:rsidR="0019257E">
        <w:t>Iki 2014 m. kovo 25 d.</w:t>
      </w:r>
      <w:r w:rsidR="00ED27CE">
        <w:t xml:space="preserve"> </w:t>
      </w:r>
      <w:r w:rsidR="00606040">
        <w:rPr>
          <w:rStyle w:val="Puslapioinaosnuoroda"/>
        </w:rPr>
        <w:footnoteReference w:id="810"/>
      </w:r>
      <w:r w:rsidR="0047131D">
        <w:t xml:space="preserve"> </w:t>
      </w:r>
      <w:r w:rsidR="00E31754">
        <w:t>teismų sprendimų kontrolės sistemos</w:t>
      </w:r>
      <w:r w:rsidRPr="007E32DD">
        <w:t xml:space="preserve"> modelis, kai privataus kaltinimo byloje teismo sprendimo apskundimas kasacine tvarka </w:t>
      </w:r>
      <w:r w:rsidR="00765A6D">
        <w:t xml:space="preserve">buvo </w:t>
      </w:r>
      <w:r w:rsidRPr="007E32DD">
        <w:t xml:space="preserve">negalimas, </w:t>
      </w:r>
      <w:r w:rsidR="00E078C5">
        <w:t>galėjo būti pa</w:t>
      </w:r>
      <w:r w:rsidRPr="007E32DD">
        <w:t>aiškintas ir vieš</w:t>
      </w:r>
      <w:r w:rsidR="006A1AA7">
        <w:t>ųjų</w:t>
      </w:r>
      <w:r w:rsidRPr="007E32DD">
        <w:t xml:space="preserve"> bei priva</w:t>
      </w:r>
      <w:r w:rsidR="006A1AA7">
        <w:t>čių</w:t>
      </w:r>
      <w:r w:rsidRPr="007E32DD">
        <w:t xml:space="preserve"> interesų santykiu privataus kaltinimo procese. Kadangi privataus kaltinimo procese valstybė ir visuomenė turi minimalų interesą, t.y. tik tiek, kiek užtikrinami jos atskirų narių privatūs interesai, buvo pasirinkta apriboti procesą šiose bylose apeliacine instancija. Konstitucinėje jurisprudencijoje suformuluota oficiali teismo precedento konstitucinė doktrina teismų praktikos formavimą ir jos vienodinimą priskiria ne vien LAT kompetencijai, bet ir įvardija visų teismų </w:t>
      </w:r>
      <w:r w:rsidRPr="007E32DD">
        <w:lastRenderedPageBreak/>
        <w:t xml:space="preserve">uždaviniu, todėl precedentais laikytini visų instancijų teismų sprendimai. </w:t>
      </w:r>
      <w:r w:rsidRPr="007E32DD">
        <w:rPr>
          <w:vertAlign w:val="superscript"/>
        </w:rPr>
        <w:footnoteReference w:id="811"/>
      </w:r>
      <w:r w:rsidRPr="007E32DD">
        <w:t xml:space="preserve"> Taigi ir nesant kasacijos teismai yra saistomi aukštesnių teismų ir savo pačių sukurtų teisės aiškinimo taisyklių. </w:t>
      </w:r>
      <w:r w:rsidRPr="007E32DD">
        <w:rPr>
          <w:vertAlign w:val="superscript"/>
        </w:rPr>
        <w:footnoteReference w:id="812"/>
      </w:r>
      <w:r w:rsidRPr="007E32DD">
        <w:t xml:space="preserve"> Todėl vienodos teismų praktikos formavimo uždavinį įgyvendin</w:t>
      </w:r>
      <w:r w:rsidR="00E078C5">
        <w:t>o</w:t>
      </w:r>
      <w:r w:rsidRPr="007E32DD">
        <w:t xml:space="preserve"> teismai, nagrinėj</w:t>
      </w:r>
      <w:r w:rsidR="00E078C5">
        <w:t>ę</w:t>
      </w:r>
      <w:r w:rsidRPr="007E32DD">
        <w:t xml:space="preserve"> privataus kaltinimo bylas apeliacin</w:t>
      </w:r>
      <w:r w:rsidR="0029302C">
        <w:t>ėj</w:t>
      </w:r>
      <w:r w:rsidRPr="007E32DD">
        <w:t>e instancij</w:t>
      </w:r>
      <w:r w:rsidR="0029302C">
        <w:t>oje</w:t>
      </w:r>
      <w:r w:rsidRPr="007E32DD">
        <w:t xml:space="preserve">. Tačiau diskutuotina, ar apeliacinė instancija </w:t>
      </w:r>
      <w:r w:rsidR="00E078C5">
        <w:t xml:space="preserve">galėjo būti </w:t>
      </w:r>
      <w:r w:rsidRPr="007E32DD">
        <w:t>vertin</w:t>
      </w:r>
      <w:r w:rsidR="00E078C5">
        <w:t>am</w:t>
      </w:r>
      <w:r w:rsidRPr="007E32DD">
        <w:t xml:space="preserve">a kaip pakankama kontrolės priemonė teismo sprendimo teisėtumo bei teismo klaidų ištaisymo užtikrinimui. Nors privataus kaltinimo tvarka nagrinėjamos mažesnio pavojingumo nusikalstamos veikos, tačiau teisės taikymo prasme šios bylos gali būti labai sudėtingos. </w:t>
      </w:r>
      <w:r w:rsidR="00E078C5">
        <w:t>A</w:t>
      </w:r>
      <w:r w:rsidRPr="007E32DD">
        <w:t>peliacinėje instancijoje prioritetiniais tikslais laikytin</w:t>
      </w:r>
      <w:r w:rsidR="006A1AA7">
        <w:t>i</w:t>
      </w:r>
      <w:r w:rsidRPr="007E32DD">
        <w:t xml:space="preserve"> bylos dalyvių konstitucinių teisių užtikrinimas ir teisingumo įvykdymas</w:t>
      </w:r>
      <w:r w:rsidR="00E078C5">
        <w:t>, t</w:t>
      </w:r>
      <w:r w:rsidRPr="007E32DD">
        <w:t xml:space="preserve">ačiau vertinant teisės aiškinimo </w:t>
      </w:r>
      <w:r w:rsidR="00E078C5">
        <w:t>ir vieningos praktikos formavimo galimybes</w:t>
      </w:r>
      <w:r w:rsidRPr="007E32DD">
        <w:t xml:space="preserve"> privataus kaltinimo procesinėje formoje, </w:t>
      </w:r>
      <w:r w:rsidR="008C07BF">
        <w:t>optimalu</w:t>
      </w:r>
      <w:r w:rsidR="00E078C5">
        <w:t>s</w:t>
      </w:r>
      <w:r w:rsidRPr="007E32DD">
        <w:t xml:space="preserve"> teismų sprendimų kontrolės formų modelis apim</w:t>
      </w:r>
      <w:r w:rsidR="00E078C5">
        <w:t>a</w:t>
      </w:r>
      <w:r w:rsidRPr="007E32DD">
        <w:t xml:space="preserve"> ir kasaciją. </w:t>
      </w:r>
      <w:r w:rsidR="00E078C5">
        <w:rPr>
          <w:rStyle w:val="Puslapioinaosnuoroda"/>
        </w:rPr>
        <w:footnoteReference w:id="813"/>
      </w:r>
      <w:r w:rsidR="00E078C5">
        <w:t xml:space="preserve"> Numačius kasacijos galimybę privataus kaltinimo bylose, pirmiausia atsiveria vieningo teisės aiškinimo ir vystymo perspektyvos. </w:t>
      </w:r>
    </w:p>
    <w:p w:rsidR="00FB34A8" w:rsidRDefault="00FB34A8" w:rsidP="00FB34A8">
      <w:pPr>
        <w:spacing w:line="360" w:lineRule="auto"/>
        <w:ind w:firstLine="720"/>
        <w:jc w:val="both"/>
        <w:rPr>
          <w:rFonts w:eastAsia="Times New Roman"/>
        </w:rPr>
      </w:pPr>
      <w:r w:rsidRPr="007E32DD">
        <w:rPr>
          <w:rFonts w:eastAsia="Times New Roman"/>
        </w:rPr>
        <w:t xml:space="preserve">Nors </w:t>
      </w:r>
      <w:r w:rsidR="008C07BF">
        <w:rPr>
          <w:rFonts w:eastAsia="Times New Roman"/>
        </w:rPr>
        <w:t>moksl</w:t>
      </w:r>
      <w:r w:rsidRPr="007E32DD">
        <w:rPr>
          <w:rFonts w:eastAsia="Times New Roman"/>
        </w:rPr>
        <w:t xml:space="preserve">inėje jurisprudencijoje nuomonės dėl teisę į teisminę gynybą sudarančių elementų išsiskiria, dauguma mokslininkų sutinka, kad kasacija yra ekstraordinari teismų sprendimų kontrolės forma, kuria išimtiniais atvejais leidžiama pasinaudoti, esant tam tikriems viešojo intereso elementams. </w:t>
      </w:r>
      <w:r w:rsidRPr="007E32DD">
        <w:rPr>
          <w:vertAlign w:val="superscript"/>
        </w:rPr>
        <w:footnoteReference w:id="814"/>
      </w:r>
      <w:r w:rsidR="006A1AA7">
        <w:rPr>
          <w:rFonts w:eastAsia="Times New Roman"/>
        </w:rPr>
        <w:t xml:space="preserve"> </w:t>
      </w:r>
      <w:r>
        <w:rPr>
          <w:rFonts w:eastAsia="Times New Roman"/>
        </w:rPr>
        <w:t>T</w:t>
      </w:r>
      <w:r w:rsidRPr="007E32DD">
        <w:rPr>
          <w:rFonts w:eastAsia="Times New Roman"/>
        </w:rPr>
        <w:t xml:space="preserve">odėl ir </w:t>
      </w:r>
      <w:r>
        <w:rPr>
          <w:rFonts w:eastAsia="Times New Roman"/>
        </w:rPr>
        <w:t>teisinis reguliavimas, numatantis</w:t>
      </w:r>
      <w:r w:rsidRPr="007E32DD">
        <w:rPr>
          <w:rFonts w:eastAsia="Times New Roman"/>
        </w:rPr>
        <w:t xml:space="preserve"> kasacinio proceso išimtis ir ribojimus</w:t>
      </w:r>
      <w:r>
        <w:rPr>
          <w:rFonts w:eastAsia="Times New Roman"/>
        </w:rPr>
        <w:t xml:space="preserve">, </w:t>
      </w:r>
      <w:r w:rsidRPr="007E32DD">
        <w:rPr>
          <w:rFonts w:eastAsia="Times New Roman"/>
        </w:rPr>
        <w:t xml:space="preserve">negali būti traktuojamas kaip teisės į teisminę gynybą ribojimas. </w:t>
      </w:r>
      <w:r w:rsidRPr="007E32DD">
        <w:rPr>
          <w:vertAlign w:val="superscript"/>
        </w:rPr>
        <w:footnoteReference w:id="815"/>
      </w:r>
      <w:r w:rsidR="0047131D">
        <w:rPr>
          <w:rFonts w:eastAsia="Times New Roman"/>
        </w:rPr>
        <w:t xml:space="preserve"> </w:t>
      </w:r>
      <w:r w:rsidR="00694131">
        <w:rPr>
          <w:rFonts w:eastAsia="Times New Roman"/>
        </w:rPr>
        <w:t xml:space="preserve">Tačiau </w:t>
      </w:r>
      <w:r w:rsidR="008C07BF">
        <w:rPr>
          <w:rFonts w:eastAsia="Times New Roman"/>
        </w:rPr>
        <w:t>moksl</w:t>
      </w:r>
      <w:r w:rsidR="00694131">
        <w:rPr>
          <w:rFonts w:eastAsia="Times New Roman"/>
        </w:rPr>
        <w:t>inėje literatūroje sutinkamas ir kategoriškesnis ver</w:t>
      </w:r>
      <w:r w:rsidR="0037439C">
        <w:rPr>
          <w:rFonts w:eastAsia="Times New Roman"/>
        </w:rPr>
        <w:t>tinimas, kad konkrečiu nagrinėja</w:t>
      </w:r>
      <w:r w:rsidR="00694131">
        <w:rPr>
          <w:rFonts w:eastAsia="Times New Roman"/>
        </w:rPr>
        <w:t xml:space="preserve">mu atveju </w:t>
      </w:r>
      <w:r w:rsidR="006A1AA7">
        <w:rPr>
          <w:rFonts w:eastAsia="Times New Roman"/>
        </w:rPr>
        <w:t xml:space="preserve">– </w:t>
      </w:r>
      <w:r w:rsidR="00694131">
        <w:rPr>
          <w:rFonts w:eastAsia="Times New Roman"/>
        </w:rPr>
        <w:t xml:space="preserve">privataus kaltinimo procese </w:t>
      </w:r>
      <w:r w:rsidR="006A1AA7">
        <w:rPr>
          <w:rFonts w:eastAsia="Times New Roman"/>
        </w:rPr>
        <w:t xml:space="preserve">– </w:t>
      </w:r>
      <w:r w:rsidR="00694131">
        <w:rPr>
          <w:rFonts w:eastAsia="Times New Roman"/>
        </w:rPr>
        <w:t xml:space="preserve">kasacinės instancijos eliminavimas pažeidžia asmens teisę į tinkamą teisinį procesą. </w:t>
      </w:r>
      <w:r w:rsidR="00694131">
        <w:rPr>
          <w:rStyle w:val="Puslapioinaosnuoroda"/>
          <w:rFonts w:eastAsia="Times New Roman"/>
        </w:rPr>
        <w:footnoteReference w:id="816"/>
      </w:r>
    </w:p>
    <w:p w:rsidR="00E71D60" w:rsidRDefault="00FB34A8" w:rsidP="00C5115B">
      <w:pPr>
        <w:spacing w:line="360" w:lineRule="auto"/>
        <w:ind w:firstLine="720"/>
        <w:jc w:val="both"/>
        <w:rPr>
          <w:rFonts w:eastAsia="Times New Roman"/>
        </w:rPr>
      </w:pPr>
      <w:r>
        <w:rPr>
          <w:rFonts w:eastAsia="Times New Roman"/>
        </w:rPr>
        <w:lastRenderedPageBreak/>
        <w:t xml:space="preserve">Ankstesniame </w:t>
      </w:r>
      <w:r w:rsidR="007E32DD" w:rsidRPr="007E32DD">
        <w:rPr>
          <w:rFonts w:eastAsia="Times New Roman"/>
        </w:rPr>
        <w:t xml:space="preserve">privataus kaltinimo proceso teisiniame reguliavime </w:t>
      </w:r>
      <w:r>
        <w:rPr>
          <w:rFonts w:eastAsia="Times New Roman"/>
        </w:rPr>
        <w:t>kasacijos</w:t>
      </w:r>
      <w:r w:rsidR="006A1AA7">
        <w:rPr>
          <w:rFonts w:eastAsia="Times New Roman"/>
        </w:rPr>
        <w:t xml:space="preserve"> </w:t>
      </w:r>
      <w:r w:rsidR="00E71D60">
        <w:rPr>
          <w:rFonts w:eastAsia="Times New Roman"/>
        </w:rPr>
        <w:t xml:space="preserve">prieinamumo </w:t>
      </w:r>
      <w:r w:rsidR="007E32DD" w:rsidRPr="007E32DD">
        <w:rPr>
          <w:rFonts w:eastAsia="Times New Roman"/>
        </w:rPr>
        <w:t>ribojim</w:t>
      </w:r>
      <w:r>
        <w:rPr>
          <w:rFonts w:eastAsia="Times New Roman"/>
        </w:rPr>
        <w:t>a</w:t>
      </w:r>
      <w:r w:rsidR="007E32DD" w:rsidRPr="007E32DD">
        <w:rPr>
          <w:rFonts w:eastAsia="Times New Roman"/>
        </w:rPr>
        <w:t>s privataus kaltinimo tvarka išnagrinėtose bylose</w:t>
      </w:r>
      <w:r>
        <w:rPr>
          <w:rFonts w:eastAsia="Times New Roman"/>
        </w:rPr>
        <w:t xml:space="preserve"> galėjo būti </w:t>
      </w:r>
      <w:r w:rsidR="00567CAF" w:rsidRPr="007E32DD">
        <w:t xml:space="preserve">grindžiamas nusikalstamų veikų specifika, t.y. mažesniu jų pavojingumu, ir viešojo intereso privataus kaltinimo procese nebuvimu. </w:t>
      </w:r>
      <w:r w:rsidR="00C5115B">
        <w:t>P</w:t>
      </w:r>
      <w:r w:rsidR="00567CAF" w:rsidRPr="007E32DD">
        <w:t>reziumuoja</w:t>
      </w:r>
      <w:r w:rsidR="00C5115B">
        <w:t>nt</w:t>
      </w:r>
      <w:r w:rsidR="00567CAF" w:rsidRPr="007E32DD">
        <w:t>, kad privataus kaltinimo procese teismo klaidų tikimybė yra mažesnė nei bendrojoje proceso formoje, kadangi privataus kaltinimo tvarka nagrinėjamos nesudėtingos tiek fakto, tiek teisės klausimais bylos</w:t>
      </w:r>
      <w:r w:rsidR="00C5115B">
        <w:t>,</w:t>
      </w:r>
      <w:r w:rsidR="00567CAF" w:rsidRPr="007E32DD">
        <w:t xml:space="preserve"> prioritetas </w:t>
      </w:r>
      <w:r w:rsidR="00C5115B">
        <w:t>buvo</w:t>
      </w:r>
      <w:r w:rsidR="00567CAF" w:rsidRPr="007E32DD">
        <w:t xml:space="preserve"> teikia</w:t>
      </w:r>
      <w:r w:rsidR="00C5115B">
        <w:t>mas teismų sprendimų stabilumui,</w:t>
      </w:r>
      <w:r w:rsidR="006A1AA7">
        <w:t xml:space="preserve"> </w:t>
      </w:r>
      <w:r w:rsidR="00C5115B">
        <w:t>o</w:t>
      </w:r>
      <w:r w:rsidR="00567CAF" w:rsidRPr="007E32DD">
        <w:t xml:space="preserve"> tei</w:t>
      </w:r>
      <w:r w:rsidR="00C5115B">
        <w:t>smų sprendimų apskundimų skaičius</w:t>
      </w:r>
      <w:r w:rsidR="00567CAF" w:rsidRPr="007E32DD">
        <w:t xml:space="preserve"> privataus kaltinimo bylose</w:t>
      </w:r>
      <w:r w:rsidR="00C5115B">
        <w:t xml:space="preserve"> ribojamas</w:t>
      </w:r>
      <w:r w:rsidR="00567CAF" w:rsidRPr="007E32DD">
        <w:t xml:space="preserve">. </w:t>
      </w:r>
      <w:r w:rsidR="007E32DD" w:rsidRPr="007E32DD">
        <w:rPr>
          <w:rFonts w:eastAsia="Times New Roman"/>
        </w:rPr>
        <w:t xml:space="preserve">Taigi kasacijos </w:t>
      </w:r>
      <w:r w:rsidR="00F757D8">
        <w:rPr>
          <w:rFonts w:eastAsia="Times New Roman"/>
        </w:rPr>
        <w:t>prieinamumo</w:t>
      </w:r>
      <w:r w:rsidR="006A1AA7">
        <w:rPr>
          <w:rFonts w:eastAsia="Times New Roman"/>
        </w:rPr>
        <w:t xml:space="preserve"> </w:t>
      </w:r>
      <w:r w:rsidR="007E32DD" w:rsidRPr="007E32DD">
        <w:rPr>
          <w:rFonts w:eastAsia="Times New Roman"/>
        </w:rPr>
        <w:t>ribojimas privataus kaltinimo bylų procese gal</w:t>
      </w:r>
      <w:r w:rsidR="00E71D60">
        <w:rPr>
          <w:rFonts w:eastAsia="Times New Roman"/>
        </w:rPr>
        <w:t>ėjo</w:t>
      </w:r>
      <w:r w:rsidR="007E32DD" w:rsidRPr="007E32DD">
        <w:rPr>
          <w:rFonts w:eastAsia="Times New Roman"/>
        </w:rPr>
        <w:t xml:space="preserve"> būti pagrįstas keliais aspektais. Visų pirma, </w:t>
      </w:r>
      <w:r w:rsidR="00E71D60">
        <w:rPr>
          <w:rFonts w:eastAsia="Times New Roman"/>
        </w:rPr>
        <w:t>laikantis pozicijos</w:t>
      </w:r>
      <w:r w:rsidR="007E32DD" w:rsidRPr="007E32DD">
        <w:rPr>
          <w:rFonts w:eastAsia="Times New Roman"/>
        </w:rPr>
        <w:t>, kad kasacija nėra teisės į teisminę gynybą dalis, darytina išvada, kad kasacijos</w:t>
      </w:r>
      <w:r w:rsidR="00E71D60">
        <w:rPr>
          <w:rFonts w:eastAsia="Times New Roman"/>
        </w:rPr>
        <w:t xml:space="preserve"> prieinamumo</w:t>
      </w:r>
      <w:r w:rsidR="007E32DD" w:rsidRPr="007E32DD">
        <w:rPr>
          <w:rFonts w:eastAsia="Times New Roman"/>
        </w:rPr>
        <w:t xml:space="preserve"> ribojimas privataus kaltinimo bylų procese nelaikytinas šios teisės pažeidimu. Antra, </w:t>
      </w:r>
      <w:r w:rsidRPr="007E32DD">
        <w:rPr>
          <w:rFonts w:eastAsia="Times New Roman"/>
        </w:rPr>
        <w:t>kasacijoje, priešingai nei apeliacijoje, viešiesiems teismų sprendimų kontrolės tikslams (vieningam teismų praktikos formavimui) teikiamas akivaizdus prioritetas prieš privačius (teisi</w:t>
      </w:r>
      <w:r>
        <w:rPr>
          <w:rFonts w:eastAsia="Times New Roman"/>
        </w:rPr>
        <w:t>ngą ginčo išsprendimą)</w:t>
      </w:r>
      <w:r w:rsidR="007E32DD" w:rsidRPr="007E32DD">
        <w:rPr>
          <w:rFonts w:eastAsia="Times New Roman"/>
        </w:rPr>
        <w:t xml:space="preserve">, o privataus kaltinimo bylų procese dominuoja privatus interesas. </w:t>
      </w:r>
    </w:p>
    <w:p w:rsidR="00C5115B" w:rsidRDefault="007E32DD" w:rsidP="00C5115B">
      <w:pPr>
        <w:spacing w:line="360" w:lineRule="auto"/>
        <w:ind w:firstLine="720"/>
        <w:jc w:val="both"/>
      </w:pPr>
      <w:r w:rsidRPr="007E32DD">
        <w:rPr>
          <w:rFonts w:eastAsia="Times New Roman"/>
        </w:rPr>
        <w:t>Nors ši</w:t>
      </w:r>
      <w:r w:rsidR="00C5115B">
        <w:rPr>
          <w:rFonts w:eastAsia="Times New Roman"/>
        </w:rPr>
        <w:t>ais</w:t>
      </w:r>
      <w:r w:rsidRPr="007E32DD">
        <w:rPr>
          <w:rFonts w:eastAsia="Times New Roman"/>
        </w:rPr>
        <w:t xml:space="preserve"> paminėtais aspektais kasacijos </w:t>
      </w:r>
      <w:r w:rsidR="00E71D60">
        <w:rPr>
          <w:rFonts w:eastAsia="Times New Roman"/>
        </w:rPr>
        <w:t xml:space="preserve">prieinamumo </w:t>
      </w:r>
      <w:r w:rsidRPr="007E32DD">
        <w:rPr>
          <w:rFonts w:eastAsia="Times New Roman"/>
        </w:rPr>
        <w:t>ribojimas galėtų būti vertinamas kaip pagrįstas, tokia teismo sprendimų kontrolės sistema kaltinamojo teis</w:t>
      </w:r>
      <w:r w:rsidR="00E71D60">
        <w:rPr>
          <w:rFonts w:eastAsia="Times New Roman"/>
        </w:rPr>
        <w:t>ės</w:t>
      </w:r>
      <w:r w:rsidRPr="007E32DD">
        <w:rPr>
          <w:rFonts w:eastAsia="Times New Roman"/>
        </w:rPr>
        <w:t xml:space="preserve"> į </w:t>
      </w:r>
      <w:r w:rsidR="00E71D60">
        <w:rPr>
          <w:rFonts w:eastAsia="Times New Roman"/>
        </w:rPr>
        <w:t xml:space="preserve">teisminę </w:t>
      </w:r>
      <w:r w:rsidRPr="007E32DD">
        <w:rPr>
          <w:rFonts w:eastAsia="Times New Roman"/>
        </w:rPr>
        <w:t>gynybą aspektu n</w:t>
      </w:r>
      <w:r w:rsidR="00C5115B">
        <w:rPr>
          <w:rFonts w:eastAsia="Times New Roman"/>
        </w:rPr>
        <w:t>ebuvo</w:t>
      </w:r>
      <w:r w:rsidRPr="007E32DD">
        <w:rPr>
          <w:rFonts w:eastAsia="Times New Roman"/>
        </w:rPr>
        <w:t xml:space="preserve"> nepriekaištinga. </w:t>
      </w:r>
      <w:r w:rsidR="00E71D60">
        <w:rPr>
          <w:rFonts w:eastAsia="Times New Roman"/>
        </w:rPr>
        <w:t>R</w:t>
      </w:r>
      <w:r w:rsidRPr="007E32DD">
        <w:rPr>
          <w:rFonts w:eastAsia="Times New Roman"/>
        </w:rPr>
        <w:t xml:space="preserve">emiantis žmogaus teisių apsaugos tarptautiniais standartais, teismo sprendimas apeliacine tvarka kaip galutinės instancijos sprendimas negali pakeisti pirmosios instancijos teismo sprendimo, jei įstatyme nenumatyta galimybė jį apskųsti. </w:t>
      </w:r>
      <w:r w:rsidR="00E71D60">
        <w:rPr>
          <w:rFonts w:eastAsia="Times New Roman"/>
        </w:rPr>
        <w:t>Ne</w:t>
      </w:r>
      <w:r w:rsidRPr="007E32DD">
        <w:rPr>
          <w:rFonts w:eastAsia="Times New Roman"/>
        </w:rPr>
        <w:t xml:space="preserve">sant </w:t>
      </w:r>
      <w:r w:rsidR="00E71D60">
        <w:rPr>
          <w:rFonts w:eastAsia="Times New Roman"/>
        </w:rPr>
        <w:t xml:space="preserve">galimybės apskųsti teismo sprendimą </w:t>
      </w:r>
      <w:r w:rsidR="00C5115B">
        <w:rPr>
          <w:rFonts w:eastAsia="Times New Roman"/>
        </w:rPr>
        <w:t>kasaci</w:t>
      </w:r>
      <w:r w:rsidR="00E71D60">
        <w:rPr>
          <w:rFonts w:eastAsia="Times New Roman"/>
        </w:rPr>
        <w:t>ne tvarka</w:t>
      </w:r>
      <w:r w:rsidRPr="007E32DD">
        <w:rPr>
          <w:rFonts w:eastAsia="Times New Roman"/>
        </w:rPr>
        <w:t xml:space="preserve">, nuteistasis neturi galimybės įgyvendinti apskundimo teisės tais atvejais, kai apeliacinėje instancijoje panaikinamas išteisinamasis nuosprendis ir </w:t>
      </w:r>
      <w:r w:rsidR="0069578F">
        <w:rPr>
          <w:rFonts w:eastAsia="Times New Roman"/>
        </w:rPr>
        <w:t xml:space="preserve">pirmą kartą </w:t>
      </w:r>
      <w:r w:rsidRPr="007E32DD">
        <w:rPr>
          <w:rFonts w:eastAsia="Times New Roman"/>
        </w:rPr>
        <w:t xml:space="preserve">priimamas jam nepalankus, jo teisinę padėtį sunkinantis nuosprendis. </w:t>
      </w:r>
      <w:r w:rsidRPr="007E32DD">
        <w:rPr>
          <w:rFonts w:eastAsia="Times New Roman"/>
          <w:vertAlign w:val="superscript"/>
        </w:rPr>
        <w:footnoteReference w:id="817"/>
      </w:r>
      <w:r w:rsidR="0069578F">
        <w:rPr>
          <w:rFonts w:eastAsia="Times New Roman"/>
        </w:rPr>
        <w:t xml:space="preserve"> Šiuo atveju </w:t>
      </w:r>
      <w:r w:rsidRPr="007E32DD">
        <w:rPr>
          <w:rFonts w:eastAsia="Times New Roman"/>
        </w:rPr>
        <w:t>įstatym</w:t>
      </w:r>
      <w:r w:rsidR="0069578F">
        <w:rPr>
          <w:rFonts w:eastAsia="Times New Roman"/>
        </w:rPr>
        <w:t>as nesuteikia galimybės</w:t>
      </w:r>
      <w:r w:rsidR="0047131D">
        <w:rPr>
          <w:rFonts w:eastAsia="Times New Roman"/>
        </w:rPr>
        <w:t xml:space="preserve"> </w:t>
      </w:r>
      <w:r w:rsidR="0069578F" w:rsidRPr="007E32DD">
        <w:rPr>
          <w:rFonts w:eastAsia="Times New Roman"/>
        </w:rPr>
        <w:t xml:space="preserve">apskųsti </w:t>
      </w:r>
      <w:r w:rsidR="0069578F">
        <w:rPr>
          <w:rFonts w:eastAsia="Times New Roman"/>
        </w:rPr>
        <w:t>aukštesnės instancijos teismui</w:t>
      </w:r>
      <w:r w:rsidR="006A1AA7">
        <w:rPr>
          <w:rFonts w:eastAsia="Times New Roman"/>
        </w:rPr>
        <w:t xml:space="preserve"> </w:t>
      </w:r>
      <w:r w:rsidRPr="007E32DD">
        <w:rPr>
          <w:rFonts w:eastAsia="Times New Roman"/>
        </w:rPr>
        <w:t>teismo baigiamąjį aktą</w:t>
      </w:r>
      <w:r w:rsidR="0069578F">
        <w:rPr>
          <w:rFonts w:eastAsia="Times New Roman"/>
        </w:rPr>
        <w:t>, kuriuo buvo pasunkinta išteisintojo padėtis.</w:t>
      </w:r>
      <w:r w:rsidRPr="007E32DD">
        <w:rPr>
          <w:rFonts w:eastAsia="Times New Roman"/>
        </w:rPr>
        <w:t xml:space="preserve"> Teisinis reguliavimas, sudar</w:t>
      </w:r>
      <w:r w:rsidR="00C5115B">
        <w:rPr>
          <w:rFonts w:eastAsia="Times New Roman"/>
        </w:rPr>
        <w:t>anti</w:t>
      </w:r>
      <w:r w:rsidRPr="007E32DD">
        <w:rPr>
          <w:rFonts w:eastAsia="Times New Roman"/>
        </w:rPr>
        <w:t>s prielaidas teisinei situacijai, kuri akivaizdžiai pažeidžia kaltinamojo teisę į teisminę gynybą, traktuotinas kaip ydingas</w:t>
      </w:r>
      <w:r w:rsidR="00C5115B">
        <w:rPr>
          <w:rFonts w:eastAsia="Times New Roman"/>
        </w:rPr>
        <w:t xml:space="preserve">, todėl teismų sprendimų kontrolės formų modelio privataus kaltinimo procesinėje formoje pakeitimai buvo reikalingi ir </w:t>
      </w:r>
      <w:r w:rsidRPr="007E32DD">
        <w:rPr>
          <w:rFonts w:eastAsia="Times New Roman"/>
        </w:rPr>
        <w:t>įgyvendin</w:t>
      </w:r>
      <w:r w:rsidR="00C5115B">
        <w:rPr>
          <w:rFonts w:eastAsia="Times New Roman"/>
        </w:rPr>
        <w:t>o</w:t>
      </w:r>
      <w:r w:rsidRPr="007E32DD">
        <w:rPr>
          <w:rFonts w:eastAsia="Times New Roman"/>
        </w:rPr>
        <w:t xml:space="preserve"> teismų instancinės sistemos paskirt</w:t>
      </w:r>
      <w:r w:rsidR="00C5115B">
        <w:rPr>
          <w:rFonts w:eastAsia="Times New Roman"/>
        </w:rPr>
        <w:t>į</w:t>
      </w:r>
      <w:r w:rsidR="00E71D60">
        <w:rPr>
          <w:rFonts w:eastAsia="Times New Roman"/>
        </w:rPr>
        <w:t xml:space="preserve"> </w:t>
      </w:r>
      <w:r w:rsidR="0029302C" w:rsidRPr="0029302C">
        <w:rPr>
          <w:rFonts w:eastAsia="Times New Roman"/>
        </w:rPr>
        <w:t>sudaryti prielaidas aukštesnės instancijos teismuose ištaisyti teisės klaidas ir įvykdyti teisingumą.</w:t>
      </w:r>
      <w:r w:rsidR="0029302C">
        <w:rPr>
          <w:rFonts w:eastAsia="Times New Roman"/>
        </w:rPr>
        <w:t xml:space="preserve"> </w:t>
      </w:r>
      <w:r w:rsidRPr="007E32DD">
        <w:rPr>
          <w:rFonts w:eastAsia="Times New Roman"/>
          <w:vertAlign w:val="superscript"/>
        </w:rPr>
        <w:footnoteReference w:id="818"/>
      </w:r>
      <w:r w:rsidR="006A1AA7">
        <w:rPr>
          <w:rFonts w:eastAsia="Times New Roman"/>
        </w:rPr>
        <w:t xml:space="preserve"> </w:t>
      </w:r>
      <w:r w:rsidR="00C5115B" w:rsidRPr="007E32DD">
        <w:t xml:space="preserve">Palyginimui, Vokietijos baudžiamajame procese privataus kaltinimo byloje galima apeliacija </w:t>
      </w:r>
      <w:proofErr w:type="gramStart"/>
      <w:r w:rsidR="00C5115B" w:rsidRPr="007E32DD">
        <w:t>(</w:t>
      </w:r>
      <w:proofErr w:type="gramEnd"/>
      <w:r w:rsidR="00C5115B" w:rsidRPr="007E32DD">
        <w:t xml:space="preserve">vok. </w:t>
      </w:r>
      <w:r w:rsidR="00C5115B" w:rsidRPr="007E32DD">
        <w:rPr>
          <w:i/>
        </w:rPr>
        <w:t>Berufung</w:t>
      </w:r>
      <w:r w:rsidR="00C5115B" w:rsidRPr="007E32DD">
        <w:t xml:space="preserve">), revizija </w:t>
      </w:r>
      <w:proofErr w:type="gramStart"/>
      <w:r w:rsidR="00C5115B" w:rsidRPr="007E32DD">
        <w:t>(</w:t>
      </w:r>
      <w:proofErr w:type="gramEnd"/>
      <w:r w:rsidR="00C5115B" w:rsidRPr="007E32DD">
        <w:t xml:space="preserve">vok. </w:t>
      </w:r>
      <w:r w:rsidR="00C5115B" w:rsidRPr="007E32DD">
        <w:rPr>
          <w:i/>
        </w:rPr>
        <w:t>Revision</w:t>
      </w:r>
      <w:r w:rsidR="00C5115B" w:rsidRPr="007E32DD">
        <w:t xml:space="preserve">) bei atskirasis skundas </w:t>
      </w:r>
      <w:proofErr w:type="gramStart"/>
      <w:r w:rsidR="00C5115B" w:rsidRPr="007E32DD">
        <w:t>(</w:t>
      </w:r>
      <w:proofErr w:type="gramEnd"/>
      <w:r w:rsidR="00C5115B" w:rsidRPr="007E32DD">
        <w:t xml:space="preserve">vok. </w:t>
      </w:r>
      <w:r w:rsidR="00C5115B" w:rsidRPr="007E32DD">
        <w:rPr>
          <w:i/>
        </w:rPr>
        <w:t>Beschwerde</w:t>
      </w:r>
      <w:r w:rsidR="00C5115B" w:rsidRPr="007E32DD">
        <w:t xml:space="preserve">). </w:t>
      </w:r>
      <w:r w:rsidR="00C5115B" w:rsidRPr="007E32DD">
        <w:rPr>
          <w:vertAlign w:val="superscript"/>
        </w:rPr>
        <w:footnoteReference w:id="819"/>
      </w:r>
      <w:r w:rsidR="00C5115B" w:rsidRPr="007E32DD">
        <w:t xml:space="preserve"> Visos šios Vokietijos teisinėje sistemoje numatytos teismų sprendimų kontrolės formos yra įprastos (ordinarinės) teismų sprendimų </w:t>
      </w:r>
      <w:r w:rsidR="00C5115B" w:rsidRPr="007E32DD">
        <w:lastRenderedPageBreak/>
        <w:t xml:space="preserve">peržiūros formos, t.y. suteikiama galimybė jomis pasinaudoti visais atvejais (išskyrus galimas įstatymines išimtis), bet kokiu atveju pradedamas procesas, skundžiami neįsiteisėję teismo sprendimai, o skundo padavimas sustabdo sprendimo įsiteisėjimą ir vykdymą. </w:t>
      </w:r>
      <w:r w:rsidR="00C5115B" w:rsidRPr="007E32DD">
        <w:rPr>
          <w:vertAlign w:val="superscript"/>
        </w:rPr>
        <w:footnoteReference w:id="820"/>
      </w:r>
    </w:p>
    <w:p w:rsidR="007E32DD" w:rsidRPr="007E32DD" w:rsidRDefault="007E32DD" w:rsidP="00694131">
      <w:pPr>
        <w:spacing w:line="360" w:lineRule="auto"/>
        <w:ind w:firstLine="720"/>
        <w:jc w:val="both"/>
        <w:rPr>
          <w:rFonts w:eastAsia="Times New Roman"/>
        </w:rPr>
      </w:pPr>
      <w:r w:rsidRPr="007E32DD">
        <w:rPr>
          <w:rFonts w:eastAsia="Times New Roman"/>
        </w:rPr>
        <w:t xml:space="preserve">Išanalizavus teismų sprendimų kontrolės formų modelį privataus kaltinimo procesinėje formoje, darytina išvada, kad </w:t>
      </w:r>
      <w:r w:rsidR="005858A8">
        <w:rPr>
          <w:rFonts w:eastAsia="Times New Roman"/>
        </w:rPr>
        <w:t>numa</w:t>
      </w:r>
      <w:r w:rsidR="005858A8" w:rsidRPr="007E32DD">
        <w:rPr>
          <w:rFonts w:eastAsia="Times New Roman"/>
        </w:rPr>
        <w:t>t</w:t>
      </w:r>
      <w:r w:rsidR="005858A8">
        <w:rPr>
          <w:rFonts w:eastAsia="Times New Roman"/>
        </w:rPr>
        <w:t>ant</w:t>
      </w:r>
      <w:r w:rsidR="005858A8" w:rsidRPr="007E32DD">
        <w:rPr>
          <w:rFonts w:eastAsia="Times New Roman"/>
        </w:rPr>
        <w:t xml:space="preserve"> teismo sprendimo peržiūrėjimo galimybę kasacine tvarka </w:t>
      </w:r>
      <w:r w:rsidR="005858A8">
        <w:rPr>
          <w:rFonts w:eastAsia="Times New Roman"/>
        </w:rPr>
        <w:t>buvo sudarytos teisinės prielaidos</w:t>
      </w:r>
      <w:r w:rsidR="005858A8" w:rsidRPr="007E32DD">
        <w:rPr>
          <w:rFonts w:eastAsia="Times New Roman"/>
        </w:rPr>
        <w:t xml:space="preserve"> </w:t>
      </w:r>
      <w:r w:rsidR="005858A8">
        <w:rPr>
          <w:rFonts w:eastAsia="Times New Roman"/>
        </w:rPr>
        <w:t xml:space="preserve">suvienodinti </w:t>
      </w:r>
      <w:r w:rsidRPr="007E32DD">
        <w:rPr>
          <w:rFonts w:eastAsia="Times New Roman"/>
        </w:rPr>
        <w:t>privataus kaltinimo by</w:t>
      </w:r>
      <w:r w:rsidR="005858A8">
        <w:rPr>
          <w:rFonts w:eastAsia="Times New Roman"/>
        </w:rPr>
        <w:t>lų procesą reglamentuojančių teisės normų taikymą ir taip užtikrinti teisinio tikrumo principą ir proceso dalyvių teisėtus lūkesčius</w:t>
      </w:r>
      <w:r w:rsidRPr="007E32DD">
        <w:rPr>
          <w:rFonts w:eastAsia="Times New Roman"/>
        </w:rPr>
        <w:t>. Teismų sprendimų kontrolės formų modelio pakeitimas ir galimybė nagrinėti privataus kaltinimo bylą kasacin</w:t>
      </w:r>
      <w:r w:rsidR="006A1AA7">
        <w:rPr>
          <w:rFonts w:eastAsia="Times New Roman"/>
        </w:rPr>
        <w:t>ėje instancijoje</w:t>
      </w:r>
      <w:r w:rsidR="00694131">
        <w:rPr>
          <w:rFonts w:eastAsia="Times New Roman"/>
        </w:rPr>
        <w:t xml:space="preserve"> optimaliai užtikrina</w:t>
      </w:r>
      <w:r w:rsidRPr="007E32DD">
        <w:rPr>
          <w:rFonts w:eastAsia="Times New Roman"/>
        </w:rPr>
        <w:t xml:space="preserve"> tiek teismo klaidų, esmingai pažeidžiančių proceso dalyvių teises, ištaisymo galim</w:t>
      </w:r>
      <w:r w:rsidR="005858A8">
        <w:rPr>
          <w:rFonts w:eastAsia="Times New Roman"/>
        </w:rPr>
        <w:t>ybę</w:t>
      </w:r>
      <w:r w:rsidRPr="007E32DD">
        <w:rPr>
          <w:rFonts w:eastAsia="Times New Roman"/>
        </w:rPr>
        <w:t xml:space="preserve">, tiek teisės aiškinimą ir vystymą nagrinėjant privataus kaltinimo bylas. </w:t>
      </w:r>
    </w:p>
    <w:p w:rsidR="007E32DD" w:rsidRPr="007E32DD" w:rsidRDefault="007E32DD" w:rsidP="007E32DD">
      <w:pPr>
        <w:spacing w:line="360" w:lineRule="auto"/>
        <w:ind w:firstLine="1296"/>
        <w:rPr>
          <w:rFonts w:eastAsia="Times New Roman"/>
        </w:rPr>
      </w:pPr>
    </w:p>
    <w:bookmarkEnd w:id="395"/>
    <w:bookmarkEnd w:id="396"/>
    <w:bookmarkEnd w:id="397"/>
    <w:bookmarkEnd w:id="398"/>
    <w:bookmarkEnd w:id="399"/>
    <w:bookmarkEnd w:id="400"/>
    <w:bookmarkEnd w:id="401"/>
    <w:bookmarkEnd w:id="402"/>
    <w:bookmarkEnd w:id="403"/>
    <w:bookmarkEnd w:id="404"/>
    <w:bookmarkEnd w:id="405"/>
    <w:bookmarkEnd w:id="406"/>
    <w:p w:rsidR="009C5E23" w:rsidRDefault="009C5E23">
      <w:r>
        <w:br w:type="page"/>
      </w:r>
    </w:p>
    <w:p w:rsidR="002028D4" w:rsidRPr="003E2C55" w:rsidRDefault="002028D4" w:rsidP="002028D4">
      <w:pPr>
        <w:pStyle w:val="Antrat1"/>
      </w:pPr>
      <w:bookmarkStart w:id="414" w:name="_Toc378272197"/>
      <w:bookmarkStart w:id="415" w:name="_Toc391459916"/>
      <w:bookmarkStart w:id="416" w:name="_Toc400321715"/>
      <w:r w:rsidRPr="003E2C55">
        <w:lastRenderedPageBreak/>
        <w:t>Išvados</w:t>
      </w:r>
      <w:bookmarkEnd w:id="414"/>
      <w:bookmarkEnd w:id="415"/>
      <w:bookmarkEnd w:id="416"/>
    </w:p>
    <w:p w:rsidR="002028D4" w:rsidRPr="008027F0" w:rsidRDefault="002028D4" w:rsidP="002028D4">
      <w:pPr>
        <w:pStyle w:val="Sraopastraipa"/>
        <w:numPr>
          <w:ilvl w:val="0"/>
          <w:numId w:val="23"/>
        </w:numPr>
        <w:rPr>
          <w:b/>
        </w:rPr>
      </w:pPr>
      <w:r>
        <w:t>Ieškant optimalaus privataus kaltinimo bylų proceso teisinio reguliavimo teorinių pagrindų bei tiriant šios proceso formos dermę su konstitucinio baudžiamojo proceso paskirtimi buvo nustatyta, kad privataus kaltinimo proceso egzistavimo baudžiamajame procese ir jo reguliavimo metodologinis pagrindas</w:t>
      </w:r>
      <w:r w:rsidRPr="00D37524">
        <w:t xml:space="preserve"> </w:t>
      </w:r>
      <w:r>
        <w:t>yra dispozityvumo principas. Dispozityvumas privataus kaltinimo proceso formoje</w:t>
      </w:r>
      <w:r w:rsidRPr="00571EEC">
        <w:t xml:space="preserve"> pasireiškia kaip įstatymu numatyta galimybė procesinių teisinių santykių subjektui pasirinkti elgesio variantą priklausomai nuo privataus asmens nuožiūros, leidžia reguliuojamo santykio dalyviams parodyti iniciatyvą, savarankiškumą. Dispozityvumo ir privataus kaltinimo bylų proceso tarpusavio sąsają paaiškina akcionarinio (ieškininio) proceso teorija, kurioje suformuojama baudžiamojo ieškinio koncepcija </w:t>
      </w:r>
      <w:r>
        <w:t>(</w:t>
      </w:r>
      <w:r w:rsidRPr="00571EEC">
        <w:t>privataus kaltinimo bylų procesas suprantam</w:t>
      </w:r>
      <w:r>
        <w:t xml:space="preserve">as kaip ieškininė teisena), </w:t>
      </w:r>
      <w:r w:rsidRPr="00571EEC">
        <w:t xml:space="preserve">o baudžiamasis persekiojimas konstruojamas pagal civilinio ieškinio palaikymo teisme principą. </w:t>
      </w:r>
      <w:r>
        <w:t xml:space="preserve">Šia koncepcija siūlytina vadovautis apibrėžiant privataus kaltinimo bylų proceso teisinio reguliavimo gaires. </w:t>
      </w:r>
    </w:p>
    <w:p w:rsidR="002028D4" w:rsidRPr="00E87755" w:rsidRDefault="002028D4" w:rsidP="002028D4">
      <w:pPr>
        <w:pStyle w:val="Sraopastraipa"/>
        <w:numPr>
          <w:ilvl w:val="0"/>
          <w:numId w:val="23"/>
        </w:numPr>
      </w:pPr>
      <w:r>
        <w:t xml:space="preserve">Baudžiamosios politikos uždaviniai – </w:t>
      </w:r>
      <w:r w:rsidRPr="00571EEC">
        <w:t xml:space="preserve">užtikrinti greitą ir </w:t>
      </w:r>
      <w:r>
        <w:t>veiksmingą</w:t>
      </w:r>
      <w:r w:rsidRPr="00571EEC">
        <w:t xml:space="preserve"> teisingumo įvykdymą bei </w:t>
      </w:r>
      <w:r>
        <w:t xml:space="preserve">stiprinti baudžiamąjį persekiojimą </w:t>
      </w:r>
      <w:r w:rsidRPr="0094039E">
        <w:t>prioritetin</w:t>
      </w:r>
      <w:r>
        <w:t xml:space="preserve">ėse kryptyse, mažinant mažiau pavojingų nusikalstamų veikų tyrimo ir teisminio nagrinėjimo sąnaudas bei užtikrinant </w:t>
      </w:r>
      <w:r w:rsidRPr="008027F0">
        <w:t>nukentėjusi</w:t>
      </w:r>
      <w:r>
        <w:t xml:space="preserve">ų nuo šių nusikalstamų veikų asmenų teisę į teisminę gynybą ir galimybę apsispręsti dėl savo pažeistų teisių ir teisėtų interesų gynimo tikslingumo – </w:t>
      </w:r>
      <w:r w:rsidRPr="00571EEC">
        <w:t xml:space="preserve">gali būti įgyvendinami per baudžiamojo proceso diferenciaciją: </w:t>
      </w:r>
      <w:r>
        <w:t>mažiau pavojingų viešojo intereso požiūriu nusikalstamų veikų atžvilgiu</w:t>
      </w:r>
      <w:r w:rsidRPr="00571EEC">
        <w:t xml:space="preserve"> taikant supaprastintas arba alternatyvias </w:t>
      </w:r>
      <w:r>
        <w:t xml:space="preserve">baudžiamajam procesui </w:t>
      </w:r>
      <w:r w:rsidRPr="00571EEC">
        <w:t>procedūras. Šiame kontekste</w:t>
      </w:r>
      <w:r>
        <w:t xml:space="preserve"> </w:t>
      </w:r>
      <w:r w:rsidRPr="00571EEC">
        <w:t>privataus kaltinimo bylų proces</w:t>
      </w:r>
      <w:r>
        <w:t xml:space="preserve">as </w:t>
      </w:r>
      <w:r w:rsidRPr="00571EEC">
        <w:t>kaip vien</w:t>
      </w:r>
      <w:r>
        <w:t>a</w:t>
      </w:r>
      <w:r w:rsidRPr="00571EEC">
        <w:t xml:space="preserve"> iš proceso diferenciacijos formų</w:t>
      </w:r>
      <w:r>
        <w:t xml:space="preserve"> gali tapti ne tik </w:t>
      </w:r>
      <w:r w:rsidRPr="00571EEC">
        <w:t>baudžiamosios politikos priemon</w:t>
      </w:r>
      <w:r>
        <w:t>e,</w:t>
      </w:r>
      <w:r w:rsidRPr="00571EEC">
        <w:t xml:space="preserve"> mažin</w:t>
      </w:r>
      <w:r>
        <w:t xml:space="preserve">ančia </w:t>
      </w:r>
      <w:r w:rsidRPr="00571EEC">
        <w:t xml:space="preserve">valstybės įsikišimą mažiau visuomenei reikšmingų teisinių gėrių pažeidimų </w:t>
      </w:r>
      <w:r>
        <w:t>atvejais ir leidžiančia padidinti g</w:t>
      </w:r>
      <w:r w:rsidRPr="00571EEC">
        <w:t>alimyb</w:t>
      </w:r>
      <w:r>
        <w:t>es</w:t>
      </w:r>
      <w:r w:rsidRPr="00571EEC">
        <w:t xml:space="preserve"> intensyvinti ir stiprinti baudžiamąjį persekiojimą, </w:t>
      </w:r>
      <w:r>
        <w:t xml:space="preserve">kai yra </w:t>
      </w:r>
      <w:r w:rsidRPr="00571EEC">
        <w:t>pažei</w:t>
      </w:r>
      <w:r>
        <w:t xml:space="preserve">džiami </w:t>
      </w:r>
      <w:r w:rsidRPr="00571EEC">
        <w:t>didesnę svarbą visuomenei turint</w:t>
      </w:r>
      <w:r>
        <w:t>ys</w:t>
      </w:r>
      <w:r w:rsidRPr="00571EEC">
        <w:t xml:space="preserve"> teisinia</w:t>
      </w:r>
      <w:r>
        <w:t xml:space="preserve">i </w:t>
      </w:r>
      <w:r w:rsidRPr="00571EEC">
        <w:t>gėria</w:t>
      </w:r>
      <w:r>
        <w:t xml:space="preserve">i, </w:t>
      </w:r>
      <w:r w:rsidRPr="00E87755">
        <w:t xml:space="preserve">tačiau ir </w:t>
      </w:r>
      <w:r>
        <w:t>veiksminga nukentėjusių nuo nusikalstamų veikų asmenų pažeistų teisių ir teisėtų interesų gynybos priemone</w:t>
      </w:r>
      <w:r w:rsidRPr="00E87755">
        <w:t xml:space="preserve">. </w:t>
      </w:r>
    </w:p>
    <w:p w:rsidR="002028D4" w:rsidRPr="00571EEC" w:rsidRDefault="002028D4" w:rsidP="002028D4">
      <w:pPr>
        <w:pStyle w:val="Sraopastraipa"/>
        <w:widowControl w:val="0"/>
        <w:numPr>
          <w:ilvl w:val="0"/>
          <w:numId w:val="23"/>
        </w:numPr>
        <w:shd w:val="clear" w:color="auto" w:fill="FFFFFF"/>
        <w:tabs>
          <w:tab w:val="left" w:pos="1267"/>
        </w:tabs>
        <w:autoSpaceDE w:val="0"/>
        <w:autoSpaceDN w:val="0"/>
        <w:adjustRightInd w:val="0"/>
        <w:ind w:right="27"/>
        <w:rPr>
          <w:i/>
        </w:rPr>
      </w:pPr>
      <w:r>
        <w:rPr>
          <w:bCs/>
        </w:rPr>
        <w:t>Siekiant užtikrinti įstatymų leidėjo nuoseklumą formuojant baudžiamąją politiką bei priskiriant nusikalstamas veikas privataus kaltinimo nagrinėjimo sričiai, yra išskirtini p</w:t>
      </w:r>
      <w:r w:rsidRPr="00571EEC">
        <w:rPr>
          <w:bCs/>
        </w:rPr>
        <w:t>rivataus kaltinimo diferencijavimo teorini</w:t>
      </w:r>
      <w:r>
        <w:rPr>
          <w:bCs/>
        </w:rPr>
        <w:t>ai</w:t>
      </w:r>
      <w:r w:rsidRPr="00571EEC">
        <w:rPr>
          <w:bCs/>
        </w:rPr>
        <w:t xml:space="preserve"> pagrind</w:t>
      </w:r>
      <w:r>
        <w:rPr>
          <w:bCs/>
        </w:rPr>
        <w:t>ai, kurie ne tik</w:t>
      </w:r>
      <w:r w:rsidRPr="00571EEC">
        <w:t xml:space="preserve"> leidžia moksliškai paaiškinti privataus kaltinimo instituto esmę, parodo materialinės ir procesinės teisės ryšį, </w:t>
      </w:r>
      <w:r>
        <w:t>bet ir įgalina pagrįstai bei nuosekliai</w:t>
      </w:r>
      <w:r w:rsidRPr="00571EEC">
        <w:t xml:space="preserve"> apibrėžti privataus kaltinimo tvarka </w:t>
      </w:r>
      <w:r>
        <w:t xml:space="preserve">nagrinėtinų </w:t>
      </w:r>
      <w:r w:rsidRPr="00571EEC">
        <w:t>nusikalstamų veikų</w:t>
      </w:r>
      <w:r>
        <w:t xml:space="preserve"> </w:t>
      </w:r>
      <w:r w:rsidRPr="0094039E">
        <w:t>ratą</w:t>
      </w:r>
      <w:r w:rsidRPr="00571EEC">
        <w:t xml:space="preserve">. </w:t>
      </w:r>
      <w:r>
        <w:t>T</w:t>
      </w:r>
      <w:r w:rsidRPr="00571EEC">
        <w:t>eorini</w:t>
      </w:r>
      <w:r>
        <w:t>ai</w:t>
      </w:r>
      <w:r w:rsidRPr="00571EEC">
        <w:t xml:space="preserve"> privataus kaltinimo procesinės </w:t>
      </w:r>
      <w:r>
        <w:t xml:space="preserve">formos diferencijavimo </w:t>
      </w:r>
      <w:r>
        <w:lastRenderedPageBreak/>
        <w:t>pagrindai</w:t>
      </w:r>
      <w:r w:rsidRPr="00571EEC">
        <w:t xml:space="preserve"> klasifikuo</w:t>
      </w:r>
      <w:r>
        <w:t>t</w:t>
      </w:r>
      <w:r w:rsidRPr="00571EEC">
        <w:t>i</w:t>
      </w:r>
      <w:r>
        <w:t>ni</w:t>
      </w:r>
      <w:r w:rsidRPr="00571EEC">
        <w:t xml:space="preserve"> į materialius teisinius ir procesinius</w:t>
      </w:r>
      <w:r w:rsidRPr="00475621">
        <w:t>.</w:t>
      </w:r>
      <w:r w:rsidRPr="00571EEC">
        <w:t xml:space="preserve"> Materialiems teisiniams (kaltinimo diferencijavimo) pagrindams priskirtina: nusikalstamos veikos objekto specifika, mažesnis nusikalstamų veikų pavojingumo laipsnis, teisinio konflikto (baudžiamojo teisinio santykio) šalių specifika. Procesiniams (proceso diferencijavimo) pagrindams priskirtina: įrodinėjimo </w:t>
      </w:r>
      <w:r>
        <w:t>ypatumai</w:t>
      </w:r>
      <w:r w:rsidRPr="00571EEC">
        <w:t xml:space="preserve">, nukentėjusiojo </w:t>
      </w:r>
      <w:r>
        <w:t>požiūris į</w:t>
      </w:r>
      <w:r w:rsidRPr="00571EEC">
        <w:t xml:space="preserve"> nusikalstam</w:t>
      </w:r>
      <w:r>
        <w:t>ą</w:t>
      </w:r>
      <w:r w:rsidRPr="00571EEC">
        <w:t xml:space="preserve"> veik</w:t>
      </w:r>
      <w:r>
        <w:t>ą</w:t>
      </w:r>
      <w:r w:rsidRPr="00571EEC">
        <w:t>, a</w:t>
      </w:r>
      <w:r>
        <w:t>ntrinės viktimizacijos tikimybė.</w:t>
      </w:r>
    </w:p>
    <w:p w:rsidR="002028D4" w:rsidRDefault="002028D4" w:rsidP="002028D4">
      <w:pPr>
        <w:pStyle w:val="Sraopastraipa"/>
        <w:numPr>
          <w:ilvl w:val="0"/>
          <w:numId w:val="23"/>
        </w:numPr>
      </w:pPr>
      <w:r>
        <w:t>Siekiant apibrėžti privataus kaltintojo p</w:t>
      </w:r>
      <w:r w:rsidRPr="00571EEC">
        <w:t>agrindin</w:t>
      </w:r>
      <w:r>
        <w:t>ių</w:t>
      </w:r>
      <w:r w:rsidRPr="00571EEC">
        <w:t xml:space="preserve"> funkcij</w:t>
      </w:r>
      <w:r>
        <w:t>ų</w:t>
      </w:r>
      <w:r w:rsidRPr="0054540C">
        <w:t>, t.</w:t>
      </w:r>
      <w:r>
        <w:t xml:space="preserve"> </w:t>
      </w:r>
      <w:r w:rsidRPr="0054540C">
        <w:t xml:space="preserve">y. kaltinimo ir pažeistų nusikalstama veika teisių ir teisėtų interesų apsaugos, </w:t>
      </w:r>
      <w:r>
        <w:t>tinkamo sureguliavimo ir veiksmingo įgyvendinimo prielaidas, būtina identifikuoti privataus kaltintojo interesus privataus kaltinimo procese. P</w:t>
      </w:r>
      <w:r w:rsidRPr="00571EEC">
        <w:t>rivataus kaltintojo procesinė veikl</w:t>
      </w:r>
      <w:r>
        <w:t xml:space="preserve">a </w:t>
      </w:r>
      <w:r w:rsidRPr="00571EEC">
        <w:t xml:space="preserve">sietina su </w:t>
      </w:r>
      <w:r>
        <w:t xml:space="preserve">jo </w:t>
      </w:r>
      <w:r w:rsidRPr="00571EEC">
        <w:t>material</w:t>
      </w:r>
      <w:r>
        <w:t>ių interesų, t. y.</w:t>
      </w:r>
      <w:r w:rsidRPr="00CE37D0">
        <w:t xml:space="preserve"> moralinės satisfakcijos ir ma</w:t>
      </w:r>
      <w:r>
        <w:t>terialios kompensacijos siekimo, įgyvendinimu.</w:t>
      </w:r>
      <w:r w:rsidRPr="00571EEC">
        <w:t xml:space="preserve"> Mokslinių tyrimų ir statistinių duomenų analizė leidžia daryti išvadą, kad</w:t>
      </w:r>
      <w:r>
        <w:t xml:space="preserve"> privataus kaltinimo teisės įgyvendinimo tikslai yra, pirma,</w:t>
      </w:r>
      <w:r w:rsidRPr="00CE37D0">
        <w:t xml:space="preserve"> privataus kaltintojo</w:t>
      </w:r>
      <w:r>
        <w:t xml:space="preserve"> –</w:t>
      </w:r>
      <w:r w:rsidRPr="00CE37D0">
        <w:t xml:space="preserve"> nukentėjusio</w:t>
      </w:r>
      <w:r>
        <w:t>jo</w:t>
      </w:r>
      <w:r w:rsidRPr="00CE37D0">
        <w:t xml:space="preserve"> siekis </w:t>
      </w:r>
      <w:r>
        <w:t xml:space="preserve">gauti nusikalstama veika jam padarytos žalos atlyginimą ir, antra, </w:t>
      </w:r>
      <w:r w:rsidRPr="00CE37D0">
        <w:t>pademonstruoti įstatymo suteiktą teisę patraukti baudžiamojon atsakomybėn kaltą asmenį</w:t>
      </w:r>
      <w:r>
        <w:t xml:space="preserve"> ir tokiu būdu išspręsti konfliktą</w:t>
      </w:r>
      <w:r w:rsidRPr="00CE37D0">
        <w:t xml:space="preserve">, </w:t>
      </w:r>
      <w:r w:rsidRPr="00571EEC">
        <w:t>pasinaudojant valstybės suteikta teise į baudžiamąjį persekiojimą</w:t>
      </w:r>
      <w:r>
        <w:t>.</w:t>
      </w:r>
    </w:p>
    <w:p w:rsidR="002028D4" w:rsidRDefault="002028D4" w:rsidP="002028D4">
      <w:pPr>
        <w:pStyle w:val="Sraopastraipa"/>
        <w:numPr>
          <w:ilvl w:val="0"/>
          <w:numId w:val="23"/>
        </w:numPr>
      </w:pPr>
      <w:r>
        <w:t xml:space="preserve">Sisteminė baudžiamojo proceso normų analizė leidžia konstatuoti, kad privataus kaltinimo proceso dalyvių – privataus kaltintojo – nukentėjusiojo bei asmens, prieš kurį paduotas privataus kaltinimo skundas – teisiniam statusui tinkamai sureguliuoti nepakanka bendrųjų BPK nuostatų. </w:t>
      </w:r>
      <w:r w:rsidRPr="00571EEC">
        <w:t xml:space="preserve">Siekiant </w:t>
      </w:r>
      <w:r>
        <w:t>išveng</w:t>
      </w:r>
      <w:r w:rsidRPr="00571EEC">
        <w:t>ti privataus kaltinimo proceso dalyvių teisin</w:t>
      </w:r>
      <w:r>
        <w:t>ės</w:t>
      </w:r>
      <w:r w:rsidRPr="00571EEC">
        <w:t xml:space="preserve"> padėt</w:t>
      </w:r>
      <w:r>
        <w:t>ies reguliavimo dviprasmiškumo</w:t>
      </w:r>
      <w:r w:rsidRPr="00571EEC">
        <w:t xml:space="preserve">, būtina </w:t>
      </w:r>
      <w:r>
        <w:t>tikslinti įstatyme (BPK 408</w:t>
      </w:r>
      <w:r w:rsidRPr="00571EEC">
        <w:t xml:space="preserve">, 412 </w:t>
      </w:r>
      <w:r w:rsidRPr="008D7EB6">
        <w:rPr>
          <w:vertAlign w:val="superscript"/>
        </w:rPr>
        <w:t>1</w:t>
      </w:r>
      <w:r w:rsidRPr="00571EEC">
        <w:t xml:space="preserve"> str</w:t>
      </w:r>
      <w:r>
        <w:t>aipsniai</w:t>
      </w:r>
      <w:r w:rsidRPr="00571EEC">
        <w:t xml:space="preserve">) naudojamas sąvokas. Tai svarbu ne tik teoriškai apibrėžiant </w:t>
      </w:r>
      <w:r>
        <w:t xml:space="preserve">privataus kaltintojo – nukentėjusiojo ir kaltinamojo </w:t>
      </w:r>
      <w:r w:rsidRPr="00571EEC">
        <w:t xml:space="preserve">teisinio statuso atsiradimo momentą, bet ir </w:t>
      </w:r>
      <w:r>
        <w:t xml:space="preserve">siekiant </w:t>
      </w:r>
      <w:r w:rsidRPr="00571EEC">
        <w:t xml:space="preserve">praktiškai </w:t>
      </w:r>
      <w:r>
        <w:t>užtikrinti</w:t>
      </w:r>
      <w:r w:rsidRPr="00571EEC">
        <w:t xml:space="preserve"> teisę į gynybą, teisę neduoti save kaltinančių parodymų, teisinės neliečiamybės garantijas ir kt. </w:t>
      </w:r>
      <w:r>
        <w:t>Todėl siūlytina i</w:t>
      </w:r>
      <w:r w:rsidRPr="00571EEC">
        <w:t>ki bylos perdavimo teis</w:t>
      </w:r>
      <w:r>
        <w:t>iamajam posėdžiui proceso dalyvį, padavu</w:t>
      </w:r>
      <w:r w:rsidRPr="00571EEC">
        <w:t>s</w:t>
      </w:r>
      <w:r>
        <w:t>į</w:t>
      </w:r>
      <w:r w:rsidRPr="00571EEC">
        <w:t xml:space="preserve"> privataus kaltinimo skundą, vadinti </w:t>
      </w:r>
      <w:r>
        <w:t>„</w:t>
      </w:r>
      <w:r w:rsidRPr="00571EEC">
        <w:t>nuo nusikalstamos veikos nukentėjusiu asmeniu</w:t>
      </w:r>
      <w:r>
        <w:t>“</w:t>
      </w:r>
      <w:r w:rsidRPr="00571EEC">
        <w:t xml:space="preserve"> (pabrėžiant materialųjį jo </w:t>
      </w:r>
      <w:r>
        <w:t xml:space="preserve">teisinio </w:t>
      </w:r>
      <w:r w:rsidRPr="00571EEC">
        <w:t xml:space="preserve">statuso elementą) arba </w:t>
      </w:r>
      <w:r>
        <w:t>„</w:t>
      </w:r>
      <w:r w:rsidRPr="00571EEC">
        <w:t>skundą padavusiu asmeniu</w:t>
      </w:r>
      <w:r>
        <w:t>“</w:t>
      </w:r>
      <w:r w:rsidRPr="00571EEC">
        <w:t xml:space="preserve"> (akcentuojant procesinį jo teisinio statuso elementą). Asm</w:t>
      </w:r>
      <w:r>
        <w:t>enį</w:t>
      </w:r>
      <w:r w:rsidRPr="00571EEC">
        <w:t xml:space="preserve">, dėl kurio galimai padarytos nusikalstamos veikos pradėtas privataus kaltinimo procesas, iki kaltinamojo procesinio statuso įgijimo </w:t>
      </w:r>
      <w:r>
        <w:t>siūlytina</w:t>
      </w:r>
      <w:r w:rsidRPr="00571EEC">
        <w:t xml:space="preserve"> įvard</w:t>
      </w:r>
      <w:r w:rsidR="0029302C">
        <w:t>y</w:t>
      </w:r>
      <w:r>
        <w:t>ti kaip „</w:t>
      </w:r>
      <w:r w:rsidRPr="00571EEC">
        <w:t>nusikalstamos veikos padarymu įtariam</w:t>
      </w:r>
      <w:r>
        <w:t>ą</w:t>
      </w:r>
      <w:r w:rsidRPr="00571EEC">
        <w:t xml:space="preserve"> asmen</w:t>
      </w:r>
      <w:r>
        <w:t>į“</w:t>
      </w:r>
      <w:r w:rsidRPr="00571EEC">
        <w:t xml:space="preserve"> (materialusis teisinio statuso elementas) arba </w:t>
      </w:r>
      <w:r>
        <w:t>„</w:t>
      </w:r>
      <w:r w:rsidRPr="00571EEC">
        <w:t>asmen</w:t>
      </w:r>
      <w:r>
        <w:t>į</w:t>
      </w:r>
      <w:r w:rsidRPr="00571EEC">
        <w:t>, kurio atžvilgiu paduotas privataus kaltinimo skundas</w:t>
      </w:r>
      <w:r>
        <w:t>“</w:t>
      </w:r>
      <w:r w:rsidRPr="00571EEC">
        <w:t xml:space="preserve"> (procesinis teisinio statuso elementas). </w:t>
      </w:r>
    </w:p>
    <w:p w:rsidR="002028D4" w:rsidRPr="00CE37D0" w:rsidRDefault="002028D4" w:rsidP="002028D4">
      <w:pPr>
        <w:pStyle w:val="Sraopastraipa"/>
        <w:numPr>
          <w:ilvl w:val="0"/>
          <w:numId w:val="23"/>
        </w:numPr>
      </w:pPr>
      <w:r>
        <w:t xml:space="preserve">Siekiant išvengti plečiamojo įstatymo aiškinimo bei skirtingos teismų praktikos, taip pat užtikrinti visų patyrusių žalą dėl nusikalstamų veikų asmenų vienodą galimybę ginti savo </w:t>
      </w:r>
      <w:r>
        <w:lastRenderedPageBreak/>
        <w:t>teises privataus kaltinimo tvarka, siūlytina keisti BPK nuostatas, apibrėžiančias nukentėjusiojo ir privataus kaltintojo sąvokas. Kadangi privataus kaltintojo teisinis statusas tiesiogiai siejamas su nukentėjusiojo teisiniu statusu, siūlytina suteikti galimybę tiek nukentėjusiojo, tiek privataus kaltintojo procesinį statusą įgyti ne tik fiziniam, bet ir juridiniam asmeniui</w:t>
      </w:r>
      <w:r w:rsidRPr="005D28BE">
        <w:t xml:space="preserve"> </w:t>
      </w:r>
      <w:r>
        <w:t xml:space="preserve">bei atitinkamai keisti BPK nuostatas sistemiškai peržiūrint visas normas, reglamentuojančias nukentėjusiojo, </w:t>
      </w:r>
      <w:r w:rsidRPr="005D28BE">
        <w:rPr>
          <w:i/>
        </w:rPr>
        <w:t>inter alia</w:t>
      </w:r>
      <w:r>
        <w:t xml:space="preserve"> kaip privataus kaltintojo</w:t>
      </w:r>
      <w:r w:rsidR="0029302C">
        <w:t>,</w:t>
      </w:r>
      <w:r>
        <w:t xml:space="preserve"> teisinę padėtį.</w:t>
      </w:r>
    </w:p>
    <w:p w:rsidR="002028D4" w:rsidRDefault="002028D4" w:rsidP="002028D4">
      <w:pPr>
        <w:pStyle w:val="Sraopastraipa"/>
        <w:numPr>
          <w:ilvl w:val="0"/>
          <w:numId w:val="23"/>
        </w:numPr>
      </w:pPr>
      <w:r>
        <w:t>Nors situacija, kai kaltinimą palaiko ne prokuroras, o asmuo, ginantis savo pažeistus asmeninius interesus privataus kaltinimo tvarka, yra konstituciškai pagrįsta, įvertinus privataus asmens galimybes palaikyti kaltinimą konstatuotina, kad valstybė privalo numatyti išimtinę nukentėjusių asmenų</w:t>
      </w:r>
      <w:r w:rsidRPr="00CE37D0">
        <w:t xml:space="preserve"> interesų apsaug</w:t>
      </w:r>
      <w:r>
        <w:t>os garantiją</w:t>
      </w:r>
      <w:r w:rsidRPr="00CE37D0">
        <w:t>: perėjimo iš privataus kaltinimo į viešąjį mechanizm</w:t>
      </w:r>
      <w:r>
        <w:t>ą, kuris į</w:t>
      </w:r>
      <w:r w:rsidRPr="00CE37D0">
        <w:t>statymo numatytais atvejais</w:t>
      </w:r>
      <w:r>
        <w:t xml:space="preserve"> užtikrina prokuroro dalyvavimą</w:t>
      </w:r>
      <w:r w:rsidRPr="00880477">
        <w:t xml:space="preserve"> gin</w:t>
      </w:r>
      <w:r>
        <w:t>ant</w:t>
      </w:r>
      <w:r w:rsidRPr="00880477">
        <w:t xml:space="preserve"> asmens teises bei teisėtus interesus</w:t>
      </w:r>
      <w:r>
        <w:t>. Tačiau apibrėžiant prokuroro dalyvavimo privataus kaltinimo procese ribas būtina vadovautis principu, kad p</w:t>
      </w:r>
      <w:r w:rsidRPr="00571EEC">
        <w:t xml:space="preserve">rokuroro </w:t>
      </w:r>
      <w:r>
        <w:t xml:space="preserve">procesinė veikla </w:t>
      </w:r>
      <w:r w:rsidRPr="00571EEC">
        <w:t>pereinant iš privataus kaltinimo proceso formos į bendrą proceso formą yra išimtinis būdas ginti teises ir teisėtus interesus privataus kaltinimo proceso dalyvių</w:t>
      </w:r>
      <w:r>
        <w:t>, kurie patys negali ginti savo teisių arba negali imtis pakankamų priemonių, kad šios teisės būtų apgintos</w:t>
      </w:r>
      <w:r w:rsidRPr="00571EEC">
        <w:t>. Prokuroro pareiga užtikrinti nukentėjusio asmens teisių apsaugą suponuoja jo dalyvavimą</w:t>
      </w:r>
      <w:r>
        <w:t xml:space="preserve"> nustačius nusikalstamos veikos visuomeninę reikšmę, ir </w:t>
      </w:r>
      <w:r w:rsidRPr="00571EEC">
        <w:t xml:space="preserve">tais atvejais, kai </w:t>
      </w:r>
      <w:r>
        <w:t>procesinės kliūtys</w:t>
      </w:r>
      <w:r w:rsidRPr="00571EEC">
        <w:t xml:space="preserve"> sudaro prielaidas pažeisti nukentėjusio asmens teisę į teismą. </w:t>
      </w:r>
    </w:p>
    <w:p w:rsidR="002028D4" w:rsidRDefault="002028D4" w:rsidP="002028D4">
      <w:pPr>
        <w:pStyle w:val="Sraopastraipa"/>
        <w:numPr>
          <w:ilvl w:val="1"/>
          <w:numId w:val="23"/>
        </w:numPr>
      </w:pPr>
      <w:r>
        <w:t xml:space="preserve"> </w:t>
      </w:r>
      <w:r w:rsidRPr="00571EEC">
        <w:t xml:space="preserve">Visuomeninę nusikalstamos veikos reikšmę nulemia pačios nusikalstamos veikos pobūdis </w:t>
      </w:r>
      <w:r>
        <w:t xml:space="preserve">arba </w:t>
      </w:r>
      <w:r w:rsidRPr="00571EEC">
        <w:t xml:space="preserve">objektyvios situacijos, kai nusikalstama veika yra padaryta kartu su kitomis nusikalstamomis veikomis ir dėl to jos pavojingumas ir tyrimo sudėtingumas vertinamas </w:t>
      </w:r>
      <w:r>
        <w:t>drauge</w:t>
      </w:r>
      <w:r w:rsidRPr="00571EEC">
        <w:t xml:space="preserve"> su kitomis aplinkybėmis. Prokuroras </w:t>
      </w:r>
      <w:r w:rsidRPr="00397930">
        <w:rPr>
          <w:i/>
        </w:rPr>
        <w:t>ex</w:t>
      </w:r>
      <w:r>
        <w:rPr>
          <w:i/>
        </w:rPr>
        <w:t xml:space="preserve"> </w:t>
      </w:r>
      <w:r w:rsidRPr="00397930">
        <w:rPr>
          <w:i/>
        </w:rPr>
        <w:t>officio</w:t>
      </w:r>
      <w:r>
        <w:t xml:space="preserve"> baudžiamojoje </w:t>
      </w:r>
      <w:r w:rsidRPr="00571EEC">
        <w:t xml:space="preserve">byloje gina viešąjį interesą, todėl prokuroro dalyvavimas privataus kaltinimo procese turi būti </w:t>
      </w:r>
      <w:r>
        <w:t xml:space="preserve">tiksliai </w:t>
      </w:r>
      <w:r w:rsidRPr="00571EEC">
        <w:t xml:space="preserve">apibrėžtas ir nepažeisti nukentėjusio asmens teisės išreikšti valią dėl baudžiamojo proceso </w:t>
      </w:r>
      <w:r>
        <w:t>pradėj</w:t>
      </w:r>
      <w:r w:rsidRPr="00571EEC">
        <w:t xml:space="preserve">imo. </w:t>
      </w:r>
      <w:r>
        <w:t>Tyrimas parodė, kad a</w:t>
      </w:r>
      <w:r w:rsidRPr="00571EEC">
        <w:t>tvejai, kai nusikalstama veika turi visuomeninę reikšmę</w:t>
      </w:r>
      <w:r>
        <w:t>,</w:t>
      </w:r>
      <w:r w:rsidRPr="00571EEC">
        <w:t xml:space="preserve"> yra apibrėžti objektyviais kriterijais, todėl teismų praktika šiuo klausimu yra nuosekli</w:t>
      </w:r>
      <w:r>
        <w:t xml:space="preserve">, </w:t>
      </w:r>
      <w:r w:rsidRPr="00571EEC">
        <w:t xml:space="preserve">vieninga bei nekelia didesnių problemų. </w:t>
      </w:r>
    </w:p>
    <w:p w:rsidR="002028D4" w:rsidRDefault="002028D4" w:rsidP="002028D4">
      <w:pPr>
        <w:pStyle w:val="Sraopastraipa"/>
        <w:numPr>
          <w:ilvl w:val="1"/>
          <w:numId w:val="23"/>
        </w:numPr>
      </w:pPr>
      <w:r>
        <w:t xml:space="preserve"> </w:t>
      </w:r>
      <w:r w:rsidRPr="00571EEC">
        <w:t xml:space="preserve">Procesinėmis kliūtimis </w:t>
      </w:r>
      <w:r w:rsidRPr="00397930">
        <w:rPr>
          <w:i/>
        </w:rPr>
        <w:t>de</w:t>
      </w:r>
      <w:r>
        <w:rPr>
          <w:i/>
        </w:rPr>
        <w:t xml:space="preserve"> </w:t>
      </w:r>
      <w:r w:rsidRPr="00397930">
        <w:rPr>
          <w:i/>
        </w:rPr>
        <w:t>lege</w:t>
      </w:r>
      <w:r>
        <w:rPr>
          <w:i/>
        </w:rPr>
        <w:t xml:space="preserve"> l</w:t>
      </w:r>
      <w:r w:rsidRPr="00397930">
        <w:rPr>
          <w:i/>
        </w:rPr>
        <w:t>ata</w:t>
      </w:r>
      <w:r>
        <w:rPr>
          <w:i/>
        </w:rPr>
        <w:t xml:space="preserve"> </w:t>
      </w:r>
      <w:r w:rsidRPr="00571EEC">
        <w:t xml:space="preserve">asmeniui pasinaudoti </w:t>
      </w:r>
      <w:r>
        <w:t xml:space="preserve">teise į teismą, įgyvendinant </w:t>
      </w:r>
      <w:r w:rsidRPr="00571EEC">
        <w:t>privataus kaltinimo teis</w:t>
      </w:r>
      <w:r>
        <w:t>ę,</w:t>
      </w:r>
      <w:r w:rsidRPr="00571EEC">
        <w:t xml:space="preserve"> laikytini atvejai, kai nusikalstamą veiką padaręs asmuo yra nežinomas, kai jis turi imunitetą baudžiamajai atsakomybei ir kai žalą dėl nusikalstamos veikos patiria juridinis asmuo. Šios teisinės aplinkybės, dėl kurių nukentėjusio nuo nusikalstamos veikos asmens teisių gynimas kreipiantis į teismą privataus kaltinimo tvarka negalimas, nepagrįstai riboja asmens teisę kreiptis į teismą, todėl turi būti </w:t>
      </w:r>
      <w:r w:rsidRPr="00571EEC">
        <w:lastRenderedPageBreak/>
        <w:t xml:space="preserve">pašalintos įprasto proceso numatytomis priemonėmis. Pašalinus procesines kliūtis nukentėjęs asmuo įgauna procesines galimybes pats kreiptis į teismą privataus kaltinimo tvarka, o nesant galimybių šias kliūtis pašalinti, procesas turi pereiti iš privataus į viešo kaltinimo procesą. </w:t>
      </w:r>
    </w:p>
    <w:p w:rsidR="002028D4" w:rsidRDefault="002028D4" w:rsidP="002028D4">
      <w:pPr>
        <w:pStyle w:val="Sraopastraipa"/>
        <w:numPr>
          <w:ilvl w:val="0"/>
          <w:numId w:val="23"/>
        </w:numPr>
      </w:pPr>
      <w:r w:rsidRPr="00556AB0">
        <w:t>Termin</w:t>
      </w:r>
      <w:r>
        <w:t>o</w:t>
      </w:r>
      <w:r w:rsidRPr="00556AB0">
        <w:t xml:space="preserve"> privataus kaltinimo skundui paduoti nustatymas užtikrintų </w:t>
      </w:r>
      <w:r>
        <w:t xml:space="preserve">ne tik teisinio tikrumo principą, tačiau ir </w:t>
      </w:r>
      <w:r w:rsidRPr="00556AB0">
        <w:t>greitesnį, veiksmingesnį baudžiamąjį procesą bei atsaką į padarytą nusikalstamą veiką ir konflikto išsprendimą arba aktyviai veikiant baudžiamojo proceso priemonėmis, arba pasyviai atsisakant inicijuoti baudžiamąjį procesą. Nors konstatuotina, kad privataus kaltinimo skundo padavimo termina</w:t>
      </w:r>
      <w:r>
        <w:t>s</w:t>
      </w:r>
      <w:r w:rsidRPr="00556AB0">
        <w:t xml:space="preserve"> turėtų būti trumpesni</w:t>
      </w:r>
      <w:r>
        <w:t>s</w:t>
      </w:r>
      <w:r w:rsidRPr="00556AB0">
        <w:t xml:space="preserve"> nei apkaltinamojo nuosprendžio priėmimo senaties terminai, tačiau trūksta patikimų teisinių argumentų konkrečiam terminui nustatyti, todėl konkretaus termino</w:t>
      </w:r>
      <w:r>
        <w:t xml:space="preserve"> paduoti privataus kaltinimo skundui</w:t>
      </w:r>
      <w:proofErr w:type="gramStart"/>
      <w:r>
        <w:t xml:space="preserve"> </w:t>
      </w:r>
      <w:r w:rsidRPr="00556AB0">
        <w:t xml:space="preserve"> </w:t>
      </w:r>
      <w:proofErr w:type="gramEnd"/>
      <w:r w:rsidRPr="00556AB0">
        <w:t>nustatymas išlieka diskusinis klausimas</w:t>
      </w:r>
      <w:r w:rsidRPr="00571EEC">
        <w:t>.</w:t>
      </w:r>
    </w:p>
    <w:p w:rsidR="002028D4" w:rsidRDefault="002028D4" w:rsidP="002028D4">
      <w:pPr>
        <w:pStyle w:val="Sraopastraipa"/>
        <w:numPr>
          <w:ilvl w:val="0"/>
          <w:numId w:val="23"/>
        </w:numPr>
      </w:pPr>
      <w:r>
        <w:t xml:space="preserve">Privataus kaltinimo skundas – tai nukentėjusiojo teisės į teisminę gynybą realizavimo forma. Procesine prasme tai nukentėjusio asmens valios išraiška, reikalavimas teismui </w:t>
      </w:r>
      <w:r w:rsidRPr="00CE37D0">
        <w:t>patraukti kaltą asmenį baudžiamojon atsakomybėn</w:t>
      </w:r>
      <w:r>
        <w:t xml:space="preserve"> (ir </w:t>
      </w:r>
      <w:r w:rsidRPr="00CE37D0">
        <w:t>priteisti nusikalstama veika padarytos žalos atlyginimą</w:t>
      </w:r>
      <w:r>
        <w:t>), ir kaltinamojo teisės žinoti, kuo jis kaltinamas, bei teisminio nagrinėjimo pagrindas. Pripažįstant, kad privataus asmens paduodamam skundui konstituciškai pagrįstai yra keliami mažesni formalieji reikalavimai nei kaltinamajam aktui, būtina tikslinti įstatyme įtvirtintus formalius r</w:t>
      </w:r>
      <w:r w:rsidRPr="00571EEC">
        <w:t>eikalavim</w:t>
      </w:r>
      <w:r>
        <w:t xml:space="preserve">us privataus kaltinimo skundui, siekiant užtikrinti kaltinamojo teisę į gynybą ir teisę žinoti, kuo jis kaltinamas. </w:t>
      </w:r>
      <w:r w:rsidRPr="00571EEC">
        <w:t xml:space="preserve">Kaltinamojo teisė būti informuotam apima ir </w:t>
      </w:r>
      <w:r>
        <w:t xml:space="preserve">informavimą apie </w:t>
      </w:r>
      <w:r w:rsidRPr="00571EEC">
        <w:t>jo veiksmų teisinį įvertinimą, todėl jo teisė į gynybą gali būti veiksmingai užtikrinta tik įtvirtinus reikalavimą nurodyti nusikalstamos veikos kvalifikaciją privataus kaltinimo skunde</w:t>
      </w:r>
      <w:r>
        <w:t xml:space="preserve">. </w:t>
      </w:r>
      <w:r w:rsidRPr="00571EEC">
        <w:t>Nukentėjusiojo privataus kaltinimo skunde nenurodyta nusikalstamos veikos teisinė kvalifikacija turėtų būti pripažįstama esminiu BPK pažeidimu, dėl kurio buvo suvaržyta kaltinamojo teisė į gynybą</w:t>
      </w:r>
      <w:r>
        <w:t>, ir BPK 412 straipsnio 3 dalyje numatytu pagrindu grąžinti privataus kaltinimo skundą jį padavusiam asmeniui</w:t>
      </w:r>
      <w:r w:rsidRPr="00571EEC">
        <w:t>.</w:t>
      </w:r>
    </w:p>
    <w:p w:rsidR="002028D4" w:rsidRDefault="002028D4" w:rsidP="002028D4">
      <w:pPr>
        <w:pStyle w:val="Sraopastraipa"/>
        <w:numPr>
          <w:ilvl w:val="0"/>
          <w:numId w:val="23"/>
        </w:numPr>
      </w:pPr>
      <w:r w:rsidRPr="00571EEC">
        <w:t>Privataus kaltinimo proceso teisinio reguliavimo ypatumai leidžia daryti išvadą, kad pirminis šio proceso tikslas yra ne tiesos nustatymas, o</w:t>
      </w:r>
      <w:r>
        <w:t xml:space="preserve"> </w:t>
      </w:r>
      <w:r w:rsidRPr="00571EEC">
        <w:t xml:space="preserve">konflikto išsprendimas. </w:t>
      </w:r>
      <w:r>
        <w:t xml:space="preserve">Siekiant užtikrinti, kad privataus kaltinimo procesas atitiktų proceso šalių lūkesčius ir interesus, tiek tobulinant šio proceso </w:t>
      </w:r>
      <w:r w:rsidRPr="00571EEC">
        <w:t>teisin</w:t>
      </w:r>
      <w:r>
        <w:t>į</w:t>
      </w:r>
      <w:r w:rsidRPr="00571EEC">
        <w:t xml:space="preserve"> reguliavim</w:t>
      </w:r>
      <w:r>
        <w:t>ą</w:t>
      </w:r>
      <w:r w:rsidRPr="00571EEC">
        <w:t xml:space="preserve">, tiek </w:t>
      </w:r>
      <w:r>
        <w:t xml:space="preserve">formuojant </w:t>
      </w:r>
      <w:r w:rsidRPr="00571EEC">
        <w:t>teismų praktik</w:t>
      </w:r>
      <w:r>
        <w:t>ą,</w:t>
      </w:r>
      <w:r w:rsidRPr="00571EEC">
        <w:t xml:space="preserve"> turi būti siekiama kuo greitesnio bylos išsprendimo, tenkinančio abi šalis, todėl privataus kaltinimo bylų proces</w:t>
      </w:r>
      <w:r>
        <w:t xml:space="preserve">ą siūlytina orientuoti į siekį išspręsti konfliktą pirmojoje instancijoje šalių sutaikinimu. Todėl tikslinga sukurti teisinę bazę, padedančią įgyvendinti </w:t>
      </w:r>
      <w:r w:rsidRPr="00571EEC">
        <w:t>deleguotos mediacijos procedūr</w:t>
      </w:r>
      <w:r>
        <w:t xml:space="preserve">ą kaip </w:t>
      </w:r>
      <w:r w:rsidRPr="00DE23CE">
        <w:t>privalom</w:t>
      </w:r>
      <w:r>
        <w:t>ą</w:t>
      </w:r>
      <w:r w:rsidRPr="00DE23CE">
        <w:t xml:space="preserve"> privataus kaltinimo bylų proceso etap</w:t>
      </w:r>
      <w:r>
        <w:t xml:space="preserve">ą. Teismo inicijuojama deleguota mediacija gali tapti </w:t>
      </w:r>
      <w:r>
        <w:lastRenderedPageBreak/>
        <w:t>perspektyviu modeliu, užtikrinančiu, kad bus įgyvendinti proceso šalių interesai atkurti nusikalstama veika pažeistas teises, ir sudarančiu prielaidas palankiausiu būdu išspręsti konfliktą.</w:t>
      </w:r>
    </w:p>
    <w:p w:rsidR="002028D4" w:rsidRDefault="002028D4" w:rsidP="002028D4">
      <w:pPr>
        <w:pStyle w:val="Sraopastraipa"/>
        <w:numPr>
          <w:ilvl w:val="0"/>
          <w:numId w:val="23"/>
        </w:numPr>
      </w:pPr>
      <w:r w:rsidRPr="00571EEC">
        <w:t>Vertinant įrodinėjimo proceso privataus kaltinimo bylų procese teisinį reguliavimą, darytina išvada, kad privatus kaltintojas neturi realių galimybių kokybiškai įgyvendinti kaltinimo funkcij</w:t>
      </w:r>
      <w:r>
        <w:t>os</w:t>
      </w:r>
      <w:r w:rsidRPr="00571EEC">
        <w:t>, nes jam įstatym</w:t>
      </w:r>
      <w:r>
        <w:t>u nesuteikti pakankami</w:t>
      </w:r>
      <w:r w:rsidRPr="00571EEC">
        <w:t xml:space="preserve"> teisini</w:t>
      </w:r>
      <w:r>
        <w:t>ai</w:t>
      </w:r>
      <w:r w:rsidRPr="00571EEC">
        <w:t xml:space="preserve"> instrument</w:t>
      </w:r>
      <w:r>
        <w:t>ai</w:t>
      </w:r>
      <w:r w:rsidRPr="00571EEC">
        <w:t>, įgalinan</w:t>
      </w:r>
      <w:r>
        <w:t>tys</w:t>
      </w:r>
      <w:r w:rsidRPr="00571EEC">
        <w:t xml:space="preserve"> jį rinkti ir fiksuoti duomenis, kuriais </w:t>
      </w:r>
      <w:r>
        <w:t xml:space="preserve">būtų </w:t>
      </w:r>
      <w:r w:rsidRPr="00571EEC">
        <w:t>gal</w:t>
      </w:r>
      <w:r>
        <w:t>ima</w:t>
      </w:r>
      <w:r w:rsidRPr="00571EEC">
        <w:t xml:space="preserve"> pagrįsti pareikštą kaltinimą. </w:t>
      </w:r>
      <w:r>
        <w:t>P</w:t>
      </w:r>
      <w:r w:rsidRPr="00571EEC">
        <w:t>rivataus kaltintojo galimybių savarankiškai kokybiškai įgyvendinti kaltinimo funkciją bei ginti savo teisėtus interesus teisinis reguliavimas vertintinas kaip nepakankamas</w:t>
      </w:r>
      <w:r>
        <w:t xml:space="preserve">, todėl </w:t>
      </w:r>
      <w:r w:rsidRPr="006F1AD1">
        <w:rPr>
          <w:bCs/>
          <w:iCs/>
        </w:rPr>
        <w:t xml:space="preserve">nukentėjusiajam teikiamos teisinės apsaugos veiksmingumas privataus kaltinimo procese </w:t>
      </w:r>
      <w:r>
        <w:rPr>
          <w:bCs/>
          <w:iCs/>
        </w:rPr>
        <w:t>dažniausiai</w:t>
      </w:r>
      <w:r w:rsidRPr="006F1AD1">
        <w:rPr>
          <w:bCs/>
          <w:iCs/>
        </w:rPr>
        <w:t xml:space="preserve"> priklauso nuo to, ar jis privataus kaltinimo teisę įgyvendins savarankiškai, ar naudosis profesionalaus įgalioto atstovo paslaugomis, taip pat nuo to, </w:t>
      </w:r>
      <w:r>
        <w:rPr>
          <w:bCs/>
          <w:iCs/>
        </w:rPr>
        <w:t>kiek aktyvus yra teismas</w:t>
      </w:r>
      <w:r w:rsidRPr="006F1AD1">
        <w:rPr>
          <w:bCs/>
          <w:iCs/>
        </w:rPr>
        <w:t xml:space="preserve"> įrodinėjimo procese. </w:t>
      </w:r>
      <w:r w:rsidRPr="00571EEC">
        <w:t>Šiame kontekste įrodinėjimo veiklos privataus kaltinimo procese tobulinimo perspektyvos sietinos su neprocesinių įrodinėjimo formų teisinio reguliavimo įtvirtinimu.</w:t>
      </w:r>
    </w:p>
    <w:p w:rsidR="002028D4" w:rsidRDefault="002028D4" w:rsidP="002028D4">
      <w:pPr>
        <w:pStyle w:val="Sraopastraipa"/>
        <w:numPr>
          <w:ilvl w:val="0"/>
          <w:numId w:val="23"/>
        </w:numPr>
      </w:pPr>
      <w:r>
        <w:t>T</w:t>
      </w:r>
      <w:r w:rsidRPr="00571EEC">
        <w:t>eismų sprendimų kontrolės formų model</w:t>
      </w:r>
      <w:r>
        <w:t>io pakeitimas</w:t>
      </w:r>
      <w:r w:rsidRPr="00571EEC">
        <w:t xml:space="preserve"> privataus kaltinimo procesinėje formoje, </w:t>
      </w:r>
      <w:r>
        <w:t>atsisakant</w:t>
      </w:r>
      <w:r w:rsidRPr="00571EEC">
        <w:t xml:space="preserve"> kasacijos </w:t>
      </w:r>
      <w:r>
        <w:t>draud</w:t>
      </w:r>
      <w:r w:rsidRPr="00571EEC">
        <w:t>im</w:t>
      </w:r>
      <w:r>
        <w:t xml:space="preserve">o </w:t>
      </w:r>
      <w:r w:rsidRPr="00571EEC">
        <w:t>privataus kaltinimo bylų procese</w:t>
      </w:r>
      <w:r>
        <w:t xml:space="preserve"> ir suteikiant g</w:t>
      </w:r>
      <w:r w:rsidRPr="00571EEC">
        <w:t>alimyb</w:t>
      </w:r>
      <w:r>
        <w:t>ę</w:t>
      </w:r>
      <w:r w:rsidRPr="00571EEC">
        <w:t xml:space="preserve"> nagrinėti privataus kal</w:t>
      </w:r>
      <w:r>
        <w:t>tinimo bylą kasacinėje instancijoje</w:t>
      </w:r>
      <w:r w:rsidRPr="00571EEC">
        <w:t xml:space="preserve"> </w:t>
      </w:r>
      <w:r>
        <w:t>sudaro teisines prielaidas</w:t>
      </w:r>
      <w:r w:rsidRPr="00571EEC">
        <w:t xml:space="preserve"> </w:t>
      </w:r>
      <w:r>
        <w:t xml:space="preserve">tiek ištaisyti </w:t>
      </w:r>
      <w:r w:rsidRPr="00571EEC">
        <w:t>teismo klaid</w:t>
      </w:r>
      <w:r>
        <w:t>as</w:t>
      </w:r>
      <w:r w:rsidRPr="00571EEC">
        <w:t>, esmingai pažeidžianči</w:t>
      </w:r>
      <w:r>
        <w:t>as</w:t>
      </w:r>
      <w:r w:rsidRPr="00571EEC">
        <w:t xml:space="preserve"> proceso dalyvių teises, tiek aiškin</w:t>
      </w:r>
      <w:r>
        <w:t>ti ir vystyti</w:t>
      </w:r>
      <w:r w:rsidRPr="00571EEC">
        <w:t xml:space="preserve"> teis</w:t>
      </w:r>
      <w:r>
        <w:t>ę,</w:t>
      </w:r>
      <w:r w:rsidRPr="00571EEC">
        <w:t xml:space="preserve"> nagrinėjant privataus kaltinimo bylas.</w:t>
      </w:r>
    </w:p>
    <w:p w:rsidR="002028D4" w:rsidRPr="0045171E" w:rsidRDefault="002028D4" w:rsidP="002028D4">
      <w:pPr>
        <w:pStyle w:val="Sraopastraipa"/>
        <w:numPr>
          <w:ilvl w:val="0"/>
          <w:numId w:val="23"/>
        </w:numPr>
      </w:pPr>
      <w:r>
        <w:t>Apibendrinant tyrimo rezultatus ir vertinant p</w:t>
      </w:r>
      <w:r w:rsidRPr="00C144D8">
        <w:rPr>
          <w:iCs/>
        </w:rPr>
        <w:t xml:space="preserve">rivataus kaltinimo bylų proceso teisinį reguliavimą darytina išvada, kad šio proceso teisinis reguliavimas </w:t>
      </w:r>
      <w:r>
        <w:rPr>
          <w:iCs/>
        </w:rPr>
        <w:t xml:space="preserve">iš esmės </w:t>
      </w:r>
      <w:r w:rsidRPr="00C144D8">
        <w:rPr>
          <w:iCs/>
        </w:rPr>
        <w:t>sudaro prielaidas patenkinti nukentėjusiojo interesus, kadangi jam suteikiama galimybė pasiekti žalos atlyginimą, gauti kaltininko atsiprašymą, susitaikyti taikinamajame posėdyje, jei nukentėjusysis neturi tikslo patraukti kaltininką baudžiamojon atsakomybėn, taip pat pademonstruoti savo galimybę spręsti kaltininko patraukimo bau</w:t>
      </w:r>
      <w:r w:rsidR="0029302C">
        <w:rPr>
          <w:iCs/>
        </w:rPr>
        <w:t>džiamojon atsakomybėn klausimą,</w:t>
      </w:r>
      <w:r w:rsidRPr="00C144D8">
        <w:rPr>
          <w:iCs/>
        </w:rPr>
        <w:t xml:space="preserve"> o kraštutiniu atveju - ir galimybę siekti būtent patraukimo baudžiamojon atsakomybėn ir sunkiausių pas</w:t>
      </w:r>
      <w:r w:rsidRPr="00696C12">
        <w:rPr>
          <w:iCs/>
        </w:rPr>
        <w:t xml:space="preserve">ekmių kaltininkui, esant tokiam poreikiui. </w:t>
      </w:r>
    </w:p>
    <w:p w:rsidR="002028D4" w:rsidRDefault="002028D4" w:rsidP="002028D4">
      <w:pPr>
        <w:spacing w:after="160" w:line="259" w:lineRule="auto"/>
        <w:rPr>
          <w:rFonts w:eastAsiaTheme="majorEastAsia"/>
          <w:b/>
        </w:rPr>
      </w:pPr>
      <w:r>
        <w:rPr>
          <w:b/>
        </w:rPr>
        <w:br w:type="page"/>
      </w:r>
    </w:p>
    <w:p w:rsidR="002028D4" w:rsidRPr="0045171E" w:rsidRDefault="002028D4" w:rsidP="002028D4">
      <w:pPr>
        <w:pStyle w:val="Antrat1"/>
      </w:pPr>
      <w:bookmarkStart w:id="417" w:name="_Toc400321716"/>
      <w:r w:rsidRPr="0045171E">
        <w:lastRenderedPageBreak/>
        <w:t>Pasiūlymai</w:t>
      </w:r>
      <w:bookmarkEnd w:id="417"/>
    </w:p>
    <w:p w:rsidR="002028D4" w:rsidRPr="00E20B50" w:rsidRDefault="002028D4" w:rsidP="00E20B50">
      <w:pPr>
        <w:pStyle w:val="Sraopastraipa"/>
        <w:numPr>
          <w:ilvl w:val="0"/>
          <w:numId w:val="42"/>
        </w:numPr>
        <w:rPr>
          <w:szCs w:val="20"/>
        </w:rPr>
      </w:pPr>
      <w:r>
        <w:t>Privataus kaltintojo sąvoka formuluotina</w:t>
      </w:r>
      <w:r w:rsidRPr="00CE37D0">
        <w:t xml:space="preserve"> taip: </w:t>
      </w:r>
    </w:p>
    <w:p w:rsidR="002028D4" w:rsidRPr="00CE37D0" w:rsidRDefault="002028D4" w:rsidP="002028D4">
      <w:pPr>
        <w:spacing w:line="360" w:lineRule="auto"/>
        <w:ind w:left="644"/>
      </w:pPr>
      <w:r>
        <w:rPr>
          <w:b/>
        </w:rPr>
        <w:t xml:space="preserve">BPK 34 </w:t>
      </w:r>
      <w:r w:rsidRPr="00BA406E">
        <w:rPr>
          <w:b/>
        </w:rPr>
        <w:t>straipsnis. Privatus kaltintojas</w:t>
      </w:r>
    </w:p>
    <w:p w:rsidR="002028D4" w:rsidRPr="00CE37D0" w:rsidRDefault="002028D4" w:rsidP="002028D4">
      <w:pPr>
        <w:numPr>
          <w:ilvl w:val="0"/>
          <w:numId w:val="13"/>
        </w:numPr>
        <w:spacing w:line="360" w:lineRule="auto"/>
        <w:ind w:left="0" w:firstLine="851"/>
        <w:jc w:val="both"/>
      </w:pPr>
      <w:r w:rsidRPr="00CE37D0">
        <w:t xml:space="preserve">Privatus kaltintojas yra </w:t>
      </w:r>
      <w:r w:rsidRPr="00CE37D0">
        <w:rPr>
          <w:strike/>
        </w:rPr>
        <w:t>nukentėjusysis</w:t>
      </w:r>
      <w:r w:rsidRPr="00F10F49">
        <w:t xml:space="preserve"> </w:t>
      </w:r>
      <w:r w:rsidRPr="00CE37D0">
        <w:rPr>
          <w:b/>
        </w:rPr>
        <w:t>nukentėjęs nuo galimai jo atžvilgiu padarytos nusikalstamos veikos asmuo</w:t>
      </w:r>
      <w:r w:rsidRPr="00CE37D0">
        <w:t xml:space="preserve"> arba jo atstovas, palaikantys kaltinimą Kodekso numatytose privataus kaltinimo bylose. </w:t>
      </w:r>
    </w:p>
    <w:p w:rsidR="002028D4" w:rsidRPr="00571EEC" w:rsidRDefault="002028D4" w:rsidP="002028D4">
      <w:pPr>
        <w:pStyle w:val="Sraopastraipa"/>
        <w:numPr>
          <w:ilvl w:val="0"/>
          <w:numId w:val="13"/>
        </w:numPr>
      </w:pPr>
      <w:r>
        <w:t xml:space="preserve">Siekiant proceso perėjimo iš privataus kaltinimo į viešą teisinio reguliavimo aiškumo, būtina tikslinti prokuroro iniciatyva perimamo ir teismo iniciatyva perduodamo privataus kaltinimo proceso reglamentavimą. Siūlytina </w:t>
      </w:r>
      <w:r w:rsidRPr="00571EEC">
        <w:t xml:space="preserve">BPK 409 straipsnio 2 dalyje įvirtintą nuostatą keisti taip: </w:t>
      </w:r>
    </w:p>
    <w:p w:rsidR="002028D4" w:rsidRPr="00571EEC" w:rsidRDefault="002028D4" w:rsidP="002028D4">
      <w:pPr>
        <w:spacing w:line="360" w:lineRule="auto"/>
        <w:ind w:left="360"/>
        <w:jc w:val="both"/>
      </w:pPr>
      <w:r w:rsidRPr="00571EEC">
        <w:t xml:space="preserve">„2. Jeigu šio straipsnio 1 dalyje nurodytos aplinkybės paaiškėja privataus kaltinimo bylos proceso metu, </w:t>
      </w:r>
      <w:r w:rsidRPr="00571EEC">
        <w:rPr>
          <w:strike/>
        </w:rPr>
        <w:t>iki įrodymų tyrimo pradžios,</w:t>
      </w:r>
      <w:r w:rsidRPr="00571EEC">
        <w:t xml:space="preserve"> prokuroras </w:t>
      </w:r>
      <w:r w:rsidRPr="00571EEC">
        <w:rPr>
          <w:b/>
        </w:rPr>
        <w:t>iki įrodymų tyrimo pabaigos</w:t>
      </w:r>
      <w:r w:rsidRPr="00571EEC">
        <w:t xml:space="preserve"> privalo pateikti teismui rašytinį </w:t>
      </w:r>
      <w:r w:rsidRPr="00571EEC">
        <w:rPr>
          <w:strike/>
        </w:rPr>
        <w:t>pareiškimą, kad šioje byloje palaikys valstybinį kaltinimą</w:t>
      </w:r>
      <w:r w:rsidRPr="00F10F49">
        <w:t xml:space="preserve"> </w:t>
      </w:r>
      <w:r w:rsidRPr="00571EEC">
        <w:rPr>
          <w:b/>
        </w:rPr>
        <w:t>prašymą perduoti bylą prokurorui ikiteisminiam tyrimui organizuoti</w:t>
      </w:r>
      <w:r w:rsidRPr="00571EEC">
        <w:t xml:space="preserve">. </w:t>
      </w:r>
      <w:r w:rsidRPr="00571EEC">
        <w:rPr>
          <w:strike/>
        </w:rPr>
        <w:t>Šiuo atveju byla perduodama</w:t>
      </w:r>
      <w:r>
        <w:rPr>
          <w:strike/>
        </w:rPr>
        <w:t xml:space="preserve"> </w:t>
      </w:r>
      <w:r w:rsidRPr="00571EEC">
        <w:rPr>
          <w:b/>
        </w:rPr>
        <w:t xml:space="preserve">Bylą perdavus </w:t>
      </w:r>
      <w:r w:rsidRPr="00571EEC">
        <w:t>prokurorui</w:t>
      </w:r>
      <w:r w:rsidRPr="00571EEC">
        <w:rPr>
          <w:b/>
        </w:rPr>
        <w:t xml:space="preserve">, </w:t>
      </w:r>
      <w:r w:rsidRPr="006D73A1">
        <w:t>i</w:t>
      </w:r>
      <w:r w:rsidRPr="00571EEC">
        <w:t>kiteisminis bylos tyrimas ir bylos nagrinėjimas teisme vyksta bendra tvarka.“</w:t>
      </w:r>
    </w:p>
    <w:p w:rsidR="002028D4" w:rsidRPr="00571EEC" w:rsidRDefault="002028D4" w:rsidP="002028D4">
      <w:pPr>
        <w:pStyle w:val="Sraopastraipa"/>
        <w:numPr>
          <w:ilvl w:val="0"/>
          <w:numId w:val="13"/>
        </w:numPr>
      </w:pPr>
      <w:r w:rsidRPr="00571EEC">
        <w:t>Apibrėžiant teismo kompetenciją inicijuoti perėjimą iš privataus kaltinimo proceso į valstybinį kaltinimą, būtina reglamentuoti visus atvejus, kai teismas gali perduoti bylos medžiagą prokurorui valstybiniam kaltinimui palaikyti. BPK 409 str</w:t>
      </w:r>
      <w:r>
        <w:t>aipsnio</w:t>
      </w:r>
      <w:r w:rsidRPr="00571EEC">
        <w:t xml:space="preserve"> 5 d</w:t>
      </w:r>
      <w:r>
        <w:t>alies</w:t>
      </w:r>
      <w:r w:rsidRPr="00571EEC">
        <w:t xml:space="preserve"> nuostatą siūloma formuluoti taip:</w:t>
      </w:r>
    </w:p>
    <w:p w:rsidR="002028D4" w:rsidRDefault="002028D4" w:rsidP="002028D4">
      <w:pPr>
        <w:spacing w:line="360" w:lineRule="auto"/>
        <w:ind w:left="360"/>
        <w:jc w:val="both"/>
      </w:pPr>
      <w:r w:rsidRPr="00571EEC">
        <w:t>„5. Jeigu nagrinėjant privataus kaltinimo bylą teisme paaiškėja</w:t>
      </w:r>
      <w:r w:rsidRPr="00571EEC">
        <w:rPr>
          <w:b/>
        </w:rPr>
        <w:t xml:space="preserve"> šio straipsnio 1 dalyje numatytos aplinkybės arba</w:t>
      </w:r>
      <w:bookmarkStart w:id="418" w:name="_GoBack"/>
      <w:bookmarkEnd w:id="418"/>
      <w:r w:rsidRPr="00571EEC">
        <w:t xml:space="preserve"> kad kaltinamasis padarė nusikalstamą veiką, dėl kurios turi būti palaikomas valstybinis kaltinimas, </w:t>
      </w:r>
      <w:r w:rsidRPr="00571EEC">
        <w:rPr>
          <w:b/>
        </w:rPr>
        <w:t>motyvuota nutartimi</w:t>
      </w:r>
      <w:r w:rsidRPr="00571EEC">
        <w:t xml:space="preserve"> privataus kaltinimo procesas nutraukiamas ir bylos medžiaga perduodama prokurorui.“</w:t>
      </w:r>
    </w:p>
    <w:p w:rsidR="002028D4" w:rsidRDefault="002028D4" w:rsidP="002028D4">
      <w:pPr>
        <w:pStyle w:val="Sraopastraipa"/>
        <w:numPr>
          <w:ilvl w:val="0"/>
          <w:numId w:val="13"/>
        </w:numPr>
      </w:pPr>
      <w:r>
        <w:t>Privatus kaltintojas palaiko kaltinimą ne tik pirmosios instancijos teisme, bet ir apeliacinėje bei kasacinėje instancijoje, todėl jo teisės, numatytos BPK 34 straipsnio 2 dalyje, turi būti apibrėžiamos taip:</w:t>
      </w:r>
    </w:p>
    <w:p w:rsidR="002028D4" w:rsidRDefault="002028D4" w:rsidP="002028D4">
      <w:pPr>
        <w:pStyle w:val="Sraopastraipa"/>
        <w:ind w:firstLine="0"/>
      </w:pPr>
      <w:r>
        <w:t xml:space="preserve">„2. Privatus kaltintojas, dalyvaudamas nagrinėjant bylą </w:t>
      </w:r>
      <w:r w:rsidRPr="00957D66">
        <w:rPr>
          <w:b/>
          <w:strike/>
        </w:rPr>
        <w:t>pirmosios instancijos</w:t>
      </w:r>
      <w:r>
        <w:t xml:space="preserve"> teisme, palaiko kaltinimą, pateikia įrodymus ir dalyvauja juos tiriant, dalyvauja baigiamosiose kalbose, pateikia pasiūlymų dėl teisiamajame posėdyje ištirtų įrodymų vertinimo, baudžiamųjų įstatymų taikymo, bausmės rūšies ir dydžio, nusikalstama veika padarytos žalos atlyginimo.</w:t>
      </w:r>
    </w:p>
    <w:p w:rsidR="002028D4" w:rsidRPr="00957D66" w:rsidRDefault="002028D4" w:rsidP="002028D4">
      <w:pPr>
        <w:pStyle w:val="Sraopastraipa"/>
        <w:ind w:firstLine="0"/>
        <w:rPr>
          <w:b/>
          <w:strike/>
        </w:rPr>
      </w:pPr>
      <w:r w:rsidRPr="00957D66">
        <w:rPr>
          <w:b/>
          <w:strike/>
        </w:rPr>
        <w:t>3.Privatus kaltintojas turi teisę dalyvauti apeliaciniame procese.“</w:t>
      </w:r>
    </w:p>
    <w:p w:rsidR="002028D4" w:rsidRPr="00CE37D0" w:rsidRDefault="002028D4" w:rsidP="002028D4">
      <w:pPr>
        <w:pStyle w:val="Sraopastraipa"/>
        <w:numPr>
          <w:ilvl w:val="0"/>
          <w:numId w:val="13"/>
        </w:numPr>
      </w:pPr>
      <w:r>
        <w:t xml:space="preserve">Reglamentuojant procesą kasacinėje instancijoje, turi būti sistemiškai pakeistas BPK XXVI skyrius, numatant kasacinio proceso dalyvį – privatų kaltintoją, kaip pvz. numatant, kad </w:t>
      </w:r>
      <w:r>
        <w:lastRenderedPageBreak/>
        <w:t>privatus kaltintojas turi teisę apskųsti teismo nuosprendį ar nutartį kasacine tvarka (BPK 367 straipsnio 1 dalis), dalyvauti nagrinėjant kasacinę bylą žodinio proceso tvarka (BPK 375 straipsnio 1 dalis) bei kitos nuostatos, numatančios kasacinio proceso dalyvių teises ir pareigas.</w:t>
      </w:r>
    </w:p>
    <w:p w:rsidR="002028D4" w:rsidRDefault="002028D4" w:rsidP="002028D4">
      <w:pPr>
        <w:spacing w:line="360" w:lineRule="auto"/>
        <w:jc w:val="both"/>
        <w:rPr>
          <w:b/>
        </w:rPr>
      </w:pPr>
    </w:p>
    <w:p w:rsidR="00FD0AEF" w:rsidRDefault="00FD0AEF">
      <w:pPr>
        <w:rPr>
          <w:rFonts w:eastAsia="Times New Roman"/>
          <w:lang w:eastAsia="lt-LT"/>
        </w:rPr>
      </w:pPr>
      <w:r>
        <w:br w:type="page"/>
      </w:r>
    </w:p>
    <w:p w:rsidR="00001303" w:rsidRDefault="00FD0AEF" w:rsidP="00FD0AEF">
      <w:pPr>
        <w:pStyle w:val="Antrat1"/>
      </w:pPr>
      <w:bookmarkStart w:id="419" w:name="_Toc400321717"/>
      <w:r>
        <w:lastRenderedPageBreak/>
        <w:t>Literatūros sąrašas</w:t>
      </w:r>
      <w:bookmarkEnd w:id="419"/>
    </w:p>
    <w:p w:rsidR="00FD0AEF" w:rsidRDefault="00FD0AEF" w:rsidP="00FD0AEF">
      <w:pPr>
        <w:pStyle w:val="Antrat3"/>
        <w:rPr>
          <w:rFonts w:eastAsia="Calibri"/>
        </w:rPr>
      </w:pPr>
      <w:bookmarkStart w:id="420" w:name="_Toc400321718"/>
      <w:r>
        <w:rPr>
          <w:rFonts w:eastAsia="Calibri"/>
        </w:rPr>
        <w:t>Specialioji literatūra</w:t>
      </w:r>
      <w:bookmarkEnd w:id="420"/>
    </w:p>
    <w:p w:rsidR="00FD0AEF" w:rsidRPr="008802DE" w:rsidRDefault="00FD0AEF" w:rsidP="00FD0AEF">
      <w:pPr>
        <w:rPr>
          <w:lang w:eastAsia="lt-LT"/>
        </w:rPr>
      </w:pPr>
    </w:p>
    <w:p w:rsidR="00FD0AEF" w:rsidRPr="003D05F7" w:rsidRDefault="00FD0AEF" w:rsidP="00FD0AEF">
      <w:pPr>
        <w:pStyle w:val="Sraopastraipa"/>
        <w:numPr>
          <w:ilvl w:val="0"/>
          <w:numId w:val="33"/>
        </w:numPr>
        <w:spacing w:line="240" w:lineRule="auto"/>
        <w:rPr>
          <w:rFonts w:eastAsia="Calibri"/>
        </w:rPr>
      </w:pPr>
      <w:r w:rsidRPr="003D05F7">
        <w:rPr>
          <w:rFonts w:eastAsia="Calibri"/>
        </w:rPr>
        <w:t>Abramavičius, A. Teisė į teisminę gynybą Lietuvos Respublikos Konstitucinio Teis</w:t>
      </w:r>
      <w:r>
        <w:rPr>
          <w:rFonts w:eastAsia="Calibri"/>
        </w:rPr>
        <w:t>m</w:t>
      </w:r>
      <w:r w:rsidRPr="003D05F7">
        <w:rPr>
          <w:rFonts w:eastAsia="Calibri"/>
        </w:rPr>
        <w:t xml:space="preserve">o jurisprudencijoje. </w:t>
      </w:r>
      <w:r w:rsidRPr="003D05F7">
        <w:rPr>
          <w:rFonts w:eastAsia="Calibri"/>
          <w:i/>
        </w:rPr>
        <w:t>Jurisprudencija</w:t>
      </w:r>
      <w:r>
        <w:rPr>
          <w:rFonts w:eastAsia="Calibri"/>
        </w:rPr>
        <w:t>.</w:t>
      </w:r>
      <w:r w:rsidRPr="003D05F7">
        <w:rPr>
          <w:rFonts w:eastAsia="Calibri"/>
        </w:rPr>
        <w:t xml:space="preserve"> 2009, 3 (117): 21-40. </w:t>
      </w:r>
    </w:p>
    <w:p w:rsidR="00FD0AEF" w:rsidRPr="003D05F7" w:rsidRDefault="00FD0AEF" w:rsidP="00FD0AEF">
      <w:pPr>
        <w:pStyle w:val="Sraopastraipa"/>
        <w:numPr>
          <w:ilvl w:val="0"/>
          <w:numId w:val="33"/>
        </w:numPr>
        <w:spacing w:line="240" w:lineRule="auto"/>
        <w:rPr>
          <w:rFonts w:eastAsia="Calibri"/>
        </w:rPr>
      </w:pPr>
      <w:r w:rsidRPr="00816A7D">
        <w:rPr>
          <w:rFonts w:eastAsia="Calibri"/>
        </w:rPr>
        <w:t>Abramavičius, A.,</w:t>
      </w:r>
      <w:r>
        <w:rPr>
          <w:rFonts w:eastAsia="Calibri"/>
          <w:i/>
        </w:rPr>
        <w:t xml:space="preserve"> </w:t>
      </w:r>
      <w:r w:rsidRPr="00816A7D">
        <w:rPr>
          <w:rFonts w:eastAsia="Calibri"/>
          <w:i/>
        </w:rPr>
        <w:t>et al</w:t>
      </w:r>
      <w:r>
        <w:rPr>
          <w:rFonts w:eastAsia="Calibri"/>
        </w:rPr>
        <w:t>.</w:t>
      </w:r>
      <w:r w:rsidRPr="003D05F7">
        <w:rPr>
          <w:rFonts w:eastAsia="Calibri"/>
        </w:rPr>
        <w:t xml:space="preserve"> </w:t>
      </w:r>
      <w:r w:rsidRPr="003D05F7">
        <w:rPr>
          <w:rFonts w:eastAsia="Calibri"/>
          <w:i/>
        </w:rPr>
        <w:t>Lietuvos Respublikos baudžiamojo kodekso komentaras. Bendroji dalis (1-98 straipsniai).</w:t>
      </w:r>
      <w:r w:rsidRPr="003D05F7">
        <w:rPr>
          <w:rFonts w:eastAsia="Calibri"/>
        </w:rPr>
        <w:t xml:space="preserve"> Vilnius</w:t>
      </w:r>
      <w:r>
        <w:rPr>
          <w:rFonts w:eastAsia="Calibri"/>
        </w:rPr>
        <w:t>: Teisinės informacijos centras</w:t>
      </w:r>
      <w:r w:rsidRPr="003D05F7">
        <w:rPr>
          <w:rFonts w:eastAsia="Calibri"/>
        </w:rPr>
        <w:t>,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Aleksandrov, A. S. Principy ugolovnogo sudoproizvodstva [Principles of Criminal Procedure]. </w:t>
      </w:r>
      <w:r>
        <w:rPr>
          <w:rFonts w:eastAsia="Calibri"/>
          <w:i/>
        </w:rPr>
        <w:t>Pravovedeni</w:t>
      </w:r>
      <w:r w:rsidRPr="00133F66">
        <w:rPr>
          <w:rFonts w:eastAsia="Calibri"/>
          <w:i/>
        </w:rPr>
        <w:t>e</w:t>
      </w:r>
      <w:r>
        <w:rPr>
          <w:rFonts w:eastAsia="Calibri"/>
        </w:rPr>
        <w:t>.</w:t>
      </w:r>
      <w:r w:rsidRPr="003D05F7">
        <w:rPr>
          <w:rFonts w:eastAsia="Calibri"/>
        </w:rPr>
        <w:t xml:space="preserve"> 2003, 5: 16</w:t>
      </w:r>
      <w:r>
        <w:rPr>
          <w:rFonts w:eastAsia="Calibri"/>
        </w:rPr>
        <w:t>2-168</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Aleksandrov, А. S. </w:t>
      </w:r>
      <w:r w:rsidRPr="003D05F7">
        <w:rPr>
          <w:rFonts w:eastAsia="Calibri"/>
          <w:i/>
        </w:rPr>
        <w:t xml:space="preserve">Dispozitivnost v ugolovnom processe </w:t>
      </w:r>
      <w:r w:rsidRPr="003D05F7">
        <w:rPr>
          <w:rFonts w:eastAsia="Calibri"/>
        </w:rPr>
        <w:t xml:space="preserve">[Dispositiveness in Criminal Procedure]. Daktaro disertacija. Socialiniai mokslai (teisė). Nizhnij Novgorod, 1995.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Alekseev, S. S. </w:t>
      </w:r>
      <w:r>
        <w:rPr>
          <w:rFonts w:eastAsia="Calibri"/>
          <w:i/>
        </w:rPr>
        <w:t>Voskhozhdeni</w:t>
      </w:r>
      <w:r w:rsidRPr="003D05F7">
        <w:rPr>
          <w:rFonts w:eastAsia="Calibri"/>
          <w:i/>
        </w:rPr>
        <w:t>e k pravu: poiski i reshenija</w:t>
      </w:r>
      <w:r w:rsidRPr="003D05F7">
        <w:rPr>
          <w:rFonts w:eastAsia="Calibri"/>
        </w:rPr>
        <w:t xml:space="preserve"> [Ascent to Law: Search and Solutions]. Moskva: Norma, 2001.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Alper, B. S., Nichols, L. T. </w:t>
      </w:r>
      <w:r w:rsidRPr="003D05F7">
        <w:rPr>
          <w:rFonts w:eastAsia="Calibri"/>
          <w:i/>
        </w:rPr>
        <w:t xml:space="preserve">Beyond the Courtroom: Programs in Community Justice and Conflict Resolution. </w:t>
      </w:r>
      <w:r>
        <w:rPr>
          <w:rFonts w:eastAsia="Calibri"/>
        </w:rPr>
        <w:t>Lexington</w:t>
      </w:r>
      <w:r w:rsidRPr="003D05F7">
        <w:rPr>
          <w:rFonts w:eastAsia="Calibri"/>
        </w:rPr>
        <w:t xml:space="preserve">: Lexington Books, 1981.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Ambrasaitė, G. </w:t>
      </w:r>
      <w:r w:rsidRPr="003D05F7">
        <w:rPr>
          <w:rFonts w:eastAsia="Calibri"/>
          <w:i/>
        </w:rPr>
        <w:t>Apeliacija civiliniame procese</w:t>
      </w:r>
      <w:r w:rsidRPr="003D05F7">
        <w:rPr>
          <w:rFonts w:eastAsia="Calibri"/>
        </w:rPr>
        <w:t>. Daktaro d</w:t>
      </w:r>
      <w:r>
        <w:rPr>
          <w:rFonts w:eastAsia="Calibri"/>
        </w:rPr>
        <w:t>isertacija. Socialiniai mokslai</w:t>
      </w:r>
      <w:r w:rsidRPr="003D05F7">
        <w:rPr>
          <w:rFonts w:eastAsia="Calibri"/>
        </w:rPr>
        <w:t xml:space="preserve"> </w:t>
      </w:r>
      <w:r>
        <w:rPr>
          <w:rFonts w:eastAsia="Calibri"/>
        </w:rPr>
        <w:t>(</w:t>
      </w:r>
      <w:r w:rsidRPr="003D05F7">
        <w:rPr>
          <w:rFonts w:eastAsia="Calibri"/>
        </w:rPr>
        <w:t xml:space="preserve">teisė). Vilnius: Lietuvos </w:t>
      </w:r>
      <w:r>
        <w:rPr>
          <w:rFonts w:eastAsia="Calibri"/>
        </w:rPr>
        <w:t>t</w:t>
      </w:r>
      <w:r w:rsidRPr="003D05F7">
        <w:rPr>
          <w:rFonts w:eastAsia="Calibri"/>
        </w:rPr>
        <w:t xml:space="preserve">eisės </w:t>
      </w:r>
      <w:r>
        <w:rPr>
          <w:rFonts w:eastAsia="Calibri"/>
        </w:rPr>
        <w:t>u</w:t>
      </w:r>
      <w:r w:rsidRPr="003D05F7">
        <w:rPr>
          <w:rFonts w:eastAsia="Calibri"/>
        </w:rPr>
        <w:t>niversitetas, 2004.</w:t>
      </w:r>
      <w:r>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w:t>
      </w:r>
      <w:r w:rsidRPr="003D05F7">
        <w:rPr>
          <w:rFonts w:eastAsia="Calibri"/>
          <w:i/>
        </w:rPr>
        <w:t>Funkcijų suderinamumas veiksmingame ir sąžiningame baudžiamajame persekiojime: mokslo studija</w:t>
      </w:r>
      <w:r w:rsidRPr="003D05F7">
        <w:rPr>
          <w:rFonts w:eastAsia="Calibri"/>
        </w:rPr>
        <w:t xml:space="preserve">. Vilnius: Mykolo Romerio universitetas, 2012.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Įrodinėjimo teisinio reguliavimo įtaka, užtikrinant proceso dalyvių teises ikiteisminiame etape. </w:t>
      </w:r>
      <w:r w:rsidRPr="003D05F7">
        <w:rPr>
          <w:rFonts w:eastAsia="Calibri"/>
          <w:i/>
        </w:rPr>
        <w:t>Jurisprudencija</w:t>
      </w:r>
      <w:r>
        <w:rPr>
          <w:rFonts w:eastAsia="Calibri"/>
        </w:rPr>
        <w:t xml:space="preserve">. 2006, 11 (89): 7-13.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w:t>
      </w:r>
      <w:r w:rsidRPr="003D05F7">
        <w:rPr>
          <w:rFonts w:eastAsia="Calibri"/>
          <w:i/>
        </w:rPr>
        <w:t>Baudžiamojo proceso ikiteisminis etapas</w:t>
      </w:r>
      <w:r>
        <w:rPr>
          <w:rFonts w:eastAsia="Calibri"/>
        </w:rPr>
        <w:t>. Vilnius: Saulužė,</w:t>
      </w:r>
      <w:r w:rsidRPr="003D05F7">
        <w:rPr>
          <w:rFonts w:eastAsia="Calibri"/>
        </w:rPr>
        <w:t xml:space="preserve">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Įrodinėjimo tikslas, dalykas ir priemonės. In Kurapka, V. E., </w:t>
      </w:r>
      <w:r w:rsidRPr="00225DD4">
        <w:rPr>
          <w:rFonts w:eastAsia="Calibri"/>
          <w:i/>
        </w:rPr>
        <w:t>et al</w:t>
      </w:r>
      <w:r w:rsidRPr="003D05F7">
        <w:rPr>
          <w:rFonts w:eastAsia="Calibri"/>
        </w:rPr>
        <w:t xml:space="preserve">. </w:t>
      </w:r>
      <w:r w:rsidRPr="003D05F7">
        <w:rPr>
          <w:rFonts w:eastAsia="Calibri"/>
          <w:i/>
        </w:rPr>
        <w:t>Baudžiamasis procesas: nuo teorijos iki įrodinėjimo (prof. dr. Eugenijaus Palskio atminimui). Mokslo studija</w:t>
      </w:r>
      <w:r w:rsidRPr="003D05F7">
        <w:rPr>
          <w:rFonts w:eastAsia="Calibri"/>
        </w:rPr>
        <w:t>. Vilnius: Mykolo Romerio universitetas, 2011</w:t>
      </w:r>
      <w:r>
        <w:rPr>
          <w:rFonts w:eastAsia="Calibri"/>
        </w:rPr>
        <w:t>, p.</w:t>
      </w:r>
      <w:r w:rsidRPr="003D05F7">
        <w:rPr>
          <w:rFonts w:eastAsia="Calibri"/>
        </w:rPr>
        <w:t xml:space="preserve"> 205-269.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Nukentėjusiųjų asmenų interesų apsaugos prielaidos Lietuvoje ir kitose valstybėse. </w:t>
      </w:r>
      <w:r w:rsidRPr="0094022A">
        <w:rPr>
          <w:rFonts w:eastAsia="Calibri"/>
          <w:i/>
        </w:rPr>
        <w:t>P</w:t>
      </w:r>
      <w:r>
        <w:rPr>
          <w:rFonts w:eastAsia="Calibri"/>
          <w:i/>
        </w:rPr>
        <w:t xml:space="preserve">ranešimas </w:t>
      </w:r>
      <w:r w:rsidRPr="003D05F7">
        <w:rPr>
          <w:rFonts w:eastAsia="Calibri"/>
          <w:i/>
        </w:rPr>
        <w:t xml:space="preserve">2010 m. vasario 25 d. </w:t>
      </w:r>
      <w:r>
        <w:rPr>
          <w:rFonts w:eastAsia="Calibri"/>
          <w:i/>
        </w:rPr>
        <w:t>t</w:t>
      </w:r>
      <w:r w:rsidRPr="003D05F7">
        <w:rPr>
          <w:rFonts w:eastAsia="Calibri"/>
          <w:i/>
        </w:rPr>
        <w:t>arptautini</w:t>
      </w:r>
      <w:r>
        <w:rPr>
          <w:rFonts w:eastAsia="Calibri"/>
          <w:i/>
        </w:rPr>
        <w:t>ame seminare</w:t>
      </w:r>
      <w:r w:rsidRPr="003D05F7">
        <w:rPr>
          <w:rFonts w:eastAsia="Calibri"/>
          <w:i/>
        </w:rPr>
        <w:t xml:space="preserve"> </w:t>
      </w:r>
      <w:r>
        <w:rPr>
          <w:rFonts w:eastAsia="Calibri"/>
          <w:i/>
        </w:rPr>
        <w:t>„</w:t>
      </w:r>
      <w:r w:rsidRPr="003D05F7">
        <w:rPr>
          <w:rFonts w:eastAsia="Calibri"/>
          <w:i/>
        </w:rPr>
        <w:t>Ikiteisminio proceso subjektų kompetencijos įtaka užtikrinant nukentėjusiųjų asmenų interesus</w:t>
      </w:r>
      <w:r>
        <w:rPr>
          <w:rFonts w:eastAsia="Calibri"/>
          <w:i/>
        </w:rPr>
        <w:t>“.</w:t>
      </w:r>
      <w:r w:rsidRPr="003D05F7">
        <w:rPr>
          <w:rFonts w:eastAsia="Calibri"/>
          <w:i/>
        </w:rPr>
        <w:t xml:space="preserve"> </w:t>
      </w:r>
      <w:r w:rsidRPr="003D05F7">
        <w:rPr>
          <w:rFonts w:eastAsia="Calibri"/>
        </w:rPr>
        <w:t xml:space="preserve">Kaunas: </w:t>
      </w:r>
      <w:r>
        <w:rPr>
          <w:rFonts w:eastAsia="Calibri"/>
        </w:rPr>
        <w:t>Mykolo Romerio universitetas</w:t>
      </w:r>
      <w:r w:rsidRPr="00F92FE6">
        <w:rPr>
          <w:rFonts w:eastAsia="Calibri"/>
        </w:rPr>
        <w:t>,</w:t>
      </w:r>
      <w:r w:rsidRPr="003D05F7">
        <w:rPr>
          <w:rFonts w:eastAsia="Calibri"/>
        </w:rPr>
        <w:t xml:space="preserve"> 2010, (skaidrės).</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Ancelis, P., Juzukonis, S. Nukentėjusiojo sąvoka Lietuvos ir kitų valstybių baudžiamajame procese. </w:t>
      </w:r>
      <w:r w:rsidRPr="003D05F7">
        <w:rPr>
          <w:rFonts w:eastAsia="Calibri"/>
          <w:i/>
        </w:rPr>
        <w:t>Jurisprudencija.</w:t>
      </w:r>
      <w:r w:rsidRPr="003D05F7">
        <w:rPr>
          <w:rFonts w:eastAsia="Calibri"/>
        </w:rPr>
        <w:t xml:space="preserve"> 2002, 35</w:t>
      </w:r>
      <w:r>
        <w:rPr>
          <w:rFonts w:eastAsia="Calibri"/>
        </w:rPr>
        <w:t xml:space="preserve"> </w:t>
      </w:r>
      <w:r w:rsidRPr="003D05F7">
        <w:rPr>
          <w:rFonts w:eastAsia="Calibri"/>
        </w:rPr>
        <w:t xml:space="preserve">(27): </w:t>
      </w:r>
      <w:r>
        <w:rPr>
          <w:rFonts w:eastAsia="Calibri"/>
        </w:rPr>
        <w:t>99-107</w:t>
      </w:r>
      <w:r w:rsidRPr="003D05F7">
        <w:rPr>
          <w:rFonts w:eastAsia="Calibri"/>
        </w:rPr>
        <w:t>.</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Ancelis, P., Šapalaitė, E. Daiktų statusas baudžiamajame procese. </w:t>
      </w:r>
      <w:r w:rsidRPr="003D05F7">
        <w:rPr>
          <w:rFonts w:eastAsia="Calibri"/>
          <w:i/>
        </w:rPr>
        <w:t>Jurisprudencija</w:t>
      </w:r>
      <w:r w:rsidRPr="003D05F7">
        <w:rPr>
          <w:rFonts w:eastAsia="Calibri"/>
        </w:rPr>
        <w:t>. 2004, 49</w:t>
      </w:r>
      <w:r>
        <w:rPr>
          <w:rFonts w:eastAsia="Calibri"/>
        </w:rPr>
        <w:t xml:space="preserve"> </w:t>
      </w:r>
      <w:r w:rsidRPr="003D05F7">
        <w:rPr>
          <w:rFonts w:eastAsia="Calibri"/>
        </w:rPr>
        <w:t>(41): 121-139</w:t>
      </w:r>
      <w:r>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Arlauskaitė-Rinkevičienė, U. Įrodymų sampratos reglamentavimo baudžiamojo proceso kodekse trūkumai. </w:t>
      </w:r>
      <w:r w:rsidRPr="003D05F7">
        <w:rPr>
          <w:rFonts w:eastAsia="Calibri"/>
          <w:i/>
        </w:rPr>
        <w:t>Jurisprudencija</w:t>
      </w:r>
      <w:r w:rsidRPr="003D05F7">
        <w:rPr>
          <w:rFonts w:eastAsia="Calibri"/>
        </w:rPr>
        <w:t xml:space="preserve">. 2007, 4 (94): 74-80.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Arlauskaitė-Rinkevičienė, U. Pažinimo proceso ir tiesos nustatymo baudžiamajame procese probleminiai aspektai. </w:t>
      </w:r>
      <w:r>
        <w:rPr>
          <w:rFonts w:eastAsia="Calibri"/>
          <w:i/>
        </w:rPr>
        <w:t>Jurisprudencija.</w:t>
      </w:r>
      <w:r w:rsidRPr="003D05F7">
        <w:rPr>
          <w:rFonts w:eastAsia="Calibri"/>
        </w:rPr>
        <w:t xml:space="preserve"> 2006, 11 (89): 7</w:t>
      </w:r>
      <w:r>
        <w:rPr>
          <w:rFonts w:eastAsia="Calibri"/>
        </w:rPr>
        <w:t>0-77</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Arlauskas, S. </w:t>
      </w:r>
      <w:r w:rsidRPr="003D05F7">
        <w:rPr>
          <w:rFonts w:eastAsia="Calibri"/>
          <w:i/>
        </w:rPr>
        <w:t>Turiningieji teisės pagrindai. Pagrindinių subjektinių teisių teorijos metmenys</w:t>
      </w:r>
      <w:r w:rsidRPr="003D05F7">
        <w:rPr>
          <w:rFonts w:eastAsia="Calibri"/>
        </w:rPr>
        <w:t xml:space="preserve">. Vilnius: Mykolo Romerio universitetas, 2004.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Ashworth, A. Punishment and Compensation: Victims, Offenders and the State. </w:t>
      </w:r>
      <w:r w:rsidRPr="003D05F7">
        <w:rPr>
          <w:rFonts w:eastAsia="Calibri"/>
          <w:i/>
        </w:rPr>
        <w:t>Oxford Journal of Legal Studies</w:t>
      </w:r>
      <w:r>
        <w:rPr>
          <w:rFonts w:eastAsia="Calibri"/>
        </w:rPr>
        <w:t>.</w:t>
      </w:r>
      <w:r w:rsidRPr="003D05F7">
        <w:rPr>
          <w:rFonts w:eastAsia="Calibri"/>
        </w:rPr>
        <w:t xml:space="preserve"> 1986, 6: 86-122.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Ashworth, A., Redmayne, M. </w:t>
      </w:r>
      <w:r w:rsidRPr="003D05F7">
        <w:rPr>
          <w:rFonts w:eastAsia="Calibri"/>
          <w:i/>
        </w:rPr>
        <w:t>The Criminal Process</w:t>
      </w:r>
      <w:r w:rsidRPr="003D05F7">
        <w:rPr>
          <w:rFonts w:eastAsia="Calibri"/>
        </w:rPr>
        <w:t xml:space="preserve">. New York: Oxford, 2005.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Alternatyvūs baudžiamojo konflikto sprendimo būdai nagrinėjant bylą teisme. </w:t>
      </w:r>
      <w:r w:rsidRPr="003D05F7">
        <w:rPr>
          <w:rFonts w:eastAsia="Calibri"/>
          <w:i/>
        </w:rPr>
        <w:t>Jurisprudencija</w:t>
      </w:r>
      <w:r w:rsidRPr="003D05F7">
        <w:rPr>
          <w:rFonts w:eastAsia="Calibri"/>
        </w:rPr>
        <w:t xml:space="preserve">. 2008, 6 (108): 41-47.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Baudžiamojo proceso, kuriame dalyvauja nepilnamečiai, teisinės ir faktinės diferenciacijos prielaidos ir iš jų kylantys reikalavimai. In Ancelis, P., </w:t>
      </w:r>
      <w:r w:rsidRPr="00AF330B">
        <w:rPr>
          <w:rFonts w:eastAsia="Calibri"/>
          <w:i/>
        </w:rPr>
        <w:t>et al</w:t>
      </w:r>
      <w:r w:rsidRPr="003D05F7">
        <w:rPr>
          <w:rFonts w:eastAsia="Calibri"/>
        </w:rPr>
        <w:t xml:space="preserve">. </w:t>
      </w:r>
      <w:r w:rsidRPr="003D05F7">
        <w:rPr>
          <w:rFonts w:eastAsia="Calibri"/>
          <w:i/>
        </w:rPr>
        <w:t>Sąžiningas baudžiamasis procesas: probleminiai aspektai</w:t>
      </w:r>
      <w:r w:rsidRPr="003D05F7">
        <w:rPr>
          <w:rFonts w:eastAsia="Calibri"/>
        </w:rPr>
        <w:t>. Vi</w:t>
      </w:r>
      <w:r>
        <w:rPr>
          <w:rFonts w:eastAsia="Calibri"/>
        </w:rPr>
        <w:t>lnius: Industrus, 2009, p.</w:t>
      </w:r>
      <w:r w:rsidRPr="003D05F7">
        <w:rPr>
          <w:rFonts w:eastAsia="Calibri"/>
        </w:rPr>
        <w:t xml:space="preserve"> 61-104.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Baudžiamojo proceso paskirties interpretavimo kaita Lietuvai atgavus nepriklausomybę. </w:t>
      </w:r>
      <w:r>
        <w:rPr>
          <w:rFonts w:eastAsia="Calibri"/>
        </w:rPr>
        <w:t xml:space="preserve">In </w:t>
      </w:r>
      <w:r w:rsidRPr="003D05F7">
        <w:rPr>
          <w:rFonts w:eastAsia="Calibri"/>
          <w:i/>
        </w:rPr>
        <w:t xml:space="preserve">Regnum est: 1990 m. Kovo 11-osios Nepriklausomybės Aktui – 20. </w:t>
      </w:r>
      <w:r w:rsidRPr="003D05F7">
        <w:rPr>
          <w:rFonts w:eastAsia="Calibri"/>
          <w:i/>
        </w:rPr>
        <w:lastRenderedPageBreak/>
        <w:t>Liber Amicorum Vytautui Landsbergiui</w:t>
      </w:r>
      <w:r w:rsidRPr="003D05F7">
        <w:rPr>
          <w:rFonts w:eastAsia="Calibri"/>
        </w:rPr>
        <w:t xml:space="preserve">. </w:t>
      </w:r>
      <w:r>
        <w:rPr>
          <w:rFonts w:eastAsia="Calibri"/>
        </w:rPr>
        <w:t xml:space="preserve">(Red. Mesonis, G.). </w:t>
      </w:r>
      <w:r w:rsidRPr="003D05F7">
        <w:rPr>
          <w:rFonts w:eastAsia="Calibri"/>
        </w:rPr>
        <w:t>Vilnius: Mykolo Romerio universiteto Leidybos centras, 2009</w:t>
      </w:r>
      <w:r>
        <w:rPr>
          <w:rFonts w:eastAsia="Calibri"/>
        </w:rPr>
        <w:t>, p.</w:t>
      </w:r>
      <w:r w:rsidRPr="003D05F7">
        <w:rPr>
          <w:rFonts w:eastAsia="Calibri"/>
        </w:rPr>
        <w:t xml:space="preserve"> 511-530.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Baudžiamojo proceso raidos tendencijos: formų diferenciacija. In Prapiestis, J., </w:t>
      </w:r>
      <w:r w:rsidRPr="00AF330B">
        <w:rPr>
          <w:rFonts w:eastAsia="Calibri"/>
          <w:i/>
        </w:rPr>
        <w:t>et al</w:t>
      </w:r>
      <w:r w:rsidRPr="003D05F7">
        <w:rPr>
          <w:rFonts w:eastAsia="Calibri"/>
        </w:rPr>
        <w:t xml:space="preserve">. </w:t>
      </w:r>
      <w:r w:rsidRPr="003D05F7">
        <w:rPr>
          <w:rFonts w:eastAsia="Calibri"/>
          <w:i/>
        </w:rPr>
        <w:t>Globalizacijos iššūkiai baudžiamajai justicijai: recenzuotų mokslinių straipsnių baudžiamosios teisės, bausmių vykdymo ir baudžiamojo proceso klausimais rinkinys</w:t>
      </w:r>
      <w:r w:rsidRPr="003D05F7">
        <w:rPr>
          <w:rFonts w:eastAsia="Calibri"/>
        </w:rPr>
        <w:t>. Vilnius:</w:t>
      </w:r>
      <w:r>
        <w:rPr>
          <w:rFonts w:eastAsia="Calibri"/>
        </w:rPr>
        <w:t xml:space="preserve"> VĮ</w:t>
      </w:r>
      <w:r w:rsidRPr="003D05F7">
        <w:rPr>
          <w:rFonts w:eastAsia="Calibri"/>
        </w:rPr>
        <w:t xml:space="preserve"> Registrų centras, 2014</w:t>
      </w:r>
      <w:r>
        <w:rPr>
          <w:rFonts w:eastAsia="Calibri"/>
        </w:rPr>
        <w:t>, p.</w:t>
      </w:r>
      <w:r w:rsidRPr="003D05F7">
        <w:rPr>
          <w:rFonts w:eastAsia="Calibri"/>
        </w:rPr>
        <w:t xml:space="preserve"> 229-242.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w:t>
      </w:r>
      <w:r w:rsidRPr="003D05F7">
        <w:rPr>
          <w:rFonts w:eastAsia="Calibri"/>
          <w:i/>
        </w:rPr>
        <w:t>Diskrecinis baudžiamasis persekiojimas: teoriniai pagrindai, taikymo problemos ir perspektyvos Lietuvoje</w:t>
      </w:r>
      <w:r w:rsidRPr="003D05F7">
        <w:rPr>
          <w:rFonts w:eastAsia="Calibri"/>
        </w:rPr>
        <w:t xml:space="preserve">. Daktaro disertacija. Socialiniai mokslai </w:t>
      </w:r>
      <w:r>
        <w:rPr>
          <w:rFonts w:eastAsia="Calibri"/>
        </w:rPr>
        <w:t>(</w:t>
      </w:r>
      <w:r w:rsidRPr="003D05F7">
        <w:rPr>
          <w:rFonts w:eastAsia="Calibri"/>
        </w:rPr>
        <w:t>teisė</w:t>
      </w:r>
      <w:r>
        <w:rPr>
          <w:rFonts w:eastAsia="Calibri"/>
        </w:rPr>
        <w:t>)</w:t>
      </w:r>
      <w:r w:rsidRPr="003D05F7">
        <w:rPr>
          <w:rFonts w:eastAsia="Calibri"/>
        </w:rPr>
        <w:t>. Vilnius</w:t>
      </w:r>
      <w:r>
        <w:rPr>
          <w:rFonts w:eastAsia="Calibri"/>
        </w:rPr>
        <w:t>: Lietuvos teisės universitetas</w:t>
      </w:r>
      <w:r w:rsidRPr="003D05F7">
        <w:rPr>
          <w:rFonts w:eastAsia="Calibri"/>
        </w:rPr>
        <w:t>, 2002.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Nepilnamečio apklausa baudžiamajame procese. In Kurapka, V. E., </w:t>
      </w:r>
      <w:r w:rsidRPr="0090550B">
        <w:rPr>
          <w:rFonts w:eastAsia="Calibri"/>
          <w:i/>
        </w:rPr>
        <w:t>et al</w:t>
      </w:r>
      <w:r w:rsidRPr="003D05F7">
        <w:rPr>
          <w:rFonts w:eastAsia="Calibri"/>
        </w:rPr>
        <w:t xml:space="preserve">. </w:t>
      </w:r>
      <w:r w:rsidRPr="003D05F7">
        <w:rPr>
          <w:rFonts w:eastAsia="Calibri"/>
          <w:i/>
        </w:rPr>
        <w:t>Baudžiamasis procesas: nuo teorijos iki įrodinėjimo (prof. dr. Eugenijaus Palskio atminimui). Mokslo studija</w:t>
      </w:r>
      <w:r w:rsidRPr="003D05F7">
        <w:rPr>
          <w:rFonts w:eastAsia="Calibri"/>
        </w:rPr>
        <w:t>. Vilnius: Mykolo Romerio universitetas, 2011</w:t>
      </w:r>
      <w:r>
        <w:rPr>
          <w:rFonts w:eastAsia="Calibri"/>
        </w:rPr>
        <w:t>, p.</w:t>
      </w:r>
      <w:r w:rsidRPr="003D05F7">
        <w:rPr>
          <w:rFonts w:eastAsia="Calibri"/>
        </w:rPr>
        <w:t xml:space="preserve"> 159-203.</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Nukentėjusio nuo nusikalstamos veikos asmens teisė kreiptis į teismą kaip teisminės gynybos realizavimo baudžiamajame procese prielaida. </w:t>
      </w:r>
      <w:r w:rsidRPr="003D05F7">
        <w:rPr>
          <w:rFonts w:eastAsia="Calibri"/>
          <w:i/>
        </w:rPr>
        <w:t>Jurisprudencija</w:t>
      </w:r>
      <w:r>
        <w:rPr>
          <w:rFonts w:eastAsia="Calibri"/>
        </w:rPr>
        <w:t>.</w:t>
      </w:r>
      <w:r w:rsidRPr="003D05F7">
        <w:rPr>
          <w:rFonts w:eastAsia="Calibri"/>
        </w:rPr>
        <w:t xml:space="preserve"> 2010, 4 (122): 221-244.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Susitarimas (susitaikymas) viešojo kaltinimo bylose kaip viena iš diskrecinio baudžiamojo persekiojimo formų. </w:t>
      </w:r>
      <w:r w:rsidRPr="003D05F7">
        <w:rPr>
          <w:rFonts w:eastAsia="Calibri"/>
          <w:i/>
        </w:rPr>
        <w:t>Jurisprudencija</w:t>
      </w:r>
      <w:r w:rsidRPr="003D05F7">
        <w:rPr>
          <w:rFonts w:eastAsia="Calibri"/>
        </w:rPr>
        <w:t>. 2006, 6 (84): 33-40.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Gušauskienė, M., Jurka, R., Panomariovas, A. </w:t>
      </w:r>
      <w:r w:rsidRPr="003D05F7">
        <w:rPr>
          <w:rFonts w:eastAsia="Calibri"/>
          <w:i/>
        </w:rPr>
        <w:t>Baudžiamojo proceso principai</w:t>
      </w:r>
      <w:r w:rsidRPr="003D05F7">
        <w:rPr>
          <w:rFonts w:eastAsia="Calibri"/>
        </w:rPr>
        <w:t xml:space="preserve">. Vilnius: Eugrimas, 2009.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Jurgaitis, R., Zajančkauskienė, J. </w:t>
      </w:r>
      <w:r w:rsidRPr="003D05F7">
        <w:rPr>
          <w:rFonts w:eastAsia="Calibri"/>
          <w:i/>
        </w:rPr>
        <w:t>Specifinės baudžiamojo proceso rūšys: vadovėlis</w:t>
      </w:r>
      <w:r w:rsidRPr="003D05F7">
        <w:rPr>
          <w:rFonts w:eastAsia="Calibri"/>
        </w:rPr>
        <w:t>. Vilnius: Mykolo Romerio universitetas, 2011.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Ažubalytė, R., Zajančkauskienė, J. </w:t>
      </w:r>
      <w:r w:rsidRPr="003D05F7">
        <w:rPr>
          <w:rFonts w:eastAsia="Calibri"/>
          <w:i/>
        </w:rPr>
        <w:t>Baudžiamojo proceso teisė. Bendrosios dalies kurso pagrindinės tezės</w:t>
      </w:r>
      <w:r w:rsidRPr="003D05F7">
        <w:rPr>
          <w:rFonts w:eastAsia="Calibri"/>
        </w:rPr>
        <w:t>. Vilnius: Mūsų saulužė, 2006.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Bakker, M. W. </w:t>
      </w:r>
      <w:r w:rsidRPr="003D05F7">
        <w:rPr>
          <w:rFonts w:eastAsia="Calibri"/>
          <w:iCs/>
        </w:rPr>
        <w:t>Repairing the Breach and Reconciling the Discordant: Mediation in the Criminal Justice System</w:t>
      </w:r>
      <w:r w:rsidRPr="003D05F7">
        <w:rPr>
          <w:rFonts w:eastAsia="Calibri"/>
        </w:rPr>
        <w:t>.</w:t>
      </w:r>
      <w:r>
        <w:rPr>
          <w:rFonts w:eastAsia="Calibri"/>
        </w:rPr>
        <w:t xml:space="preserve"> </w:t>
      </w:r>
      <w:r w:rsidRPr="003D05F7">
        <w:rPr>
          <w:rFonts w:eastAsia="Calibri"/>
          <w:i/>
        </w:rPr>
        <w:t>North Carolina Law Review</w:t>
      </w:r>
      <w:r w:rsidRPr="003D05F7">
        <w:rPr>
          <w:rFonts w:eastAsia="Calibri"/>
        </w:rPr>
        <w:t>. 1994, 72: 14</w:t>
      </w:r>
      <w:r>
        <w:rPr>
          <w:rFonts w:eastAsia="Calibri"/>
        </w:rPr>
        <w:t>79-1526</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i/>
        </w:rPr>
        <w:t>Baudžiamojo proceso įstatymas su komentarais</w:t>
      </w:r>
      <w:r w:rsidRPr="003D05F7">
        <w:rPr>
          <w:rFonts w:eastAsia="Calibri"/>
        </w:rPr>
        <w:t xml:space="preserve">. </w:t>
      </w:r>
      <w:r>
        <w:rPr>
          <w:rFonts w:eastAsia="Calibri"/>
        </w:rPr>
        <w:t>(Red. Kavolis, M.</w:t>
      </w:r>
      <w:r w:rsidRPr="003D05F7">
        <w:rPr>
          <w:rFonts w:eastAsia="Calibri"/>
        </w:rPr>
        <w:t>)</w:t>
      </w:r>
      <w:r>
        <w:rPr>
          <w:rFonts w:eastAsia="Calibri"/>
        </w:rPr>
        <w:t>.</w:t>
      </w:r>
      <w:r w:rsidRPr="003D05F7">
        <w:rPr>
          <w:rFonts w:eastAsia="Calibri"/>
        </w:rPr>
        <w:t xml:space="preserve"> Kaunas: Literatūros knygynas, 1933.</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Baumfalk, W. </w:t>
      </w:r>
      <w:r w:rsidRPr="003D05F7">
        <w:rPr>
          <w:rFonts w:eastAsia="Calibri"/>
          <w:i/>
        </w:rPr>
        <w:t>ZPO Erkenntnisverfahren,</w:t>
      </w:r>
      <w:r>
        <w:rPr>
          <w:rFonts w:eastAsia="Calibri"/>
          <w:i/>
        </w:rPr>
        <w:t xml:space="preserve"> </w:t>
      </w:r>
      <w:r w:rsidRPr="003D05F7">
        <w:rPr>
          <w:rFonts w:eastAsia="Calibri"/>
          <w:i/>
        </w:rPr>
        <w:t>Vollstreckungsverfahren, Grundzüge des Insolvenzverfahrens</w:t>
      </w:r>
      <w:r w:rsidRPr="003D05F7">
        <w:rPr>
          <w:rFonts w:eastAsia="Calibri"/>
        </w:rPr>
        <w:t xml:space="preserve"> </w:t>
      </w:r>
      <w:r>
        <w:rPr>
          <w:rFonts w:eastAsia="Calibri"/>
        </w:rPr>
        <w:t>[interaktyvus]. 2003 [žiūrėta 2008-09-14]. &lt;</w:t>
      </w:r>
      <w:hyperlink r:id="rId9" w:history="1">
        <w:r w:rsidRPr="00783EA0">
          <w:rPr>
            <w:rStyle w:val="Hipersaitas"/>
            <w:rFonts w:eastAsia="Calibri"/>
          </w:rPr>
          <w:t>http://www.newbooks-services.de/MediaFiles/Texts/0/9783867522250_Excerpt_001.pdf</w:t>
        </w:r>
      </w:hyperlink>
      <w:r>
        <w:rPr>
          <w:rFonts w:eastAsia="Calibri"/>
        </w:rPr>
        <w:t>&gt;.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Baranskaitė, A. </w:t>
      </w:r>
      <w:r w:rsidRPr="003D05F7">
        <w:rPr>
          <w:rFonts w:eastAsia="Calibri"/>
          <w:i/>
        </w:rPr>
        <w:t>Taikos sutartis baudžiamojoje teisėje</w:t>
      </w:r>
      <w:r w:rsidRPr="003D05F7">
        <w:rPr>
          <w:rFonts w:eastAsia="Calibri"/>
        </w:rPr>
        <w:t xml:space="preserve">. Vilnius: Teisinės informacijos centras,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Bekarija, Č. </w:t>
      </w:r>
      <w:r w:rsidRPr="003D05F7">
        <w:rPr>
          <w:rFonts w:eastAsia="Calibri"/>
          <w:i/>
        </w:rPr>
        <w:t>Apie nusikaltimus ir bausmes</w:t>
      </w:r>
      <w:r w:rsidRPr="003D05F7">
        <w:rPr>
          <w:rFonts w:eastAsia="Calibri"/>
        </w:rPr>
        <w:t xml:space="preserve">. </w:t>
      </w:r>
      <w:r>
        <w:rPr>
          <w:rFonts w:eastAsia="Calibri"/>
        </w:rPr>
        <w:t>2-oji</w:t>
      </w:r>
      <w:r w:rsidRPr="003D05F7">
        <w:rPr>
          <w:rFonts w:eastAsia="Calibri"/>
        </w:rPr>
        <w:t xml:space="preserve"> l</w:t>
      </w:r>
      <w:r>
        <w:rPr>
          <w:rFonts w:eastAsia="Calibri"/>
        </w:rPr>
        <w:t>aida</w:t>
      </w:r>
      <w:r w:rsidRPr="003D05F7">
        <w:rPr>
          <w:rFonts w:eastAsia="Calibri"/>
        </w:rPr>
        <w:t xml:space="preserve">. Vilnius: Mintis, 1992. </w:t>
      </w:r>
    </w:p>
    <w:p w:rsidR="00FD0AEF" w:rsidRPr="003D05F7" w:rsidRDefault="00FD0AEF" w:rsidP="00FD0AEF">
      <w:pPr>
        <w:pStyle w:val="Sraopastraipa"/>
        <w:numPr>
          <w:ilvl w:val="0"/>
          <w:numId w:val="33"/>
        </w:numPr>
        <w:spacing w:line="240" w:lineRule="auto"/>
        <w:rPr>
          <w:rFonts w:eastAsia="Calibri"/>
        </w:rPr>
      </w:pPr>
      <w:r>
        <w:rPr>
          <w:rFonts w:eastAsia="Calibri"/>
        </w:rPr>
        <w:t>Belykh, V. S. O sootnosheni</w:t>
      </w:r>
      <w:r w:rsidRPr="003D05F7">
        <w:rPr>
          <w:rFonts w:eastAsia="Calibri"/>
        </w:rPr>
        <w:t>i chastnogo i publichnogo prava v pravovom regulirovani</w:t>
      </w:r>
      <w:r>
        <w:rPr>
          <w:rFonts w:eastAsia="Calibri"/>
        </w:rPr>
        <w:t>i obsh</w:t>
      </w:r>
      <w:r w:rsidRPr="003D05F7">
        <w:rPr>
          <w:rFonts w:eastAsia="Calibri"/>
        </w:rPr>
        <w:t>hestvenny</w:t>
      </w:r>
      <w:r>
        <w:rPr>
          <w:rFonts w:eastAsia="Calibri"/>
        </w:rPr>
        <w:t>k</w:t>
      </w:r>
      <w:r w:rsidRPr="003D05F7">
        <w:rPr>
          <w:rFonts w:eastAsia="Calibri"/>
        </w:rPr>
        <w:t xml:space="preserve">h otnoshenij [On Correlation of Private and Public Law in Legal Regulation of Social Relations]. </w:t>
      </w:r>
      <w:r w:rsidRPr="003D05F7">
        <w:rPr>
          <w:rFonts w:eastAsia="Calibri"/>
          <w:i/>
          <w:color w:val="000033"/>
        </w:rPr>
        <w:t>The public law/ private law divide : une entente assez cordiale? = La distinction du droit public et du droit privé</w:t>
      </w:r>
      <w:r w:rsidRPr="003D05F7">
        <w:rPr>
          <w:rFonts w:eastAsia="Calibri"/>
          <w:color w:val="000033"/>
        </w:rPr>
        <w:t>. </w:t>
      </w:r>
      <w:proofErr w:type="gramStart"/>
      <w:r>
        <w:rPr>
          <w:rFonts w:eastAsia="Calibri"/>
          <w:color w:val="000033"/>
        </w:rPr>
        <w:t>(</w:t>
      </w:r>
      <w:proofErr w:type="gramEnd"/>
      <w:r>
        <w:rPr>
          <w:rFonts w:eastAsia="Calibri"/>
          <w:color w:val="000033"/>
        </w:rPr>
        <w:t xml:space="preserve">Red. </w:t>
      </w:r>
      <w:r w:rsidRPr="003D05F7">
        <w:rPr>
          <w:rFonts w:eastAsia="Calibri"/>
          <w:color w:val="000033"/>
        </w:rPr>
        <w:t>Freedland</w:t>
      </w:r>
      <w:r>
        <w:rPr>
          <w:rFonts w:eastAsia="Calibri"/>
          <w:color w:val="000033"/>
        </w:rPr>
        <w:t>, M.,</w:t>
      </w:r>
      <w:r w:rsidRPr="003D05F7">
        <w:rPr>
          <w:rFonts w:eastAsia="Calibri"/>
          <w:color w:val="000033"/>
        </w:rPr>
        <w:t xml:space="preserve"> Auby</w:t>
      </w:r>
      <w:r>
        <w:rPr>
          <w:rFonts w:eastAsia="Calibri"/>
          <w:color w:val="000033"/>
        </w:rPr>
        <w:t xml:space="preserve"> J.-B.)</w:t>
      </w:r>
      <w:r w:rsidRPr="003D05F7">
        <w:rPr>
          <w:rFonts w:eastAsia="Calibri"/>
          <w:color w:val="000033"/>
        </w:rPr>
        <w:t>.  Oxford, Portland (Or.): Hart Publishing, 2006</w:t>
      </w:r>
      <w:r>
        <w:rPr>
          <w:rFonts w:eastAsia="Calibri"/>
          <w:color w:val="000033"/>
        </w:rPr>
        <w:t>, p.</w:t>
      </w:r>
      <w:r w:rsidRPr="003D05F7">
        <w:rPr>
          <w:rFonts w:eastAsia="Calibri"/>
          <w:color w:val="000033"/>
        </w:rPr>
        <w:t xml:space="preserve"> 107-112.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Belevičius, L. Procesinių prievartos priemonių teisėtumo ir jų taikymo metu gautų įrodymų leistinumo probleminiai aspektai. In </w:t>
      </w:r>
      <w:r>
        <w:rPr>
          <w:rFonts w:eastAsia="Calibri"/>
        </w:rPr>
        <w:t xml:space="preserve">Kurapka, V. E., </w:t>
      </w:r>
      <w:r w:rsidRPr="00A17553">
        <w:rPr>
          <w:rFonts w:eastAsia="Calibri"/>
          <w:i/>
        </w:rPr>
        <w:t>et al</w:t>
      </w:r>
      <w:r>
        <w:rPr>
          <w:rFonts w:eastAsia="Calibri"/>
        </w:rPr>
        <w:t xml:space="preserve">. </w:t>
      </w:r>
      <w:r w:rsidRPr="003D05F7">
        <w:rPr>
          <w:rFonts w:eastAsia="Calibri"/>
          <w:i/>
        </w:rPr>
        <w:t>Baudžiamasis procesas: nuo teorijos iki įrodinėjimo.</w:t>
      </w:r>
      <w:r w:rsidRPr="003D05F7">
        <w:rPr>
          <w:rFonts w:eastAsia="Calibri"/>
        </w:rPr>
        <w:t xml:space="preserve"> </w:t>
      </w:r>
      <w:r w:rsidRPr="003D05F7">
        <w:rPr>
          <w:rFonts w:eastAsia="Calibri"/>
          <w:i/>
        </w:rPr>
        <w:t>(prof. dr. Eugenijaus Palskio atminimui). Mokslo studija</w:t>
      </w:r>
      <w:r w:rsidRPr="003D05F7">
        <w:rPr>
          <w:rFonts w:eastAsia="Calibri"/>
        </w:rPr>
        <w:t>. Vilnius: Mykolo Romerio Universitetas, 2011</w:t>
      </w:r>
      <w:r>
        <w:rPr>
          <w:rFonts w:eastAsia="Calibri"/>
        </w:rPr>
        <w:t>, p.</w:t>
      </w:r>
      <w:r w:rsidRPr="003D05F7">
        <w:rPr>
          <w:rFonts w:eastAsia="Calibri"/>
        </w:rPr>
        <w:t xml:space="preserve"> 235-359. </w:t>
      </w:r>
    </w:p>
    <w:p w:rsidR="00FD0AEF" w:rsidRPr="003D05F7" w:rsidRDefault="00FD0AEF" w:rsidP="00FD0AEF">
      <w:pPr>
        <w:pStyle w:val="Sraopastraipa"/>
        <w:numPr>
          <w:ilvl w:val="0"/>
          <w:numId w:val="33"/>
        </w:numPr>
        <w:spacing w:line="240" w:lineRule="auto"/>
        <w:rPr>
          <w:rFonts w:eastAsia="Calibri"/>
        </w:rPr>
      </w:pPr>
      <w:r w:rsidRPr="003D05F7">
        <w:rPr>
          <w:rFonts w:eastAsia="Calibri"/>
          <w:bCs/>
        </w:rPr>
        <w:t xml:space="preserve">Bibas, S., Bierschbach, R. A. Integrating Remorse and Apology into Criminal Procedure. </w:t>
      </w:r>
      <w:r w:rsidRPr="003D05F7">
        <w:rPr>
          <w:rFonts w:eastAsia="Calibri"/>
          <w:bCs/>
          <w:i/>
        </w:rPr>
        <w:t>The Yale Law Journal</w:t>
      </w:r>
      <w:r>
        <w:rPr>
          <w:rFonts w:eastAsia="Calibri"/>
          <w:bCs/>
        </w:rPr>
        <w:t>. 2004, 114: 85-148.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Bikelis, S. Baudžiamosios politikos tendencijos Europoje. In Sakalauskas, G., </w:t>
      </w:r>
      <w:r w:rsidRPr="0088509F">
        <w:rPr>
          <w:rFonts w:eastAsia="Calibri"/>
          <w:i/>
        </w:rPr>
        <w:t>et al</w:t>
      </w:r>
      <w:r>
        <w:rPr>
          <w:rFonts w:eastAsia="Calibri"/>
        </w:rPr>
        <w:t>.</w:t>
      </w:r>
      <w:r w:rsidRPr="003D05F7">
        <w:rPr>
          <w:rFonts w:eastAsia="Calibri"/>
        </w:rPr>
        <w:t xml:space="preserve"> </w:t>
      </w:r>
      <w:r w:rsidRPr="003D05F7">
        <w:rPr>
          <w:rFonts w:eastAsia="Calibri"/>
          <w:i/>
        </w:rPr>
        <w:t>Baudžiamoji politika Lietuvoje: tendencijos ir lyginamieji tyrima</w:t>
      </w:r>
      <w:r w:rsidRPr="002264AA">
        <w:rPr>
          <w:rFonts w:eastAsia="Calibri"/>
          <w:i/>
        </w:rPr>
        <w:t>i</w:t>
      </w:r>
      <w:r w:rsidRPr="003D05F7">
        <w:rPr>
          <w:rFonts w:eastAsia="Calibri"/>
        </w:rPr>
        <w:t xml:space="preserve">. </w:t>
      </w:r>
      <w:r>
        <w:rPr>
          <w:rFonts w:eastAsia="Calibri"/>
        </w:rPr>
        <w:t xml:space="preserve">Vilnius: Teisės institutas, 2012, p. 44-83.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Bilius, M. Etikos vaidmuo privačioje detektyvinėje veikloje. </w:t>
      </w:r>
      <w:r w:rsidRPr="00F92FE6">
        <w:rPr>
          <w:rFonts w:eastAsia="Calibri"/>
          <w:i/>
        </w:rPr>
        <w:t>2011 m. rugsėjo 30 d.</w:t>
      </w:r>
      <w:r>
        <w:rPr>
          <w:rFonts w:eastAsia="Calibri"/>
          <w:i/>
        </w:rPr>
        <w:t xml:space="preserve"> p</w:t>
      </w:r>
      <w:r w:rsidRPr="003D05F7">
        <w:rPr>
          <w:rFonts w:eastAsia="Calibri"/>
          <w:i/>
        </w:rPr>
        <w:t>ranešimas tarptautinėje mokslinėje konferencijoje „Globalizacijos įtaka teisei: besikeičia</w:t>
      </w:r>
      <w:r>
        <w:rPr>
          <w:rFonts w:eastAsia="Calibri"/>
          <w:i/>
        </w:rPr>
        <w:t>ntis teisininkų etikos vaidmuo“.</w:t>
      </w:r>
      <w:r w:rsidRPr="003D05F7">
        <w:rPr>
          <w:rFonts w:eastAsia="Calibri"/>
        </w:rPr>
        <w:t xml:space="preserve"> </w:t>
      </w:r>
      <w:r>
        <w:rPr>
          <w:rFonts w:eastAsia="Calibri"/>
        </w:rPr>
        <w:t>Kaunas: Vytauto Didžiojo universitetas,</w:t>
      </w:r>
      <w:r w:rsidRPr="003D05F7">
        <w:rPr>
          <w:rFonts w:eastAsia="Calibri"/>
        </w:rPr>
        <w:t xml:space="preserve"> 2011. </w:t>
      </w:r>
    </w:p>
    <w:p w:rsidR="00FD0AEF" w:rsidRPr="003D05F7" w:rsidRDefault="00FD0AEF" w:rsidP="00FD0AEF">
      <w:pPr>
        <w:pStyle w:val="Sraopastraipa"/>
        <w:numPr>
          <w:ilvl w:val="0"/>
          <w:numId w:val="33"/>
        </w:numPr>
        <w:spacing w:line="240" w:lineRule="auto"/>
        <w:rPr>
          <w:rFonts w:eastAsia="Calibri"/>
        </w:rPr>
      </w:pPr>
      <w:r w:rsidRPr="003D05F7">
        <w:lastRenderedPageBreak/>
        <w:t xml:space="preserve">Bilius, M. </w:t>
      </w:r>
      <w:r w:rsidRPr="003D05F7">
        <w:rPr>
          <w:i/>
        </w:rPr>
        <w:t>Privačios detektyvinės veiklos teisinio reglamentavimo Lietuvoje problematika</w:t>
      </w:r>
      <w:r w:rsidRPr="003D05F7">
        <w:t>. Daktaro d</w:t>
      </w:r>
      <w:r>
        <w:t>isertacija. Socialiniai mokslai</w:t>
      </w:r>
      <w:r w:rsidRPr="003D05F7">
        <w:t xml:space="preserve"> </w:t>
      </w:r>
      <w:r>
        <w:t>(</w:t>
      </w:r>
      <w:r w:rsidRPr="003D05F7">
        <w:t>teisė). Kaunas</w:t>
      </w:r>
      <w:r>
        <w:t>: Vytauto Didžiojo universitetas</w:t>
      </w:r>
      <w:r w:rsidRPr="003D05F7">
        <w:t xml:space="preserve">, 2013. </w:t>
      </w:r>
    </w:p>
    <w:p w:rsidR="00FD0AEF" w:rsidRDefault="00FD0AEF" w:rsidP="00FD0AEF">
      <w:pPr>
        <w:pStyle w:val="Sraopastraipa"/>
        <w:numPr>
          <w:ilvl w:val="0"/>
          <w:numId w:val="33"/>
        </w:numPr>
        <w:spacing w:line="240" w:lineRule="auto"/>
        <w:rPr>
          <w:rFonts w:eastAsia="Calibri"/>
        </w:rPr>
      </w:pPr>
      <w:r w:rsidRPr="006D6377">
        <w:rPr>
          <w:rFonts w:eastAsia="Calibri"/>
        </w:rPr>
        <w:t xml:space="preserve">Bilius, M. Privačių detektyvinių paslaugų naudojimo galimybės siekiant asmens teisių ir teisėtų interesų apsaugos. </w:t>
      </w:r>
      <w:r>
        <w:rPr>
          <w:rFonts w:eastAsia="Calibri"/>
        </w:rPr>
        <w:t xml:space="preserve">In </w:t>
      </w:r>
      <w:r w:rsidRPr="006D6377">
        <w:rPr>
          <w:rFonts w:eastAsia="Calibri"/>
          <w:i/>
        </w:rPr>
        <w:t xml:space="preserve">Viešosios </w:t>
      </w:r>
      <w:r>
        <w:rPr>
          <w:rFonts w:eastAsia="Calibri"/>
          <w:i/>
        </w:rPr>
        <w:t>t</w:t>
      </w:r>
      <w:r w:rsidRPr="006D6377">
        <w:rPr>
          <w:rFonts w:eastAsia="Calibri"/>
          <w:i/>
        </w:rPr>
        <w:t xml:space="preserve">eisės </w:t>
      </w:r>
      <w:r>
        <w:rPr>
          <w:rFonts w:eastAsia="Calibri"/>
          <w:i/>
        </w:rPr>
        <w:t>r</w:t>
      </w:r>
      <w:r w:rsidRPr="006D6377">
        <w:rPr>
          <w:rFonts w:eastAsia="Calibri"/>
          <w:i/>
        </w:rPr>
        <w:t xml:space="preserve">aida: </w:t>
      </w:r>
      <w:r>
        <w:rPr>
          <w:rFonts w:eastAsia="Calibri"/>
          <w:i/>
        </w:rPr>
        <w:t>d</w:t>
      </w:r>
      <w:r w:rsidRPr="006D6377">
        <w:rPr>
          <w:rFonts w:eastAsia="Calibri"/>
          <w:i/>
        </w:rPr>
        <w:t xml:space="preserve">e </w:t>
      </w:r>
      <w:r>
        <w:rPr>
          <w:rFonts w:eastAsia="Calibri"/>
          <w:i/>
        </w:rPr>
        <w:t>j</w:t>
      </w:r>
      <w:r w:rsidRPr="006D6377">
        <w:rPr>
          <w:rFonts w:eastAsia="Calibri"/>
          <w:i/>
        </w:rPr>
        <w:t xml:space="preserve">ure </w:t>
      </w:r>
      <w:r>
        <w:rPr>
          <w:rFonts w:eastAsia="Calibri"/>
          <w:i/>
        </w:rPr>
        <w:t>i</w:t>
      </w:r>
      <w:r w:rsidRPr="006D6377">
        <w:rPr>
          <w:rFonts w:eastAsia="Calibri"/>
          <w:i/>
        </w:rPr>
        <w:t xml:space="preserve">r </w:t>
      </w:r>
      <w:r>
        <w:rPr>
          <w:rFonts w:eastAsia="Calibri"/>
          <w:i/>
        </w:rPr>
        <w:t>de f</w:t>
      </w:r>
      <w:r w:rsidRPr="006D6377">
        <w:rPr>
          <w:rFonts w:eastAsia="Calibri"/>
          <w:i/>
        </w:rPr>
        <w:t xml:space="preserve">acto </w:t>
      </w:r>
      <w:r>
        <w:rPr>
          <w:rFonts w:eastAsia="Calibri"/>
          <w:i/>
        </w:rPr>
        <w:t>p</w:t>
      </w:r>
      <w:r w:rsidRPr="006D6377">
        <w:rPr>
          <w:rFonts w:eastAsia="Calibri"/>
          <w:i/>
        </w:rPr>
        <w:t>roblematika.</w:t>
      </w:r>
      <w:r w:rsidRPr="006D6377">
        <w:rPr>
          <w:rFonts w:eastAsia="Calibri"/>
        </w:rPr>
        <w:t xml:space="preserve"> </w:t>
      </w:r>
      <w:r>
        <w:rPr>
          <w:rFonts w:eastAsia="Calibri"/>
        </w:rPr>
        <w:t xml:space="preserve">(Red. </w:t>
      </w:r>
      <w:r w:rsidRPr="006D6377">
        <w:rPr>
          <w:rFonts w:eastAsia="Calibri"/>
        </w:rPr>
        <w:t>Mesonis, G.</w:t>
      </w:r>
      <w:r>
        <w:rPr>
          <w:rFonts w:eastAsia="Calibri"/>
        </w:rPr>
        <w:t>,</w:t>
      </w:r>
      <w:r w:rsidRPr="006D6377">
        <w:rPr>
          <w:rFonts w:eastAsia="Calibri"/>
        </w:rPr>
        <w:t xml:space="preserve"> </w:t>
      </w:r>
      <w:r w:rsidRPr="00AF330B">
        <w:rPr>
          <w:rFonts w:eastAsia="Calibri"/>
          <w:i/>
        </w:rPr>
        <w:t>et al</w:t>
      </w:r>
      <w:r w:rsidRPr="006D6377">
        <w:rPr>
          <w:rFonts w:eastAsia="Calibri"/>
        </w:rPr>
        <w:t>.)</w:t>
      </w:r>
      <w:r>
        <w:rPr>
          <w:rFonts w:eastAsia="Calibri"/>
        </w:rPr>
        <w:t>.</w:t>
      </w:r>
      <w:r w:rsidRPr="006D6377">
        <w:rPr>
          <w:rFonts w:eastAsia="Calibri"/>
        </w:rPr>
        <w:t xml:space="preserve"> </w:t>
      </w:r>
      <w:r>
        <w:rPr>
          <w:rFonts w:eastAsia="Calibri"/>
        </w:rPr>
        <w:t xml:space="preserve">MES, </w:t>
      </w:r>
      <w:r w:rsidRPr="006D6377">
        <w:rPr>
          <w:rFonts w:eastAsia="Calibri"/>
        </w:rPr>
        <w:t>2013</w:t>
      </w:r>
      <w:r>
        <w:rPr>
          <w:rFonts w:eastAsia="Calibri"/>
        </w:rPr>
        <w:t>, p.</w:t>
      </w:r>
      <w:r w:rsidRPr="006D6377">
        <w:rPr>
          <w:rFonts w:eastAsia="Calibri"/>
        </w:rPr>
        <w:t xml:space="preserve"> 110-125</w:t>
      </w:r>
      <w:r>
        <w:rPr>
          <w:rFonts w:eastAsia="Calibri"/>
        </w:rPr>
        <w:t>.</w:t>
      </w:r>
    </w:p>
    <w:p w:rsidR="00FD0AEF" w:rsidRPr="006D6377" w:rsidRDefault="00FD0AEF" w:rsidP="00FD0AEF">
      <w:pPr>
        <w:pStyle w:val="Sraopastraipa"/>
        <w:numPr>
          <w:ilvl w:val="0"/>
          <w:numId w:val="33"/>
        </w:numPr>
        <w:spacing w:line="240" w:lineRule="auto"/>
        <w:rPr>
          <w:rFonts w:eastAsia="Calibri"/>
        </w:rPr>
      </w:pPr>
      <w:r w:rsidRPr="006D6377">
        <w:rPr>
          <w:rFonts w:eastAsia="Calibri"/>
        </w:rPr>
        <w:t xml:space="preserve">Bilius, M., Kuzminovas, M. Privačių subjektų surinktų duomenų naudojimas Lietuvos baudžiamajame procese. In Prapiestis, J., </w:t>
      </w:r>
      <w:r w:rsidRPr="00F41F05">
        <w:rPr>
          <w:rFonts w:eastAsia="Calibri"/>
          <w:i/>
        </w:rPr>
        <w:t>et al</w:t>
      </w:r>
      <w:r w:rsidRPr="006D6377">
        <w:rPr>
          <w:rFonts w:eastAsia="Calibri"/>
        </w:rPr>
        <w:t xml:space="preserve">. </w:t>
      </w:r>
      <w:r w:rsidRPr="006D6377">
        <w:rPr>
          <w:rFonts w:eastAsia="Calibri"/>
          <w:i/>
        </w:rPr>
        <w:t>Globalizacijos iššūkiai baudžiamajai justicijai: recenzuotų mokslinių straipsnių baudžiamosios teisės, bausmių vykdymo ir baudžiamojo proceso klausimais rinkinys</w:t>
      </w:r>
      <w:r w:rsidRPr="006D6377">
        <w:rPr>
          <w:rFonts w:eastAsia="Calibri"/>
        </w:rPr>
        <w:t xml:space="preserve">. Vilnius: </w:t>
      </w:r>
      <w:r>
        <w:rPr>
          <w:rFonts w:eastAsia="Calibri"/>
        </w:rPr>
        <w:t xml:space="preserve">VĮ </w:t>
      </w:r>
      <w:r w:rsidRPr="006D6377">
        <w:rPr>
          <w:rFonts w:eastAsia="Calibri"/>
        </w:rPr>
        <w:t>Registrų centras, 2014</w:t>
      </w:r>
      <w:r>
        <w:rPr>
          <w:rFonts w:eastAsia="Calibri"/>
        </w:rPr>
        <w:t>, p.</w:t>
      </w:r>
      <w:r w:rsidRPr="006D6377">
        <w:rPr>
          <w:rFonts w:eastAsia="Calibri"/>
        </w:rPr>
        <w:t xml:space="preserve"> 397-412.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Birmontienė, T. </w:t>
      </w:r>
      <w:r w:rsidRPr="006378DA">
        <w:rPr>
          <w:rFonts w:eastAsia="Calibri"/>
        </w:rPr>
        <w:t>Šiuolaikinės žmogaus teisių konstitucinės doktrinos</w:t>
      </w:r>
      <w:r>
        <w:rPr>
          <w:rFonts w:eastAsia="Calibri"/>
        </w:rPr>
        <w:t xml:space="preserve"> tendencijos. </w:t>
      </w:r>
      <w:r w:rsidRPr="006378DA">
        <w:rPr>
          <w:rFonts w:eastAsia="Calibri"/>
          <w:i/>
        </w:rPr>
        <w:t>Konstitucinė jurisprudencija</w:t>
      </w:r>
      <w:r>
        <w:rPr>
          <w:rFonts w:eastAsia="Calibri"/>
        </w:rPr>
        <w:t>. 2007, 1 (5): 202-240.</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Burda, R. Profesoriaus Eugenijaus Palskio požiūris į įrodymų sampratą. </w:t>
      </w:r>
      <w:r w:rsidRPr="003D05F7">
        <w:rPr>
          <w:rFonts w:eastAsia="Calibri"/>
          <w:i/>
        </w:rPr>
        <w:t>Jurisprudencija</w:t>
      </w:r>
      <w:r>
        <w:rPr>
          <w:rFonts w:eastAsia="Calibri"/>
        </w:rPr>
        <w:t>.</w:t>
      </w:r>
      <w:r w:rsidRPr="003D05F7">
        <w:rPr>
          <w:rFonts w:eastAsia="Calibri"/>
        </w:rPr>
        <w:t xml:space="preserve"> 2005, 75</w:t>
      </w:r>
      <w:r>
        <w:rPr>
          <w:rFonts w:eastAsia="Calibri"/>
        </w:rPr>
        <w:t xml:space="preserve"> </w:t>
      </w:r>
      <w:r w:rsidRPr="003D05F7">
        <w:rPr>
          <w:rFonts w:eastAsia="Calibri"/>
        </w:rPr>
        <w:t xml:space="preserve">(67): 16-22.  </w:t>
      </w:r>
    </w:p>
    <w:p w:rsidR="00FD0AEF" w:rsidRPr="003D05F7" w:rsidRDefault="00FD0AEF" w:rsidP="00FD0AEF">
      <w:pPr>
        <w:pStyle w:val="Puslapioinaostekstas"/>
        <w:numPr>
          <w:ilvl w:val="0"/>
          <w:numId w:val="33"/>
        </w:numPr>
        <w:jc w:val="both"/>
        <w:rPr>
          <w:sz w:val="24"/>
        </w:rPr>
      </w:pPr>
      <w:r w:rsidRPr="003D05F7">
        <w:rPr>
          <w:sz w:val="24"/>
        </w:rPr>
        <w:t>Canstein, K. F</w:t>
      </w:r>
      <w:r>
        <w:rPr>
          <w:sz w:val="24"/>
        </w:rPr>
        <w:t>.</w:t>
      </w:r>
      <w:r w:rsidRPr="003D05F7">
        <w:rPr>
          <w:sz w:val="24"/>
        </w:rPr>
        <w:t xml:space="preserve"> </w:t>
      </w:r>
      <w:r w:rsidRPr="003D05F7">
        <w:rPr>
          <w:i/>
          <w:sz w:val="24"/>
        </w:rPr>
        <w:t xml:space="preserve">Anerkennung und Gestandniss im Allgemeinen und nach der deutschen. </w:t>
      </w:r>
      <w:r>
        <w:rPr>
          <w:i/>
          <w:sz w:val="24"/>
        </w:rPr>
        <w:t>C</w:t>
      </w:r>
      <w:r w:rsidRPr="003D05F7">
        <w:rPr>
          <w:i/>
          <w:sz w:val="24"/>
        </w:rPr>
        <w:t>ivilprozessordnung</w:t>
      </w:r>
      <w:r w:rsidRPr="003D05F7">
        <w:rPr>
          <w:sz w:val="24"/>
        </w:rPr>
        <w:t xml:space="preserve">. Berlin, 1879. </w:t>
      </w:r>
    </w:p>
    <w:p w:rsidR="00FD0AEF" w:rsidRPr="003D05F7" w:rsidRDefault="00FD0AEF" w:rsidP="00FD0AEF">
      <w:pPr>
        <w:pStyle w:val="Puslapioinaostekstas"/>
        <w:numPr>
          <w:ilvl w:val="0"/>
          <w:numId w:val="33"/>
        </w:numPr>
        <w:jc w:val="both"/>
        <w:rPr>
          <w:sz w:val="24"/>
        </w:rPr>
      </w:pPr>
      <w:r w:rsidRPr="003D05F7">
        <w:rPr>
          <w:sz w:val="24"/>
        </w:rPr>
        <w:t>Canstein, K. F</w:t>
      </w:r>
      <w:r>
        <w:rPr>
          <w:sz w:val="24"/>
        </w:rPr>
        <w:t>.</w:t>
      </w:r>
      <w:r w:rsidRPr="003D05F7">
        <w:rPr>
          <w:sz w:val="24"/>
        </w:rPr>
        <w:t xml:space="preserve"> </w:t>
      </w:r>
      <w:r w:rsidRPr="003D05F7">
        <w:rPr>
          <w:i/>
          <w:sz w:val="24"/>
        </w:rPr>
        <w:t>Die rationallen Grundlagen des Civilprozesses</w:t>
      </w:r>
      <w:r w:rsidRPr="003D05F7">
        <w:rPr>
          <w:sz w:val="24"/>
        </w:rPr>
        <w:t>. Berlin, 1877.</w:t>
      </w:r>
    </w:p>
    <w:p w:rsidR="00FD0AEF" w:rsidRPr="003D05F7" w:rsidRDefault="00FD0AEF" w:rsidP="00FD0AEF">
      <w:pPr>
        <w:pStyle w:val="Puslapioinaostekstas"/>
        <w:numPr>
          <w:ilvl w:val="0"/>
          <w:numId w:val="33"/>
        </w:numPr>
        <w:jc w:val="both"/>
        <w:rPr>
          <w:sz w:val="24"/>
        </w:rPr>
      </w:pPr>
      <w:r w:rsidRPr="003D05F7">
        <w:rPr>
          <w:sz w:val="24"/>
        </w:rPr>
        <w:t>Canstein, K. F</w:t>
      </w:r>
      <w:r>
        <w:rPr>
          <w:sz w:val="24"/>
        </w:rPr>
        <w:t>.</w:t>
      </w:r>
      <w:r w:rsidRPr="003D05F7">
        <w:rPr>
          <w:sz w:val="24"/>
        </w:rPr>
        <w:t xml:space="preserve"> </w:t>
      </w:r>
      <w:r w:rsidRPr="003D05F7">
        <w:rPr>
          <w:i/>
          <w:sz w:val="24"/>
        </w:rPr>
        <w:t>Lehrbuch der Geschichte und Theorie des österreichischen Civilprozessrechts</w:t>
      </w:r>
      <w:r w:rsidRPr="003D05F7">
        <w:rPr>
          <w:sz w:val="24"/>
        </w:rPr>
        <w:t>. Berlin, 1880-1882.</w:t>
      </w:r>
    </w:p>
    <w:p w:rsidR="00FD0AEF" w:rsidRPr="003D05F7" w:rsidRDefault="00FD0AEF" w:rsidP="00FD0AEF">
      <w:pPr>
        <w:pStyle w:val="Puslapioinaostekstas"/>
        <w:numPr>
          <w:ilvl w:val="0"/>
          <w:numId w:val="33"/>
        </w:numPr>
        <w:jc w:val="both"/>
        <w:rPr>
          <w:sz w:val="24"/>
        </w:rPr>
      </w:pPr>
      <w:r w:rsidRPr="003D05F7">
        <w:rPr>
          <w:sz w:val="24"/>
        </w:rPr>
        <w:t xml:space="preserve">Chelcov-Bebutov, M. A. </w:t>
      </w:r>
      <w:r w:rsidRPr="003D05F7">
        <w:rPr>
          <w:i/>
          <w:sz w:val="24"/>
        </w:rPr>
        <w:t>Kurs ugolovnogo processa</w:t>
      </w:r>
      <w:r w:rsidRPr="003D05F7">
        <w:rPr>
          <w:sz w:val="24"/>
        </w:rPr>
        <w:t xml:space="preserve">. </w:t>
      </w:r>
      <w:r w:rsidRPr="003D05F7">
        <w:rPr>
          <w:i/>
          <w:sz w:val="24"/>
        </w:rPr>
        <w:t>Ocherki po istorii suda i ugolovnogo processa v rabovladelcheski</w:t>
      </w:r>
      <w:r>
        <w:rPr>
          <w:i/>
          <w:sz w:val="24"/>
        </w:rPr>
        <w:t>kh, feodal</w:t>
      </w:r>
      <w:r w:rsidRPr="003D05F7">
        <w:rPr>
          <w:i/>
          <w:sz w:val="24"/>
        </w:rPr>
        <w:t>ny</w:t>
      </w:r>
      <w:r>
        <w:rPr>
          <w:i/>
          <w:sz w:val="24"/>
        </w:rPr>
        <w:t>k</w:t>
      </w:r>
      <w:r w:rsidRPr="003D05F7">
        <w:rPr>
          <w:i/>
          <w:sz w:val="24"/>
        </w:rPr>
        <w:t>h i burzhuazny</w:t>
      </w:r>
      <w:r>
        <w:rPr>
          <w:i/>
          <w:sz w:val="24"/>
        </w:rPr>
        <w:t>k</w:t>
      </w:r>
      <w:r w:rsidRPr="003D05F7">
        <w:rPr>
          <w:i/>
          <w:sz w:val="24"/>
        </w:rPr>
        <w:t>h gosudarstva</w:t>
      </w:r>
      <w:r>
        <w:rPr>
          <w:i/>
          <w:sz w:val="24"/>
        </w:rPr>
        <w:t>k</w:t>
      </w:r>
      <w:r w:rsidRPr="003D05F7">
        <w:rPr>
          <w:i/>
          <w:sz w:val="24"/>
        </w:rPr>
        <w:t>h.</w:t>
      </w:r>
      <w:r w:rsidRPr="003D05F7">
        <w:rPr>
          <w:sz w:val="24"/>
        </w:rPr>
        <w:t xml:space="preserve"> [The Course of Criminal Procedure. Essays on the History of the Court and Criminal Proceedings in Slave, Feudal and Bourgeois States]. Sankt Peterburg: Ravena: Alfa, 1995.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Chiavario, M. Private Parties: the Rights of the Defendant and the Victim. In Delmas-Marty, M., Spencer. J. R. </w:t>
      </w:r>
      <w:r w:rsidRPr="003D05F7">
        <w:rPr>
          <w:rFonts w:eastAsia="Calibri"/>
          <w:i/>
        </w:rPr>
        <w:t>European criminal procedures</w:t>
      </w:r>
      <w:r w:rsidRPr="003D05F7">
        <w:rPr>
          <w:rFonts w:eastAsia="Calibri"/>
        </w:rPr>
        <w:t>. Cambridge: Cambridge University Press, 2006</w:t>
      </w:r>
      <w:r>
        <w:rPr>
          <w:rFonts w:eastAsia="Calibri"/>
        </w:rPr>
        <w:t>, p.</w:t>
      </w:r>
      <w:r w:rsidRPr="003D05F7">
        <w:rPr>
          <w:rFonts w:eastAsia="Calibri"/>
        </w:rPr>
        <w:t xml:space="preserve"> 541-593.</w:t>
      </w:r>
      <w:r>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Christie, N. Conflicts as Property. </w:t>
      </w:r>
      <w:r w:rsidRPr="003D05F7">
        <w:rPr>
          <w:rFonts w:eastAsia="Calibri"/>
          <w:i/>
        </w:rPr>
        <w:t>The British Journal of Criminology</w:t>
      </w:r>
      <w:r>
        <w:rPr>
          <w:rFonts w:eastAsia="Calibri"/>
          <w:i/>
        </w:rPr>
        <w:t>.</w:t>
      </w:r>
      <w:r w:rsidRPr="003D05F7">
        <w:rPr>
          <w:rFonts w:eastAsia="Calibri"/>
        </w:rPr>
        <w:t xml:space="preserve"> </w:t>
      </w:r>
      <w:r>
        <w:rPr>
          <w:rFonts w:eastAsia="Calibri"/>
        </w:rPr>
        <w:t xml:space="preserve">1977, </w:t>
      </w:r>
      <w:r w:rsidRPr="003D05F7">
        <w:rPr>
          <w:rFonts w:eastAsia="Calibri"/>
        </w:rPr>
        <w:t xml:space="preserve">17 (1): 1-15.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Christie, N. The Ideal Victim</w:t>
      </w:r>
      <w:r>
        <w:rPr>
          <w:rFonts w:eastAsia="Calibri"/>
        </w:rPr>
        <w:t>.</w:t>
      </w:r>
      <w:r w:rsidRPr="003D05F7">
        <w:rPr>
          <w:rFonts w:eastAsia="Calibri"/>
        </w:rPr>
        <w:t xml:space="preserve"> </w:t>
      </w:r>
      <w:r>
        <w:rPr>
          <w:rFonts w:eastAsia="Calibri"/>
        </w:rPr>
        <w:t>I</w:t>
      </w:r>
      <w:r w:rsidRPr="003D05F7">
        <w:rPr>
          <w:rFonts w:eastAsia="Calibri"/>
        </w:rPr>
        <w:t xml:space="preserve">n </w:t>
      </w:r>
      <w:r w:rsidRPr="003D05F7">
        <w:rPr>
          <w:rFonts w:eastAsia="Calibri"/>
          <w:i/>
          <w:iCs/>
        </w:rPr>
        <w:t>From Crime Policy to Victim Policy: Reorienting the Justice System</w:t>
      </w:r>
      <w:r w:rsidRPr="003D05F7">
        <w:rPr>
          <w:rFonts w:eastAsia="Calibri"/>
        </w:rPr>
        <w:t xml:space="preserve">. </w:t>
      </w:r>
      <w:r>
        <w:rPr>
          <w:rFonts w:eastAsia="Calibri"/>
        </w:rPr>
        <w:t xml:space="preserve">(Red. </w:t>
      </w:r>
      <w:r w:rsidRPr="003D05F7">
        <w:rPr>
          <w:rFonts w:eastAsia="Calibri"/>
        </w:rPr>
        <w:t>Fattah</w:t>
      </w:r>
      <w:r>
        <w:rPr>
          <w:rFonts w:eastAsia="Calibri"/>
        </w:rPr>
        <w:t>,</w:t>
      </w:r>
      <w:r w:rsidRPr="003D05F7">
        <w:rPr>
          <w:rFonts w:eastAsia="Calibri"/>
        </w:rPr>
        <w:t xml:space="preserve"> E.</w:t>
      </w:r>
      <w:r>
        <w:rPr>
          <w:rFonts w:eastAsia="Calibri"/>
        </w:rPr>
        <w:t xml:space="preserve"> A.</w:t>
      </w:r>
      <w:r w:rsidRPr="003D05F7">
        <w:rPr>
          <w:rFonts w:eastAsia="Calibri"/>
        </w:rPr>
        <w:t>)</w:t>
      </w:r>
      <w:r>
        <w:rPr>
          <w:rFonts w:eastAsia="Calibri"/>
        </w:rPr>
        <w:t>.</w:t>
      </w:r>
      <w:r w:rsidRPr="003D05F7">
        <w:rPr>
          <w:rFonts w:eastAsia="Calibri"/>
        </w:rPr>
        <w:t xml:space="preserve"> </w:t>
      </w:r>
      <w:r>
        <w:rPr>
          <w:rFonts w:eastAsia="Calibri"/>
        </w:rPr>
        <w:t>London</w:t>
      </w:r>
      <w:r w:rsidRPr="003D05F7">
        <w:rPr>
          <w:rFonts w:eastAsia="Calibri"/>
        </w:rPr>
        <w:t>: Macmillan</w:t>
      </w:r>
      <w:r>
        <w:rPr>
          <w:rFonts w:eastAsia="Calibri"/>
        </w:rPr>
        <w:t>,</w:t>
      </w:r>
      <w:r w:rsidRPr="003D05F7">
        <w:rPr>
          <w:rFonts w:eastAsia="Calibri"/>
        </w:rPr>
        <w:t xml:space="preserve"> 1986</w:t>
      </w:r>
      <w:r>
        <w:rPr>
          <w:rFonts w:eastAsia="Calibri"/>
        </w:rPr>
        <w:t>: 17-30</w:t>
      </w:r>
      <w:r w:rsidRPr="003D05F7">
        <w:rPr>
          <w:rFonts w:eastAsia="Calibri"/>
        </w:rPr>
        <w:t>.</w:t>
      </w:r>
      <w:r>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Ciceronas, M</w:t>
      </w:r>
      <w:r>
        <w:rPr>
          <w:rFonts w:eastAsia="Calibri"/>
        </w:rPr>
        <w:t>.</w:t>
      </w:r>
      <w:r w:rsidRPr="003D05F7">
        <w:rPr>
          <w:rFonts w:eastAsia="Calibri"/>
        </w:rPr>
        <w:t xml:space="preserve"> T</w:t>
      </w:r>
      <w:r>
        <w:rPr>
          <w:rFonts w:eastAsia="Calibri"/>
        </w:rPr>
        <w:t>.</w:t>
      </w:r>
      <w:r w:rsidRPr="003D05F7">
        <w:rPr>
          <w:rFonts w:eastAsia="Calibri"/>
        </w:rPr>
        <w:t xml:space="preserve"> </w:t>
      </w:r>
      <w:r w:rsidRPr="003D05F7">
        <w:rPr>
          <w:rFonts w:eastAsia="Calibri"/>
          <w:i/>
        </w:rPr>
        <w:t>Kalbos</w:t>
      </w:r>
      <w:r w:rsidRPr="003D05F7">
        <w:rPr>
          <w:rFonts w:eastAsia="Calibri"/>
        </w:rPr>
        <w:t>. Vilnius: Pradai, 1997.</w:t>
      </w:r>
      <w:r>
        <w:rPr>
          <w:rFonts w:eastAsia="Calibri"/>
        </w:rPr>
        <w:t xml:space="preserve"> </w:t>
      </w:r>
    </w:p>
    <w:p w:rsidR="00FD0AEF" w:rsidRPr="003D05F7" w:rsidRDefault="00FD0AEF" w:rsidP="00FD0AEF">
      <w:pPr>
        <w:pStyle w:val="Sraopastraipa"/>
        <w:numPr>
          <w:ilvl w:val="0"/>
          <w:numId w:val="33"/>
        </w:numPr>
        <w:autoSpaceDE w:val="0"/>
        <w:autoSpaceDN w:val="0"/>
        <w:adjustRightInd w:val="0"/>
        <w:spacing w:line="240" w:lineRule="auto"/>
        <w:rPr>
          <w:rFonts w:eastAsia="Calibri"/>
        </w:rPr>
      </w:pPr>
      <w:r w:rsidRPr="003D05F7">
        <w:rPr>
          <w:rFonts w:eastAsia="Calibri"/>
        </w:rPr>
        <w:t xml:space="preserve">Cirtautienė, S. Juridinio asmens teisės </w:t>
      </w:r>
      <w:r w:rsidRPr="003D05F7">
        <w:rPr>
          <w:rFonts w:eastAsia="TimesNewRoman"/>
        </w:rPr>
        <w:t xml:space="preserve">į </w:t>
      </w:r>
      <w:r w:rsidRPr="003D05F7">
        <w:rPr>
          <w:rFonts w:eastAsia="Calibri"/>
        </w:rPr>
        <w:t>neturtinės žalos atlyginim</w:t>
      </w:r>
      <w:r w:rsidRPr="003D05F7">
        <w:rPr>
          <w:rFonts w:eastAsia="TimesNewRoman"/>
        </w:rPr>
        <w:t xml:space="preserve">ą </w:t>
      </w:r>
      <w:r w:rsidRPr="003D05F7">
        <w:rPr>
          <w:rFonts w:eastAsia="Calibri"/>
        </w:rPr>
        <w:t xml:space="preserve">kitimo tendencijos civilinės teisės derinimo kontekstu. In </w:t>
      </w:r>
      <w:r w:rsidRPr="003D05F7">
        <w:rPr>
          <w:rFonts w:eastAsia="Calibri"/>
          <w:i/>
          <w:iCs/>
        </w:rPr>
        <w:t xml:space="preserve">Šiuolaikinės civilinės teisės raidos tendencijos ir perspektyvos. </w:t>
      </w:r>
      <w:r w:rsidRPr="004F33A0">
        <w:rPr>
          <w:rFonts w:eastAsia="Calibri"/>
          <w:i/>
        </w:rPr>
        <w:t>Mokslini</w:t>
      </w:r>
      <w:r w:rsidRPr="004F33A0">
        <w:rPr>
          <w:rFonts w:eastAsia="TimesNewRoman"/>
          <w:i/>
        </w:rPr>
        <w:t xml:space="preserve">ų </w:t>
      </w:r>
      <w:r w:rsidRPr="004F33A0">
        <w:rPr>
          <w:rFonts w:eastAsia="Calibri"/>
          <w:i/>
        </w:rPr>
        <w:t>straipsni</w:t>
      </w:r>
      <w:r w:rsidRPr="004F33A0">
        <w:rPr>
          <w:rFonts w:eastAsia="TimesNewRoman"/>
          <w:i/>
        </w:rPr>
        <w:t xml:space="preserve">ų </w:t>
      </w:r>
      <w:r w:rsidRPr="004F33A0">
        <w:rPr>
          <w:rFonts w:eastAsia="Calibri"/>
          <w:i/>
        </w:rPr>
        <w:t>rinkinys</w:t>
      </w:r>
      <w:r>
        <w:rPr>
          <w:rFonts w:eastAsia="Calibri"/>
        </w:rPr>
        <w:t>. (R</w:t>
      </w:r>
      <w:r w:rsidRPr="003D05F7">
        <w:rPr>
          <w:rFonts w:eastAsia="Calibri"/>
        </w:rPr>
        <w:t>ed. Mizaras</w:t>
      </w:r>
      <w:r>
        <w:rPr>
          <w:rFonts w:eastAsia="Calibri"/>
        </w:rPr>
        <w:t>, V.).</w:t>
      </w:r>
      <w:r w:rsidRPr="003D05F7">
        <w:rPr>
          <w:rFonts w:eastAsia="Calibri"/>
        </w:rPr>
        <w:t xml:space="preserve"> Vilnius, 2007</w:t>
      </w:r>
      <w:r>
        <w:rPr>
          <w:rFonts w:eastAsia="Calibri"/>
        </w:rPr>
        <w:t xml:space="preserve">, p. </w:t>
      </w:r>
      <w:r w:rsidRPr="003D05F7">
        <w:rPr>
          <w:rFonts w:eastAsia="Calibri"/>
        </w:rPr>
        <w:t xml:space="preserve">22-38.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Cirtautienė, S. </w:t>
      </w:r>
      <w:r w:rsidRPr="003D05F7">
        <w:rPr>
          <w:rFonts w:eastAsia="Calibri"/>
          <w:i/>
        </w:rPr>
        <w:t>Neturtinės žalos atlyginimas kaip civilinių teisių gynimo būdas.</w:t>
      </w:r>
      <w:r w:rsidRPr="003D05F7">
        <w:rPr>
          <w:rFonts w:eastAsia="Calibri"/>
        </w:rPr>
        <w:t xml:space="preserve"> Vilnius: Justitia, 2008. </w:t>
      </w:r>
    </w:p>
    <w:p w:rsidR="00FD0AEF" w:rsidRPr="003D05F7" w:rsidRDefault="00FD0AEF" w:rsidP="00FD0AEF">
      <w:pPr>
        <w:pStyle w:val="Sraopastraipa"/>
        <w:numPr>
          <w:ilvl w:val="0"/>
          <w:numId w:val="33"/>
        </w:numPr>
        <w:autoSpaceDE w:val="0"/>
        <w:autoSpaceDN w:val="0"/>
        <w:adjustRightInd w:val="0"/>
        <w:spacing w:line="240" w:lineRule="auto"/>
        <w:rPr>
          <w:rFonts w:eastAsia="Calibri"/>
        </w:rPr>
      </w:pPr>
      <w:r w:rsidRPr="003D05F7">
        <w:rPr>
          <w:rFonts w:eastAsia="Calibri"/>
        </w:rPr>
        <w:t>Cirtautienė, S. Neturtinės žalos atlyginimo tretiesiems asmenims galimyb</w:t>
      </w:r>
      <w:r w:rsidRPr="003D05F7">
        <w:rPr>
          <w:rFonts w:eastAsia="TimesNewRoman"/>
        </w:rPr>
        <w:t>ė</w:t>
      </w:r>
      <w:r w:rsidRPr="003D05F7">
        <w:rPr>
          <w:rFonts w:eastAsia="Calibri"/>
        </w:rPr>
        <w:t>s sveikatos sužalojimo ir gyvyb</w:t>
      </w:r>
      <w:r w:rsidRPr="003D05F7">
        <w:rPr>
          <w:rFonts w:eastAsia="TimesNewRoman"/>
        </w:rPr>
        <w:t>ė</w:t>
      </w:r>
      <w:r w:rsidRPr="003D05F7">
        <w:rPr>
          <w:rFonts w:eastAsia="Calibri"/>
        </w:rPr>
        <w:t>s at</w:t>
      </w:r>
      <w:r w:rsidRPr="003D05F7">
        <w:rPr>
          <w:rFonts w:eastAsia="TimesNewRoman"/>
        </w:rPr>
        <w:t>ė</w:t>
      </w:r>
      <w:r w:rsidRPr="003D05F7">
        <w:rPr>
          <w:rFonts w:eastAsia="Calibri"/>
        </w:rPr>
        <w:t xml:space="preserve">mimo atveju. </w:t>
      </w:r>
      <w:r>
        <w:rPr>
          <w:rFonts w:eastAsia="Calibri"/>
          <w:i/>
          <w:iCs/>
        </w:rPr>
        <w:t>Justitia.</w:t>
      </w:r>
      <w:r w:rsidRPr="003D05F7">
        <w:rPr>
          <w:rFonts w:eastAsia="Calibri"/>
        </w:rPr>
        <w:t xml:space="preserve"> 2006, 2</w:t>
      </w:r>
      <w:r>
        <w:rPr>
          <w:rFonts w:eastAsia="Calibri"/>
        </w:rPr>
        <w:t xml:space="preserve"> </w:t>
      </w:r>
      <w:r w:rsidRPr="003D05F7">
        <w:rPr>
          <w:rFonts w:eastAsia="Calibri"/>
        </w:rPr>
        <w:t>(60): 30-39; 2006, 3</w:t>
      </w:r>
      <w:r>
        <w:rPr>
          <w:rFonts w:eastAsia="Calibri"/>
        </w:rPr>
        <w:t xml:space="preserve"> </w:t>
      </w:r>
      <w:r w:rsidRPr="003D05F7">
        <w:rPr>
          <w:rFonts w:eastAsia="Calibri"/>
        </w:rPr>
        <w:t>(61)</w:t>
      </w:r>
      <w:r>
        <w:rPr>
          <w:rFonts w:eastAsia="Calibri"/>
        </w:rPr>
        <w:t>: 48-56</w:t>
      </w:r>
      <w:r w:rsidRPr="003D05F7">
        <w:rPr>
          <w:rFonts w:eastAsia="Calibri"/>
        </w:rPr>
        <w:t xml:space="preserve">. </w:t>
      </w:r>
    </w:p>
    <w:p w:rsidR="00FD0AEF" w:rsidRPr="003D05F7" w:rsidRDefault="00FD0AEF" w:rsidP="00FD0AEF">
      <w:pPr>
        <w:pStyle w:val="Sraopastraipa"/>
        <w:numPr>
          <w:ilvl w:val="0"/>
          <w:numId w:val="33"/>
        </w:numPr>
        <w:autoSpaceDE w:val="0"/>
        <w:autoSpaceDN w:val="0"/>
        <w:adjustRightInd w:val="0"/>
        <w:spacing w:line="240" w:lineRule="auto"/>
        <w:rPr>
          <w:rFonts w:eastAsia="Calibri"/>
        </w:rPr>
      </w:pPr>
      <w:r w:rsidRPr="003D05F7">
        <w:rPr>
          <w:rFonts w:eastAsia="Calibri"/>
        </w:rPr>
        <w:t xml:space="preserve">Cirtautienė, S. </w:t>
      </w:r>
      <w:r w:rsidRPr="003D05F7">
        <w:rPr>
          <w:rFonts w:eastAsia="Calibri"/>
          <w:i/>
          <w:iCs/>
        </w:rPr>
        <w:t>Šiuolaikinė neturtin</w:t>
      </w:r>
      <w:r w:rsidRPr="003D05F7">
        <w:rPr>
          <w:rFonts w:eastAsia="TimesNewRoman,Italic"/>
          <w:i/>
          <w:iCs/>
        </w:rPr>
        <w:t>ė</w:t>
      </w:r>
      <w:r w:rsidRPr="003D05F7">
        <w:rPr>
          <w:rFonts w:eastAsia="Calibri"/>
          <w:i/>
          <w:iCs/>
        </w:rPr>
        <w:t>s žalos atlyginimo, kaip civilini</w:t>
      </w:r>
      <w:r w:rsidRPr="003D05F7">
        <w:rPr>
          <w:rFonts w:eastAsia="TimesNewRoman,Italic"/>
          <w:i/>
          <w:iCs/>
        </w:rPr>
        <w:t xml:space="preserve">ų </w:t>
      </w:r>
      <w:r w:rsidRPr="003D05F7">
        <w:rPr>
          <w:rFonts w:eastAsia="Calibri"/>
          <w:i/>
          <w:iCs/>
        </w:rPr>
        <w:t>teisi</w:t>
      </w:r>
      <w:r w:rsidRPr="003D05F7">
        <w:rPr>
          <w:rFonts w:eastAsia="TimesNewRoman,Italic"/>
          <w:i/>
          <w:iCs/>
        </w:rPr>
        <w:t xml:space="preserve">ų </w:t>
      </w:r>
      <w:r w:rsidRPr="003D05F7">
        <w:rPr>
          <w:rFonts w:eastAsia="Calibri"/>
          <w:i/>
          <w:iCs/>
        </w:rPr>
        <w:t>gynimo b</w:t>
      </w:r>
      <w:r w:rsidRPr="003D05F7">
        <w:rPr>
          <w:rFonts w:eastAsia="TimesNewRoman,Italic"/>
          <w:i/>
          <w:iCs/>
        </w:rPr>
        <w:t>ū</w:t>
      </w:r>
      <w:r w:rsidRPr="003D05F7">
        <w:rPr>
          <w:rFonts w:eastAsia="Calibri"/>
          <w:i/>
          <w:iCs/>
        </w:rPr>
        <w:t>do, koncepcija</w:t>
      </w:r>
      <w:r w:rsidRPr="003D05F7">
        <w:rPr>
          <w:rFonts w:eastAsia="Calibri"/>
        </w:rPr>
        <w:t xml:space="preserve">. Daktaro disertacija. Socialiniai mokslai (teisė). </w:t>
      </w:r>
      <w:r>
        <w:rPr>
          <w:rFonts w:eastAsia="Calibri"/>
        </w:rPr>
        <w:t>Vilnius: Mykolo Romerio universitetas</w:t>
      </w:r>
      <w:r w:rsidRPr="003D05F7">
        <w:rPr>
          <w:rFonts w:eastAsia="Calibri"/>
        </w:rPr>
        <w:t>, 2008.</w:t>
      </w:r>
    </w:p>
    <w:p w:rsidR="00FD0AEF" w:rsidRPr="003D05F7" w:rsidRDefault="00FD0AEF" w:rsidP="00FD0AEF">
      <w:pPr>
        <w:pStyle w:val="Sraopastraipa"/>
        <w:numPr>
          <w:ilvl w:val="0"/>
          <w:numId w:val="33"/>
        </w:numPr>
        <w:tabs>
          <w:tab w:val="center" w:pos="4819"/>
          <w:tab w:val="right" w:pos="9638"/>
        </w:tabs>
        <w:spacing w:line="240" w:lineRule="auto"/>
        <w:rPr>
          <w:rFonts w:eastAsia="Calibri"/>
        </w:rPr>
      </w:pPr>
      <w:r>
        <w:rPr>
          <w:rFonts w:eastAsia="Calibri"/>
          <w:i/>
        </w:rPr>
        <w:t>Codicis Iustiniani</w:t>
      </w:r>
      <w:r w:rsidRPr="003D05F7">
        <w:rPr>
          <w:rFonts w:eastAsia="Calibri"/>
          <w:i/>
        </w:rPr>
        <w:t xml:space="preserve"> </w:t>
      </w:r>
      <w:r w:rsidRPr="003D05F7">
        <w:rPr>
          <w:rFonts w:eastAsia="Calibri"/>
          <w:iCs/>
        </w:rPr>
        <w:t>[interaktyvus]</w:t>
      </w:r>
      <w:r>
        <w:rPr>
          <w:rFonts w:eastAsia="Calibri"/>
          <w:iCs/>
        </w:rPr>
        <w:t>.</w:t>
      </w:r>
      <w:r w:rsidRPr="003D05F7">
        <w:rPr>
          <w:rFonts w:eastAsia="Calibri"/>
          <w:iCs/>
        </w:rPr>
        <w:t xml:space="preserve"> </w:t>
      </w:r>
      <w:r w:rsidRPr="003D05F7">
        <w:rPr>
          <w:rFonts w:eastAsia="Calibri"/>
        </w:rPr>
        <w:t xml:space="preserve">[žiūrėta 2009-06-15] </w:t>
      </w:r>
      <w:r>
        <w:rPr>
          <w:rFonts w:eastAsia="Calibri"/>
        </w:rPr>
        <w:t>&lt;</w:t>
      </w:r>
      <w:hyperlink r:id="rId10" w:anchor="7" w:history="1">
        <w:r w:rsidRPr="003D05F7">
          <w:rPr>
            <w:rFonts w:eastAsia="Calibri"/>
            <w:color w:val="0000FF"/>
            <w:u w:val="single"/>
          </w:rPr>
          <w:t>http://webu2.upmf-grenoble.fr/Haiti/Cours/Ak/Corpus/CJ3.htm#7</w:t>
        </w:r>
      </w:hyperlink>
      <w:r w:rsidRPr="003D05F7">
        <w:rPr>
          <w:rFonts w:eastAsia="Calibri"/>
        </w:rPr>
        <w:t xml:space="preserve"> </w:t>
      </w:r>
      <w:r>
        <w:rPr>
          <w:rFonts w:eastAsia="Calibri"/>
        </w:rPr>
        <w:t>&gt;.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Contenius, R. </w:t>
      </w:r>
      <w:r w:rsidRPr="003D05F7">
        <w:rPr>
          <w:rFonts w:eastAsia="Calibri"/>
          <w:i/>
        </w:rPr>
        <w:t>Die Befugnis des gesetzlichen Vertreters zur Erhebung der Privatklage</w:t>
      </w:r>
      <w:r w:rsidRPr="003D05F7">
        <w:rPr>
          <w:rFonts w:eastAsia="Calibri"/>
        </w:rPr>
        <w:t xml:space="preserve">. Daktaro disertacija. </w:t>
      </w:r>
      <w:r w:rsidRPr="003D05F7">
        <w:rPr>
          <w:rFonts w:eastAsia="Calibri"/>
          <w:color w:val="000033"/>
        </w:rPr>
        <w:t>Socialiniai mokslai (teisė).</w:t>
      </w:r>
      <w:r w:rsidRPr="003D05F7">
        <w:rPr>
          <w:rFonts w:eastAsia="Calibri"/>
        </w:rPr>
        <w:t xml:space="preserve"> Breslau, 1929.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Damaška, M. R. </w:t>
      </w:r>
      <w:r w:rsidRPr="003D05F7">
        <w:rPr>
          <w:rFonts w:eastAsia="Calibri"/>
          <w:i/>
        </w:rPr>
        <w:t>The Faces of Justice and State Authority: a Comparative Approach to the Legal Process</w:t>
      </w:r>
      <w:r w:rsidRPr="003D05F7">
        <w:rPr>
          <w:rFonts w:eastAsia="Calibri"/>
        </w:rPr>
        <w:t xml:space="preserve">. New Haven; London: Yale University Press, 1986.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Davis, C.</w:t>
      </w:r>
      <w:r>
        <w:rPr>
          <w:rFonts w:eastAsia="Calibri"/>
        </w:rPr>
        <w:t xml:space="preserve"> </w:t>
      </w:r>
      <w:r w:rsidRPr="003D05F7">
        <w:rPr>
          <w:rFonts w:eastAsia="Calibri"/>
        </w:rPr>
        <w:t xml:space="preserve">R., Mulford, C. Victim Rights and New Remedies: Finally Getting Victims Their Due. </w:t>
      </w:r>
      <w:r w:rsidRPr="003D05F7">
        <w:rPr>
          <w:rFonts w:eastAsia="Calibri"/>
          <w:i/>
        </w:rPr>
        <w:t>Journal of Contemporary Criminal Justice.</w:t>
      </w:r>
      <w:r w:rsidRPr="003D05F7">
        <w:rPr>
          <w:rFonts w:eastAsia="Calibri"/>
        </w:rPr>
        <w:t xml:space="preserve"> 2008, 24</w:t>
      </w:r>
      <w:r>
        <w:rPr>
          <w:rFonts w:eastAsia="Calibri"/>
        </w:rPr>
        <w:t xml:space="preserve">, </w:t>
      </w:r>
      <w:r w:rsidRPr="003D05F7">
        <w:rPr>
          <w:rFonts w:eastAsia="Calibri"/>
        </w:rPr>
        <w:t>2: 19</w:t>
      </w:r>
      <w:r>
        <w:rPr>
          <w:rFonts w:eastAsia="Calibri"/>
        </w:rPr>
        <w:t>8</w:t>
      </w:r>
      <w:r w:rsidRPr="003D05F7">
        <w:rPr>
          <w:rFonts w:eastAsia="Calibri"/>
        </w:rPr>
        <w:t>-20</w:t>
      </w:r>
      <w:r>
        <w:rPr>
          <w:rFonts w:eastAsia="Calibri"/>
        </w:rPr>
        <w:t>8</w:t>
      </w:r>
      <w:r w:rsidRPr="003D05F7">
        <w:rPr>
          <w:rFonts w:eastAsia="Calibri"/>
        </w:rPr>
        <w:t>.</w:t>
      </w:r>
    </w:p>
    <w:p w:rsidR="00FD0AEF" w:rsidRPr="003D05F7" w:rsidRDefault="00FD0AEF" w:rsidP="00FD0AEF">
      <w:pPr>
        <w:pStyle w:val="Sraopastraipa"/>
        <w:numPr>
          <w:ilvl w:val="0"/>
          <w:numId w:val="33"/>
        </w:numPr>
        <w:spacing w:line="240" w:lineRule="auto"/>
      </w:pPr>
      <w:r w:rsidRPr="003D05F7">
        <w:t xml:space="preserve">Daszkiewicz, W. </w:t>
      </w:r>
      <w:r w:rsidRPr="003D05F7">
        <w:rPr>
          <w:i/>
        </w:rPr>
        <w:t>Powództwo cywilne w procesie karnym</w:t>
      </w:r>
      <w:r w:rsidRPr="003D05F7">
        <w:t xml:space="preserve">. Warszawa, 1976. </w:t>
      </w:r>
    </w:p>
    <w:p w:rsidR="00FD0AEF" w:rsidRPr="003D05F7" w:rsidRDefault="00FD0AEF" w:rsidP="00FD0AEF">
      <w:pPr>
        <w:pStyle w:val="Sraopastraipa"/>
        <w:numPr>
          <w:ilvl w:val="0"/>
          <w:numId w:val="33"/>
        </w:numPr>
        <w:spacing w:line="240" w:lineRule="auto"/>
        <w:rPr>
          <w:rFonts w:eastAsia="Calibri"/>
        </w:rPr>
      </w:pPr>
      <w:r w:rsidRPr="003D05F7">
        <w:rPr>
          <w:rFonts w:eastAsia="Calibri"/>
          <w:i/>
          <w:color w:val="000033"/>
        </w:rPr>
        <w:lastRenderedPageBreak/>
        <w:t>Digesty Justiniana. Digesta Ivstiniani</w:t>
      </w:r>
      <w:r w:rsidRPr="003D05F7">
        <w:rPr>
          <w:rFonts w:eastAsia="Calibri"/>
          <w:color w:val="000033"/>
        </w:rPr>
        <w:t xml:space="preserve">. </w:t>
      </w:r>
      <w:r>
        <w:rPr>
          <w:rFonts w:eastAsia="Calibri"/>
          <w:color w:val="000033"/>
        </w:rPr>
        <w:t xml:space="preserve">(Red. </w:t>
      </w:r>
      <w:r w:rsidRPr="003D05F7">
        <w:rPr>
          <w:rFonts w:eastAsia="Calibri"/>
          <w:color w:val="000033"/>
        </w:rPr>
        <w:t>Kofanov, L. L.</w:t>
      </w:r>
      <w:r>
        <w:rPr>
          <w:rFonts w:eastAsia="Calibri"/>
          <w:color w:val="000033"/>
        </w:rPr>
        <w:t>).</w:t>
      </w:r>
      <w:r w:rsidRPr="003D05F7">
        <w:rPr>
          <w:rFonts w:eastAsia="Calibri"/>
        </w:rPr>
        <w:t> </w:t>
      </w:r>
      <w:r w:rsidRPr="003D05F7">
        <w:rPr>
          <w:rFonts w:eastAsia="Calibri"/>
          <w:color w:val="000033"/>
        </w:rPr>
        <w:t xml:space="preserve">I tomas. </w:t>
      </w:r>
      <w:r w:rsidRPr="003D05F7">
        <w:rPr>
          <w:rFonts w:eastAsia="Calibri"/>
        </w:rPr>
        <w:t>Moskva</w:t>
      </w:r>
      <w:r w:rsidRPr="003D05F7">
        <w:rPr>
          <w:rFonts w:eastAsia="Calibri"/>
          <w:color w:val="000033"/>
        </w:rPr>
        <w:t>: Konsultant Pljus: Statut, 2002.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Dikarev, I. S. </w:t>
      </w:r>
      <w:r w:rsidRPr="003D05F7">
        <w:rPr>
          <w:rFonts w:eastAsia="Calibri"/>
          <w:i/>
        </w:rPr>
        <w:t>Dispozitivnost v ugolovnom processe</w:t>
      </w:r>
      <w:r w:rsidRPr="003D05F7">
        <w:rPr>
          <w:rFonts w:eastAsia="Calibri"/>
        </w:rPr>
        <w:t xml:space="preserve"> [Dispositiveness in Criminal Procedure]. Daktaro disertacija. Socialiniai mokslai (teisė). Volgograd, 2005.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Doak, J. Victims‘ Rights in Criminal Trials: Prospects for Participation. </w:t>
      </w:r>
      <w:r w:rsidRPr="003D05F7">
        <w:rPr>
          <w:rFonts w:eastAsia="Calibri"/>
          <w:i/>
        </w:rPr>
        <w:t xml:space="preserve">Journal of Law and Society. </w:t>
      </w:r>
      <w:r w:rsidRPr="009A7884">
        <w:rPr>
          <w:rFonts w:eastAsia="Calibri"/>
        </w:rPr>
        <w:t>2005, 2-32:</w:t>
      </w:r>
      <w:r>
        <w:rPr>
          <w:rFonts w:eastAsia="Calibri"/>
        </w:rPr>
        <w:t xml:space="preserve"> 294-316.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Doroshkov, V. V. </w:t>
      </w:r>
      <w:r>
        <w:rPr>
          <w:rFonts w:eastAsia="Calibri"/>
          <w:i/>
        </w:rPr>
        <w:t>Chastnoe obvineni</w:t>
      </w:r>
      <w:r w:rsidRPr="003D05F7">
        <w:rPr>
          <w:rFonts w:eastAsia="Calibri"/>
          <w:i/>
        </w:rPr>
        <w:t>e. Pravovaja teorija i sudebnaja praktika</w:t>
      </w:r>
      <w:r>
        <w:rPr>
          <w:rFonts w:eastAsia="Calibri"/>
          <w:i/>
        </w:rPr>
        <w:t xml:space="preserve"> </w:t>
      </w:r>
      <w:proofErr w:type="gramStart"/>
      <w:r w:rsidRPr="003D05F7">
        <w:rPr>
          <w:rFonts w:eastAsia="Calibri"/>
        </w:rPr>
        <w:t>[</w:t>
      </w:r>
      <w:proofErr w:type="gramEnd"/>
      <w:r w:rsidRPr="003D05F7">
        <w:rPr>
          <w:rFonts w:eastAsia="Calibri"/>
        </w:rPr>
        <w:t xml:space="preserve">Private Prosecution. Legal Theory and </w:t>
      </w:r>
      <w:r>
        <w:rPr>
          <w:rFonts w:eastAsia="Calibri"/>
        </w:rPr>
        <w:t>Case Law</w:t>
      </w:r>
      <w:r w:rsidRPr="003D05F7">
        <w:rPr>
          <w:rFonts w:eastAsia="Calibri"/>
        </w:rPr>
        <w:t>]. Moskva: Norma, 2000.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Doroshkov, V. V. </w:t>
      </w:r>
      <w:r w:rsidRPr="003D05F7">
        <w:rPr>
          <w:rFonts w:eastAsia="Calibri"/>
          <w:i/>
        </w:rPr>
        <w:t>Rukovodstvo dlja mirovy</w:t>
      </w:r>
      <w:r>
        <w:rPr>
          <w:rFonts w:eastAsia="Calibri"/>
          <w:i/>
        </w:rPr>
        <w:t>k</w:t>
      </w:r>
      <w:r w:rsidRPr="003D05F7">
        <w:rPr>
          <w:rFonts w:eastAsia="Calibri"/>
          <w:i/>
        </w:rPr>
        <w:t>h sudej. Dela chastnogo obvinenija</w:t>
      </w:r>
      <w:r>
        <w:rPr>
          <w:rFonts w:eastAsia="Calibri"/>
          <w:i/>
        </w:rPr>
        <w:t xml:space="preserve"> </w:t>
      </w:r>
      <w:proofErr w:type="gramStart"/>
      <w:r w:rsidRPr="003D05F7">
        <w:rPr>
          <w:rFonts w:eastAsia="Calibri"/>
        </w:rPr>
        <w:t>[</w:t>
      </w:r>
      <w:proofErr w:type="gramEnd"/>
      <w:r w:rsidRPr="003D05F7">
        <w:rPr>
          <w:rFonts w:eastAsia="Calibri"/>
        </w:rPr>
        <w:t>Manual for Peace Judges.</w:t>
      </w:r>
      <w:r>
        <w:rPr>
          <w:rFonts w:eastAsia="Calibri"/>
        </w:rPr>
        <w:t xml:space="preserve"> </w:t>
      </w:r>
      <w:r w:rsidRPr="003D05F7">
        <w:rPr>
          <w:rFonts w:eastAsia="Calibri"/>
        </w:rPr>
        <w:t>Cases of Private Prosecution]</w:t>
      </w:r>
      <w:r w:rsidRPr="003D05F7">
        <w:rPr>
          <w:rFonts w:eastAsia="Calibri"/>
          <w:i/>
        </w:rPr>
        <w:t>.</w:t>
      </w:r>
      <w:r w:rsidRPr="003D05F7">
        <w:rPr>
          <w:rFonts w:eastAsia="Calibri"/>
        </w:rPr>
        <w:t xml:space="preserve"> Moskva: Norma, 2001.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Doroshkov, V. V. Sudoproizvodstvo po delam chastnogo obvinenija [Proceedings in Cases of Private </w:t>
      </w:r>
      <w:r>
        <w:rPr>
          <w:rFonts w:eastAsia="Calibri"/>
        </w:rPr>
        <w:t>P</w:t>
      </w:r>
      <w:r w:rsidRPr="003D05F7">
        <w:rPr>
          <w:rFonts w:eastAsia="Calibri"/>
        </w:rPr>
        <w:t xml:space="preserve">rosecution]. </w:t>
      </w:r>
      <w:r w:rsidRPr="003D05F7">
        <w:rPr>
          <w:rFonts w:eastAsia="Calibri"/>
          <w:i/>
        </w:rPr>
        <w:t>Rosijskaja justicija</w:t>
      </w:r>
      <w:r>
        <w:rPr>
          <w:rFonts w:eastAsia="Calibri"/>
        </w:rPr>
        <w:t>.</w:t>
      </w:r>
      <w:r w:rsidRPr="003D05F7">
        <w:rPr>
          <w:rFonts w:eastAsia="Calibri"/>
        </w:rPr>
        <w:t xml:space="preserve"> 1995, 9: 23</w:t>
      </w:r>
      <w:r>
        <w:rPr>
          <w:rFonts w:eastAsia="Calibri"/>
        </w:rPr>
        <w:t>-25</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Drakšas, R. Dėl kasacinio proceso galimybės privataus kaltinimo bylose. In Prapiestis, J., </w:t>
      </w:r>
      <w:r w:rsidRPr="00773975">
        <w:rPr>
          <w:rFonts w:eastAsia="Calibri"/>
          <w:i/>
        </w:rPr>
        <w:t>et al</w:t>
      </w:r>
      <w:r w:rsidRPr="003D05F7">
        <w:rPr>
          <w:rFonts w:eastAsia="Calibri"/>
        </w:rPr>
        <w:t xml:space="preserve">. </w:t>
      </w:r>
      <w:r w:rsidRPr="003D05F7">
        <w:rPr>
          <w:rFonts w:eastAsia="Calibri"/>
          <w:i/>
        </w:rPr>
        <w:t>Globalizacijos iššūkiai baudžiamajai justicijai: recenzuotų mokslinių straipsnių baudžiamosios teisės, bausmių vykdymo ir baudžiamojo proceso klausimais rinkinys</w:t>
      </w:r>
      <w:r w:rsidRPr="003D05F7">
        <w:rPr>
          <w:rFonts w:eastAsia="Calibri"/>
        </w:rPr>
        <w:t>. Vilniu</w:t>
      </w:r>
      <w:r>
        <w:rPr>
          <w:rFonts w:eastAsia="Calibri"/>
        </w:rPr>
        <w:t>s: VĮ Registrų centras, 2014, p. 259</w:t>
      </w:r>
      <w:r w:rsidRPr="003D05F7">
        <w:rPr>
          <w:rFonts w:eastAsia="Calibri"/>
        </w:rPr>
        <w:t>-2</w:t>
      </w:r>
      <w:r>
        <w:rPr>
          <w:rFonts w:eastAsia="Calibri"/>
        </w:rPr>
        <w:t>71</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Drakšas, R. Juridinių asmenų baudžiamosios atsakomybės problematika. </w:t>
      </w:r>
      <w:r w:rsidRPr="003D05F7">
        <w:rPr>
          <w:rFonts w:eastAsia="Calibri"/>
          <w:i/>
        </w:rPr>
        <w:t>Teisė</w:t>
      </w:r>
      <w:r>
        <w:rPr>
          <w:rFonts w:eastAsia="Calibri"/>
        </w:rPr>
        <w:t>.</w:t>
      </w:r>
      <w:r w:rsidRPr="003D05F7">
        <w:rPr>
          <w:rFonts w:eastAsia="Calibri"/>
        </w:rPr>
        <w:t xml:space="preserve"> 2004, 53: 68-79.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Driukas, A., Valančius, V. </w:t>
      </w:r>
      <w:r w:rsidRPr="003D05F7">
        <w:rPr>
          <w:rFonts w:eastAsia="Calibri"/>
          <w:i/>
        </w:rPr>
        <w:t>Civilinis procesas: teorija ir praktika</w:t>
      </w:r>
      <w:r w:rsidRPr="003D05F7">
        <w:rPr>
          <w:rFonts w:eastAsia="Calibri"/>
        </w:rPr>
        <w:t xml:space="preserve">. I tomas. Vilnius: Teisinės informacijos centras, 2005-2007.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Driukas, A.,  Valančius, V. </w:t>
      </w:r>
      <w:r w:rsidRPr="003D05F7">
        <w:rPr>
          <w:rFonts w:eastAsia="Calibri"/>
          <w:i/>
        </w:rPr>
        <w:t>Civilinis procesas: teorija ir praktika</w:t>
      </w:r>
      <w:r w:rsidRPr="003D05F7">
        <w:rPr>
          <w:rFonts w:eastAsia="Calibri"/>
        </w:rPr>
        <w:t xml:space="preserve">. II tomas. Vilnius: Teisinės informacijos centras, 2005-2007.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Dürwanger, </w:t>
      </w:r>
      <w:r>
        <w:rPr>
          <w:rFonts w:eastAsia="Calibri"/>
        </w:rPr>
        <w:t xml:space="preserve">K., </w:t>
      </w:r>
      <w:r w:rsidRPr="00E118EB">
        <w:rPr>
          <w:rFonts w:eastAsia="Calibri"/>
        </w:rPr>
        <w:t>Dempewolf, G</w:t>
      </w:r>
      <w:r>
        <w:rPr>
          <w:rFonts w:eastAsia="Calibri"/>
        </w:rPr>
        <w:t xml:space="preserve">. </w:t>
      </w:r>
      <w:r w:rsidRPr="00E118EB">
        <w:rPr>
          <w:rFonts w:eastAsia="Calibri"/>
          <w:i/>
        </w:rPr>
        <w:t>Handbuch des Privatklagerechts</w:t>
      </w:r>
      <w:r w:rsidRPr="003D05F7">
        <w:rPr>
          <w:rFonts w:eastAsia="Calibri"/>
        </w:rPr>
        <w:t xml:space="preserve">. </w:t>
      </w:r>
      <w:r>
        <w:rPr>
          <w:rFonts w:eastAsia="Calibri"/>
        </w:rPr>
        <w:t>3-ioji laida</w:t>
      </w:r>
      <w:r w:rsidRPr="003D05F7">
        <w:rPr>
          <w:rFonts w:eastAsia="Calibri"/>
        </w:rPr>
        <w:t xml:space="preserve">. </w:t>
      </w:r>
      <w:r>
        <w:rPr>
          <w:rFonts w:eastAsia="Calibri"/>
        </w:rPr>
        <w:t>Darmstadt</w:t>
      </w:r>
      <w:r w:rsidRPr="003D05F7">
        <w:rPr>
          <w:rFonts w:eastAsia="Calibri"/>
        </w:rPr>
        <w:t>,</w:t>
      </w:r>
      <w:r>
        <w:rPr>
          <w:rFonts w:eastAsia="Calibri"/>
        </w:rPr>
        <w:t xml:space="preserve"> </w:t>
      </w:r>
      <w:r w:rsidRPr="003D05F7">
        <w:rPr>
          <w:rFonts w:eastAsia="Calibri"/>
        </w:rPr>
        <w:t xml:space="preserve">1971.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Edwards, I. An Ambiguous Participant: The Crime Victim and Criminal Justice Decision-Making. </w:t>
      </w:r>
      <w:r w:rsidRPr="005A3E9D">
        <w:rPr>
          <w:rFonts w:eastAsia="Calibri"/>
          <w:i/>
        </w:rPr>
        <w:t>The</w:t>
      </w:r>
      <w:r>
        <w:rPr>
          <w:rFonts w:eastAsia="Calibri"/>
        </w:rPr>
        <w:t xml:space="preserve"> </w:t>
      </w:r>
      <w:r w:rsidRPr="003D05F7">
        <w:rPr>
          <w:rFonts w:eastAsia="Calibri"/>
          <w:i/>
        </w:rPr>
        <w:t>British Journal of Crime</w:t>
      </w:r>
      <w:r w:rsidRPr="003D05F7">
        <w:rPr>
          <w:rFonts w:eastAsia="Calibri"/>
        </w:rPr>
        <w:t>. 2004, 44 (6):</w:t>
      </w:r>
      <w:r>
        <w:rPr>
          <w:rFonts w:eastAsia="Calibri"/>
        </w:rPr>
        <w:t xml:space="preserve"> </w:t>
      </w:r>
      <w:r w:rsidRPr="003D05F7">
        <w:rPr>
          <w:rFonts w:eastAsia="Calibri"/>
        </w:rPr>
        <w:t>9</w:t>
      </w:r>
      <w:r>
        <w:rPr>
          <w:rFonts w:eastAsia="Calibri"/>
        </w:rPr>
        <w:t>67-982</w:t>
      </w:r>
      <w:r w:rsidRPr="003D05F7">
        <w:rPr>
          <w:rFonts w:eastAsia="Calibri"/>
        </w:rPr>
        <w:t>.</w:t>
      </w:r>
    </w:p>
    <w:p w:rsidR="00FD0AEF" w:rsidRPr="003D05F7" w:rsidRDefault="00FD0AEF" w:rsidP="00FD0AEF">
      <w:pPr>
        <w:pStyle w:val="Sraopastraipa"/>
        <w:numPr>
          <w:ilvl w:val="0"/>
          <w:numId w:val="33"/>
        </w:numPr>
        <w:spacing w:line="240" w:lineRule="auto"/>
      </w:pPr>
      <w:r w:rsidRPr="003D05F7">
        <w:t xml:space="preserve">Endemann, W. </w:t>
      </w:r>
      <w:r w:rsidRPr="003D05F7">
        <w:rPr>
          <w:i/>
        </w:rPr>
        <w:t>Das deutsche Civilprozess</w:t>
      </w:r>
      <w:r w:rsidRPr="003D05F7">
        <w:t>. Berlin: Weidmann, 1879.</w:t>
      </w:r>
    </w:p>
    <w:p w:rsidR="00FD0AEF" w:rsidRPr="003D05F7" w:rsidRDefault="00FD0AEF" w:rsidP="00FD0AEF">
      <w:pPr>
        <w:pStyle w:val="Sraopastraipa"/>
        <w:numPr>
          <w:ilvl w:val="0"/>
          <w:numId w:val="33"/>
        </w:numPr>
        <w:spacing w:line="240" w:lineRule="auto"/>
      </w:pPr>
      <w:r w:rsidRPr="003D05F7">
        <w:rPr>
          <w:rFonts w:eastAsia="Calibri"/>
        </w:rPr>
        <w:t xml:space="preserve">Esmein, A. </w:t>
      </w:r>
      <w:r w:rsidRPr="003D05F7">
        <w:rPr>
          <w:rFonts w:eastAsia="Calibri"/>
          <w:i/>
          <w:iCs/>
        </w:rPr>
        <w:t>A History of Continental Criminal Procedure</w:t>
      </w:r>
      <w:r w:rsidRPr="005A3E9D">
        <w:rPr>
          <w:rFonts w:eastAsia="Calibri"/>
          <w:color w:val="000000"/>
        </w:rPr>
        <w:t xml:space="preserve"> </w:t>
      </w:r>
      <w:r>
        <w:rPr>
          <w:rFonts w:eastAsia="Calibri"/>
          <w:color w:val="000000"/>
        </w:rPr>
        <w:t xml:space="preserve">[interaktyvus]. </w:t>
      </w:r>
      <w:r w:rsidRPr="003D05F7">
        <w:rPr>
          <w:rFonts w:eastAsia="Calibri"/>
          <w:color w:val="000000"/>
        </w:rPr>
        <w:t>Union, New Jer</w:t>
      </w:r>
      <w:r>
        <w:rPr>
          <w:rFonts w:eastAsia="Calibri"/>
          <w:color w:val="000000"/>
        </w:rPr>
        <w:t>sey: The Lawbook Exchange, 2000</w:t>
      </w:r>
      <w:r w:rsidRPr="003D05F7">
        <w:rPr>
          <w:rFonts w:eastAsia="Calibri"/>
          <w:color w:val="000000"/>
        </w:rPr>
        <w:t xml:space="preserve"> [žiūrėta 2012-01-06]. &lt;</w:t>
      </w:r>
      <w:hyperlink r:id="rId11" w:anchor="v=onepage&amp;q=Esmein%2C%20A.%20A%20history%20of%20continental%20criminal%20procedure&amp;f=false" w:history="1">
        <w:r w:rsidRPr="003D05F7">
          <w:rPr>
            <w:rFonts w:eastAsia="Calibri"/>
            <w:color w:val="0000FF"/>
            <w:u w:val="single"/>
          </w:rPr>
          <w:t>http://books.google.lt/books?id=dBubbTnqKXQC&amp;printsec=frontcover&amp;dq=Esmein,+A.+A+history+of+continental+criminal+procedure&amp;hl=lt&amp;sa=X&amp;ei=yYUFT6CBA4vasgb726CDDw&amp;sqi=2&amp;redir_esc=y#v=onepage&amp;q=Esmein%2C%20A.%20A%20history%20of%20continental%20criminal%20procedure&amp;f=false</w:t>
        </w:r>
      </w:hyperlink>
      <w:r>
        <w:rPr>
          <w:rFonts w:eastAsia="Calibri"/>
          <w:color w:val="000000"/>
        </w:rPr>
        <w:t>&gt;.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Fasching, H. W. </w:t>
      </w:r>
      <w:r w:rsidRPr="003D05F7">
        <w:rPr>
          <w:rFonts w:eastAsia="Calibri"/>
          <w:i/>
        </w:rPr>
        <w:t>Lehrbuch des Österreichischen Zivilprozessrechts</w:t>
      </w:r>
      <w:r w:rsidRPr="003D05F7">
        <w:rPr>
          <w:rFonts w:eastAsia="Calibri"/>
        </w:rPr>
        <w:t xml:space="preserve">. Wien, 1990.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Fazsi, L. The Right of the Injured Parties to Represent Themselves Rather Instead of Being Represented by a Prosecutor in the Criminal Procedure Code of Hungary. </w:t>
      </w:r>
      <w:r w:rsidRPr="003D05F7">
        <w:rPr>
          <w:rFonts w:eastAsia="Calibri"/>
          <w:i/>
        </w:rPr>
        <w:t>Curentul Juridic</w:t>
      </w:r>
      <w:r>
        <w:rPr>
          <w:rFonts w:eastAsia="Calibri"/>
          <w:i/>
        </w:rPr>
        <w:t xml:space="preserve"> </w:t>
      </w:r>
      <w:r w:rsidRPr="003D05F7">
        <w:rPr>
          <w:rFonts w:eastAsia="Calibri"/>
        </w:rPr>
        <w:t>[interaktyvus]. 2011, 14 (2): 131-145 [žiūrėta 2013-10-21] &lt;</w:t>
      </w:r>
      <w:hyperlink r:id="rId12" w:history="1">
        <w:r w:rsidRPr="003D05F7">
          <w:rPr>
            <w:rStyle w:val="Hipersaitas"/>
            <w:rFonts w:eastAsia="Calibri"/>
          </w:rPr>
          <w:t>http://revcurentjur.ro/arhiva/attachments_201102/recjurid112_13F.pdf</w:t>
        </w:r>
      </w:hyperlink>
      <w:r w:rsidRPr="003D05F7">
        <w:rPr>
          <w:rFonts w:eastAsia="Calibri"/>
        </w:rPr>
        <w:t>&gt;</w:t>
      </w:r>
      <w:r>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Fedosiuk, O. Baudžiamoji atsakomybė kaip kraštutinė priemonė (ultima ratio): teorija ir realybė. </w:t>
      </w:r>
      <w:r w:rsidRPr="003D05F7">
        <w:rPr>
          <w:rFonts w:eastAsia="Calibri"/>
          <w:i/>
        </w:rPr>
        <w:t>Jurisprudencija</w:t>
      </w:r>
      <w:r>
        <w:rPr>
          <w:rFonts w:eastAsia="Calibri"/>
          <w:i/>
        </w:rPr>
        <w:t>.</w:t>
      </w:r>
      <w:r w:rsidRPr="003D05F7">
        <w:rPr>
          <w:rFonts w:eastAsia="Calibri"/>
        </w:rPr>
        <w:t xml:space="preserve"> 2012, 19 (2): 715-738.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Feintuck, M. </w:t>
      </w:r>
      <w:r w:rsidRPr="002D166C">
        <w:rPr>
          <w:rFonts w:eastAsia="Calibri"/>
          <w:i/>
        </w:rPr>
        <w:t>The</w:t>
      </w:r>
      <w:r w:rsidRPr="003D05F7">
        <w:rPr>
          <w:rFonts w:eastAsia="Calibri"/>
        </w:rPr>
        <w:t xml:space="preserve"> </w:t>
      </w:r>
      <w:r w:rsidRPr="003D05F7">
        <w:rPr>
          <w:rFonts w:eastAsia="Calibri"/>
          <w:i/>
        </w:rPr>
        <w:t>Public Interest in Regulation</w:t>
      </w:r>
      <w:r w:rsidRPr="003D05F7">
        <w:rPr>
          <w:rFonts w:eastAsia="Calibri"/>
        </w:rPr>
        <w:t xml:space="preserve">. New York: Oxford University Press, 2004.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Fenwick, H. Procedural ‚Rights‘ of Victims of Crime: Public or Private Ordering of the Criminal Justice Process? </w:t>
      </w:r>
      <w:r w:rsidRPr="003D05F7">
        <w:rPr>
          <w:rFonts w:eastAsia="Calibri"/>
          <w:i/>
        </w:rPr>
        <w:t>The Modern Law Review</w:t>
      </w:r>
      <w:r w:rsidRPr="003D05F7">
        <w:rPr>
          <w:rFonts w:eastAsia="Calibri"/>
        </w:rPr>
        <w:t xml:space="preserve">. 1997, </w:t>
      </w:r>
      <w:r>
        <w:rPr>
          <w:rFonts w:eastAsia="Calibri"/>
        </w:rPr>
        <w:t>60 (</w:t>
      </w:r>
      <w:r w:rsidRPr="003D05F7">
        <w:rPr>
          <w:rFonts w:eastAsia="Calibri"/>
        </w:rPr>
        <w:t>3</w:t>
      </w:r>
      <w:r>
        <w:rPr>
          <w:rFonts w:eastAsia="Calibri"/>
        </w:rPr>
        <w:t>)</w:t>
      </w:r>
      <w:r w:rsidRPr="003D05F7">
        <w:rPr>
          <w:rFonts w:eastAsia="Calibri"/>
        </w:rPr>
        <w:t>: 31</w:t>
      </w:r>
      <w:r>
        <w:rPr>
          <w:rFonts w:eastAsia="Calibri"/>
        </w:rPr>
        <w:t>7-333</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Fiss, O. M. </w:t>
      </w:r>
      <w:r w:rsidRPr="003D05F7">
        <w:rPr>
          <w:rFonts w:eastAsia="Calibri"/>
          <w:iCs/>
        </w:rPr>
        <w:t>Against Settlement</w:t>
      </w:r>
      <w:r w:rsidRPr="003D05F7">
        <w:rPr>
          <w:rFonts w:eastAsia="Calibri"/>
        </w:rPr>
        <w:t xml:space="preserve">. </w:t>
      </w:r>
      <w:r w:rsidRPr="003D05F7">
        <w:rPr>
          <w:rFonts w:eastAsia="Calibri"/>
          <w:i/>
        </w:rPr>
        <w:t>Yale Law Journal</w:t>
      </w:r>
      <w:r>
        <w:rPr>
          <w:rFonts w:eastAsia="Calibri"/>
        </w:rPr>
        <w:t>.</w:t>
      </w:r>
      <w:r w:rsidRPr="003D05F7">
        <w:rPr>
          <w:rFonts w:eastAsia="Calibri"/>
        </w:rPr>
        <w:t xml:space="preserve"> 1984</w:t>
      </w:r>
      <w:r>
        <w:rPr>
          <w:rFonts w:eastAsia="Calibri"/>
        </w:rPr>
        <w:t xml:space="preserve">, </w:t>
      </w:r>
      <w:r w:rsidRPr="003D05F7">
        <w:rPr>
          <w:rFonts w:eastAsia="Calibri"/>
        </w:rPr>
        <w:t xml:space="preserve">93: 1073-1092.  </w:t>
      </w:r>
    </w:p>
    <w:p w:rsidR="00FD0AEF" w:rsidRPr="003D05F7" w:rsidRDefault="00FD0AEF" w:rsidP="00FD0AEF">
      <w:pPr>
        <w:pStyle w:val="Sraopastraipa"/>
        <w:numPr>
          <w:ilvl w:val="0"/>
          <w:numId w:val="33"/>
        </w:numPr>
        <w:spacing w:line="240" w:lineRule="auto"/>
        <w:rPr>
          <w:rFonts w:eastAsia="Calibri"/>
        </w:rPr>
      </w:pPr>
      <w:r>
        <w:rPr>
          <w:rFonts w:eastAsia="Calibri"/>
        </w:rPr>
        <w:t>Fojn</w:t>
      </w:r>
      <w:r w:rsidRPr="003D05F7">
        <w:rPr>
          <w:rFonts w:eastAsia="Calibri"/>
        </w:rPr>
        <w:t xml:space="preserve">ickij, I. Ja.  </w:t>
      </w:r>
      <w:r w:rsidRPr="003D05F7">
        <w:rPr>
          <w:rFonts w:eastAsia="Calibri"/>
          <w:i/>
          <w:color w:val="000033"/>
        </w:rPr>
        <w:t xml:space="preserve">Kurs ugolovnogo sudoproizvodstva </w:t>
      </w:r>
      <w:r w:rsidRPr="003D05F7">
        <w:rPr>
          <w:rFonts w:eastAsia="Calibri"/>
          <w:color w:val="000033"/>
        </w:rPr>
        <w:t>[Course of Criminal Procedure]. I tomas. Sankt Peterburg: Alfa, 1996</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Pr>
          <w:rFonts w:eastAsia="Calibri"/>
        </w:rPr>
        <w:t>Foj</w:t>
      </w:r>
      <w:r w:rsidRPr="003D05F7">
        <w:rPr>
          <w:rFonts w:eastAsia="Calibri"/>
        </w:rPr>
        <w:t xml:space="preserve">nickij, I. Ja.  </w:t>
      </w:r>
      <w:r w:rsidRPr="003D05F7">
        <w:rPr>
          <w:rFonts w:eastAsia="Calibri"/>
          <w:i/>
          <w:color w:val="000033"/>
        </w:rPr>
        <w:t xml:space="preserve">Kurs ugolovnogo sudoproizvodstva </w:t>
      </w:r>
      <w:r w:rsidRPr="003D05F7">
        <w:rPr>
          <w:rFonts w:eastAsia="Calibri"/>
          <w:color w:val="000033"/>
        </w:rPr>
        <w:t>[Course of Criminal Procedure]. II tomas. Sankt Peterburg: Alfa, 1996.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Garnelienė, L., Rimšelis, E. Apeliacijos sampratos įtaka teismų praktikai baudžiamajame procese. </w:t>
      </w:r>
      <w:r w:rsidRPr="003D05F7">
        <w:rPr>
          <w:rFonts w:eastAsia="Calibri"/>
          <w:i/>
        </w:rPr>
        <w:t>Socialinių mokslų studijos</w:t>
      </w:r>
      <w:r w:rsidRPr="003D05F7">
        <w:rPr>
          <w:rFonts w:eastAsia="Calibri"/>
        </w:rPr>
        <w:t>. 2009, 4</w:t>
      </w:r>
      <w:r>
        <w:rPr>
          <w:rFonts w:eastAsia="Calibri"/>
        </w:rPr>
        <w:t xml:space="preserve"> </w:t>
      </w:r>
      <w:r w:rsidRPr="003D05F7">
        <w:rPr>
          <w:rFonts w:eastAsia="Calibri"/>
        </w:rPr>
        <w:t>(4)</w:t>
      </w:r>
      <w:r>
        <w:rPr>
          <w:rFonts w:eastAsia="Calibri"/>
        </w:rPr>
        <w:t>:</w:t>
      </w:r>
      <w:r w:rsidRPr="003D05F7">
        <w:rPr>
          <w:rFonts w:eastAsia="Calibri"/>
        </w:rPr>
        <w:t xml:space="preserve"> 243–259. </w:t>
      </w:r>
    </w:p>
    <w:p w:rsidR="00137156" w:rsidRPr="00137156" w:rsidRDefault="00137156" w:rsidP="00FD0AEF">
      <w:pPr>
        <w:pStyle w:val="Sraopastraipa"/>
        <w:numPr>
          <w:ilvl w:val="0"/>
          <w:numId w:val="33"/>
        </w:numPr>
        <w:spacing w:line="240" w:lineRule="auto"/>
        <w:rPr>
          <w:rFonts w:eastAsia="Calibri"/>
        </w:rPr>
      </w:pPr>
      <w:r>
        <w:lastRenderedPageBreak/>
        <w:t xml:space="preserve">Geerds, F. Zur Rechtsstellung des Verletzten im Strafprozeβ. </w:t>
      </w:r>
      <w:r w:rsidRPr="00137156">
        <w:rPr>
          <w:i/>
        </w:rPr>
        <w:t>JZ</w:t>
      </w:r>
      <w:r>
        <w:t xml:space="preserve">. 1984, 17: 786-795.  </w:t>
      </w:r>
    </w:p>
    <w:p w:rsidR="00FD0AEF" w:rsidRPr="00A24614" w:rsidRDefault="00FD0AEF" w:rsidP="00FD0AEF">
      <w:pPr>
        <w:pStyle w:val="Sraopastraipa"/>
        <w:numPr>
          <w:ilvl w:val="0"/>
          <w:numId w:val="33"/>
        </w:numPr>
        <w:spacing w:line="240" w:lineRule="auto"/>
        <w:rPr>
          <w:rFonts w:eastAsia="Calibri"/>
        </w:rPr>
      </w:pPr>
      <w:r w:rsidRPr="003D05F7">
        <w:rPr>
          <w:rFonts w:eastAsia="Calibri"/>
        </w:rPr>
        <w:t xml:space="preserve">Gil, D. </w:t>
      </w:r>
      <w:r w:rsidRPr="003D05F7">
        <w:rPr>
          <w:rFonts w:eastAsia="Calibri"/>
          <w:i/>
          <w:lang w:val="pl-PL"/>
        </w:rPr>
        <w:t>Postępowanie w sprawach z oskarżenia prywatnego w polskim procesie karnym.</w:t>
      </w:r>
      <w:r>
        <w:rPr>
          <w:rFonts w:eastAsia="Calibri"/>
          <w:i/>
          <w:lang w:val="pl-PL"/>
        </w:rPr>
        <w:t xml:space="preserve"> </w:t>
      </w:r>
      <w:r w:rsidRPr="003D05F7">
        <w:rPr>
          <w:rFonts w:eastAsia="Calibri"/>
          <w:lang w:val="pl-PL"/>
        </w:rPr>
        <w:t>Daktaro disertacija. Socialiniai mokslai (teisė). Warszawa, 2011.</w:t>
      </w:r>
    </w:p>
    <w:p w:rsidR="00FD0AEF" w:rsidRPr="007F567D" w:rsidRDefault="00FD0AEF" w:rsidP="00FD0AEF">
      <w:pPr>
        <w:pStyle w:val="Sraopastraipa"/>
        <w:numPr>
          <w:ilvl w:val="0"/>
          <w:numId w:val="33"/>
        </w:numPr>
        <w:spacing w:line="240" w:lineRule="auto"/>
        <w:rPr>
          <w:rFonts w:eastAsia="Calibri"/>
          <w:lang w:val="pl-PL"/>
        </w:rPr>
      </w:pPr>
      <w:r w:rsidRPr="007F567D">
        <w:rPr>
          <w:rFonts w:eastAsia="Calibri"/>
          <w:lang w:val="pl-PL"/>
        </w:rPr>
        <w:t xml:space="preserve">Gil, D. Posiedzenie pojednawcze a mediacja w sprawach z oskarżenia prywatnego. </w:t>
      </w:r>
      <w:r w:rsidRPr="007F567D">
        <w:rPr>
          <w:rFonts w:eastAsia="Calibri"/>
          <w:i/>
          <w:lang w:val="pl-PL"/>
        </w:rPr>
        <w:t>Palestra.</w:t>
      </w:r>
      <w:r w:rsidRPr="007F567D">
        <w:rPr>
          <w:rFonts w:eastAsia="Calibri"/>
          <w:lang w:val="pl-PL"/>
        </w:rPr>
        <w:t xml:space="preserve"> 2010, 7-8: 77-87.</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Girdauskas, M. Rungimosi principas baudžiamajame procese: turinio aspektai. </w:t>
      </w:r>
      <w:r w:rsidRPr="003D05F7">
        <w:rPr>
          <w:rFonts w:eastAsia="Calibri"/>
          <w:i/>
        </w:rPr>
        <w:t>Teisė</w:t>
      </w:r>
      <w:r>
        <w:rPr>
          <w:rFonts w:eastAsia="Calibri"/>
          <w:i/>
        </w:rPr>
        <w:t>.</w:t>
      </w:r>
      <w:r w:rsidRPr="003D05F7">
        <w:rPr>
          <w:rFonts w:eastAsia="Calibri"/>
        </w:rPr>
        <w:t xml:space="preserve"> 2004, 53:</w:t>
      </w:r>
      <w:r>
        <w:rPr>
          <w:rFonts w:eastAsia="Calibri"/>
        </w:rPr>
        <w:t xml:space="preserve"> </w:t>
      </w:r>
      <w:r w:rsidRPr="003D05F7">
        <w:rPr>
          <w:rFonts w:eastAsia="Calibri"/>
        </w:rPr>
        <w:t xml:space="preserve">102-115. </w:t>
      </w:r>
    </w:p>
    <w:p w:rsidR="00FD0AEF" w:rsidRPr="00DE3A56" w:rsidRDefault="00FD0AEF" w:rsidP="00FD0AEF">
      <w:pPr>
        <w:pStyle w:val="Sraopastraipa"/>
        <w:numPr>
          <w:ilvl w:val="0"/>
          <w:numId w:val="33"/>
        </w:numPr>
        <w:spacing w:line="240" w:lineRule="auto"/>
        <w:rPr>
          <w:rFonts w:eastAsia="Calibri"/>
        </w:rPr>
      </w:pPr>
      <w:r w:rsidRPr="00DE3A56">
        <w:rPr>
          <w:rFonts w:eastAsia="Calibri"/>
        </w:rPr>
        <w:t xml:space="preserve">Girdauskas, M. Teismo įgaliojimų keisti inkriminuojamos veikos kvalifikavimą griežtesniu suderinamumas su konstituciniais baudžiamojo proceso tikslais ir principais. </w:t>
      </w:r>
      <w:r w:rsidRPr="00DE3A56">
        <w:rPr>
          <w:rFonts w:eastAsia="Calibri"/>
          <w:i/>
        </w:rPr>
        <w:t>Teisė.</w:t>
      </w:r>
      <w:r w:rsidRPr="00DE3A56">
        <w:rPr>
          <w:rFonts w:eastAsia="Calibri"/>
        </w:rPr>
        <w:t xml:space="preserve"> 2013, 88: 144-163. </w:t>
      </w:r>
    </w:p>
    <w:p w:rsidR="00FD0AEF" w:rsidRPr="00DE3A56" w:rsidRDefault="00FD0AEF" w:rsidP="00FD0AEF">
      <w:pPr>
        <w:pStyle w:val="Sraopastraipa"/>
        <w:numPr>
          <w:ilvl w:val="0"/>
          <w:numId w:val="33"/>
        </w:numPr>
        <w:spacing w:line="240" w:lineRule="auto"/>
        <w:rPr>
          <w:rFonts w:eastAsia="Calibri"/>
        </w:rPr>
      </w:pPr>
      <w:r w:rsidRPr="00DE3A56">
        <w:rPr>
          <w:rFonts w:eastAsia="Calibri"/>
        </w:rPr>
        <w:t xml:space="preserve">Girdauskas, M. Teismo kompetencija keisti inkriminuojamos veikos kvalifikaciją. Žmogaus teisių ir pagrindinių laisvių apsaugos konvencijos reikalavimai. </w:t>
      </w:r>
      <w:r w:rsidRPr="00DE3A56">
        <w:rPr>
          <w:rFonts w:eastAsia="Calibri"/>
          <w:i/>
        </w:rPr>
        <w:t>Teisės problemos.</w:t>
      </w:r>
      <w:r w:rsidRPr="00DE3A56">
        <w:rPr>
          <w:rFonts w:eastAsia="Calibri"/>
        </w:rPr>
        <w:t xml:space="preserve"> 2005, 1 (47): 26-61.</w:t>
      </w:r>
    </w:p>
    <w:p w:rsidR="00FD0AEF" w:rsidRPr="00DE3A56" w:rsidRDefault="00FD0AEF" w:rsidP="00FD0AEF">
      <w:pPr>
        <w:pStyle w:val="Sraopastraipa"/>
        <w:numPr>
          <w:ilvl w:val="0"/>
          <w:numId w:val="33"/>
        </w:numPr>
        <w:spacing w:line="240" w:lineRule="auto"/>
        <w:rPr>
          <w:rFonts w:eastAsia="Calibri"/>
        </w:rPr>
      </w:pPr>
      <w:r w:rsidRPr="00DE3A56">
        <w:rPr>
          <w:rFonts w:eastAsia="Calibri"/>
        </w:rPr>
        <w:t xml:space="preserve">Girdauskas, M. Teismo kompetencija keisti inkriminuojamos veikos kvalifikavimą. </w:t>
      </w:r>
      <w:r w:rsidRPr="00DE3A56">
        <w:rPr>
          <w:rFonts w:eastAsia="Calibri"/>
          <w:i/>
        </w:rPr>
        <w:t>Teisės problemos.</w:t>
      </w:r>
      <w:r w:rsidRPr="00DE3A56">
        <w:rPr>
          <w:rFonts w:eastAsia="Calibri"/>
        </w:rPr>
        <w:t xml:space="preserve"> 2009, 3 (65): 79-133. </w:t>
      </w:r>
    </w:p>
    <w:p w:rsidR="00FD0AEF" w:rsidRPr="00DE3A56" w:rsidRDefault="00FD0AEF" w:rsidP="00FD0AEF">
      <w:pPr>
        <w:pStyle w:val="Sraopastraipa"/>
        <w:numPr>
          <w:ilvl w:val="0"/>
          <w:numId w:val="33"/>
        </w:numPr>
        <w:spacing w:line="240" w:lineRule="auto"/>
        <w:rPr>
          <w:rFonts w:eastAsia="Calibri"/>
        </w:rPr>
      </w:pPr>
      <w:r w:rsidRPr="00DE3A56">
        <w:rPr>
          <w:rFonts w:eastAsia="Calibri"/>
        </w:rPr>
        <w:t xml:space="preserve">Girdauskas, M. Teismo kompetencija keisti inkriminuojamos veikos kvalifikavimą: Konstitucijos reinterpretavimo prielaidos. </w:t>
      </w:r>
      <w:r w:rsidRPr="00DE3A56">
        <w:rPr>
          <w:rFonts w:eastAsia="Calibri"/>
          <w:i/>
        </w:rPr>
        <w:t>Teisės problemos.</w:t>
      </w:r>
      <w:r w:rsidRPr="00DE3A56">
        <w:rPr>
          <w:rFonts w:eastAsia="Calibri"/>
        </w:rPr>
        <w:t xml:space="preserve"> 2014, 91: 154-171. </w:t>
      </w:r>
    </w:p>
    <w:p w:rsidR="00FD0AEF" w:rsidRPr="00DE3A56" w:rsidRDefault="00FD0AEF" w:rsidP="00FD0AEF">
      <w:pPr>
        <w:pStyle w:val="Sraopastraipa"/>
        <w:numPr>
          <w:ilvl w:val="0"/>
          <w:numId w:val="33"/>
        </w:numPr>
        <w:spacing w:line="240" w:lineRule="auto"/>
        <w:rPr>
          <w:rFonts w:eastAsia="Calibri"/>
        </w:rPr>
      </w:pPr>
      <w:r w:rsidRPr="00DE3A56">
        <w:rPr>
          <w:rFonts w:eastAsia="Calibri"/>
        </w:rPr>
        <w:t xml:space="preserve">Girdauskas, M. Teismo kompetencija keisti inkriminuojamos veikos kvalifikavimą: Konstitucijos reinterpretavimo prielaidų paieška. </w:t>
      </w:r>
      <w:r w:rsidRPr="00DE3A56">
        <w:rPr>
          <w:rFonts w:eastAsia="Calibri"/>
          <w:i/>
        </w:rPr>
        <w:t>Teisės problemos.</w:t>
      </w:r>
      <w:r w:rsidRPr="00DE3A56">
        <w:rPr>
          <w:rFonts w:eastAsia="Calibri"/>
        </w:rPr>
        <w:t xml:space="preserve"> 2014, 90: 126-141. </w:t>
      </w:r>
    </w:p>
    <w:p w:rsidR="00FD0AEF" w:rsidRPr="002173A4" w:rsidRDefault="00FD0AEF" w:rsidP="00FD0AEF">
      <w:pPr>
        <w:pStyle w:val="Sraopastraipa"/>
        <w:numPr>
          <w:ilvl w:val="0"/>
          <w:numId w:val="33"/>
        </w:numPr>
        <w:spacing w:line="240" w:lineRule="auto"/>
        <w:rPr>
          <w:rFonts w:eastAsia="Calibri"/>
        </w:rPr>
      </w:pPr>
      <w:r w:rsidRPr="002173A4">
        <w:rPr>
          <w:rFonts w:eastAsia="Calibri"/>
        </w:rPr>
        <w:t xml:space="preserve">Goda, G. Baudžiamojo proceso forma: optimalių procesinių taisyklių paieškos galimybės ir ribos. </w:t>
      </w:r>
      <w:r w:rsidRPr="002173A4">
        <w:rPr>
          <w:rFonts w:eastAsia="Calibri"/>
          <w:i/>
        </w:rPr>
        <w:t>Teisė</w:t>
      </w:r>
      <w:r w:rsidRPr="002173A4">
        <w:rPr>
          <w:rFonts w:eastAsia="Calibri"/>
        </w:rPr>
        <w:t xml:space="preserve">. 2007, 65: 50-63. </w:t>
      </w:r>
    </w:p>
    <w:p w:rsidR="00FD0AEF" w:rsidRPr="00FC5D47" w:rsidRDefault="00FD0AEF" w:rsidP="00FD0AEF">
      <w:pPr>
        <w:pStyle w:val="Sraopastraipa"/>
        <w:numPr>
          <w:ilvl w:val="0"/>
          <w:numId w:val="33"/>
        </w:numPr>
        <w:spacing w:line="240" w:lineRule="auto"/>
        <w:rPr>
          <w:rFonts w:eastAsia="Calibri"/>
        </w:rPr>
      </w:pPr>
      <w:r w:rsidRPr="00FC5D47">
        <w:rPr>
          <w:rFonts w:eastAsia="Calibri"/>
        </w:rPr>
        <w:t xml:space="preserve">Goda, G. Konstitucinė justicija ir baudžiamojo proceso mokslas. </w:t>
      </w:r>
      <w:r w:rsidRPr="00FC5D47">
        <w:rPr>
          <w:rFonts w:eastAsia="Calibri"/>
          <w:i/>
        </w:rPr>
        <w:t>Teisė.</w:t>
      </w:r>
      <w:r w:rsidRPr="00FC5D47">
        <w:rPr>
          <w:rFonts w:eastAsia="Calibri"/>
        </w:rPr>
        <w:t xml:space="preserve"> 2011, 78: 68-92. </w:t>
      </w:r>
    </w:p>
    <w:p w:rsidR="00FD0AEF" w:rsidRPr="003D05F7" w:rsidRDefault="00FD0AEF" w:rsidP="00FD0AEF">
      <w:pPr>
        <w:pStyle w:val="Sraopastraipa"/>
        <w:numPr>
          <w:ilvl w:val="0"/>
          <w:numId w:val="33"/>
        </w:numPr>
        <w:spacing w:line="240" w:lineRule="auto"/>
        <w:rPr>
          <w:rFonts w:eastAsia="Calibri"/>
        </w:rPr>
      </w:pPr>
      <w:r>
        <w:rPr>
          <w:rFonts w:eastAsia="Calibri"/>
        </w:rPr>
        <w:t>Goda</w:t>
      </w:r>
      <w:r w:rsidRPr="003D05F7">
        <w:rPr>
          <w:rFonts w:eastAsia="Calibri"/>
        </w:rPr>
        <w:t>, G. Oficialumo principas ir jo išimtys Lietuvos baudžiamajame procese.</w:t>
      </w:r>
      <w:r>
        <w:rPr>
          <w:rFonts w:eastAsia="Calibri"/>
        </w:rPr>
        <w:t xml:space="preserve"> In</w:t>
      </w:r>
      <w:r w:rsidRPr="003D05F7">
        <w:rPr>
          <w:rFonts w:eastAsia="Calibri"/>
        </w:rPr>
        <w:t xml:space="preserve"> </w:t>
      </w:r>
      <w:r w:rsidRPr="003D05F7">
        <w:rPr>
          <w:rFonts w:eastAsia="Calibri"/>
          <w:i/>
        </w:rPr>
        <w:t>Lietuvos Respublikos baudžiamajam kodeksui – 10 metų</w:t>
      </w:r>
      <w:r w:rsidRPr="003D05F7">
        <w:rPr>
          <w:rFonts w:eastAsia="Calibri"/>
        </w:rPr>
        <w:t>. Viln</w:t>
      </w:r>
      <w:r>
        <w:rPr>
          <w:rFonts w:eastAsia="Calibri"/>
        </w:rPr>
        <w:t>ius: VĮ Registrų centras, 2011, p. 369-394.</w:t>
      </w:r>
    </w:p>
    <w:p w:rsidR="00AE6888" w:rsidRDefault="00AE6888" w:rsidP="00AE6888">
      <w:pPr>
        <w:pStyle w:val="Sraopastraipa"/>
        <w:numPr>
          <w:ilvl w:val="0"/>
          <w:numId w:val="33"/>
        </w:numPr>
        <w:spacing w:line="240" w:lineRule="auto"/>
        <w:rPr>
          <w:rFonts w:eastAsia="Calibri"/>
        </w:rPr>
      </w:pPr>
      <w:r w:rsidRPr="003D05F7">
        <w:rPr>
          <w:rFonts w:eastAsia="Calibri"/>
        </w:rPr>
        <w:t xml:space="preserve">Goda, G., Kazlauskas, M., Kuconis, P. </w:t>
      </w:r>
      <w:r>
        <w:rPr>
          <w:rFonts w:eastAsia="Calibri"/>
          <w:i/>
        </w:rPr>
        <w:t>Baudžiamojo proceso teisė.</w:t>
      </w:r>
      <w:r w:rsidRPr="003D05F7">
        <w:rPr>
          <w:rFonts w:eastAsia="Calibri"/>
          <w:i/>
        </w:rPr>
        <w:t xml:space="preserve"> </w:t>
      </w:r>
      <w:r>
        <w:rPr>
          <w:rFonts w:eastAsia="Calibri"/>
          <w:i/>
        </w:rPr>
        <w:t>V</w:t>
      </w:r>
      <w:r w:rsidRPr="003D05F7">
        <w:rPr>
          <w:rFonts w:eastAsia="Calibri"/>
          <w:i/>
        </w:rPr>
        <w:t>adovėlis</w:t>
      </w:r>
      <w:r w:rsidRPr="003D05F7">
        <w:rPr>
          <w:rFonts w:eastAsia="Calibri"/>
        </w:rPr>
        <w:t>. Vilnius:</w:t>
      </w:r>
      <w:r>
        <w:rPr>
          <w:rFonts w:eastAsia="Calibri"/>
        </w:rPr>
        <w:t xml:space="preserve"> Teisinės informacijos </w:t>
      </w:r>
      <w:r w:rsidRPr="003D05F7">
        <w:rPr>
          <w:rFonts w:eastAsia="Calibri"/>
        </w:rPr>
        <w:t>centras, 20</w:t>
      </w:r>
      <w:r>
        <w:rPr>
          <w:rFonts w:eastAsia="Calibri"/>
        </w:rPr>
        <w:t>05</w:t>
      </w:r>
      <w:r w:rsidRPr="003D05F7">
        <w:rPr>
          <w:rFonts w:eastAsia="Calibri"/>
        </w:rPr>
        <w:t xml:space="preserve">. </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Goda, G., Kazlauskas, M., Kuconis, P. </w:t>
      </w:r>
      <w:r>
        <w:rPr>
          <w:rFonts w:eastAsia="Calibri"/>
          <w:i/>
        </w:rPr>
        <w:t>Baudžiamojo proceso teisė.</w:t>
      </w:r>
      <w:r w:rsidRPr="003D05F7">
        <w:rPr>
          <w:rFonts w:eastAsia="Calibri"/>
          <w:i/>
        </w:rPr>
        <w:t xml:space="preserve"> </w:t>
      </w:r>
      <w:r>
        <w:rPr>
          <w:rFonts w:eastAsia="Calibri"/>
          <w:i/>
        </w:rPr>
        <w:t>V</w:t>
      </w:r>
      <w:r w:rsidRPr="003D05F7">
        <w:rPr>
          <w:rFonts w:eastAsia="Calibri"/>
          <w:i/>
        </w:rPr>
        <w:t>adovėlis</w:t>
      </w:r>
      <w:r w:rsidRPr="003D05F7">
        <w:rPr>
          <w:rFonts w:eastAsia="Calibri"/>
        </w:rPr>
        <w:t>. 2-oji pataisyta ir papildyta laida. Vilnius:</w:t>
      </w:r>
      <w:r>
        <w:rPr>
          <w:rFonts w:eastAsia="Calibri"/>
        </w:rPr>
        <w:t xml:space="preserve"> VĮ</w:t>
      </w:r>
      <w:r w:rsidRPr="003D05F7">
        <w:rPr>
          <w:rFonts w:eastAsia="Calibri"/>
        </w:rPr>
        <w:t xml:space="preserve"> Registrų centras, 2011.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Goldstein, A. S. Defining the Role of the Victim in Criminal Prosecution. </w:t>
      </w:r>
      <w:r w:rsidRPr="003D05F7">
        <w:rPr>
          <w:rFonts w:eastAsia="Calibri"/>
          <w:i/>
        </w:rPr>
        <w:t>Mississippi Law Journal</w:t>
      </w:r>
      <w:r w:rsidRPr="003D05F7">
        <w:rPr>
          <w:rFonts w:eastAsia="Calibri"/>
        </w:rPr>
        <w:t>. 1982, 52: 5</w:t>
      </w:r>
      <w:r>
        <w:rPr>
          <w:rFonts w:eastAsia="Calibri"/>
        </w:rPr>
        <w:t>15-562</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Golovachuk, O. S. </w:t>
      </w:r>
      <w:r>
        <w:rPr>
          <w:rFonts w:eastAsia="Calibri"/>
          <w:i/>
        </w:rPr>
        <w:t>Chastnoe obvineni</w:t>
      </w:r>
      <w:r w:rsidRPr="003D05F7">
        <w:rPr>
          <w:rFonts w:eastAsia="Calibri"/>
          <w:i/>
        </w:rPr>
        <w:t>e v ugolovnom proce</w:t>
      </w:r>
      <w:r>
        <w:rPr>
          <w:rFonts w:eastAsia="Calibri"/>
          <w:i/>
        </w:rPr>
        <w:t>s</w:t>
      </w:r>
      <w:r w:rsidRPr="003D05F7">
        <w:rPr>
          <w:rFonts w:eastAsia="Calibri"/>
          <w:i/>
        </w:rPr>
        <w:t>se</w:t>
      </w:r>
      <w:r w:rsidRPr="003D05F7">
        <w:rPr>
          <w:rFonts w:eastAsia="Calibri"/>
        </w:rPr>
        <w:t xml:space="preserve"> [Private Prosecution in Criminal Procedure]. Daktaro disertaci</w:t>
      </w:r>
      <w:r>
        <w:rPr>
          <w:rFonts w:eastAsia="Calibri"/>
        </w:rPr>
        <w:t>ja. Socialiniai mokslai (teisė). E</w:t>
      </w:r>
      <w:r w:rsidRPr="003D05F7">
        <w:rPr>
          <w:rFonts w:eastAsia="Calibri"/>
        </w:rPr>
        <w:t>katerinburg, 2001.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Grace, M. T. Criminal Alternative Dispute Resolution: Restoring Justice, Respecting Responsibility and Reniewing Public Norms. </w:t>
      </w:r>
      <w:r w:rsidRPr="003D05F7">
        <w:rPr>
          <w:rFonts w:eastAsia="Calibri"/>
          <w:i/>
          <w:iCs/>
        </w:rPr>
        <w:t xml:space="preserve">Vermont Law Review. </w:t>
      </w:r>
      <w:r w:rsidRPr="003D05F7">
        <w:rPr>
          <w:rFonts w:eastAsia="Calibri"/>
          <w:iCs/>
        </w:rPr>
        <w:t>2010,</w:t>
      </w:r>
      <w:r>
        <w:rPr>
          <w:rFonts w:eastAsia="Calibri"/>
          <w:iCs/>
        </w:rPr>
        <w:t xml:space="preserve"> </w:t>
      </w:r>
      <w:r w:rsidRPr="003D05F7">
        <w:rPr>
          <w:rFonts w:eastAsia="Calibri"/>
        </w:rPr>
        <w:t>34:</w:t>
      </w:r>
      <w:r>
        <w:rPr>
          <w:rFonts w:eastAsia="Calibri"/>
        </w:rPr>
        <w:t xml:space="preserve"> 563-596. </w:t>
      </w:r>
    </w:p>
    <w:p w:rsidR="00FD0AEF" w:rsidRPr="003D05F7" w:rsidRDefault="00FD0AEF" w:rsidP="00FD0AEF">
      <w:pPr>
        <w:pStyle w:val="Sraopastraipa"/>
        <w:numPr>
          <w:ilvl w:val="0"/>
          <w:numId w:val="33"/>
        </w:numPr>
        <w:spacing w:line="240" w:lineRule="auto"/>
        <w:rPr>
          <w:rFonts w:eastAsia="Calibri"/>
        </w:rPr>
      </w:pPr>
      <w:r w:rsidRPr="003D05F7">
        <w:rPr>
          <w:rFonts w:eastAsia="Calibri"/>
          <w:i/>
        </w:rPr>
        <w:t>Grazhdanskij process</w:t>
      </w:r>
      <w:r w:rsidRPr="003D05F7">
        <w:rPr>
          <w:rFonts w:eastAsia="Calibri"/>
        </w:rPr>
        <w:t xml:space="preserve"> [Civil Procedure]. </w:t>
      </w:r>
      <w:r>
        <w:rPr>
          <w:rFonts w:eastAsia="Calibri"/>
        </w:rPr>
        <w:t xml:space="preserve">(Red. </w:t>
      </w:r>
      <w:r w:rsidRPr="003D05F7">
        <w:rPr>
          <w:rFonts w:eastAsia="Calibri"/>
        </w:rPr>
        <w:t>Jarkov, V. V.</w:t>
      </w:r>
      <w:r>
        <w:rPr>
          <w:rFonts w:eastAsia="Calibri"/>
        </w:rPr>
        <w:t>).</w:t>
      </w:r>
      <w:r w:rsidRPr="003D05F7">
        <w:rPr>
          <w:rFonts w:eastAsia="Calibri"/>
        </w:rPr>
        <w:t xml:space="preserve"> Moskva</w:t>
      </w:r>
      <w:r>
        <w:rPr>
          <w:rFonts w:eastAsia="Calibri"/>
        </w:rPr>
        <w:t>: Bek</w:t>
      </w:r>
      <w:r w:rsidRPr="003D05F7">
        <w:rPr>
          <w:rFonts w:eastAsia="Calibri"/>
        </w:rPr>
        <w:t>, 2000.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Guberman, O. V. </w:t>
      </w:r>
      <w:r>
        <w:rPr>
          <w:rFonts w:eastAsia="Calibri"/>
          <w:i/>
        </w:rPr>
        <w:t>Proizvodstvo u mirovogo sud</w:t>
      </w:r>
      <w:r w:rsidRPr="003D05F7">
        <w:rPr>
          <w:rFonts w:eastAsia="Calibri"/>
          <w:i/>
        </w:rPr>
        <w:t>i: osobennosti sobiranija dokazatelstv po delam chastnogo obvinenija.</w:t>
      </w:r>
      <w:r w:rsidRPr="003D05F7">
        <w:rPr>
          <w:rFonts w:eastAsia="Calibri"/>
        </w:rPr>
        <w:t xml:space="preserve"> [Procedure in Magistrates Courts: Features of Evidence C</w:t>
      </w:r>
      <w:r>
        <w:rPr>
          <w:rFonts w:eastAsia="Calibri"/>
        </w:rPr>
        <w:t>ollection]. Daktaro disertacija</w:t>
      </w:r>
      <w:r w:rsidRPr="003D05F7">
        <w:rPr>
          <w:rFonts w:eastAsia="Calibri"/>
        </w:rPr>
        <w:t>.</w:t>
      </w:r>
      <w:r>
        <w:rPr>
          <w:rFonts w:eastAsia="Calibri"/>
        </w:rPr>
        <w:t xml:space="preserve"> </w:t>
      </w:r>
      <w:r w:rsidRPr="003D05F7">
        <w:rPr>
          <w:rFonts w:eastAsia="Calibri"/>
          <w:color w:val="000033"/>
        </w:rPr>
        <w:t>Socialiniai mokslai (teisė).</w:t>
      </w:r>
      <w:r w:rsidRPr="003D05F7">
        <w:rPr>
          <w:rFonts w:eastAsia="Calibri"/>
        </w:rPr>
        <w:t xml:space="preserve"> Nizhnij Novgorod, 2008.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Gušauskienė, M. Gynybos šalies teisė dalyvauti įrodinėjimo procese. In Kurapka, V. E., </w:t>
      </w:r>
      <w:r w:rsidRPr="000E5330">
        <w:rPr>
          <w:rFonts w:eastAsia="Calibri"/>
          <w:i/>
        </w:rPr>
        <w:t>et al</w:t>
      </w:r>
      <w:r w:rsidRPr="003D05F7">
        <w:rPr>
          <w:rFonts w:eastAsia="Calibri"/>
        </w:rPr>
        <w:t xml:space="preserve">. </w:t>
      </w:r>
      <w:r w:rsidRPr="003D05F7">
        <w:rPr>
          <w:rFonts w:eastAsia="Calibri"/>
          <w:i/>
        </w:rPr>
        <w:t>Baudžiamasis procesas: nuo teorijos iki įrodinėjimo (prof. dr. Eugenijaus Palskio atminimui). Mokslo studija</w:t>
      </w:r>
      <w:r w:rsidRPr="003D05F7">
        <w:rPr>
          <w:rFonts w:eastAsia="Calibri"/>
        </w:rPr>
        <w:t>. Vilnius: Mykolo Romerio universitetas, 2011</w:t>
      </w:r>
      <w:r>
        <w:rPr>
          <w:rFonts w:eastAsia="Calibri"/>
        </w:rPr>
        <w:t>, p.</w:t>
      </w:r>
      <w:r w:rsidRPr="003D05F7">
        <w:rPr>
          <w:rFonts w:eastAsia="Calibri"/>
        </w:rPr>
        <w:t xml:space="preserve"> 361-382.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Gušauskienė, M. Įtariamojo teisės į gynybą teisinis procesinis turinys ikiteisminio tyrimo stadijoje. In Ancelis, P., </w:t>
      </w:r>
      <w:r w:rsidRPr="000E5330">
        <w:rPr>
          <w:rFonts w:eastAsia="Calibri"/>
          <w:i/>
        </w:rPr>
        <w:t>et al</w:t>
      </w:r>
      <w:r w:rsidRPr="003D05F7">
        <w:rPr>
          <w:rFonts w:eastAsia="Calibri"/>
        </w:rPr>
        <w:t xml:space="preserve">. </w:t>
      </w:r>
      <w:r w:rsidRPr="003D05F7">
        <w:rPr>
          <w:rFonts w:eastAsia="Calibri"/>
          <w:i/>
        </w:rPr>
        <w:t>Sąžiningas baudžiamasis procesas: probleminiai aspektai</w:t>
      </w:r>
      <w:r w:rsidRPr="003D05F7">
        <w:rPr>
          <w:rFonts w:eastAsia="Calibri"/>
        </w:rPr>
        <w:t>. Vilnius: Industrus, 2009</w:t>
      </w:r>
      <w:r>
        <w:rPr>
          <w:rFonts w:eastAsia="Calibri"/>
        </w:rPr>
        <w:t xml:space="preserve">, p. </w:t>
      </w:r>
      <w:r w:rsidRPr="003D05F7">
        <w:rPr>
          <w:rFonts w:eastAsia="Calibri"/>
        </w:rPr>
        <w:t>217-257.</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Gušauskienė, M. Lygių procesinių teisių įgyvendinimo problemos ikiteisminiame tyrime. </w:t>
      </w:r>
      <w:r w:rsidRPr="003D05F7">
        <w:rPr>
          <w:rFonts w:eastAsia="Calibri"/>
          <w:i/>
        </w:rPr>
        <w:t>Jurisprudencija</w:t>
      </w:r>
      <w:r w:rsidRPr="003D05F7">
        <w:rPr>
          <w:rFonts w:eastAsia="Calibri"/>
        </w:rPr>
        <w:t xml:space="preserve">. 2005, 67 (59): 54-62. </w:t>
      </w:r>
    </w:p>
    <w:p w:rsidR="00FD0AEF" w:rsidRPr="003D05F7" w:rsidRDefault="00FD0AEF" w:rsidP="00FD0AEF">
      <w:pPr>
        <w:pStyle w:val="Sraopastraipa"/>
        <w:numPr>
          <w:ilvl w:val="0"/>
          <w:numId w:val="33"/>
        </w:numPr>
        <w:spacing w:line="240" w:lineRule="auto"/>
        <w:rPr>
          <w:rFonts w:eastAsia="Calibri"/>
        </w:rPr>
      </w:pPr>
      <w:r>
        <w:t xml:space="preserve">Gušauskienė, M. </w:t>
      </w:r>
      <w:r w:rsidRPr="00AA1245">
        <w:rPr>
          <w:i/>
        </w:rPr>
        <w:t>Teisė į gynybą atskleidžiant ir tiriant nusikalstamas veikas: teorinės teisinės prielaidos ir praktinio taikymo problemos</w:t>
      </w:r>
      <w:r>
        <w:t xml:space="preserve">. Daktaro disertacija. Socialiniai mokslai (teisė). Vilnius: Mykolo Romerio Universitetas,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Jankauskas, K. </w:t>
      </w:r>
      <w:r w:rsidRPr="003D05F7">
        <w:rPr>
          <w:rFonts w:eastAsia="Calibri"/>
          <w:i/>
        </w:rPr>
        <w:t>Teisės principų samprata ir jos įtvirtinimas konstitucinėje jurisprudencijoje</w:t>
      </w:r>
      <w:r w:rsidRPr="003D05F7">
        <w:rPr>
          <w:rFonts w:eastAsia="Calibri"/>
        </w:rPr>
        <w:t>. Daktaro disertacija. Socialiniai mokslai (teisė)</w:t>
      </w:r>
      <w:r>
        <w:rPr>
          <w:rFonts w:eastAsia="Calibri"/>
        </w:rPr>
        <w:t>.</w:t>
      </w:r>
      <w:r w:rsidRPr="003D05F7">
        <w:rPr>
          <w:rFonts w:eastAsia="Calibri"/>
        </w:rPr>
        <w:t xml:space="preserve"> Vilnius</w:t>
      </w:r>
      <w:r>
        <w:rPr>
          <w:rFonts w:eastAsia="Calibri"/>
        </w:rPr>
        <w:t>: Mykolo Romerio universitetas</w:t>
      </w:r>
      <w:r w:rsidRPr="003D05F7">
        <w:rPr>
          <w:rFonts w:eastAsia="Calibri"/>
        </w:rPr>
        <w:t xml:space="preserve">, 2005.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Jankauskas, K. Teisės principų samprata ir jų</w:t>
      </w:r>
      <w:r>
        <w:rPr>
          <w:rFonts w:eastAsia="Calibri"/>
        </w:rPr>
        <w:t xml:space="preserve"> </w:t>
      </w:r>
      <w:r w:rsidRPr="003D05F7">
        <w:rPr>
          <w:rFonts w:eastAsia="Calibri"/>
        </w:rPr>
        <w:t xml:space="preserve">formulavimo teisės aiškinimo aktuose ypatumai. </w:t>
      </w:r>
      <w:r w:rsidRPr="003D05F7">
        <w:rPr>
          <w:rFonts w:eastAsia="Calibri"/>
          <w:i/>
        </w:rPr>
        <w:t>Jurisprudencija</w:t>
      </w:r>
      <w:r>
        <w:rPr>
          <w:rFonts w:eastAsia="Calibri"/>
        </w:rPr>
        <w:t xml:space="preserve">. 2004, 51 </w:t>
      </w:r>
      <w:r w:rsidRPr="003D05F7">
        <w:rPr>
          <w:rFonts w:eastAsia="Calibri"/>
        </w:rPr>
        <w:t>(43): 17-31.</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Jaroshenko, Т. V. </w:t>
      </w:r>
      <w:r w:rsidRPr="003D05F7">
        <w:rPr>
          <w:rFonts w:eastAsia="Calibri"/>
          <w:i/>
        </w:rPr>
        <w:t>Princip dispozitivnosti v sovremennom ro</w:t>
      </w:r>
      <w:r>
        <w:rPr>
          <w:rFonts w:eastAsia="Calibri"/>
          <w:i/>
        </w:rPr>
        <w:t>s</w:t>
      </w:r>
      <w:r w:rsidRPr="003D05F7">
        <w:rPr>
          <w:rFonts w:eastAsia="Calibri"/>
          <w:i/>
        </w:rPr>
        <w:t>sijskom grazhdanskom proce</w:t>
      </w:r>
      <w:r>
        <w:rPr>
          <w:rFonts w:eastAsia="Calibri"/>
          <w:i/>
        </w:rPr>
        <w:t>s</w:t>
      </w:r>
      <w:r w:rsidRPr="003D05F7">
        <w:rPr>
          <w:rFonts w:eastAsia="Calibri"/>
          <w:i/>
        </w:rPr>
        <w:t xml:space="preserve">se </w:t>
      </w:r>
      <w:r w:rsidRPr="003D05F7">
        <w:rPr>
          <w:rFonts w:eastAsia="Calibri"/>
        </w:rPr>
        <w:t>[Principle of Dispositiveness in Modern Russian Civil Procedure]. Daktaro disertacija. Socialiniai mokslai (teisė). Мoskva,</w:t>
      </w:r>
      <w:r>
        <w:rPr>
          <w:rFonts w:eastAsia="Calibri"/>
        </w:rPr>
        <w:t xml:space="preserve"> </w:t>
      </w:r>
      <w:r w:rsidRPr="003D05F7">
        <w:rPr>
          <w:rFonts w:eastAsia="Calibri"/>
        </w:rPr>
        <w:t xml:space="preserve">1998. </w:t>
      </w:r>
    </w:p>
    <w:p w:rsidR="00FD0AEF" w:rsidRPr="00575B93" w:rsidRDefault="00FD0AEF" w:rsidP="00FD0AEF">
      <w:pPr>
        <w:pStyle w:val="Sraopastraipa"/>
        <w:numPr>
          <w:ilvl w:val="0"/>
          <w:numId w:val="33"/>
        </w:numPr>
        <w:spacing w:line="240" w:lineRule="auto"/>
        <w:rPr>
          <w:rFonts w:eastAsia="Calibri"/>
        </w:rPr>
      </w:pPr>
      <w:r w:rsidRPr="00575B93">
        <w:rPr>
          <w:rFonts w:eastAsia="Calibri"/>
        </w:rPr>
        <w:t xml:space="preserve">Jonaitis, M. </w:t>
      </w:r>
      <w:r w:rsidRPr="00575B93">
        <w:rPr>
          <w:rFonts w:eastAsia="Calibri"/>
          <w:i/>
        </w:rPr>
        <w:t>Romėnų privatinės teisės įtaka šiuolaikinei civilinei ir civilinio proceso teisei</w:t>
      </w:r>
      <w:r w:rsidRPr="00575B93">
        <w:rPr>
          <w:rFonts w:eastAsia="Calibri"/>
        </w:rPr>
        <w:t>. Daktaro disertacija. Socialiniai mokslai (teisė). Vilnius: Mykolo Romerio Universitetas, 2005.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Joutsen, M. Victim Participation in Proceedings and Sentencing in Europe. </w:t>
      </w:r>
      <w:r w:rsidRPr="003D05F7">
        <w:rPr>
          <w:rFonts w:eastAsia="Calibri"/>
          <w:i/>
        </w:rPr>
        <w:t>International Review of Victimology</w:t>
      </w:r>
      <w:r w:rsidRPr="003D05F7">
        <w:rPr>
          <w:rFonts w:eastAsia="Calibri"/>
        </w:rPr>
        <w:t>. 1994, 3: 57-67.</w:t>
      </w:r>
      <w:r>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Jung, H. Zur Rechtsstellung des Verletzten im Strafverfahren. </w:t>
      </w:r>
      <w:r w:rsidRPr="003D05F7">
        <w:rPr>
          <w:rFonts w:eastAsia="Calibri"/>
          <w:i/>
        </w:rPr>
        <w:t>Juristische Rundschau</w:t>
      </w:r>
      <w:r>
        <w:rPr>
          <w:rFonts w:eastAsia="Calibri"/>
        </w:rPr>
        <w:t>.</w:t>
      </w:r>
      <w:r w:rsidRPr="003D05F7">
        <w:rPr>
          <w:rFonts w:eastAsia="Calibri"/>
        </w:rPr>
        <w:t xml:space="preserve"> 1984, 8: 309-312.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Jurgaitis, R. Konstituciniai baudžiamojo proceso teisės pagrindai. In Ancelis, P., </w:t>
      </w:r>
      <w:r w:rsidRPr="00C50ECA">
        <w:rPr>
          <w:rFonts w:eastAsia="Calibri"/>
          <w:i/>
        </w:rPr>
        <w:t>et al</w:t>
      </w:r>
      <w:r w:rsidRPr="003D05F7">
        <w:rPr>
          <w:rFonts w:eastAsia="Calibri"/>
        </w:rPr>
        <w:t xml:space="preserve">. </w:t>
      </w:r>
      <w:r w:rsidRPr="003D05F7">
        <w:rPr>
          <w:rFonts w:eastAsia="Calibri"/>
          <w:i/>
        </w:rPr>
        <w:t>Sąžiningas baudžiamasis procesas: probleminiai aspektai</w:t>
      </w:r>
      <w:r w:rsidRPr="003D05F7">
        <w:rPr>
          <w:rFonts w:eastAsia="Calibri"/>
        </w:rPr>
        <w:t>. Vilnius: Industrus, 2009</w:t>
      </w:r>
      <w:r>
        <w:rPr>
          <w:rFonts w:eastAsia="Calibri"/>
        </w:rPr>
        <w:t>, p.</w:t>
      </w:r>
      <w:r w:rsidRPr="003D05F7">
        <w:rPr>
          <w:rFonts w:eastAsia="Calibri"/>
        </w:rPr>
        <w:t xml:space="preserve"> </w:t>
      </w:r>
      <w:r>
        <w:rPr>
          <w:rFonts w:eastAsia="Calibri"/>
        </w:rPr>
        <w:t>17-59</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Jurgaitis, R. </w:t>
      </w:r>
      <w:r w:rsidRPr="003D05F7">
        <w:rPr>
          <w:rFonts w:eastAsia="Calibri"/>
          <w:i/>
        </w:rPr>
        <w:t>Supaprastinta baudžiamoji procesinė forma</w:t>
      </w:r>
      <w:r w:rsidRPr="003D05F7">
        <w:rPr>
          <w:rFonts w:eastAsia="Calibri"/>
        </w:rPr>
        <w:t>. Daktaro disertacija. Socialiniai mokslai (teisė). Vilnius</w:t>
      </w:r>
      <w:r>
        <w:rPr>
          <w:rFonts w:eastAsia="Calibri"/>
        </w:rPr>
        <w:t>:</w:t>
      </w:r>
      <w:r w:rsidRPr="003D05F7">
        <w:rPr>
          <w:rFonts w:eastAsia="Calibri"/>
        </w:rPr>
        <w:t xml:space="preserve"> Lietuvos teisės universitetas</w:t>
      </w:r>
      <w:r>
        <w:rPr>
          <w:rFonts w:eastAsia="Calibri"/>
        </w:rPr>
        <w:t>,</w:t>
      </w:r>
      <w:r w:rsidRPr="003D05F7">
        <w:rPr>
          <w:rFonts w:eastAsia="Calibri"/>
        </w:rPr>
        <w:t xml:space="preserve">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Jurka, R. Diskusiniai liudytojo intereso egzistavimo baudžiamajame procese aspektai. </w:t>
      </w:r>
      <w:r w:rsidRPr="003D05F7">
        <w:rPr>
          <w:rFonts w:eastAsia="Calibri"/>
          <w:i/>
        </w:rPr>
        <w:t>Jurisprudencija</w:t>
      </w:r>
      <w:r w:rsidRPr="003D05F7">
        <w:rPr>
          <w:rFonts w:eastAsia="Calibri"/>
        </w:rPr>
        <w:t>. 2009, 1</w:t>
      </w:r>
      <w:r>
        <w:rPr>
          <w:rFonts w:eastAsia="Calibri"/>
        </w:rPr>
        <w:t xml:space="preserve"> </w:t>
      </w:r>
      <w:r w:rsidRPr="003D05F7">
        <w:rPr>
          <w:rFonts w:eastAsia="Calibri"/>
        </w:rPr>
        <w:t>(115): 3</w:t>
      </w:r>
      <w:r>
        <w:rPr>
          <w:rFonts w:eastAsia="Calibri"/>
        </w:rPr>
        <w:t>59</w:t>
      </w:r>
      <w:r w:rsidRPr="003D05F7">
        <w:rPr>
          <w:rFonts w:eastAsia="Calibri"/>
        </w:rPr>
        <w:t>-3</w:t>
      </w:r>
      <w:r>
        <w:rPr>
          <w:rFonts w:eastAsia="Calibri"/>
        </w:rPr>
        <w:t>76</w:t>
      </w:r>
      <w:r w:rsidRPr="003D05F7">
        <w:rPr>
          <w:rFonts w:eastAsia="Calibri"/>
        </w:rPr>
        <w:t xml:space="preserve">. </w:t>
      </w:r>
    </w:p>
    <w:p w:rsidR="00FD0AEF" w:rsidRPr="00C50ECA" w:rsidRDefault="00FD0AEF" w:rsidP="00FD0AEF">
      <w:pPr>
        <w:pStyle w:val="Sraopastraipa"/>
        <w:numPr>
          <w:ilvl w:val="0"/>
          <w:numId w:val="33"/>
        </w:numPr>
        <w:spacing w:line="240" w:lineRule="auto"/>
        <w:rPr>
          <w:rFonts w:eastAsia="Calibri"/>
        </w:rPr>
      </w:pPr>
      <w:r w:rsidRPr="003D05F7">
        <w:rPr>
          <w:rFonts w:eastAsia="Calibri"/>
        </w:rPr>
        <w:t xml:space="preserve">Jurka, R. Imuniteto įveikimas privataus kaltinimo bylų procese: esama būklė ir perspektyvos. In Prapiestis, J., </w:t>
      </w:r>
      <w:r w:rsidRPr="00C50ECA">
        <w:rPr>
          <w:rFonts w:eastAsia="Calibri"/>
          <w:i/>
        </w:rPr>
        <w:t>et al</w:t>
      </w:r>
      <w:r w:rsidRPr="003D05F7">
        <w:rPr>
          <w:rFonts w:eastAsia="Calibri"/>
        </w:rPr>
        <w:t xml:space="preserve">. </w:t>
      </w:r>
      <w:r w:rsidRPr="003D05F7">
        <w:rPr>
          <w:rFonts w:eastAsia="Calibri"/>
          <w:i/>
        </w:rPr>
        <w:t xml:space="preserve">Globalizacijos iššūkiai baudžiamajai justicijai: recenzuotų mokslinių straipsnių baudžiamosios teisės, bausmių vykdymo ir baudžiamojo </w:t>
      </w:r>
      <w:r w:rsidRPr="00C50ECA">
        <w:rPr>
          <w:rFonts w:eastAsia="Calibri"/>
          <w:i/>
        </w:rPr>
        <w:t>proceso klausimais rinkinys</w:t>
      </w:r>
      <w:r w:rsidRPr="00C50ECA">
        <w:rPr>
          <w:rFonts w:eastAsia="Calibri"/>
        </w:rPr>
        <w:t>. Vilnius: VĮ Registrų centras, 2014, p. 243-257.</w:t>
      </w:r>
    </w:p>
    <w:p w:rsidR="00FD0AEF" w:rsidRPr="00C50ECA" w:rsidRDefault="00FD0AEF" w:rsidP="00FD0AEF">
      <w:pPr>
        <w:pStyle w:val="Sraopastraipa"/>
        <w:numPr>
          <w:ilvl w:val="0"/>
          <w:numId w:val="33"/>
        </w:numPr>
        <w:spacing w:line="240" w:lineRule="auto"/>
      </w:pPr>
      <w:r w:rsidRPr="00C50ECA">
        <w:t xml:space="preserve">Jurka, R. Immunity of a Close Person as a Witness in Criminal Procedure of Lithuania: Problem with Sufficiency. </w:t>
      </w:r>
      <w:r w:rsidRPr="00C50ECA">
        <w:rPr>
          <w:i/>
        </w:rPr>
        <w:t>Jurisprudencija</w:t>
      </w:r>
      <w:r w:rsidRPr="00C50ECA">
        <w:t xml:space="preserve">. 2009, 3 (117): 163-177. </w:t>
      </w:r>
    </w:p>
    <w:p w:rsidR="00FD0AEF" w:rsidRPr="00C50ECA" w:rsidRDefault="00FD0AEF" w:rsidP="00FD0AEF">
      <w:pPr>
        <w:pStyle w:val="Sraopastraipa"/>
        <w:numPr>
          <w:ilvl w:val="0"/>
          <w:numId w:val="33"/>
        </w:numPr>
        <w:spacing w:line="240" w:lineRule="auto"/>
        <w:rPr>
          <w:rFonts w:eastAsia="Calibri"/>
        </w:rPr>
      </w:pPr>
      <w:r w:rsidRPr="00C50ECA">
        <w:rPr>
          <w:rFonts w:eastAsia="Calibri"/>
        </w:rPr>
        <w:t>Jurka, R. </w:t>
      </w:r>
      <w:r w:rsidRPr="00C50ECA">
        <w:rPr>
          <w:rFonts w:eastAsia="Calibri"/>
          <w:i/>
        </w:rPr>
        <w:t>Liudytojo procesinių interesų apsauga baudžiamajame procese: problemos ir perspektyvos.</w:t>
      </w:r>
      <w:r w:rsidRPr="00C50ECA">
        <w:rPr>
          <w:rFonts w:eastAsia="Calibri"/>
        </w:rPr>
        <w:t xml:space="preserve"> Daktaro disertacija. Socialiniai mokslai (teisė). Vilnius: Mykolo Romerio universitetas, 2008.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Jurka, R. </w:t>
      </w:r>
      <w:r w:rsidRPr="003D05F7">
        <w:rPr>
          <w:rFonts w:eastAsia="Calibri"/>
          <w:i/>
        </w:rPr>
        <w:t>Liudytojas ir jo procesiniai interesai baudžiamajame procese</w:t>
      </w:r>
      <w:r w:rsidRPr="003D05F7">
        <w:rPr>
          <w:rFonts w:eastAsia="Calibri"/>
        </w:rPr>
        <w:t xml:space="preserve">. Vilnius: VĮ </w:t>
      </w:r>
      <w:r>
        <w:rPr>
          <w:rFonts w:eastAsia="Calibri"/>
        </w:rPr>
        <w:t xml:space="preserve">VĮ </w:t>
      </w:r>
      <w:r w:rsidRPr="003D05F7">
        <w:rPr>
          <w:rFonts w:eastAsia="Calibri"/>
        </w:rPr>
        <w:t xml:space="preserve">Registrų centras, 2009.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Jurka, R. Žmogaus teisių gynimas Lietuvos baudžiamajame procese: antropocentrinio požiūrio link.</w:t>
      </w:r>
      <w:r>
        <w:rPr>
          <w:rFonts w:eastAsia="Calibri"/>
        </w:rPr>
        <w:t xml:space="preserve"> In</w:t>
      </w:r>
      <w:r w:rsidRPr="003D05F7">
        <w:rPr>
          <w:rFonts w:eastAsia="Calibri"/>
        </w:rPr>
        <w:t xml:space="preserve"> </w:t>
      </w:r>
      <w:r w:rsidRPr="003D05F7">
        <w:rPr>
          <w:rFonts w:eastAsia="Calibri"/>
          <w:i/>
        </w:rPr>
        <w:t>Regnum est: 1990 m. Kovo 11-osios Nepriklausomybės Aktui – 20. Liber Amicorum Vytautui Landsbergiui</w:t>
      </w:r>
      <w:r w:rsidRPr="003D05F7">
        <w:rPr>
          <w:rFonts w:eastAsia="Calibri"/>
        </w:rPr>
        <w:t>. Vilnius: Mykolo Romerio universiteto Leidybos centras, 2009</w:t>
      </w:r>
      <w:r>
        <w:rPr>
          <w:rFonts w:eastAsia="Calibri"/>
        </w:rPr>
        <w:t>, p.</w:t>
      </w:r>
      <w:r w:rsidRPr="003D05F7">
        <w:rPr>
          <w:rFonts w:eastAsia="Calibri"/>
        </w:rPr>
        <w:t xml:space="preserve"> 335-353.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Jurka, R., Juzukonis, S.</w:t>
      </w:r>
      <w:r>
        <w:rPr>
          <w:rFonts w:eastAsia="Calibri"/>
        </w:rPr>
        <w:t xml:space="preserve">, </w:t>
      </w:r>
      <w:r w:rsidRPr="003D05F7">
        <w:rPr>
          <w:rFonts w:eastAsia="Calibri"/>
        </w:rPr>
        <w:t xml:space="preserve">Randakevičienė, I. </w:t>
      </w:r>
      <w:r w:rsidRPr="003D05F7">
        <w:rPr>
          <w:rFonts w:eastAsia="Calibri"/>
          <w:i/>
        </w:rPr>
        <w:t>Baudžiamojo proceso dalyviai. Metodinė mokomoji priemonė</w:t>
      </w:r>
      <w:r w:rsidRPr="003D05F7">
        <w:rPr>
          <w:rFonts w:eastAsia="Calibri"/>
        </w:rPr>
        <w:t>. Vilnius: Industrus, 2009.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Jurkšaitytė, J. Ar Lietuvos Respublikos įstatymai leidžia naudoti tarpininkavimą kaip alternatyvų ginčų sprendimo būdą? </w:t>
      </w:r>
      <w:r w:rsidRPr="003D05F7">
        <w:rPr>
          <w:rFonts w:eastAsia="Calibri"/>
          <w:i/>
        </w:rPr>
        <w:t>Teisės apžvalga</w:t>
      </w:r>
      <w:r w:rsidRPr="003D05F7">
        <w:rPr>
          <w:rFonts w:eastAsia="Calibri"/>
        </w:rPr>
        <w:t>. 2001, 5:</w:t>
      </w:r>
      <w:r w:rsidRPr="003D05F7">
        <w:t xml:space="preserve"> 24–28.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Justickis, V. </w:t>
      </w:r>
      <w:r w:rsidRPr="003D05F7">
        <w:rPr>
          <w:rFonts w:eastAsia="Calibri"/>
          <w:i/>
        </w:rPr>
        <w:t>Bendroji ir teisės psichologija</w:t>
      </w:r>
      <w:r>
        <w:rPr>
          <w:rFonts w:eastAsia="Calibri"/>
          <w:i/>
        </w:rPr>
        <w:t>: vadovėlis</w:t>
      </w:r>
      <w:r w:rsidRPr="003D05F7">
        <w:rPr>
          <w:rFonts w:eastAsia="Calibri"/>
        </w:rPr>
        <w:t xml:space="preserve">. </w:t>
      </w:r>
      <w:r>
        <w:rPr>
          <w:rFonts w:eastAsia="Calibri"/>
        </w:rPr>
        <w:t xml:space="preserve">2-oji pataisyta ir papildyta laida. </w:t>
      </w:r>
      <w:r w:rsidRPr="003D05F7">
        <w:rPr>
          <w:rFonts w:eastAsia="Calibri"/>
        </w:rPr>
        <w:t xml:space="preserve">Vilnius: Mykolo Romerio universiteto Leidybos centras, 2004. </w:t>
      </w:r>
    </w:p>
    <w:p w:rsidR="00FD0AEF" w:rsidRPr="003D05F7" w:rsidRDefault="00FD0AEF" w:rsidP="00FD0AEF">
      <w:pPr>
        <w:pStyle w:val="Sraopastraipa"/>
        <w:numPr>
          <w:ilvl w:val="0"/>
          <w:numId w:val="33"/>
        </w:numPr>
        <w:spacing w:line="240" w:lineRule="auto"/>
        <w:rPr>
          <w:rFonts w:eastAsia="Calibri"/>
        </w:rPr>
      </w:pPr>
      <w:r>
        <w:rPr>
          <w:rFonts w:eastAsia="Calibri"/>
        </w:rPr>
        <w:t>Justickis, V., Valickas, G.</w:t>
      </w:r>
      <w:r w:rsidRPr="003D05F7">
        <w:rPr>
          <w:rFonts w:eastAsia="Calibri"/>
        </w:rPr>
        <w:t xml:space="preserve"> </w:t>
      </w:r>
      <w:r w:rsidRPr="003D05F7">
        <w:rPr>
          <w:rFonts w:eastAsia="Calibri"/>
          <w:bCs/>
          <w:i/>
        </w:rPr>
        <w:t>Procedūrinis teisingumas Lietuvos kriminalinėje justicijoje.</w:t>
      </w:r>
      <w:r w:rsidRPr="003D05F7">
        <w:rPr>
          <w:rFonts w:eastAsia="Calibri"/>
          <w:bCs/>
        </w:rPr>
        <w:t xml:space="preserve"> Vilnius: Mykolo Romerio Universiteto Leidybos centras, 2006.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Juzukonis, S. </w:t>
      </w:r>
      <w:r w:rsidRPr="003D05F7">
        <w:rPr>
          <w:rFonts w:eastAsia="Calibri"/>
          <w:i/>
        </w:rPr>
        <w:t>Nukentėjusiojo teisių apsauga baudžiamajame procese</w:t>
      </w:r>
      <w:r>
        <w:rPr>
          <w:rFonts w:eastAsia="Calibri"/>
        </w:rPr>
        <w:t>. Daktaro disertacija.</w:t>
      </w:r>
      <w:r w:rsidRPr="003D05F7">
        <w:rPr>
          <w:rFonts w:eastAsia="Calibri"/>
        </w:rPr>
        <w:t xml:space="preserve"> </w:t>
      </w:r>
      <w:r>
        <w:rPr>
          <w:rFonts w:eastAsia="Calibri"/>
        </w:rPr>
        <w:t>S</w:t>
      </w:r>
      <w:r w:rsidRPr="003D05F7">
        <w:rPr>
          <w:rFonts w:eastAsia="Calibri"/>
        </w:rPr>
        <w:t>ocialiniai mokslai (teisė). Vilnius</w:t>
      </w:r>
      <w:r>
        <w:rPr>
          <w:rFonts w:eastAsia="Calibri"/>
        </w:rPr>
        <w:t>:</w:t>
      </w:r>
      <w:r w:rsidRPr="009C1EF8">
        <w:rPr>
          <w:rFonts w:eastAsia="Calibri"/>
        </w:rPr>
        <w:t xml:space="preserve"> </w:t>
      </w:r>
      <w:r w:rsidRPr="003D05F7">
        <w:rPr>
          <w:rFonts w:eastAsia="Calibri"/>
        </w:rPr>
        <w:t>Lietuvos teisės universitetas, 2002.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Hae-June, A. Tribal Governments Should be Entitled to Special Solicitude: The Overarching Sentiment of the Parens Patriae Doctrine. </w:t>
      </w:r>
      <w:r w:rsidRPr="003D05F7">
        <w:rPr>
          <w:rFonts w:eastAsia="Calibri"/>
          <w:i/>
        </w:rPr>
        <w:t>Ecology Law Quarterly</w:t>
      </w:r>
      <w:r w:rsidRPr="003D05F7">
        <w:rPr>
          <w:rFonts w:eastAsia="Calibri"/>
        </w:rPr>
        <w:t>. 2010, 37: 625-652.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Hagen, J.</w:t>
      </w:r>
      <w:r>
        <w:rPr>
          <w:rFonts w:eastAsia="Calibri"/>
        </w:rPr>
        <w:t xml:space="preserve"> J.</w:t>
      </w:r>
      <w:r w:rsidRPr="003D05F7">
        <w:rPr>
          <w:rFonts w:eastAsia="Calibri"/>
        </w:rPr>
        <w:t xml:space="preserve"> Die sozi</w:t>
      </w:r>
      <w:r>
        <w:rPr>
          <w:rFonts w:eastAsia="Calibri"/>
        </w:rPr>
        <w:t xml:space="preserve">ale Funktion des Prozesses. </w:t>
      </w:r>
      <w:r w:rsidRPr="009C1EF8">
        <w:rPr>
          <w:rFonts w:eastAsia="Calibri"/>
          <w:i/>
        </w:rPr>
        <w:t>ZZP</w:t>
      </w:r>
      <w:r>
        <w:rPr>
          <w:rFonts w:eastAsia="Calibri"/>
        </w:rPr>
        <w:t>.</w:t>
      </w:r>
      <w:r w:rsidRPr="003D05F7">
        <w:rPr>
          <w:rFonts w:eastAsia="Calibri"/>
        </w:rPr>
        <w:t xml:space="preserve"> 1971, 84: 3</w:t>
      </w:r>
      <w:r>
        <w:rPr>
          <w:rFonts w:eastAsia="Calibri"/>
        </w:rPr>
        <w:t>85-3</w:t>
      </w:r>
      <w:r w:rsidRPr="003D05F7">
        <w:rPr>
          <w:rFonts w:eastAsia="Calibri"/>
        </w:rPr>
        <w:t>9</w:t>
      </w:r>
      <w:r>
        <w:rPr>
          <w:rFonts w:eastAsia="Calibri"/>
        </w:rPr>
        <w:t>5</w:t>
      </w:r>
      <w:r w:rsidRPr="003D05F7">
        <w:rPr>
          <w:rFonts w:eastAsia="Calibri"/>
        </w:rPr>
        <w:t>.</w:t>
      </w:r>
    </w:p>
    <w:p w:rsidR="00FD0AEF" w:rsidRPr="003D05F7" w:rsidRDefault="00FD0AEF" w:rsidP="00FD0AEF">
      <w:pPr>
        <w:pStyle w:val="Sraopastraipa"/>
        <w:numPr>
          <w:ilvl w:val="0"/>
          <w:numId w:val="33"/>
        </w:numPr>
        <w:spacing w:line="240" w:lineRule="auto"/>
      </w:pPr>
      <w:r w:rsidRPr="003D05F7">
        <w:t xml:space="preserve">Hay, D. The Criminal Prosecution in England and Its Historians. </w:t>
      </w:r>
      <w:r w:rsidRPr="003D05F7">
        <w:rPr>
          <w:i/>
        </w:rPr>
        <w:t>The Modern Law Review</w:t>
      </w:r>
      <w:r>
        <w:t>.</w:t>
      </w:r>
      <w:r w:rsidRPr="003D05F7">
        <w:t xml:space="preserve"> 1984, 47 (1): 1-29.</w:t>
      </w:r>
    </w:p>
    <w:p w:rsidR="00FD0AEF" w:rsidRPr="003D05F7" w:rsidRDefault="00FD0AEF" w:rsidP="00FD0AEF">
      <w:pPr>
        <w:pStyle w:val="Sraopastraipa"/>
        <w:numPr>
          <w:ilvl w:val="0"/>
          <w:numId w:val="33"/>
        </w:numPr>
        <w:spacing w:line="240" w:lineRule="auto"/>
      </w:pPr>
      <w:r w:rsidRPr="003D05F7">
        <w:t xml:space="preserve">Hay, D., Snyder, F. Using the Criminal Law: Policing, Private Prosecution and the State. In Hay, D., Snyder, F. </w:t>
      </w:r>
      <w:r w:rsidRPr="003D05F7">
        <w:rPr>
          <w:i/>
        </w:rPr>
        <w:t>Policing and Prosecution in Britain</w:t>
      </w:r>
      <w:r>
        <w:rPr>
          <w:i/>
        </w:rPr>
        <w:t>,</w:t>
      </w:r>
      <w:r w:rsidRPr="003D05F7">
        <w:rPr>
          <w:i/>
        </w:rPr>
        <w:t xml:space="preserve"> 1750-1850</w:t>
      </w:r>
      <w:r w:rsidRPr="003D05F7">
        <w:t xml:space="preserve">. Oxford: Clarendon Press, 1989.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Heger, M. Die Rolle des Opfers im Strafverfahren. </w:t>
      </w:r>
      <w:r w:rsidRPr="003D05F7">
        <w:rPr>
          <w:rFonts w:eastAsia="Calibri"/>
          <w:i/>
        </w:rPr>
        <w:t>Juristische Arbeitsblätter</w:t>
      </w:r>
      <w:r w:rsidRPr="003D05F7">
        <w:rPr>
          <w:rFonts w:eastAsia="Calibri"/>
        </w:rPr>
        <w:t>. 2007, 4: 244</w:t>
      </w:r>
      <w:r>
        <w:rPr>
          <w:rFonts w:eastAsia="Calibri"/>
        </w:rPr>
        <w:t>-248</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Helvetius, C. A.</w:t>
      </w:r>
      <w:r>
        <w:rPr>
          <w:rFonts w:eastAsia="Calibri"/>
        </w:rPr>
        <w:t xml:space="preserve"> </w:t>
      </w:r>
      <w:r>
        <w:rPr>
          <w:rFonts w:eastAsia="Calibri"/>
          <w:i/>
          <w:color w:val="000000"/>
        </w:rPr>
        <w:t>De l'esprit; or</w:t>
      </w:r>
      <w:r w:rsidRPr="003D05F7">
        <w:rPr>
          <w:rFonts w:eastAsia="Calibri"/>
          <w:i/>
          <w:color w:val="000000"/>
        </w:rPr>
        <w:t xml:space="preserve"> Essays on the </w:t>
      </w:r>
      <w:r>
        <w:rPr>
          <w:rFonts w:eastAsia="Calibri"/>
          <w:i/>
          <w:color w:val="000000"/>
        </w:rPr>
        <w:t>M</w:t>
      </w:r>
      <w:r w:rsidRPr="003D05F7">
        <w:rPr>
          <w:rFonts w:eastAsia="Calibri"/>
          <w:i/>
          <w:color w:val="000000"/>
        </w:rPr>
        <w:t xml:space="preserve">ind. Transl. To Which are </w:t>
      </w:r>
      <w:r>
        <w:rPr>
          <w:rFonts w:eastAsia="Calibri"/>
          <w:i/>
          <w:color w:val="000000"/>
        </w:rPr>
        <w:t>N</w:t>
      </w:r>
      <w:r w:rsidRPr="003D05F7">
        <w:rPr>
          <w:rFonts w:eastAsia="Calibri"/>
          <w:i/>
          <w:color w:val="000000"/>
        </w:rPr>
        <w:t xml:space="preserve">ow </w:t>
      </w:r>
      <w:r>
        <w:rPr>
          <w:rFonts w:eastAsia="Calibri"/>
          <w:i/>
          <w:color w:val="000000"/>
        </w:rPr>
        <w:t>Prefixed, a L</w:t>
      </w:r>
      <w:r w:rsidRPr="003D05F7">
        <w:rPr>
          <w:rFonts w:eastAsia="Calibri"/>
          <w:i/>
          <w:color w:val="000000"/>
        </w:rPr>
        <w:t xml:space="preserve">ife of the </w:t>
      </w:r>
      <w:r>
        <w:rPr>
          <w:rFonts w:eastAsia="Calibri"/>
          <w:i/>
          <w:color w:val="000000"/>
        </w:rPr>
        <w:t>Author and Prefatory S</w:t>
      </w:r>
      <w:r w:rsidRPr="003D05F7">
        <w:rPr>
          <w:rFonts w:eastAsia="Calibri"/>
          <w:i/>
          <w:color w:val="000000"/>
        </w:rPr>
        <w:t xml:space="preserve">trictures </w:t>
      </w:r>
      <w:r w:rsidRPr="003D05F7">
        <w:rPr>
          <w:rFonts w:eastAsia="Calibri"/>
          <w:bCs/>
        </w:rPr>
        <w:t xml:space="preserve">[interaktyvus]. </w:t>
      </w:r>
      <w:r>
        <w:rPr>
          <w:rFonts w:eastAsia="Calibri"/>
          <w:color w:val="000000"/>
        </w:rPr>
        <w:t>London: Lewis and Hamblin, Printers, Paternoster-Row</w:t>
      </w:r>
      <w:r w:rsidRPr="003D05F7">
        <w:rPr>
          <w:rFonts w:eastAsia="Calibri"/>
        </w:rPr>
        <w:t>, 1807</w:t>
      </w:r>
      <w:proofErr w:type="gramStart"/>
      <w:r w:rsidRPr="009C1EF8">
        <w:rPr>
          <w:rFonts w:eastAsia="Calibri"/>
        </w:rPr>
        <w:t xml:space="preserve"> </w:t>
      </w:r>
      <w:r>
        <w:rPr>
          <w:rFonts w:eastAsia="Calibri"/>
        </w:rPr>
        <w:t xml:space="preserve"> </w:t>
      </w:r>
      <w:proofErr w:type="gramEnd"/>
      <w:r w:rsidRPr="003D05F7">
        <w:rPr>
          <w:rFonts w:eastAsia="Calibri"/>
        </w:rPr>
        <w:t>[žiūrėta 2013-06-02]</w:t>
      </w:r>
      <w:r>
        <w:rPr>
          <w:rFonts w:eastAsia="Calibri"/>
        </w:rPr>
        <w:t>.</w:t>
      </w:r>
      <w:r w:rsidRPr="003D05F7">
        <w:rPr>
          <w:rFonts w:eastAsia="Calibri"/>
        </w:rPr>
        <w:t xml:space="preserve"> </w:t>
      </w:r>
      <w:r>
        <w:rPr>
          <w:rFonts w:eastAsia="Calibri"/>
        </w:rPr>
        <w:t>&lt;</w:t>
      </w:r>
      <w:r w:rsidRPr="003D05F7">
        <w:rPr>
          <w:rFonts w:eastAsia="Calibri"/>
        </w:rPr>
        <w:t>http://books.google.lt/books?id=5UAAAAAAQAAJ&amp;dq=Helvet</w:t>
      </w:r>
      <w:r>
        <w:rPr>
          <w:rFonts w:eastAsia="Calibri"/>
        </w:rPr>
        <w:t>ius&amp;hl=lt&amp;source=gbs_navlinks_s&gt;.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Henham, R., Mannozzi, G. Victim Participation and Sentencing in England and Italy: A Legal and Policy Analysis. </w:t>
      </w:r>
      <w:r w:rsidRPr="003D05F7">
        <w:rPr>
          <w:rFonts w:eastAsia="Calibri"/>
          <w:i/>
        </w:rPr>
        <w:t>European</w:t>
      </w:r>
      <w:r>
        <w:rPr>
          <w:rFonts w:eastAsia="Calibri"/>
          <w:i/>
        </w:rPr>
        <w:t xml:space="preserve"> </w:t>
      </w:r>
      <w:r w:rsidRPr="003D05F7">
        <w:rPr>
          <w:rFonts w:eastAsia="Calibri"/>
          <w:i/>
        </w:rPr>
        <w:t>Journal of Crime, Criminal Law and Criminal Justice</w:t>
      </w:r>
      <w:r>
        <w:rPr>
          <w:rFonts w:eastAsia="Calibri"/>
        </w:rPr>
        <w:t>. 2003, 11 (3): 278-317</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Hirschel, J. D., Rubin, K. B. Special Problems Faced by the Elderly Victims of</w:t>
      </w:r>
      <w:r>
        <w:rPr>
          <w:rFonts w:eastAsia="Calibri"/>
        </w:rPr>
        <w:t xml:space="preserve"> </w:t>
      </w:r>
      <w:r w:rsidRPr="003D05F7">
        <w:rPr>
          <w:rFonts w:eastAsia="Calibri"/>
        </w:rPr>
        <w:t xml:space="preserve">Crime. </w:t>
      </w:r>
      <w:r w:rsidRPr="003D05F7">
        <w:rPr>
          <w:rFonts w:eastAsia="Calibri"/>
          <w:i/>
        </w:rPr>
        <w:t>Journal of Sociology and Social Welfare</w:t>
      </w:r>
      <w:r w:rsidRPr="003D05F7">
        <w:rPr>
          <w:rFonts w:eastAsia="Calibri"/>
        </w:rPr>
        <w:t xml:space="preserve">. 1982, 9: 357-374. </w:t>
      </w:r>
    </w:p>
    <w:p w:rsidR="00FD0AEF" w:rsidRPr="003D05F7" w:rsidRDefault="00FD0AEF" w:rsidP="00FD0AEF">
      <w:pPr>
        <w:pStyle w:val="Sraopastraipa"/>
        <w:numPr>
          <w:ilvl w:val="0"/>
          <w:numId w:val="33"/>
        </w:numPr>
        <w:spacing w:line="240" w:lineRule="auto"/>
        <w:rPr>
          <w:iCs/>
        </w:rPr>
      </w:pPr>
      <w:r w:rsidRPr="003D05F7">
        <w:rPr>
          <w:rFonts w:eastAsia="Calibri"/>
        </w:rPr>
        <w:t>Hoffman, J. A., Schr</w:t>
      </w:r>
      <w:r>
        <w:rPr>
          <w:rFonts w:eastAsia="Calibri"/>
        </w:rPr>
        <w:t>ö</w:t>
      </w:r>
      <w:r w:rsidRPr="003D05F7">
        <w:rPr>
          <w:rFonts w:eastAsia="Calibri"/>
        </w:rPr>
        <w:t xml:space="preserve">der, W. A. Burdens of Proof. </w:t>
      </w:r>
      <w:r w:rsidRPr="003D05F7">
        <w:rPr>
          <w:rFonts w:eastAsia="Calibri"/>
          <w:i/>
        </w:rPr>
        <w:t>Alabama Law Review</w:t>
      </w:r>
      <w:r>
        <w:rPr>
          <w:rFonts w:eastAsia="Calibri"/>
        </w:rPr>
        <w:t>.</w:t>
      </w:r>
      <w:r w:rsidRPr="003D05F7">
        <w:rPr>
          <w:rFonts w:eastAsia="Calibri"/>
        </w:rPr>
        <w:t xml:space="preserve"> 1986-1987, 38:</w:t>
      </w:r>
      <w:r>
        <w:rPr>
          <w:rFonts w:eastAsia="Calibri"/>
        </w:rPr>
        <w:t xml:space="preserve"> </w:t>
      </w:r>
      <w:r w:rsidRPr="003D05F7">
        <w:rPr>
          <w:rFonts w:eastAsia="Calibri"/>
        </w:rPr>
        <w:t xml:space="preserve">31-81. </w:t>
      </w:r>
    </w:p>
    <w:p w:rsidR="00FD0AEF" w:rsidRPr="003D05F7" w:rsidRDefault="00FD0AEF" w:rsidP="00FD0AEF">
      <w:pPr>
        <w:pStyle w:val="Sraopastraipa"/>
        <w:numPr>
          <w:ilvl w:val="0"/>
          <w:numId w:val="33"/>
        </w:numPr>
        <w:spacing w:line="240" w:lineRule="auto"/>
        <w:rPr>
          <w:rFonts w:eastAsia="Calibri"/>
          <w:lang w:val="en-US"/>
        </w:rPr>
      </w:pPr>
      <w:r w:rsidRPr="003D05F7">
        <w:rPr>
          <w:rFonts w:eastAsia="Calibri"/>
        </w:rPr>
        <w:t xml:space="preserve">Holz, W. </w:t>
      </w:r>
      <w:r w:rsidRPr="003D05F7">
        <w:rPr>
          <w:rFonts w:eastAsia="Calibri"/>
          <w:i/>
        </w:rPr>
        <w:t>Justizgewähranspruch des Verbrechensopfers</w:t>
      </w:r>
      <w:r w:rsidRPr="003D05F7">
        <w:rPr>
          <w:rFonts w:eastAsia="Calibri"/>
        </w:rPr>
        <w:t>. Berlin:</w:t>
      </w:r>
      <w:r>
        <w:rPr>
          <w:rFonts w:eastAsia="Calibri"/>
        </w:rPr>
        <w:t xml:space="preserve"> </w:t>
      </w:r>
      <w:r w:rsidRPr="003D05F7">
        <w:rPr>
          <w:rFonts w:eastAsia="Calibri"/>
        </w:rPr>
        <w:t>Duncker &amp; Humblot, 2007.</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H</w:t>
      </w:r>
      <w:r w:rsidRPr="003D05F7">
        <w:rPr>
          <w:rFonts w:eastAsia="Calibri"/>
          <w:lang w:val="de-DE"/>
        </w:rPr>
        <w:t xml:space="preserve">örnle, T. </w:t>
      </w:r>
      <w:r w:rsidRPr="003D05F7">
        <w:rPr>
          <w:rFonts w:eastAsia="Calibri"/>
        </w:rPr>
        <w:t xml:space="preserve">Die Rolle des Opfers in der Straftheorie und im materiellen Strafrecht. </w:t>
      </w:r>
      <w:r w:rsidRPr="003D05F7">
        <w:rPr>
          <w:rFonts w:eastAsia="Calibri"/>
          <w:i/>
        </w:rPr>
        <w:t>Juristenzeitung</w:t>
      </w:r>
      <w:r>
        <w:rPr>
          <w:rFonts w:eastAsia="Calibri"/>
        </w:rPr>
        <w:t>.</w:t>
      </w:r>
      <w:r w:rsidRPr="003D05F7">
        <w:rPr>
          <w:rFonts w:eastAsia="Calibri"/>
        </w:rPr>
        <w:t xml:space="preserve"> 2006, 19: 950-957. </w:t>
      </w:r>
    </w:p>
    <w:p w:rsidR="00FD0AEF" w:rsidRPr="003D05F7" w:rsidRDefault="00FD0AEF" w:rsidP="00FD0AEF">
      <w:pPr>
        <w:pStyle w:val="Sraopastraipa"/>
        <w:numPr>
          <w:ilvl w:val="0"/>
          <w:numId w:val="33"/>
        </w:numPr>
        <w:spacing w:line="240" w:lineRule="auto"/>
        <w:rPr>
          <w:rFonts w:eastAsia="Calibri"/>
        </w:rPr>
      </w:pPr>
      <w:r>
        <w:rPr>
          <w:rFonts w:eastAsia="Calibri"/>
          <w:i/>
        </w:rPr>
        <w:t>Human Rights Files No. 13</w:t>
      </w:r>
      <w:r w:rsidRPr="003D05F7">
        <w:rPr>
          <w:rFonts w:eastAsia="Calibri"/>
          <w:i/>
        </w:rPr>
        <w:t xml:space="preserve"> Article 6 of the European Convention of Human Rights. </w:t>
      </w:r>
      <w:r>
        <w:rPr>
          <w:rFonts w:eastAsia="Calibri"/>
          <w:i/>
        </w:rPr>
        <w:t>The R</w:t>
      </w:r>
      <w:r w:rsidRPr="003D05F7">
        <w:rPr>
          <w:rFonts w:eastAsia="Calibri"/>
          <w:i/>
        </w:rPr>
        <w:t xml:space="preserve">ight to a </w:t>
      </w:r>
      <w:r>
        <w:rPr>
          <w:rFonts w:eastAsia="Calibri"/>
          <w:i/>
        </w:rPr>
        <w:t>Fair T</w:t>
      </w:r>
      <w:r w:rsidRPr="003D05F7">
        <w:rPr>
          <w:rFonts w:eastAsia="Calibri"/>
          <w:i/>
        </w:rPr>
        <w:t>rial</w:t>
      </w:r>
      <w:r w:rsidRPr="003D05F7">
        <w:rPr>
          <w:rFonts w:eastAsia="Calibri"/>
        </w:rPr>
        <w:t xml:space="preserve">. Strasbourg: Council of Europe Press, 1994. </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Kaminskienė, N. </w:t>
      </w:r>
      <w:r w:rsidRPr="003D05F7">
        <w:rPr>
          <w:rFonts w:eastAsia="Calibri"/>
          <w:i/>
        </w:rPr>
        <w:t>Alternatyvus civilinių ginčų sprendimas</w:t>
      </w:r>
      <w:r w:rsidRPr="003D05F7">
        <w:rPr>
          <w:rFonts w:eastAsia="Calibri"/>
        </w:rPr>
        <w:t xml:space="preserve">. Vilnius: VĮ Registrų centras, 2011. </w:t>
      </w:r>
    </w:p>
    <w:p w:rsidR="00FD0AEF" w:rsidRPr="00083263" w:rsidRDefault="00FD0AEF" w:rsidP="00FD0AEF">
      <w:pPr>
        <w:pStyle w:val="Sraopastraipa"/>
        <w:numPr>
          <w:ilvl w:val="0"/>
          <w:numId w:val="33"/>
        </w:numPr>
        <w:spacing w:line="240" w:lineRule="auto"/>
        <w:rPr>
          <w:rFonts w:eastAsia="Calibri"/>
        </w:rPr>
      </w:pPr>
      <w:r w:rsidRPr="00083263">
        <w:rPr>
          <w:rStyle w:val="st"/>
        </w:rPr>
        <w:t xml:space="preserve">Kaminskienė, N. Alternatyvus ginčų sprendimas. </w:t>
      </w:r>
      <w:r w:rsidRPr="00083263">
        <w:rPr>
          <w:rStyle w:val="st"/>
          <w:i/>
        </w:rPr>
        <w:t>Jurisprudencija</w:t>
      </w:r>
      <w:r w:rsidRPr="00083263">
        <w:rPr>
          <w:rStyle w:val="st"/>
        </w:rPr>
        <w:t>. 2006, 9 (87): 84–92.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Kaminskienė, N. Teisminė mediacija Lietuvoje. Quo vadis? </w:t>
      </w:r>
      <w:r w:rsidRPr="003D05F7">
        <w:rPr>
          <w:rFonts w:eastAsia="Calibri"/>
          <w:i/>
        </w:rPr>
        <w:t>Socialinis darbas</w:t>
      </w:r>
      <w:r>
        <w:rPr>
          <w:rFonts w:eastAsia="Calibri"/>
        </w:rPr>
        <w:t>. 2010,</w:t>
      </w:r>
      <w:r w:rsidRPr="003D05F7">
        <w:rPr>
          <w:rFonts w:eastAsia="Calibri"/>
        </w:rPr>
        <w:t xml:space="preserve"> 9</w:t>
      </w:r>
      <w:r>
        <w:rPr>
          <w:rFonts w:eastAsia="Calibri"/>
        </w:rPr>
        <w:t xml:space="preserve"> </w:t>
      </w:r>
      <w:r w:rsidRPr="003D05F7">
        <w:rPr>
          <w:rFonts w:eastAsia="Calibri"/>
        </w:rPr>
        <w:t xml:space="preserve">(1): 54-63.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Karmen, A. </w:t>
      </w:r>
      <w:r w:rsidRPr="003D05F7">
        <w:rPr>
          <w:rFonts w:eastAsia="Calibri"/>
          <w:i/>
        </w:rPr>
        <w:t>Crime Victims: an Introduction to Victimology.  </w:t>
      </w:r>
      <w:r>
        <w:rPr>
          <w:rFonts w:eastAsia="Calibri"/>
        </w:rPr>
        <w:t>5-oji laida</w:t>
      </w:r>
      <w:r w:rsidRPr="003D05F7">
        <w:rPr>
          <w:rFonts w:eastAsia="Calibri"/>
        </w:rPr>
        <w:t xml:space="preserve">. Belmont: Thomson/Wadsworth, 2004.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Katkalo, S. I., Lukashevich, V. Z. </w:t>
      </w:r>
      <w:r w:rsidRPr="003D05F7">
        <w:rPr>
          <w:rFonts w:eastAsia="Calibri"/>
          <w:i/>
        </w:rPr>
        <w:t>Sudoproizvodstvo po delam chastnogo obvinenija</w:t>
      </w:r>
      <w:r w:rsidRPr="003D05F7">
        <w:rPr>
          <w:rFonts w:eastAsia="Calibri"/>
        </w:rPr>
        <w:t xml:space="preserve"> [Legal Procedure in Private Prosecution Cases]. Leningrad: Leningradskij gosudarstvennyj universitet, 1972.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Kavaliauskienė, G. </w:t>
      </w:r>
      <w:r w:rsidRPr="003D05F7">
        <w:rPr>
          <w:rFonts w:eastAsia="Calibri"/>
          <w:i/>
        </w:rPr>
        <w:t>Proceso civilinėje byloje prielaidos ir sąlygos</w:t>
      </w:r>
      <w:r w:rsidRPr="003D05F7">
        <w:rPr>
          <w:rFonts w:eastAsia="Calibri"/>
        </w:rPr>
        <w:t>. Daktaro disertacija. Socialiniai mokslai (teisė). Vilnius</w:t>
      </w:r>
      <w:r>
        <w:rPr>
          <w:rFonts w:eastAsia="Calibri"/>
        </w:rPr>
        <w:t>: Mykolo Romerio universitetas</w:t>
      </w:r>
      <w:r w:rsidRPr="003D05F7">
        <w:rPr>
          <w:rFonts w:eastAsia="Calibri"/>
        </w:rPr>
        <w:t xml:space="preserve">, 2010.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Klerman, D. </w:t>
      </w:r>
      <w:r w:rsidRPr="004D4BD7">
        <w:rPr>
          <w:rFonts w:eastAsia="Calibri"/>
        </w:rPr>
        <w:t xml:space="preserve">Settlement and the Decline of Private Prosecution in Thirteenth-Century England. </w:t>
      </w:r>
      <w:r w:rsidRPr="003D05F7">
        <w:rPr>
          <w:rFonts w:eastAsia="Calibri"/>
          <w:i/>
        </w:rPr>
        <w:t>Law and History Review</w:t>
      </w:r>
      <w:r w:rsidRPr="003D05F7">
        <w:rPr>
          <w:rFonts w:eastAsia="Calibri"/>
        </w:rPr>
        <w:t>. 2001, 19</w:t>
      </w:r>
      <w:r>
        <w:rPr>
          <w:rFonts w:eastAsia="Calibri"/>
        </w:rPr>
        <w:t xml:space="preserve"> </w:t>
      </w:r>
      <w:r w:rsidRPr="003D05F7">
        <w:rPr>
          <w:rFonts w:eastAsia="Calibri"/>
        </w:rPr>
        <w:t>(1): 1-66.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Koewius, R. </w:t>
      </w:r>
      <w:r w:rsidRPr="003D05F7">
        <w:rPr>
          <w:rFonts w:eastAsia="Calibri"/>
          <w:i/>
        </w:rPr>
        <w:t>Die Rechtswirklichkeit der Privatklage</w:t>
      </w:r>
      <w:r w:rsidRPr="003D05F7">
        <w:rPr>
          <w:rFonts w:eastAsia="Calibri"/>
        </w:rPr>
        <w:t>. Berlin: Duncker &amp; Humblot, 1974.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Krapac, D. The Position of the Victim in Criminal Justice: A Restrained Central and Eastern European Perspective on the Victim-Offender Mediation. </w:t>
      </w:r>
      <w:r w:rsidRPr="003D05F7">
        <w:rPr>
          <w:rFonts w:eastAsia="Calibri"/>
          <w:i/>
        </w:rPr>
        <w:t>European Journal of Crime, Criminal Law and Criminal Justice</w:t>
      </w:r>
      <w:r>
        <w:rPr>
          <w:rFonts w:eastAsia="Calibri"/>
        </w:rPr>
        <w:t>.</w:t>
      </w:r>
      <w:r w:rsidRPr="003D05F7">
        <w:rPr>
          <w:rFonts w:eastAsia="Calibri"/>
        </w:rPr>
        <w:t xml:space="preserve"> 1995, 3</w:t>
      </w:r>
      <w:r>
        <w:rPr>
          <w:rFonts w:eastAsia="Calibri"/>
        </w:rPr>
        <w:t>: 230-240</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Krivka, E. Grupės ieškinys – veiksminga teisės į teisminę gynybą įgyvendinimo priemonė. </w:t>
      </w:r>
      <w:r w:rsidRPr="003D05F7">
        <w:rPr>
          <w:rFonts w:eastAsia="Calibri"/>
          <w:i/>
        </w:rPr>
        <w:t>Jurisprudencija</w:t>
      </w:r>
      <w:r w:rsidRPr="003D05F7">
        <w:rPr>
          <w:rFonts w:eastAsia="Calibri"/>
        </w:rPr>
        <w:t>. 2007, 4</w:t>
      </w:r>
      <w:r>
        <w:rPr>
          <w:rFonts w:eastAsia="Calibri"/>
        </w:rPr>
        <w:t xml:space="preserve"> </w:t>
      </w:r>
      <w:r w:rsidRPr="003D05F7">
        <w:rPr>
          <w:rFonts w:eastAsia="Calibri"/>
        </w:rPr>
        <w:t>(94): 29-34.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Krivka, E. </w:t>
      </w:r>
      <w:r w:rsidRPr="003D05F7">
        <w:rPr>
          <w:rFonts w:eastAsia="Calibri"/>
          <w:i/>
        </w:rPr>
        <w:t>Viešojo intereso gynimo problemos civiliniame procese.</w:t>
      </w:r>
      <w:r w:rsidRPr="003D05F7">
        <w:rPr>
          <w:rFonts w:eastAsia="Calibri"/>
        </w:rPr>
        <w:t xml:space="preserve"> Daktaro disertacija. Socialiniai mokslai (teisė). Vilnius: Mykolo Romerio universitetas, 2006. </w:t>
      </w:r>
    </w:p>
    <w:p w:rsidR="00FD0AEF" w:rsidRPr="00A77ADE" w:rsidRDefault="00FD0AEF" w:rsidP="00FD0AEF">
      <w:pPr>
        <w:pStyle w:val="Sraopastraipa"/>
        <w:numPr>
          <w:ilvl w:val="0"/>
          <w:numId w:val="33"/>
        </w:numPr>
        <w:spacing w:line="240" w:lineRule="auto"/>
      </w:pPr>
      <w:r w:rsidRPr="003D05F7">
        <w:rPr>
          <w:rFonts w:eastAsia="Calibri"/>
        </w:rPr>
        <w:lastRenderedPageBreak/>
        <w:t xml:space="preserve">Kuncevičius, G. </w:t>
      </w:r>
      <w:r w:rsidRPr="00A77ADE">
        <w:rPr>
          <w:rFonts w:eastAsia="Calibri"/>
          <w:i/>
        </w:rPr>
        <w:t>Administracinės sutarties institutas ir jo teorinis pagrindimas</w:t>
      </w:r>
      <w:r w:rsidRPr="003D05F7">
        <w:rPr>
          <w:rFonts w:eastAsia="Calibri"/>
        </w:rPr>
        <w:t xml:space="preserve">. Daktaro disertacija. Socialiniai mokslai (teisė). Vilnius: Mykolo Romerio universitetas, 2011. </w:t>
      </w:r>
    </w:p>
    <w:p w:rsidR="00FD0AEF" w:rsidRPr="003D05F7" w:rsidRDefault="00FD0AEF" w:rsidP="00FD0AEF">
      <w:pPr>
        <w:pStyle w:val="Sraopastraipa"/>
        <w:numPr>
          <w:ilvl w:val="0"/>
          <w:numId w:val="33"/>
        </w:numPr>
        <w:spacing w:line="240" w:lineRule="auto"/>
      </w:pPr>
      <w:r w:rsidRPr="00A77ADE">
        <w:t xml:space="preserve">Kūris, E. Koordinaciniai ir determinaciniai konstituciniai principai (1). </w:t>
      </w:r>
      <w:r w:rsidRPr="00A77ADE">
        <w:rPr>
          <w:i/>
        </w:rPr>
        <w:t>Jurisprudencija</w:t>
      </w:r>
      <w:r w:rsidRPr="00A77ADE">
        <w:t>. 2002, 26</w:t>
      </w:r>
      <w:r>
        <w:t xml:space="preserve"> </w:t>
      </w:r>
      <w:r w:rsidRPr="00A77ADE">
        <w:t>(18): 30–55.</w:t>
      </w:r>
    </w:p>
    <w:p w:rsidR="00FD0AEF" w:rsidRPr="003D05F7" w:rsidRDefault="00FD0AEF" w:rsidP="00FD0AEF">
      <w:pPr>
        <w:pStyle w:val="Puslapioinaostekstas"/>
        <w:numPr>
          <w:ilvl w:val="0"/>
          <w:numId w:val="33"/>
        </w:numPr>
        <w:jc w:val="both"/>
        <w:rPr>
          <w:sz w:val="24"/>
        </w:rPr>
      </w:pPr>
      <w:r w:rsidRPr="003D05F7">
        <w:rPr>
          <w:sz w:val="24"/>
        </w:rPr>
        <w:t xml:space="preserve">Kūris, E. Teismo precedentas kaip teisės šaltinis Lietuvoje: oficiali konstitucinė doktrina, teisinio mąstymo stereotipai ir kontrargumentai. </w:t>
      </w:r>
      <w:r w:rsidRPr="003D05F7">
        <w:rPr>
          <w:i/>
          <w:sz w:val="24"/>
        </w:rPr>
        <w:t>Jurisprudencija</w:t>
      </w:r>
      <w:r w:rsidRPr="003D05F7">
        <w:rPr>
          <w:sz w:val="24"/>
        </w:rPr>
        <w:t>. 2009, 2</w:t>
      </w:r>
      <w:r>
        <w:rPr>
          <w:sz w:val="24"/>
        </w:rPr>
        <w:t xml:space="preserve"> </w:t>
      </w:r>
      <w:r w:rsidRPr="003D05F7">
        <w:rPr>
          <w:sz w:val="24"/>
        </w:rPr>
        <w:t xml:space="preserve">(116): 131-149. </w:t>
      </w:r>
    </w:p>
    <w:p w:rsidR="00FD0AEF" w:rsidRPr="003D05F7" w:rsidRDefault="00FD0AEF" w:rsidP="00FD0AEF">
      <w:pPr>
        <w:pStyle w:val="Sraopastraipa"/>
        <w:numPr>
          <w:ilvl w:val="0"/>
          <w:numId w:val="33"/>
        </w:numPr>
        <w:spacing w:line="240" w:lineRule="auto"/>
        <w:rPr>
          <w:rFonts w:eastAsia="Calibri"/>
        </w:rPr>
      </w:pPr>
      <w:r w:rsidRPr="003D05F7">
        <w:rPr>
          <w:rFonts w:eastAsia="Calibri"/>
          <w:color w:val="000000"/>
        </w:rPr>
        <w:t xml:space="preserve">Langbein, J. H. </w:t>
      </w:r>
      <w:r w:rsidRPr="003D05F7">
        <w:rPr>
          <w:rFonts w:eastAsia="Calibri"/>
          <w:i/>
          <w:iCs/>
          <w:color w:val="000000"/>
        </w:rPr>
        <w:t xml:space="preserve">Prosecuting </w:t>
      </w:r>
      <w:r>
        <w:rPr>
          <w:rFonts w:eastAsia="Calibri"/>
          <w:i/>
          <w:iCs/>
          <w:color w:val="000000"/>
        </w:rPr>
        <w:t>Crime in the R</w:t>
      </w:r>
      <w:r w:rsidRPr="003D05F7">
        <w:rPr>
          <w:rFonts w:eastAsia="Calibri"/>
          <w:i/>
          <w:iCs/>
          <w:color w:val="000000"/>
        </w:rPr>
        <w:t>enaissance: England, Germany, France</w:t>
      </w:r>
      <w:r w:rsidRPr="003D05F7">
        <w:rPr>
          <w:rFonts w:eastAsia="Calibri"/>
          <w:color w:val="000000"/>
        </w:rPr>
        <w:t xml:space="preserve"> [interaktyvus]. Clark, New Jersey: </w:t>
      </w:r>
      <w:r>
        <w:rPr>
          <w:rFonts w:eastAsia="Calibri"/>
          <w:color w:val="000000"/>
        </w:rPr>
        <w:t>The Lawbook Exchange Ltd., 2005</w:t>
      </w:r>
      <w:r w:rsidRPr="003D05F7">
        <w:rPr>
          <w:rFonts w:eastAsia="Calibri"/>
          <w:color w:val="000000"/>
        </w:rPr>
        <w:t xml:space="preserve"> [žiūrėta 2012-01-06]</w:t>
      </w:r>
      <w:r>
        <w:rPr>
          <w:rFonts w:eastAsia="Calibri"/>
          <w:color w:val="000000"/>
        </w:rPr>
        <w:t>.</w:t>
      </w:r>
      <w:r w:rsidRPr="003D05F7">
        <w:rPr>
          <w:rFonts w:eastAsia="Calibri"/>
          <w:color w:val="000000"/>
        </w:rPr>
        <w:t xml:space="preserve"> &lt;</w:t>
      </w:r>
      <w:hyperlink r:id="rId13" w:anchor="v=onepage&amp;q&amp;f=false" w:history="1">
        <w:r w:rsidRPr="003D05F7">
          <w:rPr>
            <w:rFonts w:eastAsia="Calibri"/>
            <w:color w:val="0000FF"/>
            <w:u w:val="single"/>
          </w:rPr>
          <w:t>http://books.google.lt/books?id=Ae8-rRHi4KMC&amp;pg=PA78&amp;dq=Langbein,+J.+H.+Prosecuting+crime+in+the+renaissance:+England,+Germany,+France.&amp;hl=lt&amp;sa=X&amp;ei=bXMFT-_lE87AtAbQ-ZGCDw&amp;ved=0CC0Q6AEwAA#v=onepage&amp;q&amp;f=false</w:t>
        </w:r>
      </w:hyperlink>
      <w:r w:rsidRPr="003D05F7">
        <w:rPr>
          <w:rFonts w:eastAsia="Calibri"/>
          <w:color w:val="000000"/>
        </w:rPr>
        <w:t>&gt;</w:t>
      </w:r>
      <w:r>
        <w:rPr>
          <w:rFonts w:eastAsia="Calibri"/>
          <w:color w:val="000000"/>
        </w:rPr>
        <w:t>.</w:t>
      </w:r>
    </w:p>
    <w:p w:rsidR="00FD0AEF" w:rsidRPr="003D05F7" w:rsidRDefault="00FD0AEF" w:rsidP="00FD0AEF">
      <w:pPr>
        <w:pStyle w:val="Puslapioinaostekstas"/>
        <w:numPr>
          <w:ilvl w:val="0"/>
          <w:numId w:val="33"/>
        </w:numPr>
        <w:jc w:val="both"/>
        <w:rPr>
          <w:sz w:val="24"/>
        </w:rPr>
      </w:pPr>
      <w:r w:rsidRPr="003D05F7">
        <w:rPr>
          <w:sz w:val="24"/>
        </w:rPr>
        <w:t xml:space="preserve">Lanni, A. Social Norms in the Courts of Ancient Athens. </w:t>
      </w:r>
      <w:r w:rsidRPr="003D05F7">
        <w:rPr>
          <w:i/>
          <w:sz w:val="24"/>
        </w:rPr>
        <w:t>Journal of Legal Analysis, Forthcoming</w:t>
      </w:r>
      <w:r>
        <w:rPr>
          <w:i/>
          <w:sz w:val="24"/>
        </w:rPr>
        <w:t xml:space="preserve"> </w:t>
      </w:r>
      <w:r w:rsidRPr="003D05F7">
        <w:rPr>
          <w:sz w:val="24"/>
        </w:rPr>
        <w:t>[interaktyvus]. H</w:t>
      </w:r>
      <w:r>
        <w:rPr>
          <w:sz w:val="24"/>
        </w:rPr>
        <w:t>arvard Public Law Working Paper,</w:t>
      </w:r>
      <w:r w:rsidRPr="003D05F7">
        <w:rPr>
          <w:sz w:val="24"/>
        </w:rPr>
        <w:t xml:space="preserve"> 2008, 08-19 [žiūrėta 2013-07-20]</w:t>
      </w:r>
      <w:r>
        <w:rPr>
          <w:sz w:val="24"/>
        </w:rPr>
        <w:t>.</w:t>
      </w:r>
      <w:r w:rsidRPr="003D05F7">
        <w:rPr>
          <w:sz w:val="24"/>
        </w:rPr>
        <w:t xml:space="preserve"> &lt;http://ssrn.com/abstract=1213161&gt;</w:t>
      </w:r>
      <w:r>
        <w:rPr>
          <w:sz w:val="24"/>
        </w:rPr>
        <w:t>.</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Larin, A. M. </w:t>
      </w:r>
      <w:r w:rsidRPr="003D05F7">
        <w:rPr>
          <w:rFonts w:eastAsia="Calibri"/>
          <w:i/>
        </w:rPr>
        <w:t>Za</w:t>
      </w:r>
      <w:r>
        <w:rPr>
          <w:rFonts w:eastAsia="Calibri"/>
          <w:i/>
        </w:rPr>
        <w:t>shch</w:t>
      </w:r>
      <w:r w:rsidRPr="003D05F7">
        <w:rPr>
          <w:rFonts w:eastAsia="Calibri"/>
          <w:i/>
        </w:rPr>
        <w:t>ita prav poterpev</w:t>
      </w:r>
      <w:r>
        <w:rPr>
          <w:rFonts w:eastAsia="Calibri"/>
          <w:i/>
        </w:rPr>
        <w:t>sh</w:t>
      </w:r>
      <w:r w:rsidRPr="003D05F7">
        <w:rPr>
          <w:rFonts w:eastAsia="Calibri"/>
          <w:i/>
        </w:rPr>
        <w:t>ego v ugolovnom procese</w:t>
      </w:r>
      <w:r w:rsidRPr="003D05F7">
        <w:rPr>
          <w:rFonts w:eastAsia="Calibri"/>
        </w:rPr>
        <w:t xml:space="preserve"> [Protection of Victims‘ Rights in Criminal Procedure]. Мoskva</w:t>
      </w:r>
      <w:r>
        <w:rPr>
          <w:rFonts w:eastAsia="Calibri"/>
        </w:rPr>
        <w:t>: Bek</w:t>
      </w:r>
      <w:r w:rsidRPr="003D05F7">
        <w:rPr>
          <w:rFonts w:eastAsia="Calibri"/>
        </w:rPr>
        <w:t xml:space="preserve">, </w:t>
      </w:r>
      <w:r w:rsidRPr="003D05F7">
        <w:rPr>
          <w:rFonts w:eastAsia="Calibri"/>
          <w:lang w:val="uk-UA"/>
        </w:rPr>
        <w:t>1993.</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Laster, R. E. Criminal Restitution: A Survey of Its Past History and an Analysis of Its Present Usefulness. </w:t>
      </w:r>
      <w:r w:rsidRPr="003D05F7">
        <w:rPr>
          <w:rFonts w:eastAsia="Calibri"/>
          <w:i/>
        </w:rPr>
        <w:t>University of Richmond Law Review</w:t>
      </w:r>
      <w:r>
        <w:rPr>
          <w:rFonts w:eastAsia="Calibri"/>
        </w:rPr>
        <w:t>. 1970, 5: 71-98.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Laužikas, E., Mikelėnas, V., Nekrošius, V. </w:t>
      </w:r>
      <w:r w:rsidRPr="003D05F7">
        <w:rPr>
          <w:rFonts w:eastAsia="Calibri"/>
          <w:i/>
        </w:rPr>
        <w:t>Civilinio proceso teisė</w:t>
      </w:r>
      <w:r w:rsidRPr="003D05F7">
        <w:rPr>
          <w:rFonts w:eastAsia="Calibri"/>
        </w:rPr>
        <w:t xml:space="preserve">. I tomas. Vilnius: Justitia, 2003.  </w:t>
      </w:r>
    </w:p>
    <w:p w:rsidR="00006AF4" w:rsidRPr="00006AF4" w:rsidRDefault="00006AF4" w:rsidP="00006AF4">
      <w:pPr>
        <w:pStyle w:val="Sraopastraipa"/>
        <w:numPr>
          <w:ilvl w:val="0"/>
          <w:numId w:val="33"/>
        </w:numPr>
        <w:spacing w:line="240" w:lineRule="auto"/>
        <w:rPr>
          <w:rFonts w:eastAsia="Calibri"/>
        </w:rPr>
      </w:pPr>
      <w:r>
        <w:t xml:space="preserve">Leipold, D. Verfahrensbeschleunigung und Prozeβmaximen. In </w:t>
      </w:r>
      <w:r w:rsidRPr="004E064E">
        <w:rPr>
          <w:i/>
        </w:rPr>
        <w:t>Festschrift für Hans W. Fasching</w:t>
      </w:r>
      <w:r>
        <w:t>. Wien: Manz‘sche Verlags-und Universitätsbuchhandlung, 1988, p. 329-268.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Leonas, P. </w:t>
      </w:r>
      <w:r w:rsidRPr="003D05F7">
        <w:rPr>
          <w:rFonts w:eastAsia="Calibri"/>
          <w:i/>
          <w:iCs/>
        </w:rPr>
        <w:t>Teisės enciklopedijos paskaitos</w:t>
      </w:r>
      <w:r w:rsidRPr="003D05F7">
        <w:rPr>
          <w:rFonts w:eastAsia="Calibri"/>
        </w:rPr>
        <w:t>. Kaunas: Vytauto Didžiojo universiteto teisių fakultetas, 1931.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Leonas, P. </w:t>
      </w:r>
      <w:r w:rsidRPr="003D05F7">
        <w:rPr>
          <w:rFonts w:eastAsia="Calibri"/>
          <w:i/>
          <w:iCs/>
          <w:color w:val="000000"/>
        </w:rPr>
        <w:t>Teisės reliatyvumas</w:t>
      </w:r>
      <w:r w:rsidRPr="003D05F7">
        <w:rPr>
          <w:rFonts w:eastAsia="Calibri"/>
        </w:rPr>
        <w:t>. Kaunas</w:t>
      </w:r>
      <w:r>
        <w:rPr>
          <w:rFonts w:eastAsia="Calibri"/>
        </w:rPr>
        <w:t>:</w:t>
      </w:r>
      <w:r w:rsidRPr="003D05F7">
        <w:rPr>
          <w:rFonts w:eastAsia="Calibri"/>
        </w:rPr>
        <w:t xml:space="preserve"> Vytauto Didžiojo</w:t>
      </w:r>
      <w:r>
        <w:rPr>
          <w:rFonts w:eastAsia="Calibri"/>
        </w:rPr>
        <w:t xml:space="preserve"> universiteto teisių fakultetas</w:t>
      </w:r>
      <w:r w:rsidRPr="003D05F7">
        <w:rPr>
          <w:rFonts w:eastAsia="Calibri"/>
        </w:rPr>
        <w:t>, 1931.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Lewis, M., McCrimmon, L. </w:t>
      </w:r>
      <w:r w:rsidRPr="00004454">
        <w:rPr>
          <w:rFonts w:eastAsia="Calibri"/>
          <w:i/>
        </w:rPr>
        <w:t>The Role of ADR Processes in the Criminal Justice System: A View from Australia</w:t>
      </w:r>
      <w:proofErr w:type="gramStart"/>
      <w:r>
        <w:rPr>
          <w:rFonts w:eastAsia="Calibri"/>
        </w:rPr>
        <w:t xml:space="preserve">  </w:t>
      </w:r>
      <w:proofErr w:type="gramEnd"/>
      <w:r>
        <w:rPr>
          <w:rFonts w:eastAsia="Calibri"/>
        </w:rPr>
        <w:t>[interaktyvus].</w:t>
      </w:r>
      <w:r w:rsidRPr="003D05F7">
        <w:rPr>
          <w:rFonts w:eastAsia="Calibri"/>
        </w:rPr>
        <w:t xml:space="preserve"> </w:t>
      </w:r>
      <w:r>
        <w:rPr>
          <w:rFonts w:eastAsia="Calibri"/>
        </w:rPr>
        <w:t>2005 [žiūrėta 2013-08-05].</w:t>
      </w:r>
      <w:r w:rsidRPr="003D05F7">
        <w:rPr>
          <w:rFonts w:eastAsia="Calibri"/>
          <w:i/>
          <w:iCs/>
        </w:rPr>
        <w:t xml:space="preserve"> &lt;</w:t>
      </w:r>
      <w:r w:rsidRPr="003D05F7">
        <w:rPr>
          <w:rFonts w:eastAsia="Calibri"/>
        </w:rPr>
        <w:t xml:space="preserve">http://www.doj.gov.za/ alraesa/conferences/papers/ent_s3_mccrimmon.pdf&gt;.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Lieberman, J. K., Henry, J. F. </w:t>
      </w:r>
      <w:r w:rsidRPr="003D05F7">
        <w:rPr>
          <w:rFonts w:eastAsia="Calibri"/>
          <w:iCs/>
        </w:rPr>
        <w:t>Lessons from the Alter</w:t>
      </w:r>
      <w:r>
        <w:rPr>
          <w:rFonts w:eastAsia="Calibri"/>
          <w:iCs/>
        </w:rPr>
        <w:t>n</w:t>
      </w:r>
      <w:r w:rsidRPr="003D05F7">
        <w:rPr>
          <w:rFonts w:eastAsia="Calibri"/>
          <w:iCs/>
        </w:rPr>
        <w:t>ative Dispute Resolution Movement.</w:t>
      </w:r>
      <w:r>
        <w:rPr>
          <w:rFonts w:eastAsia="Calibri"/>
          <w:iCs/>
        </w:rPr>
        <w:t xml:space="preserve"> </w:t>
      </w:r>
      <w:r w:rsidRPr="003D05F7">
        <w:rPr>
          <w:rFonts w:eastAsia="Calibri"/>
          <w:i/>
        </w:rPr>
        <w:t>University of Chicago Law Revie</w:t>
      </w:r>
      <w:r>
        <w:rPr>
          <w:rFonts w:eastAsia="Calibri"/>
        </w:rPr>
        <w:t>w.</w:t>
      </w:r>
      <w:r w:rsidRPr="003D05F7">
        <w:rPr>
          <w:rFonts w:eastAsia="Calibri"/>
        </w:rPr>
        <w:t xml:space="preserve"> 1986</w:t>
      </w:r>
      <w:r>
        <w:rPr>
          <w:rFonts w:eastAsia="Calibri"/>
        </w:rPr>
        <w:t xml:space="preserve">, </w:t>
      </w:r>
      <w:r w:rsidRPr="003D05F7">
        <w:rPr>
          <w:rFonts w:eastAsia="Calibri"/>
        </w:rPr>
        <w:t xml:space="preserve">53: 424-439. </w:t>
      </w:r>
    </w:p>
    <w:p w:rsidR="00FD0AEF" w:rsidRPr="003D05F7" w:rsidRDefault="00FD0AEF" w:rsidP="00FD0AEF">
      <w:pPr>
        <w:pStyle w:val="Sraopastraipa"/>
        <w:numPr>
          <w:ilvl w:val="0"/>
          <w:numId w:val="33"/>
        </w:numPr>
        <w:spacing w:line="240" w:lineRule="auto"/>
        <w:rPr>
          <w:rFonts w:eastAsia="Calibri"/>
        </w:rPr>
      </w:pPr>
      <w:r w:rsidRPr="003D05F7">
        <w:rPr>
          <w:rFonts w:eastAsia="Calibri"/>
          <w:i/>
        </w:rPr>
        <w:t>Lietuvos konstitucinė teisė. Vadovėlis</w:t>
      </w:r>
      <w:r w:rsidRPr="003D05F7">
        <w:rPr>
          <w:rFonts w:eastAsia="Calibri"/>
        </w:rPr>
        <w:t xml:space="preserve">. Vilnius: LTU leidybos centras, 2001. </w:t>
      </w:r>
    </w:p>
    <w:p w:rsidR="00FD0AEF" w:rsidRPr="003D05F7" w:rsidRDefault="00FD0AEF" w:rsidP="00FD0AEF">
      <w:pPr>
        <w:pStyle w:val="Sraopastraipa"/>
        <w:numPr>
          <w:ilvl w:val="0"/>
          <w:numId w:val="33"/>
        </w:numPr>
        <w:spacing w:line="240" w:lineRule="auto"/>
        <w:rPr>
          <w:rFonts w:eastAsia="Calibri"/>
        </w:rPr>
      </w:pPr>
      <w:r w:rsidRPr="003D05F7">
        <w:rPr>
          <w:rFonts w:eastAsia="Calibri"/>
          <w:i/>
        </w:rPr>
        <w:t>Lietuvos Respublikos civilinio proceso kodekso komentaras. I dalis. Bendrosios nuostatos.</w:t>
      </w:r>
      <w:r>
        <w:rPr>
          <w:rFonts w:eastAsia="Calibri"/>
        </w:rPr>
        <w:t xml:space="preserve"> </w:t>
      </w:r>
      <w:r w:rsidRPr="003D05F7">
        <w:rPr>
          <w:rFonts w:eastAsia="Calibri"/>
        </w:rPr>
        <w:t>Vilnius: Justitia,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Lipczyńska, M. </w:t>
      </w:r>
      <w:r w:rsidRPr="003D05F7">
        <w:rPr>
          <w:rFonts w:eastAsia="Calibri"/>
          <w:i/>
        </w:rPr>
        <w:t>Oskarżenie prywatne</w:t>
      </w:r>
      <w:r w:rsidRPr="003D05F7">
        <w:rPr>
          <w:rFonts w:eastAsia="Calibri"/>
        </w:rPr>
        <w:t xml:space="preserve">. Warszawa, 1977.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Losis, E. </w:t>
      </w:r>
      <w:r w:rsidRPr="003D05F7">
        <w:rPr>
          <w:rFonts w:eastAsia="Calibri"/>
          <w:i/>
        </w:rPr>
        <w:t>Procesinės prievartos priemonės baudžiamajame procese</w:t>
      </w:r>
      <w:r w:rsidRPr="003D05F7">
        <w:rPr>
          <w:rFonts w:eastAsia="Calibri"/>
        </w:rPr>
        <w:t>. Daktaro disertaci</w:t>
      </w:r>
      <w:r>
        <w:rPr>
          <w:rFonts w:eastAsia="Calibri"/>
        </w:rPr>
        <w:t>ja. Socialiniai mokslai (teisė).</w:t>
      </w:r>
      <w:r w:rsidRPr="003D05F7">
        <w:rPr>
          <w:rFonts w:eastAsia="Calibri"/>
        </w:rPr>
        <w:t xml:space="preserve"> Vilnius</w:t>
      </w:r>
      <w:r>
        <w:rPr>
          <w:rFonts w:eastAsia="Calibri"/>
        </w:rPr>
        <w:t>: Mykolo Romerio universitetas</w:t>
      </w:r>
      <w:r w:rsidRPr="003D05F7">
        <w:rPr>
          <w:rFonts w:eastAsia="Calibri"/>
        </w:rPr>
        <w:t>, 2010.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Lukjanova, E. G. </w:t>
      </w:r>
      <w:r w:rsidRPr="003D05F7">
        <w:rPr>
          <w:rFonts w:eastAsia="Calibri"/>
          <w:i/>
        </w:rPr>
        <w:t xml:space="preserve">Teorija processualnogo prava </w:t>
      </w:r>
      <w:r w:rsidRPr="003D05F7">
        <w:rPr>
          <w:rFonts w:eastAsia="Calibri"/>
        </w:rPr>
        <w:t>[Theory of Procedural Law].</w:t>
      </w:r>
      <w:r>
        <w:rPr>
          <w:rFonts w:eastAsia="Calibri"/>
        </w:rPr>
        <w:t xml:space="preserve"> </w:t>
      </w:r>
      <w:r w:rsidRPr="003D05F7">
        <w:rPr>
          <w:rFonts w:eastAsia="Calibri"/>
        </w:rPr>
        <w:t>M</w:t>
      </w:r>
      <w:r>
        <w:rPr>
          <w:rFonts w:eastAsia="Calibri"/>
        </w:rPr>
        <w:t>o</w:t>
      </w:r>
      <w:r w:rsidRPr="003D05F7">
        <w:rPr>
          <w:rFonts w:eastAsia="Calibri"/>
        </w:rPr>
        <w:t>skva: Norma, 2003.</w:t>
      </w:r>
    </w:p>
    <w:p w:rsidR="00FD0AEF" w:rsidRPr="00952263" w:rsidRDefault="00FD0AEF" w:rsidP="00FD0AEF">
      <w:pPr>
        <w:pStyle w:val="Sraopastraipa"/>
        <w:numPr>
          <w:ilvl w:val="0"/>
          <w:numId w:val="33"/>
        </w:numPr>
        <w:spacing w:line="240" w:lineRule="auto"/>
        <w:rPr>
          <w:rFonts w:eastAsia="Calibri"/>
          <w:color w:val="0000FF"/>
          <w:u w:val="single"/>
        </w:rPr>
      </w:pPr>
      <w:r w:rsidRPr="003D05F7">
        <w:rPr>
          <w:rFonts w:eastAsia="Calibri"/>
        </w:rPr>
        <w:t>Ma, Y. Exploring th</w:t>
      </w:r>
      <w:r>
        <w:rPr>
          <w:rFonts w:eastAsia="Calibri"/>
        </w:rPr>
        <w:t>e</w:t>
      </w:r>
      <w:r w:rsidRPr="003D05F7">
        <w:rPr>
          <w:rFonts w:eastAsia="Calibri"/>
        </w:rPr>
        <w:t xml:space="preserve"> Origins of Public Prosecution. </w:t>
      </w:r>
      <w:r w:rsidRPr="003D05F7">
        <w:rPr>
          <w:rFonts w:eastAsia="Calibri"/>
          <w:i/>
          <w:iCs/>
        </w:rPr>
        <w:t>Inter</w:t>
      </w:r>
      <w:r>
        <w:rPr>
          <w:rFonts w:eastAsia="Calibri"/>
          <w:i/>
          <w:iCs/>
        </w:rPr>
        <w:t>national Criminal Justice Review</w:t>
      </w:r>
      <w:r w:rsidRPr="003D05F7">
        <w:rPr>
          <w:rFonts w:eastAsia="Calibri"/>
          <w:i/>
          <w:iCs/>
        </w:rPr>
        <w:t xml:space="preserve"> </w:t>
      </w:r>
      <w:r>
        <w:rPr>
          <w:rFonts w:eastAsia="Calibri"/>
          <w:iCs/>
        </w:rPr>
        <w:t>[interaktyvus].</w:t>
      </w:r>
      <w:r w:rsidRPr="003D05F7">
        <w:rPr>
          <w:rFonts w:eastAsia="Calibri"/>
        </w:rPr>
        <w:t xml:space="preserve"> </w:t>
      </w:r>
      <w:r>
        <w:rPr>
          <w:rFonts w:eastAsia="Calibri"/>
        </w:rPr>
        <w:t>2008, 18: 190-211</w:t>
      </w:r>
      <w:r w:rsidRPr="00ED4CE1">
        <w:rPr>
          <w:rFonts w:eastAsia="Calibri"/>
          <w:iCs/>
        </w:rPr>
        <w:t xml:space="preserve"> </w:t>
      </w:r>
      <w:r w:rsidRPr="003D05F7">
        <w:rPr>
          <w:rFonts w:eastAsia="Calibri"/>
        </w:rPr>
        <w:t>[žiūrėta 2011-12-22]</w:t>
      </w:r>
      <w:r>
        <w:rPr>
          <w:rFonts w:eastAsia="Calibri"/>
        </w:rPr>
        <w:t>.</w:t>
      </w:r>
      <w:r w:rsidRPr="003D05F7">
        <w:rPr>
          <w:rFonts w:eastAsia="Calibri"/>
        </w:rPr>
        <w:t xml:space="preserve"> </w:t>
      </w:r>
      <w:r>
        <w:rPr>
          <w:rFonts w:eastAsia="Calibri"/>
        </w:rPr>
        <w:t>&lt;</w:t>
      </w:r>
      <w:hyperlink r:id="rId14" w:history="1">
        <w:r w:rsidRPr="003D05F7">
          <w:rPr>
            <w:rFonts w:eastAsia="Calibri"/>
            <w:color w:val="0000FF"/>
            <w:u w:val="single"/>
          </w:rPr>
          <w:t>http://icj.sagepub.com/cgi/content/abstract/18/2/190</w:t>
        </w:r>
      </w:hyperlink>
      <w:r>
        <w:rPr>
          <w:rFonts w:eastAsia="Calibri"/>
          <w:color w:val="0000FF"/>
          <w:u w:val="single"/>
        </w:rPr>
        <w:t>&gt;.</w:t>
      </w:r>
    </w:p>
    <w:p w:rsidR="00FD0AEF" w:rsidRPr="003D05F7" w:rsidRDefault="00FD0AEF" w:rsidP="00FD0AEF">
      <w:pPr>
        <w:pStyle w:val="Sraopastraipa"/>
        <w:numPr>
          <w:ilvl w:val="0"/>
          <w:numId w:val="33"/>
        </w:numPr>
        <w:spacing w:line="240" w:lineRule="auto"/>
        <w:rPr>
          <w:rFonts w:eastAsia="Calibri"/>
        </w:rPr>
      </w:pPr>
      <w:r>
        <w:rPr>
          <w:rFonts w:eastAsia="Calibri"/>
        </w:rPr>
        <w:t xml:space="preserve">Mačys, V. </w:t>
      </w:r>
      <w:r w:rsidRPr="00952263">
        <w:rPr>
          <w:rFonts w:eastAsia="Calibri"/>
          <w:i/>
        </w:rPr>
        <w:t>Civilinio proceso paskaitos</w:t>
      </w:r>
      <w:r>
        <w:rPr>
          <w:rFonts w:eastAsia="Calibri"/>
        </w:rPr>
        <w:t xml:space="preserve">. </w:t>
      </w:r>
      <w:r w:rsidRPr="003D05F7">
        <w:rPr>
          <w:rFonts w:eastAsia="Calibri"/>
        </w:rPr>
        <w:t>Kaunas</w:t>
      </w:r>
      <w:r>
        <w:rPr>
          <w:rFonts w:eastAsia="Calibri"/>
        </w:rPr>
        <w:t>:</w:t>
      </w:r>
      <w:r w:rsidRPr="003D05F7">
        <w:rPr>
          <w:rFonts w:eastAsia="Calibri"/>
        </w:rPr>
        <w:t xml:space="preserve"> Vytauto Didžiojo</w:t>
      </w:r>
      <w:r>
        <w:rPr>
          <w:rFonts w:eastAsia="Calibri"/>
        </w:rPr>
        <w:t xml:space="preserve"> universiteto teisių fakultetas, 1924.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Maiwald, M. Die Beteiligung des Verletzten am Strafverfahren. </w:t>
      </w:r>
      <w:r w:rsidRPr="003D05F7">
        <w:rPr>
          <w:rFonts w:eastAsia="Calibri"/>
          <w:i/>
        </w:rPr>
        <w:t>GA</w:t>
      </w:r>
      <w:r>
        <w:rPr>
          <w:rFonts w:eastAsia="Calibri"/>
        </w:rPr>
        <w:t>.</w:t>
      </w:r>
      <w:r w:rsidRPr="003D05F7">
        <w:rPr>
          <w:rFonts w:eastAsia="Calibri"/>
        </w:rPr>
        <w:t xml:space="preserve"> 1970</w:t>
      </w:r>
      <w:r>
        <w:rPr>
          <w:rFonts w:eastAsia="Calibri"/>
        </w:rPr>
        <w:t>: 33-55</w:t>
      </w:r>
      <w:r w:rsidRPr="003D05F7">
        <w:rPr>
          <w:rFonts w:eastAsia="Calibri"/>
        </w:rPr>
        <w:t>.</w:t>
      </w:r>
    </w:p>
    <w:p w:rsidR="00FD0AEF" w:rsidRPr="003D05F7" w:rsidRDefault="00FD0AEF" w:rsidP="00FD0AEF">
      <w:pPr>
        <w:pStyle w:val="Sraopastraipa"/>
        <w:numPr>
          <w:ilvl w:val="0"/>
          <w:numId w:val="33"/>
        </w:numPr>
        <w:spacing w:line="240" w:lineRule="auto"/>
      </w:pPr>
      <w:r>
        <w:t>Maksj</w:t>
      </w:r>
      <w:r w:rsidRPr="003D05F7">
        <w:t xml:space="preserve">utin, M. V. </w:t>
      </w:r>
      <w:r w:rsidRPr="003D05F7">
        <w:rPr>
          <w:i/>
        </w:rPr>
        <w:t>Teorija jurisdikcionnogo proces</w:t>
      </w:r>
      <w:r>
        <w:rPr>
          <w:i/>
        </w:rPr>
        <w:t>s</w:t>
      </w:r>
      <w:r w:rsidRPr="003D05F7">
        <w:rPr>
          <w:i/>
        </w:rPr>
        <w:t>a</w:t>
      </w:r>
      <w:r w:rsidRPr="003D05F7">
        <w:t xml:space="preserve"> [Theory </w:t>
      </w:r>
      <w:r>
        <w:t>of Judicial Procedure].  Moskva: Moskovskij psikhologo-socialnyj institut,</w:t>
      </w:r>
      <w:r w:rsidRPr="003D05F7">
        <w:t xml:space="preserve">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Maslennikova, L. N. </w:t>
      </w:r>
      <w:r w:rsidRPr="003D05F7">
        <w:rPr>
          <w:rFonts w:eastAsia="Calibri"/>
          <w:i/>
        </w:rPr>
        <w:t xml:space="preserve">Metodologija poznanija publichnogo i chastnogo (dispozitivnogo) nachal v ugolovnom sudoproizvodstve </w:t>
      </w:r>
      <w:r w:rsidRPr="003D05F7">
        <w:rPr>
          <w:rFonts w:eastAsia="Calibri"/>
        </w:rPr>
        <w:t>[Methodology of Cognition of Public and Private (Dispositive) Origins in Criminal Procedure]. Moskva: Akademija upravlenija MVD Rossi</w:t>
      </w:r>
      <w:r>
        <w:rPr>
          <w:rFonts w:eastAsia="Calibri"/>
        </w:rPr>
        <w:t>i</w:t>
      </w:r>
      <w:r w:rsidRPr="003D05F7">
        <w:rPr>
          <w:rFonts w:eastAsia="Calibri"/>
        </w:rPr>
        <w:t>, 2000.</w:t>
      </w:r>
    </w:p>
    <w:p w:rsidR="00FD0AEF" w:rsidRPr="003D05F7" w:rsidRDefault="00FD0AEF" w:rsidP="00FD0AEF">
      <w:pPr>
        <w:pStyle w:val="Sraopastraipa"/>
        <w:numPr>
          <w:ilvl w:val="0"/>
          <w:numId w:val="33"/>
        </w:numPr>
        <w:spacing w:line="240" w:lineRule="auto"/>
        <w:rPr>
          <w:rFonts w:eastAsia="Calibri"/>
          <w:color w:val="FF0000"/>
        </w:rPr>
      </w:pPr>
      <w:r w:rsidRPr="003D05F7">
        <w:rPr>
          <w:rFonts w:eastAsia="Calibri"/>
        </w:rPr>
        <w:t xml:space="preserve">Matuizienė, E. Dispozityvumo samprata baudžiamajame procese. </w:t>
      </w:r>
      <w:r w:rsidRPr="003D05F7">
        <w:rPr>
          <w:rFonts w:eastAsia="Calibri"/>
          <w:i/>
        </w:rPr>
        <w:t>Socialinių mokslų studijos</w:t>
      </w:r>
      <w:r w:rsidRPr="003D05F7">
        <w:rPr>
          <w:rFonts w:eastAsia="Calibri"/>
        </w:rPr>
        <w:t>. 2009, 4</w:t>
      </w:r>
      <w:r>
        <w:rPr>
          <w:rFonts w:eastAsia="Calibri"/>
        </w:rPr>
        <w:t xml:space="preserve"> </w:t>
      </w:r>
      <w:r w:rsidRPr="003D05F7">
        <w:rPr>
          <w:rFonts w:eastAsia="Calibri"/>
        </w:rPr>
        <w:t>(4)</w:t>
      </w:r>
      <w:r>
        <w:rPr>
          <w:rFonts w:eastAsia="Calibri"/>
        </w:rPr>
        <w:t>:</w:t>
      </w:r>
      <w:r w:rsidRPr="003D05F7">
        <w:rPr>
          <w:rFonts w:eastAsia="Calibri"/>
        </w:rPr>
        <w:t xml:space="preserve"> </w:t>
      </w:r>
      <w:r>
        <w:rPr>
          <w:rFonts w:eastAsia="Calibri"/>
        </w:rPr>
        <w:t>295</w:t>
      </w:r>
      <w:r w:rsidRPr="003D05F7">
        <w:rPr>
          <w:rFonts w:eastAsia="Calibri"/>
        </w:rPr>
        <w:t>–31</w:t>
      </w:r>
      <w:r>
        <w:rPr>
          <w:rFonts w:eastAsia="Calibri"/>
        </w:rPr>
        <w:t>6</w:t>
      </w:r>
      <w:r w:rsidRPr="003D05F7">
        <w:rPr>
          <w:rFonts w:eastAsia="Calibri"/>
        </w:rPr>
        <w:t>.</w:t>
      </w:r>
    </w:p>
    <w:p w:rsidR="00FD0AEF" w:rsidRPr="003D05F7" w:rsidRDefault="00FD0AEF" w:rsidP="00FD0AEF">
      <w:pPr>
        <w:pStyle w:val="Sraopastraipa"/>
        <w:numPr>
          <w:ilvl w:val="0"/>
          <w:numId w:val="33"/>
        </w:numPr>
        <w:autoSpaceDE w:val="0"/>
        <w:autoSpaceDN w:val="0"/>
        <w:adjustRightInd w:val="0"/>
        <w:spacing w:line="240" w:lineRule="auto"/>
        <w:rPr>
          <w:rFonts w:eastAsia="Calibri"/>
          <w:color w:val="000000"/>
        </w:rPr>
      </w:pPr>
      <w:r w:rsidRPr="003D05F7">
        <w:rPr>
          <w:color w:val="000000"/>
        </w:rPr>
        <w:t xml:space="preserve">Matuizienė, E. Kai kurie privataus kaltinimo teisės įgyvendinimo aspektai. </w:t>
      </w:r>
      <w:r w:rsidRPr="003D05F7">
        <w:rPr>
          <w:i/>
          <w:color w:val="000000"/>
        </w:rPr>
        <w:t>Visuomenės saugumas ir viešoji tvarka.</w:t>
      </w:r>
      <w:r w:rsidRPr="003D05F7">
        <w:rPr>
          <w:color w:val="000000"/>
        </w:rPr>
        <w:t xml:space="preserve"> 2013, 10</w:t>
      </w:r>
      <w:r>
        <w:rPr>
          <w:color w:val="000000"/>
        </w:rPr>
        <w:t>:</w:t>
      </w:r>
      <w:r w:rsidRPr="003D05F7">
        <w:rPr>
          <w:color w:val="000000"/>
        </w:rPr>
        <w:t xml:space="preserve"> 86-108.</w:t>
      </w:r>
    </w:p>
    <w:p w:rsidR="00FD0AEF" w:rsidRPr="003D05F7" w:rsidRDefault="00FD0AEF" w:rsidP="00FD0AEF">
      <w:pPr>
        <w:pStyle w:val="Sraopastraipa"/>
        <w:numPr>
          <w:ilvl w:val="0"/>
          <w:numId w:val="33"/>
        </w:numPr>
        <w:autoSpaceDE w:val="0"/>
        <w:autoSpaceDN w:val="0"/>
        <w:adjustRightInd w:val="0"/>
        <w:spacing w:line="240" w:lineRule="auto"/>
        <w:rPr>
          <w:rFonts w:eastAsia="Calibri"/>
          <w:color w:val="000000"/>
        </w:rPr>
      </w:pPr>
      <w:r w:rsidRPr="003D05F7">
        <w:rPr>
          <w:rFonts w:eastAsia="Calibri"/>
          <w:color w:val="000000"/>
        </w:rPr>
        <w:t xml:space="preserve">Matuizienė, E. Nukentėjusiojo interesai baudžiamajame procese. </w:t>
      </w:r>
      <w:r w:rsidRPr="003D05F7">
        <w:rPr>
          <w:rFonts w:eastAsia="Calibri"/>
          <w:i/>
          <w:color w:val="000000"/>
        </w:rPr>
        <w:t>Socialinių mokslų studijos</w:t>
      </w:r>
      <w:r w:rsidRPr="003D05F7">
        <w:rPr>
          <w:rFonts w:eastAsia="Calibri"/>
          <w:color w:val="000000"/>
        </w:rPr>
        <w:t>. 2012, 4</w:t>
      </w:r>
      <w:r>
        <w:rPr>
          <w:rFonts w:eastAsia="Calibri"/>
          <w:color w:val="000000"/>
        </w:rPr>
        <w:t xml:space="preserve"> </w:t>
      </w:r>
      <w:r w:rsidRPr="003D05F7">
        <w:rPr>
          <w:rFonts w:eastAsia="Calibri"/>
          <w:color w:val="000000"/>
        </w:rPr>
        <w:t>(3): 11</w:t>
      </w:r>
      <w:r>
        <w:rPr>
          <w:rFonts w:eastAsia="Calibri"/>
          <w:color w:val="000000"/>
        </w:rPr>
        <w:t>77-1198</w:t>
      </w:r>
      <w:r w:rsidRPr="003D05F7">
        <w:rPr>
          <w:rFonts w:eastAsia="Calibri"/>
          <w:color w:val="000000"/>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Mayo, J. I. Dependent, Neglected and Delinquent Children: The State as Pariens Patriae. </w:t>
      </w:r>
      <w:r w:rsidRPr="003D05F7">
        <w:rPr>
          <w:rFonts w:eastAsia="Calibri"/>
          <w:i/>
        </w:rPr>
        <w:t>Journal of Juvenile Law</w:t>
      </w:r>
      <w:r w:rsidRPr="003D05F7">
        <w:rPr>
          <w:rFonts w:eastAsia="Calibri"/>
        </w:rPr>
        <w:t xml:space="preserve">. 1981, 5: 90-98. </w:t>
      </w:r>
    </w:p>
    <w:p w:rsidR="00FD0AEF" w:rsidRPr="003D05F7" w:rsidRDefault="00FD0AEF" w:rsidP="00FD0AEF">
      <w:pPr>
        <w:pStyle w:val="Sraopastraipa"/>
        <w:numPr>
          <w:ilvl w:val="0"/>
          <w:numId w:val="33"/>
        </w:numPr>
        <w:spacing w:line="240" w:lineRule="auto"/>
        <w:rPr>
          <w:rFonts w:eastAsia="Calibri"/>
          <w:lang w:val="en-US"/>
        </w:rPr>
      </w:pPr>
      <w:r w:rsidRPr="003D05F7">
        <w:rPr>
          <w:rFonts w:eastAsia="Calibri"/>
        </w:rPr>
        <w:t>Merino-Blanco</w:t>
      </w:r>
      <w:r>
        <w:rPr>
          <w:rFonts w:eastAsia="Calibri"/>
        </w:rPr>
        <w:t>,</w:t>
      </w:r>
      <w:r w:rsidRPr="003D05F7">
        <w:rPr>
          <w:rFonts w:eastAsia="Calibri"/>
        </w:rPr>
        <w:t xml:space="preserve"> E. </w:t>
      </w:r>
      <w:r>
        <w:rPr>
          <w:rFonts w:eastAsia="Calibri"/>
          <w:i/>
        </w:rPr>
        <w:t>Spanish L</w:t>
      </w:r>
      <w:r w:rsidRPr="003D05F7">
        <w:rPr>
          <w:rFonts w:eastAsia="Calibri"/>
          <w:i/>
        </w:rPr>
        <w:t xml:space="preserve">aw and </w:t>
      </w:r>
      <w:r>
        <w:rPr>
          <w:rFonts w:eastAsia="Calibri"/>
          <w:i/>
        </w:rPr>
        <w:t>L</w:t>
      </w:r>
      <w:r w:rsidRPr="003D05F7">
        <w:rPr>
          <w:rFonts w:eastAsia="Calibri"/>
          <w:i/>
        </w:rPr>
        <w:t xml:space="preserve">egal </w:t>
      </w:r>
      <w:r>
        <w:rPr>
          <w:rFonts w:eastAsia="Calibri"/>
          <w:i/>
        </w:rPr>
        <w:t>S</w:t>
      </w:r>
      <w:r w:rsidRPr="003D05F7">
        <w:rPr>
          <w:rFonts w:eastAsia="Calibri"/>
          <w:i/>
        </w:rPr>
        <w:t>ystem</w:t>
      </w:r>
      <w:r w:rsidRPr="003D05F7">
        <w:rPr>
          <w:rFonts w:eastAsia="Calibri"/>
        </w:rPr>
        <w:t xml:space="preserve">. </w:t>
      </w:r>
      <w:r>
        <w:rPr>
          <w:rFonts w:eastAsia="Calibri"/>
        </w:rPr>
        <w:t>2-oji laida</w:t>
      </w:r>
      <w:r w:rsidRPr="003D05F7">
        <w:rPr>
          <w:rFonts w:eastAsia="Calibri"/>
        </w:rPr>
        <w:t>. London: Sweet &amp; Maxwell, 2006.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Merkevičius, R. </w:t>
      </w:r>
      <w:r w:rsidRPr="003D05F7">
        <w:rPr>
          <w:rFonts w:eastAsia="Calibri"/>
          <w:i/>
        </w:rPr>
        <w:t>Baudžiamasis procesas: įtariamojo samprata</w:t>
      </w:r>
      <w:r w:rsidRPr="003D05F7">
        <w:rPr>
          <w:rFonts w:eastAsia="Calibri"/>
        </w:rPr>
        <w:t>. Vilnius: VĮ Registrų centro teisinės informacijos departamentas</w:t>
      </w:r>
      <w:r>
        <w:rPr>
          <w:rFonts w:eastAsia="Calibri"/>
        </w:rPr>
        <w:t>,</w:t>
      </w:r>
      <w:r w:rsidRPr="003D05F7">
        <w:rPr>
          <w:rFonts w:eastAsia="Calibri"/>
        </w:rPr>
        <w:t xml:space="preserve">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Merkevičius, R. Baudžiamojo proceso kodeksas: ar teisminio nagrinėjimo struktūra garantuoja teisingą teismą? In Ancelis, P., </w:t>
      </w:r>
      <w:r w:rsidRPr="00AB6589">
        <w:rPr>
          <w:rFonts w:eastAsia="Calibri"/>
          <w:i/>
        </w:rPr>
        <w:t>et al.</w:t>
      </w:r>
      <w:r w:rsidRPr="003D05F7">
        <w:rPr>
          <w:rFonts w:eastAsia="Calibri"/>
        </w:rPr>
        <w:t xml:space="preserve"> </w:t>
      </w:r>
      <w:r w:rsidRPr="003D05F7">
        <w:rPr>
          <w:rFonts w:eastAsia="Calibri"/>
          <w:i/>
        </w:rPr>
        <w:t>Sąžiningas baudžiamasis procesas: probleminiai aspektai</w:t>
      </w:r>
      <w:r>
        <w:rPr>
          <w:rFonts w:eastAsia="Calibri"/>
        </w:rPr>
        <w:t>. Vilnius: Industrus, 2009, p.</w:t>
      </w:r>
      <w:r w:rsidRPr="003D05F7">
        <w:rPr>
          <w:rFonts w:eastAsia="Calibri"/>
        </w:rPr>
        <w:t xml:space="preserve"> 135-173.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Merkevičius, R. Nemo tenetur se ipsum accusare principo turinys reformuotame baudžiamajame procese. </w:t>
      </w:r>
      <w:r w:rsidRPr="003D05F7">
        <w:rPr>
          <w:rFonts w:eastAsia="Calibri"/>
          <w:i/>
        </w:rPr>
        <w:t>Teisė</w:t>
      </w:r>
      <w:r>
        <w:rPr>
          <w:rFonts w:eastAsia="Calibri"/>
        </w:rPr>
        <w:t>.</w:t>
      </w:r>
      <w:r w:rsidRPr="003D05F7">
        <w:rPr>
          <w:rFonts w:eastAsia="Calibri"/>
        </w:rPr>
        <w:t xml:space="preserve"> 2006, 60: 50-67. </w:t>
      </w:r>
    </w:p>
    <w:p w:rsidR="00FD0AEF" w:rsidRPr="003D05F7" w:rsidRDefault="00FD0AEF" w:rsidP="00FD0AEF">
      <w:pPr>
        <w:pStyle w:val="Sraopastraipa"/>
        <w:numPr>
          <w:ilvl w:val="0"/>
          <w:numId w:val="33"/>
        </w:numPr>
        <w:spacing w:line="240" w:lineRule="auto"/>
        <w:rPr>
          <w:rFonts w:eastAsia="Calibri"/>
          <w:sz w:val="28"/>
        </w:rPr>
      </w:pPr>
      <w:r w:rsidRPr="003D05F7">
        <w:t xml:space="preserve">Meyer-Krapp, E. </w:t>
      </w:r>
      <w:r w:rsidRPr="003D05F7">
        <w:rPr>
          <w:bCs/>
          <w:i/>
        </w:rPr>
        <w:t>Das Klageerzwingungsverfahren</w:t>
      </w:r>
      <w:r w:rsidRPr="003D05F7">
        <w:rPr>
          <w:bCs/>
        </w:rPr>
        <w:t>. Daktaro disertacija.</w:t>
      </w:r>
      <w:r w:rsidRPr="003D05F7">
        <w:t xml:space="preserve"> </w:t>
      </w:r>
      <w:r w:rsidRPr="003D05F7">
        <w:rPr>
          <w:rFonts w:eastAsia="Calibri"/>
          <w:color w:val="000033"/>
        </w:rPr>
        <w:t>Socialiniai mokslai (teisė).</w:t>
      </w:r>
      <w:r w:rsidRPr="003D05F7">
        <w:rPr>
          <w:rFonts w:eastAsia="Calibri"/>
        </w:rPr>
        <w:t xml:space="preserve"> </w:t>
      </w:r>
      <w:r w:rsidRPr="003D05F7">
        <w:t>Göttingen, 2008.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Michailovič, I. Atkuriamojo teisingumo galimybės baudžiamojoje justicijoje. In Prapiestis, J., </w:t>
      </w:r>
      <w:r w:rsidRPr="00C42441">
        <w:rPr>
          <w:rFonts w:eastAsia="Calibri"/>
          <w:i/>
        </w:rPr>
        <w:t>et al.</w:t>
      </w:r>
      <w:r w:rsidRPr="003D05F7">
        <w:rPr>
          <w:rFonts w:eastAsia="Calibri"/>
        </w:rPr>
        <w:t xml:space="preserve"> </w:t>
      </w:r>
      <w:r w:rsidRPr="003D05F7">
        <w:rPr>
          <w:rFonts w:eastAsia="Calibri"/>
          <w:i/>
        </w:rPr>
        <w:t>Globalizacijos iššūkiai baudžiamajai justicijai: recenzuotų mokslinių straipsnių baudžiamosios teisės, bausmių vykdymo ir baudžiamojo proceso klausimais rinkinys</w:t>
      </w:r>
      <w:r w:rsidRPr="003D05F7">
        <w:rPr>
          <w:rFonts w:eastAsia="Calibri"/>
        </w:rPr>
        <w:t>. Vilnius:</w:t>
      </w:r>
      <w:r>
        <w:rPr>
          <w:rFonts w:eastAsia="Calibri"/>
        </w:rPr>
        <w:t xml:space="preserve"> VĮ</w:t>
      </w:r>
      <w:r w:rsidRPr="003D05F7">
        <w:rPr>
          <w:rFonts w:eastAsia="Calibri"/>
        </w:rPr>
        <w:t xml:space="preserve"> Registrų centras</w:t>
      </w:r>
      <w:r>
        <w:rPr>
          <w:rFonts w:eastAsia="Calibri"/>
        </w:rPr>
        <w:t>,</w:t>
      </w:r>
      <w:r w:rsidRPr="003D05F7">
        <w:rPr>
          <w:rFonts w:eastAsia="Calibri"/>
        </w:rPr>
        <w:t xml:space="preserve"> 2014</w:t>
      </w:r>
      <w:r>
        <w:rPr>
          <w:rFonts w:eastAsia="Calibri"/>
        </w:rPr>
        <w:t>, p.</w:t>
      </w:r>
      <w:r w:rsidRPr="003D05F7">
        <w:rPr>
          <w:rFonts w:eastAsia="Calibri"/>
        </w:rPr>
        <w:t xml:space="preserve"> 77-89.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Michailovič, I. </w:t>
      </w:r>
      <w:r w:rsidRPr="003D05F7">
        <w:rPr>
          <w:rFonts w:eastAsia="Calibri"/>
          <w:i/>
        </w:rPr>
        <w:t>Viktimologijos raida ir perspektyvos</w:t>
      </w:r>
      <w:r w:rsidRPr="003D05F7">
        <w:rPr>
          <w:rFonts w:eastAsia="Calibri"/>
        </w:rPr>
        <w:t>. Vilnius</w:t>
      </w:r>
      <w:r>
        <w:rPr>
          <w:rFonts w:eastAsia="Calibri"/>
        </w:rPr>
        <w:t>: Teisinės informacijos centras,</w:t>
      </w:r>
      <w:r w:rsidRPr="003D05F7">
        <w:rPr>
          <w:rFonts w:eastAsia="Calibri"/>
        </w:rPr>
        <w:t xml:space="preserve"> 2007. </w:t>
      </w:r>
    </w:p>
    <w:p w:rsidR="00FD0AEF" w:rsidRPr="003D05F7" w:rsidRDefault="00FD0AEF" w:rsidP="00FD0AEF">
      <w:pPr>
        <w:pStyle w:val="Sraopastraipa"/>
        <w:numPr>
          <w:ilvl w:val="0"/>
          <w:numId w:val="33"/>
        </w:numPr>
        <w:spacing w:line="240" w:lineRule="auto"/>
        <w:rPr>
          <w:rFonts w:eastAsia="Calibri"/>
        </w:rPr>
      </w:pPr>
      <w:r>
        <w:rPr>
          <w:rFonts w:eastAsia="Calibri"/>
        </w:rPr>
        <w:t>Michaj</w:t>
      </w:r>
      <w:r w:rsidRPr="003D05F7">
        <w:rPr>
          <w:rFonts w:eastAsia="Calibri"/>
        </w:rPr>
        <w:t xml:space="preserve">lovskij, I. V. </w:t>
      </w:r>
      <w:r>
        <w:rPr>
          <w:rFonts w:eastAsia="Calibri"/>
          <w:i/>
        </w:rPr>
        <w:t>Osnovnye principy organizaci</w:t>
      </w:r>
      <w:r w:rsidRPr="003D05F7">
        <w:rPr>
          <w:rFonts w:eastAsia="Calibri"/>
          <w:i/>
        </w:rPr>
        <w:t>i ugolovnogo suda</w:t>
      </w:r>
      <w:r>
        <w:rPr>
          <w:rFonts w:eastAsia="Calibri"/>
          <w:i/>
        </w:rPr>
        <w:t xml:space="preserve"> </w:t>
      </w:r>
      <w:r>
        <w:rPr>
          <w:rFonts w:eastAsia="Calibri"/>
        </w:rPr>
        <w:t>[Basic Principles of Organizing</w:t>
      </w:r>
      <w:r w:rsidRPr="003D05F7">
        <w:rPr>
          <w:rFonts w:eastAsia="Calibri"/>
        </w:rPr>
        <w:t xml:space="preserve"> Criminal Court]. Tomsk, 1905.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Mikelėnas, V. </w:t>
      </w:r>
      <w:r w:rsidRPr="003D05F7">
        <w:rPr>
          <w:rFonts w:eastAsia="Calibri"/>
          <w:i/>
        </w:rPr>
        <w:t>Civilinis procesas</w:t>
      </w:r>
      <w:r w:rsidRPr="00C42441">
        <w:rPr>
          <w:rFonts w:eastAsia="Calibri"/>
        </w:rPr>
        <w:t>. II dalis.</w:t>
      </w:r>
      <w:r w:rsidRPr="003D05F7">
        <w:rPr>
          <w:rFonts w:eastAsia="Calibri"/>
        </w:rPr>
        <w:t xml:space="preserve"> Vilnius: Justitia, 1997.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Mikelėnas, V. Quo vadis? Arba eksperimentuojama toliau. </w:t>
      </w:r>
      <w:r w:rsidRPr="003D05F7">
        <w:rPr>
          <w:rFonts w:eastAsia="Calibri"/>
          <w:i/>
        </w:rPr>
        <w:t>Justi</w:t>
      </w:r>
      <w:r>
        <w:rPr>
          <w:rFonts w:eastAsia="Calibri"/>
          <w:i/>
        </w:rPr>
        <w:t>ti</w:t>
      </w:r>
      <w:r w:rsidRPr="003D05F7">
        <w:rPr>
          <w:rFonts w:eastAsia="Calibri"/>
          <w:i/>
        </w:rPr>
        <w:t>a</w:t>
      </w:r>
      <w:r>
        <w:rPr>
          <w:rFonts w:eastAsia="Calibri"/>
        </w:rPr>
        <w:t>.</w:t>
      </w:r>
      <w:r w:rsidRPr="003D05F7">
        <w:rPr>
          <w:rFonts w:eastAsia="Calibri"/>
        </w:rPr>
        <w:t xml:space="preserve"> 1999, 4</w:t>
      </w:r>
      <w:r>
        <w:rPr>
          <w:rFonts w:eastAsia="Calibri"/>
        </w:rPr>
        <w:t xml:space="preserve"> (22)</w:t>
      </w:r>
      <w:r w:rsidRPr="003D05F7">
        <w:rPr>
          <w:rFonts w:eastAsia="Calibri"/>
        </w:rPr>
        <w:t xml:space="preserve">: </w:t>
      </w:r>
      <w:r>
        <w:rPr>
          <w:rFonts w:eastAsia="Calibri"/>
        </w:rPr>
        <w:t>2-4, 24-25.</w:t>
      </w:r>
      <w:r w:rsidRPr="003D05F7">
        <w:rPr>
          <w:rFonts w:eastAsia="Calibri"/>
        </w:rPr>
        <w:t xml:space="preserve"> </w:t>
      </w:r>
    </w:p>
    <w:p w:rsidR="00FD0AEF" w:rsidRPr="003D05F7" w:rsidRDefault="00FD0AEF" w:rsidP="00FD0AEF">
      <w:pPr>
        <w:pStyle w:val="Sraopastraipa"/>
        <w:numPr>
          <w:ilvl w:val="0"/>
          <w:numId w:val="33"/>
        </w:numPr>
        <w:autoSpaceDE w:val="0"/>
        <w:autoSpaceDN w:val="0"/>
        <w:adjustRightInd w:val="0"/>
        <w:spacing w:line="240" w:lineRule="auto"/>
        <w:rPr>
          <w:rFonts w:eastAsia="Calibri"/>
        </w:rPr>
      </w:pPr>
      <w:r w:rsidRPr="003D05F7">
        <w:rPr>
          <w:rFonts w:eastAsia="Calibri"/>
        </w:rPr>
        <w:t xml:space="preserve">Mikelėnienė, D., Mikelėnas, V. Neturtinės žalos kompensavimas. </w:t>
      </w:r>
      <w:r w:rsidRPr="003D05F7">
        <w:rPr>
          <w:rFonts w:eastAsia="Calibri"/>
          <w:i/>
          <w:iCs/>
        </w:rPr>
        <w:t>Justitia</w:t>
      </w:r>
      <w:r>
        <w:rPr>
          <w:rFonts w:eastAsia="Calibri"/>
        </w:rPr>
        <w:t>. 1998, 2: 2-5,</w:t>
      </w:r>
      <w:r w:rsidRPr="003D05F7">
        <w:rPr>
          <w:rFonts w:eastAsia="Calibri"/>
        </w:rPr>
        <w:t xml:space="preserve"> 23-25; 1998, 3: 6-9</w:t>
      </w:r>
      <w:r>
        <w:rPr>
          <w:rFonts w:eastAsia="Calibri"/>
        </w:rPr>
        <w:t>,</w:t>
      </w:r>
      <w:r w:rsidRPr="003D05F7">
        <w:rPr>
          <w:rFonts w:eastAsia="Calibri"/>
        </w:rPr>
        <w:t xml:space="preserve"> 25.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Monkevičius, E. Viešojo intereso gynimo problema aplinkosaugos ginčuose. </w:t>
      </w:r>
      <w:r w:rsidRPr="003D05F7">
        <w:rPr>
          <w:rFonts w:eastAsia="Calibri"/>
          <w:i/>
        </w:rPr>
        <w:t>Socialinių mokslų studijos</w:t>
      </w:r>
      <w:r>
        <w:rPr>
          <w:rFonts w:eastAsia="Calibri"/>
        </w:rPr>
        <w:t xml:space="preserve">. 2009, 1 </w:t>
      </w:r>
      <w:r w:rsidRPr="003D05F7">
        <w:rPr>
          <w:rFonts w:eastAsia="Calibri"/>
        </w:rPr>
        <w:t xml:space="preserve">(1): 37-50.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Montvydienė, I. </w:t>
      </w:r>
      <w:r w:rsidRPr="003D05F7">
        <w:rPr>
          <w:rFonts w:eastAsia="Calibri"/>
          <w:i/>
        </w:rPr>
        <w:t>Valstybės garantuojama teisinė pagalba civilinėse bylose</w:t>
      </w:r>
      <w:r w:rsidRPr="003D05F7">
        <w:rPr>
          <w:rFonts w:eastAsia="Calibri"/>
        </w:rPr>
        <w:t xml:space="preserve">. Daktaro disertacija. Socialiniai mokslai (teisė). Vilnius: Mykolo Romerio universitetas, 2010.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Müller, G</w:t>
      </w:r>
      <w:r>
        <w:rPr>
          <w:rFonts w:eastAsia="Calibri"/>
        </w:rPr>
        <w:t>. O. W., Poole-Griffiths, F. L.</w:t>
      </w:r>
      <w:r w:rsidRPr="003D05F7">
        <w:rPr>
          <w:rFonts w:eastAsia="Calibri"/>
        </w:rPr>
        <w:t xml:space="preserve"> </w:t>
      </w:r>
      <w:r w:rsidRPr="003D05F7">
        <w:rPr>
          <w:rFonts w:eastAsia="Calibri"/>
          <w:i/>
        </w:rPr>
        <w:t>Comparative Criminal Procedure</w:t>
      </w:r>
      <w:r w:rsidRPr="003D05F7">
        <w:rPr>
          <w:rFonts w:eastAsia="Calibri"/>
        </w:rPr>
        <w:t xml:space="preserve">. New York: New York University Press, 1969.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Muradjan, E. M. </w:t>
      </w:r>
      <w:r w:rsidRPr="003D05F7">
        <w:rPr>
          <w:rFonts w:eastAsia="Calibri"/>
          <w:i/>
        </w:rPr>
        <w:t xml:space="preserve">Istina kak problema sudebnogo prava </w:t>
      </w:r>
      <w:r w:rsidRPr="003D05F7">
        <w:rPr>
          <w:rFonts w:eastAsia="Calibri"/>
        </w:rPr>
        <w:t xml:space="preserve">[Truth as a Problem of Judicial Law]. </w:t>
      </w:r>
      <w:r w:rsidRPr="003D05F7">
        <w:rPr>
          <w:rFonts w:eastAsia="Calibri"/>
          <w:color w:val="000033"/>
        </w:rPr>
        <w:t>M</w:t>
      </w:r>
      <w:r>
        <w:rPr>
          <w:rFonts w:eastAsia="Calibri"/>
          <w:color w:val="000033"/>
        </w:rPr>
        <w:t>o</w:t>
      </w:r>
      <w:r w:rsidRPr="003D05F7">
        <w:rPr>
          <w:rFonts w:eastAsia="Calibri"/>
          <w:color w:val="000033"/>
        </w:rPr>
        <w:t>skva: Jurist, 2004</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Murphy, J., Hampton, J. </w:t>
      </w:r>
      <w:r w:rsidRPr="003D05F7">
        <w:rPr>
          <w:rFonts w:eastAsia="Calibri"/>
          <w:i/>
        </w:rPr>
        <w:t>Forgiveness and Mercy</w:t>
      </w:r>
      <w:r w:rsidRPr="003D05F7">
        <w:rPr>
          <w:rFonts w:eastAsia="Calibri"/>
        </w:rPr>
        <w:t>. Cambridge: Cambridge University Press, 1988.</w:t>
      </w:r>
    </w:p>
    <w:p w:rsidR="00FD0AEF" w:rsidRPr="006C2933" w:rsidRDefault="00FD0AEF" w:rsidP="00FD0AEF">
      <w:pPr>
        <w:pStyle w:val="Sraopastraipa"/>
        <w:numPr>
          <w:ilvl w:val="0"/>
          <w:numId w:val="33"/>
        </w:numPr>
        <w:spacing w:line="240" w:lineRule="auto"/>
      </w:pPr>
      <w:r w:rsidRPr="003D05F7">
        <w:rPr>
          <w:rFonts w:eastAsia="Calibri"/>
        </w:rPr>
        <w:t xml:space="preserve">Nader, L. </w:t>
      </w:r>
      <w:r w:rsidRPr="006C2933">
        <w:rPr>
          <w:rFonts w:eastAsia="Calibri"/>
          <w:iCs/>
        </w:rPr>
        <w:t>Controlling Processes in the Practice of Law: Hierarchy and Pacification in the Movement to Re-Form Dispute Ideology</w:t>
      </w:r>
      <w:r w:rsidRPr="003D05F7">
        <w:rPr>
          <w:rFonts w:eastAsia="Calibri"/>
        </w:rPr>
        <w:t>.</w:t>
      </w:r>
      <w:r>
        <w:rPr>
          <w:rFonts w:eastAsia="Calibri"/>
        </w:rPr>
        <w:t xml:space="preserve"> </w:t>
      </w:r>
      <w:r w:rsidRPr="006C2933">
        <w:rPr>
          <w:rFonts w:eastAsia="Calibri"/>
          <w:i/>
        </w:rPr>
        <w:t>Ohio State Journal on Dispute Resolution</w:t>
      </w:r>
      <w:r w:rsidRPr="003D05F7">
        <w:rPr>
          <w:rFonts w:eastAsia="Calibri"/>
        </w:rPr>
        <w:t>. 1993, 9</w:t>
      </w:r>
      <w:r>
        <w:rPr>
          <w:rFonts w:eastAsia="Calibri"/>
        </w:rPr>
        <w:t xml:space="preserve"> (1):</w:t>
      </w:r>
      <w:r w:rsidRPr="003D05F7">
        <w:rPr>
          <w:rFonts w:eastAsia="Calibri"/>
        </w:rPr>
        <w:t xml:space="preserve"> </w:t>
      </w:r>
      <w:r>
        <w:rPr>
          <w:rFonts w:eastAsia="Calibri"/>
        </w:rPr>
        <w:t>1-25</w:t>
      </w:r>
      <w:r w:rsidRPr="003D05F7">
        <w:rPr>
          <w:rFonts w:eastAsia="Calibri"/>
        </w:rPr>
        <w:t>.</w:t>
      </w:r>
    </w:p>
    <w:p w:rsidR="00FD0AEF" w:rsidRPr="00F70A1B" w:rsidRDefault="00FD0AEF" w:rsidP="00FD0AEF">
      <w:pPr>
        <w:pStyle w:val="Sraopastraipa"/>
        <w:numPr>
          <w:ilvl w:val="0"/>
          <w:numId w:val="33"/>
        </w:numPr>
        <w:spacing w:line="240" w:lineRule="auto"/>
      </w:pPr>
      <w:r>
        <w:t xml:space="preserve">Neil, A. </w:t>
      </w:r>
      <w:r w:rsidRPr="006C2933">
        <w:rPr>
          <w:i/>
        </w:rPr>
        <w:t>Principles of Civil Procedure</w:t>
      </w:r>
      <w:r>
        <w:t xml:space="preserve">. London: Sweet &amp; Maxwell, 1994.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Nekrošius, V. </w:t>
      </w:r>
      <w:r w:rsidRPr="003D05F7">
        <w:rPr>
          <w:rFonts w:eastAsia="Calibri"/>
          <w:i/>
        </w:rPr>
        <w:t>Civilinis procesas: koncentruotumo principas ir jo įgyvendinimo galimybės</w:t>
      </w:r>
      <w:r w:rsidRPr="003D05F7">
        <w:rPr>
          <w:rFonts w:eastAsia="Calibri"/>
        </w:rPr>
        <w:t>. Vilnius: Justitia, 2002.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Nekrošius, V. </w:t>
      </w:r>
      <w:r w:rsidRPr="003D05F7">
        <w:rPr>
          <w:rFonts w:eastAsia="Calibri"/>
          <w:i/>
        </w:rPr>
        <w:t>Teismų sprendimų teisėtumo ir pagrįstumo kontrolė civiliniame procese: klasikinė sistema ir reforma Lietuvos Respublikoje</w:t>
      </w:r>
      <w:r w:rsidRPr="003D05F7">
        <w:rPr>
          <w:rFonts w:eastAsia="Calibri"/>
        </w:rPr>
        <w:t>. Daktaro disertacija. Socialiniai mokslai (teisė). Vilnius: Vilniaus universitetas, 1996.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Nekrošius, V. Kasacija Lietuvos, Latvijos ir Estijos civiliniame procese. </w:t>
      </w:r>
      <w:r w:rsidRPr="003D05F7">
        <w:rPr>
          <w:rFonts w:eastAsia="Calibri"/>
          <w:i/>
        </w:rPr>
        <w:t>Justitia</w:t>
      </w:r>
      <w:r>
        <w:rPr>
          <w:rFonts w:eastAsia="Calibri"/>
          <w:i/>
        </w:rPr>
        <w:t>.</w:t>
      </w:r>
      <w:r w:rsidRPr="003D05F7">
        <w:rPr>
          <w:rFonts w:eastAsia="Calibri"/>
        </w:rPr>
        <w:t xml:space="preserve"> 2006, 4</w:t>
      </w:r>
      <w:r>
        <w:rPr>
          <w:rFonts w:eastAsia="Calibri"/>
        </w:rPr>
        <w:t xml:space="preserve"> </w:t>
      </w:r>
      <w:r w:rsidRPr="003D05F7">
        <w:rPr>
          <w:rFonts w:eastAsia="Calibri"/>
        </w:rPr>
        <w:t>(62): 2</w:t>
      </w:r>
      <w:r>
        <w:rPr>
          <w:rFonts w:eastAsia="Calibri"/>
        </w:rPr>
        <w:t>6-31</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Nekrošius, V. Lietuvos Aukščiausiojo Teismo senato nutarimo „Dėl Civilinio proceso kodekso normų, reglamentuojančių įrodinėjimą, taikymo teismų praktikoje“ teorinė ir praktinė analizė. </w:t>
      </w:r>
      <w:r w:rsidRPr="003D05F7">
        <w:rPr>
          <w:rFonts w:eastAsia="Calibri"/>
          <w:i/>
        </w:rPr>
        <w:t>Justitia</w:t>
      </w:r>
      <w:r>
        <w:rPr>
          <w:rFonts w:eastAsia="Calibri"/>
        </w:rPr>
        <w:t>.</w:t>
      </w:r>
      <w:r w:rsidRPr="003D05F7">
        <w:rPr>
          <w:rFonts w:eastAsia="Calibri"/>
        </w:rPr>
        <w:t xml:space="preserve"> 2005, 3 (57): 1</w:t>
      </w:r>
      <w:r>
        <w:rPr>
          <w:rFonts w:eastAsia="Calibri"/>
        </w:rPr>
        <w:t>3-21</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Numavičius, Z., Stačiokas, S. </w:t>
      </w:r>
      <w:r w:rsidRPr="003D05F7">
        <w:rPr>
          <w:rFonts w:eastAsia="Calibri"/>
          <w:i/>
        </w:rPr>
        <w:t>Viešųjų ir privačių interesų derinimas – darnios civilinės visuomenės ir teisinės valstybės principas</w:t>
      </w:r>
      <w:r w:rsidRPr="003D05F7">
        <w:rPr>
          <w:rFonts w:eastAsia="Calibri"/>
        </w:rPr>
        <w:t xml:space="preserve"> </w:t>
      </w:r>
      <w:r>
        <w:rPr>
          <w:rFonts w:eastAsia="Calibri"/>
        </w:rPr>
        <w:t xml:space="preserve">[interaktyvus]. </w:t>
      </w:r>
      <w:r w:rsidRPr="003D05F7">
        <w:rPr>
          <w:rFonts w:eastAsia="Calibri"/>
        </w:rPr>
        <w:t>[žiūrėta 2009-06-02]</w:t>
      </w:r>
      <w:r>
        <w:rPr>
          <w:rFonts w:eastAsia="Calibri"/>
        </w:rPr>
        <w:t>.</w:t>
      </w:r>
      <w:r w:rsidRPr="003D05F7">
        <w:rPr>
          <w:rFonts w:eastAsia="Calibri"/>
        </w:rPr>
        <w:t xml:space="preserve"> &lt;</w:t>
      </w:r>
      <w:hyperlink r:id="rId15" w:history="1">
        <w:r w:rsidRPr="003D05F7">
          <w:rPr>
            <w:rFonts w:eastAsia="Calibri"/>
            <w:color w:val="0000FF"/>
            <w:u w:val="single"/>
          </w:rPr>
          <w:t>http://www.lrkt.lt/PKonferencijose/15.pdf</w:t>
        </w:r>
      </w:hyperlink>
      <w:r w:rsidRPr="003D05F7">
        <w:rPr>
          <w:rFonts w:eastAsia="Calibri"/>
        </w:rPr>
        <w:t>&gt;</w:t>
      </w:r>
      <w:r>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Panomariovas, A. Tiesos paieškos priemonė – fikcija, baudžiamojo proceso pavyzdžiu. In Kurapka, V. E., </w:t>
      </w:r>
      <w:r w:rsidRPr="004A30EC">
        <w:rPr>
          <w:rFonts w:eastAsia="Calibri"/>
          <w:i/>
        </w:rPr>
        <w:t>et al</w:t>
      </w:r>
      <w:r w:rsidRPr="003D05F7">
        <w:rPr>
          <w:rFonts w:eastAsia="Calibri"/>
        </w:rPr>
        <w:t xml:space="preserve">. </w:t>
      </w:r>
      <w:r w:rsidRPr="003D05F7">
        <w:rPr>
          <w:rFonts w:eastAsia="Calibri"/>
          <w:i/>
        </w:rPr>
        <w:t>Baudžiamasis procesas: nuo teorijos iki įrodinėjimo (prof. dr. Eugenijaus Palskio atminimui). Mokslo studija</w:t>
      </w:r>
      <w:r w:rsidRPr="003D05F7">
        <w:rPr>
          <w:rFonts w:eastAsia="Calibri"/>
        </w:rPr>
        <w:t>. Vilnius: Mykolo Romerio universitetas, 2011</w:t>
      </w:r>
      <w:r>
        <w:rPr>
          <w:rFonts w:eastAsia="Calibri"/>
        </w:rPr>
        <w:t>, p. 51-88</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Panomariovas, A., Ramanauskas, R. Slaptumas – tiesos baudžiamajame procese nustatymo priemonė. </w:t>
      </w:r>
      <w:r w:rsidRPr="003D05F7">
        <w:rPr>
          <w:rFonts w:eastAsia="Calibri"/>
          <w:i/>
        </w:rPr>
        <w:t>Jurisprudencija</w:t>
      </w:r>
      <w:r>
        <w:rPr>
          <w:rFonts w:eastAsia="Calibri"/>
        </w:rPr>
        <w:t>.</w:t>
      </w:r>
      <w:r w:rsidRPr="003D05F7">
        <w:rPr>
          <w:rFonts w:eastAsia="Calibri"/>
        </w:rPr>
        <w:t xml:space="preserve"> 2005, 75</w:t>
      </w:r>
      <w:r>
        <w:rPr>
          <w:rFonts w:eastAsia="Calibri"/>
        </w:rPr>
        <w:t xml:space="preserve"> </w:t>
      </w:r>
      <w:r w:rsidRPr="003D05F7">
        <w:rPr>
          <w:rFonts w:eastAsia="Calibri"/>
        </w:rPr>
        <w:t>(67): 5</w:t>
      </w:r>
      <w:r>
        <w:rPr>
          <w:rFonts w:eastAsia="Calibri"/>
        </w:rPr>
        <w:t>0-57</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Pavilonis, V. Konstitucinės baudžiamųjų įstatymų rekodifikacijos ištakos</w:t>
      </w:r>
      <w:r>
        <w:rPr>
          <w:rFonts w:eastAsia="Calibri"/>
        </w:rPr>
        <w:t>.</w:t>
      </w:r>
      <w:r w:rsidRPr="003D05F7">
        <w:rPr>
          <w:rFonts w:eastAsia="Calibri"/>
        </w:rPr>
        <w:t xml:space="preserve"> </w:t>
      </w:r>
      <w:r>
        <w:rPr>
          <w:rFonts w:eastAsia="Calibri"/>
        </w:rPr>
        <w:t>I</w:t>
      </w:r>
      <w:r w:rsidRPr="003D05F7">
        <w:rPr>
          <w:rFonts w:eastAsia="Calibri"/>
        </w:rPr>
        <w:t xml:space="preserve">n </w:t>
      </w:r>
      <w:r w:rsidRPr="003D05F7">
        <w:rPr>
          <w:rFonts w:eastAsia="Calibri"/>
          <w:i/>
        </w:rPr>
        <w:t>Konstitucija, žmogus, teisinė valstybė: konferencija, skirta Lietuvos Respublikos Konstit</w:t>
      </w:r>
      <w:r>
        <w:rPr>
          <w:rFonts w:eastAsia="Calibri"/>
          <w:i/>
        </w:rPr>
        <w:t>ucijos penkerių metų sukakčiai</w:t>
      </w:r>
      <w:r w:rsidRPr="003D05F7">
        <w:rPr>
          <w:rFonts w:eastAsia="Calibri"/>
          <w:i/>
        </w:rPr>
        <w:t>.</w:t>
      </w:r>
      <w:r w:rsidRPr="003D05F7">
        <w:rPr>
          <w:rFonts w:eastAsia="Calibri"/>
        </w:rPr>
        <w:t xml:space="preserve"> Vilnius: Lietuvos žmogaus teisių centras, 1998</w:t>
      </w:r>
      <w:r>
        <w:rPr>
          <w:rFonts w:eastAsia="Calibri"/>
        </w:rPr>
        <w:t>, p.</w:t>
      </w:r>
      <w:r w:rsidRPr="003D05F7">
        <w:rPr>
          <w:rFonts w:eastAsia="Calibri"/>
        </w:rPr>
        <w:t xml:space="preserve"> 85-101.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Pease, K., Hukkila, K. </w:t>
      </w:r>
      <w:r w:rsidRPr="003D05F7">
        <w:rPr>
          <w:rFonts w:eastAsia="Calibri"/>
          <w:i/>
        </w:rPr>
        <w:t>Criminal Justice Systems in Europe and North America</w:t>
      </w:r>
      <w:r w:rsidRPr="003D05F7">
        <w:rPr>
          <w:rFonts w:eastAsia="Calibri"/>
        </w:rPr>
        <w:t xml:space="preserve">. Helsinki: Helsinki Institute for Crime Prevention and Control, 1990.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Perez Gil, J. </w:t>
      </w:r>
      <w:r w:rsidRPr="003D05F7">
        <w:rPr>
          <w:rFonts w:eastAsia="Calibri"/>
          <w:i/>
        </w:rPr>
        <w:t>La acusación popular</w:t>
      </w:r>
      <w:r w:rsidRPr="003D05F7">
        <w:rPr>
          <w:rFonts w:eastAsia="Calibri"/>
        </w:rPr>
        <w:t xml:space="preserve">. Granada: Editorial Comares, 1998. </w:t>
      </w:r>
    </w:p>
    <w:p w:rsidR="00FD0AEF" w:rsidRPr="003D05F7" w:rsidRDefault="00FD0AEF" w:rsidP="00FD0AEF">
      <w:pPr>
        <w:pStyle w:val="Sraopastraipa"/>
        <w:numPr>
          <w:ilvl w:val="0"/>
          <w:numId w:val="33"/>
        </w:numPr>
        <w:spacing w:line="240" w:lineRule="auto"/>
        <w:rPr>
          <w:rFonts w:eastAsia="Calibri"/>
          <w:lang w:val="en-US"/>
        </w:rPr>
      </w:pPr>
      <w:r w:rsidRPr="003D05F7">
        <w:rPr>
          <w:rFonts w:eastAsia="Calibri"/>
        </w:rPr>
        <w:t xml:space="preserve">Perez Gil, J. Private Interests Seeking Punishment: Prosecution Brought by Private Individuals and Groups in Spain. </w:t>
      </w:r>
      <w:r w:rsidRPr="003D05F7">
        <w:rPr>
          <w:rFonts w:eastAsia="Calibri"/>
          <w:i/>
        </w:rPr>
        <w:t>Law and Policy</w:t>
      </w:r>
      <w:r>
        <w:rPr>
          <w:rFonts w:eastAsia="Calibri"/>
        </w:rPr>
        <w:t>.</w:t>
      </w:r>
      <w:r w:rsidRPr="003D05F7">
        <w:rPr>
          <w:rFonts w:eastAsia="Calibri"/>
        </w:rPr>
        <w:t xml:space="preserve"> 2003, 25: 151-172.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Petersilia, J. R. Crime Victims with Developmental Disabilities: A Review Essay. </w:t>
      </w:r>
      <w:r w:rsidRPr="003D05F7">
        <w:rPr>
          <w:rFonts w:eastAsia="Calibri"/>
          <w:i/>
          <w:iCs/>
        </w:rPr>
        <w:t xml:space="preserve">Criminal Justice and Behavior. </w:t>
      </w:r>
      <w:r w:rsidRPr="003D05F7">
        <w:rPr>
          <w:rFonts w:eastAsia="Calibri"/>
        </w:rPr>
        <w:t>2001, 28: 655-694.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Petrova, N. E. </w:t>
      </w:r>
      <w:r>
        <w:rPr>
          <w:rFonts w:eastAsia="Calibri"/>
          <w:i/>
        </w:rPr>
        <w:t>Chastnoe i subsidiarnoe obvineni</w:t>
      </w:r>
      <w:r w:rsidRPr="003D05F7">
        <w:rPr>
          <w:rFonts w:eastAsia="Calibri"/>
          <w:i/>
        </w:rPr>
        <w:t xml:space="preserve">e </w:t>
      </w:r>
      <w:r w:rsidRPr="003D05F7">
        <w:rPr>
          <w:rFonts w:eastAsia="Calibri"/>
        </w:rPr>
        <w:t xml:space="preserve">[Private and Subsidiary </w:t>
      </w:r>
      <w:r>
        <w:rPr>
          <w:rFonts w:eastAsia="Calibri"/>
        </w:rPr>
        <w:t>Prosecu</w:t>
      </w:r>
      <w:r w:rsidRPr="003D05F7">
        <w:rPr>
          <w:rFonts w:eastAsia="Calibri"/>
        </w:rPr>
        <w:t xml:space="preserve">tion]. </w:t>
      </w:r>
      <w:r w:rsidRPr="003D05F7">
        <w:rPr>
          <w:rFonts w:eastAsia="Calibri"/>
          <w:color w:val="000033"/>
        </w:rPr>
        <w:t>Daktaro disertacija. Socialiniai mokslai (teisė).</w:t>
      </w:r>
      <w:r w:rsidRPr="003D05F7">
        <w:rPr>
          <w:rFonts w:eastAsia="Calibri"/>
        </w:rPr>
        <w:t xml:space="preserve"> Samara,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Piesliakas, V. </w:t>
      </w:r>
      <w:r w:rsidRPr="003D05F7">
        <w:rPr>
          <w:rFonts w:eastAsia="Calibri"/>
          <w:i/>
        </w:rPr>
        <w:t>Lietuvos baudžiamoji teisė</w:t>
      </w:r>
      <w:r>
        <w:rPr>
          <w:rFonts w:eastAsia="Calibri"/>
        </w:rPr>
        <w:t>. I knyga. 2-oji</w:t>
      </w:r>
      <w:r w:rsidRPr="003D05F7">
        <w:rPr>
          <w:rFonts w:eastAsia="Calibri"/>
        </w:rPr>
        <w:t xml:space="preserve"> pataisyta ir papildyta laida. </w:t>
      </w:r>
      <w:r>
        <w:rPr>
          <w:rFonts w:eastAsia="Calibri"/>
        </w:rPr>
        <w:t>Vilnius:</w:t>
      </w:r>
      <w:r w:rsidRPr="003D05F7">
        <w:rPr>
          <w:rFonts w:eastAsia="Calibri"/>
        </w:rPr>
        <w:t xml:space="preserve"> Justitia, 2009.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Pleshanov, A. G. </w:t>
      </w:r>
      <w:r>
        <w:rPr>
          <w:rFonts w:eastAsia="Calibri"/>
          <w:i/>
        </w:rPr>
        <w:t>Dispozitivno</w:t>
      </w:r>
      <w:r w:rsidRPr="003D05F7">
        <w:rPr>
          <w:rFonts w:eastAsia="Calibri"/>
          <w:i/>
        </w:rPr>
        <w:t>e nachalo v sfere grazhdanskoj jurisdikci</w:t>
      </w:r>
      <w:r>
        <w:rPr>
          <w:rFonts w:eastAsia="Calibri"/>
          <w:i/>
        </w:rPr>
        <w:t>i: problemy teori</w:t>
      </w:r>
      <w:r w:rsidRPr="003D05F7">
        <w:rPr>
          <w:rFonts w:eastAsia="Calibri"/>
          <w:i/>
        </w:rPr>
        <w:t xml:space="preserve">i i praktiki </w:t>
      </w:r>
      <w:r w:rsidRPr="003D05F7">
        <w:rPr>
          <w:rFonts w:eastAsia="Calibri"/>
        </w:rPr>
        <w:t>[Dispositive Origin in the Area of Civil Jurisdiction: Problems in Theory and Practice].</w:t>
      </w:r>
      <w:r>
        <w:rPr>
          <w:rFonts w:eastAsia="Calibri"/>
        </w:rPr>
        <w:t xml:space="preserve"> </w:t>
      </w:r>
      <w:r w:rsidRPr="003D05F7">
        <w:rPr>
          <w:rFonts w:eastAsia="Calibri"/>
        </w:rPr>
        <w:t>Moskva: Norma, 2002.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Pradel, J. </w:t>
      </w:r>
      <w:r w:rsidRPr="003D05F7">
        <w:rPr>
          <w:rFonts w:eastAsia="Calibri"/>
          <w:i/>
        </w:rPr>
        <w:t>Lyginamoji baudžiamoji teisė</w:t>
      </w:r>
      <w:r w:rsidRPr="003D05F7">
        <w:rPr>
          <w:rFonts w:eastAsia="Calibri"/>
        </w:rPr>
        <w:t>. Vilnius</w:t>
      </w:r>
      <w:r>
        <w:rPr>
          <w:rFonts w:eastAsia="Calibri"/>
        </w:rPr>
        <w:t>: Eugrimas</w:t>
      </w:r>
      <w:r w:rsidRPr="003D05F7">
        <w:rPr>
          <w:rFonts w:eastAsia="Calibri"/>
        </w:rPr>
        <w:t xml:space="preserve">, 2001. </w:t>
      </w:r>
    </w:p>
    <w:p w:rsidR="00FD0AEF" w:rsidRPr="003D05F7" w:rsidRDefault="00FD0AEF" w:rsidP="00FD0AEF">
      <w:pPr>
        <w:pStyle w:val="Sraopastraipa"/>
        <w:numPr>
          <w:ilvl w:val="0"/>
          <w:numId w:val="33"/>
        </w:numPr>
        <w:spacing w:line="240" w:lineRule="auto"/>
        <w:rPr>
          <w:rFonts w:eastAsia="Calibri"/>
        </w:rPr>
      </w:pPr>
      <w:r>
        <w:rPr>
          <w:rFonts w:eastAsia="Calibri"/>
        </w:rPr>
        <w:t>Polj</w:t>
      </w:r>
      <w:r w:rsidRPr="003D05F7">
        <w:rPr>
          <w:rFonts w:eastAsia="Calibri"/>
        </w:rPr>
        <w:t xml:space="preserve">anskij, N. N. </w:t>
      </w:r>
      <w:r w:rsidRPr="003D05F7">
        <w:rPr>
          <w:rFonts w:eastAsia="Calibri"/>
          <w:i/>
        </w:rPr>
        <w:t>К voprosu ob ychastii chastny</w:t>
      </w:r>
      <w:r>
        <w:rPr>
          <w:rFonts w:eastAsia="Calibri"/>
          <w:i/>
        </w:rPr>
        <w:t>k</w:t>
      </w:r>
      <w:r w:rsidRPr="003D05F7">
        <w:rPr>
          <w:rFonts w:eastAsia="Calibri"/>
          <w:i/>
        </w:rPr>
        <w:t>h lic v p</w:t>
      </w:r>
      <w:r>
        <w:rPr>
          <w:rFonts w:eastAsia="Calibri"/>
          <w:i/>
        </w:rPr>
        <w:t>ublichnom obvinenii (Principialny</w:t>
      </w:r>
      <w:r w:rsidRPr="003D05F7">
        <w:rPr>
          <w:rFonts w:eastAsia="Calibri"/>
          <w:i/>
        </w:rPr>
        <w:t>e</w:t>
      </w:r>
      <w:r>
        <w:rPr>
          <w:rFonts w:eastAsia="Calibri"/>
          <w:i/>
        </w:rPr>
        <w:t xml:space="preserve"> osnovanija actio pop</w:t>
      </w:r>
      <w:r w:rsidRPr="003D05F7">
        <w:rPr>
          <w:rFonts w:eastAsia="Calibri"/>
          <w:i/>
        </w:rPr>
        <w:t>ularis v ugolovnom proce</w:t>
      </w:r>
      <w:r>
        <w:rPr>
          <w:rFonts w:eastAsia="Calibri"/>
          <w:i/>
        </w:rPr>
        <w:t>s</w:t>
      </w:r>
      <w:r w:rsidRPr="003D05F7">
        <w:rPr>
          <w:rFonts w:eastAsia="Calibri"/>
          <w:i/>
        </w:rPr>
        <w:t>se)</w:t>
      </w:r>
      <w:r w:rsidRPr="003D05F7">
        <w:rPr>
          <w:rFonts w:eastAsia="Calibri"/>
        </w:rPr>
        <w:t xml:space="preserve"> [On Participation of Private Persons in Public Prosecution (Principal Grounds of Actio Popularis in Criminal Procedure)]. Moskva: Tipografija Glissnera i D. Sobko, 1915. </w:t>
      </w:r>
    </w:p>
    <w:p w:rsidR="00FD0AEF" w:rsidRPr="00952263" w:rsidRDefault="00FD0AEF" w:rsidP="00FD0AEF">
      <w:pPr>
        <w:pStyle w:val="Sraopastraipa"/>
        <w:numPr>
          <w:ilvl w:val="0"/>
          <w:numId w:val="33"/>
        </w:numPr>
        <w:spacing w:line="240" w:lineRule="auto"/>
      </w:pPr>
      <w:r>
        <w:rPr>
          <w:rFonts w:eastAsia="Calibri"/>
        </w:rPr>
        <w:t>Polj</w:t>
      </w:r>
      <w:r w:rsidRPr="008A4D76">
        <w:rPr>
          <w:rFonts w:eastAsia="Calibri"/>
        </w:rPr>
        <w:t xml:space="preserve">anskij, N. N. </w:t>
      </w:r>
      <w:r w:rsidRPr="00952263">
        <w:rPr>
          <w:rFonts w:eastAsia="Calibri"/>
          <w:i/>
        </w:rPr>
        <w:t>К voprosu o prave chastnykh lic na subsidiarnoe obvinenie</w:t>
      </w:r>
      <w:r w:rsidRPr="008A4D76">
        <w:rPr>
          <w:rFonts w:eastAsia="Calibri"/>
        </w:rPr>
        <w:t xml:space="preserve"> [On the Right of Private Persons to Subsidiary Prosecution]. Moskva: Juridicheskij vestnik, 1917.</w:t>
      </w:r>
    </w:p>
    <w:p w:rsidR="00FD0AEF" w:rsidRDefault="00FD0AEF" w:rsidP="00FD0AEF">
      <w:pPr>
        <w:pStyle w:val="Sraopastraipa"/>
        <w:numPr>
          <w:ilvl w:val="0"/>
          <w:numId w:val="33"/>
        </w:numPr>
        <w:spacing w:line="240" w:lineRule="auto"/>
      </w:pPr>
      <w:r>
        <w:rPr>
          <w:rFonts w:eastAsia="Calibri"/>
        </w:rPr>
        <w:t>Poljanskij, N. N.,</w:t>
      </w:r>
      <w:r w:rsidRPr="008A4D76">
        <w:rPr>
          <w:rFonts w:eastAsia="Calibri"/>
        </w:rPr>
        <w:t xml:space="preserve"> </w:t>
      </w:r>
      <w:r w:rsidRPr="00952263">
        <w:rPr>
          <w:rFonts w:eastAsia="Calibri"/>
          <w:i/>
        </w:rPr>
        <w:t>et. al</w:t>
      </w:r>
      <w:r>
        <w:rPr>
          <w:rFonts w:eastAsia="Calibri"/>
        </w:rPr>
        <w:t>.</w:t>
      </w:r>
      <w:r w:rsidRPr="008A4D76">
        <w:rPr>
          <w:rFonts w:eastAsia="Calibri"/>
        </w:rPr>
        <w:t xml:space="preserve"> </w:t>
      </w:r>
      <w:r w:rsidRPr="00952263">
        <w:rPr>
          <w:rFonts w:eastAsia="Calibri"/>
          <w:i/>
        </w:rPr>
        <w:t>Problemy sudebnogo prava</w:t>
      </w:r>
      <w:r w:rsidRPr="008A4D76">
        <w:rPr>
          <w:rFonts w:eastAsia="Calibri"/>
        </w:rPr>
        <w:t xml:space="preserve"> [Problems of Judicial Law]. Moskva: Nauka, 1983.</w:t>
      </w:r>
      <w:r w:rsidRPr="00952263">
        <w:t xml:space="preserve"> </w:t>
      </w:r>
    </w:p>
    <w:p w:rsidR="00FD0AEF" w:rsidRDefault="00FD0AEF" w:rsidP="00FD0AEF">
      <w:pPr>
        <w:pStyle w:val="Sraopastraipa"/>
        <w:numPr>
          <w:ilvl w:val="0"/>
          <w:numId w:val="33"/>
        </w:numPr>
        <w:spacing w:line="240" w:lineRule="auto"/>
      </w:pPr>
      <w:r>
        <w:t xml:space="preserve">Radinienė, I. Ar dispozityvumo principas turi absoliutų pobūdį civilinio proceso teisėje? </w:t>
      </w:r>
      <w:r w:rsidRPr="00952263">
        <w:rPr>
          <w:i/>
        </w:rPr>
        <w:t>Teisės apžvalga</w:t>
      </w:r>
      <w:r>
        <w:t>. 2000, 4: 70-95.</w:t>
      </w:r>
    </w:p>
    <w:p w:rsidR="00FD0AEF" w:rsidRPr="003D05F7" w:rsidRDefault="00FD0AEF" w:rsidP="00FD0AEF">
      <w:pPr>
        <w:pStyle w:val="Sraopastraipa"/>
        <w:numPr>
          <w:ilvl w:val="0"/>
          <w:numId w:val="33"/>
        </w:numPr>
        <w:spacing w:line="240" w:lineRule="auto"/>
        <w:rPr>
          <w:rFonts w:eastAsia="Calibri"/>
        </w:rPr>
      </w:pPr>
      <w:r w:rsidRPr="003D05F7">
        <w:rPr>
          <w:rFonts w:eastAsia="Calibri"/>
          <w:color w:val="000033"/>
        </w:rPr>
        <w:t>Randakevičienė, I. </w:t>
      </w:r>
      <w:r w:rsidRPr="003D05F7">
        <w:rPr>
          <w:rFonts w:eastAsia="Calibri"/>
          <w:i/>
          <w:color w:val="000033"/>
        </w:rPr>
        <w:t>Baudžiamosios bylos atnaujinimas</w:t>
      </w:r>
      <w:r w:rsidRPr="003D05F7">
        <w:rPr>
          <w:rFonts w:eastAsia="Calibri"/>
          <w:color w:val="000033"/>
        </w:rPr>
        <w:t>. Daktaro disertacija. Socialiniai mokslai (teisė). Vilnius: Mykolo Romerio universitetas</w:t>
      </w:r>
      <w:r>
        <w:rPr>
          <w:rFonts w:eastAsia="Calibri"/>
          <w:color w:val="000033"/>
        </w:rPr>
        <w:t>,</w:t>
      </w:r>
      <w:r w:rsidRPr="003D05F7">
        <w:rPr>
          <w:rFonts w:eastAsia="Calibri"/>
          <w:color w:val="000033"/>
        </w:rPr>
        <w:t> 2008</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Randakevičienė, I. Teismų sprendimų kontrolės formos baudžiamajame procese. In Ancelis, P., </w:t>
      </w:r>
      <w:r w:rsidRPr="008E6EDB">
        <w:rPr>
          <w:rFonts w:eastAsia="Calibri"/>
          <w:i/>
        </w:rPr>
        <w:t>et al.</w:t>
      </w:r>
      <w:r w:rsidRPr="003D05F7">
        <w:rPr>
          <w:rFonts w:eastAsia="Calibri"/>
        </w:rPr>
        <w:t xml:space="preserve"> </w:t>
      </w:r>
      <w:r w:rsidRPr="003D05F7">
        <w:rPr>
          <w:rFonts w:eastAsia="Calibri"/>
          <w:i/>
        </w:rPr>
        <w:t>Sąžiningas baudžiamasis procesas: probleminiai aspektai</w:t>
      </w:r>
      <w:r w:rsidRPr="003D05F7">
        <w:rPr>
          <w:rFonts w:eastAsia="Calibri"/>
        </w:rPr>
        <w:t>. Vilnius: Industrus, 2009</w:t>
      </w:r>
      <w:r>
        <w:rPr>
          <w:rFonts w:eastAsia="Calibri"/>
        </w:rPr>
        <w:t>, p.</w:t>
      </w:r>
      <w:r w:rsidRPr="003D05F7">
        <w:rPr>
          <w:rFonts w:eastAsia="Calibri"/>
        </w:rPr>
        <w:t xml:space="preserve"> 175-213.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Reichel, P. L. </w:t>
      </w:r>
      <w:r w:rsidRPr="003D05F7">
        <w:rPr>
          <w:rFonts w:eastAsia="Calibri"/>
          <w:i/>
        </w:rPr>
        <w:t xml:space="preserve">Comparative </w:t>
      </w:r>
      <w:r>
        <w:rPr>
          <w:rFonts w:eastAsia="Calibri"/>
          <w:i/>
        </w:rPr>
        <w:t>Criminal J</w:t>
      </w:r>
      <w:r w:rsidRPr="003D05F7">
        <w:rPr>
          <w:rFonts w:eastAsia="Calibri"/>
          <w:i/>
        </w:rPr>
        <w:t xml:space="preserve">ustice </w:t>
      </w:r>
      <w:r>
        <w:rPr>
          <w:rFonts w:eastAsia="Calibri"/>
          <w:i/>
        </w:rPr>
        <w:t>Systems: a Topical A</w:t>
      </w:r>
      <w:r w:rsidRPr="003D05F7">
        <w:rPr>
          <w:rFonts w:eastAsia="Calibri"/>
          <w:i/>
        </w:rPr>
        <w:t>pproach.</w:t>
      </w:r>
      <w:r>
        <w:rPr>
          <w:rFonts w:eastAsia="Calibri"/>
        </w:rPr>
        <w:t xml:space="preserve"> 4-oji laida</w:t>
      </w:r>
      <w:r w:rsidRPr="003D05F7">
        <w:rPr>
          <w:rFonts w:eastAsia="Calibri"/>
        </w:rPr>
        <w:t>. Upper Saddle River (N.J.): Pearson: Prentice Hall, 2005.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Rezon, A. K. </w:t>
      </w:r>
      <w:r w:rsidRPr="003D05F7">
        <w:rPr>
          <w:rFonts w:eastAsia="Calibri"/>
          <w:i/>
        </w:rPr>
        <w:t>O prestuplenija</w:t>
      </w:r>
      <w:r>
        <w:rPr>
          <w:rFonts w:eastAsia="Calibri"/>
          <w:i/>
        </w:rPr>
        <w:t>kh, nakazu</w:t>
      </w:r>
      <w:r w:rsidRPr="003D05F7">
        <w:rPr>
          <w:rFonts w:eastAsia="Calibri"/>
          <w:i/>
        </w:rPr>
        <w:t>emy</w:t>
      </w:r>
      <w:r>
        <w:rPr>
          <w:rFonts w:eastAsia="Calibri"/>
          <w:i/>
        </w:rPr>
        <w:t>k</w:t>
      </w:r>
      <w:r w:rsidRPr="003D05F7">
        <w:rPr>
          <w:rFonts w:eastAsia="Calibri"/>
          <w:i/>
        </w:rPr>
        <w:t>h tolko po zhalobe poterpevshego po russkomu pravu</w:t>
      </w:r>
      <w:r w:rsidRPr="003D05F7">
        <w:rPr>
          <w:rFonts w:eastAsia="Calibri"/>
        </w:rPr>
        <w:t xml:space="preserve"> [On Crimes Punishable Only by</w:t>
      </w:r>
      <w:r>
        <w:rPr>
          <w:rFonts w:eastAsia="Calibri"/>
        </w:rPr>
        <w:t xml:space="preserve"> a</w:t>
      </w:r>
      <w:r w:rsidRPr="003D05F7">
        <w:rPr>
          <w:rFonts w:eastAsia="Calibri"/>
        </w:rPr>
        <w:t xml:space="preserve"> Complaint of the Victim in Russian Law]. Sankt Peterburg: Senat pravitelstvujushchego prava</w:t>
      </w:r>
      <w:r w:rsidRPr="00E5121D">
        <w:rPr>
          <w:rFonts w:eastAsia="Calibri"/>
        </w:rPr>
        <w:t>,</w:t>
      </w:r>
      <w:r>
        <w:rPr>
          <w:rFonts w:eastAsia="Calibri"/>
        </w:rPr>
        <w:t xml:space="preserve"> </w:t>
      </w:r>
      <w:r w:rsidRPr="00E5121D">
        <w:rPr>
          <w:rFonts w:eastAsia="Calibri"/>
        </w:rPr>
        <w:t>1882.</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Riess, P. Der Strafprozess und der Verletzte – eine Zwischenbilanz. </w:t>
      </w:r>
      <w:r w:rsidRPr="003D05F7">
        <w:rPr>
          <w:rFonts w:eastAsia="Calibri"/>
          <w:i/>
        </w:rPr>
        <w:t>Jura</w:t>
      </w:r>
      <w:r w:rsidRPr="003D05F7">
        <w:rPr>
          <w:rFonts w:eastAsia="Calibri"/>
        </w:rPr>
        <w:t>. 1987: 281</w:t>
      </w:r>
      <w:r>
        <w:rPr>
          <w:rFonts w:eastAsia="Calibri"/>
        </w:rPr>
        <w:t>-287</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Rimšelis, E. </w:t>
      </w:r>
      <w:r w:rsidRPr="003D05F7">
        <w:rPr>
          <w:rFonts w:eastAsia="Calibri"/>
          <w:i/>
        </w:rPr>
        <w:t>Esminiai baudžiamojo proceso teisės pažeidimai: samprata, vertinimas ir procesiniai padariniai.</w:t>
      </w:r>
      <w:r w:rsidRPr="003D05F7">
        <w:rPr>
          <w:rFonts w:eastAsia="Calibri"/>
        </w:rPr>
        <w:t xml:space="preserve"> Daktaro disertacija</w:t>
      </w:r>
      <w:r>
        <w:rPr>
          <w:rFonts w:eastAsia="Calibri"/>
        </w:rPr>
        <w:t>. Socialiniai mokslai</w:t>
      </w:r>
      <w:r w:rsidRPr="003D05F7">
        <w:rPr>
          <w:rFonts w:eastAsia="Calibri"/>
        </w:rPr>
        <w:t xml:space="preserve"> (teisė). Vilnius: Mykolo Romerio universitetas,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Rinkevičius, J. </w:t>
      </w:r>
      <w:r w:rsidRPr="003D05F7">
        <w:rPr>
          <w:rFonts w:eastAsia="Calibri"/>
          <w:i/>
        </w:rPr>
        <w:t>Procesiniai įrodinėjimo baudžiamosiose bylose pagrindai</w:t>
      </w:r>
      <w:r>
        <w:rPr>
          <w:rFonts w:eastAsia="Calibri"/>
          <w:i/>
        </w:rPr>
        <w:t>: mokymo priemonė</w:t>
      </w:r>
      <w:r w:rsidRPr="003D05F7">
        <w:rPr>
          <w:rFonts w:eastAsia="Calibri"/>
          <w:i/>
        </w:rPr>
        <w:t>.</w:t>
      </w:r>
      <w:r w:rsidRPr="003D05F7">
        <w:rPr>
          <w:rFonts w:eastAsia="Calibri"/>
        </w:rPr>
        <w:t xml:space="preserve"> Vilnius</w:t>
      </w:r>
      <w:r>
        <w:rPr>
          <w:rFonts w:eastAsia="Calibri"/>
        </w:rPr>
        <w:t>: Vilniaus universiteto leidykla</w:t>
      </w:r>
      <w:r w:rsidRPr="003D05F7">
        <w:rPr>
          <w:rFonts w:eastAsia="Calibri"/>
        </w:rPr>
        <w:t xml:space="preserve">, 1990. </w:t>
      </w:r>
    </w:p>
    <w:p w:rsidR="00FD0AEF" w:rsidRPr="003D05F7" w:rsidRDefault="00FD0AEF" w:rsidP="00FD0AEF">
      <w:pPr>
        <w:pStyle w:val="Sraopastraipa"/>
        <w:numPr>
          <w:ilvl w:val="0"/>
          <w:numId w:val="33"/>
        </w:numPr>
        <w:spacing w:line="240" w:lineRule="auto"/>
        <w:rPr>
          <w:rFonts w:eastAsia="Calibri"/>
        </w:rPr>
      </w:pPr>
      <w:r w:rsidRPr="003D05F7">
        <w:t xml:space="preserve">Ryzhakov, A. P. </w:t>
      </w:r>
      <w:r w:rsidRPr="003D05F7">
        <w:rPr>
          <w:i/>
        </w:rPr>
        <w:t>Ugolovnyj process</w:t>
      </w:r>
      <w:r w:rsidRPr="003D05F7">
        <w:t xml:space="preserve"> [Criminal Procedure]</w:t>
      </w:r>
      <w:r w:rsidRPr="003D05F7">
        <w:rPr>
          <w:rFonts w:eastAsia="Calibri"/>
        </w:rPr>
        <w:t xml:space="preserve">. </w:t>
      </w:r>
      <w:r>
        <w:rPr>
          <w:rFonts w:eastAsia="Calibri"/>
        </w:rPr>
        <w:t xml:space="preserve">3-ioji pataisyta ir papildyta laida. </w:t>
      </w:r>
      <w:r w:rsidRPr="003D05F7">
        <w:rPr>
          <w:rFonts w:eastAsia="Calibri"/>
        </w:rPr>
        <w:t>Moskva</w:t>
      </w:r>
      <w:r>
        <w:rPr>
          <w:rFonts w:eastAsia="Calibri"/>
        </w:rPr>
        <w:t>: Norma</w:t>
      </w:r>
      <w:r w:rsidRPr="003D05F7">
        <w:rPr>
          <w:rFonts w:eastAsia="Calibri"/>
        </w:rPr>
        <w:t>, 2004.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Rjazanovskij, V.</w:t>
      </w:r>
      <w:r>
        <w:rPr>
          <w:rFonts w:eastAsia="Calibri"/>
        </w:rPr>
        <w:t xml:space="preserve"> </w:t>
      </w:r>
      <w:r w:rsidRPr="003D05F7">
        <w:rPr>
          <w:rFonts w:eastAsia="Calibri"/>
        </w:rPr>
        <w:t xml:space="preserve">A. </w:t>
      </w:r>
      <w:r w:rsidRPr="003D05F7">
        <w:rPr>
          <w:rFonts w:eastAsia="Calibri"/>
          <w:i/>
        </w:rPr>
        <w:t>Edinstvo proces</w:t>
      </w:r>
      <w:r>
        <w:rPr>
          <w:rFonts w:eastAsia="Calibri"/>
          <w:i/>
        </w:rPr>
        <w:t>s</w:t>
      </w:r>
      <w:r w:rsidRPr="003D05F7">
        <w:rPr>
          <w:rFonts w:eastAsia="Calibri"/>
          <w:i/>
        </w:rPr>
        <w:t xml:space="preserve">a </w:t>
      </w:r>
      <w:r w:rsidRPr="003D05F7">
        <w:rPr>
          <w:rFonts w:eastAsia="Calibri"/>
        </w:rPr>
        <w:t xml:space="preserve">[Unity of </w:t>
      </w:r>
      <w:r>
        <w:rPr>
          <w:rFonts w:eastAsia="Calibri"/>
        </w:rPr>
        <w:t xml:space="preserve">the </w:t>
      </w:r>
      <w:r w:rsidRPr="003D05F7">
        <w:rPr>
          <w:rFonts w:eastAsia="Calibri"/>
        </w:rPr>
        <w:t>Procedure].  Мoskva: Gorodec, 2005.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Roberson, C. </w:t>
      </w:r>
      <w:r w:rsidRPr="003D05F7">
        <w:rPr>
          <w:rFonts w:eastAsia="Calibri"/>
          <w:i/>
        </w:rPr>
        <w:t>Juvenile Justice: Theory and Practice</w:t>
      </w:r>
      <w:r w:rsidRPr="003D05F7">
        <w:rPr>
          <w:rFonts w:eastAsia="Calibri"/>
        </w:rPr>
        <w:t>. Boca Raton, London, New York: CRC Press Taylor and Francis Group, 2010.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Rogova, O. I. </w:t>
      </w:r>
      <w:r w:rsidRPr="003D05F7">
        <w:rPr>
          <w:rFonts w:eastAsia="Calibri"/>
          <w:i/>
        </w:rPr>
        <w:t>Predely projavlenija dispozitivnosti v ugolovnom sudoproizvodstve</w:t>
      </w:r>
      <w:r w:rsidRPr="003D05F7">
        <w:rPr>
          <w:rFonts w:eastAsia="Calibri"/>
        </w:rPr>
        <w:t xml:space="preserve"> [Limits of Manifestation of Dispositiveness in Criminal Proceedings]. Daktaro disertacija. Socialiniai mokslai (teisė). Тomsk, 1994.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Rudzinskas, A. </w:t>
      </w:r>
      <w:r w:rsidRPr="003D05F7">
        <w:rPr>
          <w:rFonts w:eastAsia="Calibri"/>
          <w:i/>
        </w:rPr>
        <w:t xml:space="preserve">Nusikalstama veika padarytos žalos atlyginimo materialiniai ir procesiniai teisiniai aspektai. </w:t>
      </w:r>
      <w:r w:rsidRPr="003D05F7">
        <w:rPr>
          <w:rFonts w:eastAsia="Calibri"/>
        </w:rPr>
        <w:t>Daktaro disertacija. Socialiniai mokslai (teisė). Vilnius: Lietuvos teisės universitetas, 2001.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Rustamov, </w:t>
      </w:r>
      <w:r>
        <w:rPr>
          <w:rFonts w:eastAsia="Calibri"/>
        </w:rPr>
        <w:t>Kh</w:t>
      </w:r>
      <w:r w:rsidRPr="003D05F7">
        <w:rPr>
          <w:rFonts w:eastAsia="Calibri"/>
        </w:rPr>
        <w:t xml:space="preserve">. U. </w:t>
      </w:r>
      <w:r w:rsidRPr="003D05F7">
        <w:rPr>
          <w:rFonts w:eastAsia="Calibri"/>
          <w:i/>
        </w:rPr>
        <w:t>Ugolovnyj process – formy</w:t>
      </w:r>
      <w:r w:rsidRPr="003D05F7">
        <w:rPr>
          <w:rFonts w:eastAsia="Calibri"/>
        </w:rPr>
        <w:t xml:space="preserve"> </w:t>
      </w:r>
      <w:proofErr w:type="gramStart"/>
      <w:r w:rsidRPr="003D05F7">
        <w:rPr>
          <w:rFonts w:eastAsia="Calibri"/>
        </w:rPr>
        <w:t>[</w:t>
      </w:r>
      <w:proofErr w:type="gramEnd"/>
      <w:r w:rsidRPr="003D05F7">
        <w:rPr>
          <w:rFonts w:eastAsia="Calibri"/>
        </w:rPr>
        <w:t>Criminal Procedure</w:t>
      </w:r>
      <w:r>
        <w:rPr>
          <w:rFonts w:eastAsia="Calibri"/>
        </w:rPr>
        <w:t>.</w:t>
      </w:r>
      <w:r w:rsidRPr="003D05F7">
        <w:rPr>
          <w:rFonts w:eastAsia="Calibri"/>
        </w:rPr>
        <w:t xml:space="preserve"> Forms]. Moskva: Juni-ti, 1998.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Sapozhnikov, S. A. </w:t>
      </w:r>
      <w:r w:rsidRPr="003D05F7">
        <w:rPr>
          <w:rFonts w:eastAsia="Calibri"/>
          <w:i/>
        </w:rPr>
        <w:t xml:space="preserve">Princip dispozitivnosti v grazhdanskom processe </w:t>
      </w:r>
      <w:r w:rsidRPr="003D05F7">
        <w:rPr>
          <w:rFonts w:eastAsia="Calibri"/>
        </w:rPr>
        <w:t>[Principle of Dispositiveness in Civil Procedure]</w:t>
      </w:r>
      <w:r w:rsidRPr="003D05F7">
        <w:rPr>
          <w:rFonts w:eastAsia="Calibri"/>
          <w:i/>
        </w:rPr>
        <w:t>.</w:t>
      </w:r>
      <w:r w:rsidRPr="003D05F7">
        <w:rPr>
          <w:rFonts w:eastAsia="Calibri"/>
        </w:rPr>
        <w:t xml:space="preserve"> Daktaro disertacija.</w:t>
      </w:r>
      <w:r>
        <w:rPr>
          <w:rFonts w:eastAsia="Calibri"/>
        </w:rPr>
        <w:t xml:space="preserve"> Socialiniai mokslai (teisė). Mo</w:t>
      </w:r>
      <w:r w:rsidRPr="003D05F7">
        <w:rPr>
          <w:rFonts w:eastAsia="Calibri"/>
        </w:rPr>
        <w:t xml:space="preserve">skvа,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Savickij, V. M. </w:t>
      </w:r>
      <w:r>
        <w:rPr>
          <w:rFonts w:eastAsia="Calibri"/>
          <w:i/>
        </w:rPr>
        <w:t>Gosudarstvennoe obvineni</w:t>
      </w:r>
      <w:r w:rsidRPr="003D05F7">
        <w:rPr>
          <w:rFonts w:eastAsia="Calibri"/>
          <w:i/>
        </w:rPr>
        <w:t>e</w:t>
      </w:r>
      <w:r w:rsidRPr="003D05F7">
        <w:rPr>
          <w:rFonts w:eastAsia="Calibri"/>
        </w:rPr>
        <w:t xml:space="preserve"> [Public Prosecution]. Moskva: Nauka, 1971.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Savickij, V. M. </w:t>
      </w:r>
      <w:r>
        <w:rPr>
          <w:rFonts w:eastAsia="Calibri"/>
          <w:i/>
        </w:rPr>
        <w:t>Gosudarstvennoe obvineni</w:t>
      </w:r>
      <w:r w:rsidRPr="003D05F7">
        <w:rPr>
          <w:rFonts w:eastAsia="Calibri"/>
          <w:i/>
        </w:rPr>
        <w:t>e v sude</w:t>
      </w:r>
      <w:r w:rsidRPr="003D05F7">
        <w:rPr>
          <w:rFonts w:eastAsia="Calibri"/>
        </w:rPr>
        <w:t xml:space="preserve"> [Public Prosecution in Court]</w:t>
      </w:r>
      <w:r w:rsidRPr="003D05F7">
        <w:rPr>
          <w:rFonts w:eastAsia="Calibri"/>
          <w:lang w:val="en-US"/>
        </w:rPr>
        <w:t xml:space="preserve">. </w:t>
      </w:r>
      <w:r w:rsidRPr="003D05F7">
        <w:rPr>
          <w:rFonts w:eastAsia="Calibri"/>
        </w:rPr>
        <w:t xml:space="preserve">Moskva: Nauka, </w:t>
      </w:r>
      <w:r w:rsidRPr="003D05F7">
        <w:rPr>
          <w:rFonts w:eastAsia="Calibri"/>
          <w:lang w:val="de-DE"/>
        </w:rPr>
        <w:t>1971.</w:t>
      </w:r>
    </w:p>
    <w:p w:rsidR="00FD0AEF" w:rsidRPr="00F957B3" w:rsidRDefault="00FD0AEF" w:rsidP="00FD0AEF">
      <w:pPr>
        <w:pStyle w:val="Sraopastraipa"/>
        <w:numPr>
          <w:ilvl w:val="0"/>
          <w:numId w:val="33"/>
        </w:numPr>
        <w:spacing w:line="240" w:lineRule="auto"/>
        <w:rPr>
          <w:rFonts w:eastAsia="Calibri"/>
        </w:rPr>
      </w:pPr>
      <w:r w:rsidRPr="003D05F7">
        <w:rPr>
          <w:rFonts w:eastAsia="Calibri"/>
        </w:rPr>
        <w:t xml:space="preserve">Schafer, S. Restitution to Victims of Crime </w:t>
      </w:r>
      <w:r>
        <w:rPr>
          <w:rFonts w:eastAsia="Calibri"/>
        </w:rPr>
        <w:t>–</w:t>
      </w:r>
      <w:r w:rsidRPr="00F957B3">
        <w:rPr>
          <w:rFonts w:eastAsia="Calibri"/>
        </w:rPr>
        <w:t xml:space="preserve"> An Old Correctional Aim Modernized. </w:t>
      </w:r>
      <w:r w:rsidRPr="00F957B3">
        <w:rPr>
          <w:rFonts w:eastAsia="Calibri"/>
          <w:i/>
        </w:rPr>
        <w:t>Minnesota Law Review.</w:t>
      </w:r>
      <w:r w:rsidRPr="00F957B3">
        <w:rPr>
          <w:rFonts w:eastAsia="Calibri"/>
        </w:rPr>
        <w:t xml:space="preserve"> 1965, 50: 243-254. </w:t>
      </w:r>
    </w:p>
    <w:p w:rsidR="00C17786" w:rsidRPr="00C17786" w:rsidRDefault="00FD0AEF" w:rsidP="00C17786">
      <w:pPr>
        <w:pStyle w:val="Sraopastraipa"/>
        <w:numPr>
          <w:ilvl w:val="0"/>
          <w:numId w:val="33"/>
        </w:numPr>
        <w:spacing w:line="240" w:lineRule="auto"/>
      </w:pPr>
      <w:r w:rsidRPr="00C17786">
        <w:rPr>
          <w:rFonts w:eastAsia="Calibri"/>
        </w:rPr>
        <w:t xml:space="preserve">Shamadrin, A. A. </w:t>
      </w:r>
      <w:r w:rsidRPr="00C17786">
        <w:rPr>
          <w:rFonts w:eastAsia="Calibri"/>
          <w:i/>
        </w:rPr>
        <w:t xml:space="preserve">Chastnye nachala obvinenija i stanovlenie principa dispozitivnosti v ugolovnom processe </w:t>
      </w:r>
      <w:r w:rsidRPr="00C17786">
        <w:rPr>
          <w:rFonts w:eastAsia="Calibri"/>
        </w:rPr>
        <w:t>[Private Origins of Accusation and Formation of the Principle of Dispositiveness in Criminal Procedure]</w:t>
      </w:r>
      <w:r w:rsidRPr="00C17786">
        <w:rPr>
          <w:rFonts w:eastAsia="Calibri"/>
          <w:i/>
        </w:rPr>
        <w:t xml:space="preserve">. </w:t>
      </w:r>
      <w:r w:rsidRPr="00C17786">
        <w:rPr>
          <w:rFonts w:eastAsia="Calibri"/>
          <w:color w:val="000033"/>
        </w:rPr>
        <w:t>Daktaro disertacija. Socialiniai mokslai (teisė). Ekaterinburg</w:t>
      </w:r>
      <w:r w:rsidRPr="00C17786">
        <w:rPr>
          <w:rFonts w:eastAsia="Calibri"/>
        </w:rPr>
        <w:t>, 2001.</w:t>
      </w:r>
    </w:p>
    <w:p w:rsidR="00C17786" w:rsidRPr="00C17786" w:rsidRDefault="00C17786" w:rsidP="00C17786">
      <w:pPr>
        <w:pStyle w:val="Sraopastraipa"/>
        <w:numPr>
          <w:ilvl w:val="0"/>
          <w:numId w:val="33"/>
        </w:numPr>
        <w:spacing w:line="240" w:lineRule="auto"/>
      </w:pPr>
      <w:r w:rsidRPr="00C17786">
        <w:rPr>
          <w:rFonts w:eastAsia="Calibri"/>
        </w:rPr>
        <w:t>S</w:t>
      </w:r>
      <w:r w:rsidRPr="00C17786">
        <w:t xml:space="preserve">chöch, H. Die Rechtsstellung des Verletzten im Strafverfahren. </w:t>
      </w:r>
      <w:r w:rsidRPr="00C17786">
        <w:rPr>
          <w:i/>
        </w:rPr>
        <w:t>NZSt</w:t>
      </w:r>
      <w:r w:rsidRPr="00C17786">
        <w:t>. 1984, 9: 38</w:t>
      </w:r>
      <w:r>
        <w:t>5-432</w:t>
      </w:r>
      <w:r w:rsidRPr="00C17786">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Schorn, H.</w:t>
      </w:r>
      <w:r>
        <w:rPr>
          <w:rFonts w:eastAsia="Calibri"/>
        </w:rPr>
        <w:t xml:space="preserve"> </w:t>
      </w:r>
      <w:r w:rsidRPr="003D05F7">
        <w:rPr>
          <w:rFonts w:eastAsia="Calibri"/>
          <w:i/>
        </w:rPr>
        <w:t>Der Strafrichter</w:t>
      </w:r>
      <w:r w:rsidRPr="003D05F7">
        <w:rPr>
          <w:rFonts w:eastAsia="Calibri"/>
        </w:rPr>
        <w:t>.</w:t>
      </w:r>
      <w:r>
        <w:rPr>
          <w:rFonts w:eastAsia="Calibri"/>
        </w:rPr>
        <w:t xml:space="preserve"> </w:t>
      </w:r>
      <w:r w:rsidRPr="006270DD">
        <w:rPr>
          <w:rFonts w:eastAsia="Calibri"/>
          <w:i/>
        </w:rPr>
        <w:t>Ein Handbuch für das Strafverfahren</w:t>
      </w:r>
      <w:r>
        <w:rPr>
          <w:rFonts w:eastAsia="Calibri"/>
        </w:rPr>
        <w:t>.</w:t>
      </w:r>
      <w:r w:rsidRPr="003D05F7">
        <w:rPr>
          <w:rFonts w:eastAsia="Calibri"/>
        </w:rPr>
        <w:t xml:space="preserve"> Frankfurt am Main, 1960.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Shumilina, O. Ju. </w:t>
      </w:r>
      <w:r w:rsidRPr="003D05F7">
        <w:rPr>
          <w:rFonts w:eastAsia="Calibri"/>
          <w:i/>
        </w:rPr>
        <w:t>Processual</w:t>
      </w:r>
      <w:r>
        <w:rPr>
          <w:rFonts w:eastAsia="Calibri"/>
          <w:i/>
        </w:rPr>
        <w:t>noe polozheni</w:t>
      </w:r>
      <w:r w:rsidRPr="003D05F7">
        <w:rPr>
          <w:rFonts w:eastAsia="Calibri"/>
          <w:i/>
        </w:rPr>
        <w:t>e poterpervshego po delam chastnogo obvinenija</w:t>
      </w:r>
      <w:r w:rsidRPr="003D05F7">
        <w:rPr>
          <w:rFonts w:eastAsia="Calibri"/>
        </w:rPr>
        <w:t xml:space="preserve"> [Legal Status of the Victim in the Cases of Private Prosecution]. Daktaro disertacija. Socialiniai mokslai (teisė). Krasnojarsk, 2003.</w:t>
      </w:r>
    </w:p>
    <w:p w:rsidR="00FD0AEF" w:rsidRPr="003D05F7" w:rsidRDefault="00FD0AEF" w:rsidP="00FD0AEF">
      <w:pPr>
        <w:pStyle w:val="Sraopastraipa"/>
        <w:numPr>
          <w:ilvl w:val="0"/>
          <w:numId w:val="33"/>
        </w:numPr>
        <w:spacing w:line="240" w:lineRule="auto"/>
        <w:rPr>
          <w:rFonts w:eastAsia="Calibri"/>
          <w:lang w:val="en-US"/>
        </w:rPr>
      </w:pPr>
      <w:r w:rsidRPr="003D05F7">
        <w:rPr>
          <w:rFonts w:eastAsia="Calibri"/>
        </w:rPr>
        <w:t xml:space="preserve">Schulz, J. </w:t>
      </w:r>
      <w:r w:rsidRPr="003D05F7">
        <w:rPr>
          <w:rFonts w:eastAsia="Calibri"/>
          <w:i/>
        </w:rPr>
        <w:t>Beitr</w:t>
      </w:r>
      <w:r w:rsidRPr="003D05F7">
        <w:rPr>
          <w:rFonts w:eastAsia="Calibri"/>
          <w:i/>
          <w:lang w:val="de-DE"/>
        </w:rPr>
        <w:t>äge zur Nebenklage</w:t>
      </w:r>
      <w:r w:rsidRPr="003D05F7">
        <w:rPr>
          <w:rFonts w:eastAsia="Calibri"/>
          <w:lang w:val="de-DE"/>
        </w:rPr>
        <w:t xml:space="preserve">. </w:t>
      </w:r>
      <w:r w:rsidRPr="003D05F7">
        <w:rPr>
          <w:rFonts w:eastAsia="Calibri"/>
          <w:lang w:val="en-US"/>
        </w:rPr>
        <w:t xml:space="preserve">Berlin: </w:t>
      </w:r>
      <w:r w:rsidRPr="003D05F7">
        <w:rPr>
          <w:rFonts w:eastAsia="Calibri"/>
        </w:rPr>
        <w:t>Duncker &amp; Humblot</w:t>
      </w:r>
      <w:r w:rsidRPr="003D05F7">
        <w:rPr>
          <w:rFonts w:eastAsia="Calibri"/>
          <w:lang w:val="en-US"/>
        </w:rPr>
        <w:t xml:space="preserve">, 1982.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Schünemann, B. The Role of the Victim Within the Criminal Justice System: A Three-Tiered Concept. </w:t>
      </w:r>
      <w:r w:rsidRPr="003D05F7">
        <w:rPr>
          <w:rFonts w:eastAsia="Calibri"/>
          <w:i/>
        </w:rPr>
        <w:t>Buffalo Criminal Law Review</w:t>
      </w:r>
      <w:r>
        <w:rPr>
          <w:rFonts w:eastAsia="Calibri"/>
        </w:rPr>
        <w:t>. 2000, 3</w:t>
      </w:r>
      <w:r w:rsidRPr="003D05F7">
        <w:rPr>
          <w:rFonts w:eastAsia="Calibri"/>
        </w:rPr>
        <w:t xml:space="preserve">: </w:t>
      </w:r>
      <w:r>
        <w:rPr>
          <w:rFonts w:eastAsia="Calibri"/>
        </w:rPr>
        <w:t>33-64</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Simaitis, R. </w:t>
      </w:r>
      <w:r w:rsidRPr="003D05F7">
        <w:rPr>
          <w:rFonts w:eastAsia="Calibri"/>
          <w:i/>
        </w:rPr>
        <w:t>Bylinėjimosi išlaidos civiliniame procese</w:t>
      </w:r>
      <w:r w:rsidRPr="003D05F7">
        <w:rPr>
          <w:rFonts w:eastAsia="Calibri"/>
        </w:rPr>
        <w:t xml:space="preserve">. Vilnius: Justitia,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Simaitis, R. Mediacijos privačiuose ginčuose teisinio reguliavimo tendencijos Lietuvoje. </w:t>
      </w:r>
      <w:r w:rsidRPr="003D05F7">
        <w:rPr>
          <w:rFonts w:eastAsia="Calibri"/>
          <w:i/>
        </w:rPr>
        <w:t>Justitia</w:t>
      </w:r>
      <w:r>
        <w:rPr>
          <w:rFonts w:eastAsia="Calibri"/>
          <w:i/>
        </w:rPr>
        <w:t>.</w:t>
      </w:r>
      <w:r w:rsidRPr="003D05F7">
        <w:rPr>
          <w:rFonts w:eastAsia="Calibri"/>
        </w:rPr>
        <w:t xml:space="preserve"> 2007, 2</w:t>
      </w:r>
      <w:r>
        <w:rPr>
          <w:rFonts w:eastAsia="Calibri"/>
        </w:rPr>
        <w:t xml:space="preserve"> (64): 21-32</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Simaitis, R. </w:t>
      </w:r>
      <w:r w:rsidRPr="00BB3917">
        <w:rPr>
          <w:rFonts w:eastAsia="Calibri"/>
        </w:rPr>
        <w:t>Teisminė mediacija: kas tai?</w:t>
      </w:r>
      <w:r w:rsidRPr="003D05F7">
        <w:rPr>
          <w:rFonts w:eastAsia="Calibri"/>
        </w:rPr>
        <w:t xml:space="preserve"> </w:t>
      </w:r>
      <w:r w:rsidRPr="00E15304">
        <w:rPr>
          <w:rFonts w:eastAsia="Calibri"/>
          <w:i/>
        </w:rPr>
        <w:t>Pranešimas</w:t>
      </w:r>
      <w:r>
        <w:rPr>
          <w:rFonts w:eastAsia="Calibri"/>
        </w:rPr>
        <w:t xml:space="preserve"> </w:t>
      </w:r>
      <w:r w:rsidRPr="00BB3917">
        <w:rPr>
          <w:rFonts w:eastAsia="Calibri"/>
          <w:i/>
        </w:rPr>
        <w:t>2006 m. balandžio 6 d. konferencijo</w:t>
      </w:r>
      <w:r>
        <w:rPr>
          <w:rFonts w:eastAsia="Calibri"/>
          <w:i/>
        </w:rPr>
        <w:t>je</w:t>
      </w:r>
      <w:r w:rsidRPr="003D05F7">
        <w:rPr>
          <w:rFonts w:eastAsia="Calibri"/>
        </w:rPr>
        <w:t>.</w:t>
      </w:r>
      <w:r>
        <w:rPr>
          <w:rFonts w:eastAsia="Calibri"/>
        </w:rPr>
        <w:t xml:space="preserve"> Vilnius,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Sinkevičius, E. Juridinių asmenų baudžiamoji atsakomybė pagal 2000 m. baudžiamąjį kodeksą ir jos sąlygos. </w:t>
      </w:r>
      <w:r w:rsidRPr="003D05F7">
        <w:rPr>
          <w:rFonts w:eastAsia="Calibri"/>
          <w:i/>
        </w:rPr>
        <w:t>Teisė</w:t>
      </w:r>
      <w:r>
        <w:rPr>
          <w:rFonts w:eastAsia="Calibri"/>
        </w:rPr>
        <w:t>.</w:t>
      </w:r>
      <w:r w:rsidRPr="003D05F7">
        <w:rPr>
          <w:rFonts w:eastAsia="Calibri"/>
        </w:rPr>
        <w:t xml:space="preserve"> 2003, 48: 130-143. </w:t>
      </w:r>
    </w:p>
    <w:p w:rsidR="00FD0AEF" w:rsidRDefault="00FD0AEF" w:rsidP="00FD0AEF">
      <w:pPr>
        <w:pStyle w:val="Sraopastraipa"/>
        <w:numPr>
          <w:ilvl w:val="0"/>
          <w:numId w:val="33"/>
        </w:numPr>
        <w:spacing w:line="240" w:lineRule="auto"/>
        <w:rPr>
          <w:rFonts w:eastAsia="Calibri"/>
        </w:rPr>
      </w:pPr>
      <w:r w:rsidRPr="003D05F7">
        <w:rPr>
          <w:rFonts w:eastAsia="Calibri"/>
        </w:rPr>
        <w:t xml:space="preserve">Sinkevičius, V. </w:t>
      </w:r>
      <w:r w:rsidRPr="00BB3917">
        <w:rPr>
          <w:rFonts w:eastAsia="Calibri"/>
        </w:rPr>
        <w:t>Teisės į teisingą teisinį procesą samprata Lietuvos Respublikos Konstitucinio Teismo jurisprudencijoje</w:t>
      </w:r>
      <w:r w:rsidRPr="003D05F7">
        <w:rPr>
          <w:rFonts w:eastAsia="Calibri"/>
          <w:i/>
        </w:rPr>
        <w:t>.</w:t>
      </w:r>
      <w:r>
        <w:rPr>
          <w:rFonts w:eastAsia="Calibri"/>
        </w:rPr>
        <w:t xml:space="preserve"> </w:t>
      </w:r>
      <w:r w:rsidRPr="00BB3917">
        <w:rPr>
          <w:rFonts w:eastAsia="Calibri"/>
          <w:i/>
        </w:rPr>
        <w:t>Konstitucinė jurisprudencija</w:t>
      </w:r>
      <w:r w:rsidRPr="003D05F7">
        <w:rPr>
          <w:rFonts w:eastAsia="Calibri"/>
        </w:rPr>
        <w:t>. 2006, 2</w:t>
      </w:r>
      <w:r>
        <w:rPr>
          <w:rFonts w:eastAsia="Calibri"/>
        </w:rPr>
        <w:t>: 250-286</w:t>
      </w:r>
      <w:r w:rsidRPr="003D05F7">
        <w:rPr>
          <w:rFonts w:eastAsia="Calibri"/>
        </w:rPr>
        <w:t xml:space="preserve">. </w:t>
      </w:r>
    </w:p>
    <w:p w:rsidR="00FD0AEF" w:rsidRPr="00BB3917" w:rsidRDefault="00FD0AEF" w:rsidP="00FD0AEF">
      <w:pPr>
        <w:pStyle w:val="Sraopastraipa"/>
        <w:numPr>
          <w:ilvl w:val="0"/>
          <w:numId w:val="33"/>
        </w:numPr>
        <w:spacing w:line="240" w:lineRule="auto"/>
        <w:rPr>
          <w:rFonts w:eastAsia="Calibri"/>
        </w:rPr>
      </w:pPr>
      <w:r w:rsidRPr="00BB3917">
        <w:rPr>
          <w:rFonts w:eastAsia="Calibri"/>
        </w:rPr>
        <w:t xml:space="preserve">Smirnov, A. V. </w:t>
      </w:r>
      <w:r w:rsidRPr="00BB3917">
        <w:rPr>
          <w:rFonts w:eastAsia="Calibri"/>
          <w:i/>
        </w:rPr>
        <w:t xml:space="preserve">Modeli ugolovnogo processa </w:t>
      </w:r>
      <w:r w:rsidRPr="00BB3917">
        <w:rPr>
          <w:rFonts w:eastAsia="Calibri"/>
        </w:rPr>
        <w:t>[Models of Criminal Procedure]. Sankt Peterburg: Nauka: Alfa, 2000.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Soloveičikas D. </w:t>
      </w:r>
      <w:r w:rsidRPr="003D05F7">
        <w:rPr>
          <w:rFonts w:eastAsia="Calibri"/>
          <w:i/>
        </w:rPr>
        <w:t>Juridinių asmenų baudžiamoji atsakomybė. Lyginamieji aspektai.</w:t>
      </w:r>
      <w:r w:rsidRPr="003D05F7">
        <w:rPr>
          <w:rFonts w:eastAsia="Calibri"/>
        </w:rPr>
        <w:t xml:space="preserve"> Vilnius: Justitia,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Spalek, B. </w:t>
      </w:r>
      <w:r w:rsidRPr="003D05F7">
        <w:rPr>
          <w:rFonts w:eastAsia="Calibri"/>
          <w:i/>
        </w:rPr>
        <w:t xml:space="preserve">Crime Victims: Theory, Policy and Practice. </w:t>
      </w:r>
      <w:r w:rsidRPr="003D05F7">
        <w:rPr>
          <w:rFonts w:eastAsia="Calibri"/>
        </w:rPr>
        <w:t xml:space="preserve">Basingstoke: Palgrave Macmillan,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Stone, K. V. W. </w:t>
      </w:r>
      <w:r w:rsidRPr="003D05F7">
        <w:rPr>
          <w:rFonts w:eastAsia="Calibri"/>
          <w:i/>
        </w:rPr>
        <w:t xml:space="preserve">Private </w:t>
      </w:r>
      <w:r>
        <w:rPr>
          <w:rFonts w:eastAsia="Calibri"/>
          <w:i/>
        </w:rPr>
        <w:t>Justice: the Law of A</w:t>
      </w:r>
      <w:r w:rsidRPr="003D05F7">
        <w:rPr>
          <w:rFonts w:eastAsia="Calibri"/>
          <w:i/>
        </w:rPr>
        <w:t xml:space="preserve">lternative </w:t>
      </w:r>
      <w:r>
        <w:rPr>
          <w:rFonts w:eastAsia="Calibri"/>
          <w:i/>
        </w:rPr>
        <w:t>D</w:t>
      </w:r>
      <w:r w:rsidRPr="003D05F7">
        <w:rPr>
          <w:rFonts w:eastAsia="Calibri"/>
          <w:i/>
        </w:rPr>
        <w:t xml:space="preserve">ispute </w:t>
      </w:r>
      <w:r>
        <w:rPr>
          <w:rFonts w:eastAsia="Calibri"/>
          <w:i/>
        </w:rPr>
        <w:t>R</w:t>
      </w:r>
      <w:r w:rsidRPr="003D05F7">
        <w:rPr>
          <w:rFonts w:eastAsia="Calibri"/>
          <w:i/>
        </w:rPr>
        <w:t>esolution</w:t>
      </w:r>
      <w:r w:rsidRPr="003D05F7">
        <w:rPr>
          <w:rFonts w:eastAsia="Calibri"/>
        </w:rPr>
        <w:t>. 4</w:t>
      </w:r>
      <w:r>
        <w:rPr>
          <w:rFonts w:eastAsia="Calibri"/>
        </w:rPr>
        <w:t>-oji laida</w:t>
      </w:r>
      <w:r w:rsidRPr="003D05F7">
        <w:rPr>
          <w:rFonts w:eastAsia="Calibri"/>
        </w:rPr>
        <w:t xml:space="preserve">. New York: Foundation Press, 2000.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Strang, H. </w:t>
      </w:r>
      <w:r w:rsidRPr="003D05F7">
        <w:rPr>
          <w:rFonts w:eastAsia="Calibri"/>
          <w:i/>
        </w:rPr>
        <w:t>Repair or Revenge: Victims and Restorative Justice</w:t>
      </w:r>
      <w:r w:rsidRPr="003D05F7">
        <w:rPr>
          <w:rFonts w:eastAsia="Calibri"/>
        </w:rPr>
        <w:t>. Oxford: Clarendon Press, 2006.</w:t>
      </w:r>
    </w:p>
    <w:p w:rsidR="00FD0AEF" w:rsidRPr="003D05F7" w:rsidRDefault="00FD0AEF" w:rsidP="00FD0AEF">
      <w:pPr>
        <w:pStyle w:val="Puslapioinaostekstas"/>
        <w:numPr>
          <w:ilvl w:val="0"/>
          <w:numId w:val="33"/>
        </w:numPr>
        <w:jc w:val="both"/>
        <w:rPr>
          <w:sz w:val="24"/>
        </w:rPr>
      </w:pPr>
      <w:r w:rsidRPr="003D05F7">
        <w:rPr>
          <w:color w:val="000000"/>
          <w:sz w:val="24"/>
          <w:lang w:eastAsia="lt-LT"/>
        </w:rPr>
        <w:t xml:space="preserve">Šelih, A. The </w:t>
      </w:r>
      <w:r>
        <w:rPr>
          <w:color w:val="000000"/>
          <w:sz w:val="24"/>
          <w:lang w:eastAsia="lt-LT"/>
        </w:rPr>
        <w:t>P</w:t>
      </w:r>
      <w:r w:rsidRPr="003D05F7">
        <w:rPr>
          <w:color w:val="000000"/>
          <w:sz w:val="24"/>
          <w:lang w:eastAsia="lt-LT"/>
        </w:rPr>
        <w:t xml:space="preserve">rosecution </w:t>
      </w:r>
      <w:r>
        <w:rPr>
          <w:color w:val="000000"/>
          <w:sz w:val="24"/>
          <w:lang w:eastAsia="lt-LT"/>
        </w:rPr>
        <w:t>Process and the (C</w:t>
      </w:r>
      <w:r w:rsidRPr="003D05F7">
        <w:rPr>
          <w:color w:val="000000"/>
          <w:sz w:val="24"/>
          <w:lang w:eastAsia="lt-LT"/>
        </w:rPr>
        <w:t xml:space="preserve">hanging) </w:t>
      </w:r>
      <w:r>
        <w:rPr>
          <w:color w:val="000000"/>
          <w:sz w:val="24"/>
          <w:lang w:eastAsia="lt-LT"/>
        </w:rPr>
        <w:t>Role of the P</w:t>
      </w:r>
      <w:r w:rsidRPr="003D05F7">
        <w:rPr>
          <w:color w:val="000000"/>
          <w:sz w:val="24"/>
          <w:lang w:eastAsia="lt-LT"/>
        </w:rPr>
        <w:t xml:space="preserve">rosecutor. In </w:t>
      </w:r>
      <w:r w:rsidRPr="003D05F7">
        <w:rPr>
          <w:i/>
          <w:iCs/>
          <w:color w:val="000000"/>
          <w:sz w:val="24"/>
          <w:lang w:eastAsia="lt-LT"/>
        </w:rPr>
        <w:t xml:space="preserve">Crime and </w:t>
      </w:r>
      <w:r>
        <w:rPr>
          <w:i/>
          <w:iCs/>
          <w:color w:val="000000"/>
          <w:sz w:val="24"/>
          <w:lang w:eastAsia="lt-LT"/>
        </w:rPr>
        <w:t>C</w:t>
      </w:r>
      <w:r w:rsidRPr="003D05F7">
        <w:rPr>
          <w:i/>
          <w:iCs/>
          <w:color w:val="000000"/>
          <w:sz w:val="24"/>
          <w:lang w:eastAsia="lt-LT"/>
        </w:rPr>
        <w:t xml:space="preserve">riminal </w:t>
      </w:r>
      <w:r>
        <w:rPr>
          <w:i/>
          <w:iCs/>
          <w:color w:val="000000"/>
          <w:sz w:val="24"/>
          <w:lang w:eastAsia="lt-LT"/>
        </w:rPr>
        <w:t>J</w:t>
      </w:r>
      <w:r w:rsidRPr="003D05F7">
        <w:rPr>
          <w:i/>
          <w:iCs/>
          <w:color w:val="000000"/>
          <w:sz w:val="24"/>
          <w:lang w:eastAsia="lt-LT"/>
        </w:rPr>
        <w:t>ustice in Europe</w:t>
      </w:r>
      <w:r>
        <w:rPr>
          <w:i/>
          <w:iCs/>
          <w:color w:val="000000"/>
          <w:sz w:val="24"/>
          <w:lang w:eastAsia="lt-LT"/>
        </w:rPr>
        <w:t xml:space="preserve"> </w:t>
      </w:r>
      <w:r>
        <w:rPr>
          <w:color w:val="000000"/>
          <w:sz w:val="24"/>
          <w:lang w:eastAsia="lt-LT"/>
        </w:rPr>
        <w:t>[interaktyvus].</w:t>
      </w:r>
      <w:r w:rsidRPr="003D05F7">
        <w:rPr>
          <w:color w:val="000000"/>
          <w:sz w:val="24"/>
          <w:lang w:eastAsia="lt-LT"/>
        </w:rPr>
        <w:t xml:space="preserve"> Strasbourg: Council of Europe Publishing, 2000</w:t>
      </w:r>
      <w:r>
        <w:rPr>
          <w:color w:val="000000"/>
          <w:sz w:val="24"/>
          <w:lang w:eastAsia="lt-LT"/>
        </w:rPr>
        <w:t>, p. 93-107 [žiūrėta 2013-01-25]. &lt;</w:t>
      </w:r>
      <w:hyperlink r:id="rId16" w:anchor="v=onepage&amp;q&amp;f=false" w:history="1">
        <w:r w:rsidRPr="003D05F7">
          <w:rPr>
            <w:rStyle w:val="Hipersaitas"/>
            <w:sz w:val="24"/>
            <w:lang w:eastAsia="lt-LT"/>
          </w:rPr>
          <w:t>http://books.google.lt/books?id=py_dX__lu50C&amp;pg=PA93&amp;dq=%C5%A0elih,+A.+(2000).+The+prosecution+process+and+the+(changing)+role+of+the+prosecutor.&amp;hl=lt&amp;sa=X&amp;ei=7o0FT7qAB8zwsga8iYmCDw&amp;ved=0CC0Q6AEwAA#v=onepage&amp;q&amp;f=false</w:t>
        </w:r>
      </w:hyperlink>
      <w:r>
        <w:rPr>
          <w:rStyle w:val="Hipersaitas"/>
          <w:sz w:val="24"/>
          <w:lang w:eastAsia="lt-LT"/>
        </w:rPr>
        <w:t>&gt;.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Šulija, V. Juridinių asmenų baudžiamosios atsakomybės samprata ir taikymo problemos Lietuvoje. </w:t>
      </w:r>
      <w:r w:rsidRPr="003D05F7">
        <w:rPr>
          <w:rFonts w:eastAsia="Calibri"/>
          <w:i/>
        </w:rPr>
        <w:t>Jurisprudencija</w:t>
      </w:r>
      <w:r>
        <w:rPr>
          <w:rFonts w:eastAsia="Calibri"/>
        </w:rPr>
        <w:t>.</w:t>
      </w:r>
      <w:r w:rsidRPr="003D05F7">
        <w:rPr>
          <w:rFonts w:eastAsia="Calibri"/>
        </w:rPr>
        <w:t xml:space="preserve"> 2003, 41</w:t>
      </w:r>
      <w:r>
        <w:rPr>
          <w:rFonts w:eastAsia="Calibri"/>
        </w:rPr>
        <w:t xml:space="preserve"> </w:t>
      </w:r>
      <w:r w:rsidRPr="003D05F7">
        <w:rPr>
          <w:rFonts w:eastAsia="Calibri"/>
        </w:rPr>
        <w:t xml:space="preserve">(33): 91-105.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Štarienė, L. </w:t>
      </w:r>
      <w:r w:rsidRPr="003D05F7">
        <w:rPr>
          <w:rFonts w:eastAsia="Calibri"/>
          <w:i/>
        </w:rPr>
        <w:t>Teisė į teisingą teismą pagal Europos žmogaus teisių konvenciją</w:t>
      </w:r>
      <w:r w:rsidRPr="003D05F7">
        <w:rPr>
          <w:rFonts w:eastAsia="Calibri"/>
        </w:rPr>
        <w:t xml:space="preserve">. Vilnius: VĮ Registrų centras, 2010. </w:t>
      </w:r>
    </w:p>
    <w:p w:rsidR="00FD0AEF" w:rsidRPr="003D05F7" w:rsidRDefault="00FD0AEF" w:rsidP="00FD0AEF">
      <w:pPr>
        <w:pStyle w:val="Sraopastraipa"/>
        <w:numPr>
          <w:ilvl w:val="0"/>
          <w:numId w:val="33"/>
        </w:numPr>
        <w:autoSpaceDE w:val="0"/>
        <w:autoSpaceDN w:val="0"/>
        <w:adjustRightInd w:val="0"/>
        <w:spacing w:line="240" w:lineRule="auto"/>
        <w:rPr>
          <w:rFonts w:eastAsia="Calibri"/>
        </w:rPr>
      </w:pPr>
      <w:r w:rsidRPr="003D05F7">
        <w:rPr>
          <w:rFonts w:eastAsia="Calibri"/>
        </w:rPr>
        <w:t>Štarienė, L. Teisės į teisingą teismą, įtvirtintos Europos žmogaus teisių konvencijos 6 str., pobūdis, vieta ir apsaugos lygis kitų konvencijos teisių požiūriu</w:t>
      </w:r>
      <w:r w:rsidRPr="003D05F7">
        <w:rPr>
          <w:rFonts w:eastAsia="Calibri"/>
          <w:i/>
        </w:rPr>
        <w:t>. Jurisprudencija</w:t>
      </w:r>
      <w:r>
        <w:rPr>
          <w:rFonts w:eastAsia="Calibri"/>
        </w:rPr>
        <w:t>.</w:t>
      </w:r>
      <w:r w:rsidRPr="003D05F7">
        <w:rPr>
          <w:rFonts w:eastAsia="Calibri"/>
        </w:rPr>
        <w:t xml:space="preserve"> 2006, 10</w:t>
      </w:r>
      <w:r>
        <w:rPr>
          <w:rFonts w:eastAsia="Calibri"/>
        </w:rPr>
        <w:t xml:space="preserve"> </w:t>
      </w:r>
      <w:r w:rsidRPr="003D05F7">
        <w:rPr>
          <w:rFonts w:eastAsia="Calibri"/>
        </w:rPr>
        <w:t>(88): 40-48.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Tagancev, N. S. </w:t>
      </w:r>
      <w:r>
        <w:rPr>
          <w:rFonts w:eastAsia="Calibri"/>
          <w:i/>
        </w:rPr>
        <w:t>Russkoe ugolovnoe pravo. Lekci</w:t>
      </w:r>
      <w:r w:rsidRPr="003D05F7">
        <w:rPr>
          <w:rFonts w:eastAsia="Calibri"/>
          <w:i/>
        </w:rPr>
        <w:t xml:space="preserve">i. </w:t>
      </w:r>
      <w:r>
        <w:rPr>
          <w:rFonts w:eastAsia="Calibri"/>
          <w:i/>
        </w:rPr>
        <w:t>Ch</w:t>
      </w:r>
      <w:r w:rsidRPr="003D05F7">
        <w:rPr>
          <w:rFonts w:eastAsia="Calibri"/>
          <w:i/>
        </w:rPr>
        <w:t>ast ob</w:t>
      </w:r>
      <w:r>
        <w:rPr>
          <w:rFonts w:eastAsia="Calibri"/>
          <w:i/>
        </w:rPr>
        <w:t>shch</w:t>
      </w:r>
      <w:r w:rsidRPr="003D05F7">
        <w:rPr>
          <w:rFonts w:eastAsia="Calibri"/>
          <w:i/>
        </w:rPr>
        <w:t>a</w:t>
      </w:r>
      <w:r>
        <w:rPr>
          <w:rFonts w:eastAsia="Calibri"/>
          <w:i/>
        </w:rPr>
        <w:t>ja</w:t>
      </w:r>
      <w:r w:rsidRPr="003D05F7">
        <w:rPr>
          <w:rFonts w:eastAsia="Calibri"/>
        </w:rPr>
        <w:t xml:space="preserve"> </w:t>
      </w:r>
      <w:proofErr w:type="gramStart"/>
      <w:r w:rsidRPr="003D05F7">
        <w:rPr>
          <w:rFonts w:eastAsia="Calibri"/>
        </w:rPr>
        <w:t>[</w:t>
      </w:r>
      <w:proofErr w:type="gramEnd"/>
      <w:r w:rsidRPr="003D05F7">
        <w:rPr>
          <w:rFonts w:eastAsia="Calibri"/>
        </w:rPr>
        <w:t xml:space="preserve">Russian criminal law. Lectures. General section]. </w:t>
      </w:r>
      <w:r>
        <w:rPr>
          <w:rFonts w:eastAsia="Calibri"/>
        </w:rPr>
        <w:t xml:space="preserve">II tomas. </w:t>
      </w:r>
      <w:r w:rsidRPr="003D05F7">
        <w:rPr>
          <w:rFonts w:eastAsia="Calibri"/>
        </w:rPr>
        <w:t>Moskva: Nauka, 1994.</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Tak, P. East Meets West Aspects of Prosecution in Countries in Transition. </w:t>
      </w:r>
      <w:r w:rsidRPr="003D05F7">
        <w:rPr>
          <w:rFonts w:eastAsia="Calibri"/>
          <w:i/>
        </w:rPr>
        <w:t>European Journal of Crime, Criminal Law and Criminal Justice</w:t>
      </w:r>
      <w:r w:rsidRPr="003D05F7">
        <w:rPr>
          <w:rFonts w:eastAsia="Calibri"/>
        </w:rPr>
        <w:t>. 1999, 7(4): 412-432.</w:t>
      </w:r>
    </w:p>
    <w:p w:rsidR="00FD0AEF" w:rsidRPr="008A4D76" w:rsidRDefault="00FD0AEF" w:rsidP="00FD0AEF">
      <w:pPr>
        <w:pStyle w:val="Sraopastraipa"/>
        <w:numPr>
          <w:ilvl w:val="0"/>
          <w:numId w:val="33"/>
        </w:numPr>
        <w:spacing w:line="240" w:lineRule="auto"/>
        <w:rPr>
          <w:rFonts w:eastAsia="Calibri"/>
        </w:rPr>
      </w:pPr>
      <w:r w:rsidRPr="003D05F7">
        <w:rPr>
          <w:rFonts w:eastAsia="Calibri"/>
          <w:i/>
        </w:rPr>
        <w:t>Tarptautinių žodžių žodynas</w:t>
      </w:r>
      <w:r w:rsidRPr="003D05F7">
        <w:rPr>
          <w:rFonts w:eastAsia="Calibri"/>
        </w:rPr>
        <w:t xml:space="preserve"> [interaktyvus]. </w:t>
      </w:r>
      <w:r>
        <w:rPr>
          <w:rFonts w:eastAsia="Calibri"/>
        </w:rPr>
        <w:t xml:space="preserve">Vilnius: </w:t>
      </w:r>
      <w:r w:rsidRPr="003D05F7">
        <w:rPr>
          <w:rFonts w:eastAsia="Calibri"/>
        </w:rPr>
        <w:t>Vyriausioji enciklopedijų redakcija, 1985 [žiūrėta 2011-11-21]</w:t>
      </w:r>
      <w:r>
        <w:rPr>
          <w:rFonts w:eastAsia="Calibri"/>
        </w:rPr>
        <w:t>.</w:t>
      </w:r>
      <w:r w:rsidRPr="003D05F7">
        <w:rPr>
          <w:rFonts w:eastAsia="Calibri"/>
        </w:rPr>
        <w:t xml:space="preserve"> </w:t>
      </w:r>
      <w:r>
        <w:rPr>
          <w:rFonts w:eastAsia="Calibri"/>
        </w:rPr>
        <w:t>&lt;</w:t>
      </w:r>
      <w:hyperlink r:id="rId17" w:history="1">
        <w:r w:rsidRPr="003D05F7">
          <w:rPr>
            <w:rFonts w:eastAsia="Calibri"/>
            <w:color w:val="0000FF"/>
            <w:u w:val="single"/>
          </w:rPr>
          <w:t>www.tzz.lt</w:t>
        </w:r>
      </w:hyperlink>
      <w:r>
        <w:rPr>
          <w:rFonts w:eastAsia="Calibri"/>
          <w:color w:val="0000FF"/>
          <w:u w:val="single"/>
        </w:rPr>
        <w:t>&gt;.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Tauber, L. Ja. </w:t>
      </w:r>
      <w:r>
        <w:rPr>
          <w:rFonts w:eastAsia="Calibri"/>
        </w:rPr>
        <w:t>Isk, obvinenie i sostjazatel</w:t>
      </w:r>
      <w:r w:rsidRPr="00892E28">
        <w:rPr>
          <w:rFonts w:eastAsia="Calibri"/>
        </w:rPr>
        <w:t>noe nachalo</w:t>
      </w:r>
      <w:r w:rsidRPr="003D05F7">
        <w:rPr>
          <w:rFonts w:eastAsia="Calibri"/>
        </w:rPr>
        <w:t xml:space="preserve"> [Lawsuit, Prosecution and Adversarial Origins]. </w:t>
      </w:r>
      <w:r w:rsidRPr="00892E28">
        <w:rPr>
          <w:rFonts w:eastAsia="Calibri"/>
          <w:i/>
        </w:rPr>
        <w:t>Vestnik grazhdanskogo prava</w:t>
      </w:r>
      <w:r>
        <w:rPr>
          <w:rFonts w:eastAsia="Calibri"/>
        </w:rPr>
        <w:t>.</w:t>
      </w:r>
      <w:r w:rsidRPr="003D05F7">
        <w:rPr>
          <w:rFonts w:eastAsia="Calibri"/>
        </w:rPr>
        <w:t xml:space="preserve"> 1917</w:t>
      </w:r>
      <w:r>
        <w:rPr>
          <w:rFonts w:eastAsia="Calibri"/>
        </w:rPr>
        <w:t>, 2: 76-100</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Pr>
          <w:rFonts w:eastAsia="Calibri"/>
        </w:rPr>
        <w:t>Tavuchis, N.</w:t>
      </w:r>
      <w:r w:rsidRPr="003D05F7">
        <w:rPr>
          <w:rFonts w:eastAsia="Calibri"/>
        </w:rPr>
        <w:t xml:space="preserve"> </w:t>
      </w:r>
      <w:r w:rsidRPr="003D05F7">
        <w:rPr>
          <w:rFonts w:eastAsia="Calibri"/>
          <w:i/>
        </w:rPr>
        <w:t>Mea Culpa: A Sociology of Apology and Reconciliation</w:t>
      </w:r>
      <w:r w:rsidRPr="003D05F7">
        <w:rPr>
          <w:rFonts w:eastAsia="Calibri"/>
        </w:rPr>
        <w:t xml:space="preserve">. Stanford: Stanford University Press, 1991.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Tensina, E. F. </w:t>
      </w:r>
      <w:r w:rsidRPr="003D05F7">
        <w:rPr>
          <w:rFonts w:eastAsia="Calibri"/>
          <w:i/>
        </w:rPr>
        <w:t xml:space="preserve">Proizvodstvo po delam chastnogo obvinenija kak forma dispozitivnosti </w:t>
      </w:r>
      <w:r w:rsidRPr="003D05F7">
        <w:rPr>
          <w:rFonts w:eastAsia="Calibri"/>
        </w:rPr>
        <w:t>[Procedure in Private Prosecution Cases as a Form of Dispositiveness]</w:t>
      </w:r>
      <w:r w:rsidRPr="003D05F7">
        <w:rPr>
          <w:rFonts w:eastAsia="Calibri"/>
          <w:i/>
        </w:rPr>
        <w:t>.</w:t>
      </w:r>
      <w:r>
        <w:rPr>
          <w:rFonts w:eastAsia="Calibri"/>
          <w:i/>
        </w:rPr>
        <w:t xml:space="preserve"> </w:t>
      </w:r>
      <w:r w:rsidRPr="003D05F7">
        <w:rPr>
          <w:rFonts w:eastAsia="Calibri"/>
          <w:color w:val="000033"/>
        </w:rPr>
        <w:t xml:space="preserve">Daktaro disertacija. Socialiniai mokslai </w:t>
      </w:r>
      <w:r>
        <w:rPr>
          <w:rFonts w:eastAsia="Calibri"/>
          <w:color w:val="000033"/>
        </w:rPr>
        <w:t>(</w:t>
      </w:r>
      <w:r w:rsidRPr="003D05F7">
        <w:rPr>
          <w:rFonts w:eastAsia="Calibri"/>
          <w:color w:val="000033"/>
        </w:rPr>
        <w:t>teisė</w:t>
      </w:r>
      <w:r>
        <w:rPr>
          <w:rFonts w:eastAsia="Calibri"/>
          <w:color w:val="000033"/>
        </w:rPr>
        <w:t>)</w:t>
      </w:r>
      <w:r w:rsidRPr="003D05F7">
        <w:rPr>
          <w:rFonts w:eastAsia="Calibri"/>
          <w:color w:val="000033"/>
        </w:rPr>
        <w:t>. Izhevsk, 2004</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Terebeiza, Ž. Dispozityvumo principo galiojimo ribos ginant viešąjį interesą teisme. </w:t>
      </w:r>
      <w:r w:rsidRPr="003D05F7">
        <w:rPr>
          <w:rFonts w:eastAsia="Calibri"/>
          <w:i/>
        </w:rPr>
        <w:t>Jurisprudencija</w:t>
      </w:r>
      <w:r w:rsidRPr="003D05F7">
        <w:rPr>
          <w:rFonts w:eastAsia="Calibri"/>
        </w:rPr>
        <w:t>. 2008, 7</w:t>
      </w:r>
      <w:r>
        <w:rPr>
          <w:rFonts w:eastAsia="Calibri"/>
        </w:rPr>
        <w:t xml:space="preserve"> </w:t>
      </w:r>
      <w:r w:rsidRPr="003D05F7">
        <w:rPr>
          <w:rFonts w:eastAsia="Calibri"/>
        </w:rPr>
        <w:t>(109): 92-98.</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Terebeiza, Ž. </w:t>
      </w:r>
      <w:r w:rsidRPr="003D05F7">
        <w:rPr>
          <w:rFonts w:eastAsia="Calibri"/>
          <w:i/>
        </w:rPr>
        <w:t>Įrodinėjimo našta ir jos paskirstymas civiliniame procese</w:t>
      </w:r>
      <w:r w:rsidRPr="003D05F7">
        <w:rPr>
          <w:rFonts w:eastAsia="Calibri"/>
        </w:rPr>
        <w:t>. Daktaro disertacija</w:t>
      </w:r>
      <w:r>
        <w:rPr>
          <w:rFonts w:eastAsia="Calibri"/>
        </w:rPr>
        <w:t>. Socialiniai mokslai</w:t>
      </w:r>
      <w:r w:rsidRPr="003D05F7">
        <w:rPr>
          <w:rFonts w:eastAsia="Calibri"/>
        </w:rPr>
        <w:t xml:space="preserve"> </w:t>
      </w:r>
      <w:r>
        <w:rPr>
          <w:rFonts w:eastAsia="Calibri"/>
        </w:rPr>
        <w:t>(</w:t>
      </w:r>
      <w:r w:rsidRPr="003D05F7">
        <w:rPr>
          <w:rFonts w:eastAsia="Calibri"/>
        </w:rPr>
        <w:t xml:space="preserve">teisė). </w:t>
      </w:r>
      <w:r>
        <w:rPr>
          <w:rFonts w:eastAsia="Calibri"/>
        </w:rPr>
        <w:t xml:space="preserve">Vilnius: </w:t>
      </w:r>
      <w:r w:rsidRPr="003D05F7">
        <w:rPr>
          <w:rFonts w:eastAsia="Calibri"/>
        </w:rPr>
        <w:t>Mykolo Romerio universitetas, 2009.</w:t>
      </w:r>
    </w:p>
    <w:p w:rsidR="00AA00E0" w:rsidRDefault="00AA00E0" w:rsidP="00FD0AEF">
      <w:pPr>
        <w:pStyle w:val="Sraopastraipa"/>
        <w:numPr>
          <w:ilvl w:val="0"/>
          <w:numId w:val="33"/>
        </w:numPr>
        <w:spacing w:line="240" w:lineRule="auto"/>
        <w:rPr>
          <w:rFonts w:eastAsia="Calibri"/>
          <w:bCs/>
        </w:rPr>
      </w:pPr>
      <w:r w:rsidRPr="00AA00E0">
        <w:rPr>
          <w:rFonts w:eastAsia="Calibri"/>
          <w:bCs/>
        </w:rPr>
        <w:t xml:space="preserve">Terebeiza, Ž. Laisvas įrodymų vertinimas civiliniame procese: teoriniai ir praktiniai aspektai. </w:t>
      </w:r>
      <w:r w:rsidRPr="00AA00E0">
        <w:rPr>
          <w:rFonts w:eastAsia="Calibri"/>
          <w:bCs/>
          <w:i/>
        </w:rPr>
        <w:t>Jurisprudencija</w:t>
      </w:r>
      <w:r w:rsidRPr="00AA00E0">
        <w:rPr>
          <w:rFonts w:eastAsia="Calibri"/>
          <w:bCs/>
        </w:rPr>
        <w:t xml:space="preserve">. 2007, 5 (95): </w:t>
      </w:r>
      <w:r>
        <w:rPr>
          <w:rFonts w:eastAsia="Calibri"/>
          <w:bCs/>
        </w:rPr>
        <w:t>78</w:t>
      </w:r>
      <w:r w:rsidRPr="00AA00E0">
        <w:rPr>
          <w:rFonts w:eastAsia="Calibri"/>
          <w:bCs/>
        </w:rPr>
        <w:t>-8</w:t>
      </w:r>
      <w:r>
        <w:rPr>
          <w:rFonts w:eastAsia="Calibri"/>
          <w:bCs/>
        </w:rPr>
        <w:t>2</w:t>
      </w:r>
      <w:r w:rsidRPr="00AA00E0">
        <w:rPr>
          <w:rFonts w:eastAsia="Calibri"/>
          <w:bCs/>
        </w:rPr>
        <w:t>.</w:t>
      </w:r>
    </w:p>
    <w:p w:rsidR="00FD0AEF" w:rsidRPr="003D05F7" w:rsidRDefault="00FD0AEF" w:rsidP="00FD0AEF">
      <w:pPr>
        <w:pStyle w:val="Sraopastraipa"/>
        <w:numPr>
          <w:ilvl w:val="0"/>
          <w:numId w:val="33"/>
        </w:numPr>
        <w:spacing w:line="240" w:lineRule="auto"/>
        <w:rPr>
          <w:rFonts w:eastAsia="Calibri"/>
          <w:bCs/>
        </w:rPr>
      </w:pPr>
      <w:r w:rsidRPr="003D05F7">
        <w:rPr>
          <w:rFonts w:eastAsia="Calibri"/>
          <w:bCs/>
        </w:rPr>
        <w:t xml:space="preserve">Tyler, T. R., Lind, E. A. A Relational Model of Authority in Groups. </w:t>
      </w:r>
      <w:r w:rsidRPr="003D05F7">
        <w:rPr>
          <w:rFonts w:eastAsia="Calibri"/>
          <w:bCs/>
          <w:i/>
        </w:rPr>
        <w:t>Advances in Experimental Social Psychology</w:t>
      </w:r>
      <w:r w:rsidRPr="003D05F7">
        <w:rPr>
          <w:rFonts w:eastAsia="Calibri"/>
          <w:bCs/>
        </w:rPr>
        <w:t xml:space="preserve">. 1992, 25: 115-191.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Thibaut, J. Walker, L. A Theory of Procedure. </w:t>
      </w:r>
      <w:r w:rsidRPr="003D05F7">
        <w:rPr>
          <w:rFonts w:eastAsia="Calibri"/>
          <w:i/>
        </w:rPr>
        <w:t>California Law Review</w:t>
      </w:r>
      <w:r w:rsidRPr="003D05F7">
        <w:rPr>
          <w:rFonts w:eastAsia="Calibri"/>
        </w:rPr>
        <w:t xml:space="preserve">. 1978, 66: 541-566.  </w:t>
      </w:r>
    </w:p>
    <w:p w:rsidR="00FD0AEF" w:rsidRPr="003D05F7" w:rsidRDefault="00FD0AEF" w:rsidP="00FD0AEF">
      <w:pPr>
        <w:pStyle w:val="Sraopastraipa"/>
        <w:numPr>
          <w:ilvl w:val="0"/>
          <w:numId w:val="33"/>
        </w:numPr>
        <w:spacing w:line="240" w:lineRule="auto"/>
        <w:rPr>
          <w:rFonts w:eastAsia="Calibri"/>
        </w:rPr>
      </w:pPr>
      <w:r>
        <w:rPr>
          <w:rFonts w:eastAsia="Calibri"/>
        </w:rPr>
        <w:t>Tkach</w:t>
      </w:r>
      <w:r w:rsidRPr="003D05F7">
        <w:rPr>
          <w:rFonts w:eastAsia="Calibri"/>
        </w:rPr>
        <w:t xml:space="preserve">enko, A. A. </w:t>
      </w:r>
      <w:r w:rsidRPr="003D05F7">
        <w:rPr>
          <w:rFonts w:eastAsia="Calibri"/>
          <w:i/>
        </w:rPr>
        <w:t>Sudeb</w:t>
      </w:r>
      <w:r>
        <w:rPr>
          <w:rFonts w:eastAsia="Calibri"/>
          <w:i/>
        </w:rPr>
        <w:t>n</w:t>
      </w:r>
      <w:r w:rsidRPr="003D05F7">
        <w:rPr>
          <w:rFonts w:eastAsia="Calibri"/>
          <w:i/>
        </w:rPr>
        <w:t>a</w:t>
      </w:r>
      <w:r>
        <w:rPr>
          <w:rFonts w:eastAsia="Calibri"/>
          <w:i/>
        </w:rPr>
        <w:t>ja psikhj</w:t>
      </w:r>
      <w:r w:rsidRPr="003D05F7">
        <w:rPr>
          <w:rFonts w:eastAsia="Calibri"/>
          <w:i/>
        </w:rPr>
        <w:t>atrija: konsultirovanie advokatov</w:t>
      </w:r>
      <w:r w:rsidRPr="003D05F7">
        <w:rPr>
          <w:rFonts w:eastAsia="Calibri"/>
        </w:rPr>
        <w:t xml:space="preserve"> [Forensic Psychiatry: Counseling Defence Lawyers]. Moskva: Logos, 2006.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Trechsel, S. </w:t>
      </w:r>
      <w:r w:rsidRPr="003D05F7">
        <w:rPr>
          <w:rFonts w:eastAsia="Calibri"/>
          <w:i/>
        </w:rPr>
        <w:t>Human Rights in Criminal Proceedings</w:t>
      </w:r>
      <w:r w:rsidRPr="003D05F7">
        <w:rPr>
          <w:rFonts w:eastAsia="Calibri"/>
        </w:rPr>
        <w:t xml:space="preserve">. Oxford, New York: Oxford University Press, 2005.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Trumpulis, U. </w:t>
      </w:r>
      <w:r w:rsidRPr="003D05F7">
        <w:rPr>
          <w:rFonts w:eastAsia="Calibri"/>
          <w:i/>
        </w:rPr>
        <w:t>Viešojo intereso kategorija administracinėje teisėje.</w:t>
      </w:r>
      <w:r w:rsidRPr="003D05F7">
        <w:rPr>
          <w:rFonts w:eastAsia="Calibri"/>
        </w:rPr>
        <w:t xml:space="preserve"> Daktaro disertacija. </w:t>
      </w:r>
      <w:r>
        <w:rPr>
          <w:rFonts w:eastAsia="Calibri"/>
        </w:rPr>
        <w:t xml:space="preserve">Socialiniai mokslai (teisė). </w:t>
      </w:r>
      <w:r w:rsidRPr="003D05F7">
        <w:rPr>
          <w:rFonts w:eastAsia="Calibri"/>
        </w:rPr>
        <w:t>Vilnius</w:t>
      </w:r>
      <w:r>
        <w:rPr>
          <w:rFonts w:eastAsia="Calibri"/>
        </w:rPr>
        <w:t>: Mykolo Romerio Universitetas,</w:t>
      </w:r>
      <w:r w:rsidRPr="003D05F7">
        <w:rPr>
          <w:rFonts w:eastAsia="Calibri"/>
        </w:rPr>
        <w:t xml:space="preserve"> 2011.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Trumpulis, U. Žmogaus individualūs interesai kaip viešojo intereso pagrindas. </w:t>
      </w:r>
      <w:r w:rsidRPr="003D05F7">
        <w:rPr>
          <w:rFonts w:eastAsia="Calibri"/>
          <w:i/>
        </w:rPr>
        <w:t>Socialinių mokslų studijos.</w:t>
      </w:r>
      <w:r w:rsidRPr="003D05F7">
        <w:rPr>
          <w:rFonts w:eastAsia="Calibri"/>
        </w:rPr>
        <w:t xml:space="preserve"> 2010, 2</w:t>
      </w:r>
      <w:r>
        <w:rPr>
          <w:rFonts w:eastAsia="Calibri"/>
        </w:rPr>
        <w:t xml:space="preserve"> </w:t>
      </w:r>
      <w:r w:rsidRPr="003D05F7">
        <w:rPr>
          <w:rFonts w:eastAsia="Calibri"/>
        </w:rPr>
        <w:t>(6): 123-137.</w:t>
      </w:r>
    </w:p>
    <w:p w:rsidR="00FD0AEF" w:rsidRPr="003D05F7" w:rsidRDefault="00FD0AEF" w:rsidP="00FD0AEF">
      <w:pPr>
        <w:pStyle w:val="Sraopastraipa"/>
        <w:numPr>
          <w:ilvl w:val="0"/>
          <w:numId w:val="33"/>
        </w:numPr>
        <w:spacing w:line="240" w:lineRule="auto"/>
        <w:rPr>
          <w:rFonts w:eastAsia="Calibri"/>
        </w:rPr>
      </w:pPr>
      <w:r w:rsidRPr="003D05F7">
        <w:rPr>
          <w:rFonts w:eastAsia="Calibri"/>
          <w:i/>
        </w:rPr>
        <w:t>Ugolovno-processual</w:t>
      </w:r>
      <w:r>
        <w:rPr>
          <w:rFonts w:eastAsia="Calibri"/>
          <w:i/>
        </w:rPr>
        <w:t>noe pravo Rossijskoj Federaci</w:t>
      </w:r>
      <w:r w:rsidRPr="003D05F7">
        <w:rPr>
          <w:rFonts w:eastAsia="Calibri"/>
          <w:i/>
        </w:rPr>
        <w:t>i</w:t>
      </w:r>
      <w:r w:rsidRPr="003D05F7">
        <w:rPr>
          <w:rFonts w:eastAsia="Calibri"/>
        </w:rPr>
        <w:t xml:space="preserve"> [Criminal Procedure Law of Russian Federation]. </w:t>
      </w:r>
      <w:r>
        <w:rPr>
          <w:rFonts w:eastAsia="Calibri"/>
        </w:rPr>
        <w:t xml:space="preserve">(Red. </w:t>
      </w:r>
      <w:r w:rsidRPr="003D05F7">
        <w:rPr>
          <w:rFonts w:eastAsia="Calibri"/>
        </w:rPr>
        <w:t>Petru</w:t>
      </w:r>
      <w:r>
        <w:rPr>
          <w:rFonts w:eastAsia="Calibri"/>
        </w:rPr>
        <w:t>k</w:t>
      </w:r>
      <w:r w:rsidRPr="003D05F7">
        <w:rPr>
          <w:rFonts w:eastAsia="Calibri"/>
        </w:rPr>
        <w:t>hin, I. L., Michajlovskaja, I. B.</w:t>
      </w:r>
      <w:r>
        <w:rPr>
          <w:rFonts w:eastAsia="Calibri"/>
        </w:rPr>
        <w:t>).</w:t>
      </w:r>
      <w:r w:rsidRPr="003D05F7">
        <w:rPr>
          <w:rFonts w:eastAsia="Calibri"/>
        </w:rPr>
        <w:t xml:space="preserve"> 3-i</w:t>
      </w:r>
      <w:r>
        <w:rPr>
          <w:rFonts w:eastAsia="Calibri"/>
        </w:rPr>
        <w:t>oji laida</w:t>
      </w:r>
      <w:r w:rsidRPr="003D05F7">
        <w:rPr>
          <w:rFonts w:eastAsia="Calibri"/>
        </w:rPr>
        <w:t xml:space="preserve">. Moskva: Prospekt, 2010.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Umbreit, M. S. </w:t>
      </w:r>
      <w:r w:rsidRPr="003D05F7">
        <w:rPr>
          <w:rFonts w:eastAsia="Calibri"/>
          <w:i/>
        </w:rPr>
        <w:t>The Handbook of Victim Offender Mediation</w:t>
      </w:r>
      <w:r w:rsidRPr="003D05F7">
        <w:rPr>
          <w:rFonts w:eastAsia="Calibri"/>
        </w:rPr>
        <w:t>. San Francisco: Jossey-Bass Inc. Publishers: A Wiley Imprint, 2001.</w:t>
      </w:r>
    </w:p>
    <w:p w:rsidR="00FD0AEF" w:rsidRPr="003D05F7" w:rsidRDefault="00FD0AEF" w:rsidP="00FD0AEF">
      <w:pPr>
        <w:pStyle w:val="Puslapioinaostekstas"/>
        <w:numPr>
          <w:ilvl w:val="0"/>
          <w:numId w:val="33"/>
        </w:numPr>
        <w:jc w:val="both"/>
        <w:rPr>
          <w:sz w:val="24"/>
        </w:rPr>
      </w:pPr>
      <w:r w:rsidRPr="003D05F7">
        <w:rPr>
          <w:sz w:val="24"/>
        </w:rPr>
        <w:t xml:space="preserve">Uscila, R. Nukentėjusiojo procesinės galimybės baudžiamajame procese. </w:t>
      </w:r>
      <w:r w:rsidRPr="003D05F7">
        <w:rPr>
          <w:i/>
          <w:sz w:val="24"/>
        </w:rPr>
        <w:t xml:space="preserve">Pranešimas </w:t>
      </w:r>
      <w:r>
        <w:rPr>
          <w:i/>
          <w:sz w:val="24"/>
        </w:rPr>
        <w:t xml:space="preserve">2014 m. vasario 3 d. </w:t>
      </w:r>
      <w:r w:rsidRPr="003D05F7">
        <w:rPr>
          <w:i/>
          <w:sz w:val="24"/>
        </w:rPr>
        <w:t>konferencijoje „Baudžiamosios justicijos teisės šakų tyrimai“</w:t>
      </w:r>
      <w:r w:rsidRPr="003D05F7">
        <w:rPr>
          <w:sz w:val="24"/>
        </w:rPr>
        <w:t>. Vilnius</w:t>
      </w:r>
      <w:r>
        <w:rPr>
          <w:sz w:val="24"/>
        </w:rPr>
        <w:t>: Vilniaus universitetas</w:t>
      </w:r>
      <w:r w:rsidRPr="003D05F7">
        <w:rPr>
          <w:sz w:val="24"/>
        </w:rPr>
        <w:t xml:space="preserve">, 2014, (skaidrės).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Uscila, R. </w:t>
      </w:r>
      <w:r w:rsidRPr="003D05F7">
        <w:rPr>
          <w:rFonts w:eastAsia="Calibri"/>
          <w:i/>
        </w:rPr>
        <w:t>Nusikaltimo aukos ir nusikaltėlio interakcija: viktimologinis aspektas.</w:t>
      </w:r>
      <w:r w:rsidRPr="003D05F7">
        <w:rPr>
          <w:rFonts w:eastAsia="Calibri"/>
        </w:rPr>
        <w:t xml:space="preserve"> Daktaro disertacija. Socialiniai mokslai</w:t>
      </w:r>
      <w:r>
        <w:rPr>
          <w:rFonts w:eastAsia="Calibri"/>
        </w:rPr>
        <w:t xml:space="preserve"> </w:t>
      </w:r>
      <w:r w:rsidRPr="003D05F7">
        <w:rPr>
          <w:rFonts w:eastAsia="Calibri"/>
        </w:rPr>
        <w:t>(teisė). Vilnius</w:t>
      </w:r>
      <w:r>
        <w:rPr>
          <w:rFonts w:eastAsia="Calibri"/>
        </w:rPr>
        <w:t>: Lietuvos teisės universitetas</w:t>
      </w:r>
      <w:r w:rsidRPr="003D05F7">
        <w:rPr>
          <w:rFonts w:eastAsia="Calibri"/>
        </w:rPr>
        <w:t>, 2003.</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Uscila</w:t>
      </w:r>
      <w:r>
        <w:rPr>
          <w:rFonts w:eastAsia="Calibri"/>
        </w:rPr>
        <w:t>,</w:t>
      </w:r>
      <w:r w:rsidRPr="003D05F7">
        <w:rPr>
          <w:rFonts w:eastAsia="Calibri"/>
        </w:rPr>
        <w:t xml:space="preserve"> R. Nusikaltimo aukos ir nusikaltėlio mediacijos įdiegimo galimybės Lietuvoje. </w:t>
      </w:r>
      <w:r w:rsidRPr="003D05F7">
        <w:rPr>
          <w:rFonts w:eastAsia="Calibri"/>
          <w:i/>
        </w:rPr>
        <w:t>Teisės problemos</w:t>
      </w:r>
      <w:r w:rsidRPr="003D05F7">
        <w:rPr>
          <w:rFonts w:eastAsia="Calibri"/>
        </w:rPr>
        <w:t>. 2006, 2</w:t>
      </w:r>
      <w:r>
        <w:rPr>
          <w:rFonts w:eastAsia="Calibri"/>
        </w:rPr>
        <w:t xml:space="preserve"> (52)</w:t>
      </w:r>
      <w:r w:rsidRPr="003D05F7">
        <w:rPr>
          <w:rFonts w:eastAsia="Calibri"/>
        </w:rPr>
        <w:t xml:space="preserve">: </w:t>
      </w:r>
      <w:r>
        <w:rPr>
          <w:rFonts w:eastAsia="Calibri"/>
        </w:rPr>
        <w:t>84-99.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Uscila, R. </w:t>
      </w:r>
      <w:r w:rsidRPr="003D05F7">
        <w:rPr>
          <w:rFonts w:eastAsia="Calibri"/>
          <w:i/>
        </w:rPr>
        <w:t>Viktimologijos pagrindai</w:t>
      </w:r>
      <w:r w:rsidRPr="003D05F7">
        <w:rPr>
          <w:rFonts w:eastAsia="Calibri"/>
        </w:rPr>
        <w:t>. Vilnius</w:t>
      </w:r>
      <w:r>
        <w:rPr>
          <w:rFonts w:eastAsia="Calibri"/>
        </w:rPr>
        <w:t>:</w:t>
      </w:r>
      <w:r w:rsidRPr="003D05F7">
        <w:rPr>
          <w:rFonts w:eastAsia="Calibri"/>
        </w:rPr>
        <w:t xml:space="preserve"> Nusikalstamumo prevencijos Lietuvoje centras, 2005.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Uscila, R. </w:t>
      </w:r>
      <w:r w:rsidRPr="003D05F7">
        <w:rPr>
          <w:rFonts w:eastAsia="Calibri"/>
          <w:i/>
        </w:rPr>
        <w:t>Viktimologijos pagrindai. Nusikaltimų aukų socialinė ir teisinė apsauga Lietuvoje.</w:t>
      </w:r>
      <w:r w:rsidRPr="003D05F7">
        <w:rPr>
          <w:rFonts w:eastAsia="Calibri"/>
        </w:rPr>
        <w:t xml:space="preserve"> Vilnius: Mokslo aidai, 2005.</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Vaišvila, A. </w:t>
      </w:r>
      <w:r w:rsidRPr="003D05F7">
        <w:rPr>
          <w:rFonts w:eastAsia="Calibri"/>
          <w:i/>
        </w:rPr>
        <w:t>Teisinis personalizmas: teorija ir metodas</w:t>
      </w:r>
      <w:r w:rsidRPr="003D05F7">
        <w:rPr>
          <w:rFonts w:eastAsia="Calibri"/>
        </w:rPr>
        <w:t xml:space="preserve">. Vilnius: Justitia, 2010.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Vaišvila, A. </w:t>
      </w:r>
      <w:r w:rsidRPr="003D05F7">
        <w:rPr>
          <w:rFonts w:eastAsia="Calibri"/>
          <w:i/>
        </w:rPr>
        <w:t>Teisės teorija</w:t>
      </w:r>
      <w:r w:rsidRPr="003D05F7">
        <w:rPr>
          <w:rFonts w:eastAsia="Calibri"/>
        </w:rPr>
        <w:t xml:space="preserve">. </w:t>
      </w:r>
      <w:r>
        <w:rPr>
          <w:rFonts w:eastAsia="Calibri"/>
        </w:rPr>
        <w:t>2-oji</w:t>
      </w:r>
      <w:r w:rsidRPr="003D05F7">
        <w:rPr>
          <w:rFonts w:eastAsia="Calibri"/>
        </w:rPr>
        <w:t xml:space="preserve"> pataisyt</w:t>
      </w:r>
      <w:r>
        <w:rPr>
          <w:rFonts w:eastAsia="Calibri"/>
        </w:rPr>
        <w:t>a</w:t>
      </w:r>
      <w:r w:rsidRPr="003D05F7">
        <w:rPr>
          <w:rFonts w:eastAsia="Calibri"/>
        </w:rPr>
        <w:t xml:space="preserve"> ir papildyta l</w:t>
      </w:r>
      <w:r>
        <w:rPr>
          <w:rFonts w:eastAsia="Calibri"/>
        </w:rPr>
        <w:t>aid</w:t>
      </w:r>
      <w:r w:rsidRPr="003D05F7">
        <w:rPr>
          <w:rFonts w:eastAsia="Calibri"/>
        </w:rPr>
        <w:t>a</w:t>
      </w:r>
      <w:r>
        <w:rPr>
          <w:rFonts w:eastAsia="Calibri"/>
        </w:rPr>
        <w:t>.</w:t>
      </w:r>
      <w:r w:rsidRPr="003D05F7">
        <w:rPr>
          <w:rFonts w:eastAsia="Calibri"/>
        </w:rPr>
        <w:t xml:space="preserve"> Vilnius: Justitia, 200</w:t>
      </w:r>
      <w:r>
        <w:rPr>
          <w:rFonts w:eastAsia="Calibri"/>
        </w:rPr>
        <w:t>4</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Vaišvila, A. </w:t>
      </w:r>
      <w:r w:rsidRPr="003D05F7">
        <w:rPr>
          <w:rFonts w:eastAsia="Calibri"/>
          <w:i/>
        </w:rPr>
        <w:t>Teisės teorija</w:t>
      </w:r>
      <w:r w:rsidRPr="003D05F7">
        <w:rPr>
          <w:rFonts w:eastAsia="Calibri"/>
        </w:rPr>
        <w:t xml:space="preserve">. </w:t>
      </w:r>
      <w:r>
        <w:rPr>
          <w:rFonts w:eastAsia="Calibri"/>
        </w:rPr>
        <w:t>3-ioji</w:t>
      </w:r>
      <w:r w:rsidRPr="003D05F7">
        <w:rPr>
          <w:rFonts w:eastAsia="Calibri"/>
        </w:rPr>
        <w:t xml:space="preserve"> pataisyta ir papildyta l</w:t>
      </w:r>
      <w:r>
        <w:rPr>
          <w:rFonts w:eastAsia="Calibri"/>
        </w:rPr>
        <w:t>aida. Vilnius: Justitia, 2009</w:t>
      </w:r>
      <w:r w:rsidRPr="003D05F7">
        <w:rPr>
          <w:rFonts w:eastAsia="Calibri"/>
        </w:rPr>
        <w:t xml:space="preserve">.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Valikonytė, I., Lazutka, S., Gudavičius, E. </w:t>
      </w:r>
      <w:r w:rsidRPr="003D05F7">
        <w:rPr>
          <w:rFonts w:eastAsia="Calibri"/>
          <w:i/>
        </w:rPr>
        <w:t xml:space="preserve">Pirmasis Lietuvos Statutas </w:t>
      </w:r>
      <w:proofErr w:type="gramStart"/>
      <w:r w:rsidRPr="003D05F7">
        <w:rPr>
          <w:rFonts w:eastAsia="Calibri"/>
          <w:i/>
        </w:rPr>
        <w:t>(</w:t>
      </w:r>
      <w:proofErr w:type="gramEnd"/>
      <w:r w:rsidRPr="003D05F7">
        <w:rPr>
          <w:rFonts w:eastAsia="Calibri"/>
          <w:i/>
        </w:rPr>
        <w:t>1529 m.)</w:t>
      </w:r>
      <w:r w:rsidRPr="003D05F7">
        <w:rPr>
          <w:rFonts w:eastAsia="Calibri"/>
        </w:rPr>
        <w:t>. Vilnius: Vaga, 2001.</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Van Caenegem, R.</w:t>
      </w:r>
      <w:r>
        <w:rPr>
          <w:rFonts w:eastAsia="Calibri"/>
        </w:rPr>
        <w:t xml:space="preserve"> </w:t>
      </w:r>
      <w:r w:rsidRPr="003D05F7">
        <w:rPr>
          <w:rFonts w:eastAsia="Calibri"/>
        </w:rPr>
        <w:t xml:space="preserve">C. </w:t>
      </w:r>
      <w:r w:rsidRPr="003D05F7">
        <w:rPr>
          <w:rFonts w:eastAsia="Calibri"/>
          <w:i/>
        </w:rPr>
        <w:t>Legal History: a European Perspective</w:t>
      </w:r>
      <w:r w:rsidRPr="003D05F7">
        <w:rPr>
          <w:rFonts w:eastAsia="Calibri"/>
        </w:rPr>
        <w:t xml:space="preserve">. London: The Hambledon Press, 1991. </w:t>
      </w:r>
    </w:p>
    <w:p w:rsidR="00FD0AEF" w:rsidRPr="003D05F7" w:rsidRDefault="00FD0AEF" w:rsidP="00FD0AEF">
      <w:pPr>
        <w:pStyle w:val="Sraopastraipa"/>
        <w:numPr>
          <w:ilvl w:val="0"/>
          <w:numId w:val="33"/>
        </w:numPr>
        <w:spacing w:line="240" w:lineRule="auto"/>
        <w:rPr>
          <w:rFonts w:eastAsia="Calibri"/>
        </w:rPr>
      </w:pPr>
      <w:r w:rsidRPr="003D05F7">
        <w:rPr>
          <w:rFonts w:eastAsia="Calibri"/>
          <w:bCs/>
        </w:rPr>
        <w:t xml:space="preserve">Vėbraitė, V. Ieškinio samprata ir rūšys civiliniame procese. </w:t>
      </w:r>
      <w:r w:rsidRPr="003D05F7">
        <w:rPr>
          <w:rFonts w:eastAsia="Calibri"/>
          <w:bCs/>
          <w:i/>
        </w:rPr>
        <w:t>Teisė</w:t>
      </w:r>
      <w:r w:rsidRPr="003D05F7">
        <w:rPr>
          <w:rFonts w:eastAsia="Calibri"/>
          <w:bCs/>
        </w:rPr>
        <w:t>. 2006, 60:</w:t>
      </w:r>
      <w:r w:rsidRPr="003D05F7">
        <w:rPr>
          <w:rFonts w:eastAsia="Calibri"/>
        </w:rPr>
        <w:t xml:space="preserve"> 163-170.</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Vėbraitė, V. </w:t>
      </w:r>
      <w:r>
        <w:rPr>
          <w:rFonts w:eastAsia="Calibri"/>
          <w:i/>
        </w:rPr>
        <w:t>Šalių sutaikymas</w:t>
      </w:r>
      <w:r w:rsidRPr="003D05F7">
        <w:rPr>
          <w:rFonts w:eastAsia="Calibri"/>
          <w:i/>
        </w:rPr>
        <w:t xml:space="preserve"> civiliniame procese</w:t>
      </w:r>
      <w:r w:rsidRPr="003D05F7">
        <w:rPr>
          <w:rFonts w:eastAsia="Calibri"/>
        </w:rPr>
        <w:t xml:space="preserve">. Daktaro disertacija. Socialiniai mokslai </w:t>
      </w:r>
      <w:r>
        <w:rPr>
          <w:rFonts w:eastAsia="Calibri"/>
        </w:rPr>
        <w:t>(teisė). Vilnius: Vilniaus u</w:t>
      </w:r>
      <w:r w:rsidRPr="003D05F7">
        <w:rPr>
          <w:rFonts w:eastAsia="Calibri"/>
        </w:rPr>
        <w:t>niversitetas, 2009.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Vitkauskas, D., Dikov, D. </w:t>
      </w:r>
      <w:r w:rsidRPr="003D05F7">
        <w:rPr>
          <w:rFonts w:eastAsia="Calibri"/>
          <w:i/>
        </w:rPr>
        <w:t>Protecting the Right to a Fair Trial under the European Convention of Human Rights</w:t>
      </w:r>
      <w:r w:rsidRPr="003D05F7">
        <w:rPr>
          <w:rFonts w:eastAsia="Calibri"/>
        </w:rPr>
        <w:t xml:space="preserve"> [interaktyvus].</w:t>
      </w:r>
      <w:r>
        <w:rPr>
          <w:rFonts w:eastAsia="Calibri"/>
        </w:rPr>
        <w:t xml:space="preserve"> </w:t>
      </w:r>
      <w:r w:rsidRPr="003D05F7">
        <w:rPr>
          <w:rFonts w:eastAsia="Calibri"/>
        </w:rPr>
        <w:t>Strasbourg</w:t>
      </w:r>
      <w:r>
        <w:rPr>
          <w:rFonts w:eastAsia="Calibri"/>
        </w:rPr>
        <w:t>:</w:t>
      </w:r>
      <w:r w:rsidRPr="003D05F7">
        <w:rPr>
          <w:rFonts w:eastAsia="Calibri"/>
        </w:rPr>
        <w:t xml:space="preserve"> Council of Europe, 2012</w:t>
      </w:r>
      <w:proofErr w:type="gramStart"/>
      <w:r w:rsidRPr="003D05F7">
        <w:rPr>
          <w:rFonts w:eastAsia="Calibri"/>
        </w:rPr>
        <w:t xml:space="preserve">  </w:t>
      </w:r>
      <w:proofErr w:type="gramEnd"/>
      <w:r w:rsidRPr="003D05F7">
        <w:rPr>
          <w:rFonts w:eastAsia="Calibri"/>
        </w:rPr>
        <w:t xml:space="preserve">[žiūrėta 2013-01-14]. </w:t>
      </w:r>
      <w:r>
        <w:rPr>
          <w:rFonts w:eastAsia="Calibri"/>
        </w:rPr>
        <w:t>&lt;</w:t>
      </w:r>
      <w:r w:rsidRPr="003D05F7">
        <w:rPr>
          <w:rFonts w:eastAsia="Calibri"/>
        </w:rPr>
        <w:t>http://www.coe.int/t/dghl/cooperation/capacitybuilding/Source/documentation/hb12_fairtrial_en.pdf&gt;</w:t>
      </w:r>
      <w:r>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Volodko, R. </w:t>
      </w:r>
      <w:r w:rsidRPr="003D05F7">
        <w:rPr>
          <w:rFonts w:eastAsia="Calibri"/>
          <w:i/>
        </w:rPr>
        <w:t>Teoriniai ir praktiniai neturtinės žalos instituto taikymo aspektai Lietuvos civilinėje teisėje</w:t>
      </w:r>
      <w:r w:rsidRPr="003D05F7">
        <w:rPr>
          <w:rFonts w:eastAsia="Calibri"/>
        </w:rPr>
        <w:t>. Daktaro disertacija. Socialiniai mokslai (teisė). Vilnius: Vilniaus universitetas, 2009.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lastRenderedPageBreak/>
        <w:t xml:space="preserve">Von </w:t>
      </w:r>
      <w:r w:rsidRPr="003D05F7">
        <w:rPr>
          <w:rFonts w:eastAsia="Calibri"/>
          <w:color w:val="000033"/>
        </w:rPr>
        <w:t>Jhering, R. </w:t>
      </w:r>
      <w:r w:rsidRPr="003D05F7">
        <w:rPr>
          <w:rFonts w:eastAsia="Calibri"/>
          <w:i/>
          <w:color w:val="000033"/>
        </w:rPr>
        <w:t>Der Zweck im Recht</w:t>
      </w:r>
      <w:r w:rsidRPr="003D05F7">
        <w:rPr>
          <w:rFonts w:eastAsia="Calibri"/>
          <w:color w:val="000033"/>
        </w:rPr>
        <w:t>. Hildesheim, New York: Georg Olms;  Wiesbaden: Breitkopf &amp; Härtel, 1970</w:t>
      </w:r>
      <w:r w:rsidRPr="003D05F7">
        <w:rPr>
          <w:rFonts w:eastAsia="Calibri"/>
        </w:rPr>
        <w:t>.</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Von Schacky, S. </w:t>
      </w:r>
      <w:r w:rsidRPr="003D05F7">
        <w:rPr>
          <w:rFonts w:eastAsia="Calibri"/>
          <w:i/>
        </w:rPr>
        <w:t>Das Privatklageverfahren und seine Berechtigung heute</w:t>
      </w:r>
      <w:r w:rsidRPr="003D05F7">
        <w:rPr>
          <w:rFonts w:eastAsia="Calibri"/>
        </w:rPr>
        <w:t xml:space="preserve">. Daktaro disertacija. Socialiniai mokslai (teisė). Frankfurt am Main: Johann Wolfgang Goethe-Universität, 1975.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Waltoś, S. </w:t>
      </w:r>
      <w:r w:rsidRPr="003D05F7">
        <w:rPr>
          <w:rFonts w:eastAsia="Calibri"/>
          <w:i/>
        </w:rPr>
        <w:t>Postępowania szczególne w procesie karnym</w:t>
      </w:r>
      <w:r w:rsidRPr="003D05F7">
        <w:rPr>
          <w:rFonts w:eastAsia="Calibri"/>
        </w:rPr>
        <w:t xml:space="preserve">. Warszawa, 1973.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Walklate, S. </w:t>
      </w:r>
      <w:r w:rsidRPr="003D05F7">
        <w:rPr>
          <w:rFonts w:eastAsia="Calibri"/>
          <w:i/>
        </w:rPr>
        <w:t>Handbook of Victims and Victimology</w:t>
      </w:r>
      <w:r w:rsidRPr="003D05F7">
        <w:rPr>
          <w:rFonts w:eastAsia="Calibri"/>
        </w:rPr>
        <w:t xml:space="preserve">. Portland: Willan Publishing, 2007.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Walklate, S. </w:t>
      </w:r>
      <w:r w:rsidRPr="003D05F7">
        <w:rPr>
          <w:rFonts w:eastAsia="Calibri"/>
          <w:i/>
          <w:iCs/>
        </w:rPr>
        <w:t>Imagining the Victim of Crime</w:t>
      </w:r>
      <w:r w:rsidRPr="003D05F7">
        <w:rPr>
          <w:rFonts w:eastAsia="Calibri"/>
        </w:rPr>
        <w:t>. Maidenhead: Op</w:t>
      </w:r>
      <w:r>
        <w:rPr>
          <w:rFonts w:eastAsia="Calibri"/>
        </w:rPr>
        <w:t>en University Press/McGraw-Hill,</w:t>
      </w:r>
      <w:r w:rsidRPr="003D05F7">
        <w:rPr>
          <w:rFonts w:eastAsia="Calibri"/>
        </w:rPr>
        <w:t xml:space="preserve"> 2007. </w:t>
      </w:r>
    </w:p>
    <w:p w:rsidR="00FD0AEF" w:rsidRPr="003D05F7" w:rsidRDefault="00FD0AEF" w:rsidP="00FD0AEF">
      <w:pPr>
        <w:pStyle w:val="Sraopastraipa"/>
        <w:numPr>
          <w:ilvl w:val="0"/>
          <w:numId w:val="33"/>
        </w:numPr>
        <w:spacing w:line="240" w:lineRule="auto"/>
        <w:rPr>
          <w:rFonts w:eastAsia="Calibri"/>
          <w:lang w:val="de-DE"/>
        </w:rPr>
      </w:pPr>
      <w:r w:rsidRPr="003D05F7">
        <w:rPr>
          <w:rFonts w:eastAsia="Calibri"/>
          <w:lang w:val="de-DE"/>
        </w:rPr>
        <w:t>Weigend, T. „Die Strafe f</w:t>
      </w:r>
      <w:r w:rsidRPr="003D05F7">
        <w:rPr>
          <w:rFonts w:eastAsia="Calibri"/>
        </w:rPr>
        <w:t>ü</w:t>
      </w:r>
      <w:r w:rsidRPr="003D05F7">
        <w:rPr>
          <w:rFonts w:eastAsia="Calibri"/>
          <w:lang w:val="de-DE"/>
        </w:rPr>
        <w:t xml:space="preserve">r das Opfer?“ - Zur Renaissance des Genugtuungsgedankes im Straf- und Strafverfahrensrecht. </w:t>
      </w:r>
      <w:r w:rsidRPr="003D05F7">
        <w:rPr>
          <w:rFonts w:eastAsia="Calibri"/>
          <w:i/>
          <w:lang w:val="de-DE"/>
        </w:rPr>
        <w:t>Rechtswissenschaft</w:t>
      </w:r>
      <w:r w:rsidRPr="003D05F7">
        <w:rPr>
          <w:rFonts w:eastAsia="Calibri"/>
          <w:lang w:val="de-DE"/>
        </w:rPr>
        <w:t>. 2010,</w:t>
      </w:r>
      <w:r>
        <w:rPr>
          <w:rFonts w:eastAsia="Calibri"/>
          <w:lang w:val="de-DE"/>
        </w:rPr>
        <w:t xml:space="preserve"> </w:t>
      </w:r>
      <w:r w:rsidRPr="003D05F7">
        <w:rPr>
          <w:rFonts w:eastAsia="Calibri"/>
          <w:lang w:val="de-DE"/>
        </w:rPr>
        <w:t>1: 39-47.</w:t>
      </w:r>
    </w:p>
    <w:p w:rsidR="00FD0AEF" w:rsidRPr="003D05F7" w:rsidRDefault="00FD0AEF" w:rsidP="00FD0AEF">
      <w:pPr>
        <w:pStyle w:val="Sraopastraipa"/>
        <w:numPr>
          <w:ilvl w:val="0"/>
          <w:numId w:val="33"/>
        </w:numPr>
        <w:spacing w:line="240" w:lineRule="auto"/>
        <w:rPr>
          <w:rFonts w:eastAsia="Calibri"/>
          <w:lang w:val="de-DE"/>
        </w:rPr>
      </w:pPr>
      <w:r w:rsidRPr="003D05F7">
        <w:rPr>
          <w:rFonts w:eastAsia="Calibri"/>
          <w:lang w:val="de-DE"/>
        </w:rPr>
        <w:t xml:space="preserve">Wetzell, G. W. </w:t>
      </w:r>
      <w:r w:rsidRPr="003D05F7">
        <w:rPr>
          <w:rFonts w:eastAsia="Calibri"/>
          <w:i/>
          <w:lang w:val="de-DE"/>
        </w:rPr>
        <w:t>System des ordentlichen Zivilprozesses</w:t>
      </w:r>
      <w:r w:rsidRPr="003D05F7">
        <w:rPr>
          <w:rFonts w:eastAsia="Calibri"/>
          <w:lang w:val="de-DE"/>
        </w:rPr>
        <w:t>. 3</w:t>
      </w:r>
      <w:r>
        <w:rPr>
          <w:rFonts w:eastAsia="Calibri"/>
          <w:lang w:val="de-DE"/>
        </w:rPr>
        <w:t>-ioji laida</w:t>
      </w:r>
      <w:r w:rsidRPr="003D05F7">
        <w:rPr>
          <w:rFonts w:eastAsia="Calibri"/>
          <w:lang w:val="de-DE"/>
        </w:rPr>
        <w:t xml:space="preserve">. </w:t>
      </w:r>
      <w:r w:rsidRPr="003D05F7">
        <w:rPr>
          <w:rFonts w:eastAsia="Arial Unicode MS"/>
          <w:color w:val="000000"/>
          <w:shd w:val="clear" w:color="auto" w:fill="FFFFFF"/>
        </w:rPr>
        <w:t>Aalen: Scientia-Verlag, 1969.</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Wright, M. </w:t>
      </w:r>
      <w:r w:rsidRPr="003D05F7">
        <w:rPr>
          <w:rFonts w:eastAsia="Calibri"/>
          <w:i/>
        </w:rPr>
        <w:t>Justice for Victims and Offenders</w:t>
      </w:r>
      <w:r w:rsidRPr="003D05F7">
        <w:rPr>
          <w:rFonts w:eastAsia="Calibri"/>
        </w:rPr>
        <w:t xml:space="preserve">. Buckingham: Open University Press, 1991. </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Zajančkauskienė, J. Fiziniai ar psichikos trūkumai (sutrikimai): procesinė teisinė samprata ir reikšmė. In Ancelis, P., </w:t>
      </w:r>
      <w:r w:rsidRPr="008F1042">
        <w:rPr>
          <w:rFonts w:eastAsia="Calibri"/>
          <w:i/>
        </w:rPr>
        <w:t>et al.</w:t>
      </w:r>
      <w:r w:rsidRPr="003D05F7">
        <w:rPr>
          <w:rFonts w:eastAsia="Calibri"/>
        </w:rPr>
        <w:t xml:space="preserve"> </w:t>
      </w:r>
      <w:r w:rsidRPr="003D05F7">
        <w:rPr>
          <w:rFonts w:eastAsia="Calibri"/>
          <w:i/>
        </w:rPr>
        <w:t>Sąžiningas baudžiamasis procesas: probleminiai aspektai</w:t>
      </w:r>
      <w:r w:rsidRPr="003D05F7">
        <w:rPr>
          <w:rFonts w:eastAsia="Calibri"/>
        </w:rPr>
        <w:t>. Vilnius: Industrus, 2009</w:t>
      </w:r>
      <w:r>
        <w:rPr>
          <w:rFonts w:eastAsia="Calibri"/>
        </w:rPr>
        <w:t>, p.</w:t>
      </w:r>
      <w:r w:rsidRPr="003D05F7">
        <w:rPr>
          <w:rFonts w:eastAsia="Calibri"/>
        </w:rPr>
        <w:t xml:space="preserve"> 289-326.  </w:t>
      </w:r>
    </w:p>
    <w:p w:rsidR="00FD0AEF" w:rsidRPr="003D05F7" w:rsidRDefault="00FD0AEF" w:rsidP="00FD0AEF">
      <w:pPr>
        <w:pStyle w:val="Puslapioinaostekstas"/>
        <w:numPr>
          <w:ilvl w:val="0"/>
          <w:numId w:val="33"/>
        </w:numPr>
        <w:jc w:val="both"/>
        <w:rPr>
          <w:sz w:val="24"/>
          <w:szCs w:val="24"/>
        </w:rPr>
      </w:pPr>
      <w:r w:rsidRPr="003D05F7">
        <w:rPr>
          <w:sz w:val="24"/>
          <w:szCs w:val="24"/>
        </w:rPr>
        <w:t xml:space="preserve">Zajančkauskienė, J. Der Strafprozess mit Teilhabe von Menschen mit Behinderungen. </w:t>
      </w:r>
      <w:r w:rsidRPr="003D05F7">
        <w:rPr>
          <w:i/>
          <w:sz w:val="24"/>
          <w:szCs w:val="24"/>
        </w:rPr>
        <w:t>Jurisprudencija</w:t>
      </w:r>
      <w:r w:rsidRPr="003D05F7">
        <w:rPr>
          <w:sz w:val="24"/>
          <w:szCs w:val="24"/>
        </w:rPr>
        <w:t>. 2010, 1</w:t>
      </w:r>
      <w:r>
        <w:rPr>
          <w:sz w:val="24"/>
          <w:szCs w:val="24"/>
        </w:rPr>
        <w:t xml:space="preserve"> </w:t>
      </w:r>
      <w:r w:rsidRPr="003D05F7">
        <w:rPr>
          <w:sz w:val="24"/>
          <w:szCs w:val="24"/>
        </w:rPr>
        <w:t>(119): 331-349.</w:t>
      </w:r>
    </w:p>
    <w:p w:rsidR="00FD0AEF" w:rsidRPr="003D05F7" w:rsidRDefault="00FD0AEF" w:rsidP="00FD0AEF">
      <w:pPr>
        <w:pStyle w:val="Puslapioinaostekstas"/>
        <w:numPr>
          <w:ilvl w:val="0"/>
          <w:numId w:val="33"/>
        </w:numPr>
        <w:jc w:val="both"/>
        <w:rPr>
          <w:sz w:val="24"/>
          <w:szCs w:val="24"/>
        </w:rPr>
      </w:pPr>
      <w:r w:rsidRPr="003D05F7">
        <w:rPr>
          <w:sz w:val="24"/>
          <w:szCs w:val="24"/>
        </w:rPr>
        <w:t>Zajančkausk</w:t>
      </w:r>
      <w:r>
        <w:rPr>
          <w:sz w:val="24"/>
          <w:szCs w:val="24"/>
        </w:rPr>
        <w:t>ienė, J. Prozessuale Handlungsfä</w:t>
      </w:r>
      <w:r w:rsidRPr="003D05F7">
        <w:rPr>
          <w:sz w:val="24"/>
          <w:szCs w:val="24"/>
        </w:rPr>
        <w:t xml:space="preserve">higkeit eines Verdachtigen (Beschuldigten). </w:t>
      </w:r>
      <w:r w:rsidRPr="003D05F7">
        <w:rPr>
          <w:i/>
          <w:sz w:val="24"/>
          <w:szCs w:val="24"/>
        </w:rPr>
        <w:t>Jurisprudencija</w:t>
      </w:r>
      <w:r w:rsidRPr="003D05F7">
        <w:rPr>
          <w:sz w:val="24"/>
          <w:szCs w:val="24"/>
        </w:rPr>
        <w:t>. 2010, 4</w:t>
      </w:r>
      <w:r>
        <w:rPr>
          <w:sz w:val="24"/>
          <w:szCs w:val="24"/>
        </w:rPr>
        <w:t xml:space="preserve"> </w:t>
      </w:r>
      <w:r w:rsidRPr="003D05F7">
        <w:rPr>
          <w:sz w:val="24"/>
          <w:szCs w:val="24"/>
        </w:rPr>
        <w:t>(122): 245-259.</w:t>
      </w:r>
    </w:p>
    <w:p w:rsidR="00FD0AEF" w:rsidRPr="003D05F7" w:rsidRDefault="00FD0AEF" w:rsidP="00FD0AEF">
      <w:pPr>
        <w:pStyle w:val="Sraopastraipa"/>
        <w:numPr>
          <w:ilvl w:val="0"/>
          <w:numId w:val="33"/>
        </w:numPr>
        <w:spacing w:line="240" w:lineRule="auto"/>
        <w:rPr>
          <w:rFonts w:eastAsia="Calibri"/>
        </w:rPr>
      </w:pPr>
      <w:r w:rsidRPr="003D05F7">
        <w:t>Zajančkauskienė, J.</w:t>
      </w:r>
      <w:r>
        <w:t xml:space="preserve"> </w:t>
      </w:r>
      <w:r w:rsidRPr="003D05F7">
        <w:rPr>
          <w:rFonts w:eastAsia="Calibri"/>
        </w:rPr>
        <w:t>Specialioji pažeidžiamų įtariamųjų</w:t>
      </w:r>
      <w:r>
        <w:rPr>
          <w:rFonts w:eastAsia="Calibri"/>
        </w:rPr>
        <w:t xml:space="preserve"> </w:t>
      </w:r>
      <w:r w:rsidRPr="003D05F7">
        <w:rPr>
          <w:rFonts w:eastAsia="Calibri"/>
        </w:rPr>
        <w:t xml:space="preserve">ir kaltinamųjų apsauga. In Prapiestis, J., </w:t>
      </w:r>
      <w:r w:rsidRPr="008F1042">
        <w:rPr>
          <w:rFonts w:eastAsia="Calibri"/>
          <w:i/>
        </w:rPr>
        <w:t>et al.</w:t>
      </w:r>
      <w:r w:rsidRPr="003D05F7">
        <w:rPr>
          <w:rFonts w:eastAsia="Calibri"/>
        </w:rPr>
        <w:t xml:space="preserve"> </w:t>
      </w:r>
      <w:r w:rsidRPr="003D05F7">
        <w:rPr>
          <w:rFonts w:eastAsia="Calibri"/>
          <w:i/>
        </w:rPr>
        <w:t>Globalizacijos iššūkiai baudžiamajai justicijai: recenzuotų mokslinių straipsnių baudžiamosios teisės, bausmių vykdymo ir baudžiamojo proceso klausimais rinkinys</w:t>
      </w:r>
      <w:r w:rsidRPr="003D05F7">
        <w:rPr>
          <w:rFonts w:eastAsia="Calibri"/>
        </w:rPr>
        <w:t xml:space="preserve">. Vilnius: </w:t>
      </w:r>
      <w:r>
        <w:rPr>
          <w:rFonts w:eastAsia="Calibri"/>
        </w:rPr>
        <w:t xml:space="preserve">VĮ </w:t>
      </w:r>
      <w:r w:rsidRPr="003D05F7">
        <w:rPr>
          <w:rFonts w:eastAsia="Calibri"/>
        </w:rPr>
        <w:t>Registrų centras, 2014</w:t>
      </w:r>
      <w:r>
        <w:rPr>
          <w:rFonts w:eastAsia="Calibri"/>
        </w:rPr>
        <w:t>, p.</w:t>
      </w:r>
      <w:r w:rsidRPr="003D05F7">
        <w:rPr>
          <w:rFonts w:eastAsia="Calibri"/>
        </w:rPr>
        <w:t xml:space="preserve"> 325-338.</w:t>
      </w:r>
    </w:p>
    <w:p w:rsidR="00FD0AEF" w:rsidRPr="003D05F7" w:rsidRDefault="00FD0AEF" w:rsidP="00FD0AEF">
      <w:pPr>
        <w:pStyle w:val="Sraopastraipa"/>
        <w:numPr>
          <w:ilvl w:val="0"/>
          <w:numId w:val="33"/>
        </w:numPr>
        <w:spacing w:line="240" w:lineRule="auto"/>
        <w:rPr>
          <w:rFonts w:eastAsia="Calibri"/>
          <w:lang w:val="en-US"/>
        </w:rPr>
      </w:pPr>
      <w:r w:rsidRPr="003D05F7">
        <w:rPr>
          <w:rFonts w:eastAsia="Calibri"/>
        </w:rPr>
        <w:t xml:space="preserve">Zedner, L. Victims. </w:t>
      </w:r>
      <w:r w:rsidRPr="003D05F7">
        <w:rPr>
          <w:rFonts w:eastAsia="Calibri"/>
          <w:lang w:val="en-US"/>
        </w:rPr>
        <w:t xml:space="preserve">In </w:t>
      </w:r>
      <w:r w:rsidRPr="003D05F7">
        <w:rPr>
          <w:rFonts w:eastAsia="Calibri"/>
          <w:i/>
          <w:lang w:val="en-US"/>
        </w:rPr>
        <w:t>The Oxford Handbook of Criminology</w:t>
      </w:r>
      <w:r w:rsidRPr="003D05F7">
        <w:rPr>
          <w:rFonts w:eastAsia="Calibri"/>
          <w:lang w:val="en-US"/>
        </w:rPr>
        <w:t>.</w:t>
      </w:r>
      <w:r>
        <w:rPr>
          <w:rFonts w:eastAsia="Calibri"/>
          <w:lang w:val="en-US"/>
        </w:rPr>
        <w:t xml:space="preserve"> </w:t>
      </w:r>
      <w:r w:rsidRPr="003D05F7">
        <w:rPr>
          <w:rFonts w:eastAsia="Calibri"/>
          <w:lang w:val="en-US"/>
        </w:rPr>
        <w:t>(</w:t>
      </w:r>
      <w:r>
        <w:rPr>
          <w:rFonts w:eastAsia="Calibri"/>
          <w:lang w:val="en-US"/>
        </w:rPr>
        <w:t>Red.</w:t>
      </w:r>
      <w:r w:rsidRPr="003D05F7">
        <w:rPr>
          <w:rFonts w:eastAsia="Calibri"/>
          <w:lang w:val="en-US"/>
        </w:rPr>
        <w:t xml:space="preserve"> Maguire, M., Morgan, R., Reiner, R.)</w:t>
      </w:r>
      <w:r>
        <w:rPr>
          <w:rFonts w:eastAsia="Calibri"/>
          <w:lang w:val="en-US"/>
        </w:rPr>
        <w:t>.</w:t>
      </w:r>
      <w:r w:rsidRPr="003D05F7">
        <w:rPr>
          <w:rFonts w:eastAsia="Calibri"/>
          <w:lang w:val="en-US"/>
        </w:rPr>
        <w:t xml:space="preserve"> </w:t>
      </w:r>
      <w:r>
        <w:rPr>
          <w:rFonts w:eastAsia="Calibri"/>
          <w:lang w:val="en-US"/>
        </w:rPr>
        <w:t>2-oji laida</w:t>
      </w:r>
      <w:r w:rsidRPr="003D05F7">
        <w:rPr>
          <w:rFonts w:eastAsia="Calibri"/>
          <w:lang w:val="en-US"/>
        </w:rPr>
        <w:t>. Oxford: Clarendon Press, 1997.</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Žalėnienė, I. </w:t>
      </w:r>
      <w:r w:rsidRPr="003D05F7">
        <w:rPr>
          <w:rFonts w:eastAsia="Calibri"/>
          <w:i/>
        </w:rPr>
        <w:t>Atstovavimas civiliniame procese (teoriniai ir praktiniai aspektai).</w:t>
      </w:r>
      <w:r w:rsidRPr="003D05F7">
        <w:rPr>
          <w:rFonts w:eastAsia="Calibri"/>
        </w:rPr>
        <w:t xml:space="preserve"> Daktaro d</w:t>
      </w:r>
      <w:r>
        <w:rPr>
          <w:rFonts w:eastAsia="Calibri"/>
        </w:rPr>
        <w:t>isertacija. Socialiniai mokslai</w:t>
      </w:r>
      <w:r w:rsidRPr="003D05F7">
        <w:rPr>
          <w:rFonts w:eastAsia="Calibri"/>
        </w:rPr>
        <w:t xml:space="preserve"> </w:t>
      </w:r>
      <w:r>
        <w:rPr>
          <w:rFonts w:eastAsia="Calibri"/>
        </w:rPr>
        <w:t>(</w:t>
      </w:r>
      <w:r w:rsidRPr="003D05F7">
        <w:rPr>
          <w:rFonts w:eastAsia="Calibri"/>
        </w:rPr>
        <w:t>teisė</w:t>
      </w:r>
      <w:r>
        <w:rPr>
          <w:rFonts w:eastAsia="Calibri"/>
        </w:rPr>
        <w:t>)</w:t>
      </w:r>
      <w:r w:rsidRPr="003D05F7">
        <w:rPr>
          <w:rFonts w:eastAsia="Calibri"/>
        </w:rPr>
        <w:t>. Vilnius: Mykolo Romerio universitetas, 2006.</w:t>
      </w:r>
    </w:p>
    <w:p w:rsidR="00FD0AEF" w:rsidRPr="003D05F7" w:rsidRDefault="00FD0AEF" w:rsidP="00FD0AEF">
      <w:pPr>
        <w:pStyle w:val="Sraopastraipa"/>
        <w:numPr>
          <w:ilvl w:val="0"/>
          <w:numId w:val="33"/>
        </w:numPr>
        <w:spacing w:line="240" w:lineRule="auto"/>
        <w:rPr>
          <w:rFonts w:eastAsia="Calibri"/>
        </w:rPr>
      </w:pPr>
      <w:r w:rsidRPr="003D05F7">
        <w:rPr>
          <w:rFonts w:eastAsia="Calibri"/>
        </w:rPr>
        <w:t xml:space="preserve">Žalėnienė, I. Atstovavimo civiliniame procese sampratos problema. </w:t>
      </w:r>
      <w:r w:rsidRPr="003D05F7">
        <w:rPr>
          <w:rFonts w:eastAsia="Calibri"/>
          <w:i/>
        </w:rPr>
        <w:t>Socialinių mokslų studijos</w:t>
      </w:r>
      <w:r w:rsidRPr="003D05F7">
        <w:rPr>
          <w:rFonts w:eastAsia="Calibri"/>
        </w:rPr>
        <w:t>.</w:t>
      </w:r>
      <w:r>
        <w:rPr>
          <w:rFonts w:eastAsia="Calibri"/>
        </w:rPr>
        <w:t xml:space="preserve"> 2010,</w:t>
      </w:r>
      <w:r w:rsidRPr="003D05F7">
        <w:rPr>
          <w:rFonts w:eastAsia="Calibri"/>
        </w:rPr>
        <w:t xml:space="preserve"> 1</w:t>
      </w:r>
      <w:r>
        <w:rPr>
          <w:rFonts w:eastAsia="Calibri"/>
        </w:rPr>
        <w:t xml:space="preserve"> </w:t>
      </w:r>
      <w:r w:rsidRPr="003D05F7">
        <w:rPr>
          <w:rFonts w:eastAsia="Calibri"/>
        </w:rPr>
        <w:t>(5): 205-217.</w:t>
      </w:r>
    </w:p>
    <w:p w:rsidR="00FD0AEF" w:rsidRDefault="00FD0AEF" w:rsidP="00FD0AEF">
      <w:pPr>
        <w:pStyle w:val="Antrat3"/>
        <w:rPr>
          <w:rFonts w:eastAsia="Calibri"/>
        </w:rPr>
      </w:pPr>
      <w:bookmarkStart w:id="421" w:name="_Toc400321719"/>
      <w:r>
        <w:rPr>
          <w:rFonts w:eastAsia="Calibri"/>
        </w:rPr>
        <w:t>Konstitucinio Teismo nutarimai</w:t>
      </w:r>
      <w:bookmarkEnd w:id="421"/>
    </w:p>
    <w:p w:rsidR="00FD0AEF" w:rsidRDefault="00FD0AEF" w:rsidP="00FD0AEF">
      <w:pPr>
        <w:jc w:val="both"/>
      </w:pP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1993 m. gruodžio 13 d. nutarimas dėl Lietuvos Respublikos baudžiamojo kodekso 148 straipsnio antrosios dalies ir Lietuvos Respublikos baudžiamojo proceso kodekso 93 straipsnio 1 ir 2 punktų atitikimo Lietuvos Respublikos Konstitucijai. </w:t>
      </w:r>
      <w:r w:rsidRPr="003D05F7">
        <w:rPr>
          <w:rFonts w:eastAsia="Calibri"/>
          <w:i/>
        </w:rPr>
        <w:t>Valstybės žinios</w:t>
      </w:r>
      <w:r w:rsidRPr="003D05F7">
        <w:rPr>
          <w:rFonts w:eastAsia="Calibri"/>
        </w:rPr>
        <w:t xml:space="preserve">. 1993, Nr.70-1320.  </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1994 m. vasario 14 d. nutarimas dėl Lietuvos Respublikos civilinio proceso kodekso 53 straipsnio ir Lietuvos Respublikos prokuratūros įstatymo 21 straipsnio trečiosios dalies atitikimo Lietuvos Respublikos Konstitucijai. </w:t>
      </w:r>
      <w:r w:rsidRPr="003D05F7">
        <w:rPr>
          <w:rFonts w:eastAsia="Calibri"/>
          <w:i/>
        </w:rPr>
        <w:t>Valstybės žinios</w:t>
      </w:r>
      <w:r w:rsidRPr="003D05F7">
        <w:rPr>
          <w:rFonts w:eastAsia="Calibri"/>
        </w:rPr>
        <w:t xml:space="preserve">. 1994, Nr. 13-221. </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1995 m. gruodžio 22 d. nutarimas dėl Lietuvos Respublikos įstatymo "Dėl piliečių nuosavybės teisių į išlikusį nekilnojamąjį turtą atstatymo tvarkos ir sąlygų" 8 straipsnio antrosios dalies 4 punkto ir ketvirtosios dalies normos atitikimo Lietuvos Respublikos Konstitucijai. </w:t>
      </w:r>
      <w:r w:rsidRPr="003D05F7">
        <w:rPr>
          <w:rFonts w:eastAsia="Calibri"/>
          <w:i/>
        </w:rPr>
        <w:t>Valstybės žinios</w:t>
      </w:r>
      <w:r w:rsidRPr="003D05F7">
        <w:rPr>
          <w:rFonts w:eastAsia="Calibri"/>
        </w:rPr>
        <w:t xml:space="preserve">. 1995, Nr. 106-2381. </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lastRenderedPageBreak/>
        <w:t xml:space="preserve">Lietuvos Respublikos Konstitucinio Teismo </w:t>
      </w:r>
      <w:r w:rsidRPr="003D05F7">
        <w:rPr>
          <w:rFonts w:eastAsia="Calibri"/>
        </w:rPr>
        <w:t xml:space="preserve">1998 m. lapkričio 11 d. nutarimasdėl Lietuvos Respublikos Seimo rinkimų įstatymo 38 straipsnio 4 dalies ir Lietuvos Respublikos savivaldybių tarybų rinkimų įstatymo 36 straipsnio 4 dalies atitikimo Lietuvos Respublikos Konstitucijai. </w:t>
      </w:r>
      <w:r w:rsidRPr="003D05F7">
        <w:rPr>
          <w:rFonts w:eastAsia="Calibri"/>
          <w:i/>
        </w:rPr>
        <w:t>Valstybės žinios</w:t>
      </w:r>
      <w:r w:rsidRPr="003D05F7">
        <w:rPr>
          <w:rFonts w:eastAsia="Calibri"/>
        </w:rPr>
        <w:t>. 1998, Nr. 100-2791.</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1999 m. vasario 5 d. nutarimas dėl Lietuvos Respublikos baudžiamojo proceso kodekso 255 straipsnio 4 ir 5 dalių, 256 straipsnio 4 dalies, 260 straipsnio 4 dalies, 280 straipsnio 1, 2 ir 6 dalių atitikimo Lietuvos Respublikos Konstitucijai. </w:t>
      </w:r>
      <w:r w:rsidRPr="003D05F7">
        <w:rPr>
          <w:rFonts w:eastAsia="Calibri"/>
          <w:i/>
        </w:rPr>
        <w:t>Valstybės žinios</w:t>
      </w:r>
      <w:r w:rsidRPr="003D05F7">
        <w:rPr>
          <w:rFonts w:eastAsia="Calibri"/>
        </w:rPr>
        <w:t>. 1999, Nr. 15-402.</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1999 m. spalio 21 d. nutarimasdėl Lietuvos Respublikos Aukščiausiosios Tarybos 1991 m. sausio 31 d. nutarimo "Dėl vardų ir pavardžių rašymo Lietuvos Respublikos piliečio pase" atitikimo Lietuvos Respublikos Konstitucijai. </w:t>
      </w:r>
      <w:r w:rsidRPr="003D05F7">
        <w:rPr>
          <w:rFonts w:eastAsia="Calibri"/>
          <w:i/>
        </w:rPr>
        <w:t>Valstybės žinios</w:t>
      </w:r>
      <w:r w:rsidRPr="003D05F7">
        <w:rPr>
          <w:rFonts w:eastAsia="Calibri"/>
        </w:rPr>
        <w:t>. 1999, Nr. 90-2662.</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Lietuvos Respublikos Konstitucinio Teismo 2000 m. gegužės 8 d. nutarimas dėl Lietuvos Respublikos operatyvinės veiklos įstatymo 2 straipsnio 12 dalies, 7 straipsnio 2 dalies 3 punkto, 11 straipsnio 1 dalies ir Lietuvos Respublikos baudžiamojo proceso kodekso 198</w:t>
      </w:r>
      <w:r w:rsidRPr="003D05F7">
        <w:rPr>
          <w:rFonts w:eastAsia="Calibri"/>
          <w:vertAlign w:val="superscript"/>
        </w:rPr>
        <w:t>1</w:t>
      </w:r>
      <w:r w:rsidRPr="003D05F7">
        <w:rPr>
          <w:rFonts w:eastAsia="Calibri"/>
        </w:rPr>
        <w:t xml:space="preserve"> straipsnio 1 bei 2 dalių atitikimo Lietuvos Respublikos Konstitucijai. </w:t>
      </w:r>
      <w:r w:rsidRPr="003D05F7">
        <w:rPr>
          <w:rFonts w:eastAsia="Calibri"/>
          <w:i/>
        </w:rPr>
        <w:t>Valstybės žinios</w:t>
      </w:r>
      <w:r w:rsidRPr="003D05F7">
        <w:rPr>
          <w:rFonts w:eastAsia="Calibri"/>
        </w:rPr>
        <w:t>. 2000, Nr. 39-1105.</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2000 m. birželio 30 d. nutarimas dėl Lietuvos Respublikos žalos, padarytos neteisėtais kvotos, tardymo, prokuratūros ir teismo veiksmais, atlyginimo įstatymo 3 straipsnio 1 dalies ir 4 straipsnio 1 dalies 1 punkto atitikimo Lietuvos Respublikos Konstitucijai. </w:t>
      </w:r>
      <w:r w:rsidRPr="003D05F7">
        <w:rPr>
          <w:rFonts w:eastAsia="Calibri"/>
          <w:i/>
        </w:rPr>
        <w:t>Valstybės žinios</w:t>
      </w:r>
      <w:r w:rsidRPr="003D05F7">
        <w:rPr>
          <w:rFonts w:eastAsia="Calibri"/>
        </w:rPr>
        <w:t>. 2000, Nr.54-1587.</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t xml:space="preserve">Lietuvos Respublikos Konstitucinio Teismo </w:t>
      </w:r>
      <w:r w:rsidRPr="003D05F7">
        <w:rPr>
          <w:rFonts w:eastAsia="Calibri"/>
        </w:rPr>
        <w:t xml:space="preserve">2000 m. rugsėjo 19 d. nutarimas dėl Lietuvos Respublikos baudžiamojo proceso kodekso 118(1), 156(1) straipsnių, 267 straipsnio 5 punkto ir 317(1) straipsnio atitikimo Lietuvos Respublikos Konstitucijai. </w:t>
      </w:r>
      <w:r w:rsidRPr="003D05F7">
        <w:rPr>
          <w:rFonts w:eastAsia="Calibri"/>
          <w:i/>
        </w:rPr>
        <w:t>Valstybės žinios</w:t>
      </w:r>
      <w:r w:rsidRPr="003D05F7">
        <w:rPr>
          <w:rFonts w:eastAsia="Calibri"/>
        </w:rPr>
        <w:t>. 2000, Nr. 80-2423.</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t xml:space="preserve">Lietuvos Respublikos Konstitucinio Teismo 2001 m. vasario 12 d. nutarimas </w:t>
      </w:r>
      <w:r w:rsidRPr="003D05F7">
        <w:rPr>
          <w:rFonts w:eastAsia="Calibri"/>
        </w:rPr>
        <w:t xml:space="preserve">dėl Lietuvos Respublikos advokatūros įstatymo 26 straipsnio 3 ir 4 dalių atitikties Lietuvos Respublikos Konstitucijai. </w:t>
      </w:r>
      <w:r w:rsidRPr="003D05F7">
        <w:rPr>
          <w:rFonts w:eastAsia="Calibri"/>
          <w:i/>
        </w:rPr>
        <w:t>Valstybės žinios</w:t>
      </w:r>
      <w:r w:rsidRPr="003D05F7">
        <w:rPr>
          <w:rFonts w:eastAsia="Calibri"/>
        </w:rPr>
        <w:t xml:space="preserve">. 2001, Nr. 14-445. </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2002 m. rugsėjo 19 d. nutarimasdėl Lietuvos Respublikos telekomunikacijų įstatymo (2000 m. liepos 11 d. redakcija) 27 straipsnio 2 dalies, Lietuvos Respublikos telekomunikacijų įstatymo 27 straipsnio pakeitimo įstatymo 2 straipsnio 1 dalies, Lietuvos Respublikos telekomunikacijų įstatymo (2002 m. liepos 5 d. redakcija) 57 straipsnio 4 dalies, Lietuvos Respublikos operatyvinės veiklos įstatymo (1997 m. gegužės 22 d. redakcija) 7 straipsnio 3 dalies 4 punkto, Lietuvos Respublikos operatyvinės veiklos įstatymo (2002 m. birželio 20 d. redakcija) 7 straipsnio 3 dalies 6 punkto, Lietuvos Respublikos baudžiamojo proceso kodekso 48 straipsnio 1 dalies (1961 m. birželio 26 d. redakcija) ir 75 straipsnio 1 dalies (1975 m. sausio 29 d. redakcija) atitikties Lietuvos Respublikos Konstitucijai. </w:t>
      </w:r>
      <w:r w:rsidRPr="003D05F7">
        <w:rPr>
          <w:rFonts w:eastAsia="Calibri"/>
          <w:i/>
        </w:rPr>
        <w:t>Valstybės žinios</w:t>
      </w:r>
      <w:r w:rsidRPr="003D05F7">
        <w:rPr>
          <w:rFonts w:eastAsia="Calibri"/>
        </w:rPr>
        <w:t xml:space="preserve">. 2002, Nr. 93-4000. </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2002 m. spalio 23 d. nutarimas dėl Lietuvos Respublikos visuomenės informavimo įstatymo 8 straipsnio ir 14 straipsnio 3 dalies atitikties Lietuvos Respublikos Konstitucijai. </w:t>
      </w:r>
      <w:r w:rsidRPr="003D05F7">
        <w:rPr>
          <w:rFonts w:eastAsia="Calibri"/>
          <w:i/>
        </w:rPr>
        <w:t>Valstybės žinios</w:t>
      </w:r>
      <w:r w:rsidRPr="003D05F7">
        <w:rPr>
          <w:rFonts w:eastAsia="Calibri"/>
        </w:rPr>
        <w:t>. 2002, Nr. 104-4675.</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2004 m. gruodžio 13 d. nutarimas dėl kai kurių teisės aktų, kuriais reguliuojami valstybės tarnybos ir su ja susiję santykiai, atitikties Lietuvos Respublikos Konstitucijai ir įstatymams. </w:t>
      </w:r>
      <w:r w:rsidRPr="003D05F7">
        <w:rPr>
          <w:rFonts w:eastAsia="Calibri"/>
          <w:i/>
        </w:rPr>
        <w:t>Valstybės žinios</w:t>
      </w:r>
      <w:r w:rsidRPr="003D05F7">
        <w:rPr>
          <w:rFonts w:eastAsia="Calibri"/>
        </w:rPr>
        <w:t>. 2004, Nr.181-6708; Nr.186 (</w:t>
      </w:r>
      <w:r w:rsidRPr="003D05F7">
        <w:rPr>
          <w:rFonts w:eastAsia="Calibri"/>
          <w:i/>
          <w:iCs/>
        </w:rPr>
        <w:t>atitaisymas</w:t>
      </w:r>
      <w:r w:rsidRPr="003D05F7">
        <w:rPr>
          <w:rFonts w:eastAsia="Calibri"/>
        </w:rPr>
        <w:t xml:space="preserve">). </w:t>
      </w:r>
    </w:p>
    <w:p w:rsidR="00FD0AEF" w:rsidRPr="003D05F7" w:rsidRDefault="00FD0AEF" w:rsidP="00FD0AEF">
      <w:pPr>
        <w:pStyle w:val="Sraopastraipa"/>
        <w:numPr>
          <w:ilvl w:val="0"/>
          <w:numId w:val="40"/>
        </w:numPr>
        <w:spacing w:line="240" w:lineRule="auto"/>
        <w:rPr>
          <w:rFonts w:ascii="Tahoma" w:hAnsi="Tahoma" w:cs="Tahoma"/>
          <w:sz w:val="14"/>
          <w:szCs w:val="14"/>
        </w:rPr>
      </w:pPr>
      <w:r w:rsidRPr="003D05F7">
        <w:rPr>
          <w:rFonts w:eastAsia="Calibri"/>
        </w:rPr>
        <w:t xml:space="preserve">Lietuvos Respublikos Konstitucinio Teismo 2004 m. gruodžio 29 d. nutarimas dėl Lietuvos Respublikos organizuoto nusikalstamumo užkardymo įstatymo 3 straipsnio (2001 m. birželio 26 d. redakcija), 4 straipsnio (2001 m. birželio 26 d., 2003 m. balandžio 3 d. redakcijos), 6 straipsnio (2001 m. birželio 26 d. redakcija) 3 dalies ir 8 straipsnio (2001 m. </w:t>
      </w:r>
      <w:r w:rsidRPr="003D05F7">
        <w:rPr>
          <w:rFonts w:eastAsia="Calibri"/>
        </w:rPr>
        <w:lastRenderedPageBreak/>
        <w:t xml:space="preserve">birželio 26 d. redakcija) 1 dalies atitikimo Lietuvos Respublikos Konstitucijai. </w:t>
      </w:r>
      <w:r w:rsidRPr="003D05F7">
        <w:rPr>
          <w:rFonts w:eastAsia="Calibri"/>
          <w:i/>
        </w:rPr>
        <w:t>Valstybės žinios</w:t>
      </w:r>
      <w:r w:rsidRPr="003D05F7">
        <w:rPr>
          <w:rFonts w:eastAsia="Calibri"/>
        </w:rPr>
        <w:t>. 2005, Nr. 1-7.</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Lietuvos Respublikos Konstitucinio Teismo 2006 m. sausio 16 d. nutarimas dėl Lietuvos Respublikos baudžiamojo proceso kodekso 131 straipsnio 4 dalies (2001 m. rugsėjo 11 d. redakcija) atitikties Lietuvos Respublikos Konstitucijai, dėl Lietuvos Respublikos baudžiamojo proceso kodekso 234 straipsnio 5 dalies (2003 m. balandžio 10 d., 2003 m. rugsėjo 16 d. redakcijos), 244 straipsnio 2 dalies (2003 m. balandžio 10 d., 2003 m. rugsėjo 16 d. redakcijos), 407 straipsnio (2003 m. birželio 19 d. redakcija), 408 straipsnio 1 dalies (2002 m. kovo 14 d. redakcija), 412 straipsnio 2 ir 3 dalių 2002 m. kovo 14 d. redakcija), 413 straipsnio 5 dalies (2002 m. kovo 14 d. redakcija), 414 straipsnio 2 dalies (2002 m. kovo 14 d. redakcija) atitikties Lietuvos Respublikos Konstitucijai ir dėl pareiškėjo - Šiaulių rajono apylinkės teismo prašymų ištirti, ar Lietuvos Respublikos baudžiamojo proceso kodekso 410 straipsnis (2002 m. kovo 14 d. redakcija) neprieštarauja Lietuvos Respublikos Konstitucijai</w:t>
      </w:r>
      <w:r w:rsidRPr="003D05F7">
        <w:rPr>
          <w:rFonts w:eastAsia="Calibri"/>
          <w:i/>
        </w:rPr>
        <w:t>. Valstybės žinios</w:t>
      </w:r>
      <w:r w:rsidRPr="003D05F7">
        <w:rPr>
          <w:rFonts w:eastAsia="Calibri"/>
        </w:rPr>
        <w:t>. 2006, Nr.7-254, Lietuvos Respublikos Konstitucinio teismo 2006 m. rugsėjo 21 d. nutarimas dėl Lietuvos Respublikos administracinių bylų teisenos įstatymo 85 straipsnio 3 dalies (2000 m. rugsėjo 19 d. redakcija), 139 straipsnio 2, 3 dalių (2000 m. rugsėjo 19 d. redakcija), Lietuvos Respublikos baudžiamojo proceso kodekso 306straipsnio (2004 m. liepos 8 d. redakcija), 308 straipsnio (2006 m. birželio 1 d. redakcija) 2 dalies (2002 m. kovo 14 d. redakcija), 324 straipsnio 12, 13 dalių (2002 m. kovo 14 d. redakcija), 377 straipsnio (2004 m. liepos 8 d. redakcija)</w:t>
      </w:r>
      <w:proofErr w:type="gramStart"/>
      <w:r w:rsidRPr="003D05F7">
        <w:rPr>
          <w:rFonts w:eastAsia="Calibri"/>
        </w:rPr>
        <w:t xml:space="preserve">  </w:t>
      </w:r>
      <w:proofErr w:type="gramEnd"/>
      <w:r w:rsidRPr="003D05F7">
        <w:rPr>
          <w:rFonts w:eastAsia="Calibri"/>
        </w:rPr>
        <w:t xml:space="preserve">9  dalies  (2002 m. kovo 14 d. redakcija), 448 straipsnio 7 dalies  (2002 m. kovo 14 d. redakcija), 454 straipsnio 5, 6 dalių (2002 m. kovo 14 d. redakcija), 460 straipsnio 4, 5 dalių (2002 m. kovo 14 d. redakcija), Lietuvos Respublikos civilinio proceso kodekso 268 straipsnio 3 dalies (2002 m. vasario 28 d. redakcija), 285 straipsnio 2, 5 dalių (2002 m. vasario 28 d. redakcija), 286 straipsnio 1 dalies (2002 m. vasario 28 d. redakcija), 288 straipsnio 4 dalies (2002 m. vasario 28 d. redakcija), 289 straipsnio 2 dalies (2002 m. vasario 28 d. redakcija), 303 straipsnio 2 dalies (2002 m. vasario 28 d. redakcija), 320 straipsnio 2 dalies (2002 m. vasario 28 d. redakcija), 325 straipsnio 2, 3 dalių (2002 m. vasario 28 d. redakcija), 358 straipsnio 2, 3 dalių (2002 m. vasario 28 d. redakcija) atitikties Lietuvos Respublikos Konstitucijai, taip pat dėl pareiškėjo - Seimo narių grupės prašymo ištirti, ar Lietuvos Respublikos teismų įstatymo 119 straipsnio 2 dalies 1 punktas (2002 m. sausio 24 d. redakcija), 119 straipsnio 5 dalis (2002 m. sausio 24 d. redakcija), 120 straipsnio (2003 m. sausio 21 d. redakcija) 1 punktas (2002 m.  sausio 24 d. redakcija), Lietuvos Respublikos Prezidento 2003 m. vasario 19 d. dekretas nr. 2067 "dėl apygardos teismo teisėjo įgaliojimų pratęsimo", Lietuvos  Respublikos Prezidento 2003 m. birželio 18 d. dekretas  nr. 128 "dėl apygardų teismų skyrių pirmininkų skyrimo" ta apimtimi, kuria nustatyta, kad Vilniaus apygardos teismo teisėjas Konstantas Ramelis skiriamas šio teismo civilinių  bylų skyriaus pirmininku, neprieštarauja Lietuvos Respublikos Konstitucijai. </w:t>
      </w:r>
      <w:r w:rsidRPr="003D05F7">
        <w:rPr>
          <w:rFonts w:eastAsia="Calibri"/>
          <w:i/>
        </w:rPr>
        <w:t>Valstybės žinios</w:t>
      </w:r>
      <w:r w:rsidRPr="003D05F7">
        <w:rPr>
          <w:rFonts w:eastAsia="Calibri"/>
        </w:rPr>
        <w:t>. 2006, Nr. 7-254.</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2006 m. kovo 28 d. nutarimas dėl Lietuvos Respublikos Konstitucinio Teismo įstatymo 62 straipsnio 1 dalies 2 punkto, 69 straipsnio 4 dalies (1996 m. liepos 11 d. redakcija), Lietuvos Respublikos teismų įstatymo 11 straipsnio 3 dalies (2002 m. sausio 24 d. redakcija), 96 straipsnio 2 dalies (2002 m. sausio 24 d. redakcija) atitikties Lietuvos Respublikos Konstitucijai. </w:t>
      </w:r>
      <w:r w:rsidRPr="003D05F7">
        <w:rPr>
          <w:rFonts w:eastAsia="Calibri"/>
          <w:i/>
        </w:rPr>
        <w:t>Valstybės žinios</w:t>
      </w:r>
      <w:r w:rsidRPr="003D05F7">
        <w:rPr>
          <w:rFonts w:eastAsia="Calibri"/>
        </w:rPr>
        <w:t>. 2006, Nr. 36-1292.</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2006 m. birželio 15 d. nutarimas dėl Lietuvos Respublikos baudžiamojo kodekso 148 straipsnio (2004 m. liepos 5 d. redakcija) 2 dalies, 168 straipsnio (2000 m. rugsėjo 26 d. redakcija) 3 dalies, 182 straipsnio (2004 m. liepos 5 d. redakcija) 4 dalies, 183 straipsnio (2000 m. rugsėjo 26 d. redakcija) 5 dalies, 186 straipsnio (2003 m. balandžio 10 d. redakcija) 4 dalies, 187 straipsnio (2003 m. balandžio 10 d. </w:t>
      </w:r>
      <w:r w:rsidRPr="003D05F7">
        <w:rPr>
          <w:rFonts w:eastAsia="Calibri"/>
        </w:rPr>
        <w:lastRenderedPageBreak/>
        <w:t>redakcija) 4 dalies atitikties Lietuvos Respublikos Konstitucijai.</w:t>
      </w:r>
      <w:r w:rsidRPr="003D05F7">
        <w:rPr>
          <w:rFonts w:eastAsia="Calibri"/>
          <w:i/>
        </w:rPr>
        <w:t>Valstybės žinios</w:t>
      </w:r>
      <w:r w:rsidRPr="003D05F7">
        <w:rPr>
          <w:rFonts w:eastAsia="Calibri"/>
        </w:rPr>
        <w:t>. 2006, Nr. 68-2514.</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2006 m. rugpjūčio 19 d. nutarimas dėlLietuvos Respublikos žalos, padarytos neteisėtais kvotos, tardymo, prokuratūros ir teismo veiksmais, atlyginimo įstatymo 3 straipsnio (2001 m. kovo 13 d. redakcija) 3 dalies ir 7 straipsnio (2001 m. kovo 13 d. redakcija) 7 dalies atitikties Lietuvos Respublikos Konstitucijai. </w:t>
      </w:r>
      <w:r w:rsidRPr="003D05F7">
        <w:rPr>
          <w:rFonts w:eastAsia="Calibri"/>
          <w:i/>
        </w:rPr>
        <w:t>Valstybės žinios</w:t>
      </w:r>
      <w:r w:rsidRPr="003D05F7">
        <w:rPr>
          <w:rFonts w:eastAsia="Calibri"/>
        </w:rPr>
        <w:t>. 2006, Nr. 90-3529; 2006, Nr.137 (atitaisymas).</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2006 m. rugsėjo 21 d. nutarimas dėl Lietuvos Respublikos administracinių bylų teisenos įstatymo 85 straipsnio 3 dalies (2000 m. rugsėjo 19 d. redakcija), 139 straipsnio 2, 3 dalių (2000 m. rugsėjo 19 d. red.), Lietuvos Respublikos baudžiamojo proceso kodekso 306 straipsnio (2004 m. liepos 8 d. red.), 308 straipsnio (2006 m. birželio 1 d. red.) 2 dalies (2002 m. kovo 14 d. red.), 324 straipsnio 12, 13 dalių (2002 m. kovo 14 d. red.), 377 straipsnio (2004 m. liepos 8 d. red.) 9 dalies (2002 m. kovo 14 d. red.), 448 straipsnio 7 dalies (2002 m. kovo 14 d. red.), 454 straipsnio 5, 6 dalių (2002 m. kovo 14 d. red.), 460 straipsnio 4, 5 dalių (2002 m. kovo 14 d. red.), Lietuvos Respublikos civilinio proceso kodekso 268 straipsnio 3 dalies (2002 m. vasario 28 d. red.), 285 straipsnio 2, 5 dalių (2002 m. vasario 28 d. red.), 286 straipsnio 1 dalies (2002 m. vasario 28 d. red.), 288 straipsnio 4 dalies (2002 m. vasario 28 d. red.), 289 straipsnio 2 dalies (2002 m. vasario 28 d. red.), 303 straipsnio 2 dalies (2002 m. vasario 28 d. red.), 320 straipsnio 2 dalies (2002 m. vasario 28 d. red.), 325 straipsnio 2, 3 dalių (2002 m. vasario 28 d. red.), 358 straipsnio 2, 3 dalių (2002 m. vasario 28 d. red.) atitikties Lietuvos Respublikos Konstitucijai, taip pat dėl pareiškėjo - Seimo narių grupės prašymo ištirti, ar Lietuvos Respublikos teismų įstatymo 119 straipsnio 2 dalies 1 punktas (2002 m. sausio 24 d. redakcija), 119 straipsnio 5 dalis (2002 m. sausio 24 d. redakcija), 120 straipsnio (2003 m. sausio 21 d. redakcija) 1 punktas (2002 m. sausio 24 d. redakcija), Lietuvos Respublikos Prezidento 2003 m. vasario 19 d. dekretas Nr. 2067 "Dėl apygardos teismo teisėjo įgaliojimų pratęsimo", Lietuvos Respublikos Prezidento 2003 m. birželio 18 d. dekretas Nr. 128 "Dėl apygardų teismų skyrių pirmininkų skyrimo" ta apimtimi, kuria nustatyta, kad Vilniaus apygardos teismo teisėjas Konstantas Ramelis skiriamas šio teismo civilinių bylų skyriaus pirmininku, neprieštarauja Lietuvos Respublikos Konstitucijai. </w:t>
      </w:r>
      <w:r w:rsidRPr="003D05F7">
        <w:rPr>
          <w:rFonts w:eastAsia="Calibri"/>
          <w:i/>
        </w:rPr>
        <w:t>Valstybės žinios</w:t>
      </w:r>
      <w:r w:rsidRPr="003D05F7">
        <w:rPr>
          <w:rFonts w:eastAsia="Calibri"/>
        </w:rPr>
        <w:t>. 2006, Nr.102-3957; Nr.127 (atitaisymas); Nr.137 (atitaisymas).</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2006 m. lapkričio 27 d. nutarimas dėl Lietuvos Respublikos Teismų įstatymo 90 straipsnio 8 dalies (2002 m. sausio 24 d. redakcija) atitikties Lietuvos Respublikos Konstitucijai. </w:t>
      </w:r>
      <w:r w:rsidRPr="003D05F7">
        <w:rPr>
          <w:rFonts w:eastAsia="Calibri"/>
          <w:i/>
        </w:rPr>
        <w:t>Valstybės žinios</w:t>
      </w:r>
      <w:r w:rsidRPr="003D05F7">
        <w:rPr>
          <w:rFonts w:eastAsia="Calibri"/>
        </w:rPr>
        <w:t>. 2006, Nr.130-4910.</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2007 m. spalio 24 d. nutarimas dėl Lietuvos Respublikos civilinio proceso kodekso 4, 165 straipsnių (2002 m. vasario 28 d. redakcija) atitikties Lietuvos Respublikos Konstitucijai. </w:t>
      </w:r>
      <w:r w:rsidRPr="003D05F7">
        <w:rPr>
          <w:rFonts w:eastAsia="Calibri"/>
          <w:i/>
        </w:rPr>
        <w:t>Valstybės žinios</w:t>
      </w:r>
      <w:r w:rsidRPr="003D05F7">
        <w:rPr>
          <w:rFonts w:eastAsia="Calibri"/>
        </w:rPr>
        <w:t>. 2007, Nr. 111-1549.</w:t>
      </w:r>
    </w:p>
    <w:p w:rsidR="00FD0AEF" w:rsidRPr="003D05F7" w:rsidRDefault="00FD0AEF" w:rsidP="00FD0AEF">
      <w:pPr>
        <w:pStyle w:val="Sraopastraipa"/>
        <w:numPr>
          <w:ilvl w:val="0"/>
          <w:numId w:val="40"/>
        </w:numPr>
        <w:spacing w:line="240" w:lineRule="auto"/>
        <w:rPr>
          <w:rFonts w:eastAsia="Calibri"/>
          <w:bCs/>
          <w:i/>
        </w:rPr>
      </w:pPr>
      <w:r w:rsidRPr="003D05F7">
        <w:rPr>
          <w:rFonts w:eastAsia="Calibri"/>
          <w:bCs/>
          <w:i/>
        </w:rPr>
        <w:t xml:space="preserve">Lietuvos Respublikos Konstitucinio Teismo 2008 m. sausio 24 d. nutarimas dėl Lietuvos Respublikos baudžiamojo proceso kodekso 425 straipsnio 2 dalies (2002 m. kovo 14 d. redakcija) atitikties Lietuvos Respublikos Konstitucijai. </w:t>
      </w:r>
      <w:r w:rsidRPr="003D05F7">
        <w:rPr>
          <w:rFonts w:eastAsia="Calibri"/>
          <w:i/>
        </w:rPr>
        <w:t>Valstybės žinios. 2008, Nr. 11-388.</w:t>
      </w:r>
    </w:p>
    <w:p w:rsidR="00FD0AEF" w:rsidRPr="003D05F7" w:rsidRDefault="00FD0AEF" w:rsidP="00FD0AEF">
      <w:pPr>
        <w:pStyle w:val="Sraopastraipa"/>
        <w:numPr>
          <w:ilvl w:val="0"/>
          <w:numId w:val="40"/>
        </w:numPr>
        <w:spacing w:line="240" w:lineRule="auto"/>
        <w:rPr>
          <w:rFonts w:eastAsia="Calibri"/>
          <w:bCs/>
        </w:rPr>
      </w:pPr>
      <w:r w:rsidRPr="003D05F7">
        <w:rPr>
          <w:rFonts w:eastAsia="Calibri"/>
          <w:bCs/>
        </w:rPr>
        <w:t xml:space="preserve">Lietuvos Respublikos Konstitucinio Teismo 2008 m. gegužės 28 d. nutarimas dėl Lietuvos Respublikos administracinių teisės pažeidimų kodekso 256 straipsnio 3 dalies (2000 m. rugsėjo 19 d. redakcija) atitikties Lietuvos Respublikos Konstitucijai. </w:t>
      </w:r>
      <w:r w:rsidRPr="003D05F7">
        <w:rPr>
          <w:rFonts w:eastAsia="Calibri"/>
          <w:i/>
        </w:rPr>
        <w:t>Valstybės žinios.</w:t>
      </w:r>
      <w:r w:rsidRPr="003D05F7">
        <w:rPr>
          <w:rFonts w:eastAsia="Calibri"/>
        </w:rPr>
        <w:t xml:space="preserve"> 2008, Nr. 62-2353.</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Lietuvos Respublikos Konstitucinio Teismo 2010 m. vasario 3 d. nutarimas d</w:t>
      </w:r>
      <w:r w:rsidRPr="003D05F7">
        <w:rPr>
          <w:rFonts w:eastAsia="Calibri"/>
          <w:bCs/>
        </w:rPr>
        <w:t xml:space="preserve">ėl transporto priemonių valdytojų civilinės atsakomybės privalomojo draudimo išmokų už neturtinę žalą. </w:t>
      </w:r>
      <w:r w:rsidRPr="003D05F7">
        <w:rPr>
          <w:rFonts w:eastAsia="Calibri"/>
          <w:i/>
          <w:iCs/>
        </w:rPr>
        <w:t>Valstybės žinios.</w:t>
      </w:r>
      <w:r w:rsidRPr="003D05F7">
        <w:rPr>
          <w:rFonts w:eastAsia="Calibri"/>
        </w:rPr>
        <w:t xml:space="preserve"> 2010, Nr. 16-758. </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t xml:space="preserve">Lietuvos Respublikos Konstitucinio Teismo </w:t>
      </w:r>
      <w:r w:rsidRPr="003D05F7">
        <w:rPr>
          <w:rFonts w:eastAsia="Calibri"/>
        </w:rPr>
        <w:t xml:space="preserve">2010 m. balandžio 20 d. sprendimas dėl Lietuvos Respublikos Konstitucinio Teismo 2002 m. lapkričio 25 d., 2003 m. gruodžio 3 d., 2006 m. sausio 16 d., 2007 m. rugsėjo 26 d., 2007 m. spalio 22 d., 2007 m. lapkričio 22 d., </w:t>
      </w:r>
      <w:r w:rsidRPr="003D05F7">
        <w:rPr>
          <w:rFonts w:eastAsia="Calibri"/>
        </w:rPr>
        <w:lastRenderedPageBreak/>
        <w:t xml:space="preserve">2008 m. gruodžio 24 d. nutarimų ir 2009 m. sausio 15 d. sprendimo nuostatų išaiškinimo. </w:t>
      </w:r>
      <w:r w:rsidRPr="003D05F7">
        <w:rPr>
          <w:rFonts w:eastAsia="Calibri"/>
          <w:i/>
        </w:rPr>
        <w:t>Valstybės žinios.</w:t>
      </w:r>
      <w:r w:rsidRPr="003D05F7">
        <w:rPr>
          <w:rFonts w:eastAsia="Calibri"/>
        </w:rPr>
        <w:t xml:space="preserve"> 2010, Nr. 46-2219.</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t xml:space="preserve">Lietuvos Respublikos Konstitucinio Teismo </w:t>
      </w:r>
      <w:r w:rsidRPr="003D05F7">
        <w:rPr>
          <w:rFonts w:eastAsia="Calibri"/>
        </w:rPr>
        <w:t xml:space="preserve">2010 m. birželio 29 d. nutarimas dėl Lietuvos Respublikos teisėjų valstybinių pensijų įstatymo 5, 6 straipsnių, Lietuvos Respublikos valstybinių pensijų įstatymo 3 straipsnio 3 dalies (2009 m. gruodžio 8 d. redakcija), Lietuvos Respublikos socialinių išmokų perskaičiavimo ir mokėjimo laikinojo įstatymo 1 straipsnio 2 dalies 1 punkto, 16 straipsnio 4 dalies atitikties Lietuvos Respublikos Konstitucijai. </w:t>
      </w:r>
      <w:r w:rsidRPr="003D05F7">
        <w:rPr>
          <w:rFonts w:eastAsia="Calibri"/>
          <w:i/>
        </w:rPr>
        <w:t>Valstybės žinios.</w:t>
      </w:r>
      <w:r w:rsidRPr="003D05F7">
        <w:rPr>
          <w:rFonts w:eastAsia="Calibri"/>
        </w:rPr>
        <w:t xml:space="preserve"> 2010, Nr. 134-6860.</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2011 m. vasario 14 d. nutarimas dėl Lietuvos Respublikos teisėjų atlyginimų įstatymo (2008 m. lapkričio 6 d. redakcija) 4 straipsnio 2 dalies 2 punkto, 5 straipsnio 1 dalies, 6 straipsnio 1 dalies atitikties Lietuvos Respublikos Konstitucijai. </w:t>
      </w:r>
      <w:r w:rsidRPr="003D05F7">
        <w:rPr>
          <w:rFonts w:eastAsia="Calibri"/>
          <w:i/>
        </w:rPr>
        <w:t>Valstybės žinios</w:t>
      </w:r>
      <w:r w:rsidRPr="003D05F7">
        <w:rPr>
          <w:rFonts w:eastAsia="Calibri"/>
        </w:rPr>
        <w:t>. 2011, Nr.20-967.</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2011 m. balandžio 7 d. nutarimas dėl Lietuvos Respublikos baudžiamojo proceso kodekso 168 straipsnio 4 dalies (2007 m. birželio 28 d. redakcija) nuostatos atitikties Lietuvos Respublikos Konstitucijai. </w:t>
      </w:r>
      <w:r w:rsidRPr="003D05F7">
        <w:rPr>
          <w:rFonts w:eastAsia="Calibri"/>
          <w:i/>
        </w:rPr>
        <w:t>Valstybės žinios</w:t>
      </w:r>
      <w:r w:rsidRPr="003D05F7">
        <w:rPr>
          <w:rFonts w:eastAsia="Calibri"/>
        </w:rPr>
        <w:t>. 2011, Nr. 42-1985.</w:t>
      </w:r>
    </w:p>
    <w:p w:rsidR="00FD0AEF" w:rsidRPr="003D05F7" w:rsidRDefault="00FD0AEF" w:rsidP="00FD0AEF">
      <w:pPr>
        <w:pStyle w:val="Sraopastraipa"/>
        <w:numPr>
          <w:ilvl w:val="0"/>
          <w:numId w:val="40"/>
        </w:numPr>
        <w:spacing w:line="240" w:lineRule="auto"/>
        <w:rPr>
          <w:rFonts w:eastAsia="Calibri"/>
        </w:rPr>
      </w:pPr>
      <w:r w:rsidRPr="003D05F7">
        <w:rPr>
          <w:rFonts w:eastAsia="Calibri"/>
          <w:bCs/>
        </w:rPr>
        <w:t>Lietuvos Respublikos Konstitucinio Teismo 2011 m. birželio 9 d. nutarimas dėl Lietuvos Respublikos nekilnojamojo turto registro įstatymo (2001 m. birželio 21 d. redakcija) 42 straipsnio atitikties Lietuvos Respublikos Konstitucijai ir Lietuvos Respublikos Vyriausybės 2002 m. liepos 12 d. nutarimu Nr. 1129 "Dėl Nekilnojamojo turto registro nuostatų patvirtinimo" patvirtintų nekilnojamojo turto registro nuostatų 88 punkto (2007 m. vasario 27 d. redakcija), 97 punkto (2007 m. vasario 27 d., 2008 m. spalio 22 d., 2010 m. kovo 3 d., 2011 m. gegužės 4 d. redakcijos) atitikties Lietuvos Respublikos Konstitucijai</w:t>
      </w:r>
      <w:r w:rsidRPr="003D05F7">
        <w:rPr>
          <w:rFonts w:eastAsia="Calibri"/>
        </w:rPr>
        <w:t xml:space="preserve">. </w:t>
      </w:r>
      <w:r w:rsidRPr="003D05F7">
        <w:rPr>
          <w:rFonts w:eastAsia="Calibri"/>
          <w:i/>
        </w:rPr>
        <w:t>Valstybės žinios</w:t>
      </w:r>
      <w:r w:rsidRPr="003D05F7">
        <w:rPr>
          <w:rFonts w:eastAsia="Calibri"/>
        </w:rPr>
        <w:t>. 2011, Nr. 156-7405.</w:t>
      </w:r>
    </w:p>
    <w:p w:rsidR="00FD0AEF" w:rsidRPr="003D05F7" w:rsidRDefault="00FD0AEF" w:rsidP="00FD0AEF">
      <w:pPr>
        <w:pStyle w:val="Sraopastraipa"/>
        <w:numPr>
          <w:ilvl w:val="0"/>
          <w:numId w:val="40"/>
        </w:numPr>
        <w:spacing w:line="240" w:lineRule="auto"/>
        <w:rPr>
          <w:rFonts w:eastAsia="Calibri"/>
        </w:rPr>
      </w:pPr>
      <w:r w:rsidRPr="003D05F7">
        <w:rPr>
          <w:rFonts w:eastAsia="Calibri"/>
        </w:rPr>
        <w:t xml:space="preserve">Lietuvos Respublikos Konstitucinio Teismo 2013 m. lapkričio 15 d. nutarimasdėl Lietuvos Respublikos baudžiamojo proceso kodekso 255 straipsnio 2 dalies (2003 m. balandžio 10 d. redakcija), 256 straipsnio 1 dalies (2007 m. birželio 28 d., 2011 m. gruodžio 22 d. redakcijos), 4 dalies (2007 m. birželio 28 d., 2011 m. gruodžio 22 d. redakcijos), 320 straipsnio 3 dalies, 326 straipsnio 1 dalies (2007 m. birželio 28 d. redakcija) 4 punkto atitikties Lietuvos Respublikos Konstitucijai. </w:t>
      </w:r>
      <w:r w:rsidRPr="003D05F7">
        <w:rPr>
          <w:rFonts w:eastAsia="Calibri"/>
          <w:i/>
        </w:rPr>
        <w:t>Valstybės žinios.</w:t>
      </w:r>
      <w:r w:rsidRPr="003D05F7">
        <w:rPr>
          <w:rFonts w:eastAsia="Calibri"/>
        </w:rPr>
        <w:t xml:space="preserve"> 2013, Nr.119-6005.</w:t>
      </w:r>
    </w:p>
    <w:p w:rsidR="00FD0AEF" w:rsidRDefault="00FD0AEF" w:rsidP="00FD0AEF">
      <w:pPr>
        <w:pStyle w:val="Antrat3"/>
        <w:rPr>
          <w:rFonts w:eastAsia="Calibri"/>
        </w:rPr>
      </w:pPr>
      <w:bookmarkStart w:id="422" w:name="_Toc400321720"/>
      <w:r>
        <w:rPr>
          <w:rFonts w:eastAsia="Calibri"/>
        </w:rPr>
        <w:t>Teismų praktika</w:t>
      </w:r>
      <w:bookmarkEnd w:id="422"/>
    </w:p>
    <w:p w:rsidR="00FD0AEF" w:rsidRDefault="00FD0AEF" w:rsidP="00FD0AEF">
      <w:pPr>
        <w:jc w:val="both"/>
      </w:pP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2005 m. lapkričio 14 d. nutartis baudžiamojoje byloje Nr. 2K-P-464/2005.</w:t>
      </w:r>
    </w:p>
    <w:p w:rsidR="00FD0AEF" w:rsidRPr="00240D14" w:rsidRDefault="00FD0AEF" w:rsidP="00FD0AEF">
      <w:pPr>
        <w:pStyle w:val="Sraopastraipa"/>
        <w:numPr>
          <w:ilvl w:val="0"/>
          <w:numId w:val="41"/>
        </w:numPr>
        <w:spacing w:line="240" w:lineRule="auto"/>
        <w:rPr>
          <w:rFonts w:eastAsia="Calibri"/>
        </w:rPr>
      </w:pPr>
      <w:r w:rsidRPr="00240D14">
        <w:rPr>
          <w:rFonts w:eastAsia="Calibri"/>
        </w:rPr>
        <w:t xml:space="preserve">Lietuvos Aukščiausiojo Teismo 2006 m. balandžio 4 d. nutartis baudžiamojoje byloje Nr. 2K – 234/2006. </w:t>
      </w:r>
      <w:r w:rsidRPr="00240D14">
        <w:rPr>
          <w:rFonts w:eastAsia="Calibri"/>
          <w:i/>
        </w:rPr>
        <w:t>Teismų praktika</w:t>
      </w:r>
      <w:r w:rsidRPr="00240D14">
        <w:rPr>
          <w:rFonts w:eastAsia="Calibri"/>
        </w:rPr>
        <w:t xml:space="preserve">, Nr. 25, 2006.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2007 m. vasario 13 d. nutartis baud</w:t>
      </w:r>
      <w:r>
        <w:rPr>
          <w:rFonts w:eastAsia="Calibri"/>
        </w:rPr>
        <w:t>žiamojoje byloje Nr. 2K-67/2007.</w:t>
      </w:r>
      <w:r w:rsidRPr="003D05F7">
        <w:rPr>
          <w:rFonts w:eastAsia="Calibri"/>
        </w:rPr>
        <w:t xml:space="preserve"> </w:t>
      </w:r>
    </w:p>
    <w:p w:rsidR="00FD0AEF" w:rsidRPr="0064462D" w:rsidRDefault="00FD0AEF" w:rsidP="00FD0AEF">
      <w:pPr>
        <w:pStyle w:val="Sraopastraipa"/>
        <w:numPr>
          <w:ilvl w:val="0"/>
          <w:numId w:val="41"/>
        </w:numPr>
        <w:spacing w:line="240" w:lineRule="auto"/>
        <w:rPr>
          <w:rFonts w:eastAsia="Calibri"/>
        </w:rPr>
      </w:pPr>
      <w:r w:rsidRPr="0064462D">
        <w:rPr>
          <w:rFonts w:eastAsia="Calibri"/>
        </w:rPr>
        <w:t>Lietuvos Aukščiausiojo Teismo 2007 m. liepos 24 d. nutartis baudžiamojoje byloje Nr. 2K – 624/2007.</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2008 m. rugsėjo 30 d. nutartis b</w:t>
      </w:r>
      <w:r w:rsidRPr="003D05F7">
        <w:rPr>
          <w:rFonts w:eastAsia="Calibri"/>
          <w:color w:val="000000"/>
        </w:rPr>
        <w:t>audžiamojoje byloje Nr. 2K-375/2008.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2008 m. lapkričio 11 d. nutartis baudžiamojoje byloje Nr. 2K–426/2008.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2009 m. balandžio 21 d. nutartis baudžiamojoje byloje Nr. 2A-1/2009.</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Lietuvos Aukščiausiojo Teismo 2009 m. kovo 10 d. nutartis baudžiamojoje byloje Nr. 2K-107/2009.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lastRenderedPageBreak/>
        <w:t>Lietuvos Aukščiausiojo Teismo 2009 m. gruodžio 15 d. nutartis baudžiamojoje byloje Nr. 2K-423/2009</w:t>
      </w:r>
      <w:r w:rsidRPr="003D05F7">
        <w:rPr>
          <w:rFonts w:eastAsia="Calibri"/>
          <w:iCs/>
        </w:rPr>
        <w:t>.</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2010 m. vasario 26 d. nutartis baudžiamojoje byloje Nr. 2K-93/2010.</w:t>
      </w:r>
    </w:p>
    <w:p w:rsidR="00FD0AEF" w:rsidRPr="003D05F7" w:rsidRDefault="00FD0AEF" w:rsidP="00FD0AEF">
      <w:pPr>
        <w:pStyle w:val="Sraopastraipa"/>
        <w:numPr>
          <w:ilvl w:val="0"/>
          <w:numId w:val="41"/>
        </w:numPr>
        <w:spacing w:line="240" w:lineRule="auto"/>
        <w:rPr>
          <w:rFonts w:eastAsia="Calibri"/>
        </w:rPr>
      </w:pPr>
      <w:r w:rsidRPr="003D05F7">
        <w:rPr>
          <w:rFonts w:eastAsia="Calibri"/>
          <w:bCs/>
        </w:rPr>
        <w:t>Lietuvos Aukščiausiojo Teismo 2010 m. balandžio 13 d. nutartis baudžiamojoje byloje Nr. 2K-146/2010.</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2010 m. balandžio 27 d. nutartis baudžiamojoje byloje Nr. 2K-211/2010.</w:t>
      </w:r>
    </w:p>
    <w:p w:rsidR="00FD0AEF" w:rsidRPr="003D05F7" w:rsidRDefault="00FD0AEF" w:rsidP="00FD0AEF">
      <w:pPr>
        <w:pStyle w:val="Sraopastraipa"/>
        <w:numPr>
          <w:ilvl w:val="0"/>
          <w:numId w:val="41"/>
        </w:numPr>
        <w:spacing w:line="240" w:lineRule="auto"/>
        <w:rPr>
          <w:rFonts w:eastAsia="Calibri"/>
          <w:i/>
        </w:rPr>
      </w:pPr>
      <w:r w:rsidRPr="003D05F7">
        <w:rPr>
          <w:rFonts w:eastAsia="Calibri"/>
        </w:rPr>
        <w:t>Lietuvos Aukščiausiojo Teismo 2010 m. gegužės 25 d. nutartis baudžiamojoje byloje Nr. 2K-178/2010.</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2011 m. vasario 22 d. nutartis baudžiamojoje byloje Nr. 2K-120/2011.</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2011 m. birželio 7 d. nutartis baudžiamojoje byloje Nr. 2K-273/2011.</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Lietuvos Aukščiausiojo Teismo 2011 m. spalio 4 d. nutartis baudžiamojoje byloje Nr. 2A-4/2011.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2011 m. gruodžio 29 d. nutartis baudžiamojoje byloje Nr. 2K-615/2011.</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2012 m. kovo 6 d. nutartis baudžiamojoje byloje Nr. 2K-124/2012.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2012 m. balandžio 3 d. nutartis baudžiamojoje byloje Nr. 2K-189/2012</w:t>
      </w:r>
      <w:r>
        <w:rPr>
          <w:rFonts w:eastAsia="Calibri"/>
        </w:rPr>
        <w:t>.</w:t>
      </w:r>
      <w:r w:rsidRPr="003D05F7">
        <w:rPr>
          <w:rFonts w:eastAsia="Calibri"/>
        </w:rPr>
        <w:t xml:space="preserve">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2012 m. balandžio 24 d. nutartis baudžiamojoje byloje Nr. 2A-3/2012</w:t>
      </w:r>
      <w:r>
        <w:rPr>
          <w:rFonts w:eastAsia="Calibri"/>
        </w:rPr>
        <w:t>.</w:t>
      </w:r>
      <w:r w:rsidRPr="003D05F7">
        <w:rPr>
          <w:rFonts w:eastAsia="Calibri"/>
        </w:rPr>
        <w:t xml:space="preserve">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2012 m. gegužės 15 d. nutartis baudž</w:t>
      </w:r>
      <w:r>
        <w:rPr>
          <w:rFonts w:eastAsia="Calibri"/>
        </w:rPr>
        <w:t>iamojoje byloje Nr. 2K-283/2012.</w:t>
      </w:r>
      <w:r w:rsidRPr="003D05F7">
        <w:rPr>
          <w:rFonts w:eastAsia="Calibri"/>
        </w:rPr>
        <w:t xml:space="preserve">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Lietuvos Aukščiausiojo Teismo 2012 m. lapkričio 27 d. nutartis baudžiamojoje byloje Nr. 2K-580/2012.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Lietuvos Aukščiausiojo Teismo 2013 m. gegužės 14 d. nutartis baudžiamojoje byloje Nr. 2K-240/2013,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Aukščiausiojo Teismo 2013 m. balandžio 2 d. nutartis baudžiamojoje byloje Nr. 2K-171/2013.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Lietuvos Aukščiausiojo Teismo 2013 m. gegužės 14 d. nutartis baudžiamojoje byloje Nr. 2K-248/2013. </w:t>
      </w:r>
    </w:p>
    <w:p w:rsidR="00FD0AEF" w:rsidRPr="00272F70" w:rsidRDefault="00FD0AEF" w:rsidP="00FD0AEF">
      <w:pPr>
        <w:pStyle w:val="Puslapioinaostekstas"/>
        <w:numPr>
          <w:ilvl w:val="0"/>
          <w:numId w:val="41"/>
        </w:numPr>
        <w:jc w:val="both"/>
        <w:rPr>
          <w:sz w:val="24"/>
          <w:szCs w:val="24"/>
        </w:rPr>
      </w:pPr>
      <w:r w:rsidRPr="00272F70">
        <w:rPr>
          <w:bCs/>
          <w:sz w:val="24"/>
          <w:szCs w:val="24"/>
        </w:rPr>
        <w:t xml:space="preserve">Lietuvos Aukščiausiojo Teismo 2014 m. </w:t>
      </w:r>
      <w:r>
        <w:rPr>
          <w:bCs/>
          <w:sz w:val="24"/>
          <w:szCs w:val="24"/>
        </w:rPr>
        <w:t>balandžio</w:t>
      </w:r>
      <w:r w:rsidRPr="00272F70">
        <w:rPr>
          <w:bCs/>
          <w:sz w:val="24"/>
          <w:szCs w:val="24"/>
        </w:rPr>
        <w:t xml:space="preserve"> 1</w:t>
      </w:r>
      <w:r>
        <w:rPr>
          <w:bCs/>
          <w:sz w:val="24"/>
          <w:szCs w:val="24"/>
        </w:rPr>
        <w:t>5</w:t>
      </w:r>
      <w:r w:rsidRPr="00272F70">
        <w:rPr>
          <w:bCs/>
          <w:sz w:val="24"/>
          <w:szCs w:val="24"/>
        </w:rPr>
        <w:t xml:space="preserve"> d. nutartis </w:t>
      </w:r>
      <w:r w:rsidRPr="00272F70">
        <w:rPr>
          <w:sz w:val="24"/>
          <w:szCs w:val="24"/>
        </w:rPr>
        <w:t xml:space="preserve">baudžiamojoje byloje </w:t>
      </w:r>
      <w:r w:rsidRPr="00272F70">
        <w:rPr>
          <w:bCs/>
          <w:sz w:val="24"/>
          <w:szCs w:val="24"/>
        </w:rPr>
        <w:t>Nr. 2</w:t>
      </w:r>
      <w:r>
        <w:rPr>
          <w:bCs/>
          <w:sz w:val="24"/>
          <w:szCs w:val="24"/>
        </w:rPr>
        <w:t>A</w:t>
      </w:r>
      <w:r w:rsidRPr="00272F70">
        <w:rPr>
          <w:bCs/>
          <w:sz w:val="24"/>
          <w:szCs w:val="24"/>
        </w:rPr>
        <w:t xml:space="preserve">-5/2014. </w:t>
      </w:r>
    </w:p>
    <w:p w:rsidR="00FD0AEF" w:rsidRDefault="00FD0AEF" w:rsidP="00FD0AEF">
      <w:pPr>
        <w:pStyle w:val="Puslapioinaostekstas"/>
        <w:numPr>
          <w:ilvl w:val="0"/>
          <w:numId w:val="41"/>
        </w:numPr>
        <w:jc w:val="both"/>
        <w:rPr>
          <w:bCs/>
          <w:sz w:val="24"/>
          <w:szCs w:val="24"/>
        </w:rPr>
      </w:pPr>
      <w:r w:rsidRPr="00272F70">
        <w:rPr>
          <w:bCs/>
          <w:sz w:val="24"/>
          <w:szCs w:val="24"/>
        </w:rPr>
        <w:t xml:space="preserve">Lietuvos Aukščiausiojo Teismo 2014 m. gegužės 13 d. nutartis </w:t>
      </w:r>
      <w:r w:rsidRPr="00272F70">
        <w:rPr>
          <w:sz w:val="24"/>
          <w:szCs w:val="24"/>
        </w:rPr>
        <w:t xml:space="preserve">baudžiamojoje byloje </w:t>
      </w:r>
      <w:r w:rsidRPr="00272F70">
        <w:rPr>
          <w:bCs/>
          <w:sz w:val="24"/>
          <w:szCs w:val="24"/>
        </w:rPr>
        <w:t xml:space="preserve">Nr. 2K-258/2014. </w:t>
      </w:r>
    </w:p>
    <w:p w:rsidR="00FD0AEF" w:rsidRPr="009658DF" w:rsidRDefault="00FD0AEF" w:rsidP="00FD0AEF">
      <w:pPr>
        <w:pStyle w:val="Sraopastraipa"/>
        <w:numPr>
          <w:ilvl w:val="0"/>
          <w:numId w:val="41"/>
        </w:numPr>
        <w:spacing w:line="240" w:lineRule="auto"/>
        <w:rPr>
          <w:rFonts w:eastAsia="Calibri"/>
        </w:rPr>
      </w:pPr>
      <w:r w:rsidRPr="009658DF">
        <w:rPr>
          <w:rFonts w:eastAsia="Calibri"/>
        </w:rPr>
        <w:t xml:space="preserve">Lietuvos Aukščiausiojo Teismo Baudžiamojo </w:t>
      </w:r>
      <w:r>
        <w:rPr>
          <w:rFonts w:eastAsia="Calibri"/>
        </w:rPr>
        <w:t xml:space="preserve">proceso </w:t>
      </w:r>
      <w:r w:rsidRPr="009658DF">
        <w:rPr>
          <w:rFonts w:eastAsia="Calibri"/>
        </w:rPr>
        <w:t xml:space="preserve">kodekso normų, reglamentuojančių įrodinėjimą, taikymo teismų praktikoje apžvalga. </w:t>
      </w:r>
      <w:r w:rsidRPr="00703801">
        <w:rPr>
          <w:rFonts w:eastAsia="Calibri"/>
          <w:i/>
        </w:rPr>
        <w:t>Teismų praktika</w:t>
      </w:r>
      <w:r>
        <w:rPr>
          <w:rFonts w:eastAsia="Calibri"/>
          <w:i/>
        </w:rPr>
        <w:t>.</w:t>
      </w:r>
      <w:r w:rsidRPr="009658DF">
        <w:rPr>
          <w:rFonts w:eastAsia="Calibri"/>
        </w:rPr>
        <w:t xml:space="preserve"> 2007, </w:t>
      </w:r>
      <w:r>
        <w:rPr>
          <w:rFonts w:eastAsia="Calibri"/>
        </w:rPr>
        <w:t>27: 320-388</w:t>
      </w:r>
      <w:r w:rsidRPr="009658DF">
        <w:rPr>
          <w:rFonts w:eastAsia="Calibri"/>
        </w:rPr>
        <w:t xml:space="preserve">. </w:t>
      </w:r>
    </w:p>
    <w:p w:rsidR="00FD0AEF" w:rsidRPr="009658DF" w:rsidRDefault="00FD0AEF" w:rsidP="00FD0AEF">
      <w:pPr>
        <w:pStyle w:val="Sraopastraipa"/>
        <w:numPr>
          <w:ilvl w:val="0"/>
          <w:numId w:val="41"/>
        </w:numPr>
        <w:spacing w:line="240" w:lineRule="auto"/>
        <w:rPr>
          <w:rFonts w:eastAsia="Calibri"/>
        </w:rPr>
      </w:pPr>
      <w:r w:rsidRPr="009658DF">
        <w:rPr>
          <w:rFonts w:eastAsia="Calibri"/>
        </w:rPr>
        <w:t xml:space="preserve">Lietuvos Aukščiausiojo Teismo konsultacija Nr. B3-362 „Dėl BPK 28 straipsnio 1 dalies, 413 straipsnio 5 dalies taikymo“. </w:t>
      </w:r>
      <w:r w:rsidRPr="009658DF">
        <w:rPr>
          <w:rFonts w:eastAsia="Calibri"/>
          <w:i/>
        </w:rPr>
        <w:t>Teismų praktika</w:t>
      </w:r>
      <w:r w:rsidRPr="009658DF">
        <w:rPr>
          <w:rFonts w:eastAsia="Calibri"/>
        </w:rPr>
        <w:t>. 2006, 24</w:t>
      </w:r>
      <w:r>
        <w:rPr>
          <w:rFonts w:eastAsia="Calibri"/>
        </w:rPr>
        <w:t>: 254</w:t>
      </w:r>
      <w:r w:rsidRPr="009658DF">
        <w:rPr>
          <w:rFonts w:eastAsia="Calibri"/>
        </w:rPr>
        <w:t>.</w:t>
      </w:r>
    </w:p>
    <w:p w:rsidR="00FD0AEF" w:rsidRPr="002C30DF" w:rsidRDefault="00FD0AEF" w:rsidP="00FD0AEF">
      <w:pPr>
        <w:pStyle w:val="Sraopastraipa"/>
        <w:numPr>
          <w:ilvl w:val="0"/>
          <w:numId w:val="41"/>
        </w:numPr>
        <w:spacing w:line="240" w:lineRule="auto"/>
        <w:rPr>
          <w:rFonts w:eastAsia="Calibri"/>
        </w:rPr>
      </w:pPr>
      <w:r w:rsidRPr="009658DF">
        <w:rPr>
          <w:rFonts w:eastAsia="Calibri"/>
        </w:rPr>
        <w:t xml:space="preserve">Lietuvos Aukščiausiojo Teismo </w:t>
      </w:r>
      <w:r w:rsidRPr="002C30DF">
        <w:rPr>
          <w:rFonts w:eastAsia="Calibri"/>
        </w:rPr>
        <w:t xml:space="preserve">Teisės normų, reguliuojančių nusikalstama veika padarytos žalos atlyginimą, taikymo baudžiamosiose bylose apžvalga. </w:t>
      </w:r>
      <w:r w:rsidRPr="00AC27A8">
        <w:rPr>
          <w:rFonts w:eastAsia="Calibri"/>
          <w:i/>
        </w:rPr>
        <w:t>Teismų praktika</w:t>
      </w:r>
      <w:r w:rsidRPr="002C30DF">
        <w:rPr>
          <w:rFonts w:eastAsia="Calibri"/>
        </w:rPr>
        <w:t xml:space="preserve">. </w:t>
      </w:r>
      <w:r>
        <w:rPr>
          <w:rFonts w:eastAsia="Calibri"/>
        </w:rPr>
        <w:t>2008, 29: 440-499.</w:t>
      </w:r>
    </w:p>
    <w:p w:rsidR="00FD0AEF" w:rsidRPr="003D05F7" w:rsidRDefault="00FD0AEF" w:rsidP="00FD0AEF">
      <w:pPr>
        <w:pStyle w:val="Sraopastraipa"/>
        <w:numPr>
          <w:ilvl w:val="0"/>
          <w:numId w:val="41"/>
        </w:numPr>
        <w:spacing w:line="240" w:lineRule="auto"/>
        <w:rPr>
          <w:rFonts w:eastAsia="Calibri"/>
        </w:rPr>
      </w:pPr>
      <w:r w:rsidRPr="003D05F7">
        <w:rPr>
          <w:rFonts w:eastAsia="Calibri"/>
          <w:bCs/>
        </w:rPr>
        <w:t>Lietuvos apeliacinio teismo 2007 m. gruodžio 21 d. nutartis baudžiamojoje byloje Nr. 1N-48/2007.</w:t>
      </w:r>
    </w:p>
    <w:p w:rsidR="00FD0AEF" w:rsidRPr="003D05F7" w:rsidRDefault="00FD0AEF" w:rsidP="00FD0AEF">
      <w:pPr>
        <w:pStyle w:val="Sraopastraipa"/>
        <w:numPr>
          <w:ilvl w:val="0"/>
          <w:numId w:val="41"/>
        </w:numPr>
        <w:spacing w:line="240" w:lineRule="auto"/>
        <w:rPr>
          <w:rFonts w:eastAsia="Calibri"/>
          <w:bCs/>
        </w:rPr>
      </w:pPr>
      <w:r w:rsidRPr="003D05F7">
        <w:rPr>
          <w:rFonts w:eastAsia="Calibri"/>
          <w:bCs/>
        </w:rPr>
        <w:t>Lietuvos apeliacinio teismo 2007 m. gruodžio 21 d. nutartis baudžiamojoje byloje Nr. 1N-49/2007.</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lastRenderedPageBreak/>
        <w:t>Lietuvos apeliacinio teismo 2013 m. birželio 7 d. nutartis baudžiamojoje byloje Nr. 1N-79/2013.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Lietuvos apeliacinio teismo 2013 m. lapkričio 4 d. nutartis baudžiamojoje byloje Nr. 1N-180/2013.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2006 m. kovo 14 d.nutartis baudžiamojoje byloje Nr. 1A-203-166/2006.</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2007 m. spalio 4 d. nutartis baudžiamojoje byloje Nr. 1A-954/2007.</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2008 m. sausio 7 d. nutartis baudžiamojoje byloje Nr. 1S-639-9-2007.</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 xml:space="preserve">Vilniaus apygardos teismo 2008 m. sausio 21 d. nutartis baudžiamojoje byloje Nr. 1-88-518/2008,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w:t>
      </w:r>
      <w:r w:rsidRPr="003D05F7">
        <w:rPr>
          <w:rFonts w:eastAsia="Calibri"/>
          <w:bCs/>
        </w:rPr>
        <w:t xml:space="preserve">2008 m. sausio 21 d. </w:t>
      </w:r>
      <w:r w:rsidRPr="003D05F7">
        <w:rPr>
          <w:rFonts w:eastAsia="Calibri"/>
        </w:rPr>
        <w:t>nutartis baudžiamojoje byloje Nr. 1S-20-149/2008.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2008 m. vasario 7 d. nutartis baudžiamojoje byloje Nr. 1S-103-318/2008.</w:t>
      </w:r>
    </w:p>
    <w:p w:rsidR="00FD0AEF" w:rsidRPr="003D05F7" w:rsidRDefault="00FD0AEF" w:rsidP="00FD0AEF">
      <w:pPr>
        <w:pStyle w:val="Sraopastraipa"/>
        <w:numPr>
          <w:ilvl w:val="0"/>
          <w:numId w:val="41"/>
        </w:numPr>
        <w:spacing w:line="240" w:lineRule="auto"/>
        <w:rPr>
          <w:rFonts w:eastAsia="Calibri"/>
          <w:bCs/>
        </w:rPr>
      </w:pPr>
      <w:r w:rsidRPr="003D05F7">
        <w:rPr>
          <w:rFonts w:eastAsia="Calibri"/>
        </w:rPr>
        <w:t>Vilniaus apygardos teismo 2008 m. vasario 11 d. nutartis baudžiamojoje byloje Nr. 1S-71/2008.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2008 m. kovo 3 d. nutartis baudžiamojoje byloje Nr. 1S-158-211/2008. </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Vilniaus apygardos teismo 2008m. balandžio 11d. nutartis baudžiamojoje byloje Nr. 1S-286-51/2008.</w:t>
      </w:r>
    </w:p>
    <w:p w:rsidR="00FD0AEF" w:rsidRPr="003D05F7" w:rsidRDefault="00FD0AEF" w:rsidP="00FD0AEF">
      <w:pPr>
        <w:pStyle w:val="Sraopastraipa"/>
        <w:numPr>
          <w:ilvl w:val="0"/>
          <w:numId w:val="41"/>
        </w:numPr>
        <w:spacing w:line="240" w:lineRule="auto"/>
        <w:rPr>
          <w:rFonts w:eastAsia="Calibri"/>
          <w:bCs/>
        </w:rPr>
      </w:pPr>
      <w:r w:rsidRPr="003D05F7">
        <w:rPr>
          <w:rFonts w:eastAsia="Calibri"/>
        </w:rPr>
        <w:t>Vilniaus apygardos teismo 2008 m. liepos 10 d. nutartis baudžiamojoje byloje Nr. 1S-542-312/2008.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2008 m. spalio 27 d. nutartis baudžiamojoje byloje Nr. 1S-826-303-2008.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2008 m. lapkričio 26 d. nutartis baudžiamojoje byloje Nr. 1S-945-628/2008. </w:t>
      </w:r>
    </w:p>
    <w:p w:rsidR="00FD0AEF" w:rsidRPr="003D05F7" w:rsidRDefault="00FD0AEF" w:rsidP="00FD0AEF">
      <w:pPr>
        <w:pStyle w:val="Sraopastraipa"/>
        <w:numPr>
          <w:ilvl w:val="0"/>
          <w:numId w:val="41"/>
        </w:numPr>
        <w:spacing w:line="240" w:lineRule="auto"/>
        <w:rPr>
          <w:rFonts w:eastAsia="Calibri"/>
        </w:rPr>
      </w:pPr>
      <w:r w:rsidRPr="003D05F7">
        <w:rPr>
          <w:rFonts w:eastAsia="Calibri"/>
          <w:bCs/>
        </w:rPr>
        <w:t>Vilniaus apygardos teismo 2009 m. vasario 9 d.nutartis baudžiamojoje byloje Nr. 1S-71-628/2009.</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2009 m. vasario 12 d. nutartis baudžiamojoje byloje Nr. 1S-72-518/2009.</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2009 m. vasario 23 d. nutartis civilinėje byloje Nr. 2A-182-340/09.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2009 m. gegužės 12 d. nutartis baudžiamojoje byloje Nr. 1S-357-495/2009.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2009 m. birželio 10 d. nutartis baudžiamojoje byloje Nr. 1S-423-495/2009.</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Vilniaus apygardos teismo 2009 m. rugsėjo 28 d. nutartis baudžiamojoje byloje Nr. 1S-758-190-2009.</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Vilniaus apygardos teismo 2009 m. spalio 7 d. nutartis baudžiamojoje byloje Nr. 1S-816-376-2009.</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Vilniaus apygardos teismo 2009 m. lapkričio 24 d. nutartis baudžiamojoje byloje Nr. 1S-988-92-2009.</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t>Vilniaus apygardos teismo 2011 m. lapkričio 8 d. nutartis baudžiamojoje byloje Nr. 1S-628-376/2011.</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2011 m. gruodžio 19 d. nutartis baudžiamojoje byloje Nr. 1S-733-495/2011.</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Vilniaus apygardos teismo 2012 m. sausio 27 d. nutartis baudžiamojoje byloje Nr. 1A-194-190-2012. </w:t>
      </w:r>
    </w:p>
    <w:p w:rsidR="00FD0AEF" w:rsidRPr="003D05F7" w:rsidRDefault="00FD0AEF" w:rsidP="00FD0AEF">
      <w:pPr>
        <w:pStyle w:val="Sraopastraipa"/>
        <w:numPr>
          <w:ilvl w:val="0"/>
          <w:numId w:val="41"/>
        </w:numPr>
        <w:spacing w:line="240" w:lineRule="auto"/>
        <w:ind w:right="57"/>
        <w:rPr>
          <w:rFonts w:eastAsia="Calibri"/>
        </w:rPr>
      </w:pPr>
      <w:r w:rsidRPr="003D05F7">
        <w:rPr>
          <w:rFonts w:eastAsia="Calibri"/>
        </w:rPr>
        <w:lastRenderedPageBreak/>
        <w:t>Vilniaus apygardos teismo 2012 m. balandžio 12 d. nutartis baudžiamojoje byloje Nr. 1S-193-312/2012.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2012 m. spalio 22 d. nutartis baudžiamojoje byloje Nr. 1S-788-628/2012.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2012 m. gruodžio 11 d.nutartis baudžiamojoje byloje Nr.1-391-195/2012.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2013 m. lapkričio 7 d. nutartis baudžiamojoje byloje Nr. 1S-923-628/2013.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apygardos teismo 2013 m. rugsėjo 30 d. nutartis baudžiamojoje byloje Nr. 1A-476-166-2013.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Kauno apygardos teismo 2008 m. kovo 6 d. nutartis baudžiamojoje byloje Nr. 1A-172-48/2008.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Kauno apygardos teismo 2013 m. sausio 31 d. nutartis baudžiamojoje byloje Nr. 1S-185-397/2013.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Klaipėdos apygardos teismo 2012 m. birželio 29 d. nutartis baudžiamojoje byloje Nr. 1-201-361/2012.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Klaipėdos apygardos teismo 2013 m. kovo 7 d. nutartis baudžiamojoje byloje Nr. 1A-99-380-2013.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Klaipėdos apygardos teismo 2013 m. gegužės 15 d. nutartis baudžiamojoje byloje Nr. 1-151-380/2013.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2006 m. spalio 25 d. nutartis baudžiamojoje byloje Nr. 1A-462-210/2006.</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2007 m. lapkričio 20 d. nutartis baudžiamojoje byloje Nr. 1A-339-116/2007.</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Šiaulių apygardos teismo 2007 m. rugsėjo 12 d. nutartis baudžiamojoje byloje Nr. I-20-116/2007.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2008 m. vasario 20 d. nutartis baudžiamojoje byloje Nr. 1A-25/64/2008.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2008 m. balandžio 9 d. nutartis baudžiamojoje byloje Nr. 1A-99-300/2008.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Šiaulių apygardos teismo 2008 m. birželio 26 d. nutartis baudžiamojoje byloje Nr. I-124-316/2008.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2008 m. rugsėjo 2 d. nutartis baudžiamojoje byloje Nr. 1A-282-354/2008.</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apygardos teismo 2009 m. vasario 11 d. nutartis baudžiamojoje byloje Nr. 1A-50-210/2009.</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Kaišiadorių rajono apylinkės teismo 2013 m. balandžio 23 d. nuosprendis baudžiamojoje byloje Nr. PK-55-753/2013.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Kauno apylinkės teismo 2013 m. rugpjūčio 26 d. nutartis baudžiamojoje byloje Nr. PK-2114-738/2013.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Kelmės rajono apylinkės teismo 2013 m. vasario 27 d. nuosprendis baudžiamojoje byloje Nr. PK-12-496/2013.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Kupiškio rajono apylinkės teismo 2013 m. balandžio 2 d. nutartis baudžiamojoje byloje Nr. PK-37-783/2013.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Mažeikių rajono apylinkės teismo 2013 m. gegužės 2 d. nutartis baudžiamojoje byloje Nr. PK-173-853/2013.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 xml:space="preserve">Panevėžio miesto apylinkės teismo 2012 m. liepos 2 d. nuosprendis baudžiamojoje byloje Nr. PK-288-768/2012. </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Panevėžio miesto apylinkės teismo 2013 m. sausio 11 d. nuosprendis baudžiamojoje byloje Nr. PK-291-334/2012.</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lastRenderedPageBreak/>
        <w:t>Prienų rajono apylinkės teismo 2013 m. rugsėjo 16 d. nuosprendis baudžiamojoje byloje Nr. PK-1-878/2013.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apylinkės teismo 2013 m. kovo 15 d. nutartis baudžiamojoje byloje Nr. PK-442-885/2013.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apylinkės teismo 2013 m. lapkričio 26 d. nutartis baudžiamojoje byloje Nr. PK-1185-898/2013.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Šiaulių apylinkės teismo 2013 m. rugsėjo 11 d. nutartis baudžiamojoje byloje Nr. PK-1000-898/2013.</w:t>
      </w:r>
    </w:p>
    <w:p w:rsidR="00FD0AEF" w:rsidRPr="003D05F7" w:rsidRDefault="00FD0AEF" w:rsidP="00FD0AEF">
      <w:pPr>
        <w:pStyle w:val="Sraopastraipa"/>
        <w:numPr>
          <w:ilvl w:val="0"/>
          <w:numId w:val="41"/>
        </w:numPr>
        <w:spacing w:line="240" w:lineRule="auto"/>
        <w:rPr>
          <w:rFonts w:eastAsia="Calibri"/>
        </w:rPr>
      </w:pPr>
      <w:r w:rsidRPr="003D05F7">
        <w:rPr>
          <w:rFonts w:eastAsia="Calibri"/>
        </w:rPr>
        <w:t>Vilniaus miesto apylinkės teismo 2013 m. balandžio 3 d. nuosprendis baudžiamojoje byloje Nr. PK-464-870/2013.</w:t>
      </w:r>
    </w:p>
    <w:p w:rsidR="00FD0AEF" w:rsidRPr="008802DE" w:rsidRDefault="00FD0AEF" w:rsidP="00FD0AEF">
      <w:pPr>
        <w:pStyle w:val="Sraopastraipa"/>
        <w:numPr>
          <w:ilvl w:val="0"/>
          <w:numId w:val="41"/>
        </w:numPr>
        <w:spacing w:line="240" w:lineRule="auto"/>
        <w:rPr>
          <w:rFonts w:eastAsia="Calibri"/>
        </w:rPr>
      </w:pPr>
      <w:r w:rsidRPr="008802DE">
        <w:rPr>
          <w:rFonts w:eastAsia="Calibri"/>
        </w:rPr>
        <w:t xml:space="preserve">Vilniaus rajono apylinkės teismo privataus kaltinimo byla Nr. PK-356-137/2013. </w:t>
      </w:r>
    </w:p>
    <w:p w:rsidR="00FD0AEF" w:rsidRDefault="00FD0AEF" w:rsidP="00FD0AEF">
      <w:pPr>
        <w:pStyle w:val="Sraopastraipa"/>
        <w:numPr>
          <w:ilvl w:val="0"/>
          <w:numId w:val="41"/>
        </w:numPr>
        <w:spacing w:line="240" w:lineRule="auto"/>
        <w:rPr>
          <w:rFonts w:eastAsia="Calibri"/>
        </w:rPr>
      </w:pPr>
      <w:r w:rsidRPr="008802DE">
        <w:rPr>
          <w:rFonts w:eastAsia="Calibri"/>
        </w:rPr>
        <w:t>Vilniaus rajono apylinkės teismo privataus kaltinimo byla Nr. PK-438-137/2013.</w:t>
      </w:r>
    </w:p>
    <w:p w:rsidR="00FD0AEF" w:rsidRPr="008802DE" w:rsidRDefault="00FD0AEF" w:rsidP="00FD0AEF">
      <w:pPr>
        <w:pStyle w:val="Sraopastraipa"/>
        <w:numPr>
          <w:ilvl w:val="0"/>
          <w:numId w:val="41"/>
        </w:numPr>
        <w:spacing w:line="240" w:lineRule="auto"/>
        <w:rPr>
          <w:rFonts w:eastAsia="Calibri"/>
        </w:rPr>
      </w:pPr>
      <w:r w:rsidRPr="008802DE">
        <w:rPr>
          <w:rFonts w:eastAsia="Calibri"/>
        </w:rPr>
        <w:t>Vilniaus rajono apylinkės teismo privataus kaltinimo byla Nr. PK-81-298/2014</w:t>
      </w:r>
      <w:r w:rsidRPr="008802DE">
        <w:rPr>
          <w:rFonts w:eastAsia="Calibri"/>
          <w:b/>
        </w:rPr>
        <w:t xml:space="preserve">. </w:t>
      </w:r>
    </w:p>
    <w:p w:rsidR="00FD0AEF" w:rsidRDefault="00FD0AEF" w:rsidP="00FD0AEF">
      <w:pPr>
        <w:pStyle w:val="Antrat3"/>
        <w:rPr>
          <w:rFonts w:eastAsia="Calibri"/>
        </w:rPr>
      </w:pPr>
      <w:bookmarkStart w:id="423" w:name="_Toc400321721"/>
      <w:r>
        <w:rPr>
          <w:rFonts w:eastAsia="Calibri"/>
        </w:rPr>
        <w:t>Europos Žmogaus Teisių Teismo praktika</w:t>
      </w:r>
      <w:bookmarkEnd w:id="423"/>
    </w:p>
    <w:p w:rsidR="00FD0AEF" w:rsidRPr="008802DE" w:rsidRDefault="00FD0AEF" w:rsidP="00FD0AEF">
      <w:pPr>
        <w:rPr>
          <w:lang w:eastAsia="lt-LT"/>
        </w:rPr>
      </w:pP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A v. United Kingdom</w:t>
      </w:r>
      <w:r w:rsidRPr="00EB4776">
        <w:rPr>
          <w:rFonts w:eastAsia="Calibri"/>
        </w:rPr>
        <w:t xml:space="preserve">, no. 35373/97, 17 December 2002.  </w:t>
      </w:r>
    </w:p>
    <w:p w:rsidR="00FD0AEF" w:rsidRPr="00EB4776" w:rsidRDefault="00FD0AEF" w:rsidP="00FD0AEF">
      <w:pPr>
        <w:pStyle w:val="Sraopastraipa"/>
        <w:numPr>
          <w:ilvl w:val="0"/>
          <w:numId w:val="38"/>
        </w:numPr>
        <w:spacing w:line="240" w:lineRule="auto"/>
        <w:rPr>
          <w:rFonts w:eastAsia="Calibri"/>
        </w:rPr>
      </w:pPr>
      <w:r w:rsidRPr="00EB4776">
        <w:rPr>
          <w:rFonts w:eastAsia="Calibri"/>
          <w:i/>
          <w:iCs/>
        </w:rPr>
        <w:t>Airey v. Ireland</w:t>
      </w:r>
      <w:r w:rsidRPr="00EB4776">
        <w:rPr>
          <w:rFonts w:eastAsia="Calibri"/>
        </w:rPr>
        <w:t>, no. 6289/73, 9 October 1979, ECHR A32.</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Annoni Di Gussola and others v. France</w:t>
      </w:r>
      <w:r w:rsidRPr="00EB4776">
        <w:rPr>
          <w:rFonts w:eastAsia="Calibri"/>
        </w:rPr>
        <w:t xml:space="preserve">, </w:t>
      </w:r>
      <w:r>
        <w:rPr>
          <w:rFonts w:eastAsia="Calibri"/>
        </w:rPr>
        <w:t>no. 31819/96,</w:t>
      </w:r>
      <w:r w:rsidRPr="007D0E7F">
        <w:rPr>
          <w:rFonts w:eastAsia="Calibri"/>
        </w:rPr>
        <w:t xml:space="preserve"> 33293/96</w:t>
      </w:r>
      <w:r>
        <w:rPr>
          <w:rFonts w:eastAsia="Calibri"/>
        </w:rPr>
        <w:t xml:space="preserve">, </w:t>
      </w:r>
      <w:r w:rsidRPr="00EB4776">
        <w:rPr>
          <w:rFonts w:eastAsia="Calibri"/>
        </w:rPr>
        <w:t xml:space="preserve">14 November 2000.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Ashingdane v. United Kingdom</w:t>
      </w:r>
      <w:r w:rsidRPr="00EB4776">
        <w:rPr>
          <w:rFonts w:eastAsia="Calibri"/>
        </w:rPr>
        <w:t xml:space="preserve">, no. 8225/78, 28 May 1985.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Averill v. the United Kingdom</w:t>
      </w:r>
      <w:r w:rsidRPr="00EB4776">
        <w:rPr>
          <w:rFonts w:eastAsia="Calibri"/>
        </w:rPr>
        <w:t xml:space="preserve">, no. 36408/97, 6 June 2000.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Baškienė v. Lithuania</w:t>
      </w:r>
      <w:r w:rsidRPr="00EB4776">
        <w:rPr>
          <w:rFonts w:eastAsia="Calibri"/>
        </w:rPr>
        <w:t xml:space="preserve">, no. 11529/04, 24 July 2007. </w:t>
      </w:r>
    </w:p>
    <w:p w:rsidR="00FD0AEF" w:rsidRPr="00EB4776" w:rsidRDefault="00FD0AEF" w:rsidP="00FD0AEF">
      <w:pPr>
        <w:pStyle w:val="Sraopastraipa"/>
        <w:numPr>
          <w:ilvl w:val="0"/>
          <w:numId w:val="38"/>
        </w:numPr>
        <w:spacing w:line="240" w:lineRule="auto"/>
        <w:rPr>
          <w:rFonts w:eastAsia="Calibri"/>
        </w:rPr>
      </w:pPr>
      <w:r w:rsidRPr="00EB4776">
        <w:rPr>
          <w:rFonts w:eastAsia="Calibri"/>
          <w:i/>
          <w:iCs/>
        </w:rPr>
        <w:t>Běleš and Others v. the Czech Republic</w:t>
      </w:r>
      <w:r w:rsidRPr="00EB4776">
        <w:rPr>
          <w:rFonts w:eastAsia="Calibri"/>
        </w:rPr>
        <w:t xml:space="preserve">, </w:t>
      </w:r>
      <w:r>
        <w:rPr>
          <w:rFonts w:eastAsia="Calibri"/>
        </w:rPr>
        <w:t>n</w:t>
      </w:r>
      <w:r w:rsidRPr="00EB4776">
        <w:rPr>
          <w:rFonts w:eastAsia="Calibri"/>
        </w:rPr>
        <w:t xml:space="preserve">o. 47273/99, </w:t>
      </w:r>
      <w:r>
        <w:rPr>
          <w:rFonts w:eastAsia="Calibri"/>
        </w:rPr>
        <w:t xml:space="preserve">12 November 2002, </w:t>
      </w:r>
      <w:r w:rsidRPr="00EB4776">
        <w:rPr>
          <w:rFonts w:eastAsia="Calibri"/>
        </w:rPr>
        <w:t xml:space="preserve">ECHR 2002-IX. </w:t>
      </w:r>
    </w:p>
    <w:p w:rsidR="00FD0AEF" w:rsidRPr="00EB4776" w:rsidRDefault="00FD0AEF" w:rsidP="00FD0AEF">
      <w:pPr>
        <w:pStyle w:val="Sraopastraipa"/>
        <w:numPr>
          <w:ilvl w:val="0"/>
          <w:numId w:val="38"/>
        </w:numPr>
        <w:spacing w:line="240" w:lineRule="auto"/>
        <w:rPr>
          <w:i/>
        </w:rPr>
      </w:pPr>
      <w:r>
        <w:rPr>
          <w:i/>
        </w:rPr>
        <w:t>The Belgian</w:t>
      </w:r>
      <w:r w:rsidRPr="00EB4776">
        <w:rPr>
          <w:i/>
        </w:rPr>
        <w:t xml:space="preserve"> </w:t>
      </w:r>
      <w:r>
        <w:rPr>
          <w:i/>
        </w:rPr>
        <w:t>L</w:t>
      </w:r>
      <w:r w:rsidRPr="00EB4776">
        <w:rPr>
          <w:i/>
        </w:rPr>
        <w:t xml:space="preserve">inguistic </w:t>
      </w:r>
      <w:r>
        <w:rPr>
          <w:i/>
        </w:rPr>
        <w:t>C</w:t>
      </w:r>
      <w:r w:rsidRPr="00EB4776">
        <w:rPr>
          <w:i/>
        </w:rPr>
        <w:t>ase</w:t>
      </w:r>
      <w:r>
        <w:rPr>
          <w:i/>
        </w:rPr>
        <w:t xml:space="preserve"> </w:t>
      </w:r>
      <w:proofErr w:type="gramStart"/>
      <w:r>
        <w:rPr>
          <w:i/>
        </w:rPr>
        <w:t>(</w:t>
      </w:r>
      <w:proofErr w:type="gramEnd"/>
      <w:r>
        <w:rPr>
          <w:i/>
        </w:rPr>
        <w:t>No. 1)</w:t>
      </w:r>
      <w:r w:rsidRPr="00EB4776">
        <w:rPr>
          <w:i/>
        </w:rPr>
        <w:t xml:space="preserve">, </w:t>
      </w:r>
      <w:r w:rsidRPr="00EB4776">
        <w:t>23 July 1968</w:t>
      </w:r>
      <w:r>
        <w:rPr>
          <w:i/>
        </w:rPr>
        <w:t>.</w:t>
      </w:r>
      <w:r>
        <w:t xml:space="preserve"> 1 EHHR 241.</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Brualla Gomez De La Torre v. Spain</w:t>
      </w:r>
      <w:r w:rsidRPr="00EB4776">
        <w:rPr>
          <w:rFonts w:eastAsia="Calibri"/>
        </w:rPr>
        <w:t xml:space="preserve">, </w:t>
      </w:r>
      <w:r>
        <w:rPr>
          <w:rFonts w:eastAsia="Calibri"/>
        </w:rPr>
        <w:t xml:space="preserve">no. 26737/95, </w:t>
      </w:r>
      <w:r w:rsidRPr="00EB4776">
        <w:rPr>
          <w:rFonts w:eastAsia="Calibri"/>
        </w:rPr>
        <w:t xml:space="preserve">19 December 1997.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Brumarescu v. Romania</w:t>
      </w:r>
      <w:r w:rsidRPr="00EB4776">
        <w:rPr>
          <w:rFonts w:eastAsia="Calibri"/>
        </w:rPr>
        <w:t xml:space="preserve">, </w:t>
      </w:r>
      <w:r>
        <w:rPr>
          <w:rFonts w:eastAsia="Calibri"/>
        </w:rPr>
        <w:t xml:space="preserve">[GC], </w:t>
      </w:r>
      <w:r w:rsidRPr="00EB4776">
        <w:rPr>
          <w:rFonts w:eastAsia="Calibri"/>
        </w:rPr>
        <w:t>no. 2834</w:t>
      </w:r>
      <w:r>
        <w:rPr>
          <w:rFonts w:eastAsia="Calibri"/>
        </w:rPr>
        <w:t>2</w:t>
      </w:r>
      <w:r w:rsidRPr="00EB4776">
        <w:rPr>
          <w:rFonts w:eastAsia="Calibri"/>
        </w:rPr>
        <w:t>/95, 2</w:t>
      </w:r>
      <w:r>
        <w:rPr>
          <w:rFonts w:eastAsia="Calibri"/>
        </w:rPr>
        <w:t>3</w:t>
      </w:r>
      <w:r w:rsidRPr="00EB4776">
        <w:rPr>
          <w:rFonts w:eastAsia="Calibri"/>
        </w:rPr>
        <w:t xml:space="preserve"> January 2001. </w:t>
      </w:r>
    </w:p>
    <w:p w:rsidR="00FD0AEF" w:rsidRPr="00EB4776" w:rsidRDefault="00FD0AEF" w:rsidP="00FD0AEF">
      <w:pPr>
        <w:pStyle w:val="Sraopastraipa"/>
        <w:numPr>
          <w:ilvl w:val="0"/>
          <w:numId w:val="38"/>
        </w:numPr>
        <w:spacing w:line="240" w:lineRule="auto"/>
        <w:rPr>
          <w:rFonts w:eastAsia="Calibri"/>
          <w:i/>
        </w:rPr>
      </w:pPr>
      <w:r>
        <w:rPr>
          <w:rFonts w:eastAsia="Calibri"/>
          <w:i/>
        </w:rPr>
        <w:t xml:space="preserve">Colozza v. Italy, </w:t>
      </w:r>
      <w:r w:rsidRPr="00C7618B">
        <w:rPr>
          <w:rFonts w:eastAsia="Calibri"/>
        </w:rPr>
        <w:t>no. 9024/80, 12 Febr</w:t>
      </w:r>
      <w:r>
        <w:rPr>
          <w:rFonts w:eastAsia="Calibri"/>
        </w:rPr>
        <w:t>uary 1985, 7 EHRR 516.</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Cudak v. Lithuania</w:t>
      </w:r>
      <w:r w:rsidRPr="00EB4776">
        <w:rPr>
          <w:rFonts w:eastAsia="Calibri"/>
        </w:rPr>
        <w:t>, [GC], n</w:t>
      </w:r>
      <w:r>
        <w:rPr>
          <w:rFonts w:eastAsia="Calibri"/>
        </w:rPr>
        <w:t xml:space="preserve">o. 15869/02, 23 March 2010.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Daktaras v. Lithuania</w:t>
      </w:r>
      <w:r w:rsidRPr="00EB4776">
        <w:rPr>
          <w:rFonts w:eastAsia="Calibri"/>
        </w:rPr>
        <w:t xml:space="preserve">, no. 42095/98, ECHR 2000-X.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Dallos v. Hungary</w:t>
      </w:r>
      <w:r w:rsidRPr="00EB4776">
        <w:rPr>
          <w:rFonts w:eastAsia="Calibri"/>
        </w:rPr>
        <w:t xml:space="preserve">, </w:t>
      </w:r>
      <w:r>
        <w:rPr>
          <w:rFonts w:eastAsia="Calibri"/>
        </w:rPr>
        <w:t>no. 29082/95, 1 March 2011.</w:t>
      </w:r>
    </w:p>
    <w:p w:rsidR="00FD0AEF" w:rsidRPr="00EB4776" w:rsidRDefault="00FD0AEF" w:rsidP="00FD0AEF">
      <w:pPr>
        <w:pStyle w:val="Sraopastraipa"/>
        <w:numPr>
          <w:ilvl w:val="0"/>
          <w:numId w:val="38"/>
        </w:numPr>
        <w:spacing w:line="240" w:lineRule="auto"/>
        <w:rPr>
          <w:rFonts w:eastAsia="Calibri"/>
          <w:i/>
        </w:rPr>
      </w:pPr>
      <w:r>
        <w:rPr>
          <w:rFonts w:eastAsia="Calibri"/>
          <w:i/>
        </w:rPr>
        <w:t xml:space="preserve">Delcourt v. Belgium, </w:t>
      </w:r>
      <w:r w:rsidRPr="008D364D">
        <w:rPr>
          <w:rFonts w:eastAsia="Calibri"/>
        </w:rPr>
        <w:t>no. 2689/65, 17 January 1970.</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 xml:space="preserve">Deweer v. Belgium, </w:t>
      </w:r>
      <w:r w:rsidRPr="00C7618B">
        <w:rPr>
          <w:rFonts w:eastAsia="Calibri"/>
        </w:rPr>
        <w:t>no. 6903/75, 27 February 1980.</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Ekbatani v. Sweden</w:t>
      </w:r>
      <w:r w:rsidRPr="00EB4776">
        <w:rPr>
          <w:rFonts w:eastAsia="Calibri"/>
        </w:rPr>
        <w:t xml:space="preserve">, no. 10563/83, 26 May 1988.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Ezeh and Connors v. the United Kingdom</w:t>
      </w:r>
      <w:r w:rsidRPr="00EB4776">
        <w:rPr>
          <w:rFonts w:eastAsia="Calibri"/>
        </w:rPr>
        <w:t xml:space="preserve">, </w:t>
      </w:r>
      <w:r>
        <w:rPr>
          <w:rFonts w:eastAsia="Calibri"/>
        </w:rPr>
        <w:t xml:space="preserve">[GC], </w:t>
      </w:r>
      <w:r w:rsidRPr="00EB4776">
        <w:rPr>
          <w:rFonts w:eastAsia="Calibri"/>
        </w:rPr>
        <w:t xml:space="preserve">no. 39665/98, 40086/98, 9 October 2003.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Frau v. Italy</w:t>
      </w:r>
      <w:r w:rsidRPr="00EB4776">
        <w:rPr>
          <w:rFonts w:eastAsia="Calibri"/>
        </w:rPr>
        <w:t xml:space="preserve">, no. 12147/86, 19 February 1991.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 xml:space="preserve">Garcia Manibardo v. Spain, </w:t>
      </w:r>
      <w:r w:rsidRPr="00C7618B">
        <w:rPr>
          <w:rFonts w:eastAsia="Calibri"/>
        </w:rPr>
        <w:t>no. 38695/97</w:t>
      </w:r>
      <w:r>
        <w:rPr>
          <w:rFonts w:eastAsia="Calibri"/>
          <w:i/>
        </w:rPr>
        <w:t>,</w:t>
      </w:r>
      <w:r w:rsidRPr="00C7618B">
        <w:rPr>
          <w:rFonts w:eastAsia="Calibri"/>
          <w:i/>
        </w:rPr>
        <w:t xml:space="preserve"> </w:t>
      </w:r>
      <w:r w:rsidRPr="00EB4776">
        <w:rPr>
          <w:rFonts w:eastAsia="Calibri"/>
        </w:rPr>
        <w:t>15 February</w:t>
      </w:r>
      <w:r w:rsidRPr="00EB4776">
        <w:rPr>
          <w:rFonts w:eastAsia="Calibri"/>
          <w:i/>
        </w:rPr>
        <w:t xml:space="preserve"> </w:t>
      </w:r>
      <w:r w:rsidRPr="00EB4776">
        <w:rPr>
          <w:rFonts w:eastAsia="Calibri"/>
        </w:rPr>
        <w:t xml:space="preserve">2000.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Gea Catalan v. Spain</w:t>
      </w:r>
      <w:r w:rsidRPr="00EB4776">
        <w:rPr>
          <w:rFonts w:eastAsia="Calibri"/>
        </w:rPr>
        <w:t xml:space="preserve">, </w:t>
      </w:r>
      <w:r>
        <w:rPr>
          <w:rFonts w:eastAsia="Calibri"/>
        </w:rPr>
        <w:t>n</w:t>
      </w:r>
      <w:r w:rsidRPr="00C7618B">
        <w:rPr>
          <w:rFonts w:eastAsia="Calibri"/>
        </w:rPr>
        <w:t>o. 19160/91</w:t>
      </w:r>
      <w:r>
        <w:rPr>
          <w:rFonts w:eastAsia="Calibri"/>
        </w:rPr>
        <w:t>, 10 February 1995.</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Golder v. United Kingdom</w:t>
      </w:r>
      <w:r w:rsidRPr="00EB4776">
        <w:rPr>
          <w:rFonts w:eastAsia="Calibri"/>
        </w:rPr>
        <w:t>, no. 4451/70, 21 February 1975.</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Gordon v. the United Kingdom</w:t>
      </w:r>
      <w:r w:rsidRPr="00EB4776">
        <w:rPr>
          <w:rFonts w:eastAsia="Calibri"/>
        </w:rPr>
        <w:t>, no. 4451/70, 21 February 1975.</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Gouffre de la Pradelle v. France</w:t>
      </w:r>
      <w:r w:rsidRPr="00EB4776">
        <w:rPr>
          <w:rFonts w:eastAsia="Calibri"/>
        </w:rPr>
        <w:t xml:space="preserve">, no. 12964/87, 16 December 1992. </w:t>
      </w:r>
    </w:p>
    <w:p w:rsidR="00FD0AEF" w:rsidRPr="00EB4776" w:rsidRDefault="00FD0AEF" w:rsidP="00FD0AEF">
      <w:pPr>
        <w:pStyle w:val="Sraopastraipa"/>
        <w:numPr>
          <w:ilvl w:val="0"/>
          <w:numId w:val="38"/>
        </w:numPr>
        <w:spacing w:line="240" w:lineRule="auto"/>
        <w:rPr>
          <w:rFonts w:eastAsia="Calibri"/>
          <w:lang w:val="en-US"/>
        </w:rPr>
      </w:pPr>
      <w:r w:rsidRPr="00120B5D">
        <w:rPr>
          <w:rFonts w:eastAsia="Calibri"/>
          <w:i/>
          <w:lang w:val="en-US"/>
        </w:rPr>
        <w:t>Guérin v. France</w:t>
      </w:r>
      <w:r>
        <w:rPr>
          <w:rFonts w:eastAsia="Calibri"/>
          <w:lang w:val="en-US"/>
        </w:rPr>
        <w:t xml:space="preserve">, no. </w:t>
      </w:r>
      <w:r>
        <w:rPr>
          <w:rStyle w:val="st"/>
        </w:rPr>
        <w:t xml:space="preserve">25201/94, </w:t>
      </w:r>
      <w:r w:rsidRPr="00EB4776">
        <w:rPr>
          <w:rFonts w:eastAsia="Calibri"/>
          <w:lang w:val="en-US"/>
        </w:rPr>
        <w:t xml:space="preserve">29 July </w:t>
      </w:r>
      <w:r>
        <w:rPr>
          <w:rFonts w:eastAsia="Calibri"/>
          <w:lang w:val="en-US"/>
        </w:rPr>
        <w:t>1998.</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Ielo v. Italy</w:t>
      </w:r>
      <w:r w:rsidRPr="00EB4776">
        <w:rPr>
          <w:rFonts w:eastAsia="Calibri"/>
          <w:i/>
          <w:iCs/>
        </w:rPr>
        <w:t xml:space="preserve">, </w:t>
      </w:r>
      <w:r w:rsidRPr="00EB4776">
        <w:rPr>
          <w:rFonts w:eastAsia="Calibri"/>
          <w:iCs/>
        </w:rPr>
        <w:t>no. 23053/02</w:t>
      </w:r>
      <w:r>
        <w:rPr>
          <w:rFonts w:eastAsia="Calibri"/>
        </w:rPr>
        <w:t xml:space="preserve">, 6 December 2005.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Ilasku v. Moldova and Russia</w:t>
      </w:r>
      <w:r w:rsidRPr="00EB4776">
        <w:rPr>
          <w:rFonts w:eastAsia="Calibri"/>
        </w:rPr>
        <w:t xml:space="preserve"> [GC], no. 48787/99, 8 July 2004.</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Jasiūnienė v. Lithuania</w:t>
      </w:r>
      <w:r w:rsidRPr="00EB4776">
        <w:rPr>
          <w:rFonts w:eastAsia="Calibri"/>
        </w:rPr>
        <w:t>, no. 41510/98, 6 March 2003.</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John Murray v. the United Kingdom</w:t>
      </w:r>
      <w:r w:rsidRPr="00EB4776">
        <w:rPr>
          <w:rFonts w:eastAsia="Calibri"/>
        </w:rPr>
        <w:t xml:space="preserve">, </w:t>
      </w:r>
      <w:r>
        <w:rPr>
          <w:rFonts w:eastAsia="Calibri"/>
        </w:rPr>
        <w:t>n</w:t>
      </w:r>
      <w:r w:rsidRPr="00EB4776">
        <w:rPr>
          <w:rFonts w:eastAsia="Calibri"/>
        </w:rPr>
        <w:t xml:space="preserve">o. 18731/91, 8 February 1996.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Hajiyev v. Italy</w:t>
      </w:r>
      <w:r w:rsidRPr="00EB4776">
        <w:rPr>
          <w:rFonts w:eastAsia="Calibri"/>
        </w:rPr>
        <w:t xml:space="preserve"> </w:t>
      </w:r>
      <w:proofErr w:type="gramStart"/>
      <w:r w:rsidRPr="00EB4776">
        <w:rPr>
          <w:rFonts w:eastAsia="Calibri"/>
        </w:rPr>
        <w:t>(</w:t>
      </w:r>
      <w:proofErr w:type="gramEnd"/>
      <w:r w:rsidRPr="00EB4776">
        <w:rPr>
          <w:rFonts w:eastAsia="Calibri"/>
        </w:rPr>
        <w:t xml:space="preserve">No. 1), no. 40877/98, 30 January 2003.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Kreuz v. Poland</w:t>
      </w:r>
      <w:r w:rsidRPr="00EB4776">
        <w:rPr>
          <w:rFonts w:eastAsia="Calibri"/>
        </w:rPr>
        <w:t xml:space="preserve">, no. 28249/95, 19 June 2001.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Le Compte, Van Leuven and De Meyere v. Belgium</w:t>
      </w:r>
      <w:r w:rsidRPr="00EB4776">
        <w:rPr>
          <w:rFonts w:eastAsia="Calibri"/>
        </w:rPr>
        <w:t xml:space="preserve">, no. 6878/75, 7238/75, 23 June 1981.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Levages Prestations Servines v. France (1),</w:t>
      </w:r>
      <w:r w:rsidRPr="00EB4776">
        <w:rPr>
          <w:rFonts w:eastAsia="Calibri"/>
        </w:rPr>
        <w:t xml:space="preserve"> no. 21920/93, </w:t>
      </w:r>
      <w:r>
        <w:rPr>
          <w:rFonts w:eastAsia="Calibri"/>
        </w:rPr>
        <w:t xml:space="preserve">23 September 1996, </w:t>
      </w:r>
      <w:r w:rsidRPr="00EB4776">
        <w:rPr>
          <w:rFonts w:eastAsia="Calibri"/>
        </w:rPr>
        <w:t>ECHR 1996.</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Markovic and Others v. Italy</w:t>
      </w:r>
      <w:r w:rsidRPr="00EB4776">
        <w:rPr>
          <w:rFonts w:eastAsia="Calibri"/>
        </w:rPr>
        <w:t xml:space="preserve">, [GC], no. 1398/03, 14 December 2006.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lastRenderedPageBreak/>
        <w:t>Miroslavsky v. United Kingdom</w:t>
      </w:r>
      <w:r>
        <w:rPr>
          <w:rFonts w:eastAsia="Calibri"/>
        </w:rPr>
        <w:t>, n</w:t>
      </w:r>
      <w:r>
        <w:rPr>
          <w:rStyle w:val="st"/>
        </w:rPr>
        <w:t xml:space="preserve">o. 18139/91, </w:t>
      </w:r>
      <w:r w:rsidRPr="00EB4776">
        <w:rPr>
          <w:rFonts w:eastAsia="Calibri"/>
        </w:rPr>
        <w:t>23 June 1995</w:t>
      </w:r>
      <w:r>
        <w:rPr>
          <w:rFonts w:eastAsia="Calibri"/>
        </w:rPr>
        <w:t xml:space="preserve">, </w:t>
      </w:r>
      <w:r w:rsidRPr="00C7618B">
        <w:rPr>
          <w:rFonts w:eastAsia="Calibri"/>
        </w:rPr>
        <w:t>20 EHRR 442</w:t>
      </w:r>
      <w:r w:rsidRPr="00EB4776">
        <w:rPr>
          <w:rFonts w:eastAsia="Calibri"/>
        </w:rPr>
        <w:t>.</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Öcalan</w:t>
      </w:r>
      <w:r>
        <w:rPr>
          <w:rFonts w:eastAsia="Calibri"/>
          <w:i/>
        </w:rPr>
        <w:t xml:space="preserve"> </w:t>
      </w:r>
      <w:r w:rsidRPr="00EB4776">
        <w:rPr>
          <w:rFonts w:eastAsia="Calibri"/>
          <w:i/>
        </w:rPr>
        <w:t>v. Turkey</w:t>
      </w:r>
      <w:r w:rsidRPr="00EB4776">
        <w:rPr>
          <w:rFonts w:eastAsia="Calibri"/>
        </w:rPr>
        <w:t>, no. 46221/99, 12 May 2005</w:t>
      </w:r>
      <w:r>
        <w:rPr>
          <w:rFonts w:eastAsia="Calibri"/>
        </w:rPr>
        <w:t>,</w:t>
      </w:r>
      <w:r w:rsidRPr="008D364D">
        <w:t xml:space="preserve"> </w:t>
      </w:r>
      <w:r>
        <w:t xml:space="preserve">ECHR 2005-IV. </w:t>
      </w:r>
    </w:p>
    <w:p w:rsidR="00FD0AEF" w:rsidRPr="00EB4776" w:rsidRDefault="00FD0AEF" w:rsidP="00FD0AEF">
      <w:pPr>
        <w:pStyle w:val="Sraopastraipa"/>
        <w:numPr>
          <w:ilvl w:val="0"/>
          <w:numId w:val="38"/>
        </w:numPr>
        <w:spacing w:line="240" w:lineRule="auto"/>
        <w:rPr>
          <w:rFonts w:eastAsia="Calibri"/>
          <w:color w:val="000000"/>
        </w:rPr>
      </w:pPr>
      <w:r w:rsidRPr="00EB4776">
        <w:rPr>
          <w:rFonts w:eastAsia="Calibri"/>
          <w:i/>
        </w:rPr>
        <w:t xml:space="preserve">Patrono, Cascini </w:t>
      </w:r>
      <w:r>
        <w:rPr>
          <w:rFonts w:eastAsia="Calibri"/>
          <w:i/>
        </w:rPr>
        <w:t>and</w:t>
      </w:r>
      <w:r w:rsidRPr="00EB4776">
        <w:rPr>
          <w:rFonts w:eastAsia="Calibri"/>
          <w:i/>
        </w:rPr>
        <w:t xml:space="preserve"> Stefanelli v. Italy</w:t>
      </w:r>
      <w:r w:rsidRPr="00EB4776">
        <w:rPr>
          <w:rFonts w:eastAsia="Calibri"/>
          <w:iCs/>
        </w:rPr>
        <w:t xml:space="preserve">, </w:t>
      </w:r>
      <w:r>
        <w:rPr>
          <w:rFonts w:eastAsia="Calibri"/>
          <w:iCs/>
        </w:rPr>
        <w:t>no. 10180/04, 20 April 2006.</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Pelissier and Sassi v. France</w:t>
      </w:r>
      <w:r w:rsidRPr="00EB4776">
        <w:rPr>
          <w:rFonts w:eastAsia="Calibri"/>
        </w:rPr>
        <w:t xml:space="preserve">, </w:t>
      </w:r>
      <w:r>
        <w:rPr>
          <w:rFonts w:eastAsia="Calibri"/>
        </w:rPr>
        <w:t xml:space="preserve">no. </w:t>
      </w:r>
      <w:r w:rsidRPr="00C7618B">
        <w:rPr>
          <w:rFonts w:eastAsia="Calibri"/>
        </w:rPr>
        <w:t>25444/94</w:t>
      </w:r>
      <w:r>
        <w:rPr>
          <w:rFonts w:eastAsia="Calibri"/>
        </w:rPr>
        <w:t xml:space="preserve">, 25 March, 1999, </w:t>
      </w:r>
      <w:r>
        <w:t xml:space="preserve">ECHR 1999-II.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Simonavičius v. Lithuania</w:t>
      </w:r>
      <w:r w:rsidRPr="00EB4776">
        <w:rPr>
          <w:rFonts w:eastAsia="Calibri"/>
        </w:rPr>
        <w:t>, no. 37415/02, 27 June 2006.</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Sipavi</w:t>
      </w:r>
      <w:r>
        <w:rPr>
          <w:rFonts w:eastAsia="Calibri"/>
          <w:i/>
        </w:rPr>
        <w:t>č</w:t>
      </w:r>
      <w:r w:rsidRPr="00EB4776">
        <w:rPr>
          <w:rFonts w:eastAsia="Calibri"/>
          <w:i/>
        </w:rPr>
        <w:t>ius v. Lithuania</w:t>
      </w:r>
      <w:r>
        <w:rPr>
          <w:rFonts w:eastAsia="Calibri"/>
        </w:rPr>
        <w:t xml:space="preserve">, </w:t>
      </w:r>
      <w:r w:rsidRPr="00DA1D29">
        <w:rPr>
          <w:rFonts w:eastAsia="Calibri"/>
        </w:rPr>
        <w:t>no. 49093/99</w:t>
      </w:r>
      <w:r>
        <w:rPr>
          <w:rFonts w:eastAsia="Calibri"/>
        </w:rPr>
        <w:t xml:space="preserve">, 21 February 2002.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Sotris and Nikos Koutras Atte v. Greece</w:t>
      </w:r>
      <w:r w:rsidRPr="00EB4776">
        <w:rPr>
          <w:rFonts w:eastAsia="Calibri"/>
        </w:rPr>
        <w:t xml:space="preserve">, </w:t>
      </w:r>
      <w:r w:rsidRPr="00DA1D29">
        <w:rPr>
          <w:rFonts w:eastAsia="Calibri"/>
        </w:rPr>
        <w:t>no. 39442/98</w:t>
      </w:r>
      <w:r>
        <w:rPr>
          <w:rFonts w:eastAsia="Calibri"/>
        </w:rPr>
        <w:t>,</w:t>
      </w:r>
      <w:r w:rsidRPr="00DA1D29">
        <w:rPr>
          <w:rFonts w:eastAsia="Calibri"/>
        </w:rPr>
        <w:t xml:space="preserve"> </w:t>
      </w:r>
      <w:r w:rsidRPr="00EB4776">
        <w:rPr>
          <w:rFonts w:eastAsia="Calibri"/>
        </w:rPr>
        <w:t xml:space="preserve">16 November 2000. </w:t>
      </w:r>
    </w:p>
    <w:p w:rsidR="00FD0AEF" w:rsidRPr="00DA1D29" w:rsidRDefault="00FD0AEF" w:rsidP="00FD0AEF">
      <w:pPr>
        <w:pStyle w:val="Sraopastraipa"/>
        <w:numPr>
          <w:ilvl w:val="0"/>
          <w:numId w:val="38"/>
        </w:numPr>
        <w:spacing w:line="240" w:lineRule="auto"/>
        <w:rPr>
          <w:rFonts w:eastAsia="Calibri"/>
        </w:rPr>
      </w:pPr>
      <w:r w:rsidRPr="00DA1D29">
        <w:rPr>
          <w:rFonts w:eastAsia="Calibri"/>
          <w:i/>
        </w:rPr>
        <w:t>Tsalkitzis v. Greece</w:t>
      </w:r>
      <w:r w:rsidRPr="00DA1D29">
        <w:rPr>
          <w:rFonts w:eastAsia="Calibri"/>
        </w:rPr>
        <w:t xml:space="preserve">, </w:t>
      </w:r>
      <w:r w:rsidRPr="00DA1D29">
        <w:rPr>
          <w:rFonts w:eastAsia="Calibri"/>
          <w:iCs/>
        </w:rPr>
        <w:t>no. 11801/04, 16 November 2006.</w:t>
      </w:r>
      <w:r>
        <w:rPr>
          <w:rFonts w:eastAsia="Calibri"/>
          <w:i/>
          <w:iCs/>
        </w:rPr>
        <w:t xml:space="preserve"> </w:t>
      </w:r>
    </w:p>
    <w:p w:rsidR="00FD0AEF" w:rsidRPr="00DA1D29" w:rsidRDefault="00FD0AEF" w:rsidP="00FD0AEF">
      <w:pPr>
        <w:pStyle w:val="Sraopastraipa"/>
        <w:numPr>
          <w:ilvl w:val="0"/>
          <w:numId w:val="38"/>
        </w:numPr>
        <w:spacing w:line="240" w:lineRule="auto"/>
        <w:rPr>
          <w:rFonts w:eastAsia="Calibri"/>
        </w:rPr>
      </w:pPr>
      <w:r w:rsidRPr="00DA1D29">
        <w:rPr>
          <w:rFonts w:eastAsia="Calibri"/>
          <w:i/>
        </w:rPr>
        <w:t>Valiulienė v. Lithuania</w:t>
      </w:r>
      <w:r w:rsidRPr="00DA1D29">
        <w:rPr>
          <w:rFonts w:eastAsia="Calibri"/>
        </w:rPr>
        <w:t xml:space="preserve">, </w:t>
      </w:r>
      <w:r>
        <w:rPr>
          <w:rFonts w:eastAsia="Calibri"/>
        </w:rPr>
        <w:t>n</w:t>
      </w:r>
      <w:r w:rsidRPr="00DA1D29">
        <w:rPr>
          <w:rFonts w:eastAsia="Calibri"/>
        </w:rPr>
        <w:t xml:space="preserve">o. 23234/07, 26 March 2013 (atskiroji nuomonė). </w:t>
      </w:r>
    </w:p>
    <w:p w:rsidR="00FD0AEF" w:rsidRPr="00EB4776" w:rsidRDefault="00FD0AEF" w:rsidP="00FD0AEF">
      <w:pPr>
        <w:pStyle w:val="Sraopastraipa"/>
        <w:numPr>
          <w:ilvl w:val="0"/>
          <w:numId w:val="38"/>
        </w:numPr>
        <w:spacing w:line="240" w:lineRule="auto"/>
        <w:rPr>
          <w:rFonts w:eastAsia="Calibri"/>
        </w:rPr>
      </w:pPr>
      <w:r w:rsidRPr="00EB4776">
        <w:rPr>
          <w:rFonts w:eastAsia="Calibri"/>
          <w:i/>
        </w:rPr>
        <w:t>Van Me</w:t>
      </w:r>
      <w:r>
        <w:rPr>
          <w:rFonts w:eastAsia="Calibri"/>
          <w:i/>
        </w:rPr>
        <w:t xml:space="preserve">chelen and others v. Netherlands, </w:t>
      </w:r>
      <w:r>
        <w:rPr>
          <w:rFonts w:eastAsia="Calibri"/>
        </w:rPr>
        <w:t xml:space="preserve">no. 21363/93, 21364/93, 21427/93, 22056/93, 23 April 1997. </w:t>
      </w:r>
    </w:p>
    <w:p w:rsidR="00FD0AEF" w:rsidRDefault="00FD0AEF" w:rsidP="00FD0AEF">
      <w:pPr>
        <w:pStyle w:val="Antrat3"/>
        <w:rPr>
          <w:rFonts w:eastAsia="Calibri"/>
        </w:rPr>
      </w:pPr>
      <w:bookmarkStart w:id="424" w:name="_Toc400321722"/>
      <w:r>
        <w:rPr>
          <w:rFonts w:eastAsia="Calibri"/>
        </w:rPr>
        <w:t>Įstatymai ir poįstatyminiai aktai</w:t>
      </w:r>
      <w:bookmarkEnd w:id="424"/>
    </w:p>
    <w:p w:rsidR="00FD0AEF" w:rsidRPr="008802DE" w:rsidRDefault="00FD0AEF" w:rsidP="00FD0AEF">
      <w:pPr>
        <w:rPr>
          <w:lang w:eastAsia="lt-LT"/>
        </w:rPr>
      </w:pP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Konstitucija. </w:t>
      </w:r>
      <w:r w:rsidRPr="009658DF">
        <w:rPr>
          <w:rFonts w:eastAsia="Calibri"/>
          <w:i/>
        </w:rPr>
        <w:t>Lietuvos Aidas</w:t>
      </w:r>
      <w:r w:rsidRPr="009658DF">
        <w:rPr>
          <w:rFonts w:eastAsia="Calibri"/>
        </w:rPr>
        <w:t xml:space="preserve">. 1992, Nr. 220. </w:t>
      </w:r>
      <w:r w:rsidRPr="009658DF">
        <w:rPr>
          <w:rFonts w:eastAsia="Calibri"/>
          <w:i/>
        </w:rPr>
        <w:t>Valstybės žinios</w:t>
      </w:r>
      <w:r w:rsidRPr="009658DF">
        <w:rPr>
          <w:rFonts w:eastAsia="Calibri"/>
        </w:rPr>
        <w:t>. 1992, Nr. 33-1014.</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administracinių bylų teisenos įstatymas. </w:t>
      </w:r>
      <w:r w:rsidRPr="009658DF">
        <w:rPr>
          <w:rFonts w:eastAsia="Calibri"/>
          <w:i/>
        </w:rPr>
        <w:t>Valstybės žinios</w:t>
      </w:r>
      <w:r w:rsidRPr="009658DF">
        <w:rPr>
          <w:rFonts w:eastAsia="Calibri"/>
        </w:rPr>
        <w:t>. 1999, Nr. 13-308, 2000, Nr. 85-2566.</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advokatūros įstatymas. </w:t>
      </w:r>
      <w:r w:rsidRPr="009658DF">
        <w:rPr>
          <w:rFonts w:eastAsia="Calibri"/>
          <w:i/>
        </w:rPr>
        <w:t>Valstybės žinios</w:t>
      </w:r>
      <w:r w:rsidRPr="009658DF">
        <w:rPr>
          <w:rFonts w:eastAsia="Calibri"/>
        </w:rPr>
        <w:t>. 2004, Nr. 50-1632.</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apsaugos nuo smurto artimoje aplinkoje įstatymas. </w:t>
      </w:r>
      <w:r w:rsidRPr="009658DF">
        <w:rPr>
          <w:rFonts w:eastAsia="Calibri"/>
          <w:i/>
        </w:rPr>
        <w:t>Valstybės žinios</w:t>
      </w:r>
      <w:r w:rsidRPr="009658DF">
        <w:rPr>
          <w:rFonts w:eastAsia="Calibri"/>
        </w:rPr>
        <w:t xml:space="preserve">. 2011, Nr. 72-3475. </w:t>
      </w:r>
    </w:p>
    <w:p w:rsidR="00FD0AEF" w:rsidRPr="009658DF" w:rsidRDefault="00FD0AEF" w:rsidP="00FD0AEF">
      <w:pPr>
        <w:pStyle w:val="Sraopastraipa"/>
        <w:numPr>
          <w:ilvl w:val="0"/>
          <w:numId w:val="34"/>
        </w:numPr>
        <w:spacing w:line="240" w:lineRule="auto"/>
        <w:rPr>
          <w:rFonts w:eastAsia="Calibri"/>
        </w:rPr>
      </w:pPr>
      <w:r w:rsidRPr="009658DF">
        <w:t xml:space="preserve">Lietuvos Respublikos asmens duomenų teisinės apsaugos įstatymas. </w:t>
      </w:r>
      <w:r w:rsidRPr="009658DF">
        <w:rPr>
          <w:rFonts w:eastAsia="Calibri"/>
          <w:i/>
        </w:rPr>
        <w:t>Valstybės žinios</w:t>
      </w:r>
      <w:r w:rsidRPr="009658DF">
        <w:rPr>
          <w:rFonts w:eastAsia="Calibri"/>
        </w:rPr>
        <w:t>. 1996, Nr. 63-1479.</w:t>
      </w:r>
    </w:p>
    <w:p w:rsidR="00FD0AEF" w:rsidRPr="007478B2" w:rsidRDefault="00FD0AEF" w:rsidP="00FD0AEF">
      <w:pPr>
        <w:pStyle w:val="Sraopastraipa"/>
        <w:numPr>
          <w:ilvl w:val="0"/>
          <w:numId w:val="34"/>
        </w:numPr>
        <w:spacing w:line="240" w:lineRule="auto"/>
        <w:rPr>
          <w:rFonts w:eastAsia="Calibri"/>
        </w:rPr>
      </w:pPr>
      <w:r w:rsidRPr="007478B2">
        <w:rPr>
          <w:rFonts w:eastAsia="Calibri"/>
        </w:rPr>
        <w:t xml:space="preserve">Lietuvos Respublikos baudžiamojo kodekso patvirtinimo ir įsigaliojimo įstatymas. Baudžiamasis kodeksas. </w:t>
      </w:r>
      <w:r w:rsidRPr="007478B2">
        <w:rPr>
          <w:rFonts w:eastAsia="Calibri"/>
          <w:i/>
        </w:rPr>
        <w:t>Valstybės žinios.</w:t>
      </w:r>
      <w:r w:rsidRPr="007478B2">
        <w:rPr>
          <w:rFonts w:eastAsia="Calibri"/>
        </w:rPr>
        <w:t xml:space="preserve"> 2000, Nr. 89-2741.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baudžiamasis kodeksas. </w:t>
      </w:r>
      <w:r w:rsidRPr="009658DF">
        <w:rPr>
          <w:rFonts w:eastAsia="Calibri"/>
          <w:i/>
        </w:rPr>
        <w:t>Valstybės žinios</w:t>
      </w:r>
      <w:r w:rsidRPr="009658DF">
        <w:rPr>
          <w:rFonts w:eastAsia="Calibri"/>
        </w:rPr>
        <w:t xml:space="preserve">. 2000, Nr. 87-2741.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baudžiamojo proceso kodeksas. </w:t>
      </w:r>
      <w:r w:rsidRPr="009658DF">
        <w:rPr>
          <w:i/>
        </w:rPr>
        <w:t>Valstybės žinios</w:t>
      </w:r>
      <w:r w:rsidRPr="009658DF">
        <w:t>. 2002, Nr.37-1341; 2002, Nr.46 (</w:t>
      </w:r>
      <w:r w:rsidRPr="009658DF">
        <w:rPr>
          <w:i/>
          <w:iCs/>
        </w:rPr>
        <w:t>atitaisymas</w:t>
      </w:r>
      <w:r w:rsidRPr="009658DF">
        <w:t>).</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baudžiamojo proceso kodekso 28 straipsnio pakeitimo įstatymo projektas Nr. XIIP-878(2). Pateiktas 2013-08-05 [interaktyvus] [žiūrėta 2013-11-15] </w:t>
      </w:r>
      <w:r>
        <w:rPr>
          <w:rFonts w:eastAsia="Calibri"/>
        </w:rPr>
        <w:t>&lt;</w:t>
      </w:r>
      <w:hyperlink r:id="rId18" w:history="1">
        <w:r w:rsidRPr="009658DF">
          <w:rPr>
            <w:rStyle w:val="Hipersaitas"/>
            <w:rFonts w:eastAsia="Calibri"/>
          </w:rPr>
          <w:t>http://www3.lrs.lt/pls/inter3/dokpaieska.showdoc_l?p_id=454409&amp;p_query=28%20straipsnio&amp;p_tr2=2</w:t>
        </w:r>
      </w:hyperlink>
      <w:r>
        <w:rPr>
          <w:rStyle w:val="Hipersaitas"/>
          <w:rFonts w:eastAsia="Calibri"/>
        </w:rPr>
        <w:t xml:space="preserve">&gt;.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baudžiamojo proceso kodekso 37, 102, 233, 240, 243, 244, 261, 273, 314, 323, 361, 362, 362-1, 364, 367, 440, 441, 442 straipsnių pakeitimo ir Kodekso papildymo 242-1 straipsniu įstatymas. </w:t>
      </w:r>
      <w:r w:rsidRPr="009658DF">
        <w:rPr>
          <w:rFonts w:eastAsia="Calibri"/>
          <w:i/>
        </w:rPr>
        <w:t>Teisės aktų registras</w:t>
      </w:r>
      <w:r w:rsidRPr="009658DF">
        <w:rPr>
          <w:rFonts w:eastAsia="Calibri"/>
        </w:rPr>
        <w:t xml:space="preserve">. 2014, Nr. 2014-03406. </w:t>
      </w:r>
    </w:p>
    <w:p w:rsidR="00FD0AEF" w:rsidRPr="009658DF" w:rsidRDefault="00FD0AEF" w:rsidP="00FD0AEF">
      <w:pPr>
        <w:pStyle w:val="Sraopastraipa"/>
        <w:numPr>
          <w:ilvl w:val="0"/>
          <w:numId w:val="34"/>
        </w:numPr>
        <w:spacing w:line="240" w:lineRule="auto"/>
        <w:rPr>
          <w:rFonts w:eastAsia="Calibri"/>
        </w:rPr>
      </w:pPr>
      <w:r w:rsidRPr="009658DF">
        <w:rPr>
          <w:rFonts w:eastAsia="Calibri"/>
          <w:iCs/>
        </w:rPr>
        <w:t xml:space="preserve">Lietuvos Respublikos baudžiamojo proceso kodekso 65, 94, 103, 109, 139, 151, 154, 158, 168, 181, 218, 220, 225, 232, 237, 239, 240, 306, 313, 346, 360, 364, 370, 377, 403, 409, 418, 421, 422, 425, 426, 429, 446, 456, 457, 458 straipsnių ir XXXV skyriaus pavadinimo pakeitimo ir papildymo įstatymas. </w:t>
      </w:r>
      <w:r w:rsidRPr="009658DF">
        <w:rPr>
          <w:rFonts w:eastAsia="Calibri"/>
          <w:i/>
          <w:iCs/>
        </w:rPr>
        <w:t>Valstybės žinios</w:t>
      </w:r>
      <w:r w:rsidRPr="009658DF">
        <w:rPr>
          <w:rFonts w:eastAsia="Calibri"/>
          <w:iCs/>
        </w:rPr>
        <w:t>. 2004, Nr. 115-4276.</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baudžiamojo proceso kodekso 3, 9, 40, 63, 64, 145, 147, 152, 154, 158, 160, 161, 162, 163, 170, 172, 178, 179, 181, 183, 212, 214, 217, 218, 220, 237, 254, 276, 372, 373, 374-1, 374-2, 418, 419, 421, 422, 426, 429 straipsnių pakeitimo ir papildymo ir Kodekso papildymo 3-2, 160-1 straipsniais įstatymas. </w:t>
      </w:r>
      <w:r w:rsidRPr="009658DF">
        <w:rPr>
          <w:rFonts w:eastAsia="Calibri"/>
          <w:i/>
          <w:iCs/>
        </w:rPr>
        <w:t>Valstybės žinios</w:t>
      </w:r>
      <w:r w:rsidRPr="009658DF">
        <w:rPr>
          <w:rFonts w:eastAsia="Calibri"/>
          <w:iCs/>
        </w:rPr>
        <w:t xml:space="preserve">. </w:t>
      </w:r>
      <w:r w:rsidRPr="009658DF">
        <w:rPr>
          <w:rFonts w:eastAsia="Calibri"/>
        </w:rPr>
        <w:t>2011, Nr. 81-3965.</w:t>
      </w:r>
    </w:p>
    <w:p w:rsidR="00FD0AEF" w:rsidRPr="009658DF" w:rsidRDefault="00FD0AEF" w:rsidP="00FD0AEF">
      <w:pPr>
        <w:pStyle w:val="Sraopastraipa"/>
        <w:numPr>
          <w:ilvl w:val="0"/>
          <w:numId w:val="34"/>
        </w:numPr>
        <w:spacing w:line="240" w:lineRule="auto"/>
      </w:pPr>
      <w:r w:rsidRPr="009658DF">
        <w:rPr>
          <w:rFonts w:eastAsia="Calibri"/>
        </w:rPr>
        <w:t xml:space="preserve">Lietuvos Respublikos Baudžiamojo proceso kodekso 37, 40, 44, 46, 48, 53, 55, 56, 62, 63, 64, 65, 70, 73, 80, 82, 90, 93, 108, 110, 111, 130, 131, 132, 139, 140, 141, 142, 151, 154, 160, 161, 166, 167, 168, 171, 178, 186, 199, 212, 214, 217, 225, 232, 233, 234, 254, 256, 276, 287, 296, 300, 302, 303, 308, 310, 312, 313, 314, 316, 317, 318, 319, 320, 324, 326, 327, 329, 333, 342, 358, 367, 368, 370, 372, 373, 374, 375, 377, 380, 381, 382, 384, 385, 409, 413, 414, 439, 447, 448, 454, 460 straipsnių pakeitimo ir papildymo, 306 straipsnio </w:t>
      </w:r>
      <w:r w:rsidRPr="009658DF">
        <w:rPr>
          <w:rFonts w:eastAsia="Calibri"/>
        </w:rPr>
        <w:lastRenderedPageBreak/>
        <w:t xml:space="preserve">pripažinimo netekusiu galios, Kodekso papildymo 41(1), 77(2), 80(1), 374(1), 374(2), 412(1) straipsniais ir Kodekso priedo papildymo įstatymas. </w:t>
      </w:r>
      <w:r w:rsidRPr="009658DF">
        <w:rPr>
          <w:i/>
        </w:rPr>
        <w:t>Valstybės žinios</w:t>
      </w:r>
      <w:r w:rsidRPr="009658DF">
        <w:t xml:space="preserve">. 2007, Nr.81-3312.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Baudžiamojo proceso kodekso 151, 168, 186, 276, 407, 409 straipsnių pakeitimo ir papildymo įstatymas. </w:t>
      </w:r>
      <w:r w:rsidRPr="009658DF">
        <w:rPr>
          <w:rFonts w:eastAsia="Calibri"/>
          <w:i/>
        </w:rPr>
        <w:t>Valstybės žinios</w:t>
      </w:r>
      <w:r w:rsidRPr="009658DF">
        <w:rPr>
          <w:rFonts w:eastAsia="Calibri"/>
        </w:rPr>
        <w:t xml:space="preserve">. 2003, Nr. 68-3070.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civilinis kodeksas. </w:t>
      </w:r>
      <w:r w:rsidRPr="009658DF">
        <w:rPr>
          <w:rFonts w:eastAsia="Calibri"/>
          <w:i/>
        </w:rPr>
        <w:t>Valstybės žinios</w:t>
      </w:r>
      <w:r w:rsidRPr="009658DF">
        <w:rPr>
          <w:rFonts w:eastAsia="Calibri"/>
        </w:rPr>
        <w:t>. 2002, Nr. 15-555.</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generalinio prokuroro 2008 m. rugpjūčio 11 d. įsakymas Nr. </w:t>
      </w:r>
      <w:r w:rsidRPr="009658DF">
        <w:rPr>
          <w:rFonts w:eastAsia="Calibri"/>
          <w:lang w:val="pt-BR"/>
        </w:rPr>
        <w:t>I-110</w:t>
      </w:r>
      <w:r w:rsidRPr="009658DF">
        <w:rPr>
          <w:rFonts w:eastAsia="Calibri"/>
        </w:rPr>
        <w:t xml:space="preserve"> ,,Dėl rekomendacijų dėl ikiteisminio tyrimo pradžios ir jos registravimo tvarkos patvirtinimo“. </w:t>
      </w:r>
      <w:r w:rsidRPr="009658DF">
        <w:rPr>
          <w:rFonts w:eastAsia="Calibri"/>
          <w:i/>
        </w:rPr>
        <w:t>Valstybės žinios.</w:t>
      </w:r>
      <w:r w:rsidRPr="009658DF">
        <w:rPr>
          <w:rFonts w:eastAsia="Calibri"/>
        </w:rPr>
        <w:t xml:space="preserve">  2008, Nr. 94-3713.</w:t>
      </w:r>
    </w:p>
    <w:p w:rsidR="00FD0AEF" w:rsidRPr="009658DF" w:rsidRDefault="00FD0AEF" w:rsidP="00FD0AEF">
      <w:pPr>
        <w:pStyle w:val="Sraopastraipa"/>
        <w:numPr>
          <w:ilvl w:val="0"/>
          <w:numId w:val="34"/>
        </w:numPr>
        <w:spacing w:line="240" w:lineRule="auto"/>
        <w:rPr>
          <w:rFonts w:eastAsia="Calibri"/>
          <w:bCs/>
        </w:rPr>
      </w:pPr>
      <w:r w:rsidRPr="009658DF">
        <w:rPr>
          <w:rFonts w:eastAsia="Calibri"/>
        </w:rPr>
        <w:t xml:space="preserve">Lietuvos Respublikos neįgaliųjų socialinės integracijos įstatymas. </w:t>
      </w:r>
      <w:r w:rsidRPr="009658DF">
        <w:rPr>
          <w:rFonts w:eastAsia="Calibri"/>
          <w:bCs/>
          <w:i/>
        </w:rPr>
        <w:t>Valstybės žinios</w:t>
      </w:r>
      <w:r w:rsidRPr="009658DF">
        <w:rPr>
          <w:rFonts w:eastAsia="Calibri"/>
          <w:bCs/>
        </w:rPr>
        <w:t>. 2004, Nr. 83-2983.</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Lietuvos Respublikos privačios detektyvinės veiklos įstatymo projektas. [interaktyvus]. 2012-04-11, Nr. XIP-4305. [žiūrėta 2013-11-05] http://www3.lrs.lt/pls/inter3/dokpaieska.showdoc_l?p_id=422008&amp;p_query=&amp;p_tr2=2</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prokuratūros įstatymas. </w:t>
      </w:r>
      <w:r w:rsidRPr="009658DF">
        <w:rPr>
          <w:rFonts w:eastAsia="Calibri"/>
          <w:bCs/>
          <w:i/>
        </w:rPr>
        <w:t>Valstybės žinios</w:t>
      </w:r>
      <w:r w:rsidRPr="009658DF">
        <w:rPr>
          <w:rFonts w:eastAsia="Calibri"/>
          <w:bCs/>
        </w:rPr>
        <w:t xml:space="preserve">. </w:t>
      </w:r>
      <w:r w:rsidRPr="009658DF">
        <w:rPr>
          <w:rFonts w:eastAsia="Calibri"/>
        </w:rPr>
        <w:t xml:space="preserve">1994, Nr. 81-1514; 2003, Nr. 42-1919.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Lietuvos Respublikos Seimo rinkimų įstatymas.</w:t>
      </w:r>
      <w:r w:rsidRPr="009658DF">
        <w:rPr>
          <w:i/>
        </w:rPr>
        <w:t>Valstybės žinios</w:t>
      </w:r>
      <w:r w:rsidRPr="009658DF">
        <w:t>. 2000, Nr.59-1760</w:t>
      </w:r>
      <w:r w:rsidRPr="009658DF">
        <w:rPr>
          <w:rFonts w:eastAsia="Calibri"/>
        </w:rPr>
        <w:t xml:space="preserve">.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Seimo statutas. </w:t>
      </w:r>
      <w:r w:rsidRPr="009658DF">
        <w:rPr>
          <w:i/>
        </w:rPr>
        <w:t>Valstybės žinios</w:t>
      </w:r>
      <w:r w:rsidRPr="009658DF">
        <w:t>.</w:t>
      </w:r>
      <w:r w:rsidRPr="009658DF">
        <w:rPr>
          <w:rFonts w:eastAsia="Calibri"/>
        </w:rPr>
        <w:t xml:space="preserve">1994, Nr. 15-249; 1999, Nr. 5-97. </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smurtiniais nusikaltimais padarytos žalos kompensavimo įstatymas. </w:t>
      </w:r>
      <w:r w:rsidRPr="009658DF">
        <w:rPr>
          <w:rFonts w:eastAsia="Calibri"/>
          <w:i/>
        </w:rPr>
        <w:t>Valstybės žinios</w:t>
      </w:r>
      <w:r w:rsidRPr="009658DF">
        <w:rPr>
          <w:rFonts w:eastAsia="Calibri"/>
        </w:rPr>
        <w:t>. 2008, Nr. 137-5387.</w:t>
      </w:r>
    </w:p>
    <w:p w:rsidR="00FD0AEF" w:rsidRDefault="00FD0AEF" w:rsidP="00FD0AEF">
      <w:pPr>
        <w:pStyle w:val="Sraopastraipa"/>
        <w:numPr>
          <w:ilvl w:val="0"/>
          <w:numId w:val="34"/>
        </w:numPr>
        <w:spacing w:line="240" w:lineRule="auto"/>
        <w:rPr>
          <w:rFonts w:eastAsia="Calibri"/>
        </w:rPr>
      </w:pPr>
      <w:r w:rsidRPr="009658DF">
        <w:rPr>
          <w:rFonts w:eastAsia="Calibri"/>
        </w:rPr>
        <w:t xml:space="preserve">Lietuvos Respublikos specialiųjų tyrimų tarnybos įstatymas. </w:t>
      </w:r>
      <w:r w:rsidRPr="009658DF">
        <w:rPr>
          <w:i/>
        </w:rPr>
        <w:t>Valstybės žinios</w:t>
      </w:r>
      <w:r w:rsidRPr="009658DF">
        <w:t>.</w:t>
      </w:r>
      <w:r w:rsidRPr="009658DF">
        <w:rPr>
          <w:rFonts w:eastAsia="Calibri"/>
        </w:rPr>
        <w:t xml:space="preserve"> 2000, Nr. 41-1162. </w:t>
      </w:r>
    </w:p>
    <w:p w:rsidR="008454E2" w:rsidRPr="009658DF" w:rsidRDefault="008454E2" w:rsidP="008454E2">
      <w:pPr>
        <w:pStyle w:val="Sraopastraipa"/>
        <w:numPr>
          <w:ilvl w:val="0"/>
          <w:numId w:val="34"/>
        </w:numPr>
        <w:spacing w:line="240" w:lineRule="auto"/>
        <w:rPr>
          <w:rFonts w:eastAsia="Calibri"/>
        </w:rPr>
      </w:pPr>
      <w:r w:rsidRPr="007F2038">
        <w:rPr>
          <w:rFonts w:eastAsia="Calibri"/>
        </w:rPr>
        <w:t>Lietuvos Respublikos teisės gauti informaciją iš valstybės ir savivaldybių institucijų ir įstaigų įstatymas</w:t>
      </w:r>
      <w:r>
        <w:rPr>
          <w:rFonts w:eastAsia="Calibri"/>
        </w:rPr>
        <w:t>.</w:t>
      </w:r>
      <w:r w:rsidRPr="007F2038">
        <w:rPr>
          <w:rFonts w:eastAsia="Calibri"/>
        </w:rPr>
        <w:t xml:space="preserve"> </w:t>
      </w:r>
      <w:r w:rsidRPr="007F2038">
        <w:rPr>
          <w:rFonts w:eastAsia="Calibri"/>
          <w:i/>
        </w:rPr>
        <w:t>Valstybės žinios</w:t>
      </w:r>
      <w:r>
        <w:rPr>
          <w:rFonts w:eastAsia="Calibri"/>
        </w:rPr>
        <w:t>.</w:t>
      </w:r>
      <w:r w:rsidRPr="007F2038">
        <w:rPr>
          <w:rFonts w:eastAsia="Calibri"/>
        </w:rPr>
        <w:t xml:space="preserve"> 2000, Nr. 10-236; 2005, Nr. 139-5008</w:t>
      </w:r>
      <w:r>
        <w:rPr>
          <w:rFonts w:eastAsia="Calibri"/>
        </w:rPr>
        <w:t>.</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teismų įstatymas. </w:t>
      </w:r>
      <w:r w:rsidRPr="009658DF">
        <w:rPr>
          <w:i/>
        </w:rPr>
        <w:t>Valstybės žinios</w:t>
      </w:r>
      <w:r w:rsidRPr="009658DF">
        <w:t>.</w:t>
      </w:r>
      <w:r w:rsidRPr="009658DF">
        <w:rPr>
          <w:rFonts w:eastAsia="Calibri"/>
        </w:rPr>
        <w:t xml:space="preserve"> 1994, Nr. 46-851; 2002, Nr. 17-649.</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Lietuvos Respublikos teismų įstatymo 33, 34, 36, 38, 39, 42, 43, 47, 51, 55(1), 57, 61, 63, 64, 69(1), 81 straipsnių, IX skyriaus pavadinimo, 83, 84, 85, 86, 90, 98, 101, 103 straipsnių, XII skyriaus antrojo skirsnio pavadinimo, 106, 107, 108, 119, 120, 122, 124, 127, 128, 129 straipsnių pakeitimo ir papildymo, 89, 109, 110, 111, 112, 125 straipsnių pripažinimo netekusiais galios ir Įstatymo papildymo 53(1), 53(2) straipsniais ir IX skyriaus trečiuoju skirsniu įstatymas. </w:t>
      </w:r>
      <w:r w:rsidRPr="009658DF">
        <w:rPr>
          <w:i/>
        </w:rPr>
        <w:t>Valstybės žinios</w:t>
      </w:r>
      <w:r w:rsidRPr="009658DF">
        <w:t>. 2008, Nr. 81-3186.</w:t>
      </w:r>
    </w:p>
    <w:p w:rsidR="009F769F" w:rsidRPr="009F769F" w:rsidRDefault="00FD0AEF" w:rsidP="009F769F">
      <w:pPr>
        <w:pStyle w:val="Sraopastraipa"/>
        <w:numPr>
          <w:ilvl w:val="0"/>
          <w:numId w:val="34"/>
        </w:numPr>
        <w:spacing w:line="240" w:lineRule="auto"/>
        <w:rPr>
          <w:rFonts w:eastAsia="Calibri"/>
        </w:rPr>
      </w:pPr>
      <w:r w:rsidRPr="009658DF">
        <w:rPr>
          <w:rFonts w:eastAsia="Calibri"/>
        </w:rPr>
        <w:t xml:space="preserve">Lietuvos Respublikos valstybės garantuojamos teisinės pagalbos įstatymas. </w:t>
      </w:r>
      <w:r w:rsidRPr="009658DF">
        <w:rPr>
          <w:rFonts w:eastAsia="Calibri"/>
          <w:i/>
          <w:iCs/>
        </w:rPr>
        <w:t>Valstybės žinios</w:t>
      </w:r>
      <w:r w:rsidRPr="009658DF">
        <w:rPr>
          <w:rFonts w:eastAsia="Calibri"/>
        </w:rPr>
        <w:t>. 2000, Nr. 30-827; 2005, Nr. 18-572</w:t>
      </w:r>
      <w:r w:rsidRPr="009658DF">
        <w:rPr>
          <w:rFonts w:eastAsia="Calibri"/>
          <w:i/>
          <w:iCs/>
        </w:rPr>
        <w:t>.</w:t>
      </w:r>
    </w:p>
    <w:p w:rsidR="009F769F" w:rsidRPr="009F769F" w:rsidRDefault="009F769F" w:rsidP="009F769F">
      <w:pPr>
        <w:pStyle w:val="Sraopastraipa"/>
        <w:numPr>
          <w:ilvl w:val="0"/>
          <w:numId w:val="34"/>
        </w:numPr>
        <w:spacing w:line="240" w:lineRule="auto"/>
        <w:rPr>
          <w:rFonts w:eastAsia="Calibri"/>
        </w:rPr>
      </w:pPr>
      <w:r w:rsidRPr="009F769F">
        <w:rPr>
          <w:rFonts w:eastAsia="Calibri"/>
        </w:rPr>
        <w:t>Lietuvos Respublikos Vyriausybės 2007 m. rugpjūčio 22 d. nutarimas Nr. 875 „Dėl Asmenų prašymų nagrinėjimo ir jų aptarnavimo viešojo administravimo institucijose, įstaigose ir kituose viešojo administravimo subjektuose taisyklių patvirtinimo“</w:t>
      </w:r>
      <w:r>
        <w:rPr>
          <w:rFonts w:eastAsia="Calibri"/>
        </w:rPr>
        <w:t>.</w:t>
      </w:r>
      <w:r w:rsidRPr="009F769F">
        <w:rPr>
          <w:rFonts w:eastAsia="Calibri"/>
        </w:rPr>
        <w:t xml:space="preserve"> </w:t>
      </w:r>
      <w:r w:rsidRPr="009F769F">
        <w:rPr>
          <w:rFonts w:eastAsia="Calibri"/>
          <w:i/>
        </w:rPr>
        <w:t>Valstybės žinios</w:t>
      </w:r>
      <w:r>
        <w:rPr>
          <w:rFonts w:eastAsia="Calibri"/>
        </w:rPr>
        <w:t>.</w:t>
      </w:r>
      <w:r w:rsidRPr="009F769F">
        <w:rPr>
          <w:rFonts w:eastAsia="Calibri"/>
        </w:rPr>
        <w:t xml:space="preserve"> 2007, Nr. 94-3779</w:t>
      </w:r>
      <w:r>
        <w:rPr>
          <w:rFonts w:eastAsia="Calibri"/>
        </w:rPr>
        <w:t>.</w:t>
      </w:r>
    </w:p>
    <w:p w:rsidR="00FD0AEF" w:rsidRPr="009658DF" w:rsidRDefault="00FD0AEF" w:rsidP="00FD0AEF">
      <w:pPr>
        <w:pStyle w:val="Sraopastraipa"/>
        <w:numPr>
          <w:ilvl w:val="0"/>
          <w:numId w:val="34"/>
        </w:numPr>
        <w:spacing w:line="240" w:lineRule="auto"/>
        <w:rPr>
          <w:rFonts w:eastAsia="Calibri"/>
        </w:rPr>
      </w:pPr>
      <w:r w:rsidRPr="009658DF">
        <w:rPr>
          <w:rFonts w:eastAsia="Calibri"/>
        </w:rPr>
        <w:t xml:space="preserve">Neįgalumo lygio nustatymo kriterijų ir tvarkos aprašas, patvirtintas Lietuvos Respublikos sveikatos apsaugos ministro, Lietuvos Respublikos socialinės apsaugos ir darbo ministro ir Lietuvos Respublikos švietimo ir mokslo ministro 2005 m. kovo 23 d. įsakymu Nr. V-188/A1-84/ISAK-487. </w:t>
      </w:r>
      <w:r w:rsidRPr="009658DF">
        <w:rPr>
          <w:rFonts w:eastAsia="Calibri"/>
          <w:i/>
        </w:rPr>
        <w:t>Valstybės žinios</w:t>
      </w:r>
      <w:r w:rsidRPr="009658DF">
        <w:rPr>
          <w:rFonts w:eastAsia="Calibri"/>
        </w:rPr>
        <w:t>. 2005, Nr. 39-1277.</w:t>
      </w:r>
    </w:p>
    <w:p w:rsidR="00FD0AEF" w:rsidRDefault="00FD0AEF" w:rsidP="00FD0AEF"/>
    <w:p w:rsidR="00FD0AEF" w:rsidRDefault="00FD0AEF" w:rsidP="00FD0AEF">
      <w:pPr>
        <w:pStyle w:val="Antrat3"/>
        <w:rPr>
          <w:rFonts w:eastAsia="Calibri"/>
        </w:rPr>
      </w:pPr>
      <w:bookmarkStart w:id="425" w:name="_Toc400321723"/>
      <w:r>
        <w:rPr>
          <w:rFonts w:eastAsia="Calibri"/>
        </w:rPr>
        <w:t>Tarptautiniai dokumentai</w:t>
      </w:r>
      <w:bookmarkEnd w:id="425"/>
    </w:p>
    <w:p w:rsidR="00FD0AEF" w:rsidRPr="00EC45AA" w:rsidRDefault="00FD0AEF" w:rsidP="00FD0AEF">
      <w:pPr>
        <w:rPr>
          <w:lang w:eastAsia="lt-LT"/>
        </w:rPr>
      </w:pPr>
    </w:p>
    <w:p w:rsidR="00FD0AEF" w:rsidRDefault="00FD0AEF" w:rsidP="00FD0AEF">
      <w:pPr>
        <w:pStyle w:val="Sraopastraipa"/>
        <w:numPr>
          <w:ilvl w:val="0"/>
          <w:numId w:val="36"/>
        </w:numPr>
        <w:spacing w:line="240" w:lineRule="auto"/>
      </w:pPr>
      <w:r w:rsidRPr="009658DF">
        <w:t xml:space="preserve">Europos Parlamento ir Europos Tarybos 2008 m. gegužės 21 d. </w:t>
      </w:r>
      <w:r>
        <w:t>direktyva</w:t>
      </w:r>
      <w:r w:rsidRPr="009658DF">
        <w:t xml:space="preserve"> </w:t>
      </w:r>
      <w:r>
        <w:t>2008/52/EC d</w:t>
      </w:r>
      <w:r w:rsidRPr="009658DF">
        <w:t>ėl kai kurių mediacijos civilinėse</w:t>
      </w:r>
      <w:r>
        <w:t xml:space="preserve"> ir komercinėse bylose aspektų OJ L 136.</w:t>
      </w:r>
    </w:p>
    <w:p w:rsidR="00FD0AEF" w:rsidRPr="00DD5CAF" w:rsidRDefault="00FD0AEF" w:rsidP="00FD0AEF">
      <w:pPr>
        <w:pStyle w:val="Sraopastraipa"/>
        <w:numPr>
          <w:ilvl w:val="0"/>
          <w:numId w:val="36"/>
        </w:numPr>
        <w:spacing w:line="240" w:lineRule="auto"/>
      </w:pPr>
      <w:r w:rsidRPr="009658DF">
        <w:t>Europos Parlamento ir Europos Tarybos 20</w:t>
      </w:r>
      <w:r>
        <w:t>12</w:t>
      </w:r>
      <w:r w:rsidRPr="009658DF">
        <w:t xml:space="preserve"> m. gegužės </w:t>
      </w:r>
      <w:r>
        <w:t>22</w:t>
      </w:r>
      <w:r w:rsidRPr="009658DF">
        <w:t xml:space="preserve"> d. </w:t>
      </w:r>
      <w:r>
        <w:t>d</w:t>
      </w:r>
      <w:r w:rsidRPr="00DD5CAF">
        <w:t>ire</w:t>
      </w:r>
      <w:r>
        <w:t xml:space="preserve">ktyva </w:t>
      </w:r>
      <w:r w:rsidRPr="00DD5CAF">
        <w:t xml:space="preserve">2012/13/EU </w:t>
      </w:r>
      <w:r>
        <w:t>dėl teisės į informavimą baudžiamajame procese</w:t>
      </w:r>
      <w:r w:rsidRPr="00DD5CAF">
        <w:t xml:space="preserve"> </w:t>
      </w:r>
      <w:r>
        <w:t>OJ L 142</w:t>
      </w:r>
      <w:r w:rsidRPr="00DD5CAF">
        <w:t>.</w:t>
      </w:r>
    </w:p>
    <w:p w:rsidR="00FD0AEF" w:rsidRPr="001473FD" w:rsidRDefault="00FD0AEF" w:rsidP="00FD0AEF">
      <w:pPr>
        <w:pStyle w:val="Sraopastraipa"/>
        <w:numPr>
          <w:ilvl w:val="0"/>
          <w:numId w:val="36"/>
        </w:numPr>
        <w:spacing w:line="240" w:lineRule="auto"/>
        <w:rPr>
          <w:rFonts w:eastAsia="Calibri"/>
          <w:iCs/>
        </w:rPr>
      </w:pPr>
      <w:r w:rsidRPr="001473FD">
        <w:rPr>
          <w:rFonts w:eastAsia="Calibri"/>
        </w:rPr>
        <w:lastRenderedPageBreak/>
        <w:t xml:space="preserve">Europos Sąjungos Tarybos </w:t>
      </w:r>
      <w:r>
        <w:rPr>
          <w:rFonts w:eastAsia="Calibri"/>
        </w:rPr>
        <w:t xml:space="preserve">2001 m. kovo 15 d. </w:t>
      </w:r>
      <w:r w:rsidRPr="001473FD">
        <w:rPr>
          <w:rFonts w:eastAsia="Calibri"/>
        </w:rPr>
        <w:t>pamatinis sprendimas 2001/220/TVR</w:t>
      </w:r>
      <w:r>
        <w:rPr>
          <w:rFonts w:eastAsia="Calibri"/>
        </w:rPr>
        <w:t xml:space="preserve"> </w:t>
      </w:r>
      <w:r w:rsidRPr="001473FD">
        <w:rPr>
          <w:rFonts w:eastAsia="Calibri"/>
        </w:rPr>
        <w:t xml:space="preserve">dėl nukentėjusiųjų padėties baudžiamosiose bylose </w:t>
      </w:r>
      <w:r w:rsidRPr="001473FD">
        <w:rPr>
          <w:rFonts w:eastAsia="Calibri"/>
          <w:iCs/>
        </w:rPr>
        <w:t>OL L 82/32 2.</w:t>
      </w:r>
    </w:p>
    <w:p w:rsidR="00FD0AEF" w:rsidRPr="009658DF" w:rsidRDefault="00FD0AEF" w:rsidP="00FD0AEF">
      <w:pPr>
        <w:pStyle w:val="Sraopastraipa"/>
        <w:numPr>
          <w:ilvl w:val="0"/>
          <w:numId w:val="36"/>
        </w:numPr>
        <w:spacing w:line="240" w:lineRule="auto"/>
        <w:rPr>
          <w:rFonts w:eastAsia="Calibri"/>
        </w:rPr>
      </w:pPr>
      <w:r w:rsidRPr="009658DF">
        <w:rPr>
          <w:rFonts w:eastAsia="Calibri"/>
        </w:rPr>
        <w:t>Europos Tarybos 2004 m. balandžio 29 d. direktyva 2004/80/EB dėl kompensacijos nusikaltimų aukoms OL L 261/15.</w:t>
      </w:r>
    </w:p>
    <w:p w:rsidR="00FD0AEF" w:rsidRPr="002608DD" w:rsidRDefault="00FD0AEF" w:rsidP="00FD0AEF">
      <w:pPr>
        <w:pStyle w:val="Sraopastraipa"/>
        <w:numPr>
          <w:ilvl w:val="0"/>
          <w:numId w:val="36"/>
        </w:numPr>
        <w:spacing w:line="240" w:lineRule="auto"/>
        <w:rPr>
          <w:rFonts w:eastAsia="Calibri"/>
        </w:rPr>
      </w:pPr>
      <w:r w:rsidRPr="002608DD">
        <w:t xml:space="preserve">Europos Komisijos 2013 m. lapkričio 27 d. rekomendacija </w:t>
      </w:r>
      <w:r>
        <w:rPr>
          <w:rFonts w:eastAsia="Calibri"/>
        </w:rPr>
        <w:t xml:space="preserve">2013/C 378/02 </w:t>
      </w:r>
      <w:r w:rsidRPr="002608DD">
        <w:t>dėl procesinių apsaugos priemonių baudžiamosiose bylose įtariamiems ar kaltinamiems pažeidžiamiems asmenims OJ C 378</w:t>
      </w:r>
      <w:r w:rsidRPr="002608DD">
        <w:rPr>
          <w:rFonts w:eastAsia="Calibri"/>
          <w:iCs/>
        </w:rPr>
        <w:t>.</w:t>
      </w:r>
    </w:p>
    <w:p w:rsidR="00FD0AEF" w:rsidRPr="001473FD" w:rsidRDefault="00FD0AEF" w:rsidP="00FD0AEF">
      <w:pPr>
        <w:pStyle w:val="Sraopastraipa"/>
        <w:numPr>
          <w:ilvl w:val="0"/>
          <w:numId w:val="36"/>
        </w:numPr>
        <w:spacing w:line="240" w:lineRule="auto"/>
        <w:rPr>
          <w:rFonts w:eastAsia="Calibri"/>
        </w:rPr>
      </w:pPr>
      <w:r w:rsidRPr="001473FD">
        <w:rPr>
          <w:rFonts w:eastAsia="Calibri"/>
        </w:rPr>
        <w:t>Europos Tarybos Ministrų komiteto rekomendacija Nr. REC (2006) 8 valstybėms narėms dėl pagalbos nukentėjusiesiems nuo nusikaltimų.</w:t>
      </w:r>
      <w:r w:rsidRPr="001473FD">
        <w:t xml:space="preserve"> </w:t>
      </w:r>
      <w:r w:rsidRPr="001473FD">
        <w:rPr>
          <w:rFonts w:eastAsia="Calibri"/>
        </w:rPr>
        <w:t xml:space="preserve">Jurka, R., Melničenko, S., Randakevičienė, I. </w:t>
      </w:r>
      <w:r w:rsidRPr="001473FD">
        <w:rPr>
          <w:rFonts w:eastAsia="Calibri"/>
          <w:i/>
        </w:rPr>
        <w:t>Pagrindinės Europos Tarybos rekomendacijos baudžiamojo proceso srityje.</w:t>
      </w:r>
      <w:r w:rsidRPr="001473FD">
        <w:rPr>
          <w:rFonts w:eastAsia="Calibri"/>
        </w:rPr>
        <w:t xml:space="preserve"> Vilnius: Eugrimas, 2006, p. 265-287.</w:t>
      </w:r>
    </w:p>
    <w:p w:rsidR="00FD0AEF" w:rsidRPr="009658DF" w:rsidRDefault="00FD0AEF" w:rsidP="00FD0AEF">
      <w:pPr>
        <w:pStyle w:val="Sraopastraipa"/>
        <w:numPr>
          <w:ilvl w:val="0"/>
          <w:numId w:val="36"/>
        </w:numPr>
        <w:spacing w:line="240" w:lineRule="auto"/>
        <w:rPr>
          <w:rFonts w:eastAsia="Calibri"/>
        </w:rPr>
      </w:pPr>
      <w:r w:rsidRPr="004D3B66">
        <w:rPr>
          <w:rFonts w:eastAsia="Calibri"/>
        </w:rPr>
        <w:t xml:space="preserve">Europos Tarybos Ministrų komiteto rekomendacija Nr. R (85) 11 dėl nusikaltimo aukų padėties baudžiamojoje teisėje ir procese. </w:t>
      </w:r>
      <w:r w:rsidRPr="009658DF">
        <w:rPr>
          <w:rFonts w:eastAsia="Calibri"/>
        </w:rPr>
        <w:t xml:space="preserve">Jurka, R., Melničenko, S., Randakevičienė, I. </w:t>
      </w:r>
      <w:r w:rsidRPr="009658DF">
        <w:rPr>
          <w:rFonts w:eastAsia="Calibri"/>
          <w:i/>
        </w:rPr>
        <w:t>Pagrindinės Europos Tarybos rekomendacijos baudžiamojo proceso srityje.</w:t>
      </w:r>
      <w:r w:rsidRPr="009658DF">
        <w:rPr>
          <w:rFonts w:eastAsia="Calibri"/>
        </w:rPr>
        <w:t xml:space="preserve"> Vilnius: Eugrimas, 2006, p. </w:t>
      </w:r>
      <w:r>
        <w:rPr>
          <w:rFonts w:eastAsia="Calibri"/>
        </w:rPr>
        <w:t>45-51</w:t>
      </w:r>
      <w:r w:rsidRPr="009658DF">
        <w:rPr>
          <w:rFonts w:eastAsia="Calibri"/>
        </w:rPr>
        <w:t>.</w:t>
      </w:r>
    </w:p>
    <w:p w:rsidR="00FD0AEF" w:rsidRPr="004D3B66" w:rsidRDefault="00FD0AEF" w:rsidP="00FD0AEF">
      <w:pPr>
        <w:pStyle w:val="Sraopastraipa"/>
        <w:numPr>
          <w:ilvl w:val="0"/>
          <w:numId w:val="36"/>
        </w:numPr>
        <w:spacing w:line="240" w:lineRule="auto"/>
        <w:rPr>
          <w:rFonts w:eastAsia="Calibri"/>
        </w:rPr>
      </w:pPr>
      <w:r>
        <w:rPr>
          <w:rFonts w:eastAsia="Calibri"/>
        </w:rPr>
        <w:t>Jungtinių Tautų</w:t>
      </w:r>
      <w:r w:rsidRPr="004D3B66">
        <w:rPr>
          <w:rFonts w:eastAsia="Calibri"/>
        </w:rPr>
        <w:t xml:space="preserve"> Generalinės Asamblėjos 1985 m. lapkričio 29 d. deklaracija </w:t>
      </w:r>
      <w:r w:rsidRPr="004D3B66">
        <w:rPr>
          <w:rFonts w:eastAsia="Calibri"/>
          <w:iCs/>
        </w:rPr>
        <w:t>A/RES/40/34</w:t>
      </w:r>
      <w:r>
        <w:rPr>
          <w:rFonts w:eastAsia="Calibri"/>
          <w:iCs/>
        </w:rPr>
        <w:t xml:space="preserve"> </w:t>
      </w:r>
      <w:r w:rsidRPr="004D3B66">
        <w:rPr>
          <w:rFonts w:eastAsia="Calibri"/>
        </w:rPr>
        <w:t>dėl pagrindinių teisingumo principų nusikaltimų ir piktnaudžiavimo valdžia aukoms</w:t>
      </w:r>
      <w:r w:rsidRPr="004D3B66">
        <w:rPr>
          <w:rFonts w:eastAsia="Calibri"/>
          <w:color w:val="000000"/>
        </w:rPr>
        <w:t>.</w:t>
      </w:r>
      <w:r w:rsidRPr="004D3B66">
        <w:rPr>
          <w:rFonts w:eastAsia="Calibri"/>
          <w:iCs/>
        </w:rPr>
        <w:t xml:space="preserve"> </w:t>
      </w:r>
      <w:r w:rsidRPr="004D3B66">
        <w:rPr>
          <w:rFonts w:eastAsia="Calibri"/>
          <w:i/>
          <w:iCs/>
        </w:rPr>
        <w:t>United Nations Documents</w:t>
      </w:r>
      <w:r w:rsidRPr="004D3B66">
        <w:rPr>
          <w:rFonts w:eastAsia="Calibri"/>
          <w:iCs/>
        </w:rPr>
        <w:t xml:space="preserve"> [interaktyvus]</w:t>
      </w:r>
      <w:r>
        <w:rPr>
          <w:rFonts w:eastAsia="Calibri"/>
          <w:iCs/>
        </w:rPr>
        <w:t>.</w:t>
      </w:r>
      <w:r w:rsidRPr="004D3B66">
        <w:rPr>
          <w:rFonts w:eastAsia="Calibri"/>
          <w:iCs/>
        </w:rPr>
        <w:t xml:space="preserve"> [žiūrėta 2011-11-15]</w:t>
      </w:r>
      <w:r>
        <w:rPr>
          <w:rFonts w:eastAsia="Calibri"/>
          <w:iCs/>
        </w:rPr>
        <w:t>.</w:t>
      </w:r>
      <w:r w:rsidRPr="004D3B66">
        <w:rPr>
          <w:rFonts w:eastAsia="Calibri"/>
          <w:iCs/>
        </w:rPr>
        <w:t xml:space="preserve"> &lt;</w:t>
      </w:r>
      <w:hyperlink r:id="rId19" w:history="1">
        <w:r w:rsidRPr="004D3B66">
          <w:rPr>
            <w:rFonts w:eastAsia="Calibri"/>
            <w:iCs/>
            <w:color w:val="0000FF"/>
            <w:u w:val="single"/>
          </w:rPr>
          <w:t>http://www.un.org/documents/ga/res/40/a40r034.htm</w:t>
        </w:r>
      </w:hyperlink>
      <w:r w:rsidRPr="004D3B66">
        <w:rPr>
          <w:rFonts w:eastAsia="Calibri"/>
          <w:iCs/>
          <w:color w:val="0000FF"/>
          <w:u w:val="single"/>
        </w:rPr>
        <w:t>&gt;.</w:t>
      </w:r>
    </w:p>
    <w:p w:rsidR="00FD0AEF" w:rsidRPr="009658DF" w:rsidRDefault="00FD0AEF" w:rsidP="00FD0AEF">
      <w:pPr>
        <w:pStyle w:val="Sraopastraipa"/>
        <w:numPr>
          <w:ilvl w:val="0"/>
          <w:numId w:val="36"/>
        </w:numPr>
        <w:spacing w:line="240" w:lineRule="auto"/>
        <w:rPr>
          <w:rFonts w:eastAsia="Calibri"/>
        </w:rPr>
      </w:pPr>
      <w:r w:rsidRPr="009658DF">
        <w:rPr>
          <w:rFonts w:eastAsia="Calibri"/>
        </w:rPr>
        <w:t xml:space="preserve">Jungtinių Tautų vaiko teisių konvencija. </w:t>
      </w:r>
      <w:r w:rsidRPr="009658DF">
        <w:rPr>
          <w:rFonts w:eastAsia="Calibri"/>
          <w:i/>
        </w:rPr>
        <w:t>Valstybės žinios</w:t>
      </w:r>
      <w:r w:rsidRPr="009658DF">
        <w:rPr>
          <w:rFonts w:eastAsia="Calibri"/>
        </w:rPr>
        <w:t>. 1995, Nr. 60-1501.</w:t>
      </w:r>
    </w:p>
    <w:p w:rsidR="00FD0AEF" w:rsidRDefault="00FD0AEF" w:rsidP="00FD0AEF">
      <w:pPr>
        <w:pStyle w:val="Antrat3"/>
        <w:rPr>
          <w:rFonts w:eastAsia="Calibri"/>
        </w:rPr>
      </w:pPr>
      <w:bookmarkStart w:id="426" w:name="_Toc400321724"/>
      <w:r>
        <w:rPr>
          <w:rFonts w:eastAsia="Calibri"/>
        </w:rPr>
        <w:t>Užsienio šalių įstatymai</w:t>
      </w:r>
      <w:bookmarkEnd w:id="426"/>
      <w:r>
        <w:rPr>
          <w:rFonts w:eastAsia="Calibri"/>
        </w:rPr>
        <w:t xml:space="preserve"> </w:t>
      </w:r>
    </w:p>
    <w:p w:rsidR="00FD0AEF" w:rsidRPr="008802DE" w:rsidRDefault="00FD0AEF" w:rsidP="00FD0AEF">
      <w:pPr>
        <w:rPr>
          <w:lang w:eastAsia="lt-LT"/>
        </w:rPr>
      </w:pPr>
    </w:p>
    <w:p w:rsidR="00FD0AEF" w:rsidRPr="009B737F" w:rsidRDefault="00FD0AEF" w:rsidP="00FD0AEF">
      <w:pPr>
        <w:pStyle w:val="Sraopastraipa"/>
        <w:numPr>
          <w:ilvl w:val="0"/>
          <w:numId w:val="35"/>
        </w:numPr>
        <w:spacing w:line="240" w:lineRule="auto"/>
        <w:rPr>
          <w:rFonts w:eastAsia="Calibri"/>
        </w:rPr>
      </w:pPr>
      <w:r w:rsidRPr="009B737F">
        <w:rPr>
          <w:rFonts w:eastAsia="Calibri"/>
        </w:rPr>
        <w:t>Code</w:t>
      </w:r>
      <w:r>
        <w:rPr>
          <w:rFonts w:eastAsia="Calibri"/>
        </w:rPr>
        <w:t xml:space="preserve"> of Criminal P</w:t>
      </w:r>
      <w:r w:rsidRPr="009B737F">
        <w:rPr>
          <w:rFonts w:eastAsia="Calibri"/>
        </w:rPr>
        <w:t xml:space="preserve">rocedure of </w:t>
      </w:r>
      <w:r>
        <w:rPr>
          <w:rFonts w:eastAsia="Calibri"/>
        </w:rPr>
        <w:t>the Republic of Poland</w:t>
      </w:r>
      <w:r w:rsidRPr="009B737F">
        <w:rPr>
          <w:rFonts w:eastAsia="Calibri"/>
        </w:rPr>
        <w:t xml:space="preserve"> [interaktyvus]. [žiūrėta 2013-06-05]. &lt;</w:t>
      </w:r>
      <w:r w:rsidRPr="00092633">
        <w:t xml:space="preserve"> file:///C:/Users/User/Downloads/Polish%20CPC%201997_am%202003_en%20(2).pdf</w:t>
      </w:r>
      <w:r w:rsidRPr="009B737F">
        <w:rPr>
          <w:rFonts w:eastAsia="Calibri"/>
          <w:color w:val="0000FF"/>
          <w:u w:val="single"/>
        </w:rPr>
        <w:t>&gt;.</w:t>
      </w:r>
    </w:p>
    <w:p w:rsidR="00FD0AEF" w:rsidRPr="007478B2" w:rsidRDefault="00FD0AEF" w:rsidP="00FD0AEF">
      <w:pPr>
        <w:pStyle w:val="Sraopastraipa"/>
        <w:numPr>
          <w:ilvl w:val="0"/>
          <w:numId w:val="35"/>
        </w:numPr>
        <w:spacing w:line="240" w:lineRule="auto"/>
        <w:rPr>
          <w:rFonts w:eastAsia="Calibri"/>
        </w:rPr>
      </w:pPr>
      <w:r>
        <w:t>Criminal Procedure Act of the Republic of Croatia [interaktyvus]. [žiūrėta 2013-12-05].</w:t>
      </w:r>
      <w:r w:rsidRPr="009658DF">
        <w:t xml:space="preserve"> </w:t>
      </w:r>
      <w:r>
        <w:t>&lt;</w:t>
      </w:r>
      <w:hyperlink r:id="rId20" w:history="1">
        <w:r w:rsidRPr="009658DF">
          <w:rPr>
            <w:rFonts w:eastAsia="Calibri"/>
            <w:color w:val="0000FF"/>
            <w:u w:val="single"/>
          </w:rPr>
          <w:t>http://www.vsrh.hr/CustomPages/Static/HRV/Files/Legislation__Criminal-Procedure-Act.pdf</w:t>
        </w:r>
      </w:hyperlink>
      <w:r>
        <w:rPr>
          <w:rFonts w:eastAsia="Calibri"/>
          <w:color w:val="0000FF"/>
          <w:u w:val="single"/>
        </w:rPr>
        <w:t>&gt;.</w:t>
      </w:r>
    </w:p>
    <w:p w:rsidR="00FD0AEF" w:rsidRDefault="00FD0AEF" w:rsidP="00FD0AEF">
      <w:pPr>
        <w:pStyle w:val="Sraopastraipa"/>
        <w:numPr>
          <w:ilvl w:val="0"/>
          <w:numId w:val="35"/>
        </w:numPr>
        <w:spacing w:line="240" w:lineRule="auto"/>
        <w:rPr>
          <w:rFonts w:eastAsia="Calibri"/>
        </w:rPr>
      </w:pPr>
      <w:r w:rsidRPr="00C33ED3">
        <w:rPr>
          <w:rFonts w:eastAsia="Calibri"/>
        </w:rPr>
        <w:t>Latvijas</w:t>
      </w:r>
      <w:r>
        <w:rPr>
          <w:rFonts w:eastAsia="Calibri"/>
        </w:rPr>
        <w:t xml:space="preserve"> </w:t>
      </w:r>
      <w:r w:rsidRPr="00C33ED3">
        <w:rPr>
          <w:rFonts w:eastAsia="Calibri"/>
        </w:rPr>
        <w:t xml:space="preserve">Krimināllikums </w:t>
      </w:r>
      <w:r>
        <w:rPr>
          <w:rFonts w:eastAsia="Calibri"/>
        </w:rPr>
        <w:t>[interaktyvus]. [žiūrėta 2013-10-10]. &lt;</w:t>
      </w:r>
      <w:r w:rsidRPr="00C33ED3">
        <w:rPr>
          <w:rFonts w:eastAsia="Calibri"/>
        </w:rPr>
        <w:t>http://likumi.lv/doc.php?id=88966</w:t>
      </w:r>
      <w:r>
        <w:rPr>
          <w:rFonts w:eastAsia="Calibri"/>
        </w:rPr>
        <w:t>&gt;.</w:t>
      </w:r>
    </w:p>
    <w:p w:rsidR="00FD0AEF" w:rsidRDefault="00FD0AEF" w:rsidP="00FD0AEF">
      <w:pPr>
        <w:pStyle w:val="Sraopastraipa"/>
        <w:numPr>
          <w:ilvl w:val="0"/>
          <w:numId w:val="35"/>
        </w:numPr>
        <w:spacing w:line="240" w:lineRule="auto"/>
        <w:rPr>
          <w:rFonts w:eastAsia="Calibri"/>
        </w:rPr>
      </w:pPr>
      <w:r w:rsidRPr="00C33ED3">
        <w:rPr>
          <w:rFonts w:eastAsia="Calibri"/>
        </w:rPr>
        <w:t>Latvijas Kriminālprocesa kodekss</w:t>
      </w:r>
      <w:r>
        <w:rPr>
          <w:rFonts w:eastAsia="Calibri"/>
        </w:rPr>
        <w:t xml:space="preserve"> [interaktyvus]. [žiūrėta 2013-10-10]. &lt;</w:t>
      </w:r>
      <w:r w:rsidRPr="00C33ED3">
        <w:rPr>
          <w:rFonts w:eastAsia="Calibri"/>
        </w:rPr>
        <w:t>http://likumi.lv/doc.php?id=90971</w:t>
      </w:r>
      <w:r>
        <w:rPr>
          <w:rFonts w:eastAsia="Calibri"/>
        </w:rPr>
        <w:t>&gt;.</w:t>
      </w:r>
    </w:p>
    <w:p w:rsidR="00FD0AEF" w:rsidRPr="00C33ED3" w:rsidRDefault="00FD0AEF" w:rsidP="00FD0AEF">
      <w:pPr>
        <w:pStyle w:val="Sraopastraipa"/>
        <w:numPr>
          <w:ilvl w:val="0"/>
          <w:numId w:val="35"/>
        </w:numPr>
        <w:spacing w:line="240" w:lineRule="auto"/>
        <w:rPr>
          <w:rFonts w:eastAsia="Calibri"/>
        </w:rPr>
      </w:pPr>
      <w:r w:rsidRPr="00C33ED3">
        <w:rPr>
          <w:rFonts w:eastAsia="Calibri"/>
        </w:rPr>
        <w:t>Ley</w:t>
      </w:r>
      <w:r>
        <w:rPr>
          <w:rFonts w:eastAsia="Calibri"/>
        </w:rPr>
        <w:t xml:space="preserve"> </w:t>
      </w:r>
      <w:r w:rsidRPr="00C33ED3">
        <w:rPr>
          <w:rFonts w:eastAsia="Calibri"/>
        </w:rPr>
        <w:t>de Enjuiciamiento Criminal</w:t>
      </w:r>
      <w:r>
        <w:rPr>
          <w:rFonts w:eastAsia="Calibri"/>
        </w:rPr>
        <w:t xml:space="preserve"> [interaktyvus]. [žiūrėta 2013-11-30]. &lt;</w:t>
      </w:r>
      <w:r w:rsidRPr="00C33ED3">
        <w:rPr>
          <w:rFonts w:eastAsia="Calibri"/>
        </w:rPr>
        <w:t>http://www.fmyv.es/ci/es/Ss/11.pdf</w:t>
      </w:r>
      <w:r>
        <w:rPr>
          <w:rFonts w:eastAsia="Calibri"/>
        </w:rPr>
        <w:t>&gt;.</w:t>
      </w:r>
    </w:p>
    <w:p w:rsidR="00FD0AEF" w:rsidRPr="00B52C66" w:rsidRDefault="00FD0AEF" w:rsidP="00FD0AEF">
      <w:pPr>
        <w:pStyle w:val="Puslapioinaostekstas"/>
        <w:numPr>
          <w:ilvl w:val="0"/>
          <w:numId w:val="35"/>
        </w:numPr>
        <w:rPr>
          <w:sz w:val="24"/>
          <w:szCs w:val="24"/>
        </w:rPr>
      </w:pPr>
      <w:r>
        <w:rPr>
          <w:sz w:val="24"/>
          <w:szCs w:val="24"/>
        </w:rPr>
        <w:t>Procedure Act of Denmark</w:t>
      </w:r>
      <w:r w:rsidRPr="00B52C66">
        <w:rPr>
          <w:sz w:val="24"/>
          <w:szCs w:val="24"/>
        </w:rPr>
        <w:t xml:space="preserve"> [interaktyvus]. [žiūrėta 2012-05-10]. &lt;https://www.retsinformation.dk/Forms/R0710.aspx?id=121708&gt;.</w:t>
      </w:r>
    </w:p>
    <w:p w:rsidR="00FD0AEF" w:rsidRPr="009658DF" w:rsidRDefault="00FD0AEF" w:rsidP="00FD0AEF">
      <w:pPr>
        <w:pStyle w:val="Sraopastraipa"/>
        <w:numPr>
          <w:ilvl w:val="0"/>
          <w:numId w:val="35"/>
        </w:numPr>
        <w:spacing w:line="240" w:lineRule="auto"/>
        <w:rPr>
          <w:rFonts w:eastAsia="Calibri"/>
        </w:rPr>
      </w:pPr>
      <w:r>
        <w:rPr>
          <w:rFonts w:eastAsia="Calibri"/>
        </w:rPr>
        <w:t>Strafprozeβordnung (Deutschland) [interaktyvus].</w:t>
      </w:r>
      <w:r w:rsidRPr="009658DF">
        <w:rPr>
          <w:rFonts w:eastAsia="Calibri"/>
        </w:rPr>
        <w:t xml:space="preserve"> [žiūrėta 2010-07-28]</w:t>
      </w:r>
      <w:r>
        <w:rPr>
          <w:rFonts w:eastAsia="Calibri"/>
        </w:rPr>
        <w:t>.</w:t>
      </w:r>
      <w:r w:rsidRPr="009658DF">
        <w:rPr>
          <w:rFonts w:eastAsia="Calibri"/>
        </w:rPr>
        <w:t xml:space="preserve"> </w:t>
      </w:r>
      <w:r>
        <w:rPr>
          <w:rFonts w:eastAsia="Calibri"/>
        </w:rPr>
        <w:t>&lt;</w:t>
      </w:r>
      <w:hyperlink r:id="rId21" w:history="1">
        <w:r w:rsidRPr="009658DF">
          <w:rPr>
            <w:rFonts w:eastAsia="Calibri"/>
            <w:color w:val="0000FF"/>
            <w:u w:val="single"/>
          </w:rPr>
          <w:t>http://www.gesetze-im-internet.de/stpo/index.html</w:t>
        </w:r>
      </w:hyperlink>
      <w:r>
        <w:rPr>
          <w:rFonts w:eastAsia="Calibri"/>
          <w:color w:val="0000FF"/>
          <w:u w:val="single"/>
        </w:rPr>
        <w:t>&gt;.</w:t>
      </w:r>
    </w:p>
    <w:p w:rsidR="00FD0AEF" w:rsidRPr="007478B2" w:rsidRDefault="00FD0AEF" w:rsidP="00FD0AEF">
      <w:pPr>
        <w:pStyle w:val="Sraopastraipa"/>
        <w:numPr>
          <w:ilvl w:val="0"/>
          <w:numId w:val="35"/>
        </w:numPr>
        <w:spacing w:line="240" w:lineRule="auto"/>
        <w:rPr>
          <w:rFonts w:eastAsia="Calibri"/>
        </w:rPr>
      </w:pPr>
      <w:r>
        <w:rPr>
          <w:rFonts w:eastAsia="Calibri"/>
        </w:rPr>
        <w:t>Strafprozeβordnung (Österreich)</w:t>
      </w:r>
      <w:r w:rsidRPr="008433FB">
        <w:rPr>
          <w:rFonts w:eastAsia="Calibri"/>
        </w:rPr>
        <w:t xml:space="preserve"> </w:t>
      </w:r>
      <w:r>
        <w:t>[interaktyvus]. [žiūrėta 2013-12-05]. &lt;</w:t>
      </w:r>
      <w:r w:rsidRPr="00092633">
        <w:t>file:///C:/Users/User/Downloads/Austria_CPC_as_of_%2004.11.2013_de.pdf</w:t>
      </w:r>
      <w:r>
        <w:t>&gt;.</w:t>
      </w:r>
    </w:p>
    <w:p w:rsidR="00FD0AEF" w:rsidRDefault="00FD0AEF" w:rsidP="00FD0AEF">
      <w:pPr>
        <w:pStyle w:val="Antrat3"/>
      </w:pPr>
      <w:bookmarkStart w:id="427" w:name="_Toc400321725"/>
      <w:r>
        <w:t>Kita</w:t>
      </w:r>
      <w:bookmarkEnd w:id="427"/>
    </w:p>
    <w:p w:rsidR="00FD0AEF" w:rsidRPr="008802DE" w:rsidRDefault="00FD0AEF" w:rsidP="00FD0AEF">
      <w:pPr>
        <w:rPr>
          <w:lang w:eastAsia="lt-LT"/>
        </w:rPr>
      </w:pPr>
    </w:p>
    <w:p w:rsidR="00FD0AEF" w:rsidRPr="00A84A47" w:rsidRDefault="00FD0AEF" w:rsidP="00FD0AEF">
      <w:pPr>
        <w:pStyle w:val="Sraopastraipa"/>
        <w:numPr>
          <w:ilvl w:val="0"/>
          <w:numId w:val="37"/>
        </w:numPr>
        <w:spacing w:line="240" w:lineRule="auto"/>
        <w:rPr>
          <w:rFonts w:eastAsia="Calibri"/>
        </w:rPr>
      </w:pPr>
      <w:r w:rsidRPr="00A84A47">
        <w:rPr>
          <w:i/>
        </w:rPr>
        <w:t>Dėl tarėjų instituto Lietuvos Respublikoje įsteigimo tikslingumo ir galimybių</w:t>
      </w:r>
      <w:r w:rsidRPr="00A84A47">
        <w:t xml:space="preserve"> [interaktyvus]. V</w:t>
      </w:r>
      <w:r>
        <w:t>ilnius: Teisės institutas, 2004</w:t>
      </w:r>
      <w:r w:rsidRPr="00A84A47">
        <w:t xml:space="preserve"> [žiūrėta 2011-10-28]</w:t>
      </w:r>
      <w:r>
        <w:t>.</w:t>
      </w:r>
      <w:r w:rsidRPr="00A84A47">
        <w:t xml:space="preserve"> &lt;http://www.teise.org/docs/upload/TAREJU%20studija.pdf&gt;.  </w:t>
      </w:r>
    </w:p>
    <w:p w:rsidR="00FD0AEF" w:rsidRPr="005C29A8" w:rsidRDefault="00FD0AEF" w:rsidP="00FD0AEF">
      <w:pPr>
        <w:pStyle w:val="Puslapioinaostekstas"/>
        <w:numPr>
          <w:ilvl w:val="0"/>
          <w:numId w:val="37"/>
        </w:numPr>
        <w:jc w:val="both"/>
        <w:rPr>
          <w:sz w:val="24"/>
          <w:szCs w:val="24"/>
        </w:rPr>
      </w:pPr>
      <w:r w:rsidRPr="005C29A8">
        <w:rPr>
          <w:sz w:val="24"/>
          <w:szCs w:val="24"/>
        </w:rPr>
        <w:t>Digrytė, E. Seimas spręs, ar panaikinti R.</w:t>
      </w:r>
      <w:r>
        <w:rPr>
          <w:sz w:val="24"/>
          <w:szCs w:val="24"/>
        </w:rPr>
        <w:t xml:space="preserve"> </w:t>
      </w:r>
      <w:r w:rsidRPr="005C29A8">
        <w:rPr>
          <w:sz w:val="24"/>
          <w:szCs w:val="24"/>
        </w:rPr>
        <w:t>Žilinsko, V.</w:t>
      </w:r>
      <w:r>
        <w:rPr>
          <w:sz w:val="24"/>
          <w:szCs w:val="24"/>
        </w:rPr>
        <w:t xml:space="preserve"> </w:t>
      </w:r>
      <w:r w:rsidRPr="005C29A8">
        <w:rPr>
          <w:sz w:val="24"/>
          <w:szCs w:val="24"/>
        </w:rPr>
        <w:t>Uspaskicho ir V.</w:t>
      </w:r>
      <w:r>
        <w:rPr>
          <w:sz w:val="24"/>
          <w:szCs w:val="24"/>
        </w:rPr>
        <w:t xml:space="preserve"> </w:t>
      </w:r>
      <w:r w:rsidRPr="005C29A8">
        <w:rPr>
          <w:sz w:val="24"/>
          <w:szCs w:val="24"/>
        </w:rPr>
        <w:t>Gapšio neliečiamybę</w:t>
      </w:r>
      <w:r>
        <w:rPr>
          <w:sz w:val="24"/>
          <w:szCs w:val="24"/>
        </w:rPr>
        <w:t>.</w:t>
      </w:r>
      <w:r w:rsidRPr="005C29A8">
        <w:rPr>
          <w:sz w:val="24"/>
          <w:szCs w:val="24"/>
        </w:rPr>
        <w:t xml:space="preserve"> </w:t>
      </w:r>
      <w:r w:rsidRPr="005C29A8">
        <w:rPr>
          <w:i/>
          <w:sz w:val="24"/>
          <w:szCs w:val="24"/>
        </w:rPr>
        <w:t>Delfi</w:t>
      </w:r>
      <w:r>
        <w:rPr>
          <w:sz w:val="24"/>
          <w:szCs w:val="24"/>
        </w:rPr>
        <w:t xml:space="preserve"> </w:t>
      </w:r>
      <w:r w:rsidRPr="005C29A8">
        <w:rPr>
          <w:sz w:val="24"/>
          <w:szCs w:val="24"/>
        </w:rPr>
        <w:t>[interaktyvus]</w:t>
      </w:r>
      <w:r>
        <w:rPr>
          <w:sz w:val="24"/>
          <w:szCs w:val="24"/>
        </w:rPr>
        <w:t>.</w:t>
      </w:r>
      <w:r w:rsidRPr="005C29A8">
        <w:rPr>
          <w:sz w:val="24"/>
          <w:szCs w:val="24"/>
        </w:rPr>
        <w:t xml:space="preserve"> 2008 [žiūrėta 2011-02-28]</w:t>
      </w:r>
      <w:r>
        <w:rPr>
          <w:sz w:val="24"/>
          <w:szCs w:val="24"/>
        </w:rPr>
        <w:t>.</w:t>
      </w:r>
      <w:r w:rsidRPr="005C29A8">
        <w:rPr>
          <w:sz w:val="24"/>
          <w:szCs w:val="24"/>
        </w:rPr>
        <w:t xml:space="preserve"> </w:t>
      </w:r>
      <w:r>
        <w:rPr>
          <w:sz w:val="24"/>
          <w:szCs w:val="24"/>
        </w:rPr>
        <w:t>&lt;</w:t>
      </w:r>
      <w:r w:rsidRPr="005C29A8">
        <w:rPr>
          <w:sz w:val="24"/>
          <w:szCs w:val="24"/>
        </w:rPr>
        <w:t>http://www.delfi.lt/news/daily/lithuania/seimas-spres-ar-panaikinti-rzilinsko-vuspaskicho-ir-vgapsio-nelieciamybe.d?id=19451756</w:t>
      </w:r>
      <w:r>
        <w:rPr>
          <w:sz w:val="24"/>
          <w:szCs w:val="24"/>
        </w:rPr>
        <w:t>&gt;.</w:t>
      </w:r>
    </w:p>
    <w:p w:rsidR="00FD0AEF" w:rsidRDefault="00FD0AEF" w:rsidP="00FD0AEF">
      <w:pPr>
        <w:pStyle w:val="Puslapioinaostekstas"/>
        <w:numPr>
          <w:ilvl w:val="0"/>
          <w:numId w:val="37"/>
        </w:numPr>
        <w:jc w:val="both"/>
        <w:rPr>
          <w:sz w:val="24"/>
          <w:szCs w:val="24"/>
        </w:rPr>
      </w:pPr>
      <w:r>
        <w:rPr>
          <w:sz w:val="24"/>
          <w:szCs w:val="24"/>
        </w:rPr>
        <w:lastRenderedPageBreak/>
        <w:t>Įsižeidė prokuroras – sėdėk</w:t>
      </w:r>
      <w:r w:rsidRPr="002E779C">
        <w:rPr>
          <w:sz w:val="24"/>
          <w:szCs w:val="24"/>
        </w:rPr>
        <w:t>!</w:t>
      </w:r>
      <w:r>
        <w:rPr>
          <w:sz w:val="24"/>
          <w:szCs w:val="24"/>
        </w:rPr>
        <w:t xml:space="preserve"> </w:t>
      </w:r>
      <w:r w:rsidRPr="002608DD">
        <w:rPr>
          <w:i/>
          <w:sz w:val="24"/>
          <w:szCs w:val="24"/>
        </w:rPr>
        <w:t>Respublika</w:t>
      </w:r>
      <w:r w:rsidRPr="002608DD">
        <w:rPr>
          <w:sz w:val="24"/>
          <w:szCs w:val="24"/>
        </w:rPr>
        <w:t xml:space="preserve"> [interaktyvus]. </w:t>
      </w:r>
      <w:r>
        <w:rPr>
          <w:sz w:val="24"/>
          <w:szCs w:val="24"/>
        </w:rPr>
        <w:t xml:space="preserve">2008 </w:t>
      </w:r>
      <w:r w:rsidRPr="002608DD">
        <w:rPr>
          <w:sz w:val="24"/>
          <w:szCs w:val="24"/>
        </w:rPr>
        <w:t>[žiūrėta 2010-05-12]</w:t>
      </w:r>
      <w:r>
        <w:rPr>
          <w:sz w:val="24"/>
          <w:szCs w:val="24"/>
        </w:rPr>
        <w:t>.</w:t>
      </w:r>
      <w:r w:rsidRPr="002608DD">
        <w:rPr>
          <w:sz w:val="24"/>
          <w:szCs w:val="24"/>
        </w:rPr>
        <w:t xml:space="preserve"> &lt;</w:t>
      </w:r>
      <w:hyperlink r:id="rId22" w:history="1">
        <w:r w:rsidRPr="002608DD">
          <w:rPr>
            <w:rStyle w:val="Hipersaitas"/>
            <w:sz w:val="24"/>
            <w:szCs w:val="24"/>
          </w:rPr>
          <w:t>http://www.respublika.lt/lt/naujienos/pramogos/zvaigzdes_ir_zmones/isizeide_prokuroras__sedek,print.1</w:t>
        </w:r>
      </w:hyperlink>
      <w:r w:rsidRPr="002608DD">
        <w:rPr>
          <w:rStyle w:val="Hipersaitas"/>
          <w:sz w:val="24"/>
          <w:szCs w:val="24"/>
        </w:rPr>
        <w:t xml:space="preserve">&gt;. </w:t>
      </w:r>
      <w:r w:rsidRPr="002608DD">
        <w:rPr>
          <w:sz w:val="24"/>
          <w:szCs w:val="24"/>
        </w:rPr>
        <w:t xml:space="preserve"> </w:t>
      </w:r>
    </w:p>
    <w:p w:rsidR="00FD0AEF" w:rsidRPr="009658DF" w:rsidRDefault="00FD0AEF" w:rsidP="00FD0AEF">
      <w:pPr>
        <w:pStyle w:val="Sraopastraipa"/>
        <w:numPr>
          <w:ilvl w:val="0"/>
          <w:numId w:val="37"/>
        </w:numPr>
        <w:spacing w:line="240" w:lineRule="auto"/>
        <w:rPr>
          <w:rFonts w:eastAsia="Calibri"/>
        </w:rPr>
      </w:pPr>
      <w:r w:rsidRPr="009658DF">
        <w:rPr>
          <w:rFonts w:eastAsia="Calibri"/>
        </w:rPr>
        <w:t>L</w:t>
      </w:r>
      <w:r>
        <w:rPr>
          <w:rFonts w:eastAsia="Calibri"/>
        </w:rPr>
        <w:t>ietuvos advokatūros, Nacionalinės</w:t>
      </w:r>
      <w:r w:rsidRPr="009658DF">
        <w:rPr>
          <w:rFonts w:eastAsia="Calibri"/>
        </w:rPr>
        <w:t xml:space="preserve"> teismų administracijos ir Lietuvos Respublikos Seimo Teisės ir teisėtvarkos komiteto </w:t>
      </w:r>
      <w:r>
        <w:rPr>
          <w:rFonts w:eastAsia="Calibri"/>
        </w:rPr>
        <w:t>2013 m. balandžio 26 d.</w:t>
      </w:r>
      <w:r w:rsidRPr="009658DF">
        <w:rPr>
          <w:rFonts w:eastAsia="Calibri"/>
        </w:rPr>
        <w:t xml:space="preserve"> apskritojo stalo diskusija </w:t>
      </w:r>
      <w:r w:rsidRPr="0094022A">
        <w:rPr>
          <w:rFonts w:eastAsia="Calibri"/>
        </w:rPr>
        <w:t>„Privataus kaltinimo instituto prob</w:t>
      </w:r>
      <w:r>
        <w:rPr>
          <w:rFonts w:eastAsia="Calibri"/>
        </w:rPr>
        <w:t>leminiai aspektai bei įžeidimo/</w:t>
      </w:r>
      <w:r w:rsidRPr="0094022A">
        <w:rPr>
          <w:rFonts w:eastAsia="Calibri"/>
        </w:rPr>
        <w:t>šmeižimo dekriminalizavimo galimybės“</w:t>
      </w:r>
      <w:r>
        <w:rPr>
          <w:rFonts w:eastAsia="Calibri"/>
        </w:rPr>
        <w:t xml:space="preserve"> [interaktyvus]. Vilnius, 2013 [ž</w:t>
      </w:r>
      <w:r w:rsidRPr="009658DF">
        <w:rPr>
          <w:rFonts w:eastAsia="Calibri"/>
        </w:rPr>
        <w:t>iūrėta 2013-04-26]</w:t>
      </w:r>
      <w:r>
        <w:rPr>
          <w:rFonts w:eastAsia="Calibri"/>
        </w:rPr>
        <w:t>.</w:t>
      </w:r>
      <w:r w:rsidRPr="009658DF">
        <w:rPr>
          <w:rFonts w:eastAsia="Calibri"/>
        </w:rPr>
        <w:t xml:space="preserve"> </w:t>
      </w:r>
      <w:r>
        <w:rPr>
          <w:rFonts w:eastAsia="Calibri"/>
        </w:rPr>
        <w:t>&lt;</w:t>
      </w:r>
      <w:hyperlink r:id="rId23" w:tgtFrame="_blank" w:history="1">
        <w:r w:rsidRPr="009658DF">
          <w:rPr>
            <w:rFonts w:eastAsia="Calibri"/>
            <w:color w:val="0000FF"/>
            <w:u w:val="single"/>
          </w:rPr>
          <w:t>http://www3.lrs.lt/pls/inter/w2008_home.dabarseime</w:t>
        </w:r>
      </w:hyperlink>
      <w:r>
        <w:rPr>
          <w:rFonts w:eastAsia="Calibri"/>
          <w:color w:val="0000FF"/>
          <w:u w:val="single"/>
        </w:rPr>
        <w:t>&gt;</w:t>
      </w:r>
      <w:r w:rsidRPr="009658DF">
        <w:rPr>
          <w:rFonts w:eastAsia="Calibri"/>
        </w:rPr>
        <w:t>.</w:t>
      </w:r>
    </w:p>
    <w:p w:rsidR="00FD0AEF" w:rsidRPr="009658DF" w:rsidRDefault="00FD0AEF" w:rsidP="00FD0AEF">
      <w:pPr>
        <w:pStyle w:val="Sraopastraipa"/>
        <w:numPr>
          <w:ilvl w:val="0"/>
          <w:numId w:val="37"/>
        </w:numPr>
        <w:spacing w:line="240" w:lineRule="auto"/>
        <w:rPr>
          <w:rFonts w:eastAsia="Calibri"/>
        </w:rPr>
      </w:pPr>
      <w:r w:rsidRPr="009658DF">
        <w:rPr>
          <w:rFonts w:eastAsia="Calibri"/>
        </w:rPr>
        <w:t xml:space="preserve">Nacionalinė teismų administracija. </w:t>
      </w:r>
      <w:r w:rsidRPr="009658DF">
        <w:rPr>
          <w:rFonts w:eastAsia="Calibri"/>
          <w:i/>
        </w:rPr>
        <w:t>Teismų statistika</w:t>
      </w:r>
      <w:r w:rsidRPr="009658DF">
        <w:rPr>
          <w:rFonts w:eastAsia="Calibri"/>
        </w:rPr>
        <w:t xml:space="preserve"> [interaktyvus]. [žiūrėta 2014-03-24]. &lt;</w:t>
      </w:r>
      <w:hyperlink r:id="rId24" w:tgtFrame="_blank" w:history="1">
        <w:r w:rsidRPr="009658DF">
          <w:rPr>
            <w:rFonts w:eastAsia="Calibri"/>
            <w:color w:val="0000FF"/>
            <w:u w:val="single"/>
          </w:rPr>
          <w:t>http://www.teismai.lt/lt/teismai/teismai-statistika/</w:t>
        </w:r>
      </w:hyperlink>
      <w:r w:rsidRPr="009658DF">
        <w:rPr>
          <w:rFonts w:eastAsia="Calibri"/>
        </w:rPr>
        <w:t>&gt;</w:t>
      </w:r>
      <w:r>
        <w:rPr>
          <w:rFonts w:eastAsia="Calibri"/>
        </w:rPr>
        <w:t>.</w:t>
      </w:r>
    </w:p>
    <w:p w:rsidR="00FD0AEF" w:rsidRPr="009658DF" w:rsidRDefault="00FD0AEF" w:rsidP="00FD0AEF">
      <w:pPr>
        <w:pStyle w:val="Sraopastraipa"/>
        <w:numPr>
          <w:ilvl w:val="0"/>
          <w:numId w:val="37"/>
        </w:numPr>
        <w:spacing w:line="240" w:lineRule="auto"/>
        <w:rPr>
          <w:rFonts w:eastAsia="Calibri"/>
        </w:rPr>
      </w:pPr>
      <w:r w:rsidRPr="009658DF">
        <w:rPr>
          <w:rFonts w:eastAsia="Calibri"/>
        </w:rPr>
        <w:t>Nacionalinės teismų administracijos 2013</w:t>
      </w:r>
      <w:r>
        <w:rPr>
          <w:rFonts w:eastAsia="Calibri"/>
        </w:rPr>
        <w:t xml:space="preserve"> m. balandžio </w:t>
      </w:r>
      <w:r w:rsidRPr="009658DF">
        <w:rPr>
          <w:rFonts w:eastAsia="Calibri"/>
        </w:rPr>
        <w:t>11</w:t>
      </w:r>
      <w:r>
        <w:rPr>
          <w:rFonts w:eastAsia="Calibri"/>
        </w:rPr>
        <w:t xml:space="preserve"> d.</w:t>
      </w:r>
      <w:r w:rsidRPr="009658DF">
        <w:rPr>
          <w:rFonts w:eastAsia="Calibri"/>
        </w:rPr>
        <w:t xml:space="preserve"> raštas Nr. 4R-950-(6.9)</w:t>
      </w:r>
      <w:r>
        <w:rPr>
          <w:rFonts w:eastAsia="Calibri"/>
        </w:rPr>
        <w:t xml:space="preserve"> </w:t>
      </w:r>
      <w:r w:rsidRPr="002E779C">
        <w:rPr>
          <w:rFonts w:eastAsia="Calibri"/>
        </w:rPr>
        <w:t>Dėl statistinės informacijos apie privataus kaltinimo bylų teisminį nagrinėjimą.</w:t>
      </w:r>
      <w:r>
        <w:rPr>
          <w:rFonts w:eastAsia="Calibri"/>
        </w:rPr>
        <w:t xml:space="preserve"> Skelbta </w:t>
      </w:r>
      <w:r w:rsidRPr="009658DF">
        <w:rPr>
          <w:rFonts w:eastAsia="Calibri"/>
        </w:rPr>
        <w:t>L</w:t>
      </w:r>
      <w:r>
        <w:rPr>
          <w:rFonts w:eastAsia="Calibri"/>
        </w:rPr>
        <w:t>ietuvos advokatūros, Nacionalinės</w:t>
      </w:r>
      <w:r w:rsidRPr="009658DF">
        <w:rPr>
          <w:rFonts w:eastAsia="Calibri"/>
        </w:rPr>
        <w:t xml:space="preserve"> teismų administracijos ir Lietuvos Respublikos Seimo Teisės ir teisėtvarkos komiteto </w:t>
      </w:r>
      <w:r>
        <w:rPr>
          <w:rFonts w:eastAsia="Calibri"/>
        </w:rPr>
        <w:t>2013 m. balandžio 26 d. apskritojo stalo diskusijoje</w:t>
      </w:r>
      <w:r w:rsidRPr="009658DF">
        <w:rPr>
          <w:rFonts w:eastAsia="Calibri"/>
        </w:rPr>
        <w:t xml:space="preserve"> </w:t>
      </w:r>
      <w:r w:rsidRPr="0094022A">
        <w:rPr>
          <w:rFonts w:eastAsia="Calibri"/>
        </w:rPr>
        <w:t>„Privataus kaltinimo instituto prob</w:t>
      </w:r>
      <w:r>
        <w:rPr>
          <w:rFonts w:eastAsia="Calibri"/>
        </w:rPr>
        <w:t>leminiai aspektai bei įžeidimo/</w:t>
      </w:r>
      <w:r w:rsidRPr="0094022A">
        <w:rPr>
          <w:rFonts w:eastAsia="Calibri"/>
        </w:rPr>
        <w:t>šmeižimo dekriminalizavimo galimybės“</w:t>
      </w:r>
      <w:r>
        <w:rPr>
          <w:rFonts w:eastAsia="Calibri"/>
        </w:rPr>
        <w:t xml:space="preserve">. Vilnius, 2013. </w:t>
      </w:r>
    </w:p>
    <w:p w:rsidR="00FD0AEF" w:rsidRDefault="00FD0AEF" w:rsidP="00FD0AEF">
      <w:pPr>
        <w:pStyle w:val="Puslapioinaostekstas"/>
        <w:numPr>
          <w:ilvl w:val="0"/>
          <w:numId w:val="37"/>
        </w:numPr>
        <w:jc w:val="both"/>
        <w:rPr>
          <w:sz w:val="24"/>
          <w:szCs w:val="24"/>
        </w:rPr>
      </w:pPr>
      <w:r>
        <w:rPr>
          <w:sz w:val="24"/>
          <w:szCs w:val="24"/>
        </w:rPr>
        <w:t xml:space="preserve">Prokuroras Laucius: atleisiu tik vienam iš BTV laidos kūrėjų. </w:t>
      </w:r>
      <w:r w:rsidRPr="002608DD">
        <w:rPr>
          <w:i/>
          <w:sz w:val="24"/>
          <w:szCs w:val="24"/>
        </w:rPr>
        <w:t>Alfa</w:t>
      </w:r>
      <w:r w:rsidRPr="002608DD">
        <w:rPr>
          <w:sz w:val="24"/>
          <w:szCs w:val="24"/>
        </w:rPr>
        <w:t xml:space="preserve"> [interaktyvus]</w:t>
      </w:r>
      <w:r>
        <w:rPr>
          <w:sz w:val="24"/>
          <w:szCs w:val="24"/>
        </w:rPr>
        <w:t>. 2008</w:t>
      </w:r>
      <w:r w:rsidRPr="002608DD">
        <w:rPr>
          <w:sz w:val="24"/>
          <w:szCs w:val="24"/>
        </w:rPr>
        <w:t xml:space="preserve"> [žiūrėta 2010-05-12]</w:t>
      </w:r>
      <w:r>
        <w:rPr>
          <w:sz w:val="24"/>
          <w:szCs w:val="24"/>
        </w:rPr>
        <w:t>.</w:t>
      </w:r>
      <w:r w:rsidRPr="002608DD">
        <w:rPr>
          <w:sz w:val="24"/>
          <w:szCs w:val="24"/>
        </w:rPr>
        <w:t xml:space="preserve"> &lt;</w:t>
      </w:r>
      <w:hyperlink r:id="rId25" w:history="1">
        <w:r w:rsidRPr="002608DD">
          <w:rPr>
            <w:rStyle w:val="Hipersaitas"/>
            <w:sz w:val="24"/>
            <w:szCs w:val="24"/>
          </w:rPr>
          <w:t>http://www.alfa.lt/straipsnis/10236056/?Prokuroras.Laucius..atleisiu.tik.vienam.is.BTV.laidos.kureju=2008-11-11_16-32</w:t>
        </w:r>
      </w:hyperlink>
      <w:r>
        <w:rPr>
          <w:rStyle w:val="Hipersaitas"/>
          <w:sz w:val="24"/>
          <w:szCs w:val="24"/>
        </w:rPr>
        <w:t>&gt;</w:t>
      </w:r>
      <w:r w:rsidRPr="002608DD">
        <w:rPr>
          <w:sz w:val="24"/>
          <w:szCs w:val="24"/>
        </w:rPr>
        <w:t xml:space="preserve">, </w:t>
      </w:r>
    </w:p>
    <w:p w:rsidR="00FD0AEF" w:rsidRDefault="00FD0AEF" w:rsidP="00FD0AEF">
      <w:pPr>
        <w:pStyle w:val="Puslapioinaostekstas"/>
        <w:numPr>
          <w:ilvl w:val="0"/>
          <w:numId w:val="37"/>
        </w:numPr>
        <w:jc w:val="both"/>
        <w:rPr>
          <w:sz w:val="24"/>
          <w:szCs w:val="24"/>
        </w:rPr>
      </w:pPr>
      <w:r w:rsidRPr="005C29A8">
        <w:rPr>
          <w:sz w:val="24"/>
          <w:szCs w:val="24"/>
        </w:rPr>
        <w:t>Seimas paliko A.Sacharukui neliečiamybę</w:t>
      </w:r>
      <w:r>
        <w:rPr>
          <w:i/>
          <w:sz w:val="24"/>
          <w:szCs w:val="24"/>
        </w:rPr>
        <w:t>.</w:t>
      </w:r>
      <w:r w:rsidRPr="005C29A8">
        <w:rPr>
          <w:i/>
          <w:sz w:val="24"/>
          <w:szCs w:val="24"/>
        </w:rPr>
        <w:t xml:space="preserve"> </w:t>
      </w:r>
      <w:r>
        <w:rPr>
          <w:i/>
          <w:sz w:val="24"/>
          <w:szCs w:val="24"/>
        </w:rPr>
        <w:t>Respublika</w:t>
      </w:r>
      <w:r w:rsidRPr="00B8164B">
        <w:rPr>
          <w:sz w:val="24"/>
          <w:szCs w:val="24"/>
        </w:rPr>
        <w:t xml:space="preserve"> [interaktyvus]</w:t>
      </w:r>
      <w:r>
        <w:rPr>
          <w:sz w:val="24"/>
          <w:szCs w:val="24"/>
        </w:rPr>
        <w:t>.</w:t>
      </w:r>
      <w:r w:rsidRPr="00B8164B">
        <w:rPr>
          <w:sz w:val="24"/>
          <w:szCs w:val="24"/>
        </w:rPr>
        <w:t xml:space="preserve"> </w:t>
      </w:r>
      <w:r>
        <w:rPr>
          <w:sz w:val="24"/>
          <w:szCs w:val="24"/>
        </w:rPr>
        <w:t xml:space="preserve">2010 </w:t>
      </w:r>
      <w:r w:rsidRPr="00B8164B">
        <w:rPr>
          <w:sz w:val="24"/>
          <w:szCs w:val="24"/>
        </w:rPr>
        <w:t>[žiūrėta 2011-02-25]</w:t>
      </w:r>
      <w:r>
        <w:rPr>
          <w:sz w:val="24"/>
          <w:szCs w:val="24"/>
        </w:rPr>
        <w:t>.</w:t>
      </w:r>
      <w:r w:rsidRPr="00B8164B">
        <w:rPr>
          <w:sz w:val="24"/>
          <w:szCs w:val="24"/>
        </w:rPr>
        <w:t xml:space="preserve"> &lt;http://www.respublika.lt/lt/naujienos/lietuva/lietuvos_politika/seimas_paliko_asacharukui_nelieciamybe_atnaujinta_1235/,print.1&gt;.</w:t>
      </w:r>
    </w:p>
    <w:p w:rsidR="00FD0AEF" w:rsidRPr="00B8164B" w:rsidRDefault="00FD0AEF" w:rsidP="00FD0AEF">
      <w:pPr>
        <w:pStyle w:val="Puslapioinaostekstas"/>
        <w:numPr>
          <w:ilvl w:val="0"/>
          <w:numId w:val="37"/>
        </w:numPr>
        <w:jc w:val="both"/>
        <w:rPr>
          <w:sz w:val="24"/>
          <w:szCs w:val="24"/>
        </w:rPr>
      </w:pPr>
      <w:r w:rsidRPr="005C29A8">
        <w:rPr>
          <w:sz w:val="24"/>
          <w:szCs w:val="24"/>
        </w:rPr>
        <w:t>Seimas paliko teisinę neliečiamybę P.Gražuliui ir K.Uokai.</w:t>
      </w:r>
      <w:r>
        <w:rPr>
          <w:i/>
          <w:sz w:val="24"/>
          <w:szCs w:val="24"/>
        </w:rPr>
        <w:t xml:space="preserve"> </w:t>
      </w:r>
      <w:r w:rsidRPr="00B8164B">
        <w:rPr>
          <w:i/>
          <w:sz w:val="24"/>
          <w:szCs w:val="24"/>
        </w:rPr>
        <w:t>Delfi</w:t>
      </w:r>
      <w:r w:rsidRPr="00B8164B">
        <w:rPr>
          <w:sz w:val="24"/>
          <w:szCs w:val="24"/>
        </w:rPr>
        <w:t xml:space="preserve"> [interaktyvus]</w:t>
      </w:r>
      <w:r>
        <w:rPr>
          <w:sz w:val="24"/>
          <w:szCs w:val="24"/>
        </w:rPr>
        <w:t>.</w:t>
      </w:r>
      <w:r w:rsidRPr="00B8164B">
        <w:rPr>
          <w:sz w:val="24"/>
          <w:szCs w:val="24"/>
        </w:rPr>
        <w:t xml:space="preserve"> </w:t>
      </w:r>
      <w:r>
        <w:rPr>
          <w:sz w:val="24"/>
          <w:szCs w:val="24"/>
        </w:rPr>
        <w:t xml:space="preserve">2010 </w:t>
      </w:r>
      <w:r w:rsidRPr="00B8164B">
        <w:rPr>
          <w:sz w:val="24"/>
          <w:szCs w:val="24"/>
        </w:rPr>
        <w:t>[žiūrėta 2011-02-25]</w:t>
      </w:r>
      <w:r>
        <w:rPr>
          <w:sz w:val="24"/>
          <w:szCs w:val="24"/>
        </w:rPr>
        <w:t>.</w:t>
      </w:r>
      <w:r w:rsidRPr="00B8164B">
        <w:rPr>
          <w:sz w:val="24"/>
          <w:szCs w:val="24"/>
        </w:rPr>
        <w:t xml:space="preserve"> </w:t>
      </w:r>
      <w:r w:rsidRPr="009B737F">
        <w:rPr>
          <w:rStyle w:val="Hipersaitas"/>
          <w:sz w:val="24"/>
          <w:szCs w:val="24"/>
        </w:rPr>
        <w:t>&lt;</w:t>
      </w:r>
      <w:r w:rsidRPr="00B8164B">
        <w:rPr>
          <w:sz w:val="24"/>
          <w:szCs w:val="24"/>
        </w:rPr>
        <w:t xml:space="preserve">http://m.delfi.lt/naujienos/article.php?id=37674515&gt;. </w:t>
      </w:r>
    </w:p>
    <w:p w:rsidR="00FD0AEF" w:rsidRPr="002608DD" w:rsidRDefault="00FD0AEF" w:rsidP="00FD0AEF">
      <w:pPr>
        <w:pStyle w:val="Puslapioinaostekstas"/>
        <w:numPr>
          <w:ilvl w:val="0"/>
          <w:numId w:val="37"/>
        </w:numPr>
        <w:jc w:val="both"/>
        <w:rPr>
          <w:sz w:val="24"/>
          <w:szCs w:val="24"/>
        </w:rPr>
      </w:pPr>
      <w:r>
        <w:rPr>
          <w:sz w:val="24"/>
          <w:szCs w:val="24"/>
        </w:rPr>
        <w:t xml:space="preserve">Sinkevičius, D. BTV „uogos“ prašo į ginčą su prokuroru įsikišti kalbos institutą. </w:t>
      </w:r>
      <w:r w:rsidRPr="002608DD">
        <w:rPr>
          <w:i/>
          <w:sz w:val="24"/>
          <w:szCs w:val="24"/>
        </w:rPr>
        <w:t>Delfi</w:t>
      </w:r>
      <w:r w:rsidRPr="002608DD">
        <w:rPr>
          <w:sz w:val="24"/>
          <w:szCs w:val="24"/>
        </w:rPr>
        <w:t xml:space="preserve"> [interaktyvus]</w:t>
      </w:r>
      <w:r>
        <w:rPr>
          <w:sz w:val="24"/>
          <w:szCs w:val="24"/>
        </w:rPr>
        <w:t>. 2009</w:t>
      </w:r>
      <w:r w:rsidRPr="002608DD">
        <w:rPr>
          <w:sz w:val="24"/>
          <w:szCs w:val="24"/>
        </w:rPr>
        <w:t xml:space="preserve"> [žiūrėta 2010-05-12]</w:t>
      </w:r>
      <w:r>
        <w:rPr>
          <w:sz w:val="24"/>
          <w:szCs w:val="24"/>
        </w:rPr>
        <w:t>.</w:t>
      </w:r>
      <w:r w:rsidRPr="002608DD">
        <w:rPr>
          <w:sz w:val="24"/>
          <w:szCs w:val="24"/>
        </w:rPr>
        <w:t xml:space="preserve"> &lt;</w:t>
      </w:r>
      <w:hyperlink r:id="rId26" w:history="1">
        <w:r w:rsidRPr="002608DD">
          <w:rPr>
            <w:rStyle w:val="Hipersaitas"/>
            <w:sz w:val="24"/>
            <w:szCs w:val="24"/>
          </w:rPr>
          <w:t>http://verslas.delfi.lt/Media/btv-uogos-praso-i-ginca-su-prokuroru-isikisti-kalbos-instituta.d?id=20864845</w:t>
        </w:r>
      </w:hyperlink>
      <w:r w:rsidRPr="002608DD">
        <w:rPr>
          <w:sz w:val="24"/>
          <w:szCs w:val="24"/>
        </w:rPr>
        <w:t>&gt;.</w:t>
      </w:r>
    </w:p>
    <w:p w:rsidR="00FD0AEF" w:rsidRPr="009658DF" w:rsidRDefault="00FD0AEF" w:rsidP="00FD0AEF">
      <w:pPr>
        <w:pStyle w:val="Sraopastraipa"/>
        <w:numPr>
          <w:ilvl w:val="0"/>
          <w:numId w:val="37"/>
        </w:numPr>
        <w:spacing w:line="240" w:lineRule="auto"/>
        <w:rPr>
          <w:rFonts w:eastAsia="Calibri"/>
        </w:rPr>
      </w:pPr>
      <w:r w:rsidRPr="009658DF">
        <w:rPr>
          <w:rFonts w:eastAsia="Calibri"/>
        </w:rPr>
        <w:t>The Relation between the Public Prosecutor and the Police (Austria)</w:t>
      </w:r>
      <w:r>
        <w:rPr>
          <w:rFonts w:eastAsia="Calibri"/>
        </w:rPr>
        <w:t xml:space="preserve"> [interaktyvus].</w:t>
      </w:r>
      <w:r w:rsidRPr="009658DF">
        <w:rPr>
          <w:rFonts w:eastAsia="Calibri"/>
        </w:rPr>
        <w:t xml:space="preserve"> </w:t>
      </w:r>
      <w:r>
        <w:rPr>
          <w:rFonts w:eastAsia="Calibri"/>
        </w:rPr>
        <w:t>&lt;</w:t>
      </w:r>
      <w:hyperlink r:id="rId27" w:history="1">
        <w:r w:rsidRPr="009658DF">
          <w:rPr>
            <w:rFonts w:eastAsia="Calibri"/>
            <w:color w:val="0000FF"/>
            <w:u w:val="single"/>
          </w:rPr>
          <w:t>http://www.euro-justice.com/member_states/austria/country_report/1362/</w:t>
        </w:r>
      </w:hyperlink>
      <w:r>
        <w:rPr>
          <w:rFonts w:eastAsia="Calibri"/>
          <w:color w:val="0000FF"/>
          <w:u w:val="single"/>
        </w:rPr>
        <w:t>&gt;.</w:t>
      </w:r>
      <w:r w:rsidRPr="009658DF">
        <w:rPr>
          <w:rFonts w:eastAsia="Calibri"/>
        </w:rPr>
        <w:t xml:space="preserve"> </w:t>
      </w:r>
      <w:r>
        <w:t xml:space="preserve">Cituota per: </w:t>
      </w:r>
      <w:r w:rsidRPr="003E3724">
        <w:rPr>
          <w:i/>
        </w:rPr>
        <w:t>Privataus kaltinimo institutas ES valstybėse narėse</w:t>
      </w:r>
      <w:r>
        <w:t>. Vilnius: Lietuvos Respublikos Seimo Parlamentinių tyrimų departamentas, 2013.</w:t>
      </w:r>
      <w:r w:rsidRPr="009658DF">
        <w:rPr>
          <w:rFonts w:eastAsia="Calibri"/>
        </w:rPr>
        <w:t xml:space="preserve"> </w:t>
      </w:r>
    </w:p>
    <w:p w:rsidR="00FD0AEF" w:rsidRPr="009658DF" w:rsidRDefault="00FD0AEF" w:rsidP="00FD0AEF">
      <w:pPr>
        <w:pStyle w:val="Sraopastraipa"/>
        <w:spacing w:line="240" w:lineRule="auto"/>
        <w:ind w:firstLine="0"/>
        <w:rPr>
          <w:rFonts w:eastAsia="Calibri"/>
        </w:rPr>
      </w:pPr>
    </w:p>
    <w:p w:rsidR="00FD0AEF" w:rsidRPr="008802DE" w:rsidRDefault="00FD0AEF" w:rsidP="00FD0AEF">
      <w:pPr>
        <w:jc w:val="both"/>
        <w:rPr>
          <w:rFonts w:eastAsia="Times New Roman"/>
        </w:rPr>
      </w:pPr>
      <w:r>
        <w:t> </w:t>
      </w:r>
    </w:p>
    <w:p w:rsidR="00E04B19" w:rsidRDefault="00E04B19">
      <w:r>
        <w:br w:type="page"/>
      </w:r>
    </w:p>
    <w:p w:rsidR="00FD0AEF" w:rsidRDefault="00F954A9" w:rsidP="000C1F40">
      <w:pPr>
        <w:pBdr>
          <w:bottom w:val="single" w:sz="12" w:space="1" w:color="auto"/>
        </w:pBdr>
        <w:jc w:val="center"/>
        <w:rPr>
          <w:b/>
        </w:rPr>
      </w:pPr>
      <w:r w:rsidRPr="000C1F40">
        <w:rPr>
          <w:b/>
          <w:sz w:val="36"/>
        </w:rPr>
        <w:lastRenderedPageBreak/>
        <w:t>1</w:t>
      </w:r>
      <w:r w:rsidRPr="00F954A9">
        <w:rPr>
          <w:b/>
        </w:rPr>
        <w:t xml:space="preserve"> </w:t>
      </w:r>
      <w:r w:rsidRPr="000C1F40">
        <w:rPr>
          <w:b/>
          <w:caps/>
        </w:rPr>
        <w:t>priedas</w:t>
      </w:r>
    </w:p>
    <w:p w:rsidR="00F954A9" w:rsidRDefault="00F954A9" w:rsidP="00FD0AEF"/>
    <w:p w:rsidR="00F954A9" w:rsidRDefault="00F954A9" w:rsidP="00BC3636">
      <w:pPr>
        <w:pBdr>
          <w:bottom w:val="single" w:sz="12" w:space="1" w:color="auto"/>
        </w:pBdr>
        <w:jc w:val="both"/>
      </w:pPr>
      <w:r>
        <w:t xml:space="preserve">Baudžiamųjų bylų, išnagrinėtų </w:t>
      </w:r>
      <w:r w:rsidR="00BC3636">
        <w:t xml:space="preserve">Lietuvos Respublikos teismuose </w:t>
      </w:r>
      <w:r>
        <w:t>bendra tvarka ir privataus kaltinimo tvarka, skaičius 2008-2013 m.</w:t>
      </w:r>
      <w:r>
        <w:rPr>
          <w:rStyle w:val="Puslapioinaosnuoroda"/>
        </w:rPr>
        <w:footnoteReference w:id="821"/>
      </w:r>
    </w:p>
    <w:p w:rsidR="00F954A9" w:rsidRDefault="00F954A9" w:rsidP="00FD0AEF"/>
    <w:p w:rsidR="00FC5493" w:rsidRDefault="00FC5493" w:rsidP="00FD0AEF"/>
    <w:p w:rsidR="00FC5493" w:rsidRDefault="00FC5493" w:rsidP="00FD0AEF"/>
    <w:p w:rsidR="00F954A9" w:rsidRDefault="00F954A9" w:rsidP="00FD0AEF"/>
    <w:p w:rsidR="00F954A9" w:rsidRDefault="00F954A9" w:rsidP="00FD0AEF"/>
    <w:p w:rsidR="00F954A9" w:rsidRDefault="00F954A9" w:rsidP="00FD0AEF">
      <w:r>
        <w:rPr>
          <w:noProof/>
          <w:lang w:eastAsia="lt-LT"/>
        </w:rPr>
        <w:drawing>
          <wp:inline distT="0" distB="0" distL="0" distR="0">
            <wp:extent cx="6120130" cy="3997597"/>
            <wp:effectExtent l="0" t="0" r="0" b="3175"/>
            <wp:docPr id="1" name="Paveikslėlis 1" descr="C:\Users\matuizieneegl\Documents\Mokslas\1-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tuizieneegl\Documents\Mokslas\1-priedas.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130" cy="3997597"/>
                    </a:xfrm>
                    <a:prstGeom prst="rect">
                      <a:avLst/>
                    </a:prstGeom>
                    <a:noFill/>
                    <a:ln>
                      <a:noFill/>
                    </a:ln>
                  </pic:spPr>
                </pic:pic>
              </a:graphicData>
            </a:graphic>
          </wp:inline>
        </w:drawing>
      </w:r>
    </w:p>
    <w:p w:rsidR="00F954A9" w:rsidRDefault="00F954A9">
      <w:r>
        <w:br w:type="page"/>
      </w:r>
    </w:p>
    <w:p w:rsidR="00F954A9" w:rsidRPr="000C1F40" w:rsidRDefault="000C1F40" w:rsidP="000C1F40">
      <w:pPr>
        <w:jc w:val="center"/>
        <w:rPr>
          <w:b/>
        </w:rPr>
      </w:pPr>
      <w:r w:rsidRPr="000C1F40">
        <w:rPr>
          <w:b/>
          <w:sz w:val="36"/>
          <w:szCs w:val="36"/>
        </w:rPr>
        <w:lastRenderedPageBreak/>
        <w:t xml:space="preserve">2 </w:t>
      </w:r>
      <w:r w:rsidRPr="000C1F40">
        <w:rPr>
          <w:b/>
        </w:rPr>
        <w:t>PRIEDAS</w:t>
      </w:r>
    </w:p>
    <w:p w:rsidR="00FC5493" w:rsidRDefault="00FC5493" w:rsidP="00FD0AEF">
      <w:pPr>
        <w:pBdr>
          <w:top w:val="single" w:sz="12" w:space="1" w:color="auto"/>
          <w:bottom w:val="single" w:sz="12" w:space="1" w:color="auto"/>
        </w:pBdr>
      </w:pPr>
    </w:p>
    <w:p w:rsidR="000C1F40" w:rsidRDefault="00FC5493" w:rsidP="00FD0AEF">
      <w:pPr>
        <w:pBdr>
          <w:top w:val="single" w:sz="12" w:space="1" w:color="auto"/>
          <w:bottom w:val="single" w:sz="12" w:space="1" w:color="auto"/>
        </w:pBdr>
      </w:pPr>
      <w:r>
        <w:t xml:space="preserve">Lietuvos Respublikos baudžiamajame kodekse numatytos nusikalstamos veikos, dėl kurių Lietuvos </w:t>
      </w:r>
      <w:r w:rsidR="00647C51">
        <w:t xml:space="preserve">Respublikos </w:t>
      </w:r>
      <w:r>
        <w:t xml:space="preserve">teismuose buvo nagrinėtos privataus kaltinimo bylos 2008-2012 m. </w:t>
      </w:r>
      <w:r>
        <w:rPr>
          <w:rStyle w:val="Puslapioinaosnuoroda"/>
        </w:rPr>
        <w:footnoteReference w:id="822"/>
      </w:r>
    </w:p>
    <w:p w:rsidR="00FC5493" w:rsidRDefault="00FC5493" w:rsidP="00FD0AEF"/>
    <w:p w:rsidR="00FC5493" w:rsidRDefault="00FC5493" w:rsidP="00FD0AEF"/>
    <w:p w:rsidR="00FC5493" w:rsidRDefault="00FC5493" w:rsidP="00FD0AEF"/>
    <w:p w:rsidR="00FC5493" w:rsidRDefault="00FC5493" w:rsidP="00FD0AEF">
      <w:r>
        <w:rPr>
          <w:noProof/>
          <w:lang w:eastAsia="lt-LT"/>
        </w:rPr>
        <w:drawing>
          <wp:inline distT="0" distB="0" distL="0" distR="0">
            <wp:extent cx="6105525" cy="5943600"/>
            <wp:effectExtent l="0" t="0" r="9525" b="0"/>
            <wp:docPr id="2" name="Paveikslėlis 2" descr="C:\Users\matuizieneegl\Documents\Mokslas\2-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tuizieneegl\Documents\Mokslas\2-priedas.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05525" cy="5943600"/>
                    </a:xfrm>
                    <a:prstGeom prst="rect">
                      <a:avLst/>
                    </a:prstGeom>
                    <a:noFill/>
                    <a:ln>
                      <a:noFill/>
                    </a:ln>
                  </pic:spPr>
                </pic:pic>
              </a:graphicData>
            </a:graphic>
          </wp:inline>
        </w:drawing>
      </w:r>
    </w:p>
    <w:p w:rsidR="00FC5493" w:rsidRDefault="00FC5493">
      <w:r>
        <w:br w:type="page"/>
      </w:r>
    </w:p>
    <w:p w:rsidR="00FC5493" w:rsidRDefault="00FC5493" w:rsidP="00FC5493">
      <w:pPr>
        <w:pBdr>
          <w:bottom w:val="single" w:sz="12" w:space="1" w:color="auto"/>
        </w:pBdr>
        <w:jc w:val="center"/>
        <w:rPr>
          <w:b/>
        </w:rPr>
      </w:pPr>
      <w:r w:rsidRPr="00FC5493">
        <w:rPr>
          <w:b/>
          <w:sz w:val="36"/>
          <w:szCs w:val="36"/>
        </w:rPr>
        <w:lastRenderedPageBreak/>
        <w:t xml:space="preserve">3 </w:t>
      </w:r>
      <w:r w:rsidRPr="00FC5493">
        <w:rPr>
          <w:b/>
        </w:rPr>
        <w:t>PRIEDAS</w:t>
      </w:r>
    </w:p>
    <w:p w:rsidR="00FC5493" w:rsidRDefault="00FC5493" w:rsidP="00FD0AEF">
      <w:pPr>
        <w:rPr>
          <w:b/>
        </w:rPr>
      </w:pPr>
    </w:p>
    <w:p w:rsidR="00FC5493" w:rsidRDefault="00FC5493" w:rsidP="00FD0AEF">
      <w:pPr>
        <w:pBdr>
          <w:bottom w:val="single" w:sz="12" w:space="1" w:color="auto"/>
        </w:pBdr>
      </w:pPr>
      <w:r w:rsidRPr="00647C51">
        <w:t xml:space="preserve">Privataus kaltinimo bylų nagrinėjimo rezultatai Lietuvos Respublikos teismuose 2008-2012 m. </w:t>
      </w:r>
      <w:r w:rsidR="00647C51">
        <w:rPr>
          <w:rStyle w:val="Puslapioinaosnuoroda"/>
        </w:rPr>
        <w:footnoteReference w:id="823"/>
      </w:r>
    </w:p>
    <w:p w:rsidR="00647C51" w:rsidRDefault="00647C51" w:rsidP="00FD0AEF"/>
    <w:p w:rsidR="00647C51" w:rsidRDefault="00647C51" w:rsidP="00FD0AEF"/>
    <w:p w:rsidR="00647C51" w:rsidRDefault="00647C51" w:rsidP="00FD0AEF"/>
    <w:p w:rsidR="00647C51" w:rsidRDefault="00647C51" w:rsidP="00FD0AEF"/>
    <w:p w:rsidR="00647C51" w:rsidRPr="00647C51" w:rsidRDefault="00647C51" w:rsidP="00FD0AEF">
      <w:r>
        <w:rPr>
          <w:noProof/>
          <w:lang w:eastAsia="lt-LT"/>
        </w:rPr>
        <w:drawing>
          <wp:inline distT="0" distB="0" distL="0" distR="0">
            <wp:extent cx="5981700" cy="5295900"/>
            <wp:effectExtent l="0" t="0" r="0" b="0"/>
            <wp:docPr id="3" name="Paveikslėlis 3" descr="C:\Users\matuizieneegl\Documents\Mokslas\3-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tuizieneegl\Documents\Mokslas\3-priedas.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81700" cy="5295900"/>
                    </a:xfrm>
                    <a:prstGeom prst="rect">
                      <a:avLst/>
                    </a:prstGeom>
                    <a:noFill/>
                    <a:ln>
                      <a:noFill/>
                    </a:ln>
                  </pic:spPr>
                </pic:pic>
              </a:graphicData>
            </a:graphic>
          </wp:inline>
        </w:drawing>
      </w:r>
    </w:p>
    <w:p w:rsidR="00647C51" w:rsidRDefault="00647C51">
      <w:pPr>
        <w:rPr>
          <w:b/>
        </w:rPr>
      </w:pPr>
      <w:r>
        <w:rPr>
          <w:b/>
        </w:rPr>
        <w:br w:type="page"/>
      </w:r>
    </w:p>
    <w:p w:rsidR="00FC5493" w:rsidRDefault="00647C51" w:rsidP="00647C51">
      <w:pPr>
        <w:pBdr>
          <w:bottom w:val="single" w:sz="12" w:space="1" w:color="auto"/>
        </w:pBdr>
        <w:jc w:val="center"/>
        <w:rPr>
          <w:b/>
        </w:rPr>
      </w:pPr>
      <w:r w:rsidRPr="00647C51">
        <w:rPr>
          <w:b/>
          <w:sz w:val="36"/>
          <w:szCs w:val="36"/>
        </w:rPr>
        <w:lastRenderedPageBreak/>
        <w:t>4</w:t>
      </w:r>
      <w:r>
        <w:rPr>
          <w:b/>
        </w:rPr>
        <w:t xml:space="preserve"> PRIEDAS</w:t>
      </w:r>
    </w:p>
    <w:p w:rsidR="00647C51" w:rsidRDefault="00647C51" w:rsidP="00FD0AEF">
      <w:pPr>
        <w:rPr>
          <w:b/>
        </w:rPr>
      </w:pPr>
    </w:p>
    <w:p w:rsidR="00647C51" w:rsidRDefault="00647C51" w:rsidP="00647C51">
      <w:pPr>
        <w:pBdr>
          <w:bottom w:val="single" w:sz="12" w:space="1" w:color="auto"/>
        </w:pBdr>
        <w:jc w:val="both"/>
      </w:pPr>
      <w:r>
        <w:t xml:space="preserve">Duomenys apie pareikštus civilinius ieškinius privataus kaltinimo bylose, nagrinėtose pirmosios instancijos teismuose 2012-2013 m. </w:t>
      </w:r>
    </w:p>
    <w:p w:rsidR="00647C51" w:rsidRDefault="00647C51" w:rsidP="00FD0AEF"/>
    <w:p w:rsidR="00647C51" w:rsidRDefault="00647C51" w:rsidP="00FD0AEF"/>
    <w:p w:rsidR="00647C51" w:rsidRDefault="00647C51" w:rsidP="00FD0AEF"/>
    <w:p w:rsidR="00647C51" w:rsidRDefault="00647C51" w:rsidP="00FD0AEF">
      <w:r>
        <w:rPr>
          <w:noProof/>
          <w:lang w:eastAsia="lt-LT"/>
        </w:rPr>
        <w:drawing>
          <wp:inline distT="0" distB="0" distL="0" distR="0">
            <wp:extent cx="4362450" cy="6610350"/>
            <wp:effectExtent l="0" t="0" r="0" b="0"/>
            <wp:docPr id="4" name="Paveikslėlis 4" descr="C:\Users\matuizieneegl\Documents\Mokslas\4-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uizieneegl\Documents\Mokslas\4-priedas.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62450" cy="6610350"/>
                    </a:xfrm>
                    <a:prstGeom prst="rect">
                      <a:avLst/>
                    </a:prstGeom>
                    <a:noFill/>
                    <a:ln>
                      <a:noFill/>
                    </a:ln>
                  </pic:spPr>
                </pic:pic>
              </a:graphicData>
            </a:graphic>
          </wp:inline>
        </w:drawing>
      </w:r>
    </w:p>
    <w:p w:rsidR="00647C51" w:rsidRDefault="00647C51">
      <w:r>
        <w:br w:type="page"/>
      </w:r>
    </w:p>
    <w:p w:rsidR="00647C51" w:rsidRDefault="00647C51" w:rsidP="00647C51">
      <w:pPr>
        <w:pBdr>
          <w:bottom w:val="single" w:sz="12" w:space="1" w:color="auto"/>
        </w:pBdr>
        <w:jc w:val="center"/>
        <w:rPr>
          <w:b/>
        </w:rPr>
      </w:pPr>
      <w:r w:rsidRPr="00647C51">
        <w:rPr>
          <w:b/>
          <w:sz w:val="36"/>
          <w:szCs w:val="36"/>
        </w:rPr>
        <w:lastRenderedPageBreak/>
        <w:t xml:space="preserve">5 </w:t>
      </w:r>
      <w:r w:rsidRPr="00647C51">
        <w:rPr>
          <w:b/>
        </w:rPr>
        <w:t>PRIEDAS</w:t>
      </w:r>
    </w:p>
    <w:p w:rsidR="00647C51" w:rsidRDefault="00647C51" w:rsidP="00FD0AEF">
      <w:pP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p>
    <w:p w:rsidR="00647C51" w:rsidRDefault="00647C51" w:rsidP="00FD0AEF">
      <w:pPr>
        <w:pBdr>
          <w:bottom w:val="single" w:sz="12" w:space="1" w:color="auto"/>
        </w:pBdr>
      </w:pPr>
      <w:r w:rsidRPr="00647C51">
        <w:t xml:space="preserve">Duomenys apie kardomųjų priemonių taikymą privataus kaltinimo bylose, nagrinėtose pirmosios instancijos teismuose 2012-2013 m. </w:t>
      </w:r>
      <w:r w:rsidRPr="00647C51">
        <w:rPr>
          <w:rStyle w:val="Puslapioinaosnuoroda"/>
        </w:rPr>
        <w:footnoteReference w:id="824"/>
      </w:r>
    </w:p>
    <w:p w:rsidR="00647C51" w:rsidRDefault="00647C51" w:rsidP="00FD0AEF"/>
    <w:p w:rsidR="00647C51" w:rsidRDefault="00647C51" w:rsidP="00FD0AEF"/>
    <w:p w:rsidR="00BA56F6" w:rsidRDefault="00647C51" w:rsidP="00FD0AEF">
      <w:r>
        <w:rPr>
          <w:noProof/>
          <w:lang w:eastAsia="lt-LT"/>
        </w:rPr>
        <w:drawing>
          <wp:inline distT="0" distB="0" distL="0" distR="0">
            <wp:extent cx="4343400" cy="6362700"/>
            <wp:effectExtent l="0" t="0" r="0" b="0"/>
            <wp:docPr id="5" name="Paveikslėlis 5" descr="C:\Users\matuizieneegl\Documents\Mokslas\5-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tuizieneegl\Documents\Mokslas\5-priedas.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43400" cy="6362700"/>
                    </a:xfrm>
                    <a:prstGeom prst="rect">
                      <a:avLst/>
                    </a:prstGeom>
                    <a:noFill/>
                    <a:ln>
                      <a:noFill/>
                    </a:ln>
                  </pic:spPr>
                </pic:pic>
              </a:graphicData>
            </a:graphic>
          </wp:inline>
        </w:drawing>
      </w:r>
    </w:p>
    <w:p w:rsidR="00BA56F6" w:rsidRDefault="00BA56F6">
      <w:r>
        <w:br w:type="page"/>
      </w:r>
    </w:p>
    <w:p w:rsidR="00647C51" w:rsidRDefault="00AB4297" w:rsidP="00AB4297">
      <w:pPr>
        <w:pBdr>
          <w:bottom w:val="single" w:sz="12" w:space="1" w:color="auto"/>
        </w:pBdr>
        <w:jc w:val="center"/>
        <w:rPr>
          <w:b/>
        </w:rPr>
      </w:pPr>
      <w:r w:rsidRPr="00AB4297">
        <w:rPr>
          <w:b/>
          <w:sz w:val="36"/>
          <w:szCs w:val="36"/>
        </w:rPr>
        <w:lastRenderedPageBreak/>
        <w:t>6</w:t>
      </w:r>
      <w:r w:rsidRPr="00AB4297">
        <w:rPr>
          <w:b/>
        </w:rPr>
        <w:t xml:space="preserve"> PRIEDAS</w:t>
      </w:r>
    </w:p>
    <w:p w:rsidR="00AB4297" w:rsidRDefault="00AB4297" w:rsidP="00FD0AEF">
      <w:pPr>
        <w:rPr>
          <w:b/>
        </w:rPr>
      </w:pPr>
    </w:p>
    <w:p w:rsidR="00AB4297" w:rsidRDefault="00AB4297" w:rsidP="00FD0AEF">
      <w:pPr>
        <w:pBdr>
          <w:bottom w:val="single" w:sz="12" w:space="1" w:color="auto"/>
        </w:pBdr>
      </w:pPr>
      <w:r w:rsidRPr="00AB4297">
        <w:t>Privataus kaltintojo įgaliotojo atstovo dalyvavimas privataus kaltinimo bylose, kurios buvo baigtos 2012-2013 m. priimant nuosprendį.</w:t>
      </w:r>
    </w:p>
    <w:p w:rsidR="00AB4297" w:rsidRDefault="00AB4297" w:rsidP="00FD0AEF"/>
    <w:p w:rsidR="00AB4297" w:rsidRDefault="00AB4297" w:rsidP="00FD0AEF"/>
    <w:p w:rsidR="00AB4297" w:rsidRDefault="00AB4297" w:rsidP="00FD0AEF"/>
    <w:p w:rsidR="00AB4297" w:rsidRPr="00AB4297" w:rsidRDefault="00AB4297" w:rsidP="00FD0AEF">
      <w:r>
        <w:rPr>
          <w:noProof/>
          <w:lang w:eastAsia="lt-LT"/>
        </w:rPr>
        <w:drawing>
          <wp:inline distT="0" distB="0" distL="0" distR="0">
            <wp:extent cx="4171950" cy="6257925"/>
            <wp:effectExtent l="0" t="0" r="0" b="9525"/>
            <wp:docPr id="6" name="Paveikslėlis 6" descr="C:\Users\matuizieneegl\Documents\Mokslas\6-prie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uizieneegl\Documents\Mokslas\6-priedas.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71950" cy="6257925"/>
                    </a:xfrm>
                    <a:prstGeom prst="rect">
                      <a:avLst/>
                    </a:prstGeom>
                    <a:noFill/>
                    <a:ln>
                      <a:noFill/>
                    </a:ln>
                  </pic:spPr>
                </pic:pic>
              </a:graphicData>
            </a:graphic>
          </wp:inline>
        </w:drawing>
      </w:r>
    </w:p>
    <w:sectPr w:rsidR="00AB4297" w:rsidRPr="00AB4297" w:rsidSect="00357C64">
      <w:footerReference w:type="default" r:id="rId34"/>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A6D" w:rsidRDefault="001D4A6D" w:rsidP="001D4939">
      <w:r>
        <w:separator/>
      </w:r>
    </w:p>
  </w:endnote>
  <w:endnote w:type="continuationSeparator" w:id="0">
    <w:p w:rsidR="001D4A6D" w:rsidRDefault="001D4A6D" w:rsidP="001D4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dobe Garamond Pro">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CC"/>
    <w:family w:val="auto"/>
    <w:notTrueType/>
    <w:pitch w:val="default"/>
    <w:sig w:usb0="00000207" w:usb1="08070000" w:usb2="00000010" w:usb3="00000000" w:csb0="00020007" w:csb1="00000000"/>
  </w:font>
  <w:font w:name="Arial Unicode MS">
    <w:panose1 w:val="020B0604020202020204"/>
    <w:charset w:val="80"/>
    <w:family w:val="swiss"/>
    <w:pitch w:val="variable"/>
    <w:sig w:usb0="F7FFAFFF" w:usb1="E9DFFFFF" w:usb2="0000003F" w:usb3="00000000" w:csb0="003F01FF"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T5C0o00">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371E" w:rsidRDefault="00E0371E">
    <w:pPr>
      <w:pStyle w:val="Porat"/>
      <w:jc w:val="center"/>
    </w:pPr>
    <w:r>
      <w:fldChar w:fldCharType="begin"/>
    </w:r>
    <w:r>
      <w:instrText xml:space="preserve"> PAGE   \* MERGEFORMAT </w:instrText>
    </w:r>
    <w:r>
      <w:fldChar w:fldCharType="separate"/>
    </w:r>
    <w:r w:rsidR="0029302C">
      <w:rPr>
        <w:noProof/>
      </w:rPr>
      <w:t>251</w:t>
    </w:r>
    <w:r>
      <w:rPr>
        <w:noProof/>
      </w:rPr>
      <w:fldChar w:fldCharType="end"/>
    </w:r>
  </w:p>
  <w:p w:rsidR="00E0371E" w:rsidRDefault="00E0371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A6D" w:rsidRDefault="001D4A6D" w:rsidP="001D4939">
      <w:r>
        <w:separator/>
      </w:r>
    </w:p>
  </w:footnote>
  <w:footnote w:type="continuationSeparator" w:id="0">
    <w:p w:rsidR="001D4A6D" w:rsidRDefault="001D4A6D" w:rsidP="001D4939">
      <w:r>
        <w:continuationSeparator/>
      </w:r>
    </w:p>
  </w:footnote>
  <w:footnote w:id="1">
    <w:p w:rsidR="00E0371E" w:rsidRDefault="00E0371E" w:rsidP="00357C64">
      <w:pPr>
        <w:pStyle w:val="Puslapioinaostekstas"/>
      </w:pPr>
      <w:r>
        <w:rPr>
          <w:rStyle w:val="Puslapioinaosnuoroda"/>
        </w:rPr>
        <w:footnoteRef/>
      </w:r>
      <w:r w:rsidRPr="00CF0859">
        <w:t xml:space="preserve">Lietuvos Respublikos baudžiamojo proceso kodeksas. </w:t>
      </w:r>
      <w:r w:rsidRPr="00CF0859">
        <w:rPr>
          <w:i/>
        </w:rPr>
        <w:t>Valstybės žinios</w:t>
      </w:r>
      <w:r w:rsidRPr="00CF0859">
        <w:t>. 2002, Nr.37-1341; 2002, Nr. 46 (atitaisymas).</w:t>
      </w:r>
    </w:p>
  </w:footnote>
  <w:footnote w:id="2">
    <w:p w:rsidR="00E0371E" w:rsidRPr="00DF62E7" w:rsidRDefault="00E0371E" w:rsidP="00DF62E7">
      <w:pPr>
        <w:jc w:val="both"/>
        <w:rPr>
          <w:sz w:val="20"/>
        </w:rPr>
      </w:pPr>
      <w:r>
        <w:rPr>
          <w:rStyle w:val="Puslapioinaosnuoroda"/>
        </w:rPr>
        <w:footnoteRef/>
      </w:r>
      <w:r w:rsidRPr="00DF62E7">
        <w:rPr>
          <w:sz w:val="20"/>
        </w:rPr>
        <w:t xml:space="preserve">Apie oficialumo principo išimtis: Goda, G. Oficialumo principas ir jo išimtys Lietuvos baudžiamajame procese. In </w:t>
      </w:r>
      <w:r w:rsidRPr="00DF62E7">
        <w:rPr>
          <w:i/>
          <w:sz w:val="20"/>
        </w:rPr>
        <w:t>Lietuvos Respublikos baudžiamajam kodeksui – 10 metų</w:t>
      </w:r>
      <w:r w:rsidRPr="00DF62E7">
        <w:rPr>
          <w:sz w:val="20"/>
        </w:rPr>
        <w:t>. Vilnius: VĮ Registrų centras, 2011</w:t>
      </w:r>
      <w:r>
        <w:rPr>
          <w:sz w:val="20"/>
        </w:rPr>
        <w:t>, p.</w:t>
      </w:r>
      <w:r w:rsidRPr="00DF62E7">
        <w:rPr>
          <w:sz w:val="20"/>
        </w:rPr>
        <w:t xml:space="preserve"> 369-394.</w:t>
      </w:r>
    </w:p>
  </w:footnote>
  <w:footnote w:id="3">
    <w:p w:rsidR="00E0371E" w:rsidRPr="00DF62E7" w:rsidRDefault="00E0371E" w:rsidP="00DF62E7">
      <w:pPr>
        <w:jc w:val="both"/>
        <w:rPr>
          <w:sz w:val="20"/>
          <w:szCs w:val="20"/>
        </w:rPr>
      </w:pPr>
      <w:r>
        <w:rPr>
          <w:rStyle w:val="Puslapioinaosnuoroda"/>
        </w:rPr>
        <w:footnoteRef/>
      </w:r>
      <w:r w:rsidRPr="00DF62E7">
        <w:rPr>
          <w:sz w:val="20"/>
          <w:szCs w:val="20"/>
        </w:rPr>
        <w:t xml:space="preserve">Nacionalinėje mokslinėje jurisprudencijoje apsiribojama šio klausimo nagrinėjimu vadovėliuose: Ažubalytė, R., Jurgaitis, R., Zajančkauskienė, J. </w:t>
      </w:r>
      <w:r w:rsidRPr="00DF62E7">
        <w:rPr>
          <w:i/>
          <w:sz w:val="20"/>
          <w:szCs w:val="20"/>
        </w:rPr>
        <w:t>Specifinės baudžiamojo proceso rūšys: vadovėlis</w:t>
      </w:r>
      <w:r w:rsidRPr="00DF62E7">
        <w:rPr>
          <w:sz w:val="20"/>
          <w:szCs w:val="20"/>
        </w:rPr>
        <w:t xml:space="preserve">. Vilnius: Mykolo Romerio universitetas, 2011. Goda, G., Kazlauskas, M., Kuconis, P. </w:t>
      </w:r>
      <w:r w:rsidRPr="00DF62E7">
        <w:rPr>
          <w:i/>
          <w:sz w:val="20"/>
          <w:szCs w:val="20"/>
        </w:rPr>
        <w:t>Baudžiamojo proceso teisė</w:t>
      </w:r>
      <w:r>
        <w:rPr>
          <w:i/>
          <w:sz w:val="20"/>
          <w:szCs w:val="20"/>
        </w:rPr>
        <w:t>.</w:t>
      </w:r>
      <w:r w:rsidRPr="00DF62E7">
        <w:rPr>
          <w:i/>
          <w:sz w:val="20"/>
          <w:szCs w:val="20"/>
        </w:rPr>
        <w:t xml:space="preserve"> </w:t>
      </w:r>
      <w:r>
        <w:rPr>
          <w:i/>
          <w:sz w:val="20"/>
          <w:szCs w:val="20"/>
        </w:rPr>
        <w:t>V</w:t>
      </w:r>
      <w:r w:rsidRPr="00DF62E7">
        <w:rPr>
          <w:i/>
          <w:sz w:val="20"/>
          <w:szCs w:val="20"/>
        </w:rPr>
        <w:t>adovėlis</w:t>
      </w:r>
      <w:r w:rsidRPr="00DF62E7">
        <w:rPr>
          <w:sz w:val="20"/>
          <w:szCs w:val="20"/>
        </w:rPr>
        <w:t>. 2-oji pataisyta ir papildyta laida. Vilnius: VĮ Registrų centras, 2011. Jurka, R., Juzukonis, S.</w:t>
      </w:r>
      <w:r>
        <w:rPr>
          <w:sz w:val="20"/>
          <w:szCs w:val="20"/>
        </w:rPr>
        <w:t>,</w:t>
      </w:r>
      <w:r w:rsidRPr="00DF62E7">
        <w:rPr>
          <w:sz w:val="20"/>
          <w:szCs w:val="20"/>
        </w:rPr>
        <w:t xml:space="preserve"> Randakevičienė, I. </w:t>
      </w:r>
      <w:r w:rsidRPr="00DF62E7">
        <w:rPr>
          <w:i/>
          <w:sz w:val="20"/>
          <w:szCs w:val="20"/>
        </w:rPr>
        <w:t>Baudžiamojo proceso dalyviai. Metodinė mokomoji priemonė</w:t>
      </w:r>
      <w:r w:rsidRPr="00DF62E7">
        <w:rPr>
          <w:sz w:val="20"/>
          <w:szCs w:val="20"/>
        </w:rPr>
        <w:t>. Vilnius: Industrus, 2009.</w:t>
      </w:r>
    </w:p>
  </w:footnote>
  <w:footnote w:id="4">
    <w:p w:rsidR="00E0371E" w:rsidRDefault="00E0371E" w:rsidP="00274D82">
      <w:pPr>
        <w:pStyle w:val="Puslapioinaostekstas"/>
        <w:jc w:val="both"/>
      </w:pPr>
      <w:r>
        <w:rPr>
          <w:rStyle w:val="Puslapioinaosnuoroda"/>
        </w:rPr>
        <w:footnoteRef/>
      </w:r>
      <w:r w:rsidRPr="00A972D2">
        <w:t xml:space="preserve">Juzukonis, S. </w:t>
      </w:r>
      <w:r w:rsidRPr="00A972D2">
        <w:rPr>
          <w:i/>
        </w:rPr>
        <w:t>Nukentėjusiojo teisių apsauga baudžiamajame procese</w:t>
      </w:r>
      <w:r w:rsidRPr="00A972D2">
        <w:t>. Daktaro disertacija. Socialiniai mokslai (teisė). Vilnius: Lietuvos teisės universitetas, 2002.</w:t>
      </w:r>
    </w:p>
  </w:footnote>
  <w:footnote w:id="5">
    <w:p w:rsidR="00E0371E" w:rsidRDefault="00E0371E" w:rsidP="00274D82">
      <w:pPr>
        <w:pStyle w:val="Puslapioinaostekstas"/>
        <w:jc w:val="both"/>
      </w:pPr>
      <w:r>
        <w:rPr>
          <w:rStyle w:val="Puslapioinaosnuoroda"/>
        </w:rPr>
        <w:footnoteRef/>
      </w:r>
      <w:r w:rsidRPr="00564998">
        <w:t xml:space="preserve">Leonas, P. </w:t>
      </w:r>
      <w:r w:rsidRPr="00564998">
        <w:rPr>
          <w:i/>
          <w:iCs/>
        </w:rPr>
        <w:t>Teisės enciklopedij</w:t>
      </w:r>
      <w:r>
        <w:rPr>
          <w:i/>
          <w:iCs/>
        </w:rPr>
        <w:t>os p</w:t>
      </w:r>
      <w:r w:rsidRPr="003D6C59">
        <w:rPr>
          <w:i/>
        </w:rPr>
        <w:t>askaitos.</w:t>
      </w:r>
      <w:r w:rsidRPr="00564998">
        <w:t xml:space="preserve"> Kaunas</w:t>
      </w:r>
      <w:r>
        <w:t>:</w:t>
      </w:r>
      <w:r w:rsidRPr="00564998">
        <w:t xml:space="preserve"> Vytauto Didžiojo u</w:t>
      </w:r>
      <w:r>
        <w:t>niversiteto teisių fakulteta</w:t>
      </w:r>
      <w:r w:rsidRPr="00564998">
        <w:t>s,</w:t>
      </w:r>
      <w:r>
        <w:t xml:space="preserve"> </w:t>
      </w:r>
      <w:r w:rsidRPr="00564998">
        <w:t>1931, p. 198.</w:t>
      </w:r>
      <w:r>
        <w:t xml:space="preserve"> </w:t>
      </w:r>
      <w:r w:rsidRPr="00564998">
        <w:rPr>
          <w:i/>
        </w:rPr>
        <w:t>Baudžiamojo proceso įstatymas su komentarais</w:t>
      </w:r>
      <w:r w:rsidRPr="00564998">
        <w:t xml:space="preserve">. </w:t>
      </w:r>
      <w:r>
        <w:t xml:space="preserve">(Red. </w:t>
      </w:r>
      <w:r w:rsidRPr="00564998">
        <w:t>Kavolis, M.</w:t>
      </w:r>
      <w:r>
        <w:t>) Kaunas: Literatūros knygynas,</w:t>
      </w:r>
      <w:r w:rsidRPr="00564998">
        <w:t xml:space="preserve"> 1933,</w:t>
      </w:r>
      <w:r>
        <w:t xml:space="preserve"> </w:t>
      </w:r>
      <w:r w:rsidRPr="00564998">
        <w:t>p. 50−60</w:t>
      </w:r>
      <w:r>
        <w:t>.</w:t>
      </w:r>
    </w:p>
  </w:footnote>
  <w:footnote w:id="6">
    <w:p w:rsidR="00E0371E" w:rsidRDefault="00E0371E" w:rsidP="00274D82">
      <w:pPr>
        <w:pStyle w:val="Puslapioinaostekstas"/>
        <w:jc w:val="both"/>
      </w:pPr>
      <w:r>
        <w:rPr>
          <w:rStyle w:val="Puslapioinaosnuoroda"/>
        </w:rPr>
        <w:footnoteRef/>
      </w:r>
      <w:r w:rsidRPr="00471FDD">
        <w:t xml:space="preserve">Nacionalinėje </w:t>
      </w:r>
      <w:r>
        <w:t>mokslin</w:t>
      </w:r>
      <w:r w:rsidRPr="00471FDD">
        <w:t>ėje jurisprudencijoje apsiribojama šio klausimo nagrinėjimu vadovėliuose: Ažubalytė, R., Jurgaitis, R., Zajančkauskienė, J.</w:t>
      </w:r>
      <w:r>
        <w:t xml:space="preserve"> </w:t>
      </w:r>
      <w:r w:rsidRPr="00471FDD">
        <w:rPr>
          <w:i/>
        </w:rPr>
        <w:t>Specifinės baudžiamojo proceso rūšys: vadovėlis</w:t>
      </w:r>
      <w:r w:rsidRPr="00471FDD">
        <w:t>. Vilnius: Mykolo Romerio universitetas, 2011</w:t>
      </w:r>
      <w:r>
        <w:t>, p. 117-183</w:t>
      </w:r>
      <w:r w:rsidRPr="00471FDD">
        <w:t xml:space="preserve">. Goda, G., Kazlauskas, M., Kuconis, P. </w:t>
      </w:r>
      <w:r w:rsidRPr="00471FDD">
        <w:rPr>
          <w:i/>
        </w:rPr>
        <w:t>Baudžiamojo proceso teisė</w:t>
      </w:r>
      <w:r>
        <w:rPr>
          <w:i/>
        </w:rPr>
        <w:t xml:space="preserve">. </w:t>
      </w:r>
      <w:r w:rsidRPr="00AE6888">
        <w:t>Vilnius: Teisinės informacijos centras, 2005, p. 598-604.</w:t>
      </w:r>
      <w:r>
        <w:rPr>
          <w:i/>
        </w:rPr>
        <w:t xml:space="preserve"> </w:t>
      </w:r>
      <w:r w:rsidRPr="00471FDD">
        <w:t xml:space="preserve">Goda, G., Kazlauskas, M., Kuconis, P. </w:t>
      </w:r>
      <w:r w:rsidRPr="00471FDD">
        <w:rPr>
          <w:i/>
        </w:rPr>
        <w:t>Baudžiamojo proceso teisė</w:t>
      </w:r>
      <w:r>
        <w:rPr>
          <w:i/>
        </w:rPr>
        <w:t>.</w:t>
      </w:r>
      <w:r w:rsidRPr="00471FDD">
        <w:rPr>
          <w:i/>
        </w:rPr>
        <w:t xml:space="preserve"> </w:t>
      </w:r>
      <w:r>
        <w:rPr>
          <w:i/>
        </w:rPr>
        <w:t>V</w:t>
      </w:r>
      <w:r w:rsidRPr="00471FDD">
        <w:rPr>
          <w:i/>
        </w:rPr>
        <w:t>adovėlis</w:t>
      </w:r>
      <w:r w:rsidRPr="00471FDD">
        <w:t xml:space="preserve">. 2-oji pataisyta ir papildyta laida. Vilnius: </w:t>
      </w:r>
      <w:r>
        <w:t xml:space="preserve">VĮ </w:t>
      </w:r>
      <w:r w:rsidRPr="00471FDD">
        <w:t>Registrų centras, 2</w:t>
      </w:r>
      <w:r>
        <w:t xml:space="preserve">011, p. 590-600. </w:t>
      </w:r>
    </w:p>
  </w:footnote>
  <w:footnote w:id="7">
    <w:p w:rsidR="00E0371E" w:rsidRDefault="00E0371E" w:rsidP="00274D82">
      <w:pPr>
        <w:pStyle w:val="Puslapioinaostekstas"/>
        <w:jc w:val="both"/>
      </w:pPr>
      <w:r>
        <w:rPr>
          <w:rStyle w:val="Puslapioinaosnuoroda"/>
        </w:rPr>
        <w:footnoteRef/>
      </w:r>
      <w:r w:rsidRPr="00F84E17">
        <w:t xml:space="preserve">Ažubalytė, R. Nukentėjusio nuo nusikalstamos veikos asmens teisė kreiptis į teismą kaip teisminės gynybos realizavimo baudžiamajame procese prielaida. </w:t>
      </w:r>
      <w:r w:rsidRPr="00F84E17">
        <w:rPr>
          <w:i/>
        </w:rPr>
        <w:t>Jurisprudencija</w:t>
      </w:r>
      <w:r>
        <w:t>.</w:t>
      </w:r>
      <w:r w:rsidRPr="00F84E17">
        <w:t xml:space="preserve"> 2010, 4 (122): 221-244.</w:t>
      </w:r>
    </w:p>
  </w:footnote>
  <w:footnote w:id="8">
    <w:p w:rsidR="00E0371E" w:rsidRDefault="00E0371E" w:rsidP="00274D82">
      <w:pPr>
        <w:pStyle w:val="Puslapioinaostekstas"/>
        <w:jc w:val="both"/>
      </w:pPr>
      <w:r>
        <w:rPr>
          <w:rStyle w:val="Puslapioinaosnuoroda"/>
        </w:rPr>
        <w:footnoteRef/>
      </w:r>
      <w:r>
        <w:t xml:space="preserve">Goda, G. Oficialumo principas ir jo išimtys Lietuvos baudžiamajame procese. In </w:t>
      </w:r>
      <w:r w:rsidRPr="004F5F34">
        <w:rPr>
          <w:i/>
        </w:rPr>
        <w:t>Lietuvos Respublikos baudžiamajam kodeksui – 10 metų</w:t>
      </w:r>
      <w:r>
        <w:t xml:space="preserve">. Vilnius: VĮ Registrų centras, 2011, p. 369-374. </w:t>
      </w:r>
    </w:p>
  </w:footnote>
  <w:footnote w:id="9">
    <w:p w:rsidR="00E0371E" w:rsidRDefault="00E0371E" w:rsidP="00D2720F">
      <w:pPr>
        <w:pStyle w:val="Puslapioinaostekstas"/>
        <w:jc w:val="both"/>
      </w:pPr>
      <w:r>
        <w:rPr>
          <w:rStyle w:val="Puslapioinaosnuoroda"/>
        </w:rPr>
        <w:footnoteRef/>
      </w:r>
      <w:r>
        <w:t xml:space="preserve">Jurka, R. Imuniteto įveikimas privataus kaltinimo bylų procese: esama būklė ir perspektyvos. In </w:t>
      </w:r>
      <w:r w:rsidRPr="009850B7">
        <w:t xml:space="preserve">Prapiestis, J., </w:t>
      </w:r>
      <w:r w:rsidRPr="006455A9">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243-257.</w:t>
      </w:r>
    </w:p>
  </w:footnote>
  <w:footnote w:id="10">
    <w:p w:rsidR="00E0371E" w:rsidRPr="00D319F2" w:rsidRDefault="00E0371E" w:rsidP="00D319F2">
      <w:pPr>
        <w:jc w:val="both"/>
        <w:rPr>
          <w:sz w:val="20"/>
          <w:szCs w:val="20"/>
        </w:rPr>
      </w:pPr>
      <w:r>
        <w:rPr>
          <w:rStyle w:val="Puslapioinaosnuoroda"/>
        </w:rPr>
        <w:footnoteRef/>
      </w:r>
      <w:r w:rsidRPr="00D319F2">
        <w:rPr>
          <w:sz w:val="20"/>
          <w:szCs w:val="20"/>
        </w:rPr>
        <w:t xml:space="preserve">Rezon, A. K. </w:t>
      </w:r>
      <w:r w:rsidRPr="00D319F2">
        <w:rPr>
          <w:i/>
          <w:sz w:val="20"/>
          <w:szCs w:val="20"/>
        </w:rPr>
        <w:t>O prestuplenija</w:t>
      </w:r>
      <w:r>
        <w:rPr>
          <w:i/>
          <w:sz w:val="20"/>
          <w:szCs w:val="20"/>
        </w:rPr>
        <w:t>kh, nakazu</w:t>
      </w:r>
      <w:r w:rsidRPr="00D319F2">
        <w:rPr>
          <w:i/>
          <w:sz w:val="20"/>
          <w:szCs w:val="20"/>
        </w:rPr>
        <w:t>emy</w:t>
      </w:r>
      <w:r>
        <w:rPr>
          <w:i/>
          <w:sz w:val="20"/>
          <w:szCs w:val="20"/>
        </w:rPr>
        <w:t>kh tol</w:t>
      </w:r>
      <w:r w:rsidRPr="00D319F2">
        <w:rPr>
          <w:i/>
          <w:sz w:val="20"/>
          <w:szCs w:val="20"/>
        </w:rPr>
        <w:t>ko po zhalobe poterpevshego po russkomu pravu</w:t>
      </w:r>
      <w:r w:rsidRPr="00D319F2">
        <w:rPr>
          <w:sz w:val="20"/>
          <w:szCs w:val="20"/>
        </w:rPr>
        <w:t xml:space="preserve"> [On Crimes Punishable Only by a Complaint of the Victim in Russian Law]. Sankt Peterburg: Senat pravitelstvujushchego prava, 188</w:t>
      </w:r>
      <w:r>
        <w:rPr>
          <w:sz w:val="20"/>
          <w:szCs w:val="20"/>
        </w:rPr>
        <w:t>2. Tauber, L. Ja. Isk, obvinenie i sostjazatelno</w:t>
      </w:r>
      <w:r w:rsidRPr="00D319F2">
        <w:rPr>
          <w:sz w:val="20"/>
          <w:szCs w:val="20"/>
        </w:rPr>
        <w:t xml:space="preserve">e nachalo [Lawsuit, Prosecution and Adversarial Origins]. </w:t>
      </w:r>
      <w:r w:rsidRPr="00D319F2">
        <w:rPr>
          <w:i/>
          <w:sz w:val="20"/>
          <w:szCs w:val="20"/>
        </w:rPr>
        <w:t>Vestnik grazhdanskogo prava</w:t>
      </w:r>
      <w:r>
        <w:rPr>
          <w:sz w:val="20"/>
          <w:szCs w:val="20"/>
        </w:rPr>
        <w:t>. 1917, 2: 76-100. Foj</w:t>
      </w:r>
      <w:r w:rsidRPr="00D319F2">
        <w:rPr>
          <w:sz w:val="20"/>
          <w:szCs w:val="20"/>
        </w:rPr>
        <w:t xml:space="preserve">nickij, I. Ja. </w:t>
      </w:r>
      <w:r w:rsidRPr="00D319F2">
        <w:rPr>
          <w:i/>
          <w:color w:val="000033"/>
          <w:sz w:val="20"/>
          <w:szCs w:val="20"/>
        </w:rPr>
        <w:t xml:space="preserve">Kurs ugolovnogo sudoproizvodstva </w:t>
      </w:r>
      <w:r w:rsidRPr="00D319F2">
        <w:rPr>
          <w:color w:val="000033"/>
          <w:sz w:val="20"/>
          <w:szCs w:val="20"/>
        </w:rPr>
        <w:t>[Course of Criminal Procedure]. I tomas. Sankt Peterburg: Alfa, 1996</w:t>
      </w:r>
      <w:r w:rsidRPr="00D319F2">
        <w:rPr>
          <w:sz w:val="20"/>
          <w:szCs w:val="20"/>
        </w:rPr>
        <w:t>.</w:t>
      </w:r>
    </w:p>
  </w:footnote>
  <w:footnote w:id="11">
    <w:p w:rsidR="00E0371E" w:rsidRDefault="00E0371E" w:rsidP="00274D82">
      <w:pPr>
        <w:pStyle w:val="Puslapioinaostekstas"/>
        <w:jc w:val="both"/>
      </w:pPr>
      <w:r>
        <w:rPr>
          <w:rStyle w:val="Puslapioinaosnuoroda"/>
        </w:rPr>
        <w:footnoteRef/>
      </w:r>
      <w:r w:rsidRPr="000B2663">
        <w:t xml:space="preserve">Contenius, R. </w:t>
      </w:r>
      <w:r w:rsidRPr="000B2663">
        <w:rPr>
          <w:i/>
        </w:rPr>
        <w:t>Die Befugnis des gesetzlichen Vertreters zur Erhebung der Privatklage</w:t>
      </w:r>
      <w:r w:rsidRPr="000B2663">
        <w:t xml:space="preserve">. Daktaro disertacija. </w:t>
      </w:r>
      <w:r>
        <w:t xml:space="preserve">Socialiniai mokslai (teisė). </w:t>
      </w:r>
      <w:r w:rsidRPr="000B2663">
        <w:t>Breslau, 1929</w:t>
      </w:r>
      <w:r>
        <w:t>.</w:t>
      </w:r>
    </w:p>
  </w:footnote>
  <w:footnote w:id="12">
    <w:p w:rsidR="00E0371E" w:rsidRDefault="00E0371E" w:rsidP="00274D82">
      <w:pPr>
        <w:pStyle w:val="Puslapioinaostekstas"/>
        <w:jc w:val="both"/>
      </w:pPr>
      <w:r>
        <w:rPr>
          <w:rStyle w:val="Puslapioinaosnuoroda"/>
        </w:rPr>
        <w:footnoteRef/>
      </w:r>
      <w:r w:rsidRPr="00564998">
        <w:t xml:space="preserve">Koewius, R. </w:t>
      </w:r>
      <w:r w:rsidRPr="00564998">
        <w:rPr>
          <w:i/>
        </w:rPr>
        <w:t>Die Rechtswirklichkeit der Privatklage</w:t>
      </w:r>
      <w:r w:rsidRPr="00564998">
        <w:t>. Be</w:t>
      </w:r>
      <w:r>
        <w:t>rlin: Duncker &amp;Humblot, 1974.</w:t>
      </w:r>
    </w:p>
  </w:footnote>
  <w:footnote w:id="13">
    <w:p w:rsidR="00E0371E" w:rsidRDefault="00E0371E" w:rsidP="00274D82">
      <w:pPr>
        <w:pStyle w:val="Puslapioinaostekstas"/>
        <w:jc w:val="both"/>
      </w:pPr>
      <w:r>
        <w:rPr>
          <w:rStyle w:val="Puslapioinaosnuoroda"/>
        </w:rPr>
        <w:footnoteRef/>
      </w:r>
      <w:r>
        <w:t>Aleksandrov</w:t>
      </w:r>
      <w:r w:rsidRPr="004228EF">
        <w:t>, А.</w:t>
      </w:r>
      <w:r>
        <w:t xml:space="preserve"> S</w:t>
      </w:r>
      <w:r w:rsidRPr="004228EF">
        <w:t xml:space="preserve">. </w:t>
      </w:r>
      <w:r w:rsidRPr="00682DD1">
        <w:rPr>
          <w:i/>
        </w:rPr>
        <w:t xml:space="preserve">Dispozitivnost‘ v ugolovnom processe </w:t>
      </w:r>
      <w:r w:rsidRPr="00B56034">
        <w:t>[Dispositiveness in Criminal Procedure]</w:t>
      </w:r>
      <w:r w:rsidRPr="004228EF">
        <w:t>. Daktaro d</w:t>
      </w:r>
      <w:r>
        <w:t>isertacija. Socialiniai mokslai (</w:t>
      </w:r>
      <w:r w:rsidRPr="004228EF">
        <w:t>teisė</w:t>
      </w:r>
      <w:r>
        <w:t>)</w:t>
      </w:r>
      <w:r w:rsidRPr="004228EF">
        <w:t xml:space="preserve">. </w:t>
      </w:r>
      <w:r>
        <w:t>Nizhnij Novgorod</w:t>
      </w:r>
      <w:r w:rsidRPr="004228EF">
        <w:t xml:space="preserve">, 1995. </w:t>
      </w:r>
    </w:p>
  </w:footnote>
  <w:footnote w:id="14">
    <w:p w:rsidR="00E0371E" w:rsidRDefault="00E0371E" w:rsidP="00274D82">
      <w:pPr>
        <w:pStyle w:val="Puslapioinaostekstas"/>
        <w:jc w:val="both"/>
      </w:pPr>
      <w:r>
        <w:rPr>
          <w:rStyle w:val="Puslapioinaosnuoroda"/>
        </w:rPr>
        <w:footnoteRef/>
      </w:r>
      <w:r>
        <w:t xml:space="preserve"> Shamadrin, A. A. </w:t>
      </w:r>
      <w:r w:rsidRPr="00B56034">
        <w:rPr>
          <w:i/>
        </w:rPr>
        <w:t>Ch</w:t>
      </w:r>
      <w:r w:rsidRPr="000B7922">
        <w:rPr>
          <w:i/>
        </w:rPr>
        <w:t>astnye na</w:t>
      </w:r>
      <w:r>
        <w:rPr>
          <w:i/>
        </w:rPr>
        <w:t>ch</w:t>
      </w:r>
      <w:r w:rsidRPr="000B7922">
        <w:rPr>
          <w:i/>
        </w:rPr>
        <w:t>ala obvinenija</w:t>
      </w:r>
      <w:r>
        <w:rPr>
          <w:i/>
        </w:rPr>
        <w:t xml:space="preserve">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DF7E16">
        <w:rPr>
          <w:color w:val="000033"/>
        </w:rPr>
        <w:t xml:space="preserve">Daktaro disertacija. Socialiniai mokslai </w:t>
      </w:r>
      <w:r>
        <w:rPr>
          <w:color w:val="000033"/>
        </w:rPr>
        <w:t>(</w:t>
      </w:r>
      <w:r w:rsidRPr="00DF7E16">
        <w:rPr>
          <w:color w:val="000033"/>
        </w:rPr>
        <w:t>teisė</w:t>
      </w:r>
      <w:r>
        <w:rPr>
          <w:color w:val="000033"/>
        </w:rPr>
        <w:t>)</w:t>
      </w:r>
      <w:r w:rsidRPr="00DF7E16">
        <w:rPr>
          <w:color w:val="000033"/>
        </w:rPr>
        <w:t>.</w:t>
      </w:r>
      <w:r>
        <w:rPr>
          <w:color w:val="000033"/>
        </w:rPr>
        <w:t xml:space="preserve"> Ekaterinburg</w:t>
      </w:r>
      <w:r>
        <w:t>, 2001</w:t>
      </w:r>
      <w:r w:rsidRPr="00BC56C7">
        <w:t>.</w:t>
      </w:r>
    </w:p>
  </w:footnote>
  <w:footnote w:id="15">
    <w:p w:rsidR="00E0371E" w:rsidRDefault="00E0371E" w:rsidP="00274D82">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 2004</w:t>
      </w:r>
      <w:r w:rsidRPr="004228EF">
        <w:t>.</w:t>
      </w:r>
    </w:p>
  </w:footnote>
  <w:footnote w:id="16">
    <w:p w:rsidR="00E0371E" w:rsidRDefault="00E0371E" w:rsidP="00274D82">
      <w:pPr>
        <w:pStyle w:val="Puslapioinaostekstas"/>
        <w:jc w:val="both"/>
      </w:pPr>
      <w:r>
        <w:rPr>
          <w:rStyle w:val="Puslapioinaosnuoroda"/>
        </w:rPr>
        <w:footnoteRef/>
      </w:r>
      <w:r>
        <w:t xml:space="preserve">Tensina, E. F. </w:t>
      </w:r>
      <w:r>
        <w:rPr>
          <w:i/>
        </w:rPr>
        <w:t>Proizvodstvo po delam ch</w:t>
      </w:r>
      <w:r w:rsidRPr="00B57450">
        <w:rPr>
          <w:i/>
        </w:rPr>
        <w:t xml:space="preserve">astnogo obvinenija kak forma dispozitivnosti </w:t>
      </w:r>
      <w:r w:rsidRPr="00B56034">
        <w:t>[Procedure in Private Prosecution Cases as a Form of Dispositiveness]</w:t>
      </w:r>
      <w:r w:rsidRPr="00B57450">
        <w:rPr>
          <w:i/>
        </w:rPr>
        <w:t>.</w:t>
      </w:r>
      <w:r>
        <w:rPr>
          <w:i/>
        </w:rPr>
        <w:t xml:space="preserve"> </w:t>
      </w:r>
      <w:r>
        <w:rPr>
          <w:color w:val="000033"/>
        </w:rPr>
        <w:t>Daktaro disertacija. S</w:t>
      </w:r>
      <w:r w:rsidRPr="00886693">
        <w:rPr>
          <w:color w:val="000033"/>
        </w:rPr>
        <w:t>o</w:t>
      </w:r>
      <w:r>
        <w:rPr>
          <w:color w:val="000033"/>
        </w:rPr>
        <w:t>cialiniai mokslai (teisė). Izhevsk, 2004</w:t>
      </w:r>
      <w:r w:rsidRPr="00875B7D">
        <w:t>.</w:t>
      </w:r>
    </w:p>
  </w:footnote>
  <w:footnote w:id="17">
    <w:p w:rsidR="00E0371E" w:rsidRDefault="00E0371E" w:rsidP="00274D82">
      <w:pPr>
        <w:pStyle w:val="Puslapioinaostekstas"/>
        <w:jc w:val="both"/>
      </w:pPr>
      <w:r>
        <w:rPr>
          <w:rStyle w:val="Puslapioinaosnuoroda"/>
        </w:rPr>
        <w:footnoteRef/>
      </w:r>
      <w:r w:rsidRPr="008052CB">
        <w:t xml:space="preserve">Dikarev, I. S. </w:t>
      </w:r>
      <w:r w:rsidRPr="008052CB">
        <w:rPr>
          <w:i/>
        </w:rPr>
        <w:t>Dispozitivnost</w:t>
      </w:r>
      <w:r>
        <w:rPr>
          <w:i/>
        </w:rPr>
        <w:t>‘</w:t>
      </w:r>
      <w:r w:rsidRPr="008052CB">
        <w:rPr>
          <w:i/>
        </w:rPr>
        <w:t xml:space="preserve"> v ugolovnom processe</w:t>
      </w:r>
      <w:r w:rsidRPr="008052CB">
        <w:t xml:space="preserve"> [Dispositiveness in Criminal Procedure]. Daktaro disertacija. Socialiniai mokslai (teisė). Volgograd, 2005.</w:t>
      </w:r>
    </w:p>
  </w:footnote>
  <w:footnote w:id="18">
    <w:p w:rsidR="00E0371E" w:rsidRDefault="00E0371E" w:rsidP="005664E5">
      <w:pPr>
        <w:pStyle w:val="Puslapioinaostekstas"/>
        <w:jc w:val="both"/>
      </w:pPr>
      <w:r>
        <w:rPr>
          <w:rStyle w:val="Puslapioinaosnuoroda"/>
        </w:rPr>
        <w:footnoteRef/>
      </w:r>
      <w:r>
        <w:t xml:space="preserve"> Doroshkov, V. V. </w:t>
      </w:r>
      <w:r>
        <w:rPr>
          <w:i/>
        </w:rPr>
        <w:t>Chastnoe obvineni</w:t>
      </w:r>
      <w:r w:rsidRPr="0008285E">
        <w:rPr>
          <w:i/>
        </w:rPr>
        <w:t>e. Pravovaja teorija i sudebnaja praktika</w:t>
      </w:r>
      <w:r>
        <w:rPr>
          <w:i/>
        </w:rPr>
        <w:t xml:space="preserve"> </w:t>
      </w:r>
      <w:proofErr w:type="gramStart"/>
      <w:r>
        <w:t>[</w:t>
      </w:r>
      <w:proofErr w:type="gramEnd"/>
      <w:r>
        <w:t>Private Prosecution. Legal Theory and Case Law]. Moskva: Norma, 2000.</w:t>
      </w:r>
    </w:p>
  </w:footnote>
  <w:footnote w:id="19">
    <w:p w:rsidR="00E0371E" w:rsidRDefault="00E0371E" w:rsidP="00274D82">
      <w:pPr>
        <w:pStyle w:val="Puslapioinaostekstas"/>
        <w:jc w:val="both"/>
      </w:pPr>
      <w:r>
        <w:rPr>
          <w:rStyle w:val="Puslapioinaosnuoroda"/>
        </w:rPr>
        <w:footnoteRef/>
      </w:r>
      <w:r>
        <w:t>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 1972</w:t>
      </w:r>
      <w:r>
        <w:t>.</w:t>
      </w:r>
    </w:p>
  </w:footnote>
  <w:footnote w:id="20">
    <w:p w:rsidR="00E0371E" w:rsidRDefault="00E0371E" w:rsidP="00274D82">
      <w:pPr>
        <w:pStyle w:val="Puslapioinaostekstas"/>
        <w:jc w:val="both"/>
      </w:pPr>
      <w:r>
        <w:rPr>
          <w:rStyle w:val="Puslapioinaosnuoroda"/>
        </w:rPr>
        <w:footnoteRef/>
      </w:r>
      <w:r>
        <w:t xml:space="preserve">Gil, D. </w:t>
      </w:r>
      <w:r w:rsidRPr="00875B7D">
        <w:rPr>
          <w:i/>
          <w:lang w:val="pl-PL"/>
        </w:rPr>
        <w:t>Postępowanie w sprawach z oskarżenia prywatnego w polskim procesie karnym</w:t>
      </w:r>
      <w:r>
        <w:rPr>
          <w:i/>
          <w:lang w:val="pl-PL"/>
        </w:rPr>
        <w:t xml:space="preserve">. </w:t>
      </w:r>
      <w:r>
        <w:rPr>
          <w:lang w:val="pl-PL"/>
        </w:rPr>
        <w:t xml:space="preserve">Daktaro disertacija. Socialiniai mokslai (teisė). </w:t>
      </w:r>
      <w:r w:rsidRPr="00E36EC8">
        <w:rPr>
          <w:lang w:val="pl-PL"/>
        </w:rPr>
        <w:t>Warszawa</w:t>
      </w:r>
      <w:r>
        <w:rPr>
          <w:lang w:val="pl-PL"/>
        </w:rPr>
        <w:t>,</w:t>
      </w:r>
      <w:r w:rsidRPr="00E36EC8">
        <w:rPr>
          <w:lang w:val="pl-PL"/>
        </w:rPr>
        <w:t xml:space="preserve"> 2011.</w:t>
      </w:r>
    </w:p>
  </w:footnote>
  <w:footnote w:id="21">
    <w:p w:rsidR="00E0371E" w:rsidRDefault="00E0371E" w:rsidP="00274D82">
      <w:pPr>
        <w:pStyle w:val="Puslapioinaostekstas"/>
        <w:jc w:val="both"/>
      </w:pPr>
      <w:r>
        <w:rPr>
          <w:rStyle w:val="Puslapioinaosnuoroda"/>
        </w:rPr>
        <w:footnoteRef/>
      </w:r>
      <w:r>
        <w:t xml:space="preserve">Perez Gil, J. </w:t>
      </w:r>
      <w:r w:rsidRPr="00B56034">
        <w:rPr>
          <w:i/>
        </w:rPr>
        <w:t>La acusación popular</w:t>
      </w:r>
      <w:r>
        <w:t xml:space="preserve">. Granada: Editorial Comares, 1998. </w:t>
      </w:r>
    </w:p>
  </w:footnote>
  <w:footnote w:id="22">
    <w:p w:rsidR="00E0371E" w:rsidRPr="00D2720F" w:rsidRDefault="00E0371E" w:rsidP="00274D82">
      <w:pPr>
        <w:pStyle w:val="Puslapioinaostekstas"/>
        <w:jc w:val="both"/>
        <w:rPr>
          <w:lang w:val="de-DE"/>
        </w:rPr>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 xml:space="preserve">: </w:t>
      </w:r>
      <w:r w:rsidRPr="00D5536A">
        <w:t>151</w:t>
      </w:r>
      <w:r>
        <w:t xml:space="preserve">-172. </w:t>
      </w:r>
    </w:p>
  </w:footnote>
  <w:footnote w:id="23">
    <w:p w:rsidR="00E0371E" w:rsidRDefault="00E0371E" w:rsidP="00274D82">
      <w:pPr>
        <w:pStyle w:val="Puslapioinaostekstas"/>
        <w:jc w:val="both"/>
      </w:pPr>
      <w:r>
        <w:rPr>
          <w:rStyle w:val="Puslapioinaosnuoroda"/>
        </w:rPr>
        <w:footnoteRef/>
      </w:r>
      <w:r w:rsidRPr="00875B7D">
        <w:t xml:space="preserve">Jung, H. Zur Rechtsstellung des Verletzten im Strafverfahren. </w:t>
      </w:r>
      <w:r w:rsidRPr="00875B7D">
        <w:rPr>
          <w:i/>
        </w:rPr>
        <w:t>Juristische Rundschau</w:t>
      </w:r>
      <w:r>
        <w:t>.</w:t>
      </w:r>
      <w:r w:rsidRPr="00875B7D">
        <w:t xml:space="preserve"> 1984, 8: 309-312.</w:t>
      </w:r>
    </w:p>
  </w:footnote>
  <w:footnote w:id="24">
    <w:p w:rsidR="00E0371E" w:rsidRDefault="00E0371E" w:rsidP="00274D82">
      <w:pPr>
        <w:pStyle w:val="Puslapioinaostekstas"/>
        <w:jc w:val="both"/>
      </w:pPr>
      <w:r>
        <w:rPr>
          <w:rStyle w:val="Puslapioinaosnuoroda"/>
        </w:rPr>
        <w:footnoteRef/>
      </w:r>
      <w:r w:rsidRPr="00875B7D">
        <w:t xml:space="preserve">Heger, M. Die Rolle des Opfers im Strafverfahren. </w:t>
      </w:r>
      <w:r w:rsidRPr="00875B7D">
        <w:rPr>
          <w:i/>
        </w:rPr>
        <w:t>Juristische Arbeitsblätter</w:t>
      </w:r>
      <w:r w:rsidRPr="00875B7D">
        <w:t>. 2007, 4: 244</w:t>
      </w:r>
      <w:r>
        <w:t>-248</w:t>
      </w:r>
      <w:r w:rsidRPr="00875B7D">
        <w:t>.</w:t>
      </w:r>
    </w:p>
  </w:footnote>
  <w:footnote w:id="25">
    <w:p w:rsidR="00E0371E" w:rsidRDefault="00E0371E" w:rsidP="00274D82">
      <w:pPr>
        <w:pStyle w:val="Puslapioinaostekstas"/>
        <w:jc w:val="both"/>
      </w:pPr>
      <w:r>
        <w:rPr>
          <w:rStyle w:val="Puslapioinaosnuoroda"/>
        </w:rPr>
        <w:footnoteRef/>
      </w:r>
      <w:r w:rsidRPr="00875B7D">
        <w:t>H</w:t>
      </w:r>
      <w:r w:rsidRPr="00875B7D">
        <w:rPr>
          <w:lang w:val="de-DE"/>
        </w:rPr>
        <w:t xml:space="preserve">örnle, T. </w:t>
      </w:r>
      <w:r w:rsidRPr="00875B7D">
        <w:t xml:space="preserve">Die Rolle des Opfers in der Straftheorie und im materiellen Strafrecht. </w:t>
      </w:r>
      <w:r w:rsidRPr="00875B7D">
        <w:rPr>
          <w:i/>
        </w:rPr>
        <w:t>Juristenzeitung</w:t>
      </w:r>
      <w:r>
        <w:t>.</w:t>
      </w:r>
      <w:r w:rsidRPr="00875B7D">
        <w:t xml:space="preserve"> 2006, 19: 950-957. </w:t>
      </w:r>
    </w:p>
  </w:footnote>
  <w:footnote w:id="26">
    <w:p w:rsidR="00E0371E" w:rsidRPr="00DD1A85" w:rsidRDefault="00E0371E" w:rsidP="00274D82">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DD1A85">
        <w:rPr>
          <w:i/>
          <w:lang w:val="de-DE"/>
        </w:rPr>
        <w:t>Rechtswissenschaft</w:t>
      </w:r>
      <w:r w:rsidRPr="00DD1A85">
        <w:rPr>
          <w:lang w:val="de-DE"/>
        </w:rPr>
        <w:t>. 2010,</w:t>
      </w:r>
      <w:r>
        <w:rPr>
          <w:lang w:val="de-DE"/>
        </w:rPr>
        <w:t xml:space="preserve"> </w:t>
      </w:r>
      <w:r w:rsidRPr="00DD1A85">
        <w:rPr>
          <w:lang w:val="de-DE"/>
        </w:rPr>
        <w:t>1: 39-47.</w:t>
      </w:r>
    </w:p>
  </w:footnote>
  <w:footnote w:id="27">
    <w:p w:rsidR="00E0371E" w:rsidRDefault="00E0371E" w:rsidP="00274D82">
      <w:pPr>
        <w:pStyle w:val="Puslapioinaostekstas"/>
        <w:jc w:val="both"/>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w:t>
      </w:r>
    </w:p>
  </w:footnote>
  <w:footnote w:id="28">
    <w:p w:rsidR="00E0371E" w:rsidRDefault="00E0371E" w:rsidP="00274D82">
      <w:pPr>
        <w:pStyle w:val="Puslapioinaostekstas"/>
        <w:jc w:val="both"/>
      </w:pPr>
      <w:r>
        <w:rPr>
          <w:rStyle w:val="Puslapioinaosnuoroda"/>
        </w:rPr>
        <w:footnoteRef/>
      </w:r>
      <w:r>
        <w:t xml:space="preserve">Rjazanovskij, V. A. </w:t>
      </w:r>
      <w:r>
        <w:rPr>
          <w:i/>
        </w:rPr>
        <w:t xml:space="preserve">Edinstvo processa </w:t>
      </w:r>
      <w:r w:rsidRPr="007A597D">
        <w:t>[Unity of Procedure].</w:t>
      </w:r>
      <w:r w:rsidRPr="00BC56C7">
        <w:t xml:space="preserve"> М</w:t>
      </w:r>
      <w:r>
        <w:t>oskva</w:t>
      </w:r>
      <w:r w:rsidRPr="00BC56C7">
        <w:t>: </w:t>
      </w:r>
      <w:r>
        <w:t>Gorodec</w:t>
      </w:r>
      <w:r w:rsidRPr="00BC56C7">
        <w:t>, 2005.</w:t>
      </w:r>
    </w:p>
  </w:footnote>
  <w:footnote w:id="29">
    <w:p w:rsidR="00E0371E" w:rsidRPr="00BC56C7" w:rsidRDefault="00E0371E" w:rsidP="00274D82">
      <w:pPr>
        <w:pStyle w:val="Puslapioinaostekstas"/>
        <w:jc w:val="both"/>
        <w:rPr>
          <w:b/>
        </w:rPr>
      </w:pPr>
      <w:r>
        <w:rPr>
          <w:rStyle w:val="Puslapioinaosnuoroda"/>
        </w:rPr>
        <w:footnoteRef/>
      </w:r>
      <w:r>
        <w:t xml:space="preserve">Smirnov, A. V. </w:t>
      </w:r>
      <w:r w:rsidRPr="00DD5D77">
        <w:rPr>
          <w:i/>
        </w:rPr>
        <w:t xml:space="preserve">Modeli ugolovnogo processa </w:t>
      </w:r>
      <w:r w:rsidRPr="007A597D">
        <w:t>[Models of Criminal Procedure].</w:t>
      </w:r>
      <w:r>
        <w:t xml:space="preserve"> Sankt Peterburg: Nauka: Alfa, 2000</w:t>
      </w:r>
      <w:r w:rsidRPr="00BC56C7">
        <w:t>.</w:t>
      </w:r>
    </w:p>
  </w:footnote>
  <w:footnote w:id="30">
    <w:p w:rsidR="00E0371E" w:rsidRDefault="00E0371E" w:rsidP="00274D82">
      <w:pPr>
        <w:pStyle w:val="Puslapioinaostekstas"/>
        <w:jc w:val="both"/>
      </w:pPr>
      <w:r>
        <w:rPr>
          <w:rStyle w:val="Puslapioinaosnuoroda"/>
        </w:rPr>
        <w:footnoteRef/>
      </w:r>
      <w:r w:rsidRPr="00920B97">
        <w:t>Krivka, E. </w:t>
      </w:r>
      <w:r w:rsidRPr="00920B97">
        <w:rPr>
          <w:i/>
        </w:rPr>
        <w:t>Viešojo intereso gynimo problemos civiliniame procese.</w:t>
      </w:r>
      <w:r w:rsidRPr="00920B97">
        <w:t> Daktaro di</w:t>
      </w:r>
      <w:r>
        <w:t>sertacija. Socialiniai mokslai (</w:t>
      </w:r>
      <w:r w:rsidRPr="00920B97">
        <w:t>teisė</w:t>
      </w:r>
      <w:r>
        <w:t>)</w:t>
      </w:r>
      <w:r w:rsidRPr="00920B97">
        <w:t xml:space="preserve">. Vilnius: Mykolo Romerio universitetas, 2006. </w:t>
      </w:r>
    </w:p>
  </w:footnote>
  <w:footnote w:id="31">
    <w:p w:rsidR="00E0371E" w:rsidRDefault="00E0371E" w:rsidP="00274D82">
      <w:pPr>
        <w:pStyle w:val="Puslapioinaostekstas"/>
        <w:jc w:val="both"/>
      </w:pPr>
      <w:r>
        <w:rPr>
          <w:rStyle w:val="Puslapioinaosnuoroda"/>
        </w:rPr>
        <w:footnoteRef/>
      </w:r>
      <w:r w:rsidRPr="00920B97">
        <w:t xml:space="preserve">Terebeiza, Ž. Dispozityvumo principo galiojimo ribos ginant viešąjį interesą teisme. </w:t>
      </w:r>
      <w:r w:rsidRPr="00920B97">
        <w:rPr>
          <w:i/>
        </w:rPr>
        <w:t>Jurisprudencija</w:t>
      </w:r>
      <w:r>
        <w:t>. 2008, 7 (109): 92-98.</w:t>
      </w:r>
    </w:p>
  </w:footnote>
  <w:footnote w:id="32">
    <w:p w:rsidR="00E0371E" w:rsidRDefault="00E0371E" w:rsidP="00274D82">
      <w:pPr>
        <w:pStyle w:val="Puslapioinaostekstas"/>
        <w:jc w:val="both"/>
      </w:pPr>
      <w:r>
        <w:rPr>
          <w:rStyle w:val="Puslapioinaosnuoroda"/>
        </w:rPr>
        <w:footnoteRef/>
      </w:r>
      <w:r w:rsidRPr="008052CB">
        <w:t xml:space="preserve">Trumpulis, U. Žmogaus individualūs interesai kaip viešojo intereso pagrindas. </w:t>
      </w:r>
      <w:r w:rsidRPr="008052CB">
        <w:rPr>
          <w:i/>
        </w:rPr>
        <w:t>Socialinių mokslų studijos.</w:t>
      </w:r>
      <w:r w:rsidRPr="008052CB">
        <w:t xml:space="preserve"> 2010, 2</w:t>
      </w:r>
      <w:r>
        <w:t xml:space="preserve"> </w:t>
      </w:r>
      <w:r w:rsidRPr="008052CB">
        <w:t>(6): 123-137.</w:t>
      </w:r>
    </w:p>
  </w:footnote>
  <w:footnote w:id="33">
    <w:p w:rsidR="00E0371E" w:rsidRDefault="00E0371E" w:rsidP="00274D82">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52794E">
        <w:rPr>
          <w:lang w:val="en-US"/>
        </w:rPr>
        <w:t xml:space="preserve"> 2002</w:t>
      </w:r>
      <w:r>
        <w:t>.</w:t>
      </w:r>
    </w:p>
  </w:footnote>
  <w:footnote w:id="34">
    <w:p w:rsidR="00E0371E" w:rsidRDefault="00E0371E" w:rsidP="00274D82">
      <w:pPr>
        <w:pStyle w:val="Puslapioinaostekstas"/>
        <w:jc w:val="both"/>
      </w:pPr>
      <w:r>
        <w:rPr>
          <w:rStyle w:val="Puslapioinaosnuoroda"/>
        </w:rPr>
        <w:footnoteRef/>
      </w:r>
      <w:r w:rsidRPr="007467EF">
        <w:t>Sapo</w:t>
      </w:r>
      <w:r>
        <w:t>zh</w:t>
      </w:r>
      <w:r w:rsidRPr="007467EF">
        <w:t xml:space="preserve">nikov, </w:t>
      </w:r>
      <w:r>
        <w:t>S</w:t>
      </w:r>
      <w:r w:rsidRPr="007467EF">
        <w:t xml:space="preserve">. </w:t>
      </w:r>
      <w:r>
        <w:t>A</w:t>
      </w:r>
      <w:r w:rsidRPr="007467EF">
        <w:t xml:space="preserve">. </w:t>
      </w:r>
      <w:r w:rsidRPr="007467EF">
        <w:rPr>
          <w:i/>
        </w:rPr>
        <w:t xml:space="preserve">Princip dispozitivnosti v grazhdanskom processe </w:t>
      </w:r>
      <w:r w:rsidRPr="007A597D">
        <w:t>[Principle of Dispositiveness in Civil Procedure]</w:t>
      </w:r>
      <w:r w:rsidRPr="007A597D">
        <w:rPr>
          <w:sz w:val="16"/>
        </w:rPr>
        <w:t>.</w:t>
      </w:r>
      <w:r>
        <w:rPr>
          <w:sz w:val="16"/>
        </w:rPr>
        <w:t xml:space="preserve"> </w:t>
      </w:r>
      <w:r w:rsidRPr="00DF7E16">
        <w:rPr>
          <w:color w:val="000033"/>
        </w:rPr>
        <w:t>Daktaro disertacija</w:t>
      </w:r>
      <w:r>
        <w:rPr>
          <w:color w:val="000033"/>
        </w:rPr>
        <w:t>.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Moskv</w:t>
      </w:r>
      <w:r w:rsidRPr="00284F17">
        <w:t>а, 2006</w:t>
      </w:r>
      <w:r>
        <w:t xml:space="preserve">. </w:t>
      </w:r>
    </w:p>
  </w:footnote>
  <w:footnote w:id="35">
    <w:p w:rsidR="00E0371E" w:rsidRDefault="00E0371E" w:rsidP="00274D82">
      <w:pPr>
        <w:pStyle w:val="Puslapioinaostekstas"/>
        <w:jc w:val="both"/>
      </w:pPr>
      <w:r>
        <w:rPr>
          <w:rStyle w:val="Puslapioinaosnuoroda"/>
        </w:rPr>
        <w:footnoteRef/>
      </w:r>
      <w:r>
        <w:t xml:space="preserve">Mikelėnas, V. </w:t>
      </w:r>
      <w:r w:rsidRPr="00CB4501">
        <w:rPr>
          <w:i/>
        </w:rPr>
        <w:t xml:space="preserve">Civilinis procesas. </w:t>
      </w:r>
      <w:r w:rsidRPr="00046171">
        <w:t>II dalis.</w:t>
      </w:r>
      <w:r>
        <w:t xml:space="preserve"> Vilnius: Justitia, 1997. Laužikas, E., Mikelėn</w:t>
      </w:r>
      <w:r w:rsidRPr="00920B97">
        <w:t xml:space="preserve">as, V., Nekrošius, V. </w:t>
      </w:r>
      <w:r w:rsidRPr="00920B97">
        <w:rPr>
          <w:i/>
        </w:rPr>
        <w:t>Civilinio proceso teisė</w:t>
      </w:r>
      <w:r w:rsidRPr="00920B97">
        <w:t>. I tomas.</w:t>
      </w:r>
      <w:r>
        <w:t xml:space="preserve"> Vilnius: Justitia, 2003. </w:t>
      </w:r>
      <w:r w:rsidRPr="00920B97">
        <w:t xml:space="preserve">Nekrošius, V. </w:t>
      </w:r>
      <w:r w:rsidRPr="00920B97">
        <w:rPr>
          <w:i/>
        </w:rPr>
        <w:t>Civilinis procesas: koncentruotumo principas ir jo įgyvendinimo galimybės</w:t>
      </w:r>
      <w:r w:rsidRPr="00920B97">
        <w:t>. Vilnius: Justitia, 2002</w:t>
      </w:r>
      <w:r>
        <w:t>.</w:t>
      </w:r>
    </w:p>
  </w:footnote>
  <w:footnote w:id="36">
    <w:p w:rsidR="00E0371E" w:rsidRDefault="00E0371E" w:rsidP="00274D82">
      <w:pPr>
        <w:pStyle w:val="Puslapioinaostekstas"/>
        <w:jc w:val="both"/>
      </w:pPr>
      <w:r>
        <w:rPr>
          <w:rStyle w:val="Puslapioinaosnuoroda"/>
        </w:rPr>
        <w:footnoteRef/>
      </w:r>
      <w:r w:rsidRPr="004228EF">
        <w:t xml:space="preserve">Driukas, A.,  Valančius, V. </w:t>
      </w:r>
      <w:r w:rsidRPr="004228EF">
        <w:rPr>
          <w:i/>
        </w:rPr>
        <w:t>Civilinis procesas: teorija ir praktika</w:t>
      </w:r>
      <w:r w:rsidRPr="004228EF">
        <w:t>. Vilnius: Teisinės informacijos centras, 2005-2007.</w:t>
      </w:r>
    </w:p>
  </w:footnote>
  <w:footnote w:id="37">
    <w:p w:rsidR="00E0371E" w:rsidRDefault="00E0371E" w:rsidP="00274D82">
      <w:pPr>
        <w:pStyle w:val="Puslapioinaostekstas"/>
        <w:jc w:val="both"/>
      </w:pPr>
      <w:r>
        <w:rPr>
          <w:rStyle w:val="Puslapioinaosnuoroda"/>
        </w:rPr>
        <w:footnoteRef/>
      </w:r>
      <w:r w:rsidRPr="008052CB">
        <w:t xml:space="preserve">Simaitis, R. Teisminė mediacija: kas tai? </w:t>
      </w:r>
      <w:r w:rsidRPr="005E4E0B">
        <w:rPr>
          <w:i/>
        </w:rPr>
        <w:t xml:space="preserve">Pranešimas </w:t>
      </w:r>
      <w:r w:rsidRPr="00FA7E9B">
        <w:rPr>
          <w:i/>
        </w:rPr>
        <w:t>2006 m. balandžio 6 d. konferencijo</w:t>
      </w:r>
      <w:r>
        <w:rPr>
          <w:i/>
        </w:rPr>
        <w:t>je</w:t>
      </w:r>
      <w:r>
        <w:t xml:space="preserve">. Vilnius, 2006. </w:t>
      </w:r>
      <w:r w:rsidRPr="008052CB">
        <w:t xml:space="preserve">Simaitis, R. </w:t>
      </w:r>
      <w:r w:rsidRPr="008052CB">
        <w:rPr>
          <w:i/>
        </w:rPr>
        <w:t>Bylinėjimosi išlaidos civiliniame procese</w:t>
      </w:r>
      <w:r w:rsidRPr="008052CB">
        <w:t>. Vilnius: Justitia, 2007</w:t>
      </w:r>
      <w:r>
        <w:t xml:space="preserve">. </w:t>
      </w:r>
      <w:r w:rsidRPr="00236FB3">
        <w:t xml:space="preserve">Simaitis, R. Mediacijos privačiuose ginčuose teisinio reguliavimo tendencijos Lietuvoje. </w:t>
      </w:r>
      <w:r w:rsidRPr="00236FB3">
        <w:rPr>
          <w:i/>
        </w:rPr>
        <w:t>Justitia</w:t>
      </w:r>
      <w:r>
        <w:t>.</w:t>
      </w:r>
      <w:r w:rsidRPr="00236FB3">
        <w:t xml:space="preserve"> 2007, 2</w:t>
      </w:r>
      <w:r>
        <w:t xml:space="preserve"> (64): 21-32</w:t>
      </w:r>
      <w:r w:rsidRPr="00236FB3">
        <w:t>.</w:t>
      </w:r>
    </w:p>
  </w:footnote>
  <w:footnote w:id="38">
    <w:p w:rsidR="00E0371E" w:rsidRDefault="00E0371E" w:rsidP="00274D82">
      <w:pPr>
        <w:pStyle w:val="Puslapioinaostekstas"/>
        <w:jc w:val="both"/>
      </w:pPr>
      <w:r>
        <w:rPr>
          <w:rStyle w:val="Puslapioinaosnuoroda"/>
        </w:rPr>
        <w:footnoteRef/>
      </w:r>
      <w:r w:rsidRPr="008052CB">
        <w:t xml:space="preserve">Žalėnienė, I. </w:t>
      </w:r>
      <w:r w:rsidRPr="008052CB">
        <w:rPr>
          <w:i/>
        </w:rPr>
        <w:t>Atstovavimas civiliniame procese (teoriniai ir praktiniai aspektai).</w:t>
      </w:r>
      <w:r w:rsidRPr="008052CB">
        <w:t xml:space="preserve"> Daktaro d</w:t>
      </w:r>
      <w:r>
        <w:t>isertacija. Socialiniai mokslai</w:t>
      </w:r>
      <w:r w:rsidRPr="008052CB">
        <w:t xml:space="preserve"> </w:t>
      </w:r>
      <w:r>
        <w:t>(</w:t>
      </w:r>
      <w:r w:rsidRPr="008052CB">
        <w:t>teisė</w:t>
      </w:r>
      <w:r>
        <w:t>)</w:t>
      </w:r>
      <w:r w:rsidRPr="008052CB">
        <w:t>. Vilnius: Mykolo Romerio universitetas, 2006</w:t>
      </w:r>
      <w:r>
        <w:t>.</w:t>
      </w:r>
    </w:p>
  </w:footnote>
  <w:footnote w:id="39">
    <w:p w:rsidR="00E0371E" w:rsidRDefault="00E0371E" w:rsidP="00274D82">
      <w:pPr>
        <w:pStyle w:val="Puslapioinaostekstas"/>
        <w:jc w:val="both"/>
      </w:pPr>
      <w:r>
        <w:rPr>
          <w:rStyle w:val="Puslapioinaosnuoroda"/>
        </w:rPr>
        <w:footnoteRef/>
      </w:r>
      <w:r w:rsidRPr="008052CB">
        <w:t xml:space="preserve">Ambrasaitė, G. </w:t>
      </w:r>
      <w:r w:rsidRPr="008052CB">
        <w:rPr>
          <w:i/>
        </w:rPr>
        <w:t>Apeliacija civiliniame procese</w:t>
      </w:r>
      <w:r w:rsidRPr="008052CB">
        <w:t>. Daktaro disertacija. Socialiniai mok</w:t>
      </w:r>
      <w:r>
        <w:t>slai</w:t>
      </w:r>
      <w:r w:rsidRPr="008052CB">
        <w:t xml:space="preserve"> </w:t>
      </w:r>
      <w:r>
        <w:t>(</w:t>
      </w:r>
      <w:r w:rsidRPr="008052CB">
        <w:t>teisė). Vilnius: Lietuvos Teisės Universitetas, 2004</w:t>
      </w:r>
      <w:r>
        <w:t>.</w:t>
      </w:r>
    </w:p>
  </w:footnote>
  <w:footnote w:id="40">
    <w:p w:rsidR="00E0371E" w:rsidRDefault="00E0371E" w:rsidP="00274D82">
      <w:pPr>
        <w:pStyle w:val="Puslapioinaostekstas"/>
        <w:jc w:val="both"/>
      </w:pPr>
      <w:r>
        <w:rPr>
          <w:rStyle w:val="Puslapioinaosnuoroda"/>
        </w:rPr>
        <w:footnoteRef/>
      </w:r>
      <w:r w:rsidRPr="008052CB">
        <w:t xml:space="preserve">Joutsen, M. Victim Participation in Proceedings and Sentencing in Europe. </w:t>
      </w:r>
      <w:r w:rsidRPr="008052CB">
        <w:rPr>
          <w:i/>
        </w:rPr>
        <w:t>International Review of Victimology</w:t>
      </w:r>
      <w:r w:rsidRPr="008052CB">
        <w:t>. 1994, 3: 57-67.</w:t>
      </w:r>
    </w:p>
  </w:footnote>
  <w:footnote w:id="41">
    <w:p w:rsidR="00E0371E" w:rsidRDefault="00E0371E" w:rsidP="00274D82">
      <w:pPr>
        <w:pStyle w:val="Puslapioinaostekstas"/>
        <w:jc w:val="both"/>
      </w:pPr>
      <w:r>
        <w:rPr>
          <w:rStyle w:val="Puslapioinaosnuoroda"/>
        </w:rPr>
        <w:footnoteRef/>
      </w:r>
      <w:r w:rsidRPr="008052CB">
        <w:t>Karmen, A.  </w:t>
      </w:r>
      <w:r w:rsidRPr="008052CB">
        <w:rPr>
          <w:i/>
        </w:rPr>
        <w:t>Crime Victims: an Introduction to Victimology.  </w:t>
      </w:r>
      <w:r w:rsidRPr="008052CB">
        <w:t>5-</w:t>
      </w:r>
      <w:r>
        <w:t>oji laida. Belmont: Thomson/</w:t>
      </w:r>
      <w:r w:rsidRPr="008052CB">
        <w:t xml:space="preserve">Wadsworth, 2004. </w:t>
      </w:r>
    </w:p>
  </w:footnote>
  <w:footnote w:id="42">
    <w:p w:rsidR="00E0371E" w:rsidRDefault="00E0371E" w:rsidP="005E4E0B">
      <w:pPr>
        <w:pStyle w:val="Puslapioinaostekstas"/>
        <w:jc w:val="both"/>
      </w:pPr>
      <w:r>
        <w:rPr>
          <w:rStyle w:val="Puslapioinaosnuoroda"/>
        </w:rPr>
        <w:footnoteRef/>
      </w:r>
      <w:r w:rsidRPr="008052CB">
        <w:t xml:space="preserve">Uscila, R. </w:t>
      </w:r>
      <w:r w:rsidRPr="008052CB">
        <w:rPr>
          <w:i/>
        </w:rPr>
        <w:t>Nusikaltimo aukos ir nusikaltėlio interakcija: viktimologinis aspektas.</w:t>
      </w:r>
      <w:r w:rsidRPr="008052CB">
        <w:t xml:space="preserve"> Daktaro d</w:t>
      </w:r>
      <w:r>
        <w:t>isertacija. Socialiniai mokslai</w:t>
      </w:r>
      <w:r w:rsidRPr="008052CB">
        <w:t xml:space="preserve"> </w:t>
      </w:r>
      <w:r>
        <w:t>(</w:t>
      </w:r>
      <w:r w:rsidRPr="008052CB">
        <w:t>teisė). Vilnius</w:t>
      </w:r>
      <w:r>
        <w:t>: Lietuvos teisės universitetas</w:t>
      </w:r>
      <w:r w:rsidRPr="008052CB">
        <w:t>, 2003</w:t>
      </w:r>
      <w:r>
        <w:t xml:space="preserve">. Uscila, R. Nusikaltimo aukos ir nusikaltėlio mediacijos įdiegimo galimybės Lietuvoje. </w:t>
      </w:r>
      <w:r w:rsidRPr="005E4E0B">
        <w:rPr>
          <w:i/>
        </w:rPr>
        <w:t>Teisės problemos</w:t>
      </w:r>
      <w:r>
        <w:t xml:space="preserve">. 2006, 2(52): 84-99. Uscila, R. </w:t>
      </w:r>
      <w:r w:rsidRPr="005E4E0B">
        <w:rPr>
          <w:i/>
        </w:rPr>
        <w:t>Viktimologijos pagrindai</w:t>
      </w:r>
      <w:r>
        <w:t xml:space="preserve">. Vilnius: Nusikalstamumo prevencijos Lietuvoje centras, 2005. Uscila, R. </w:t>
      </w:r>
      <w:r w:rsidRPr="005E4E0B">
        <w:rPr>
          <w:i/>
        </w:rPr>
        <w:t>Viktimologijos pagrindai. Nusikaltimų aukų socialinė ir teisinė apsauga Lietuvoje</w:t>
      </w:r>
      <w:r>
        <w:t>. Vilnius: Mokslo aidai, 2005.</w:t>
      </w:r>
    </w:p>
  </w:footnote>
  <w:footnote w:id="43">
    <w:p w:rsidR="00E0371E" w:rsidRDefault="00E0371E" w:rsidP="00274D82">
      <w:pPr>
        <w:pStyle w:val="Puslapioinaostekstas"/>
        <w:jc w:val="both"/>
      </w:pPr>
      <w:r>
        <w:rPr>
          <w:rStyle w:val="Puslapioinaosnuoroda"/>
        </w:rPr>
        <w:footnoteRef/>
      </w:r>
      <w:r w:rsidRPr="005E4E0B">
        <w:t xml:space="preserve">Michailovič, I. </w:t>
      </w:r>
      <w:r w:rsidRPr="005E4E0B">
        <w:rPr>
          <w:i/>
        </w:rPr>
        <w:t>Viktimologijos raida ir perspektyvos</w:t>
      </w:r>
      <w:r w:rsidRPr="005E4E0B">
        <w:t>. Vilnius: Teisinės informacijos centras, 2007.</w:t>
      </w:r>
      <w:r>
        <w:t xml:space="preserve"> </w:t>
      </w:r>
      <w:r w:rsidRPr="00046171">
        <w:t xml:space="preserve">Michailovič, I. Atkuriamojo teisingumo galimybės baudžiamojoje justicijoje. In Prapiestis, J., </w:t>
      </w:r>
      <w:r w:rsidRPr="00046171">
        <w:rPr>
          <w:i/>
        </w:rPr>
        <w:t>et al. Globalizacijos iššūkiai baudžiamajai justicijai: recenzuotų mokslinių straipsnių baudžiamosios teisės, bausmių vykdymo ir baudžiamojo proceso klausimais rinkinys.</w:t>
      </w:r>
      <w:r w:rsidRPr="00046171">
        <w:t xml:space="preserve"> Vilnius: VĮ Registrų centras, 2014, p. 77-89.</w:t>
      </w:r>
    </w:p>
  </w:footnote>
  <w:footnote w:id="44">
    <w:p w:rsidR="00E0371E" w:rsidRDefault="00E0371E" w:rsidP="00274D82">
      <w:pPr>
        <w:pStyle w:val="Puslapioinaostekstas"/>
        <w:jc w:val="both"/>
      </w:pPr>
      <w:r>
        <w:rPr>
          <w:rStyle w:val="Puslapioinaosnuoroda"/>
        </w:rPr>
        <w:footnoteRef/>
      </w:r>
      <w:r w:rsidRPr="008052CB">
        <w:t xml:space="preserve">Spalek, B. </w:t>
      </w:r>
      <w:r w:rsidRPr="008052CB">
        <w:rPr>
          <w:i/>
        </w:rPr>
        <w:t xml:space="preserve">Crime Victims: Theory, Policy and Practice. </w:t>
      </w:r>
      <w:r w:rsidRPr="008052CB">
        <w:t xml:space="preserve">Basingstoke: Palgrave Macmillan, 2006. </w:t>
      </w:r>
    </w:p>
  </w:footnote>
  <w:footnote w:id="45">
    <w:p w:rsidR="00E0371E" w:rsidRDefault="00E0371E" w:rsidP="00274D82">
      <w:pPr>
        <w:pStyle w:val="Puslapioinaostekstas"/>
        <w:jc w:val="both"/>
      </w:pPr>
      <w:r>
        <w:rPr>
          <w:rStyle w:val="Puslapioinaosnuoroda"/>
        </w:rPr>
        <w:footnoteRef/>
      </w:r>
      <w:r w:rsidRPr="00584B70">
        <w:t xml:space="preserve">Klerman, D. </w:t>
      </w:r>
      <w:r w:rsidRPr="00FA7E9B">
        <w:t>Settlement and the Decline of Private Prosecution in Thirteenth-Century England.</w:t>
      </w:r>
      <w:r w:rsidRPr="00584B70">
        <w:t xml:space="preserve"> </w:t>
      </w:r>
      <w:r w:rsidRPr="00584B70">
        <w:rPr>
          <w:i/>
        </w:rPr>
        <w:t>Law and History Review</w:t>
      </w:r>
      <w:r w:rsidRPr="00584B70">
        <w:t>. 2001, 19</w:t>
      </w:r>
      <w:r>
        <w:t xml:space="preserve"> </w:t>
      </w:r>
      <w:r w:rsidRPr="00584B70">
        <w:t>(1): 1-66.</w:t>
      </w:r>
    </w:p>
  </w:footnote>
  <w:footnote w:id="46">
    <w:p w:rsidR="00E0371E" w:rsidRDefault="00E0371E" w:rsidP="00274D82">
      <w:pPr>
        <w:pStyle w:val="Puslapioinaostekstas"/>
        <w:jc w:val="both"/>
      </w:pPr>
      <w:r>
        <w:rPr>
          <w:rStyle w:val="Puslapioinaosnuoroda"/>
        </w:rPr>
        <w:footnoteRef/>
      </w:r>
      <w:r w:rsidRPr="00584B70">
        <w:t xml:space="preserve">Ma, Y. Exploring th Origins of Public Prosecution. </w:t>
      </w:r>
      <w:r w:rsidRPr="00584B70">
        <w:rPr>
          <w:i/>
          <w:iCs/>
        </w:rPr>
        <w:t>Intern</w:t>
      </w:r>
      <w:r>
        <w:rPr>
          <w:i/>
          <w:iCs/>
        </w:rPr>
        <w:t>ational Criminal Justice Review</w:t>
      </w:r>
      <w:r w:rsidRPr="00584B70">
        <w:rPr>
          <w:i/>
          <w:iCs/>
        </w:rPr>
        <w:t xml:space="preserve"> </w:t>
      </w:r>
      <w:r w:rsidRPr="00584B70">
        <w:rPr>
          <w:iCs/>
        </w:rPr>
        <w:t>[interaktyvus]</w:t>
      </w:r>
      <w:r w:rsidRPr="00584B70">
        <w:t>. 2008, 18: 190-211</w:t>
      </w:r>
      <w:r>
        <w:t xml:space="preserve"> </w:t>
      </w:r>
      <w:r w:rsidRPr="00584B70">
        <w:t>[žiūrėta 2011-12-22]</w:t>
      </w:r>
      <w:r>
        <w:t>.</w:t>
      </w:r>
      <w:r w:rsidRPr="00584B70">
        <w:t xml:space="preserve"> </w:t>
      </w:r>
      <w:r>
        <w:t>&lt;</w:t>
      </w:r>
      <w:hyperlink r:id="rId1" w:history="1">
        <w:r w:rsidRPr="00584B70">
          <w:rPr>
            <w:rStyle w:val="Hipersaitas"/>
          </w:rPr>
          <w:t>http://icj.sagepub.com/cgi/content/abstract/18/2/190</w:t>
        </w:r>
      </w:hyperlink>
      <w:r>
        <w:rPr>
          <w:rStyle w:val="Hipersaitas"/>
        </w:rPr>
        <w:t>&gt;.</w:t>
      </w:r>
    </w:p>
  </w:footnote>
  <w:footnote w:id="47">
    <w:p w:rsidR="00E0371E" w:rsidRDefault="00E0371E" w:rsidP="00274D82">
      <w:pPr>
        <w:pStyle w:val="Puslapioinaostekstas"/>
        <w:jc w:val="both"/>
      </w:pPr>
      <w:r>
        <w:rPr>
          <w:rStyle w:val="Puslapioinaosnuoroda"/>
        </w:rPr>
        <w:footnoteRef/>
      </w:r>
      <w:r w:rsidRPr="00584B70">
        <w:t xml:space="preserve">Van Caenegem, R.C. </w:t>
      </w:r>
      <w:r w:rsidRPr="00584B70">
        <w:rPr>
          <w:i/>
        </w:rPr>
        <w:t>Legal History: a European Perspective</w:t>
      </w:r>
      <w:r w:rsidRPr="00584B70">
        <w:t xml:space="preserve">. London: The Hambledon Press, 1991. </w:t>
      </w:r>
    </w:p>
  </w:footnote>
  <w:footnote w:id="48">
    <w:p w:rsidR="00E0371E" w:rsidRDefault="00E0371E" w:rsidP="00274D82">
      <w:pPr>
        <w:pStyle w:val="Puslapioinaostekstas"/>
        <w:jc w:val="both"/>
      </w:pPr>
      <w:r>
        <w:rPr>
          <w:rStyle w:val="Puslapioinaosnuoroda"/>
        </w:rPr>
        <w:footnoteRef/>
      </w:r>
      <w:r w:rsidRPr="00584B70">
        <w:t>M</w:t>
      </w:r>
      <w:r>
        <w:t>ü</w:t>
      </w:r>
      <w:r w:rsidRPr="00584B70">
        <w:t>ller, G</w:t>
      </w:r>
      <w:r>
        <w:t>. O. W., Poole-Griffiths, F. L.</w:t>
      </w:r>
      <w:r w:rsidRPr="00584B70">
        <w:t xml:space="preserve"> </w:t>
      </w:r>
      <w:r w:rsidRPr="00584B70">
        <w:rPr>
          <w:i/>
        </w:rPr>
        <w:t>Comparative Criminal Procedure</w:t>
      </w:r>
      <w:r w:rsidRPr="00584B70">
        <w:t xml:space="preserve">. New York: New York University Press, 1969. </w:t>
      </w:r>
    </w:p>
  </w:footnote>
  <w:footnote w:id="49">
    <w:p w:rsidR="00E0371E" w:rsidRDefault="00E0371E" w:rsidP="00274D82">
      <w:pPr>
        <w:pStyle w:val="Puslapioinaostekstas"/>
        <w:jc w:val="both"/>
      </w:pPr>
      <w:r>
        <w:rPr>
          <w:rStyle w:val="Puslapioinaosnuoroda"/>
        </w:rPr>
        <w:footnoteRef/>
      </w:r>
      <w:r w:rsidRPr="00457889">
        <w:t xml:space="preserve">Chelcov-Bebutov, M. A. </w:t>
      </w:r>
      <w:r w:rsidRPr="00457889">
        <w:rPr>
          <w:i/>
        </w:rPr>
        <w:t>Kurs ugolovnogo processa. Ocherki po istorii suda i ugolovnogo processa v rabovladelcheskikh, feodalnykh i burzhuaznykh gosudarstvakh</w:t>
      </w:r>
      <w:r w:rsidRPr="00457889">
        <w:t>. [The Course of Criminal Procedure. Essays on the History of the Court and Criminal Proceedings in Slave, Feudal and Bourgeois States]. Sankt</w:t>
      </w:r>
      <w:r>
        <w:t xml:space="preserve"> Peterburg: Ravena: Alfa, 1995. </w:t>
      </w:r>
    </w:p>
  </w:footnote>
  <w:footnote w:id="50">
    <w:p w:rsidR="00E0371E" w:rsidRDefault="00E0371E" w:rsidP="00274D82">
      <w:pPr>
        <w:pStyle w:val="Puslapioinaostekstas"/>
        <w:jc w:val="both"/>
      </w:pPr>
      <w:r>
        <w:rPr>
          <w:rStyle w:val="Puslapioinaosnuoroda"/>
        </w:rPr>
        <w:footnoteRef/>
      </w:r>
      <w:r>
        <w:t xml:space="preserve">Tavuchis, N. </w:t>
      </w:r>
      <w:r w:rsidRPr="008052CB">
        <w:rPr>
          <w:i/>
        </w:rPr>
        <w:t>Mea Culpa: A Sociology of Apology and Reconciliation</w:t>
      </w:r>
      <w:r w:rsidRPr="008052CB">
        <w:t xml:space="preserve">. Stanford: Stanford University Press, 1991.  </w:t>
      </w:r>
    </w:p>
  </w:footnote>
  <w:footnote w:id="51">
    <w:p w:rsidR="00E0371E" w:rsidRDefault="00E0371E" w:rsidP="00274D82">
      <w:pPr>
        <w:pStyle w:val="Puslapioinaostekstas"/>
        <w:jc w:val="both"/>
      </w:pPr>
      <w:r>
        <w:rPr>
          <w:rStyle w:val="Puslapioinaosnuoroda"/>
        </w:rPr>
        <w:footnoteRef/>
      </w:r>
      <w:r>
        <w:t xml:space="preserve">Justickis, V., Valickas, G. </w:t>
      </w:r>
      <w:r w:rsidRPr="008052CB">
        <w:rPr>
          <w:bCs/>
          <w:i/>
        </w:rPr>
        <w:t>Procedūrinis teisingumas Lietuvos kriminalinėje justicijoje.</w:t>
      </w:r>
      <w:r w:rsidRPr="008052CB">
        <w:rPr>
          <w:bCs/>
        </w:rPr>
        <w:t xml:space="preserve"> Vilnius: Mykolo Romerio Universiteto Leidybos centras, 2006</w:t>
      </w:r>
      <w:r>
        <w:rPr>
          <w:bCs/>
        </w:rPr>
        <w:t>.</w:t>
      </w:r>
    </w:p>
  </w:footnote>
  <w:footnote w:id="52">
    <w:p w:rsidR="00E0371E" w:rsidRDefault="00E0371E" w:rsidP="00274D82">
      <w:pPr>
        <w:pStyle w:val="Puslapioinaostekstas"/>
        <w:jc w:val="both"/>
      </w:pPr>
      <w:r>
        <w:rPr>
          <w:rStyle w:val="Puslapioinaosnuoroda"/>
        </w:rPr>
        <w:footnoteRef/>
      </w:r>
      <w:r w:rsidRPr="00B32917">
        <w:t xml:space="preserve">Maslennikova, L. </w:t>
      </w:r>
      <w:r>
        <w:t>N</w:t>
      </w:r>
      <w:r w:rsidRPr="00B32917">
        <w:t xml:space="preserve">. </w:t>
      </w:r>
      <w:r>
        <w:rPr>
          <w:i/>
        </w:rPr>
        <w:t>Metodologija poznanija publichnogo i ch</w:t>
      </w:r>
      <w:r w:rsidRPr="006B615E">
        <w:rPr>
          <w:i/>
        </w:rPr>
        <w:t>astnogo (di</w:t>
      </w:r>
      <w:r>
        <w:rPr>
          <w:i/>
        </w:rPr>
        <w:t>spozitivnogo) nach</w:t>
      </w:r>
      <w:r w:rsidRPr="006B615E">
        <w:rPr>
          <w:i/>
        </w:rPr>
        <w:t xml:space="preserve">al v ugolovnom sudoproizvodstve </w:t>
      </w:r>
      <w:r w:rsidRPr="007A597D">
        <w:t>[Methodology of Cognition of Public and Private (Dispositive) Origins in Criminal Procedure]</w:t>
      </w:r>
      <w:r w:rsidRPr="007A597D">
        <w:rPr>
          <w:sz w:val="16"/>
        </w:rPr>
        <w:t>.</w:t>
      </w:r>
      <w:r>
        <w:rPr>
          <w:sz w:val="16"/>
        </w:rPr>
        <w:t xml:space="preserve"> </w:t>
      </w:r>
      <w:r>
        <w:t>Moskva: Akademija upravlenija MVD Rossii,</w:t>
      </w:r>
      <w:r w:rsidRPr="00B32917">
        <w:t xml:space="preserve"> 2000</w:t>
      </w:r>
      <w:r w:rsidRPr="00284F17">
        <w:t>, p.</w:t>
      </w:r>
      <w:r>
        <w:t xml:space="preserve"> 12.</w:t>
      </w:r>
    </w:p>
  </w:footnote>
  <w:footnote w:id="53">
    <w:p w:rsidR="00E0371E" w:rsidRPr="00B32917" w:rsidRDefault="00E0371E" w:rsidP="00274D82">
      <w:pPr>
        <w:pStyle w:val="Puslapioinaostekstas"/>
        <w:jc w:val="both"/>
        <w:rPr>
          <w:i/>
        </w:rPr>
      </w:pPr>
      <w:r>
        <w:rPr>
          <w:rStyle w:val="Puslapioinaosnuoroda"/>
        </w:rPr>
        <w:footnoteRef/>
      </w:r>
      <w:r>
        <w:t xml:space="preserve"> Kuncevičius, G. </w:t>
      </w:r>
      <w:r w:rsidRPr="00EB4B87">
        <w:rPr>
          <w:i/>
        </w:rPr>
        <w:t>Administracinės sutarties institutas</w:t>
      </w:r>
      <w:r>
        <w:rPr>
          <w:i/>
        </w:rPr>
        <w:t xml:space="preserve"> </w:t>
      </w:r>
      <w:r w:rsidRPr="00EB4B87">
        <w:rPr>
          <w:i/>
        </w:rPr>
        <w:t>ir jo teorinis pagrindimas</w:t>
      </w:r>
      <w:r>
        <w:t xml:space="preserve">. Daktaro disertacija. Socialiniai mokslai (teisė). Vilnius: Mykolo Romerio universitetas, 2011, p. 162. </w:t>
      </w:r>
    </w:p>
  </w:footnote>
  <w:footnote w:id="54">
    <w:p w:rsidR="00E0371E" w:rsidRDefault="00E0371E" w:rsidP="00274D82">
      <w:pPr>
        <w:pStyle w:val="Puslapioinaostekstas"/>
        <w:jc w:val="both"/>
      </w:pPr>
      <w:r>
        <w:rPr>
          <w:rStyle w:val="Puslapioinaosnuoroda"/>
        </w:rPr>
        <w:footnoteRef/>
      </w:r>
      <w:r>
        <w:t xml:space="preserve"> 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t xml:space="preserve"> 12.</w:t>
      </w:r>
    </w:p>
  </w:footnote>
  <w:footnote w:id="55">
    <w:p w:rsidR="00E0371E" w:rsidRPr="00EE6133" w:rsidRDefault="00E0371E" w:rsidP="00274D82">
      <w:pPr>
        <w:pStyle w:val="Puslapioinaostekstas"/>
        <w:jc w:val="both"/>
      </w:pPr>
      <w:r>
        <w:rPr>
          <w:rStyle w:val="Puslapioinaosnuoroda"/>
        </w:rPr>
        <w:footnoteRef/>
      </w:r>
      <w:r>
        <w:t xml:space="preserve"> Plačiau apie privatinės ir viešosios teisės atskyrimo kriterijų koncepcijas: </w:t>
      </w:r>
      <w:r w:rsidRPr="004D31B4">
        <w:t xml:space="preserve">Belykh, V. S. O sootnoshenii chastnogo i publichnogo prava v pravovom regulirovanii obshhestvennykh otnoshenij [On Correlation of Private and Public Law in Legal Regulation of Social Relations]. </w:t>
      </w:r>
      <w:r w:rsidRPr="004D31B4">
        <w:rPr>
          <w:i/>
        </w:rPr>
        <w:t>The public law/ private law divide : une entente assez cordiale? = La distinction du droit public et du droit privé</w:t>
      </w:r>
      <w:r w:rsidRPr="004D31B4">
        <w:t>. </w:t>
      </w:r>
      <w:proofErr w:type="gramStart"/>
      <w:r w:rsidRPr="004D31B4">
        <w:t>(</w:t>
      </w:r>
      <w:proofErr w:type="gramEnd"/>
      <w:r w:rsidRPr="004D31B4">
        <w:t>Red. Freedland, M., Auby J.-B.).  Oxford, Portland (Or.): Hart Publishing, 2006, p. 107-112</w:t>
      </w:r>
      <w:r>
        <w:rPr>
          <w:color w:val="000033"/>
        </w:rPr>
        <w:t xml:space="preserve">. </w:t>
      </w:r>
    </w:p>
  </w:footnote>
  <w:footnote w:id="56">
    <w:p w:rsidR="00E0371E" w:rsidRPr="006864A2" w:rsidRDefault="00E0371E" w:rsidP="00274D82">
      <w:pPr>
        <w:pStyle w:val="Puslapioinaostekstas"/>
        <w:jc w:val="both"/>
      </w:pPr>
      <w:r>
        <w:rPr>
          <w:rStyle w:val="Puslapioinaosnuoroda"/>
        </w:rPr>
        <w:footnoteRef/>
      </w:r>
      <w:r>
        <w:t xml:space="preserve"> 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rsidRPr="00B57450">
        <w:rPr>
          <w:i/>
        </w:rPr>
        <w:t>.</w:t>
      </w:r>
      <w:r>
        <w:rPr>
          <w:i/>
        </w:rPr>
        <w:t xml:space="preserve"> </w:t>
      </w:r>
      <w:r>
        <w:rPr>
          <w:color w:val="000033"/>
        </w:rPr>
        <w:t>Daktaro disertacija. S</w:t>
      </w:r>
      <w:r w:rsidRPr="00886693">
        <w:rPr>
          <w:color w:val="000033"/>
        </w:rPr>
        <w:t>o</w:t>
      </w:r>
      <w:r>
        <w:rPr>
          <w:color w:val="000033"/>
        </w:rPr>
        <w:t>cialiniai mokslai (teisė). Izhevsk, 2004</w:t>
      </w:r>
      <w:r>
        <w:rPr>
          <w:color w:val="333333"/>
        </w:rPr>
        <w:t>, p.</w:t>
      </w:r>
      <w:r>
        <w:t xml:space="preserve"> 12.</w:t>
      </w:r>
    </w:p>
  </w:footnote>
  <w:footnote w:id="57">
    <w:p w:rsidR="00E0371E" w:rsidRPr="00886693" w:rsidRDefault="00E0371E" w:rsidP="00274D82">
      <w:pPr>
        <w:pStyle w:val="Puslapioinaostekstas"/>
        <w:jc w:val="both"/>
      </w:pPr>
      <w:r>
        <w:rPr>
          <w:rStyle w:val="Puslapioinaosnuoroda"/>
        </w:rPr>
        <w:footnoteRef/>
      </w:r>
      <w:r w:rsidRPr="00886693">
        <w:rPr>
          <w:color w:val="000033"/>
        </w:rPr>
        <w:t>Krivka, E</w:t>
      </w:r>
      <w:r>
        <w:rPr>
          <w:color w:val="000033"/>
        </w:rPr>
        <w:t>.</w:t>
      </w:r>
      <w:r w:rsidRPr="00886693">
        <w:rPr>
          <w:color w:val="000033"/>
        </w:rPr>
        <w:t> </w:t>
      </w:r>
      <w:r w:rsidRPr="007757C3">
        <w:rPr>
          <w:i/>
          <w:color w:val="000033"/>
        </w:rPr>
        <w:t>Viešojo intereso gynimo problemos civiliniame procese</w:t>
      </w:r>
      <w:r>
        <w:rPr>
          <w:color w:val="000033"/>
        </w:rPr>
        <w:t>.</w:t>
      </w:r>
      <w:r w:rsidRPr="00886693">
        <w:rPr>
          <w:color w:val="000033"/>
        </w:rPr>
        <w:t> </w:t>
      </w:r>
      <w:r>
        <w:rPr>
          <w:color w:val="000033"/>
        </w:rPr>
        <w:t>D</w:t>
      </w:r>
      <w:r w:rsidRPr="00886693">
        <w:rPr>
          <w:color w:val="000033"/>
        </w:rPr>
        <w:t>aktaro disertacija</w:t>
      </w:r>
      <w:r>
        <w:rPr>
          <w:color w:val="000033"/>
        </w:rPr>
        <w:t>. S</w:t>
      </w:r>
      <w:r w:rsidRPr="00886693">
        <w:rPr>
          <w:color w:val="000033"/>
        </w:rPr>
        <w:t>o</w:t>
      </w:r>
      <w:r>
        <w:rPr>
          <w:color w:val="000033"/>
        </w:rPr>
        <w:t>cialiniai mokslai (teisė).</w:t>
      </w:r>
      <w:r w:rsidRPr="00886693">
        <w:rPr>
          <w:color w:val="000033"/>
        </w:rPr>
        <w:t xml:space="preserve"> Vilnius</w:t>
      </w:r>
      <w:r>
        <w:rPr>
          <w:color w:val="000033"/>
        </w:rPr>
        <w:t>: Mykolo Romerio universitetas</w:t>
      </w:r>
      <w:r w:rsidRPr="00886693">
        <w:rPr>
          <w:color w:val="000033"/>
        </w:rPr>
        <w:t>, 2006, p.</w:t>
      </w:r>
      <w:r w:rsidRPr="00886693">
        <w:t>14</w:t>
      </w:r>
      <w:r>
        <w:t xml:space="preserve">. </w:t>
      </w:r>
    </w:p>
  </w:footnote>
  <w:footnote w:id="58">
    <w:p w:rsidR="00E0371E" w:rsidRPr="00ED3CA1" w:rsidRDefault="00E0371E" w:rsidP="00274D82">
      <w:pPr>
        <w:pStyle w:val="Puslapioinaostekstas"/>
        <w:jc w:val="both"/>
      </w:pPr>
      <w:r>
        <w:rPr>
          <w:rStyle w:val="Puslapioinaosnuoroda"/>
        </w:rPr>
        <w:footnoteRef/>
      </w:r>
      <w:r w:rsidRPr="00CC7580">
        <w:rPr>
          <w:i/>
          <w:color w:val="000033"/>
        </w:rPr>
        <w:t>Digesty Justiniana. Digesta Ivstiniani</w:t>
      </w:r>
      <w:r w:rsidRPr="00CC7580">
        <w:rPr>
          <w:color w:val="000033"/>
        </w:rPr>
        <w:t>. (Red. Kofanov, L. L.) I tomas. Moskva: Konsultant Pljus: Statut, 2002</w:t>
      </w:r>
      <w:r w:rsidRPr="00ED3CA1">
        <w:rPr>
          <w:color w:val="000033"/>
        </w:rPr>
        <w:t>, p. 82.</w:t>
      </w:r>
    </w:p>
  </w:footnote>
  <w:footnote w:id="59">
    <w:p w:rsidR="00E0371E" w:rsidRPr="007A597D" w:rsidRDefault="00E0371E" w:rsidP="007A597D">
      <w:pPr>
        <w:pStyle w:val="Puslapioinaostekstas"/>
        <w:jc w:val="both"/>
      </w:pPr>
      <w:r w:rsidRPr="00ED3CA1">
        <w:rPr>
          <w:rStyle w:val="Puslapioinaosnuoroda"/>
        </w:rPr>
        <w:footnoteRef/>
      </w:r>
      <w:r>
        <w:t xml:space="preserve">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t xml:space="preserve"> 13. 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DF7E16">
        <w:rPr>
          <w:color w:val="000033"/>
        </w:rPr>
        <w:t xml:space="preserve">Daktaro disertacija. Socialiniai mokslai </w:t>
      </w:r>
      <w:r>
        <w:rPr>
          <w:color w:val="000033"/>
        </w:rPr>
        <w:t>(</w:t>
      </w:r>
      <w:r w:rsidRPr="00DF7E16">
        <w:rPr>
          <w:color w:val="000033"/>
        </w:rPr>
        <w:t>teisė</w:t>
      </w:r>
      <w:r>
        <w:rPr>
          <w:color w:val="000033"/>
        </w:rPr>
        <w:t>)</w:t>
      </w:r>
      <w:r w:rsidRPr="00DF7E16">
        <w:rPr>
          <w:color w:val="000033"/>
        </w:rPr>
        <w:t>.</w:t>
      </w:r>
      <w:r>
        <w:rPr>
          <w:color w:val="000033"/>
        </w:rPr>
        <w:t xml:space="preserve"> Ekaterinburg</w:t>
      </w:r>
      <w:r>
        <w:t>, 2001</w:t>
      </w:r>
      <w:r w:rsidRPr="00981CA2">
        <w:t xml:space="preserve">, p. </w:t>
      </w:r>
      <w:r>
        <w:t xml:space="preserve">23. Numavičius, Z., Stačiokas, S. </w:t>
      </w:r>
      <w:r w:rsidRPr="007757C3">
        <w:rPr>
          <w:i/>
        </w:rPr>
        <w:t>Viešųjų ir privačių interesų derinimas – darnios civilinės visuomenės ir teisinės valstybės principas</w:t>
      </w:r>
      <w:r>
        <w:rPr>
          <w:i/>
        </w:rPr>
        <w:t xml:space="preserve"> </w:t>
      </w:r>
      <w:r>
        <w:t>[interaktyvus]. [žiūrėta 2009-06-02]. &lt;</w:t>
      </w:r>
      <w:hyperlink r:id="rId2" w:history="1">
        <w:r w:rsidRPr="002165A8">
          <w:rPr>
            <w:rStyle w:val="Hipersaitas"/>
          </w:rPr>
          <w:t>http://www.lrkt.lt/PKonferencijose/15.pdf</w:t>
        </w:r>
      </w:hyperlink>
      <w:r>
        <w:t xml:space="preserve">&gt;. Baranskaitė, A. </w:t>
      </w:r>
      <w:r w:rsidRPr="00733CEA">
        <w:rPr>
          <w:i/>
        </w:rPr>
        <w:t>Taikos sutartis baudžiamojoje teisėje</w:t>
      </w:r>
      <w:r>
        <w:t xml:space="preserve">. Vilnius: Teisinės informacijos centras, 2007. </w:t>
      </w:r>
    </w:p>
  </w:footnote>
  <w:footnote w:id="60">
    <w:p w:rsidR="00E0371E" w:rsidRDefault="00E0371E" w:rsidP="00274D82">
      <w:pPr>
        <w:pStyle w:val="Puslapioinaostekstas"/>
        <w:jc w:val="both"/>
      </w:pPr>
      <w:r>
        <w:t xml:space="preserve">Apie viešojo intereso veikimo sferos ribas: Feintuck, M. The </w:t>
      </w:r>
      <w:r w:rsidRPr="00DC417E">
        <w:rPr>
          <w:i/>
        </w:rPr>
        <w:t>Public Interest in Regulation</w:t>
      </w:r>
      <w:r>
        <w:t xml:space="preserve">. New York: Oxford University Press, 2004, p. 24-31. </w:t>
      </w:r>
    </w:p>
  </w:footnote>
  <w:footnote w:id="61">
    <w:p w:rsidR="00E0371E" w:rsidRDefault="00E0371E" w:rsidP="00274D82">
      <w:pPr>
        <w:pStyle w:val="Puslapioinaostekstas"/>
        <w:jc w:val="both"/>
      </w:pPr>
      <w:r>
        <w:rPr>
          <w:rStyle w:val="Puslapioinaosnuoroda"/>
        </w:rPr>
        <w:footnoteRef/>
      </w:r>
      <w:r w:rsidRPr="00886693">
        <w:rPr>
          <w:color w:val="000033"/>
        </w:rPr>
        <w:t>Krivka, E</w:t>
      </w:r>
      <w:r>
        <w:rPr>
          <w:color w:val="000033"/>
        </w:rPr>
        <w:t>.</w:t>
      </w:r>
      <w:r w:rsidRPr="00886693">
        <w:rPr>
          <w:color w:val="000033"/>
        </w:rPr>
        <w:t> </w:t>
      </w:r>
      <w:r w:rsidRPr="007757C3">
        <w:rPr>
          <w:i/>
          <w:color w:val="000033"/>
        </w:rPr>
        <w:t>Viešojo intereso gynimo problemos civiliniame procese</w:t>
      </w:r>
      <w:r>
        <w:rPr>
          <w:color w:val="000033"/>
        </w:rPr>
        <w:t>.</w:t>
      </w:r>
      <w:r w:rsidRPr="00886693">
        <w:rPr>
          <w:color w:val="000033"/>
        </w:rPr>
        <w:t> </w:t>
      </w:r>
      <w:r>
        <w:rPr>
          <w:color w:val="000033"/>
        </w:rPr>
        <w:t>D</w:t>
      </w:r>
      <w:r w:rsidRPr="00886693">
        <w:rPr>
          <w:color w:val="000033"/>
        </w:rPr>
        <w:t>aktaro disertacija</w:t>
      </w:r>
      <w:r>
        <w:rPr>
          <w:color w:val="000033"/>
        </w:rPr>
        <w:t>. S</w:t>
      </w:r>
      <w:r w:rsidRPr="00886693">
        <w:rPr>
          <w:color w:val="000033"/>
        </w:rPr>
        <w:t>o</w:t>
      </w:r>
      <w:r>
        <w:rPr>
          <w:color w:val="000033"/>
        </w:rPr>
        <w:t>cialiniai mokslai (teisė).</w:t>
      </w:r>
      <w:r w:rsidRPr="00886693">
        <w:rPr>
          <w:color w:val="000033"/>
        </w:rPr>
        <w:t xml:space="preserve"> Vilnius</w:t>
      </w:r>
      <w:r>
        <w:rPr>
          <w:color w:val="000033"/>
        </w:rPr>
        <w:t>: Mykolo Romerio universitetas</w:t>
      </w:r>
      <w:r w:rsidRPr="00886693">
        <w:rPr>
          <w:color w:val="000033"/>
        </w:rPr>
        <w:t>, 2006, p.</w:t>
      </w:r>
      <w:r w:rsidRPr="00886693">
        <w:t>14</w:t>
      </w:r>
      <w:r>
        <w:t>.</w:t>
      </w:r>
    </w:p>
  </w:footnote>
  <w:footnote w:id="62">
    <w:p w:rsidR="00E0371E" w:rsidRDefault="00E0371E" w:rsidP="00274D82">
      <w:pPr>
        <w:pStyle w:val="Puslapioinaostekstas"/>
        <w:jc w:val="both"/>
      </w:pPr>
      <w:r>
        <w:rPr>
          <w:rStyle w:val="Puslapioinaosnuoroda"/>
        </w:rPr>
        <w:footnoteRef/>
      </w:r>
      <w:r>
        <w:t xml:space="preserve">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p. 24.</w:t>
      </w:r>
    </w:p>
  </w:footnote>
  <w:footnote w:id="63">
    <w:p w:rsidR="00E0371E" w:rsidRDefault="00E0371E" w:rsidP="00274D82">
      <w:pPr>
        <w:pStyle w:val="Puslapioinaostekstas"/>
        <w:jc w:val="both"/>
      </w:pPr>
      <w:r>
        <w:rPr>
          <w:rStyle w:val="Puslapioinaosnuoroda"/>
        </w:rPr>
        <w:footnoteRef/>
      </w:r>
      <w:r>
        <w:t>Intereso sąvoką skirtingose teisės šakose nagrinėjo A. Vaišvila, E. Krivka, U. Trumpulis.</w:t>
      </w:r>
    </w:p>
  </w:footnote>
  <w:footnote w:id="64">
    <w:p w:rsidR="00E0371E" w:rsidRPr="002A24E7" w:rsidRDefault="00E0371E" w:rsidP="00274D82">
      <w:pPr>
        <w:pStyle w:val="Puslapioinaostekstas"/>
        <w:jc w:val="both"/>
      </w:pPr>
      <w:r>
        <w:rPr>
          <w:rStyle w:val="Puslapioinaosnuoroda"/>
        </w:rPr>
        <w:footnoteRef/>
      </w:r>
      <w:r w:rsidRPr="00CC7580">
        <w:t xml:space="preserve">Helvetius, C. A. </w:t>
      </w:r>
      <w:r w:rsidRPr="00CC7580">
        <w:rPr>
          <w:i/>
        </w:rPr>
        <w:t>De l'esprit; or Essays on the Mind. Transl. To Which are Now Prefixed, a Life of the Author and Prefatory Strictures</w:t>
      </w:r>
      <w:r w:rsidRPr="00CC7580">
        <w:t xml:space="preserve"> [interaktyvus]. London: Lewis and Hamblin, Printers, Paternoster-Row, 1807</w:t>
      </w:r>
      <w:r>
        <w:t xml:space="preserve">, p. 42 </w:t>
      </w:r>
      <w:r w:rsidRPr="00CC7580">
        <w:t>[žiūrėta 2013-06-02]</w:t>
      </w:r>
      <w:r>
        <w:t>.</w:t>
      </w:r>
      <w:r w:rsidRPr="00CC7580">
        <w:t xml:space="preserve"> &lt;http://books.google.lt/books?id=5UAAAAAAQAAJ&amp;dq=Helvetius&amp;hl=lt&amp;source=gbs_navlinks_s&gt;.</w:t>
      </w:r>
    </w:p>
  </w:footnote>
  <w:footnote w:id="65">
    <w:p w:rsidR="00E0371E" w:rsidRDefault="00E0371E" w:rsidP="00274D82">
      <w:pPr>
        <w:pStyle w:val="Puslapioinaostekstas"/>
        <w:jc w:val="both"/>
      </w:pPr>
      <w:r>
        <w:rPr>
          <w:rStyle w:val="Puslapioinaosnuoroda"/>
        </w:rPr>
        <w:footnoteRef/>
      </w:r>
      <w:r>
        <w:t xml:space="preserve">Trumpulis, U. </w:t>
      </w:r>
      <w:r w:rsidRPr="009C264C">
        <w:rPr>
          <w:i/>
        </w:rPr>
        <w:t>Viešojo intereso kategorija administracinėje teisėje.</w:t>
      </w:r>
      <w:r>
        <w:rPr>
          <w:i/>
        </w:rPr>
        <w:t xml:space="preserve"> </w:t>
      </w:r>
      <w:r w:rsidRPr="009C264C">
        <w:t xml:space="preserve">Daktaro disertacija. Socialiniai mokslai </w:t>
      </w:r>
      <w:r>
        <w:t>(</w:t>
      </w:r>
      <w:r w:rsidRPr="009C264C">
        <w:t>teisė</w:t>
      </w:r>
      <w:r>
        <w:t>)</w:t>
      </w:r>
      <w:r w:rsidRPr="009C264C">
        <w:t>. Vilnius: Mykolo Romerio universitetas, 20</w:t>
      </w:r>
      <w:r>
        <w:t>11</w:t>
      </w:r>
      <w:r w:rsidRPr="009C264C">
        <w:t>, p.</w:t>
      </w:r>
      <w:r>
        <w:t xml:space="preserve"> 28.</w:t>
      </w:r>
    </w:p>
  </w:footnote>
  <w:footnote w:id="66">
    <w:p w:rsidR="00E0371E" w:rsidRPr="00ED3894" w:rsidRDefault="00E0371E" w:rsidP="00274D82">
      <w:pPr>
        <w:jc w:val="both"/>
        <w:rPr>
          <w:sz w:val="20"/>
          <w:szCs w:val="20"/>
        </w:rPr>
      </w:pPr>
      <w:r>
        <w:rPr>
          <w:rStyle w:val="Puslapioinaosnuoroda"/>
        </w:rPr>
        <w:footnoteRef/>
      </w:r>
      <w:r w:rsidRPr="00B32917">
        <w:rPr>
          <w:sz w:val="20"/>
        </w:rPr>
        <w:t xml:space="preserve">Maslennikova, L. </w:t>
      </w:r>
      <w:r>
        <w:rPr>
          <w:sz w:val="20"/>
        </w:rPr>
        <w:t>N</w:t>
      </w:r>
      <w:r w:rsidRPr="00B32917">
        <w:rPr>
          <w:sz w:val="20"/>
        </w:rPr>
        <w:t xml:space="preserve">. </w:t>
      </w:r>
      <w:r w:rsidRPr="006B615E">
        <w:rPr>
          <w:i/>
          <w:sz w:val="20"/>
        </w:rPr>
        <w:t>Metodologija poznanija publi</w:t>
      </w:r>
      <w:r>
        <w:rPr>
          <w:i/>
          <w:sz w:val="20"/>
        </w:rPr>
        <w:t>ch</w:t>
      </w:r>
      <w:r w:rsidRPr="006B615E">
        <w:rPr>
          <w:i/>
          <w:sz w:val="20"/>
        </w:rPr>
        <w:t xml:space="preserve">nogo i </w:t>
      </w:r>
      <w:r>
        <w:rPr>
          <w:i/>
          <w:sz w:val="20"/>
        </w:rPr>
        <w:t>ch</w:t>
      </w:r>
      <w:r w:rsidRPr="006B615E">
        <w:rPr>
          <w:i/>
          <w:sz w:val="20"/>
        </w:rPr>
        <w:t>astnogo (dispozitivnogo) na</w:t>
      </w:r>
      <w:r>
        <w:rPr>
          <w:i/>
          <w:sz w:val="20"/>
        </w:rPr>
        <w:t>ch</w:t>
      </w:r>
      <w:r w:rsidRPr="006B615E">
        <w:rPr>
          <w:i/>
          <w:sz w:val="20"/>
        </w:rPr>
        <w:t>a</w:t>
      </w:r>
      <w:r>
        <w:rPr>
          <w:i/>
          <w:sz w:val="20"/>
        </w:rPr>
        <w:t xml:space="preserve">l v ugolovnom sudoproizvodstve </w:t>
      </w:r>
      <w:r w:rsidRPr="00F70A1B">
        <w:rPr>
          <w:sz w:val="20"/>
        </w:rPr>
        <w:t>[Methodology of Cognition of Public and Private (Dispositive) Origins in Criminal Procedure]</w:t>
      </w:r>
      <w:r w:rsidRPr="00F70A1B">
        <w:rPr>
          <w:sz w:val="16"/>
          <w:szCs w:val="20"/>
        </w:rPr>
        <w:t>.</w:t>
      </w:r>
      <w:r>
        <w:rPr>
          <w:sz w:val="16"/>
          <w:szCs w:val="20"/>
        </w:rPr>
        <w:t xml:space="preserve"> </w:t>
      </w:r>
      <w:r>
        <w:rPr>
          <w:sz w:val="20"/>
          <w:szCs w:val="20"/>
        </w:rPr>
        <w:t>Moskva: Akademija upravlenija MVD Rossii,</w:t>
      </w:r>
      <w:r w:rsidRPr="00B32917">
        <w:rPr>
          <w:sz w:val="20"/>
          <w:szCs w:val="20"/>
        </w:rPr>
        <w:t xml:space="preserve"> 2000</w:t>
      </w:r>
      <w:r w:rsidRPr="00ED3894">
        <w:rPr>
          <w:sz w:val="20"/>
          <w:szCs w:val="20"/>
        </w:rPr>
        <w:t>, p. 74</w:t>
      </w:r>
      <w:r>
        <w:rPr>
          <w:sz w:val="20"/>
          <w:szCs w:val="20"/>
        </w:rPr>
        <w:t xml:space="preserve">. </w:t>
      </w:r>
      <w:r w:rsidRPr="00E51702">
        <w:rPr>
          <w:sz w:val="20"/>
        </w:rPr>
        <w:t xml:space="preserve">Trumpulis, U. </w:t>
      </w:r>
      <w:r w:rsidRPr="00E51702">
        <w:rPr>
          <w:i/>
          <w:sz w:val="20"/>
        </w:rPr>
        <w:t>Viešojo intereso kategorija administracinėje teisiėje</w:t>
      </w:r>
      <w:r w:rsidRPr="00E51702">
        <w:rPr>
          <w:sz w:val="20"/>
        </w:rPr>
        <w:t>. Daktaro d</w:t>
      </w:r>
      <w:r>
        <w:rPr>
          <w:sz w:val="20"/>
        </w:rPr>
        <w:t>isertacija. Socialiniai mokslai</w:t>
      </w:r>
      <w:r w:rsidRPr="00E51702">
        <w:rPr>
          <w:sz w:val="20"/>
        </w:rPr>
        <w:t xml:space="preserve"> </w:t>
      </w:r>
      <w:r>
        <w:rPr>
          <w:sz w:val="20"/>
        </w:rPr>
        <w:t>(teisė</w:t>
      </w:r>
      <w:r w:rsidRPr="00E51702">
        <w:rPr>
          <w:sz w:val="20"/>
        </w:rPr>
        <w:t xml:space="preserve">). </w:t>
      </w:r>
      <w:r>
        <w:rPr>
          <w:sz w:val="20"/>
        </w:rPr>
        <w:t xml:space="preserve">Vilnius: </w:t>
      </w:r>
      <w:r w:rsidRPr="00E51702">
        <w:rPr>
          <w:sz w:val="20"/>
        </w:rPr>
        <w:t>M</w:t>
      </w:r>
      <w:r>
        <w:rPr>
          <w:sz w:val="20"/>
        </w:rPr>
        <w:t>ykolo Romerio universitetas,</w:t>
      </w:r>
      <w:r w:rsidRPr="00E51702">
        <w:rPr>
          <w:sz w:val="20"/>
        </w:rPr>
        <w:t xml:space="preserve"> 2011</w:t>
      </w:r>
      <w:r>
        <w:rPr>
          <w:sz w:val="20"/>
        </w:rPr>
        <w:t>,</w:t>
      </w:r>
      <w:r w:rsidRPr="00E51702">
        <w:rPr>
          <w:sz w:val="20"/>
        </w:rPr>
        <w:t xml:space="preserve"> p. 25</w:t>
      </w:r>
      <w:r>
        <w:rPr>
          <w:sz w:val="20"/>
        </w:rPr>
        <w:t xml:space="preserve">. </w:t>
      </w:r>
    </w:p>
  </w:footnote>
  <w:footnote w:id="67">
    <w:p w:rsidR="00E0371E" w:rsidRDefault="00E0371E" w:rsidP="00274D82">
      <w:pPr>
        <w:pStyle w:val="Puslapioinaostekstas"/>
        <w:jc w:val="both"/>
      </w:pPr>
      <w:r>
        <w:rPr>
          <w:rStyle w:val="Puslapioinaosnuoroda"/>
        </w:rPr>
        <w:footnoteRef/>
      </w:r>
      <w:r>
        <w:t xml:space="preserve">Vaišvila, A. </w:t>
      </w:r>
      <w:r w:rsidRPr="00081116">
        <w:rPr>
          <w:i/>
        </w:rPr>
        <w:t>Teisės teorija</w:t>
      </w:r>
      <w:r>
        <w:t>. 3-ioji</w:t>
      </w:r>
      <w:r w:rsidRPr="003D05F7">
        <w:t xml:space="preserve"> pataisyta ir papildyta l</w:t>
      </w:r>
      <w:r>
        <w:t xml:space="preserve">aida. Vilnius: Justitia, 2009, p. 37. </w:t>
      </w:r>
    </w:p>
  </w:footnote>
  <w:footnote w:id="68">
    <w:p w:rsidR="00E0371E" w:rsidRDefault="00E0371E" w:rsidP="003B0995">
      <w:pPr>
        <w:pStyle w:val="Puslapioinaostekstas"/>
        <w:jc w:val="both"/>
      </w:pPr>
      <w:r>
        <w:rPr>
          <w:rStyle w:val="Puslapioinaosnuoroda"/>
        </w:rPr>
        <w:footnoteRef/>
      </w:r>
      <w:r>
        <w:t xml:space="preserve">Bekarija, Č. </w:t>
      </w:r>
      <w:r w:rsidRPr="00081116">
        <w:rPr>
          <w:i/>
        </w:rPr>
        <w:t>Apie nusikaltimus ir bausmes</w:t>
      </w:r>
      <w:r>
        <w:t xml:space="preserve">. 2-oji laida. Vilnius: Mintis, 1992, p. 75. </w:t>
      </w:r>
    </w:p>
  </w:footnote>
  <w:footnote w:id="69">
    <w:p w:rsidR="00E0371E" w:rsidRDefault="00E0371E" w:rsidP="00274D82">
      <w:pPr>
        <w:pStyle w:val="HTMLiankstoformatuotas"/>
        <w:jc w:val="both"/>
      </w:pPr>
      <w:r>
        <w:rPr>
          <w:rStyle w:val="Puslapioinaosnuoroda"/>
        </w:rPr>
        <w:footnoteRef/>
      </w:r>
      <w:r w:rsidRPr="00CC7580">
        <w:rPr>
          <w:rFonts w:ascii="Times New Roman" w:hAnsi="Times New Roman" w:cs="Times New Roman"/>
          <w:color w:val="000033"/>
        </w:rPr>
        <w:t>Krivka, E. </w:t>
      </w:r>
      <w:r w:rsidRPr="00CC7580">
        <w:rPr>
          <w:rFonts w:ascii="Times New Roman" w:hAnsi="Times New Roman" w:cs="Times New Roman"/>
          <w:i/>
          <w:color w:val="000033"/>
        </w:rPr>
        <w:t>Viešojo intereso gynimo problemos civiliniame procese</w:t>
      </w:r>
      <w:r w:rsidRPr="00CC7580">
        <w:rPr>
          <w:rFonts w:ascii="Times New Roman" w:hAnsi="Times New Roman" w:cs="Times New Roman"/>
          <w:color w:val="000033"/>
        </w:rPr>
        <w:t xml:space="preserve">. Daktaro disertacija. Socialiniai mokslai (teisė). Vilnius: Mykolo Romerio universitetas, 2006, </w:t>
      </w:r>
      <w:r w:rsidRPr="00CC7580">
        <w:rPr>
          <w:rFonts w:ascii="Times New Roman" w:hAnsi="Times New Roman" w:cs="Times New Roman"/>
        </w:rPr>
        <w:t xml:space="preserve">p. 15, 21. Trumpulis, U. </w:t>
      </w:r>
      <w:r w:rsidRPr="00CC7580">
        <w:rPr>
          <w:rFonts w:ascii="Times New Roman" w:hAnsi="Times New Roman" w:cs="Times New Roman"/>
          <w:i/>
        </w:rPr>
        <w:t xml:space="preserve">Viešojo intereso kategorija administracinėje teisėje. </w:t>
      </w:r>
      <w:r w:rsidRPr="00CC7580">
        <w:rPr>
          <w:rFonts w:ascii="Times New Roman" w:hAnsi="Times New Roman" w:cs="Times New Roman"/>
        </w:rPr>
        <w:t xml:space="preserve">Daktaro disertacija. Socialiniai mokslai (teisė). Vilnius: Mykolo Romerio universitetas, 2011, p. 34-39. Driukas A., Valančius V. </w:t>
      </w:r>
      <w:r w:rsidRPr="00CC7580">
        <w:rPr>
          <w:rFonts w:ascii="Times New Roman" w:hAnsi="Times New Roman" w:cs="Times New Roman"/>
          <w:i/>
        </w:rPr>
        <w:t>Civilinis procesas: teorija ir praktika</w:t>
      </w:r>
      <w:r w:rsidRPr="00CC7580">
        <w:rPr>
          <w:rFonts w:ascii="Times New Roman" w:hAnsi="Times New Roman" w:cs="Times New Roman"/>
        </w:rPr>
        <w:t>. I tomas. Vilnius: Teisinės inf</w:t>
      </w:r>
      <w:r>
        <w:rPr>
          <w:rFonts w:ascii="Times New Roman" w:hAnsi="Times New Roman" w:cs="Times New Roman"/>
        </w:rPr>
        <w:t>ormacijos centras, 2005, p. 669.</w:t>
      </w:r>
      <w:r w:rsidRPr="00CC7580">
        <w:rPr>
          <w:rFonts w:ascii="Times New Roman" w:hAnsi="Times New Roman" w:cs="Times New Roman"/>
        </w:rPr>
        <w:t xml:space="preserve"> Monkevičius, E. Viešojo intereso gynimo problema aplinkosaugos ginčuose. </w:t>
      </w:r>
      <w:r w:rsidRPr="00CC7580">
        <w:rPr>
          <w:rFonts w:ascii="Times New Roman" w:hAnsi="Times New Roman" w:cs="Times New Roman"/>
          <w:i/>
        </w:rPr>
        <w:t>Socialinių mokslų studijos</w:t>
      </w:r>
      <w:r w:rsidRPr="00CC7580">
        <w:rPr>
          <w:rFonts w:ascii="Times New Roman" w:hAnsi="Times New Roman" w:cs="Times New Roman"/>
        </w:rPr>
        <w:t>. 2009, 1</w:t>
      </w:r>
      <w:r>
        <w:rPr>
          <w:rFonts w:ascii="Times New Roman" w:hAnsi="Times New Roman" w:cs="Times New Roman"/>
        </w:rPr>
        <w:t xml:space="preserve"> </w:t>
      </w:r>
      <w:r w:rsidRPr="00CC7580">
        <w:rPr>
          <w:rFonts w:ascii="Times New Roman" w:hAnsi="Times New Roman" w:cs="Times New Roman"/>
        </w:rPr>
        <w:t>(1): 39. Viešo intereso sąvoka aiškinama ir Konstituci</w:t>
      </w:r>
      <w:r>
        <w:rPr>
          <w:rFonts w:ascii="Times New Roman" w:hAnsi="Times New Roman" w:cs="Times New Roman"/>
        </w:rPr>
        <w:t>ni</w:t>
      </w:r>
      <w:r w:rsidRPr="00CC7580">
        <w:rPr>
          <w:rFonts w:ascii="Times New Roman" w:hAnsi="Times New Roman" w:cs="Times New Roman"/>
        </w:rPr>
        <w:t xml:space="preserve">o Teismo jurisprudencijoje. Lietuvos Respublikos Konstitucinio Teismo 2004 m. gruodžio 13 d. nutarimas. </w:t>
      </w:r>
      <w:r w:rsidRPr="00CC7580">
        <w:rPr>
          <w:rFonts w:ascii="Times New Roman" w:hAnsi="Times New Roman" w:cs="Times New Roman"/>
          <w:i/>
        </w:rPr>
        <w:t>Valstybės žinios</w:t>
      </w:r>
      <w:r w:rsidRPr="00CC7580">
        <w:rPr>
          <w:rFonts w:ascii="Times New Roman" w:hAnsi="Times New Roman" w:cs="Times New Roman"/>
        </w:rPr>
        <w:t>. 2004, Nr.181-6708; Nr.186 (</w:t>
      </w:r>
      <w:r w:rsidRPr="00CC7580">
        <w:rPr>
          <w:rFonts w:ascii="Times New Roman" w:hAnsi="Times New Roman" w:cs="Times New Roman"/>
          <w:i/>
          <w:iCs/>
        </w:rPr>
        <w:t>atitaisymas</w:t>
      </w:r>
      <w:r>
        <w:rPr>
          <w:rFonts w:ascii="Times New Roman" w:hAnsi="Times New Roman" w:cs="Times New Roman"/>
        </w:rPr>
        <w:t>).</w:t>
      </w:r>
      <w:r w:rsidRPr="00CC7580">
        <w:rPr>
          <w:rFonts w:ascii="Times New Roman" w:hAnsi="Times New Roman" w:cs="Times New Roman"/>
        </w:rPr>
        <w:t xml:space="preserve"> Lietuvos Respublikos Konstitucinio teismo 2004 m. gruodžio 29 d. nutarimas. </w:t>
      </w:r>
      <w:r w:rsidRPr="00CC7580">
        <w:rPr>
          <w:rFonts w:ascii="Times New Roman" w:hAnsi="Times New Roman" w:cs="Times New Roman"/>
          <w:i/>
        </w:rPr>
        <w:t>Valstybės žinios</w:t>
      </w:r>
      <w:r w:rsidRPr="00CC7580">
        <w:rPr>
          <w:rFonts w:ascii="Times New Roman" w:hAnsi="Times New Roman" w:cs="Times New Roman"/>
        </w:rPr>
        <w:t>. 2005, Nr.1-7</w:t>
      </w:r>
      <w:r>
        <w:rPr>
          <w:rFonts w:ascii="Times New Roman" w:hAnsi="Times New Roman" w:cs="Times New Roman"/>
        </w:rPr>
        <w:t>.</w:t>
      </w:r>
      <w:r w:rsidRPr="00CC7580">
        <w:rPr>
          <w:rFonts w:ascii="Times New Roman" w:hAnsi="Times New Roman" w:cs="Times New Roman"/>
        </w:rPr>
        <w:t xml:space="preserve"> Lietuvos Respublikos Konstitucinio Teismo 2006 m. sausio 16 d. nutarimas</w:t>
      </w:r>
      <w:r w:rsidRPr="00CC7580">
        <w:rPr>
          <w:rFonts w:ascii="Times New Roman" w:hAnsi="Times New Roman" w:cs="Times New Roman"/>
          <w:i/>
        </w:rPr>
        <w:t>. Valstybės žinios</w:t>
      </w:r>
      <w:r>
        <w:rPr>
          <w:rFonts w:ascii="Times New Roman" w:hAnsi="Times New Roman" w:cs="Times New Roman"/>
        </w:rPr>
        <w:t>. 2006, Nr.7-254.</w:t>
      </w:r>
      <w:r w:rsidRPr="00CC7580">
        <w:rPr>
          <w:rFonts w:ascii="Times New Roman" w:hAnsi="Times New Roman" w:cs="Times New Roman"/>
        </w:rPr>
        <w:t xml:space="preserve"> Lietuvos Respublikos</w:t>
      </w:r>
      <w:r w:rsidRPr="004011E6">
        <w:rPr>
          <w:rFonts w:ascii="Times New Roman" w:hAnsi="Times New Roman" w:cs="Times New Roman"/>
        </w:rPr>
        <w:t xml:space="preserve"> Konstitucinio teismo 2006 m. rugsėjo 21 d. nutarimas. </w:t>
      </w:r>
      <w:r w:rsidRPr="004011E6">
        <w:rPr>
          <w:rFonts w:ascii="Times New Roman" w:hAnsi="Times New Roman" w:cs="Times New Roman"/>
          <w:i/>
        </w:rPr>
        <w:t>Valstybės žinios</w:t>
      </w:r>
      <w:r w:rsidRPr="004011E6">
        <w:rPr>
          <w:rFonts w:ascii="Times New Roman" w:hAnsi="Times New Roman" w:cs="Times New Roman"/>
        </w:rPr>
        <w:t>. 2006, Nr.102-3957; Nr.127 (</w:t>
      </w:r>
      <w:r w:rsidRPr="004011E6">
        <w:rPr>
          <w:rFonts w:ascii="Times New Roman" w:hAnsi="Times New Roman" w:cs="Times New Roman"/>
          <w:i/>
          <w:iCs/>
        </w:rPr>
        <w:t>atitaisymas</w:t>
      </w:r>
      <w:r w:rsidRPr="004011E6">
        <w:rPr>
          <w:rFonts w:ascii="Times New Roman" w:hAnsi="Times New Roman" w:cs="Times New Roman"/>
        </w:rPr>
        <w:t>); Nr.137 (</w:t>
      </w:r>
      <w:r w:rsidRPr="004011E6">
        <w:rPr>
          <w:rFonts w:ascii="Times New Roman" w:hAnsi="Times New Roman" w:cs="Times New Roman"/>
          <w:i/>
          <w:iCs/>
        </w:rPr>
        <w:t>atitaisymas</w:t>
      </w:r>
      <w:r w:rsidRPr="004011E6">
        <w:rPr>
          <w:rFonts w:ascii="Times New Roman" w:hAnsi="Times New Roman" w:cs="Times New Roman"/>
        </w:rPr>
        <w:t>).</w:t>
      </w:r>
    </w:p>
  </w:footnote>
  <w:footnote w:id="70">
    <w:p w:rsidR="00E0371E" w:rsidRPr="00603AEC" w:rsidRDefault="00E0371E" w:rsidP="00274D82">
      <w:pPr>
        <w:pStyle w:val="Puslapioinaostekstas"/>
        <w:jc w:val="both"/>
      </w:pPr>
      <w:r>
        <w:rPr>
          <w:rStyle w:val="Puslapioinaosnuoroda"/>
        </w:rPr>
        <w:footnoteRef/>
      </w:r>
      <w:r w:rsidRPr="00603AEC">
        <w:t xml:space="preserve">Doak, J. Victims‘ Rights in Criminal Trials: Prospects for Participation. </w:t>
      </w:r>
      <w:r w:rsidRPr="00603AEC">
        <w:rPr>
          <w:i/>
        </w:rPr>
        <w:t>Journal of Law and Society</w:t>
      </w:r>
      <w:r>
        <w:rPr>
          <w:i/>
        </w:rPr>
        <w:t>. 2005</w:t>
      </w:r>
      <w:r w:rsidRPr="00603AEC">
        <w:rPr>
          <w:i/>
        </w:rPr>
        <w:t>,</w:t>
      </w:r>
      <w:r>
        <w:rPr>
          <w:i/>
        </w:rPr>
        <w:t xml:space="preserve"> 2-32:</w:t>
      </w:r>
      <w:r w:rsidRPr="00603AEC">
        <w:t xml:space="preserve"> 294</w:t>
      </w:r>
      <w:r>
        <w:t>.</w:t>
      </w:r>
    </w:p>
  </w:footnote>
  <w:footnote w:id="71">
    <w:p w:rsidR="00E0371E" w:rsidRDefault="00E0371E" w:rsidP="00274D82">
      <w:pPr>
        <w:pStyle w:val="Puslapioinaostekstas"/>
        <w:jc w:val="both"/>
      </w:pPr>
      <w:r>
        <w:rPr>
          <w:rStyle w:val="Puslapioinaosnuoroda"/>
        </w:rPr>
        <w:footnoteRef/>
      </w:r>
      <w:r>
        <w:t xml:space="preserve">Vaišvila, A. </w:t>
      </w:r>
      <w:r w:rsidRPr="008F16AF">
        <w:rPr>
          <w:i/>
        </w:rPr>
        <w:t>Teisinis personalizmas: teorija ir metodas</w:t>
      </w:r>
      <w:r>
        <w:t xml:space="preserve">. Vilnius: Justitia, 2010, p. 230. </w:t>
      </w:r>
    </w:p>
  </w:footnote>
  <w:footnote w:id="72">
    <w:p w:rsidR="00E0371E" w:rsidRDefault="00E0371E" w:rsidP="00274D82">
      <w:pPr>
        <w:pStyle w:val="Puslapioinaostekstas"/>
        <w:jc w:val="both"/>
      </w:pPr>
      <w:r>
        <w:rPr>
          <w:rStyle w:val="Puslapioinaosnuoroda"/>
        </w:rPr>
        <w:footnoteRef/>
      </w:r>
      <w:r>
        <w:t xml:space="preserve">Vaišvila, A. </w:t>
      </w:r>
      <w:r w:rsidRPr="008F16AF">
        <w:rPr>
          <w:i/>
        </w:rPr>
        <w:t>Teisinis personalizmas: teorija ir metodas</w:t>
      </w:r>
      <w:r>
        <w:t xml:space="preserve">. Vilnius: Justitia, 2010, p. 231-232. </w:t>
      </w:r>
    </w:p>
  </w:footnote>
  <w:footnote w:id="73">
    <w:p w:rsidR="00E0371E" w:rsidRDefault="00E0371E" w:rsidP="0002268D">
      <w:r>
        <w:rPr>
          <w:rStyle w:val="Puslapioinaosnuoroda"/>
        </w:rPr>
        <w:footnoteRef/>
      </w:r>
      <w:r w:rsidRPr="0002268D">
        <w:rPr>
          <w:sz w:val="20"/>
          <w:szCs w:val="20"/>
        </w:rPr>
        <w:t xml:space="preserve">Lietuvos Respublikos Konstitucija. </w:t>
      </w:r>
      <w:r w:rsidRPr="0002268D">
        <w:rPr>
          <w:i/>
          <w:sz w:val="20"/>
          <w:szCs w:val="20"/>
        </w:rPr>
        <w:t>Lietuvos Aidas</w:t>
      </w:r>
      <w:r w:rsidRPr="0002268D">
        <w:rPr>
          <w:sz w:val="20"/>
          <w:szCs w:val="20"/>
        </w:rPr>
        <w:t xml:space="preserve">. 1992, Nr. 220. </w:t>
      </w:r>
      <w:r w:rsidRPr="0002268D">
        <w:rPr>
          <w:i/>
          <w:sz w:val="20"/>
          <w:szCs w:val="20"/>
        </w:rPr>
        <w:t>Valstybės žinios</w:t>
      </w:r>
      <w:r w:rsidRPr="0002268D">
        <w:rPr>
          <w:sz w:val="20"/>
          <w:szCs w:val="20"/>
        </w:rPr>
        <w:t>. 1992, Nr. 33-1014.</w:t>
      </w:r>
    </w:p>
  </w:footnote>
  <w:footnote w:id="74">
    <w:p w:rsidR="00E0371E" w:rsidRDefault="00E0371E" w:rsidP="00274D82">
      <w:pPr>
        <w:pStyle w:val="Puslapioinaostekstas"/>
        <w:jc w:val="both"/>
      </w:pPr>
      <w:r>
        <w:rPr>
          <w:rStyle w:val="Puslapioinaosnuoroda"/>
        </w:rPr>
        <w:footnoteRef/>
      </w:r>
      <w:r>
        <w:t xml:space="preserve">Trumpulis, U. </w:t>
      </w:r>
      <w:r w:rsidRPr="009C264C">
        <w:rPr>
          <w:i/>
        </w:rPr>
        <w:t>Viešojo intereso kategorija administracinėje teisėje.</w:t>
      </w:r>
      <w:r>
        <w:rPr>
          <w:i/>
        </w:rPr>
        <w:t xml:space="preserve"> </w:t>
      </w:r>
      <w:r w:rsidRPr="009C264C">
        <w:t xml:space="preserve">Daktaro disertacija. Socialiniai mokslai </w:t>
      </w:r>
      <w:r>
        <w:t>(</w:t>
      </w:r>
      <w:r w:rsidRPr="009C264C">
        <w:t>teisė</w:t>
      </w:r>
      <w:r>
        <w:t>)</w:t>
      </w:r>
      <w:r w:rsidRPr="009C264C">
        <w:t>. Vilnius: Mykolo Romerio universitetas, 20</w:t>
      </w:r>
      <w:r>
        <w:t>11</w:t>
      </w:r>
      <w:r w:rsidRPr="009C264C">
        <w:t xml:space="preserve">, </w:t>
      </w:r>
      <w:r>
        <w:t>p. 38.</w:t>
      </w:r>
    </w:p>
  </w:footnote>
  <w:footnote w:id="75">
    <w:p w:rsidR="00E0371E" w:rsidRPr="00603AEC" w:rsidRDefault="00E0371E" w:rsidP="00274D82">
      <w:pPr>
        <w:pStyle w:val="Puslapioinaostekstas"/>
        <w:jc w:val="both"/>
      </w:pPr>
      <w:r w:rsidRPr="00603AEC">
        <w:rPr>
          <w:rStyle w:val="Puslapioinaosnuoroda"/>
        </w:rPr>
        <w:footnoteRef/>
      </w:r>
      <w:r w:rsidRPr="00603AEC">
        <w:t xml:space="preserve">Jurka, R. Diskusiniai liudytojo intereso egzistavimo baudžiamajame procese aspektai. </w:t>
      </w:r>
      <w:r w:rsidRPr="00603AEC">
        <w:rPr>
          <w:i/>
        </w:rPr>
        <w:t>Jurisprudencija</w:t>
      </w:r>
      <w:r w:rsidRPr="00603AEC">
        <w:t>. 2009, 1 (115)</w:t>
      </w:r>
      <w:r>
        <w:t>:</w:t>
      </w:r>
      <w:r w:rsidRPr="00603AEC">
        <w:t xml:space="preserve"> 362-365</w:t>
      </w:r>
      <w:r>
        <w:t>.</w:t>
      </w:r>
    </w:p>
  </w:footnote>
  <w:footnote w:id="76">
    <w:p w:rsidR="00E0371E" w:rsidRPr="00284F17" w:rsidRDefault="00E0371E" w:rsidP="00640EDA">
      <w:pPr>
        <w:jc w:val="both"/>
        <w:rPr>
          <w:sz w:val="20"/>
          <w:szCs w:val="20"/>
        </w:rPr>
      </w:pPr>
      <w:r w:rsidRPr="00603AEC">
        <w:rPr>
          <w:rStyle w:val="Puslapioinaosnuoroda"/>
          <w:sz w:val="20"/>
          <w:szCs w:val="20"/>
        </w:rPr>
        <w:footnoteRef/>
      </w:r>
      <w:r w:rsidRPr="00B32917">
        <w:rPr>
          <w:sz w:val="20"/>
        </w:rPr>
        <w:t xml:space="preserve">Maslennikova, L. </w:t>
      </w:r>
      <w:r>
        <w:rPr>
          <w:sz w:val="20"/>
        </w:rPr>
        <w:t>N</w:t>
      </w:r>
      <w:r w:rsidRPr="00B32917">
        <w:rPr>
          <w:sz w:val="20"/>
        </w:rPr>
        <w:t xml:space="preserve">. </w:t>
      </w:r>
      <w:r w:rsidRPr="006B615E">
        <w:rPr>
          <w:i/>
          <w:sz w:val="20"/>
        </w:rPr>
        <w:t>Metodologija poznanija publi</w:t>
      </w:r>
      <w:r>
        <w:rPr>
          <w:i/>
          <w:sz w:val="20"/>
        </w:rPr>
        <w:t>ch</w:t>
      </w:r>
      <w:r w:rsidRPr="006B615E">
        <w:rPr>
          <w:i/>
          <w:sz w:val="20"/>
        </w:rPr>
        <w:t xml:space="preserve">nogo i </w:t>
      </w:r>
      <w:r>
        <w:rPr>
          <w:i/>
          <w:sz w:val="20"/>
        </w:rPr>
        <w:t>ch</w:t>
      </w:r>
      <w:r w:rsidRPr="006B615E">
        <w:rPr>
          <w:i/>
          <w:sz w:val="20"/>
        </w:rPr>
        <w:t>astnogo (dispozitivnogo) na</w:t>
      </w:r>
      <w:r>
        <w:rPr>
          <w:i/>
          <w:sz w:val="20"/>
        </w:rPr>
        <w:t>ch</w:t>
      </w:r>
      <w:r w:rsidRPr="006B615E">
        <w:rPr>
          <w:i/>
          <w:sz w:val="20"/>
        </w:rPr>
        <w:t xml:space="preserve">al v ugolovnom sudoproizvodstve </w:t>
      </w:r>
      <w:r w:rsidRPr="00F70A1B">
        <w:rPr>
          <w:sz w:val="20"/>
        </w:rPr>
        <w:t>[Methodology of Cognition of Public and Private (Dispositive) Origins in Criminal Procedure]</w:t>
      </w:r>
      <w:r w:rsidRPr="00F70A1B">
        <w:rPr>
          <w:sz w:val="16"/>
          <w:szCs w:val="20"/>
        </w:rPr>
        <w:t>.</w:t>
      </w:r>
      <w:r>
        <w:rPr>
          <w:sz w:val="16"/>
          <w:szCs w:val="20"/>
        </w:rPr>
        <w:t xml:space="preserve"> </w:t>
      </w:r>
      <w:r>
        <w:rPr>
          <w:sz w:val="20"/>
          <w:szCs w:val="20"/>
        </w:rPr>
        <w:t>Moskva: Akademija upravlenija MVD Rossii,</w:t>
      </w:r>
      <w:r w:rsidRPr="00B32917">
        <w:rPr>
          <w:sz w:val="20"/>
          <w:szCs w:val="20"/>
        </w:rPr>
        <w:t xml:space="preserve"> 2000</w:t>
      </w:r>
      <w:r w:rsidRPr="00ED3894">
        <w:rPr>
          <w:sz w:val="20"/>
          <w:szCs w:val="20"/>
        </w:rPr>
        <w:t>, p. 74</w:t>
      </w:r>
      <w:r>
        <w:rPr>
          <w:sz w:val="20"/>
          <w:szCs w:val="20"/>
        </w:rPr>
        <w:t xml:space="preserve">. </w:t>
      </w:r>
      <w:r>
        <w:rPr>
          <w:sz w:val="20"/>
        </w:rPr>
        <w:t>Sapozh</w:t>
      </w:r>
      <w:r w:rsidRPr="007467EF">
        <w:rPr>
          <w:sz w:val="20"/>
        </w:rPr>
        <w:t xml:space="preserve">nikov, S. A. </w:t>
      </w:r>
      <w:r w:rsidRPr="007467EF">
        <w:rPr>
          <w:i/>
          <w:sz w:val="20"/>
        </w:rPr>
        <w:t xml:space="preserve">Princip dispozitivnosti v grazhdanskom processe </w:t>
      </w:r>
      <w:r w:rsidRPr="00F70A1B">
        <w:rPr>
          <w:sz w:val="20"/>
        </w:rPr>
        <w:t>[Principle of Dispositiveness in Civil Procedure]</w:t>
      </w:r>
      <w:r w:rsidRPr="007467EF">
        <w:rPr>
          <w:i/>
          <w:sz w:val="16"/>
          <w:szCs w:val="20"/>
        </w:rPr>
        <w:t>.</w:t>
      </w:r>
      <w:r>
        <w:rPr>
          <w:i/>
          <w:sz w:val="16"/>
          <w:szCs w:val="20"/>
        </w:rPr>
        <w:t xml:space="preserve"> </w:t>
      </w:r>
      <w:r w:rsidRPr="00DF7E16">
        <w:rPr>
          <w:color w:val="000033"/>
          <w:sz w:val="20"/>
          <w:szCs w:val="20"/>
        </w:rPr>
        <w:t>Daktaro disertacija</w:t>
      </w:r>
      <w:r>
        <w:rPr>
          <w:color w:val="000033"/>
          <w:sz w:val="20"/>
          <w:szCs w:val="20"/>
        </w:rPr>
        <w:t>. S</w:t>
      </w:r>
      <w:r w:rsidRPr="00DF7E16">
        <w:rPr>
          <w:color w:val="000033"/>
          <w:sz w:val="20"/>
          <w:szCs w:val="20"/>
        </w:rPr>
        <w:t xml:space="preserve">ocialiniai mokslai </w:t>
      </w:r>
      <w:r>
        <w:rPr>
          <w:color w:val="000033"/>
          <w:sz w:val="20"/>
          <w:szCs w:val="20"/>
        </w:rPr>
        <w:t>(</w:t>
      </w:r>
      <w:r w:rsidRPr="00DF7E16">
        <w:rPr>
          <w:color w:val="000033"/>
          <w:sz w:val="20"/>
          <w:szCs w:val="20"/>
        </w:rPr>
        <w:t>teisė</w:t>
      </w:r>
      <w:r>
        <w:rPr>
          <w:color w:val="000033"/>
          <w:sz w:val="20"/>
          <w:szCs w:val="20"/>
        </w:rPr>
        <w:t>)</w:t>
      </w:r>
      <w:r w:rsidRPr="00DF7E16">
        <w:rPr>
          <w:color w:val="000033"/>
          <w:sz w:val="20"/>
          <w:szCs w:val="20"/>
        </w:rPr>
        <w:t>.</w:t>
      </w:r>
      <w:r>
        <w:rPr>
          <w:color w:val="000033"/>
          <w:sz w:val="20"/>
          <w:szCs w:val="20"/>
        </w:rPr>
        <w:t xml:space="preserve"> </w:t>
      </w:r>
      <w:r>
        <w:rPr>
          <w:sz w:val="20"/>
          <w:szCs w:val="20"/>
        </w:rPr>
        <w:t>Moskv</w:t>
      </w:r>
      <w:r w:rsidRPr="00284F17">
        <w:rPr>
          <w:sz w:val="20"/>
          <w:szCs w:val="20"/>
        </w:rPr>
        <w:t>а, 2006, p.74</w:t>
      </w:r>
      <w:r>
        <w:rPr>
          <w:sz w:val="20"/>
          <w:szCs w:val="20"/>
        </w:rPr>
        <w:t>.</w:t>
      </w:r>
    </w:p>
  </w:footnote>
  <w:footnote w:id="77">
    <w:p w:rsidR="00E0371E" w:rsidRPr="00521D99" w:rsidRDefault="00E0371E" w:rsidP="00274D82">
      <w:pPr>
        <w:pStyle w:val="Puslapioinaostekstas"/>
        <w:jc w:val="both"/>
      </w:pPr>
      <w:r w:rsidRPr="00603AEC">
        <w:rPr>
          <w:rStyle w:val="Puslapioinaosnuoroda"/>
        </w:rPr>
        <w:footnoteRef/>
      </w:r>
      <w:r w:rsidRPr="00521D99">
        <w:t xml:space="preserve">Perez Gil, J. Private Interests Seeking Punishment: Prosecution Brought by Private Individuals and Groups in Spain. </w:t>
      </w:r>
      <w:r w:rsidRPr="00521D99">
        <w:rPr>
          <w:i/>
        </w:rPr>
        <w:t>Law and Policy</w:t>
      </w:r>
      <w:r>
        <w:t>.</w:t>
      </w:r>
      <w:r w:rsidRPr="00521D99">
        <w:t xml:space="preserve"> 2003, 25:71. Ancelis, P., Juzukonis, S. Nukentėjusiojo sąvoka Lietuvos ir kitų valstybių baudžiamajame procese. </w:t>
      </w:r>
      <w:r w:rsidRPr="00521D99">
        <w:rPr>
          <w:i/>
        </w:rPr>
        <w:t>Jurisprudencija.</w:t>
      </w:r>
      <w:r w:rsidRPr="00521D99">
        <w:t xml:space="preserve"> 2002, 35</w:t>
      </w:r>
      <w:r>
        <w:t xml:space="preserve"> </w:t>
      </w:r>
      <w:r w:rsidRPr="00521D99">
        <w:t>(27): 105.</w:t>
      </w:r>
    </w:p>
  </w:footnote>
  <w:footnote w:id="78">
    <w:p w:rsidR="00E0371E" w:rsidRPr="00603AEC" w:rsidRDefault="00E0371E" w:rsidP="00274D82">
      <w:pPr>
        <w:jc w:val="both"/>
        <w:rPr>
          <w:sz w:val="20"/>
          <w:szCs w:val="20"/>
        </w:rPr>
      </w:pPr>
      <w:r w:rsidRPr="00603AEC">
        <w:rPr>
          <w:rStyle w:val="Puslapioinaosnuoroda"/>
          <w:sz w:val="20"/>
          <w:szCs w:val="20"/>
        </w:rPr>
        <w:footnoteRef/>
      </w:r>
      <w:r>
        <w:rPr>
          <w:sz w:val="20"/>
          <w:szCs w:val="20"/>
        </w:rPr>
        <w:t xml:space="preserve">Jurka, R. </w:t>
      </w:r>
      <w:r w:rsidRPr="00E407D9">
        <w:rPr>
          <w:i/>
          <w:sz w:val="20"/>
          <w:szCs w:val="20"/>
        </w:rPr>
        <w:t>Liudytojas ir jo procesiniai interesai baudžiamajame procese</w:t>
      </w:r>
      <w:r>
        <w:rPr>
          <w:sz w:val="20"/>
          <w:szCs w:val="20"/>
        </w:rPr>
        <w:t>. Vilnius: VĮ Registrų centras, 2009, p. 125.</w:t>
      </w:r>
    </w:p>
  </w:footnote>
  <w:footnote w:id="79">
    <w:p w:rsidR="00E0371E" w:rsidRPr="000B0D1D" w:rsidRDefault="00E0371E" w:rsidP="00274D82">
      <w:pPr>
        <w:jc w:val="both"/>
        <w:rPr>
          <w:sz w:val="20"/>
          <w:szCs w:val="20"/>
        </w:rPr>
      </w:pPr>
      <w:r w:rsidRPr="003F64C1">
        <w:rPr>
          <w:rStyle w:val="Puslapioinaosnuoroda"/>
          <w:sz w:val="20"/>
          <w:szCs w:val="20"/>
        </w:rPr>
        <w:footnoteRef/>
      </w:r>
      <w:r w:rsidRPr="000B0D1D">
        <w:rPr>
          <w:sz w:val="20"/>
          <w:szCs w:val="20"/>
        </w:rPr>
        <w:t xml:space="preserve">Petrova, N. E. </w:t>
      </w:r>
      <w:r w:rsidRPr="00561B97">
        <w:rPr>
          <w:i/>
          <w:sz w:val="20"/>
          <w:szCs w:val="20"/>
        </w:rPr>
        <w:t>Chastnoe i subsidiarnoe obvinenie</w:t>
      </w:r>
      <w:r w:rsidRPr="00933D54">
        <w:rPr>
          <w:i/>
        </w:rPr>
        <w:t xml:space="preserve"> </w:t>
      </w:r>
      <w:r w:rsidRPr="000B0D1D">
        <w:rPr>
          <w:sz w:val="20"/>
          <w:szCs w:val="20"/>
        </w:rPr>
        <w:t xml:space="preserve">[Private and Subsidiary Prosecution]. </w:t>
      </w:r>
      <w:r w:rsidRPr="000B0D1D">
        <w:rPr>
          <w:color w:val="000033"/>
          <w:sz w:val="20"/>
          <w:szCs w:val="20"/>
        </w:rPr>
        <w:t>Daktaro disertacija. Socialiniai mokslai (teisė).</w:t>
      </w:r>
      <w:r w:rsidRPr="000B0D1D">
        <w:rPr>
          <w:sz w:val="20"/>
          <w:szCs w:val="20"/>
        </w:rPr>
        <w:t xml:space="preserve"> Samara, 2004, p. 46.</w:t>
      </w:r>
    </w:p>
  </w:footnote>
  <w:footnote w:id="80">
    <w:p w:rsidR="00E0371E" w:rsidRPr="00C9071D" w:rsidRDefault="00E0371E" w:rsidP="00C9071D">
      <w:pPr>
        <w:jc w:val="both"/>
        <w:rPr>
          <w:sz w:val="20"/>
          <w:szCs w:val="20"/>
        </w:rPr>
      </w:pPr>
      <w:r>
        <w:rPr>
          <w:rStyle w:val="Puslapioinaosnuoroda"/>
        </w:rPr>
        <w:footnoteRef/>
      </w:r>
      <w:r w:rsidRPr="00C9071D">
        <w:rPr>
          <w:color w:val="000033"/>
          <w:sz w:val="20"/>
          <w:szCs w:val="20"/>
        </w:rPr>
        <w:t>Krivka, E. </w:t>
      </w:r>
      <w:r w:rsidRPr="00C9071D">
        <w:rPr>
          <w:i/>
          <w:color w:val="000033"/>
          <w:sz w:val="20"/>
          <w:szCs w:val="20"/>
        </w:rPr>
        <w:t>Viešojo intereso gynimo problemos civiliniame procese</w:t>
      </w:r>
      <w:r w:rsidRPr="00C9071D">
        <w:rPr>
          <w:color w:val="000033"/>
          <w:sz w:val="20"/>
          <w:szCs w:val="20"/>
        </w:rPr>
        <w:t xml:space="preserve">. Daktaro disertacija. Socialiniai mokslai (teisė). Vilnius: Mykolo Romerio universitetas, 2006, </w:t>
      </w:r>
      <w:r w:rsidRPr="00C9071D">
        <w:rPr>
          <w:sz w:val="20"/>
          <w:szCs w:val="20"/>
        </w:rPr>
        <w:t xml:space="preserve">p. 22-23. Apie asmens ir visuomenės interesų derinimo principą: Lietuvos Respublikos Konstitucinio Teismo 2004 m. gruodžio 13 d. nutarimas. </w:t>
      </w:r>
      <w:r w:rsidRPr="00C9071D">
        <w:rPr>
          <w:i/>
          <w:sz w:val="20"/>
          <w:szCs w:val="20"/>
        </w:rPr>
        <w:t>Valstybės žinios</w:t>
      </w:r>
      <w:r w:rsidRPr="00C9071D">
        <w:rPr>
          <w:sz w:val="20"/>
          <w:szCs w:val="20"/>
        </w:rPr>
        <w:t>. 2004, Nr. 181-6708; Nr. 186 (</w:t>
      </w:r>
      <w:r w:rsidRPr="00C9071D">
        <w:rPr>
          <w:i/>
          <w:iCs/>
          <w:sz w:val="20"/>
          <w:szCs w:val="20"/>
        </w:rPr>
        <w:t>atitaisymas</w:t>
      </w:r>
      <w:r w:rsidRPr="00C9071D">
        <w:rPr>
          <w:sz w:val="20"/>
          <w:szCs w:val="20"/>
        </w:rPr>
        <w:t>). Davis, C.</w:t>
      </w:r>
      <w:r>
        <w:rPr>
          <w:sz w:val="20"/>
          <w:szCs w:val="20"/>
        </w:rPr>
        <w:t xml:space="preserve"> </w:t>
      </w:r>
      <w:r w:rsidRPr="00C9071D">
        <w:rPr>
          <w:sz w:val="20"/>
          <w:szCs w:val="20"/>
        </w:rPr>
        <w:t xml:space="preserve">R., Mulford, C. Victim Rights and New Remedies: Finally Getting Victims Their Due. </w:t>
      </w:r>
      <w:r w:rsidRPr="00C9071D">
        <w:rPr>
          <w:i/>
          <w:sz w:val="20"/>
          <w:szCs w:val="20"/>
        </w:rPr>
        <w:t>Journal of Contemporary Criminal Justice.</w:t>
      </w:r>
      <w:r w:rsidRPr="00C9071D">
        <w:rPr>
          <w:sz w:val="20"/>
          <w:szCs w:val="20"/>
        </w:rPr>
        <w:t xml:space="preserve"> 2008, 24:2: 199-200.</w:t>
      </w:r>
    </w:p>
  </w:footnote>
  <w:footnote w:id="81">
    <w:p w:rsidR="00E0371E" w:rsidRDefault="00E0371E" w:rsidP="00274D82">
      <w:pPr>
        <w:pStyle w:val="Puslapioinaostekstas"/>
        <w:jc w:val="both"/>
      </w:pPr>
      <w:r>
        <w:rPr>
          <w:rStyle w:val="Puslapioinaosnuoroda"/>
        </w:rPr>
        <w:footnoteRef/>
      </w:r>
      <w:r>
        <w:t xml:space="preserve">Vaišvila, A. </w:t>
      </w:r>
      <w:r w:rsidRPr="00B66A34">
        <w:rPr>
          <w:i/>
        </w:rPr>
        <w:t>Teisės teorija</w:t>
      </w:r>
      <w:r>
        <w:t>. 2-oji</w:t>
      </w:r>
      <w:r w:rsidRPr="003D05F7">
        <w:t xml:space="preserve"> pataisyta ir papildyta l</w:t>
      </w:r>
      <w:r>
        <w:t>a</w:t>
      </w:r>
      <w:r w:rsidRPr="003D05F7">
        <w:t>ida</w:t>
      </w:r>
      <w:r>
        <w:t xml:space="preserve">. Vilnius: Justitia, 2004, p. 347. </w:t>
      </w:r>
    </w:p>
  </w:footnote>
  <w:footnote w:id="82">
    <w:p w:rsidR="00E0371E" w:rsidRDefault="00E0371E" w:rsidP="00274D82">
      <w:pPr>
        <w:pStyle w:val="Puslapioinaostekstas"/>
        <w:jc w:val="both"/>
      </w:pPr>
      <w:r>
        <w:rPr>
          <w:rStyle w:val="Puslapioinaosnuoroda"/>
        </w:rPr>
        <w:footnoteRef/>
      </w:r>
      <w:r w:rsidRPr="00603AEC">
        <w:t xml:space="preserve">Doak, J. Victims‘ Rights in Criminal Trials: Prospects for Participation. </w:t>
      </w:r>
      <w:r w:rsidRPr="00603AEC">
        <w:rPr>
          <w:i/>
        </w:rPr>
        <w:t>Journal of Law and Society</w:t>
      </w:r>
      <w:r>
        <w:rPr>
          <w:i/>
        </w:rPr>
        <w:t>. 2005</w:t>
      </w:r>
      <w:r w:rsidRPr="00603AEC">
        <w:rPr>
          <w:i/>
        </w:rPr>
        <w:t>,</w:t>
      </w:r>
      <w:r>
        <w:rPr>
          <w:i/>
        </w:rPr>
        <w:t xml:space="preserve"> 2-32:</w:t>
      </w:r>
      <w:r>
        <w:t xml:space="preserve"> 295. </w:t>
      </w:r>
    </w:p>
  </w:footnote>
  <w:footnote w:id="83">
    <w:p w:rsidR="00E0371E" w:rsidRDefault="00E0371E" w:rsidP="000164DF">
      <w:pPr>
        <w:pStyle w:val="Puslapioinaostekstas"/>
        <w:jc w:val="both"/>
      </w:pPr>
      <w:r>
        <w:rPr>
          <w:rStyle w:val="Puslapioinaosnuoroda"/>
        </w:rPr>
        <w:footnoteRef/>
      </w:r>
      <w:r w:rsidRPr="00B32917">
        <w:t xml:space="preserve">Maslennikova, L. </w:t>
      </w:r>
      <w:r>
        <w:t>N</w:t>
      </w:r>
      <w:r w:rsidRPr="00B32917">
        <w:t xml:space="preserve">. </w:t>
      </w:r>
      <w:r w:rsidRPr="006B615E">
        <w:rPr>
          <w:i/>
        </w:rPr>
        <w:t>Metodologija poznanija publi</w:t>
      </w:r>
      <w:r>
        <w:rPr>
          <w:i/>
        </w:rPr>
        <w:t>ch</w:t>
      </w:r>
      <w:r w:rsidRPr="006B615E">
        <w:rPr>
          <w:i/>
        </w:rPr>
        <w:t xml:space="preserve">nogo i </w:t>
      </w:r>
      <w:r>
        <w:rPr>
          <w:i/>
        </w:rPr>
        <w:t>ch</w:t>
      </w:r>
      <w:r w:rsidRPr="006B615E">
        <w:rPr>
          <w:i/>
        </w:rPr>
        <w:t>astnogo (dispozitivnogo) na</w:t>
      </w:r>
      <w:r>
        <w:rPr>
          <w:i/>
        </w:rPr>
        <w:t>ch</w:t>
      </w:r>
      <w:r w:rsidRPr="006B615E">
        <w:rPr>
          <w:i/>
        </w:rPr>
        <w:t xml:space="preserve">al v ugolovnom sudoproizvodstve </w:t>
      </w:r>
      <w:r w:rsidRPr="00F70A1B">
        <w:t>[Methodology of Cognition of Public and Private (Dispositive) Origins in Criminal Procedure]</w:t>
      </w:r>
      <w:r w:rsidRPr="00F70A1B">
        <w:rPr>
          <w:sz w:val="16"/>
        </w:rPr>
        <w:t>.</w:t>
      </w:r>
      <w:r>
        <w:rPr>
          <w:sz w:val="16"/>
        </w:rPr>
        <w:t xml:space="preserve"> </w:t>
      </w:r>
      <w:r>
        <w:t>Moskva: Akademija upravlenija MVD Rossii,</w:t>
      </w:r>
      <w:r w:rsidRPr="00B32917">
        <w:t xml:space="preserve"> 2000</w:t>
      </w:r>
      <w:r w:rsidRPr="00ED3894">
        <w:t xml:space="preserve">, p. </w:t>
      </w:r>
      <w:r>
        <w:t>15.</w:t>
      </w:r>
    </w:p>
  </w:footnote>
  <w:footnote w:id="84">
    <w:p w:rsidR="00E0371E" w:rsidRPr="00531902" w:rsidRDefault="00E0371E" w:rsidP="00274D82">
      <w:pPr>
        <w:pStyle w:val="HTMLiankstoformatuotas"/>
        <w:jc w:val="both"/>
        <w:rPr>
          <w:rFonts w:ascii="Times New Roman" w:hAnsi="Times New Roman" w:cs="Times New Roman"/>
        </w:rPr>
      </w:pPr>
      <w:r>
        <w:rPr>
          <w:rStyle w:val="Puslapioinaosnuoroda"/>
        </w:rPr>
        <w:footnoteRef/>
      </w:r>
      <w:r w:rsidRPr="00531902">
        <w:rPr>
          <w:rFonts w:ascii="Times New Roman" w:hAnsi="Times New Roman" w:cs="Times New Roman"/>
        </w:rPr>
        <w:t xml:space="preserve">Lietuvos Respublikos Konstitucinio Teismo </w:t>
      </w:r>
      <w:r>
        <w:rPr>
          <w:rFonts w:ascii="Times New Roman" w:hAnsi="Times New Roman" w:cs="Times New Roman"/>
        </w:rPr>
        <w:t>2006 m. sausio 16 d. nutarimas</w:t>
      </w:r>
      <w:r w:rsidRPr="00531902">
        <w:rPr>
          <w:rFonts w:ascii="Times New Roman" w:hAnsi="Times New Roman" w:cs="Times New Roman"/>
        </w:rPr>
        <w:t xml:space="preserve">. </w:t>
      </w:r>
      <w:r w:rsidRPr="00531902">
        <w:rPr>
          <w:rFonts w:ascii="Times New Roman" w:hAnsi="Times New Roman" w:cs="Times New Roman"/>
          <w:i/>
          <w:iCs/>
        </w:rPr>
        <w:t xml:space="preserve">Valstybės žinios. </w:t>
      </w:r>
      <w:r w:rsidRPr="00531902">
        <w:rPr>
          <w:rFonts w:ascii="Times New Roman" w:hAnsi="Times New Roman" w:cs="Times New Roman"/>
        </w:rPr>
        <w:t xml:space="preserve">2006, Nr. 7-254. Lietuvos Respublikos Konstitucinio </w:t>
      </w:r>
      <w:r>
        <w:rPr>
          <w:rFonts w:ascii="Times New Roman" w:hAnsi="Times New Roman" w:cs="Times New Roman"/>
        </w:rPr>
        <w:t>T</w:t>
      </w:r>
      <w:r w:rsidRPr="00531902">
        <w:rPr>
          <w:rFonts w:ascii="Times New Roman" w:hAnsi="Times New Roman" w:cs="Times New Roman"/>
        </w:rPr>
        <w:t xml:space="preserve">eismo 2006 m. lapkričio 27 d. nutarimas. </w:t>
      </w:r>
      <w:r w:rsidRPr="00531902">
        <w:rPr>
          <w:rFonts w:ascii="Times New Roman" w:hAnsi="Times New Roman" w:cs="Times New Roman"/>
          <w:i/>
        </w:rPr>
        <w:t>Valstybės žinios</w:t>
      </w:r>
      <w:r w:rsidRPr="00531902">
        <w:rPr>
          <w:rFonts w:ascii="Times New Roman" w:hAnsi="Times New Roman" w:cs="Times New Roman"/>
        </w:rPr>
        <w:t>. 2006, Nr.130-4910.</w:t>
      </w:r>
    </w:p>
  </w:footnote>
  <w:footnote w:id="85">
    <w:p w:rsidR="00E0371E" w:rsidRPr="004011E6" w:rsidRDefault="00E0371E" w:rsidP="00274D82">
      <w:pPr>
        <w:pStyle w:val="HTMLiankstoformatuotas"/>
        <w:jc w:val="both"/>
        <w:rPr>
          <w:rFonts w:ascii="Times New Roman" w:hAnsi="Times New Roman" w:cs="Times New Roman"/>
        </w:rPr>
      </w:pPr>
      <w:r>
        <w:rPr>
          <w:rStyle w:val="Puslapioinaosnuoroda"/>
        </w:rPr>
        <w:footnoteRef/>
      </w:r>
      <w:r w:rsidRPr="004011E6">
        <w:rPr>
          <w:rFonts w:ascii="Times New Roman" w:hAnsi="Times New Roman" w:cs="Times New Roman"/>
        </w:rPr>
        <w:t xml:space="preserve">Lietuvos Respublikos Konstitucinio </w:t>
      </w:r>
      <w:r>
        <w:rPr>
          <w:rFonts w:ascii="Times New Roman" w:hAnsi="Times New Roman" w:cs="Times New Roman"/>
        </w:rPr>
        <w:t>T</w:t>
      </w:r>
      <w:r w:rsidRPr="004011E6">
        <w:rPr>
          <w:rFonts w:ascii="Times New Roman" w:hAnsi="Times New Roman" w:cs="Times New Roman"/>
        </w:rPr>
        <w:t>eismo 2</w:t>
      </w:r>
      <w:r>
        <w:rPr>
          <w:rFonts w:ascii="Times New Roman" w:hAnsi="Times New Roman" w:cs="Times New Roman"/>
        </w:rPr>
        <w:t>000 m. birželio 30 d. nutarimas</w:t>
      </w:r>
      <w:r w:rsidRPr="004011E6">
        <w:rPr>
          <w:rFonts w:ascii="Times New Roman" w:hAnsi="Times New Roman" w:cs="Times New Roman"/>
        </w:rPr>
        <w:t xml:space="preserve">. </w:t>
      </w:r>
      <w:r w:rsidRPr="004011E6">
        <w:rPr>
          <w:rFonts w:ascii="Times New Roman" w:hAnsi="Times New Roman" w:cs="Times New Roman"/>
          <w:i/>
        </w:rPr>
        <w:t>Valstybės žinios</w:t>
      </w:r>
      <w:r w:rsidRPr="004011E6">
        <w:rPr>
          <w:rFonts w:ascii="Times New Roman" w:hAnsi="Times New Roman" w:cs="Times New Roman"/>
        </w:rPr>
        <w:t>. 2000, Nr.54-1587.</w:t>
      </w:r>
    </w:p>
  </w:footnote>
  <w:footnote w:id="86">
    <w:p w:rsidR="00E0371E" w:rsidRPr="00BE01B8" w:rsidRDefault="00E0371E" w:rsidP="00BE021F">
      <w:pPr>
        <w:jc w:val="both"/>
        <w:rPr>
          <w:sz w:val="20"/>
          <w:szCs w:val="20"/>
        </w:rPr>
      </w:pPr>
      <w:r>
        <w:rPr>
          <w:rStyle w:val="Puslapioinaosnuoroda"/>
        </w:rPr>
        <w:footnoteRef/>
      </w:r>
      <w:r w:rsidRPr="00BE01B8">
        <w:rPr>
          <w:sz w:val="20"/>
          <w:szCs w:val="20"/>
        </w:rPr>
        <w:t xml:space="preserve">Mokslinėje literatūroje naudojamos sąvokos: „privatus pradas“, </w:t>
      </w:r>
      <w:r>
        <w:rPr>
          <w:sz w:val="20"/>
          <w:szCs w:val="20"/>
        </w:rPr>
        <w:t xml:space="preserve">„privatus interesas“, </w:t>
      </w:r>
      <w:r w:rsidRPr="00BE01B8">
        <w:rPr>
          <w:sz w:val="20"/>
          <w:szCs w:val="20"/>
        </w:rPr>
        <w:t>„dispozityvus pradas“, „dispozityvumas“. XIX a. pabaigos rusų baudžiamojo proceso mokslininkai naudojo terminą „privatus pradas“ (</w:t>
      </w:r>
      <w:r>
        <w:rPr>
          <w:sz w:val="20"/>
          <w:szCs w:val="20"/>
        </w:rPr>
        <w:t xml:space="preserve">rus. </w:t>
      </w:r>
      <w:r w:rsidRPr="00561B97">
        <w:rPr>
          <w:i/>
          <w:sz w:val="20"/>
          <w:szCs w:val="20"/>
        </w:rPr>
        <w:t>chastnoe nachalo</w:t>
      </w:r>
      <w:r w:rsidRPr="00BE01B8">
        <w:rPr>
          <w:sz w:val="20"/>
          <w:szCs w:val="20"/>
        </w:rPr>
        <w:t xml:space="preserve">). Pirmieji savo darbuose panaudoję terminą „dispozityvusis pradas“ </w:t>
      </w:r>
      <w:proofErr w:type="gramStart"/>
      <w:r w:rsidRPr="00BE01B8">
        <w:rPr>
          <w:sz w:val="20"/>
          <w:szCs w:val="20"/>
        </w:rPr>
        <w:t>(</w:t>
      </w:r>
      <w:proofErr w:type="gramEnd"/>
      <w:r>
        <w:rPr>
          <w:sz w:val="20"/>
          <w:szCs w:val="20"/>
        </w:rPr>
        <w:t xml:space="preserve">vok. </w:t>
      </w:r>
      <w:r w:rsidRPr="00BE01B8">
        <w:rPr>
          <w:i/>
          <w:sz w:val="20"/>
          <w:szCs w:val="20"/>
        </w:rPr>
        <w:t>Dispositionsmaxime</w:t>
      </w:r>
      <w:r w:rsidRPr="00BE01B8">
        <w:rPr>
          <w:sz w:val="20"/>
          <w:szCs w:val="20"/>
        </w:rPr>
        <w:t xml:space="preserve">) buvo vokiečių civilinio proceso mokslininkai </w:t>
      </w:r>
      <w:r>
        <w:rPr>
          <w:sz w:val="20"/>
          <w:szCs w:val="20"/>
        </w:rPr>
        <w:t xml:space="preserve">W. </w:t>
      </w:r>
      <w:r w:rsidRPr="00BE01B8">
        <w:rPr>
          <w:sz w:val="20"/>
          <w:szCs w:val="20"/>
        </w:rPr>
        <w:t xml:space="preserve">Endemann </w:t>
      </w:r>
      <w:proofErr w:type="gramStart"/>
      <w:r w:rsidRPr="00BE01B8">
        <w:rPr>
          <w:sz w:val="20"/>
          <w:szCs w:val="20"/>
        </w:rPr>
        <w:t>(</w:t>
      </w:r>
      <w:proofErr w:type="gramEnd"/>
      <w:r>
        <w:rPr>
          <w:sz w:val="20"/>
          <w:szCs w:val="20"/>
        </w:rPr>
        <w:t xml:space="preserve">Endemann, W. </w:t>
      </w:r>
      <w:r w:rsidRPr="00044BC3">
        <w:rPr>
          <w:i/>
          <w:sz w:val="20"/>
          <w:szCs w:val="20"/>
        </w:rPr>
        <w:t>Das deutsche Civilprozess</w:t>
      </w:r>
      <w:r>
        <w:rPr>
          <w:sz w:val="20"/>
          <w:szCs w:val="20"/>
        </w:rPr>
        <w:t xml:space="preserve">. Berlin, Weidmann, </w:t>
      </w:r>
      <w:r w:rsidRPr="00BE01B8">
        <w:rPr>
          <w:sz w:val="20"/>
          <w:szCs w:val="20"/>
        </w:rPr>
        <w:t xml:space="preserve">1879) ir </w:t>
      </w:r>
      <w:r>
        <w:rPr>
          <w:sz w:val="20"/>
          <w:szCs w:val="20"/>
        </w:rPr>
        <w:t xml:space="preserve">G. W. </w:t>
      </w:r>
      <w:r w:rsidRPr="00BE01B8">
        <w:rPr>
          <w:sz w:val="20"/>
          <w:szCs w:val="20"/>
        </w:rPr>
        <w:t xml:space="preserve">Wetzel </w:t>
      </w:r>
      <w:proofErr w:type="gramStart"/>
      <w:r w:rsidRPr="00BE01B8">
        <w:rPr>
          <w:sz w:val="20"/>
          <w:szCs w:val="20"/>
        </w:rPr>
        <w:t>(</w:t>
      </w:r>
      <w:proofErr w:type="gramEnd"/>
      <w:r>
        <w:rPr>
          <w:sz w:val="20"/>
          <w:szCs w:val="20"/>
        </w:rPr>
        <w:t xml:space="preserve">Wetzel, G. W. </w:t>
      </w:r>
      <w:r w:rsidRPr="00D14981">
        <w:rPr>
          <w:i/>
          <w:sz w:val="20"/>
          <w:szCs w:val="20"/>
        </w:rPr>
        <w:t>System des ordentlichen Civilprozesses</w:t>
      </w:r>
      <w:r>
        <w:rPr>
          <w:sz w:val="20"/>
          <w:szCs w:val="20"/>
        </w:rPr>
        <w:t>. Leipzig: B. Tauchnitz, 1878).</w:t>
      </w:r>
      <w:r w:rsidRPr="00BE01B8">
        <w:rPr>
          <w:sz w:val="20"/>
          <w:szCs w:val="20"/>
        </w:rPr>
        <w:t xml:space="preserve"> </w:t>
      </w:r>
      <w:r>
        <w:rPr>
          <w:sz w:val="20"/>
          <w:szCs w:val="20"/>
        </w:rPr>
        <w:t>Š</w:t>
      </w:r>
      <w:r w:rsidRPr="00BE01B8">
        <w:rPr>
          <w:sz w:val="20"/>
          <w:szCs w:val="20"/>
        </w:rPr>
        <w:t>io termino turinį plačiau aiškino austrų mokslininkas K</w:t>
      </w:r>
      <w:r>
        <w:rPr>
          <w:sz w:val="20"/>
          <w:szCs w:val="20"/>
        </w:rPr>
        <w:t>.</w:t>
      </w:r>
      <w:r w:rsidRPr="00BE01B8">
        <w:rPr>
          <w:sz w:val="20"/>
          <w:szCs w:val="20"/>
        </w:rPr>
        <w:t xml:space="preserve"> Canstein </w:t>
      </w:r>
      <w:proofErr w:type="gramStart"/>
      <w:r w:rsidRPr="00BE01B8">
        <w:rPr>
          <w:sz w:val="20"/>
          <w:szCs w:val="20"/>
        </w:rPr>
        <w:t>(</w:t>
      </w:r>
      <w:proofErr w:type="gramEnd"/>
      <w:r>
        <w:rPr>
          <w:sz w:val="20"/>
          <w:szCs w:val="20"/>
        </w:rPr>
        <w:t>Canstein, K. F.</w:t>
      </w:r>
      <w:r w:rsidRPr="00DF1263">
        <w:rPr>
          <w:sz w:val="20"/>
          <w:szCs w:val="20"/>
        </w:rPr>
        <w:t xml:space="preserve"> Die rationallen Grundlagen d</w:t>
      </w:r>
      <w:r>
        <w:rPr>
          <w:sz w:val="20"/>
          <w:szCs w:val="20"/>
        </w:rPr>
        <w:t>es Civilprozesses. Berlin, 1877</w:t>
      </w:r>
      <w:r w:rsidRPr="00BE01B8">
        <w:rPr>
          <w:sz w:val="20"/>
          <w:szCs w:val="20"/>
        </w:rPr>
        <w:t>). Ši</w:t>
      </w:r>
      <w:r>
        <w:rPr>
          <w:sz w:val="20"/>
          <w:szCs w:val="20"/>
        </w:rPr>
        <w:t>e</w:t>
      </w:r>
      <w:r w:rsidRPr="00BE01B8">
        <w:rPr>
          <w:sz w:val="20"/>
          <w:szCs w:val="20"/>
        </w:rPr>
        <w:t xml:space="preserve"> termina</w:t>
      </w:r>
      <w:r>
        <w:rPr>
          <w:sz w:val="20"/>
          <w:szCs w:val="20"/>
        </w:rPr>
        <w:t>i naudojami kaip sinonimai</w:t>
      </w:r>
      <w:r w:rsidRPr="00BE01B8">
        <w:rPr>
          <w:sz w:val="20"/>
          <w:szCs w:val="20"/>
        </w:rPr>
        <w:t>. L.</w:t>
      </w:r>
      <w:r>
        <w:rPr>
          <w:sz w:val="20"/>
          <w:szCs w:val="20"/>
        </w:rPr>
        <w:t xml:space="preserve"> </w:t>
      </w:r>
      <w:r w:rsidRPr="00BE01B8">
        <w:rPr>
          <w:sz w:val="20"/>
          <w:szCs w:val="20"/>
        </w:rPr>
        <w:t>N.</w:t>
      </w:r>
      <w:r>
        <w:rPr>
          <w:sz w:val="20"/>
          <w:szCs w:val="20"/>
        </w:rPr>
        <w:t xml:space="preserve"> </w:t>
      </w:r>
      <w:r w:rsidRPr="00BE01B8">
        <w:rPr>
          <w:sz w:val="20"/>
          <w:szCs w:val="20"/>
        </w:rPr>
        <w:t xml:space="preserve">Maslennikova mano, kad </w:t>
      </w:r>
      <w:r>
        <w:rPr>
          <w:sz w:val="20"/>
          <w:szCs w:val="20"/>
        </w:rPr>
        <w:t>„</w:t>
      </w:r>
      <w:r w:rsidRPr="00BE01B8">
        <w:rPr>
          <w:sz w:val="20"/>
          <w:szCs w:val="20"/>
        </w:rPr>
        <w:t>dispozityvus pradas</w:t>
      </w:r>
      <w:r>
        <w:rPr>
          <w:sz w:val="20"/>
          <w:szCs w:val="20"/>
        </w:rPr>
        <w:t>“</w:t>
      </w:r>
      <w:r w:rsidRPr="00BE01B8">
        <w:rPr>
          <w:sz w:val="20"/>
          <w:szCs w:val="20"/>
        </w:rPr>
        <w:t xml:space="preserve"> yra privataus prado išraiška, o privatus pradas pasireiškia ne tik per dispozityvumą, bet ir visoje baudži</w:t>
      </w:r>
      <w:r>
        <w:rPr>
          <w:sz w:val="20"/>
          <w:szCs w:val="20"/>
        </w:rPr>
        <w:t>amojoje teisenoje. A. G. Plešanovas</w:t>
      </w:r>
      <w:r w:rsidRPr="00BE01B8">
        <w:rPr>
          <w:sz w:val="20"/>
          <w:szCs w:val="20"/>
        </w:rPr>
        <w:t xml:space="preserve"> naudoja sąvoką „dispozityvus pradas“ kaip kategoriją, apimančią visus dispozityvumo kaip teisinio reiškinio aspektus. E.</w:t>
      </w:r>
      <w:r>
        <w:rPr>
          <w:sz w:val="20"/>
          <w:szCs w:val="20"/>
        </w:rPr>
        <w:t xml:space="preserve"> </w:t>
      </w:r>
      <w:r w:rsidRPr="00BE01B8">
        <w:rPr>
          <w:sz w:val="20"/>
          <w:szCs w:val="20"/>
        </w:rPr>
        <w:t>A.</w:t>
      </w:r>
      <w:r>
        <w:rPr>
          <w:sz w:val="20"/>
          <w:szCs w:val="20"/>
        </w:rPr>
        <w:t xml:space="preserve"> </w:t>
      </w:r>
      <w:r w:rsidRPr="00BE01B8">
        <w:rPr>
          <w:sz w:val="20"/>
          <w:szCs w:val="20"/>
        </w:rPr>
        <w:t>Sedaš</w:t>
      </w:r>
      <w:r>
        <w:rPr>
          <w:sz w:val="20"/>
          <w:szCs w:val="20"/>
        </w:rPr>
        <w:t>,</w:t>
      </w:r>
      <w:r w:rsidRPr="00BE01B8">
        <w:rPr>
          <w:sz w:val="20"/>
          <w:szCs w:val="20"/>
        </w:rPr>
        <w:t xml:space="preserve"> gretindama „dispozityvumo“ ir „privataus prado“ sąvokas</w:t>
      </w:r>
      <w:r>
        <w:rPr>
          <w:sz w:val="20"/>
          <w:szCs w:val="20"/>
        </w:rPr>
        <w:t xml:space="preserve">, </w:t>
      </w:r>
      <w:r w:rsidRPr="00BE01B8">
        <w:rPr>
          <w:sz w:val="20"/>
          <w:szCs w:val="20"/>
        </w:rPr>
        <w:t xml:space="preserve">daro išvadą, kad baudžiamojo ir civilinio proceso tikslų skirtumas sąlygoja </w:t>
      </w:r>
      <w:r>
        <w:rPr>
          <w:sz w:val="20"/>
          <w:szCs w:val="20"/>
        </w:rPr>
        <w:t xml:space="preserve">tai, kad skiriasi </w:t>
      </w:r>
      <w:r w:rsidRPr="00BE01B8">
        <w:rPr>
          <w:sz w:val="20"/>
          <w:szCs w:val="20"/>
        </w:rPr>
        <w:t xml:space="preserve">dispozityvumo ir privataus prado esmė ir taikymo apimtis civiliniame ir baudžiamajame procesuose, todėl asmens galimybę </w:t>
      </w:r>
      <w:r>
        <w:rPr>
          <w:sz w:val="20"/>
          <w:szCs w:val="20"/>
        </w:rPr>
        <w:t>daryti įtaką</w:t>
      </w:r>
      <w:r w:rsidRPr="00BE01B8">
        <w:rPr>
          <w:sz w:val="20"/>
          <w:szCs w:val="20"/>
        </w:rPr>
        <w:t xml:space="preserve"> baudžiamojo proceso eig</w:t>
      </w:r>
      <w:r>
        <w:rPr>
          <w:sz w:val="20"/>
          <w:szCs w:val="20"/>
        </w:rPr>
        <w:t>ai</w:t>
      </w:r>
      <w:r w:rsidRPr="00BE01B8">
        <w:rPr>
          <w:sz w:val="20"/>
          <w:szCs w:val="20"/>
        </w:rPr>
        <w:t xml:space="preserve"> vadina privačiu pradu. Tačiau dispozityvumo pasireiškimo </w:t>
      </w:r>
      <w:r>
        <w:rPr>
          <w:sz w:val="20"/>
          <w:szCs w:val="20"/>
        </w:rPr>
        <w:t>skirtumai</w:t>
      </w:r>
      <w:r w:rsidRPr="00BE01B8">
        <w:rPr>
          <w:sz w:val="20"/>
          <w:szCs w:val="20"/>
        </w:rPr>
        <w:t xml:space="preserve"> skirtinguose procesuose nekeičia paties dispozityvumo esmės, todėl netikslinga tą patį reiškinį </w:t>
      </w:r>
      <w:r>
        <w:rPr>
          <w:sz w:val="20"/>
          <w:szCs w:val="20"/>
        </w:rPr>
        <w:t>suskaidy</w:t>
      </w:r>
      <w:r w:rsidRPr="00BE01B8">
        <w:rPr>
          <w:sz w:val="20"/>
          <w:szCs w:val="20"/>
        </w:rPr>
        <w:t>ti į dvi kategorijas, priklausomai nuo jo veikimo sferos. Į dispozityvumo</w:t>
      </w:r>
      <w:r>
        <w:rPr>
          <w:sz w:val="20"/>
          <w:szCs w:val="20"/>
        </w:rPr>
        <w:t xml:space="preserve"> kaip bendros sąvokos</w:t>
      </w:r>
      <w:r w:rsidRPr="00BE01B8">
        <w:rPr>
          <w:sz w:val="20"/>
          <w:szCs w:val="20"/>
        </w:rPr>
        <w:t xml:space="preserve"> turinį įeina jį sudarantis privatus pradas.</w:t>
      </w:r>
      <w:r>
        <w:rPr>
          <w:sz w:val="20"/>
          <w:szCs w:val="20"/>
        </w:rPr>
        <w:t xml:space="preserve"> Privatus pradas šiame darbe suvokiamas kaip privatus interesas; toks terminas naudojamas ir vakarų mokslininkų literatūroje. Sąvokos „</w:t>
      </w:r>
      <w:r w:rsidRPr="00BE01B8">
        <w:rPr>
          <w:sz w:val="20"/>
          <w:szCs w:val="20"/>
        </w:rPr>
        <w:t>dispozityvus pradas</w:t>
      </w:r>
      <w:r>
        <w:rPr>
          <w:sz w:val="20"/>
          <w:szCs w:val="20"/>
        </w:rPr>
        <w:t>“</w:t>
      </w:r>
      <w:r w:rsidRPr="00BE01B8">
        <w:rPr>
          <w:sz w:val="20"/>
          <w:szCs w:val="20"/>
        </w:rPr>
        <w:t xml:space="preserve"> ir </w:t>
      </w:r>
      <w:r>
        <w:rPr>
          <w:sz w:val="20"/>
          <w:szCs w:val="20"/>
        </w:rPr>
        <w:t>„</w:t>
      </w:r>
      <w:r w:rsidRPr="00BE01B8">
        <w:rPr>
          <w:sz w:val="20"/>
          <w:szCs w:val="20"/>
        </w:rPr>
        <w:t>dispozityvumas</w:t>
      </w:r>
      <w:r>
        <w:rPr>
          <w:sz w:val="20"/>
          <w:szCs w:val="20"/>
        </w:rPr>
        <w:t>“ autorės</w:t>
      </w:r>
      <w:r w:rsidRPr="00BE01B8">
        <w:rPr>
          <w:sz w:val="20"/>
          <w:szCs w:val="20"/>
        </w:rPr>
        <w:t xml:space="preserve"> suvokiam</w:t>
      </w:r>
      <w:r>
        <w:rPr>
          <w:sz w:val="20"/>
          <w:szCs w:val="20"/>
        </w:rPr>
        <w:t>os</w:t>
      </w:r>
      <w:r w:rsidRPr="00BE01B8">
        <w:rPr>
          <w:sz w:val="20"/>
          <w:szCs w:val="20"/>
        </w:rPr>
        <w:t xml:space="preserve"> tapačiai</w:t>
      </w:r>
      <w:r>
        <w:rPr>
          <w:sz w:val="20"/>
          <w:szCs w:val="20"/>
        </w:rPr>
        <w:t>. Pasirenkant naudotiną terminologiją atsižvelgta į tai, kad „</w:t>
      </w:r>
      <w:r w:rsidRPr="00BE01B8">
        <w:rPr>
          <w:sz w:val="20"/>
          <w:szCs w:val="20"/>
        </w:rPr>
        <w:t>dispozityvumas</w:t>
      </w:r>
      <w:r>
        <w:rPr>
          <w:sz w:val="20"/>
          <w:szCs w:val="20"/>
        </w:rPr>
        <w:t>“</w:t>
      </w:r>
      <w:r w:rsidRPr="00BE01B8">
        <w:rPr>
          <w:sz w:val="20"/>
          <w:szCs w:val="20"/>
        </w:rPr>
        <w:t xml:space="preserve"> tiksliau išreiškia aptariamo reiškinio turinį, o </w:t>
      </w:r>
      <w:r>
        <w:rPr>
          <w:sz w:val="20"/>
          <w:szCs w:val="20"/>
        </w:rPr>
        <w:t>„</w:t>
      </w:r>
      <w:r w:rsidRPr="00BE01B8">
        <w:rPr>
          <w:sz w:val="20"/>
          <w:szCs w:val="20"/>
        </w:rPr>
        <w:t xml:space="preserve">privatus </w:t>
      </w:r>
      <w:r>
        <w:rPr>
          <w:sz w:val="20"/>
          <w:szCs w:val="20"/>
        </w:rPr>
        <w:t>interes</w:t>
      </w:r>
      <w:r w:rsidRPr="00BE01B8">
        <w:rPr>
          <w:sz w:val="20"/>
          <w:szCs w:val="20"/>
        </w:rPr>
        <w:t>as</w:t>
      </w:r>
      <w:r>
        <w:rPr>
          <w:sz w:val="20"/>
          <w:szCs w:val="20"/>
        </w:rPr>
        <w:t>“</w:t>
      </w:r>
      <w:r w:rsidRPr="00BE01B8">
        <w:rPr>
          <w:sz w:val="20"/>
          <w:szCs w:val="20"/>
        </w:rPr>
        <w:t xml:space="preserve"> parodo jo kilmę. </w:t>
      </w:r>
    </w:p>
  </w:footnote>
  <w:footnote w:id="87">
    <w:p w:rsidR="00E0371E" w:rsidRDefault="00E0371E" w:rsidP="00BE021F">
      <w:pPr>
        <w:pStyle w:val="Puslapioinaostekstas"/>
        <w:jc w:val="both"/>
      </w:pPr>
      <w:r>
        <w:rPr>
          <w:rStyle w:val="Puslapioinaosnuoroda"/>
        </w:rPr>
        <w:footnoteRef/>
      </w:r>
      <w:r w:rsidRPr="00613CB4">
        <w:t xml:space="preserve">Sovietiniu laikotarpiu dominavo požiūris į baudžiamąjį procesą kaip į </w:t>
      </w:r>
      <w:r>
        <w:t xml:space="preserve">išimtinai viešojo intereso lemiamą </w:t>
      </w:r>
      <w:r w:rsidRPr="00613CB4">
        <w:t>veiklą.</w:t>
      </w:r>
      <w:r>
        <w:t xml:space="preserve"> Todėl</w:t>
      </w:r>
      <w:r w:rsidRPr="00613CB4">
        <w:t xml:space="preserve"> šalių </w:t>
      </w:r>
      <w:r>
        <w:t>dispozityv</w:t>
      </w:r>
      <w:r w:rsidRPr="00613CB4">
        <w:t>um</w:t>
      </w:r>
      <w:r>
        <w:t>as baudžiamajame procese paprastai buvo nepripažįstamas ir nepriskiriamas baudžiamojo proceso principams</w:t>
      </w:r>
      <w:r w:rsidRPr="00613CB4">
        <w:t>.</w:t>
      </w:r>
      <w:r>
        <w:t xml:space="preserve"> </w:t>
      </w:r>
      <w:r w:rsidRPr="00613CB4">
        <w:t>Tačiau vis tik dauguma proceso mokslininkų (</w:t>
      </w:r>
      <w:r>
        <w:t xml:space="preserve">N. N. Polianskis, </w:t>
      </w:r>
      <w:r w:rsidRPr="00613CB4">
        <w:t>M.</w:t>
      </w:r>
      <w:r>
        <w:t xml:space="preserve"> </w:t>
      </w:r>
      <w:r w:rsidRPr="00613CB4">
        <w:t>S.</w:t>
      </w:r>
      <w:r>
        <w:t xml:space="preserve"> </w:t>
      </w:r>
      <w:r w:rsidRPr="00613CB4">
        <w:t>Strogovič</w:t>
      </w:r>
      <w:r>
        <w:t>ius</w:t>
      </w:r>
      <w:r w:rsidRPr="00613CB4">
        <w:t>, V.</w:t>
      </w:r>
      <w:r>
        <w:t xml:space="preserve"> </w:t>
      </w:r>
      <w:r w:rsidRPr="00613CB4">
        <w:t>M.</w:t>
      </w:r>
      <w:r>
        <w:t xml:space="preserve"> </w:t>
      </w:r>
      <w:r w:rsidRPr="00613CB4">
        <w:t>Savicki</w:t>
      </w:r>
      <w:r>
        <w:t>s</w:t>
      </w:r>
      <w:r w:rsidRPr="00613CB4">
        <w:t>, A.</w:t>
      </w:r>
      <w:r>
        <w:t xml:space="preserve"> </w:t>
      </w:r>
      <w:r w:rsidRPr="00613CB4">
        <w:t>M.</w:t>
      </w:r>
      <w:r>
        <w:t xml:space="preserve"> </w:t>
      </w:r>
      <w:r w:rsidRPr="00613CB4">
        <w:t>Larin</w:t>
      </w:r>
      <w:r>
        <w:t>as</w:t>
      </w:r>
      <w:r w:rsidRPr="00613CB4">
        <w:t>, I.</w:t>
      </w:r>
      <w:r>
        <w:t xml:space="preserve"> </w:t>
      </w:r>
      <w:r w:rsidRPr="00613CB4">
        <w:t>L.</w:t>
      </w:r>
      <w:r>
        <w:t xml:space="preserve"> </w:t>
      </w:r>
      <w:r w:rsidRPr="00613CB4">
        <w:t>Petruchin</w:t>
      </w:r>
      <w:r>
        <w:t>as, A. S. Aleksandrovas</w:t>
      </w:r>
      <w:r w:rsidRPr="00613CB4">
        <w:t>) atstovauja nuomon</w:t>
      </w:r>
      <w:r>
        <w:t>ei</w:t>
      </w:r>
      <w:r w:rsidRPr="00613CB4">
        <w:t>, kad dispozityvu</w:t>
      </w:r>
      <w:r>
        <w:t>m</w:t>
      </w:r>
      <w:r w:rsidRPr="00613CB4">
        <w:t xml:space="preserve">as pasireiškia ir baudžiamajame procese. </w:t>
      </w:r>
      <w:r w:rsidRPr="008052CB">
        <w:t xml:space="preserve">Dikarev, I. S. </w:t>
      </w:r>
      <w:r w:rsidRPr="008052CB">
        <w:rPr>
          <w:i/>
        </w:rPr>
        <w:t>Dispozitivnost v ugolovnom processe</w:t>
      </w:r>
      <w:r w:rsidRPr="008052CB">
        <w:t xml:space="preserve"> [Dispositiveness in Criminal Procedure]. Daktaro disertacija. Socialiniai mokslai (teisė). Volgograd, 2005</w:t>
      </w:r>
      <w:r>
        <w:t>, p. 8-9.</w:t>
      </w:r>
    </w:p>
  </w:footnote>
  <w:footnote w:id="88">
    <w:p w:rsidR="00E0371E" w:rsidRPr="00A73D41" w:rsidRDefault="00E0371E" w:rsidP="00E9545B">
      <w:pPr>
        <w:pStyle w:val="Puslapioinaostekstas"/>
        <w:jc w:val="both"/>
      </w:pPr>
      <w:r>
        <w:rPr>
          <w:rStyle w:val="Puslapioinaosnuoroda"/>
        </w:rPr>
        <w:footnoteRef/>
      </w:r>
      <w:r>
        <w:t xml:space="preserve">Fojnickij, I. Ja. </w:t>
      </w:r>
      <w:r w:rsidRPr="002317CF">
        <w:rPr>
          <w:i/>
        </w:rPr>
        <w:t xml:space="preserve">Kurs ugolovnogo sudoproizvodstva </w:t>
      </w:r>
      <w:r w:rsidRPr="002317CF">
        <w:t>[Course of Criminal Procedure]. I tomas. Sankt Peterburg: Alfa, 1996, p. 4. Micha</w:t>
      </w:r>
      <w:r>
        <w:t>j</w:t>
      </w:r>
      <w:r w:rsidRPr="002317CF">
        <w:t xml:space="preserve">lovskij, I. V. </w:t>
      </w:r>
      <w:r>
        <w:rPr>
          <w:i/>
        </w:rPr>
        <w:t>Osnovny</w:t>
      </w:r>
      <w:r w:rsidRPr="002317CF">
        <w:rPr>
          <w:i/>
        </w:rPr>
        <w:t>e princip</w:t>
      </w:r>
      <w:r>
        <w:rPr>
          <w:i/>
        </w:rPr>
        <w:t xml:space="preserve">y organizacii ugolovnogo suda </w:t>
      </w:r>
      <w:r w:rsidRPr="00734A22">
        <w:t xml:space="preserve">[Basic Principles of </w:t>
      </w:r>
      <w:r>
        <w:t xml:space="preserve">Organizing </w:t>
      </w:r>
      <w:r w:rsidRPr="00734A22">
        <w:t>Criminal Court].</w:t>
      </w:r>
      <w:r>
        <w:t xml:space="preserve"> Tomsk, 1905, p. 93. Rjazanovskij, V. A. </w:t>
      </w:r>
      <w:r>
        <w:rPr>
          <w:i/>
        </w:rPr>
        <w:t xml:space="preserve">Edinstvo procesa </w:t>
      </w:r>
      <w:r w:rsidRPr="007A597D">
        <w:t>[Unity of Procedure].</w:t>
      </w:r>
      <w:r w:rsidRPr="00BC56C7">
        <w:t xml:space="preserve">  М</w:t>
      </w:r>
      <w:r>
        <w:t>oskva</w:t>
      </w:r>
      <w:r w:rsidRPr="00BC56C7">
        <w:t>: </w:t>
      </w:r>
      <w:r>
        <w:t>Gorodec, 2005, p. 32.</w:t>
      </w:r>
    </w:p>
  </w:footnote>
  <w:footnote w:id="89">
    <w:p w:rsidR="00E0371E" w:rsidRDefault="00E0371E" w:rsidP="00274D82">
      <w:pPr>
        <w:pStyle w:val="Puslapioinaostekstas"/>
        <w:jc w:val="both"/>
      </w:pPr>
      <w:r>
        <w:rPr>
          <w:rStyle w:val="Puslapioinaosnuoroda"/>
        </w:rPr>
        <w:footnoteRef/>
      </w:r>
      <w:r>
        <w:t xml:space="preserve">Rjazanovskij, V. A. </w:t>
      </w:r>
      <w:r>
        <w:rPr>
          <w:i/>
        </w:rPr>
        <w:t xml:space="preserve">Edinstvo procesa </w:t>
      </w:r>
      <w:r w:rsidRPr="007A597D">
        <w:t>[Unity of Procedure].</w:t>
      </w:r>
      <w:r w:rsidRPr="00BC56C7">
        <w:t xml:space="preserve">  М</w:t>
      </w:r>
      <w:r>
        <w:t>oskva</w:t>
      </w:r>
      <w:r w:rsidRPr="00BC56C7">
        <w:t>: </w:t>
      </w:r>
      <w:r>
        <w:t>Gorodec, 2005</w:t>
      </w:r>
      <w:r w:rsidRPr="00A73D41">
        <w:rPr>
          <w:i/>
        </w:rPr>
        <w:t>,</w:t>
      </w:r>
      <w:r>
        <w:rPr>
          <w:i/>
        </w:rPr>
        <w:t xml:space="preserve"> </w:t>
      </w:r>
      <w:r w:rsidRPr="00886693">
        <w:t>p. 31-32</w:t>
      </w:r>
      <w:r>
        <w:t xml:space="preserve">. </w:t>
      </w:r>
    </w:p>
  </w:footnote>
  <w:footnote w:id="90">
    <w:p w:rsidR="00E0371E" w:rsidRPr="00886693" w:rsidRDefault="00E0371E" w:rsidP="00274D82">
      <w:pPr>
        <w:pStyle w:val="Puslapioinaostekstas"/>
        <w:jc w:val="both"/>
      </w:pPr>
      <w:r>
        <w:rPr>
          <w:rStyle w:val="Puslapioinaosnuoroda"/>
        </w:rPr>
        <w:footnoteRef/>
      </w:r>
      <w:r>
        <w:t xml:space="preserve">Von </w:t>
      </w:r>
      <w:r w:rsidRPr="00886693">
        <w:rPr>
          <w:color w:val="000033"/>
        </w:rPr>
        <w:t>Jhering, R</w:t>
      </w:r>
      <w:r>
        <w:rPr>
          <w:color w:val="000033"/>
        </w:rPr>
        <w:t>.</w:t>
      </w:r>
      <w:r w:rsidRPr="00886693">
        <w:rPr>
          <w:color w:val="000033"/>
        </w:rPr>
        <w:t> </w:t>
      </w:r>
      <w:r w:rsidRPr="007757C3">
        <w:rPr>
          <w:i/>
          <w:color w:val="000033"/>
        </w:rPr>
        <w:t>Der Zweck im Recht</w:t>
      </w:r>
      <w:r>
        <w:rPr>
          <w:color w:val="000033"/>
        </w:rPr>
        <w:t>.</w:t>
      </w:r>
      <w:r w:rsidRPr="00886693">
        <w:rPr>
          <w:color w:val="000033"/>
        </w:rPr>
        <w:t xml:space="preserve"> Hildesheim</w:t>
      </w:r>
      <w:r>
        <w:rPr>
          <w:color w:val="000033"/>
        </w:rPr>
        <w:t>, New York: Georg Olms;  Wiesbaden</w:t>
      </w:r>
      <w:r w:rsidRPr="00886693">
        <w:rPr>
          <w:color w:val="000033"/>
        </w:rPr>
        <w:t>: Breitkopf &amp; Härtel, 1970</w:t>
      </w:r>
      <w:r w:rsidRPr="00EC65E0">
        <w:t xml:space="preserve">, </w:t>
      </w:r>
      <w:r>
        <w:t>p. 301-327.</w:t>
      </w:r>
    </w:p>
  </w:footnote>
  <w:footnote w:id="91">
    <w:p w:rsidR="00E0371E" w:rsidRPr="00F70A1B" w:rsidRDefault="00E0371E" w:rsidP="00274D82">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7222D8">
        <w:t xml:space="preserve"> 2002</w:t>
      </w:r>
      <w:r>
        <w:t>, p. 12</w:t>
      </w:r>
      <w:r w:rsidRPr="00F70A1B">
        <w:t>.</w:t>
      </w:r>
      <w:r>
        <w:t xml:space="preserve"> Neil, A. </w:t>
      </w:r>
      <w:r w:rsidRPr="008E182D">
        <w:rPr>
          <w:i/>
        </w:rPr>
        <w:t>Principles of Civil Procedure</w:t>
      </w:r>
      <w:r>
        <w:t xml:space="preserve">. London: Sweet &amp; Maxwell, 1994, p. 69. </w:t>
      </w:r>
    </w:p>
  </w:footnote>
  <w:footnote w:id="92">
    <w:p w:rsidR="00E0371E" w:rsidRPr="00201758" w:rsidRDefault="00E0371E" w:rsidP="00274D82">
      <w:pPr>
        <w:pStyle w:val="Puslapioinaostekstas"/>
        <w:jc w:val="both"/>
        <w:rPr>
          <w:lang w:val="de-DE"/>
        </w:rPr>
      </w:pPr>
      <w:r>
        <w:rPr>
          <w:rStyle w:val="Puslapioinaosnuoroda"/>
        </w:rPr>
        <w:footnoteRef/>
      </w:r>
      <w:r w:rsidRPr="0052794E">
        <w:rPr>
          <w:lang w:val="de-DE"/>
        </w:rPr>
        <w:t xml:space="preserve">Wetzell, G. W. </w:t>
      </w:r>
      <w:r>
        <w:rPr>
          <w:i/>
          <w:lang w:val="de-DE"/>
        </w:rPr>
        <w:t>System des ordentlichen Z</w:t>
      </w:r>
      <w:r w:rsidRPr="0052794E">
        <w:rPr>
          <w:i/>
          <w:lang w:val="de-DE"/>
        </w:rPr>
        <w:t>ivilprozesses</w:t>
      </w:r>
      <w:r w:rsidRPr="0052794E">
        <w:rPr>
          <w:lang w:val="de-DE"/>
        </w:rPr>
        <w:t xml:space="preserve">. </w:t>
      </w:r>
      <w:r w:rsidRPr="00201758">
        <w:rPr>
          <w:lang w:val="de-DE"/>
        </w:rPr>
        <w:t>3</w:t>
      </w:r>
      <w:r>
        <w:rPr>
          <w:lang w:val="de-DE"/>
        </w:rPr>
        <w:t>-ioji laida</w:t>
      </w:r>
      <w:r w:rsidRPr="00201758">
        <w:rPr>
          <w:lang w:val="de-DE"/>
        </w:rPr>
        <w:t>.</w:t>
      </w:r>
      <w:r>
        <w:rPr>
          <w:lang w:val="de-DE"/>
        </w:rPr>
        <w:t xml:space="preserve"> </w:t>
      </w:r>
      <w:r w:rsidRPr="0052794E">
        <w:rPr>
          <w:rFonts w:eastAsia="Arial Unicode MS"/>
          <w:color w:val="000000"/>
          <w:shd w:val="clear" w:color="auto" w:fill="FFFFFF"/>
        </w:rPr>
        <w:t>Aalen: Scientia-Verlag, 1969.</w:t>
      </w:r>
    </w:p>
  </w:footnote>
  <w:footnote w:id="93">
    <w:p w:rsidR="00E0371E" w:rsidRDefault="00E0371E" w:rsidP="00D14981">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w:t>
      </w:r>
      <w:r w:rsidRPr="0052794E">
        <w:rPr>
          <w:i/>
        </w:rPr>
        <w:t xml:space="preserve">danskoj jurisdikcii: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201758">
        <w:rPr>
          <w:lang w:val="de-DE"/>
        </w:rPr>
        <w:t xml:space="preserve"> 2002</w:t>
      </w:r>
      <w:r>
        <w:t>, p. 15. Canstein, K. F.</w:t>
      </w:r>
      <w:r w:rsidRPr="00D14981">
        <w:t xml:space="preserve"> </w:t>
      </w:r>
      <w:r w:rsidRPr="00D14981">
        <w:rPr>
          <w:i/>
        </w:rPr>
        <w:t>Die rationallen Grundlagen des Civilprozesses</w:t>
      </w:r>
      <w:r w:rsidRPr="00D14981">
        <w:t xml:space="preserve">. </w:t>
      </w:r>
      <w:r>
        <w:t>Berlin, 1877, p. 169, 185-186, 197-198.</w:t>
      </w:r>
    </w:p>
  </w:footnote>
  <w:footnote w:id="94">
    <w:p w:rsidR="00E0371E" w:rsidRPr="00D14981" w:rsidRDefault="00E0371E" w:rsidP="00D14981">
      <w:pPr>
        <w:pStyle w:val="Puslapioinaostekstas"/>
        <w:jc w:val="both"/>
      </w:pPr>
      <w:r>
        <w:rPr>
          <w:rStyle w:val="Puslapioinaosnuoroda"/>
        </w:rPr>
        <w:footnoteRef/>
      </w:r>
      <w:r w:rsidRPr="00D14981">
        <w:t>Canstein, K. F</w:t>
      </w:r>
      <w:r>
        <w:t>.</w:t>
      </w:r>
      <w:r w:rsidRPr="00D14981">
        <w:t xml:space="preserve"> </w:t>
      </w:r>
      <w:r w:rsidRPr="00D14981">
        <w:rPr>
          <w:i/>
        </w:rPr>
        <w:t>Die rationallen Grundlagen des Civilprozesses</w:t>
      </w:r>
      <w:r w:rsidRPr="00D14981">
        <w:t xml:space="preserve">. </w:t>
      </w:r>
      <w:r>
        <w:t>Berlin, 1877, p. 169, 185-186, 197-198.</w:t>
      </w:r>
    </w:p>
    <w:p w:rsidR="00E0371E" w:rsidRDefault="00E0371E" w:rsidP="00274D82">
      <w:pPr>
        <w:pStyle w:val="Puslapioinaostekstas"/>
        <w:jc w:val="both"/>
      </w:pPr>
      <w:r>
        <w:t xml:space="preserve">Rjazanovskij, V. A. </w:t>
      </w:r>
      <w:r>
        <w:rPr>
          <w:i/>
        </w:rPr>
        <w:t xml:space="preserve">Edinstvo procesa </w:t>
      </w:r>
      <w:r w:rsidRPr="007A597D">
        <w:t>[Unity of Procedure].</w:t>
      </w:r>
      <w:r w:rsidRPr="00BC56C7">
        <w:t xml:space="preserve">  М</w:t>
      </w:r>
      <w:r>
        <w:t>oskva</w:t>
      </w:r>
      <w:r w:rsidRPr="00BC56C7">
        <w:t>: </w:t>
      </w:r>
      <w:r>
        <w:t>Gorodec, 2005, p. 58-59.</w:t>
      </w:r>
    </w:p>
  </w:footnote>
  <w:footnote w:id="95">
    <w:p w:rsidR="00E0371E" w:rsidRDefault="00E0371E" w:rsidP="00375705">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w:t>
      </w:r>
      <w:r w:rsidRPr="0052794E">
        <w:rPr>
          <w:i/>
        </w:rPr>
        <w:t>danskoj juris</w:t>
      </w:r>
      <w:r>
        <w:rPr>
          <w:i/>
        </w:rPr>
        <w:t>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4E064E">
        <w:t xml:space="preserve"> 2002</w:t>
      </w:r>
      <w:r>
        <w:t>, p. 18.</w:t>
      </w:r>
    </w:p>
  </w:footnote>
  <w:footnote w:id="96">
    <w:p w:rsidR="00E0371E" w:rsidRPr="00982235" w:rsidRDefault="00E0371E" w:rsidP="00982235">
      <w:pPr>
        <w:rPr>
          <w:sz w:val="20"/>
          <w:szCs w:val="20"/>
        </w:rPr>
      </w:pPr>
      <w:r w:rsidRPr="00982235">
        <w:rPr>
          <w:rStyle w:val="Puslapioinaosnuoroda"/>
          <w:sz w:val="20"/>
          <w:szCs w:val="20"/>
        </w:rPr>
        <w:footnoteRef/>
      </w:r>
      <w:r w:rsidRPr="00982235">
        <w:rPr>
          <w:sz w:val="20"/>
          <w:szCs w:val="20"/>
        </w:rPr>
        <w:t xml:space="preserve">Mačys, V. </w:t>
      </w:r>
      <w:r w:rsidRPr="00982235">
        <w:rPr>
          <w:i/>
          <w:sz w:val="20"/>
          <w:szCs w:val="20"/>
        </w:rPr>
        <w:t>Civilinio proceso paskaitos</w:t>
      </w:r>
      <w:r w:rsidRPr="00982235">
        <w:rPr>
          <w:sz w:val="20"/>
          <w:szCs w:val="20"/>
        </w:rPr>
        <w:t>. Kaunas: Vytauto Didžiojo universiteto teisių fakultetas, 1924, p. 47.</w:t>
      </w:r>
    </w:p>
  </w:footnote>
  <w:footnote w:id="97">
    <w:p w:rsidR="00E0371E" w:rsidRDefault="00E0371E" w:rsidP="00274D82">
      <w:pPr>
        <w:pStyle w:val="Puslapioinaostekstas"/>
        <w:jc w:val="both"/>
      </w:pPr>
      <w:r>
        <w:rPr>
          <w:rStyle w:val="Puslapioinaosnuoroda"/>
        </w:rPr>
        <w:footnoteRef/>
      </w:r>
      <w:r>
        <w:t xml:space="preserve">Pleshanov, A. G. </w:t>
      </w:r>
      <w:r w:rsidRPr="0052794E">
        <w:rPr>
          <w:i/>
        </w:rPr>
        <w:t>Dispozitivnoe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510FAA">
        <w:t xml:space="preserve"> 2002</w:t>
      </w:r>
      <w:r>
        <w:t>, p. 52.</w:t>
      </w:r>
    </w:p>
  </w:footnote>
  <w:footnote w:id="98">
    <w:p w:rsidR="00E0371E" w:rsidRDefault="00E0371E" w:rsidP="00274D82">
      <w:pPr>
        <w:pStyle w:val="Puslapioinaostekstas"/>
        <w:jc w:val="both"/>
      </w:pPr>
      <w:r>
        <w:rPr>
          <w:rStyle w:val="Puslapioinaosnuoroda"/>
        </w:rPr>
        <w:footnoteRef/>
      </w:r>
      <w:r>
        <w:t xml:space="preserve">Kuncevičius, G. </w:t>
      </w:r>
      <w:r w:rsidRPr="00D71207">
        <w:rPr>
          <w:i/>
        </w:rPr>
        <w:t>Administracinės sutarties institutas ir jo teorinis pagrindimas</w:t>
      </w:r>
      <w:r>
        <w:t xml:space="preserve">. Daktaro disertacija. Socialiniai mokslai (teisė). Vilnius: Mykolo Romerio universitetas, 2011, p. 167-169. </w:t>
      </w:r>
    </w:p>
  </w:footnote>
  <w:footnote w:id="99">
    <w:p w:rsidR="00E0371E" w:rsidRPr="000164DF" w:rsidRDefault="00E0371E" w:rsidP="00D06236">
      <w:pPr>
        <w:jc w:val="both"/>
        <w:rPr>
          <w:sz w:val="20"/>
          <w:szCs w:val="20"/>
        </w:rPr>
      </w:pPr>
      <w:r w:rsidRPr="000164DF">
        <w:rPr>
          <w:rStyle w:val="Puslapioinaosnuoroda"/>
          <w:sz w:val="20"/>
          <w:szCs w:val="20"/>
        </w:rPr>
        <w:footnoteRef/>
      </w:r>
      <w:r w:rsidRPr="000164DF">
        <w:rPr>
          <w:sz w:val="20"/>
          <w:szCs w:val="20"/>
        </w:rPr>
        <w:t>Asmens subjektinė teisė re</w:t>
      </w:r>
      <w:r>
        <w:rPr>
          <w:sz w:val="20"/>
          <w:szCs w:val="20"/>
        </w:rPr>
        <w:t xml:space="preserve">iškia įtvirtintą teisės normoje: 1. </w:t>
      </w:r>
      <w:r w:rsidRPr="000164DF">
        <w:rPr>
          <w:sz w:val="20"/>
          <w:szCs w:val="20"/>
        </w:rPr>
        <w:t>galimybę naudo</w:t>
      </w:r>
      <w:r>
        <w:rPr>
          <w:sz w:val="20"/>
          <w:szCs w:val="20"/>
        </w:rPr>
        <w:t xml:space="preserve">tis nustatytu socialiniu gėriu; 2. </w:t>
      </w:r>
      <w:r w:rsidRPr="000164DF">
        <w:rPr>
          <w:sz w:val="20"/>
          <w:szCs w:val="20"/>
        </w:rPr>
        <w:t>įgalinimus atlikti apibrėžtus veiksmus ir reikalauti ati</w:t>
      </w:r>
      <w:r>
        <w:rPr>
          <w:sz w:val="20"/>
          <w:szCs w:val="20"/>
        </w:rPr>
        <w:t xml:space="preserve">tinkamų veiksmų iš kitų asmenų; 3. </w:t>
      </w:r>
      <w:r w:rsidRPr="000164DF">
        <w:rPr>
          <w:sz w:val="20"/>
          <w:szCs w:val="20"/>
        </w:rPr>
        <w:t>elgesio laisvę teisės normo</w:t>
      </w:r>
      <w:r>
        <w:rPr>
          <w:sz w:val="20"/>
          <w:szCs w:val="20"/>
        </w:rPr>
        <w:t>s</w:t>
      </w:r>
      <w:r w:rsidRPr="000164DF">
        <w:rPr>
          <w:sz w:val="20"/>
          <w:szCs w:val="20"/>
        </w:rPr>
        <w:t xml:space="preserve"> nustatytose ribose.</w:t>
      </w:r>
    </w:p>
  </w:footnote>
  <w:footnote w:id="100">
    <w:p w:rsidR="00E0371E" w:rsidRDefault="00E0371E" w:rsidP="00274D82">
      <w:pPr>
        <w:pStyle w:val="Puslapioinaostekstas"/>
        <w:jc w:val="both"/>
      </w:pPr>
      <w:r>
        <w:rPr>
          <w:rStyle w:val="Puslapioinaosnuoroda"/>
        </w:rPr>
        <w:footnoteRef/>
      </w:r>
      <w:r w:rsidRPr="00B32917">
        <w:t xml:space="preserve">Maslennikova, L. </w:t>
      </w:r>
      <w:r>
        <w:t>N</w:t>
      </w:r>
      <w:r w:rsidRPr="00B32917">
        <w:t xml:space="preserve">. </w:t>
      </w:r>
      <w:r w:rsidRPr="006B615E">
        <w:rPr>
          <w:i/>
        </w:rPr>
        <w:t>Metodologija poznanija publi</w:t>
      </w:r>
      <w:r>
        <w:rPr>
          <w:i/>
        </w:rPr>
        <w:t>chnogo i ch</w:t>
      </w:r>
      <w:r w:rsidRPr="006B615E">
        <w:rPr>
          <w:i/>
        </w:rPr>
        <w:t>astnogo (dispozitivnogo) na</w:t>
      </w:r>
      <w:r>
        <w:rPr>
          <w:i/>
        </w:rPr>
        <w:t>ch</w:t>
      </w:r>
      <w:r w:rsidRPr="006B615E">
        <w:rPr>
          <w:i/>
        </w:rPr>
        <w:t xml:space="preserve">al v ugolovnom sudoproizvodstve </w:t>
      </w:r>
      <w:r w:rsidRPr="00F70A1B">
        <w:t>[Methodology of Cognition of Public and Private (Dispositive) Origins in Criminal Procedure]</w:t>
      </w:r>
      <w:r w:rsidRPr="00F70A1B">
        <w:rPr>
          <w:sz w:val="16"/>
        </w:rPr>
        <w:t>.</w:t>
      </w:r>
      <w:r>
        <w:rPr>
          <w:sz w:val="16"/>
        </w:rPr>
        <w:t xml:space="preserve"> </w:t>
      </w:r>
      <w:r>
        <w:t>Moskva: Akademija upravlenija MVD Rossii,</w:t>
      </w:r>
      <w:r w:rsidRPr="00B32917">
        <w:t xml:space="preserve"> 2000</w:t>
      </w:r>
      <w:r>
        <w:t>, p. 82.</w:t>
      </w:r>
    </w:p>
  </w:footnote>
  <w:footnote w:id="101">
    <w:p w:rsidR="00E0371E" w:rsidRDefault="00E0371E" w:rsidP="00274D82">
      <w:pPr>
        <w:pStyle w:val="Puslapioinaostekstas"/>
        <w:jc w:val="both"/>
      </w:pPr>
      <w:r>
        <w:rPr>
          <w:rStyle w:val="Puslapioinaosnuoroda"/>
        </w:rPr>
        <w:footnoteRef/>
      </w:r>
      <w:r>
        <w:t xml:space="preserve">Vaišvila, A. </w:t>
      </w:r>
      <w:r w:rsidRPr="006A6932">
        <w:rPr>
          <w:i/>
        </w:rPr>
        <w:t>Teisinis personalizmas: teorija ir metodas</w:t>
      </w:r>
      <w:r>
        <w:t xml:space="preserve">. Vilnius: Justitia, 2010, p. 305. Plačiau: Arlauskas, S. </w:t>
      </w:r>
      <w:r w:rsidRPr="006A6932">
        <w:rPr>
          <w:i/>
        </w:rPr>
        <w:t>Turiningieji teisės pagrindai. Pagrindinių subjektinių teisių teorijos metmenys</w:t>
      </w:r>
      <w:r>
        <w:t xml:space="preserve">. Vilnius: Mykolo Romerio universitetas, 2004. </w:t>
      </w:r>
    </w:p>
  </w:footnote>
  <w:footnote w:id="102">
    <w:p w:rsidR="00E0371E" w:rsidRPr="00A42945" w:rsidRDefault="00E0371E" w:rsidP="007A597D">
      <w:pPr>
        <w:pStyle w:val="Puslapioinaostekstas"/>
        <w:jc w:val="both"/>
      </w:pPr>
      <w:r w:rsidRPr="00234D63">
        <w:rPr>
          <w:rStyle w:val="Puslapioinaosnuoroda"/>
        </w:rPr>
        <w:footnoteRef/>
      </w:r>
      <w:r>
        <w:t xml:space="preserve">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rsidRPr="00B57450">
        <w:t>19</w:t>
      </w:r>
      <w:r>
        <w:t>.</w:t>
      </w:r>
      <w:r w:rsidRPr="00B57450">
        <w:t xml:space="preserve"> </w:t>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CE3CF5">
        <w:t xml:space="preserve"> 2002</w:t>
      </w:r>
      <w:r w:rsidRPr="00BE021F">
        <w:rPr>
          <w:sz w:val="16"/>
        </w:rPr>
        <w:t xml:space="preserve">, </w:t>
      </w:r>
      <w:r w:rsidRPr="00A42945">
        <w:t>p. 73-76</w:t>
      </w:r>
      <w:r>
        <w:t>.</w:t>
      </w:r>
      <w:r w:rsidRPr="00A42945">
        <w:t xml:space="preserve"> Kaip ir teisės principai, teisinio reguliavimo metodas turi normatyvinį įtvirtinimą, tačiau atskiri metodo bruožai tiksliau, koncentruočiau išreiškiami konkrečiuose teisiniuose nurodymuose. Metodas išreiškia teisės veikimo būdą. Lyginant su principais, metodas yra dinamiškesnė kategorija.  </w:t>
      </w:r>
    </w:p>
  </w:footnote>
  <w:footnote w:id="103">
    <w:p w:rsidR="00E0371E" w:rsidRPr="00A42945" w:rsidRDefault="00E0371E" w:rsidP="00BE021F">
      <w:pPr>
        <w:pStyle w:val="Puslapioinaostekstas"/>
        <w:jc w:val="both"/>
      </w:pPr>
      <w:r w:rsidRPr="00A42945">
        <w:rPr>
          <w:rStyle w:val="Puslapioinaosnuoroda"/>
        </w:rPr>
        <w:footnoteRef/>
      </w:r>
      <w:r>
        <w:t xml:space="preserve">Muradjan, E. M. </w:t>
      </w:r>
      <w:r w:rsidRPr="00AF31D6">
        <w:rPr>
          <w:i/>
        </w:rPr>
        <w:t xml:space="preserve">Istina kak problema sudebnogo prava </w:t>
      </w:r>
      <w:r w:rsidRPr="0043523F">
        <w:t>[Truth as a Problem of Judicial Law]</w:t>
      </w:r>
      <w:r>
        <w:t xml:space="preserve">. </w:t>
      </w:r>
      <w:r>
        <w:rPr>
          <w:color w:val="000033"/>
        </w:rPr>
        <w:t>Moskva: Jurist,</w:t>
      </w:r>
      <w:r w:rsidRPr="00A42945">
        <w:rPr>
          <w:color w:val="000033"/>
        </w:rPr>
        <w:t> 2004,</w:t>
      </w:r>
      <w:r w:rsidRPr="00A42945">
        <w:t xml:space="preserve"> p. 26</w:t>
      </w:r>
      <w:r>
        <w:t xml:space="preserve">. </w:t>
      </w:r>
    </w:p>
  </w:footnote>
  <w:footnote w:id="104">
    <w:p w:rsidR="00E0371E" w:rsidRDefault="00E0371E" w:rsidP="00274D82">
      <w:pPr>
        <w:pStyle w:val="Puslapioinaostekstas"/>
        <w:jc w:val="both"/>
      </w:pPr>
      <w:r>
        <w:rPr>
          <w:rStyle w:val="Puslapioinaosnuoroda"/>
        </w:rPr>
        <w:footnoteRef/>
      </w:r>
      <w:r>
        <w:t xml:space="preserve">Jankauskas, K. </w:t>
      </w:r>
      <w:r w:rsidRPr="005E2DC3">
        <w:rPr>
          <w:i/>
        </w:rPr>
        <w:t>Teisės principų samprata ir jos įtvirtinimas konstitucinėje jurisprudencijoje</w:t>
      </w:r>
      <w:r>
        <w:t xml:space="preserve">. Daktaro disertacija. Socialiniai mokslai (teisė). Vilnius: Mykolo Romerio universitetas, 2005, p. 76. </w:t>
      </w:r>
    </w:p>
  </w:footnote>
  <w:footnote w:id="105">
    <w:p w:rsidR="00E0371E" w:rsidRDefault="00E0371E">
      <w:pPr>
        <w:pStyle w:val="Puslapioinaostekstas"/>
      </w:pPr>
      <w:r>
        <w:rPr>
          <w:rStyle w:val="Puslapioinaosnuoroda"/>
        </w:rPr>
        <w:footnoteRef/>
      </w:r>
      <w:r>
        <w:t xml:space="preserve">Kūris, E. Koordinaciniai ir determinaciniai konstituciniai principai (1). </w:t>
      </w:r>
      <w:r w:rsidRPr="008A5AD7">
        <w:rPr>
          <w:i/>
        </w:rPr>
        <w:t>Jurisprudencija</w:t>
      </w:r>
      <w:r>
        <w:t xml:space="preserve">. </w:t>
      </w:r>
      <w:r w:rsidRPr="008A5AD7">
        <w:t xml:space="preserve">2002, 26 (18): </w:t>
      </w:r>
      <w:r>
        <w:t xml:space="preserve">36. </w:t>
      </w:r>
    </w:p>
  </w:footnote>
  <w:footnote w:id="106">
    <w:p w:rsidR="00E0371E" w:rsidRDefault="00E0371E" w:rsidP="00274D82">
      <w:pPr>
        <w:pStyle w:val="Puslapioinaostekstas"/>
        <w:jc w:val="both"/>
      </w:pPr>
      <w:r>
        <w:rPr>
          <w:rStyle w:val="Puslapioinaosnuoroda"/>
        </w:rPr>
        <w:footnoteRef/>
      </w:r>
      <w:r w:rsidRPr="00047BF4">
        <w:t xml:space="preserve">Jankauskas, K. </w:t>
      </w:r>
      <w:r w:rsidRPr="00047BF4">
        <w:rPr>
          <w:i/>
        </w:rPr>
        <w:t>Teisės principų samprata ir jos įtvirtinimas konstitucinėje jurisprudencijoje</w:t>
      </w:r>
      <w:r w:rsidRPr="00047BF4">
        <w:t xml:space="preserve">. Daktaro disertacija. Socialiniai mokslai </w:t>
      </w:r>
      <w:r>
        <w:t>(</w:t>
      </w:r>
      <w:r w:rsidRPr="00047BF4">
        <w:t>teisė</w:t>
      </w:r>
      <w:r>
        <w:t xml:space="preserve">). Vilnius: Mykolo Romerio universitetas, 2005, p. 75, 102. Vaišvila, A. </w:t>
      </w:r>
      <w:r w:rsidRPr="00047BF4">
        <w:rPr>
          <w:i/>
        </w:rPr>
        <w:t>Teisės teorija</w:t>
      </w:r>
      <w:r>
        <w:t xml:space="preserve">. 2-oji pataisyta ir papildyta laida. Vilnius: Justitia, 2004, p. 197. Alekseev, S. S. </w:t>
      </w:r>
      <w:r w:rsidRPr="008B0B69">
        <w:rPr>
          <w:i/>
        </w:rPr>
        <w:t>Vos</w:t>
      </w:r>
      <w:r>
        <w:rPr>
          <w:i/>
        </w:rPr>
        <w:t>khozhdeni</w:t>
      </w:r>
      <w:r w:rsidRPr="008B0B69">
        <w:rPr>
          <w:i/>
        </w:rPr>
        <w:t>e k pravu: poiski i reshenija</w:t>
      </w:r>
      <w:r>
        <w:t xml:space="preserve"> [Ascent to Law: Search and Solutions]. Moskva: Norma</w:t>
      </w:r>
      <w:r w:rsidRPr="00A42945">
        <w:t>, 2001, p. 3</w:t>
      </w:r>
      <w:r>
        <w:t>3</w:t>
      </w:r>
      <w:r w:rsidRPr="00A42945">
        <w:t>0</w:t>
      </w:r>
      <w:r>
        <w:t xml:space="preserve">. </w:t>
      </w:r>
    </w:p>
  </w:footnote>
  <w:footnote w:id="107">
    <w:p w:rsidR="00E0371E" w:rsidRDefault="00E0371E" w:rsidP="00274D82">
      <w:pPr>
        <w:pStyle w:val="Puslapioinaostekstas"/>
        <w:jc w:val="both"/>
      </w:pPr>
      <w:r>
        <w:rPr>
          <w:rStyle w:val="Puslapioinaosnuoroda"/>
        </w:rPr>
        <w:footnoteRef/>
      </w:r>
      <w:r w:rsidRPr="00E611E3">
        <w:t xml:space="preserve">Vaišvila, A. </w:t>
      </w:r>
      <w:r w:rsidRPr="00E611E3">
        <w:rPr>
          <w:i/>
        </w:rPr>
        <w:t>Teisės teorija</w:t>
      </w:r>
      <w:r w:rsidRPr="00E611E3">
        <w:t xml:space="preserve">. </w:t>
      </w:r>
      <w:r>
        <w:t>2-oji</w:t>
      </w:r>
      <w:r w:rsidRPr="00E611E3">
        <w:t xml:space="preserve"> pataisyta ir papildyta l</w:t>
      </w:r>
      <w:r>
        <w:t>a</w:t>
      </w:r>
      <w:r w:rsidRPr="00E611E3">
        <w:t>ida. Vilnius: Justitia, 2004, p. 197.</w:t>
      </w:r>
    </w:p>
  </w:footnote>
  <w:footnote w:id="108">
    <w:p w:rsidR="00E0371E" w:rsidRPr="008B0B69" w:rsidRDefault="00E0371E" w:rsidP="00274D82">
      <w:pPr>
        <w:jc w:val="both"/>
        <w:rPr>
          <w:sz w:val="20"/>
          <w:szCs w:val="20"/>
        </w:rPr>
      </w:pPr>
      <w:r w:rsidRPr="00A42945">
        <w:rPr>
          <w:rStyle w:val="Puslapioinaosnuoroda"/>
          <w:sz w:val="20"/>
          <w:szCs w:val="20"/>
        </w:rPr>
        <w:footnoteRef/>
      </w:r>
      <w:r w:rsidRPr="008B0B69">
        <w:rPr>
          <w:sz w:val="20"/>
          <w:szCs w:val="20"/>
        </w:rPr>
        <w:t xml:space="preserve">Alekseev, S. S. </w:t>
      </w:r>
      <w:r w:rsidRPr="008B0B69">
        <w:rPr>
          <w:i/>
          <w:sz w:val="20"/>
          <w:szCs w:val="20"/>
        </w:rPr>
        <w:t>Vos</w:t>
      </w:r>
      <w:r>
        <w:rPr>
          <w:i/>
          <w:sz w:val="20"/>
          <w:szCs w:val="20"/>
        </w:rPr>
        <w:t>khozhdeni</w:t>
      </w:r>
      <w:r w:rsidRPr="008B0B69">
        <w:rPr>
          <w:i/>
          <w:sz w:val="20"/>
          <w:szCs w:val="20"/>
        </w:rPr>
        <w:t>e k pravu: poiski i reshenija</w:t>
      </w:r>
      <w:r w:rsidRPr="008B0B69">
        <w:rPr>
          <w:sz w:val="20"/>
          <w:szCs w:val="20"/>
        </w:rPr>
        <w:t xml:space="preserve"> [Ascent to Law: Search and Solutions]. Moskva: Norma, 2001, p. 350. </w:t>
      </w:r>
    </w:p>
  </w:footnote>
  <w:footnote w:id="109">
    <w:p w:rsidR="00E0371E" w:rsidRDefault="00E0371E" w:rsidP="00D06236">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CE3CF5">
        <w:t xml:space="preserve"> 2002</w:t>
      </w:r>
      <w:r>
        <w:t>, p. 52.</w:t>
      </w:r>
    </w:p>
  </w:footnote>
  <w:footnote w:id="110">
    <w:p w:rsidR="00E0371E" w:rsidRDefault="00E0371E" w:rsidP="00AF31D6">
      <w:pPr>
        <w:pStyle w:val="Puslapioinaostekstas"/>
        <w:jc w:val="both"/>
      </w:pPr>
      <w:r>
        <w:rPr>
          <w:rStyle w:val="Puslapioinaosnuoroda"/>
        </w:rPr>
        <w:footnoteRef/>
      </w:r>
      <w:r>
        <w:t xml:space="preserve">Teisinėje valstybėje esminis dalykas yra ne tik tai, kad pagrindinės žmogaus teisės ir laisvės yra įtvirtintos įstatymuose, bet ir tai, kad užtikrinamas šių teisių realizavimas ir reali gynyba. Vienas iš svarbių teisinės valstybės požymių yra valstybės atsakomybė savo piliečiui, kad įstatymuose bus įtvirtintos visuotinai pripažintos žmogaus teisės ir laisvės ir jos bus realiai įgyvendinamos. Kita vertus, pilietis yra atsakingas už savo neteisėtus veiksmus valstybei. Vertinant šiuos tikslus baudžiamosios teisės kontekste, reikštų, kad siekiama sukurti tokią visuomenę, kuri yra pakankamai laisva ir saugi nuo nusikalstamų veikų. Lietuvos Respublikos Konstitucinio Teismo 1994 m. vasario 14 d. nutarimas. </w:t>
      </w:r>
      <w:r w:rsidRPr="003D05F7">
        <w:rPr>
          <w:i/>
        </w:rPr>
        <w:t>Valstybės žinios</w:t>
      </w:r>
      <w:r w:rsidRPr="003D05F7">
        <w:t>. 1994, Nr. 13-221.</w:t>
      </w:r>
    </w:p>
  </w:footnote>
  <w:footnote w:id="111">
    <w:p w:rsidR="00E0371E" w:rsidRPr="00831855" w:rsidRDefault="00E0371E" w:rsidP="00AF31D6">
      <w:pPr>
        <w:pStyle w:val="Puslapioinaostekstas"/>
        <w:jc w:val="both"/>
        <w:rPr>
          <w:i/>
        </w:rPr>
      </w:pPr>
      <w:r>
        <w:rPr>
          <w:rStyle w:val="Puslapioinaosnuoroda"/>
        </w:rPr>
        <w:footnoteRef/>
      </w:r>
      <w:r>
        <w:t xml:space="preserve">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p. 24.</w:t>
      </w:r>
    </w:p>
  </w:footnote>
  <w:footnote w:id="112">
    <w:p w:rsidR="00E0371E" w:rsidRDefault="00E0371E" w:rsidP="00AF31D6">
      <w:pPr>
        <w:pStyle w:val="Puslapioinaostekstas"/>
        <w:jc w:val="both"/>
      </w:pPr>
      <w:r>
        <w:rPr>
          <w:rStyle w:val="Puslapioinaosnuoroda"/>
        </w:rPr>
        <w:footnoteRef/>
      </w:r>
      <w:r>
        <w:t xml:space="preserve">Muradjan, E. M. </w:t>
      </w:r>
      <w:r w:rsidRPr="00AF31D6">
        <w:rPr>
          <w:i/>
        </w:rPr>
        <w:t xml:space="preserve">Istina kak problema sudebnogo prava </w:t>
      </w:r>
      <w:r w:rsidRPr="008B0B69">
        <w:t>[Truth as a Problem of Judicial Law]</w:t>
      </w:r>
      <w:r>
        <w:t xml:space="preserve">. </w:t>
      </w:r>
      <w:r>
        <w:rPr>
          <w:color w:val="000033"/>
        </w:rPr>
        <w:t>Moskva: Jurist,</w:t>
      </w:r>
      <w:r w:rsidRPr="00A42945">
        <w:rPr>
          <w:color w:val="000033"/>
        </w:rPr>
        <w:t> 2004,</w:t>
      </w:r>
      <w:r>
        <w:rPr>
          <w:color w:val="000033"/>
        </w:rPr>
        <w:t xml:space="preserve"> </w:t>
      </w:r>
      <w:r>
        <w:t>p. 27.</w:t>
      </w:r>
    </w:p>
  </w:footnote>
  <w:footnote w:id="113">
    <w:p w:rsidR="00E0371E" w:rsidRDefault="00E0371E" w:rsidP="00274D82">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52794E">
        <w:rPr>
          <w:lang w:val="en-US"/>
        </w:rPr>
        <w:t xml:space="preserve"> 2002</w:t>
      </w:r>
      <w:r>
        <w:t xml:space="preserve">, p. 76. 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xml:space="preserve">, </w:t>
      </w:r>
      <w:r w:rsidRPr="00A42945">
        <w:t>p. 19</w:t>
      </w:r>
      <w:r>
        <w:t>.</w:t>
      </w:r>
    </w:p>
  </w:footnote>
  <w:footnote w:id="114">
    <w:p w:rsidR="00E0371E" w:rsidRDefault="00E0371E" w:rsidP="00274D82">
      <w:pPr>
        <w:pStyle w:val="Puslapioinaostekstas"/>
        <w:jc w:val="both"/>
      </w:pPr>
      <w:r>
        <w:rPr>
          <w:rStyle w:val="Puslapioinaosnuoroda"/>
        </w:rPr>
        <w:footnoteRef/>
      </w:r>
      <w:r w:rsidRPr="00E611E3">
        <w:t xml:space="preserve">Vaišvila, A. </w:t>
      </w:r>
      <w:r w:rsidRPr="00E611E3">
        <w:rPr>
          <w:i/>
        </w:rPr>
        <w:t>Teisės teorija</w:t>
      </w:r>
      <w:r>
        <w:t>. 2-oji</w:t>
      </w:r>
      <w:r w:rsidRPr="00E611E3">
        <w:t xml:space="preserve"> pataisyta ir papildyta l</w:t>
      </w:r>
      <w:r>
        <w:t>a</w:t>
      </w:r>
      <w:r w:rsidRPr="00E611E3">
        <w:t xml:space="preserve">ida. Vilnius: Justitia, 2004, p. </w:t>
      </w:r>
      <w:r>
        <w:t xml:space="preserve">205. </w:t>
      </w:r>
    </w:p>
  </w:footnote>
  <w:footnote w:id="115">
    <w:p w:rsidR="00E0371E" w:rsidRDefault="00E0371E" w:rsidP="00831855">
      <w:pPr>
        <w:pStyle w:val="Puslapioinaostekstas"/>
        <w:jc w:val="both"/>
      </w:pPr>
      <w:r>
        <w:rPr>
          <w:rStyle w:val="Puslapioinaosnuoroda"/>
        </w:rPr>
        <w:footnoteRef/>
      </w:r>
      <w:r w:rsidRPr="00C55797">
        <w:t>Lietuvos Respublikos Konstitucinio Teismo 1994 m. vasario 14 d. nutarimas</w:t>
      </w:r>
      <w:r>
        <w:t xml:space="preserve">. </w:t>
      </w:r>
      <w:r w:rsidRPr="00D917B7">
        <w:rPr>
          <w:i/>
        </w:rPr>
        <w:t>Valstybės žinios</w:t>
      </w:r>
      <w:r w:rsidRPr="00D917B7">
        <w:t xml:space="preserve">. 1994, Nr. 13-221. </w:t>
      </w:r>
    </w:p>
  </w:footnote>
  <w:footnote w:id="116">
    <w:p w:rsidR="00E0371E" w:rsidRDefault="00E0371E" w:rsidP="00831855">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Samara, 2004</w:t>
      </w:r>
      <w:r w:rsidRPr="00DD1E61">
        <w:t>,</w:t>
      </w:r>
      <w:r>
        <w:t xml:space="preserve"> p. 46. </w:t>
      </w:r>
    </w:p>
  </w:footnote>
  <w:footnote w:id="117">
    <w:p w:rsidR="00E0371E" w:rsidRDefault="00E0371E" w:rsidP="007C29D0">
      <w:pPr>
        <w:pStyle w:val="Puslapioinaostekstas"/>
        <w:jc w:val="both"/>
      </w:pPr>
      <w:r>
        <w:rPr>
          <w:rStyle w:val="Puslapioinaosnuoroda"/>
        </w:rPr>
        <w:footnoteRef/>
      </w:r>
      <w:r>
        <w:t xml:space="preserve">Dispozityvus teisinis reguliavimas būdingas ir civilinio ieškinio baudžiamojoje byloje institutui, tačiau šis institutas vertintinas labiau kaip tiesioginis civilinio proceso inkorporavimas į baudžiamąjį procesą nei kaip baudžiamojo proceso savitumas, kokiu laikytinas privataus kaltinimo bylų procesas. Todėl civilinio ieškinio baudžiamojoje byloje institutas šiame tyrime neanalizuojamas kaip dispozityvumo išraiška baudžiamajame procese. Dispozityvias teises galime aptikti ir kitose proceso formose bei institutuose, pavyzdžiui, nukentėjusiojo sutikimas užbaigti procesą teismo baudžiamuoju įsakymu, nutraukti procesą nukentėjusiam asmeniui ir kaltininkui susitaikius, proceso šalių sutikimas taikyti sutrumpintą įrodymų tyrimą, nukentėjusio asmens valios išreiškimas pradedant procesą privačiai viešo kaltinimo bylose ir kt. Šiais atvejais dispozityvumas pasireiškia įgyvendinant šias konkrečias teises, tačiau nėra dominuojantis visoje proceso formoje ar institute. </w:t>
      </w:r>
    </w:p>
  </w:footnote>
  <w:footnote w:id="118">
    <w:p w:rsidR="00E0371E" w:rsidRDefault="00E0371E" w:rsidP="008A5AD7">
      <w:pPr>
        <w:pStyle w:val="Puslapioinaostekstas"/>
        <w:jc w:val="both"/>
      </w:pPr>
      <w:r>
        <w:rPr>
          <w:rStyle w:val="Puslapioinaosnuoroda"/>
        </w:rPr>
        <w:footnoteRef/>
      </w:r>
      <w:r w:rsidRPr="00BE576C">
        <w:t xml:space="preserve">Jankauskas, K. Teisės principų samprata ir jų formulavimo teisės aiškinimo aktuose ypatumai. </w:t>
      </w:r>
      <w:r w:rsidRPr="00BE576C">
        <w:rPr>
          <w:i/>
        </w:rPr>
        <w:t>Jurisprudencija</w:t>
      </w:r>
      <w:r>
        <w:t xml:space="preserve">. 2004, 51 (43): 21-22. </w:t>
      </w:r>
    </w:p>
  </w:footnote>
  <w:footnote w:id="119">
    <w:p w:rsidR="00E0371E" w:rsidRPr="00A42945" w:rsidRDefault="00E0371E" w:rsidP="000026F6">
      <w:pPr>
        <w:pStyle w:val="Puslapioinaostekstas"/>
        <w:jc w:val="both"/>
      </w:pPr>
      <w:r w:rsidRPr="00A42945">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52794E">
        <w:rPr>
          <w:lang w:val="en-US"/>
        </w:rPr>
        <w:t xml:space="preserve"> 2002</w:t>
      </w:r>
      <w:r>
        <w:rPr>
          <w:lang w:val="en-US"/>
        </w:rPr>
        <w:t>,</w:t>
      </w:r>
      <w:r w:rsidRPr="00A42945">
        <w:t xml:space="preserve"> p. 94-95</w:t>
      </w:r>
      <w:r>
        <w:t xml:space="preserve">. </w:t>
      </w:r>
    </w:p>
  </w:footnote>
  <w:footnote w:id="120">
    <w:p w:rsidR="00E0371E" w:rsidRDefault="00E0371E" w:rsidP="00274D82">
      <w:pPr>
        <w:pStyle w:val="Puslapioinaostekstas"/>
        <w:jc w:val="both"/>
      </w:pPr>
      <w:r>
        <w:rPr>
          <w:rStyle w:val="Puslapioinaosnuoroda"/>
        </w:rPr>
        <w:footnoteRef/>
      </w:r>
      <w:r>
        <w:t xml:space="preserve">Rjazanovskij, V. A. </w:t>
      </w:r>
      <w:r>
        <w:rPr>
          <w:i/>
        </w:rPr>
        <w:t xml:space="preserve">Edinstvo procesa </w:t>
      </w:r>
      <w:r w:rsidRPr="007A597D">
        <w:t>[Unity of Procedure].</w:t>
      </w:r>
      <w:r w:rsidRPr="00BC56C7">
        <w:t> М</w:t>
      </w:r>
      <w:r>
        <w:t>oskva</w:t>
      </w:r>
      <w:r w:rsidRPr="00BC56C7">
        <w:t>: </w:t>
      </w:r>
      <w:r>
        <w:t>Gorodec, 2005, p. 48.</w:t>
      </w:r>
    </w:p>
  </w:footnote>
  <w:footnote w:id="121">
    <w:p w:rsidR="00E0371E" w:rsidRDefault="00E0371E" w:rsidP="00274D82">
      <w:pPr>
        <w:pStyle w:val="Puslapioinaostekstas"/>
        <w:jc w:val="both"/>
      </w:pPr>
      <w:r>
        <w:rPr>
          <w:rStyle w:val="Puslapioinaosnuoroda"/>
        </w:rPr>
        <w:footnoteRef/>
      </w:r>
      <w:r>
        <w:t xml:space="preserve">Pleshanov, A. G. </w:t>
      </w:r>
      <w:r>
        <w:rPr>
          <w:i/>
        </w:rPr>
        <w:t>Dispozitivno</w:t>
      </w:r>
      <w:r w:rsidRPr="0052794E">
        <w:rPr>
          <w:i/>
        </w:rPr>
        <w:t>e na</w:t>
      </w:r>
      <w:r>
        <w:rPr>
          <w:i/>
        </w:rPr>
        <w:t>ch</w:t>
      </w:r>
      <w:r w:rsidRPr="0052794E">
        <w:rPr>
          <w:i/>
        </w:rPr>
        <w:t>alo v sfere gra</w:t>
      </w:r>
      <w:r>
        <w:rPr>
          <w:i/>
        </w:rPr>
        <w:t>zhdanskoj jurisdikc</w:t>
      </w:r>
      <w:r w:rsidRPr="0052794E">
        <w:rPr>
          <w:i/>
        </w:rPr>
        <w:t xml:space="preserve">ji: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0B42ED">
        <w:t xml:space="preserve"> 2002</w:t>
      </w:r>
      <w:r>
        <w:t>, p. 84.</w:t>
      </w:r>
    </w:p>
  </w:footnote>
  <w:footnote w:id="122">
    <w:p w:rsidR="00E0371E" w:rsidRDefault="00E0371E" w:rsidP="00F10CDB">
      <w:pPr>
        <w:pStyle w:val="Puslapioinaostekstas"/>
        <w:jc w:val="both"/>
      </w:pPr>
      <w:r>
        <w:rPr>
          <w:rStyle w:val="Puslapioinaosnuoroda"/>
        </w:rPr>
        <w:footnoteRef/>
      </w:r>
      <w:r>
        <w:t>Tokiai nuomonei pritaria nemažai Rusijos mokslininkų: O</w:t>
      </w:r>
      <w:r w:rsidRPr="00CE37D0">
        <w:rPr>
          <w:color w:val="000000"/>
        </w:rPr>
        <w:t>. I. Rogova, Z. V. Makarova, S. S. Ponomarenko, N. A. Gromov</w:t>
      </w:r>
      <w:r>
        <w:rPr>
          <w:color w:val="000000"/>
        </w:rPr>
        <w:t>as</w:t>
      </w:r>
      <w:r w:rsidRPr="00CE37D0">
        <w:rPr>
          <w:color w:val="000000"/>
        </w:rPr>
        <w:t>, V. V. Nikolaičenko</w:t>
      </w:r>
      <w:r>
        <w:rPr>
          <w:color w:val="000000"/>
        </w:rPr>
        <w:t>.</w:t>
      </w:r>
      <w:r>
        <w:t xml:space="preserve"> Rogova</w:t>
      </w:r>
      <w:r w:rsidRPr="00BC56C7">
        <w:t>,</w:t>
      </w:r>
      <w:r>
        <w:t xml:space="preserve"> O</w:t>
      </w:r>
      <w:r w:rsidRPr="00BC56C7">
        <w:t xml:space="preserve">. </w:t>
      </w:r>
      <w:r>
        <w:t>I</w:t>
      </w:r>
      <w:r w:rsidRPr="00BC56C7">
        <w:t xml:space="preserve">. </w:t>
      </w:r>
      <w:r w:rsidRPr="006126CF">
        <w:rPr>
          <w:i/>
        </w:rPr>
        <w:t>Predely projavlenija dispozitivnosti v ugolovnom sudoproizvodstve</w:t>
      </w:r>
      <w:r>
        <w:t xml:space="preserve"> [Limits of Manifestation of Dispositiveness in Criminal Proceedings]. </w:t>
      </w:r>
      <w:r w:rsidRPr="00BC56C7">
        <w:t>Daktaro disertacija. Socialiniai m</w:t>
      </w:r>
      <w:r>
        <w:t>okslai (</w:t>
      </w:r>
      <w:r w:rsidRPr="00BC56C7">
        <w:t>teisė</w:t>
      </w:r>
      <w:r>
        <w:t>)</w:t>
      </w:r>
      <w:r w:rsidRPr="00BC56C7">
        <w:t>. Т</w:t>
      </w:r>
      <w:r>
        <w:t>omsk</w:t>
      </w:r>
      <w:r w:rsidRPr="00BC56C7">
        <w:t>, 1994.</w:t>
      </w:r>
    </w:p>
  </w:footnote>
  <w:footnote w:id="123">
    <w:p w:rsidR="00E0371E" w:rsidRDefault="00E0371E" w:rsidP="00274D82">
      <w:pPr>
        <w:pStyle w:val="Puslapioinaostekstas"/>
        <w:jc w:val="both"/>
      </w:pPr>
      <w:r>
        <w:rPr>
          <w:rStyle w:val="Puslapioinaosnuoroda"/>
        </w:rPr>
        <w:footnoteRef/>
      </w:r>
      <w:r w:rsidRPr="0073081A">
        <w:t xml:space="preserve">Dikarev, I. S. </w:t>
      </w:r>
      <w:r>
        <w:rPr>
          <w:i/>
        </w:rPr>
        <w:t>Dispozitivnost</w:t>
      </w:r>
      <w:r w:rsidRPr="0073081A">
        <w:rPr>
          <w:i/>
        </w:rPr>
        <w:t xml:space="preserve"> v ugolovnom processe </w:t>
      </w:r>
      <w:r w:rsidRPr="003F64C1">
        <w:t>[Dispositiveness in Criminal Procedure].</w:t>
      </w:r>
      <w:r w:rsidRPr="0073081A">
        <w:t xml:space="preserve"> Daktaro disertacija. </w:t>
      </w:r>
      <w:r w:rsidRPr="0073081A">
        <w:rPr>
          <w:color w:val="000033"/>
        </w:rPr>
        <w:t>Socialiniai mokslai (teisė). Volgograd</w:t>
      </w:r>
      <w:r w:rsidRPr="0073081A">
        <w:t>, 2005</w:t>
      </w:r>
      <w:r>
        <w:t>, p. 55.</w:t>
      </w:r>
    </w:p>
  </w:footnote>
  <w:footnote w:id="124">
    <w:p w:rsidR="00E0371E" w:rsidRDefault="00E0371E" w:rsidP="00274D82">
      <w:pPr>
        <w:pStyle w:val="Puslapioinaostekstas"/>
        <w:jc w:val="both"/>
      </w:pPr>
      <w:r>
        <w:rPr>
          <w:rStyle w:val="Puslapioinaosnuoroda"/>
        </w:rPr>
        <w:footnoteRef/>
      </w:r>
      <w:r>
        <w:t xml:space="preserve">Smirnov, A. V. </w:t>
      </w:r>
      <w:r w:rsidRPr="00DD5D77">
        <w:rPr>
          <w:i/>
        </w:rPr>
        <w:t xml:space="preserve">Modeli ugolovnogo processa </w:t>
      </w:r>
      <w:r w:rsidRPr="006126CF">
        <w:t>[Models of Criminal Procedure]</w:t>
      </w:r>
      <w:r w:rsidRPr="00DD5D77">
        <w:rPr>
          <w:i/>
        </w:rPr>
        <w:t>.</w:t>
      </w:r>
      <w:r>
        <w:t xml:space="preserve"> Sankt Peterburg: Nauka: Alfa, 2000, p. 108</w:t>
      </w:r>
      <w:r w:rsidRPr="00DC2BF2">
        <w:t>.</w:t>
      </w:r>
    </w:p>
  </w:footnote>
  <w:footnote w:id="125">
    <w:p w:rsidR="00E0371E" w:rsidRDefault="00E0371E" w:rsidP="00274D82">
      <w:pPr>
        <w:pStyle w:val="Puslapioinaostekstas"/>
        <w:jc w:val="both"/>
      </w:pPr>
      <w:r>
        <w:rPr>
          <w:rStyle w:val="Puslapioinaosnuoroda"/>
        </w:rPr>
        <w:footnoteRef/>
      </w:r>
      <w:r>
        <w:t>Aleksandrov</w:t>
      </w:r>
      <w:r w:rsidRPr="004228EF">
        <w:t>, А.</w:t>
      </w:r>
      <w:r>
        <w:t xml:space="preserve"> S</w:t>
      </w:r>
      <w:r w:rsidRPr="004228EF">
        <w:t xml:space="preserve">. </w:t>
      </w:r>
      <w:r w:rsidRPr="00682DD1">
        <w:rPr>
          <w:i/>
        </w:rPr>
        <w:t xml:space="preserve">Dispozitivnost v ugolovnom processe </w:t>
      </w:r>
      <w:r w:rsidRPr="00B56034">
        <w:t>[Dispositiveness in Criminal Procedure]</w:t>
      </w:r>
      <w:r w:rsidRPr="004228EF">
        <w:t>. Daktaro d</w:t>
      </w:r>
      <w:r>
        <w:t>isertacija. Socialiniai mokslai (</w:t>
      </w:r>
      <w:r w:rsidRPr="004228EF">
        <w:t>teisė</w:t>
      </w:r>
      <w:r>
        <w:t>)</w:t>
      </w:r>
      <w:r w:rsidRPr="004228EF">
        <w:t xml:space="preserve">. </w:t>
      </w:r>
      <w:r>
        <w:t>Nizhnij Novgorod</w:t>
      </w:r>
      <w:r w:rsidRPr="004228EF">
        <w:t>, 1995</w:t>
      </w:r>
      <w:r>
        <w:t>, p. 65</w:t>
      </w:r>
      <w:r w:rsidRPr="004228EF">
        <w:t>.</w:t>
      </w:r>
      <w:r>
        <w:t xml:space="preserve"> 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 xml:space="preserve">p. </w:t>
      </w:r>
      <w:r w:rsidRPr="00A118AD">
        <w:t>50</w:t>
      </w:r>
      <w:r>
        <w:t>.</w:t>
      </w:r>
    </w:p>
  </w:footnote>
  <w:footnote w:id="126">
    <w:p w:rsidR="00E0371E" w:rsidRDefault="00E0371E" w:rsidP="00274D82">
      <w:pPr>
        <w:pStyle w:val="Puslapioinaostekstas"/>
        <w:jc w:val="both"/>
      </w:pPr>
      <w:r>
        <w:rPr>
          <w:rStyle w:val="Puslapioinaosnuoroda"/>
        </w:rPr>
        <w:footnoteRef/>
      </w:r>
      <w:r>
        <w:t xml:space="preserve">Plačiau: Maksjutin, M. V. </w:t>
      </w:r>
      <w:r w:rsidRPr="00D754F4">
        <w:rPr>
          <w:i/>
        </w:rPr>
        <w:t>Teorija jurisdikcionnogo proces</w:t>
      </w:r>
      <w:r>
        <w:rPr>
          <w:i/>
        </w:rPr>
        <w:t>s</w:t>
      </w:r>
      <w:r w:rsidRPr="00D754F4">
        <w:rPr>
          <w:i/>
        </w:rPr>
        <w:t>a</w:t>
      </w:r>
      <w:r>
        <w:t xml:space="preserve"> [Theory of Judicial Procedure].  </w:t>
      </w:r>
      <w:r w:rsidRPr="00046171">
        <w:t>Moskva: Moskovskij psikhologo-socialnyj institut</w:t>
      </w:r>
      <w:r>
        <w:t>, 2004, p. 103.</w:t>
      </w:r>
    </w:p>
  </w:footnote>
  <w:footnote w:id="127">
    <w:p w:rsidR="00E0371E" w:rsidRPr="00E26DA1" w:rsidRDefault="00E0371E" w:rsidP="00757969">
      <w:pPr>
        <w:pStyle w:val="Puslapioinaostekstas"/>
        <w:jc w:val="both"/>
        <w:rPr>
          <w:i/>
        </w:rPr>
      </w:pPr>
      <w:r>
        <w:rPr>
          <w:rStyle w:val="Puslapioinaosnuoroda"/>
        </w:rPr>
        <w:footnoteRef/>
      </w:r>
      <w:r w:rsidRPr="00E26DA1">
        <w:t xml:space="preserve">Jankauskas, K. </w:t>
      </w:r>
      <w:r w:rsidRPr="00E26DA1">
        <w:rPr>
          <w:i/>
        </w:rPr>
        <w:t>Teisės pri</w:t>
      </w:r>
      <w:r>
        <w:rPr>
          <w:i/>
        </w:rPr>
        <w:t>n</w:t>
      </w:r>
      <w:r w:rsidRPr="00E26DA1">
        <w:rPr>
          <w:i/>
        </w:rPr>
        <w:t>cipų samprata ir jos įtvirtinimas konstitucinėje jurisprudencijoje</w:t>
      </w:r>
      <w:r>
        <w:t>. Dakt</w:t>
      </w:r>
      <w:r w:rsidRPr="00E26DA1">
        <w:t>a</w:t>
      </w:r>
      <w:r>
        <w:t>r</w:t>
      </w:r>
      <w:r w:rsidRPr="00E26DA1">
        <w:t>o d</w:t>
      </w:r>
      <w:r>
        <w:t>isertacija. Socialiniai mokslai</w:t>
      </w:r>
      <w:r w:rsidRPr="00E26DA1">
        <w:t xml:space="preserve"> </w:t>
      </w:r>
      <w:r>
        <w:t>(</w:t>
      </w:r>
      <w:r w:rsidRPr="00E26DA1">
        <w:t xml:space="preserve">teisė). </w:t>
      </w:r>
      <w:r w:rsidRPr="003D05F7">
        <w:t>Vilnius</w:t>
      </w:r>
      <w:r>
        <w:t>: Mykolo Romerio universitetas</w:t>
      </w:r>
      <w:r w:rsidRPr="003D05F7">
        <w:t xml:space="preserve">, </w:t>
      </w:r>
      <w:r w:rsidRPr="00E26DA1">
        <w:t>2005, p.</w:t>
      </w:r>
      <w:r>
        <w:t xml:space="preserve"> 95. </w:t>
      </w:r>
    </w:p>
  </w:footnote>
  <w:footnote w:id="128">
    <w:p w:rsidR="00E0371E" w:rsidRPr="00152C3E" w:rsidRDefault="00E0371E" w:rsidP="00274D82">
      <w:pPr>
        <w:jc w:val="both"/>
        <w:rPr>
          <w:sz w:val="20"/>
          <w:szCs w:val="20"/>
        </w:rPr>
      </w:pPr>
      <w:r>
        <w:rPr>
          <w:rStyle w:val="Puslapioinaosnuoroda"/>
        </w:rPr>
        <w:footnoteRef/>
      </w:r>
      <w:r w:rsidRPr="00152C3E">
        <w:rPr>
          <w:sz w:val="20"/>
          <w:szCs w:val="20"/>
        </w:rPr>
        <w:t xml:space="preserve">Ažubalytė, R. </w:t>
      </w:r>
      <w:r w:rsidRPr="00152C3E">
        <w:rPr>
          <w:i/>
          <w:sz w:val="20"/>
          <w:szCs w:val="20"/>
        </w:rPr>
        <w:t>Diskrecinis baudžiamasis persekiojimas: teoriniai pagrindai, taikymo problemos ir perspektyvos Lietuvoje</w:t>
      </w:r>
      <w:r>
        <w:rPr>
          <w:sz w:val="20"/>
          <w:szCs w:val="20"/>
        </w:rPr>
        <w:t>. D</w:t>
      </w:r>
      <w:r w:rsidRPr="00152C3E">
        <w:rPr>
          <w:sz w:val="20"/>
          <w:szCs w:val="20"/>
        </w:rPr>
        <w:t>aktaro disertacija</w:t>
      </w:r>
      <w:r>
        <w:rPr>
          <w:sz w:val="20"/>
          <w:szCs w:val="20"/>
        </w:rPr>
        <w:t>. Socialiniai mokslai</w:t>
      </w:r>
      <w:r w:rsidRPr="00152C3E">
        <w:rPr>
          <w:sz w:val="20"/>
          <w:szCs w:val="20"/>
        </w:rPr>
        <w:t xml:space="preserve"> </w:t>
      </w:r>
      <w:r>
        <w:rPr>
          <w:sz w:val="20"/>
          <w:szCs w:val="20"/>
        </w:rPr>
        <w:t>(</w:t>
      </w:r>
      <w:r w:rsidRPr="00152C3E">
        <w:rPr>
          <w:sz w:val="20"/>
          <w:szCs w:val="20"/>
        </w:rPr>
        <w:t>teisė</w:t>
      </w:r>
      <w:r>
        <w:rPr>
          <w:sz w:val="20"/>
          <w:szCs w:val="20"/>
        </w:rPr>
        <w:t>). Vilnius: Lietuvos teisės universitetas, 2002, p. 62-64.</w:t>
      </w:r>
    </w:p>
  </w:footnote>
  <w:footnote w:id="129">
    <w:p w:rsidR="00E0371E" w:rsidRDefault="00E0371E" w:rsidP="00D5357C">
      <w:pPr>
        <w:pStyle w:val="Puslapioinaostekstas"/>
        <w:jc w:val="both"/>
      </w:pPr>
      <w:r>
        <w:rPr>
          <w:rStyle w:val="Puslapioinaosnuoroda"/>
        </w:rPr>
        <w:footnoteRef/>
      </w:r>
      <w:r w:rsidRPr="00E26DA1">
        <w:t xml:space="preserve">Jankauskas, K. </w:t>
      </w:r>
      <w:r w:rsidRPr="00E26DA1">
        <w:rPr>
          <w:i/>
        </w:rPr>
        <w:t>Teisės pri</w:t>
      </w:r>
      <w:r>
        <w:rPr>
          <w:i/>
        </w:rPr>
        <w:t>n</w:t>
      </w:r>
      <w:r w:rsidRPr="00E26DA1">
        <w:rPr>
          <w:i/>
        </w:rPr>
        <w:t>cipų samprata ir jos įtvirtinimas konstitucinėje jurisprudencijoje</w:t>
      </w:r>
      <w:r>
        <w:t>. Dakt</w:t>
      </w:r>
      <w:r w:rsidRPr="00E26DA1">
        <w:t>a</w:t>
      </w:r>
      <w:r>
        <w:t>r</w:t>
      </w:r>
      <w:r w:rsidRPr="00E26DA1">
        <w:t>o d</w:t>
      </w:r>
      <w:r>
        <w:t>isertacija. Socialiniai mokslai</w:t>
      </w:r>
      <w:r w:rsidRPr="00E26DA1">
        <w:t xml:space="preserve"> </w:t>
      </w:r>
      <w:r>
        <w:t>(</w:t>
      </w:r>
      <w:r w:rsidRPr="00E26DA1">
        <w:t xml:space="preserve">teisė). </w:t>
      </w:r>
      <w:r w:rsidRPr="003D05F7">
        <w:t>Vilnius</w:t>
      </w:r>
      <w:r>
        <w:t>: Mykolo Romerio universitetas</w:t>
      </w:r>
      <w:r w:rsidRPr="003D05F7">
        <w:t xml:space="preserve">, </w:t>
      </w:r>
      <w:r w:rsidRPr="00E26DA1">
        <w:t>2005, p.</w:t>
      </w:r>
      <w:r>
        <w:t xml:space="preserve"> 101, 115. </w:t>
      </w:r>
    </w:p>
  </w:footnote>
  <w:footnote w:id="130">
    <w:p w:rsidR="00E0371E" w:rsidRDefault="00E0371E" w:rsidP="00274D82">
      <w:pPr>
        <w:pStyle w:val="Puslapioinaostekstas"/>
        <w:jc w:val="both"/>
      </w:pPr>
      <w:r>
        <w:rPr>
          <w:rStyle w:val="Puslapioinaosnuoroda"/>
        </w:rPr>
        <w:footnoteRef/>
      </w:r>
      <w:r>
        <w:t xml:space="preserve">Leonas, P. </w:t>
      </w:r>
      <w:r w:rsidRPr="008E7C1A">
        <w:rPr>
          <w:rStyle w:val="CitataDiagrama"/>
          <w:sz w:val="20"/>
          <w:szCs w:val="20"/>
        </w:rPr>
        <w:t>Teisės reliatyvumas</w:t>
      </w:r>
      <w:r>
        <w:t xml:space="preserve">. Kaunas: Vytauto Didžiojo universiteto teisių fakultetas, 1931. Jankauskas, K. </w:t>
      </w:r>
      <w:r w:rsidRPr="003E5D67">
        <w:rPr>
          <w:i/>
        </w:rPr>
        <w:t>Teisės pri</w:t>
      </w:r>
      <w:r>
        <w:rPr>
          <w:i/>
        </w:rPr>
        <w:t>n</w:t>
      </w:r>
      <w:r w:rsidRPr="003E5D67">
        <w:rPr>
          <w:i/>
        </w:rPr>
        <w:t>cipų samprata ir jos įtvirtinimas konstitucinėje jurisprudencijoje</w:t>
      </w:r>
      <w:r>
        <w:t xml:space="preserve">. Daktaro disertacija. Socialiniai mokslai (teisė). </w:t>
      </w:r>
      <w:r w:rsidRPr="003D05F7">
        <w:t>Vilnius</w:t>
      </w:r>
      <w:r>
        <w:t>: Mykolo Romerio universitetas</w:t>
      </w:r>
      <w:r w:rsidRPr="003D05F7">
        <w:t xml:space="preserve">, </w:t>
      </w:r>
      <w:r>
        <w:t xml:space="preserve">2005, p. 79.  </w:t>
      </w:r>
    </w:p>
  </w:footnote>
  <w:footnote w:id="131">
    <w:p w:rsidR="00E0371E" w:rsidRPr="001C11EF" w:rsidRDefault="00E0371E" w:rsidP="00274D82">
      <w:pPr>
        <w:jc w:val="both"/>
        <w:rPr>
          <w:color w:val="FF0000"/>
          <w:sz w:val="20"/>
          <w:szCs w:val="20"/>
        </w:rPr>
      </w:pPr>
      <w:r w:rsidRPr="00A42945">
        <w:rPr>
          <w:rStyle w:val="Puslapioinaosnuoroda"/>
          <w:sz w:val="20"/>
          <w:szCs w:val="20"/>
        </w:rPr>
        <w:footnoteRef/>
      </w:r>
      <w:r w:rsidRPr="00DD5D77">
        <w:rPr>
          <w:sz w:val="20"/>
        </w:rPr>
        <w:t xml:space="preserve">Smirnov, A. V. </w:t>
      </w:r>
      <w:r w:rsidRPr="00DD5D77">
        <w:rPr>
          <w:i/>
          <w:sz w:val="20"/>
        </w:rPr>
        <w:t xml:space="preserve">Modeli ugolovnogo processa </w:t>
      </w:r>
      <w:r w:rsidRPr="00634616">
        <w:rPr>
          <w:sz w:val="20"/>
        </w:rPr>
        <w:t>[Models of Criminal Procedure].</w:t>
      </w:r>
      <w:r w:rsidRPr="00DD5D77">
        <w:rPr>
          <w:sz w:val="20"/>
        </w:rPr>
        <w:t xml:space="preserve"> Sankt Peterburg: Nauka: Alfa, 2000</w:t>
      </w:r>
      <w:r w:rsidRPr="00DD5D77">
        <w:rPr>
          <w:sz w:val="16"/>
          <w:szCs w:val="20"/>
        </w:rPr>
        <w:t xml:space="preserve">, </w:t>
      </w:r>
      <w:r w:rsidRPr="00A42945">
        <w:rPr>
          <w:sz w:val="20"/>
          <w:szCs w:val="20"/>
        </w:rPr>
        <w:t>p. 108</w:t>
      </w:r>
      <w:r>
        <w:rPr>
          <w:sz w:val="20"/>
          <w:szCs w:val="20"/>
        </w:rPr>
        <w:t xml:space="preserve">. </w:t>
      </w:r>
    </w:p>
  </w:footnote>
  <w:footnote w:id="132">
    <w:p w:rsidR="00E0371E" w:rsidRPr="001C2FEE" w:rsidRDefault="00E0371E" w:rsidP="00ED3323">
      <w:pPr>
        <w:pStyle w:val="Puslapioinaostekstas"/>
        <w:jc w:val="both"/>
      </w:pPr>
      <w:r>
        <w:rPr>
          <w:rStyle w:val="Puslapioinaosnuoroda"/>
        </w:rPr>
        <w:footnoteRef/>
      </w:r>
      <w:r>
        <w:t xml:space="preserve">Goda, G. Oficialumo principas ir jo išimtys Lietuvos baudžiamajame procese. In </w:t>
      </w:r>
      <w:r w:rsidRPr="00634616">
        <w:rPr>
          <w:i/>
        </w:rPr>
        <w:t>Lietuvos Respublikos baudžiamajam kodeksui – 10 metų.</w:t>
      </w:r>
      <w:r>
        <w:t xml:space="preserve"> Vilnius: VĮ Registrų centras, 2011, p. 370. </w:t>
      </w:r>
      <w:r w:rsidRPr="008052CB">
        <w:t xml:space="preserve">Dikarev, I. S. </w:t>
      </w:r>
      <w:r w:rsidRPr="008052CB">
        <w:rPr>
          <w:i/>
        </w:rPr>
        <w:t>Dispozitivnost v ugolovnom processe</w:t>
      </w:r>
      <w:r w:rsidRPr="008052CB">
        <w:t xml:space="preserve"> [Dispositiveness in Criminal Procedure]. Daktaro disertacija. Socialiniai mokslai (teisė). Volgograd, 2005</w:t>
      </w:r>
      <w:r>
        <w:t xml:space="preserve">, p. 57. </w:t>
      </w:r>
    </w:p>
  </w:footnote>
  <w:footnote w:id="133">
    <w:p w:rsidR="00E0371E" w:rsidRPr="002317CF" w:rsidRDefault="00E0371E" w:rsidP="00274D82">
      <w:pPr>
        <w:pStyle w:val="Puslapioinaostekstas"/>
        <w:jc w:val="both"/>
      </w:pPr>
      <w:r>
        <w:rPr>
          <w:rStyle w:val="Puslapioinaosnuoroda"/>
        </w:rPr>
        <w:footnoteRef/>
      </w:r>
      <w:r w:rsidRPr="009E6DC7">
        <w:t xml:space="preserve">Losis, E. </w:t>
      </w:r>
      <w:r w:rsidRPr="002317CF">
        <w:rPr>
          <w:i/>
          <w:sz w:val="19"/>
          <w:szCs w:val="19"/>
        </w:rPr>
        <w:t>Procesinės prievartos priemonės baudžiamajame procese</w:t>
      </w:r>
      <w:r w:rsidRPr="002317CF">
        <w:rPr>
          <w:sz w:val="19"/>
          <w:szCs w:val="19"/>
        </w:rPr>
        <w:t>. Daktaro disertaci</w:t>
      </w:r>
      <w:r>
        <w:rPr>
          <w:sz w:val="19"/>
          <w:szCs w:val="19"/>
        </w:rPr>
        <w:t>ja. Socialiniai mokslai (teisė).</w:t>
      </w:r>
      <w:r w:rsidRPr="002317CF">
        <w:rPr>
          <w:sz w:val="19"/>
          <w:szCs w:val="19"/>
        </w:rPr>
        <w:t xml:space="preserve"> </w:t>
      </w:r>
      <w:r w:rsidRPr="003D05F7">
        <w:t>Vilnius</w:t>
      </w:r>
      <w:r>
        <w:t>: Mykolo Romerio universitetas</w:t>
      </w:r>
      <w:r w:rsidRPr="003D05F7">
        <w:t xml:space="preserve">, </w:t>
      </w:r>
      <w:r w:rsidRPr="002317CF">
        <w:rPr>
          <w:sz w:val="19"/>
          <w:szCs w:val="19"/>
        </w:rPr>
        <w:t>2010</w:t>
      </w:r>
      <w:r>
        <w:rPr>
          <w:sz w:val="19"/>
          <w:szCs w:val="19"/>
        </w:rPr>
        <w:t>, p. 32</w:t>
      </w:r>
      <w:r w:rsidRPr="002317CF">
        <w:rPr>
          <w:sz w:val="19"/>
          <w:szCs w:val="19"/>
        </w:rPr>
        <w:t>.</w:t>
      </w:r>
    </w:p>
  </w:footnote>
  <w:footnote w:id="134">
    <w:p w:rsidR="00E0371E" w:rsidRDefault="00E0371E" w:rsidP="0022654A">
      <w:pPr>
        <w:pStyle w:val="Puslapioinaostekstas"/>
        <w:jc w:val="both"/>
      </w:pPr>
      <w:r>
        <w:rPr>
          <w:rStyle w:val="Puslapioinaosnuoroda"/>
        </w:rPr>
        <w:footnoteRef/>
      </w:r>
      <w:r w:rsidRPr="008052CB">
        <w:t xml:space="preserve">Dikarev, I. S. </w:t>
      </w:r>
      <w:r w:rsidRPr="008052CB">
        <w:rPr>
          <w:i/>
        </w:rPr>
        <w:t>Dispozitivnost v ugolovnom processe</w:t>
      </w:r>
      <w:r w:rsidRPr="008052CB">
        <w:t xml:space="preserve"> [Dispositiveness in Criminal Procedure]. Daktaro disertacija. Socialiniai mokslai (teisė). Volgograd, 2005</w:t>
      </w:r>
      <w:r>
        <w:t xml:space="preserve">, p. 58. </w:t>
      </w:r>
    </w:p>
  </w:footnote>
  <w:footnote w:id="135">
    <w:p w:rsidR="00E0371E" w:rsidRDefault="00E0371E" w:rsidP="0022654A">
      <w:pPr>
        <w:pStyle w:val="Puslapioinaostekstas"/>
        <w:jc w:val="both"/>
      </w:pPr>
      <w:r>
        <w:rPr>
          <w:rStyle w:val="Puslapioinaosnuoroda"/>
        </w:rPr>
        <w:footnoteRef/>
      </w:r>
      <w:r>
        <w:t xml:space="preserve">Vaišvila, A. </w:t>
      </w:r>
      <w:r w:rsidRPr="005C3E77">
        <w:rPr>
          <w:i/>
        </w:rPr>
        <w:t>Teisės teorija</w:t>
      </w:r>
      <w:r>
        <w:t>. 2-oji pataisyta ir papildyta laida. Vilnius: Justitia, 2004, p. 108-120.</w:t>
      </w:r>
    </w:p>
  </w:footnote>
  <w:footnote w:id="136">
    <w:p w:rsidR="00E0371E" w:rsidRDefault="00E0371E" w:rsidP="0022654A">
      <w:pPr>
        <w:pStyle w:val="Puslapioinaostekstas"/>
        <w:jc w:val="both"/>
      </w:pPr>
      <w:r>
        <w:rPr>
          <w:rStyle w:val="Puslapioinaosnuoroda"/>
        </w:rPr>
        <w:footnoteRef/>
      </w:r>
      <w:r w:rsidRPr="006F7CE7">
        <w:t xml:space="preserve">Įstatyme numatyta daug atvejų, kai priimant reikšmingą bylos eigai sprendimą </w:t>
      </w:r>
      <w:r>
        <w:t>veikia</w:t>
      </w:r>
      <w:r w:rsidRPr="006F7CE7">
        <w:t xml:space="preserve"> ir oficialum</w:t>
      </w:r>
      <w:r>
        <w:t>as</w:t>
      </w:r>
      <w:r w:rsidRPr="006F7CE7">
        <w:t>, ir dispozityvumas. Pvz.: nutraukiant baudžiamąją bylą,</w:t>
      </w:r>
      <w:r>
        <w:t xml:space="preserve"> </w:t>
      </w:r>
      <w:r w:rsidRPr="006F7CE7">
        <w:t>kai reikalingas proceso dalyvio sutikimas. Pareigūno pareiga esant pagrindams nutraukti bylą kyla iš oficialumo principo, o teisė sutikti ar nesutik</w:t>
      </w:r>
      <w:r>
        <w:t xml:space="preserve">ti su nutraukimu yra įtariamojo ar (ir) </w:t>
      </w:r>
      <w:r w:rsidRPr="006F7CE7">
        <w:t>nukentėjusiojo dispozityvi teisė. Įstatymo numatyta pareigūnų pareiga paisyti nukentėjusiojo išreikštos valios ir šio reikalavimo ignoravimas reikštų teisėtumo principo baudžiamajame procese pažeidimą.</w:t>
      </w:r>
    </w:p>
  </w:footnote>
  <w:footnote w:id="137">
    <w:p w:rsidR="00E0371E" w:rsidRPr="00A42945" w:rsidRDefault="00E0371E" w:rsidP="00757969">
      <w:pPr>
        <w:pStyle w:val="HTMLiankstoformatuotas"/>
        <w:jc w:val="both"/>
        <w:rPr>
          <w:rFonts w:ascii="Times New Roman" w:hAnsi="Times New Roman" w:cs="Times New Roman"/>
        </w:rPr>
      </w:pPr>
      <w:r w:rsidRPr="00A42945">
        <w:rPr>
          <w:rStyle w:val="Puslapioinaosnuoroda"/>
          <w:rFonts w:ascii="Times New Roman" w:hAnsi="Times New Roman" w:cs="Times New Roman"/>
        </w:rPr>
        <w:footnoteRef/>
      </w:r>
      <w:r>
        <w:rPr>
          <w:rFonts w:ascii="Times New Roman" w:hAnsi="Times New Roman" w:cs="Times New Roman"/>
        </w:rPr>
        <w:t>S</w:t>
      </w:r>
      <w:r w:rsidRPr="004011E6">
        <w:rPr>
          <w:rFonts w:ascii="Times New Roman" w:hAnsi="Times New Roman" w:cs="Times New Roman"/>
        </w:rPr>
        <w:t>ubjektinės teisės gali būti ribojamos dėl visuomenei būtino intereso</w:t>
      </w:r>
      <w:r>
        <w:rPr>
          <w:rFonts w:ascii="Times New Roman" w:hAnsi="Times New Roman" w:cs="Times New Roman"/>
        </w:rPr>
        <w:t>.</w:t>
      </w:r>
      <w:r w:rsidRPr="004011E6">
        <w:rPr>
          <w:rFonts w:ascii="Times New Roman" w:hAnsi="Times New Roman" w:cs="Times New Roman"/>
        </w:rPr>
        <w:t xml:space="preserve"> Lietuvos Respublikos Konstitucinio </w:t>
      </w:r>
      <w:r>
        <w:rPr>
          <w:rFonts w:ascii="Times New Roman" w:hAnsi="Times New Roman" w:cs="Times New Roman"/>
        </w:rPr>
        <w:t>T</w:t>
      </w:r>
      <w:r w:rsidRPr="004011E6">
        <w:rPr>
          <w:rFonts w:ascii="Times New Roman" w:hAnsi="Times New Roman" w:cs="Times New Roman"/>
        </w:rPr>
        <w:t>eismo 1993 m. gruodžio 13 d. nutarim</w:t>
      </w:r>
      <w:r>
        <w:rPr>
          <w:rFonts w:ascii="Times New Roman" w:hAnsi="Times New Roman" w:cs="Times New Roman"/>
        </w:rPr>
        <w:t>as</w:t>
      </w:r>
      <w:r w:rsidRPr="004011E6">
        <w:rPr>
          <w:rFonts w:ascii="Times New Roman" w:hAnsi="Times New Roman" w:cs="Times New Roman"/>
        </w:rPr>
        <w:t xml:space="preserve">. </w:t>
      </w:r>
      <w:r w:rsidRPr="004011E6">
        <w:rPr>
          <w:rFonts w:ascii="Times New Roman" w:hAnsi="Times New Roman" w:cs="Times New Roman"/>
          <w:i/>
        </w:rPr>
        <w:t>Valstybės žinios</w:t>
      </w:r>
      <w:r w:rsidRPr="004011E6">
        <w:rPr>
          <w:rFonts w:ascii="Times New Roman" w:hAnsi="Times New Roman" w:cs="Times New Roman"/>
        </w:rPr>
        <w:t>. 1993, Nr.</w:t>
      </w:r>
      <w:r>
        <w:rPr>
          <w:rFonts w:ascii="Times New Roman" w:hAnsi="Times New Roman" w:cs="Times New Roman"/>
        </w:rPr>
        <w:t xml:space="preserve"> </w:t>
      </w:r>
      <w:r w:rsidRPr="004011E6">
        <w:rPr>
          <w:rFonts w:ascii="Times New Roman" w:hAnsi="Times New Roman" w:cs="Times New Roman"/>
        </w:rPr>
        <w:t>70-1320</w:t>
      </w:r>
      <w:r>
        <w:rPr>
          <w:rFonts w:ascii="Times New Roman" w:hAnsi="Times New Roman" w:cs="Times New Roman"/>
        </w:rPr>
        <w:t xml:space="preserve">. </w:t>
      </w:r>
    </w:p>
  </w:footnote>
  <w:footnote w:id="138">
    <w:p w:rsidR="00E0371E" w:rsidRPr="00531902" w:rsidRDefault="00E0371E" w:rsidP="00757969">
      <w:pPr>
        <w:pStyle w:val="HTMLiankstoformatuotas"/>
        <w:jc w:val="both"/>
        <w:rPr>
          <w:rFonts w:ascii="Times New Roman" w:hAnsi="Times New Roman" w:cs="Times New Roman"/>
        </w:rPr>
      </w:pPr>
      <w:r w:rsidRPr="00A42945">
        <w:rPr>
          <w:rStyle w:val="Puslapioinaosnuoroda"/>
          <w:rFonts w:ascii="Times New Roman" w:hAnsi="Times New Roman" w:cs="Times New Roman"/>
        </w:rPr>
        <w:footnoteRef/>
      </w:r>
      <w:r w:rsidRPr="00531902">
        <w:rPr>
          <w:rFonts w:ascii="Times New Roman" w:hAnsi="Times New Roman" w:cs="Times New Roman"/>
        </w:rPr>
        <w:t>Lietuvos Respublikos Konstitucinio Teismo</w:t>
      </w:r>
      <w:r>
        <w:rPr>
          <w:rFonts w:ascii="Times New Roman" w:hAnsi="Times New Roman" w:cs="Times New Roman"/>
        </w:rPr>
        <w:t xml:space="preserve"> 2006 m. sausio 16 d. nutarimas</w:t>
      </w:r>
      <w:r w:rsidRPr="00531902">
        <w:rPr>
          <w:rFonts w:ascii="Times New Roman" w:hAnsi="Times New Roman" w:cs="Times New Roman"/>
        </w:rPr>
        <w:t xml:space="preserve">. </w:t>
      </w:r>
      <w:r w:rsidRPr="00531902">
        <w:rPr>
          <w:rFonts w:ascii="Times New Roman" w:hAnsi="Times New Roman" w:cs="Times New Roman"/>
          <w:i/>
          <w:iCs/>
        </w:rPr>
        <w:t xml:space="preserve">Valstybės žinios. </w:t>
      </w:r>
      <w:r w:rsidRPr="00531902">
        <w:rPr>
          <w:rFonts w:ascii="Times New Roman" w:hAnsi="Times New Roman" w:cs="Times New Roman"/>
        </w:rPr>
        <w:t>2006, Nr. 7-254.</w:t>
      </w:r>
    </w:p>
  </w:footnote>
  <w:footnote w:id="139">
    <w:p w:rsidR="00E0371E" w:rsidRDefault="00E0371E" w:rsidP="00C05854">
      <w:pPr>
        <w:pStyle w:val="Puslapioinaostekstas"/>
        <w:jc w:val="both"/>
      </w:pPr>
      <w:r>
        <w:rPr>
          <w:rStyle w:val="Puslapioinaosnuoroda"/>
        </w:rPr>
        <w:footnoteRef/>
      </w:r>
      <w:r>
        <w:t xml:space="preserve">Girdauskas, M. Rungimosi principas baudžiamajame procese: turinio aspektai. </w:t>
      </w:r>
      <w:r w:rsidRPr="00183E72">
        <w:rPr>
          <w:i/>
        </w:rPr>
        <w:t>Teisė</w:t>
      </w:r>
      <w:r>
        <w:t xml:space="preserve">. 2004, 53:102-115. Damaška, M. R. </w:t>
      </w:r>
      <w:r w:rsidRPr="000C34EC">
        <w:rPr>
          <w:i/>
        </w:rPr>
        <w:t>The Faces of Justice and State Authority: a Comparative Approach to the Legal Process</w:t>
      </w:r>
      <w:r>
        <w:t xml:space="preserve">. New Haven, London: Yale University Press, 1986. </w:t>
      </w:r>
      <w:r w:rsidRPr="00A42945">
        <w:t>Laužikas</w:t>
      </w:r>
      <w:r>
        <w:t>,</w:t>
      </w:r>
      <w:r w:rsidRPr="00A42945">
        <w:t xml:space="preserve"> E., Mikelėnas</w:t>
      </w:r>
      <w:r>
        <w:t>,</w:t>
      </w:r>
      <w:r w:rsidRPr="00A42945">
        <w:t xml:space="preserve"> V., Nekrošius</w:t>
      </w:r>
      <w:r>
        <w:t>,</w:t>
      </w:r>
      <w:r w:rsidRPr="00A42945">
        <w:t xml:space="preserve"> V. </w:t>
      </w:r>
      <w:r w:rsidRPr="00A42945">
        <w:rPr>
          <w:i/>
        </w:rPr>
        <w:t>Civilinio proceso teisė</w:t>
      </w:r>
      <w:r w:rsidRPr="00A42945">
        <w:t>.</w:t>
      </w:r>
      <w:r>
        <w:t xml:space="preserve"> I tomas.</w:t>
      </w:r>
      <w:r w:rsidRPr="00A42945">
        <w:t xml:space="preserve"> Vilnius: Justitia, 2003, </w:t>
      </w:r>
      <w:r>
        <w:t>p. 174-176, 182-185.</w:t>
      </w:r>
    </w:p>
  </w:footnote>
  <w:footnote w:id="140">
    <w:p w:rsidR="00E0371E" w:rsidRPr="007A218F" w:rsidRDefault="00E0371E" w:rsidP="00274D82">
      <w:pPr>
        <w:pStyle w:val="Puslapioinaostekstas"/>
        <w:jc w:val="both"/>
      </w:pPr>
      <w:r w:rsidRPr="007A218F">
        <w:rPr>
          <w:rStyle w:val="Puslapioinaosnuoroda"/>
        </w:rPr>
        <w:footnoteRef/>
      </w:r>
      <w:r w:rsidRPr="007A218F">
        <w:t xml:space="preserve">Ažubalytė, R., Gušauskienė, M., Jurka, R., Panomariovas, A. </w:t>
      </w:r>
      <w:r w:rsidRPr="007A218F">
        <w:rPr>
          <w:i/>
        </w:rPr>
        <w:t>Baudžiamojo proceso principai</w:t>
      </w:r>
      <w:r w:rsidRPr="007A218F">
        <w:t xml:space="preserve">. </w:t>
      </w:r>
      <w:r>
        <w:t xml:space="preserve">Vilnius: </w:t>
      </w:r>
      <w:r w:rsidRPr="007A218F">
        <w:t>Eugrimas, 2009</w:t>
      </w:r>
      <w:r>
        <w:t>, p</w:t>
      </w:r>
      <w:r w:rsidRPr="007A218F">
        <w:t>. 116</w:t>
      </w:r>
      <w:r>
        <w:t>.</w:t>
      </w:r>
    </w:p>
  </w:footnote>
  <w:footnote w:id="141">
    <w:p w:rsidR="00E0371E" w:rsidRPr="00A42945" w:rsidRDefault="00E0371E" w:rsidP="00274D82">
      <w:pPr>
        <w:pStyle w:val="Puslapioinaostekstas"/>
        <w:jc w:val="both"/>
      </w:pPr>
      <w:r w:rsidRPr="00A42945">
        <w:rPr>
          <w:rStyle w:val="Puslapioinaosnuoroda"/>
        </w:rPr>
        <w:footnoteRef/>
      </w:r>
      <w:r>
        <w:t xml:space="preserve">Leipold, D. Verfahrensbeschleunigung und Prozeβmaximen. In </w:t>
      </w:r>
      <w:r w:rsidRPr="004E064E">
        <w:rPr>
          <w:i/>
        </w:rPr>
        <w:t>Festschrift für Hans W. Fasching</w:t>
      </w:r>
      <w:r>
        <w:t xml:space="preserve">. Wien: Manz‘sche Verlags-und Universitätsbuchhandlung, 1988, p. 335. Pleshanov, A. G. </w:t>
      </w:r>
      <w:r>
        <w:rPr>
          <w:i/>
        </w:rPr>
        <w:t>Dispozitivno</w:t>
      </w:r>
      <w:r w:rsidRPr="0052794E">
        <w:rPr>
          <w:i/>
        </w:rPr>
        <w:t>e na</w:t>
      </w:r>
      <w:r>
        <w:rPr>
          <w:i/>
        </w:rPr>
        <w:t>ch</w:t>
      </w:r>
      <w:r w:rsidRPr="0052794E">
        <w:rPr>
          <w:i/>
        </w:rPr>
        <w:t>alo v sfere gra</w:t>
      </w:r>
      <w:r>
        <w:rPr>
          <w:i/>
        </w:rPr>
        <w:t>zhdanskoj jurisdikci</w:t>
      </w:r>
      <w:r w:rsidRPr="0052794E">
        <w:rPr>
          <w:i/>
        </w:rPr>
        <w:t xml:space="preserve">i: </w:t>
      </w:r>
      <w:r>
        <w:rPr>
          <w:i/>
        </w:rPr>
        <w:t xml:space="preserve">problemy teorii i praktiki </w:t>
      </w:r>
      <w:r w:rsidRPr="005E180A">
        <w:t>[Dispositive Origin in the Area of Civil Jurisdiction: Problems in Theory and Practice]</w:t>
      </w:r>
      <w:r>
        <w:rPr>
          <w:i/>
        </w:rPr>
        <w:t xml:space="preserve">. </w:t>
      </w:r>
      <w:r>
        <w:t>Moskva: Norma</w:t>
      </w:r>
      <w:r w:rsidRPr="0052794E">
        <w:t>,</w:t>
      </w:r>
      <w:r w:rsidRPr="00DF68E7">
        <w:t xml:space="preserve"> 2002</w:t>
      </w:r>
      <w:r>
        <w:t xml:space="preserve">, p. </w:t>
      </w:r>
      <w:r w:rsidRPr="00A42945">
        <w:t>13</w:t>
      </w:r>
      <w:r>
        <w:t xml:space="preserve">. </w:t>
      </w:r>
    </w:p>
  </w:footnote>
  <w:footnote w:id="142">
    <w:p w:rsidR="00E0371E" w:rsidRPr="00910E2F" w:rsidRDefault="00E0371E" w:rsidP="00274D82">
      <w:pPr>
        <w:pStyle w:val="Puslapioinaostekstas"/>
        <w:jc w:val="both"/>
      </w:pPr>
      <w:r w:rsidRPr="00A42945">
        <w:rPr>
          <w:rStyle w:val="Puslapioinaosnuoroda"/>
        </w:rPr>
        <w:footnoteRef/>
      </w:r>
      <w:r w:rsidRPr="007467EF">
        <w:t>Sapo</w:t>
      </w:r>
      <w:r>
        <w:t>zh</w:t>
      </w:r>
      <w:r w:rsidRPr="007467EF">
        <w:t xml:space="preserve">nikov, S. A. </w:t>
      </w:r>
      <w:r w:rsidRPr="007467EF">
        <w:rPr>
          <w:i/>
        </w:rPr>
        <w:t xml:space="preserve">Princip dispozitivnosti v grazhdanskom processe </w:t>
      </w:r>
      <w:r w:rsidRPr="005E180A">
        <w:t>[Principle of Dispositiveness in Civil Procedure]</w:t>
      </w:r>
      <w:r w:rsidRPr="007467EF">
        <w:rPr>
          <w:i/>
          <w:sz w:val="16"/>
        </w:rPr>
        <w:t>.</w:t>
      </w:r>
      <w:r>
        <w:rPr>
          <w:i/>
          <w:sz w:val="16"/>
        </w:rPr>
        <w:t xml:space="preserve"> </w:t>
      </w:r>
      <w:r w:rsidRPr="00910E2F">
        <w:t>Daktaro disertacija.</w:t>
      </w:r>
      <w:r>
        <w:t xml:space="preserve"> Socialiniai mokslai (teisė). Mo</w:t>
      </w:r>
      <w:r w:rsidRPr="00910E2F">
        <w:t xml:space="preserve">skvа, 2006, p. 96-97. </w:t>
      </w:r>
    </w:p>
  </w:footnote>
  <w:footnote w:id="143">
    <w:p w:rsidR="00E0371E" w:rsidRPr="005D5BA6" w:rsidRDefault="00E0371E" w:rsidP="005D5BA6">
      <w:pPr>
        <w:jc w:val="both"/>
        <w:rPr>
          <w:sz w:val="20"/>
        </w:rPr>
      </w:pPr>
      <w:r w:rsidRPr="00910E2F">
        <w:rPr>
          <w:rStyle w:val="Puslapioinaosnuoroda"/>
          <w:sz w:val="20"/>
          <w:szCs w:val="20"/>
        </w:rPr>
        <w:footnoteRef/>
      </w:r>
      <w:r w:rsidRPr="005D5BA6">
        <w:rPr>
          <w:sz w:val="20"/>
        </w:rPr>
        <w:t xml:space="preserve">Baumfalk, W. </w:t>
      </w:r>
      <w:r w:rsidRPr="005D5BA6">
        <w:rPr>
          <w:i/>
          <w:sz w:val="20"/>
        </w:rPr>
        <w:t>ZPO Erkenntnisverfahren, Vollstreckungsverfahren, Gr</w:t>
      </w:r>
      <w:r>
        <w:rPr>
          <w:i/>
          <w:sz w:val="20"/>
        </w:rPr>
        <w:t>undzüge des Insolvenzverfahrens</w:t>
      </w:r>
      <w:r w:rsidRPr="005D5BA6">
        <w:rPr>
          <w:i/>
          <w:sz w:val="20"/>
        </w:rPr>
        <w:t xml:space="preserve"> </w:t>
      </w:r>
      <w:r w:rsidRPr="005D5BA6">
        <w:rPr>
          <w:sz w:val="20"/>
        </w:rPr>
        <w:t>[interaktyvus]. 2003, p. 338 [žiūrėta 2008-09-14]. &lt;</w:t>
      </w:r>
      <w:hyperlink r:id="rId3" w:history="1">
        <w:r w:rsidRPr="005D5BA6">
          <w:rPr>
            <w:rStyle w:val="Hipersaitas"/>
            <w:sz w:val="20"/>
          </w:rPr>
          <w:t>http://www.newbooks-services.de/MediaFiles/Texts/0/9783867522250_Excerpt_001.pdf</w:t>
        </w:r>
      </w:hyperlink>
      <w:r w:rsidRPr="005D5BA6">
        <w:rPr>
          <w:sz w:val="20"/>
        </w:rPr>
        <w:t>&gt;</w:t>
      </w:r>
      <w:r w:rsidRPr="005D5BA6">
        <w:rPr>
          <w:sz w:val="16"/>
          <w:szCs w:val="20"/>
        </w:rPr>
        <w:t xml:space="preserve">. </w:t>
      </w:r>
    </w:p>
  </w:footnote>
  <w:footnote w:id="144">
    <w:p w:rsidR="00E0371E" w:rsidRPr="00A42945" w:rsidRDefault="00E0371E" w:rsidP="00274D82">
      <w:pPr>
        <w:pStyle w:val="Puslapioinaostekstas"/>
        <w:jc w:val="both"/>
      </w:pPr>
      <w:r w:rsidRPr="00910E2F">
        <w:rPr>
          <w:rStyle w:val="Puslapioinaosnuoroda"/>
        </w:rPr>
        <w:footnoteRef/>
      </w:r>
      <w:r w:rsidRPr="00910E2F">
        <w:t>Driukas, A., Valančius, V. </w:t>
      </w:r>
      <w:r w:rsidRPr="00910E2F">
        <w:rPr>
          <w:i/>
        </w:rPr>
        <w:t>Civilinis procesas: teorija ir praktika</w:t>
      </w:r>
      <w:r w:rsidRPr="00910E2F">
        <w:t>. I tomas. Vilnius: Teisinės informacijos centras, 2005-2007, p. 329</w:t>
      </w:r>
      <w:r>
        <w:t>.</w:t>
      </w:r>
      <w:r w:rsidRPr="00A42945">
        <w:t xml:space="preserve"> Laužikas</w:t>
      </w:r>
      <w:r>
        <w:t>,</w:t>
      </w:r>
      <w:r w:rsidRPr="00A42945">
        <w:t xml:space="preserve"> E., Mikelėnas</w:t>
      </w:r>
      <w:r>
        <w:t>,</w:t>
      </w:r>
      <w:r w:rsidRPr="00A42945">
        <w:t xml:space="preserve"> V., Nekrošius</w:t>
      </w:r>
      <w:r>
        <w:t>,</w:t>
      </w:r>
      <w:r w:rsidRPr="00A42945">
        <w:t xml:space="preserve"> V. </w:t>
      </w:r>
      <w:r w:rsidRPr="00A42945">
        <w:rPr>
          <w:i/>
        </w:rPr>
        <w:t>Civilinio proceso teisė</w:t>
      </w:r>
      <w:r w:rsidRPr="00A42945">
        <w:t xml:space="preserve">. </w:t>
      </w:r>
      <w:r>
        <w:t xml:space="preserve">I tomas. </w:t>
      </w:r>
      <w:r w:rsidRPr="00A42945">
        <w:t>Vilnius: Justitia, 2003, p.182</w:t>
      </w:r>
      <w:r>
        <w:t>-183.</w:t>
      </w:r>
      <w:r w:rsidRPr="00A42945">
        <w:t xml:space="preserve"> </w:t>
      </w:r>
      <w:r w:rsidRPr="005E180A">
        <w:rPr>
          <w:i/>
        </w:rPr>
        <w:t>Grazhdanskij process</w:t>
      </w:r>
      <w:r>
        <w:t xml:space="preserve"> [Civil Procedure]. (Red. Jarkov, V. V.). Moskva: Bek</w:t>
      </w:r>
      <w:r w:rsidRPr="00A42945">
        <w:t>, 2000, p. 37-38</w:t>
      </w:r>
      <w:r>
        <w:t xml:space="preserve">. </w:t>
      </w:r>
    </w:p>
  </w:footnote>
  <w:footnote w:id="145">
    <w:p w:rsidR="00E0371E" w:rsidRDefault="00E0371E" w:rsidP="00274D82">
      <w:pPr>
        <w:pStyle w:val="Puslapioinaostekstas"/>
        <w:jc w:val="both"/>
      </w:pPr>
      <w:r>
        <w:rPr>
          <w:rStyle w:val="Puslapioinaosnuoroda"/>
        </w:rPr>
        <w:footnoteRef/>
      </w:r>
      <w:r w:rsidRPr="00B32917">
        <w:t xml:space="preserve">Maslennikova, L. </w:t>
      </w:r>
      <w:r>
        <w:t>N</w:t>
      </w:r>
      <w:r w:rsidRPr="00B32917">
        <w:t xml:space="preserve">. </w:t>
      </w:r>
      <w:r w:rsidRPr="006B615E">
        <w:rPr>
          <w:i/>
        </w:rPr>
        <w:t>Metodologija poznanija publi</w:t>
      </w:r>
      <w:r>
        <w:rPr>
          <w:i/>
        </w:rPr>
        <w:t>ch</w:t>
      </w:r>
      <w:r w:rsidRPr="006B615E">
        <w:rPr>
          <w:i/>
        </w:rPr>
        <w:t xml:space="preserve">nogo i </w:t>
      </w:r>
      <w:r>
        <w:rPr>
          <w:i/>
        </w:rPr>
        <w:t>ch</w:t>
      </w:r>
      <w:r w:rsidRPr="006B615E">
        <w:rPr>
          <w:i/>
        </w:rPr>
        <w:t>astnogo (dispozitivnogo) na</w:t>
      </w:r>
      <w:r>
        <w:rPr>
          <w:i/>
        </w:rPr>
        <w:t>ch</w:t>
      </w:r>
      <w:r w:rsidRPr="006B615E">
        <w:rPr>
          <w:i/>
        </w:rPr>
        <w:t xml:space="preserve">al v ugolovnom sudoproizvodstve </w:t>
      </w:r>
      <w:r w:rsidRPr="005E180A">
        <w:t>[Methodology of Cognition of Public and Private (Dispositive) Origins in Criminal Procedure]</w:t>
      </w:r>
      <w:r w:rsidRPr="005E180A">
        <w:rPr>
          <w:sz w:val="16"/>
        </w:rPr>
        <w:t>.</w:t>
      </w:r>
      <w:r>
        <w:rPr>
          <w:sz w:val="16"/>
        </w:rPr>
        <w:t xml:space="preserve"> </w:t>
      </w:r>
      <w:r>
        <w:t>Moskva: Akademija upravlenija MVD Rossii,</w:t>
      </w:r>
      <w:r w:rsidRPr="00B32917">
        <w:t xml:space="preserve"> 2000</w:t>
      </w:r>
      <w:r w:rsidRPr="00284F17">
        <w:t>, p.</w:t>
      </w:r>
      <w:r>
        <w:t xml:space="preserve"> 12. Plačiau apie baudžiamojon atsakomybėn traukiamo asmens laisvę apsispręsti, ar ir kaip aktyviai dalyvauti baudžiamajame procese žr. Merkevičius, R. Nemo tenetur se ipsum accusare principo turinys reformuotame baudžiamajame procese. </w:t>
      </w:r>
      <w:r w:rsidRPr="003637D8">
        <w:rPr>
          <w:i/>
        </w:rPr>
        <w:t>Teisė</w:t>
      </w:r>
      <w:r>
        <w:t xml:space="preserve">. 2006, 60: 50-67. </w:t>
      </w:r>
    </w:p>
  </w:footnote>
  <w:footnote w:id="146">
    <w:p w:rsidR="00E0371E" w:rsidRPr="00A42945" w:rsidRDefault="00E0371E" w:rsidP="00274D82">
      <w:pPr>
        <w:pStyle w:val="Puslapioinaostekstas"/>
        <w:jc w:val="both"/>
      </w:pPr>
      <w:r w:rsidRPr="00A42945">
        <w:rPr>
          <w:rStyle w:val="Puslapioinaosnuoroda"/>
        </w:rPr>
        <w:footnoteRef/>
      </w:r>
      <w:r>
        <w:t xml:space="preserve">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rsidRPr="00A42945">
        <w:t xml:space="preserve">p. </w:t>
      </w:r>
      <w:r>
        <w:t>5</w:t>
      </w:r>
      <w:r w:rsidRPr="00A42945">
        <w:t>4</w:t>
      </w:r>
      <w:r>
        <w:t xml:space="preserve">. </w:t>
      </w:r>
    </w:p>
  </w:footnote>
  <w:footnote w:id="147">
    <w:p w:rsidR="00E0371E" w:rsidRPr="005E180A" w:rsidRDefault="00E0371E" w:rsidP="00274D82">
      <w:pPr>
        <w:pStyle w:val="Puslapioinaostekstas"/>
        <w:jc w:val="both"/>
      </w:pPr>
      <w:r w:rsidRPr="00A42945">
        <w:rPr>
          <w:rStyle w:val="Puslapioinaosnuoroda"/>
        </w:rPr>
        <w:footnoteRef/>
      </w:r>
      <w:r w:rsidRPr="005E180A">
        <w:t xml:space="preserve">Tensina, E. F. </w:t>
      </w:r>
      <w:r w:rsidRPr="005E180A">
        <w:rPr>
          <w:i/>
        </w:rPr>
        <w:t xml:space="preserve">Proizvodstvo po delam chastnogo obvinenija kak forma dispozitivnosti </w:t>
      </w:r>
      <w:r w:rsidRPr="005E180A">
        <w:t>[Procedure in Private Prosecution Cases as a Form of Dispositiveness]. Daktaro d</w:t>
      </w:r>
      <w:r>
        <w:t>isertacija. Socialiniai mokslai</w:t>
      </w:r>
      <w:r w:rsidRPr="005E180A">
        <w:t xml:space="preserve"> </w:t>
      </w:r>
      <w:r>
        <w:t>(</w:t>
      </w:r>
      <w:r w:rsidRPr="005E180A">
        <w:t>teisė</w:t>
      </w:r>
      <w:r>
        <w:t>)</w:t>
      </w:r>
      <w:r w:rsidRPr="005E180A">
        <w:t>. Izhevsk, 2004, p. 18.</w:t>
      </w:r>
    </w:p>
  </w:footnote>
  <w:footnote w:id="148">
    <w:p w:rsidR="00E0371E" w:rsidRPr="00A42945" w:rsidRDefault="00E0371E" w:rsidP="00274D82">
      <w:pPr>
        <w:pStyle w:val="Puslapioinaostekstas"/>
        <w:jc w:val="both"/>
      </w:pPr>
      <w:r w:rsidRPr="00A42945">
        <w:rPr>
          <w:rStyle w:val="Puslapioinaosnuoroda"/>
        </w:rPr>
        <w:footnoteRef/>
      </w:r>
      <w:r w:rsidRPr="005E180A">
        <w:t xml:space="preserve">Tensina, E. F. </w:t>
      </w:r>
      <w:r w:rsidRPr="005E180A">
        <w:rPr>
          <w:i/>
        </w:rPr>
        <w:t xml:space="preserve">Proizvodstvo po delam chastnogo obvinenija kak forma dispozitivnosti </w:t>
      </w:r>
      <w:r w:rsidRPr="005E180A">
        <w:t>[Procedure in Private Prosecution Cases as a Form of Dispositiveness]. Daktaro d</w:t>
      </w:r>
      <w:r>
        <w:t>isertacija. Socialiniai mokslai</w:t>
      </w:r>
      <w:r w:rsidRPr="005E180A">
        <w:t xml:space="preserve"> </w:t>
      </w:r>
      <w:r>
        <w:t>(</w:t>
      </w:r>
      <w:r w:rsidRPr="005E180A">
        <w:t>teisė</w:t>
      </w:r>
      <w:r>
        <w:t>)</w:t>
      </w:r>
      <w:r w:rsidRPr="005E180A">
        <w:t>. Izhevsk, 2004</w:t>
      </w:r>
      <w:r>
        <w:t>, p</w:t>
      </w:r>
      <w:r w:rsidRPr="00A42945">
        <w:t>. 20</w:t>
      </w:r>
      <w:r>
        <w:t>.</w:t>
      </w:r>
    </w:p>
  </w:footnote>
  <w:footnote w:id="149">
    <w:p w:rsidR="00E0371E" w:rsidRPr="00A42945" w:rsidRDefault="00E0371E" w:rsidP="00274D82">
      <w:pPr>
        <w:pStyle w:val="Puslapioinaostekstas"/>
        <w:jc w:val="both"/>
      </w:pPr>
      <w:r w:rsidRPr="00A42945">
        <w:rPr>
          <w:rStyle w:val="Puslapioinaosnuoroda"/>
        </w:rPr>
        <w:footnoteRef/>
      </w:r>
      <w:r>
        <w:t>Aleksandrov</w:t>
      </w:r>
      <w:r w:rsidRPr="004228EF">
        <w:t>, А.</w:t>
      </w:r>
      <w:r>
        <w:t xml:space="preserve"> S</w:t>
      </w:r>
      <w:r w:rsidRPr="004228EF">
        <w:t xml:space="preserve">. </w:t>
      </w:r>
      <w:r w:rsidRPr="00682DD1">
        <w:rPr>
          <w:i/>
        </w:rPr>
        <w:t xml:space="preserve">Dispozitivnost v ugolovnom processe </w:t>
      </w:r>
      <w:r w:rsidRPr="00B56034">
        <w:t>[Dispositiveness in Criminal Procedure]</w:t>
      </w:r>
      <w:r w:rsidRPr="004228EF">
        <w:t>. Daktaro d</w:t>
      </w:r>
      <w:r>
        <w:t>isertacija. Socialiniai mokslai (</w:t>
      </w:r>
      <w:r w:rsidRPr="004228EF">
        <w:t>teisė</w:t>
      </w:r>
      <w:r>
        <w:t>)</w:t>
      </w:r>
      <w:r w:rsidRPr="004228EF">
        <w:t xml:space="preserve">. </w:t>
      </w:r>
      <w:r>
        <w:t>Nizhnij Novgorod</w:t>
      </w:r>
      <w:r w:rsidRPr="004228EF">
        <w:t>, 1995</w:t>
      </w:r>
      <w:r w:rsidRPr="00A42945">
        <w:t>, p. 7</w:t>
      </w:r>
      <w:r>
        <w:t>.</w:t>
      </w:r>
    </w:p>
  </w:footnote>
  <w:footnote w:id="150">
    <w:p w:rsidR="00E0371E" w:rsidRPr="00A42945" w:rsidRDefault="00E0371E" w:rsidP="00274D82">
      <w:pPr>
        <w:pStyle w:val="Puslapioinaostekstas"/>
        <w:jc w:val="both"/>
      </w:pPr>
      <w:r w:rsidRPr="00A42945">
        <w:rPr>
          <w:rStyle w:val="Puslapioinaosnuoroda"/>
        </w:rPr>
        <w:footnoteRef/>
      </w:r>
      <w:r>
        <w:t>Sapozh</w:t>
      </w:r>
      <w:r w:rsidRPr="007467EF">
        <w:t xml:space="preserve">nikov, S. A. </w:t>
      </w:r>
      <w:r w:rsidRPr="007467EF">
        <w:rPr>
          <w:i/>
        </w:rPr>
        <w:t xml:space="preserve">Princip dispozitivnosti v grazhdanskom processe </w:t>
      </w:r>
      <w:r w:rsidRPr="005E180A">
        <w:t>[Principle of Dispositiveness in Civil Procedure]</w:t>
      </w:r>
      <w:r w:rsidRPr="007467EF">
        <w:rPr>
          <w:i/>
          <w:sz w:val="16"/>
        </w:rPr>
        <w:t>.</w:t>
      </w:r>
      <w:r>
        <w:rPr>
          <w:i/>
          <w:sz w:val="16"/>
        </w:rPr>
        <w:t xml:space="preserve"> </w:t>
      </w:r>
      <w:r w:rsidRPr="00DF7E16">
        <w:rPr>
          <w:color w:val="000033"/>
        </w:rPr>
        <w:t>Daktaro disertacija</w:t>
      </w:r>
      <w:r>
        <w:rPr>
          <w:color w:val="000033"/>
        </w:rPr>
        <w:t>.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Moskv</w:t>
      </w:r>
      <w:r w:rsidRPr="00284F17">
        <w:t>а, 2006</w:t>
      </w:r>
      <w:r>
        <w:t xml:space="preserve">, </w:t>
      </w:r>
      <w:r w:rsidRPr="00A42945">
        <w:t xml:space="preserve">p. 72. </w:t>
      </w:r>
    </w:p>
  </w:footnote>
  <w:footnote w:id="151">
    <w:p w:rsidR="00E0371E" w:rsidRPr="00A42945" w:rsidRDefault="00E0371E" w:rsidP="00274D82">
      <w:pPr>
        <w:pStyle w:val="Puslapioinaostekstas"/>
        <w:jc w:val="both"/>
      </w:pPr>
      <w:r w:rsidRPr="00A42945">
        <w:rPr>
          <w:rStyle w:val="Puslapioinaosnuoroda"/>
        </w:rPr>
        <w:footnoteRef/>
      </w:r>
      <w:r>
        <w:t xml:space="preserve">Jaroshenko, T. V. </w:t>
      </w:r>
      <w:r w:rsidRPr="00DE5332">
        <w:rPr>
          <w:i/>
        </w:rPr>
        <w:t>Princip dispozitivnosti v sovremennom ro</w:t>
      </w:r>
      <w:r>
        <w:rPr>
          <w:i/>
        </w:rPr>
        <w:t>ss</w:t>
      </w:r>
      <w:r w:rsidRPr="00DE5332">
        <w:rPr>
          <w:i/>
        </w:rPr>
        <w:t>iijskom grazhdanskom processe</w:t>
      </w:r>
      <w:r>
        <w:t xml:space="preserve"> [Principle of Dispositiveness in Current Russian Civil Procedure]. </w:t>
      </w:r>
      <w:r>
        <w:rPr>
          <w:color w:val="000033"/>
        </w:rPr>
        <w:t>D</w:t>
      </w:r>
      <w:r w:rsidRPr="00886693">
        <w:rPr>
          <w:color w:val="000033"/>
        </w:rPr>
        <w:t>aktaro disertacija</w:t>
      </w:r>
      <w:r>
        <w:rPr>
          <w:color w:val="000033"/>
        </w:rPr>
        <w:t>. S</w:t>
      </w:r>
      <w:r w:rsidRPr="00886693">
        <w:rPr>
          <w:color w:val="000033"/>
        </w:rPr>
        <w:t>o</w:t>
      </w:r>
      <w:r>
        <w:rPr>
          <w:color w:val="000033"/>
        </w:rPr>
        <w:t>cialiniai mokslai (teisė).</w:t>
      </w:r>
      <w:r w:rsidRPr="00A42945">
        <w:t xml:space="preserve"> М</w:t>
      </w:r>
      <w:r>
        <w:t>oskva</w:t>
      </w:r>
      <w:r w:rsidRPr="00A42945">
        <w:t>, 1998</w:t>
      </w:r>
      <w:r>
        <w:t xml:space="preserve">, p. 4. Pleshanov, A. G. </w:t>
      </w:r>
      <w:r w:rsidRPr="0052794E">
        <w:rPr>
          <w:i/>
        </w:rPr>
        <w:t>Dispozitivnoe na</w:t>
      </w:r>
      <w:r>
        <w:rPr>
          <w:i/>
        </w:rPr>
        <w:t>ch</w:t>
      </w:r>
      <w:r w:rsidRPr="0052794E">
        <w:rPr>
          <w:i/>
        </w:rPr>
        <w:t>alo v sfere gra</w:t>
      </w:r>
      <w:r>
        <w:rPr>
          <w:i/>
        </w:rPr>
        <w:t>zhdanskoj jurisdikci</w:t>
      </w:r>
      <w:r w:rsidRPr="0052794E">
        <w:rPr>
          <w:i/>
        </w:rPr>
        <w:t xml:space="preserve">i: </w:t>
      </w:r>
      <w:r>
        <w:rPr>
          <w:i/>
        </w:rPr>
        <w:t xml:space="preserve">problemy teorii i praktiki </w:t>
      </w:r>
      <w:r w:rsidRPr="007A597D">
        <w:t>[Dispositive Origin in the Area of Civil Jurisdiction: Problems in Theory and Practice].</w:t>
      </w:r>
      <w:r>
        <w:t xml:space="preserve"> Mo</w:t>
      </w:r>
      <w:r w:rsidRPr="0052794E">
        <w:t>skva</w:t>
      </w:r>
      <w:r>
        <w:t>: Norma</w:t>
      </w:r>
      <w:r w:rsidRPr="0052794E">
        <w:t>,</w:t>
      </w:r>
      <w:r w:rsidRPr="0052794E">
        <w:rPr>
          <w:lang w:val="en-US"/>
        </w:rPr>
        <w:t xml:space="preserve"> 2002</w:t>
      </w:r>
      <w:r w:rsidRPr="00A42945">
        <w:t>, p. 57</w:t>
      </w:r>
      <w:r>
        <w:t>.</w:t>
      </w:r>
    </w:p>
  </w:footnote>
  <w:footnote w:id="152">
    <w:p w:rsidR="00E0371E" w:rsidRDefault="00E0371E" w:rsidP="006935A3">
      <w:pPr>
        <w:pStyle w:val="Puslapioinaostekstas"/>
        <w:jc w:val="both"/>
      </w:pPr>
      <w:r>
        <w:rPr>
          <w:rStyle w:val="Puslapioinaosnuoroda"/>
        </w:rPr>
        <w:footnoteRef/>
      </w:r>
      <w:r w:rsidRPr="0073081A">
        <w:t xml:space="preserve">Dikarev, I. S. </w:t>
      </w:r>
      <w:r w:rsidRPr="0073081A">
        <w:rPr>
          <w:i/>
        </w:rPr>
        <w:t xml:space="preserve">Dispozitivnost v ugolovnom processe </w:t>
      </w:r>
      <w:r w:rsidRPr="00DE5332">
        <w:t>[Dispositiveness in Criminal Procedure]</w:t>
      </w:r>
      <w:r w:rsidRPr="0073081A">
        <w:rPr>
          <w:i/>
        </w:rPr>
        <w:t xml:space="preserve">. </w:t>
      </w:r>
      <w:r w:rsidRPr="0073081A">
        <w:t xml:space="preserve"> Daktaro disertacija. </w:t>
      </w:r>
      <w:r w:rsidRPr="0073081A">
        <w:rPr>
          <w:color w:val="000033"/>
        </w:rPr>
        <w:t>Socialiniai mokslai (teisė). Volgograd</w:t>
      </w:r>
      <w:r w:rsidRPr="0073081A">
        <w:t>, 2005</w:t>
      </w:r>
      <w:r>
        <w:t xml:space="preserve">, p. 37. </w:t>
      </w:r>
    </w:p>
  </w:footnote>
  <w:footnote w:id="153">
    <w:p w:rsidR="00E0371E" w:rsidRDefault="00E0371E" w:rsidP="006935A3">
      <w:pPr>
        <w:pStyle w:val="Puslapioinaostekstas"/>
        <w:jc w:val="both"/>
      </w:pPr>
      <w:r>
        <w:rPr>
          <w:rStyle w:val="Puslapioinaosnuoroda"/>
        </w:rPr>
        <w:footnoteRef/>
      </w:r>
      <w:r w:rsidRPr="0073081A">
        <w:t xml:space="preserve">Dikarev, I. S. </w:t>
      </w:r>
      <w:r w:rsidRPr="0073081A">
        <w:rPr>
          <w:i/>
        </w:rPr>
        <w:t xml:space="preserve">Dispozitivnost v ugolovnom processe </w:t>
      </w:r>
      <w:r w:rsidRPr="00DE5332">
        <w:t>[Dispositiveness in Criminal Procedure]</w:t>
      </w:r>
      <w:r w:rsidRPr="0073081A">
        <w:rPr>
          <w:i/>
        </w:rPr>
        <w:t xml:space="preserve">. </w:t>
      </w:r>
      <w:r w:rsidRPr="0073081A">
        <w:t xml:space="preserve"> Daktaro disertacija. </w:t>
      </w:r>
      <w:r w:rsidRPr="0073081A">
        <w:rPr>
          <w:color w:val="000033"/>
        </w:rPr>
        <w:t>Socialiniai mokslai (teisė). Volgograd</w:t>
      </w:r>
      <w:r w:rsidRPr="0073081A">
        <w:t>, 2005</w:t>
      </w:r>
      <w:r w:rsidRPr="009E7B7E">
        <w:t xml:space="preserve">, </w:t>
      </w:r>
      <w:r>
        <w:t xml:space="preserve">p. </w:t>
      </w:r>
      <w:r w:rsidRPr="009E7B7E">
        <w:t>42-45</w:t>
      </w:r>
      <w:r>
        <w:t xml:space="preserve">. </w:t>
      </w:r>
    </w:p>
  </w:footnote>
  <w:footnote w:id="154">
    <w:p w:rsidR="00E0371E" w:rsidRDefault="00E0371E" w:rsidP="006935A3">
      <w:pPr>
        <w:pStyle w:val="Puslapioinaostekstas"/>
        <w:jc w:val="both"/>
      </w:pPr>
      <w:r>
        <w:rPr>
          <w:rStyle w:val="Puslapioinaosnuoroda"/>
        </w:rPr>
        <w:footnoteRef/>
      </w:r>
      <w:r>
        <w:t xml:space="preserve">Tak, P. East Meets West Aspects of Prosecution in Countries in Transition. </w:t>
      </w:r>
      <w:r w:rsidRPr="0049603A">
        <w:rPr>
          <w:i/>
        </w:rPr>
        <w:t>European Journal of Crime, Criminal Law and Criminal Justice</w:t>
      </w:r>
      <w:r>
        <w:t>. 1999, 7(4): 412-432.</w:t>
      </w:r>
    </w:p>
  </w:footnote>
  <w:footnote w:id="155">
    <w:p w:rsidR="00E0371E" w:rsidRPr="00531902" w:rsidRDefault="00E0371E" w:rsidP="00531902">
      <w:pPr>
        <w:pStyle w:val="HTMLiankstoformatuotas"/>
        <w:jc w:val="both"/>
        <w:rPr>
          <w:rFonts w:ascii="Times New Roman" w:hAnsi="Times New Roman" w:cs="Times New Roman"/>
        </w:rPr>
      </w:pPr>
      <w:r>
        <w:rPr>
          <w:rStyle w:val="Puslapioinaosnuoroda"/>
        </w:rPr>
        <w:footnoteRef/>
      </w:r>
      <w:r w:rsidRPr="00531902">
        <w:rPr>
          <w:rFonts w:ascii="Times New Roman" w:hAnsi="Times New Roman" w:cs="Times New Roman"/>
        </w:rPr>
        <w:t xml:space="preserve">Lietuvos Respublikos Konstitucinio Teismo </w:t>
      </w:r>
      <w:r>
        <w:rPr>
          <w:rFonts w:ascii="Times New Roman" w:hAnsi="Times New Roman" w:cs="Times New Roman"/>
        </w:rPr>
        <w:t>2006 m. sausio 16 d. nutarimas</w:t>
      </w:r>
      <w:r w:rsidRPr="00531902">
        <w:rPr>
          <w:rFonts w:ascii="Times New Roman" w:hAnsi="Times New Roman" w:cs="Times New Roman"/>
        </w:rPr>
        <w:t xml:space="preserve">. </w:t>
      </w:r>
      <w:r w:rsidRPr="00531902">
        <w:rPr>
          <w:rFonts w:ascii="Times New Roman" w:hAnsi="Times New Roman" w:cs="Times New Roman"/>
          <w:i/>
          <w:iCs/>
        </w:rPr>
        <w:t xml:space="preserve">Valstybės žinios. </w:t>
      </w:r>
      <w:r w:rsidRPr="00531902">
        <w:rPr>
          <w:rFonts w:ascii="Times New Roman" w:hAnsi="Times New Roman" w:cs="Times New Roman"/>
        </w:rPr>
        <w:t>2006, Nr. 7-254</w:t>
      </w:r>
      <w:r>
        <w:rPr>
          <w:rFonts w:ascii="Times New Roman" w:hAnsi="Times New Roman" w:cs="Times New Roman"/>
        </w:rPr>
        <w:t>.</w:t>
      </w:r>
    </w:p>
  </w:footnote>
  <w:footnote w:id="156">
    <w:p w:rsidR="00E0371E" w:rsidRPr="00DE5332" w:rsidRDefault="00E0371E" w:rsidP="00DE5332">
      <w:pPr>
        <w:jc w:val="both"/>
        <w:rPr>
          <w:sz w:val="20"/>
          <w:szCs w:val="20"/>
        </w:rPr>
      </w:pPr>
      <w:r w:rsidRPr="00A42945">
        <w:rPr>
          <w:rStyle w:val="Puslapioinaosnuoroda"/>
        </w:rPr>
        <w:footnoteRef/>
      </w:r>
      <w:r w:rsidRPr="00DE5332">
        <w:rPr>
          <w:sz w:val="20"/>
          <w:szCs w:val="20"/>
        </w:rPr>
        <w:t>Driukas, A., Valančius, V. </w:t>
      </w:r>
      <w:r w:rsidRPr="00DE5332">
        <w:rPr>
          <w:i/>
          <w:sz w:val="20"/>
          <w:szCs w:val="20"/>
        </w:rPr>
        <w:t>Civilinis procesas: teorija ir praktika</w:t>
      </w:r>
      <w:r w:rsidRPr="00DE5332">
        <w:rPr>
          <w:sz w:val="20"/>
          <w:szCs w:val="20"/>
        </w:rPr>
        <w:t>. I tomas. Vilnius: Teisinės informacijos centras, 2005-2007, p. 454.</w:t>
      </w:r>
      <w:r>
        <w:rPr>
          <w:sz w:val="20"/>
          <w:szCs w:val="20"/>
        </w:rPr>
        <w:t xml:space="preserve"> </w:t>
      </w:r>
      <w:r>
        <w:rPr>
          <w:sz w:val="20"/>
        </w:rPr>
        <w:t>P</w:t>
      </w:r>
      <w:r w:rsidRPr="0079738E">
        <w:rPr>
          <w:sz w:val="20"/>
        </w:rPr>
        <w:t>rocesinių teisinių santykių subjekt</w:t>
      </w:r>
      <w:r>
        <w:rPr>
          <w:sz w:val="20"/>
        </w:rPr>
        <w:t xml:space="preserve">ai </w:t>
      </w:r>
      <w:r w:rsidRPr="0079738E">
        <w:rPr>
          <w:sz w:val="20"/>
        </w:rPr>
        <w:t>skirst</w:t>
      </w:r>
      <w:r>
        <w:rPr>
          <w:sz w:val="20"/>
        </w:rPr>
        <w:t>om</w:t>
      </w:r>
      <w:r w:rsidRPr="0079738E">
        <w:rPr>
          <w:sz w:val="20"/>
        </w:rPr>
        <w:t xml:space="preserve">i į dvi grupes: </w:t>
      </w:r>
      <w:r>
        <w:rPr>
          <w:sz w:val="20"/>
        </w:rPr>
        <w:t xml:space="preserve">1. </w:t>
      </w:r>
      <w:r w:rsidRPr="0079738E">
        <w:rPr>
          <w:sz w:val="20"/>
        </w:rPr>
        <w:t xml:space="preserve">asmenys, turintys teisinį interesą dėl bylos išsprendimo: </w:t>
      </w:r>
      <w:r>
        <w:rPr>
          <w:sz w:val="20"/>
        </w:rPr>
        <w:t xml:space="preserve">a) </w:t>
      </w:r>
      <w:r w:rsidRPr="0079738E">
        <w:rPr>
          <w:sz w:val="20"/>
        </w:rPr>
        <w:t>turintys asmeninį (subjektyvų) interesą: tiek materialų teisinį, tiek procesinį;</w:t>
      </w:r>
      <w:r>
        <w:rPr>
          <w:sz w:val="20"/>
        </w:rPr>
        <w:t xml:space="preserve"> b) </w:t>
      </w:r>
      <w:r w:rsidRPr="0079738E">
        <w:rPr>
          <w:sz w:val="20"/>
        </w:rPr>
        <w:t>turintys visuomeninį, valst</w:t>
      </w:r>
      <w:r>
        <w:rPr>
          <w:sz w:val="20"/>
        </w:rPr>
        <w:t xml:space="preserve">ybinį interesą, t.y. procesinį; </w:t>
      </w:r>
      <w:r>
        <w:t>2</w:t>
      </w:r>
      <w:r w:rsidRPr="00DE5332">
        <w:rPr>
          <w:sz w:val="20"/>
          <w:szCs w:val="20"/>
        </w:rPr>
        <w:t xml:space="preserve">. neturintys teisinio intereso. Lukjanova, E. G. </w:t>
      </w:r>
      <w:r>
        <w:rPr>
          <w:i/>
          <w:sz w:val="20"/>
          <w:szCs w:val="20"/>
        </w:rPr>
        <w:t>Teorija processual</w:t>
      </w:r>
      <w:r w:rsidRPr="00DE5332">
        <w:rPr>
          <w:i/>
          <w:sz w:val="20"/>
          <w:szCs w:val="20"/>
        </w:rPr>
        <w:t xml:space="preserve">nogo prava </w:t>
      </w:r>
      <w:r w:rsidRPr="00DE5332">
        <w:rPr>
          <w:sz w:val="20"/>
          <w:szCs w:val="20"/>
        </w:rPr>
        <w:t>[Theory of Procedural Law].</w:t>
      </w:r>
      <w:r>
        <w:rPr>
          <w:sz w:val="20"/>
          <w:szCs w:val="20"/>
        </w:rPr>
        <w:t xml:space="preserve"> Moskva</w:t>
      </w:r>
      <w:r w:rsidRPr="00DE5332">
        <w:rPr>
          <w:sz w:val="20"/>
          <w:szCs w:val="20"/>
        </w:rPr>
        <w:t xml:space="preserve">: Norma, 2003, p. 214. </w:t>
      </w:r>
    </w:p>
  </w:footnote>
  <w:footnote w:id="157">
    <w:p w:rsidR="00E0371E" w:rsidRDefault="00E0371E" w:rsidP="00274D82">
      <w:pPr>
        <w:pStyle w:val="Puslapioinaostekstas"/>
        <w:jc w:val="both"/>
      </w:pPr>
      <w:r>
        <w:rPr>
          <w:rStyle w:val="Puslapioinaosnuoroda"/>
        </w:rPr>
        <w:footnoteRef/>
      </w:r>
      <w:r w:rsidRPr="00A1222D">
        <w:t xml:space="preserve">A.S.Aleksandrovas teigia, kad </w:t>
      </w:r>
      <w:r>
        <w:t>v</w:t>
      </w:r>
      <w:r w:rsidRPr="00A1222D">
        <w:t xml:space="preserve">alstybės kaltintojas taip pat gali būti dispozityvumo subjektas. Tokią išvadą sąlygoja dispozityvumo veikimo ribų </w:t>
      </w:r>
      <w:r>
        <w:t xml:space="preserve">samprata </w:t>
      </w:r>
      <w:r w:rsidRPr="00A1222D">
        <w:t xml:space="preserve">procesinio, o ne asmeninio suinteresuotumo rėmuose. </w:t>
      </w:r>
      <w:r>
        <w:t>Tačiau l</w:t>
      </w:r>
      <w:r w:rsidRPr="00A1222D">
        <w:t>aisvės disponuoti kaltinimu ir procesinėmis teisėmis pagrindas yra privatus interesas</w:t>
      </w:r>
      <w:r>
        <w:t>, o p</w:t>
      </w:r>
      <w:r w:rsidRPr="00A1222D">
        <w:t>rokuroro procesinis interesas sutampa su vieš</w:t>
      </w:r>
      <w:r>
        <w:t>uoj</w:t>
      </w:r>
      <w:r w:rsidRPr="00A1222D">
        <w:t xml:space="preserve">u. </w:t>
      </w:r>
    </w:p>
  </w:footnote>
  <w:footnote w:id="158">
    <w:p w:rsidR="00E0371E" w:rsidRDefault="00E0371E" w:rsidP="0028419F">
      <w:pPr>
        <w:pStyle w:val="Puslapioinaostekstas"/>
        <w:jc w:val="both"/>
      </w:pPr>
      <w:r>
        <w:rPr>
          <w:rStyle w:val="Puslapioinaosnuoroda"/>
        </w:rPr>
        <w:footnoteRef/>
      </w:r>
      <w:r w:rsidRPr="00B262A3">
        <w:t>BPK 58 straipsnio 2 dalyje numatytas draudimas dalyvauti procese ikiteisminio tyrimo pareigūnui, prokurorui, ikiteisminio tyrimo teisėjui, teisėjui, teisiamojo posėdžio sekretoriui, vertėjui, ekspertui ir specialistui, jei jis turi asmeninį interesą, t.y. yra dalyvavęs toje byloje kaip liudytojas, įtariamojo, kaltinamojo ar nuteistojo atstovas pagal įstatymą, nukentėjusiojo, privataus kaltintojo, civilinio ieškovo ar atsakovo atstovas.</w:t>
      </w:r>
    </w:p>
  </w:footnote>
  <w:footnote w:id="159">
    <w:p w:rsidR="00E0371E" w:rsidRPr="007467D4" w:rsidRDefault="00E0371E" w:rsidP="00274D82">
      <w:pPr>
        <w:pStyle w:val="Puslapioinaostekstas"/>
        <w:jc w:val="both"/>
      </w:pPr>
      <w:r w:rsidRPr="00A42945">
        <w:rPr>
          <w:rStyle w:val="Puslapioinaosnuoroda"/>
        </w:rPr>
        <w:footnoteRef/>
      </w:r>
      <w:r w:rsidRPr="007467D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sidRPr="007467D4">
        <w:rPr>
          <w:sz w:val="16"/>
        </w:rPr>
        <w:t xml:space="preserve"> </w:t>
      </w:r>
      <w:r w:rsidRPr="007467D4">
        <w:t xml:space="preserve">Daktaro disertacija. Socialiniai mokslai (teisė). Samara, 2004, p. 48. </w:t>
      </w:r>
    </w:p>
  </w:footnote>
  <w:footnote w:id="160">
    <w:p w:rsidR="00E0371E" w:rsidRPr="007467D4" w:rsidRDefault="00E0371E" w:rsidP="00274D82">
      <w:pPr>
        <w:pStyle w:val="Puslapioinaostekstas"/>
        <w:jc w:val="both"/>
      </w:pPr>
      <w:r w:rsidRPr="007467D4">
        <w:rPr>
          <w:rStyle w:val="Puslapioinaosnuoroda"/>
        </w:rPr>
        <w:footnoteRef/>
      </w:r>
      <w:r w:rsidRPr="007467D4">
        <w:t xml:space="preserve">Dikarev, I. S. </w:t>
      </w:r>
      <w:r w:rsidRPr="007467D4">
        <w:rPr>
          <w:i/>
        </w:rPr>
        <w:t xml:space="preserve">Dispozitivnost v ugolovnom processe </w:t>
      </w:r>
      <w:r w:rsidRPr="007467D4">
        <w:t>[Dispositiveness in Criminal Procedure]</w:t>
      </w:r>
      <w:r w:rsidRPr="007467D4">
        <w:rPr>
          <w:i/>
        </w:rPr>
        <w:t xml:space="preserve">. </w:t>
      </w:r>
      <w:r w:rsidRPr="007467D4">
        <w:t xml:space="preserve">Daktaro disertacija. Socialiniai mokslai (teisė). Volgograd, 2005, p. 69. </w:t>
      </w:r>
    </w:p>
  </w:footnote>
  <w:footnote w:id="161">
    <w:p w:rsidR="00E0371E" w:rsidRPr="003317E2" w:rsidRDefault="00E0371E" w:rsidP="000C1997">
      <w:pPr>
        <w:jc w:val="both"/>
        <w:rPr>
          <w:sz w:val="20"/>
          <w:szCs w:val="20"/>
        </w:rPr>
      </w:pPr>
      <w:r w:rsidRPr="00A42945">
        <w:rPr>
          <w:rStyle w:val="Puslapioinaosnuoroda"/>
          <w:sz w:val="20"/>
          <w:szCs w:val="20"/>
        </w:rPr>
        <w:footnoteRef/>
      </w:r>
      <w:r w:rsidRPr="006A5F2C">
        <w:rPr>
          <w:sz w:val="20"/>
          <w:szCs w:val="20"/>
        </w:rPr>
        <w:t>A.</w:t>
      </w:r>
      <w:r>
        <w:rPr>
          <w:sz w:val="20"/>
          <w:szCs w:val="20"/>
        </w:rPr>
        <w:t xml:space="preserve"> </w:t>
      </w:r>
      <w:r w:rsidRPr="006A5F2C">
        <w:rPr>
          <w:sz w:val="20"/>
          <w:szCs w:val="20"/>
        </w:rPr>
        <w:t>S.</w:t>
      </w:r>
      <w:r>
        <w:rPr>
          <w:sz w:val="20"/>
          <w:szCs w:val="20"/>
        </w:rPr>
        <w:t xml:space="preserve"> </w:t>
      </w:r>
      <w:r w:rsidRPr="006A5F2C">
        <w:rPr>
          <w:sz w:val="20"/>
          <w:szCs w:val="20"/>
        </w:rPr>
        <w:t>Aleksandrov</w:t>
      </w:r>
      <w:r>
        <w:rPr>
          <w:sz w:val="20"/>
          <w:szCs w:val="20"/>
        </w:rPr>
        <w:t>as</w:t>
      </w:r>
      <w:r w:rsidRPr="006A5F2C">
        <w:rPr>
          <w:sz w:val="20"/>
          <w:szCs w:val="20"/>
        </w:rPr>
        <w:t xml:space="preserve"> dispozityvumą apibrėžia kaip įstatymo suteiktą šalių laisvę nustatytose ribose savo procesiniais interesais disponuoti savo teisėmis į baudžiamąjį ieškinį ir į prieštaravimą jam, o taip pat ir kitomis savo procesinėmis teisėmis, įskaitant ir įrodinėjimo teisę. </w:t>
      </w:r>
      <w:r>
        <w:rPr>
          <w:sz w:val="20"/>
          <w:szCs w:val="20"/>
        </w:rPr>
        <w:t xml:space="preserve">Aleksandrov, A. S. Principy ugolovnogo sudoproizvodstva [Principles of Criminal Procedure]. </w:t>
      </w:r>
      <w:r>
        <w:rPr>
          <w:i/>
          <w:sz w:val="20"/>
          <w:szCs w:val="20"/>
        </w:rPr>
        <w:t>Pravovedenie</w:t>
      </w:r>
      <w:r>
        <w:rPr>
          <w:sz w:val="20"/>
          <w:szCs w:val="20"/>
        </w:rPr>
        <w:t>.</w:t>
      </w:r>
      <w:r w:rsidRPr="00A42945">
        <w:rPr>
          <w:sz w:val="20"/>
          <w:szCs w:val="20"/>
        </w:rPr>
        <w:t xml:space="preserve"> 2003, </w:t>
      </w:r>
      <w:r>
        <w:rPr>
          <w:sz w:val="20"/>
          <w:szCs w:val="20"/>
        </w:rPr>
        <w:t>5: 16</w:t>
      </w:r>
      <w:r w:rsidRPr="003317E2">
        <w:rPr>
          <w:sz w:val="20"/>
          <w:szCs w:val="20"/>
        </w:rPr>
        <w:t>4</w:t>
      </w:r>
      <w:r>
        <w:rPr>
          <w:sz w:val="20"/>
          <w:szCs w:val="20"/>
        </w:rPr>
        <w:t xml:space="preserve">. </w:t>
      </w:r>
    </w:p>
  </w:footnote>
  <w:footnote w:id="162">
    <w:p w:rsidR="00E0371E" w:rsidRPr="007467D4" w:rsidRDefault="00E0371E" w:rsidP="00274D82">
      <w:pPr>
        <w:pStyle w:val="Puslapioinaostekstas"/>
        <w:jc w:val="both"/>
      </w:pPr>
      <w:r w:rsidRPr="007467D4">
        <w:rPr>
          <w:rStyle w:val="Puslapioinaosnuoroda"/>
        </w:rPr>
        <w:footnoteRef/>
      </w:r>
      <w:r w:rsidRPr="007467D4">
        <w:t>Jurka, R. </w:t>
      </w:r>
      <w:r w:rsidRPr="007467D4">
        <w:rPr>
          <w:i/>
        </w:rPr>
        <w:t>Liudytojo procesinių interesų apsauga baudžiamajame procese: problemos ir perspektyvos.</w:t>
      </w:r>
      <w:r w:rsidRPr="007467D4">
        <w:t xml:space="preserve"> Daktaro disertacija. Socialiniai mokslai (teisė). Vilnius, 2008, p. 92. </w:t>
      </w:r>
    </w:p>
  </w:footnote>
  <w:footnote w:id="163">
    <w:p w:rsidR="00E0371E" w:rsidRPr="00A42945" w:rsidRDefault="00E0371E" w:rsidP="00274D82">
      <w:pPr>
        <w:pStyle w:val="Puslapioinaostekstas"/>
        <w:jc w:val="both"/>
      </w:pPr>
      <w:r w:rsidRPr="00A42945">
        <w:rPr>
          <w:rStyle w:val="Puslapioinaosnuoroda"/>
        </w:rPr>
        <w:footnoteRef/>
      </w:r>
      <w:r w:rsidRPr="0073081A">
        <w:t xml:space="preserve">Dikarev, I. S. </w:t>
      </w:r>
      <w:r w:rsidRPr="0073081A">
        <w:rPr>
          <w:i/>
        </w:rPr>
        <w:t xml:space="preserve">Dispozitivnost v ugolovnom processe </w:t>
      </w:r>
      <w:r w:rsidRPr="00DE5332">
        <w:t>[Dispositiveness in Criminal Procedure]</w:t>
      </w:r>
      <w:r w:rsidRPr="0073081A">
        <w:rPr>
          <w:i/>
        </w:rPr>
        <w:t xml:space="preserve">. </w:t>
      </w:r>
      <w:r w:rsidRPr="0073081A">
        <w:t xml:space="preserve"> Daktaro disertacija. </w:t>
      </w:r>
      <w:r w:rsidRPr="0073081A">
        <w:rPr>
          <w:color w:val="000033"/>
        </w:rPr>
        <w:t>Socialiniai mokslai (teisė</w:t>
      </w:r>
      <w:r>
        <w:rPr>
          <w:color w:val="000033"/>
        </w:rPr>
        <w:t>). Volgograd</w:t>
      </w:r>
      <w:r w:rsidRPr="0073081A">
        <w:t>,</w:t>
      </w:r>
      <w:r>
        <w:t xml:space="preserve"> 2005</w:t>
      </w:r>
      <w:r w:rsidRPr="00340E59">
        <w:rPr>
          <w:i/>
        </w:rPr>
        <w:t xml:space="preserve">, </w:t>
      </w:r>
      <w:r w:rsidRPr="0073081A">
        <w:t>p. 41.</w:t>
      </w:r>
    </w:p>
  </w:footnote>
  <w:footnote w:id="164">
    <w:p w:rsidR="00E0371E" w:rsidRPr="00A42945" w:rsidRDefault="00E0371E" w:rsidP="00873774">
      <w:pPr>
        <w:pStyle w:val="Puslapioinaostekstas"/>
        <w:jc w:val="both"/>
      </w:pPr>
      <w:r w:rsidRPr="00A42945">
        <w:rPr>
          <w:rStyle w:val="Puslapioinaosnuoroda"/>
        </w:rPr>
        <w:footnoteRef/>
      </w:r>
      <w:r w:rsidRPr="00DE5332">
        <w:t>Driukas, A., Valančius, V. </w:t>
      </w:r>
      <w:r w:rsidRPr="00DE5332">
        <w:rPr>
          <w:i/>
        </w:rPr>
        <w:t>Civilinis procesas: teorija ir praktika</w:t>
      </w:r>
      <w:r w:rsidRPr="00DE5332">
        <w:t>. I tomas. Vilnius: Teisinės informacijos centras, 2005-2007, p.</w:t>
      </w:r>
      <w:r w:rsidRPr="00A42945">
        <w:t xml:space="preserve">325.  </w:t>
      </w:r>
    </w:p>
  </w:footnote>
  <w:footnote w:id="165">
    <w:p w:rsidR="00E0371E" w:rsidRPr="00A42945" w:rsidRDefault="00E0371E" w:rsidP="00274D82">
      <w:pPr>
        <w:pStyle w:val="Puslapioinaostekstas"/>
        <w:jc w:val="both"/>
      </w:pPr>
      <w:r w:rsidRPr="00A42945">
        <w:rPr>
          <w:rStyle w:val="Puslapioinaosnuoroda"/>
        </w:rPr>
        <w:footnoteRef/>
      </w:r>
      <w:r w:rsidRPr="0073081A">
        <w:t xml:space="preserve">Dikarev, I. S. </w:t>
      </w:r>
      <w:r w:rsidRPr="0073081A">
        <w:rPr>
          <w:i/>
        </w:rPr>
        <w:t xml:space="preserve">Dispozitivnost v ugolovnom processe </w:t>
      </w:r>
      <w:r w:rsidRPr="00DE5332">
        <w:t>[Dispositiveness in Criminal Procedure]</w:t>
      </w:r>
      <w:r w:rsidRPr="0073081A">
        <w:rPr>
          <w:i/>
        </w:rPr>
        <w:t xml:space="preserve">. </w:t>
      </w:r>
      <w:r w:rsidRPr="0073081A">
        <w:t xml:space="preserve"> Daktaro disertacija. </w:t>
      </w:r>
      <w:r w:rsidRPr="0073081A">
        <w:rPr>
          <w:color w:val="000033"/>
        </w:rPr>
        <w:t>Socialiniai mokslai (teisė). Volgograd</w:t>
      </w:r>
      <w:r w:rsidRPr="0073081A">
        <w:t>, 2005</w:t>
      </w:r>
      <w:r>
        <w:t>, p. 45.</w:t>
      </w:r>
      <w:r w:rsidRPr="00A42945">
        <w:t xml:space="preserve"> </w:t>
      </w:r>
      <w:r>
        <w:t>Rogova</w:t>
      </w:r>
      <w:r w:rsidRPr="00BC56C7">
        <w:t>,</w:t>
      </w:r>
      <w:r>
        <w:t xml:space="preserve"> O</w:t>
      </w:r>
      <w:r w:rsidRPr="00BC56C7">
        <w:t xml:space="preserve">. </w:t>
      </w:r>
      <w:r>
        <w:t>I</w:t>
      </w:r>
      <w:r w:rsidRPr="00BC56C7">
        <w:t xml:space="preserve">. </w:t>
      </w:r>
      <w:r w:rsidRPr="006126CF">
        <w:rPr>
          <w:i/>
        </w:rPr>
        <w:t>Predely projavlenija dispozitivnosti v ugolovnom sudoproizvodstve</w:t>
      </w:r>
      <w:r>
        <w:t xml:space="preserve"> [Limits of Manifestation of Dispositiveness in Criminal Proceedings]. </w:t>
      </w:r>
      <w:r w:rsidRPr="00BC56C7">
        <w:t>Daktaro disertacija. Socialiniai m</w:t>
      </w:r>
      <w:r>
        <w:t>okslai (</w:t>
      </w:r>
      <w:r w:rsidRPr="00BC56C7">
        <w:t>teisė</w:t>
      </w:r>
      <w:r>
        <w:t>)</w:t>
      </w:r>
      <w:r w:rsidRPr="00BC56C7">
        <w:t>. Т</w:t>
      </w:r>
      <w:r>
        <w:t xml:space="preserve">omsk, 1994, </w:t>
      </w:r>
      <w:r w:rsidRPr="00A42945">
        <w:t>p. 170</w:t>
      </w:r>
      <w:r>
        <w:t>.</w:t>
      </w:r>
    </w:p>
  </w:footnote>
  <w:footnote w:id="166">
    <w:p w:rsidR="00E0371E" w:rsidRDefault="00E0371E" w:rsidP="00274D82">
      <w:pPr>
        <w:pStyle w:val="Puslapioinaostekstas"/>
        <w:jc w:val="both"/>
      </w:pPr>
      <w:r>
        <w:rPr>
          <w:rStyle w:val="Puslapioinaosnuoroda"/>
        </w:rPr>
        <w:footnoteRef/>
      </w:r>
      <w:r w:rsidRPr="00A1222D">
        <w:t>Teisė į ieškinį – tai ne pati pažeista ar ginčijama materialinė teisė, o įstatymo užtikrinta galimybė nustatyta procesine tvarka gauti pažeistos teisės gynybą.</w:t>
      </w:r>
      <w:r>
        <w:t xml:space="preserve"> 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rsidRPr="00A42945">
        <w:t>20</w:t>
      </w:r>
      <w:r>
        <w:t>.</w:t>
      </w:r>
    </w:p>
  </w:footnote>
  <w:footnote w:id="167">
    <w:p w:rsidR="00E0371E" w:rsidRDefault="00E0371E" w:rsidP="00274D82">
      <w:pPr>
        <w:pStyle w:val="Puslapioinaostekstas"/>
        <w:jc w:val="both"/>
      </w:pPr>
      <w:r>
        <w:rPr>
          <w:rStyle w:val="Puslapioinaosnuoroda"/>
        </w:rPr>
        <w:footnoteRef/>
      </w:r>
      <w:r>
        <w:t xml:space="preserve">Rjazanovskij, V. A. </w:t>
      </w:r>
      <w:r>
        <w:rPr>
          <w:i/>
        </w:rPr>
        <w:t xml:space="preserve">Edinstvo processa </w:t>
      </w:r>
      <w:r w:rsidRPr="007A597D">
        <w:t>[Unity of Procedure].</w:t>
      </w:r>
      <w:r>
        <w:t xml:space="preserve"> </w:t>
      </w:r>
      <w:r w:rsidRPr="00BC56C7">
        <w:t>М</w:t>
      </w:r>
      <w:r>
        <w:t>oskva</w:t>
      </w:r>
      <w:r w:rsidRPr="00BC56C7">
        <w:t>: </w:t>
      </w:r>
      <w:r>
        <w:t xml:space="preserve">Gorodec, 2005, p. 52, 58. </w:t>
      </w:r>
    </w:p>
  </w:footnote>
  <w:footnote w:id="168">
    <w:p w:rsidR="00E0371E" w:rsidRPr="00516A1A" w:rsidRDefault="00E0371E" w:rsidP="00274D82">
      <w:pPr>
        <w:pStyle w:val="Porat"/>
        <w:jc w:val="both"/>
        <w:rPr>
          <w:sz w:val="20"/>
          <w:szCs w:val="20"/>
        </w:rPr>
      </w:pPr>
      <w:r w:rsidRPr="00516A1A">
        <w:rPr>
          <w:rStyle w:val="Puslapioinaosnuoroda"/>
          <w:sz w:val="20"/>
          <w:szCs w:val="20"/>
        </w:rPr>
        <w:footnoteRef/>
      </w:r>
      <w:r>
        <w:rPr>
          <w:i/>
          <w:sz w:val="20"/>
          <w:szCs w:val="20"/>
        </w:rPr>
        <w:t>Codicis Iustiniani</w:t>
      </w:r>
      <w:r w:rsidRPr="003317E2">
        <w:rPr>
          <w:i/>
          <w:sz w:val="20"/>
          <w:szCs w:val="20"/>
        </w:rPr>
        <w:t xml:space="preserve"> </w:t>
      </w:r>
      <w:r>
        <w:rPr>
          <w:rStyle w:val="Grietas"/>
          <w:b w:val="0"/>
          <w:bCs w:val="0"/>
          <w:iCs/>
          <w:sz w:val="20"/>
          <w:szCs w:val="20"/>
        </w:rPr>
        <w:t xml:space="preserve">[interaktyvus]. </w:t>
      </w:r>
      <w:r w:rsidRPr="003317E2">
        <w:rPr>
          <w:i/>
          <w:sz w:val="20"/>
          <w:szCs w:val="20"/>
        </w:rPr>
        <w:t>3.7.1.</w:t>
      </w:r>
      <w:r>
        <w:rPr>
          <w:i/>
          <w:sz w:val="20"/>
          <w:szCs w:val="20"/>
        </w:rPr>
        <w:t xml:space="preserve">, </w:t>
      </w:r>
      <w:r>
        <w:rPr>
          <w:rStyle w:val="Grietas"/>
          <w:b w:val="0"/>
          <w:bCs w:val="0"/>
          <w:iCs/>
          <w:sz w:val="20"/>
          <w:szCs w:val="20"/>
        </w:rPr>
        <w:t>[žiūrėta 2009-06-15] &lt;</w:t>
      </w:r>
      <w:hyperlink r:id="rId4" w:anchor="7" w:history="1">
        <w:r w:rsidRPr="00516A1A">
          <w:rPr>
            <w:rStyle w:val="Hipersaitas"/>
            <w:sz w:val="20"/>
            <w:szCs w:val="20"/>
          </w:rPr>
          <w:t>http://webu2.upmf-grenoble.fr/Haiti/Cours/Ak/Corpus/CJ3.htm#7</w:t>
        </w:r>
      </w:hyperlink>
      <w:r>
        <w:rPr>
          <w:rStyle w:val="Hipersaitas"/>
          <w:sz w:val="20"/>
          <w:szCs w:val="20"/>
        </w:rPr>
        <w:t>&gt;</w:t>
      </w:r>
      <w:r>
        <w:rPr>
          <w:sz w:val="20"/>
          <w:szCs w:val="20"/>
        </w:rPr>
        <w:t xml:space="preserve">. Plačiau: </w:t>
      </w:r>
      <w:r w:rsidRPr="00516A1A">
        <w:rPr>
          <w:sz w:val="20"/>
          <w:szCs w:val="20"/>
        </w:rPr>
        <w:t xml:space="preserve">Jonaitis, M. </w:t>
      </w:r>
      <w:r w:rsidRPr="00516A1A">
        <w:rPr>
          <w:i/>
          <w:sz w:val="20"/>
          <w:szCs w:val="20"/>
        </w:rPr>
        <w:t>Romėnų privatinės teisės įtaka šiuolaikinei civilinei ir civilinio proceso teisei</w:t>
      </w:r>
      <w:r w:rsidRPr="00516A1A">
        <w:rPr>
          <w:sz w:val="20"/>
          <w:szCs w:val="20"/>
        </w:rPr>
        <w:t>. Daktaro d</w:t>
      </w:r>
      <w:r>
        <w:rPr>
          <w:sz w:val="20"/>
          <w:szCs w:val="20"/>
        </w:rPr>
        <w:t>isertacija. Socialiniai mokslai (</w:t>
      </w:r>
      <w:r w:rsidRPr="00516A1A">
        <w:rPr>
          <w:sz w:val="20"/>
          <w:szCs w:val="20"/>
        </w:rPr>
        <w:t>teisė</w:t>
      </w:r>
      <w:r>
        <w:rPr>
          <w:sz w:val="20"/>
          <w:szCs w:val="20"/>
        </w:rPr>
        <w:t>)</w:t>
      </w:r>
      <w:r w:rsidRPr="00516A1A">
        <w:rPr>
          <w:sz w:val="20"/>
          <w:szCs w:val="20"/>
        </w:rPr>
        <w:t>. Vilnius: Mykolo Romerio Universitetas, 2005, p. 222</w:t>
      </w:r>
      <w:r w:rsidRPr="005E5C30">
        <w:rPr>
          <w:rStyle w:val="Grietas"/>
          <w:b w:val="0"/>
          <w:bCs w:val="0"/>
          <w:sz w:val="20"/>
          <w:szCs w:val="20"/>
        </w:rPr>
        <w:t>.</w:t>
      </w:r>
    </w:p>
  </w:footnote>
  <w:footnote w:id="169">
    <w:p w:rsidR="00E0371E" w:rsidRDefault="00E0371E" w:rsidP="00234A96">
      <w:pPr>
        <w:pStyle w:val="Puslapioinaostekstas"/>
        <w:jc w:val="both"/>
      </w:pPr>
      <w:r w:rsidRPr="00516A1A">
        <w:rPr>
          <w:rStyle w:val="Puslapioinaosnuoroda"/>
        </w:rPr>
        <w:footnoteRef/>
      </w:r>
      <w:r>
        <w:t xml:space="preserve">Fojnickij, I. Ja. </w:t>
      </w:r>
      <w:r>
        <w:rPr>
          <w:i/>
          <w:color w:val="000033"/>
        </w:rPr>
        <w:t xml:space="preserve">Kurs ugolovnogo sudoproizvodstva </w:t>
      </w:r>
      <w:r w:rsidRPr="00A404A5">
        <w:rPr>
          <w:color w:val="000033"/>
        </w:rPr>
        <w:t>[Course of Criminal Procedure]</w:t>
      </w:r>
      <w:r>
        <w:rPr>
          <w:color w:val="000033"/>
        </w:rPr>
        <w:t>.</w:t>
      </w:r>
      <w:r w:rsidRPr="00A73D41">
        <w:rPr>
          <w:color w:val="000033"/>
        </w:rPr>
        <w:t> </w:t>
      </w:r>
      <w:r>
        <w:rPr>
          <w:color w:val="000033"/>
        </w:rPr>
        <w:t>II tomas. Sankt Peterburg</w:t>
      </w:r>
      <w:r w:rsidRPr="00A73D41">
        <w:rPr>
          <w:color w:val="000033"/>
        </w:rPr>
        <w:t>: </w:t>
      </w:r>
      <w:r>
        <w:rPr>
          <w:color w:val="000033"/>
        </w:rPr>
        <w:t>Alfa</w:t>
      </w:r>
      <w:r w:rsidRPr="00A73D41">
        <w:rPr>
          <w:color w:val="000033"/>
        </w:rPr>
        <w:t>, 1996</w:t>
      </w:r>
      <w:r>
        <w:rPr>
          <w:color w:val="000033"/>
        </w:rPr>
        <w:t>,</w:t>
      </w:r>
      <w:r w:rsidRPr="00A73D41">
        <w:t xml:space="preserve"> p. 4</w:t>
      </w:r>
      <w:r>
        <w:t>.</w:t>
      </w:r>
    </w:p>
  </w:footnote>
  <w:footnote w:id="170">
    <w:p w:rsidR="00E0371E" w:rsidRPr="0012677C" w:rsidRDefault="00E0371E" w:rsidP="00274D82">
      <w:pPr>
        <w:pStyle w:val="Puslapioinaostekstas"/>
        <w:jc w:val="both"/>
      </w:pPr>
      <w:r>
        <w:rPr>
          <w:rStyle w:val="Puslapioinaosnuoroda"/>
        </w:rPr>
        <w:footnoteRef/>
      </w:r>
      <w:r>
        <w:t>Šiuo atveju prokuroras suprantamas ne kaip dispozityvumo subjektas, o kaip teisės turėtojo – valstybės – atstovas.</w:t>
      </w:r>
    </w:p>
  </w:footnote>
  <w:footnote w:id="171">
    <w:p w:rsidR="00E0371E" w:rsidRDefault="00E0371E" w:rsidP="00274D82">
      <w:pPr>
        <w:pStyle w:val="Puslapioinaostekstas"/>
        <w:jc w:val="both"/>
      </w:pPr>
      <w:r>
        <w:rPr>
          <w:rStyle w:val="Puslapioinaosnuoroda"/>
        </w:rPr>
        <w:footnoteRef/>
      </w:r>
      <w:r>
        <w:t xml:space="preserve">Fasching, H. W. </w:t>
      </w:r>
      <w:r w:rsidRPr="00FC7876">
        <w:rPr>
          <w:i/>
        </w:rPr>
        <w:t>Lehrbuch des Österreichischen Zivilprozessrechts</w:t>
      </w:r>
      <w:r>
        <w:t xml:space="preserve">. Wien, 1990, p. 339. Terebeiza, Ž. Dispozityvumo principo galiojimo ribos ginant viešąjį interesą teisme. </w:t>
      </w:r>
      <w:r w:rsidRPr="00FC7876">
        <w:rPr>
          <w:i/>
        </w:rPr>
        <w:t>Jurisprudencija</w:t>
      </w:r>
      <w:r>
        <w:rPr>
          <w:i/>
        </w:rPr>
        <w:t>.</w:t>
      </w:r>
      <w:r>
        <w:t xml:space="preserve"> 2008, 7 (109): 93-94. Radinienė, I. Ar dispozityvumo principas turi absoliutų pobūdį civilinio proceso teisėje? </w:t>
      </w:r>
      <w:r w:rsidRPr="00982235">
        <w:rPr>
          <w:i/>
        </w:rPr>
        <w:t>Teisės apžvalga</w:t>
      </w:r>
      <w:r>
        <w:t>. 2000, 4: 78-79.</w:t>
      </w:r>
    </w:p>
  </w:footnote>
  <w:footnote w:id="172">
    <w:p w:rsidR="00E0371E" w:rsidRDefault="00E0371E">
      <w:pPr>
        <w:pStyle w:val="Puslapioinaostekstas"/>
      </w:pPr>
      <w:r>
        <w:rPr>
          <w:rStyle w:val="Puslapioinaosnuoroda"/>
        </w:rPr>
        <w:footnoteRef/>
      </w:r>
      <w:r>
        <w:t xml:space="preserve">Baudžiamojo ieškinio teorija bus nagrinėjama plačiau šio disertacinio tyrimo I skyriaus 3.1. dalyje. </w:t>
      </w:r>
    </w:p>
  </w:footnote>
  <w:footnote w:id="173">
    <w:p w:rsidR="00E0371E" w:rsidRPr="000B0D1D" w:rsidRDefault="00E0371E" w:rsidP="00274D82">
      <w:pPr>
        <w:jc w:val="both"/>
        <w:rPr>
          <w:i/>
          <w:sz w:val="20"/>
          <w:szCs w:val="20"/>
        </w:rPr>
      </w:pPr>
      <w:r>
        <w:rPr>
          <w:rStyle w:val="Puslapioinaosnuoroda"/>
        </w:rPr>
        <w:footnoteRef/>
      </w:r>
      <w:r w:rsidRPr="00561B97">
        <w:rPr>
          <w:sz w:val="20"/>
          <w:szCs w:val="20"/>
        </w:rPr>
        <w:t xml:space="preserve">Petrova, N. E. </w:t>
      </w:r>
      <w:r w:rsidRPr="00561B97">
        <w:rPr>
          <w:i/>
          <w:sz w:val="20"/>
          <w:szCs w:val="20"/>
        </w:rPr>
        <w:t xml:space="preserve">Chastnoe i subsidiarnoe obvinenie </w:t>
      </w:r>
      <w:r w:rsidRPr="00561B97">
        <w:rPr>
          <w:sz w:val="20"/>
          <w:szCs w:val="20"/>
        </w:rPr>
        <w:t xml:space="preserve">[Private and Subsidiary Prosecution]. </w:t>
      </w:r>
      <w:r w:rsidRPr="00561B97">
        <w:rPr>
          <w:color w:val="000033"/>
          <w:sz w:val="20"/>
          <w:szCs w:val="20"/>
        </w:rPr>
        <w:t>Daktaro disertacija. Socialiniai mokslai (teisė).</w:t>
      </w:r>
      <w:r w:rsidRPr="00561B97">
        <w:rPr>
          <w:sz w:val="20"/>
          <w:szCs w:val="20"/>
        </w:rPr>
        <w:t xml:space="preserve"> Samara, 2004</w:t>
      </w:r>
      <w:r w:rsidRPr="000B0D1D">
        <w:rPr>
          <w:sz w:val="20"/>
          <w:szCs w:val="20"/>
        </w:rPr>
        <w:t>, p. 38.</w:t>
      </w:r>
    </w:p>
  </w:footnote>
  <w:footnote w:id="174">
    <w:p w:rsidR="00E0371E" w:rsidRPr="00DE0F08" w:rsidRDefault="00E0371E" w:rsidP="00274D82">
      <w:pPr>
        <w:pStyle w:val="Puslapioinaostekstas"/>
        <w:jc w:val="both"/>
      </w:pPr>
      <w:r>
        <w:rPr>
          <w:rStyle w:val="Puslapioinaosnuoroda"/>
        </w:rPr>
        <w:footnoteRef/>
      </w:r>
      <w:r w:rsidRPr="00DE0F08">
        <w:t>Ciceronas</w:t>
      </w:r>
      <w:r>
        <w:t xml:space="preserve">, M. T. </w:t>
      </w:r>
      <w:r w:rsidRPr="00FC7876">
        <w:rPr>
          <w:i/>
        </w:rPr>
        <w:t>Kalbos</w:t>
      </w:r>
      <w:r>
        <w:t>.</w:t>
      </w:r>
      <w:r w:rsidRPr="00DE0F08">
        <w:t xml:space="preserve"> V</w:t>
      </w:r>
      <w:r>
        <w:t>ilnius:</w:t>
      </w:r>
      <w:r w:rsidRPr="00DE0F08">
        <w:t xml:space="preserve"> Pradai, 1997</w:t>
      </w:r>
      <w:r>
        <w:t>,</w:t>
      </w:r>
      <w:r w:rsidRPr="00DE0F08">
        <w:t xml:space="preserve"> p.</w:t>
      </w:r>
      <w:r>
        <w:t xml:space="preserve"> </w:t>
      </w:r>
      <w:r w:rsidRPr="00DE0F08">
        <w:t>52</w:t>
      </w:r>
      <w:r>
        <w:t xml:space="preserve">. </w:t>
      </w:r>
    </w:p>
  </w:footnote>
  <w:footnote w:id="175">
    <w:p w:rsidR="00E0371E" w:rsidRDefault="00E0371E" w:rsidP="00274D82">
      <w:pPr>
        <w:pStyle w:val="Puslapioinaostekstas"/>
        <w:jc w:val="both"/>
      </w:pPr>
      <w:r>
        <w:rPr>
          <w:rStyle w:val="Puslapioinaosnuoroda"/>
        </w:rPr>
        <w:footnoteRef/>
      </w:r>
      <w:r w:rsidRPr="00531902">
        <w:t>Lietuvos Respublikos Konstitucinio Teismo</w:t>
      </w:r>
      <w:r>
        <w:t xml:space="preserve"> 2006 m. sausio 16 d. nutarimas</w:t>
      </w:r>
      <w:r w:rsidRPr="00531902">
        <w:t xml:space="preserve">. </w:t>
      </w:r>
      <w:r w:rsidRPr="006615BE">
        <w:rPr>
          <w:i/>
        </w:rPr>
        <w:t>Valstybės žinios</w:t>
      </w:r>
      <w:r w:rsidRPr="00531902">
        <w:t>. 2006, Nr. 7-254.</w:t>
      </w:r>
    </w:p>
  </w:footnote>
  <w:footnote w:id="176">
    <w:p w:rsidR="00E0371E" w:rsidRPr="0029196F" w:rsidRDefault="00E0371E" w:rsidP="00274D82">
      <w:pPr>
        <w:pStyle w:val="Puslapioinaostekstas"/>
        <w:jc w:val="both"/>
      </w:pPr>
      <w:r>
        <w:rPr>
          <w:rStyle w:val="Puslapioinaosnuoroda"/>
        </w:rPr>
        <w:footnoteRef/>
      </w:r>
      <w:r w:rsidRPr="0029196F">
        <w:rPr>
          <w:color w:val="000033"/>
        </w:rPr>
        <w:t>Randakevičienė, I. </w:t>
      </w:r>
      <w:r w:rsidRPr="00F9584B">
        <w:rPr>
          <w:i/>
          <w:color w:val="000033"/>
        </w:rPr>
        <w:t>Baudžiamosios bylos atnaujinimas</w:t>
      </w:r>
      <w:r>
        <w:rPr>
          <w:color w:val="000033"/>
        </w:rPr>
        <w:t>.</w:t>
      </w:r>
      <w:r w:rsidRPr="0029196F">
        <w:rPr>
          <w:color w:val="000033"/>
        </w:rPr>
        <w:t> </w:t>
      </w:r>
      <w:r>
        <w:rPr>
          <w:color w:val="000033"/>
        </w:rPr>
        <w:t xml:space="preserve">Daktaro disertacija. Socialiniai mokslai (teisė). Vilnius: </w:t>
      </w:r>
      <w:r w:rsidRPr="0029196F">
        <w:rPr>
          <w:color w:val="000033"/>
        </w:rPr>
        <w:t>Mykolo Romerio</w:t>
      </w:r>
      <w:r>
        <w:rPr>
          <w:color w:val="000033"/>
        </w:rPr>
        <w:t xml:space="preserve"> universitetas,</w:t>
      </w:r>
      <w:r w:rsidRPr="0029196F">
        <w:rPr>
          <w:color w:val="000033"/>
        </w:rPr>
        <w:t>  2008, p.</w:t>
      </w:r>
      <w:r w:rsidRPr="0029196F">
        <w:t xml:space="preserve"> 131</w:t>
      </w:r>
      <w:r>
        <w:t>.</w:t>
      </w:r>
    </w:p>
  </w:footnote>
  <w:footnote w:id="177">
    <w:p w:rsidR="00E0371E" w:rsidRDefault="00E0371E" w:rsidP="00274D82">
      <w:pPr>
        <w:pStyle w:val="Puslapioinaostekstas"/>
        <w:jc w:val="both"/>
      </w:pPr>
      <w:r>
        <w:rPr>
          <w:rStyle w:val="Puslapioinaosnuoroda"/>
        </w:rPr>
        <w:footnoteRef/>
      </w:r>
      <w:r>
        <w:t xml:space="preserve">Šiuo klausimu pasisakė ir EŽTT byloje </w:t>
      </w:r>
      <w:r w:rsidRPr="00F9584B">
        <w:rPr>
          <w:i/>
        </w:rPr>
        <w:t>Daktaras v. Lithuania</w:t>
      </w:r>
      <w:r>
        <w:t xml:space="preserve">, no. 42095/98, ECHR 2000-X. </w:t>
      </w:r>
    </w:p>
  </w:footnote>
  <w:footnote w:id="178">
    <w:p w:rsidR="00E0371E" w:rsidRDefault="00E0371E" w:rsidP="006615BE">
      <w:pPr>
        <w:pStyle w:val="Puslapioinaostekstas"/>
        <w:jc w:val="both"/>
      </w:pPr>
      <w:r>
        <w:rPr>
          <w:rStyle w:val="Puslapioinaosnuoroda"/>
        </w:rPr>
        <w:footnoteRef/>
      </w:r>
      <w:r w:rsidRPr="00A404A5">
        <w:t>Lietuvos Respublikos Konstitucinio Teismo 2013 m. lapkričio 15 d. nutarimas</w:t>
      </w:r>
      <w:r>
        <w:t xml:space="preserve">. </w:t>
      </w:r>
      <w:r w:rsidRPr="006615BE">
        <w:rPr>
          <w:i/>
        </w:rPr>
        <w:t>Valstybės žinios</w:t>
      </w:r>
      <w:r w:rsidRPr="006615BE">
        <w:t>. 2013, Nr. 119-6005.</w:t>
      </w:r>
    </w:p>
  </w:footnote>
  <w:footnote w:id="179">
    <w:p w:rsidR="00E0371E" w:rsidRPr="002504EB" w:rsidRDefault="00E0371E" w:rsidP="002504EB">
      <w:pPr>
        <w:jc w:val="both"/>
        <w:rPr>
          <w:sz w:val="20"/>
          <w:szCs w:val="20"/>
        </w:rPr>
      </w:pPr>
      <w:r w:rsidRPr="0010649C">
        <w:rPr>
          <w:rStyle w:val="Puslapioinaosnuoroda"/>
          <w:sz w:val="20"/>
          <w:szCs w:val="20"/>
        </w:rPr>
        <w:footnoteRef/>
      </w:r>
      <w:r w:rsidRPr="0010649C">
        <w:rPr>
          <w:sz w:val="20"/>
          <w:szCs w:val="20"/>
        </w:rPr>
        <w:t xml:space="preserve">Girdauskas, M. Teismo įgaliojimų keisti inkriminuojamos veikos kvalifikavimą griežtesniu suderinamumas su konstituciniais baudžiamojo proceso tikslais ir principais. </w:t>
      </w:r>
      <w:r w:rsidRPr="0010649C">
        <w:rPr>
          <w:i/>
          <w:sz w:val="20"/>
          <w:szCs w:val="20"/>
        </w:rPr>
        <w:t>Teisė.</w:t>
      </w:r>
      <w:r w:rsidRPr="0010649C">
        <w:rPr>
          <w:sz w:val="20"/>
          <w:szCs w:val="20"/>
        </w:rPr>
        <w:t xml:space="preserve"> 2013, 88: 144-163. Girdauskas, M. Teismo kompetencija keisti inkriminuojamos veikos kvalifikaciją. Žmogaus teisių ir pagrindinių laisvių apsaugos konvencijos reikalavimai. </w:t>
      </w:r>
      <w:r w:rsidRPr="0010649C">
        <w:rPr>
          <w:i/>
          <w:sz w:val="20"/>
          <w:szCs w:val="20"/>
        </w:rPr>
        <w:t>Teisės problemos.</w:t>
      </w:r>
      <w:r w:rsidRPr="0010649C">
        <w:rPr>
          <w:sz w:val="20"/>
          <w:szCs w:val="20"/>
        </w:rPr>
        <w:t xml:space="preserve"> 2005, 1 (47): 26-61. Girdauskas, M. Teismo kompetencija keisti inkriminuojamos veikos kvalifikavimą. </w:t>
      </w:r>
      <w:r w:rsidRPr="0010649C">
        <w:rPr>
          <w:i/>
          <w:sz w:val="20"/>
          <w:szCs w:val="20"/>
        </w:rPr>
        <w:t>Teisės problemos.</w:t>
      </w:r>
      <w:r w:rsidRPr="0010649C">
        <w:rPr>
          <w:sz w:val="20"/>
          <w:szCs w:val="20"/>
        </w:rPr>
        <w:t xml:space="preserve"> 2009, 3 (65): 79-133. Girdauskas, M. Teismo kompetencija keisti inkriminuojamos veikos kvalifikavimą: Konstitucijos reinterpretavimo prielaidos. </w:t>
      </w:r>
      <w:r w:rsidRPr="0010649C">
        <w:rPr>
          <w:i/>
          <w:sz w:val="20"/>
          <w:szCs w:val="20"/>
        </w:rPr>
        <w:t>Teisės problemos.</w:t>
      </w:r>
      <w:r w:rsidRPr="0010649C">
        <w:rPr>
          <w:sz w:val="20"/>
          <w:szCs w:val="20"/>
        </w:rPr>
        <w:t xml:space="preserve"> 2014, 91: 154-171. Girdauskas, M. Teismo kompetencija keisti inkriminuojamos veikos kvalifikavimą: Konstitucijos reinterpretavimo prielaidų paieška. </w:t>
      </w:r>
      <w:r w:rsidRPr="0010649C">
        <w:rPr>
          <w:i/>
          <w:sz w:val="20"/>
          <w:szCs w:val="20"/>
        </w:rPr>
        <w:t>Teisės problemos.</w:t>
      </w:r>
      <w:r>
        <w:rPr>
          <w:sz w:val="20"/>
          <w:szCs w:val="20"/>
        </w:rPr>
        <w:t xml:space="preserve"> 2014, 90: 126-141. </w:t>
      </w:r>
    </w:p>
  </w:footnote>
  <w:footnote w:id="180">
    <w:p w:rsidR="00E0371E" w:rsidRDefault="00E0371E" w:rsidP="00D149E5">
      <w:pPr>
        <w:pStyle w:val="Puslapioinaostekstas"/>
        <w:jc w:val="both"/>
      </w:pPr>
      <w:r>
        <w:rPr>
          <w:rStyle w:val="Puslapioinaosnuoroda"/>
        </w:rPr>
        <w:footnoteRef/>
      </w:r>
      <w:r w:rsidRPr="00D149E5">
        <w:t xml:space="preserve">Lietuvos Respublikos baudžiamojo kodekso patvirtinimo ir įsigaliojimo įstatymas. Baudžiamasis kodeksas. </w:t>
      </w:r>
      <w:r w:rsidRPr="00D149E5">
        <w:rPr>
          <w:i/>
        </w:rPr>
        <w:t>Valstybės žinios</w:t>
      </w:r>
      <w:r w:rsidRPr="00D149E5">
        <w:t>. 2000, Nr. 89-2741.</w:t>
      </w:r>
    </w:p>
  </w:footnote>
  <w:footnote w:id="181">
    <w:p w:rsidR="00E0371E" w:rsidRDefault="00E0371E" w:rsidP="00274D82">
      <w:pPr>
        <w:pStyle w:val="Puslapioinaostekstas"/>
        <w:jc w:val="both"/>
      </w:pPr>
      <w:r>
        <w:rPr>
          <w:rStyle w:val="Puslapioinaosnuoroda"/>
        </w:rPr>
        <w:footnoteRef/>
      </w:r>
      <w:r>
        <w:t xml:space="preserve">Piesliakas, V. </w:t>
      </w:r>
      <w:r w:rsidRPr="00F5445B">
        <w:rPr>
          <w:i/>
        </w:rPr>
        <w:t>Lietuvos baudžiamoji teisė</w:t>
      </w:r>
      <w:r>
        <w:t>. I knyga. 2-oji pataisyta ir papildyta laida. Vilnius: Justitia, 2009, p. 116-117.</w:t>
      </w:r>
    </w:p>
  </w:footnote>
  <w:footnote w:id="182">
    <w:p w:rsidR="00E0371E" w:rsidRDefault="00E0371E" w:rsidP="00274D82">
      <w:pPr>
        <w:pStyle w:val="Puslapioinaostekstas"/>
        <w:jc w:val="both"/>
      </w:pPr>
      <w:r>
        <w:rPr>
          <w:rStyle w:val="Puslapioinaosnuoroda"/>
        </w:rPr>
        <w:footnoteRef/>
      </w:r>
      <w:r w:rsidRPr="00B262A3">
        <w:t xml:space="preserve">Asmens, nukentėjusio nuo nusikalstamos veikos, </w:t>
      </w:r>
      <w:r>
        <w:t>nagrinė</w:t>
      </w:r>
      <w:r w:rsidRPr="00B262A3">
        <w:t xml:space="preserve">jamos </w:t>
      </w:r>
      <w:r>
        <w:t>privačiai viešo</w:t>
      </w:r>
      <w:r w:rsidRPr="00B262A3">
        <w:t xml:space="preserve"> kaltinimo tvarka, teisė, kad be jo pareiškimo nebūtų pradedamas ikiteisminis tyrimas, yra procesinio dispozityvumo baudžiamajame procese apraiška</w:t>
      </w:r>
      <w:r>
        <w:t>. Privačiai viešo</w:t>
      </w:r>
      <w:r w:rsidRPr="00B262A3">
        <w:t xml:space="preserve"> kaltinimo bylose nukentėjusysis nėra materialaus dispozityvumo subjektas, nes neturi galimybės disponuoti baudžiamojo proceso dalyku – kaltinimu.</w:t>
      </w:r>
      <w:r>
        <w:t xml:space="preserve"> </w:t>
      </w:r>
      <w:r w:rsidRPr="0073081A">
        <w:t xml:space="preserve">Dikarev, I. S. </w:t>
      </w:r>
      <w:r w:rsidRPr="0073081A">
        <w:rPr>
          <w:i/>
        </w:rPr>
        <w:t xml:space="preserve">Dispozitivnost v ugolovnom processe </w:t>
      </w:r>
      <w:r w:rsidRPr="00A404A5">
        <w:t>[Dispositiveness in Criminal Procedure]</w:t>
      </w:r>
      <w:r w:rsidRPr="0073081A">
        <w:rPr>
          <w:i/>
        </w:rPr>
        <w:t xml:space="preserve">. </w:t>
      </w:r>
      <w:r w:rsidRPr="0073081A">
        <w:t xml:space="preserve">Daktaro disertacija. </w:t>
      </w:r>
      <w:r w:rsidRPr="0073081A">
        <w:rPr>
          <w:color w:val="000033"/>
        </w:rPr>
        <w:t>Socialiniai mokslai (teisė). Volgograd</w:t>
      </w:r>
      <w:r w:rsidRPr="0073081A">
        <w:t>, 2005</w:t>
      </w:r>
      <w:r w:rsidRPr="008E6E93">
        <w:t xml:space="preserve">, p. </w:t>
      </w:r>
      <w:r>
        <w:t>48-</w:t>
      </w:r>
      <w:r w:rsidRPr="008E6E93">
        <w:t>49.</w:t>
      </w:r>
    </w:p>
  </w:footnote>
  <w:footnote w:id="183">
    <w:p w:rsidR="00E0371E" w:rsidRDefault="00E0371E" w:rsidP="005E6527">
      <w:pPr>
        <w:pStyle w:val="Puslapioinaostekstas"/>
        <w:jc w:val="both"/>
      </w:pPr>
      <w:r>
        <w:rPr>
          <w:rStyle w:val="Puslapioinaosnuoroda"/>
        </w:rPr>
        <w:footnoteRef/>
      </w:r>
      <w:r>
        <w:t xml:space="preserve">Muradjan, E. M. </w:t>
      </w:r>
      <w:r w:rsidRPr="00AF31D6">
        <w:rPr>
          <w:i/>
        </w:rPr>
        <w:t xml:space="preserve">Istina kak problema sudebnogo prava </w:t>
      </w:r>
      <w:r w:rsidRPr="00A404A5">
        <w:t>[Truth as a Problem of Judicial Law]</w:t>
      </w:r>
      <w:r>
        <w:t xml:space="preserve">. </w:t>
      </w:r>
      <w:r>
        <w:rPr>
          <w:color w:val="000033"/>
        </w:rPr>
        <w:t>Moskva: Jurist,</w:t>
      </w:r>
      <w:r w:rsidRPr="00A42945">
        <w:rPr>
          <w:color w:val="000033"/>
        </w:rPr>
        <w:t> 2004,</w:t>
      </w:r>
      <w:r>
        <w:rPr>
          <w:color w:val="000033"/>
        </w:rPr>
        <w:t xml:space="preserve"> </w:t>
      </w:r>
      <w:r>
        <w:t>p. 28.</w:t>
      </w:r>
    </w:p>
  </w:footnote>
  <w:footnote w:id="184">
    <w:p w:rsidR="00E0371E" w:rsidRDefault="00E0371E" w:rsidP="00274D82">
      <w:pPr>
        <w:pStyle w:val="Puslapioinaostekstas"/>
        <w:jc w:val="both"/>
      </w:pPr>
      <w:r>
        <w:rPr>
          <w:rStyle w:val="Puslapioinaosnuoroda"/>
        </w:rPr>
        <w:footnoteRef/>
      </w:r>
      <w:r>
        <w:t xml:space="preserve">Von </w:t>
      </w:r>
      <w:r w:rsidRPr="00886693">
        <w:rPr>
          <w:color w:val="000033"/>
        </w:rPr>
        <w:t>Jhering, R</w:t>
      </w:r>
      <w:r>
        <w:rPr>
          <w:color w:val="000033"/>
        </w:rPr>
        <w:t>.</w:t>
      </w:r>
      <w:r w:rsidRPr="00886693">
        <w:rPr>
          <w:color w:val="000033"/>
        </w:rPr>
        <w:t> </w:t>
      </w:r>
      <w:r w:rsidRPr="007757C3">
        <w:rPr>
          <w:i/>
          <w:color w:val="000033"/>
        </w:rPr>
        <w:t>Der Zweck im Recht</w:t>
      </w:r>
      <w:r>
        <w:rPr>
          <w:color w:val="000033"/>
        </w:rPr>
        <w:t>.</w:t>
      </w:r>
      <w:r w:rsidRPr="00886693">
        <w:rPr>
          <w:color w:val="000033"/>
        </w:rPr>
        <w:t xml:space="preserve"> Hildesheim</w:t>
      </w:r>
      <w:r>
        <w:rPr>
          <w:color w:val="000033"/>
        </w:rPr>
        <w:t>, New York: Georg Olms;  Wiesbaden</w:t>
      </w:r>
      <w:r w:rsidRPr="00886693">
        <w:rPr>
          <w:color w:val="000033"/>
        </w:rPr>
        <w:t>: Breitkopf &amp; Härtel, 1970</w:t>
      </w:r>
      <w:r w:rsidRPr="00EC65E0">
        <w:t xml:space="preserve">, </w:t>
      </w:r>
      <w:r>
        <w:t>p. 12.</w:t>
      </w:r>
    </w:p>
  </w:footnote>
  <w:footnote w:id="185">
    <w:p w:rsidR="00E0371E" w:rsidRPr="00A42945" w:rsidRDefault="00E0371E" w:rsidP="00274D82">
      <w:pPr>
        <w:pStyle w:val="Puslapioinaostekstas"/>
        <w:jc w:val="both"/>
      </w:pPr>
      <w:r>
        <w:rPr>
          <w:rStyle w:val="Puslapioinaosnuoroda"/>
        </w:rPr>
        <w:footnoteRef/>
      </w:r>
      <w:r w:rsidRPr="0073081A">
        <w:t xml:space="preserve">Dikarev, I. S. </w:t>
      </w:r>
      <w:r w:rsidRPr="0073081A">
        <w:rPr>
          <w:i/>
        </w:rPr>
        <w:t xml:space="preserve">Dispozitivnost v ugolovnom processe </w:t>
      </w:r>
      <w:r w:rsidRPr="00A404A5">
        <w:t>[Dispositiveness in Criminal Procedure]</w:t>
      </w:r>
      <w:r w:rsidRPr="0073081A">
        <w:rPr>
          <w:i/>
        </w:rPr>
        <w:t xml:space="preserve">. </w:t>
      </w:r>
      <w:r w:rsidRPr="0073081A">
        <w:t xml:space="preserve"> Daktaro disertacija. </w:t>
      </w:r>
      <w:r w:rsidRPr="0073081A">
        <w:rPr>
          <w:color w:val="000033"/>
        </w:rPr>
        <w:t>Socialiniai mokslai (teisė). Volgograd</w:t>
      </w:r>
      <w:r w:rsidRPr="0073081A">
        <w:t>, 2005</w:t>
      </w:r>
      <w:r w:rsidRPr="00A42945">
        <w:t>, p. 49</w:t>
      </w:r>
      <w:r>
        <w:t>.</w:t>
      </w:r>
    </w:p>
  </w:footnote>
  <w:footnote w:id="186">
    <w:p w:rsidR="00E0371E" w:rsidRDefault="00E0371E" w:rsidP="00274D82">
      <w:pPr>
        <w:pStyle w:val="Betarp"/>
        <w:jc w:val="both"/>
      </w:pPr>
      <w:r>
        <w:rPr>
          <w:rStyle w:val="Puslapioinaosnuoroda"/>
        </w:rPr>
        <w:footnoteRef/>
      </w:r>
      <w:r w:rsidRPr="006A5F2C">
        <w:rPr>
          <w:sz w:val="20"/>
          <w:szCs w:val="20"/>
        </w:rPr>
        <w:t xml:space="preserve">Tačiau net civiliniame procese šios nuostatos nereikia suabsoliutinti. Negalima dispozityvumo principo nagrinėti kaip besąlygiško ir neginčytino proceso prado, išeinančio iš civilinių teisių esmės ir neleidžiančio nukrypimų be suinteresuotų šalių valios. </w:t>
      </w:r>
      <w:r>
        <w:rPr>
          <w:sz w:val="20"/>
          <w:szCs w:val="20"/>
        </w:rPr>
        <w:t>Jei</w:t>
      </w:r>
      <w:r w:rsidRPr="006A5F2C">
        <w:rPr>
          <w:sz w:val="20"/>
          <w:szCs w:val="20"/>
        </w:rPr>
        <w:t xml:space="preserve"> teisės turėtojas kreipėsi į teismą, tai jis yra saistomas struktūros</w:t>
      </w:r>
      <w:r w:rsidRPr="0010649C">
        <w:rPr>
          <w:sz w:val="20"/>
          <w:szCs w:val="20"/>
        </w:rPr>
        <w:t xml:space="preserve"> </w:t>
      </w:r>
      <w:r w:rsidRPr="006A5F2C">
        <w:rPr>
          <w:sz w:val="20"/>
          <w:szCs w:val="20"/>
        </w:rPr>
        <w:t>proceso,</w:t>
      </w:r>
      <w:r>
        <w:rPr>
          <w:sz w:val="20"/>
          <w:szCs w:val="20"/>
        </w:rPr>
        <w:t xml:space="preserve"> kuris</w:t>
      </w:r>
      <w:r w:rsidRPr="006A5F2C">
        <w:rPr>
          <w:sz w:val="20"/>
          <w:szCs w:val="20"/>
        </w:rPr>
        <w:t xml:space="preserve"> sukurt</w:t>
      </w:r>
      <w:r>
        <w:rPr>
          <w:sz w:val="20"/>
          <w:szCs w:val="20"/>
        </w:rPr>
        <w:t>as ginti ne tik jo asmeniniu</w:t>
      </w:r>
      <w:r w:rsidRPr="006A5F2C">
        <w:rPr>
          <w:sz w:val="20"/>
          <w:szCs w:val="20"/>
        </w:rPr>
        <w:t>s interes</w:t>
      </w:r>
      <w:r>
        <w:rPr>
          <w:sz w:val="20"/>
          <w:szCs w:val="20"/>
        </w:rPr>
        <w:t>u</w:t>
      </w:r>
      <w:r w:rsidRPr="006A5F2C">
        <w:rPr>
          <w:sz w:val="20"/>
          <w:szCs w:val="20"/>
        </w:rPr>
        <w:t>s, bet ir visos valstybės interes</w:t>
      </w:r>
      <w:r>
        <w:rPr>
          <w:sz w:val="20"/>
          <w:szCs w:val="20"/>
        </w:rPr>
        <w:t>u</w:t>
      </w:r>
      <w:r w:rsidRPr="006A5F2C">
        <w:rPr>
          <w:sz w:val="20"/>
          <w:szCs w:val="20"/>
        </w:rPr>
        <w:t xml:space="preserve">s, kurie reikalauja, kad procesas </w:t>
      </w:r>
      <w:r>
        <w:rPr>
          <w:sz w:val="20"/>
          <w:szCs w:val="20"/>
        </w:rPr>
        <w:t>užtikrin</w:t>
      </w:r>
      <w:r w:rsidRPr="006A5F2C">
        <w:rPr>
          <w:sz w:val="20"/>
          <w:szCs w:val="20"/>
        </w:rPr>
        <w:t>tų teisin</w:t>
      </w:r>
      <w:r>
        <w:rPr>
          <w:sz w:val="20"/>
          <w:szCs w:val="20"/>
        </w:rPr>
        <w:t>ę tvarką ir teisingumą</w:t>
      </w:r>
      <w:r w:rsidRPr="006A5F2C">
        <w:rPr>
          <w:sz w:val="20"/>
          <w:szCs w:val="20"/>
        </w:rPr>
        <w:t xml:space="preserve">. </w:t>
      </w:r>
    </w:p>
  </w:footnote>
  <w:footnote w:id="187">
    <w:p w:rsidR="00E0371E" w:rsidRPr="00372692" w:rsidRDefault="00E0371E" w:rsidP="00274D82">
      <w:pPr>
        <w:pStyle w:val="Puslapioinaostekstas"/>
        <w:jc w:val="both"/>
      </w:pPr>
      <w:r w:rsidRPr="00A42945">
        <w:rPr>
          <w:rStyle w:val="Puslapioinaosnuoroda"/>
        </w:rPr>
        <w:footnoteRef/>
      </w:r>
      <w:r w:rsidRPr="00372692">
        <w:rPr>
          <w:i/>
        </w:rPr>
        <w:t>Lietuvos Respublikos civilinio proceso kodekso komentaras</w:t>
      </w:r>
      <w:r w:rsidRPr="00372692">
        <w:t>.  </w:t>
      </w:r>
      <w:r w:rsidRPr="00372692">
        <w:rPr>
          <w:i/>
        </w:rPr>
        <w:t>I dalis. Bendrosios nuostatos.</w:t>
      </w:r>
      <w:r>
        <w:t xml:space="preserve">  </w:t>
      </w:r>
      <w:r w:rsidRPr="00372692">
        <w:rPr>
          <w:color w:val="000033"/>
        </w:rPr>
        <w:t>Vilnius: Justitia, 2004</w:t>
      </w:r>
      <w:r w:rsidRPr="00372692">
        <w:t>, p. 84</w:t>
      </w:r>
      <w:r>
        <w:t>.</w:t>
      </w:r>
    </w:p>
  </w:footnote>
  <w:footnote w:id="188">
    <w:p w:rsidR="00E0371E" w:rsidRPr="000469C6" w:rsidRDefault="00E0371E" w:rsidP="00274D82">
      <w:pPr>
        <w:jc w:val="both"/>
        <w:rPr>
          <w:sz w:val="20"/>
          <w:szCs w:val="20"/>
        </w:rPr>
      </w:pPr>
      <w:r>
        <w:rPr>
          <w:rStyle w:val="Puslapioinaosnuoroda"/>
        </w:rPr>
        <w:footnoteRef/>
      </w:r>
      <w:r w:rsidRPr="000469C6">
        <w:rPr>
          <w:sz w:val="20"/>
          <w:szCs w:val="20"/>
        </w:rPr>
        <w:t>Baranskaitė, A</w:t>
      </w:r>
      <w:r>
        <w:rPr>
          <w:sz w:val="20"/>
          <w:szCs w:val="20"/>
        </w:rPr>
        <w:t xml:space="preserve">. </w:t>
      </w:r>
      <w:r w:rsidRPr="0050737D">
        <w:rPr>
          <w:i/>
          <w:sz w:val="20"/>
          <w:szCs w:val="20"/>
        </w:rPr>
        <w:t>Taikos sutartis baudžiamojoje teisėje: atleidimas nuo baudžiamosios atsakomybės kaltininkui ir nukentėjusiajam susitaikius</w:t>
      </w:r>
      <w:r w:rsidRPr="000469C6">
        <w:rPr>
          <w:sz w:val="20"/>
          <w:szCs w:val="20"/>
        </w:rPr>
        <w:t>. Vilnius: Teisinė</w:t>
      </w:r>
      <w:r>
        <w:rPr>
          <w:sz w:val="20"/>
          <w:szCs w:val="20"/>
        </w:rPr>
        <w:t>s informacijos centras, 2007, p</w:t>
      </w:r>
      <w:r w:rsidRPr="000469C6">
        <w:rPr>
          <w:sz w:val="20"/>
          <w:szCs w:val="20"/>
        </w:rPr>
        <w:t>. 50</w:t>
      </w:r>
      <w:r>
        <w:rPr>
          <w:sz w:val="20"/>
          <w:szCs w:val="20"/>
        </w:rPr>
        <w:t>.</w:t>
      </w:r>
    </w:p>
  </w:footnote>
  <w:footnote w:id="189">
    <w:p w:rsidR="00E0371E" w:rsidRDefault="00E0371E" w:rsidP="00274D82">
      <w:pPr>
        <w:pStyle w:val="Puslapioinaostekstas"/>
        <w:jc w:val="both"/>
      </w:pPr>
      <w:r>
        <w:rPr>
          <w:rStyle w:val="Puslapioinaosnuoroda"/>
        </w:rPr>
        <w:footnoteRef/>
      </w:r>
      <w:r w:rsidRPr="003038C8">
        <w:t>Lietuvos Respublikos Konstitucinio Teismo 1</w:t>
      </w:r>
      <w:r>
        <w:t xml:space="preserve">995 m. gruodžio 22 d. nutarimas. </w:t>
      </w:r>
      <w:r w:rsidRPr="0009328D">
        <w:rPr>
          <w:i/>
        </w:rPr>
        <w:t>Valstybės žinios</w:t>
      </w:r>
      <w:r w:rsidRPr="005D38AF">
        <w:t>. 1995, Nr. 106-2381.</w:t>
      </w:r>
    </w:p>
  </w:footnote>
  <w:footnote w:id="190">
    <w:p w:rsidR="00E0371E" w:rsidRDefault="00E0371E" w:rsidP="00274D82">
      <w:pPr>
        <w:pStyle w:val="Puslapioinaostekstas"/>
        <w:jc w:val="both"/>
      </w:pPr>
      <w:r>
        <w:rPr>
          <w:rStyle w:val="Puslapioinaosnuoroda"/>
        </w:rPr>
        <w:footnoteRef/>
      </w:r>
      <w:r w:rsidRPr="00B76D96">
        <w:rPr>
          <w:rFonts w:ascii="TimesNewRomanPSMT" w:hAnsi="TimesNewRomanPSMT" w:cs="TimesNewRomanPSMT"/>
        </w:rPr>
        <w:t xml:space="preserve">Privataus kaltinimo skeptikai teigia, kad valstybė, kurios teisinė sistema priklauso nuo privačios iniciatyvos, nevykdo vienos iš svarbiausių savo pareigų, t.y. </w:t>
      </w:r>
      <w:r>
        <w:rPr>
          <w:rFonts w:ascii="TimesNewRomanPSMT" w:hAnsi="TimesNewRomanPSMT" w:cs="TimesNewRomanPSMT"/>
        </w:rPr>
        <w:t>apsaugos</w:t>
      </w:r>
      <w:r w:rsidRPr="00B76D96">
        <w:rPr>
          <w:rFonts w:ascii="TimesNewRomanPSMT" w:hAnsi="TimesNewRomanPSMT" w:cs="TimesNewRomanPSMT"/>
        </w:rPr>
        <w:t xml:space="preserve"> nuo nusikalstamų veikų užtikrinimo. </w:t>
      </w:r>
      <w:r>
        <w:rPr>
          <w:rFonts w:ascii="TimesNewRomanPSMT" w:hAnsi="TimesNewRomanPSMT" w:cs="TimesNewRomanPSMT"/>
        </w:rPr>
        <w:t>Teigiama, kad a</w:t>
      </w:r>
      <w:r w:rsidRPr="00B76D96">
        <w:rPr>
          <w:rFonts w:ascii="TimesNewRomanPSMT" w:hAnsi="TimesNewRomanPSMT" w:cs="TimesNewRomanPSMT"/>
        </w:rPr>
        <w:t>tsakas į nusikalstamą veiką turi būti vienodas, numatomas iš anksto ir ne</w:t>
      </w:r>
      <w:r>
        <w:rPr>
          <w:rFonts w:ascii="TimesNewRomanPSMT" w:hAnsi="TimesNewRomanPSMT" w:cs="TimesNewRomanPSMT"/>
        </w:rPr>
        <w:t>išvengiam</w:t>
      </w:r>
      <w:r w:rsidRPr="00B76D96">
        <w:rPr>
          <w:rFonts w:ascii="TimesNewRomanPSMT" w:hAnsi="TimesNewRomanPSMT" w:cs="TimesNewRomanPSMT"/>
        </w:rPr>
        <w:t>as. Piliečio teisė į saugumą atitinka valstybės institucijų pareigą tinkamai vykdyti savo funkcijas. Demokratinė valstybė turi prisiimti pareigą panaudoti visus būtinus išteklius (</w:t>
      </w:r>
      <w:r w:rsidRPr="00B76D96">
        <w:rPr>
          <w:rFonts w:ascii="TimesNewRomanPSMT" w:hAnsi="TimesNewRomanPSMT" w:cs="TimesNewRomanPSMT"/>
          <w:i/>
        </w:rPr>
        <w:t>inter alia</w:t>
      </w:r>
      <w:r w:rsidRPr="00B76D96">
        <w:rPr>
          <w:rFonts w:ascii="TimesNewRomanPSMT" w:hAnsi="TimesNewRomanPSMT" w:cs="TimesNewRomanPSMT"/>
        </w:rPr>
        <w:t xml:space="preserve"> baudžiamąjį persekiojimą) at</w:t>
      </w:r>
      <w:r>
        <w:rPr>
          <w:rFonts w:ascii="TimesNewRomanPSMT" w:hAnsi="TimesNewRomanPSMT" w:cs="TimesNewRomanPSMT"/>
        </w:rPr>
        <w:t>kur</w:t>
      </w:r>
      <w:r w:rsidRPr="00B76D96">
        <w:rPr>
          <w:rFonts w:ascii="TimesNewRomanPSMT" w:hAnsi="TimesNewRomanPSMT" w:cs="TimesNewRomanPSMT"/>
        </w:rPr>
        <w:t xml:space="preserve">ti socialinę taiką, kuri buvo pažeista kėsinimusi į jos ginamus teisinius gėrius. </w:t>
      </w:r>
      <w:r>
        <w:t xml:space="preserve">Perez Gil, J. </w:t>
      </w:r>
      <w:r w:rsidRPr="00B56034">
        <w:rPr>
          <w:i/>
        </w:rPr>
        <w:t>La acusación popular</w:t>
      </w:r>
      <w:r>
        <w:t>. Granada: Editorial Comares, 1998, p. 328.</w:t>
      </w:r>
    </w:p>
  </w:footnote>
  <w:footnote w:id="191">
    <w:p w:rsidR="00E0371E" w:rsidRDefault="00E0371E" w:rsidP="00274D82">
      <w:pPr>
        <w:pStyle w:val="Puslapioinaostekstas"/>
        <w:jc w:val="both"/>
      </w:pPr>
      <w:r>
        <w:rPr>
          <w:rStyle w:val="Puslapioinaosnuoroda"/>
        </w:rPr>
        <w:footnoteRef/>
      </w:r>
      <w:r w:rsidRPr="00BF69D5">
        <w:t>Ažubalytė, R</w:t>
      </w:r>
      <w:r>
        <w:t xml:space="preserve">., Jurgaitis, R., Zajančkauskienė, J. </w:t>
      </w:r>
      <w:r w:rsidRPr="00BA6F3D">
        <w:rPr>
          <w:i/>
        </w:rPr>
        <w:t>Spec</w:t>
      </w:r>
      <w:r>
        <w:rPr>
          <w:i/>
        </w:rPr>
        <w:t>ifinės baudžiamojo proceso rūšys:</w:t>
      </w:r>
      <w:r w:rsidRPr="00BA6F3D">
        <w:rPr>
          <w:i/>
        </w:rPr>
        <w:t xml:space="preserve"> vadovėlis</w:t>
      </w:r>
      <w:r>
        <w:t>.</w:t>
      </w:r>
      <w:r w:rsidRPr="00BF69D5">
        <w:t xml:space="preserve"> Vilnius: Mykolo Romerio universitetas, 2011</w:t>
      </w:r>
      <w:r>
        <w:t xml:space="preserve">, p. 119-179. </w:t>
      </w:r>
      <w:r w:rsidRPr="00060BF2">
        <w:t xml:space="preserve">Rustamov, </w:t>
      </w:r>
      <w:r>
        <w:t>Kh</w:t>
      </w:r>
      <w:r w:rsidRPr="00060BF2">
        <w:t>.</w:t>
      </w:r>
      <w:r>
        <w:t xml:space="preserve"> U</w:t>
      </w:r>
      <w:r w:rsidRPr="00060BF2">
        <w:t xml:space="preserve">. </w:t>
      </w:r>
      <w:r w:rsidRPr="00B52D29">
        <w:rPr>
          <w:i/>
        </w:rPr>
        <w:t>Ugolovnyj process – formy</w:t>
      </w:r>
      <w:r>
        <w:t xml:space="preserve"> [Criminal Procedure – Forms]</w:t>
      </w:r>
      <w:r w:rsidRPr="00060BF2">
        <w:t>. Moskva</w:t>
      </w:r>
      <w:r>
        <w:t>: Juni-ti</w:t>
      </w:r>
      <w:r w:rsidRPr="00060BF2">
        <w:t>, 1998</w:t>
      </w:r>
      <w:r>
        <w:t>, p. 303-304.</w:t>
      </w:r>
      <w:r w:rsidRPr="00060BF2">
        <w:t xml:space="preserve"> </w:t>
      </w:r>
      <w:r>
        <w:t xml:space="preserve">Jurgaitis, R. </w:t>
      </w:r>
      <w:r w:rsidRPr="00733CEA">
        <w:rPr>
          <w:i/>
        </w:rPr>
        <w:t>Supaprastinta baudžiamoji procesinė forma</w:t>
      </w:r>
      <w:r>
        <w:t>. Daktaro disertacija. Socialiniai mokslai (teisė). Vilnius: Lietuvos teisės universitetas, 2004, p.15.</w:t>
      </w:r>
    </w:p>
  </w:footnote>
  <w:footnote w:id="192">
    <w:p w:rsidR="00E0371E" w:rsidRDefault="00E0371E" w:rsidP="0062366B">
      <w:pPr>
        <w:pStyle w:val="Puslapioinaostekstas"/>
        <w:jc w:val="both"/>
      </w:pPr>
      <w:r>
        <w:rPr>
          <w:rStyle w:val="Puslapioinaosnuoroda"/>
        </w:rPr>
        <w:footnoteRef/>
      </w:r>
      <w:r w:rsidRPr="00531902">
        <w:t xml:space="preserve">Lietuvos Respublikos Konstitucinio Teismo </w:t>
      </w:r>
      <w:r>
        <w:t>2006 m. sausio 16 d. nutarimas</w:t>
      </w:r>
      <w:r w:rsidRPr="00531902">
        <w:t xml:space="preserve">. </w:t>
      </w:r>
      <w:r w:rsidRPr="0009328D">
        <w:rPr>
          <w:i/>
        </w:rPr>
        <w:t>Valstybės žinios</w:t>
      </w:r>
      <w:r>
        <w:t>. 2006, Nr. 7-254.</w:t>
      </w:r>
    </w:p>
  </w:footnote>
  <w:footnote w:id="193">
    <w:p w:rsidR="00E0371E" w:rsidRPr="009A4821" w:rsidRDefault="00E0371E" w:rsidP="0062366B">
      <w:pPr>
        <w:pStyle w:val="Puslapioinaostekstas"/>
        <w:jc w:val="both"/>
      </w:pPr>
      <w:r>
        <w:rPr>
          <w:rStyle w:val="Puslapioinaosnuoroda"/>
        </w:rPr>
        <w:footnoteRef/>
      </w:r>
      <w:r>
        <w:t xml:space="preserve">Juzukonis, S. </w:t>
      </w:r>
      <w:r w:rsidRPr="001B4562">
        <w:rPr>
          <w:i/>
        </w:rPr>
        <w:t>Nukentėjusiojo teisių apsauga baudžiamajame procese</w:t>
      </w:r>
      <w:r>
        <w:t>. Daktaro disertacija.</w:t>
      </w:r>
      <w:r w:rsidRPr="001B4562">
        <w:t xml:space="preserve"> </w:t>
      </w:r>
      <w:r>
        <w:t>S</w:t>
      </w:r>
      <w:r w:rsidRPr="001B4562">
        <w:t xml:space="preserve">ocialiniai mokslai </w:t>
      </w:r>
      <w:r>
        <w:t>(</w:t>
      </w:r>
      <w:r w:rsidRPr="001B4562">
        <w:t>teisė)</w:t>
      </w:r>
      <w:r>
        <w:t>.</w:t>
      </w:r>
      <w:r w:rsidRPr="001B4562">
        <w:t xml:space="preserve"> </w:t>
      </w:r>
      <w:r>
        <w:t>Vilnius: Lietuvos teisės universitetas</w:t>
      </w:r>
      <w:r w:rsidRPr="001B4562">
        <w:t>, 2002</w:t>
      </w:r>
      <w:r>
        <w:t xml:space="preserve">, p. 92–98. </w:t>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Prosecut</w:t>
      </w:r>
      <w:r w:rsidRPr="00B56034">
        <w:t>ion]</w:t>
      </w:r>
      <w:r w:rsidRPr="00B56034">
        <w:rPr>
          <w:sz w:val="16"/>
        </w:rPr>
        <w:t>.</w:t>
      </w:r>
      <w:r>
        <w:rPr>
          <w:sz w:val="16"/>
        </w:rPr>
        <w:t xml:space="preserve"> </w:t>
      </w:r>
      <w:r w:rsidRPr="00DF7E16">
        <w:rPr>
          <w:color w:val="000033"/>
        </w:rPr>
        <w:t>D</w:t>
      </w:r>
      <w:r>
        <w:rPr>
          <w:color w:val="000033"/>
        </w:rPr>
        <w:t>aktaro disertacija.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Samara, 2004</w:t>
      </w:r>
      <w:r w:rsidRPr="004228EF">
        <w:t>.</w:t>
      </w:r>
    </w:p>
  </w:footnote>
  <w:footnote w:id="194">
    <w:p w:rsidR="00E0371E" w:rsidRDefault="00E0371E" w:rsidP="0062366B">
      <w:pPr>
        <w:pStyle w:val="Puslapioinaostekstas"/>
        <w:jc w:val="both"/>
      </w:pPr>
      <w:r>
        <w:rPr>
          <w:rStyle w:val="Puslapioinaosnuoroda"/>
        </w:rPr>
        <w:footnoteRef/>
      </w:r>
      <w:r>
        <w:t xml:space="preserve">Tak, P. East Meets West. Aspects of Prosecution in Countries in Transition. </w:t>
      </w:r>
      <w:r w:rsidRPr="0049603A">
        <w:rPr>
          <w:i/>
        </w:rPr>
        <w:t>European Journal of Crime, Criminal Law and Criminal Justice</w:t>
      </w:r>
      <w:r>
        <w:t>. 1999, 7(4): 412-432.</w:t>
      </w:r>
    </w:p>
  </w:footnote>
  <w:footnote w:id="195">
    <w:p w:rsidR="00E0371E" w:rsidRPr="00733CEA" w:rsidRDefault="00E0371E" w:rsidP="00274D82">
      <w:pPr>
        <w:jc w:val="both"/>
        <w:rPr>
          <w:b/>
          <w:sz w:val="20"/>
          <w:szCs w:val="20"/>
          <w:lang w:val="pt-BR"/>
        </w:rPr>
      </w:pPr>
      <w:r w:rsidRPr="00465500">
        <w:rPr>
          <w:rStyle w:val="Puslapioinaosnuoroda"/>
          <w:sz w:val="20"/>
          <w:szCs w:val="20"/>
        </w:rPr>
        <w:footnoteRef/>
      </w:r>
      <w:r w:rsidRPr="00733CEA">
        <w:rPr>
          <w:sz w:val="20"/>
          <w:szCs w:val="20"/>
        </w:rPr>
        <w:t xml:space="preserve">Ažubalytė, R. Nukentėjusio nuo nusikalstamos veikos asmens teisė kreiptis į teismą kaip teisminės gynybos realizavimo baudžiamajame procese prielaida. </w:t>
      </w:r>
      <w:r w:rsidRPr="00733CEA">
        <w:rPr>
          <w:i/>
          <w:sz w:val="20"/>
          <w:szCs w:val="20"/>
        </w:rPr>
        <w:t>Jurisprudencija</w:t>
      </w:r>
      <w:r>
        <w:rPr>
          <w:sz w:val="20"/>
          <w:szCs w:val="20"/>
        </w:rPr>
        <w:t>.</w:t>
      </w:r>
      <w:r w:rsidRPr="00733CEA">
        <w:rPr>
          <w:sz w:val="20"/>
          <w:szCs w:val="20"/>
        </w:rPr>
        <w:t xml:space="preserve"> 2010, 4 (122): 221-244.</w:t>
      </w:r>
    </w:p>
  </w:footnote>
  <w:footnote w:id="196">
    <w:p w:rsidR="00E0371E" w:rsidRDefault="00E0371E" w:rsidP="0062366B">
      <w:pPr>
        <w:pStyle w:val="Puslapioinaostekstas"/>
        <w:jc w:val="both"/>
      </w:pPr>
      <w:r>
        <w:rPr>
          <w:rStyle w:val="Puslapioinaosnuoroda"/>
        </w:rPr>
        <w:footnoteRef/>
      </w:r>
      <w:r>
        <w:t xml:space="preserve">Juzukonis, S. </w:t>
      </w:r>
      <w:r w:rsidRPr="001B4562">
        <w:rPr>
          <w:i/>
        </w:rPr>
        <w:t>Nukentėjusiojo teisių apsauga baudžiamajame procese</w:t>
      </w:r>
      <w:r>
        <w:t>. Daktaro disertacija.</w:t>
      </w:r>
      <w:r w:rsidRPr="001B4562">
        <w:t xml:space="preserve"> </w:t>
      </w:r>
      <w:r>
        <w:t>S</w:t>
      </w:r>
      <w:r w:rsidRPr="001B4562">
        <w:t xml:space="preserve">ocialiniai mokslai </w:t>
      </w:r>
      <w:r>
        <w:t>(</w:t>
      </w:r>
      <w:r w:rsidRPr="001B4562">
        <w:t>teisė)</w:t>
      </w:r>
      <w:r>
        <w:t>.</w:t>
      </w:r>
      <w:r w:rsidRPr="001B4562">
        <w:t xml:space="preserve"> </w:t>
      </w:r>
      <w:r>
        <w:t xml:space="preserve">Vilnius: </w:t>
      </w:r>
      <w:r w:rsidRPr="001B4562">
        <w:t>Lietuvos teisės universitetas, 2002</w:t>
      </w:r>
      <w:r>
        <w:t>, p. 92-98.</w:t>
      </w:r>
    </w:p>
  </w:footnote>
  <w:footnote w:id="197">
    <w:p w:rsidR="00E0371E" w:rsidRDefault="00E0371E" w:rsidP="00274D82">
      <w:pPr>
        <w:pStyle w:val="Puslapioinaostekstas"/>
        <w:jc w:val="both"/>
      </w:pPr>
      <w:r>
        <w:rPr>
          <w:rStyle w:val="Puslapioinaosnuoroda"/>
        </w:rPr>
        <w:footnoteRef/>
      </w:r>
      <w:r>
        <w:t xml:space="preserve">Matuizienė, E. Dispozityvumo samprata baudžiamajame procese. </w:t>
      </w:r>
      <w:r>
        <w:rPr>
          <w:i/>
        </w:rPr>
        <w:t>Socialinių mokslų studijos</w:t>
      </w:r>
      <w:r>
        <w:t xml:space="preserve">. 2009, 4 (4): 301–311. 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rPr>
          <w:spacing w:val="-3"/>
        </w:rPr>
        <w:t xml:space="preserve"> 27.</w:t>
      </w:r>
    </w:p>
  </w:footnote>
  <w:footnote w:id="198">
    <w:p w:rsidR="00E0371E" w:rsidRDefault="00E0371E" w:rsidP="00274D82">
      <w:pPr>
        <w:pStyle w:val="Puslapioinaostekstas"/>
        <w:jc w:val="both"/>
      </w:pPr>
      <w:r>
        <w:rPr>
          <w:rStyle w:val="Puslapioinaosnuoroda"/>
        </w:rPr>
        <w:footnoteRef/>
      </w:r>
      <w:r>
        <w:t xml:space="preserve">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rPr>
          <w:spacing w:val="-3"/>
        </w:rPr>
        <w:t xml:space="preserve"> 27.</w:t>
      </w:r>
    </w:p>
  </w:footnote>
  <w:footnote w:id="199">
    <w:p w:rsidR="00E0371E" w:rsidRPr="00A42945" w:rsidRDefault="00E0371E" w:rsidP="00274D82">
      <w:pPr>
        <w:pStyle w:val="Puslapioinaostekstas"/>
        <w:jc w:val="both"/>
      </w:pPr>
      <w:r w:rsidRPr="00DA1005">
        <w:rPr>
          <w:rStyle w:val="Puslapioinaosnuoroda"/>
        </w:rPr>
        <w:footnoteRef/>
      </w:r>
      <w:r>
        <w:t xml:space="preserve">Smirnov, A. V. </w:t>
      </w:r>
      <w:r w:rsidRPr="00DD5D77">
        <w:rPr>
          <w:i/>
        </w:rPr>
        <w:t xml:space="preserve">Modeli ugolovnogo processa </w:t>
      </w:r>
      <w:r w:rsidRPr="009C3EB0">
        <w:t>[Models of Criminal Procedure].</w:t>
      </w:r>
      <w:r>
        <w:t xml:space="preserve"> Sankt Peterburg: Nauka: Alfa, 2000, </w:t>
      </w:r>
      <w:r w:rsidRPr="00A42945">
        <w:t>p. 32</w:t>
      </w:r>
      <w:r>
        <w:t>.</w:t>
      </w:r>
    </w:p>
  </w:footnote>
  <w:footnote w:id="200">
    <w:p w:rsidR="00E0371E" w:rsidRPr="008448C5" w:rsidRDefault="00E0371E" w:rsidP="008448C5">
      <w:pPr>
        <w:pStyle w:val="Puslapioinaostekstas"/>
        <w:jc w:val="both"/>
      </w:pPr>
      <w:r>
        <w:rPr>
          <w:rStyle w:val="Puslapioinaosnuoroda"/>
        </w:rPr>
        <w:footnoteRef/>
      </w:r>
      <w:r w:rsidRPr="00A0034E">
        <w:t>Goda, G. Oficialumo principas ir jo išimtys Lietuvos baudžiamajame procese.</w:t>
      </w:r>
      <w:r>
        <w:t xml:space="preserve"> In</w:t>
      </w:r>
      <w:r w:rsidRPr="00A0034E">
        <w:t xml:space="preserve"> </w:t>
      </w:r>
      <w:r w:rsidRPr="00A0034E">
        <w:rPr>
          <w:i/>
        </w:rPr>
        <w:t>Lietuvos Respublikos baudžiamajam kodeksui – 10 metų</w:t>
      </w:r>
      <w:r w:rsidRPr="00A0034E">
        <w:t>. Vilnius: VĮ Registrų centras, 2011, p. 372. Ma, Y. Exploring th</w:t>
      </w:r>
      <w:r>
        <w:t>e</w:t>
      </w:r>
      <w:r w:rsidRPr="00A0034E">
        <w:t xml:space="preserve"> Origins of Public Prosecution. </w:t>
      </w:r>
      <w:r w:rsidRPr="00A0034E">
        <w:rPr>
          <w:i/>
          <w:iCs/>
        </w:rPr>
        <w:t>International Criminal Justice Review</w:t>
      </w:r>
      <w:r w:rsidRPr="00046171">
        <w:rPr>
          <w:iCs/>
        </w:rPr>
        <w:t xml:space="preserve"> </w:t>
      </w:r>
      <w:r w:rsidRPr="00A0034E">
        <w:rPr>
          <w:iCs/>
        </w:rPr>
        <w:t>[interaktyvus]</w:t>
      </w:r>
      <w:r w:rsidRPr="00A0034E">
        <w:t xml:space="preserve">. </w:t>
      </w:r>
      <w:r>
        <w:rPr>
          <w:i/>
          <w:iCs/>
        </w:rPr>
        <w:t xml:space="preserve"> </w:t>
      </w:r>
      <w:r w:rsidRPr="00A0034E">
        <w:t>2008, 18: 19</w:t>
      </w:r>
      <w:r>
        <w:t>5</w:t>
      </w:r>
      <w:r w:rsidRPr="00A0034E">
        <w:t>-2</w:t>
      </w:r>
      <w:r>
        <w:t>07</w:t>
      </w:r>
      <w:r w:rsidRPr="00A0034E">
        <w:rPr>
          <w:i/>
          <w:iCs/>
        </w:rPr>
        <w:t xml:space="preserve"> </w:t>
      </w:r>
      <w:r w:rsidRPr="00A0034E">
        <w:t>[žiūrėta 2011-12-22]</w:t>
      </w:r>
      <w:r>
        <w:t>.</w:t>
      </w:r>
      <w:r w:rsidRPr="00A0034E">
        <w:t xml:space="preserve"> </w:t>
      </w:r>
      <w:r>
        <w:t>&lt;</w:t>
      </w:r>
      <w:hyperlink r:id="rId5" w:history="1">
        <w:r w:rsidRPr="00A0034E">
          <w:rPr>
            <w:color w:val="0000FF"/>
            <w:u w:val="single"/>
          </w:rPr>
          <w:t>http://icj.sagepub.com/cgi/content/abstract/18/2/190</w:t>
        </w:r>
      </w:hyperlink>
      <w:r>
        <w:rPr>
          <w:color w:val="0000FF"/>
          <w:u w:val="single"/>
        </w:rPr>
        <w:t>&gt;</w:t>
      </w:r>
      <w:r>
        <w:t xml:space="preserve">. Hay, D., Snyder, F. </w:t>
      </w:r>
      <w:r w:rsidRPr="00FD1953">
        <w:t>Using the Criminal Law: Policing, Private Prosecution and the State</w:t>
      </w:r>
      <w:r>
        <w:t xml:space="preserve">. In Hay, D., Snyder, F. </w:t>
      </w:r>
      <w:r w:rsidRPr="008448C5">
        <w:rPr>
          <w:i/>
        </w:rPr>
        <w:t>Policing and Prosecution in Britain, 1750-1850</w:t>
      </w:r>
      <w:r>
        <w:t>.</w:t>
      </w:r>
      <w:r w:rsidRPr="00FD1953">
        <w:t xml:space="preserve"> Oxford: Clarendon Press, 1989, </w:t>
      </w:r>
      <w:r>
        <w:t xml:space="preserve">p. 3-52. </w:t>
      </w:r>
      <w:r w:rsidRPr="00B73020">
        <w:t>Hay, D. The Criminal Prosecution in England and Its Historians</w:t>
      </w:r>
      <w:r>
        <w:t xml:space="preserve">. </w:t>
      </w:r>
      <w:r w:rsidRPr="00B73020">
        <w:rPr>
          <w:i/>
        </w:rPr>
        <w:t>The Modern Law Review</w:t>
      </w:r>
      <w:r>
        <w:t>.</w:t>
      </w:r>
      <w:r w:rsidRPr="00B73020">
        <w:t xml:space="preserve"> </w:t>
      </w:r>
      <w:r>
        <w:t>1984,</w:t>
      </w:r>
      <w:r w:rsidRPr="00B73020">
        <w:t xml:space="preserve"> 47</w:t>
      </w:r>
      <w:r>
        <w:t xml:space="preserve"> (</w:t>
      </w:r>
      <w:r w:rsidRPr="00B73020">
        <w:t>1</w:t>
      </w:r>
      <w:r>
        <w:t xml:space="preserve">): 1-29. </w:t>
      </w:r>
      <w:r w:rsidRPr="00396E81">
        <w:t>Meyer-Krapp,</w:t>
      </w:r>
      <w:r>
        <w:t xml:space="preserve"> E. </w:t>
      </w:r>
      <w:r w:rsidRPr="00396E81">
        <w:rPr>
          <w:bCs/>
          <w:i/>
        </w:rPr>
        <w:t>Das Klageerzwingungsverfahren</w:t>
      </w:r>
      <w:r w:rsidRPr="00396E81">
        <w:rPr>
          <w:bCs/>
        </w:rPr>
        <w:t>. Daktaro disertacija.</w:t>
      </w:r>
      <w:r w:rsidRPr="00396E81">
        <w:t xml:space="preserve"> </w:t>
      </w:r>
      <w:r>
        <w:t xml:space="preserve">Socialiniai mokslai (teisė). </w:t>
      </w:r>
      <w:r w:rsidRPr="00396E81">
        <w:t>Göttingen, 200</w:t>
      </w:r>
      <w:r>
        <w:t xml:space="preserve">8, p. 5. </w:t>
      </w:r>
      <w:r w:rsidRPr="006501E3">
        <w:rPr>
          <w:color w:val="000000"/>
          <w:lang w:eastAsia="lt-LT"/>
        </w:rPr>
        <w:t xml:space="preserve">Šelih, A. The </w:t>
      </w:r>
      <w:r>
        <w:rPr>
          <w:color w:val="000000"/>
          <w:lang w:eastAsia="lt-LT"/>
        </w:rPr>
        <w:t>Prosecution Process and the (Changing) R</w:t>
      </w:r>
      <w:r w:rsidRPr="006501E3">
        <w:rPr>
          <w:color w:val="000000"/>
          <w:lang w:eastAsia="lt-LT"/>
        </w:rPr>
        <w:t xml:space="preserve">ole of the </w:t>
      </w:r>
      <w:r>
        <w:rPr>
          <w:color w:val="000000"/>
          <w:lang w:eastAsia="lt-LT"/>
        </w:rPr>
        <w:t>P</w:t>
      </w:r>
      <w:r w:rsidRPr="006501E3">
        <w:rPr>
          <w:color w:val="000000"/>
          <w:lang w:eastAsia="lt-LT"/>
        </w:rPr>
        <w:t xml:space="preserve">rosecutor. In </w:t>
      </w:r>
      <w:r w:rsidRPr="006501E3">
        <w:rPr>
          <w:i/>
          <w:iCs/>
          <w:color w:val="000000"/>
          <w:lang w:eastAsia="lt-LT"/>
        </w:rPr>
        <w:t>Crime</w:t>
      </w:r>
      <w:r>
        <w:rPr>
          <w:i/>
          <w:iCs/>
          <w:color w:val="000000"/>
          <w:lang w:eastAsia="lt-LT"/>
        </w:rPr>
        <w:t xml:space="preserve"> and Criminal Justice in Europe </w:t>
      </w:r>
      <w:r>
        <w:rPr>
          <w:color w:val="000000"/>
          <w:lang w:eastAsia="lt-LT"/>
        </w:rPr>
        <w:t>[interaktyvus]. Strasbourg</w:t>
      </w:r>
      <w:r w:rsidRPr="006501E3">
        <w:rPr>
          <w:color w:val="000000"/>
          <w:lang w:eastAsia="lt-LT"/>
        </w:rPr>
        <w:t>: Council of Europe</w:t>
      </w:r>
      <w:r>
        <w:rPr>
          <w:color w:val="000000"/>
          <w:lang w:eastAsia="lt-LT"/>
        </w:rPr>
        <w:t xml:space="preserve"> Publishing, 2000, p. 93-107 [žiūrėta 2013-01-25]. &lt;</w:t>
      </w:r>
      <w:hyperlink r:id="rId6" w:anchor="v=onepage&amp;q&amp;f=false" w:history="1">
        <w:r w:rsidRPr="00A721FD">
          <w:rPr>
            <w:rStyle w:val="Hipersaitas"/>
            <w:lang w:eastAsia="lt-LT"/>
          </w:rPr>
          <w:t>http://books.google.lt/books?id=py_dX__lu50C&amp;pg=PA93&amp;dq=%C5%A0elih,+A.+(2000).+The+prosecution+process+and+the+(changing)+role+of+the+prosecutor.&amp;hl=lt&amp;sa=X&amp;ei=7o0FT7qAB8zwsga8iYmCDw&amp;ved=0CC0Q6AEwAA#v=onepage&amp;q&amp;f=false</w:t>
        </w:r>
      </w:hyperlink>
      <w:r>
        <w:rPr>
          <w:rStyle w:val="Hipersaitas"/>
          <w:lang w:eastAsia="lt-LT"/>
        </w:rPr>
        <w:t>&gt;.</w:t>
      </w:r>
    </w:p>
  </w:footnote>
  <w:footnote w:id="201">
    <w:p w:rsidR="00E0371E" w:rsidRDefault="00E0371E" w:rsidP="00326B76">
      <w:pPr>
        <w:pStyle w:val="Puslapioinaostekstas"/>
        <w:jc w:val="both"/>
      </w:pPr>
      <w:r>
        <w:rPr>
          <w:rStyle w:val="Puslapioinaosnuoroda"/>
        </w:rPr>
        <w:footnoteRef/>
      </w:r>
      <w:r>
        <w:t xml:space="preserve">Reichel, P. L. </w:t>
      </w:r>
      <w:r w:rsidRPr="00855BE3">
        <w:rPr>
          <w:i/>
        </w:rPr>
        <w:t>C</w:t>
      </w:r>
      <w:r>
        <w:rPr>
          <w:i/>
        </w:rPr>
        <w:t>omparative C</w:t>
      </w:r>
      <w:r w:rsidRPr="00855BE3">
        <w:rPr>
          <w:i/>
        </w:rPr>
        <w:t xml:space="preserve">riminal </w:t>
      </w:r>
      <w:r>
        <w:rPr>
          <w:i/>
        </w:rPr>
        <w:t>J</w:t>
      </w:r>
      <w:r w:rsidRPr="00855BE3">
        <w:rPr>
          <w:i/>
        </w:rPr>
        <w:t xml:space="preserve">ustice </w:t>
      </w:r>
      <w:r>
        <w:rPr>
          <w:i/>
        </w:rPr>
        <w:t>S</w:t>
      </w:r>
      <w:r w:rsidRPr="00855BE3">
        <w:rPr>
          <w:i/>
        </w:rPr>
        <w:t>ystems</w:t>
      </w:r>
      <w:r>
        <w:rPr>
          <w:i/>
        </w:rPr>
        <w:t>: a Topical Approach</w:t>
      </w:r>
      <w:r w:rsidRPr="00855BE3">
        <w:rPr>
          <w:i/>
        </w:rPr>
        <w:t>.</w:t>
      </w:r>
      <w:r>
        <w:t xml:space="preserve"> 4-toji laida. </w:t>
      </w:r>
      <w:r w:rsidRPr="00BC0B42">
        <w:t>Upper Saddle River (N.J.): Pearson: Prentice Hall, 2005</w:t>
      </w:r>
      <w:r>
        <w:t>, p. 164.</w:t>
      </w:r>
    </w:p>
  </w:footnote>
  <w:footnote w:id="202">
    <w:p w:rsidR="00E0371E" w:rsidRDefault="00E0371E" w:rsidP="00274D82">
      <w:pPr>
        <w:pStyle w:val="Puslapioinaostekstas"/>
        <w:jc w:val="both"/>
      </w:pPr>
      <w:r>
        <w:rPr>
          <w:rStyle w:val="Puslapioinaosnuoroda"/>
        </w:rPr>
        <w:footnoteRef/>
      </w:r>
      <w:r w:rsidRPr="00450CF9">
        <w:t>Ieškinio, kaip bendros sąvokos, būdingos visoms procesinės teisės šakoms idėja</w:t>
      </w:r>
      <w:r>
        <w:t xml:space="preserve"> </w:t>
      </w:r>
      <w:r w:rsidRPr="00450CF9">
        <w:t>vėl išpopuliarėjo 1983 m., išleidus rusų au</w:t>
      </w:r>
      <w:r>
        <w:t xml:space="preserve">toriams kolektyvinę monografiją: Poljanskij, N. N., </w:t>
      </w:r>
      <w:r w:rsidRPr="001C5713">
        <w:rPr>
          <w:i/>
        </w:rPr>
        <w:t>et. al.</w:t>
      </w:r>
      <w:r>
        <w:t xml:space="preserve"> </w:t>
      </w:r>
      <w:r w:rsidRPr="00BC0B42">
        <w:rPr>
          <w:i/>
        </w:rPr>
        <w:t>Problemy sudebnogo prava</w:t>
      </w:r>
      <w:r>
        <w:t xml:space="preserve"> [Problems of Judicial Law]</w:t>
      </w:r>
      <w:r w:rsidRPr="00450CF9">
        <w:t xml:space="preserve">. </w:t>
      </w:r>
      <w:r>
        <w:t>Moskva: Nauka</w:t>
      </w:r>
      <w:r w:rsidRPr="00450CF9">
        <w:t>, 1983</w:t>
      </w:r>
      <w:r>
        <w:t>.</w:t>
      </w:r>
    </w:p>
  </w:footnote>
  <w:footnote w:id="203">
    <w:p w:rsidR="00E0371E" w:rsidRPr="00A42945" w:rsidRDefault="00E0371E" w:rsidP="00274D82">
      <w:pPr>
        <w:pStyle w:val="Puslapioinaostekstas"/>
        <w:jc w:val="both"/>
      </w:pPr>
      <w:r w:rsidRPr="00A42945">
        <w:rPr>
          <w:rStyle w:val="Puslapioinaosnuoroda"/>
        </w:rPr>
        <w:footnoteRef/>
      </w:r>
      <w:r>
        <w:rPr>
          <w:bCs/>
        </w:rPr>
        <w:t xml:space="preserve">Vėbraitė, V. Ieškinio samprata ir rūšys civiliniame procese. </w:t>
      </w:r>
      <w:r w:rsidRPr="00855BE3">
        <w:rPr>
          <w:bCs/>
          <w:i/>
        </w:rPr>
        <w:t>Teisė</w:t>
      </w:r>
      <w:r>
        <w:rPr>
          <w:bCs/>
        </w:rPr>
        <w:t>. 2006, 60:</w:t>
      </w:r>
      <w:r>
        <w:t xml:space="preserve"> 163-170.</w:t>
      </w:r>
    </w:p>
  </w:footnote>
  <w:footnote w:id="204">
    <w:p w:rsidR="00E0371E" w:rsidRPr="00A42945" w:rsidRDefault="00E0371E" w:rsidP="00274D82">
      <w:pPr>
        <w:pStyle w:val="Puslapioinaostekstas"/>
        <w:jc w:val="both"/>
      </w:pPr>
      <w:r w:rsidRPr="00A42945">
        <w:rPr>
          <w:rStyle w:val="Puslapioinaosnuoroda"/>
        </w:rPr>
        <w:footnoteRef/>
      </w:r>
      <w:r>
        <w:t xml:space="preserve">Fojnickij, I. Ja. </w:t>
      </w:r>
      <w:r w:rsidRPr="00C415FE">
        <w:rPr>
          <w:i/>
        </w:rPr>
        <w:t xml:space="preserve">Kurs ugolovnogo sudoproizvodstva </w:t>
      </w:r>
      <w:r w:rsidRPr="00B21E81">
        <w:t>[Course of Criminal Procedure].</w:t>
      </w:r>
      <w:r w:rsidRPr="00C415FE">
        <w:t> II tomas. Sankt Peterburg: Alfa, 1996,</w:t>
      </w:r>
      <w:r w:rsidRPr="00A73D41">
        <w:t xml:space="preserve"> p. 4</w:t>
      </w:r>
      <w:r>
        <w:t>.</w:t>
      </w:r>
    </w:p>
  </w:footnote>
  <w:footnote w:id="205">
    <w:p w:rsidR="00E0371E" w:rsidRPr="007E3173" w:rsidRDefault="00E0371E" w:rsidP="007E3173">
      <w:pPr>
        <w:jc w:val="both"/>
        <w:rPr>
          <w:sz w:val="20"/>
          <w:szCs w:val="20"/>
        </w:rPr>
      </w:pPr>
      <w:r w:rsidRPr="007E3173">
        <w:rPr>
          <w:rStyle w:val="Puslapioinaosnuoroda"/>
          <w:sz w:val="20"/>
          <w:szCs w:val="20"/>
        </w:rPr>
        <w:footnoteRef/>
      </w:r>
      <w:r w:rsidRPr="007E3173">
        <w:rPr>
          <w:sz w:val="20"/>
          <w:szCs w:val="20"/>
        </w:rPr>
        <w:t xml:space="preserve">Lietuvos Respublikos administracinių bylų teisenos įstatymas. </w:t>
      </w:r>
      <w:r w:rsidRPr="007E3173">
        <w:rPr>
          <w:i/>
          <w:sz w:val="20"/>
          <w:szCs w:val="20"/>
        </w:rPr>
        <w:t>Valstybės žinios</w:t>
      </w:r>
      <w:r w:rsidRPr="007E3173">
        <w:rPr>
          <w:sz w:val="20"/>
          <w:szCs w:val="20"/>
        </w:rPr>
        <w:t>. 1999, Nr. 13-308, 2000, Nr. 85-2566.</w:t>
      </w:r>
    </w:p>
  </w:footnote>
  <w:footnote w:id="206">
    <w:p w:rsidR="00E0371E" w:rsidRDefault="00E0371E" w:rsidP="00274D82">
      <w:pPr>
        <w:pStyle w:val="Puslapioinaostekstas"/>
        <w:jc w:val="both"/>
      </w:pPr>
      <w:r>
        <w:rPr>
          <w:rStyle w:val="Puslapioinaosnuoroda"/>
        </w:rPr>
        <w:footnoteRef/>
      </w:r>
      <w:r>
        <w:t xml:space="preserve">Vėbraitė, V. </w:t>
      </w:r>
      <w:r>
        <w:rPr>
          <w:bCs/>
        </w:rPr>
        <w:t xml:space="preserve">Ieškinio samprata ir rūšys civiliniame procese. </w:t>
      </w:r>
      <w:r w:rsidRPr="0049695D">
        <w:rPr>
          <w:bCs/>
          <w:i/>
        </w:rPr>
        <w:t>Teisė</w:t>
      </w:r>
      <w:r>
        <w:rPr>
          <w:bCs/>
          <w:i/>
        </w:rPr>
        <w:t>.</w:t>
      </w:r>
      <w:r>
        <w:rPr>
          <w:bCs/>
        </w:rPr>
        <w:t xml:space="preserve"> 2006, 60:</w:t>
      </w:r>
      <w:r>
        <w:t xml:space="preserve"> 163-170.</w:t>
      </w:r>
    </w:p>
  </w:footnote>
  <w:footnote w:id="207">
    <w:p w:rsidR="00E0371E" w:rsidRDefault="00E0371E" w:rsidP="00274D82">
      <w:pPr>
        <w:pStyle w:val="Puslapioinaostekstas"/>
        <w:jc w:val="both"/>
      </w:pPr>
      <w:r>
        <w:rPr>
          <w:rStyle w:val="Puslapioinaosnuoroda"/>
        </w:rPr>
        <w:footnoteRef/>
      </w:r>
      <w:r w:rsidRPr="00016F7D">
        <w:t xml:space="preserve">Apie ieškininius procesus. </w:t>
      </w:r>
      <w:r>
        <w:t xml:space="preserve">Smirnov, A. V. </w:t>
      </w:r>
      <w:r w:rsidRPr="00DD5D77">
        <w:rPr>
          <w:i/>
        </w:rPr>
        <w:t xml:space="preserve">Modeli ugolovnogo processa </w:t>
      </w:r>
      <w:r w:rsidRPr="009C3EB0">
        <w:t>[Models of Criminal Procedure].</w:t>
      </w:r>
      <w:r>
        <w:t xml:space="preserve"> Sankt Peterburg: Nauka: Alfa, 2000, p.</w:t>
      </w:r>
      <w:r w:rsidRPr="00016F7D">
        <w:t xml:space="preserve"> 3</w:t>
      </w:r>
      <w:r>
        <w:t>.</w:t>
      </w:r>
    </w:p>
  </w:footnote>
  <w:footnote w:id="208">
    <w:p w:rsidR="00E0371E" w:rsidRDefault="00E0371E" w:rsidP="00274D82">
      <w:pPr>
        <w:pStyle w:val="Puslapioinaostekstas"/>
        <w:jc w:val="both"/>
      </w:pPr>
      <w:r>
        <w:rPr>
          <w:rStyle w:val="Puslapioinaosnuoroda"/>
        </w:rPr>
        <w:footnoteRef/>
      </w:r>
      <w:r>
        <w:t xml:space="preserve">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Pr>
          <w:color w:val="000033"/>
        </w:rPr>
        <w:t>Daktaro disertacija. S</w:t>
      </w:r>
      <w:r w:rsidRPr="00886693">
        <w:rPr>
          <w:color w:val="000033"/>
        </w:rPr>
        <w:t>o</w:t>
      </w:r>
      <w:r>
        <w:rPr>
          <w:color w:val="000033"/>
        </w:rPr>
        <w:t>cialiniai mokslai (teisė). Izhevsk, 2004</w:t>
      </w:r>
      <w:r>
        <w:rPr>
          <w:color w:val="333333"/>
        </w:rPr>
        <w:t>, p.</w:t>
      </w:r>
      <w:r>
        <w:t xml:space="preserve"> 31.</w:t>
      </w:r>
    </w:p>
  </w:footnote>
  <w:footnote w:id="209">
    <w:p w:rsidR="00E0371E" w:rsidRDefault="00E0371E" w:rsidP="00274D82">
      <w:pPr>
        <w:pStyle w:val="Puslapioinaostekstas"/>
        <w:jc w:val="both"/>
      </w:pPr>
      <w:r>
        <w:rPr>
          <w:rStyle w:val="Puslapioinaosnuoroda"/>
        </w:rPr>
        <w:footnoteRef/>
      </w:r>
      <w:r w:rsidRPr="00CB7F2F">
        <w:t>Lietuvos Respublikos Konstitucinio Teismo 2000 m. gegužės 8 d. nutarimas</w:t>
      </w:r>
      <w:r>
        <w:t xml:space="preserve">. </w:t>
      </w:r>
      <w:r w:rsidRPr="00F1235F">
        <w:rPr>
          <w:i/>
        </w:rPr>
        <w:t>Valstybės žinios</w:t>
      </w:r>
      <w:r w:rsidRPr="00F1235F">
        <w:t>. 2000, Nr. 39-1105.</w:t>
      </w:r>
    </w:p>
  </w:footnote>
  <w:footnote w:id="210">
    <w:p w:rsidR="00E0371E" w:rsidRDefault="00E0371E" w:rsidP="00274D82">
      <w:pPr>
        <w:pStyle w:val="Puslapioinaostekstas"/>
        <w:jc w:val="both"/>
      </w:pPr>
      <w:r>
        <w:rPr>
          <w:rStyle w:val="Puslapioinaosnuoroda"/>
        </w:rPr>
        <w:footnoteRef/>
      </w:r>
      <w:r w:rsidRPr="007E3173">
        <w:t xml:space="preserve">Pavilonis, V. Konstitucinės baudžiamųjų įstatymų rekodifikacijos ištakos. In </w:t>
      </w:r>
      <w:r w:rsidRPr="002504EB">
        <w:rPr>
          <w:i/>
        </w:rPr>
        <w:t>Konstitucija, žmogus, teisinė valstybė: konferencija, skirta Lietuvos Respublikos Konstitucijos penkerių metų sukakčiai</w:t>
      </w:r>
      <w:r w:rsidRPr="007E3173">
        <w:t>. Vilnius: Lietuvos žmogaus teisių centras, 1998</w:t>
      </w:r>
      <w:r>
        <w:t>, p.</w:t>
      </w:r>
      <w:r w:rsidRPr="007E3173">
        <w:t xml:space="preserve"> 85-101. </w:t>
      </w:r>
      <w:r w:rsidRPr="007858E0">
        <w:t>Fedosiuk, O. Baudžiamoji atsakomybė kaip kraštutinė priemonė (ultima ratio):</w:t>
      </w:r>
      <w:r>
        <w:t xml:space="preserve"> </w:t>
      </w:r>
      <w:r w:rsidRPr="007858E0">
        <w:t xml:space="preserve">teorija ir realybė. </w:t>
      </w:r>
      <w:r w:rsidRPr="007858E0">
        <w:rPr>
          <w:i/>
        </w:rPr>
        <w:t>Jurisprudencija</w:t>
      </w:r>
      <w:r>
        <w:rPr>
          <w:i/>
        </w:rPr>
        <w:t>.</w:t>
      </w:r>
      <w:r w:rsidRPr="007858E0">
        <w:t xml:space="preserve"> 2012, 19 (2): 715-738.</w:t>
      </w:r>
    </w:p>
  </w:footnote>
  <w:footnote w:id="211">
    <w:p w:rsidR="00E0371E" w:rsidRDefault="00E0371E" w:rsidP="00B13F95">
      <w:pPr>
        <w:pStyle w:val="Puslapioinaostekstas"/>
        <w:jc w:val="both"/>
      </w:pPr>
      <w:r>
        <w:rPr>
          <w:rStyle w:val="Puslapioinaosnuoroda"/>
        </w:rPr>
        <w:footnoteRef/>
      </w:r>
      <w:r>
        <w:t xml:space="preserve">Bikelis, S. Baudžiamosios politikos tendencijos Europoje. In Sakalauskas, G., </w:t>
      </w:r>
      <w:r w:rsidRPr="001E49A4">
        <w:rPr>
          <w:i/>
        </w:rPr>
        <w:t>et al</w:t>
      </w:r>
      <w:r>
        <w:t xml:space="preserve">. </w:t>
      </w:r>
      <w:r w:rsidRPr="00C72C06">
        <w:rPr>
          <w:i/>
        </w:rPr>
        <w:t>Baudžiamoji politika Lietuvoje: tendencijos ir lyginamieji tyrima</w:t>
      </w:r>
      <w:r>
        <w:t xml:space="preserve">i. Vilnius: Teisės institutas, 2012, p. 71. </w:t>
      </w:r>
    </w:p>
  </w:footnote>
  <w:footnote w:id="212">
    <w:p w:rsidR="00E0371E" w:rsidRDefault="00E0371E" w:rsidP="00B13F95">
      <w:pPr>
        <w:pStyle w:val="Puslapioinaostekstas"/>
        <w:jc w:val="both"/>
      </w:pPr>
      <w:r>
        <w:rPr>
          <w:rStyle w:val="Puslapioinaosnuoroda"/>
        </w:rPr>
        <w:footnoteRef/>
      </w:r>
      <w:r w:rsidRPr="00C72C06">
        <w:t>Bikelis, S. Baudžiamosios politikos tendencijos Europoje. In Sakalauskas, G.,</w:t>
      </w:r>
      <w:r>
        <w:t xml:space="preserve"> </w:t>
      </w:r>
      <w:r w:rsidRPr="00DB3622">
        <w:rPr>
          <w:i/>
        </w:rPr>
        <w:t>et al</w:t>
      </w:r>
      <w:r>
        <w:t>.</w:t>
      </w:r>
      <w:r w:rsidRPr="00C72C06">
        <w:t xml:space="preserve"> </w:t>
      </w:r>
      <w:r w:rsidRPr="00C72C06">
        <w:rPr>
          <w:i/>
        </w:rPr>
        <w:t>Baudžiamoji politika Lietuvoje: tendencijos ir lyginamieji tyrima</w:t>
      </w:r>
      <w:r w:rsidRPr="00C72C06">
        <w:t xml:space="preserve">i. </w:t>
      </w:r>
      <w:r>
        <w:t xml:space="preserve">Vilnius: </w:t>
      </w:r>
      <w:r w:rsidRPr="00C72C06">
        <w:t>Teisės institutas, 2012, p. 71</w:t>
      </w:r>
      <w:r>
        <w:t>, 83.</w:t>
      </w:r>
    </w:p>
  </w:footnote>
  <w:footnote w:id="213">
    <w:p w:rsidR="00E0371E" w:rsidRDefault="00E0371E" w:rsidP="00B13F95">
      <w:pPr>
        <w:pStyle w:val="Puslapioinaostekstas"/>
        <w:jc w:val="both"/>
      </w:pPr>
      <w:r>
        <w:rPr>
          <w:rStyle w:val="Puslapioinaosnuoroda"/>
        </w:rPr>
        <w:footnoteRef/>
      </w:r>
      <w:r>
        <w:t>A</w:t>
      </w:r>
      <w:r w:rsidRPr="00BF69D5">
        <w:t>žubalytė, R</w:t>
      </w:r>
      <w:r>
        <w:t xml:space="preserve">., Jurgaitis, R., Zajančkauskienė, J. </w:t>
      </w:r>
      <w:r w:rsidRPr="00BA6F3D">
        <w:rPr>
          <w:i/>
        </w:rPr>
        <w:t>Spec</w:t>
      </w:r>
      <w:r>
        <w:rPr>
          <w:i/>
        </w:rPr>
        <w:t>ifinės baudžiamojo proceso rūšys:</w:t>
      </w:r>
      <w:r w:rsidRPr="00BA6F3D">
        <w:rPr>
          <w:i/>
        </w:rPr>
        <w:t xml:space="preserve"> vadovėlis</w:t>
      </w:r>
      <w:r>
        <w:t>.</w:t>
      </w:r>
      <w:r w:rsidRPr="00BF69D5">
        <w:t xml:space="preserve"> Vilnius: Mykolo Romerio universitetas, 2011</w:t>
      </w:r>
      <w:r>
        <w:t xml:space="preserve">, p. 17. </w:t>
      </w:r>
      <w:r w:rsidRPr="00F85E09">
        <w:t xml:space="preserve">Goda, G. Baudžiamojo proceso forma: optimalių procesinių taisyklių paieškos galimybės ir ribos. </w:t>
      </w:r>
      <w:r w:rsidRPr="00F85E09">
        <w:rPr>
          <w:i/>
        </w:rPr>
        <w:t>Teisė</w:t>
      </w:r>
      <w:r w:rsidRPr="00F85E09">
        <w:t>. 2007, 65: 5</w:t>
      </w:r>
      <w:r>
        <w:t>1-52</w:t>
      </w:r>
      <w:r w:rsidRPr="00F85E09">
        <w:t>.</w:t>
      </w:r>
    </w:p>
  </w:footnote>
  <w:footnote w:id="214">
    <w:p w:rsidR="00E0371E" w:rsidRDefault="00E0371E" w:rsidP="005226DB">
      <w:pPr>
        <w:pStyle w:val="Puslapioinaostekstas"/>
        <w:jc w:val="both"/>
      </w:pPr>
      <w:r>
        <w:rPr>
          <w:rStyle w:val="Puslapioinaosnuoroda"/>
        </w:rPr>
        <w:footnoteRef/>
      </w:r>
      <w:r>
        <w:t xml:space="preserve">Ažubalytė, R. Alternatyvūs baudžiamojo konflikto sprendimo būdai nagrinėjant bylą teisme. </w:t>
      </w:r>
      <w:r w:rsidRPr="005226DB">
        <w:rPr>
          <w:i/>
        </w:rPr>
        <w:t>Jurisprudencija</w:t>
      </w:r>
      <w:r>
        <w:rPr>
          <w:i/>
        </w:rPr>
        <w:t>.</w:t>
      </w:r>
      <w:r>
        <w:t xml:space="preserve"> 2008, 6(108): 42. Ažubalytė, R. Baudžiamojo proceso raidos tendencijos: formų diferenciacija. In </w:t>
      </w:r>
      <w:r w:rsidRPr="009850B7">
        <w:t>Prapiesti</w:t>
      </w:r>
      <w:r>
        <w:t xml:space="preserve">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232.</w:t>
      </w:r>
    </w:p>
  </w:footnote>
  <w:footnote w:id="215">
    <w:p w:rsidR="00E0371E" w:rsidRPr="008C0AE3" w:rsidRDefault="00E0371E" w:rsidP="00274D82">
      <w:pPr>
        <w:pStyle w:val="Puslapioinaostekstas"/>
        <w:jc w:val="both"/>
      </w:pPr>
      <w:r>
        <w:rPr>
          <w:rStyle w:val="Puslapioinaosnuoroda"/>
        </w:rPr>
        <w:footnoteRef/>
      </w:r>
      <w:r>
        <w:t xml:space="preserve">Doroshkov, V. V. </w:t>
      </w:r>
      <w:r w:rsidRPr="0008285E">
        <w:rPr>
          <w:i/>
        </w:rPr>
        <w:t>Chast</w:t>
      </w:r>
      <w:r>
        <w:rPr>
          <w:i/>
        </w:rPr>
        <w:t>noe obvineni</w:t>
      </w:r>
      <w:r w:rsidRPr="0008285E">
        <w:rPr>
          <w:i/>
        </w:rPr>
        <w:t>e. Pravovaja teorija i sudebnaja praktika</w:t>
      </w:r>
      <w:r>
        <w:rPr>
          <w:i/>
        </w:rPr>
        <w:t xml:space="preserve"> </w:t>
      </w:r>
      <w:proofErr w:type="gramStart"/>
      <w:r>
        <w:t>[</w:t>
      </w:r>
      <w:proofErr w:type="gramEnd"/>
      <w:r>
        <w:t xml:space="preserve">Private Prosecution. Legal Theory and Case Law]. Moskva: Norma, 2000, p. </w:t>
      </w:r>
      <w:r w:rsidRPr="007A533D">
        <w:rPr>
          <w:rFonts w:ascii="TimesNewRomanPSMT" w:hAnsi="TimesNewRomanPSMT"/>
        </w:rPr>
        <w:t>43</w:t>
      </w:r>
      <w:r>
        <w:rPr>
          <w:rFonts w:ascii="TimesNewRomanPSMT" w:hAnsi="TimesNewRomanPSMT"/>
        </w:rPr>
        <w:t xml:space="preserve">-45. </w:t>
      </w:r>
      <w:r w:rsidRPr="00875B7D">
        <w:t>Katkalo,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784CB7">
        <w:t>44-45</w:t>
      </w:r>
      <w:r>
        <w:t xml:space="preserve">. </w:t>
      </w:r>
      <w:r w:rsidRPr="00F25E06">
        <w:t xml:space="preserve">Savickij, V. M. </w:t>
      </w:r>
      <w:r>
        <w:rPr>
          <w:i/>
        </w:rPr>
        <w:t>Gosudarstvennoe obvineni</w:t>
      </w:r>
      <w:r w:rsidRPr="00F25E06">
        <w:rPr>
          <w:i/>
        </w:rPr>
        <w:t>e v sude</w:t>
      </w:r>
      <w:r>
        <w:t xml:space="preserve"> [Public Prosecution in Court]</w:t>
      </w:r>
      <w:r w:rsidRPr="00510FAA">
        <w:t xml:space="preserve">. </w:t>
      </w:r>
      <w:r w:rsidRPr="00F25E06">
        <w:t xml:space="preserve">Moskva: Nauka, </w:t>
      </w:r>
      <w:r w:rsidRPr="00DB33AC">
        <w:t>1971,</w:t>
      </w:r>
      <w:r w:rsidRPr="00F25E06">
        <w:t xml:space="preserve"> p</w:t>
      </w:r>
      <w:r w:rsidRPr="00DB33AC">
        <w:t>.</w:t>
      </w:r>
      <w:r>
        <w:t xml:space="preserve"> </w:t>
      </w:r>
      <w:r w:rsidRPr="00DB33AC">
        <w:t>321-322</w:t>
      </w:r>
      <w:r>
        <w:t xml:space="preserve">. </w:t>
      </w:r>
      <w:r w:rsidRPr="00933D54">
        <w:t xml:space="preserve">Petrova, N. E. </w:t>
      </w:r>
      <w:r w:rsidRPr="0008285E">
        <w:rPr>
          <w:i/>
        </w:rPr>
        <w:t>Ch</w:t>
      </w:r>
      <w:r>
        <w:rPr>
          <w:i/>
        </w:rPr>
        <w:t>astnoe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62-63. 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 xml:space="preserve">p. 134. </w:t>
      </w:r>
      <w:r w:rsidRPr="0008285E">
        <w:t xml:space="preserve">Rezon, A. K. </w:t>
      </w:r>
      <w:r>
        <w:rPr>
          <w:i/>
        </w:rPr>
        <w:t>O prestuplenijakh, nakazuemyk</w:t>
      </w:r>
      <w:r w:rsidRPr="0008285E">
        <w:rPr>
          <w:i/>
        </w:rPr>
        <w:t>h tolko po zhalobe poterpevshego po russkomu pravu</w:t>
      </w:r>
      <w:r w:rsidRPr="0008285E">
        <w:t xml:space="preserve"> [On Crimes Punishable Only by </w:t>
      </w:r>
      <w:r>
        <w:t xml:space="preserve">a </w:t>
      </w:r>
      <w:r w:rsidRPr="0008285E">
        <w:t>Complaint of the Victim in Russian Law]</w:t>
      </w:r>
      <w:r w:rsidRPr="00510FAA">
        <w:t xml:space="preserve">. </w:t>
      </w:r>
      <w:r w:rsidRPr="0008285E">
        <w:t xml:space="preserve">Sankt </w:t>
      </w:r>
      <w:r>
        <w:t>Peterburg</w:t>
      </w:r>
      <w:r w:rsidRPr="0008285E">
        <w:t>: Senat pravitelstvujushchego prava</w:t>
      </w:r>
      <w:r w:rsidRPr="00510FAA">
        <w:t>,1882,</w:t>
      </w:r>
      <w:r w:rsidRPr="0008285E">
        <w:t xml:space="preserve"> p</w:t>
      </w:r>
      <w:r w:rsidRPr="00510FAA">
        <w:t>. 57.</w:t>
      </w:r>
      <w:r>
        <w:t xml:space="preserve"> Fojnickij, I. Ja. </w:t>
      </w:r>
      <w:r>
        <w:rPr>
          <w:i/>
          <w:color w:val="000033"/>
        </w:rPr>
        <w:t xml:space="preserve">Kurs ugolovnogo sudoproizvodstva </w:t>
      </w:r>
      <w:r w:rsidRPr="00B56034">
        <w:rPr>
          <w:color w:val="000033"/>
        </w:rPr>
        <w:t>[Course of Criminal Procedure].</w:t>
      </w:r>
      <w:r w:rsidRPr="00A73D41">
        <w:rPr>
          <w:color w:val="000033"/>
        </w:rPr>
        <w:t> </w:t>
      </w:r>
      <w:r>
        <w:rPr>
          <w:color w:val="000033"/>
        </w:rPr>
        <w:t>I tomas. Sankt Peterburg</w:t>
      </w:r>
      <w:r w:rsidRPr="00A73D41">
        <w:rPr>
          <w:color w:val="000033"/>
        </w:rPr>
        <w:t>: </w:t>
      </w:r>
      <w:r>
        <w:rPr>
          <w:color w:val="000033"/>
        </w:rPr>
        <w:t>Alfa</w:t>
      </w:r>
      <w:r w:rsidRPr="00A73D41">
        <w:rPr>
          <w:color w:val="000033"/>
        </w:rPr>
        <w:t>, 1996</w:t>
      </w:r>
      <w:r w:rsidRPr="007858E0">
        <w:t xml:space="preserve">, p. </w:t>
      </w:r>
      <w:r w:rsidRPr="00510FAA">
        <w:rPr>
          <w:lang w:val="en-US"/>
        </w:rPr>
        <w:t>27 – 28</w:t>
      </w:r>
      <w:r w:rsidRPr="007858E0">
        <w:t>.</w:t>
      </w:r>
    </w:p>
  </w:footnote>
  <w:footnote w:id="216">
    <w:p w:rsidR="00E0371E" w:rsidRDefault="00E0371E" w:rsidP="005C12DE">
      <w:pPr>
        <w:pStyle w:val="Puslapioinaostekstas"/>
        <w:jc w:val="both"/>
      </w:pPr>
      <w:r>
        <w:rPr>
          <w:rStyle w:val="Puslapioinaosnuoroda"/>
        </w:rPr>
        <w:footnoteRef/>
      </w:r>
      <w:r w:rsidRPr="00875B7D">
        <w:t>Katkalo,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 1972</w:t>
      </w:r>
      <w:r>
        <w:t xml:space="preserve">, p. </w:t>
      </w:r>
      <w:r w:rsidRPr="00F61525">
        <w:t>44-45</w:t>
      </w:r>
      <w:r>
        <w:t xml:space="preserve">. </w:t>
      </w:r>
      <w:r w:rsidRPr="00F25E06">
        <w:t xml:space="preserve">Savickij, V. M. </w:t>
      </w:r>
      <w:r>
        <w:rPr>
          <w:i/>
        </w:rPr>
        <w:t>Gosudarstvennoe obvineni</w:t>
      </w:r>
      <w:r w:rsidRPr="00F25E06">
        <w:rPr>
          <w:i/>
        </w:rPr>
        <w:t>e v sude</w:t>
      </w:r>
      <w:r>
        <w:t xml:space="preserve"> [Public Prosecution in Court]</w:t>
      </w:r>
      <w:r w:rsidRPr="00510FAA">
        <w:t xml:space="preserve">. </w:t>
      </w:r>
      <w:r w:rsidRPr="00F25E06">
        <w:t xml:space="preserve">Moskva: Nauka, </w:t>
      </w:r>
      <w:r w:rsidRPr="00510FAA">
        <w:rPr>
          <w:lang w:val="en-US"/>
        </w:rPr>
        <w:t>1971,</w:t>
      </w:r>
      <w:r w:rsidRPr="00F25E06">
        <w:t xml:space="preserve"> p</w:t>
      </w:r>
      <w:r w:rsidRPr="00510FAA">
        <w:rPr>
          <w:lang w:val="en-US"/>
        </w:rPr>
        <w:t>.</w:t>
      </w:r>
      <w:r>
        <w:rPr>
          <w:lang w:val="en-US"/>
        </w:rPr>
        <w:t xml:space="preserve"> </w:t>
      </w:r>
      <w:r>
        <w:t xml:space="preserve">321-322. </w:t>
      </w:r>
      <w:r w:rsidRPr="00933D54">
        <w:t xml:space="preserve">Petrova, N. E. </w:t>
      </w:r>
      <w:r w:rsidRPr="0008285E">
        <w:rPr>
          <w:i/>
        </w:rPr>
        <w:t>Ch</w:t>
      </w:r>
      <w:r>
        <w:rPr>
          <w:i/>
        </w:rPr>
        <w:t>astnoe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63. 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 xml:space="preserve">p. 134. Juzukonis, S. </w:t>
      </w:r>
      <w:r w:rsidRPr="00361386">
        <w:rPr>
          <w:i/>
        </w:rPr>
        <w:t>Nukentėjusiojo teisių apsauga baudžiamajame procese</w:t>
      </w:r>
      <w:r>
        <w:t>. Daktaro disertacija. Socialiniai mokslai (teisė). Vilnius: Lietuvos teisės universitetas, 2002, p. 95.</w:t>
      </w:r>
    </w:p>
  </w:footnote>
  <w:footnote w:id="217">
    <w:p w:rsidR="00E0371E" w:rsidRDefault="00E0371E" w:rsidP="00274D82">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143.</w:t>
      </w:r>
    </w:p>
  </w:footnote>
  <w:footnote w:id="218">
    <w:p w:rsidR="00E0371E" w:rsidRDefault="00E0371E" w:rsidP="00274D82">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 xml:space="preserve">Private Prosecution. Legal Theory and Case Law]. Moskva: Norma, 2000, p. </w:t>
      </w:r>
      <w:r w:rsidRPr="008E585E">
        <w:rPr>
          <w:rFonts w:ascii="TimesNewRomanPSMT" w:hAnsi="TimesNewRomanPSMT"/>
        </w:rPr>
        <w:t>48</w:t>
      </w:r>
      <w:r>
        <w:rPr>
          <w:rFonts w:ascii="TimesNewRomanPSMT" w:hAnsi="TimesNewRomanPSMT"/>
        </w:rPr>
        <w:t xml:space="preserve">. </w:t>
      </w:r>
      <w:r w:rsidRPr="007D0D27">
        <w:rPr>
          <w:rFonts w:ascii="TimesNewRomanPSMT" w:hAnsi="TimesNewRomanPSMT"/>
        </w:rPr>
        <w:t>Ma, Y. Exploring th</w:t>
      </w:r>
      <w:r>
        <w:rPr>
          <w:rFonts w:ascii="TimesNewRomanPSMT" w:hAnsi="TimesNewRomanPSMT"/>
        </w:rPr>
        <w:t>e</w:t>
      </w:r>
      <w:r w:rsidRPr="007D0D27">
        <w:rPr>
          <w:rFonts w:ascii="TimesNewRomanPSMT" w:hAnsi="TimesNewRomanPSMT"/>
        </w:rPr>
        <w:t xml:space="preserve"> Origins of Public Prosecution. </w:t>
      </w:r>
      <w:r w:rsidRPr="00A56C62">
        <w:rPr>
          <w:rFonts w:ascii="TimesNewRomanPSMT" w:hAnsi="TimesNewRomanPSMT"/>
          <w:i/>
        </w:rPr>
        <w:t>Inter</w:t>
      </w:r>
      <w:r>
        <w:rPr>
          <w:rFonts w:ascii="TimesNewRomanPSMT" w:hAnsi="TimesNewRomanPSMT"/>
          <w:i/>
        </w:rPr>
        <w:t>national Criminal Justice Review</w:t>
      </w:r>
      <w:r w:rsidRPr="00046171">
        <w:rPr>
          <w:rFonts w:ascii="TimesNewRomanPSMT" w:hAnsi="TimesNewRomanPSMT"/>
        </w:rPr>
        <w:t xml:space="preserve"> </w:t>
      </w:r>
      <w:r>
        <w:rPr>
          <w:rFonts w:ascii="TimesNewRomanPSMT" w:hAnsi="TimesNewRomanPSMT"/>
        </w:rPr>
        <w:t>[interaktyvus]</w:t>
      </w:r>
      <w:proofErr w:type="gramStart"/>
      <w:r>
        <w:rPr>
          <w:rFonts w:ascii="TimesNewRomanPSMT" w:hAnsi="TimesNewRomanPSMT"/>
        </w:rPr>
        <w:t xml:space="preserve">  </w:t>
      </w:r>
      <w:proofErr w:type="gramEnd"/>
      <w:r>
        <w:rPr>
          <w:rFonts w:ascii="TimesNewRomanPSMT" w:hAnsi="TimesNewRomanPSMT"/>
        </w:rPr>
        <w:t>2008, 18: 190-198</w:t>
      </w:r>
      <w:r w:rsidRPr="007D0D27">
        <w:rPr>
          <w:rFonts w:ascii="TimesNewRomanPSMT" w:hAnsi="TimesNewRomanPSMT"/>
        </w:rPr>
        <w:t xml:space="preserve"> [žiūrėta 2011-12-22]</w:t>
      </w:r>
      <w:r>
        <w:rPr>
          <w:rFonts w:ascii="TimesNewRomanPSMT" w:hAnsi="TimesNewRomanPSMT"/>
        </w:rPr>
        <w:t>.</w:t>
      </w:r>
      <w:r w:rsidRPr="007D0D27">
        <w:rPr>
          <w:rFonts w:ascii="TimesNewRomanPSMT" w:hAnsi="TimesNewRomanPSMT"/>
        </w:rPr>
        <w:t xml:space="preserve"> </w:t>
      </w:r>
      <w:r>
        <w:rPr>
          <w:rFonts w:ascii="TimesNewRomanPSMT" w:hAnsi="TimesNewRomanPSMT"/>
        </w:rPr>
        <w:t>&lt;</w:t>
      </w:r>
      <w:hyperlink r:id="rId7" w:history="1">
        <w:r w:rsidRPr="00393BEC">
          <w:rPr>
            <w:rStyle w:val="Hipersaitas"/>
            <w:rFonts w:ascii="TimesNewRomanPSMT" w:hAnsi="TimesNewRomanPSMT"/>
          </w:rPr>
          <w:t>http://icj.sagepub.com/cgi/content/abstract/18/2/190</w:t>
        </w:r>
      </w:hyperlink>
      <w:r>
        <w:rPr>
          <w:rStyle w:val="Hipersaitas"/>
          <w:rFonts w:ascii="TimesNewRomanPSMT" w:hAnsi="TimesNewRomanPSMT"/>
        </w:rPr>
        <w:t>&gt;</w:t>
      </w:r>
      <w:r>
        <w:rPr>
          <w:rFonts w:ascii="TimesNewRomanPSMT" w:hAnsi="TimesNewRomanPSMT"/>
        </w:rPr>
        <w:t xml:space="preserve">. </w:t>
      </w:r>
    </w:p>
  </w:footnote>
  <w:footnote w:id="219">
    <w:p w:rsidR="00E0371E" w:rsidRDefault="00E0371E" w:rsidP="00274D82">
      <w:pPr>
        <w:pStyle w:val="Puslapioinaostekstas"/>
        <w:jc w:val="both"/>
      </w:pPr>
      <w:r>
        <w:rPr>
          <w:rStyle w:val="Puslapioinaosnuoroda"/>
        </w:rPr>
        <w:footnoteRef/>
      </w:r>
      <w:r>
        <w:t xml:space="preserve">Golovachuk, O. S. </w:t>
      </w:r>
      <w:r>
        <w:rPr>
          <w:i/>
        </w:rPr>
        <w:t>Chastnoe obvineni</w:t>
      </w:r>
      <w:r w:rsidRPr="00BC0B42">
        <w:rPr>
          <w:i/>
        </w:rPr>
        <w:t>e v ugolovnom proce</w:t>
      </w:r>
      <w:r>
        <w:rPr>
          <w:i/>
        </w:rPr>
        <w:t>s</w:t>
      </w:r>
      <w:r w:rsidRPr="00BC0B42">
        <w:rPr>
          <w:i/>
        </w:rPr>
        <w:t>se</w:t>
      </w:r>
      <w:r>
        <w:t xml:space="preserve"> [Private Prosecution in Criminal Procedure]. Daktaro disertacija. Socialiniai mokslai (teisė). Ekaterinburg, 2001, p. 31. </w:t>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62.</w:t>
      </w:r>
    </w:p>
  </w:footnote>
  <w:footnote w:id="220">
    <w:p w:rsidR="00E0371E" w:rsidRDefault="00E0371E" w:rsidP="00274D82">
      <w:pPr>
        <w:pStyle w:val="Puslapioinaostekstas"/>
        <w:jc w:val="both"/>
      </w:pPr>
      <w:r>
        <w:rPr>
          <w:rStyle w:val="Puslapioinaosnuoroda"/>
        </w:rPr>
        <w:footnoteRef/>
      </w:r>
      <w:r w:rsidRPr="00CB7F2F">
        <w:t>Lietuvos Respublikos Konstitucinio Teismo 2000 m. gegužės 8 d. nutarimas</w:t>
      </w:r>
      <w:r>
        <w:t xml:space="preserve">. </w:t>
      </w:r>
      <w:r w:rsidRPr="000F5EB7">
        <w:rPr>
          <w:i/>
        </w:rPr>
        <w:t>Valstybės žinios</w:t>
      </w:r>
      <w:r>
        <w:t>. 2000, Nr. 39-1105.</w:t>
      </w:r>
    </w:p>
  </w:footnote>
  <w:footnote w:id="221">
    <w:p w:rsidR="00E0371E" w:rsidRDefault="00E0371E" w:rsidP="00274D82">
      <w:pPr>
        <w:pStyle w:val="Puslapioinaostekstas"/>
        <w:jc w:val="both"/>
      </w:pPr>
      <w:r>
        <w:rPr>
          <w:rStyle w:val="Puslapioinaosnuoroda"/>
        </w:rPr>
        <w:footnoteRef/>
      </w:r>
      <w:r>
        <w:t xml:space="preserve">Baranskaitė, A. </w:t>
      </w:r>
      <w:r w:rsidRPr="00733CEA">
        <w:rPr>
          <w:i/>
        </w:rPr>
        <w:t>Taikos sutartis baudžiamojoje teisėje</w:t>
      </w:r>
      <w:r>
        <w:t>. Vilnius: Teisinės informacijos centras, 2007, p. 54.</w:t>
      </w:r>
    </w:p>
  </w:footnote>
  <w:footnote w:id="222">
    <w:p w:rsidR="00E0371E" w:rsidRDefault="00E0371E" w:rsidP="00274D82">
      <w:pPr>
        <w:pStyle w:val="Puslapioinaostekstas"/>
        <w:jc w:val="both"/>
      </w:pPr>
      <w:r>
        <w:rPr>
          <w:rStyle w:val="Puslapioinaosnuoroda"/>
        </w:rPr>
        <w:footnoteRef/>
      </w:r>
      <w:r>
        <w:t xml:space="preserve">Schünemann, B. The Role of the Victim Within the Criminal Justice System: A Three-Tiered Concept. </w:t>
      </w:r>
      <w:r w:rsidRPr="00FE207B">
        <w:rPr>
          <w:i/>
        </w:rPr>
        <w:t>Buffalo Criminal Law Review</w:t>
      </w:r>
      <w:r>
        <w:t>. 2000, 3:36.</w:t>
      </w:r>
    </w:p>
  </w:footnote>
  <w:footnote w:id="223">
    <w:p w:rsidR="00E0371E" w:rsidRDefault="00E0371E" w:rsidP="00274D82">
      <w:pPr>
        <w:pStyle w:val="Puslapioinaostekstas"/>
        <w:jc w:val="both"/>
      </w:pPr>
      <w:r>
        <w:rPr>
          <w:rStyle w:val="Puslapioinaosnuoroda"/>
        </w:rPr>
        <w:footnoteRef/>
      </w:r>
      <w:r w:rsidRPr="0008285E">
        <w:t xml:space="preserve">Rezon, A. K. </w:t>
      </w:r>
      <w:r w:rsidRPr="0008285E">
        <w:rPr>
          <w:i/>
        </w:rPr>
        <w:t>O prestuplenija</w:t>
      </w:r>
      <w:r>
        <w:rPr>
          <w:i/>
        </w:rPr>
        <w:t>kh, nakazu</w:t>
      </w:r>
      <w:r w:rsidRPr="0008285E">
        <w:rPr>
          <w:i/>
        </w:rPr>
        <w:t>emy</w:t>
      </w:r>
      <w:r>
        <w:rPr>
          <w:i/>
        </w:rPr>
        <w:t>k</w:t>
      </w:r>
      <w:r w:rsidRPr="0008285E">
        <w:rPr>
          <w:i/>
        </w:rPr>
        <w:t>h to</w:t>
      </w:r>
      <w:r>
        <w:rPr>
          <w:i/>
        </w:rPr>
        <w:t>l</w:t>
      </w:r>
      <w:r w:rsidRPr="0008285E">
        <w:rPr>
          <w:i/>
        </w:rPr>
        <w:t>ko po zhalobe poterpevshego po russkomu pravu</w:t>
      </w:r>
      <w:r w:rsidRPr="0008285E">
        <w:t xml:space="preserve"> [On Crimes Punishable Only by </w:t>
      </w:r>
      <w:r>
        <w:t xml:space="preserve">a </w:t>
      </w:r>
      <w:r w:rsidRPr="0008285E">
        <w:t>Complaint of the Victim in Russian Law]</w:t>
      </w:r>
      <w:r w:rsidRPr="00510FAA">
        <w:rPr>
          <w:lang w:val="en-US"/>
        </w:rPr>
        <w:t xml:space="preserve">. </w:t>
      </w:r>
      <w:r w:rsidRPr="0008285E">
        <w:t xml:space="preserve">Sankt </w:t>
      </w:r>
      <w:r>
        <w:t>Peterburg</w:t>
      </w:r>
      <w:r w:rsidRPr="0008285E">
        <w:t>: Senat pravitelstvujushchego prava</w:t>
      </w:r>
      <w:r w:rsidRPr="00510FAA">
        <w:rPr>
          <w:lang w:val="en-US"/>
        </w:rPr>
        <w:t>,</w:t>
      </w:r>
      <w:r>
        <w:rPr>
          <w:lang w:val="en-US"/>
        </w:rPr>
        <w:t xml:space="preserve"> </w:t>
      </w:r>
      <w:r w:rsidRPr="00510FAA">
        <w:rPr>
          <w:lang w:val="en-US"/>
        </w:rPr>
        <w:t>1882</w:t>
      </w:r>
      <w:r>
        <w:t xml:space="preserve">, p. </w:t>
      </w:r>
      <w:r w:rsidRPr="00510FAA">
        <w:rPr>
          <w:rFonts w:ascii="TimesNewRomanPSMT" w:hAnsi="TimesNewRomanPSMT"/>
          <w:lang w:val="en-US"/>
        </w:rPr>
        <w:t>5-6.</w:t>
      </w:r>
    </w:p>
  </w:footnote>
  <w:footnote w:id="224">
    <w:p w:rsidR="00E0371E" w:rsidRDefault="00E0371E" w:rsidP="004A0EC1">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 xml:space="preserve">Private Prosecution. Legal Theory and Case Law]. Moskva: Norma, 2000, p. </w:t>
      </w:r>
      <w:r w:rsidRPr="00CB3410">
        <w:rPr>
          <w:rFonts w:ascii="TimesNewRomanPSMT" w:hAnsi="TimesNewRomanPSMT"/>
        </w:rPr>
        <w:t>4</w:t>
      </w:r>
      <w:r>
        <w:t xml:space="preserve">9. </w:t>
      </w:r>
      <w:r w:rsidRPr="00875B7D">
        <w:t>Katkalo,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 1972</w:t>
      </w:r>
      <w:r>
        <w:t>, p.</w:t>
      </w:r>
      <w:r w:rsidRPr="009C3EB0">
        <w:rPr>
          <w:rFonts w:ascii="TimesNewRomanPSMT" w:hAnsi="TimesNewRomanPSMT"/>
        </w:rPr>
        <w:t xml:space="preserve"> </w:t>
      </w:r>
      <w:r>
        <w:rPr>
          <w:rFonts w:ascii="TimesNewRomanPSMT" w:hAnsi="TimesNewRomanPSMT"/>
        </w:rPr>
        <w:t xml:space="preserve">28-23. Poljanskij, N. N. </w:t>
      </w:r>
      <w:r w:rsidRPr="00951D4B">
        <w:rPr>
          <w:rFonts w:ascii="TimesNewRomanPSMT" w:hAnsi="TimesNewRomanPSMT"/>
          <w:i/>
        </w:rPr>
        <w:t>К voprosu ob ychastii chastny</w:t>
      </w:r>
      <w:r>
        <w:rPr>
          <w:rFonts w:ascii="TimesNewRomanPSMT" w:hAnsi="TimesNewRomanPSMT"/>
          <w:i/>
        </w:rPr>
        <w:t>k</w:t>
      </w:r>
      <w:r w:rsidRPr="00951D4B">
        <w:rPr>
          <w:rFonts w:ascii="TimesNewRomanPSMT" w:hAnsi="TimesNewRomanPSMT"/>
          <w:i/>
        </w:rPr>
        <w:t>h lic v publichnom</w:t>
      </w:r>
      <w:proofErr w:type="gramStart"/>
      <w:r w:rsidRPr="00951D4B">
        <w:rPr>
          <w:rFonts w:ascii="TimesNewRomanPSMT" w:hAnsi="TimesNewRomanPSMT"/>
          <w:i/>
        </w:rPr>
        <w:t xml:space="preserve"> </w:t>
      </w:r>
      <w:r>
        <w:rPr>
          <w:rFonts w:ascii="TimesNewRomanPSMT" w:hAnsi="TimesNewRomanPSMT"/>
          <w:i/>
        </w:rPr>
        <w:t xml:space="preserve"> </w:t>
      </w:r>
      <w:proofErr w:type="gramEnd"/>
      <w:r>
        <w:rPr>
          <w:rFonts w:ascii="TimesNewRomanPSMT" w:hAnsi="TimesNewRomanPSMT"/>
          <w:i/>
        </w:rPr>
        <w:t>obvinenii (Principialnye osnovanija actio pop</w:t>
      </w:r>
      <w:r w:rsidRPr="00951D4B">
        <w:rPr>
          <w:rFonts w:ascii="TimesNewRomanPSMT" w:hAnsi="TimesNewRomanPSMT"/>
          <w:i/>
        </w:rPr>
        <w:t>ularis v ugolovnom proce</w:t>
      </w:r>
      <w:r>
        <w:rPr>
          <w:rFonts w:ascii="TimesNewRomanPSMT" w:hAnsi="TimesNewRomanPSMT"/>
          <w:i/>
        </w:rPr>
        <w:t>s</w:t>
      </w:r>
      <w:r w:rsidRPr="00951D4B">
        <w:rPr>
          <w:rFonts w:ascii="TimesNewRomanPSMT" w:hAnsi="TimesNewRomanPSMT"/>
          <w:i/>
        </w:rPr>
        <w:t>se)</w:t>
      </w:r>
      <w:r>
        <w:rPr>
          <w:rFonts w:ascii="TimesNewRomanPSMT" w:hAnsi="TimesNewRomanPSMT"/>
        </w:rPr>
        <w:t xml:space="preserve"> [On Participation of Private Persons in Public Prosecution (Principal Grounds of Actio Popularis in Criminal Procedure)]. Moskva: Tipografija Glissnera i D. Sobko</w:t>
      </w:r>
      <w:r w:rsidRPr="004A0EC1">
        <w:rPr>
          <w:rFonts w:ascii="TimesNewRomanPSMT" w:hAnsi="TimesNewRomanPSMT"/>
        </w:rPr>
        <w:t>, 1915</w:t>
      </w:r>
      <w:r>
        <w:rPr>
          <w:rFonts w:ascii="TimesNewRomanPSMT" w:hAnsi="TimesNewRomanPSMT"/>
        </w:rPr>
        <w:t>, p.</w:t>
      </w:r>
      <w:r w:rsidRPr="004A0EC1">
        <w:rPr>
          <w:rFonts w:ascii="TimesNewRomanPSMT" w:hAnsi="TimesNewRomanPSMT"/>
        </w:rPr>
        <w:t xml:space="preserve"> 27</w:t>
      </w:r>
      <w:r>
        <w:rPr>
          <w:rFonts w:ascii="TimesNewRomanPSMT" w:hAnsi="TimesNewRomanPSMT"/>
        </w:rPr>
        <w:t xml:space="preserve">. </w:t>
      </w:r>
    </w:p>
  </w:footnote>
  <w:footnote w:id="225">
    <w:p w:rsidR="00E0371E" w:rsidRPr="00B433FA" w:rsidRDefault="00E0371E" w:rsidP="00274D82">
      <w:pPr>
        <w:pStyle w:val="Puslapioinaostekstas"/>
        <w:jc w:val="both"/>
      </w:pPr>
      <w:r>
        <w:rPr>
          <w:rStyle w:val="Puslapioinaosnuoroda"/>
        </w:rPr>
        <w:footnoteRef/>
      </w:r>
      <w:r w:rsidRPr="00B433FA">
        <w:t xml:space="preserve">Merino-Blanco, E. </w:t>
      </w:r>
      <w:r>
        <w:rPr>
          <w:i/>
        </w:rPr>
        <w:t>Spanish L</w:t>
      </w:r>
      <w:r w:rsidRPr="00951D4B">
        <w:rPr>
          <w:i/>
        </w:rPr>
        <w:t>aw and</w:t>
      </w:r>
      <w:r>
        <w:rPr>
          <w:i/>
        </w:rPr>
        <w:t xml:space="preserve"> L</w:t>
      </w:r>
      <w:r w:rsidRPr="00951D4B">
        <w:rPr>
          <w:i/>
        </w:rPr>
        <w:t>egal</w:t>
      </w:r>
      <w:r>
        <w:rPr>
          <w:i/>
        </w:rPr>
        <w:t xml:space="preserve"> S</w:t>
      </w:r>
      <w:r w:rsidRPr="00951D4B">
        <w:rPr>
          <w:i/>
        </w:rPr>
        <w:t>ystem</w:t>
      </w:r>
      <w:r w:rsidRPr="00B433FA">
        <w:t>. 2</w:t>
      </w:r>
      <w:r>
        <w:t>-oji</w:t>
      </w:r>
      <w:r w:rsidRPr="00B433FA">
        <w:t xml:space="preserve"> </w:t>
      </w:r>
      <w:r>
        <w:t>lai</w:t>
      </w:r>
      <w:r w:rsidRPr="00B433FA">
        <w:t>d</w:t>
      </w:r>
      <w:r>
        <w:t>a. London: Sweet &amp; Maxwell, 2006, p</w:t>
      </w:r>
      <w:r w:rsidRPr="00B433FA">
        <w:t>.</w:t>
      </w:r>
      <w:r>
        <w:t xml:space="preserve"> </w:t>
      </w:r>
      <w:r w:rsidRPr="00B433FA">
        <w:t>138</w:t>
      </w:r>
      <w:r>
        <w:t>.</w:t>
      </w:r>
    </w:p>
  </w:footnote>
  <w:footnote w:id="226">
    <w:p w:rsidR="00E0371E" w:rsidRDefault="00E0371E" w:rsidP="00274D82">
      <w:pPr>
        <w:pStyle w:val="Puslapioinaostekstas"/>
        <w:jc w:val="both"/>
      </w:pPr>
      <w:r>
        <w:rPr>
          <w:rStyle w:val="Puslapioinaosnuoroda"/>
        </w:rPr>
        <w:footnoteRef/>
      </w:r>
      <w:r w:rsidRPr="00104C41">
        <w:t>Valikonytė, I.</w:t>
      </w:r>
      <w:r>
        <w:t xml:space="preserve">, Lazutka, S., Gudavičius, E. </w:t>
      </w:r>
      <w:r w:rsidRPr="00951D4B">
        <w:rPr>
          <w:i/>
        </w:rPr>
        <w:t xml:space="preserve">Pirmasis Lietuvos Statutas </w:t>
      </w:r>
      <w:proofErr w:type="gramStart"/>
      <w:r w:rsidRPr="00951D4B">
        <w:rPr>
          <w:i/>
        </w:rPr>
        <w:t>(</w:t>
      </w:r>
      <w:proofErr w:type="gramEnd"/>
      <w:r w:rsidRPr="00951D4B">
        <w:rPr>
          <w:i/>
        </w:rPr>
        <w:t>1529 m.)</w:t>
      </w:r>
      <w:r>
        <w:t>.</w:t>
      </w:r>
      <w:r w:rsidRPr="00104C41">
        <w:t xml:space="preserve"> Vilnius: Vaga, 2001</w:t>
      </w:r>
      <w:r>
        <w:t>, p. 316.</w:t>
      </w:r>
    </w:p>
  </w:footnote>
  <w:footnote w:id="227">
    <w:p w:rsidR="00E0371E" w:rsidRDefault="00E0371E" w:rsidP="00274D82">
      <w:pPr>
        <w:pStyle w:val="Puslapioinaostekstas"/>
        <w:jc w:val="both"/>
      </w:pPr>
      <w:r>
        <w:rPr>
          <w:rStyle w:val="Puslapioinaosnuoroda"/>
        </w:rPr>
        <w:footnoteRef/>
      </w:r>
      <w:r w:rsidRPr="00716388">
        <w:t xml:space="preserve">Piesliakas, V. </w:t>
      </w:r>
      <w:r w:rsidRPr="00716388">
        <w:rPr>
          <w:i/>
        </w:rPr>
        <w:t>Lietuvos baudžiamoji teisė</w:t>
      </w:r>
      <w:r>
        <w:t>. I knyga. 2-oji</w:t>
      </w:r>
      <w:r w:rsidRPr="00716388">
        <w:t xml:space="preserve"> pataisyta ir papildyta laida. </w:t>
      </w:r>
      <w:r>
        <w:t>Vilnius:</w:t>
      </w:r>
      <w:r w:rsidRPr="00716388">
        <w:t xml:space="preserve"> Justitia,</w:t>
      </w:r>
      <w:r>
        <w:t xml:space="preserve"> </w:t>
      </w:r>
      <w:r w:rsidRPr="00716388">
        <w:t>2009</w:t>
      </w:r>
      <w:r>
        <w:t>, p</w:t>
      </w:r>
      <w:r w:rsidRPr="00716388">
        <w:t xml:space="preserve">. </w:t>
      </w:r>
      <w:r>
        <w:t>125.</w:t>
      </w:r>
    </w:p>
  </w:footnote>
  <w:footnote w:id="228">
    <w:p w:rsidR="00E0371E" w:rsidRPr="0008285E" w:rsidRDefault="00E0371E" w:rsidP="00274D82">
      <w:pPr>
        <w:pStyle w:val="Puslapioinaostekstas"/>
        <w:jc w:val="both"/>
      </w:pPr>
      <w:r>
        <w:rPr>
          <w:rStyle w:val="Puslapioinaosnuoroda"/>
        </w:rPr>
        <w:footnoteRef/>
      </w:r>
      <w:r>
        <w:t xml:space="preserve">Goda, G. Oficialumo principas ir jo išimtys Lietuvos baudžiamajame procese. In </w:t>
      </w:r>
      <w:r w:rsidRPr="004F5F34">
        <w:rPr>
          <w:i/>
        </w:rPr>
        <w:t>Lietuvos Respublikos baudžiamajam kodeksui – 10 metų</w:t>
      </w:r>
      <w:r>
        <w:t xml:space="preserve">. Vilnius: VĮ Registrų centras, 2011, p. 371. </w:t>
      </w:r>
      <w:r w:rsidRPr="0058030C">
        <w:t xml:space="preserve">Ažubalytė, R., Jurgaitis, R., Zajančkauskienė, J. </w:t>
      </w:r>
      <w:r w:rsidRPr="00A56C62">
        <w:rPr>
          <w:i/>
        </w:rPr>
        <w:t>Specifinės baudžiamojo proceso rūšys: vadovėlis.</w:t>
      </w:r>
      <w:r w:rsidRPr="0058030C">
        <w:t xml:space="preserve"> Vilnius: Myko</w:t>
      </w:r>
      <w:r>
        <w:t xml:space="preserve">lo Romerio universitetas, 2011, p. 130. Goda, G., Kazlauskas, M., Kuconis, P. </w:t>
      </w:r>
      <w:r w:rsidRPr="00AD4628">
        <w:rPr>
          <w:i/>
        </w:rPr>
        <w:t>Baudžiamojo proceso teisė</w:t>
      </w:r>
      <w:r>
        <w:rPr>
          <w:i/>
        </w:rPr>
        <w:t>.</w:t>
      </w:r>
      <w:r w:rsidRPr="00AD4628">
        <w:rPr>
          <w:i/>
        </w:rPr>
        <w:t xml:space="preserve"> </w:t>
      </w:r>
      <w:r>
        <w:rPr>
          <w:i/>
        </w:rPr>
        <w:t>V</w:t>
      </w:r>
      <w:r w:rsidRPr="00AD4628">
        <w:rPr>
          <w:i/>
        </w:rPr>
        <w:t>adovėlis</w:t>
      </w:r>
      <w:r>
        <w:t xml:space="preserve">. 2-oji pataisyta ir papildyta laida. Vilnius: VĮ Registrų centras, 2011, p. 590. Juzukonis, S. </w:t>
      </w:r>
      <w:r w:rsidRPr="00BF245F">
        <w:rPr>
          <w:i/>
        </w:rPr>
        <w:t>Nukentėjusiojo teisių apsauga baudžiamajame procese</w:t>
      </w:r>
      <w:r w:rsidRPr="00BF245F">
        <w:t>. Daktaro disertacija. Socialiniai mokslai (teisė). Vilnius: Lietuvos teisės universitetas, 2002</w:t>
      </w:r>
      <w:r>
        <w:t>, p. 95</w:t>
      </w:r>
      <w:r w:rsidRPr="00BF245F">
        <w:t>.</w:t>
      </w:r>
      <w:r>
        <w:t xml:space="preserve"> </w:t>
      </w:r>
      <w:r w:rsidRPr="0008285E">
        <w:t xml:space="preserve">Rezon, A. K. </w:t>
      </w:r>
      <w:r w:rsidRPr="0008285E">
        <w:rPr>
          <w:i/>
        </w:rPr>
        <w:t>O prestuplenija</w:t>
      </w:r>
      <w:r>
        <w:rPr>
          <w:i/>
        </w:rPr>
        <w:t>kh, nakazu</w:t>
      </w:r>
      <w:r w:rsidRPr="0008285E">
        <w:rPr>
          <w:i/>
        </w:rPr>
        <w:t>emy</w:t>
      </w:r>
      <w:r>
        <w:rPr>
          <w:i/>
        </w:rPr>
        <w:t>kh tol</w:t>
      </w:r>
      <w:r w:rsidRPr="0008285E">
        <w:rPr>
          <w:i/>
        </w:rPr>
        <w:t>ko po zhalobe poterpevshego po russkomu pravu</w:t>
      </w:r>
      <w:r w:rsidRPr="0008285E">
        <w:t xml:space="preserve"> [On Crimes Punishable Only by</w:t>
      </w:r>
      <w:r>
        <w:t xml:space="preserve"> a</w:t>
      </w:r>
      <w:r w:rsidRPr="0008285E">
        <w:t xml:space="preserve"> Complaint of the Victim in Russian Law]</w:t>
      </w:r>
      <w:r w:rsidRPr="00510FAA">
        <w:rPr>
          <w:lang w:val="en-US"/>
        </w:rPr>
        <w:t xml:space="preserve">. </w:t>
      </w:r>
      <w:r w:rsidRPr="0008285E">
        <w:t xml:space="preserve">Sankt </w:t>
      </w:r>
      <w:r>
        <w:t>Peterburg</w:t>
      </w:r>
      <w:r w:rsidRPr="0008285E">
        <w:t>: Senat pravitelstvujushchego prava</w:t>
      </w:r>
      <w:r w:rsidRPr="00510FAA">
        <w:rPr>
          <w:lang w:val="en-US"/>
        </w:rPr>
        <w:t>,</w:t>
      </w:r>
      <w:r>
        <w:rPr>
          <w:lang w:val="en-US"/>
        </w:rPr>
        <w:t xml:space="preserve"> </w:t>
      </w:r>
      <w:r w:rsidRPr="00510FAA">
        <w:rPr>
          <w:lang w:val="en-US"/>
        </w:rPr>
        <w:t>1882</w:t>
      </w:r>
      <w:r>
        <w:t xml:space="preserve">, p. </w:t>
      </w:r>
      <w:r w:rsidRPr="00510FAA">
        <w:rPr>
          <w:rFonts w:ascii="TimesNewRomanPSMT" w:hAnsi="TimesNewRomanPSMT"/>
          <w:lang w:val="en-US"/>
        </w:rPr>
        <w:t>57.</w:t>
      </w:r>
      <w:r>
        <w:rPr>
          <w:rFonts w:ascii="TimesNewRomanPSMT" w:hAnsi="TimesNewRomanPSMT"/>
          <w:lang w:val="en-US"/>
        </w:rPr>
        <w:t xml:space="preserve"> </w:t>
      </w:r>
      <w:r>
        <w:t xml:space="preserve">Savickij, V. M. </w:t>
      </w:r>
      <w:r>
        <w:rPr>
          <w:i/>
        </w:rPr>
        <w:t>Gosudarstvennoe obvineni</w:t>
      </w:r>
      <w:r w:rsidRPr="00781642">
        <w:rPr>
          <w:i/>
        </w:rPr>
        <w:t>e</w:t>
      </w:r>
      <w:r>
        <w:t xml:space="preserve"> [Public Prosecution]. Moskva: Nauka, 1971, p. 321-322.</w:t>
      </w:r>
    </w:p>
  </w:footnote>
  <w:footnote w:id="229">
    <w:p w:rsidR="00E0371E" w:rsidRDefault="00E0371E" w:rsidP="00274D82">
      <w:pPr>
        <w:pStyle w:val="Puslapioinaostekstas"/>
        <w:jc w:val="both"/>
      </w:pPr>
      <w:r>
        <w:rPr>
          <w:rStyle w:val="Puslapioinaosnuoroda"/>
        </w:rPr>
        <w:footnoteRef/>
      </w:r>
      <w:r>
        <w:t xml:space="preserve">Golovachuk, O. S. </w:t>
      </w:r>
      <w:r>
        <w:rPr>
          <w:i/>
        </w:rPr>
        <w:t>Chastnoe obvineni</w:t>
      </w:r>
      <w:r w:rsidRPr="00BC0B42">
        <w:rPr>
          <w:i/>
        </w:rPr>
        <w:t>e v ugolovnom procese</w:t>
      </w:r>
      <w:r>
        <w:t xml:space="preserve"> [Private Prosecution in Criminal Procedure]. Daktaro disertacija. Socialiniai mokslai (teisė). Ekaterinburg, 2001, p.</w:t>
      </w:r>
      <w:r w:rsidRPr="002C4917">
        <w:rPr>
          <w:rFonts w:ascii="TimesNewRomanPSMT" w:hAnsi="TimesNewRomanPSMT"/>
          <w:spacing w:val="-6"/>
        </w:rPr>
        <w:t xml:space="preserve"> 25</w:t>
      </w:r>
      <w:r>
        <w:rPr>
          <w:rFonts w:ascii="TimesNewRomanPSMT" w:hAnsi="TimesNewRomanPSMT"/>
          <w:spacing w:val="-6"/>
        </w:rPr>
        <w:t xml:space="preserve">. </w:t>
      </w:r>
      <w:r>
        <w:t xml:space="preserve">Goda, G. Oficialumo principas ir jo išimtys Lietuvos baudžiamajame procese. In </w:t>
      </w:r>
      <w:r w:rsidRPr="004F5F34">
        <w:rPr>
          <w:i/>
        </w:rPr>
        <w:t>Lietuvos Respublikos baudžiamajam kodeksui – 10 metų</w:t>
      </w:r>
      <w:r>
        <w:t>. Vilnius: VĮ Registrų centras, 2011, p. 370.</w:t>
      </w:r>
    </w:p>
  </w:footnote>
  <w:footnote w:id="230">
    <w:p w:rsidR="00E0371E" w:rsidRDefault="00E0371E" w:rsidP="00274D82">
      <w:pPr>
        <w:pStyle w:val="Puslapioinaostekstas"/>
        <w:jc w:val="both"/>
      </w:pPr>
      <w:r>
        <w:rPr>
          <w:rStyle w:val="Puslapioinaosnuoroda"/>
        </w:rPr>
        <w:footnoteRef/>
      </w:r>
      <w:r>
        <w:t xml:space="preserve">Golovachuk, O. S. </w:t>
      </w:r>
      <w:r>
        <w:rPr>
          <w:i/>
        </w:rPr>
        <w:t>Chastnoe obvineni</w:t>
      </w:r>
      <w:r w:rsidRPr="00BC0B42">
        <w:rPr>
          <w:i/>
        </w:rPr>
        <w:t>e v ugolovnom procese</w:t>
      </w:r>
      <w:r>
        <w:t xml:space="preserve"> [Private Prosecution in Criminal Procedure]. Daktaro disertacija. Socialiniai mokslai (teisė). Ekaterinburg, 2001, p.</w:t>
      </w:r>
      <w:r w:rsidRPr="002C4917">
        <w:rPr>
          <w:rFonts w:ascii="TimesNewRomanPSMT" w:hAnsi="TimesNewRomanPSMT"/>
          <w:spacing w:val="-6"/>
        </w:rPr>
        <w:t xml:space="preserve"> 26</w:t>
      </w:r>
      <w:r>
        <w:rPr>
          <w:rFonts w:ascii="TimesNewRomanPSMT" w:hAnsi="TimesNewRomanPSMT"/>
          <w:spacing w:val="-6"/>
        </w:rPr>
        <w:t>.</w:t>
      </w:r>
    </w:p>
  </w:footnote>
  <w:footnote w:id="231">
    <w:p w:rsidR="00E0371E" w:rsidRDefault="00E0371E" w:rsidP="00E16954">
      <w:pPr>
        <w:pStyle w:val="Puslapioinaostekstas"/>
        <w:jc w:val="both"/>
      </w:pPr>
      <w:r>
        <w:rPr>
          <w:rStyle w:val="Puslapioinaosnuoroda"/>
        </w:rPr>
        <w:footnoteRef/>
      </w:r>
      <w:r>
        <w:t>V</w:t>
      </w:r>
      <w:r w:rsidRPr="00B76D96">
        <w:rPr>
          <w:rFonts w:ascii="TimesNewRomanPSMT" w:hAnsi="TimesNewRomanPSMT"/>
          <w:spacing w:val="-6"/>
        </w:rPr>
        <w:t>isuomeniniai santykiai suprantami ir kaip nukentėjusiųjų privatūs interesai, kuriuos įstatymų leidėjas prilygina visuomeniniams ir juos gina</w:t>
      </w:r>
      <w:r>
        <w:rPr>
          <w:rFonts w:ascii="TimesNewRomanPSMT" w:hAnsi="TimesNewRomanPSMT"/>
          <w:spacing w:val="-6"/>
        </w:rPr>
        <w:t>.</w:t>
      </w:r>
    </w:p>
  </w:footnote>
  <w:footnote w:id="232">
    <w:p w:rsidR="00E0371E" w:rsidRDefault="00E0371E" w:rsidP="00E16954">
      <w:pPr>
        <w:pStyle w:val="Puslapioinaostekstas"/>
        <w:jc w:val="both"/>
      </w:pPr>
      <w:r>
        <w:rPr>
          <w:rStyle w:val="Puslapioinaosnuoroda"/>
        </w:rPr>
        <w:footnoteRef/>
      </w:r>
      <w:r w:rsidRPr="00716388">
        <w:t xml:space="preserve">Piesliakas, V. </w:t>
      </w:r>
      <w:r w:rsidRPr="00716388">
        <w:rPr>
          <w:i/>
        </w:rPr>
        <w:t>Lietuvos baudžiamoji teisė</w:t>
      </w:r>
      <w:r w:rsidRPr="00716388">
        <w:t xml:space="preserve">. I knyga. </w:t>
      </w:r>
      <w:r>
        <w:t>2-oji</w:t>
      </w:r>
      <w:r w:rsidRPr="00716388">
        <w:t xml:space="preserve"> pataisyta ir papildyta laida. </w:t>
      </w:r>
      <w:r>
        <w:t>Vilnius:</w:t>
      </w:r>
      <w:r w:rsidRPr="00716388">
        <w:t xml:space="preserve"> Justitia,</w:t>
      </w:r>
      <w:r>
        <w:t xml:space="preserve"> </w:t>
      </w:r>
      <w:r w:rsidRPr="00716388">
        <w:t>2009</w:t>
      </w:r>
      <w:r>
        <w:t>, p</w:t>
      </w:r>
      <w:r w:rsidRPr="00716388">
        <w:t xml:space="preserve">. </w:t>
      </w:r>
      <w:r>
        <w:t>125.</w:t>
      </w:r>
    </w:p>
  </w:footnote>
  <w:footnote w:id="233">
    <w:p w:rsidR="00E0371E" w:rsidRDefault="00E0371E" w:rsidP="00274D82">
      <w:pPr>
        <w:pStyle w:val="Puslapioinaostekstas"/>
        <w:jc w:val="both"/>
      </w:pPr>
      <w:r>
        <w:rPr>
          <w:rStyle w:val="Puslapioinaosnuoroda"/>
        </w:rPr>
        <w:footnoteRef/>
      </w:r>
      <w:r w:rsidRPr="00B76D96">
        <w:t>Nusikalstamos veikos pavojingumas vertinamas dviem lygiais: pirmiausia veikos pavojingumą įvertina įstatymų leidėjas įstatyme (rūšinis veikos pavojingumo lygis), o konkrečios veikos pavojingumą vertina teismas, skirdamas bausmę už padarytą nusikalstamą veiką.</w:t>
      </w:r>
      <w:r>
        <w:t xml:space="preserve"> </w:t>
      </w:r>
      <w:r w:rsidRPr="00B76D96">
        <w:rPr>
          <w:rFonts w:ascii="TimesNewRomanPSMT" w:hAnsi="TimesNewRomanPSMT"/>
          <w:spacing w:val="-6"/>
        </w:rPr>
        <w:t>BK 54 str</w:t>
      </w:r>
      <w:r>
        <w:rPr>
          <w:rFonts w:ascii="TimesNewRomanPSMT" w:hAnsi="TimesNewRomanPSMT"/>
          <w:spacing w:val="-6"/>
        </w:rPr>
        <w:t>aipsnio</w:t>
      </w:r>
      <w:r w:rsidRPr="00B76D96">
        <w:rPr>
          <w:rFonts w:ascii="TimesNewRomanPSMT" w:hAnsi="TimesNewRomanPSMT"/>
          <w:spacing w:val="-6"/>
        </w:rPr>
        <w:t>, numatančio bendruosius bausmės skyrimo pagrindus</w:t>
      </w:r>
      <w:r>
        <w:rPr>
          <w:rFonts w:ascii="TimesNewRomanPSMT" w:hAnsi="TimesNewRomanPSMT"/>
          <w:spacing w:val="-6"/>
        </w:rPr>
        <w:t>,</w:t>
      </w:r>
      <w:r w:rsidRPr="00B76D96">
        <w:rPr>
          <w:rFonts w:ascii="TimesNewRomanPSMT" w:hAnsi="TimesNewRomanPSMT"/>
          <w:spacing w:val="-6"/>
        </w:rPr>
        <w:t xml:space="preserve"> 2 d</w:t>
      </w:r>
      <w:r>
        <w:rPr>
          <w:rFonts w:ascii="TimesNewRomanPSMT" w:hAnsi="TimesNewRomanPSMT"/>
          <w:spacing w:val="-6"/>
        </w:rPr>
        <w:t>alies</w:t>
      </w:r>
      <w:r w:rsidRPr="00B76D96">
        <w:rPr>
          <w:rFonts w:ascii="TimesNewRomanPSMT" w:hAnsi="TimesNewRomanPSMT"/>
          <w:spacing w:val="-6"/>
        </w:rPr>
        <w:t xml:space="preserve"> 1 p</w:t>
      </w:r>
      <w:r>
        <w:rPr>
          <w:rFonts w:ascii="TimesNewRomanPSMT" w:hAnsi="TimesNewRomanPSMT"/>
          <w:spacing w:val="-6"/>
        </w:rPr>
        <w:t>.</w:t>
      </w:r>
      <w:r w:rsidRPr="00B76D96">
        <w:rPr>
          <w:rFonts w:ascii="TimesNewRomanPSMT" w:hAnsi="TimesNewRomanPSMT"/>
          <w:spacing w:val="-6"/>
        </w:rPr>
        <w:t xml:space="preserve"> numato, kad</w:t>
      </w:r>
      <w:r>
        <w:rPr>
          <w:rFonts w:ascii="TimesNewRomanPSMT" w:hAnsi="TimesNewRomanPSMT"/>
          <w:spacing w:val="-6"/>
        </w:rPr>
        <w:t>,</w:t>
      </w:r>
      <w:r w:rsidRPr="00B76D96">
        <w:rPr>
          <w:rFonts w:ascii="TimesNewRomanPSMT" w:hAnsi="TimesNewRomanPSMT"/>
          <w:spacing w:val="-6"/>
        </w:rPr>
        <w:t xml:space="preserve"> skirdamas bausmę, teismas atsižvelgia į </w:t>
      </w:r>
      <w:r w:rsidRPr="00B76D96">
        <w:rPr>
          <w:rFonts w:ascii="TimesNewRomanPSMT" w:hAnsi="TimesNewRomanPSMT"/>
          <w:color w:val="000000"/>
        </w:rPr>
        <w:t>padarytos nusikalstamos veikos pavojingumo laipsnį. Kiekybinė nusikalstamos veikos pavojingumo charakteristika atsispindi sankcijose, darydama tiesioginę įtaką bausmės, kuri gali būti paskirta už vieną ar kitą nusikalstamą veiką, rūšiai ir dydžiui.</w:t>
      </w:r>
      <w:r>
        <w:rPr>
          <w:rFonts w:ascii="TimesNewRomanPSMT" w:hAnsi="TimesNewRomanPSMT"/>
          <w:color w:val="000000"/>
        </w:rPr>
        <w:t xml:space="preserve"> </w:t>
      </w:r>
      <w:r w:rsidRPr="00716388">
        <w:t xml:space="preserve">Piesliakas, V. </w:t>
      </w:r>
      <w:r w:rsidRPr="00716388">
        <w:rPr>
          <w:i/>
        </w:rPr>
        <w:t>Lietuvos baudžiamoji teisė</w:t>
      </w:r>
      <w:r w:rsidRPr="00716388">
        <w:t>. I</w:t>
      </w:r>
      <w:r>
        <w:t xml:space="preserve"> knyga. 2-oji</w:t>
      </w:r>
      <w:r w:rsidRPr="00716388">
        <w:t xml:space="preserve"> pataisyta ir papildyta laida. </w:t>
      </w:r>
      <w:r>
        <w:t>Vilnius:</w:t>
      </w:r>
      <w:r w:rsidRPr="00716388">
        <w:t xml:space="preserve"> Justitia,</w:t>
      </w:r>
      <w:r>
        <w:t xml:space="preserve"> </w:t>
      </w:r>
      <w:r w:rsidRPr="00716388">
        <w:t>2009</w:t>
      </w:r>
      <w:r>
        <w:t>, p</w:t>
      </w:r>
      <w:r w:rsidRPr="00716388">
        <w:t xml:space="preserve">. </w:t>
      </w:r>
      <w:r>
        <w:t>132.</w:t>
      </w:r>
    </w:p>
  </w:footnote>
  <w:footnote w:id="234">
    <w:p w:rsidR="00E0371E" w:rsidRDefault="00E0371E" w:rsidP="00274D82">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Private Prosecution. Legal Theory and Case Law]. Moskva: Norma, 2000, p. 57.</w:t>
      </w:r>
    </w:p>
  </w:footnote>
  <w:footnote w:id="235">
    <w:p w:rsidR="00E0371E" w:rsidRDefault="00E0371E" w:rsidP="00274D82">
      <w:pPr>
        <w:pStyle w:val="Puslapioinaostekstas"/>
        <w:jc w:val="both"/>
      </w:pPr>
      <w:r>
        <w:rPr>
          <w:rStyle w:val="Puslapioinaosnuoroda"/>
        </w:rPr>
        <w:footnoteRef/>
      </w:r>
      <w:r>
        <w:t xml:space="preserve">Abramavičius, A., </w:t>
      </w:r>
      <w:r w:rsidRPr="00F326CF">
        <w:rPr>
          <w:i/>
        </w:rPr>
        <w:t>et al</w:t>
      </w:r>
      <w:r>
        <w:t xml:space="preserve">. </w:t>
      </w:r>
      <w:r w:rsidRPr="00951D4B">
        <w:rPr>
          <w:i/>
        </w:rPr>
        <w:t>Lietuvos Respublikos baudžiamojo kodekso komentaras. Bendroji dalis (1-98 straipsniai).</w:t>
      </w:r>
      <w:r>
        <w:t xml:space="preserve"> Vilnius: Teisinės informacijos centras, 2004, p. 95.</w:t>
      </w:r>
    </w:p>
  </w:footnote>
  <w:footnote w:id="236">
    <w:p w:rsidR="00E0371E" w:rsidRDefault="00E0371E" w:rsidP="00274D82">
      <w:pPr>
        <w:pStyle w:val="Puslapioinaostekstas"/>
        <w:jc w:val="both"/>
      </w:pPr>
      <w:r>
        <w:rPr>
          <w:rStyle w:val="Puslapioinaosnuoroda"/>
        </w:rPr>
        <w:footnoteRef/>
      </w:r>
      <w:r w:rsidRPr="00716388">
        <w:t xml:space="preserve">Piesliakas, V. </w:t>
      </w:r>
      <w:r w:rsidRPr="00716388">
        <w:rPr>
          <w:i/>
        </w:rPr>
        <w:t>Lietuvos baudžiamoji teisė</w:t>
      </w:r>
      <w:r>
        <w:t>. I knyga. 2-oji</w:t>
      </w:r>
      <w:r w:rsidRPr="00716388">
        <w:t xml:space="preserve"> pataisyta ir papildyta laida. </w:t>
      </w:r>
      <w:r>
        <w:t>Vilnius:</w:t>
      </w:r>
      <w:r w:rsidRPr="00716388">
        <w:t xml:space="preserve"> Justitia,</w:t>
      </w:r>
      <w:r>
        <w:t xml:space="preserve"> </w:t>
      </w:r>
      <w:r w:rsidRPr="00716388">
        <w:t>2009</w:t>
      </w:r>
      <w:r>
        <w:t>, p</w:t>
      </w:r>
      <w:r w:rsidRPr="00716388">
        <w:t>.</w:t>
      </w:r>
      <w:r>
        <w:t xml:space="preserve"> 135.</w:t>
      </w:r>
    </w:p>
  </w:footnote>
  <w:footnote w:id="237">
    <w:p w:rsidR="00E0371E" w:rsidRDefault="00E0371E" w:rsidP="00274D82">
      <w:pPr>
        <w:pStyle w:val="Puslapioinaostekstas"/>
        <w:jc w:val="both"/>
      </w:pPr>
      <w:r>
        <w:rPr>
          <w:rStyle w:val="Puslapioinaosnuoroda"/>
        </w:rPr>
        <w:footnoteRef/>
      </w:r>
      <w:r>
        <w:t xml:space="preserve">Goda, G. Oficialumo principas ir jo išimtys Lietuvos baudžiamajame procese. In </w:t>
      </w:r>
      <w:r w:rsidRPr="004F5F34">
        <w:rPr>
          <w:i/>
        </w:rPr>
        <w:t>Lietuvos Respublikos baudžiamajam kodeksui – 10 metų</w:t>
      </w:r>
      <w:r>
        <w:t xml:space="preserve">. Vilnius: VĮ Registrų centras, 2011, p. 390. </w:t>
      </w:r>
      <w:r w:rsidRPr="00DC4F0D">
        <w:t>Lietuvos Aukščiausiojo Teismo 2008 m. rugsėjo 30 d. nutartis baudžiamojoje byloje Nr. 2K-375/2008</w:t>
      </w:r>
      <w:r>
        <w:t>.</w:t>
      </w:r>
    </w:p>
  </w:footnote>
  <w:footnote w:id="238">
    <w:p w:rsidR="00E0371E" w:rsidRDefault="00E0371E" w:rsidP="00274D82">
      <w:pPr>
        <w:pStyle w:val="Puslapioinaostekstas"/>
        <w:jc w:val="both"/>
      </w:pPr>
      <w:r>
        <w:rPr>
          <w:rStyle w:val="Puslapioinaosnuoroda"/>
        </w:rPr>
        <w:footnoteRef/>
      </w:r>
      <w:r>
        <w:t xml:space="preserve">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p. 134.</w:t>
      </w:r>
    </w:p>
  </w:footnote>
  <w:footnote w:id="239">
    <w:p w:rsidR="00E0371E" w:rsidRDefault="00E0371E" w:rsidP="00D45697">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 xml:space="preserve">Private Prosecution. Legal Theory and Case Law]. Moskva: Norma, 2000, p. </w:t>
      </w:r>
      <w:r w:rsidRPr="00F736AB">
        <w:rPr>
          <w:rFonts w:ascii="TimesNewRomanPSMT" w:hAnsi="TimesNewRomanPSMT"/>
        </w:rPr>
        <w:t>67</w:t>
      </w:r>
      <w:r>
        <w:rPr>
          <w:rFonts w:ascii="TimesNewRomanPSMT" w:hAnsi="TimesNewRomanPSMT"/>
        </w:rPr>
        <w:t xml:space="preserve">. </w:t>
      </w:r>
      <w:r>
        <w:t xml:space="preserve">Goda, G., Kazlauskas, M., Kuconis, P. </w:t>
      </w:r>
      <w:r>
        <w:rPr>
          <w:i/>
        </w:rPr>
        <w:t>Baudžiamojo proceso teisė.</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p. 590.</w:t>
      </w:r>
    </w:p>
  </w:footnote>
  <w:footnote w:id="240">
    <w:p w:rsidR="00E0371E" w:rsidRDefault="00E0371E" w:rsidP="00D45697">
      <w:pPr>
        <w:pStyle w:val="Puslapioinaostekstas"/>
        <w:jc w:val="both"/>
      </w:pPr>
      <w:r>
        <w:rPr>
          <w:rStyle w:val="Puslapioinaosnuoroda"/>
        </w:rPr>
        <w:footnoteRef/>
      </w:r>
      <w:r w:rsidRPr="00C83381">
        <w:t>Lietuvos advokatūr</w:t>
      </w:r>
      <w:r>
        <w:t xml:space="preserve">os, </w:t>
      </w:r>
      <w:r w:rsidRPr="00C83381">
        <w:t>N</w:t>
      </w:r>
      <w:r>
        <w:t>acionalinės teismų administracijos</w:t>
      </w:r>
      <w:r w:rsidRPr="00C83381">
        <w:t xml:space="preserve"> ir Lietuvos Respublikos Seimo</w:t>
      </w:r>
      <w:r>
        <w:t xml:space="preserve"> Teisės ir teisėtvarkos komiteto </w:t>
      </w:r>
      <w:r w:rsidRPr="00C83381">
        <w:t>2013 m. balandžio 26 d.</w:t>
      </w:r>
      <w:r>
        <w:t xml:space="preserve"> organizuota a</w:t>
      </w:r>
      <w:r w:rsidRPr="00C83381">
        <w:t>pskritojo stalo diskusij</w:t>
      </w:r>
      <w:r>
        <w:t>a</w:t>
      </w:r>
      <w:r w:rsidRPr="00C83381">
        <w:t xml:space="preserve"> „Privataus kaltinimo instituto probleminiai aspektai bei įžeidimo/ šmeižimo dekriminalizavimo galimybės“ </w:t>
      </w:r>
      <w:r>
        <w:t>[interaktyvus]. Vilnius, 2013 [žiūrėta 2013-04-26]. &lt;</w:t>
      </w:r>
      <w:hyperlink r:id="rId8" w:tgtFrame="_blank" w:history="1">
        <w:r>
          <w:rPr>
            <w:rStyle w:val="Hipersaitas"/>
          </w:rPr>
          <w:t>http://www3.lrs.lt/pls/inter/w2008_home.dabarseime</w:t>
        </w:r>
      </w:hyperlink>
      <w:r>
        <w:rPr>
          <w:rStyle w:val="Hipersaitas"/>
        </w:rPr>
        <w:t>&gt;</w:t>
      </w:r>
      <w:r>
        <w:t>.</w:t>
      </w:r>
    </w:p>
  </w:footnote>
  <w:footnote w:id="241">
    <w:p w:rsidR="00E0371E" w:rsidRDefault="00E0371E" w:rsidP="00D45697">
      <w:pPr>
        <w:pStyle w:val="Puslapioinaostekstas"/>
        <w:jc w:val="both"/>
      </w:pPr>
      <w:r>
        <w:rPr>
          <w:rStyle w:val="Puslapioinaosnuoroda"/>
        </w:rPr>
        <w:footnoteRef/>
      </w:r>
      <w:r w:rsidRPr="004F5F34">
        <w:t xml:space="preserve">Stone, K. V. W. </w:t>
      </w:r>
      <w:r>
        <w:rPr>
          <w:i/>
        </w:rPr>
        <w:t>Private J</w:t>
      </w:r>
      <w:r w:rsidRPr="004F5F34">
        <w:rPr>
          <w:i/>
        </w:rPr>
        <w:t xml:space="preserve">ustice: the </w:t>
      </w:r>
      <w:r>
        <w:rPr>
          <w:i/>
        </w:rPr>
        <w:t>Law of A</w:t>
      </w:r>
      <w:r w:rsidRPr="004F5F34">
        <w:rPr>
          <w:i/>
        </w:rPr>
        <w:t>lternative</w:t>
      </w:r>
      <w:r>
        <w:rPr>
          <w:i/>
        </w:rPr>
        <w:t xml:space="preserve"> D</w:t>
      </w:r>
      <w:r w:rsidRPr="004F5F34">
        <w:rPr>
          <w:i/>
        </w:rPr>
        <w:t xml:space="preserve">ispute </w:t>
      </w:r>
      <w:r>
        <w:rPr>
          <w:i/>
        </w:rPr>
        <w:t>R</w:t>
      </w:r>
      <w:r w:rsidRPr="004F5F34">
        <w:rPr>
          <w:i/>
        </w:rPr>
        <w:t>esolution</w:t>
      </w:r>
      <w:r w:rsidRPr="004F5F34">
        <w:t>. 4</w:t>
      </w:r>
      <w:r>
        <w:t>-oji laida</w:t>
      </w:r>
      <w:r w:rsidRPr="004F5F34">
        <w:t>. New York: Foundation Press, 2000, p. 2.</w:t>
      </w:r>
    </w:p>
  </w:footnote>
  <w:footnote w:id="242">
    <w:p w:rsidR="00E0371E" w:rsidRDefault="00E0371E" w:rsidP="00274D82">
      <w:pPr>
        <w:pStyle w:val="Puslapioinaostekstas"/>
        <w:jc w:val="both"/>
      </w:pPr>
      <w:r>
        <w:rPr>
          <w:rStyle w:val="Puslapioinaosnuoroda"/>
        </w:rPr>
        <w:footnoteRef/>
      </w:r>
      <w:r w:rsidRPr="00867A73">
        <w:t xml:space="preserve">Lietuvos Respublikos apsaugos nuo smurto artimoje aplinkoje įstatymas. </w:t>
      </w:r>
      <w:r w:rsidRPr="00867A73">
        <w:rPr>
          <w:i/>
        </w:rPr>
        <w:t>Valstybės žinios</w:t>
      </w:r>
      <w:r w:rsidRPr="00867A73">
        <w:t>. 2011, Nr. 72-3475.</w:t>
      </w:r>
    </w:p>
  </w:footnote>
  <w:footnote w:id="243">
    <w:p w:rsidR="00E0371E" w:rsidRDefault="00E0371E" w:rsidP="00274D82">
      <w:pPr>
        <w:pStyle w:val="Puslapioinaostekstas"/>
        <w:jc w:val="both"/>
      </w:pPr>
      <w:r>
        <w:rPr>
          <w:rStyle w:val="Puslapioinaosnuoroda"/>
        </w:rPr>
        <w:footnoteRef/>
      </w:r>
      <w:r>
        <w:t xml:space="preserve">Reikalavimas, kad nukentėjęs nuo smurto artimoje aplinkoje asmuo veiktų kaip privatus kaltintojas, atspindi klaidingą smurto suvokimą (angl. </w:t>
      </w:r>
      <w:r w:rsidRPr="004014A2">
        <w:rPr>
          <w:i/>
        </w:rPr>
        <w:t>misconception</w:t>
      </w:r>
      <w:r>
        <w:t xml:space="preserve">) tarp šeimos narių/intymių partnerių kaip „privatų reikalą“ (angl. </w:t>
      </w:r>
      <w:r w:rsidRPr="004014A2">
        <w:rPr>
          <w:i/>
        </w:rPr>
        <w:t>private business</w:t>
      </w:r>
      <w:r>
        <w:t xml:space="preserve">) ir yra nesuderinamas su tarptautine pareiga apsaugoti nusikaltimo aukas. </w:t>
      </w:r>
      <w:r w:rsidRPr="00D05217">
        <w:rPr>
          <w:i/>
        </w:rPr>
        <w:t>Valiulienė v. Lithuania</w:t>
      </w:r>
      <w:r>
        <w:rPr>
          <w:i/>
        </w:rPr>
        <w:t xml:space="preserve">, </w:t>
      </w:r>
      <w:r w:rsidRPr="00D05217">
        <w:t>no.</w:t>
      </w:r>
      <w:r>
        <w:t xml:space="preserve"> </w:t>
      </w:r>
      <w:r w:rsidRPr="00D05217">
        <w:t>23234/07</w:t>
      </w:r>
      <w:r>
        <w:t xml:space="preserve">, 26 March 2013 (atskiroji nuomonė). </w:t>
      </w:r>
    </w:p>
  </w:footnote>
  <w:footnote w:id="244">
    <w:p w:rsidR="00E0371E" w:rsidRDefault="00E0371E" w:rsidP="0051741C">
      <w:pPr>
        <w:pStyle w:val="Puslapioinaostekstas"/>
        <w:jc w:val="both"/>
      </w:pPr>
      <w:r>
        <w:rPr>
          <w:rStyle w:val="Puslapioinaosnuoroda"/>
        </w:rPr>
        <w:footnoteRef/>
      </w:r>
      <w:r>
        <w:rPr>
          <w:iCs/>
        </w:rPr>
        <w:t>Nekvestionuoj</w:t>
      </w:r>
      <w:r w:rsidRPr="00B262A3">
        <w:rPr>
          <w:iCs/>
        </w:rPr>
        <w:t xml:space="preserve">ant </w:t>
      </w:r>
      <w:r>
        <w:rPr>
          <w:iCs/>
        </w:rPr>
        <w:t>sprendimo</w:t>
      </w:r>
      <w:r w:rsidRPr="00B262A3">
        <w:rPr>
          <w:iCs/>
        </w:rPr>
        <w:t xml:space="preserve"> apsaug</w:t>
      </w:r>
      <w:r>
        <w:rPr>
          <w:iCs/>
        </w:rPr>
        <w:t>ą</w:t>
      </w:r>
      <w:r w:rsidRPr="00B262A3">
        <w:rPr>
          <w:iCs/>
        </w:rPr>
        <w:t xml:space="preserve"> nuo smurto artimoje aplinkoje priskirti viešojo intereso </w:t>
      </w:r>
      <w:r>
        <w:rPr>
          <w:iCs/>
        </w:rPr>
        <w:t>gynimo sfer</w:t>
      </w:r>
      <w:r w:rsidRPr="00B262A3">
        <w:rPr>
          <w:iCs/>
        </w:rPr>
        <w:t xml:space="preserve">ai, </w:t>
      </w:r>
      <w:r>
        <w:rPr>
          <w:iCs/>
        </w:rPr>
        <w:t>diskutuotina</w:t>
      </w:r>
      <w:r w:rsidRPr="00B262A3">
        <w:rPr>
          <w:iCs/>
        </w:rPr>
        <w:t xml:space="preserve">, </w:t>
      </w:r>
      <w:r>
        <w:rPr>
          <w:iCs/>
        </w:rPr>
        <w:t xml:space="preserve">ar </w:t>
      </w:r>
      <w:r w:rsidRPr="00B262A3">
        <w:rPr>
          <w:iCs/>
        </w:rPr>
        <w:t xml:space="preserve">pasirinkus ikiteisminio tyrimo pradėjimo </w:t>
      </w:r>
      <w:r w:rsidRPr="00B262A3">
        <w:rPr>
          <w:i/>
          <w:iCs/>
        </w:rPr>
        <w:t>ex officio</w:t>
      </w:r>
      <w:r w:rsidRPr="008754D8">
        <w:rPr>
          <w:iCs/>
        </w:rPr>
        <w:t xml:space="preserve"> </w:t>
      </w:r>
      <w:r w:rsidRPr="00B262A3">
        <w:rPr>
          <w:iCs/>
        </w:rPr>
        <w:t xml:space="preserve">modelį nepaisant nukentėjusiojo valios išskirtinai asmeninėje sferoje, įstatymų leidėjas </w:t>
      </w:r>
      <w:r>
        <w:rPr>
          <w:iCs/>
        </w:rPr>
        <w:t xml:space="preserve">pagrįstai </w:t>
      </w:r>
      <w:r w:rsidRPr="00B262A3">
        <w:rPr>
          <w:iCs/>
        </w:rPr>
        <w:t>rizikuoja vardan viešojo intereso užtikrinimo – smurto artimoje aplinkoje prevencijos – paaukoti privačius konflikto šalių interesus. Priemonės kovai su smurtu artimoje aplinkoje pirmiausia turi atitikti nukentėjusiojo interesus, todėl nukentėjusiojo, kuris geriausiai žino konflikto aplinkybes, motyvus ir galimas tolesnes pasekmes, valia</w:t>
      </w:r>
      <w:r>
        <w:rPr>
          <w:iCs/>
        </w:rPr>
        <w:t>,</w:t>
      </w:r>
      <w:r w:rsidRPr="00B262A3">
        <w:rPr>
          <w:iCs/>
        </w:rPr>
        <w:t xml:space="preserve"> sprendžiant, kokių priemonių ta</w:t>
      </w:r>
      <w:r>
        <w:rPr>
          <w:iCs/>
        </w:rPr>
        <w:t>ikymas kaltininkui būtų optimalu</w:t>
      </w:r>
      <w:r w:rsidRPr="00B262A3">
        <w:rPr>
          <w:iCs/>
        </w:rPr>
        <w:t>s ir labiausiai atitinkantis visų artimoje aplinkoje esančių asmenų interesus, negali būti ignoruojama. Siekiant užtikrinti nukentėjusiųjų apsaugą nuo nusikalstamų veikų, padarytų artimoje aplinkoje, šios n</w:t>
      </w:r>
      <w:r w:rsidRPr="00B262A3">
        <w:t>usikalstamos veikos gal</w:t>
      </w:r>
      <w:r>
        <w:t>ėtų būti priskiriamos privačiai viešo</w:t>
      </w:r>
      <w:r w:rsidRPr="00B262A3">
        <w:t xml:space="preserve"> kaltinimo kategorijai.</w:t>
      </w:r>
      <w:r>
        <w:t xml:space="preserve"> </w:t>
      </w:r>
      <w:r w:rsidRPr="006124DE">
        <w:rPr>
          <w:iCs/>
        </w:rPr>
        <w:t>Privataus kaltinimo ir tiriamų tik pagal nukentėjusiojo skundą</w:t>
      </w:r>
      <w:r>
        <w:rPr>
          <w:iCs/>
        </w:rPr>
        <w:t xml:space="preserve"> </w:t>
      </w:r>
      <w:r w:rsidRPr="006124DE">
        <w:rPr>
          <w:iCs/>
        </w:rPr>
        <w:t xml:space="preserve">nusikalstamų veikų </w:t>
      </w:r>
      <w:r>
        <w:rPr>
          <w:iCs/>
        </w:rPr>
        <w:t>at</w:t>
      </w:r>
      <w:r w:rsidRPr="006124DE">
        <w:rPr>
          <w:iCs/>
        </w:rPr>
        <w:t xml:space="preserve">skyrimo į ypatingą bylų kategoriją tikslas yra tas pats: atsižvelgti </w:t>
      </w:r>
      <w:r>
        <w:rPr>
          <w:iCs/>
        </w:rPr>
        <w:t>į nukentėjusiojo valią būtent taip</w:t>
      </w:r>
      <w:r w:rsidRPr="006124DE">
        <w:rPr>
          <w:iCs/>
        </w:rPr>
        <w:t xml:space="preserve">, kad be nukentėjusiojo skundo procesas nebūtų galimas. Abu šie institutai – privataus kaltinimo ir </w:t>
      </w:r>
      <w:r>
        <w:rPr>
          <w:iCs/>
        </w:rPr>
        <w:t>privačiai viešo</w:t>
      </w:r>
      <w:r w:rsidRPr="006124DE">
        <w:rPr>
          <w:iCs/>
        </w:rPr>
        <w:t xml:space="preserve"> kaltinimo – yra išimtys iš oficialumo principo. </w:t>
      </w:r>
      <w:r>
        <w:rPr>
          <w:iCs/>
        </w:rPr>
        <w:t>Privačiai viešo</w:t>
      </w:r>
      <w:r w:rsidRPr="006124DE">
        <w:rPr>
          <w:iCs/>
        </w:rPr>
        <w:t xml:space="preserve"> kaltinimo procesas yra dispozityvumo apraiška siauresne apimtimi nei privatus kaltinimas: nukentėjusysis, paduodamas skundą dėl jam padarytos nusikalstamos veikos, išreiškia valią tik dėl baudžiamojo proceso pradžios, savo skundu jį inicijuodamas.</w:t>
      </w:r>
      <w:r>
        <w:rPr>
          <w:iCs/>
        </w:rPr>
        <w:t xml:space="preserve"> </w:t>
      </w:r>
      <w:r>
        <w:t xml:space="preserve">Von Schacky, S. </w:t>
      </w:r>
      <w:r w:rsidRPr="00362C4C">
        <w:rPr>
          <w:i/>
        </w:rPr>
        <w:t>Das Privatklageverfahren und seine Berechtigung heute</w:t>
      </w:r>
      <w:r>
        <w:t>. Daktaro disertacija. Socialiniai mokslai (teisė). Frankfurt am Main: Johann Wolfgang Goethe Universität, 1975, p.</w:t>
      </w:r>
      <w:r w:rsidRPr="001E0EC7">
        <w:t xml:space="preserve"> 279</w:t>
      </w:r>
      <w:r>
        <w:t>.</w:t>
      </w:r>
    </w:p>
    <w:p w:rsidR="00E0371E" w:rsidRPr="0051741C" w:rsidRDefault="00E0371E" w:rsidP="00274D82">
      <w:pPr>
        <w:pStyle w:val="Puslapioinaostekstas"/>
        <w:jc w:val="both"/>
      </w:pPr>
      <w:r w:rsidRPr="00B262A3">
        <w:t xml:space="preserve">Tai iš esmės keičia nukentėjusiojo procesinę padėtį: </w:t>
      </w:r>
      <w:r>
        <w:t>privačiai viešo</w:t>
      </w:r>
      <w:r w:rsidRPr="00B262A3">
        <w:t xml:space="preserve"> kaltinimo atveju nukentėjusysis turi tik parodyti iniciatyvą dėl proceso pradėjimo, o toliau savo pareigas privalo atlikti valstybės subjektai, o privataus kaltinimo bylų procese nukentėjusiajam tenka ir įrodinėjimo našta.</w:t>
      </w:r>
      <w:r>
        <w:t xml:space="preserve"> Goda, G. Oficialumo principas ir jo išimtys Lietuvos baudžiamajame procese.  In </w:t>
      </w:r>
      <w:r w:rsidRPr="004F5F34">
        <w:rPr>
          <w:i/>
        </w:rPr>
        <w:t>Lietuvos Respublikos baudžiamajam kodeksui – 10 metų</w:t>
      </w:r>
      <w:r>
        <w:t>. Vilnius: VĮ Registrų centras, 2011, p. 373.</w:t>
      </w:r>
    </w:p>
  </w:footnote>
  <w:footnote w:id="245">
    <w:p w:rsidR="00E0371E" w:rsidRDefault="00E0371E" w:rsidP="00274D82">
      <w:pPr>
        <w:pStyle w:val="Puslapioinaostekstas"/>
        <w:jc w:val="both"/>
      </w:pPr>
      <w:r>
        <w:rPr>
          <w:rStyle w:val="Puslapioinaosnuoroda"/>
        </w:rPr>
        <w:footnoteRef/>
      </w:r>
      <w:r>
        <w:t xml:space="preserve">Baranskaitė, A. </w:t>
      </w:r>
      <w:r w:rsidRPr="00733CEA">
        <w:rPr>
          <w:i/>
        </w:rPr>
        <w:t>Taikos sutartis baudžiamojoje teisėje</w:t>
      </w:r>
      <w:r>
        <w:t>. Vilnius: Teisinės informacijos centras, 2007, p. 61.</w:t>
      </w:r>
    </w:p>
  </w:footnote>
  <w:footnote w:id="246">
    <w:p w:rsidR="00E0371E" w:rsidRDefault="00E0371E" w:rsidP="00274D82">
      <w:pPr>
        <w:pStyle w:val="Puslapioinaostekstas"/>
        <w:jc w:val="both"/>
      </w:pPr>
      <w:r>
        <w:rPr>
          <w:rStyle w:val="Puslapioinaosnuoroda"/>
        </w:rPr>
        <w:footnoteRef/>
      </w:r>
      <w:r w:rsidRPr="00D372D3">
        <w:t>Fedosiuk, O. Baudžiamoji atsakomybė kaip kraštutinė priemonė (ultima ratio):</w:t>
      </w:r>
      <w:r>
        <w:t xml:space="preserve"> </w:t>
      </w:r>
      <w:r w:rsidRPr="00D372D3">
        <w:t xml:space="preserve">teorija ir realybė. </w:t>
      </w:r>
      <w:r w:rsidRPr="00D372D3">
        <w:rPr>
          <w:i/>
        </w:rPr>
        <w:t>Jurisprudencija</w:t>
      </w:r>
      <w:r>
        <w:t xml:space="preserve">. 2012, 19 (2): 719. </w:t>
      </w:r>
    </w:p>
  </w:footnote>
  <w:footnote w:id="247">
    <w:p w:rsidR="00E0371E" w:rsidRDefault="00E0371E" w:rsidP="00274D82">
      <w:pPr>
        <w:pStyle w:val="Puslapioinaostekstas"/>
        <w:jc w:val="both"/>
      </w:pPr>
      <w:r>
        <w:rPr>
          <w:rStyle w:val="Puslapioinaosnuoroda"/>
        </w:rPr>
        <w:footnoteRef/>
      </w:r>
      <w:r>
        <w:t xml:space="preserve">Negalima paneigti smurtautojo pareigos atsakyti už savo veiksmus, tačiau abejotina, ar teisinga baudžiamąją atsakomybę laikyti sprendimu mažinant smurtą artimoje aplinkoje ir įtvirtinti kaip vienintelę ir privalomą priemonę. </w:t>
      </w:r>
    </w:p>
  </w:footnote>
  <w:footnote w:id="248">
    <w:p w:rsidR="00E0371E" w:rsidRDefault="00E0371E" w:rsidP="00274D82">
      <w:pPr>
        <w:pStyle w:val="Puslapioinaostekstas"/>
        <w:jc w:val="both"/>
      </w:pPr>
      <w:r>
        <w:rPr>
          <w:rStyle w:val="Puslapioinaosnuoroda"/>
        </w:rPr>
        <w:footnoteRef/>
      </w:r>
      <w:r>
        <w:t xml:space="preserve">Fedosiuk, O. Baudžiamoji atsakomybė kaip kraštutinė priemonė (ultima ratio): teorija ir realybė. </w:t>
      </w:r>
      <w:r w:rsidRPr="00C127CF">
        <w:rPr>
          <w:i/>
        </w:rPr>
        <w:t>Jurisprudencija</w:t>
      </w:r>
      <w:r>
        <w:t xml:space="preserve">. 2012, 19 (2): 717. </w:t>
      </w:r>
    </w:p>
  </w:footnote>
  <w:footnote w:id="249">
    <w:p w:rsidR="00E0371E" w:rsidRPr="00510FAA" w:rsidRDefault="00E0371E" w:rsidP="00274D82">
      <w:pPr>
        <w:pStyle w:val="Puslapioinaostekstas"/>
        <w:jc w:val="both"/>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 xml:space="preserve">: 163. </w:t>
      </w:r>
    </w:p>
  </w:footnote>
  <w:footnote w:id="250">
    <w:p w:rsidR="00E0371E" w:rsidRDefault="00E0371E" w:rsidP="00274D82">
      <w:pPr>
        <w:pStyle w:val="Puslapioinaostekstas"/>
        <w:jc w:val="both"/>
      </w:pPr>
      <w:r>
        <w:rPr>
          <w:rStyle w:val="Puslapioinaosnuoroda"/>
        </w:rPr>
        <w:footnoteRef/>
      </w:r>
      <w:r>
        <w:t xml:space="preserve">Baranskaitė, A. </w:t>
      </w:r>
      <w:r w:rsidRPr="00733CEA">
        <w:rPr>
          <w:i/>
        </w:rPr>
        <w:t>Taikos sutartis baudžiamojoje teisėje</w:t>
      </w:r>
      <w:r>
        <w:t>. Vilnius: Teisinės informacijos centras, 2007, p. 61.</w:t>
      </w:r>
    </w:p>
  </w:footnote>
  <w:footnote w:id="251">
    <w:p w:rsidR="00E0371E" w:rsidRDefault="00E0371E" w:rsidP="00274D82">
      <w:pPr>
        <w:pStyle w:val="Puslapioinaostekstas"/>
        <w:jc w:val="both"/>
      </w:pPr>
      <w:r>
        <w:rPr>
          <w:rStyle w:val="Puslapioinaosnuoroda"/>
        </w:rPr>
        <w:footnoteRef/>
      </w:r>
      <w:r>
        <w:t xml:space="preserve">Jurgaitis, R. </w:t>
      </w:r>
      <w:r w:rsidRPr="00733CEA">
        <w:rPr>
          <w:i/>
        </w:rPr>
        <w:t>Supaprastinta baudžiamoji procesinė forma</w:t>
      </w:r>
      <w:r>
        <w:t>. Daktaro disertacija. Socialiniai mokslai (teisė). Vilnius: Lietuvos teisės universitetas, 2004, p. 13.</w:t>
      </w:r>
    </w:p>
  </w:footnote>
  <w:footnote w:id="252">
    <w:p w:rsidR="00E0371E" w:rsidRDefault="00E0371E" w:rsidP="0062366B">
      <w:pPr>
        <w:pStyle w:val="Puslapioinaostekstas"/>
        <w:jc w:val="both"/>
      </w:pPr>
      <w:r>
        <w:rPr>
          <w:rStyle w:val="Puslapioinaosnuoroda"/>
        </w:rPr>
        <w:footnoteRef/>
      </w:r>
      <w:r>
        <w:t xml:space="preserve">Jurgaitis, R. </w:t>
      </w:r>
      <w:r w:rsidRPr="00733CEA">
        <w:rPr>
          <w:i/>
        </w:rPr>
        <w:t>Supaprastinta baudžiamoji procesinė forma</w:t>
      </w:r>
      <w:r>
        <w:t>. Daktaro disertacija. Socialiniai mokslai (teisė). Vilnius: Lietuvos teisės universitetas, 2004, p. 15.</w:t>
      </w:r>
    </w:p>
  </w:footnote>
  <w:footnote w:id="253">
    <w:p w:rsidR="00E0371E" w:rsidRDefault="00E0371E" w:rsidP="00274D82">
      <w:pPr>
        <w:pStyle w:val="Puslapioinaostekstas"/>
        <w:jc w:val="both"/>
      </w:pPr>
      <w:r>
        <w:rPr>
          <w:rStyle w:val="Puslapioinaosnuoroda"/>
        </w:rPr>
        <w:footnoteRef/>
      </w:r>
      <w:r>
        <w:t>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784CB7">
        <w:t>44-45</w:t>
      </w:r>
      <w:r>
        <w:t>.</w:t>
      </w:r>
    </w:p>
  </w:footnote>
  <w:footnote w:id="254">
    <w:p w:rsidR="00E0371E" w:rsidRDefault="00E0371E" w:rsidP="00274D82">
      <w:pPr>
        <w:pStyle w:val="Puslapioinaostekstas"/>
        <w:jc w:val="both"/>
      </w:pPr>
      <w:r>
        <w:rPr>
          <w:rStyle w:val="Puslapioinaosnuoroda"/>
        </w:rPr>
        <w:footnoteRef/>
      </w:r>
      <w:r>
        <w:t>Įrodinėjimo sudėtingumo sąvoka čia naudojama objektyviąja (moksline teorine) prasme, kadangi subjektyviai privačiam kaltintojui tai gali būti labai sudėtinga procesinė našta. Plačiau apie tai: III disertacijos skyriuje.</w:t>
      </w:r>
    </w:p>
  </w:footnote>
  <w:footnote w:id="255">
    <w:p w:rsidR="00E0371E" w:rsidRDefault="00E0371E" w:rsidP="00274D82">
      <w:pPr>
        <w:pStyle w:val="Puslapioinaostekstas"/>
        <w:jc w:val="both"/>
      </w:pPr>
      <w:r>
        <w:rPr>
          <w:rStyle w:val="Puslapioinaosnuoroda"/>
        </w:rPr>
        <w:footnoteRef/>
      </w:r>
      <w:r>
        <w:t xml:space="preserve">Tensina, E. F. </w:t>
      </w:r>
      <w:r>
        <w:rPr>
          <w:i/>
        </w:rPr>
        <w:t>Proizvodstvo po delam ch</w:t>
      </w:r>
      <w:r w:rsidRPr="00B57450">
        <w:rPr>
          <w:i/>
        </w:rPr>
        <w:t>astnogo obvinenija kak forma dispozitivnosti</w:t>
      </w:r>
      <w:r>
        <w:rPr>
          <w:i/>
        </w:rPr>
        <w:t xml:space="preserve"> </w:t>
      </w:r>
      <w:r w:rsidRPr="007A597D">
        <w:t>[Procedure in Private Prosecution Cases as a Form of Dispositiveness].</w:t>
      </w:r>
      <w:r>
        <w:t xml:space="preserve"> </w:t>
      </w:r>
      <w:r w:rsidRPr="004F5F34">
        <w:t>Daktaro disertacija. Socialiniai mokslai (teisė). Izhevsk, 2004, p. 40</w:t>
      </w:r>
      <w:r>
        <w:t>.</w:t>
      </w:r>
      <w:r w:rsidRPr="004F5F34">
        <w:t xml:space="preserve"> </w:t>
      </w:r>
      <w:r>
        <w:t xml:space="preserve">Goda, G., Kazlauskas, M., Kuconis, P. </w:t>
      </w:r>
      <w:r>
        <w:rPr>
          <w:i/>
        </w:rPr>
        <w:t>Baudžiamojo proceso teisė.</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xml:space="preserve">, </w:t>
      </w:r>
      <w:r w:rsidRPr="0033763D">
        <w:t>p. 59</w:t>
      </w:r>
      <w:r>
        <w:t>0.</w:t>
      </w:r>
    </w:p>
  </w:footnote>
  <w:footnote w:id="256">
    <w:p w:rsidR="00E0371E" w:rsidRDefault="00E0371E" w:rsidP="00274D82">
      <w:pPr>
        <w:pStyle w:val="Puslapioinaostekstas"/>
        <w:jc w:val="both"/>
      </w:pPr>
      <w:r>
        <w:rPr>
          <w:rStyle w:val="Puslapioinaosnuoroda"/>
        </w:rPr>
        <w:footnoteRef/>
      </w:r>
      <w:r>
        <w:t xml:space="preserve">Christie, N., Conflicts as Property. </w:t>
      </w:r>
      <w:r w:rsidRPr="00B95559">
        <w:rPr>
          <w:i/>
        </w:rPr>
        <w:t>The British Journal of Criminology</w:t>
      </w:r>
      <w:r>
        <w:t xml:space="preserve">. 1977, 17 (1): 1-15. </w:t>
      </w:r>
    </w:p>
  </w:footnote>
  <w:footnote w:id="257">
    <w:p w:rsidR="00E0371E" w:rsidRDefault="00E0371E" w:rsidP="00274D82">
      <w:pPr>
        <w:pStyle w:val="Puslapioinaostekstas"/>
        <w:jc w:val="both"/>
      </w:pPr>
      <w:r>
        <w:rPr>
          <w:rStyle w:val="Puslapioinaosnuoroda"/>
        </w:rPr>
        <w:footnoteRef/>
      </w:r>
      <w:r w:rsidRPr="00535B5D">
        <w:t xml:space="preserve">Christie, N., Conflicts as Property. </w:t>
      </w:r>
      <w:r w:rsidRPr="00535B5D">
        <w:rPr>
          <w:i/>
        </w:rPr>
        <w:t>The British Journal of Criminology</w:t>
      </w:r>
      <w:r w:rsidRPr="00535B5D">
        <w:t xml:space="preserve">. </w:t>
      </w:r>
      <w:r>
        <w:t xml:space="preserve">1977, </w:t>
      </w:r>
      <w:r w:rsidRPr="00535B5D">
        <w:t>17</w:t>
      </w:r>
      <w:r>
        <w:t xml:space="preserve"> </w:t>
      </w:r>
      <w:r w:rsidRPr="00535B5D">
        <w:t>(1): 1-15.</w:t>
      </w:r>
      <w:r>
        <w:t xml:space="preserve"> Ashworth, A. Punishment and Compensation: Victims, Offenders and the State. </w:t>
      </w:r>
      <w:r w:rsidRPr="00535B5D">
        <w:rPr>
          <w:i/>
        </w:rPr>
        <w:t>Oxford Journal of Legal Studies</w:t>
      </w:r>
      <w:r>
        <w:t xml:space="preserve">. 1986, 6: 86-122. Wright, M. </w:t>
      </w:r>
      <w:r w:rsidRPr="00535B5D">
        <w:rPr>
          <w:i/>
        </w:rPr>
        <w:t>Justice for Victims and Offenders</w:t>
      </w:r>
      <w:r>
        <w:t xml:space="preserve">. Buckingham: Open University Press, 1991, p. 1-9. </w:t>
      </w:r>
    </w:p>
  </w:footnote>
  <w:footnote w:id="258">
    <w:p w:rsidR="00E0371E" w:rsidRPr="0008285E" w:rsidRDefault="00E0371E" w:rsidP="00274D82">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Private Prosecution. Legal Theory and Case Law]. Moskva: Norma, 2000, p. 62</w:t>
      </w:r>
      <w:r w:rsidRPr="00510FAA">
        <w:rPr>
          <w:rFonts w:ascii="TimesNewRomanPSMT" w:hAnsi="TimesNewRomanPSMT"/>
        </w:rPr>
        <w:t xml:space="preserve">. </w:t>
      </w:r>
      <w:r w:rsidRPr="00DB33AC">
        <w:rPr>
          <w:rFonts w:ascii="TimesNewRomanPSMT" w:hAnsi="TimesNewRomanPSMT"/>
        </w:rPr>
        <w:t>Goda</w:t>
      </w:r>
      <w:r w:rsidRPr="00510FAA">
        <w:rPr>
          <w:rFonts w:ascii="TimesNewRomanPSMT" w:hAnsi="TimesNewRomanPSMT"/>
        </w:rPr>
        <w:t xml:space="preserve">, </w:t>
      </w:r>
      <w:r w:rsidRPr="00DB33AC">
        <w:rPr>
          <w:rFonts w:ascii="TimesNewRomanPSMT" w:hAnsi="TimesNewRomanPSMT"/>
        </w:rPr>
        <w:t>G</w:t>
      </w:r>
      <w:r w:rsidRPr="00510FAA">
        <w:rPr>
          <w:rFonts w:ascii="TimesNewRomanPSMT" w:hAnsi="TimesNewRomanPSMT"/>
        </w:rPr>
        <w:t xml:space="preserve">., </w:t>
      </w:r>
      <w:r w:rsidRPr="00DB33AC">
        <w:rPr>
          <w:rFonts w:ascii="TimesNewRomanPSMT" w:hAnsi="TimesNewRomanPSMT"/>
        </w:rPr>
        <w:t>Kazlauskas</w:t>
      </w:r>
      <w:r w:rsidRPr="00510FAA">
        <w:rPr>
          <w:rFonts w:ascii="TimesNewRomanPSMT" w:hAnsi="TimesNewRomanPSMT"/>
        </w:rPr>
        <w:t xml:space="preserve">, </w:t>
      </w:r>
      <w:r w:rsidRPr="00DB33AC">
        <w:rPr>
          <w:rFonts w:ascii="TimesNewRomanPSMT" w:hAnsi="TimesNewRomanPSMT"/>
        </w:rPr>
        <w:t>M</w:t>
      </w:r>
      <w:r w:rsidRPr="00510FAA">
        <w:rPr>
          <w:rFonts w:ascii="TimesNewRomanPSMT" w:hAnsi="TimesNewRomanPSMT"/>
        </w:rPr>
        <w:t xml:space="preserve">., </w:t>
      </w:r>
      <w:r w:rsidRPr="00DB33AC">
        <w:rPr>
          <w:rFonts w:ascii="TimesNewRomanPSMT" w:hAnsi="TimesNewRomanPSMT"/>
        </w:rPr>
        <w:t>Kuconis</w:t>
      </w:r>
      <w:r>
        <w:rPr>
          <w:rFonts w:ascii="TimesNewRomanPSMT" w:hAnsi="TimesNewRomanPSMT"/>
        </w:rPr>
        <w:t xml:space="preserve"> </w:t>
      </w:r>
      <w:r w:rsidRPr="00DB33AC">
        <w:rPr>
          <w:rFonts w:ascii="TimesNewRomanPSMT" w:hAnsi="TimesNewRomanPSMT"/>
        </w:rPr>
        <w:t>P</w:t>
      </w:r>
      <w:r w:rsidRPr="00510FAA">
        <w:rPr>
          <w:rFonts w:ascii="TimesNewRomanPSMT" w:hAnsi="TimesNewRomanPSMT"/>
        </w:rPr>
        <w:t xml:space="preserve">. </w:t>
      </w:r>
      <w:r w:rsidRPr="00DB33AC">
        <w:rPr>
          <w:rFonts w:ascii="TimesNewRomanPSMT" w:hAnsi="TimesNewRomanPSMT"/>
          <w:i/>
        </w:rPr>
        <w:t>Baud</w:t>
      </w:r>
      <w:r w:rsidRPr="00510FAA">
        <w:rPr>
          <w:rFonts w:ascii="TimesNewRomanPSMT" w:hAnsi="TimesNewRomanPSMT"/>
          <w:i/>
        </w:rPr>
        <w:t>ž</w:t>
      </w:r>
      <w:r w:rsidRPr="00DB33AC">
        <w:rPr>
          <w:rFonts w:ascii="TimesNewRomanPSMT" w:hAnsi="TimesNewRomanPSMT"/>
          <w:i/>
        </w:rPr>
        <w:t>iamojo</w:t>
      </w:r>
      <w:r>
        <w:rPr>
          <w:rFonts w:ascii="TimesNewRomanPSMT" w:hAnsi="TimesNewRomanPSMT"/>
          <w:i/>
        </w:rPr>
        <w:t xml:space="preserve"> </w:t>
      </w:r>
      <w:r w:rsidRPr="00DB33AC">
        <w:rPr>
          <w:rFonts w:ascii="TimesNewRomanPSMT" w:hAnsi="TimesNewRomanPSMT"/>
          <w:i/>
        </w:rPr>
        <w:t>proceso</w:t>
      </w:r>
      <w:r>
        <w:rPr>
          <w:rFonts w:ascii="TimesNewRomanPSMT" w:hAnsi="TimesNewRomanPSMT"/>
          <w:i/>
        </w:rPr>
        <w:t xml:space="preserve"> </w:t>
      </w:r>
      <w:r w:rsidRPr="00DB33AC">
        <w:rPr>
          <w:rFonts w:ascii="TimesNewRomanPSMT" w:hAnsi="TimesNewRomanPSMT"/>
          <w:i/>
        </w:rPr>
        <w:t>teis</w:t>
      </w:r>
      <w:r w:rsidRPr="00510FAA">
        <w:rPr>
          <w:rFonts w:ascii="TimesNewRomanPSMT" w:hAnsi="TimesNewRomanPSMT" w:hint="eastAsia"/>
          <w:i/>
        </w:rPr>
        <w:t>ė</w:t>
      </w:r>
      <w:r w:rsidRPr="00510FAA">
        <w:rPr>
          <w:rFonts w:ascii="TimesNewRomanPSMT" w:hAnsi="TimesNewRomanPSMT"/>
        </w:rPr>
        <w:t xml:space="preserve">. </w:t>
      </w:r>
      <w:r>
        <w:rPr>
          <w:rFonts w:ascii="TimesNewRomanPSMT" w:hAnsi="TimesNewRomanPSMT"/>
        </w:rPr>
        <w:t xml:space="preserve">Vilnikus: </w:t>
      </w:r>
      <w:r w:rsidRPr="00510FAA">
        <w:rPr>
          <w:rFonts w:ascii="TimesNewRomanPSMT" w:hAnsi="TimesNewRomanPSMT"/>
        </w:rPr>
        <w:t>Teisin</w:t>
      </w:r>
      <w:r w:rsidRPr="00510FAA">
        <w:rPr>
          <w:rFonts w:ascii="TimesNewRomanPSMT" w:hAnsi="TimesNewRomanPSMT" w:hint="eastAsia"/>
        </w:rPr>
        <w:t>ė</w:t>
      </w:r>
      <w:r w:rsidRPr="00510FAA">
        <w:rPr>
          <w:rFonts w:ascii="TimesNewRomanPSMT" w:hAnsi="TimesNewRomanPSMT"/>
        </w:rPr>
        <w:t>s informacijos centras, 2005</w:t>
      </w:r>
      <w:r>
        <w:rPr>
          <w:rFonts w:ascii="TimesNewRomanPSMT" w:hAnsi="TimesNewRomanPSMT"/>
        </w:rPr>
        <w:t>,</w:t>
      </w:r>
      <w:r w:rsidRPr="00510FAA">
        <w:rPr>
          <w:rFonts w:ascii="TimesNewRomanPSMT" w:hAnsi="TimesNewRomanPSMT"/>
        </w:rPr>
        <w:t xml:space="preserve"> p. 599</w:t>
      </w:r>
      <w:r>
        <w:rPr>
          <w:rFonts w:ascii="Calibri" w:hAnsi="Calibri"/>
        </w:rPr>
        <w:t xml:space="preserve">. </w:t>
      </w:r>
      <w:r w:rsidRPr="00B76D96">
        <w:rPr>
          <w:rFonts w:ascii="TimesNewRomanPSMT" w:hAnsi="TimesNewRomanPSMT"/>
        </w:rPr>
        <w:t>Kai kurie mokslininkai teigia, kad nukentėjusiojo subjektyvus vertinimas turi įtaką tik veikų, kuriomis kėsinamasi į asmens orumą, kvalifikacijai. Todėl veikos, kurių objektas yra žmogaus sveika</w:t>
      </w:r>
      <w:r>
        <w:rPr>
          <w:rFonts w:ascii="TimesNewRomanPSMT" w:hAnsi="TimesNewRomanPSMT"/>
        </w:rPr>
        <w:t xml:space="preserve">ta, neturėtų būti priskiriamos </w:t>
      </w:r>
      <w:r w:rsidRPr="00B76D96">
        <w:rPr>
          <w:rFonts w:ascii="TimesNewRomanPSMT" w:hAnsi="TimesNewRomanPSMT"/>
        </w:rPr>
        <w:t xml:space="preserve">privataus kaltinimo </w:t>
      </w:r>
      <w:r>
        <w:rPr>
          <w:rFonts w:ascii="TimesNewRomanPSMT" w:hAnsi="TimesNewRomanPSMT"/>
        </w:rPr>
        <w:t>sričiai</w:t>
      </w:r>
      <w:r w:rsidRPr="00B76D96">
        <w:rPr>
          <w:rFonts w:ascii="TimesNewRomanPSMT" w:hAnsi="TimesNewRomanPSMT"/>
        </w:rPr>
        <w:t xml:space="preserve">. </w:t>
      </w:r>
      <w:r>
        <w:rPr>
          <w:rFonts w:ascii="TimesNewRomanPSMT" w:hAnsi="TimesNewRomanPSMT"/>
        </w:rPr>
        <w:t>Egzistuoja nuomonė</w:t>
      </w:r>
      <w:r w:rsidRPr="00B76D96">
        <w:rPr>
          <w:rFonts w:ascii="TimesNewRomanPSMT" w:hAnsi="TimesNewRomanPSMT"/>
        </w:rPr>
        <w:t>, kad šis požymis būdingas tik įžeidimo atveju, todėl jis nepripažintinas universaliu požy</w:t>
      </w:r>
      <w:r>
        <w:rPr>
          <w:rFonts w:ascii="TimesNewRomanPSMT" w:hAnsi="TimesNewRomanPSMT"/>
        </w:rPr>
        <w:t>miu, taikomu viso</w:t>
      </w:r>
      <w:r w:rsidRPr="00B76D96">
        <w:rPr>
          <w:rFonts w:ascii="TimesNewRomanPSMT" w:hAnsi="TimesNewRomanPSMT"/>
        </w:rPr>
        <w:t xml:space="preserve">ms privataus kaltinimo </w:t>
      </w:r>
      <w:r>
        <w:rPr>
          <w:rFonts w:ascii="TimesNewRomanPSMT" w:hAnsi="TimesNewRomanPSMT"/>
        </w:rPr>
        <w:t>nusikalstamoms veikoms</w:t>
      </w:r>
      <w:r w:rsidRPr="00B76D96">
        <w:rPr>
          <w:rFonts w:ascii="TimesNewRomanPSMT" w:hAnsi="TimesNewRomanPSMT"/>
        </w:rPr>
        <w:t>.</w:t>
      </w:r>
      <w:r>
        <w:rPr>
          <w:rFonts w:ascii="TimesNewRomanPSMT" w:hAnsi="TimesNewRomanPSMT"/>
        </w:rPr>
        <w:t xml:space="preserve"> </w:t>
      </w:r>
      <w:r>
        <w:t xml:space="preserve">Golovachuk, O. S. </w:t>
      </w:r>
      <w:r>
        <w:rPr>
          <w:i/>
        </w:rPr>
        <w:t>Chastnoe obvineni</w:t>
      </w:r>
      <w:r w:rsidRPr="00BC0B42">
        <w:rPr>
          <w:i/>
        </w:rPr>
        <w:t>e v ugolovnom procese</w:t>
      </w:r>
      <w:r>
        <w:t xml:space="preserve"> [Private Prosecution in Criminal Procedure]. Daktaro disertacija. Socialiniai mokslai (teisė). Ekaterinburg, 2001.</w:t>
      </w:r>
    </w:p>
  </w:footnote>
  <w:footnote w:id="259">
    <w:p w:rsidR="00E0371E" w:rsidRPr="00951D4B" w:rsidRDefault="00E0371E" w:rsidP="00274D82">
      <w:pPr>
        <w:pStyle w:val="Puslapioinaostekstas"/>
        <w:jc w:val="both"/>
        <w:rPr>
          <w:rFonts w:asciiTheme="minorHAnsi" w:hAnsiTheme="minorHAnsi"/>
        </w:rPr>
      </w:pPr>
      <w:r>
        <w:rPr>
          <w:rStyle w:val="Puslapioinaosnuoroda"/>
        </w:rPr>
        <w:footnoteRef/>
      </w:r>
      <w:r>
        <w:t xml:space="preserve">Doroshkov, V. V. </w:t>
      </w:r>
      <w:r>
        <w:rPr>
          <w:i/>
        </w:rPr>
        <w:t>Chastno</w:t>
      </w:r>
      <w:r w:rsidRPr="0008285E">
        <w:rPr>
          <w:i/>
        </w:rPr>
        <w:t>e o</w:t>
      </w:r>
      <w:r>
        <w:rPr>
          <w:i/>
        </w:rPr>
        <w:t>bvineni</w:t>
      </w:r>
      <w:r w:rsidRPr="0008285E">
        <w:rPr>
          <w:i/>
        </w:rPr>
        <w:t>e. Pravovaja teorija i sudebnaja praktika</w:t>
      </w:r>
      <w:r>
        <w:rPr>
          <w:i/>
        </w:rPr>
        <w:t xml:space="preserve"> </w:t>
      </w:r>
      <w:proofErr w:type="gramStart"/>
      <w:r>
        <w:t>[</w:t>
      </w:r>
      <w:proofErr w:type="gramEnd"/>
      <w:r>
        <w:t>Private Prosecution. Legal Theory and Case Law]. Moskva: Norma, 2000, p. 61. 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2C4917">
        <w:rPr>
          <w:rFonts w:ascii="TimesNewRomanPSMT" w:hAnsi="TimesNewRomanPSMT"/>
          <w:spacing w:val="-6"/>
          <w:lang w:val="uk-UA"/>
        </w:rPr>
        <w:t>35</w:t>
      </w:r>
      <w:r>
        <w:rPr>
          <w:rFonts w:asciiTheme="minorHAnsi" w:hAnsiTheme="minorHAnsi"/>
          <w:spacing w:val="-6"/>
        </w:rPr>
        <w:t>.</w:t>
      </w:r>
    </w:p>
  </w:footnote>
  <w:footnote w:id="260">
    <w:p w:rsidR="00E0371E" w:rsidRPr="004F5F34" w:rsidRDefault="00E0371E" w:rsidP="00274D82">
      <w:pPr>
        <w:pStyle w:val="Puslapioinaostekstas"/>
        <w:jc w:val="both"/>
        <w:rPr>
          <w:rFonts w:asciiTheme="minorHAnsi" w:hAnsiTheme="minorHAnsi"/>
        </w:rPr>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Private Prosecution. Legal Theory and Case Law]. Moskva: Norma, 2000, 30-31. 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784CB7">
        <w:t>44-45</w:t>
      </w:r>
      <w:r>
        <w:t xml:space="preserve">. Fojnickij, I. Ja. </w:t>
      </w:r>
      <w:r>
        <w:rPr>
          <w:i/>
          <w:color w:val="000033"/>
        </w:rPr>
        <w:t xml:space="preserve">Kurs ugolovnogo sudoproizvodstva </w:t>
      </w:r>
      <w:r w:rsidRPr="00B56034">
        <w:rPr>
          <w:color w:val="000033"/>
        </w:rPr>
        <w:t>[Course of Criminal Procedure].</w:t>
      </w:r>
      <w:r w:rsidRPr="00A73D41">
        <w:rPr>
          <w:color w:val="000033"/>
        </w:rPr>
        <w:t> </w:t>
      </w:r>
      <w:r>
        <w:rPr>
          <w:color w:val="000033"/>
        </w:rPr>
        <w:t>I tomas. Sankt Peterburg</w:t>
      </w:r>
      <w:r w:rsidRPr="00A73D41">
        <w:rPr>
          <w:color w:val="000033"/>
        </w:rPr>
        <w:t>: </w:t>
      </w:r>
      <w:r>
        <w:rPr>
          <w:color w:val="000033"/>
        </w:rPr>
        <w:t>Alfa</w:t>
      </w:r>
      <w:r w:rsidRPr="00A73D41">
        <w:rPr>
          <w:color w:val="000033"/>
        </w:rPr>
        <w:t>, 1996</w:t>
      </w:r>
      <w:r w:rsidRPr="007858E0">
        <w:t xml:space="preserve">, p. </w:t>
      </w:r>
      <w:r w:rsidRPr="00510FAA">
        <w:rPr>
          <w:rFonts w:ascii="TimesNewRomanPSMT" w:hAnsi="TimesNewRomanPSMT"/>
        </w:rPr>
        <w:t>27 – 28</w:t>
      </w:r>
      <w:r>
        <w:rPr>
          <w:rFonts w:asciiTheme="minorHAnsi" w:hAnsiTheme="minorHAnsi"/>
        </w:rPr>
        <w:t>.</w:t>
      </w:r>
    </w:p>
  </w:footnote>
  <w:footnote w:id="261">
    <w:p w:rsidR="00E0371E" w:rsidRDefault="00E0371E" w:rsidP="00274D82">
      <w:pPr>
        <w:pStyle w:val="Puslapioinaostekstas"/>
        <w:jc w:val="both"/>
      </w:pPr>
      <w:r>
        <w:rPr>
          <w:rStyle w:val="Puslapioinaosnuoroda"/>
        </w:rPr>
        <w:footnoteRef/>
      </w:r>
      <w:r>
        <w:t xml:space="preserve">Goda, G., Kazlauskas, M., Kuconis, P. </w:t>
      </w:r>
      <w:r w:rsidRPr="00AD4628">
        <w:rPr>
          <w:i/>
        </w:rPr>
        <w:t>Baudžiamojo proceso teisė</w:t>
      </w:r>
      <w:r>
        <w:rPr>
          <w:i/>
        </w:rPr>
        <w:t>.</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xml:space="preserve">, </w:t>
      </w:r>
      <w:r w:rsidRPr="0033763D">
        <w:t>p. 59</w:t>
      </w:r>
      <w:r>
        <w:t>0-591.</w:t>
      </w:r>
    </w:p>
  </w:footnote>
  <w:footnote w:id="262">
    <w:p w:rsidR="00E0371E" w:rsidRPr="006A4F58" w:rsidRDefault="00E0371E" w:rsidP="00150D49">
      <w:pPr>
        <w:jc w:val="both"/>
        <w:rPr>
          <w:sz w:val="20"/>
          <w:szCs w:val="20"/>
        </w:rPr>
      </w:pPr>
      <w:r>
        <w:rPr>
          <w:rStyle w:val="Puslapioinaosnuoroda"/>
        </w:rPr>
        <w:footnoteRef/>
      </w:r>
      <w:r w:rsidRPr="00150D49">
        <w:rPr>
          <w:sz w:val="20"/>
          <w:szCs w:val="20"/>
        </w:rPr>
        <w:t>Jurka, R.</w:t>
      </w:r>
      <w:r>
        <w:t xml:space="preserve"> </w:t>
      </w:r>
      <w:r w:rsidRPr="006A4F58">
        <w:rPr>
          <w:sz w:val="20"/>
          <w:szCs w:val="20"/>
        </w:rPr>
        <w:t>Immunity of a Close Person as a Witness in Criminal Procedure of Lith</w:t>
      </w:r>
      <w:r>
        <w:rPr>
          <w:sz w:val="20"/>
          <w:szCs w:val="20"/>
        </w:rPr>
        <w:t xml:space="preserve">uania: Problem with Sufficiency. </w:t>
      </w:r>
      <w:r w:rsidRPr="006A4F58">
        <w:rPr>
          <w:i/>
          <w:sz w:val="20"/>
          <w:szCs w:val="20"/>
        </w:rPr>
        <w:t>Jurisprudencija</w:t>
      </w:r>
      <w:r>
        <w:rPr>
          <w:sz w:val="20"/>
          <w:szCs w:val="20"/>
        </w:rPr>
        <w:t xml:space="preserve">. </w:t>
      </w:r>
      <w:r w:rsidRPr="006A4F58">
        <w:rPr>
          <w:sz w:val="20"/>
          <w:szCs w:val="20"/>
        </w:rPr>
        <w:t>2009, 3</w:t>
      </w:r>
      <w:r>
        <w:rPr>
          <w:sz w:val="20"/>
          <w:szCs w:val="20"/>
        </w:rPr>
        <w:t xml:space="preserve"> </w:t>
      </w:r>
      <w:r w:rsidRPr="006A4F58">
        <w:rPr>
          <w:sz w:val="20"/>
          <w:szCs w:val="20"/>
        </w:rPr>
        <w:t>(117)</w:t>
      </w:r>
      <w:r>
        <w:rPr>
          <w:sz w:val="20"/>
          <w:szCs w:val="20"/>
        </w:rPr>
        <w:t xml:space="preserve">: 163-177. </w:t>
      </w:r>
    </w:p>
  </w:footnote>
  <w:footnote w:id="263">
    <w:p w:rsidR="00E0371E" w:rsidRPr="00867A73" w:rsidRDefault="00E0371E" w:rsidP="00867A73">
      <w:pPr>
        <w:jc w:val="both"/>
        <w:rPr>
          <w:sz w:val="20"/>
          <w:szCs w:val="20"/>
        </w:rPr>
      </w:pPr>
      <w:r>
        <w:rPr>
          <w:rStyle w:val="Puslapioinaosnuoroda"/>
        </w:rPr>
        <w:footnoteRef/>
      </w:r>
      <w:r w:rsidRPr="00867A73">
        <w:rPr>
          <w:sz w:val="20"/>
          <w:szCs w:val="20"/>
        </w:rPr>
        <w:t xml:space="preserve">Lietuvos Respublikos apsaugos nuo smurto artimoje aplinkoje įstatymas. </w:t>
      </w:r>
      <w:r w:rsidRPr="00867A73">
        <w:rPr>
          <w:i/>
          <w:sz w:val="20"/>
          <w:szCs w:val="20"/>
        </w:rPr>
        <w:t>Valstybės žinios</w:t>
      </w:r>
      <w:r w:rsidRPr="00867A73">
        <w:rPr>
          <w:sz w:val="20"/>
          <w:szCs w:val="20"/>
        </w:rPr>
        <w:t xml:space="preserve">. 2011, Nr. 72-3475. </w:t>
      </w:r>
    </w:p>
  </w:footnote>
  <w:footnote w:id="264">
    <w:p w:rsidR="00E0371E" w:rsidRDefault="00E0371E" w:rsidP="00274D82">
      <w:pPr>
        <w:pStyle w:val="Puslapioinaostekstas"/>
        <w:jc w:val="both"/>
      </w:pPr>
      <w:r>
        <w:rPr>
          <w:rStyle w:val="Puslapioinaosnuoroda"/>
        </w:rPr>
        <w:footnoteRef/>
      </w:r>
      <w:r>
        <w:t xml:space="preserve"> K</w:t>
      </w:r>
      <w:r w:rsidRPr="00A1222D">
        <w:t>ai nusikalstama veika padaroma artimoje aplinkoje ir smurtautojas yra artimas giminaitis, nukentėjusysis gali pasinaudoti teise neduoti parodymų ir ja greičiausiai pasinaudos, nesutikdamas su baudžiamojo proceso reikalingumu.</w:t>
      </w:r>
    </w:p>
  </w:footnote>
  <w:footnote w:id="265">
    <w:p w:rsidR="00E0371E" w:rsidRDefault="00E0371E" w:rsidP="00274D82">
      <w:pPr>
        <w:pStyle w:val="Puslapioinaostekstas"/>
        <w:jc w:val="both"/>
      </w:pPr>
      <w:r>
        <w:rPr>
          <w:rStyle w:val="Puslapioinaosnuoroda"/>
        </w:rPr>
        <w:footnoteRef/>
      </w:r>
      <w:r>
        <w:t xml:space="preserve">Krapac, D. The Position of the Victim in Criminal Justice: A Restrained Central and Eastern European Perspective on the Victim-Offender Mediation. </w:t>
      </w:r>
      <w:r w:rsidRPr="005E6BB9">
        <w:rPr>
          <w:i/>
        </w:rPr>
        <w:t>European Journal of Crime, Criminal Law and Criminal Justice</w:t>
      </w:r>
      <w:r>
        <w:t>, 1995, 3: 234.</w:t>
      </w:r>
    </w:p>
  </w:footnote>
  <w:footnote w:id="266">
    <w:p w:rsidR="00E0371E" w:rsidRPr="007B5BAE" w:rsidRDefault="00E0371E" w:rsidP="00274D82">
      <w:pPr>
        <w:pStyle w:val="Puslapioinaostekstas"/>
        <w:jc w:val="both"/>
        <w:rPr>
          <w:rFonts w:ascii="TimesNewRomanPSMT" w:hAnsi="TimesNewRomanPSMT"/>
        </w:rPr>
      </w:pPr>
      <w:r>
        <w:rPr>
          <w:rStyle w:val="Puslapioinaosnuoroda"/>
        </w:rPr>
        <w:footnoteRef/>
      </w:r>
      <w:r>
        <w:t xml:space="preserve">Fojnickij, I. Ja. </w:t>
      </w:r>
      <w:r>
        <w:rPr>
          <w:i/>
          <w:color w:val="000033"/>
        </w:rPr>
        <w:t xml:space="preserve">Kurs ugolovnogo sudoproizvodstva </w:t>
      </w:r>
      <w:r w:rsidRPr="00B56034">
        <w:rPr>
          <w:color w:val="000033"/>
        </w:rPr>
        <w:t>[Course of Criminal Procedure].</w:t>
      </w:r>
      <w:r w:rsidRPr="00A73D41">
        <w:rPr>
          <w:color w:val="000033"/>
        </w:rPr>
        <w:t> </w:t>
      </w:r>
      <w:r>
        <w:rPr>
          <w:color w:val="000033"/>
        </w:rPr>
        <w:t>I tomas. Sankt Peterburg</w:t>
      </w:r>
      <w:r w:rsidRPr="00A73D41">
        <w:rPr>
          <w:color w:val="000033"/>
        </w:rPr>
        <w:t>: </w:t>
      </w:r>
      <w:r>
        <w:rPr>
          <w:color w:val="000033"/>
        </w:rPr>
        <w:t>Alfa</w:t>
      </w:r>
      <w:r w:rsidRPr="00A73D41">
        <w:rPr>
          <w:color w:val="000033"/>
        </w:rPr>
        <w:t>, 1996</w:t>
      </w:r>
      <w:r>
        <w:rPr>
          <w:color w:val="000033"/>
        </w:rPr>
        <w:t>, p. 5</w:t>
      </w:r>
      <w:r>
        <w:t>. 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784CB7">
        <w:t>44-45</w:t>
      </w:r>
      <w:r>
        <w:t xml:space="preserve">. A. A. </w:t>
      </w:r>
      <w:r w:rsidRPr="00B262A3">
        <w:t>Šamadrin</w:t>
      </w:r>
      <w:r>
        <w:t>as</w:t>
      </w:r>
      <w:r w:rsidRPr="00B262A3">
        <w:t xml:space="preserve"> įsikišimo nepageidaujamumą ir asmens privataus gyvenimo intymumą laiko ne savarankišku, o papildomu kriterijumi.</w:t>
      </w:r>
      <w:r>
        <w:t xml:space="preserve"> 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p. 134.</w:t>
      </w:r>
    </w:p>
  </w:footnote>
  <w:footnote w:id="267">
    <w:p w:rsidR="00E0371E" w:rsidRPr="00957E5B" w:rsidRDefault="00E0371E" w:rsidP="005C12DE">
      <w:pPr>
        <w:pStyle w:val="Puslapioinaostekstas"/>
        <w:jc w:val="both"/>
      </w:pPr>
      <w:r>
        <w:rPr>
          <w:rStyle w:val="Puslapioinaosnuoroda"/>
        </w:rPr>
        <w:footnoteRef/>
      </w:r>
      <w:r w:rsidRPr="00B76D96">
        <w:t xml:space="preserve">Pagal Konstituciją privatus </w:t>
      </w:r>
      <w:r>
        <w:t>žmogaus gyvenimas – tai asmens</w:t>
      </w:r>
      <w:r w:rsidRPr="00B76D96">
        <w:t xml:space="preserve"> asmeninis gyvenimas: gyvenimo būdas, šeimyninė padėtis, gyvenamoji aplinka, santykiai su kitais asmenimis, </w:t>
      </w:r>
      <w:r>
        <w:t>jo</w:t>
      </w:r>
      <w:r w:rsidRPr="00B76D96">
        <w:t xml:space="preserve"> pažiūros, įsitikinimai, įpročiai, jo fizinė bei psichinė būklė, sveikata, garbė, orumas ir kt.</w:t>
      </w:r>
    </w:p>
  </w:footnote>
  <w:footnote w:id="268">
    <w:p w:rsidR="00E0371E" w:rsidRPr="00A54AF2" w:rsidRDefault="00E0371E" w:rsidP="00A54AF2">
      <w:pPr>
        <w:jc w:val="both"/>
        <w:rPr>
          <w:sz w:val="20"/>
          <w:szCs w:val="20"/>
        </w:rPr>
      </w:pPr>
      <w:r>
        <w:rPr>
          <w:rStyle w:val="Puslapioinaosnuoroda"/>
        </w:rPr>
        <w:footnoteRef/>
      </w:r>
      <w:r w:rsidRPr="00A54AF2">
        <w:rPr>
          <w:sz w:val="20"/>
          <w:szCs w:val="20"/>
        </w:rPr>
        <w:t xml:space="preserve">Lietuvos Respublikos Konstitucinio Teismo 1999 m. spalio 21 d. nutarimas. </w:t>
      </w:r>
      <w:r w:rsidRPr="00A54AF2">
        <w:rPr>
          <w:i/>
          <w:sz w:val="20"/>
          <w:szCs w:val="20"/>
        </w:rPr>
        <w:t>Valstybės žinios</w:t>
      </w:r>
      <w:r w:rsidRPr="00A54AF2">
        <w:rPr>
          <w:sz w:val="20"/>
          <w:szCs w:val="20"/>
        </w:rPr>
        <w:t xml:space="preserve">. 1999, Nr. 90-2662. Lietuvos Respublikos Konstitucinio Teismo 2000 m. gegužės 8 d. nutarimas. </w:t>
      </w:r>
      <w:r w:rsidRPr="00A54AF2">
        <w:rPr>
          <w:i/>
          <w:sz w:val="20"/>
          <w:szCs w:val="20"/>
        </w:rPr>
        <w:t>Valstybės žinios</w:t>
      </w:r>
      <w:r w:rsidRPr="00A54AF2">
        <w:rPr>
          <w:sz w:val="20"/>
          <w:szCs w:val="20"/>
        </w:rPr>
        <w:t xml:space="preserve">. 2000, Nr. 39-1105. Lietuvos Respublikos Konstitucinio Teismo 2002 m. spalio 23 d. nutarimas. </w:t>
      </w:r>
      <w:r w:rsidRPr="00A54AF2">
        <w:rPr>
          <w:i/>
          <w:sz w:val="20"/>
          <w:szCs w:val="20"/>
        </w:rPr>
        <w:t>Valstybės žinios</w:t>
      </w:r>
      <w:r w:rsidRPr="00A54AF2">
        <w:rPr>
          <w:sz w:val="20"/>
          <w:szCs w:val="20"/>
        </w:rPr>
        <w:t>. 2002, Nr. 104-4675.</w:t>
      </w:r>
    </w:p>
  </w:footnote>
  <w:footnote w:id="269">
    <w:p w:rsidR="00E0371E" w:rsidRDefault="00E0371E" w:rsidP="009F6EE8">
      <w:r w:rsidRPr="009F6EE8">
        <w:rPr>
          <w:rStyle w:val="Puslapioinaosnuoroda"/>
          <w:sz w:val="20"/>
        </w:rPr>
        <w:footnoteRef/>
      </w:r>
      <w:r w:rsidRPr="009F6EE8">
        <w:rPr>
          <w:sz w:val="20"/>
        </w:rPr>
        <w:t xml:space="preserve">Vaišvila, A. </w:t>
      </w:r>
      <w:r w:rsidRPr="009F6EE8">
        <w:rPr>
          <w:i/>
          <w:sz w:val="20"/>
        </w:rPr>
        <w:t>Teisės teorija</w:t>
      </w:r>
      <w:r>
        <w:rPr>
          <w:sz w:val="20"/>
        </w:rPr>
        <w:t>. 2-oji</w:t>
      </w:r>
      <w:r w:rsidRPr="009F6EE8">
        <w:rPr>
          <w:sz w:val="20"/>
        </w:rPr>
        <w:t xml:space="preserve"> pataisyta ir papildyta</w:t>
      </w:r>
      <w:r>
        <w:rPr>
          <w:sz w:val="20"/>
        </w:rPr>
        <w:t xml:space="preserve"> laida</w:t>
      </w:r>
      <w:r w:rsidRPr="009F6EE8">
        <w:rPr>
          <w:sz w:val="20"/>
        </w:rPr>
        <w:t xml:space="preserve">. Vilnius: Justitia, 2004, p. 200. </w:t>
      </w:r>
    </w:p>
  </w:footnote>
  <w:footnote w:id="270">
    <w:p w:rsidR="00E0371E" w:rsidRDefault="00E0371E" w:rsidP="00274D82">
      <w:pPr>
        <w:pStyle w:val="Puslapioinaostekstas"/>
        <w:jc w:val="both"/>
      </w:pPr>
      <w:r>
        <w:rPr>
          <w:rStyle w:val="Puslapioinaosnuoroda"/>
        </w:rPr>
        <w:footnoteRef/>
      </w:r>
      <w:r>
        <w:t>Fenwick, H.</w:t>
      </w:r>
      <w:r w:rsidRPr="00773C8D">
        <w:t xml:space="preserve"> Procedural Rights‘ of Victims of Crime: Public or Private Ordering of the Criminal Justice Process? </w:t>
      </w:r>
      <w:r w:rsidRPr="00773C8D">
        <w:rPr>
          <w:i/>
        </w:rPr>
        <w:t>The Modern Law Review</w:t>
      </w:r>
      <w:r>
        <w:t>. 1997, 60 (3):</w:t>
      </w:r>
      <w:r w:rsidRPr="00773C8D">
        <w:t xml:space="preserve"> 318</w:t>
      </w:r>
      <w:r>
        <w:t>.</w:t>
      </w:r>
    </w:p>
  </w:footnote>
  <w:footnote w:id="271">
    <w:p w:rsidR="00E0371E" w:rsidRDefault="00E0371E" w:rsidP="00274D82">
      <w:pPr>
        <w:pStyle w:val="Puslapioinaostekstas"/>
        <w:jc w:val="both"/>
      </w:pPr>
      <w:r>
        <w:rPr>
          <w:rStyle w:val="Puslapioinaosnuoroda"/>
        </w:rPr>
        <w:footnoteRef/>
      </w:r>
      <w:r>
        <w:t xml:space="preserve">Uscila, R. </w:t>
      </w:r>
      <w:r w:rsidRPr="00700F6B">
        <w:rPr>
          <w:i/>
        </w:rPr>
        <w:t>Viktimologijos pagrindai. Nusikaltimų aukų socialinė ir teisinė apsauga Lietuvoje.</w:t>
      </w:r>
      <w:r>
        <w:t xml:space="preserve"> Vilnius: Mokslo aidai, 2005, p. 27-28.</w:t>
      </w:r>
    </w:p>
  </w:footnote>
  <w:footnote w:id="272">
    <w:p w:rsidR="00E0371E" w:rsidRDefault="00E0371E" w:rsidP="00274D82">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 2004, p. 152.</w:t>
      </w:r>
    </w:p>
  </w:footnote>
  <w:footnote w:id="273">
    <w:p w:rsidR="00E0371E" w:rsidRDefault="00E0371E" w:rsidP="00274D82">
      <w:pPr>
        <w:pStyle w:val="Puslapioinaostekstas"/>
        <w:jc w:val="both"/>
      </w:pPr>
      <w:r>
        <w:rPr>
          <w:rStyle w:val="Puslapioinaosnuoroda"/>
        </w:rPr>
        <w:footnoteRef/>
      </w:r>
      <w:r>
        <w:t xml:space="preserve">Lietuvoje vienintelė neoficialiojo kaltinimo rūšis yra privatus kaltinimas, kai privatus kaltintojas yra kartu ir nukentėjusysis, todėl nekyla jokių neaiškumų. Tačiau Ispanijoje privatus kaltinimas yra tik viena iš neoficialiojo kaltinimo rūšių. </w:t>
      </w:r>
    </w:p>
  </w:footnote>
  <w:footnote w:id="274">
    <w:p w:rsidR="00E0371E" w:rsidRPr="00396E81" w:rsidRDefault="00E0371E" w:rsidP="00274D82">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152.</w:t>
      </w:r>
    </w:p>
  </w:footnote>
  <w:footnote w:id="275">
    <w:p w:rsidR="00E0371E" w:rsidRPr="00396E81" w:rsidRDefault="00E0371E" w:rsidP="00F276DB">
      <w:pPr>
        <w:pStyle w:val="Puslapioinaostekstas"/>
        <w:jc w:val="both"/>
      </w:pPr>
      <w:r w:rsidRPr="00396E81">
        <w:rPr>
          <w:rStyle w:val="Puslapioinaosnuoroda"/>
        </w:rPr>
        <w:footnoteRef/>
      </w:r>
      <w:r>
        <w:rPr>
          <w:rFonts w:ascii="TimesNewRomanPSMT" w:hAnsi="TimesNewRomanPSMT"/>
        </w:rPr>
        <w:t xml:space="preserve">Poljanskij, N. N. </w:t>
      </w:r>
      <w:r w:rsidRPr="00951D4B">
        <w:rPr>
          <w:rFonts w:ascii="TimesNewRomanPSMT" w:hAnsi="TimesNewRomanPSMT"/>
          <w:i/>
        </w:rPr>
        <w:t>К voprosu ob ychastii chastny</w:t>
      </w:r>
      <w:r>
        <w:rPr>
          <w:rFonts w:ascii="TimesNewRomanPSMT" w:hAnsi="TimesNewRomanPSMT"/>
          <w:i/>
        </w:rPr>
        <w:t>k</w:t>
      </w:r>
      <w:r w:rsidRPr="00951D4B">
        <w:rPr>
          <w:rFonts w:ascii="TimesNewRomanPSMT" w:hAnsi="TimesNewRomanPSMT"/>
          <w:i/>
        </w:rPr>
        <w:t>h lic v pub</w:t>
      </w:r>
      <w:r>
        <w:rPr>
          <w:rFonts w:ascii="TimesNewRomanPSMT" w:hAnsi="TimesNewRomanPSMT"/>
          <w:i/>
        </w:rPr>
        <w:t>lichnom obvinenii (Principialnye osnovanija actio pop</w:t>
      </w:r>
      <w:r w:rsidRPr="00951D4B">
        <w:rPr>
          <w:rFonts w:ascii="TimesNewRomanPSMT" w:hAnsi="TimesNewRomanPSMT"/>
          <w:i/>
        </w:rPr>
        <w:t>ularis v ugolovnom proces</w:t>
      </w:r>
      <w:r>
        <w:rPr>
          <w:rFonts w:ascii="TimesNewRomanPSMT" w:hAnsi="TimesNewRomanPSMT"/>
          <w:i/>
        </w:rPr>
        <w:t>s</w:t>
      </w:r>
      <w:r w:rsidRPr="00951D4B">
        <w:rPr>
          <w:rFonts w:ascii="TimesNewRomanPSMT" w:hAnsi="TimesNewRomanPSMT"/>
          <w:i/>
        </w:rPr>
        <w:t>e)</w:t>
      </w:r>
      <w:r>
        <w:rPr>
          <w:rFonts w:ascii="TimesNewRomanPSMT" w:hAnsi="TimesNewRomanPSMT"/>
        </w:rPr>
        <w:t xml:space="preserve"> [On Participation of Private Persons in Public Prosecution (Principal Grounds of Actio Popularis in Criminal Procedure)]. Moskva: Tipografija Lissnera i D. Sobko</w:t>
      </w:r>
      <w:r w:rsidRPr="004A0EC1">
        <w:rPr>
          <w:rFonts w:ascii="TimesNewRomanPSMT" w:hAnsi="TimesNewRomanPSMT"/>
        </w:rPr>
        <w:t>, 1915</w:t>
      </w:r>
      <w:r>
        <w:rPr>
          <w:rFonts w:ascii="TimesNewRomanPSMT" w:hAnsi="TimesNewRomanPSMT"/>
        </w:rPr>
        <w:t>, p.</w:t>
      </w:r>
      <w:r w:rsidRPr="004A0EC1">
        <w:rPr>
          <w:rFonts w:ascii="TimesNewRomanPSMT" w:hAnsi="TimesNewRomanPSMT"/>
        </w:rPr>
        <w:t xml:space="preserve"> 27</w:t>
      </w:r>
      <w:r>
        <w:rPr>
          <w:rFonts w:ascii="TimesNewRomanPSMT" w:hAnsi="TimesNewRomanPSMT"/>
        </w:rPr>
        <w:t xml:space="preserve">. Poljanskij, N. N. </w:t>
      </w:r>
      <w:r w:rsidRPr="00951D4B">
        <w:rPr>
          <w:rFonts w:ascii="TimesNewRomanPSMT" w:hAnsi="TimesNewRomanPSMT"/>
          <w:i/>
        </w:rPr>
        <w:t xml:space="preserve">К voprosu o </w:t>
      </w:r>
      <w:r>
        <w:rPr>
          <w:rFonts w:ascii="TimesNewRomanPSMT" w:hAnsi="TimesNewRomanPSMT"/>
          <w:i/>
        </w:rPr>
        <w:t>prave chastnykh lic na subsidiarnoe obvinenie</w:t>
      </w:r>
      <w:r>
        <w:rPr>
          <w:rFonts w:ascii="TimesNewRomanPSMT" w:hAnsi="TimesNewRomanPSMT"/>
        </w:rPr>
        <w:t xml:space="preserve"> [On the Right of Private Persons to Subsidiary Prosecution]. Moskva: </w:t>
      </w:r>
      <w:r>
        <w:t xml:space="preserve">Juridicheskij vestnik, 1917. Tauber, L. Ja. </w:t>
      </w:r>
      <w:r w:rsidRPr="00CD596C">
        <w:t>Isk, obvinenie i sostjazatelnoe nachalo</w:t>
      </w:r>
      <w:r>
        <w:t xml:space="preserve"> [Lawsuit, Prosecution and Adversarial Origins]. </w:t>
      </w:r>
      <w:r w:rsidRPr="00CD596C">
        <w:rPr>
          <w:i/>
        </w:rPr>
        <w:t>Vestnik grazhdanskogo prava</w:t>
      </w:r>
      <w:r>
        <w:t>.</w:t>
      </w:r>
      <w:r w:rsidRPr="00396E81">
        <w:t xml:space="preserve"> 1917</w:t>
      </w:r>
      <w:r>
        <w:t>, 2: 76-100</w:t>
      </w:r>
      <w:r w:rsidRPr="00396E81">
        <w:t xml:space="preserve">. </w:t>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w:t>
      </w:r>
      <w:r w:rsidRPr="00DF7E16">
        <w:rPr>
          <w:color w:val="000033"/>
        </w:rPr>
        <w:t xml:space="preserve">ocialiniai mokslai </w:t>
      </w:r>
      <w:r>
        <w:rPr>
          <w:color w:val="000033"/>
        </w:rPr>
        <w:t>(</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w:t>
      </w:r>
      <w:r w:rsidRPr="00396E81">
        <w:t>153</w:t>
      </w:r>
      <w:r>
        <w:t xml:space="preserve">. </w:t>
      </w:r>
    </w:p>
  </w:footnote>
  <w:footnote w:id="276">
    <w:p w:rsidR="00E0371E" w:rsidRPr="00A92625" w:rsidRDefault="00E0371E" w:rsidP="00F276DB">
      <w:pPr>
        <w:pStyle w:val="Puslapioinaostekstas"/>
        <w:jc w:val="both"/>
      </w:pPr>
      <w:r w:rsidRPr="00396E81">
        <w:rPr>
          <w:rStyle w:val="Puslapioinaosnuoroda"/>
        </w:rPr>
        <w:footnoteRef/>
      </w:r>
      <w:r>
        <w:t xml:space="preserve">Fojnickij, I. Ja. </w:t>
      </w:r>
      <w:r w:rsidRPr="00362C4C">
        <w:rPr>
          <w:i/>
        </w:rPr>
        <w:t xml:space="preserve">Kurs ugolovnogo sudoproizvodstva </w:t>
      </w:r>
      <w:r w:rsidRPr="008B489D">
        <w:t>[Course of Criminal Procedure].</w:t>
      </w:r>
      <w:r w:rsidRPr="00362C4C">
        <w:t> II tomas. Sankt Peterburg: Alfa, 1996,</w:t>
      </w:r>
      <w:r>
        <w:t xml:space="preserve"> p. </w:t>
      </w:r>
      <w:r w:rsidRPr="006B7C88">
        <w:t>31.</w:t>
      </w:r>
    </w:p>
  </w:footnote>
  <w:footnote w:id="277">
    <w:p w:rsidR="00E0371E" w:rsidRDefault="00E0371E" w:rsidP="00F276DB">
      <w:pPr>
        <w:pStyle w:val="Puslapioinaostekstas"/>
        <w:jc w:val="both"/>
      </w:pPr>
      <w:r>
        <w:rPr>
          <w:rStyle w:val="Puslapioinaosnuoroda"/>
        </w:rPr>
        <w:footnoteRef/>
      </w:r>
      <w:r w:rsidRPr="005958C6">
        <w:t xml:space="preserve">Polemizuodamas su </w:t>
      </w:r>
      <w:r>
        <w:t xml:space="preserve">I. J. </w:t>
      </w:r>
      <w:r w:rsidRPr="005958C6">
        <w:t xml:space="preserve">Foinickiu, </w:t>
      </w:r>
      <w:r>
        <w:t>N. N. Polianskis pabrėž</w:t>
      </w:r>
      <w:r w:rsidRPr="005958C6">
        <w:t>ė papildomo kaltinimo priskyrimo privataus kaltinimo formoms</w:t>
      </w:r>
      <w:r>
        <w:t xml:space="preserve"> </w:t>
      </w:r>
      <w:r w:rsidRPr="005958C6">
        <w:t xml:space="preserve">nepagrįstumą, kadangi </w:t>
      </w:r>
      <w:r>
        <w:t>pagal šį institutą</w:t>
      </w:r>
      <w:r w:rsidRPr="005958C6">
        <w:t xml:space="preserve"> privatus asmuo kartu su p</w:t>
      </w:r>
      <w:r>
        <w:t>rokuror</w:t>
      </w:r>
      <w:r w:rsidRPr="005958C6">
        <w:t>u įgyvendina viešojo kaltinimo funkciją.</w:t>
      </w:r>
      <w:r>
        <w:t xml:space="preserve"> </w:t>
      </w:r>
      <w:r w:rsidRPr="005958C6">
        <w:t xml:space="preserve">Jo nuomone, būtina atskirti </w:t>
      </w:r>
      <w:r>
        <w:t xml:space="preserve">privačių asmenų įgyvendinamo </w:t>
      </w:r>
      <w:r w:rsidRPr="005958C6">
        <w:t>papildomo kaltinimo</w:t>
      </w:r>
      <w:r>
        <w:t xml:space="preserve"> </w:t>
      </w:r>
      <w:r w:rsidRPr="005958C6">
        <w:t>teisę ir teisę į subsidiarų baudžiamąjį ieškinį. Subsidiarų kaltinimą jis taip pat laikė privačių asmenų dalyvavimo viešajame kaltinime forma, tačiau savo turiniu skirtinga nuo papildomo kaltinimo. Subsidiarus kaltinimas yra privataus asmens pareiškiamas ir palaikomas kaltinimas tuo atveju, kai valstybinis kaltintojas atsisako nuo baudžiamojo persekiojimo, tuo tarpu papildomas kaltinimas suponuoja</w:t>
      </w:r>
      <w:r>
        <w:t xml:space="preserve"> </w:t>
      </w:r>
      <w:r w:rsidRPr="005958C6">
        <w:t>privataus asmens kaltinamosios veiklos įgyvendinimą kartu su pareiginiu kaltintoju.</w:t>
      </w:r>
      <w:r>
        <w:t xml:space="preserve"> </w:t>
      </w:r>
      <w:r>
        <w:rPr>
          <w:rFonts w:ascii="TimesNewRomanPSMT" w:hAnsi="TimesNewRomanPSMT"/>
        </w:rPr>
        <w:t xml:space="preserve">Poljanskij, N. N. </w:t>
      </w:r>
      <w:r w:rsidRPr="00951D4B">
        <w:rPr>
          <w:rFonts w:ascii="TimesNewRomanPSMT" w:hAnsi="TimesNewRomanPSMT"/>
          <w:i/>
        </w:rPr>
        <w:t>К voprosu ob ychastii chastny</w:t>
      </w:r>
      <w:r>
        <w:rPr>
          <w:rFonts w:ascii="TimesNewRomanPSMT" w:hAnsi="TimesNewRomanPSMT"/>
          <w:i/>
        </w:rPr>
        <w:t>k</w:t>
      </w:r>
      <w:r w:rsidRPr="00951D4B">
        <w:rPr>
          <w:rFonts w:ascii="TimesNewRomanPSMT" w:hAnsi="TimesNewRomanPSMT"/>
          <w:i/>
        </w:rPr>
        <w:t>h lic v publichnom</w:t>
      </w:r>
      <w:r>
        <w:rPr>
          <w:rFonts w:ascii="TimesNewRomanPSMT" w:hAnsi="TimesNewRomanPSMT"/>
          <w:i/>
        </w:rPr>
        <w:t xml:space="preserve"> obvinenii (Principialnye osnovanija actio pop</w:t>
      </w:r>
      <w:r w:rsidRPr="00951D4B">
        <w:rPr>
          <w:rFonts w:ascii="TimesNewRomanPSMT" w:hAnsi="TimesNewRomanPSMT"/>
          <w:i/>
        </w:rPr>
        <w:t>ularis v ugolovnom proce</w:t>
      </w:r>
      <w:r>
        <w:rPr>
          <w:rFonts w:ascii="TimesNewRomanPSMT" w:hAnsi="TimesNewRomanPSMT"/>
          <w:i/>
        </w:rPr>
        <w:t>s</w:t>
      </w:r>
      <w:r w:rsidRPr="00951D4B">
        <w:rPr>
          <w:rFonts w:ascii="TimesNewRomanPSMT" w:hAnsi="TimesNewRomanPSMT"/>
          <w:i/>
        </w:rPr>
        <w:t>se)</w:t>
      </w:r>
      <w:r>
        <w:rPr>
          <w:rFonts w:ascii="TimesNewRomanPSMT" w:hAnsi="TimesNewRomanPSMT"/>
        </w:rPr>
        <w:t xml:space="preserve"> [On Participation of Private Persons in Public Prosecution (Principal Grounds of Actio Popularis in Criminal Procedure)]. Moskva: Tipografija Lissnera i D. Sobko</w:t>
      </w:r>
      <w:r w:rsidRPr="004A0EC1">
        <w:rPr>
          <w:rFonts w:ascii="TimesNewRomanPSMT" w:hAnsi="TimesNewRomanPSMT"/>
        </w:rPr>
        <w:t>, 1915</w:t>
      </w:r>
      <w:r>
        <w:rPr>
          <w:rFonts w:ascii="TimesNewRomanPSMT" w:hAnsi="TimesNewRomanPSMT"/>
        </w:rPr>
        <w:t>, p.</w:t>
      </w:r>
      <w:r w:rsidRPr="004A0EC1">
        <w:rPr>
          <w:rFonts w:ascii="TimesNewRomanPSMT" w:hAnsi="TimesNewRomanPSMT"/>
        </w:rPr>
        <w:t xml:space="preserve"> 2</w:t>
      </w:r>
      <w:r w:rsidRPr="00510FAA">
        <w:t>.</w:t>
      </w:r>
    </w:p>
  </w:footnote>
  <w:footnote w:id="278">
    <w:p w:rsidR="00E0371E" w:rsidRDefault="00E0371E" w:rsidP="00274D82">
      <w:pPr>
        <w:pStyle w:val="Puslapioinaostekstas"/>
        <w:jc w:val="both"/>
      </w:pPr>
      <w:r>
        <w:rPr>
          <w:rStyle w:val="Puslapioinaosnuoroda"/>
        </w:rPr>
        <w:footnoteRef/>
      </w:r>
      <w:r w:rsidRPr="00742E3C">
        <w:rPr>
          <w:i/>
        </w:rPr>
        <w:t>Dėl tarėjų instituto Lietuvos Respublikoje įsteigimo tikslingumo ir galimybių</w:t>
      </w:r>
      <w:r>
        <w:t xml:space="preserve"> [interaktyvus]. Vilnius: Teisės institutas, 2004 [žiūrėta 2011-10-28]. &lt;</w:t>
      </w:r>
      <w:hyperlink r:id="rId9" w:history="1">
        <w:r w:rsidRPr="00870A89">
          <w:rPr>
            <w:rStyle w:val="Hipersaitas"/>
          </w:rPr>
          <w:t>http://www.teise.org/docs/upload/TAREJU%20studija.pdf</w:t>
        </w:r>
      </w:hyperlink>
      <w:r>
        <w:t xml:space="preserve">&gt;. </w:t>
      </w:r>
      <w:r w:rsidRPr="00C66C5A">
        <w:t xml:space="preserve"> </w:t>
      </w:r>
    </w:p>
  </w:footnote>
  <w:footnote w:id="279">
    <w:p w:rsidR="00E0371E" w:rsidRDefault="00E0371E" w:rsidP="00274D82">
      <w:pPr>
        <w:pStyle w:val="Puslapioinaostekstas"/>
        <w:jc w:val="both"/>
      </w:pPr>
      <w:r>
        <w:rPr>
          <w:rStyle w:val="Puslapioinaosnuoroda"/>
        </w:rPr>
        <w:footnoteRef/>
      </w:r>
      <w:r>
        <w:t>Terminą „</w:t>
      </w:r>
      <w:r w:rsidRPr="00330C1A">
        <w:rPr>
          <w:i/>
        </w:rPr>
        <w:t>safety valve</w:t>
      </w:r>
      <w:r>
        <w:t xml:space="preserve">“ naudoja Damaška, M. R. </w:t>
      </w:r>
      <w:r w:rsidRPr="00362C4C">
        <w:rPr>
          <w:i/>
        </w:rPr>
        <w:t>The Faces of Justice and State Authority: a Comparative Approach to the Legal Process</w:t>
      </w:r>
      <w:r>
        <w:t xml:space="preserve">. New Haven; London: Yale University Press, 1986, p. 213. Schulz, J. </w:t>
      </w:r>
      <w:r w:rsidRPr="00144E35">
        <w:rPr>
          <w:i/>
        </w:rPr>
        <w:t>Beitr</w:t>
      </w:r>
      <w:r w:rsidRPr="00144E35">
        <w:rPr>
          <w:i/>
          <w:lang w:val="de-DE"/>
        </w:rPr>
        <w:t>äge zur Nebenklage</w:t>
      </w:r>
      <w:r>
        <w:rPr>
          <w:lang w:val="de-DE"/>
        </w:rPr>
        <w:t xml:space="preserve">. </w:t>
      </w:r>
      <w:r w:rsidRPr="0013188F">
        <w:rPr>
          <w:lang w:val="de-DE"/>
        </w:rPr>
        <w:t xml:space="preserve">Berlin: </w:t>
      </w:r>
      <w:r w:rsidRPr="00AA22FE">
        <w:t>Duncker &amp; Humblot</w:t>
      </w:r>
      <w:r>
        <w:rPr>
          <w:lang w:val="de-DE"/>
        </w:rPr>
        <w:t>, 1982, p. 52-54.</w:t>
      </w:r>
    </w:p>
  </w:footnote>
  <w:footnote w:id="280">
    <w:p w:rsidR="00E0371E" w:rsidRDefault="00E0371E" w:rsidP="00977564">
      <w:pPr>
        <w:pStyle w:val="Puslapioinaostekstas"/>
        <w:jc w:val="both"/>
      </w:pPr>
      <w:r>
        <w:rPr>
          <w:rStyle w:val="Puslapioinaosnuoroda"/>
        </w:rPr>
        <w:footnoteRef/>
      </w:r>
      <w:r>
        <w:t xml:space="preserve">Gil, D. </w:t>
      </w:r>
      <w:r w:rsidRPr="00875B7D">
        <w:rPr>
          <w:i/>
          <w:lang w:val="pl-PL"/>
        </w:rPr>
        <w:t>Postępowanie w sprawach z oskarżenia prywatnego w polskim procesie karnym</w:t>
      </w:r>
      <w:r>
        <w:rPr>
          <w:i/>
          <w:lang w:val="pl-PL"/>
        </w:rPr>
        <w:t xml:space="preserve">. </w:t>
      </w:r>
      <w:r w:rsidRPr="004E064E">
        <w:rPr>
          <w:lang w:val="pl-PL"/>
        </w:rPr>
        <w:t>Daktaro disertacija. Socialiniai mokslai (teisė). Warszawa, 2011, p. 102-112</w:t>
      </w:r>
      <w:r>
        <w:t>.</w:t>
      </w:r>
    </w:p>
  </w:footnote>
  <w:footnote w:id="281">
    <w:p w:rsidR="00E0371E" w:rsidRDefault="00E0371E" w:rsidP="0074506D">
      <w:pPr>
        <w:pStyle w:val="Puslapioinaostekstas"/>
      </w:pPr>
      <w:r>
        <w:rPr>
          <w:rStyle w:val="Puslapioinaosnuoroda"/>
        </w:rPr>
        <w:footnoteRef/>
      </w:r>
      <w:r w:rsidRPr="002531B6">
        <w:t>Strafprozeβordnung [interaktyvus]. [žiūrėta 2013-12-05]. &lt;file:///C:/Users/User/Downloads/Austria_CPC_as_of_%2004.11.2013_de.pdf&gt;.</w:t>
      </w:r>
    </w:p>
  </w:footnote>
  <w:footnote w:id="282">
    <w:p w:rsidR="00E0371E" w:rsidRPr="00396E81" w:rsidRDefault="00E0371E" w:rsidP="00274D82">
      <w:pPr>
        <w:pStyle w:val="Puslapioinaostekstas"/>
        <w:jc w:val="both"/>
      </w:pPr>
      <w:r w:rsidRPr="00396E81">
        <w:rPr>
          <w:rStyle w:val="Puslapioinaosnuoroda"/>
        </w:rPr>
        <w:footnoteRef/>
      </w:r>
      <w:r>
        <w:t xml:space="preserve">Reichel, P. L. </w:t>
      </w:r>
      <w:r>
        <w:rPr>
          <w:i/>
        </w:rPr>
        <w:t>Comparative Criminal J</w:t>
      </w:r>
      <w:r w:rsidRPr="00855BE3">
        <w:rPr>
          <w:i/>
        </w:rPr>
        <w:t xml:space="preserve">ustice </w:t>
      </w:r>
      <w:r>
        <w:rPr>
          <w:i/>
        </w:rPr>
        <w:t>S</w:t>
      </w:r>
      <w:r w:rsidRPr="00855BE3">
        <w:rPr>
          <w:i/>
        </w:rPr>
        <w:t>ystems</w:t>
      </w:r>
      <w:r>
        <w:rPr>
          <w:i/>
        </w:rPr>
        <w:t>: a Topical Approach</w:t>
      </w:r>
      <w:r w:rsidRPr="00855BE3">
        <w:rPr>
          <w:i/>
        </w:rPr>
        <w:t>.</w:t>
      </w:r>
      <w:r>
        <w:t xml:space="preserve"> 4-toji laida. </w:t>
      </w:r>
      <w:r w:rsidRPr="00BC0B42">
        <w:t>Upper Saddle River (N.J.): Pearson: Prentice Hall, 2005</w:t>
      </w:r>
      <w:r>
        <w:t xml:space="preserve">, p. </w:t>
      </w:r>
      <w:r w:rsidRPr="00396E81">
        <w:t>236</w:t>
      </w:r>
      <w:r>
        <w:t>.</w:t>
      </w:r>
    </w:p>
  </w:footnote>
  <w:footnote w:id="283">
    <w:p w:rsidR="00E0371E" w:rsidRDefault="00E0371E" w:rsidP="00137782">
      <w:pPr>
        <w:pStyle w:val="Puslapioinaostekstas"/>
        <w:jc w:val="both"/>
      </w:pPr>
      <w:r>
        <w:rPr>
          <w:rStyle w:val="Puslapioinaosnuoroda"/>
        </w:rPr>
        <w:footnoteRef/>
      </w:r>
      <w:r>
        <w:t xml:space="preserve"> Vokietijos BPK 397 straipsnis. </w:t>
      </w:r>
      <w:r w:rsidRPr="00137782">
        <w:t>Strafprozeβordnung [interaktyvus]. [žiūrėta 2010-07-28]. &lt;http://www.gesetze-im-internet.de/stpo/index.html&gt;.</w:t>
      </w:r>
    </w:p>
  </w:footnote>
  <w:footnote w:id="284">
    <w:p w:rsidR="00E0371E" w:rsidRPr="00396E81" w:rsidRDefault="00E0371E" w:rsidP="00274D82">
      <w:pPr>
        <w:pStyle w:val="Puslapioinaostekstas"/>
        <w:jc w:val="both"/>
      </w:pPr>
      <w:r w:rsidRPr="00396E81">
        <w:rPr>
          <w:rStyle w:val="Puslapioinaosnuoroda"/>
        </w:rPr>
        <w:footnoteRef/>
      </w:r>
      <w:r>
        <w:t xml:space="preserve">Reichel, P. L. </w:t>
      </w:r>
      <w:r>
        <w:rPr>
          <w:i/>
        </w:rPr>
        <w:t>Comparative Criminal J</w:t>
      </w:r>
      <w:r w:rsidRPr="00855BE3">
        <w:rPr>
          <w:i/>
        </w:rPr>
        <w:t xml:space="preserve">ustice </w:t>
      </w:r>
      <w:r>
        <w:rPr>
          <w:i/>
        </w:rPr>
        <w:t>S</w:t>
      </w:r>
      <w:r w:rsidRPr="00855BE3">
        <w:rPr>
          <w:i/>
        </w:rPr>
        <w:t>ystems</w:t>
      </w:r>
      <w:r>
        <w:rPr>
          <w:i/>
        </w:rPr>
        <w:t>: a Topical Approach</w:t>
      </w:r>
      <w:r w:rsidRPr="00855BE3">
        <w:rPr>
          <w:i/>
        </w:rPr>
        <w:t>.</w:t>
      </w:r>
      <w:r>
        <w:t xml:space="preserve"> 4-toji laida. </w:t>
      </w:r>
      <w:r w:rsidRPr="00BC0B42">
        <w:t>Upper Saddle River (N.J.): Pearson: Prentice Hall, 2005</w:t>
      </w:r>
      <w:r>
        <w:t>, p. 240.</w:t>
      </w:r>
      <w:r w:rsidRPr="00396E81">
        <w:t xml:space="preserve"> Pease, K., Hukkila, K. </w:t>
      </w:r>
      <w:r w:rsidRPr="00362C4C">
        <w:rPr>
          <w:i/>
        </w:rPr>
        <w:t>Criminal Justice Systems in Europe and North America</w:t>
      </w:r>
      <w:r w:rsidRPr="00396E81">
        <w:t xml:space="preserve">. </w:t>
      </w:r>
      <w:r>
        <w:t xml:space="preserve">Helsinki: </w:t>
      </w:r>
      <w:r w:rsidRPr="00396E81">
        <w:t>Helsinki Institute for Crime Prevention and Control, 1990.</w:t>
      </w:r>
      <w:r>
        <w:t xml:space="preserve"> </w:t>
      </w:r>
      <w:r w:rsidRPr="00396E81">
        <w:t>Tak, P</w:t>
      </w:r>
      <w:r>
        <w:t>.</w:t>
      </w:r>
      <w:r w:rsidRPr="00396E81">
        <w:t xml:space="preserve"> East Meets West. Aspects of Prosecution in Countries in Transition. </w:t>
      </w:r>
      <w:r w:rsidRPr="00396E81">
        <w:rPr>
          <w:i/>
        </w:rPr>
        <w:t>European Journal of Crime, Criminal Law and Criminal Justice</w:t>
      </w:r>
      <w:r w:rsidRPr="00396E81">
        <w:t xml:space="preserve">. </w:t>
      </w:r>
      <w:r>
        <w:t xml:space="preserve">1999, </w:t>
      </w:r>
      <w:r w:rsidRPr="00396E81">
        <w:t>7</w:t>
      </w:r>
      <w:r>
        <w:t>(</w:t>
      </w:r>
      <w:r w:rsidRPr="00396E81">
        <w:t>4</w:t>
      </w:r>
      <w:r>
        <w:t>):</w:t>
      </w:r>
      <w:r w:rsidRPr="00396E81">
        <w:t xml:space="preserve"> 412-432.</w:t>
      </w:r>
    </w:p>
  </w:footnote>
  <w:footnote w:id="285">
    <w:p w:rsidR="00E0371E" w:rsidRPr="00396E81" w:rsidRDefault="00E0371E" w:rsidP="00274D82">
      <w:pPr>
        <w:pStyle w:val="Puslapioinaostekstas"/>
        <w:jc w:val="both"/>
      </w:pPr>
      <w:r>
        <w:rPr>
          <w:rStyle w:val="Puslapioinaosnuoroda"/>
        </w:rPr>
        <w:footnoteRef/>
      </w:r>
      <w:r w:rsidRPr="00396E81">
        <w:t>Tak, P</w:t>
      </w:r>
      <w:r>
        <w:t>.</w:t>
      </w:r>
      <w:r w:rsidRPr="00396E81">
        <w:t xml:space="preserve"> East Meets West. Aspects of Prosecution in Countries in Transition. </w:t>
      </w:r>
      <w:r w:rsidRPr="00396E81">
        <w:rPr>
          <w:i/>
        </w:rPr>
        <w:t>European Journal of Crime, Criminal Law and Criminal Justice</w:t>
      </w:r>
      <w:r>
        <w:t xml:space="preserve">. 1999, </w:t>
      </w:r>
      <w:r w:rsidRPr="00396E81">
        <w:t>7</w:t>
      </w:r>
      <w:r>
        <w:t>(</w:t>
      </w:r>
      <w:r w:rsidRPr="00396E81">
        <w:t>4</w:t>
      </w:r>
      <w:r>
        <w:t>):</w:t>
      </w:r>
      <w:r w:rsidRPr="00396E81">
        <w:t xml:space="preserve"> 412-432</w:t>
      </w:r>
      <w:r>
        <w:t>.</w:t>
      </w:r>
    </w:p>
  </w:footnote>
  <w:footnote w:id="286">
    <w:p w:rsidR="00E0371E" w:rsidRDefault="00E0371E">
      <w:pPr>
        <w:pStyle w:val="Puslapioinaostekstas"/>
      </w:pPr>
      <w:r>
        <w:rPr>
          <w:rStyle w:val="Puslapioinaosnuoroda"/>
        </w:rPr>
        <w:footnoteRef/>
      </w:r>
      <w:r w:rsidRPr="00225A19">
        <w:t>Procedure Act of Denmark [interaktyvus]. [žiūrėta 2012-05-10].</w:t>
      </w:r>
      <w:r>
        <w:t xml:space="preserve"> </w:t>
      </w:r>
      <w:r w:rsidRPr="00225A19">
        <w:t>&lt;https://www.retsinformation.dk/Forms/R0710.aspx?id=121708&gt;.</w:t>
      </w:r>
    </w:p>
  </w:footnote>
  <w:footnote w:id="287">
    <w:p w:rsidR="00E0371E" w:rsidRPr="00C66C5A" w:rsidRDefault="00E0371E" w:rsidP="00C66C5A">
      <w:pPr>
        <w:jc w:val="both"/>
        <w:rPr>
          <w:sz w:val="20"/>
          <w:szCs w:val="20"/>
        </w:rPr>
      </w:pPr>
      <w:r w:rsidRPr="00C66C5A">
        <w:rPr>
          <w:rStyle w:val="Puslapioinaosnuoroda"/>
          <w:sz w:val="20"/>
          <w:szCs w:val="20"/>
        </w:rPr>
        <w:footnoteRef/>
      </w:r>
      <w:r w:rsidRPr="00C66C5A">
        <w:rPr>
          <w:sz w:val="20"/>
          <w:szCs w:val="20"/>
        </w:rPr>
        <w:t xml:space="preserve">Jei asmuo yra kartu ir nukentėjusysis, Ispanijos baudžiamajame procese jis vadinamas privačiu kaltintoju – </w:t>
      </w:r>
      <w:r w:rsidRPr="00C66C5A">
        <w:rPr>
          <w:i/>
          <w:sz w:val="20"/>
          <w:szCs w:val="20"/>
        </w:rPr>
        <w:t>acusador particular</w:t>
      </w:r>
      <w:r w:rsidRPr="00C66C5A">
        <w:rPr>
          <w:sz w:val="20"/>
          <w:szCs w:val="20"/>
        </w:rPr>
        <w:t xml:space="preserve">. Jei jis nėra nukentėjęs nuo nusikalstamos veikos asmuo, jis vadinamas populiariuoju kaltintoju – </w:t>
      </w:r>
      <w:r w:rsidRPr="00C66C5A">
        <w:rPr>
          <w:i/>
          <w:sz w:val="20"/>
          <w:szCs w:val="20"/>
        </w:rPr>
        <w:t>acusador popular</w:t>
      </w:r>
      <w:r w:rsidRPr="00C66C5A">
        <w:rPr>
          <w:sz w:val="20"/>
          <w:szCs w:val="20"/>
        </w:rPr>
        <w:t xml:space="preserve">. </w:t>
      </w:r>
      <w:r>
        <w:rPr>
          <w:sz w:val="20"/>
          <w:szCs w:val="20"/>
        </w:rPr>
        <w:t>Ispanijos BPK</w:t>
      </w:r>
      <w:r w:rsidRPr="00C66C5A">
        <w:rPr>
          <w:sz w:val="20"/>
          <w:szCs w:val="20"/>
        </w:rPr>
        <w:t xml:space="preserve"> 104 ir 105 </w:t>
      </w:r>
      <w:r>
        <w:rPr>
          <w:sz w:val="20"/>
          <w:szCs w:val="20"/>
        </w:rPr>
        <w:t>straipsniai.</w:t>
      </w:r>
      <w:r w:rsidRPr="00C66C5A">
        <w:rPr>
          <w:sz w:val="20"/>
          <w:szCs w:val="20"/>
        </w:rPr>
        <w:t xml:space="preserve"> </w:t>
      </w:r>
      <w:r w:rsidRPr="00BF245F">
        <w:rPr>
          <w:sz w:val="20"/>
          <w:szCs w:val="20"/>
        </w:rPr>
        <w:t>Ley de Enjuiciamiento Criminal [interaktyvus]. [žiūrėta 2013-11-30]. &lt;http://www.fmyv.es/ci/es/Ss/11.pdf&gt;.</w:t>
      </w:r>
      <w:r>
        <w:rPr>
          <w:sz w:val="20"/>
          <w:szCs w:val="20"/>
        </w:rPr>
        <w:t xml:space="preserve"> </w:t>
      </w:r>
      <w:r w:rsidRPr="00C66C5A">
        <w:rPr>
          <w:sz w:val="20"/>
          <w:szCs w:val="20"/>
        </w:rPr>
        <w:t xml:space="preserve">Perez Gil, J. </w:t>
      </w:r>
      <w:r w:rsidRPr="00C66C5A">
        <w:rPr>
          <w:i/>
          <w:sz w:val="20"/>
          <w:szCs w:val="20"/>
        </w:rPr>
        <w:t>La acusación popular</w:t>
      </w:r>
      <w:r w:rsidRPr="00C66C5A">
        <w:rPr>
          <w:sz w:val="20"/>
          <w:szCs w:val="20"/>
        </w:rPr>
        <w:t>. Granada: Editorial Comares, 1998</w:t>
      </w:r>
      <w:r>
        <w:rPr>
          <w:sz w:val="20"/>
          <w:szCs w:val="20"/>
        </w:rPr>
        <w:t>, p. 224-260.</w:t>
      </w:r>
      <w:r w:rsidRPr="00C66C5A">
        <w:rPr>
          <w:sz w:val="20"/>
          <w:szCs w:val="20"/>
        </w:rPr>
        <w:t xml:space="preserve"> </w:t>
      </w:r>
    </w:p>
  </w:footnote>
  <w:footnote w:id="288">
    <w:p w:rsidR="00E0371E" w:rsidRPr="00510FAA" w:rsidRDefault="00E0371E" w:rsidP="00274D82">
      <w:pPr>
        <w:pStyle w:val="Puslapioinaostekstas"/>
        <w:jc w:val="both"/>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 xml:space="preserve">: </w:t>
      </w:r>
      <w:r w:rsidRPr="00D5536A">
        <w:t>151</w:t>
      </w:r>
      <w:r>
        <w:t xml:space="preserve">-152. </w:t>
      </w:r>
      <w:r w:rsidRPr="00362C4C">
        <w:t>Merino-Blanco</w:t>
      </w:r>
      <w:r>
        <w:t>,</w:t>
      </w:r>
      <w:r w:rsidRPr="00362C4C">
        <w:t xml:space="preserve"> </w:t>
      </w:r>
      <w:r>
        <w:t xml:space="preserve">E. </w:t>
      </w:r>
      <w:r>
        <w:rPr>
          <w:i/>
        </w:rPr>
        <w:t>Spanish L</w:t>
      </w:r>
      <w:r w:rsidRPr="00FE0B8A">
        <w:rPr>
          <w:i/>
        </w:rPr>
        <w:t xml:space="preserve">aw and </w:t>
      </w:r>
      <w:r>
        <w:rPr>
          <w:i/>
        </w:rPr>
        <w:t>L</w:t>
      </w:r>
      <w:r w:rsidRPr="00FE0B8A">
        <w:rPr>
          <w:i/>
        </w:rPr>
        <w:t xml:space="preserve">egal </w:t>
      </w:r>
      <w:r>
        <w:rPr>
          <w:i/>
        </w:rPr>
        <w:t>S</w:t>
      </w:r>
      <w:r w:rsidRPr="00FE0B8A">
        <w:rPr>
          <w:i/>
        </w:rPr>
        <w:t>ystem</w:t>
      </w:r>
      <w:r w:rsidRPr="00362C4C">
        <w:t>. 2</w:t>
      </w:r>
      <w:r>
        <w:t>-oji laida</w:t>
      </w:r>
      <w:r w:rsidRPr="00362C4C">
        <w:t>. London: Sweet &amp; Maxwell, 2006</w:t>
      </w:r>
      <w:r>
        <w:t>, p. 141-142.</w:t>
      </w:r>
    </w:p>
  </w:footnote>
  <w:footnote w:id="289">
    <w:p w:rsidR="00E0371E" w:rsidRDefault="00E0371E" w:rsidP="00274D82">
      <w:pPr>
        <w:pStyle w:val="Puslapioinaostekstas"/>
        <w:jc w:val="both"/>
      </w:pPr>
      <w:r>
        <w:rPr>
          <w:rStyle w:val="Puslapioinaosnuoroda"/>
        </w:rPr>
        <w:footnoteRef/>
      </w:r>
      <w:r w:rsidRPr="00866076">
        <w:t xml:space="preserve">Ispanijos pozityviojoje teisėje yra įtvirtinta teisė reikšti baudžiamuosius ieškinius ginant kolektyvinius interesus. Akademinėje jurisprudencijoje grupių dalyvavimas ginant kolektyvinius teisinius gėrius yra vertinamas kaip viena iš pageidaujamų populiariojo kaltinimo taikymo sričių. Pavienių asmenų ir jų grupių susivienijimas ginti savo interesus yra vienas iš geriausių būdų įgyvendinti kolektyvinius interesus, </w:t>
      </w:r>
      <w:r>
        <w:t>pavyzdžiui, aplinkos apsaugos, visuomenės sveikatos, vartotojų teisių, darbininkų teisių ir lyčių lygybės srityse</w:t>
      </w:r>
      <w:r w:rsidRPr="00866076">
        <w:t>. Toki</w:t>
      </w:r>
      <w:r>
        <w:t>ų susivienijimų pavyzdys yra</w:t>
      </w:r>
      <w:r w:rsidRPr="00866076">
        <w:t xml:space="preserve"> vartotojų asociacijos, „žalieji“, feminisčių judėjimas, darbininkų profsąjungos. </w:t>
      </w:r>
      <w:r>
        <w:t>T</w:t>
      </w:r>
      <w:r w:rsidRPr="00866076">
        <w:t>okiu atveju mes kalbame ne apie „tikrąjį‘ populiarųjį kaltinimą. Visuomeninio kaltintojo institutas peržengia populiariojo kaltinimo ribas, kadangi šiuo atveju pripažįstama, kad būtinas ryšys tarp socialinio grupės objekto ir pažeistų teisinių gėrių. Kaltinimo funkciją įgyvendina tas, kas gali teisiškai atstovauti pažeistą materialųjį interesą, kurio nuosavybė negali būti priskirta pavieniam asmeniui – nukentėjusiajam (</w:t>
      </w:r>
      <w:r>
        <w:t>p</w:t>
      </w:r>
      <w:r w:rsidRPr="00866076">
        <w:t xml:space="preserve">vz., aplinkosaugos asociacija gali persekioti dėl tokio pobūdžio nusikaltimų, tačiau ne dėl seksualinių nusikaltimų). Tokie aktyvūs subjektai, kurių egzistavimas yra fundamentalus stiprinant demokratines laisves, būdingas socialinei valstybei, yra laikytini geriausiais pažeistų teisinių gėrių atstovais. Logiškiausia būtų tokioms akredituotoms asociacijoms/piliečių iniciatyvinėms grupėms kaip ideologiniam ieškovui suteikti teisinį statusą, artimą nukentėjusiojo statusui procese dėl veikų, kurios </w:t>
      </w:r>
      <w:r>
        <w:t>paveikia</w:t>
      </w:r>
      <w:r w:rsidRPr="00866076">
        <w:t xml:space="preserve"> kolektyvinius interesus</w:t>
      </w:r>
      <w:r>
        <w:t xml:space="preserve">. </w:t>
      </w:r>
      <w:r w:rsidRPr="00D5536A">
        <w:t xml:space="preserve">Perez Gil, J. Private Interests Seeking Punishment: Prosecution Brought by Private Individuals and Groups in Spain. </w:t>
      </w:r>
      <w:r w:rsidRPr="00D5536A">
        <w:rPr>
          <w:i/>
        </w:rPr>
        <w:t>Law and Policy</w:t>
      </w:r>
      <w:r>
        <w:rPr>
          <w:i/>
        </w:rPr>
        <w:t>.</w:t>
      </w:r>
      <w:r w:rsidRPr="00D5536A">
        <w:t xml:space="preserve"> 2003, 25</w:t>
      </w:r>
      <w:r>
        <w:t xml:space="preserve">: 157. </w:t>
      </w:r>
      <w:r w:rsidRPr="00866076">
        <w:t xml:space="preserve">Šiuo atveju nukentėjusiųjų susivienijimo ar jų iniciatyvinės grupės kaltinimą būtų galima lyginti su grupės ieškiniu civiliniame procese. </w:t>
      </w:r>
      <w:r w:rsidRPr="00866076">
        <w:rPr>
          <w:bCs/>
        </w:rPr>
        <w:t>Grupės</w:t>
      </w:r>
      <w:r w:rsidRPr="00866076">
        <w:t xml:space="preserve"> ieškinio procese teisminė gynyba tampa prieinama visiems suinteresuotiems asmenims ir tai nepriklauso nuo jų materialinių ir kitokių galimybių, nuo organizacinių ir asmeninių savybių</w:t>
      </w:r>
      <w:r>
        <w:t xml:space="preserve">. </w:t>
      </w:r>
      <w:r w:rsidRPr="00866076">
        <w:t xml:space="preserve">Krivka, E. Grupės ieškinys – veiksminga teisės į teisminę gynybą įgyvendinimo priemonė. </w:t>
      </w:r>
      <w:r>
        <w:rPr>
          <w:i/>
        </w:rPr>
        <w:t>Jurisprudencij</w:t>
      </w:r>
      <w:r w:rsidRPr="00866076">
        <w:rPr>
          <w:i/>
        </w:rPr>
        <w:t>a</w:t>
      </w:r>
      <w:r w:rsidRPr="00866076">
        <w:t>. 2007, 4</w:t>
      </w:r>
      <w:r>
        <w:t xml:space="preserve"> </w:t>
      </w:r>
      <w:r w:rsidRPr="00866076">
        <w:t>(94)</w:t>
      </w:r>
      <w:r>
        <w:t>:</w:t>
      </w:r>
      <w:r w:rsidRPr="00866076">
        <w:t xml:space="preserve"> 29-34</w:t>
      </w:r>
      <w:r>
        <w:t>.</w:t>
      </w:r>
    </w:p>
  </w:footnote>
  <w:footnote w:id="290">
    <w:p w:rsidR="00E0371E" w:rsidRPr="00E7605E" w:rsidRDefault="00E0371E" w:rsidP="00274D82">
      <w:pPr>
        <w:jc w:val="both"/>
        <w:rPr>
          <w:sz w:val="20"/>
          <w:szCs w:val="20"/>
        </w:rPr>
      </w:pPr>
      <w:r>
        <w:rPr>
          <w:rStyle w:val="Puslapioinaosnuoroda"/>
        </w:rPr>
        <w:footnoteRef/>
      </w:r>
      <w:r>
        <w:rPr>
          <w:sz w:val="20"/>
          <w:szCs w:val="20"/>
        </w:rPr>
        <w:t>I</w:t>
      </w:r>
      <w:r w:rsidRPr="00E7605E">
        <w:rPr>
          <w:sz w:val="20"/>
          <w:szCs w:val="20"/>
        </w:rPr>
        <w:t>šskyrus:</w:t>
      </w:r>
    </w:p>
    <w:p w:rsidR="00E0371E" w:rsidRPr="00E7605E" w:rsidRDefault="00E0371E" w:rsidP="00755132">
      <w:pPr>
        <w:numPr>
          <w:ilvl w:val="0"/>
          <w:numId w:val="10"/>
        </w:numPr>
        <w:jc w:val="both"/>
        <w:rPr>
          <w:sz w:val="20"/>
          <w:szCs w:val="20"/>
        </w:rPr>
      </w:pPr>
      <w:r w:rsidRPr="00E7605E">
        <w:rPr>
          <w:sz w:val="20"/>
          <w:szCs w:val="20"/>
        </w:rPr>
        <w:t>Asmenis, kurie neturi pilno civilinio veiksnumo, kaip nepilnamečiai ir neveiksnūs;</w:t>
      </w:r>
    </w:p>
    <w:p w:rsidR="00E0371E" w:rsidRPr="00E7605E" w:rsidRDefault="00E0371E" w:rsidP="00755132">
      <w:pPr>
        <w:numPr>
          <w:ilvl w:val="0"/>
          <w:numId w:val="10"/>
        </w:numPr>
        <w:jc w:val="both"/>
        <w:rPr>
          <w:sz w:val="20"/>
          <w:szCs w:val="20"/>
        </w:rPr>
      </w:pPr>
      <w:r w:rsidRPr="00E7605E">
        <w:rPr>
          <w:sz w:val="20"/>
          <w:szCs w:val="20"/>
        </w:rPr>
        <w:t>Asmenis, kurie buvo du kartus nuteisti dėl melagingų kaltinimų ir pranešimų apie padarytą nusikaltimą;</w:t>
      </w:r>
    </w:p>
    <w:p w:rsidR="00E0371E" w:rsidRPr="00E7605E" w:rsidRDefault="00E0371E" w:rsidP="00755132">
      <w:pPr>
        <w:numPr>
          <w:ilvl w:val="0"/>
          <w:numId w:val="10"/>
        </w:numPr>
        <w:jc w:val="both"/>
        <w:rPr>
          <w:sz w:val="20"/>
          <w:szCs w:val="20"/>
        </w:rPr>
      </w:pPr>
      <w:r w:rsidRPr="00E7605E">
        <w:rPr>
          <w:sz w:val="20"/>
          <w:szCs w:val="20"/>
        </w:rPr>
        <w:t>Teisėjus.</w:t>
      </w:r>
    </w:p>
    <w:p w:rsidR="00E0371E" w:rsidRPr="003C1B90" w:rsidRDefault="00E0371E" w:rsidP="003C1B90">
      <w:pPr>
        <w:jc w:val="both"/>
        <w:rPr>
          <w:sz w:val="20"/>
          <w:szCs w:val="20"/>
        </w:rPr>
      </w:pPr>
      <w:r w:rsidRPr="003C1B90">
        <w:rPr>
          <w:sz w:val="20"/>
          <w:szCs w:val="20"/>
        </w:rPr>
        <w:t xml:space="preserve">Teisti dėl melagingų kaltinimų asmenys ir teisėjai gali persekioti, kai nusikaltimas buvo padarytas jų ar jų artimų šeimos narių atžvilgiu. Taip pat negalimas baudžiamasis persekiojimas dėl artimų šeimos ryšių. </w:t>
      </w:r>
    </w:p>
  </w:footnote>
  <w:footnote w:id="291">
    <w:p w:rsidR="00E0371E" w:rsidRPr="00201758" w:rsidRDefault="00E0371E" w:rsidP="00995D7A">
      <w:pPr>
        <w:pStyle w:val="Puslapioinaostekstas"/>
        <w:jc w:val="both"/>
        <w:rPr>
          <w:lang w:val="en-US"/>
        </w:rPr>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:162.</w:t>
      </w:r>
    </w:p>
  </w:footnote>
  <w:footnote w:id="292">
    <w:p w:rsidR="00E0371E" w:rsidRPr="00201758" w:rsidRDefault="00E0371E" w:rsidP="00995D7A">
      <w:pPr>
        <w:pStyle w:val="Puslapioinaostekstas"/>
        <w:jc w:val="both"/>
        <w:rPr>
          <w:lang w:val="en-US"/>
        </w:rPr>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 162.</w:t>
      </w:r>
    </w:p>
  </w:footnote>
  <w:footnote w:id="293">
    <w:p w:rsidR="00E0371E" w:rsidRPr="00BE576C" w:rsidRDefault="00E0371E" w:rsidP="00995D7A">
      <w:pPr>
        <w:pStyle w:val="Puslapioinaostekstas"/>
        <w:jc w:val="both"/>
      </w:pPr>
      <w:r>
        <w:rPr>
          <w:rStyle w:val="Puslapioinaosnuoroda"/>
        </w:rPr>
        <w:footnoteRef/>
      </w:r>
      <w:r w:rsidRPr="00D5536A">
        <w:t xml:space="preserve">Perez Gil, J. Private Interests Seeking Punishment: Prosecution Brought by Private Individuals and Groups in Spain. </w:t>
      </w:r>
      <w:r w:rsidRPr="00D5536A">
        <w:rPr>
          <w:i/>
        </w:rPr>
        <w:t>Law and Policy</w:t>
      </w:r>
      <w:r>
        <w:t>.</w:t>
      </w:r>
      <w:r w:rsidRPr="00D5536A">
        <w:t xml:space="preserve"> 2003, 25</w:t>
      </w:r>
      <w:r>
        <w:t xml:space="preserve">: 153.  </w:t>
      </w:r>
    </w:p>
  </w:footnote>
  <w:footnote w:id="294">
    <w:p w:rsidR="00E0371E" w:rsidRDefault="00E0371E" w:rsidP="00AC6286">
      <w:pPr>
        <w:pStyle w:val="Puslapioinaostekstas"/>
        <w:jc w:val="both"/>
      </w:pPr>
      <w:r>
        <w:rPr>
          <w:rStyle w:val="Puslapioinaosnuoroda"/>
        </w:rPr>
        <w:footnoteRef/>
      </w:r>
      <w:r>
        <w:t xml:space="preserve">Subsidiaraus kaltinimo elementų galima įžvelgti besiformuojančioje praktikoje, kai dėl teisinės neliečiamybės panaikinimo privataus kaltinimo byloje į Seimą kreipiasi Generalinis prokuroras. Plačiau apie tai II skyriaus 3.2.2 dalyje. </w:t>
      </w:r>
    </w:p>
  </w:footnote>
  <w:footnote w:id="295">
    <w:p w:rsidR="00E0371E" w:rsidRDefault="00E0371E" w:rsidP="00007E4D">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63.  Doroshkov, V. V. Sudoproizvodstvo po delam chastnogo obvinenija [Proceedings in Cases of Private prosecution]. </w:t>
      </w:r>
      <w:r w:rsidRPr="00015708">
        <w:rPr>
          <w:i/>
        </w:rPr>
        <w:t>Rosijskaja justicija</w:t>
      </w:r>
      <w:r>
        <w:rPr>
          <w:i/>
        </w:rPr>
        <w:t>.</w:t>
      </w:r>
      <w:r w:rsidRPr="003C7DCA">
        <w:rPr>
          <w:rFonts w:ascii="TimesNewRomanPSMT" w:hAnsi="TimesNewRomanPSMT" w:cs="TimesNewRomanPSMT"/>
        </w:rPr>
        <w:t xml:space="preserve"> 1995</w:t>
      </w:r>
      <w:r>
        <w:rPr>
          <w:rFonts w:ascii="TimesNewRomanPSMT" w:hAnsi="TimesNewRomanPSMT" w:cs="TimesNewRomanPSMT"/>
        </w:rPr>
        <w:t xml:space="preserve">, </w:t>
      </w:r>
      <w:r w:rsidRPr="003C7DCA">
        <w:rPr>
          <w:rFonts w:ascii="TimesNewRomanPSMT" w:hAnsi="TimesNewRomanPSMT" w:cs="TimesNewRomanPSMT"/>
        </w:rPr>
        <w:t>9</w:t>
      </w:r>
      <w:r>
        <w:rPr>
          <w:rFonts w:ascii="TimesNewRomanPSMT" w:hAnsi="TimesNewRomanPSMT" w:cs="TimesNewRomanPSMT"/>
        </w:rPr>
        <w:t>:</w:t>
      </w:r>
      <w:r w:rsidRPr="003C7DCA">
        <w:rPr>
          <w:rFonts w:ascii="TimesNewRomanPSMT" w:hAnsi="TimesNewRomanPSMT" w:cs="TimesNewRomanPSMT"/>
        </w:rPr>
        <w:t xml:space="preserve"> 23. </w:t>
      </w:r>
      <w:r>
        <w:t xml:space="preserve">Shamadrin, A. A. </w:t>
      </w:r>
      <w:r w:rsidRPr="00B56034">
        <w:rPr>
          <w:i/>
        </w:rPr>
        <w:t>Ch</w:t>
      </w:r>
      <w:r>
        <w:rPr>
          <w:i/>
        </w:rPr>
        <w:t>astny</w:t>
      </w:r>
      <w:r w:rsidRPr="000B7922">
        <w:rPr>
          <w:i/>
        </w:rPr>
        <w:t>e na</w:t>
      </w:r>
      <w:r>
        <w:rPr>
          <w:i/>
        </w:rPr>
        <w:t>chala obvinenija i stanovleni</w:t>
      </w:r>
      <w:r w:rsidRPr="000B7922">
        <w:rPr>
          <w:i/>
        </w:rPr>
        <w:t>e principa dispoz</w:t>
      </w:r>
      <w:r>
        <w:rPr>
          <w:i/>
        </w:rPr>
        <w:t xml:space="preserve">itivnosti v ugolovnom processe </w:t>
      </w:r>
      <w:r w:rsidRPr="00B56034">
        <w:t>[Private Origins of Accusation and Formation of the Principle of Dispositiveness in Criminal Procedure]</w:t>
      </w:r>
      <w:r>
        <w:rPr>
          <w:i/>
        </w:rPr>
        <w:t xml:space="preserve">. </w:t>
      </w:r>
      <w:r w:rsidRPr="00FE0B8A">
        <w:t>Daktaro disertacija.</w:t>
      </w:r>
      <w:r>
        <w:t xml:space="preserve"> Socialiniai mokslai (teisė). E</w:t>
      </w:r>
      <w:r w:rsidRPr="00FE0B8A">
        <w:t>katerinburg, 2001</w:t>
      </w:r>
      <w:r w:rsidRPr="00981CA2">
        <w:t xml:space="preserve">, </w:t>
      </w:r>
      <w:r>
        <w:t xml:space="preserve">p. </w:t>
      </w:r>
      <w:r w:rsidRPr="00824943">
        <w:t>135</w:t>
      </w:r>
      <w:r>
        <w:t xml:space="preserve">. Gil, D. </w:t>
      </w:r>
      <w:r w:rsidRPr="00875B7D">
        <w:rPr>
          <w:i/>
          <w:lang w:val="pl-PL"/>
        </w:rPr>
        <w:t>Postępowanie w sprawach z oskarżenia prywatnego w polskim procesie karnym</w:t>
      </w:r>
      <w:r>
        <w:rPr>
          <w:i/>
          <w:lang w:val="pl-PL"/>
        </w:rPr>
        <w:t xml:space="preserve">. </w:t>
      </w:r>
      <w:r>
        <w:rPr>
          <w:lang w:val="pl-PL"/>
        </w:rPr>
        <w:t xml:space="preserve">Daktaro disertacija. Socialiniai mokslai (teisė). </w:t>
      </w:r>
      <w:r w:rsidRPr="00E36EC8">
        <w:rPr>
          <w:lang w:val="pl-PL"/>
        </w:rPr>
        <w:t>Warszawa</w:t>
      </w:r>
      <w:r>
        <w:rPr>
          <w:lang w:val="pl-PL"/>
        </w:rPr>
        <w:t>,</w:t>
      </w:r>
      <w:r w:rsidRPr="00E36EC8">
        <w:rPr>
          <w:lang w:val="pl-PL"/>
        </w:rPr>
        <w:t xml:space="preserve"> 2011</w:t>
      </w:r>
      <w:r>
        <w:rPr>
          <w:lang w:val="pl-PL"/>
        </w:rPr>
        <w:t>, p. 74-77</w:t>
      </w:r>
      <w:r w:rsidRPr="00E36EC8">
        <w:rPr>
          <w:lang w:val="pl-PL"/>
        </w:rPr>
        <w:t>.</w:t>
      </w:r>
    </w:p>
  </w:footnote>
  <w:footnote w:id="296">
    <w:p w:rsidR="00E0371E" w:rsidRDefault="00E0371E" w:rsidP="00274D82">
      <w:pPr>
        <w:pStyle w:val="Puslapioinaostekstas"/>
        <w:jc w:val="both"/>
      </w:pPr>
      <w:r>
        <w:rPr>
          <w:rStyle w:val="Puslapioinaosnuoroda"/>
        </w:rPr>
        <w:footnoteRef/>
      </w:r>
      <w:r>
        <w:t xml:space="preserve">Išskyrus informacinių sistemų saugumą, kadangi kėsinantis ir padarant žalą informacinės sistemos saugumui pažeidžiami didelės visuomenės dalies interesai: tiek asmenų, kurie naudojasi šiomis sistemomis, tiek asmenų, kurių ir apie kuriuos duomenys gali būti saugomi šiose sistemose. Be to, žala būtų padaryta neapibrėžtam asmenų ratui, kadangi būtų sudėtinga nustatyti visus asmenis, kurių interesai pažeisti. </w:t>
      </w:r>
    </w:p>
  </w:footnote>
  <w:footnote w:id="297">
    <w:p w:rsidR="00E0371E" w:rsidRDefault="00E0371E" w:rsidP="00E921F2">
      <w:pPr>
        <w:pStyle w:val="Puslapioinaostekstas"/>
        <w:jc w:val="both"/>
      </w:pPr>
      <w:r>
        <w:rPr>
          <w:rStyle w:val="Puslapioinaosnuoroda"/>
        </w:rPr>
        <w:footnoteRef/>
      </w:r>
      <w:r>
        <w:t xml:space="preserve">Gil, D. </w:t>
      </w:r>
      <w:r w:rsidRPr="00875B7D">
        <w:rPr>
          <w:i/>
          <w:lang w:val="pl-PL"/>
        </w:rPr>
        <w:t>Postępowanie w sprawach z oskarżenia prywatnego w polskim procesie karnym</w:t>
      </w:r>
      <w:r>
        <w:rPr>
          <w:i/>
          <w:lang w:val="pl-PL"/>
        </w:rPr>
        <w:t xml:space="preserve">. </w:t>
      </w:r>
      <w:r>
        <w:rPr>
          <w:lang w:val="pl-PL"/>
        </w:rPr>
        <w:t xml:space="preserve">Daktaro disertacija. Socialiniai mokslai (teisė). </w:t>
      </w:r>
      <w:r w:rsidRPr="00E36EC8">
        <w:rPr>
          <w:lang w:val="pl-PL"/>
        </w:rPr>
        <w:t>Warszawa</w:t>
      </w:r>
      <w:r>
        <w:rPr>
          <w:lang w:val="pl-PL"/>
        </w:rPr>
        <w:t>,</w:t>
      </w:r>
      <w:r w:rsidRPr="00E36EC8">
        <w:rPr>
          <w:lang w:val="pl-PL"/>
        </w:rPr>
        <w:t xml:space="preserve"> 2011</w:t>
      </w:r>
      <w:r>
        <w:rPr>
          <w:lang w:val="pl-PL"/>
        </w:rPr>
        <w:t>, p. 76</w:t>
      </w:r>
      <w:r w:rsidRPr="00E36EC8">
        <w:rPr>
          <w:lang w:val="pl-PL"/>
        </w:rPr>
        <w:t>.</w:t>
      </w:r>
    </w:p>
  </w:footnote>
  <w:footnote w:id="298">
    <w:p w:rsidR="00E0371E" w:rsidRDefault="00E0371E" w:rsidP="00274D82">
      <w:pPr>
        <w:pStyle w:val="Puslapioinaostekstas"/>
        <w:jc w:val="both"/>
      </w:pPr>
      <w:r>
        <w:rPr>
          <w:rStyle w:val="Puslapioinaosnuoroda"/>
        </w:rPr>
        <w:footnoteRef/>
      </w:r>
      <w:r w:rsidRPr="002C406D">
        <w:t>Nesunkus sveikatos sutrikdymas dėl neatsargumo (BK 139 str</w:t>
      </w:r>
      <w:r>
        <w:t>aipsnio</w:t>
      </w:r>
      <w:r w:rsidRPr="002C406D">
        <w:t xml:space="preserve"> 1 d</w:t>
      </w:r>
      <w:r>
        <w:t>alis), f</w:t>
      </w:r>
      <w:r w:rsidRPr="002C406D">
        <w:t>izinio skausmo sukėlimas ar nežymus sveikatos sutrikdy</w:t>
      </w:r>
      <w:r>
        <w:t>mas (BK 140 straipsnio 1 dalis).</w:t>
      </w:r>
    </w:p>
  </w:footnote>
  <w:footnote w:id="299">
    <w:p w:rsidR="00E0371E" w:rsidRDefault="00E0371E" w:rsidP="00274D82">
      <w:pPr>
        <w:pStyle w:val="Puslapioinaostekstas"/>
        <w:jc w:val="both"/>
      </w:pPr>
      <w:r>
        <w:rPr>
          <w:rStyle w:val="Puslapioinaosnuoroda"/>
        </w:rPr>
        <w:footnoteRef/>
      </w:r>
      <w:r w:rsidRPr="002C406D">
        <w:t>Žmogaus veiksmų laisvės</w:t>
      </w:r>
      <w:r>
        <w:t xml:space="preserve"> varžymas (BK 148 straipsnis).</w:t>
      </w:r>
    </w:p>
  </w:footnote>
  <w:footnote w:id="300">
    <w:p w:rsidR="00E0371E" w:rsidRDefault="00E0371E" w:rsidP="00274D82">
      <w:pPr>
        <w:pStyle w:val="Puslapioinaostekstas"/>
        <w:jc w:val="both"/>
      </w:pPr>
      <w:r>
        <w:rPr>
          <w:rStyle w:val="Puslapioinaosnuoroda"/>
        </w:rPr>
        <w:footnoteRef/>
      </w:r>
      <w:r w:rsidRPr="002C406D">
        <w:t>Seksualinis priek</w:t>
      </w:r>
      <w:r>
        <w:t xml:space="preserve">abiavimas (BK 152 straipsnis). </w:t>
      </w:r>
    </w:p>
  </w:footnote>
  <w:footnote w:id="301">
    <w:p w:rsidR="00E0371E" w:rsidRDefault="00E0371E" w:rsidP="00274D82">
      <w:pPr>
        <w:pStyle w:val="Puslapioinaostekstas"/>
        <w:jc w:val="both"/>
      </w:pPr>
      <w:r>
        <w:rPr>
          <w:rStyle w:val="Puslapioinaosnuoroda"/>
        </w:rPr>
        <w:footnoteRef/>
      </w:r>
      <w:r w:rsidRPr="002C406D">
        <w:t>Šmeižimas (BK 154 str</w:t>
      </w:r>
      <w:r>
        <w:t xml:space="preserve">.), įžeidimas (BK 155 straipsnis). </w:t>
      </w:r>
    </w:p>
  </w:footnote>
  <w:footnote w:id="302">
    <w:p w:rsidR="00E0371E" w:rsidRDefault="00E0371E" w:rsidP="00274D82">
      <w:pPr>
        <w:pStyle w:val="Puslapioinaostekstas"/>
        <w:jc w:val="both"/>
      </w:pPr>
      <w:r>
        <w:rPr>
          <w:rStyle w:val="Puslapioinaosnuoroda"/>
        </w:rPr>
        <w:footnoteRef/>
      </w:r>
      <w:r w:rsidRPr="002C406D">
        <w:t>Neteisėtas asmens būsto neliečiamumo pažeidimas (BK 165 str</w:t>
      </w:r>
      <w:r>
        <w:t>aipsnis), n</w:t>
      </w:r>
      <w:r w:rsidRPr="002C406D">
        <w:t>eteisėtas informacijos apie asmens privatų gyvenimą atskleidimas ar pa</w:t>
      </w:r>
      <w:r>
        <w:t xml:space="preserve">naudojimas (BK 168 straipsnis). </w:t>
      </w:r>
    </w:p>
  </w:footnote>
  <w:footnote w:id="303">
    <w:p w:rsidR="00E0371E" w:rsidRDefault="00E0371E" w:rsidP="00274D82">
      <w:pPr>
        <w:pStyle w:val="Puslapioinaostekstas"/>
        <w:jc w:val="both"/>
      </w:pPr>
      <w:r>
        <w:rPr>
          <w:rStyle w:val="Puslapioinaosnuoroda"/>
        </w:rPr>
        <w:footnoteRef/>
      </w:r>
      <w:r w:rsidRPr="002C406D">
        <w:t>Turto sunaikinimas ar sugadinimas (BK 187 str</w:t>
      </w:r>
      <w:r>
        <w:t>aipsnio</w:t>
      </w:r>
      <w:r w:rsidRPr="002C406D">
        <w:t xml:space="preserve"> 1</w:t>
      </w:r>
      <w:r>
        <w:t>,</w:t>
      </w:r>
      <w:r w:rsidRPr="002C406D">
        <w:t xml:space="preserve"> 3 d</w:t>
      </w:r>
      <w:r>
        <w:t>alys</w:t>
      </w:r>
      <w:r w:rsidRPr="002C406D">
        <w:t>)</w:t>
      </w:r>
      <w:r>
        <w:t>, t</w:t>
      </w:r>
      <w:r w:rsidRPr="002C406D">
        <w:t>urto sunaikinimas ar sugadinimas dėl neatsargumo</w:t>
      </w:r>
      <w:r>
        <w:t xml:space="preserve"> (BK 188 straipsnis). </w:t>
      </w:r>
    </w:p>
  </w:footnote>
  <w:footnote w:id="304">
    <w:p w:rsidR="00E0371E" w:rsidRDefault="00E0371E" w:rsidP="00274D82">
      <w:pPr>
        <w:pStyle w:val="Puslapioinaostekstas"/>
        <w:jc w:val="both"/>
      </w:pPr>
      <w:r>
        <w:rPr>
          <w:rStyle w:val="Puslapioinaosnuoroda"/>
        </w:rPr>
        <w:footnoteRef/>
      </w:r>
      <w:r w:rsidRPr="002C406D">
        <w:t>Mirusiojo atminimo pan</w:t>
      </w:r>
      <w:r>
        <w:t xml:space="preserve">iekinimas (BK 313 straipsnis). </w:t>
      </w:r>
    </w:p>
  </w:footnote>
  <w:footnote w:id="305">
    <w:p w:rsidR="00E0371E" w:rsidRDefault="00E0371E" w:rsidP="00274D82">
      <w:pPr>
        <w:pStyle w:val="Puslapioinaostekstas"/>
        <w:jc w:val="both"/>
      </w:pPr>
      <w:r>
        <w:rPr>
          <w:rStyle w:val="Puslapioinaosnuoroda"/>
        </w:rPr>
        <w:footnoteRef/>
      </w:r>
      <w:r w:rsidRPr="002D6628">
        <w:t xml:space="preserve">Lietuvos Respublikos Baudžiamojo proceso kodekso 151, 168, 186, 276, 407, 409 straipsnių pakeitimo ir papildymo įstatymas. </w:t>
      </w:r>
      <w:r w:rsidRPr="002D6628">
        <w:rPr>
          <w:i/>
        </w:rPr>
        <w:t>Valstybės žinios</w:t>
      </w:r>
      <w:r w:rsidRPr="002D6628">
        <w:t>. 2003, Nr. 68-3070.</w:t>
      </w:r>
    </w:p>
  </w:footnote>
  <w:footnote w:id="306">
    <w:p w:rsidR="00E0371E" w:rsidRDefault="00E0371E" w:rsidP="00274D82">
      <w:pPr>
        <w:pStyle w:val="Puslapioinaostekstas"/>
        <w:jc w:val="both"/>
      </w:pPr>
      <w:r>
        <w:rPr>
          <w:rStyle w:val="Puslapioinaosnuoroda"/>
        </w:rPr>
        <w:footnoteRef/>
      </w:r>
      <w:r w:rsidRPr="00AF14D3">
        <w:t>Latvijos BPK 7 str</w:t>
      </w:r>
      <w:r>
        <w:t>aipsnio</w:t>
      </w:r>
      <w:r w:rsidRPr="00AF14D3">
        <w:t xml:space="preserve"> 3 d</w:t>
      </w:r>
      <w:r>
        <w:t>alis</w:t>
      </w:r>
      <w:r w:rsidRPr="00AF14D3">
        <w:t xml:space="preserve"> ir 102 str</w:t>
      </w:r>
      <w:r>
        <w:t xml:space="preserve">aipsnio 1 dalis. Nuo 2011 m. Latvijos BPK atsisakyta privataus kaltinimo instituto kaip neveiksmingo pažeistų teisių ir teisėtų interesų gynimo būdo ir anksčiau privataus kaltinimo sričiai priskirtps veikos dabar nagrinėjamos įprasto proceso tvarka. </w:t>
      </w:r>
      <w:r w:rsidRPr="00BF245F">
        <w:t>Latvijas Kriminālprocesa kodekss [interaktyvus]. [žiūrėta 2013-10-10] &lt;http://likumi.lv/doc.php?id=90971&gt;.</w:t>
      </w:r>
    </w:p>
  </w:footnote>
  <w:footnote w:id="307">
    <w:p w:rsidR="00E0371E" w:rsidRDefault="00E0371E" w:rsidP="00274D82">
      <w:pPr>
        <w:pStyle w:val="Puslapioinaostekstas"/>
        <w:jc w:val="both"/>
      </w:pPr>
      <w:r>
        <w:rPr>
          <w:rStyle w:val="Puslapioinaosnuoroda"/>
        </w:rPr>
        <w:footnoteRef/>
      </w:r>
      <w:r>
        <w:t xml:space="preserve">Latvijos </w:t>
      </w:r>
      <w:r w:rsidRPr="00AF14D3">
        <w:t>BK 130 str</w:t>
      </w:r>
      <w:r>
        <w:t>aipsnio</w:t>
      </w:r>
      <w:r w:rsidRPr="00AF14D3">
        <w:t xml:space="preserve"> 1, 2 d</w:t>
      </w:r>
      <w:r>
        <w:t>alys</w:t>
      </w:r>
      <w:r w:rsidRPr="00AF14D3">
        <w:t xml:space="preserve"> (tyčinis nežymus kūno sužalojimas (išskyrus bylas, susijusias su smurtu šeimoje</w:t>
      </w:r>
      <w:proofErr w:type="gramStart"/>
      <w:r w:rsidRPr="00AF14D3">
        <w:t>))</w:t>
      </w:r>
      <w:proofErr w:type="gramEnd"/>
      <w:r>
        <w:t xml:space="preserve">, BK </w:t>
      </w:r>
      <w:r w:rsidRPr="00AF14D3">
        <w:t>156 str</w:t>
      </w:r>
      <w:r>
        <w:t>aipsnis</w:t>
      </w:r>
      <w:r w:rsidRPr="00AF14D3">
        <w:t xml:space="preserve"> (šmeižtas), 157 str</w:t>
      </w:r>
      <w:r>
        <w:t>aipsnis</w:t>
      </w:r>
      <w:r w:rsidRPr="00AF14D3">
        <w:t xml:space="preserve"> (reputacijos pažeminimas) ir 158 st</w:t>
      </w:r>
      <w:r>
        <w:t>raipsnis</w:t>
      </w:r>
      <w:r w:rsidRPr="00AF14D3">
        <w:t xml:space="preserve"> (šmeižtas arba reputacijos pažeminimas per žiniasklaidos priemones).</w:t>
      </w:r>
      <w:r>
        <w:t xml:space="preserve"> </w:t>
      </w:r>
      <w:r w:rsidRPr="00BF245F">
        <w:t>Latvijas Krimināllikums [intera</w:t>
      </w:r>
      <w:r>
        <w:t>ktyvus]. [žiūrėta 2013-10-10] &lt;</w:t>
      </w:r>
      <w:r w:rsidRPr="00BF245F">
        <w:t>http://likumi.lv/doc.php?id=88966&gt;.</w:t>
      </w:r>
    </w:p>
  </w:footnote>
  <w:footnote w:id="308">
    <w:p w:rsidR="00E0371E" w:rsidRDefault="00E0371E" w:rsidP="00AD3D2F">
      <w:pPr>
        <w:pStyle w:val="Puslapioinaostekstas"/>
      </w:pPr>
      <w:r>
        <w:rPr>
          <w:rStyle w:val="Puslapioinaosnuoroda"/>
        </w:rPr>
        <w:footnoteRef/>
      </w:r>
      <w:r>
        <w:t>The Relation between the Public Prosecutor and the Police (Austria) [interaktyvus] [žiūrėta 2013-03-04]</w:t>
      </w:r>
    </w:p>
    <w:p w:rsidR="00E0371E" w:rsidRDefault="00E0371E" w:rsidP="00015708">
      <w:pPr>
        <w:pStyle w:val="Puslapioinaostekstas"/>
        <w:jc w:val="both"/>
      </w:pPr>
      <w:r>
        <w:t>&lt;</w:t>
      </w:r>
      <w:hyperlink r:id="rId10" w:history="1">
        <w:r w:rsidRPr="00760037">
          <w:rPr>
            <w:rStyle w:val="Hipersaitas"/>
          </w:rPr>
          <w:t>http://www.euro-justice.com/member_states/austria/country_report/1362/</w:t>
        </w:r>
      </w:hyperlink>
      <w:r>
        <w:rPr>
          <w:rStyle w:val="Hipersaitas"/>
        </w:rPr>
        <w:t>&gt;.</w:t>
      </w:r>
      <w:r>
        <w:t xml:space="preserve"> Cituota per: </w:t>
      </w:r>
      <w:r w:rsidRPr="003E3724">
        <w:rPr>
          <w:i/>
        </w:rPr>
        <w:t>Privataus kaltinimo institutas ES valstybėse narėse</w:t>
      </w:r>
      <w:r>
        <w:t xml:space="preserve">. Vilnius: Lietuvos Respublikos Seimo Parlamentinių tyrimų departamentas, 2013. </w:t>
      </w:r>
    </w:p>
  </w:footnote>
  <w:footnote w:id="309">
    <w:p w:rsidR="00E0371E" w:rsidRDefault="00E0371E" w:rsidP="00201758">
      <w:pPr>
        <w:pStyle w:val="Puslapioinaostekstas"/>
      </w:pPr>
      <w:r>
        <w:rPr>
          <w:rStyle w:val="Puslapioinaosnuoroda"/>
        </w:rPr>
        <w:footnoteRef/>
      </w:r>
      <w:r>
        <w:t>1. piktnaudžiavimas (Vokietijos BK 123 straipsnis);</w:t>
      </w:r>
    </w:p>
    <w:p w:rsidR="00E0371E" w:rsidRDefault="00E0371E" w:rsidP="004C35A3">
      <w:pPr>
        <w:pStyle w:val="Puslapioinaostekstas"/>
        <w:jc w:val="both"/>
      </w:pPr>
      <w:r>
        <w:t>2. šmeižtas (Vokietijos BK 185 – 189 straipsniai), jei jis nebuvo nukreiptas prieš BK 194 straipsnio 4 p. nurodytą politinę instituciją;</w:t>
      </w:r>
    </w:p>
    <w:p w:rsidR="00E0371E" w:rsidRDefault="00E0371E" w:rsidP="00201758">
      <w:pPr>
        <w:pStyle w:val="Puslapioinaostekstas"/>
      </w:pPr>
      <w:r>
        <w:t>3. susirašinėjimo privatumo pažeidimas (Vokietijos BK 202 straipsnis);</w:t>
      </w:r>
    </w:p>
    <w:p w:rsidR="00E0371E" w:rsidRDefault="00E0371E" w:rsidP="00201758">
      <w:pPr>
        <w:pStyle w:val="Puslapioinaostekstas"/>
      </w:pPr>
      <w:r>
        <w:t>4. kūno sužalojimas (Vokietijos BK 223 ir 229 straipsniai);</w:t>
      </w:r>
    </w:p>
    <w:p w:rsidR="00E0371E" w:rsidRDefault="00E0371E" w:rsidP="00201758">
      <w:pPr>
        <w:pStyle w:val="Puslapioinaostekstas"/>
      </w:pPr>
      <w:r>
        <w:t>5. grasinimas (Vokietijos BK 241 straipsnis),</w:t>
      </w:r>
    </w:p>
    <w:p w:rsidR="00E0371E" w:rsidRDefault="00E0371E" w:rsidP="00201758">
      <w:pPr>
        <w:pStyle w:val="Puslapioinaostekstas"/>
      </w:pPr>
      <w:r>
        <w:t>5a. korupcija arba kyšininkavimas verslo sandoriuose (Vokietijos BK 299 straipsnis),</w:t>
      </w:r>
    </w:p>
    <w:p w:rsidR="00E0371E" w:rsidRDefault="00E0371E" w:rsidP="00201758">
      <w:pPr>
        <w:pStyle w:val="Puslapioinaostekstas"/>
      </w:pPr>
      <w:r>
        <w:t>6. turtinės žalos padarymas (Vokietijos BK 303 straipsnis),</w:t>
      </w:r>
    </w:p>
    <w:p w:rsidR="00E0371E" w:rsidRDefault="00E0371E" w:rsidP="004C35A3">
      <w:pPr>
        <w:pStyle w:val="Puslapioinaostekstas"/>
        <w:jc w:val="both"/>
      </w:pPr>
      <w:r>
        <w:t xml:space="preserve">6a. jei 1-6 punktuose nurodytos veikos yra baudžiamieji nusižengimai </w:t>
      </w:r>
      <w:proofErr w:type="gramStart"/>
      <w:r>
        <w:t>(</w:t>
      </w:r>
      <w:proofErr w:type="gramEnd"/>
      <w:r>
        <w:t xml:space="preserve">vok. </w:t>
      </w:r>
      <w:r w:rsidRPr="00673917">
        <w:rPr>
          <w:i/>
        </w:rPr>
        <w:t>Vergehen</w:t>
      </w:r>
      <w:r>
        <w:t>), padaryti apsvaigimo būsenoje pagal Vokietijos BK 323a straipsnį,</w:t>
      </w:r>
    </w:p>
    <w:p w:rsidR="00E0371E" w:rsidRDefault="00E0371E" w:rsidP="00201758">
      <w:pPr>
        <w:pStyle w:val="Puslapioinaostekstas"/>
      </w:pPr>
      <w:r>
        <w:t>7. nusikalstama veika, numatyta Įstatymo prieš nesąžiningą konkursą 16 – 19 straipsniuose,</w:t>
      </w:r>
    </w:p>
    <w:p w:rsidR="00E0371E" w:rsidRPr="00DC00CD" w:rsidRDefault="00E0371E" w:rsidP="00DC00CD">
      <w:pPr>
        <w:jc w:val="both"/>
        <w:rPr>
          <w:sz w:val="20"/>
        </w:rPr>
      </w:pPr>
      <w:r w:rsidRPr="00DC00CD">
        <w:rPr>
          <w:sz w:val="20"/>
        </w:rPr>
        <w:t xml:space="preserve">8. nusikalstamos veikos, numatytos Patentų įstatymo 142 straipsnio 1 dalyje, Naudingųjų modelių įstatymo </w:t>
      </w:r>
      <w:proofErr w:type="gramStart"/>
      <w:r w:rsidRPr="00DC00CD">
        <w:rPr>
          <w:sz w:val="20"/>
        </w:rPr>
        <w:t>(</w:t>
      </w:r>
      <w:proofErr w:type="gramEnd"/>
      <w:r w:rsidRPr="00DC00CD">
        <w:rPr>
          <w:sz w:val="20"/>
        </w:rPr>
        <w:t xml:space="preserve">vok. </w:t>
      </w:r>
      <w:r w:rsidRPr="00DC00CD">
        <w:rPr>
          <w:i/>
          <w:sz w:val="20"/>
        </w:rPr>
        <w:t>Gebrauchsmustergesetz</w:t>
      </w:r>
      <w:r w:rsidRPr="00DC00CD">
        <w:rPr>
          <w:sz w:val="20"/>
        </w:rPr>
        <w:t xml:space="preserve">) 25 straipsnio 1 dalyje, Puslaidininkių apsaugos įstatymo 10 straipsnio 1dalyje, Augalų veislių apsaugos įstatymo 39 straipsnio 1 dalyje, Prekinių ženklų įstatymo 143 straipsnio 1dalyje, 143a straipsnio 1dalyje ir 14 straipsnio 1 ir 2 dalyse, Dizaino įstatymo </w:t>
      </w:r>
      <w:proofErr w:type="gramStart"/>
      <w:r w:rsidRPr="00DC00CD">
        <w:rPr>
          <w:sz w:val="20"/>
        </w:rPr>
        <w:t>(</w:t>
      </w:r>
      <w:proofErr w:type="gramEnd"/>
      <w:r w:rsidRPr="00DC00CD">
        <w:rPr>
          <w:sz w:val="20"/>
        </w:rPr>
        <w:t xml:space="preserve">vok. </w:t>
      </w:r>
      <w:r w:rsidRPr="00DC00CD">
        <w:rPr>
          <w:i/>
          <w:sz w:val="20"/>
        </w:rPr>
        <w:t>Geschmacksmustergesetz</w:t>
      </w:r>
      <w:r w:rsidRPr="00DC00CD">
        <w:rPr>
          <w:sz w:val="20"/>
        </w:rPr>
        <w:t>) 51 straipsnio 1 dalyje ir 65 straipsnio 1 dalyje, Autorinių ir gretutinių teisių įstatymo 106 – 108 straipsniuose, 108b straipsnio1 ir 2 dalyse, Įstatymo dėl dailės ir fotografijos darbų autorinių teisių 33 straipsnyje. Vokietijos BPK. Strafprozeßordnung [interaktyvus]. [žiūrėta 201</w:t>
      </w:r>
      <w:r>
        <w:rPr>
          <w:sz w:val="20"/>
        </w:rPr>
        <w:t>0</w:t>
      </w:r>
      <w:r w:rsidRPr="00DC00CD">
        <w:rPr>
          <w:sz w:val="20"/>
        </w:rPr>
        <w:t>-0</w:t>
      </w:r>
      <w:r>
        <w:rPr>
          <w:sz w:val="20"/>
        </w:rPr>
        <w:t>7</w:t>
      </w:r>
      <w:r w:rsidRPr="00DC00CD">
        <w:rPr>
          <w:sz w:val="20"/>
        </w:rPr>
        <w:t>-</w:t>
      </w:r>
      <w:r>
        <w:rPr>
          <w:sz w:val="20"/>
        </w:rPr>
        <w:t>28]</w:t>
      </w:r>
      <w:r w:rsidRPr="00DC00CD">
        <w:rPr>
          <w:sz w:val="20"/>
        </w:rPr>
        <w:t xml:space="preserve"> </w:t>
      </w:r>
      <w:r>
        <w:rPr>
          <w:sz w:val="20"/>
        </w:rPr>
        <w:t>&lt;</w:t>
      </w:r>
      <w:hyperlink r:id="rId11" w:history="1">
        <w:r w:rsidRPr="00DC00CD">
          <w:rPr>
            <w:color w:val="0000FF"/>
            <w:sz w:val="20"/>
            <w:u w:val="single"/>
          </w:rPr>
          <w:t>http://www.gesetze-im-internet.de/stpo/index.html</w:t>
        </w:r>
      </w:hyperlink>
      <w:r>
        <w:rPr>
          <w:color w:val="0000FF"/>
          <w:sz w:val="20"/>
          <w:u w:val="single"/>
        </w:rPr>
        <w:t>&gt;.</w:t>
      </w:r>
    </w:p>
  </w:footnote>
  <w:footnote w:id="310">
    <w:p w:rsidR="00E0371E" w:rsidRPr="006A6C35" w:rsidRDefault="00E0371E" w:rsidP="00523082">
      <w:pPr>
        <w:jc w:val="both"/>
        <w:rPr>
          <w:sz w:val="20"/>
          <w:szCs w:val="20"/>
        </w:rPr>
      </w:pPr>
      <w:r w:rsidRPr="006A6C35">
        <w:rPr>
          <w:rStyle w:val="Puslapioinaosnuoroda"/>
          <w:sz w:val="20"/>
          <w:szCs w:val="20"/>
        </w:rPr>
        <w:footnoteRef/>
      </w:r>
      <w:r w:rsidRPr="006A6C35">
        <w:rPr>
          <w:sz w:val="20"/>
          <w:szCs w:val="20"/>
        </w:rPr>
        <w:t xml:space="preserve">Nacionalinės teismų administracijos 2013 m. balandžio 11 d. raštas Nr. 4R-950-(6.9) „Dėl statistinės informacijos apie privataus kaltinimo bylų teisminį nagrinėjimą“. Skelbta </w:t>
      </w:r>
      <w:r w:rsidRPr="006A6C35">
        <w:rPr>
          <w:i/>
          <w:sz w:val="20"/>
          <w:szCs w:val="20"/>
        </w:rPr>
        <w:t>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w:t>
      </w:r>
      <w:r w:rsidRPr="006A6C35">
        <w:rPr>
          <w:sz w:val="20"/>
          <w:szCs w:val="20"/>
        </w:rPr>
        <w:t xml:space="preserve"> Vilnius, 2013.</w:t>
      </w:r>
    </w:p>
  </w:footnote>
  <w:footnote w:id="311">
    <w:p w:rsidR="00E0371E" w:rsidRDefault="00E0371E">
      <w:pPr>
        <w:pStyle w:val="Puslapioinaostekstas"/>
      </w:pPr>
      <w:r>
        <w:rPr>
          <w:rStyle w:val="Puslapioinaosnuoroda"/>
        </w:rPr>
        <w:footnoteRef/>
      </w:r>
      <w:r w:rsidRPr="00867A73">
        <w:t xml:space="preserve">Lietuvos Respublikos apsaugos nuo smurto artimoje aplinkoje įstatymas. </w:t>
      </w:r>
      <w:r w:rsidRPr="00867A73">
        <w:rPr>
          <w:i/>
        </w:rPr>
        <w:t>Valstybės žinios</w:t>
      </w:r>
      <w:r w:rsidRPr="00867A73">
        <w:t>. 2011, Nr. 72-3475.</w:t>
      </w:r>
    </w:p>
  </w:footnote>
  <w:footnote w:id="312">
    <w:p w:rsidR="00E0371E" w:rsidRPr="00BF245F" w:rsidRDefault="00E0371E" w:rsidP="00523082">
      <w:pPr>
        <w:jc w:val="both"/>
        <w:rPr>
          <w:sz w:val="20"/>
          <w:szCs w:val="20"/>
        </w:rPr>
      </w:pPr>
      <w:r w:rsidRPr="00BF245F">
        <w:rPr>
          <w:rStyle w:val="Puslapioinaosnuoroda"/>
          <w:sz w:val="20"/>
          <w:szCs w:val="20"/>
        </w:rPr>
        <w:footnoteRef/>
      </w:r>
      <w:r w:rsidRPr="00BF245F">
        <w:rPr>
          <w:sz w:val="20"/>
          <w:szCs w:val="20"/>
        </w:rPr>
        <w:t xml:space="preserve">Nacionalinė teismų administracija. </w:t>
      </w:r>
      <w:r w:rsidRPr="00BF245F">
        <w:rPr>
          <w:i/>
          <w:sz w:val="20"/>
          <w:szCs w:val="20"/>
        </w:rPr>
        <w:t>Teismų statistika</w:t>
      </w:r>
      <w:r w:rsidRPr="00BF245F">
        <w:rPr>
          <w:sz w:val="20"/>
          <w:szCs w:val="20"/>
        </w:rPr>
        <w:t xml:space="preserve"> [interaktyvus]. [žiūrėta 2014-03-24].</w:t>
      </w:r>
      <w:r>
        <w:rPr>
          <w:sz w:val="20"/>
          <w:szCs w:val="20"/>
        </w:rPr>
        <w:t xml:space="preserve"> </w:t>
      </w:r>
      <w:r w:rsidRPr="006A6C35">
        <w:rPr>
          <w:sz w:val="20"/>
          <w:szCs w:val="20"/>
        </w:rPr>
        <w:t>&lt;</w:t>
      </w:r>
      <w:hyperlink r:id="rId12" w:tgtFrame="_blank" w:history="1">
        <w:r w:rsidRPr="006A6C35">
          <w:rPr>
            <w:rStyle w:val="Hipersaitas"/>
            <w:sz w:val="20"/>
            <w:szCs w:val="20"/>
          </w:rPr>
          <w:t>http://www.teismai.lt/lt/teismai/teismai-statistika/</w:t>
        </w:r>
      </w:hyperlink>
      <w:r w:rsidRPr="006A6C35">
        <w:rPr>
          <w:sz w:val="20"/>
          <w:szCs w:val="20"/>
        </w:rPr>
        <w:t xml:space="preserve">&gt;. Nacionalinės teismų administracijos 2013 m. balandžio 11 d. raštas Nr. 4R-950-(6.9) „Dėl statistinės informacijos apie privataus kaltinimo bylų teisminį nagrinėjimą“. Skelbta </w:t>
      </w:r>
      <w:r w:rsidRPr="006A6C35">
        <w:rPr>
          <w:i/>
          <w:sz w:val="20"/>
          <w:szCs w:val="20"/>
        </w:rPr>
        <w:t>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w:t>
      </w:r>
      <w:r w:rsidRPr="006A6C35">
        <w:rPr>
          <w:sz w:val="20"/>
          <w:szCs w:val="20"/>
        </w:rPr>
        <w:t xml:space="preserve"> Vilnius, 2013.</w:t>
      </w:r>
      <w:r>
        <w:t xml:space="preserve"> </w:t>
      </w:r>
    </w:p>
  </w:footnote>
  <w:footnote w:id="313">
    <w:p w:rsidR="00E0371E" w:rsidRPr="006A6C35" w:rsidRDefault="00E0371E" w:rsidP="00523082">
      <w:pPr>
        <w:jc w:val="both"/>
        <w:rPr>
          <w:sz w:val="20"/>
          <w:szCs w:val="20"/>
        </w:rPr>
      </w:pPr>
      <w:r w:rsidRPr="00BF245F">
        <w:rPr>
          <w:rStyle w:val="Puslapioinaosnuoroda"/>
          <w:sz w:val="20"/>
          <w:szCs w:val="20"/>
        </w:rPr>
        <w:footnoteRef/>
      </w:r>
      <w:r w:rsidRPr="006A6C35">
        <w:rPr>
          <w:sz w:val="20"/>
          <w:szCs w:val="20"/>
        </w:rPr>
        <w:t xml:space="preserve">Nacionalinė teismų administracija. </w:t>
      </w:r>
      <w:r w:rsidRPr="006A6C35">
        <w:rPr>
          <w:i/>
          <w:sz w:val="20"/>
          <w:szCs w:val="20"/>
        </w:rPr>
        <w:t>Teismų statistika</w:t>
      </w:r>
      <w:r w:rsidRPr="006A6C35">
        <w:rPr>
          <w:sz w:val="20"/>
          <w:szCs w:val="20"/>
        </w:rPr>
        <w:t xml:space="preserve"> [interaktyvus]. [žiūrėta 2014-03-24]. &lt;</w:t>
      </w:r>
      <w:hyperlink r:id="rId13" w:tgtFrame="_blank" w:history="1">
        <w:r w:rsidRPr="006A6C35">
          <w:rPr>
            <w:rStyle w:val="Hipersaitas"/>
            <w:sz w:val="20"/>
            <w:szCs w:val="20"/>
          </w:rPr>
          <w:t>http://www.teismai.lt/lt/teismai/teismai-statistika/</w:t>
        </w:r>
      </w:hyperlink>
      <w:r w:rsidRPr="006A6C35">
        <w:rPr>
          <w:sz w:val="20"/>
          <w:szCs w:val="20"/>
        </w:rPr>
        <w:t xml:space="preserve">&gt;. Nacionalinės teismų administracijos 2013 m. balandžio 11 d. raštas Nr. 4R-950-(6.9) „Dėl statistinės informacijos apie privataus kaltinimo bylų teisminį nagrinėjimą“. Skelbta </w:t>
      </w:r>
      <w:r w:rsidRPr="006A6C35">
        <w:rPr>
          <w:i/>
          <w:sz w:val="20"/>
          <w:szCs w:val="20"/>
        </w:rPr>
        <w:t>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w:t>
      </w:r>
      <w:r w:rsidRPr="006A6C35">
        <w:rPr>
          <w:sz w:val="20"/>
          <w:szCs w:val="20"/>
        </w:rPr>
        <w:t xml:space="preserve"> Vilnius, 2013.</w:t>
      </w:r>
    </w:p>
  </w:footnote>
  <w:footnote w:id="314">
    <w:p w:rsidR="00E0371E" w:rsidRPr="00D60358" w:rsidRDefault="00E0371E" w:rsidP="0074506D">
      <w:pPr>
        <w:pStyle w:val="Default"/>
        <w:jc w:val="both"/>
        <w:rPr>
          <w:rFonts w:ascii="Times New Roman" w:hAnsi="Times New Roman" w:cs="Times New Roman"/>
          <w:sz w:val="20"/>
          <w:szCs w:val="20"/>
        </w:rPr>
      </w:pPr>
      <w:r>
        <w:rPr>
          <w:rStyle w:val="Puslapioinaosnuoroda"/>
        </w:rPr>
        <w:footnoteRef/>
      </w:r>
      <w:r w:rsidRPr="00D60358">
        <w:rPr>
          <w:rFonts w:ascii="Times New Roman" w:hAnsi="Times New Roman" w:cs="Times New Roman"/>
          <w:sz w:val="20"/>
          <w:szCs w:val="20"/>
        </w:rPr>
        <w:t xml:space="preserve">Siekiant pristatyti pagrindinius disertacinio tyrimo rezultatus, šios tyrimo dalies pagrindu buvo publikuotas straipsnis Matuizienė, E. Nukentėjusiojo interesai baudžiamajame procese. </w:t>
      </w:r>
      <w:r w:rsidRPr="00D60358">
        <w:rPr>
          <w:rFonts w:ascii="Times New Roman" w:hAnsi="Times New Roman" w:cs="Times New Roman"/>
          <w:i/>
          <w:sz w:val="20"/>
          <w:szCs w:val="20"/>
        </w:rPr>
        <w:t>Socialinių mokslų studijos</w:t>
      </w:r>
      <w:r w:rsidRPr="00D60358">
        <w:rPr>
          <w:rFonts w:ascii="Times New Roman" w:hAnsi="Times New Roman" w:cs="Times New Roman"/>
          <w:sz w:val="20"/>
          <w:szCs w:val="20"/>
        </w:rPr>
        <w:t xml:space="preserve">. </w:t>
      </w:r>
      <w:r w:rsidRPr="00D60358">
        <w:rPr>
          <w:rStyle w:val="A0"/>
          <w:rFonts w:ascii="Times New Roman" w:hAnsi="Times New Roman" w:cs="Times New Roman"/>
          <w:sz w:val="20"/>
          <w:szCs w:val="20"/>
        </w:rPr>
        <w:t>2012, 4</w:t>
      </w:r>
      <w:r>
        <w:rPr>
          <w:rStyle w:val="A0"/>
          <w:rFonts w:ascii="Times New Roman" w:hAnsi="Times New Roman" w:cs="Times New Roman"/>
          <w:sz w:val="20"/>
          <w:szCs w:val="20"/>
        </w:rPr>
        <w:t xml:space="preserve"> </w:t>
      </w:r>
      <w:r w:rsidRPr="00D60358">
        <w:rPr>
          <w:rStyle w:val="A0"/>
          <w:rFonts w:ascii="Times New Roman" w:hAnsi="Times New Roman" w:cs="Times New Roman"/>
          <w:sz w:val="20"/>
          <w:szCs w:val="20"/>
        </w:rPr>
        <w:t>(3): 11</w:t>
      </w:r>
      <w:r>
        <w:rPr>
          <w:rStyle w:val="A0"/>
          <w:rFonts w:ascii="Times New Roman" w:hAnsi="Times New Roman" w:cs="Times New Roman"/>
          <w:sz w:val="20"/>
          <w:szCs w:val="20"/>
        </w:rPr>
        <w:t>77-1198</w:t>
      </w:r>
      <w:r w:rsidRPr="00D60358">
        <w:rPr>
          <w:rStyle w:val="A0"/>
          <w:rFonts w:ascii="Times New Roman" w:hAnsi="Times New Roman" w:cs="Times New Roman"/>
          <w:sz w:val="20"/>
          <w:szCs w:val="20"/>
        </w:rPr>
        <w:t>.</w:t>
      </w:r>
    </w:p>
  </w:footnote>
  <w:footnote w:id="315">
    <w:p w:rsidR="00E0371E" w:rsidRPr="00620C9F" w:rsidRDefault="00E0371E" w:rsidP="00C85EA7">
      <w:pPr>
        <w:jc w:val="both"/>
        <w:rPr>
          <w:sz w:val="20"/>
          <w:szCs w:val="20"/>
        </w:rPr>
      </w:pPr>
      <w:r w:rsidRPr="00620C9F">
        <w:rPr>
          <w:rStyle w:val="Puslapioinaosnuoroda"/>
          <w:sz w:val="20"/>
          <w:szCs w:val="20"/>
        </w:rPr>
        <w:footnoteRef/>
      </w:r>
      <w:r>
        <w:rPr>
          <w:sz w:val="20"/>
          <w:szCs w:val="20"/>
        </w:rPr>
        <w:t>P</w:t>
      </w:r>
      <w:r w:rsidRPr="0047500F">
        <w:rPr>
          <w:sz w:val="20"/>
          <w:szCs w:val="20"/>
        </w:rPr>
        <w:t xml:space="preserve">riešingai </w:t>
      </w:r>
      <w:r>
        <w:rPr>
          <w:sz w:val="20"/>
          <w:szCs w:val="20"/>
        </w:rPr>
        <w:t xml:space="preserve">nei </w:t>
      </w:r>
      <w:r w:rsidRPr="0047500F">
        <w:rPr>
          <w:sz w:val="20"/>
          <w:szCs w:val="20"/>
        </w:rPr>
        <w:t>valstybinio intereso turin</w:t>
      </w:r>
      <w:r>
        <w:rPr>
          <w:sz w:val="20"/>
          <w:szCs w:val="20"/>
        </w:rPr>
        <w:t>ys</w:t>
      </w:r>
      <w:r w:rsidRPr="0047500F">
        <w:rPr>
          <w:sz w:val="20"/>
          <w:szCs w:val="20"/>
        </w:rPr>
        <w:t xml:space="preserve">, </w:t>
      </w:r>
      <w:r>
        <w:rPr>
          <w:sz w:val="20"/>
          <w:szCs w:val="20"/>
        </w:rPr>
        <w:t>kuriame yra tik procesinis suinteresuotumas</w:t>
      </w:r>
      <w:r w:rsidRPr="0047500F">
        <w:rPr>
          <w:sz w:val="20"/>
          <w:szCs w:val="20"/>
        </w:rPr>
        <w:t>.</w:t>
      </w:r>
      <w:r>
        <w:rPr>
          <w:sz w:val="20"/>
          <w:szCs w:val="20"/>
        </w:rPr>
        <w:t xml:space="preserve"> </w:t>
      </w:r>
      <w:r w:rsidRPr="00620C9F">
        <w:rPr>
          <w:sz w:val="20"/>
          <w:szCs w:val="20"/>
        </w:rPr>
        <w:t>Lukjanova</w:t>
      </w:r>
      <w:r>
        <w:rPr>
          <w:sz w:val="20"/>
          <w:szCs w:val="20"/>
        </w:rPr>
        <w:t>,</w:t>
      </w:r>
      <w:r w:rsidRPr="00620C9F">
        <w:rPr>
          <w:sz w:val="20"/>
          <w:szCs w:val="20"/>
        </w:rPr>
        <w:t xml:space="preserve"> E.</w:t>
      </w:r>
      <w:r>
        <w:rPr>
          <w:sz w:val="20"/>
          <w:szCs w:val="20"/>
        </w:rPr>
        <w:t xml:space="preserve"> </w:t>
      </w:r>
      <w:r w:rsidRPr="00620C9F">
        <w:rPr>
          <w:sz w:val="20"/>
          <w:szCs w:val="20"/>
        </w:rPr>
        <w:t>G.</w:t>
      </w:r>
      <w:r>
        <w:rPr>
          <w:sz w:val="20"/>
          <w:szCs w:val="20"/>
        </w:rPr>
        <w:t xml:space="preserve"> </w:t>
      </w:r>
      <w:r w:rsidRPr="00D60358">
        <w:rPr>
          <w:i/>
          <w:sz w:val="20"/>
          <w:szCs w:val="20"/>
        </w:rPr>
        <w:t>Teorija processualnogo prava</w:t>
      </w:r>
      <w:r>
        <w:rPr>
          <w:i/>
          <w:sz w:val="20"/>
          <w:szCs w:val="20"/>
        </w:rPr>
        <w:t xml:space="preserve"> </w:t>
      </w:r>
      <w:r>
        <w:rPr>
          <w:sz w:val="20"/>
          <w:szCs w:val="20"/>
        </w:rPr>
        <w:t xml:space="preserve">[Theory of Procedural Law]. </w:t>
      </w:r>
      <w:r w:rsidRPr="00620C9F">
        <w:rPr>
          <w:sz w:val="20"/>
          <w:szCs w:val="20"/>
        </w:rPr>
        <w:t>M</w:t>
      </w:r>
      <w:r>
        <w:rPr>
          <w:sz w:val="20"/>
          <w:szCs w:val="20"/>
        </w:rPr>
        <w:t>oskva: Norma,</w:t>
      </w:r>
      <w:r w:rsidRPr="00620C9F">
        <w:rPr>
          <w:sz w:val="20"/>
          <w:szCs w:val="20"/>
        </w:rPr>
        <w:t xml:space="preserve"> 2003</w:t>
      </w:r>
      <w:r>
        <w:rPr>
          <w:sz w:val="20"/>
          <w:szCs w:val="20"/>
        </w:rPr>
        <w:t xml:space="preserve">, </w:t>
      </w:r>
      <w:r w:rsidRPr="00620C9F">
        <w:rPr>
          <w:sz w:val="20"/>
          <w:szCs w:val="20"/>
        </w:rPr>
        <w:t>p. 214</w:t>
      </w:r>
      <w:r>
        <w:rPr>
          <w:sz w:val="20"/>
          <w:szCs w:val="20"/>
        </w:rPr>
        <w:t>.</w:t>
      </w:r>
    </w:p>
  </w:footnote>
  <w:footnote w:id="316">
    <w:p w:rsidR="00E0371E" w:rsidRPr="00201758" w:rsidRDefault="00E0371E" w:rsidP="00C85EA7">
      <w:pPr>
        <w:pStyle w:val="Puslapioinaostekstas"/>
        <w:jc w:val="both"/>
        <w:rPr>
          <w:lang w:val="en-US"/>
        </w:rPr>
      </w:pPr>
      <w:r>
        <w:rPr>
          <w:rStyle w:val="Puslapioinaosnuoroda"/>
        </w:rPr>
        <w:footnoteRef/>
      </w:r>
      <w:r>
        <w:t xml:space="preserve">Schulz, J. </w:t>
      </w:r>
      <w:r w:rsidRPr="00144E35">
        <w:rPr>
          <w:i/>
        </w:rPr>
        <w:t>Beitr</w:t>
      </w:r>
      <w:r w:rsidRPr="00144E35">
        <w:rPr>
          <w:i/>
          <w:lang w:val="de-DE"/>
        </w:rPr>
        <w:t>äge zur Nebenklage</w:t>
      </w:r>
      <w:r>
        <w:rPr>
          <w:lang w:val="de-DE"/>
        </w:rPr>
        <w:t xml:space="preserve">. </w:t>
      </w:r>
      <w:r w:rsidRPr="0013188F">
        <w:rPr>
          <w:lang w:val="de-DE"/>
        </w:rPr>
        <w:t xml:space="preserve">Berlin: </w:t>
      </w:r>
      <w:r w:rsidRPr="00AA22FE">
        <w:t>Duncker &amp; Humblot</w:t>
      </w:r>
      <w:r w:rsidRPr="0013188F">
        <w:rPr>
          <w:lang w:val="de-DE"/>
        </w:rPr>
        <w:t xml:space="preserve">, 1982, p. 23. </w:t>
      </w:r>
      <w:r w:rsidRPr="00C61D2C">
        <w:rPr>
          <w:lang w:val="en-GB"/>
        </w:rPr>
        <w:t xml:space="preserve">Zedner, L. Victims. </w:t>
      </w:r>
      <w:proofErr w:type="gramStart"/>
      <w:r w:rsidRPr="00C61D2C">
        <w:rPr>
          <w:lang w:val="en-GB"/>
        </w:rPr>
        <w:t xml:space="preserve">In </w:t>
      </w:r>
      <w:r w:rsidRPr="00C61D2C">
        <w:rPr>
          <w:i/>
          <w:lang w:val="en-GB"/>
        </w:rPr>
        <w:t>The Oxford Handbook of Criminology</w:t>
      </w:r>
      <w:r w:rsidRPr="00C61D2C">
        <w:rPr>
          <w:lang w:val="en-GB"/>
        </w:rPr>
        <w:t>.</w:t>
      </w:r>
      <w:proofErr w:type="gramEnd"/>
      <w:r w:rsidRPr="00C61D2C">
        <w:rPr>
          <w:lang w:val="en-GB"/>
        </w:rPr>
        <w:t xml:space="preserve"> </w:t>
      </w:r>
      <w:proofErr w:type="gramStart"/>
      <w:r w:rsidRPr="00C61D2C">
        <w:rPr>
          <w:lang w:val="en-GB"/>
        </w:rPr>
        <w:t>(Red.</w:t>
      </w:r>
      <w:proofErr w:type="gramEnd"/>
      <w:r w:rsidRPr="00C61D2C">
        <w:rPr>
          <w:lang w:val="en-GB"/>
        </w:rPr>
        <w:t xml:space="preserve"> </w:t>
      </w:r>
      <w:proofErr w:type="gramStart"/>
      <w:r w:rsidRPr="00C61D2C">
        <w:rPr>
          <w:lang w:val="en-GB"/>
        </w:rPr>
        <w:t>Maguire, M., Morgan, R., Reiner, R.)</w:t>
      </w:r>
      <w:r>
        <w:rPr>
          <w:lang w:val="en-GB"/>
        </w:rPr>
        <w:t>.</w:t>
      </w:r>
      <w:proofErr w:type="gramEnd"/>
      <w:r w:rsidRPr="00C61D2C">
        <w:rPr>
          <w:lang w:val="en-GB"/>
        </w:rPr>
        <w:t xml:space="preserve"> </w:t>
      </w:r>
      <w:proofErr w:type="gramStart"/>
      <w:r w:rsidRPr="00C61D2C">
        <w:rPr>
          <w:lang w:val="en-GB"/>
        </w:rPr>
        <w:t>2-</w:t>
      </w:r>
      <w:r>
        <w:rPr>
          <w:lang w:val="en-GB"/>
        </w:rPr>
        <w:t>oji</w:t>
      </w:r>
      <w:r w:rsidRPr="00C61D2C">
        <w:rPr>
          <w:lang w:val="en-GB"/>
        </w:rPr>
        <w:t xml:space="preserve"> l</w:t>
      </w:r>
      <w:r>
        <w:rPr>
          <w:lang w:val="en-GB"/>
        </w:rPr>
        <w:t>aida</w:t>
      </w:r>
      <w:r w:rsidRPr="00C61D2C">
        <w:rPr>
          <w:lang w:val="en-GB"/>
        </w:rPr>
        <w:t>.</w:t>
      </w:r>
      <w:proofErr w:type="gramEnd"/>
      <w:r w:rsidRPr="00C61D2C">
        <w:rPr>
          <w:lang w:val="en-GB"/>
        </w:rPr>
        <w:t xml:space="preserve"> Oxford: Clarendon Press, 1997</w:t>
      </w:r>
      <w:r>
        <w:rPr>
          <w:lang w:val="en-GB"/>
        </w:rPr>
        <w:t xml:space="preserve">, </w:t>
      </w:r>
      <w:r w:rsidRPr="00201758">
        <w:rPr>
          <w:lang w:val="en-US"/>
        </w:rPr>
        <w:t>p. 599.</w:t>
      </w:r>
    </w:p>
  </w:footnote>
  <w:footnote w:id="317">
    <w:p w:rsidR="00E0371E" w:rsidRPr="00510FAA" w:rsidRDefault="00E0371E" w:rsidP="00C85EA7">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rsidRPr="00510FAA">
        <w:rPr>
          <w:lang w:val="de-DE"/>
        </w:rPr>
        <w:t>41.</w:t>
      </w:r>
    </w:p>
  </w:footnote>
  <w:footnote w:id="318">
    <w:p w:rsidR="00E0371E" w:rsidRDefault="00E0371E" w:rsidP="00C85EA7">
      <w:pPr>
        <w:pStyle w:val="Puslapioinaostekstas"/>
        <w:jc w:val="both"/>
      </w:pPr>
      <w:r>
        <w:rPr>
          <w:rStyle w:val="Puslapioinaosnuoroda"/>
        </w:rPr>
        <w:footnoteRef/>
      </w:r>
      <w:r>
        <w:t>R</w:t>
      </w:r>
      <w:r w:rsidRPr="002B28FD">
        <w:t>estit</w:t>
      </w:r>
      <w:r>
        <w:t>u</w:t>
      </w:r>
      <w:r w:rsidRPr="002B28FD">
        <w:t xml:space="preserve">cija [lot. </w:t>
      </w:r>
      <w:r w:rsidRPr="00C61D2C">
        <w:rPr>
          <w:i/>
        </w:rPr>
        <w:t>restitutio</w:t>
      </w:r>
      <w:r w:rsidRPr="002B28FD">
        <w:t xml:space="preserve"> – at(si)statymas, grąžinimas], ankstesnės būklės grąžinimas, atgavimas</w:t>
      </w:r>
      <w:r>
        <w:t xml:space="preserve">. </w:t>
      </w:r>
      <w:r w:rsidRPr="002B28FD">
        <w:rPr>
          <w:i/>
        </w:rPr>
        <w:t>Tarptautinių žodžių žodynas</w:t>
      </w:r>
      <w:r>
        <w:t xml:space="preserve"> [interaktyvus]. Vilnius: Vyriausioji enciklopedijų redakcija, 1985 [žiūrėta 2011-11-21]. &lt;</w:t>
      </w:r>
      <w:hyperlink r:id="rId14" w:history="1">
        <w:r w:rsidRPr="0036716A">
          <w:rPr>
            <w:rStyle w:val="Hipersaitas"/>
          </w:rPr>
          <w:t>www.tzz.lt</w:t>
        </w:r>
      </w:hyperlink>
      <w:r>
        <w:rPr>
          <w:rStyle w:val="Hipersaitas"/>
        </w:rPr>
        <w:t>&gt;.</w:t>
      </w:r>
    </w:p>
  </w:footnote>
  <w:footnote w:id="319">
    <w:p w:rsidR="00E0371E" w:rsidRDefault="00E0371E" w:rsidP="00C85EA7">
      <w:pPr>
        <w:pStyle w:val="Puslapioinaostekstas"/>
        <w:jc w:val="both"/>
      </w:pPr>
      <w:r>
        <w:rPr>
          <w:rStyle w:val="Puslapioinaosnuoroda"/>
        </w:rPr>
        <w:footnoteRef/>
      </w:r>
      <w:r>
        <w:t xml:space="preserve">Schulz, J. </w:t>
      </w:r>
      <w:r w:rsidRPr="00144E35">
        <w:rPr>
          <w:i/>
        </w:rPr>
        <w:t>Beitr</w:t>
      </w:r>
      <w:r w:rsidRPr="00144E35">
        <w:rPr>
          <w:i/>
          <w:lang w:val="de-DE"/>
        </w:rPr>
        <w:t>äge zur Nebenklage</w:t>
      </w:r>
      <w:r>
        <w:rPr>
          <w:lang w:val="de-DE"/>
        </w:rPr>
        <w:t xml:space="preserve">. </w:t>
      </w:r>
      <w:r w:rsidRPr="0013188F">
        <w:rPr>
          <w:lang w:val="de-DE"/>
        </w:rPr>
        <w:t xml:space="preserve">Berlin: </w:t>
      </w:r>
      <w:r w:rsidRPr="00AA22FE">
        <w:t>Duncker &amp; Humblot</w:t>
      </w:r>
      <w:r w:rsidRPr="0013188F">
        <w:rPr>
          <w:lang w:val="de-DE"/>
        </w:rPr>
        <w:t xml:space="preserve">, 1982, p. 23. </w:t>
      </w:r>
    </w:p>
  </w:footnote>
  <w:footnote w:id="320">
    <w:p w:rsidR="00E0371E" w:rsidRDefault="00E0371E" w:rsidP="00C85EA7">
      <w:pPr>
        <w:pStyle w:val="Puslapioinaostekstas"/>
        <w:jc w:val="both"/>
      </w:pPr>
      <w:r>
        <w:rPr>
          <w:rStyle w:val="Puslapioinaosnuoroda"/>
        </w:rPr>
        <w:footnoteRef/>
      </w:r>
      <w:r w:rsidRPr="00382700">
        <w:t>H</w:t>
      </w:r>
      <w:r w:rsidRPr="00382700">
        <w:rPr>
          <w:lang w:val="de-DE"/>
        </w:rPr>
        <w:t xml:space="preserve">örnle, T. </w:t>
      </w:r>
      <w:r w:rsidRPr="00382700">
        <w:t xml:space="preserve">Die Rolle des Opfers in der Straftheorie und im materiellen Strafrecht. </w:t>
      </w:r>
      <w:r w:rsidRPr="00382700">
        <w:rPr>
          <w:i/>
        </w:rPr>
        <w:t>Juristenzeitung</w:t>
      </w:r>
      <w:r>
        <w:t>.</w:t>
      </w:r>
      <w:r w:rsidRPr="00382700">
        <w:t xml:space="preserve"> 2006, 19: 953.</w:t>
      </w:r>
      <w:r>
        <w:t xml:space="preserve"> </w:t>
      </w:r>
      <w:r w:rsidRPr="002A3FA9">
        <w:t>Karmen, A. </w:t>
      </w:r>
      <w:r w:rsidRPr="00D51388">
        <w:rPr>
          <w:i/>
        </w:rPr>
        <w:t>Crime Victims: an Introduction to Victimology.  </w:t>
      </w:r>
      <w:r w:rsidRPr="002A3FA9">
        <w:t>5</w:t>
      </w:r>
      <w:r>
        <w:t>-oji laida</w:t>
      </w:r>
      <w:r w:rsidRPr="002A3FA9">
        <w:t>. Belmont</w:t>
      </w:r>
      <w:r>
        <w:t xml:space="preserve">: Thomson/Wadsworth, 2004, p. 151. </w:t>
      </w:r>
    </w:p>
  </w:footnote>
  <w:footnote w:id="321">
    <w:p w:rsidR="00E0371E" w:rsidRPr="00510FAA" w:rsidRDefault="00E0371E" w:rsidP="00C85EA7">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t xml:space="preserve">43. </w:t>
      </w:r>
    </w:p>
  </w:footnote>
  <w:footnote w:id="322">
    <w:p w:rsidR="00E0371E" w:rsidRPr="00510FAA" w:rsidRDefault="00E0371E" w:rsidP="00C85EA7">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t>43</w:t>
      </w:r>
      <w:r w:rsidRPr="00F779A0">
        <w:rPr>
          <w:i/>
        </w:rPr>
        <w:t>.</w:t>
      </w:r>
    </w:p>
  </w:footnote>
  <w:footnote w:id="323">
    <w:p w:rsidR="00E0371E" w:rsidRDefault="00E0371E" w:rsidP="00C85EA7">
      <w:pPr>
        <w:pStyle w:val="Puslapioinaostekstas"/>
        <w:jc w:val="both"/>
      </w:pPr>
      <w:r>
        <w:rPr>
          <w:rStyle w:val="Puslapioinaosnuoroda"/>
        </w:rPr>
        <w:footnoteRef/>
      </w:r>
      <w:r w:rsidRPr="00382700">
        <w:t>H</w:t>
      </w:r>
      <w:r w:rsidRPr="00382700">
        <w:rPr>
          <w:lang w:val="de-DE"/>
        </w:rPr>
        <w:t xml:space="preserve">örnle, T. </w:t>
      </w:r>
      <w:r w:rsidRPr="00382700">
        <w:t xml:space="preserve">Die Rolle des Opfers in der Straftheorie und im materiellen Strafrecht. </w:t>
      </w:r>
      <w:r w:rsidRPr="00382700">
        <w:rPr>
          <w:i/>
        </w:rPr>
        <w:t>Juristenzeitung</w:t>
      </w:r>
      <w:r>
        <w:t>.</w:t>
      </w:r>
      <w:r w:rsidRPr="00382700">
        <w:t xml:space="preserve"> 2006, 19: 95</w:t>
      </w:r>
      <w:r>
        <w:t xml:space="preserve">4. </w:t>
      </w:r>
      <w:r w:rsidRPr="008052CB">
        <w:t>Karmen, A.  </w:t>
      </w:r>
      <w:r w:rsidRPr="008052CB">
        <w:rPr>
          <w:i/>
        </w:rPr>
        <w:t>Crime Victims: an</w:t>
      </w:r>
      <w:r>
        <w:rPr>
          <w:i/>
        </w:rPr>
        <w:t xml:space="preserve"> </w:t>
      </w:r>
      <w:r w:rsidRPr="008052CB">
        <w:rPr>
          <w:i/>
        </w:rPr>
        <w:t>Introduction to Victimology.  </w:t>
      </w:r>
      <w:r w:rsidRPr="008052CB">
        <w:t>5-</w:t>
      </w:r>
      <w:r>
        <w:t>oji</w:t>
      </w:r>
      <w:r w:rsidRPr="008052CB">
        <w:t xml:space="preserve"> l</w:t>
      </w:r>
      <w:r>
        <w:t>aida</w:t>
      </w:r>
      <w:r w:rsidRPr="008052CB">
        <w:t>. Belmont: Thomson/Wadsworth, 2004</w:t>
      </w:r>
      <w:r>
        <w:rPr>
          <w:i/>
        </w:rPr>
        <w:t xml:space="preserve">, </w:t>
      </w:r>
      <w:r>
        <w:t>p</w:t>
      </w:r>
      <w:r w:rsidRPr="00FB4C98">
        <w:t>.</w:t>
      </w:r>
      <w:r>
        <w:t xml:space="preserve"> 152.</w:t>
      </w:r>
    </w:p>
  </w:footnote>
  <w:footnote w:id="324">
    <w:p w:rsidR="00E0371E" w:rsidRDefault="00E0371E" w:rsidP="00C85EA7">
      <w:pPr>
        <w:pStyle w:val="Puslapioinaostekstas"/>
        <w:jc w:val="both"/>
      </w:pPr>
      <w:r>
        <w:rPr>
          <w:rStyle w:val="Puslapioinaosnuoroda"/>
        </w:rPr>
        <w:footnoteRef/>
      </w:r>
      <w:r w:rsidRPr="00382700">
        <w:t>H</w:t>
      </w:r>
      <w:r w:rsidRPr="00510FAA">
        <w:t xml:space="preserve">örnle, T. </w:t>
      </w:r>
      <w:r w:rsidRPr="00382700">
        <w:t xml:space="preserve">Die Rolle des Opfers in der Straftheorie und im materiellen Strafrecht. </w:t>
      </w:r>
      <w:r w:rsidRPr="00382700">
        <w:rPr>
          <w:i/>
        </w:rPr>
        <w:t>Juristenzeitung</w:t>
      </w:r>
      <w:r>
        <w:t xml:space="preserve">. </w:t>
      </w:r>
      <w:r w:rsidRPr="00382700">
        <w:t>2006, 19: 95</w:t>
      </w:r>
      <w:r>
        <w:t>5.</w:t>
      </w:r>
    </w:p>
  </w:footnote>
  <w:footnote w:id="325">
    <w:p w:rsidR="00E0371E" w:rsidRPr="00510FAA" w:rsidRDefault="00E0371E" w:rsidP="00C85EA7">
      <w:pPr>
        <w:pStyle w:val="Puslapioinaostekstas"/>
        <w:jc w:val="both"/>
        <w:rPr>
          <w:lang w:val="en-US"/>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proofErr w:type="gramStart"/>
      <w:r w:rsidRPr="00510FAA">
        <w:rPr>
          <w:i/>
          <w:lang w:val="en-US"/>
        </w:rPr>
        <w:t>Rechtswissenschaft</w:t>
      </w:r>
      <w:r w:rsidRPr="00510FAA">
        <w:rPr>
          <w:lang w:val="en-US"/>
        </w:rPr>
        <w:t>.</w:t>
      </w:r>
      <w:proofErr w:type="gramEnd"/>
      <w:r>
        <w:rPr>
          <w:lang w:val="en-US"/>
        </w:rPr>
        <w:t xml:space="preserve"> </w:t>
      </w:r>
      <w:proofErr w:type="gramStart"/>
      <w:r w:rsidRPr="00510FAA">
        <w:rPr>
          <w:lang w:val="en-US"/>
        </w:rPr>
        <w:t xml:space="preserve">2010, 1: </w:t>
      </w:r>
      <w:r>
        <w:t>44.</w:t>
      </w:r>
      <w:proofErr w:type="gramEnd"/>
    </w:p>
  </w:footnote>
  <w:footnote w:id="326">
    <w:p w:rsidR="00E0371E" w:rsidRDefault="00E0371E" w:rsidP="00C85EA7">
      <w:pPr>
        <w:pStyle w:val="Puslapioinaostekstas"/>
        <w:jc w:val="both"/>
      </w:pPr>
      <w:r>
        <w:rPr>
          <w:rStyle w:val="Puslapioinaosnuoroda"/>
        </w:rPr>
        <w:footnoteRef/>
      </w:r>
      <w:r w:rsidRPr="000A064D">
        <w:t xml:space="preserve">Henham, R., Mannozzi, G. Victim Participation and Sentencing in England and Italy: A Legal and Policy Analysis. </w:t>
      </w:r>
      <w:r w:rsidRPr="000A064D">
        <w:rPr>
          <w:i/>
        </w:rPr>
        <w:t>European</w:t>
      </w:r>
      <w:r>
        <w:rPr>
          <w:i/>
        </w:rPr>
        <w:t xml:space="preserve"> </w:t>
      </w:r>
      <w:r w:rsidRPr="000A064D">
        <w:rPr>
          <w:i/>
        </w:rPr>
        <w:t>Journal of Crime, Criminal Law and Criminal Justice</w:t>
      </w:r>
      <w:r w:rsidRPr="000A064D">
        <w:t>. 2003</w:t>
      </w:r>
      <w:r>
        <w:t xml:space="preserve">, 11 (3): </w:t>
      </w:r>
      <w:r w:rsidRPr="000A064D">
        <w:t>28</w:t>
      </w:r>
      <w:r>
        <w:t>6.</w:t>
      </w:r>
    </w:p>
  </w:footnote>
  <w:footnote w:id="327">
    <w:p w:rsidR="00E0371E" w:rsidRDefault="00E0371E" w:rsidP="00C85EA7">
      <w:pPr>
        <w:pStyle w:val="Puslapioinaostekstas"/>
        <w:jc w:val="both"/>
      </w:pPr>
      <w:r>
        <w:rPr>
          <w:rStyle w:val="Puslapioinaosnuoroda"/>
        </w:rPr>
        <w:footnoteRef/>
      </w:r>
      <w:r w:rsidRPr="008052CB">
        <w:t>Karmen, A.  </w:t>
      </w:r>
      <w:r w:rsidRPr="008052CB">
        <w:rPr>
          <w:i/>
        </w:rPr>
        <w:t>Crime Victims: an Introduction to Victimology.  </w:t>
      </w:r>
      <w:r>
        <w:t>5-oji laida. Belmont: Thomson/</w:t>
      </w:r>
      <w:r w:rsidRPr="008052CB">
        <w:t>Wadsworth, 2004</w:t>
      </w:r>
      <w:r>
        <w:t xml:space="preserve">, </w:t>
      </w:r>
      <w:r w:rsidRPr="001532F1">
        <w:t>p. 152.</w:t>
      </w:r>
    </w:p>
  </w:footnote>
  <w:footnote w:id="328">
    <w:p w:rsidR="00E0371E" w:rsidRDefault="00E0371E" w:rsidP="00C85EA7">
      <w:pPr>
        <w:pStyle w:val="Puslapioinaostekstas"/>
        <w:jc w:val="both"/>
      </w:pPr>
      <w:r>
        <w:rPr>
          <w:rStyle w:val="Puslapioinaosnuoroda"/>
        </w:rPr>
        <w:footnoteRef/>
      </w:r>
      <w:r w:rsidRPr="00D22EB4">
        <w:t>Schafer, S</w:t>
      </w:r>
      <w:r>
        <w:t>. Restitution to Victim</w:t>
      </w:r>
      <w:r w:rsidRPr="00D22EB4">
        <w:t>s of Crime</w:t>
      </w:r>
      <w:r>
        <w:t xml:space="preserve"> </w:t>
      </w:r>
      <w:r w:rsidRPr="00D22EB4">
        <w:t>-</w:t>
      </w:r>
      <w:r>
        <w:t xml:space="preserve"> </w:t>
      </w:r>
      <w:r w:rsidRPr="00D22EB4">
        <w:t>An Old Correctional Aim Modernized</w:t>
      </w:r>
      <w:r>
        <w:t xml:space="preserve">. </w:t>
      </w:r>
      <w:r w:rsidRPr="00D22EB4">
        <w:rPr>
          <w:i/>
        </w:rPr>
        <w:t>Minnesota Law Review</w:t>
      </w:r>
      <w:r>
        <w:rPr>
          <w:i/>
        </w:rPr>
        <w:t>.</w:t>
      </w:r>
      <w:r>
        <w:t xml:space="preserve"> 1965, 50: 244. </w:t>
      </w:r>
    </w:p>
  </w:footnote>
  <w:footnote w:id="329">
    <w:p w:rsidR="00E0371E" w:rsidRPr="00AA22FE" w:rsidRDefault="00E0371E" w:rsidP="00C85EA7">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rPr>
          <w:lang w:val="de-DE"/>
        </w:rPr>
        <w:t>44.</w:t>
      </w:r>
    </w:p>
  </w:footnote>
  <w:footnote w:id="330">
    <w:p w:rsidR="00E0371E" w:rsidRDefault="00E0371E" w:rsidP="00C85EA7">
      <w:pPr>
        <w:pStyle w:val="Puslapioinaostekstas"/>
        <w:jc w:val="both"/>
      </w:pPr>
      <w:r>
        <w:rPr>
          <w:rStyle w:val="Puslapioinaosnuoroda"/>
        </w:rPr>
        <w:footnoteRef/>
      </w:r>
      <w:r w:rsidRPr="00382700">
        <w:t>H</w:t>
      </w:r>
      <w:r w:rsidRPr="00382700">
        <w:rPr>
          <w:lang w:val="de-DE"/>
        </w:rPr>
        <w:t xml:space="preserve">örnle, T. </w:t>
      </w:r>
      <w:r w:rsidRPr="00382700">
        <w:t xml:space="preserve">Die Rolle des Opfers in der Straftheorie und im materiellen Strafrecht. </w:t>
      </w:r>
      <w:r w:rsidRPr="00382700">
        <w:rPr>
          <w:i/>
        </w:rPr>
        <w:t>Juristenzeitung</w:t>
      </w:r>
      <w:r>
        <w:t xml:space="preserve">. </w:t>
      </w:r>
      <w:r w:rsidRPr="00382700">
        <w:t>2006, 19: 953</w:t>
      </w:r>
      <w:r>
        <w:t>, 955.</w:t>
      </w:r>
    </w:p>
  </w:footnote>
  <w:footnote w:id="331">
    <w:p w:rsidR="00E0371E" w:rsidRPr="00AA22FE" w:rsidRDefault="00E0371E" w:rsidP="00C85EA7">
      <w:pPr>
        <w:pStyle w:val="Puslapioinaostekstas"/>
        <w:jc w:val="both"/>
        <w:rPr>
          <w:lang w:val="de-DE"/>
        </w:rPr>
      </w:pPr>
      <w:r>
        <w:rPr>
          <w:rStyle w:val="Puslapioinaosnuoroda"/>
        </w:rPr>
        <w:footnoteRef/>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t>57.</w:t>
      </w:r>
    </w:p>
  </w:footnote>
  <w:footnote w:id="332">
    <w:p w:rsidR="00E0371E" w:rsidRPr="00510FAA" w:rsidRDefault="00E0371E" w:rsidP="00C85EA7">
      <w:pPr>
        <w:pStyle w:val="Puslapioinaostekstas"/>
        <w:jc w:val="both"/>
        <w:rPr>
          <w:lang w:val="de-DE"/>
        </w:rPr>
      </w:pPr>
      <w:r>
        <w:rPr>
          <w:rStyle w:val="Puslapioinaosnuoroda"/>
        </w:rPr>
        <w:footnoteRef/>
      </w:r>
      <w:r>
        <w:t xml:space="preserve">Holz, W. </w:t>
      </w:r>
      <w:r w:rsidRPr="00382700">
        <w:rPr>
          <w:i/>
        </w:rPr>
        <w:t>Justizgewähranspruch des Verbrechensopfers</w:t>
      </w:r>
      <w:r>
        <w:t xml:space="preserve">. Berlin: </w:t>
      </w:r>
      <w:r w:rsidRPr="00382700">
        <w:t>Duncker &amp; Humblot</w:t>
      </w:r>
      <w:r>
        <w:t>, 2007, p. 134.</w:t>
      </w:r>
    </w:p>
  </w:footnote>
  <w:footnote w:id="333">
    <w:p w:rsidR="00E0371E" w:rsidRDefault="00E0371E" w:rsidP="00C85EA7">
      <w:pPr>
        <w:pStyle w:val="Puslapioinaostekstas"/>
        <w:jc w:val="both"/>
      </w:pPr>
      <w:r>
        <w:rPr>
          <w:rStyle w:val="Puslapioinaosnuoroda"/>
        </w:rPr>
        <w:footnoteRef/>
      </w:r>
      <w:r w:rsidRPr="00311A5E">
        <w:t xml:space="preserve">Heger, M. Die Rolle des Opfers im Strafverfahren. </w:t>
      </w:r>
      <w:r w:rsidRPr="00311A5E">
        <w:rPr>
          <w:i/>
        </w:rPr>
        <w:t>Juristische Arbeitsblätter</w:t>
      </w:r>
      <w:r w:rsidRPr="00311A5E">
        <w:t>. 2007, 4</w:t>
      </w:r>
      <w:r>
        <w:t>:</w:t>
      </w:r>
      <w:r w:rsidRPr="00311A5E">
        <w:t xml:space="preserve"> 244.</w:t>
      </w:r>
      <w:r>
        <w:t xml:space="preserve"> </w:t>
      </w:r>
    </w:p>
  </w:footnote>
  <w:footnote w:id="334">
    <w:p w:rsidR="00E0371E" w:rsidRDefault="00E0371E" w:rsidP="00C85EA7">
      <w:pPr>
        <w:pStyle w:val="Puslapioinaostekstas"/>
        <w:jc w:val="both"/>
      </w:pPr>
      <w:r>
        <w:rPr>
          <w:rStyle w:val="Puslapioinaosnuoroda"/>
        </w:rPr>
        <w:footnoteRef/>
      </w:r>
      <w:r>
        <w:t xml:space="preserve"> Baranskaitė, A. </w:t>
      </w:r>
      <w:r w:rsidRPr="00733CEA">
        <w:rPr>
          <w:i/>
        </w:rPr>
        <w:t>Taikos sutartis baudžiamojoje teisėje</w:t>
      </w:r>
      <w:r>
        <w:t>. Vilnius: Teisinės informacijos centras, 2007, p. 55.</w:t>
      </w:r>
    </w:p>
  </w:footnote>
  <w:footnote w:id="335">
    <w:p w:rsidR="00E0371E" w:rsidRPr="00800B20" w:rsidRDefault="00E0371E" w:rsidP="00800B20">
      <w:pPr>
        <w:jc w:val="both"/>
        <w:rPr>
          <w:sz w:val="20"/>
        </w:rPr>
      </w:pPr>
      <w:r w:rsidRPr="00C61D2C">
        <w:rPr>
          <w:rStyle w:val="Puslapioinaosnuoroda"/>
          <w:sz w:val="20"/>
        </w:rPr>
        <w:footnoteRef/>
      </w:r>
      <w:r w:rsidRPr="00C61D2C">
        <w:rPr>
          <w:sz w:val="20"/>
        </w:rPr>
        <w:t xml:space="preserve">JT Generalinės Asamblėjos 1985 m. lapkričio 29 d. deklaracija </w:t>
      </w:r>
      <w:r w:rsidRPr="00C61D2C">
        <w:rPr>
          <w:iCs/>
          <w:sz w:val="20"/>
        </w:rPr>
        <w:t>A/RES/40/34</w:t>
      </w:r>
      <w:r>
        <w:rPr>
          <w:iCs/>
          <w:sz w:val="20"/>
        </w:rPr>
        <w:t xml:space="preserve"> </w:t>
      </w:r>
      <w:r w:rsidRPr="00C61D2C">
        <w:rPr>
          <w:sz w:val="20"/>
        </w:rPr>
        <w:t>dėl pagrindinių teisingumo principų nusikaltimų ir piktnaudžiavimo valdžia aukoms</w:t>
      </w:r>
      <w:r w:rsidRPr="00C61D2C">
        <w:rPr>
          <w:iCs/>
          <w:sz w:val="20"/>
        </w:rPr>
        <w:t xml:space="preserve">. </w:t>
      </w:r>
      <w:r w:rsidRPr="00C61D2C">
        <w:rPr>
          <w:i/>
          <w:iCs/>
          <w:sz w:val="20"/>
        </w:rPr>
        <w:t>United Nations Documents</w:t>
      </w:r>
      <w:r w:rsidRPr="00C61D2C">
        <w:rPr>
          <w:iCs/>
          <w:sz w:val="20"/>
        </w:rPr>
        <w:t xml:space="preserve"> [interaktyvus]</w:t>
      </w:r>
      <w:r>
        <w:rPr>
          <w:iCs/>
          <w:sz w:val="20"/>
        </w:rPr>
        <w:t>.</w:t>
      </w:r>
      <w:r w:rsidRPr="00C61D2C">
        <w:rPr>
          <w:iCs/>
          <w:sz w:val="20"/>
        </w:rPr>
        <w:t xml:space="preserve"> [žiūrėta 2011-11-15]</w:t>
      </w:r>
      <w:r>
        <w:rPr>
          <w:iCs/>
          <w:sz w:val="20"/>
        </w:rPr>
        <w:t>.</w:t>
      </w:r>
      <w:r w:rsidRPr="00C61D2C">
        <w:rPr>
          <w:iCs/>
          <w:sz w:val="20"/>
        </w:rPr>
        <w:t xml:space="preserve"> &lt;</w:t>
      </w:r>
      <w:hyperlink r:id="rId15" w:history="1">
        <w:r w:rsidRPr="00C61D2C">
          <w:rPr>
            <w:iCs/>
            <w:color w:val="0000FF"/>
            <w:sz w:val="20"/>
            <w:u w:val="single"/>
          </w:rPr>
          <w:t>http://www.un.org/documents/ga/res/40/a40r034.htm</w:t>
        </w:r>
      </w:hyperlink>
      <w:r w:rsidRPr="00C61D2C">
        <w:rPr>
          <w:iCs/>
          <w:color w:val="0000FF"/>
          <w:sz w:val="20"/>
          <w:u w:val="single"/>
        </w:rPr>
        <w:t>&gt;.</w:t>
      </w:r>
    </w:p>
  </w:footnote>
  <w:footnote w:id="336">
    <w:p w:rsidR="00E0371E" w:rsidRDefault="00E0371E" w:rsidP="00C85EA7">
      <w:pPr>
        <w:pStyle w:val="Puslapioinaostekstas"/>
        <w:jc w:val="both"/>
      </w:pPr>
      <w:r>
        <w:rPr>
          <w:rStyle w:val="Puslapioinaosnuoroda"/>
        </w:rPr>
        <w:footnoteRef/>
      </w:r>
      <w:r>
        <w:t xml:space="preserve">A.Rudzinskas kritikuoja tokią restitucijos plečiamąją sampratą ir jos sukuriamą prielaidą restituciją tapatinti su žalos atlyginimu baudžiamajame procese. </w:t>
      </w:r>
      <w:r w:rsidRPr="005927AF">
        <w:t xml:space="preserve">Rudzinskas, A. </w:t>
      </w:r>
      <w:r w:rsidRPr="005927AF">
        <w:rPr>
          <w:i/>
        </w:rPr>
        <w:t xml:space="preserve">Nusikalstama veika padarytos žalos atlyginimo materialiniai ir procesiniai teisiniai aspektai. </w:t>
      </w:r>
      <w:r w:rsidRPr="005927AF">
        <w:t>Daktaro d</w:t>
      </w:r>
      <w:r>
        <w:t>isertacija. Socialiniai mokslai (teisė). Vilnius: Lietuvos teisės universitetas, 2001, p. 79.</w:t>
      </w:r>
    </w:p>
  </w:footnote>
  <w:footnote w:id="337">
    <w:p w:rsidR="00E0371E" w:rsidRDefault="00E0371E" w:rsidP="00C85EA7">
      <w:pPr>
        <w:pStyle w:val="Puslapioinaostekstas"/>
        <w:jc w:val="both"/>
      </w:pPr>
      <w:r>
        <w:rPr>
          <w:rStyle w:val="Puslapioinaosnuoroda"/>
        </w:rPr>
        <w:footnoteRef/>
      </w:r>
      <w:r w:rsidRPr="005927AF">
        <w:t xml:space="preserve">Rudzinskas, A. </w:t>
      </w:r>
      <w:r w:rsidRPr="005927AF">
        <w:rPr>
          <w:i/>
        </w:rPr>
        <w:t xml:space="preserve">Nusikalstama veika padarytos žalos atlyginimo materialiniai ir procesiniai teisiniai aspektai. </w:t>
      </w:r>
      <w:r w:rsidRPr="005927AF">
        <w:t>Daktaro d</w:t>
      </w:r>
      <w:r>
        <w:t>isertacija. Socialiniai mokslai (teisė). Vilnius: Lietuvos teisės universitetas, 2001, p. 81.</w:t>
      </w:r>
    </w:p>
  </w:footnote>
  <w:footnote w:id="338">
    <w:p w:rsidR="00E0371E" w:rsidRDefault="00E0371E" w:rsidP="00C85EA7">
      <w:pPr>
        <w:pStyle w:val="Puslapioinaostekstas"/>
        <w:jc w:val="both"/>
      </w:pPr>
      <w:r>
        <w:rPr>
          <w:rStyle w:val="Puslapioinaosnuoroda"/>
        </w:rPr>
        <w:footnoteRef/>
      </w:r>
      <w:r>
        <w:t xml:space="preserve">Goldstein, A. S. Defining the Role of the Victim in Criminal Prosecution. </w:t>
      </w:r>
      <w:r w:rsidRPr="00736394">
        <w:rPr>
          <w:i/>
        </w:rPr>
        <w:t>Mississippi Law Journal</w:t>
      </w:r>
      <w:r>
        <w:t xml:space="preserve">. 1982, 52: 530. </w:t>
      </w:r>
      <w:r w:rsidRPr="006728CD">
        <w:t>Nukentėjusiojo teisinį statusą analizavęs S.</w:t>
      </w:r>
      <w:r>
        <w:t xml:space="preserve"> </w:t>
      </w:r>
      <w:r w:rsidRPr="006728CD">
        <w:t xml:space="preserve">Juzukonis disertaciniame tyrime daugiausia dėmesio skyrė nukentėjusiojo teisėms ir analizavo nukentėjusiojo teisę į patirtos žalos atlyginimą. </w:t>
      </w:r>
      <w:r>
        <w:t xml:space="preserve">Juzukonis, S. </w:t>
      </w:r>
      <w:r w:rsidRPr="00361386">
        <w:rPr>
          <w:i/>
        </w:rPr>
        <w:t>Nukentėjusiojo teisių apsauga baudžiamajame procese</w:t>
      </w:r>
      <w:r>
        <w:t>. Daktaro disertacija. Socialiniai mokslai (teisė). Vilnius: Lietuvos teisės universitetas, 2002, p. 106-110.</w:t>
      </w:r>
    </w:p>
  </w:footnote>
  <w:footnote w:id="339">
    <w:p w:rsidR="00E0371E" w:rsidRDefault="00E0371E" w:rsidP="00C85EA7">
      <w:pPr>
        <w:pStyle w:val="Puslapioinaostekstas"/>
        <w:jc w:val="both"/>
      </w:pPr>
      <w:r>
        <w:rPr>
          <w:rStyle w:val="Puslapioinaosnuoroda"/>
        </w:rPr>
        <w:footnoteRef/>
      </w:r>
      <w:r w:rsidRPr="002C7CA1">
        <w:t>Baranskait</w:t>
      </w:r>
      <w:r>
        <w:t xml:space="preserve">ė, A. </w:t>
      </w:r>
      <w:r w:rsidRPr="00E14367">
        <w:rPr>
          <w:i/>
        </w:rPr>
        <w:t>Taikos sutartis baudžiamojoje teisėje</w:t>
      </w:r>
      <w:r>
        <w:t xml:space="preserve">. Vilnius: Teisinės informacijos centras, 2007, p. 54. Uscila, R. </w:t>
      </w:r>
      <w:r w:rsidRPr="005927AF">
        <w:rPr>
          <w:bCs/>
        </w:rPr>
        <w:t xml:space="preserve">Nusikaltimo aukos ir nusikaltėlio mediacijos įdiegimo galimybės Lietuvoje. </w:t>
      </w:r>
      <w:r w:rsidRPr="00E13DFB">
        <w:rPr>
          <w:bCs/>
          <w:i/>
        </w:rPr>
        <w:t xml:space="preserve">Teisės problemos. </w:t>
      </w:r>
      <w:r w:rsidRPr="00E13DFB">
        <w:rPr>
          <w:bCs/>
        </w:rPr>
        <w:t>2006, 2</w:t>
      </w:r>
      <w:r>
        <w:rPr>
          <w:bCs/>
        </w:rPr>
        <w:t xml:space="preserve"> </w:t>
      </w:r>
      <w:r w:rsidRPr="00E13DFB">
        <w:rPr>
          <w:bCs/>
        </w:rPr>
        <w:t>(52): 8</w:t>
      </w:r>
      <w:r>
        <w:rPr>
          <w:bCs/>
        </w:rPr>
        <w:t>7, 8</w:t>
      </w:r>
      <w:r w:rsidRPr="00E13DFB">
        <w:rPr>
          <w:bCs/>
        </w:rPr>
        <w:t>9</w:t>
      </w:r>
      <w:r w:rsidRPr="00E13DFB">
        <w:rPr>
          <w:bCs/>
          <w:i/>
        </w:rPr>
        <w:t>.</w:t>
      </w:r>
    </w:p>
  </w:footnote>
  <w:footnote w:id="340">
    <w:p w:rsidR="00E0371E" w:rsidRPr="00DC736C" w:rsidRDefault="00E0371E" w:rsidP="00C85EA7">
      <w:pPr>
        <w:jc w:val="both"/>
        <w:rPr>
          <w:sz w:val="20"/>
          <w:szCs w:val="20"/>
        </w:rPr>
      </w:pPr>
      <w:r>
        <w:rPr>
          <w:rStyle w:val="Puslapioinaosnuoroda"/>
        </w:rPr>
        <w:footnoteRef/>
      </w:r>
      <w:r w:rsidRPr="00DC736C">
        <w:rPr>
          <w:sz w:val="20"/>
          <w:szCs w:val="20"/>
        </w:rPr>
        <w:t xml:space="preserve">Pagal Konstituciją asmeniui padarytos žalos atlyginimas turi būti realus ir teisingas. Įstatymų leidėjas negali nustatyti tokio teisinio reguliavimo, kuris sudarytų prielaidas atsirasti tokiai situacijai, kad asmuo, patyręs žalą, </w:t>
      </w:r>
      <w:r w:rsidRPr="00DC736C">
        <w:rPr>
          <w:iCs/>
          <w:sz w:val="20"/>
          <w:szCs w:val="20"/>
        </w:rPr>
        <w:t>be kita ko,</w:t>
      </w:r>
      <w:r w:rsidRPr="00DC736C">
        <w:rPr>
          <w:sz w:val="20"/>
          <w:szCs w:val="20"/>
        </w:rPr>
        <w:t xml:space="preserve"> moralinę, negalėtų gauti teisingo žalos atlyginimo</w:t>
      </w:r>
      <w:r>
        <w:rPr>
          <w:sz w:val="20"/>
          <w:szCs w:val="20"/>
        </w:rPr>
        <w:t xml:space="preserve">. Lietuvos Respublikos </w:t>
      </w:r>
      <w:r w:rsidRPr="00DC736C">
        <w:rPr>
          <w:sz w:val="20"/>
          <w:szCs w:val="20"/>
        </w:rPr>
        <w:t>Konstitucinio Teismo 2010 m. vasario 3 d. nutarimas</w:t>
      </w:r>
      <w:r>
        <w:rPr>
          <w:bCs/>
          <w:sz w:val="20"/>
          <w:szCs w:val="20"/>
        </w:rPr>
        <w:t xml:space="preserve">. </w:t>
      </w:r>
      <w:r w:rsidRPr="003360CE">
        <w:rPr>
          <w:i/>
          <w:iCs/>
          <w:sz w:val="20"/>
          <w:szCs w:val="20"/>
        </w:rPr>
        <w:t>Valstybės žinio</w:t>
      </w:r>
      <w:r>
        <w:rPr>
          <w:i/>
          <w:iCs/>
          <w:sz w:val="20"/>
          <w:szCs w:val="20"/>
        </w:rPr>
        <w:t>s.</w:t>
      </w:r>
      <w:r w:rsidRPr="003360CE">
        <w:rPr>
          <w:sz w:val="20"/>
          <w:szCs w:val="20"/>
        </w:rPr>
        <w:t xml:space="preserve"> 2010, Nr. 16-758</w:t>
      </w:r>
      <w:r w:rsidRPr="00DC736C">
        <w:rPr>
          <w:sz w:val="20"/>
          <w:szCs w:val="20"/>
        </w:rPr>
        <w:t>.</w:t>
      </w:r>
    </w:p>
  </w:footnote>
  <w:footnote w:id="341">
    <w:p w:rsidR="00E0371E" w:rsidRPr="00C61D2C" w:rsidRDefault="00E0371E" w:rsidP="00CE3AE6">
      <w:pPr>
        <w:jc w:val="both"/>
        <w:rPr>
          <w:sz w:val="20"/>
        </w:rPr>
      </w:pPr>
      <w:r w:rsidRPr="00CE3AE6">
        <w:rPr>
          <w:rStyle w:val="Puslapioinaosnuoroda"/>
          <w:sz w:val="20"/>
          <w:szCs w:val="20"/>
        </w:rPr>
        <w:footnoteRef/>
      </w:r>
      <w:r w:rsidRPr="00CE3AE6">
        <w:rPr>
          <w:sz w:val="20"/>
          <w:szCs w:val="20"/>
        </w:rPr>
        <w:t>Europos Sąjungos Tarybos 2001 m. kovo 15 d. pamatinis sprendimas dėl nukentėjusiųjų padėties baudžiamosiose bylose 2001/220/TVR</w:t>
      </w:r>
      <w:r w:rsidRPr="00CE3AE6">
        <w:rPr>
          <w:iCs/>
          <w:sz w:val="20"/>
          <w:szCs w:val="20"/>
        </w:rPr>
        <w:t xml:space="preserve"> [2001]</w:t>
      </w:r>
      <w:r>
        <w:rPr>
          <w:iCs/>
          <w:sz w:val="20"/>
          <w:szCs w:val="20"/>
        </w:rPr>
        <w:t xml:space="preserve"> </w:t>
      </w:r>
      <w:r w:rsidRPr="00CE3AE6">
        <w:rPr>
          <w:iCs/>
          <w:sz w:val="20"/>
          <w:szCs w:val="20"/>
        </w:rPr>
        <w:t>OL L 82/32 2.</w:t>
      </w:r>
      <w:r w:rsidRPr="00CE3AE6">
        <w:rPr>
          <w:sz w:val="20"/>
          <w:szCs w:val="20"/>
        </w:rPr>
        <w:t xml:space="preserve"> Europos Tarybos Ministrų komiteto 1985 m. birželio 28 d. rekomendacija Nr. R (85) 11 dėl nusikaltimo aukų padėties baudžiamojoje teisėje ir procese. Jurka, R., Melničenko, S., Randakevičienė, I. </w:t>
      </w:r>
      <w:r w:rsidRPr="00CE3AE6">
        <w:rPr>
          <w:i/>
          <w:sz w:val="20"/>
          <w:szCs w:val="20"/>
        </w:rPr>
        <w:t>Pagrindinės Europos Tarybos rekomendacijos baudžiamojo proceso srityje.</w:t>
      </w:r>
      <w:r w:rsidRPr="00CE3AE6">
        <w:rPr>
          <w:sz w:val="20"/>
          <w:szCs w:val="20"/>
        </w:rPr>
        <w:t xml:space="preserve"> Vilnius: Eugrimas, 2006, p. 45-51. </w:t>
      </w:r>
      <w:r w:rsidRPr="00C61D2C">
        <w:rPr>
          <w:sz w:val="20"/>
        </w:rPr>
        <w:t xml:space="preserve">JT Generalinės Asamblėjos 1985 m. lapkričio 29 d. deklaracija </w:t>
      </w:r>
      <w:r w:rsidRPr="00C61D2C">
        <w:rPr>
          <w:iCs/>
          <w:sz w:val="20"/>
        </w:rPr>
        <w:t>A/RES/40/34</w:t>
      </w:r>
      <w:r>
        <w:rPr>
          <w:iCs/>
          <w:sz w:val="20"/>
        </w:rPr>
        <w:t xml:space="preserve"> </w:t>
      </w:r>
      <w:r w:rsidRPr="00C61D2C">
        <w:rPr>
          <w:sz w:val="20"/>
        </w:rPr>
        <w:t>dėl pagrindinių teisingumo principų nusikaltimų ir piktnaudžiavimo valdžia aukoms</w:t>
      </w:r>
      <w:r w:rsidRPr="00C61D2C">
        <w:rPr>
          <w:iCs/>
          <w:sz w:val="20"/>
        </w:rPr>
        <w:t xml:space="preserve">. </w:t>
      </w:r>
      <w:r w:rsidRPr="00C61D2C">
        <w:rPr>
          <w:i/>
          <w:iCs/>
          <w:sz w:val="20"/>
        </w:rPr>
        <w:t>United Nations Documents</w:t>
      </w:r>
      <w:r w:rsidRPr="00C61D2C">
        <w:rPr>
          <w:iCs/>
          <w:sz w:val="20"/>
        </w:rPr>
        <w:t xml:space="preserve"> [interaktyvus]</w:t>
      </w:r>
      <w:r>
        <w:rPr>
          <w:iCs/>
          <w:sz w:val="20"/>
        </w:rPr>
        <w:t>.</w:t>
      </w:r>
      <w:r w:rsidRPr="00C61D2C">
        <w:rPr>
          <w:iCs/>
          <w:sz w:val="20"/>
        </w:rPr>
        <w:t xml:space="preserve"> [žiūrėta 2011-11-15]</w:t>
      </w:r>
      <w:r>
        <w:rPr>
          <w:iCs/>
          <w:sz w:val="20"/>
        </w:rPr>
        <w:t>.</w:t>
      </w:r>
      <w:r w:rsidRPr="00C61D2C">
        <w:rPr>
          <w:iCs/>
          <w:sz w:val="20"/>
        </w:rPr>
        <w:t xml:space="preserve"> &lt;</w:t>
      </w:r>
      <w:hyperlink r:id="rId16" w:history="1">
        <w:r w:rsidRPr="00C61D2C">
          <w:rPr>
            <w:iCs/>
            <w:color w:val="0000FF"/>
            <w:sz w:val="20"/>
            <w:u w:val="single"/>
          </w:rPr>
          <w:t>http://www.un.org/documents/ga/res/40/a40r034.htm</w:t>
        </w:r>
      </w:hyperlink>
      <w:r w:rsidRPr="00C61D2C">
        <w:rPr>
          <w:iCs/>
          <w:color w:val="0000FF"/>
          <w:sz w:val="20"/>
          <w:u w:val="single"/>
        </w:rPr>
        <w:t>&gt;.</w:t>
      </w:r>
    </w:p>
    <w:p w:rsidR="00E0371E" w:rsidRPr="00CE3AE6" w:rsidRDefault="00E0371E" w:rsidP="00CE3AE6">
      <w:pPr>
        <w:jc w:val="both"/>
        <w:rPr>
          <w:sz w:val="20"/>
          <w:szCs w:val="20"/>
        </w:rPr>
      </w:pPr>
      <w:r w:rsidRPr="00CE3AE6">
        <w:rPr>
          <w:sz w:val="20"/>
          <w:szCs w:val="20"/>
        </w:rPr>
        <w:t>Europos Tarybos direktyva užtikrin</w:t>
      </w:r>
      <w:r>
        <w:rPr>
          <w:sz w:val="20"/>
          <w:szCs w:val="20"/>
        </w:rPr>
        <w:t>o</w:t>
      </w:r>
      <w:r w:rsidRPr="00CE3AE6">
        <w:rPr>
          <w:sz w:val="20"/>
          <w:szCs w:val="20"/>
        </w:rPr>
        <w:t>, kad iki 2005 m. liepos 1 d. kiekviena valstybė narė būtų įteisinusi nacionalinę schemą, garantuojančią teisingą ir deramą kompensaciją nukentėjusiems nuo nusikaltimų asmenims. Europos Tarybos 2004 m. balandžio 29 d. direktyva 2004/80/EB dėl kompensacijos nusikaltimų aukoms OL L 261/15.</w:t>
      </w:r>
    </w:p>
  </w:footnote>
  <w:footnote w:id="342">
    <w:p w:rsidR="00E0371E" w:rsidRPr="00CE3AE6" w:rsidRDefault="00E0371E" w:rsidP="00CE3AE6">
      <w:pPr>
        <w:jc w:val="both"/>
        <w:rPr>
          <w:sz w:val="20"/>
          <w:szCs w:val="20"/>
        </w:rPr>
      </w:pPr>
      <w:r w:rsidRPr="00CE3AE6">
        <w:rPr>
          <w:rStyle w:val="Puslapioinaosnuoroda"/>
          <w:sz w:val="20"/>
          <w:szCs w:val="20"/>
        </w:rPr>
        <w:footnoteRef/>
      </w:r>
      <w:r w:rsidRPr="00CE3AE6">
        <w:rPr>
          <w:sz w:val="20"/>
          <w:szCs w:val="20"/>
        </w:rPr>
        <w:t xml:space="preserve">JT Generalinės Asamblėjos 1985 m. lapkričio 29 d. deklaracijos dėl pagrindinių teisingumo principų nusikaltimų ir piktnaudžiavimo valdžia aukoms 12 str. numato, kad kompensaciją valstybės įpareigotos išmokėti sunkaus kūno sužalojimo ar fizinės ar psichinės sveikatos sutrikdymo atvejais, kai toks sveikatos sutrikdymas yra sunkaus nusikaltimo pasekmė; ir šeimos nariams, ypatingai išlaikytiniams, nukentėjusiojo mirties ar fizinio ar psichinio neįgalumo atvejais viktimizacijos pasekoje. JT Generalinės Asamblėjos 1985 m. lapkričio 29 d. deklaracija </w:t>
      </w:r>
      <w:r w:rsidRPr="00CE3AE6">
        <w:rPr>
          <w:iCs/>
          <w:sz w:val="20"/>
          <w:szCs w:val="20"/>
        </w:rPr>
        <w:t>A/RES/40/34</w:t>
      </w:r>
      <w:r>
        <w:rPr>
          <w:iCs/>
          <w:sz w:val="20"/>
          <w:szCs w:val="20"/>
        </w:rPr>
        <w:t xml:space="preserve"> </w:t>
      </w:r>
      <w:r w:rsidRPr="00CE3AE6">
        <w:rPr>
          <w:sz w:val="20"/>
          <w:szCs w:val="20"/>
        </w:rPr>
        <w:t>dėl pagrindinių teisingumo principų nusikaltimų ir piktnaudžiavimo valdžia aukoms</w:t>
      </w:r>
      <w:r w:rsidRPr="00CE3AE6">
        <w:rPr>
          <w:iCs/>
          <w:sz w:val="20"/>
          <w:szCs w:val="20"/>
        </w:rPr>
        <w:t xml:space="preserve">. </w:t>
      </w:r>
      <w:r w:rsidRPr="00CE3AE6">
        <w:rPr>
          <w:i/>
          <w:iCs/>
          <w:sz w:val="20"/>
          <w:szCs w:val="20"/>
        </w:rPr>
        <w:t>United Nations Documents</w:t>
      </w:r>
      <w:r w:rsidRPr="00CE3AE6">
        <w:rPr>
          <w:iCs/>
          <w:sz w:val="20"/>
          <w:szCs w:val="20"/>
        </w:rPr>
        <w:t xml:space="preserve"> [interaktyvus]</w:t>
      </w:r>
      <w:r>
        <w:rPr>
          <w:iCs/>
          <w:sz w:val="20"/>
          <w:szCs w:val="20"/>
        </w:rPr>
        <w:t>.</w:t>
      </w:r>
      <w:r w:rsidRPr="00CE3AE6">
        <w:rPr>
          <w:iCs/>
          <w:sz w:val="20"/>
          <w:szCs w:val="20"/>
        </w:rPr>
        <w:t xml:space="preserve"> [žiūrėta 2011-11-15]</w:t>
      </w:r>
      <w:r>
        <w:rPr>
          <w:iCs/>
          <w:sz w:val="20"/>
          <w:szCs w:val="20"/>
        </w:rPr>
        <w:t>.</w:t>
      </w:r>
      <w:r w:rsidRPr="00CE3AE6">
        <w:rPr>
          <w:iCs/>
          <w:sz w:val="20"/>
          <w:szCs w:val="20"/>
        </w:rPr>
        <w:t xml:space="preserve"> &lt;</w:t>
      </w:r>
      <w:hyperlink r:id="rId17" w:history="1">
        <w:r w:rsidRPr="00CE3AE6">
          <w:rPr>
            <w:iCs/>
            <w:color w:val="0000FF"/>
            <w:sz w:val="20"/>
            <w:szCs w:val="20"/>
            <w:u w:val="single"/>
          </w:rPr>
          <w:t>http://www.un.org/documents/ga/res/40/a40r034.htm</w:t>
        </w:r>
      </w:hyperlink>
      <w:r w:rsidRPr="00CE3AE6">
        <w:rPr>
          <w:iCs/>
          <w:color w:val="0000FF"/>
          <w:sz w:val="20"/>
          <w:szCs w:val="20"/>
          <w:u w:val="single"/>
        </w:rPr>
        <w:t>&gt;.</w:t>
      </w:r>
    </w:p>
    <w:p w:rsidR="00E0371E" w:rsidRPr="00F432A4" w:rsidRDefault="00E0371E" w:rsidP="00C85EA7">
      <w:pPr>
        <w:pStyle w:val="Puslapioinaostekstas"/>
        <w:jc w:val="both"/>
      </w:pPr>
      <w:r w:rsidRPr="00F432A4">
        <w:t>Lietuvos Respublikos smurtiniais nusikaltimais padarytos žalos kompensavimo įstatym</w:t>
      </w:r>
      <w:r>
        <w:t xml:space="preserve">o 2 straipsnio 5 p. numato, kad smurtiniais nusikaltimais padarytos turtinės ir (ar) neturtinės žalos kompensavimas iš specialiosios Nukentėjusių nuo nusikaltimų asmenų fondo programos, kai smurtinį nusikaltimą padaręs asmuo ar už jo veiką atsakingas asmuo neatlygina priteistos žalos ar teismo patvirtintoje sutartyje dėl smurtiniu nusikaltimu padarytos žalos atlyginimo ar pašalinimo nurodytos žalos. 6 p. nurodoma, kad smurtiniais nusikaltimais padarytos žalos kompensavimas avansu yra turtinės ir (ar) neturtinės žalos kompensavimas iš specialiosios Nukentėjusių nuo nusikaltimų asmenų fondo programos, kai nėra teismo sprendimo dėl žalos atlyginimo iš smurtinį nusikaltimą padariusio asmens ar už jo veiką atsakingo asmens. Lietuvos Respublikos smurtiniais nusikaltimais padarytos žalos kompensavimo įstatymas. </w:t>
      </w:r>
      <w:r w:rsidRPr="00DB16E4">
        <w:rPr>
          <w:i/>
        </w:rPr>
        <w:t>Valstybės žinios</w:t>
      </w:r>
      <w:r>
        <w:t xml:space="preserve">. 2008, </w:t>
      </w:r>
      <w:r w:rsidRPr="00DB16E4">
        <w:t>Nr. 137-5387</w:t>
      </w:r>
      <w:r>
        <w:t>.</w:t>
      </w:r>
    </w:p>
  </w:footnote>
  <w:footnote w:id="343">
    <w:p w:rsidR="00E0371E" w:rsidRDefault="00E0371E" w:rsidP="00C85EA7">
      <w:pPr>
        <w:pStyle w:val="Puslapioinaostekstas"/>
        <w:jc w:val="both"/>
      </w:pPr>
      <w:r>
        <w:rPr>
          <w:rStyle w:val="Puslapioinaosnuoroda"/>
        </w:rPr>
        <w:footnoteRef/>
      </w:r>
      <w:r w:rsidRPr="00F631F7">
        <w:t>Valstybės išmokamos kompensacijos idėja grindžiama Dž.</w:t>
      </w:r>
      <w:r>
        <w:t xml:space="preserve"> </w:t>
      </w:r>
      <w:r w:rsidRPr="00F631F7">
        <w:t>Loko visuomenės sutarties teorija, pagal kurią pilietis turi teisę į apsaugą dėl to, kad sudarė sutartį su visuomene.</w:t>
      </w:r>
      <w:r>
        <w:t xml:space="preserve"> </w:t>
      </w:r>
      <w:r w:rsidRPr="00F631F7">
        <w:t>Negalėdama užtikrinti apsaugos, visuomenė yra moraliai įpareigota kompensuoti nukentėjusiesiems savo nepajėgumą vykdyti sutartį.</w:t>
      </w:r>
      <w:r>
        <w:t xml:space="preserve"> Plačiau: </w:t>
      </w:r>
      <w:r w:rsidRPr="009C7286">
        <w:t>Laster, R</w:t>
      </w:r>
      <w:r>
        <w:t>.</w:t>
      </w:r>
      <w:r w:rsidRPr="009C7286">
        <w:t xml:space="preserve"> E.</w:t>
      </w:r>
      <w:r>
        <w:t xml:space="preserve"> </w:t>
      </w:r>
      <w:r w:rsidRPr="009C7286">
        <w:t>Criminal Restitution: A Survey of Its Past History and an Anal</w:t>
      </w:r>
      <w:r>
        <w:t xml:space="preserve">ysis of Its Present Usefulness. </w:t>
      </w:r>
      <w:r w:rsidRPr="009C7286">
        <w:rPr>
          <w:i/>
        </w:rPr>
        <w:t>University of Richmond Law Review</w:t>
      </w:r>
      <w:r w:rsidRPr="009C7286">
        <w:t>. 1970</w:t>
      </w:r>
      <w:r>
        <w:t>, 5: 80.</w:t>
      </w:r>
    </w:p>
  </w:footnote>
  <w:footnote w:id="344">
    <w:p w:rsidR="00E0371E" w:rsidRDefault="00E0371E" w:rsidP="00C85EA7">
      <w:pPr>
        <w:pStyle w:val="Puslapioinaostekstas"/>
        <w:jc w:val="both"/>
      </w:pPr>
      <w:r>
        <w:rPr>
          <w:rStyle w:val="Puslapioinaosnuoroda"/>
        </w:rPr>
        <w:footnoteRef/>
      </w:r>
      <w:r>
        <w:t xml:space="preserve">Volodko, R. </w:t>
      </w:r>
      <w:r w:rsidRPr="00A96AE2">
        <w:rPr>
          <w:i/>
        </w:rPr>
        <w:t>Teoriniai ir praktiniai neturtinės žalos instituto taikymo aspektai Lietuvos civilinėje teisėje</w:t>
      </w:r>
      <w:r>
        <w:t>. Daktaro disertacija. Socialiniai mokslai (teisė). Vilnius: Vilniaus universitetas, 2009, p. 38.</w:t>
      </w:r>
    </w:p>
  </w:footnote>
  <w:footnote w:id="345">
    <w:p w:rsidR="00E0371E" w:rsidRDefault="00E0371E" w:rsidP="00C85EA7">
      <w:pPr>
        <w:pStyle w:val="Puslapioinaostekstas"/>
        <w:jc w:val="both"/>
      </w:pPr>
      <w:r>
        <w:rPr>
          <w:rStyle w:val="Puslapioinaosnuoroda"/>
        </w:rPr>
        <w:footnoteRef/>
      </w:r>
      <w:r>
        <w:t xml:space="preserve">Cirtautienė, S. </w:t>
      </w:r>
      <w:r w:rsidRPr="004F10BD">
        <w:rPr>
          <w:i/>
        </w:rPr>
        <w:t>Neturtinės žalos atlyginimas kaip civilinių teisių gynimo būdas.</w:t>
      </w:r>
      <w:r>
        <w:t xml:space="preserve"> Vilnius: Justitia, 2008, p. 60-64. </w:t>
      </w:r>
    </w:p>
  </w:footnote>
  <w:footnote w:id="346">
    <w:p w:rsidR="00E0371E" w:rsidRDefault="00E0371E" w:rsidP="00C85EA7">
      <w:pPr>
        <w:pStyle w:val="Puslapioinaostekstas"/>
        <w:jc w:val="both"/>
      </w:pPr>
      <w:r>
        <w:rPr>
          <w:rStyle w:val="Puslapioinaosnuoroda"/>
        </w:rPr>
        <w:footnoteRef/>
      </w:r>
      <w:r>
        <w:t xml:space="preserve">Volodko, R. </w:t>
      </w:r>
      <w:r w:rsidRPr="00A96AE2">
        <w:rPr>
          <w:i/>
        </w:rPr>
        <w:t>Teoriniai ir praktiniai neturtinės žalos instituto taikymo aspektai Lietuvos civilinėje teisėje</w:t>
      </w:r>
      <w:r>
        <w:t>. Daktaro disertacija. Socialiniai mokslai (teisė). Vilnius: Vilniaus universitetas, 2009, p. 66.</w:t>
      </w:r>
    </w:p>
  </w:footnote>
  <w:footnote w:id="347">
    <w:p w:rsidR="00E0371E" w:rsidRDefault="00E0371E" w:rsidP="00C85EA7">
      <w:pPr>
        <w:pStyle w:val="Puslapioinaostekstas"/>
        <w:jc w:val="both"/>
      </w:pPr>
      <w:r>
        <w:rPr>
          <w:rStyle w:val="Puslapioinaosnuoroda"/>
        </w:rPr>
        <w:footnoteRef/>
      </w:r>
      <w:r w:rsidRPr="00382700">
        <w:t>H</w:t>
      </w:r>
      <w:r w:rsidRPr="00382700">
        <w:rPr>
          <w:lang w:val="de-DE"/>
        </w:rPr>
        <w:t xml:space="preserve">örnle, T. </w:t>
      </w:r>
      <w:r w:rsidRPr="00382700">
        <w:t xml:space="preserve">Die Rolle des Opfers in der Straftheorie und im materiellen Strafrecht. </w:t>
      </w:r>
      <w:r w:rsidRPr="00382700">
        <w:rPr>
          <w:i/>
        </w:rPr>
        <w:t>Juristenzeitung</w:t>
      </w:r>
      <w:r>
        <w:rPr>
          <w:i/>
        </w:rPr>
        <w:t>.</w:t>
      </w:r>
      <w:r w:rsidRPr="00382700">
        <w:t xml:space="preserve"> 2006, 19: 953.</w:t>
      </w:r>
    </w:p>
  </w:footnote>
  <w:footnote w:id="348">
    <w:p w:rsidR="00E0371E" w:rsidRDefault="00E0371E" w:rsidP="00C85EA7">
      <w:pPr>
        <w:pStyle w:val="Puslapioinaostekstas"/>
        <w:jc w:val="both"/>
      </w:pPr>
      <w:r>
        <w:rPr>
          <w:rStyle w:val="Puslapioinaosnuoroda"/>
        </w:rPr>
        <w:footnoteRef/>
      </w:r>
      <w:r w:rsidRPr="001532F1">
        <w:t xml:space="preserve">Jung, H. Zur Rechtsstellung des Verletzten im Strafverfahren. </w:t>
      </w:r>
      <w:r w:rsidRPr="001532F1">
        <w:rPr>
          <w:i/>
        </w:rPr>
        <w:t>Juristische Rundschau</w:t>
      </w:r>
      <w:r>
        <w:t>.</w:t>
      </w:r>
      <w:r w:rsidRPr="001532F1">
        <w:t xml:space="preserve"> 1984, 8:</w:t>
      </w:r>
      <w:r>
        <w:t xml:space="preserve"> 310</w:t>
      </w:r>
      <w:r w:rsidRPr="001532F1">
        <w:t>.</w:t>
      </w:r>
    </w:p>
  </w:footnote>
  <w:footnote w:id="349">
    <w:p w:rsidR="00E0371E" w:rsidRDefault="00E0371E" w:rsidP="00C85EA7">
      <w:pPr>
        <w:pStyle w:val="Puslapioinaostekstas"/>
        <w:jc w:val="both"/>
      </w:pPr>
      <w:r>
        <w:rPr>
          <w:rStyle w:val="Puslapioinaosnuoroda"/>
        </w:rPr>
        <w:footnoteRef/>
      </w:r>
      <w:r>
        <w:t xml:space="preserve">Būtų neteisinga sakyti, kad emocinė dimensija ignoruojama Lietuvos baudžiamojoje teisėje, tačiau dabartiniu reglamentavimu labiau siekiama atsižvelgti į kaltininko asmenybę ir siekį jį pataisyti, kad jis daugiau nenusikalstų, nei į nukentėjusiojo interesą, kad jo būtų atsiprašyta. BK 59 straipsnio 1 dalies 2 punkte numatyta atsakomybę lengvinanti aplinkybė - </w:t>
      </w:r>
      <w:r w:rsidRPr="00A67E3D">
        <w:t>kaltinink</w:t>
      </w:r>
      <w:r>
        <w:t>o</w:t>
      </w:r>
      <w:r w:rsidRPr="00A67E3D">
        <w:t xml:space="preserve"> prisipažin</w:t>
      </w:r>
      <w:r>
        <w:t>imas ir nuoširdus</w:t>
      </w:r>
      <w:r w:rsidRPr="00A67E3D">
        <w:t xml:space="preserve"> gail</w:t>
      </w:r>
      <w:r>
        <w:t xml:space="preserve">estis - leidžia daryti išvadą, kad šiuo atveju apsiribojama asmenine kaltininko atgaila. BK 74 straipsnio 2 dalis numato bausmės vykdymo atidėjimo atveju teismo skiriamą įpareigojimą nuteistajam atsiprašyti nukentėjusiojo, tačiau šiuo atveju atsiprašymas nesiejamas su nuoširdžiu gailesčiu ir gali būti formalus. BK 38 straipsnio 1 dalis numato nukentėjusiojo ir kaltininko realų susitaikymą kaip atleidimo nuo baudžiamosios atsakomybės sąlygą, t.y. reikalauja abiejų šalių valinio sprendimo. BK 93 straipsnio 1 dalis atsiprašymą, savo kaltės pripažinimą ir atgailą numato kaip nepilnamečio atleidimo nuo baudžiamosios atsakomybės sąlygas. </w:t>
      </w:r>
      <w:r w:rsidRPr="003E3724">
        <w:t xml:space="preserve">Lietuvos Respublikos baudžiamojo kodekso patvirtinimo ir įsigaliojimo įstatymas. Baudžiamasis kodeksas. </w:t>
      </w:r>
      <w:r w:rsidRPr="003E3724">
        <w:rPr>
          <w:i/>
        </w:rPr>
        <w:t>Valstybės žinios</w:t>
      </w:r>
      <w:r>
        <w:t xml:space="preserve">. 2000, Nr. 89-2741. </w:t>
      </w:r>
    </w:p>
  </w:footnote>
  <w:footnote w:id="350">
    <w:p w:rsidR="00E0371E" w:rsidRDefault="00E0371E" w:rsidP="00C85EA7">
      <w:pPr>
        <w:pStyle w:val="Puslapioinaostekstas"/>
        <w:jc w:val="both"/>
      </w:pPr>
      <w:r>
        <w:rPr>
          <w:rStyle w:val="Puslapioinaosnuoroda"/>
        </w:rPr>
        <w:footnoteRef/>
      </w:r>
      <w:r w:rsidRPr="002342CD">
        <w:t xml:space="preserve">Strang, H. </w:t>
      </w:r>
      <w:r w:rsidRPr="002342CD">
        <w:rPr>
          <w:i/>
        </w:rPr>
        <w:t xml:space="preserve">Repair or </w:t>
      </w:r>
      <w:r>
        <w:rPr>
          <w:i/>
        </w:rPr>
        <w:t>R</w:t>
      </w:r>
      <w:r w:rsidRPr="002342CD">
        <w:rPr>
          <w:i/>
        </w:rPr>
        <w:t xml:space="preserve">evenge: </w:t>
      </w:r>
      <w:r>
        <w:rPr>
          <w:i/>
        </w:rPr>
        <w:t>V</w:t>
      </w:r>
      <w:r w:rsidRPr="002342CD">
        <w:rPr>
          <w:i/>
        </w:rPr>
        <w:t xml:space="preserve">ictims and </w:t>
      </w:r>
      <w:r>
        <w:rPr>
          <w:i/>
        </w:rPr>
        <w:t>Restorative J</w:t>
      </w:r>
      <w:r w:rsidRPr="002342CD">
        <w:rPr>
          <w:i/>
        </w:rPr>
        <w:t>ustice</w:t>
      </w:r>
      <w:r w:rsidRPr="002342CD">
        <w:t>. Ox</w:t>
      </w:r>
      <w:r>
        <w:t>ford: Clarendon Press, 2006, p. 20.</w:t>
      </w:r>
    </w:p>
  </w:footnote>
  <w:footnote w:id="351">
    <w:p w:rsidR="00E0371E" w:rsidRPr="00335D7C" w:rsidRDefault="00E0371E" w:rsidP="00C85EA7">
      <w:pPr>
        <w:pStyle w:val="Puslapioinaostekstas"/>
        <w:jc w:val="both"/>
      </w:pPr>
      <w:r>
        <w:rPr>
          <w:rStyle w:val="Puslapioinaosnuoroda"/>
        </w:rPr>
        <w:footnoteRef/>
      </w:r>
      <w:r w:rsidRPr="00335D7C">
        <w:rPr>
          <w:bCs/>
        </w:rPr>
        <w:t xml:space="preserve">Bibas, S., Bierschbach, R. A. Integrating Remorse and Apology into Criminal Procedure. </w:t>
      </w:r>
      <w:r w:rsidRPr="00335D7C">
        <w:rPr>
          <w:bCs/>
          <w:i/>
        </w:rPr>
        <w:t>The Yale Law Journal</w:t>
      </w:r>
      <w:r w:rsidRPr="00335D7C">
        <w:rPr>
          <w:bCs/>
        </w:rPr>
        <w:t>. 2004</w:t>
      </w:r>
      <w:r>
        <w:rPr>
          <w:bCs/>
        </w:rPr>
        <w:t>, 114: 104.</w:t>
      </w:r>
    </w:p>
  </w:footnote>
  <w:footnote w:id="352">
    <w:p w:rsidR="00E0371E" w:rsidRDefault="00E0371E" w:rsidP="00C85EA7">
      <w:pPr>
        <w:pStyle w:val="Puslapioinaostekstas"/>
        <w:jc w:val="both"/>
      </w:pPr>
      <w:r>
        <w:rPr>
          <w:rStyle w:val="Puslapioinaosnuoroda"/>
        </w:rPr>
        <w:footnoteRef/>
      </w:r>
      <w:r>
        <w:t xml:space="preserve">Murphy, J., Hampton, J. </w:t>
      </w:r>
      <w:r w:rsidRPr="00717188">
        <w:rPr>
          <w:i/>
        </w:rPr>
        <w:t>Forgiveness and Mercy</w:t>
      </w:r>
      <w:r>
        <w:t>. Cambridge: Cambridge University Press, 1988, p. 25.</w:t>
      </w:r>
    </w:p>
  </w:footnote>
  <w:footnote w:id="353">
    <w:p w:rsidR="00E0371E" w:rsidRDefault="00E0371E" w:rsidP="00C85EA7">
      <w:pPr>
        <w:pStyle w:val="Puslapioinaostekstas"/>
        <w:jc w:val="both"/>
      </w:pPr>
      <w:r>
        <w:rPr>
          <w:rStyle w:val="Puslapioinaosnuoroda"/>
        </w:rPr>
        <w:footnoteRef/>
      </w:r>
      <w:r>
        <w:t xml:space="preserve">Heger, M. Die Rolle des Opfers im Strafverfahren. </w:t>
      </w:r>
      <w:r w:rsidRPr="00311A5E">
        <w:rPr>
          <w:i/>
        </w:rPr>
        <w:t>Juristische Arbeitsblätter</w:t>
      </w:r>
      <w:r>
        <w:t>. 2007, 4: 244.</w:t>
      </w:r>
    </w:p>
  </w:footnote>
  <w:footnote w:id="354">
    <w:p w:rsidR="00E0371E" w:rsidRDefault="00E0371E" w:rsidP="00C85EA7">
      <w:pPr>
        <w:pStyle w:val="Puslapioinaostekstas"/>
        <w:jc w:val="both"/>
      </w:pPr>
      <w:r>
        <w:rPr>
          <w:rStyle w:val="Puslapioinaosnuoroda"/>
        </w:rPr>
        <w:footnoteRef/>
      </w:r>
      <w:r w:rsidRPr="002342CD">
        <w:t xml:space="preserve">Strang, H. </w:t>
      </w:r>
      <w:r w:rsidRPr="002342CD">
        <w:rPr>
          <w:i/>
        </w:rPr>
        <w:t xml:space="preserve">Repair or </w:t>
      </w:r>
      <w:r>
        <w:rPr>
          <w:i/>
        </w:rPr>
        <w:t>R</w:t>
      </w:r>
      <w:r w:rsidRPr="002342CD">
        <w:rPr>
          <w:i/>
        </w:rPr>
        <w:t xml:space="preserve">evenge: </w:t>
      </w:r>
      <w:r>
        <w:rPr>
          <w:i/>
        </w:rPr>
        <w:t>V</w:t>
      </w:r>
      <w:r w:rsidRPr="002342CD">
        <w:rPr>
          <w:i/>
        </w:rPr>
        <w:t xml:space="preserve">ictims and </w:t>
      </w:r>
      <w:r>
        <w:rPr>
          <w:i/>
        </w:rPr>
        <w:t>Restorative J</w:t>
      </w:r>
      <w:r w:rsidRPr="002342CD">
        <w:rPr>
          <w:i/>
        </w:rPr>
        <w:t>ustice</w:t>
      </w:r>
      <w:r w:rsidRPr="002342CD">
        <w:t>. Ox</w:t>
      </w:r>
      <w:r>
        <w:t>ford: Clarendon Press, 2006, p. 20.</w:t>
      </w:r>
    </w:p>
  </w:footnote>
  <w:footnote w:id="355">
    <w:p w:rsidR="00E0371E" w:rsidRDefault="00E0371E" w:rsidP="00C85EA7">
      <w:pPr>
        <w:pStyle w:val="Puslapioinaostekstas"/>
        <w:jc w:val="both"/>
      </w:pPr>
      <w:r>
        <w:rPr>
          <w:rStyle w:val="Puslapioinaosnuoroda"/>
        </w:rPr>
        <w:footnoteRef/>
      </w:r>
      <w:r>
        <w:t xml:space="preserve">Tavuchis, N. </w:t>
      </w:r>
      <w:r w:rsidRPr="00B42B22">
        <w:rPr>
          <w:i/>
        </w:rPr>
        <w:t>Mea Culpa: A Sociology of Apology and Reconciliation</w:t>
      </w:r>
      <w:r w:rsidRPr="00B42B22">
        <w:t>. Stanford: Stanford University</w:t>
      </w:r>
      <w:r>
        <w:t xml:space="preserve"> Press, 1991, p. 3</w:t>
      </w:r>
      <w:r w:rsidRPr="00B42B22">
        <w:t xml:space="preserve">. </w:t>
      </w:r>
    </w:p>
  </w:footnote>
  <w:footnote w:id="356">
    <w:p w:rsidR="00E0371E" w:rsidRDefault="00E0371E" w:rsidP="00C85EA7">
      <w:pPr>
        <w:pStyle w:val="Puslapioinaostekstas"/>
        <w:jc w:val="both"/>
      </w:pPr>
      <w:r>
        <w:rPr>
          <w:rStyle w:val="Puslapioinaosnuoroda"/>
        </w:rPr>
        <w:footnoteRef/>
      </w:r>
      <w:r>
        <w:t xml:space="preserve">Tavuchis, N. </w:t>
      </w:r>
      <w:r w:rsidRPr="00B42B22">
        <w:rPr>
          <w:i/>
        </w:rPr>
        <w:t>Mea Culpa: A Sociology of Apology and Reconciliation</w:t>
      </w:r>
      <w:r w:rsidRPr="00B42B22">
        <w:t>. Stanford: Stanford University</w:t>
      </w:r>
      <w:r>
        <w:t xml:space="preserve"> Press, 1991, p. 6.</w:t>
      </w:r>
      <w:hyperlink r:id="rId18" w:anchor="v=onepage&amp;q=tavuchis%20mea%20culpa&amp;f=false" w:history="1"/>
    </w:p>
  </w:footnote>
  <w:footnote w:id="357">
    <w:p w:rsidR="00E0371E" w:rsidRPr="007171C2" w:rsidRDefault="00E0371E" w:rsidP="00C85EA7">
      <w:pPr>
        <w:pStyle w:val="Puslapioinaostekstas"/>
        <w:jc w:val="both"/>
        <w:rPr>
          <w:bCs/>
        </w:rPr>
      </w:pPr>
      <w:r>
        <w:rPr>
          <w:rStyle w:val="Puslapioinaosnuoroda"/>
        </w:rPr>
        <w:footnoteRef/>
      </w:r>
      <w:r w:rsidRPr="00335D7C">
        <w:rPr>
          <w:bCs/>
        </w:rPr>
        <w:t xml:space="preserve">Bibas, S., Bierschbach, R. A. Integrating Remorse and Apology into Criminal Procedure. </w:t>
      </w:r>
      <w:r w:rsidRPr="00335D7C">
        <w:rPr>
          <w:bCs/>
          <w:i/>
        </w:rPr>
        <w:t>The Yale Law Journal</w:t>
      </w:r>
      <w:r w:rsidRPr="00335D7C">
        <w:rPr>
          <w:bCs/>
        </w:rPr>
        <w:t>. 2004</w:t>
      </w:r>
      <w:r>
        <w:rPr>
          <w:bCs/>
        </w:rPr>
        <w:t>, 114: 126.</w:t>
      </w:r>
    </w:p>
  </w:footnote>
  <w:footnote w:id="358">
    <w:p w:rsidR="00E0371E" w:rsidRPr="008B1482" w:rsidRDefault="00E0371E" w:rsidP="00C85EA7">
      <w:pPr>
        <w:pStyle w:val="Puslapioinaostekstas"/>
        <w:jc w:val="both"/>
        <w:rPr>
          <w:iCs/>
        </w:rPr>
      </w:pPr>
      <w:r>
        <w:rPr>
          <w:rStyle w:val="Puslapioinaosnuoroda"/>
        </w:rPr>
        <w:footnoteRef/>
      </w:r>
      <w:r w:rsidRPr="0063609F">
        <w:t xml:space="preserve">2001 m. kovo 15 d. Tarybos pamatinio sprendimo dėl nukentėjusiųjų padėties baudžiamosiose bylose </w:t>
      </w:r>
      <w:r>
        <w:t xml:space="preserve">10 str. numato, kad kiekviena valstybė narė siekia skatinti tarpininkavimą (mediaciją) baudžiamosiose bylose už nusikaltimus, kuriuos ji laiko tinkamais tokios priemonės taikymui, ir užtikrina, kad į bet kurį tokio tarpininkavimo baudžiamosiose bylose metu pasiektą susitarimą galėtų būti atsižvelgta. </w:t>
      </w:r>
      <w:r w:rsidRPr="008B1482">
        <w:t>2001 m. kovo 15 d. Europos Sąjungos Tarybos pamatinis sprendimas dėl nukentėjusiųjų padėties baudžiamosiose bylose 2001/220/TVR</w:t>
      </w:r>
      <w:r w:rsidRPr="008B1482">
        <w:rPr>
          <w:iCs/>
        </w:rPr>
        <w:t xml:space="preserve"> [2001] OL L 82/32 2.</w:t>
      </w:r>
    </w:p>
  </w:footnote>
  <w:footnote w:id="359">
    <w:p w:rsidR="00E0371E" w:rsidRDefault="00E0371E" w:rsidP="00C85EA7">
      <w:pPr>
        <w:pStyle w:val="Puslapioinaostekstas"/>
        <w:jc w:val="both"/>
      </w:pPr>
      <w:r w:rsidRPr="00026F70">
        <w:rPr>
          <w:rStyle w:val="Puslapioinaosnuoroda"/>
        </w:rPr>
        <w:footnoteRef/>
      </w:r>
      <w:r>
        <w:t xml:space="preserve">Baranskaitė, A. </w:t>
      </w:r>
      <w:r w:rsidRPr="00733CEA">
        <w:rPr>
          <w:i/>
        </w:rPr>
        <w:t>Taikos sutartis baudžiamojoje teisėje</w:t>
      </w:r>
      <w:r>
        <w:t>. Vilnius: Teisinės informacijos centras, 2007, p. 61.</w:t>
      </w:r>
    </w:p>
  </w:footnote>
  <w:footnote w:id="360">
    <w:p w:rsidR="00E0371E" w:rsidRPr="00E542AE" w:rsidRDefault="00E0371E" w:rsidP="00C85EA7">
      <w:pPr>
        <w:pStyle w:val="Puslapioinaostekstas"/>
        <w:jc w:val="both"/>
      </w:pPr>
      <w:r>
        <w:rPr>
          <w:rStyle w:val="Puslapioinaosnuoroda"/>
        </w:rPr>
        <w:footnoteRef/>
      </w:r>
      <w:r w:rsidRPr="007171C2">
        <w:t xml:space="preserve">Uscila, R. </w:t>
      </w:r>
      <w:r w:rsidRPr="007171C2">
        <w:rPr>
          <w:bCs/>
        </w:rPr>
        <w:t xml:space="preserve">Nusikaltimo aukos ir nusikaltėlio mediacijos įdiegimo galimybės Lietuvoje. </w:t>
      </w:r>
      <w:r w:rsidRPr="003D05F7">
        <w:rPr>
          <w:i/>
        </w:rPr>
        <w:t>Teisės problemos</w:t>
      </w:r>
      <w:r w:rsidRPr="003D05F7">
        <w:t>. 2006, 2</w:t>
      </w:r>
      <w:r>
        <w:t xml:space="preserve"> (52)</w:t>
      </w:r>
      <w:r w:rsidRPr="003D05F7">
        <w:t xml:space="preserve">: </w:t>
      </w:r>
      <w:r>
        <w:t>89</w:t>
      </w:r>
      <w:r w:rsidRPr="007171C2">
        <w:rPr>
          <w:bCs/>
        </w:rPr>
        <w:t>.</w:t>
      </w:r>
    </w:p>
  </w:footnote>
  <w:footnote w:id="361">
    <w:p w:rsidR="00E0371E" w:rsidRDefault="00E0371E" w:rsidP="00C85EA7">
      <w:pPr>
        <w:pStyle w:val="Puslapioinaostekstas"/>
        <w:jc w:val="both"/>
      </w:pPr>
      <w:r w:rsidRPr="00026F70">
        <w:rPr>
          <w:rStyle w:val="Puslapioinaosnuoroda"/>
        </w:rPr>
        <w:footnoteRef/>
      </w:r>
      <w:r>
        <w:t xml:space="preserve">Baranskaitė, A. </w:t>
      </w:r>
      <w:r w:rsidRPr="00733CEA">
        <w:rPr>
          <w:i/>
        </w:rPr>
        <w:t>Taikos sutartis baudžiamojoje teisėje</w:t>
      </w:r>
      <w:r>
        <w:t>. Vilnius: Teisinės informacijos centras, 2007, p. 61.</w:t>
      </w:r>
    </w:p>
  </w:footnote>
  <w:footnote w:id="362">
    <w:p w:rsidR="00E0371E" w:rsidRDefault="00E0371E" w:rsidP="00C85EA7">
      <w:pPr>
        <w:pStyle w:val="Puslapioinaostekstas"/>
        <w:jc w:val="both"/>
      </w:pPr>
      <w:r>
        <w:rPr>
          <w:rStyle w:val="Puslapioinaosnuoroda"/>
        </w:rPr>
        <w:footnoteRef/>
      </w:r>
      <w:r w:rsidRPr="007171C2">
        <w:t xml:space="preserve">Uscila, R. </w:t>
      </w:r>
      <w:r w:rsidRPr="007171C2">
        <w:rPr>
          <w:bCs/>
        </w:rPr>
        <w:t xml:space="preserve">Nusikaltimo aukos ir nusikaltėlio mediacijos įdiegimo galimybės Lietuvoje. </w:t>
      </w:r>
      <w:r w:rsidRPr="003D05F7">
        <w:rPr>
          <w:i/>
        </w:rPr>
        <w:t>Teisės problemos</w:t>
      </w:r>
      <w:r w:rsidRPr="003D05F7">
        <w:t>. 2006, 2</w:t>
      </w:r>
      <w:r>
        <w:t xml:space="preserve"> (52)</w:t>
      </w:r>
      <w:r w:rsidRPr="003D05F7">
        <w:t xml:space="preserve">: </w:t>
      </w:r>
      <w:r>
        <w:t>88</w:t>
      </w:r>
      <w:r w:rsidRPr="007171C2">
        <w:rPr>
          <w:bCs/>
        </w:rPr>
        <w:t>.</w:t>
      </w:r>
    </w:p>
  </w:footnote>
  <w:footnote w:id="363">
    <w:p w:rsidR="00E0371E" w:rsidRDefault="00E0371E" w:rsidP="00C85EA7">
      <w:pPr>
        <w:pStyle w:val="Puslapioinaostekstas"/>
        <w:jc w:val="both"/>
      </w:pPr>
      <w:r>
        <w:rPr>
          <w:rStyle w:val="Puslapioinaosnuoroda"/>
        </w:rPr>
        <w:footnoteRef/>
      </w:r>
      <w:r w:rsidRPr="00716388">
        <w:t xml:space="preserve">Piesliakas, V. </w:t>
      </w:r>
      <w:r w:rsidRPr="00716388">
        <w:rPr>
          <w:i/>
        </w:rPr>
        <w:t>Lietuvos baudžiamoji teisė</w:t>
      </w:r>
      <w:r w:rsidRPr="00716388">
        <w:t xml:space="preserve">. I knyga. </w:t>
      </w:r>
      <w:r>
        <w:t>2-oji</w:t>
      </w:r>
      <w:r w:rsidRPr="00716388">
        <w:t xml:space="preserve"> pataisyta ir papildyta laida. </w:t>
      </w:r>
      <w:r>
        <w:t>Vilnius:</w:t>
      </w:r>
      <w:r w:rsidRPr="00716388">
        <w:t xml:space="preserve"> Justitia,</w:t>
      </w:r>
      <w:r>
        <w:t xml:space="preserve"> </w:t>
      </w:r>
      <w:r w:rsidRPr="00716388">
        <w:t>2009</w:t>
      </w:r>
      <w:r>
        <w:t>, p</w:t>
      </w:r>
      <w:r w:rsidRPr="00716388">
        <w:t>. 116</w:t>
      </w:r>
      <w:r>
        <w:t>.</w:t>
      </w:r>
    </w:p>
  </w:footnote>
  <w:footnote w:id="364">
    <w:p w:rsidR="00E0371E" w:rsidRDefault="00E0371E" w:rsidP="00274D82">
      <w:pPr>
        <w:pStyle w:val="Puslapioinaostekstas"/>
        <w:jc w:val="both"/>
      </w:pPr>
      <w:r>
        <w:rPr>
          <w:rStyle w:val="Puslapioinaosnuoroda"/>
        </w:rPr>
        <w:footnoteRef/>
      </w:r>
      <w:r w:rsidRPr="007171C2">
        <w:t xml:space="preserve">Jurka, R. </w:t>
      </w:r>
      <w:r w:rsidRPr="007171C2">
        <w:rPr>
          <w:i/>
        </w:rPr>
        <w:t>Liudytojas ir jo procesiniai interesai baudžiamajame procese</w:t>
      </w:r>
      <w:r w:rsidRPr="007171C2">
        <w:t>. Vilnius: VĮ Registrų centras, 200</w:t>
      </w:r>
      <w:r>
        <w:t>9</w:t>
      </w:r>
      <w:r w:rsidRPr="007171C2">
        <w:t>, p</w:t>
      </w:r>
      <w:r>
        <w:t>. 129.</w:t>
      </w:r>
    </w:p>
  </w:footnote>
  <w:footnote w:id="365">
    <w:p w:rsidR="00E0371E" w:rsidRDefault="00E0371E" w:rsidP="00274D82">
      <w:pPr>
        <w:pStyle w:val="Puslapioinaostekstas"/>
        <w:jc w:val="both"/>
      </w:pPr>
      <w:r>
        <w:rPr>
          <w:rStyle w:val="Puslapioinaosnuoroda"/>
        </w:rPr>
        <w:footnoteRef/>
      </w:r>
      <w:r w:rsidRPr="007171C2">
        <w:t>Krivka, E. </w:t>
      </w:r>
      <w:r w:rsidRPr="007171C2">
        <w:rPr>
          <w:i/>
        </w:rPr>
        <w:t>Viešojo intereso gynimo problemos civiliniame procese.</w:t>
      </w:r>
      <w:r w:rsidRPr="007171C2">
        <w:t xml:space="preserve"> Daktaro disertacija. Socialiniai mokslai </w:t>
      </w:r>
      <w:r>
        <w:t>(</w:t>
      </w:r>
      <w:r w:rsidRPr="007171C2">
        <w:t>teisė</w:t>
      </w:r>
      <w:r>
        <w:t>)</w:t>
      </w:r>
      <w:r w:rsidRPr="007171C2">
        <w:t>. Vilnius: Mykolo Romerio universitetas, 2006</w:t>
      </w:r>
      <w:r>
        <w:t xml:space="preserve">, p. 27. </w:t>
      </w:r>
      <w:r w:rsidRPr="001951DE">
        <w:t xml:space="preserve">Rusų autoriai nukentėjusiojo suinteresuotumą apibūdina kaip interesą daryti įtaką proceso eigai. </w:t>
      </w:r>
      <w:r w:rsidRPr="00F65EC3">
        <w:t>Dikarev, I.</w:t>
      </w:r>
      <w:r>
        <w:t xml:space="preserve"> </w:t>
      </w:r>
      <w:r w:rsidRPr="00F65EC3">
        <w:t xml:space="preserve">S. </w:t>
      </w:r>
      <w:r w:rsidRPr="00F65EC3">
        <w:rPr>
          <w:i/>
        </w:rPr>
        <w:t>Dispozitivnost v ugolovnom processe</w:t>
      </w:r>
      <w:r w:rsidRPr="00F65EC3">
        <w:t xml:space="preserve"> [Dispositiveness in Criminal Procedure].</w:t>
      </w:r>
      <w:r>
        <w:t xml:space="preserve"> </w:t>
      </w:r>
      <w:r w:rsidRPr="00F65EC3">
        <w:t xml:space="preserve">Daktaro disertacija. Socialiniai mokslai (teisė). Volgograd, 2005, p. </w:t>
      </w:r>
      <w:r>
        <w:t>41</w:t>
      </w:r>
      <w:r w:rsidRPr="00F65EC3">
        <w:t>.</w:t>
      </w:r>
      <w:r>
        <w:t xml:space="preserve"> Tagancev, N. S. </w:t>
      </w:r>
      <w:r>
        <w:rPr>
          <w:i/>
        </w:rPr>
        <w:t>Russko</w:t>
      </w:r>
      <w:r w:rsidRPr="003E79F6">
        <w:rPr>
          <w:i/>
        </w:rPr>
        <w:t xml:space="preserve">e ugolovnoe pravo. Lekcii. </w:t>
      </w:r>
      <w:r>
        <w:rPr>
          <w:i/>
        </w:rPr>
        <w:t>Chast</w:t>
      </w:r>
      <w:r w:rsidRPr="003E79F6">
        <w:rPr>
          <w:i/>
        </w:rPr>
        <w:t xml:space="preserve"> ob</w:t>
      </w:r>
      <w:r>
        <w:rPr>
          <w:i/>
        </w:rPr>
        <w:t>shchaja</w:t>
      </w:r>
      <w:r>
        <w:t xml:space="preserve"> </w:t>
      </w:r>
      <w:proofErr w:type="gramStart"/>
      <w:r>
        <w:t>[</w:t>
      </w:r>
      <w:proofErr w:type="gramEnd"/>
      <w:r>
        <w:t>Russian criminal law. Lectures. General section]. II tomas. Moskva: Nauka, 1994, p. 336-337.</w:t>
      </w:r>
    </w:p>
  </w:footnote>
  <w:footnote w:id="366">
    <w:p w:rsidR="00E0371E" w:rsidRDefault="00E0371E" w:rsidP="00274D82">
      <w:pPr>
        <w:pStyle w:val="Puslapioinaostekstas"/>
        <w:jc w:val="both"/>
      </w:pPr>
      <w:r>
        <w:rPr>
          <w:rStyle w:val="Puslapioinaosnuoroda"/>
        </w:rPr>
        <w:footnoteRef/>
      </w:r>
      <w:r w:rsidRPr="004C5DA0">
        <w:t xml:space="preserve">Doak, J. Victims‘ Rights in Criminal Trials: Prospects for Participation. </w:t>
      </w:r>
      <w:r w:rsidRPr="004C5DA0">
        <w:rPr>
          <w:i/>
        </w:rPr>
        <w:t>Journal of Law and Society.</w:t>
      </w:r>
      <w:r>
        <w:rPr>
          <w:i/>
        </w:rPr>
        <w:t xml:space="preserve"> </w:t>
      </w:r>
      <w:r>
        <w:t>2005, 2-32: 295.</w:t>
      </w:r>
    </w:p>
  </w:footnote>
  <w:footnote w:id="367">
    <w:p w:rsidR="00E0371E" w:rsidRDefault="00E0371E" w:rsidP="00274D82">
      <w:pPr>
        <w:pStyle w:val="Puslapioinaostekstas"/>
        <w:jc w:val="both"/>
      </w:pPr>
      <w:r>
        <w:rPr>
          <w:rStyle w:val="Puslapioinaosnuoroda"/>
        </w:rPr>
        <w:footnoteRef/>
      </w:r>
      <w:r w:rsidRPr="00915F01">
        <w:t xml:space="preserve">Spalek, B. </w:t>
      </w:r>
      <w:r w:rsidRPr="005B7C1F">
        <w:rPr>
          <w:i/>
        </w:rPr>
        <w:t xml:space="preserve">Crime Victims: Theory, Policy and Practice. </w:t>
      </w:r>
      <w:r w:rsidRPr="00915F01">
        <w:t>Basingstoke: Palgrave Macmillan, 2006</w:t>
      </w:r>
      <w:r>
        <w:t>, p. 127-128.</w:t>
      </w:r>
    </w:p>
  </w:footnote>
  <w:footnote w:id="368">
    <w:p w:rsidR="00E0371E" w:rsidRPr="00364446" w:rsidRDefault="00E0371E" w:rsidP="00274D82">
      <w:pPr>
        <w:pStyle w:val="Puslapioinaostekstas"/>
        <w:jc w:val="both"/>
      </w:pPr>
      <w:r w:rsidRPr="00026F70">
        <w:rPr>
          <w:rStyle w:val="Puslapioinaosnuoroda"/>
        </w:rPr>
        <w:footnoteRef/>
      </w:r>
      <w:r w:rsidRPr="00364446">
        <w:t>Krivka, E. </w:t>
      </w:r>
      <w:r w:rsidRPr="00364446">
        <w:rPr>
          <w:i/>
        </w:rPr>
        <w:t>Viešojo intereso gynimo problemos civiliniame procese</w:t>
      </w:r>
      <w:r w:rsidRPr="00364446">
        <w:t>. Daktaro disertac</w:t>
      </w:r>
      <w:r>
        <w:t>ija. Socialiniai mokslai (teisė)</w:t>
      </w:r>
      <w:r w:rsidRPr="00364446">
        <w:t>. Vilnius: Mykolo Romerio universitetas, 2006, p. 28.</w:t>
      </w:r>
    </w:p>
  </w:footnote>
  <w:footnote w:id="369">
    <w:p w:rsidR="00E0371E" w:rsidRPr="00364446" w:rsidRDefault="00E0371E" w:rsidP="00274D82">
      <w:pPr>
        <w:pStyle w:val="Puslapioinaostekstas"/>
        <w:jc w:val="both"/>
      </w:pPr>
      <w:r w:rsidRPr="00364446">
        <w:rPr>
          <w:rStyle w:val="Puslapioinaosnuoroda"/>
        </w:rPr>
        <w:footnoteRef/>
      </w:r>
      <w:r w:rsidRPr="00364446">
        <w:t>Krivka, E. </w:t>
      </w:r>
      <w:r w:rsidRPr="00364446">
        <w:rPr>
          <w:i/>
        </w:rPr>
        <w:t>Viešojo intereso gynimo problemos civiliniame procese</w:t>
      </w:r>
      <w:r w:rsidRPr="00364446">
        <w:t>. Daktaro disertacija. Socialiniai mokslai (t</w:t>
      </w:r>
      <w:r>
        <w:t>eisė</w:t>
      </w:r>
      <w:r w:rsidRPr="00364446">
        <w:t>). Vilnius: Mykolo Romerio universitetas, 2006, p. 29.</w:t>
      </w:r>
    </w:p>
  </w:footnote>
  <w:footnote w:id="370">
    <w:p w:rsidR="00E0371E" w:rsidRDefault="00E0371E" w:rsidP="00274D82">
      <w:pPr>
        <w:pStyle w:val="Puslapioinaostekstas"/>
        <w:jc w:val="both"/>
      </w:pPr>
      <w:r>
        <w:rPr>
          <w:rStyle w:val="Puslapioinaosnuoroda"/>
        </w:rPr>
        <w:footnoteRef/>
      </w:r>
      <w:r>
        <w:t xml:space="preserve">Edwards, I. An Ambiguous Participant: The Crime Victim and Criminal Justice Decision-Making. </w:t>
      </w:r>
      <w:r w:rsidRPr="000A2004">
        <w:rPr>
          <w:i/>
        </w:rPr>
        <w:t>The</w:t>
      </w:r>
      <w:r>
        <w:t xml:space="preserve"> </w:t>
      </w:r>
      <w:r w:rsidRPr="00E876F7">
        <w:rPr>
          <w:i/>
        </w:rPr>
        <w:t xml:space="preserve">British Journal of </w:t>
      </w:r>
      <w:r>
        <w:rPr>
          <w:i/>
        </w:rPr>
        <w:t>C</w:t>
      </w:r>
      <w:r w:rsidRPr="00E876F7">
        <w:rPr>
          <w:i/>
        </w:rPr>
        <w:t>rime</w:t>
      </w:r>
      <w:r>
        <w:t xml:space="preserve">. 2004, 44 (6): 973. Uscila, R. Nukentėjusiojo procesinės galimybės baudžiamajame procese. </w:t>
      </w:r>
      <w:r w:rsidRPr="001C7BBB">
        <w:rPr>
          <w:i/>
        </w:rPr>
        <w:t xml:space="preserve">Pranešimas </w:t>
      </w:r>
      <w:r>
        <w:rPr>
          <w:i/>
        </w:rPr>
        <w:t xml:space="preserve">2014 m. vasario 3 d. </w:t>
      </w:r>
      <w:r w:rsidRPr="001C7BBB">
        <w:rPr>
          <w:i/>
        </w:rPr>
        <w:t>konferencijoje „Baudžiamosios justicijos teisės šakų tyrimai“</w:t>
      </w:r>
      <w:r>
        <w:t xml:space="preserve">. Vilnius: Vilniaus universitetas, 2014, skaidrė Nr. 3. </w:t>
      </w:r>
    </w:p>
  </w:footnote>
  <w:footnote w:id="371">
    <w:p w:rsidR="00E0371E" w:rsidRDefault="00E0371E" w:rsidP="00274D82">
      <w:pPr>
        <w:pStyle w:val="Puslapioinaostekstas"/>
        <w:jc w:val="both"/>
      </w:pPr>
      <w:r>
        <w:rPr>
          <w:rStyle w:val="Puslapioinaosnuoroda"/>
        </w:rPr>
        <w:footnoteRef/>
      </w:r>
      <w:r w:rsidRPr="002342CD">
        <w:t xml:space="preserve">Strang, H. </w:t>
      </w:r>
      <w:r w:rsidRPr="002342CD">
        <w:rPr>
          <w:i/>
        </w:rPr>
        <w:t xml:space="preserve">Repair or </w:t>
      </w:r>
      <w:r>
        <w:rPr>
          <w:i/>
        </w:rPr>
        <w:t>R</w:t>
      </w:r>
      <w:r w:rsidRPr="002342CD">
        <w:rPr>
          <w:i/>
        </w:rPr>
        <w:t xml:space="preserve">evenge: </w:t>
      </w:r>
      <w:r>
        <w:rPr>
          <w:i/>
        </w:rPr>
        <w:t>V</w:t>
      </w:r>
      <w:r w:rsidRPr="002342CD">
        <w:rPr>
          <w:i/>
        </w:rPr>
        <w:t xml:space="preserve">ictims and </w:t>
      </w:r>
      <w:r>
        <w:rPr>
          <w:i/>
        </w:rPr>
        <w:t>Restorative J</w:t>
      </w:r>
      <w:r w:rsidRPr="002342CD">
        <w:rPr>
          <w:i/>
        </w:rPr>
        <w:t>ustice</w:t>
      </w:r>
      <w:r w:rsidRPr="002342CD">
        <w:t>. Ox</w:t>
      </w:r>
      <w:r>
        <w:t>ford: Clarendon Press, 2006, p. 12.</w:t>
      </w:r>
    </w:p>
  </w:footnote>
  <w:footnote w:id="372">
    <w:p w:rsidR="00E0371E" w:rsidRDefault="00E0371E" w:rsidP="00274D82">
      <w:pPr>
        <w:pStyle w:val="Puslapioinaostekstas"/>
        <w:jc w:val="both"/>
      </w:pPr>
      <w:r>
        <w:rPr>
          <w:rStyle w:val="Puslapioinaosnuoroda"/>
        </w:rPr>
        <w:footnoteRef/>
      </w:r>
      <w:r w:rsidRPr="001532F1">
        <w:t xml:space="preserve">Jung, H. Zur Rechtsstellung des Verletzten im Strafverfahren. </w:t>
      </w:r>
      <w:r w:rsidRPr="001532F1">
        <w:rPr>
          <w:i/>
        </w:rPr>
        <w:t>Juristische Rundschau</w:t>
      </w:r>
      <w:r>
        <w:t>.</w:t>
      </w:r>
      <w:r w:rsidRPr="001532F1">
        <w:t xml:space="preserve"> 1984</w:t>
      </w:r>
      <w:r>
        <w:t>.</w:t>
      </w:r>
      <w:r w:rsidRPr="001532F1">
        <w:t xml:space="preserve"> 8:</w:t>
      </w:r>
      <w:r>
        <w:t xml:space="preserve"> 310. </w:t>
      </w:r>
    </w:p>
  </w:footnote>
  <w:footnote w:id="373">
    <w:p w:rsidR="00E0371E" w:rsidRPr="008B1482" w:rsidRDefault="00E0371E" w:rsidP="00274D82">
      <w:pPr>
        <w:pStyle w:val="Puslapioinaostekstas"/>
        <w:jc w:val="both"/>
        <w:rPr>
          <w:iCs/>
        </w:rPr>
      </w:pPr>
      <w:r>
        <w:rPr>
          <w:rStyle w:val="Puslapioinaosnuoroda"/>
        </w:rPr>
        <w:footnoteRef/>
      </w:r>
      <w:r w:rsidRPr="0073584E">
        <w:t xml:space="preserve">2001 m. kovo 15 d. </w:t>
      </w:r>
      <w:r>
        <w:t xml:space="preserve">Europos </w:t>
      </w:r>
      <w:r w:rsidRPr="0073584E">
        <w:t xml:space="preserve">Tarybos pamatinio sprendimo </w:t>
      </w:r>
      <w:r>
        <w:t>d</w:t>
      </w:r>
      <w:r w:rsidRPr="0073584E">
        <w:t xml:space="preserve">ėl nukentėjusiųjų padėties baudžiamosiose bylose 2 straipsnio 1 dalyje įtvirtintas siekis užtikrinti, kad atliekant procesinius veiksmus nukentėjusieji būtų traktuojami su derama pagarba asmens orumui. </w:t>
      </w:r>
      <w:r w:rsidRPr="008B1482">
        <w:t>Europos Sąjungos Tarybos 2001 m. kovo 15 d. pamatinis sprendimas dėl nukentėjusiųjų padėties baudžiamosiose bylose 2001/220/TVR</w:t>
      </w:r>
      <w:r w:rsidRPr="008B1482">
        <w:rPr>
          <w:iCs/>
        </w:rPr>
        <w:t xml:space="preserve"> [2001] OL L 82/32 2.</w:t>
      </w:r>
    </w:p>
    <w:p w:rsidR="00E0371E" w:rsidRPr="00A85F77" w:rsidRDefault="00E0371E" w:rsidP="00A85F77">
      <w:pPr>
        <w:jc w:val="both"/>
        <w:rPr>
          <w:sz w:val="20"/>
          <w:szCs w:val="20"/>
        </w:rPr>
      </w:pPr>
      <w:r w:rsidRPr="00A85F77">
        <w:rPr>
          <w:sz w:val="20"/>
          <w:szCs w:val="20"/>
        </w:rPr>
        <w:t xml:space="preserve">JT Generalinės Asamblėjos 1985 m. lapkričio 29 d. deklaracijoje dėl pagrindinių teisingumo principų nusikaltimų ir piktnaudžiavimo valdžia aukoms pripažįstami nusikaltimų aukų poreikiai ir įtvirtinamas modelis, kaip teismo procesas turi reaguoti į šiuos poreikius. Numatoma, kad </w:t>
      </w:r>
      <w:bookmarkStart w:id="161" w:name="wp1020839"/>
      <w:bookmarkEnd w:id="161"/>
      <w:r w:rsidRPr="00A85F77">
        <w:rPr>
          <w:sz w:val="20"/>
          <w:szCs w:val="20"/>
        </w:rPr>
        <w:t>su nukentėjusiais asmenimis turėtų būti elgiamasi su užuojauta ir pagarba jų orumui</w:t>
      </w:r>
      <w:r w:rsidRPr="00A85F77">
        <w:rPr>
          <w:vanish/>
          <w:sz w:val="20"/>
          <w:szCs w:val="20"/>
        </w:rPr>
        <w:t>They are entitled to access to the mechanisms of justice and to prompt redress, as provided for by national legislation, for the harm that they have suffered.</w:t>
      </w:r>
      <w:r w:rsidRPr="00A85F77">
        <w:rPr>
          <w:sz w:val="20"/>
          <w:szCs w:val="20"/>
        </w:rPr>
        <w:t xml:space="preserve">, jiems užtikrinta prieiga prie teisingumo mechanizmo, ir greitas žalos atlyginimas, kai jie patyrė žalą (4 straipsnis); </w:t>
      </w:r>
      <w:bookmarkStart w:id="162" w:name="wp1020841"/>
      <w:bookmarkEnd w:id="162"/>
      <w:r w:rsidRPr="00A85F77">
        <w:rPr>
          <w:sz w:val="20"/>
          <w:szCs w:val="20"/>
        </w:rPr>
        <w:t>nukentėjusieji</w:t>
      </w:r>
      <w:r w:rsidRPr="00A85F77">
        <w:rPr>
          <w:vanish/>
          <w:sz w:val="20"/>
          <w:szCs w:val="20"/>
        </w:rPr>
        <w:t xml:space="preserve">5.nukentėjusieji </w:t>
      </w:r>
      <w:r w:rsidRPr="00A85F77">
        <w:rPr>
          <w:sz w:val="20"/>
          <w:szCs w:val="20"/>
        </w:rPr>
        <w:t xml:space="preserve"> turėtų būti informuojami apie jų teises siekiant žalos atlyginimo (5 straipsnis);</w:t>
      </w:r>
      <w:bookmarkStart w:id="163" w:name="wp1020843"/>
      <w:bookmarkEnd w:id="163"/>
      <w:r w:rsidRPr="00A85F77">
        <w:rPr>
          <w:vanish/>
          <w:sz w:val="20"/>
          <w:szCs w:val="20"/>
        </w:rPr>
        <w:t>6.</w:t>
      </w:r>
      <w:r w:rsidRPr="00A85F77">
        <w:rPr>
          <w:sz w:val="20"/>
          <w:szCs w:val="20"/>
        </w:rPr>
        <w:t xml:space="preserve"> teismo procesas, reaguojant į nukentėjusiųjų poreikius, turėtų būti palengvintas: 1. </w:t>
      </w:r>
      <w:bookmarkStart w:id="164" w:name="wp1020845"/>
      <w:bookmarkEnd w:id="164"/>
      <w:r w:rsidRPr="00A85F77">
        <w:rPr>
          <w:vanish/>
          <w:sz w:val="20"/>
          <w:szCs w:val="20"/>
        </w:rPr>
        <w:t>( a ) Informing victims of their role and the scope, timing and progress of the proceedings and of the disposition of their cases, especially where serious crimes are involved and where they have requested such information;</w:t>
      </w:r>
      <w:r w:rsidRPr="00A85F77">
        <w:rPr>
          <w:sz w:val="20"/>
          <w:szCs w:val="20"/>
        </w:rPr>
        <w:t>informuojant nukentėjusiuosius apie jų vaidmenį ir galimybes procese, proceso laiką ir eigą jo byloje, ypač sunkių nusikaltimų atvejais ir kur jie paprašė tokios informacijos; 2.</w:t>
      </w:r>
      <w:bookmarkStart w:id="165" w:name="wp1020847"/>
      <w:bookmarkEnd w:id="165"/>
      <w:r w:rsidRPr="00A85F77">
        <w:rPr>
          <w:sz w:val="20"/>
          <w:szCs w:val="20"/>
        </w:rPr>
        <w:t xml:space="preserve"> kai paveikiami jų asmeniniai interesai, </w:t>
      </w:r>
      <w:r w:rsidRPr="00A85F77">
        <w:rPr>
          <w:vanish/>
          <w:sz w:val="20"/>
          <w:szCs w:val="20"/>
        </w:rPr>
        <w:t>( b ) Allowing the views and concerns of victims to be presented and considered at appropriate stages of the proceedings where their personal interests are affected, without prejudice to the accused and consistent with the relevant national criminal justice system;</w:t>
      </w:r>
      <w:r w:rsidRPr="00A85F77">
        <w:rPr>
          <w:sz w:val="20"/>
          <w:szCs w:val="20"/>
        </w:rPr>
        <w:t>sudaryti sąlygas nukentėjusiajam išreikšti savo požiūrį ir rūpesčius ir apsvarstyti juos atitinkamose proceso stadijose, nepažeidžiant kaltinamojo teisių [...]</w:t>
      </w:r>
      <w:bookmarkStart w:id="166" w:name="wp1020849"/>
      <w:bookmarkEnd w:id="166"/>
      <w:r w:rsidRPr="00A85F77">
        <w:rPr>
          <w:sz w:val="20"/>
          <w:szCs w:val="20"/>
        </w:rPr>
        <w:t xml:space="preserve"> </w:t>
      </w:r>
      <w:r w:rsidRPr="00A85F77">
        <w:rPr>
          <w:vanish/>
          <w:sz w:val="20"/>
          <w:szCs w:val="20"/>
        </w:rPr>
        <w:t>( c ) Providing proper assistance to victims throughout the legal process; ( d ) Taking measures to minimize inconvenience to victims, protect their privacy, when necessary, and ensure their safety, as well as that of their families and witnesses on their behalf, from intimidation and retaliation;</w:t>
      </w:r>
      <w:bookmarkStart w:id="167" w:name="wp1020853"/>
      <w:bookmarkEnd w:id="167"/>
      <w:r w:rsidRPr="00A85F77">
        <w:rPr>
          <w:sz w:val="20"/>
          <w:szCs w:val="20"/>
        </w:rPr>
        <w:t xml:space="preserve">(6 straipsnis). JT Generalinės Asamblėjos 1985 m. lapkričio 29 d. deklaracija </w:t>
      </w:r>
      <w:r w:rsidRPr="00A85F77">
        <w:rPr>
          <w:iCs/>
          <w:sz w:val="20"/>
          <w:szCs w:val="20"/>
        </w:rPr>
        <w:t>A/RES/40/34</w:t>
      </w:r>
      <w:r>
        <w:rPr>
          <w:iCs/>
          <w:sz w:val="20"/>
          <w:szCs w:val="20"/>
        </w:rPr>
        <w:t xml:space="preserve"> </w:t>
      </w:r>
      <w:r w:rsidRPr="00A85F77">
        <w:rPr>
          <w:sz w:val="20"/>
          <w:szCs w:val="20"/>
        </w:rPr>
        <w:t>dėl pagrindinių teisingumo principų nusikaltimų ir piktnaudžiavimo valdžia aukoms</w:t>
      </w:r>
      <w:r w:rsidRPr="00A85F77">
        <w:rPr>
          <w:color w:val="000000"/>
          <w:sz w:val="20"/>
          <w:szCs w:val="20"/>
        </w:rPr>
        <w:t>.</w:t>
      </w:r>
      <w:r w:rsidRPr="00A85F77">
        <w:rPr>
          <w:iCs/>
          <w:sz w:val="20"/>
          <w:szCs w:val="20"/>
        </w:rPr>
        <w:t xml:space="preserve"> </w:t>
      </w:r>
      <w:r w:rsidRPr="00A85F77">
        <w:rPr>
          <w:i/>
          <w:iCs/>
          <w:sz w:val="20"/>
          <w:szCs w:val="20"/>
        </w:rPr>
        <w:t>United Nations Documents</w:t>
      </w:r>
      <w:r w:rsidRPr="00A85F77">
        <w:rPr>
          <w:iCs/>
          <w:sz w:val="20"/>
          <w:szCs w:val="20"/>
        </w:rPr>
        <w:t xml:space="preserve"> [interaktyvus]</w:t>
      </w:r>
      <w:r>
        <w:rPr>
          <w:iCs/>
          <w:sz w:val="20"/>
          <w:szCs w:val="20"/>
        </w:rPr>
        <w:t>.</w:t>
      </w:r>
      <w:r w:rsidRPr="00A85F77">
        <w:rPr>
          <w:iCs/>
          <w:sz w:val="20"/>
          <w:szCs w:val="20"/>
        </w:rPr>
        <w:t xml:space="preserve"> [žiūrėta 2011-11-15]</w:t>
      </w:r>
      <w:r>
        <w:rPr>
          <w:iCs/>
          <w:sz w:val="20"/>
          <w:szCs w:val="20"/>
        </w:rPr>
        <w:t>.</w:t>
      </w:r>
      <w:r w:rsidRPr="00A85F77">
        <w:rPr>
          <w:iCs/>
          <w:sz w:val="20"/>
          <w:szCs w:val="20"/>
        </w:rPr>
        <w:t xml:space="preserve"> &lt;</w:t>
      </w:r>
      <w:hyperlink r:id="rId19" w:history="1">
        <w:r w:rsidRPr="00A85F77">
          <w:rPr>
            <w:iCs/>
            <w:color w:val="0000FF"/>
            <w:sz w:val="20"/>
            <w:szCs w:val="20"/>
            <w:u w:val="single"/>
          </w:rPr>
          <w:t>http://www.un.org/documents/ga/res/40/a40r034.htm</w:t>
        </w:r>
      </w:hyperlink>
      <w:r w:rsidRPr="00A85F77">
        <w:rPr>
          <w:iCs/>
          <w:color w:val="0000FF"/>
          <w:sz w:val="20"/>
          <w:szCs w:val="20"/>
          <w:u w:val="single"/>
        </w:rPr>
        <w:t>&gt;.</w:t>
      </w:r>
    </w:p>
  </w:footnote>
  <w:footnote w:id="374">
    <w:p w:rsidR="00E0371E" w:rsidRPr="0055724A" w:rsidRDefault="00E0371E" w:rsidP="00274D82">
      <w:pPr>
        <w:pStyle w:val="Puslapioinaostekstas"/>
        <w:jc w:val="both"/>
        <w:rPr>
          <w:bCs/>
        </w:rPr>
      </w:pPr>
      <w:r>
        <w:rPr>
          <w:rStyle w:val="Puslapioinaosnuoroda"/>
        </w:rPr>
        <w:footnoteRef/>
      </w:r>
      <w:r w:rsidRPr="00757574">
        <w:rPr>
          <w:bCs/>
        </w:rPr>
        <w:t>Tyler</w:t>
      </w:r>
      <w:bookmarkStart w:id="168" w:name="b"/>
      <w:bookmarkEnd w:id="168"/>
      <w:r w:rsidRPr="00757574">
        <w:rPr>
          <w:bCs/>
        </w:rPr>
        <w:t>, T.</w:t>
      </w:r>
      <w:r>
        <w:rPr>
          <w:bCs/>
        </w:rPr>
        <w:t xml:space="preserve"> </w:t>
      </w:r>
      <w:r w:rsidRPr="00757574">
        <w:rPr>
          <w:bCs/>
        </w:rPr>
        <w:t>R., Lind, E. A. A Relational Model of Authority in Groups</w:t>
      </w:r>
      <w:r>
        <w:rPr>
          <w:bCs/>
        </w:rPr>
        <w:t xml:space="preserve">. </w:t>
      </w:r>
      <w:r w:rsidRPr="00757574">
        <w:rPr>
          <w:bCs/>
          <w:i/>
        </w:rPr>
        <w:t>Advances in Experimental Social Psychology</w:t>
      </w:r>
      <w:r>
        <w:rPr>
          <w:bCs/>
        </w:rPr>
        <w:t>. 1992, 25:</w:t>
      </w:r>
      <w:r w:rsidRPr="00757574">
        <w:rPr>
          <w:bCs/>
        </w:rPr>
        <w:t xml:space="preserve"> 115-191</w:t>
      </w:r>
      <w:r>
        <w:rPr>
          <w:bCs/>
        </w:rPr>
        <w:t xml:space="preserve">. </w:t>
      </w:r>
      <w:r>
        <w:t xml:space="preserve">Justickis, V., Valickas, G. </w:t>
      </w:r>
      <w:r w:rsidRPr="0055724A">
        <w:rPr>
          <w:bCs/>
          <w:i/>
        </w:rPr>
        <w:t>Procedūrinis teisingumas Lietuvos kriminalinėje justicijoje.</w:t>
      </w:r>
      <w:r>
        <w:rPr>
          <w:bCs/>
          <w:i/>
        </w:rPr>
        <w:t xml:space="preserve"> </w:t>
      </w:r>
      <w:r>
        <w:rPr>
          <w:bCs/>
        </w:rPr>
        <w:t xml:space="preserve">Vilnius: </w:t>
      </w:r>
      <w:r w:rsidRPr="0055724A">
        <w:rPr>
          <w:bCs/>
        </w:rPr>
        <w:t>M</w:t>
      </w:r>
      <w:r>
        <w:rPr>
          <w:bCs/>
        </w:rPr>
        <w:t xml:space="preserve">ykolo </w:t>
      </w:r>
      <w:r w:rsidRPr="0055724A">
        <w:rPr>
          <w:bCs/>
        </w:rPr>
        <w:t>R</w:t>
      </w:r>
      <w:r>
        <w:rPr>
          <w:bCs/>
        </w:rPr>
        <w:t xml:space="preserve">omerio </w:t>
      </w:r>
      <w:r w:rsidRPr="0055724A">
        <w:rPr>
          <w:bCs/>
        </w:rPr>
        <w:t>U</w:t>
      </w:r>
      <w:r>
        <w:rPr>
          <w:bCs/>
        </w:rPr>
        <w:t>niversiteto L</w:t>
      </w:r>
      <w:r w:rsidRPr="0055724A">
        <w:rPr>
          <w:bCs/>
        </w:rPr>
        <w:t>eidybos c</w:t>
      </w:r>
      <w:r>
        <w:rPr>
          <w:bCs/>
        </w:rPr>
        <w:t>entras, 2006, p. 21-22.</w:t>
      </w:r>
    </w:p>
  </w:footnote>
  <w:footnote w:id="375">
    <w:p w:rsidR="00E0371E" w:rsidRDefault="00E0371E" w:rsidP="00274D82">
      <w:pPr>
        <w:pStyle w:val="Puslapioinaostekstas"/>
        <w:jc w:val="both"/>
      </w:pPr>
      <w:r>
        <w:rPr>
          <w:rStyle w:val="Puslapioinaosnuoroda"/>
        </w:rPr>
        <w:footnoteRef/>
      </w:r>
      <w:r w:rsidRPr="00C77286">
        <w:t xml:space="preserve">Joutsen, M. Victim Participation in Proceedings and Sentencing in Europe. </w:t>
      </w:r>
      <w:r w:rsidRPr="00C77286">
        <w:rPr>
          <w:i/>
        </w:rPr>
        <w:t>International Review of Victimology</w:t>
      </w:r>
      <w:r>
        <w:t>. 1994, 3: 65.</w:t>
      </w:r>
    </w:p>
  </w:footnote>
  <w:footnote w:id="376">
    <w:p w:rsidR="00E0371E" w:rsidRPr="00523082" w:rsidRDefault="00E0371E" w:rsidP="00523082">
      <w:pPr>
        <w:jc w:val="both"/>
        <w:rPr>
          <w:sz w:val="20"/>
          <w:szCs w:val="20"/>
        </w:rPr>
      </w:pPr>
      <w:r w:rsidRPr="00523082">
        <w:rPr>
          <w:rStyle w:val="Puslapioinaosnuoroda"/>
          <w:sz w:val="20"/>
          <w:szCs w:val="20"/>
        </w:rPr>
        <w:footnoteRef/>
      </w:r>
      <w:r w:rsidRPr="00523082">
        <w:rPr>
          <w:sz w:val="20"/>
          <w:szCs w:val="20"/>
        </w:rPr>
        <w:t xml:space="preserve">Ancelis, P. Nukentėjusiųjų asmenų interesų apsaugos prielaidos Lietuvoje ir kitose valstybėse. </w:t>
      </w:r>
      <w:r w:rsidRPr="00523082">
        <w:rPr>
          <w:i/>
          <w:sz w:val="20"/>
          <w:szCs w:val="20"/>
        </w:rPr>
        <w:t xml:space="preserve">Pranešimas 2010 m. vasario 25 d. tarptautiniame seminare „Ikiteisminio proceso subjektų kompetencijos įtaka užtikrinant nukentėjusiųjų asmenų interesus“. </w:t>
      </w:r>
      <w:r w:rsidRPr="00523082">
        <w:rPr>
          <w:sz w:val="20"/>
          <w:szCs w:val="20"/>
        </w:rPr>
        <w:t>Kaunas: Mykolo Romerio universitetas, 2010, (skaidrės).</w:t>
      </w:r>
    </w:p>
  </w:footnote>
  <w:footnote w:id="377">
    <w:p w:rsidR="00E0371E" w:rsidRPr="00691B01" w:rsidRDefault="00E0371E" w:rsidP="00691B01">
      <w:pPr>
        <w:jc w:val="both"/>
        <w:rPr>
          <w:sz w:val="20"/>
          <w:szCs w:val="20"/>
        </w:rPr>
      </w:pPr>
      <w:r w:rsidRPr="00691B01">
        <w:rPr>
          <w:rStyle w:val="Puslapioinaosnuoroda"/>
          <w:sz w:val="20"/>
          <w:szCs w:val="20"/>
        </w:rPr>
        <w:footnoteRef/>
      </w:r>
      <w:r w:rsidRPr="00691B01">
        <w:rPr>
          <w:sz w:val="20"/>
          <w:szCs w:val="20"/>
        </w:rPr>
        <w:t xml:space="preserve">Europos Tarybos Ministrų komiteto rekomendacija Nr. REC (2006) 8 valstybėms narėms dėl pagalbos nukentėjusiesiems nuo nusikaltimų, įtvirtina pareigą teikti informaciją nukentėjusiesiems bei šios informacijos turinį (6.3 – 6.5 punktai) Jurka, R., Melničenko, S., Randakevičienė, I. </w:t>
      </w:r>
      <w:r w:rsidRPr="00691B01">
        <w:rPr>
          <w:i/>
          <w:sz w:val="20"/>
          <w:szCs w:val="20"/>
        </w:rPr>
        <w:t>Pagrindinės Europos Tarybos rekomendacijos baudžiamojo proceso srityje.</w:t>
      </w:r>
      <w:r w:rsidRPr="00691B01">
        <w:rPr>
          <w:sz w:val="20"/>
          <w:szCs w:val="20"/>
        </w:rPr>
        <w:t xml:space="preserve"> Vilnius: Eugrimas, 2006, p. 265-287. Europos Parlamento ir Europos Tarybos 2012 m. gegužės 22 d. direktyva 2012/13/EU dėl teisės į informavimą baudžiamajame procese OJ L 142.</w:t>
      </w:r>
      <w:r>
        <w:rPr>
          <w:sz w:val="20"/>
          <w:szCs w:val="20"/>
        </w:rPr>
        <w:t xml:space="preserve"> Schöch, H. Die Rechtsstellung des Verletzten im Strafverfahren. </w:t>
      </w:r>
      <w:r w:rsidRPr="00C17786">
        <w:rPr>
          <w:i/>
          <w:sz w:val="20"/>
          <w:szCs w:val="20"/>
        </w:rPr>
        <w:t>NZSt</w:t>
      </w:r>
      <w:r>
        <w:rPr>
          <w:sz w:val="20"/>
          <w:szCs w:val="20"/>
        </w:rPr>
        <w:t>. 1984, 9: 388.</w:t>
      </w:r>
    </w:p>
  </w:footnote>
  <w:footnote w:id="378">
    <w:p w:rsidR="00E0371E" w:rsidRDefault="00E0371E" w:rsidP="00274D82">
      <w:pPr>
        <w:pStyle w:val="Puslapioinaostekstas"/>
        <w:jc w:val="both"/>
      </w:pPr>
      <w:r>
        <w:rPr>
          <w:rStyle w:val="Puslapioinaosnuoroda"/>
        </w:rPr>
        <w:footnoteRef/>
      </w:r>
      <w:r>
        <w:t xml:space="preserve">Strang, H. </w:t>
      </w:r>
      <w:r w:rsidRPr="002342CD">
        <w:rPr>
          <w:i/>
        </w:rPr>
        <w:t xml:space="preserve">Repair or </w:t>
      </w:r>
      <w:r>
        <w:rPr>
          <w:i/>
        </w:rPr>
        <w:t>R</w:t>
      </w:r>
      <w:r w:rsidRPr="002342CD">
        <w:rPr>
          <w:i/>
        </w:rPr>
        <w:t xml:space="preserve">evenge: </w:t>
      </w:r>
      <w:r>
        <w:rPr>
          <w:i/>
        </w:rPr>
        <w:t>V</w:t>
      </w:r>
      <w:r w:rsidRPr="002342CD">
        <w:rPr>
          <w:i/>
        </w:rPr>
        <w:t xml:space="preserve">ictims and </w:t>
      </w:r>
      <w:r>
        <w:rPr>
          <w:i/>
        </w:rPr>
        <w:t>Restorative J</w:t>
      </w:r>
      <w:r w:rsidRPr="002342CD">
        <w:rPr>
          <w:i/>
        </w:rPr>
        <w:t>ustice</w:t>
      </w:r>
      <w:r w:rsidRPr="002342CD">
        <w:t>. Ox</w:t>
      </w:r>
      <w:r>
        <w:t xml:space="preserve">ford: Clarendon Press, 2006, p. 14. </w:t>
      </w:r>
      <w:r w:rsidRPr="00335D7C">
        <w:rPr>
          <w:bCs/>
        </w:rPr>
        <w:t xml:space="preserve">Bibas, S., Bierschbach, R. A. Integrating Remorse and Apology into Criminal Procedure. </w:t>
      </w:r>
      <w:r w:rsidRPr="00335D7C">
        <w:rPr>
          <w:bCs/>
          <w:i/>
        </w:rPr>
        <w:t>The Yale Law Journal</w:t>
      </w:r>
      <w:r w:rsidRPr="00335D7C">
        <w:rPr>
          <w:bCs/>
        </w:rPr>
        <w:t>. 2004</w:t>
      </w:r>
      <w:r>
        <w:rPr>
          <w:bCs/>
        </w:rPr>
        <w:t>, 114: 137.</w:t>
      </w:r>
    </w:p>
  </w:footnote>
  <w:footnote w:id="379">
    <w:p w:rsidR="00E0371E" w:rsidRDefault="00E0371E" w:rsidP="00274D82">
      <w:pPr>
        <w:pStyle w:val="Puslapioinaostekstas"/>
        <w:jc w:val="both"/>
      </w:pPr>
      <w:r>
        <w:rPr>
          <w:rStyle w:val="Puslapioinaosnuoroda"/>
        </w:rPr>
        <w:footnoteRef/>
      </w:r>
      <w:r w:rsidRPr="00C42EEC">
        <w:t xml:space="preserve">Spalek, B. </w:t>
      </w:r>
      <w:r w:rsidRPr="005B7C1F">
        <w:rPr>
          <w:i/>
        </w:rPr>
        <w:t xml:space="preserve">Crime Victims: Theory, Policy and Practice. </w:t>
      </w:r>
      <w:r w:rsidRPr="00C42EEC">
        <w:t>Basingstoke: Palgrave Macmillan, 2006</w:t>
      </w:r>
      <w:r>
        <w:t>, p. 116-117, 119.</w:t>
      </w:r>
    </w:p>
  </w:footnote>
  <w:footnote w:id="380">
    <w:p w:rsidR="00E0371E" w:rsidRDefault="00E0371E" w:rsidP="007743A7">
      <w:pPr>
        <w:pStyle w:val="Puslapioinaostekstas"/>
        <w:jc w:val="both"/>
      </w:pPr>
      <w:r>
        <w:rPr>
          <w:rStyle w:val="Puslapioinaosnuoroda"/>
        </w:rPr>
        <w:footnoteRef/>
      </w:r>
      <w:r w:rsidRPr="00A30B61">
        <w:t xml:space="preserve">Jurka, R. </w:t>
      </w:r>
      <w:r w:rsidRPr="00A30B61">
        <w:rPr>
          <w:i/>
        </w:rPr>
        <w:t>Liudytojas ir jo procesiniai interesai baudžiamajame procese</w:t>
      </w:r>
      <w:r w:rsidRPr="00A30B61">
        <w:t xml:space="preserve">. Vilnius: VĮ </w:t>
      </w:r>
      <w:r>
        <w:t xml:space="preserve">Registrų centras, 2009, p. 125. </w:t>
      </w:r>
    </w:p>
  </w:footnote>
  <w:footnote w:id="381">
    <w:p w:rsidR="00E0371E" w:rsidRDefault="00E0371E" w:rsidP="00CD1BB5">
      <w:pPr>
        <w:pStyle w:val="Puslapioinaostekstas"/>
        <w:jc w:val="both"/>
      </w:pPr>
      <w:r>
        <w:rPr>
          <w:rStyle w:val="Puslapioinaosnuoroda"/>
        </w:rPr>
        <w:footnoteRef/>
      </w:r>
      <w:r>
        <w:t xml:space="preserve">Ancelis, P. </w:t>
      </w:r>
      <w:r w:rsidRPr="007712C3">
        <w:rPr>
          <w:i/>
        </w:rPr>
        <w:t>Funkcijų suderinamumas veiksmingame ir sąžiningame baudžiamajame persekiojime: mokslo studija</w:t>
      </w:r>
      <w:r w:rsidRPr="007712C3">
        <w:t>. Vilnius: Myk</w:t>
      </w:r>
      <w:r>
        <w:t xml:space="preserve">olo Romerio universitetas, 2012, p. 26. </w:t>
      </w:r>
    </w:p>
  </w:footnote>
  <w:footnote w:id="382">
    <w:p w:rsidR="00E0371E" w:rsidRPr="00523082" w:rsidRDefault="00E0371E" w:rsidP="00523082">
      <w:pPr>
        <w:jc w:val="both"/>
        <w:textAlignment w:val="top"/>
        <w:rPr>
          <w:rFonts w:eastAsia="Times New Roman"/>
          <w:bCs/>
          <w:sz w:val="20"/>
          <w:szCs w:val="20"/>
        </w:rPr>
      </w:pPr>
      <w:r w:rsidRPr="00523082">
        <w:rPr>
          <w:rStyle w:val="Puslapioinaosnuoroda"/>
          <w:sz w:val="20"/>
          <w:szCs w:val="20"/>
        </w:rPr>
        <w:footnoteRef/>
      </w:r>
      <w:r w:rsidRPr="00523082">
        <w:rPr>
          <w:rFonts w:eastAsia="Times New Roman"/>
          <w:bCs/>
          <w:sz w:val="20"/>
          <w:szCs w:val="20"/>
        </w:rPr>
        <w:t xml:space="preserve">Lietuvos Respublikos Konstitucinio Teismo 2006 m. sausio 16 d. nutarimas. </w:t>
      </w:r>
      <w:r w:rsidRPr="00523082">
        <w:rPr>
          <w:bCs/>
          <w:i/>
          <w:sz w:val="20"/>
          <w:szCs w:val="20"/>
        </w:rPr>
        <w:t>Valstybės žinios</w:t>
      </w:r>
      <w:r w:rsidRPr="00523082">
        <w:rPr>
          <w:bCs/>
          <w:sz w:val="20"/>
          <w:szCs w:val="20"/>
        </w:rPr>
        <w:t>. 2006, Nr. 7-254.</w:t>
      </w:r>
    </w:p>
  </w:footnote>
  <w:footnote w:id="383">
    <w:p w:rsidR="00E0371E" w:rsidRPr="00523082" w:rsidRDefault="00E0371E" w:rsidP="00523082">
      <w:pPr>
        <w:pStyle w:val="Puslapioinaostekstas"/>
        <w:jc w:val="both"/>
      </w:pPr>
      <w:r w:rsidRPr="00523082">
        <w:rPr>
          <w:rStyle w:val="Puslapioinaosnuoroda"/>
        </w:rPr>
        <w:footnoteRef/>
      </w:r>
      <w:r w:rsidRPr="00523082">
        <w:t>Nors vienas iš nukentėjusiojo tikslų gali būti kaltininko patraukimas baudžiamojon atsakomybėn, tačiau tvirtinimas, kad nukentėjusysis privataus kaltinimo bylose vykdo išimtinai kaltinimo funkciją, o procesinės teisės nukentėjusiajam suteikiamos šiai funkcijai įgyvendinti</w:t>
      </w:r>
      <w:r>
        <w:t>,</w:t>
      </w:r>
      <w:r w:rsidRPr="00523082">
        <w:t xml:space="preserve"> nėra pagrįstas. Petrova, N. E. </w:t>
      </w:r>
      <w:r>
        <w:rPr>
          <w:i/>
        </w:rPr>
        <w:t>Chastno</w:t>
      </w:r>
      <w:r w:rsidRPr="00933D54">
        <w:rPr>
          <w:i/>
        </w:rPr>
        <w:t>e</w:t>
      </w:r>
      <w:r>
        <w:rPr>
          <w:i/>
        </w:rPr>
        <w:t xml:space="preserve"> i subsidiarnoe obvineni</w:t>
      </w:r>
      <w:r w:rsidRPr="00933D54">
        <w:rPr>
          <w:i/>
        </w:rPr>
        <w:t xml:space="preserve">e </w:t>
      </w:r>
      <w:r w:rsidRPr="00523082">
        <w:t xml:space="preserve">[Private and Subsidiary Prosecution]. </w:t>
      </w:r>
      <w:r w:rsidRPr="00523082">
        <w:rPr>
          <w:color w:val="000033"/>
        </w:rPr>
        <w:t>Daktaro disertacija. Socialiniai mokslai (teisė).</w:t>
      </w:r>
      <w:r w:rsidRPr="00523082">
        <w:t>Samara, 2004, p. 95.</w:t>
      </w:r>
    </w:p>
  </w:footnote>
  <w:footnote w:id="384">
    <w:p w:rsidR="00E0371E" w:rsidRPr="00523082" w:rsidRDefault="00E0371E" w:rsidP="00523082">
      <w:pPr>
        <w:pStyle w:val="Default"/>
        <w:jc w:val="both"/>
        <w:rPr>
          <w:rFonts w:ascii="Times New Roman" w:hAnsi="Times New Roman" w:cs="Times New Roman"/>
          <w:sz w:val="20"/>
          <w:szCs w:val="20"/>
        </w:rPr>
      </w:pPr>
      <w:r w:rsidRPr="00523082">
        <w:rPr>
          <w:rStyle w:val="Puslapioinaosnuoroda"/>
          <w:sz w:val="20"/>
          <w:szCs w:val="20"/>
        </w:rPr>
        <w:footnoteRef/>
      </w:r>
      <w:r w:rsidRPr="00523082">
        <w:rPr>
          <w:rFonts w:ascii="Times New Roman" w:hAnsi="Times New Roman" w:cs="Times New Roman"/>
          <w:sz w:val="20"/>
          <w:szCs w:val="20"/>
        </w:rPr>
        <w:t xml:space="preserve">Matuizienė, E. Nukentėjusiojo interesai baudžiamajame procese. </w:t>
      </w:r>
      <w:r w:rsidRPr="00523082">
        <w:rPr>
          <w:rFonts w:ascii="Times New Roman" w:hAnsi="Times New Roman" w:cs="Times New Roman"/>
          <w:i/>
          <w:sz w:val="20"/>
          <w:szCs w:val="20"/>
        </w:rPr>
        <w:t>Socialinių mokslų studijos</w:t>
      </w:r>
      <w:r w:rsidRPr="00523082">
        <w:rPr>
          <w:rFonts w:ascii="Times New Roman" w:hAnsi="Times New Roman" w:cs="Times New Roman"/>
          <w:sz w:val="20"/>
          <w:szCs w:val="20"/>
        </w:rPr>
        <w:t xml:space="preserve">. </w:t>
      </w:r>
      <w:r w:rsidRPr="00523082">
        <w:rPr>
          <w:rStyle w:val="A0"/>
          <w:rFonts w:ascii="Times New Roman" w:hAnsi="Times New Roman" w:cs="Times New Roman"/>
          <w:sz w:val="20"/>
          <w:szCs w:val="20"/>
        </w:rPr>
        <w:t>2012, 4</w:t>
      </w:r>
      <w:r>
        <w:rPr>
          <w:rStyle w:val="A0"/>
          <w:rFonts w:ascii="Times New Roman" w:hAnsi="Times New Roman" w:cs="Times New Roman"/>
          <w:sz w:val="20"/>
          <w:szCs w:val="20"/>
        </w:rPr>
        <w:t xml:space="preserve"> </w:t>
      </w:r>
      <w:r w:rsidRPr="00523082">
        <w:rPr>
          <w:rStyle w:val="A0"/>
          <w:rFonts w:ascii="Times New Roman" w:hAnsi="Times New Roman" w:cs="Times New Roman"/>
          <w:sz w:val="20"/>
          <w:szCs w:val="20"/>
        </w:rPr>
        <w:t>(3): 1184.</w:t>
      </w:r>
    </w:p>
  </w:footnote>
  <w:footnote w:id="385">
    <w:p w:rsidR="00E0371E" w:rsidRPr="00523082" w:rsidRDefault="00E0371E" w:rsidP="00523082">
      <w:pPr>
        <w:pStyle w:val="Puslapioinaostekstas"/>
        <w:jc w:val="both"/>
      </w:pPr>
      <w:r w:rsidRPr="00523082">
        <w:rPr>
          <w:rStyle w:val="Puslapioinaosnuoroda"/>
        </w:rPr>
        <w:footnoteRef/>
      </w:r>
      <w:r w:rsidRPr="00523082">
        <w:t xml:space="preserve">Damaška, M. R. </w:t>
      </w:r>
      <w:r w:rsidRPr="00523082">
        <w:rPr>
          <w:i/>
        </w:rPr>
        <w:t>The Faces of Justice and State Authority: a Comparative Approach to the Legal Process</w:t>
      </w:r>
      <w:r w:rsidRPr="00523082">
        <w:t>. New Haven; London: Yale University Press, 1986, p. 213.</w:t>
      </w:r>
    </w:p>
  </w:footnote>
  <w:footnote w:id="386">
    <w:p w:rsidR="00E0371E" w:rsidRPr="00523082" w:rsidRDefault="00E0371E" w:rsidP="00523082">
      <w:pPr>
        <w:jc w:val="both"/>
        <w:rPr>
          <w:sz w:val="20"/>
          <w:szCs w:val="20"/>
        </w:rPr>
      </w:pPr>
      <w:r w:rsidRPr="00523082">
        <w:rPr>
          <w:rStyle w:val="Puslapioinaosnuoroda"/>
          <w:sz w:val="20"/>
          <w:szCs w:val="20"/>
        </w:rPr>
        <w:footnoteRef/>
      </w:r>
      <w:r w:rsidRPr="006A6C35">
        <w:rPr>
          <w:sz w:val="20"/>
          <w:szCs w:val="20"/>
        </w:rPr>
        <w:t xml:space="preserve">Nacionalinės teismų administracijos 2013 m. balandžio 11 d. raštas Nr. 4R-950-(6.9) „Dėl statistinės informacijos apie privataus kaltinimo bylų teisminį nagrinėjimą“. Skelbta </w:t>
      </w:r>
      <w:r w:rsidRPr="006A6C35">
        <w:rPr>
          <w:i/>
          <w:sz w:val="20"/>
          <w:szCs w:val="20"/>
        </w:rPr>
        <w:t>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w:t>
      </w:r>
      <w:r w:rsidRPr="006A6C35">
        <w:rPr>
          <w:sz w:val="20"/>
          <w:szCs w:val="20"/>
        </w:rPr>
        <w:t xml:space="preserve"> Vilnius, 2013.</w:t>
      </w:r>
    </w:p>
  </w:footnote>
  <w:footnote w:id="387">
    <w:p w:rsidR="00E0371E" w:rsidRDefault="00E0371E" w:rsidP="005D4BA5">
      <w:pPr>
        <w:pStyle w:val="Puslapioinaostekstas"/>
        <w:jc w:val="both"/>
      </w:pPr>
      <w:r>
        <w:rPr>
          <w:rStyle w:val="Puslapioinaosnuoroda"/>
        </w:rPr>
        <w:footnoteRef/>
      </w:r>
      <w:r w:rsidRPr="00311A5E">
        <w:t xml:space="preserve">Heger, M. Die Rolle des Opfers im Strafverfahren. </w:t>
      </w:r>
      <w:r w:rsidRPr="00311A5E">
        <w:rPr>
          <w:i/>
        </w:rPr>
        <w:t>Juristische Arbeitsblätter</w:t>
      </w:r>
      <w:r w:rsidRPr="00311A5E">
        <w:t>. 2007, 4</w:t>
      </w:r>
      <w:r>
        <w:t>: 245.</w:t>
      </w:r>
    </w:p>
  </w:footnote>
  <w:footnote w:id="388">
    <w:p w:rsidR="00E0371E" w:rsidRDefault="00E0371E" w:rsidP="005D4BA5">
      <w:pPr>
        <w:pStyle w:val="Puslapioinaostekstas"/>
        <w:jc w:val="both"/>
      </w:pPr>
      <w:r>
        <w:rPr>
          <w:rStyle w:val="Puslapioinaosnuoroda"/>
        </w:rPr>
        <w:footnoteRef/>
      </w:r>
      <w:r>
        <w:t xml:space="preserve">Schulz, J. </w:t>
      </w:r>
      <w:r w:rsidRPr="00144E35">
        <w:rPr>
          <w:i/>
        </w:rPr>
        <w:t>Beitr</w:t>
      </w:r>
      <w:r w:rsidRPr="00144E35">
        <w:rPr>
          <w:i/>
          <w:lang w:val="de-DE"/>
        </w:rPr>
        <w:t>äge zur Nebenklage</w:t>
      </w:r>
      <w:r>
        <w:rPr>
          <w:lang w:val="de-DE"/>
        </w:rPr>
        <w:t xml:space="preserve">. </w:t>
      </w:r>
      <w:r w:rsidRPr="0013188F">
        <w:rPr>
          <w:lang w:val="de-DE"/>
        </w:rPr>
        <w:t xml:space="preserve">Berlin: </w:t>
      </w:r>
      <w:r w:rsidRPr="00AA22FE">
        <w:t>Duncker &amp; Humblot</w:t>
      </w:r>
      <w:r>
        <w:rPr>
          <w:lang w:val="de-DE"/>
        </w:rPr>
        <w:t>, 1982, p. 58-59.</w:t>
      </w:r>
    </w:p>
  </w:footnote>
  <w:footnote w:id="389">
    <w:p w:rsidR="00E0371E" w:rsidRDefault="00E0371E" w:rsidP="005D4BA5">
      <w:pPr>
        <w:pStyle w:val="Puslapioinaostekstas"/>
        <w:jc w:val="both"/>
      </w:pPr>
      <w:r>
        <w:rPr>
          <w:rStyle w:val="Puslapioinaosnuoroda"/>
        </w:rPr>
        <w:footnoteRef/>
      </w:r>
      <w:r w:rsidRPr="004F347E">
        <w:t>Jurka, R., Juzukonis, S.</w:t>
      </w:r>
      <w:r>
        <w:t>,</w:t>
      </w:r>
      <w:r w:rsidRPr="004F347E">
        <w:t xml:space="preserve"> Randakevičienė, I. </w:t>
      </w:r>
      <w:r w:rsidRPr="004F347E">
        <w:rPr>
          <w:i/>
        </w:rPr>
        <w:t>Baudžiamojo proceso dalyviai. Metodinė mokomoji priemonė</w:t>
      </w:r>
      <w:r w:rsidRPr="004F347E">
        <w:t>. V</w:t>
      </w:r>
      <w:r>
        <w:t>ilnius: Industrus, 2009, p. 57.</w:t>
      </w:r>
    </w:p>
  </w:footnote>
  <w:footnote w:id="390">
    <w:p w:rsidR="00E0371E" w:rsidRPr="004F347E" w:rsidRDefault="00E0371E" w:rsidP="00274D82">
      <w:pPr>
        <w:pStyle w:val="Puslapioinaostekstas"/>
        <w:jc w:val="both"/>
      </w:pPr>
      <w:r>
        <w:rPr>
          <w:rStyle w:val="Puslapioinaosnuoroda"/>
        </w:rPr>
        <w:footnoteRef/>
      </w:r>
      <w:r>
        <w:t xml:space="preserve">Juzukonis, S. </w:t>
      </w:r>
      <w:r w:rsidRPr="00361386">
        <w:rPr>
          <w:i/>
        </w:rPr>
        <w:t>Nukentėjusiojo teisių apsauga baudžiamajame procese</w:t>
      </w:r>
      <w:r>
        <w:t>.  Daktaro disertacija. Socialiniai mokslai (teisė). Vilnius: Lietuvos teisės universitetas, 2002, p. 53-55.</w:t>
      </w:r>
    </w:p>
  </w:footnote>
  <w:footnote w:id="391">
    <w:p w:rsidR="00E0371E" w:rsidRPr="00084E35" w:rsidRDefault="00E0371E" w:rsidP="00274D82">
      <w:pPr>
        <w:pStyle w:val="Puslapioinaostekstas"/>
        <w:jc w:val="both"/>
      </w:pPr>
      <w:r w:rsidRPr="00084E35">
        <w:rPr>
          <w:rStyle w:val="Puslapioinaosnuoroda"/>
        </w:rPr>
        <w:footnoteRef/>
      </w:r>
      <w:r w:rsidRPr="00084E35">
        <w:t>Jurka, R., Juzukonis, S.</w:t>
      </w:r>
      <w:r>
        <w:t>,</w:t>
      </w:r>
      <w:r w:rsidRPr="00084E35">
        <w:t xml:space="preserve"> Randakevičienė, I. </w:t>
      </w:r>
      <w:r w:rsidRPr="00084E35">
        <w:rPr>
          <w:i/>
        </w:rPr>
        <w:t>Baudžiamojo proceso dalyviai. Metodinė mokomoji priemonė</w:t>
      </w:r>
      <w:r w:rsidRPr="00084E35">
        <w:t>. Vilnius: Industrus, 2009, p. 61-62.</w:t>
      </w:r>
    </w:p>
  </w:footnote>
  <w:footnote w:id="392">
    <w:p w:rsidR="00E0371E" w:rsidRDefault="00E0371E" w:rsidP="00274D82">
      <w:pPr>
        <w:pStyle w:val="Puslapioinaostekstas"/>
        <w:jc w:val="both"/>
      </w:pPr>
      <w:r>
        <w:rPr>
          <w:rStyle w:val="Puslapioinaosnuoroda"/>
        </w:rPr>
        <w:footnoteRef/>
      </w:r>
      <w:r>
        <w:t xml:space="preserve">Šiuo atveju itin painią situaciją sukuria įstatymo netikslumas, kai nukentėjusio asmens ir nukentėjusiojo sąvokos vartojamos sinonimiškai ir „nukentėjusiojo skundą“ padavęs asmuo tik šioje proceso stadijoje pripažįstamas nukentėjusiuoju.  </w:t>
      </w:r>
    </w:p>
  </w:footnote>
  <w:footnote w:id="393">
    <w:p w:rsidR="00E0371E" w:rsidRPr="00270E75" w:rsidRDefault="00E0371E" w:rsidP="004B5817">
      <w:pPr>
        <w:pStyle w:val="Puslapioinaostekstas"/>
        <w:jc w:val="both"/>
      </w:pPr>
      <w:r w:rsidRPr="00AD782A">
        <w:rPr>
          <w:rStyle w:val="Puslapioinaosnuoroda"/>
        </w:rPr>
        <w:footnoteRef/>
      </w:r>
      <w:r w:rsidRPr="00AD782A">
        <w:t xml:space="preserve">Lietuvos Aukščiausiojo Teismo konsultacija Nr. B3-362 „Dėl BPK 28 straipsnio 1 dalies, 413 straipsnio 5 dalies taikymo“. </w:t>
      </w:r>
      <w:r w:rsidRPr="00AD782A">
        <w:rPr>
          <w:i/>
        </w:rPr>
        <w:t>Teismų praktika</w:t>
      </w:r>
      <w:r w:rsidRPr="00AD782A">
        <w:t>. 2006, 24</w:t>
      </w:r>
      <w:r>
        <w:t>:</w:t>
      </w:r>
      <w:r w:rsidRPr="00AD782A">
        <w:t xml:space="preserve"> 254.</w:t>
      </w:r>
    </w:p>
  </w:footnote>
  <w:footnote w:id="394">
    <w:p w:rsidR="00E0371E" w:rsidRDefault="00E0371E" w:rsidP="00C876A6">
      <w:pPr>
        <w:pStyle w:val="Puslapioinaostekstas"/>
        <w:jc w:val="both"/>
      </w:pPr>
      <w:r>
        <w:rPr>
          <w:rStyle w:val="Puslapioinaosnuoroda"/>
        </w:rPr>
        <w:footnoteRef/>
      </w:r>
      <w:r w:rsidRPr="00873C91">
        <w:t xml:space="preserve">Ažubalytė, R., Jurgaitis, R., Zajančkauskienė, J. </w:t>
      </w:r>
      <w:r w:rsidRPr="00873C91">
        <w:rPr>
          <w:i/>
        </w:rPr>
        <w:t>Specifinės baudžiamojo proceso rūšys: vadovėlis</w:t>
      </w:r>
      <w:r w:rsidRPr="00873C91">
        <w:t xml:space="preserve">. Vilnius: Mykolo Romerio universitetas, 2011, p. </w:t>
      </w:r>
      <w:r>
        <w:t xml:space="preserve">140. </w:t>
      </w:r>
    </w:p>
  </w:footnote>
  <w:footnote w:id="395">
    <w:p w:rsidR="00E0371E" w:rsidRDefault="00E0371E" w:rsidP="00C876A6">
      <w:pPr>
        <w:pStyle w:val="Puslapioinaostekstas"/>
        <w:jc w:val="both"/>
      </w:pPr>
      <w:r>
        <w:rPr>
          <w:rStyle w:val="Puslapioinaosnuoroda"/>
        </w:rPr>
        <w:footnoteRef/>
      </w:r>
      <w:r>
        <w:t xml:space="preserve">Ažubalytė, R., Zajančkauskienė, J. </w:t>
      </w:r>
      <w:r w:rsidRPr="002D08D1">
        <w:rPr>
          <w:i/>
        </w:rPr>
        <w:t>Baudžiamojo proceso teisė. Bendrosios dalies kurso pagrindinės tezės</w:t>
      </w:r>
      <w:r>
        <w:t>. Vilnius: Mūsų saulužė, 2006, p. 22.</w:t>
      </w:r>
    </w:p>
  </w:footnote>
  <w:footnote w:id="396">
    <w:p w:rsidR="00E0371E" w:rsidRDefault="00E0371E" w:rsidP="00C876A6">
      <w:pPr>
        <w:pStyle w:val="Puslapioinaostekstas"/>
        <w:jc w:val="both"/>
      </w:pPr>
      <w:r>
        <w:rPr>
          <w:rStyle w:val="Puslapioinaosnuoroda"/>
        </w:rPr>
        <w:footnoteRef/>
      </w:r>
      <w:r>
        <w:t xml:space="preserve">Įrodinėjimo kaip privataus kaltintojo vykdomos kaltinimo veiklos ypatumai bus nagrinėjami III skyriaus 3.2 dalyje, todėl detaliau čia nebus aptariami ir minimi tik privataus kaltintojo pareigų kontekste. </w:t>
      </w:r>
    </w:p>
  </w:footnote>
  <w:footnote w:id="397">
    <w:p w:rsidR="00E0371E" w:rsidRDefault="00E0371E" w:rsidP="00C876A6">
      <w:pPr>
        <w:pStyle w:val="Puslapioinaostekstas"/>
        <w:jc w:val="both"/>
      </w:pPr>
      <w:r>
        <w:rPr>
          <w:rStyle w:val="Puslapioinaosnuoroda"/>
        </w:rPr>
        <w:footnoteRef/>
      </w:r>
      <w:r w:rsidRPr="00E503B6">
        <w:t>Jurka, R., Juzukonis, S.</w:t>
      </w:r>
      <w:r>
        <w:t>,</w:t>
      </w:r>
      <w:r w:rsidRPr="00E503B6">
        <w:t xml:space="preserve"> Randakevičienė, I. </w:t>
      </w:r>
      <w:r w:rsidRPr="00E503B6">
        <w:rPr>
          <w:i/>
        </w:rPr>
        <w:t>Baudžiamojo proceso dalyviai. Metodinė mokomoji priemonė</w:t>
      </w:r>
      <w:r w:rsidRPr="00E503B6">
        <w:t>. Vilnius: Industrus</w:t>
      </w:r>
      <w:r>
        <w:t>, 2009, p. 63-64.</w:t>
      </w:r>
    </w:p>
  </w:footnote>
  <w:footnote w:id="398">
    <w:p w:rsidR="00E0371E" w:rsidRDefault="00E0371E" w:rsidP="00ED6481">
      <w:pPr>
        <w:pStyle w:val="Puslapioinaostekstas"/>
        <w:jc w:val="both"/>
      </w:pPr>
      <w:r>
        <w:rPr>
          <w:rStyle w:val="Puslapioinaosnuoroda"/>
        </w:rPr>
        <w:footnoteRef/>
      </w:r>
      <w:r>
        <w:t>T</w:t>
      </w:r>
      <w:r w:rsidRPr="00D7050E">
        <w:t>eikti įrodymus, pateikti prašymus, pareikšti nušalinimus, susipažinti su byla, dalyvauti bylą nagrinėjant teisme, apskųsti teismo veiksmus, taip pat apskųsti teismo nuosprendį ar nutartį apeliacine tvarka, pasakyti baigiamąją kalbą, prašyti atlyginti patirtas išlaidas dėl dalyvavimo baudžiamajame procese, turėti atstovą, pareikšti civilinį ieškinį, jeigu dėl nusikalstamos veikos patyrė turtinės ar neturtinės žalos</w:t>
      </w:r>
      <w:r>
        <w:t xml:space="preserve">. (BPK 28 straipsnio 2 dalis) </w:t>
      </w:r>
    </w:p>
  </w:footnote>
  <w:footnote w:id="399">
    <w:p w:rsidR="00E0371E" w:rsidRDefault="00E0371E" w:rsidP="00ED6481">
      <w:pPr>
        <w:pStyle w:val="Puslapioinaostekstas"/>
        <w:jc w:val="both"/>
      </w:pPr>
      <w:r>
        <w:rPr>
          <w:rStyle w:val="Puslapioinaosnuoroda"/>
        </w:rPr>
        <w:footnoteRef/>
      </w:r>
      <w:r w:rsidRPr="007712C3">
        <w:t>Ancelis</w:t>
      </w:r>
      <w:r>
        <w:t xml:space="preserve">, P. </w:t>
      </w:r>
      <w:r w:rsidRPr="00E775B0">
        <w:rPr>
          <w:i/>
        </w:rPr>
        <w:t>Funkcijų suderinamumas veiksmingame ir sąžiningame baudžiamajame persekiojime: mokslo studija</w:t>
      </w:r>
      <w:r>
        <w:t xml:space="preserve">. </w:t>
      </w:r>
      <w:r w:rsidRPr="007712C3">
        <w:t xml:space="preserve"> Vilnius: Myk</w:t>
      </w:r>
      <w:r>
        <w:t xml:space="preserve">olo Romerio universitetas, 2012, p. 27. </w:t>
      </w:r>
    </w:p>
  </w:footnote>
  <w:footnote w:id="400">
    <w:p w:rsidR="00E0371E" w:rsidRDefault="00E0371E" w:rsidP="00ED6481">
      <w:pPr>
        <w:pStyle w:val="Puslapioinaostekstas"/>
        <w:jc w:val="both"/>
      </w:pPr>
      <w:r>
        <w:rPr>
          <w:rStyle w:val="Puslapioinaosnuoroda"/>
        </w:rPr>
        <w:footnoteRef/>
      </w:r>
      <w:r w:rsidRPr="007712C3">
        <w:t>Ancelis</w:t>
      </w:r>
      <w:r>
        <w:t xml:space="preserve">, P. </w:t>
      </w:r>
      <w:r w:rsidRPr="00E775B0">
        <w:rPr>
          <w:i/>
        </w:rPr>
        <w:t>Funkcijų suderinamumas veiksmingame ir sąžiningame baudžiamajame persekiojime: mokslo studija</w:t>
      </w:r>
      <w:r>
        <w:t xml:space="preserve">. </w:t>
      </w:r>
      <w:r w:rsidRPr="007712C3">
        <w:t xml:space="preserve"> Vilnius: Myk</w:t>
      </w:r>
      <w:r>
        <w:t xml:space="preserve">olo Romerio universitetas, 2012, p. 27. </w:t>
      </w:r>
    </w:p>
  </w:footnote>
  <w:footnote w:id="401">
    <w:p w:rsidR="00E0371E" w:rsidRDefault="00E0371E" w:rsidP="00ED6481">
      <w:pPr>
        <w:pStyle w:val="Puslapioinaostekstas"/>
        <w:jc w:val="both"/>
      </w:pPr>
      <w:r>
        <w:rPr>
          <w:rStyle w:val="Puslapioinaosnuoroda"/>
        </w:rPr>
        <w:footnoteRef/>
      </w:r>
      <w:r w:rsidRPr="00873C91">
        <w:t xml:space="preserve">Ažubalytė, R., Jurgaitis, R., Zajančkauskienė, J. </w:t>
      </w:r>
      <w:r w:rsidRPr="00873C91">
        <w:rPr>
          <w:i/>
        </w:rPr>
        <w:t>Specifinės baudžiamojo proceso rūšys: vadovėlis</w:t>
      </w:r>
      <w:r w:rsidRPr="00873C91">
        <w:t xml:space="preserve">. Vilnius: Mykolo Romerio universitetas, 2011, p. </w:t>
      </w:r>
      <w:r>
        <w:t>140.</w:t>
      </w:r>
      <w:r w:rsidRPr="0090180F">
        <w:t xml:space="preserve"> Ažubalytė, R. Nukentėjusio nuo nusikalstamos veikos asmens teisė kreiptis į teismą kaip teisminės gynybos realizavimo baudžiamajame procese prielaida. </w:t>
      </w:r>
      <w:r w:rsidRPr="0090180F">
        <w:rPr>
          <w:i/>
        </w:rPr>
        <w:t>Jurisprudencija</w:t>
      </w:r>
      <w:r>
        <w:t>.</w:t>
      </w:r>
      <w:r w:rsidRPr="0090180F">
        <w:t xml:space="preserve"> </w:t>
      </w:r>
      <w:r>
        <w:t>2010, 4 (122): 227.</w:t>
      </w:r>
    </w:p>
  </w:footnote>
  <w:footnote w:id="402">
    <w:p w:rsidR="00E0371E" w:rsidRDefault="00E0371E" w:rsidP="00ED6481">
      <w:pPr>
        <w:pStyle w:val="Puslapioinaostekstas"/>
        <w:jc w:val="both"/>
      </w:pPr>
      <w:r>
        <w:rPr>
          <w:rStyle w:val="Puslapioinaosnuoroda"/>
        </w:rPr>
        <w:footnoteRef/>
      </w:r>
      <w:r>
        <w:t xml:space="preserve">Jurka, R., Juzukonis, S., Randakevičienė, I. </w:t>
      </w:r>
      <w:r w:rsidRPr="00C25D40">
        <w:rPr>
          <w:i/>
        </w:rPr>
        <w:t>Baudžiamojo proceso dalyviai. Metodinė mokomoji priemonė</w:t>
      </w:r>
      <w:r>
        <w:t>. Vilnius: Industrus, 2009, p. 58-61.</w:t>
      </w:r>
    </w:p>
  </w:footnote>
  <w:footnote w:id="403">
    <w:p w:rsidR="00E0371E" w:rsidRDefault="00E0371E" w:rsidP="00274D82">
      <w:pPr>
        <w:pStyle w:val="Puslapioinaostekstas"/>
        <w:jc w:val="both"/>
      </w:pPr>
      <w:r w:rsidRPr="008A6F9A">
        <w:rPr>
          <w:vertAlign w:val="superscript"/>
        </w:rPr>
        <w:footnoteRef/>
      </w:r>
      <w:r w:rsidRPr="008A6F9A">
        <w:t>Kauno apygardos teisme visais nagrinėtais atvejais (2005-2009 m. nutartys) apeliaciniame procese dalyvavo prokuroras bei išsakė poziciją dėl skundo.</w:t>
      </w:r>
    </w:p>
  </w:footnote>
  <w:footnote w:id="404">
    <w:p w:rsidR="00E0371E" w:rsidRPr="004B50B2" w:rsidRDefault="00E0371E" w:rsidP="00763198">
      <w:pPr>
        <w:pStyle w:val="Puslapioinaostekstas"/>
        <w:jc w:val="both"/>
      </w:pPr>
      <w:r>
        <w:rPr>
          <w:rStyle w:val="Puslapioinaosnuoroda"/>
        </w:rPr>
        <w:footnoteRef/>
      </w:r>
      <w:r w:rsidRPr="00763198">
        <w:t>Lietuvos Respublikos Konstitucinio Teismo 2007 m. spalio 24 d. nutarimas</w:t>
      </w:r>
      <w:r>
        <w:t xml:space="preserve">. </w:t>
      </w:r>
      <w:r w:rsidRPr="000F5EB7">
        <w:rPr>
          <w:i/>
        </w:rPr>
        <w:t>Valstybės žinios</w:t>
      </w:r>
      <w:r w:rsidRPr="000F5EB7">
        <w:t>. 2007, Nr. 111-1549.</w:t>
      </w:r>
    </w:p>
  </w:footnote>
  <w:footnote w:id="405">
    <w:p w:rsidR="00E0371E" w:rsidRDefault="00E0371E">
      <w:pPr>
        <w:pStyle w:val="Puslapioinaostekstas"/>
      </w:pPr>
      <w:r>
        <w:rPr>
          <w:rStyle w:val="Puslapioinaosnuoroda"/>
        </w:rPr>
        <w:footnoteRef/>
      </w:r>
      <w:r w:rsidRPr="00A913C3">
        <w:t>Lietuvos Respublikos Konstitucinio Teism</w:t>
      </w:r>
      <w:r>
        <w:t xml:space="preserve">o 2006 m. kovo 28 d. nutarimas. </w:t>
      </w:r>
      <w:r w:rsidRPr="000F5EB7">
        <w:rPr>
          <w:i/>
        </w:rPr>
        <w:t>Valstybės žinios</w:t>
      </w:r>
      <w:r w:rsidRPr="000F5EB7">
        <w:t>. 2006, Nr. 36-1292.</w:t>
      </w:r>
    </w:p>
  </w:footnote>
  <w:footnote w:id="406">
    <w:p w:rsidR="00E0371E" w:rsidRPr="004B50B2" w:rsidRDefault="00E0371E" w:rsidP="00763198">
      <w:pPr>
        <w:pStyle w:val="Puslapioinaostekstas"/>
        <w:jc w:val="both"/>
      </w:pPr>
      <w:r>
        <w:rPr>
          <w:rStyle w:val="Puslapioinaosnuoroda"/>
        </w:rPr>
        <w:footnoteRef/>
      </w:r>
      <w:r w:rsidRPr="00763198">
        <w:t>Lietuvos Respublikos Konstitucinio Teismo 2006 m. rugsėjo 21 d. nutarimas</w:t>
      </w:r>
      <w:r>
        <w:t xml:space="preserve">. </w:t>
      </w:r>
      <w:r w:rsidRPr="000F5EB7">
        <w:rPr>
          <w:i/>
        </w:rPr>
        <w:t>Valstybės žinios</w:t>
      </w:r>
      <w:r w:rsidRPr="000F5EB7">
        <w:t>. 2006, Nr. 102-3957; Nr. 127 (atitaisymas); Nr. 137 (atitaisymas).</w:t>
      </w:r>
    </w:p>
  </w:footnote>
  <w:footnote w:id="407">
    <w:p w:rsidR="00E0371E" w:rsidRPr="001D2BCA" w:rsidRDefault="00E0371E" w:rsidP="00274D82">
      <w:pPr>
        <w:pStyle w:val="Puslapioinaostekstas"/>
        <w:jc w:val="both"/>
      </w:pPr>
      <w:r w:rsidRPr="001D2BCA">
        <w:rPr>
          <w:rStyle w:val="Puslapioinaosnuoroda"/>
        </w:rPr>
        <w:footnoteRef/>
      </w:r>
      <w:r w:rsidRPr="00F12FF2">
        <w:t>Lietuvos Respublikos Konstitucinio Teismo 2006 m. birželio 15 d. nutarimas</w:t>
      </w:r>
      <w:r>
        <w:t xml:space="preserve">. </w:t>
      </w:r>
      <w:r w:rsidRPr="000F5EB7">
        <w:rPr>
          <w:i/>
        </w:rPr>
        <w:t>Valstybės žinios</w:t>
      </w:r>
      <w:r w:rsidRPr="000F5EB7">
        <w:t>. 2006, Nr. 68-2514.</w:t>
      </w:r>
      <w:r>
        <w:t xml:space="preserve"> </w:t>
      </w:r>
      <w:r w:rsidRPr="00531902">
        <w:t xml:space="preserve">Lietuvos Respublikos Konstitucinio Teismo </w:t>
      </w:r>
      <w:r>
        <w:t>2006 m. sausio 16 d. nutarimas</w:t>
      </w:r>
      <w:r w:rsidRPr="00531902">
        <w:t>.</w:t>
      </w:r>
      <w:r w:rsidRPr="000F5EB7">
        <w:rPr>
          <w:i/>
        </w:rPr>
        <w:t xml:space="preserve"> Valstybės žinios</w:t>
      </w:r>
      <w:r>
        <w:t>. 2006, Nr. 7-254</w:t>
      </w:r>
      <w:r w:rsidRPr="00BB5CBE">
        <w:t>.</w:t>
      </w:r>
    </w:p>
  </w:footnote>
  <w:footnote w:id="408">
    <w:p w:rsidR="00E0371E" w:rsidRDefault="00E0371E" w:rsidP="00880477">
      <w:pPr>
        <w:pStyle w:val="Puslapioinaostekstas"/>
        <w:jc w:val="both"/>
      </w:pPr>
      <w:r>
        <w:rPr>
          <w:rStyle w:val="Puslapioinaosnuoroda"/>
        </w:rPr>
        <w:footnoteRef/>
      </w:r>
      <w:r w:rsidRPr="00531902">
        <w:t xml:space="preserve">Lietuvos Respublikos Konstitucinio Teismo </w:t>
      </w:r>
      <w:r>
        <w:t>2006 m. sausio 16 d. nutarimas</w:t>
      </w:r>
      <w:r w:rsidRPr="00531902">
        <w:t xml:space="preserve">. </w:t>
      </w:r>
      <w:r w:rsidRPr="000F5EB7">
        <w:rPr>
          <w:i/>
        </w:rPr>
        <w:t>Valstybės žinios</w:t>
      </w:r>
      <w:r>
        <w:t>. 2006, Nr. 7-254</w:t>
      </w:r>
      <w:r w:rsidRPr="00BB5CBE">
        <w:t>.</w:t>
      </w:r>
    </w:p>
  </w:footnote>
  <w:footnote w:id="409">
    <w:p w:rsidR="00E0371E" w:rsidRDefault="00E0371E" w:rsidP="00274D82">
      <w:pPr>
        <w:pStyle w:val="Puslapioinaostekstas"/>
        <w:jc w:val="both"/>
      </w:pPr>
      <w:r w:rsidRPr="00AD782A">
        <w:rPr>
          <w:rStyle w:val="Puslapioinaosnuoroda"/>
        </w:rPr>
        <w:footnoteRef/>
      </w:r>
      <w:r w:rsidRPr="00531902">
        <w:t>Lietuvos Respublikos Konstitucinio Teismo</w:t>
      </w:r>
      <w:r>
        <w:t xml:space="preserve"> 2006 m. sausio 16 d. nutarimas</w:t>
      </w:r>
      <w:r w:rsidRPr="00531902">
        <w:t>. Va</w:t>
      </w:r>
      <w:r>
        <w:t>lstybės žinios. 2006, Nr. 7-254</w:t>
      </w:r>
      <w:r w:rsidRPr="00AD782A">
        <w:t>.</w:t>
      </w:r>
      <w:r>
        <w:t xml:space="preserve"> </w:t>
      </w:r>
      <w:r w:rsidRPr="00873C91">
        <w:t xml:space="preserve">Ažubalytė, R., Jurgaitis, R., Zajančkauskienė, J. </w:t>
      </w:r>
      <w:r w:rsidRPr="00873C91">
        <w:rPr>
          <w:i/>
        </w:rPr>
        <w:t>Specifinės baudžiamojo proceso rūšys: vadovėlis</w:t>
      </w:r>
      <w:r w:rsidRPr="00873C91">
        <w:t>. Vilnius: Mykolo Romerio universitetas, 2011, p. 1</w:t>
      </w:r>
      <w:r>
        <w:t>68.</w:t>
      </w:r>
    </w:p>
  </w:footnote>
  <w:footnote w:id="410">
    <w:p w:rsidR="00E0371E" w:rsidRDefault="00E0371E" w:rsidP="00274D82">
      <w:pPr>
        <w:pStyle w:val="Puslapioinaostekstas"/>
        <w:jc w:val="both"/>
      </w:pPr>
      <w:r>
        <w:rPr>
          <w:rStyle w:val="Puslapioinaosnuoroda"/>
        </w:rPr>
        <w:footnoteRef/>
      </w:r>
      <w:r w:rsidRPr="00531902">
        <w:t>Lietuvos Respublikos Konstitucinio Teismo 2006 m. saus</w:t>
      </w:r>
      <w:r>
        <w:t>io 16 d. nutarimas</w:t>
      </w:r>
      <w:r w:rsidRPr="00531902">
        <w:t xml:space="preserve">. </w:t>
      </w:r>
      <w:r w:rsidRPr="00E3730A">
        <w:rPr>
          <w:i/>
        </w:rPr>
        <w:t>Valstybės žinios</w:t>
      </w:r>
      <w:r w:rsidRPr="00531902">
        <w:t>. 2006, Nr. 7-254.</w:t>
      </w:r>
    </w:p>
  </w:footnote>
  <w:footnote w:id="411">
    <w:p w:rsidR="00E0371E" w:rsidRDefault="00E0371E" w:rsidP="00274D82">
      <w:pPr>
        <w:pStyle w:val="Puslapioinaostekstas"/>
        <w:jc w:val="both"/>
      </w:pPr>
      <w:r>
        <w:rPr>
          <w:rStyle w:val="Puslapioinaosnuoroda"/>
        </w:rPr>
        <w:footnoteRef/>
      </w:r>
      <w:r w:rsidRPr="00531902">
        <w:t>Lietuvos Respublikos Konstitucinio Teismo 2006 m. sausi</w:t>
      </w:r>
      <w:r>
        <w:t>o 16 d. nutarimas</w:t>
      </w:r>
      <w:r w:rsidRPr="00531902">
        <w:t xml:space="preserve">. </w:t>
      </w:r>
      <w:r w:rsidRPr="00E3730A">
        <w:rPr>
          <w:i/>
        </w:rPr>
        <w:t>Valstybės žinios</w:t>
      </w:r>
      <w:r w:rsidRPr="00531902">
        <w:t>. 2006, Nr. 7-254.</w:t>
      </w:r>
    </w:p>
  </w:footnote>
  <w:footnote w:id="412">
    <w:p w:rsidR="00E0371E" w:rsidRDefault="00E0371E">
      <w:pPr>
        <w:pStyle w:val="Puslapioinaostekstas"/>
      </w:pPr>
      <w:r>
        <w:rPr>
          <w:rStyle w:val="Puslapioinaosnuoroda"/>
        </w:rPr>
        <w:footnoteRef/>
      </w:r>
      <w:r w:rsidRPr="00DF6223">
        <w:t xml:space="preserve">Goda, G. Konstitucinė justicija ir baudžiamojo proceso mokslas. </w:t>
      </w:r>
      <w:r w:rsidRPr="00DF6223">
        <w:rPr>
          <w:i/>
        </w:rPr>
        <w:t>Teisė</w:t>
      </w:r>
      <w:r w:rsidRPr="00DF6223">
        <w:t xml:space="preserve">. 2011, 78: </w:t>
      </w:r>
      <w:r>
        <w:t>81</w:t>
      </w:r>
      <w:r w:rsidRPr="00DF6223">
        <w:t>.</w:t>
      </w:r>
    </w:p>
  </w:footnote>
  <w:footnote w:id="413">
    <w:p w:rsidR="00E0371E" w:rsidRDefault="00E0371E" w:rsidP="00274D82">
      <w:pPr>
        <w:pStyle w:val="Puslapioinaostekstas"/>
        <w:jc w:val="both"/>
      </w:pPr>
      <w:r>
        <w:rPr>
          <w:rStyle w:val="Puslapioinaosnuoroda"/>
        </w:rPr>
        <w:footnoteRef/>
      </w:r>
      <w:r w:rsidRPr="00531902">
        <w:t>Lietuvos Respublikos Konstitucinio Teismo 2006 m. sausi</w:t>
      </w:r>
      <w:r>
        <w:t>o 16 d. nutarimas</w:t>
      </w:r>
      <w:r w:rsidRPr="00531902">
        <w:t xml:space="preserve">. </w:t>
      </w:r>
      <w:r w:rsidRPr="00E3730A">
        <w:rPr>
          <w:i/>
        </w:rPr>
        <w:t>Valstybės žinios</w:t>
      </w:r>
      <w:r w:rsidRPr="00531902">
        <w:t>. 2006, Nr. 7-254.</w:t>
      </w:r>
    </w:p>
  </w:footnote>
  <w:footnote w:id="414">
    <w:p w:rsidR="00E0371E" w:rsidRDefault="00E0371E" w:rsidP="00AE726B">
      <w:pPr>
        <w:pStyle w:val="Puslapioinaostekstas"/>
      </w:pPr>
      <w:r>
        <w:rPr>
          <w:rStyle w:val="Puslapioinaosnuoroda"/>
        </w:rPr>
        <w:footnoteRef/>
      </w:r>
      <w:r w:rsidRPr="00936930">
        <w:t xml:space="preserve">Lipczyńska, M. </w:t>
      </w:r>
      <w:r w:rsidRPr="00936930">
        <w:rPr>
          <w:i/>
        </w:rPr>
        <w:t>Oskarżenie prywatne</w:t>
      </w:r>
      <w:r w:rsidRPr="00936930">
        <w:t>. Warszawa, 1977,</w:t>
      </w:r>
      <w:r>
        <w:t xml:space="preserve"> </w:t>
      </w:r>
      <w:r w:rsidRPr="00936930">
        <w:t xml:space="preserve">p. 60-61. Waltoś, S. </w:t>
      </w:r>
      <w:r w:rsidRPr="00936930">
        <w:rPr>
          <w:i/>
        </w:rPr>
        <w:t>Postępowania szczególne w procesie karnym</w:t>
      </w:r>
      <w:r w:rsidRPr="00936930">
        <w:t>. Warszawa, 1973</w:t>
      </w:r>
      <w:r>
        <w:t>, p. 236</w:t>
      </w:r>
      <w:r w:rsidRPr="00936930">
        <w:t>.</w:t>
      </w:r>
    </w:p>
  </w:footnote>
  <w:footnote w:id="415">
    <w:p w:rsidR="00E0371E" w:rsidRDefault="00E0371E" w:rsidP="00AE726B">
      <w:pPr>
        <w:pStyle w:val="Puslapioinaostekstas"/>
      </w:pPr>
      <w:r>
        <w:rPr>
          <w:rStyle w:val="Puslapioinaosnuoroda"/>
        </w:rPr>
        <w:footnoteRef/>
      </w:r>
      <w:r>
        <w:t xml:space="preserve">Daszkiewicz, W. </w:t>
      </w:r>
      <w:r w:rsidRPr="00936930">
        <w:rPr>
          <w:i/>
        </w:rPr>
        <w:t>Powództwo cywilne w procesie karnym</w:t>
      </w:r>
      <w:r>
        <w:t>. Warszawa, 1976, p. 131.</w:t>
      </w:r>
    </w:p>
  </w:footnote>
  <w:footnote w:id="416">
    <w:p w:rsidR="00E0371E" w:rsidRDefault="00E0371E" w:rsidP="00AE726B">
      <w:pPr>
        <w:pStyle w:val="Puslapioinaostekstas"/>
        <w:jc w:val="both"/>
      </w:pPr>
      <w:r>
        <w:rPr>
          <w:rStyle w:val="Puslapioinaosnuoroda"/>
        </w:rPr>
        <w:footnoteRef/>
      </w:r>
      <w:r w:rsidRPr="00936930">
        <w:t xml:space="preserve">Gil, D. </w:t>
      </w:r>
      <w:r w:rsidRPr="00936930">
        <w:rPr>
          <w:i/>
        </w:rPr>
        <w:t>Postępowanie w sprawach z oskarżenia prywatnego w polskim procesie karnym</w:t>
      </w:r>
      <w:r w:rsidRPr="00936930">
        <w:t>.</w:t>
      </w:r>
      <w:r>
        <w:t xml:space="preserve"> </w:t>
      </w:r>
      <w:r w:rsidRPr="00936930">
        <w:t xml:space="preserve">Daktaro disertacija. Socialiniai </w:t>
      </w:r>
      <w:r>
        <w:t xml:space="preserve">mokslai (teisė). Warszawa, 2011, p. 150. </w:t>
      </w:r>
    </w:p>
  </w:footnote>
  <w:footnote w:id="417">
    <w:p w:rsidR="00E0371E" w:rsidRDefault="00E0371E">
      <w:pPr>
        <w:pStyle w:val="Puslapioinaostekstas"/>
      </w:pPr>
      <w:r>
        <w:rPr>
          <w:rStyle w:val="Puslapioinaosnuoroda"/>
        </w:rPr>
        <w:footnoteRef/>
      </w:r>
      <w:r w:rsidRPr="00936930">
        <w:rPr>
          <w:szCs w:val="24"/>
        </w:rPr>
        <w:t xml:space="preserve">Lipczyńska, M. </w:t>
      </w:r>
      <w:r w:rsidRPr="00936930">
        <w:rPr>
          <w:i/>
          <w:szCs w:val="24"/>
        </w:rPr>
        <w:t>Oskarżenie prywatne</w:t>
      </w:r>
      <w:r w:rsidRPr="00936930">
        <w:rPr>
          <w:szCs w:val="24"/>
        </w:rPr>
        <w:t>. Warszawa, 1977</w:t>
      </w:r>
      <w:r w:rsidRPr="00936930">
        <w:t>, p. 60-61.</w:t>
      </w:r>
      <w:r>
        <w:t xml:space="preserve"> </w:t>
      </w:r>
    </w:p>
  </w:footnote>
  <w:footnote w:id="418">
    <w:p w:rsidR="00E0371E" w:rsidRDefault="00E0371E" w:rsidP="00AE726B">
      <w:pPr>
        <w:pStyle w:val="Puslapioinaostekstas"/>
        <w:jc w:val="both"/>
      </w:pPr>
      <w:r>
        <w:rPr>
          <w:rStyle w:val="Puslapioinaosnuoroda"/>
        </w:rPr>
        <w:footnoteRef/>
      </w:r>
      <w:r w:rsidRPr="00936930">
        <w:t xml:space="preserve">Gil, D. </w:t>
      </w:r>
      <w:r w:rsidRPr="00936930">
        <w:rPr>
          <w:i/>
        </w:rPr>
        <w:t>Postępowanie w sprawach z oskarżenia prywatnego w polskim procesie karnym</w:t>
      </w:r>
      <w:r w:rsidRPr="00936930">
        <w:t>.</w:t>
      </w:r>
      <w:r>
        <w:t xml:space="preserve"> </w:t>
      </w:r>
      <w:r w:rsidRPr="00936930">
        <w:t xml:space="preserve">Daktaro disertacija. Socialiniai </w:t>
      </w:r>
      <w:r>
        <w:t>mokslai (teisė). Warszawa, 2011, p. 149-154.</w:t>
      </w:r>
    </w:p>
  </w:footnote>
  <w:footnote w:id="419">
    <w:p w:rsidR="00E0371E" w:rsidRDefault="00E0371E" w:rsidP="00AC1DB2">
      <w:pPr>
        <w:pStyle w:val="Puslapioinaostekstas"/>
      </w:pPr>
      <w:r>
        <w:rPr>
          <w:rStyle w:val="Puslapioinaosnuoroda"/>
        </w:rPr>
        <w:footnoteRef/>
      </w:r>
      <w:r>
        <w:t>Procedure Act</w:t>
      </w:r>
      <w:r w:rsidRPr="00225A19">
        <w:t xml:space="preserve"> of Denmark [interaktyvus]. [žiūrėta 2012-05-10]. </w:t>
      </w:r>
      <w:r>
        <w:t>&lt;</w:t>
      </w:r>
      <w:r w:rsidRPr="00D37E47">
        <w:t>https://www.retsinformation.dk/Forms/R0710.aspx?id=121708</w:t>
      </w:r>
      <w:r>
        <w:t>&gt;.</w:t>
      </w:r>
    </w:p>
  </w:footnote>
  <w:footnote w:id="420">
    <w:p w:rsidR="00E0371E" w:rsidRPr="00B77CA7" w:rsidRDefault="00E0371E" w:rsidP="00B77CA7">
      <w:pPr>
        <w:jc w:val="both"/>
        <w:rPr>
          <w:sz w:val="20"/>
          <w:szCs w:val="20"/>
        </w:rPr>
      </w:pPr>
      <w:r w:rsidRPr="00B77CA7">
        <w:rPr>
          <w:rStyle w:val="Puslapioinaosnuoroda"/>
          <w:sz w:val="20"/>
          <w:szCs w:val="20"/>
        </w:rPr>
        <w:footnoteRef/>
      </w:r>
      <w:r>
        <w:rPr>
          <w:sz w:val="20"/>
          <w:szCs w:val="20"/>
        </w:rPr>
        <w:t>Strafprozeβordnung</w:t>
      </w:r>
      <w:r w:rsidRPr="00B77CA7">
        <w:rPr>
          <w:sz w:val="20"/>
          <w:szCs w:val="20"/>
        </w:rPr>
        <w:t xml:space="preserve"> [interaktyvus]</w:t>
      </w:r>
      <w:r>
        <w:rPr>
          <w:sz w:val="20"/>
          <w:szCs w:val="20"/>
        </w:rPr>
        <w:t>.</w:t>
      </w:r>
      <w:r w:rsidRPr="00B77CA7">
        <w:rPr>
          <w:sz w:val="20"/>
          <w:szCs w:val="20"/>
        </w:rPr>
        <w:t xml:space="preserve"> [žiūrėta 2010-07-28] &lt;</w:t>
      </w:r>
      <w:hyperlink r:id="rId20" w:history="1">
        <w:r w:rsidRPr="00B77CA7">
          <w:rPr>
            <w:color w:val="0000FF"/>
            <w:sz w:val="20"/>
            <w:szCs w:val="20"/>
            <w:u w:val="single"/>
          </w:rPr>
          <w:t>http://www.gesetze-im-internet.de/stpo/index.html</w:t>
        </w:r>
      </w:hyperlink>
      <w:r w:rsidRPr="00B77CA7">
        <w:rPr>
          <w:color w:val="0000FF"/>
          <w:sz w:val="20"/>
          <w:szCs w:val="20"/>
          <w:u w:val="single"/>
        </w:rPr>
        <w:t>&gt;.</w:t>
      </w:r>
    </w:p>
  </w:footnote>
  <w:footnote w:id="421">
    <w:p w:rsidR="00E0371E" w:rsidRDefault="00E0371E" w:rsidP="00CF3197">
      <w:pPr>
        <w:pStyle w:val="Puslapioinaostekstas"/>
      </w:pPr>
      <w:r>
        <w:rPr>
          <w:rStyle w:val="Puslapioinaosnuoroda"/>
        </w:rPr>
        <w:footnoteRef/>
      </w:r>
      <w:r w:rsidRPr="002531B6">
        <w:t>Strafprozeβordnung [interaktyvus]. [žiūrėta 2013-12-05]. &lt;file:///C:/Users/User/Downloads/Austria_CPC_as_of_%2004.11.2013_de.pdf&gt;.</w:t>
      </w:r>
    </w:p>
  </w:footnote>
  <w:footnote w:id="422">
    <w:p w:rsidR="00E0371E" w:rsidRDefault="00E0371E" w:rsidP="00D37E47">
      <w:pPr>
        <w:pStyle w:val="Puslapioinaostekstas"/>
        <w:jc w:val="both"/>
      </w:pPr>
      <w:r>
        <w:rPr>
          <w:rStyle w:val="Puslapioinaosnuoroda"/>
        </w:rPr>
        <w:footnoteRef/>
      </w:r>
      <w:r w:rsidRPr="00225A19">
        <w:t>Code of Criminal Procedure of the Republic of Poland [interak</w:t>
      </w:r>
      <w:r>
        <w:t>tyvus]. [žiūrėta 2013-06-05]. &lt;</w:t>
      </w:r>
      <w:r w:rsidRPr="00225A19">
        <w:t>file:///C:/Users/User/Downloads/Polish%20CPC%201997_am%202003_en%20(2).pdf&gt;.</w:t>
      </w:r>
    </w:p>
  </w:footnote>
  <w:footnote w:id="423">
    <w:p w:rsidR="00E0371E" w:rsidRDefault="00E0371E" w:rsidP="00AE726B">
      <w:pPr>
        <w:pStyle w:val="Puslapioinaostekstas"/>
        <w:jc w:val="both"/>
      </w:pPr>
      <w:r>
        <w:rPr>
          <w:rStyle w:val="Puslapioinaosnuoroda"/>
        </w:rPr>
        <w:footnoteRef/>
      </w:r>
      <w:r>
        <w:t xml:space="preserve">Gil. D. </w:t>
      </w:r>
      <w:r w:rsidRPr="002D0568">
        <w:rPr>
          <w:i/>
        </w:rPr>
        <w:t>Postępowanie w sprawach z oskarżenia prywatnego w polskim procesie karnym</w:t>
      </w:r>
      <w:r>
        <w:t>. Warszawa, 2011, p. 112-113.</w:t>
      </w:r>
    </w:p>
  </w:footnote>
  <w:footnote w:id="424">
    <w:p w:rsidR="00E0371E" w:rsidRPr="00D85F07" w:rsidRDefault="00E0371E" w:rsidP="00AC1DB2">
      <w:pPr>
        <w:pStyle w:val="Puslapioinaostekstas"/>
        <w:jc w:val="both"/>
      </w:pPr>
      <w:r>
        <w:rPr>
          <w:rStyle w:val="Puslapioinaosnuoroda"/>
        </w:rPr>
        <w:footnoteRef/>
      </w:r>
      <w:r>
        <w:t xml:space="preserve">Koewius, R. </w:t>
      </w:r>
      <w:r w:rsidRPr="0017181D">
        <w:rPr>
          <w:i/>
        </w:rPr>
        <w:t>Die Rechtswirklichkeit der Privatklage</w:t>
      </w:r>
      <w:r>
        <w:t xml:space="preserve">. Berlin: Duncker &amp; Humblot, 1974, p. 146. </w:t>
      </w:r>
    </w:p>
  </w:footnote>
  <w:footnote w:id="425">
    <w:p w:rsidR="00E0371E" w:rsidRDefault="00E0371E" w:rsidP="00274D82">
      <w:pPr>
        <w:pStyle w:val="Puslapioinaostekstas"/>
        <w:jc w:val="both"/>
      </w:pPr>
      <w:r>
        <w:rPr>
          <w:rStyle w:val="Puslapioinaosnuoroda"/>
        </w:rPr>
        <w:footnoteRef/>
      </w:r>
      <w:r w:rsidRPr="00531902">
        <w:t xml:space="preserve">Lietuvos Respublikos Konstitucinio Teismo </w:t>
      </w:r>
      <w:r>
        <w:t>2006 m. sausio 16 d. nutarimas</w:t>
      </w:r>
      <w:r w:rsidRPr="00531902">
        <w:t xml:space="preserve">. </w:t>
      </w:r>
      <w:r w:rsidRPr="000F5EB7">
        <w:rPr>
          <w:i/>
        </w:rPr>
        <w:t>Valstybės žinios</w:t>
      </w:r>
      <w:r w:rsidRPr="00531902">
        <w:t>. 2006, Nr. 7-254.</w:t>
      </w:r>
    </w:p>
  </w:footnote>
  <w:footnote w:id="426">
    <w:p w:rsidR="00DD53AD" w:rsidRPr="00406C21" w:rsidRDefault="00DD53AD" w:rsidP="00DD53AD">
      <w:pPr>
        <w:pStyle w:val="Puslapioinaostekstas"/>
        <w:jc w:val="both"/>
      </w:pPr>
      <w:r>
        <w:rPr>
          <w:rStyle w:val="Puslapioinaosnuoroda"/>
        </w:rPr>
        <w:footnoteRef/>
      </w:r>
      <w:r>
        <w:rPr>
          <w:iCs/>
        </w:rPr>
        <w:t>LAT</w:t>
      </w:r>
      <w:r w:rsidRPr="00AB1E4A">
        <w:rPr>
          <w:iCs/>
        </w:rPr>
        <w:t xml:space="preserve"> nuomone, </w:t>
      </w:r>
      <w:r w:rsidRPr="00AB1E4A">
        <w:t>B</w:t>
      </w:r>
      <w:r>
        <w:t xml:space="preserve">PK 407 </w:t>
      </w:r>
      <w:r w:rsidRPr="00AB1E4A">
        <w:t>straipsnyje numatyta veika turi visuomeninę reikšmę ir tais atvejais, kai jos tyrimas glaudžiai susijęs su kitos šiame straipsnyje nenumatytos nusikalstamos veikos tyrimu: ,,</w:t>
      </w:r>
      <w:r w:rsidRPr="00AB1E4A">
        <w:rPr>
          <w:i/>
        </w:rPr>
        <w:t>Smurtiniai veiksmai prieš abu nukentėjusiuosius buvo naudojami to paties asmens, tuo pačiu laiku ir toje pačioje vietoje, taigi šių nusikalstamų veikų tyrimas buvo glaudžiai susijęs. Todėl galima teigti, kad nusikalstama veika prieš A. V. J. įgavo visuomeninę reikšmę, nes nuo šios veikos tyrimo rezultatų tiesiogiai priklausė nusikalstamos veikos prieš R. M. atskleidimas ir įrodinėjimas. Procesų dėl to paties asmens, toje pačioje vietoje ir tuo pačiu laiku padarytų nusikalstamų veikų prieš skirtingus nukentėjusiuosius vykdymas kartu toje pačioje byloje šiuo atveju visiškai atitiko viešąjį interesą [...].“</w:t>
      </w:r>
      <w:r w:rsidRPr="00406C21">
        <w:rPr>
          <w:bCs/>
        </w:rPr>
        <w:t xml:space="preserve">Lietuvos Aukščiausiojo Teismo 2008 m. rugsėjo mėn. 30 d. nutartis </w:t>
      </w:r>
      <w:r>
        <w:rPr>
          <w:bCs/>
        </w:rPr>
        <w:t xml:space="preserve">baudžiamojoje byloje </w:t>
      </w:r>
      <w:r w:rsidRPr="00406C21">
        <w:rPr>
          <w:bCs/>
        </w:rPr>
        <w:t>Nr. 2K-375/2008</w:t>
      </w:r>
      <w:r>
        <w:rPr>
          <w:bCs/>
        </w:rPr>
        <w:t xml:space="preserve">. </w:t>
      </w:r>
      <w:r w:rsidRPr="00406C21">
        <w:rPr>
          <w:bCs/>
        </w:rPr>
        <w:t>Lietuvos Aukščiausiojo Teismo 20</w:t>
      </w:r>
      <w:r>
        <w:rPr>
          <w:bCs/>
        </w:rPr>
        <w:t>14</w:t>
      </w:r>
      <w:r w:rsidRPr="00406C21">
        <w:rPr>
          <w:bCs/>
        </w:rPr>
        <w:t xml:space="preserve"> m. </w:t>
      </w:r>
      <w:r>
        <w:rPr>
          <w:bCs/>
        </w:rPr>
        <w:t>gegužės</w:t>
      </w:r>
      <w:r w:rsidRPr="00406C21">
        <w:rPr>
          <w:bCs/>
        </w:rPr>
        <w:t xml:space="preserve"> mėn. </w:t>
      </w:r>
      <w:r>
        <w:rPr>
          <w:bCs/>
        </w:rPr>
        <w:t>13</w:t>
      </w:r>
      <w:r w:rsidRPr="00406C21">
        <w:rPr>
          <w:bCs/>
        </w:rPr>
        <w:t xml:space="preserve"> d. nutartis </w:t>
      </w:r>
      <w:r>
        <w:rPr>
          <w:bCs/>
        </w:rPr>
        <w:t xml:space="preserve">baudžiamojoje byloje </w:t>
      </w:r>
      <w:r w:rsidRPr="00406C21">
        <w:rPr>
          <w:bCs/>
        </w:rPr>
        <w:t>Nr. 2K-</w:t>
      </w:r>
      <w:r>
        <w:rPr>
          <w:bCs/>
        </w:rPr>
        <w:t>258</w:t>
      </w:r>
      <w:r w:rsidRPr="00406C21">
        <w:rPr>
          <w:bCs/>
        </w:rPr>
        <w:t>/20</w:t>
      </w:r>
      <w:r>
        <w:rPr>
          <w:bCs/>
        </w:rPr>
        <w:t xml:space="preserve">14. </w:t>
      </w:r>
    </w:p>
  </w:footnote>
  <w:footnote w:id="427">
    <w:p w:rsidR="00E0371E" w:rsidRDefault="00E0371E" w:rsidP="00274D82">
      <w:pPr>
        <w:pStyle w:val="Puslapioinaostekstas"/>
        <w:jc w:val="both"/>
      </w:pPr>
      <w:r>
        <w:rPr>
          <w:rStyle w:val="Puslapioinaosnuoroda"/>
        </w:rPr>
        <w:footnoteRef/>
      </w:r>
      <w:r w:rsidRPr="001D4498">
        <w:t xml:space="preserve">Lietuvos Aukščiausiojo Teismo 2010 m. balandžio mėn. 13 d. nutartis </w:t>
      </w:r>
      <w:r>
        <w:t xml:space="preserve">baudžiamojoje byloje </w:t>
      </w:r>
      <w:r w:rsidRPr="001D4498">
        <w:t>Nr. 2K-146/2010</w:t>
      </w:r>
      <w:r>
        <w:t xml:space="preserve">, </w:t>
      </w:r>
      <w:r w:rsidRPr="004E1CBB">
        <w:t xml:space="preserve">Lietuvos Aukščiausiojo Teismo 2010 m. vasario mėn. 26 d. nutartis </w:t>
      </w:r>
      <w:r>
        <w:t xml:space="preserve">baudžiamojoje byloje </w:t>
      </w:r>
      <w:r w:rsidRPr="004E1CBB">
        <w:t>Nr. 2K-93/2010</w:t>
      </w:r>
      <w:r>
        <w:t>.</w:t>
      </w:r>
    </w:p>
  </w:footnote>
  <w:footnote w:id="428">
    <w:p w:rsidR="00E0371E" w:rsidRPr="00FB3D58" w:rsidRDefault="00E0371E" w:rsidP="00FB3D58">
      <w:pPr>
        <w:pStyle w:val="Puslapioinaostekstas"/>
        <w:jc w:val="both"/>
      </w:pPr>
      <w:r>
        <w:rPr>
          <w:rStyle w:val="Puslapioinaosnuoroda"/>
        </w:rPr>
        <w:footnoteRef/>
      </w:r>
      <w:r>
        <w:t xml:space="preserve"> </w:t>
      </w:r>
      <w:r w:rsidRPr="00FB3D58">
        <w:rPr>
          <w:i/>
        </w:rPr>
        <w:t>J. Laucius v. Uogos</w:t>
      </w:r>
      <w:r>
        <w:t xml:space="preserve"> byloje nebuvo pripažinta, kad nusikalstama veika turi visuomeninę reikšmę, nors ši byla buvo plačiai nušviesta žiniasklaidoje. Tiesa, derėtų paminėti ir tai, kad šioje byloje privatus kaltintojas buvo prokuroras, taigi valstybinis kaltinimas galėjo sukelti daug spekuliacijų dėl prokuratūros darbuotojų protegavimo. </w:t>
      </w:r>
      <w:r w:rsidRPr="00FB3D58">
        <w:rPr>
          <w:i/>
        </w:rPr>
        <w:tab/>
      </w:r>
      <w:r w:rsidRPr="00FB3D58">
        <w:t xml:space="preserve">Įsižeidė prokuroras – sėdėk! </w:t>
      </w:r>
      <w:r w:rsidRPr="00FB3D58">
        <w:rPr>
          <w:i/>
        </w:rPr>
        <w:t>Respublika</w:t>
      </w:r>
      <w:r w:rsidRPr="00FB3D58">
        <w:t xml:space="preserve"> [interaktyvus]. 2008 [žiūrėta 2010-05-12]</w:t>
      </w:r>
      <w:r>
        <w:t>.</w:t>
      </w:r>
      <w:r w:rsidRPr="00FB3D58">
        <w:t xml:space="preserve"> &lt;http://www.respublika.lt/lt/naujienos/pramogos/zvaigzdes_ir_zmones/isizeide_prokur</w:t>
      </w:r>
      <w:r>
        <w:t xml:space="preserve">oras__sedek,print.1&gt;. </w:t>
      </w:r>
      <w:r w:rsidRPr="00FB3D58">
        <w:t xml:space="preserve">Prokuroras Laucius: atleisiu tik vienam iš BTV laidos kūrėjų. </w:t>
      </w:r>
      <w:r w:rsidRPr="00FB3D58">
        <w:rPr>
          <w:i/>
        </w:rPr>
        <w:t>Alfa</w:t>
      </w:r>
      <w:r w:rsidRPr="00FB3D58">
        <w:t xml:space="preserve"> [interaktyvus]</w:t>
      </w:r>
      <w:r>
        <w:t>.</w:t>
      </w:r>
      <w:r w:rsidRPr="00FB3D58">
        <w:t xml:space="preserve"> 2008 [žiūrėta 2010-05-12]</w:t>
      </w:r>
      <w:r>
        <w:t>.</w:t>
      </w:r>
      <w:r w:rsidRPr="00FB3D58">
        <w:t xml:space="preserve"> </w:t>
      </w:r>
      <w:r>
        <w:t>&lt;</w:t>
      </w:r>
      <w:hyperlink r:id="rId21" w:history="1">
        <w:r w:rsidRPr="00760037">
          <w:rPr>
            <w:rStyle w:val="Hipersaitas"/>
          </w:rPr>
          <w:t>http://www.alfa.lt/straipsnis/10236056/?Prokuroras.Laucius..atleisiu.tik.vienam.is.BTV.laidos.kureju=2008-11-11_16-32</w:t>
        </w:r>
      </w:hyperlink>
      <w:r>
        <w:rPr>
          <w:rStyle w:val="Hipersaitas"/>
        </w:rPr>
        <w:t>&gt;</w:t>
      </w:r>
      <w:r>
        <w:t xml:space="preserve">. </w:t>
      </w:r>
      <w:r w:rsidRPr="00FB3D58">
        <w:t xml:space="preserve">Sinkevičius, D. BTV „uogos“ prašo į ginčą su prokuroru įsikišti kalbos institutą. </w:t>
      </w:r>
      <w:r w:rsidRPr="00FB3D58">
        <w:rPr>
          <w:i/>
        </w:rPr>
        <w:t>Delfi</w:t>
      </w:r>
      <w:r w:rsidRPr="00FB3D58">
        <w:t xml:space="preserve"> [interaktyvus]</w:t>
      </w:r>
      <w:r>
        <w:t>.</w:t>
      </w:r>
      <w:r w:rsidRPr="00FB3D58">
        <w:t xml:space="preserve"> 2009 [žiūrėta 2010-05-12]</w:t>
      </w:r>
      <w:r>
        <w:t>.</w:t>
      </w:r>
      <w:r w:rsidRPr="00FB3D58">
        <w:t xml:space="preserve"> &lt;http://verslas.delfi.lt/Media/btv-uogos-praso-i-ginca-su-prokuroru-isikisti-kalbos-instituta.d?id=20864845&gt;.</w:t>
      </w:r>
    </w:p>
  </w:footnote>
  <w:footnote w:id="429">
    <w:p w:rsidR="00E0371E" w:rsidRDefault="00E0371E" w:rsidP="00B23393">
      <w:pPr>
        <w:pStyle w:val="Puslapioinaostekstas"/>
        <w:jc w:val="both"/>
      </w:pPr>
      <w:r>
        <w:rPr>
          <w:rStyle w:val="Puslapioinaosnuoroda"/>
        </w:rPr>
        <w:footnoteRef/>
      </w:r>
      <w:r w:rsidRPr="00406C21">
        <w:t xml:space="preserve">Lietuvos Aukščiausiojo Teismo 2009 m. kovo mėn. 10 d. nutartis </w:t>
      </w:r>
      <w:r>
        <w:t xml:space="preserve">baudžiamojoje byloje </w:t>
      </w:r>
      <w:r w:rsidRPr="00406C21">
        <w:t>Nr. 2K-107/2009</w:t>
      </w:r>
      <w:r>
        <w:t>.</w:t>
      </w:r>
    </w:p>
  </w:footnote>
  <w:footnote w:id="430">
    <w:p w:rsidR="00E0371E" w:rsidRDefault="00E0371E" w:rsidP="000213A2">
      <w:pPr>
        <w:pStyle w:val="Puslapioinaostekstas"/>
        <w:jc w:val="both"/>
      </w:pPr>
      <w:r>
        <w:rPr>
          <w:rStyle w:val="Puslapioinaosnuoroda"/>
        </w:rPr>
        <w:footnoteRef/>
      </w:r>
      <w:r>
        <w:t>R</w:t>
      </w:r>
      <w:r w:rsidRPr="00744CAA">
        <w:t>ekomendacijų dėl ikiteisminio tyrimo pradžios ir jos registravimo tvarkos patvirtinimo</w:t>
      </w:r>
      <w:r>
        <w:t xml:space="preserve"> 34 p. </w:t>
      </w:r>
      <w:r w:rsidRPr="00744CAA">
        <w:t xml:space="preserve">Lietuvos Respublikos generalinio prokuroro 2008 m. rugpjūčio 11 d. įsakymas Nr. I-110 ,,Dėl rekomendacijų dėl ikiteisminio tyrimo pradžios ir jos registravimo tvarkos patvirtinimo“. </w:t>
      </w:r>
      <w:r w:rsidRPr="002D6628">
        <w:rPr>
          <w:i/>
        </w:rPr>
        <w:t>Valstybės žinios</w:t>
      </w:r>
      <w:r w:rsidRPr="00744CAA">
        <w:t>.  2008, Nr. 94-3713.</w:t>
      </w:r>
    </w:p>
  </w:footnote>
  <w:footnote w:id="431">
    <w:p w:rsidR="00E0371E" w:rsidRDefault="00E0371E" w:rsidP="00AE3514">
      <w:pPr>
        <w:pStyle w:val="Puslapioinaostekstas"/>
        <w:jc w:val="both"/>
      </w:pPr>
      <w:r>
        <w:rPr>
          <w:rStyle w:val="Puslapioinaosnuoroda"/>
        </w:rPr>
        <w:footnoteRef/>
      </w:r>
      <w:r w:rsidRPr="00AE3514">
        <w:t xml:space="preserve">Lietuvos Aukščiausiojo Teismo 2013 m. balandžio 2 d. nutartis </w:t>
      </w:r>
      <w:r>
        <w:t xml:space="preserve">baudžiamojoje byloje </w:t>
      </w:r>
      <w:r w:rsidRPr="00AE3514">
        <w:t>Nr. 2K-171/2013</w:t>
      </w:r>
      <w:r>
        <w:t>.</w:t>
      </w:r>
    </w:p>
  </w:footnote>
  <w:footnote w:id="432">
    <w:p w:rsidR="00E0371E" w:rsidRPr="008F090A" w:rsidRDefault="00E0371E" w:rsidP="00274D82">
      <w:pPr>
        <w:pStyle w:val="Puslapioinaostekstas"/>
        <w:jc w:val="both"/>
      </w:pPr>
      <w:r>
        <w:rPr>
          <w:rStyle w:val="Puslapioinaosnuoroda"/>
        </w:rPr>
        <w:footnoteRef/>
      </w:r>
      <w:r>
        <w:t xml:space="preserve">Goda, G. Oficialumo principas ir jo išimtys Lietuvos baudžiamajame procese. In </w:t>
      </w:r>
      <w:r w:rsidRPr="00CB4AFE">
        <w:rPr>
          <w:i/>
        </w:rPr>
        <w:t>Lietuvos Respublikos baudžiamajam kodeksui – 10 metų</w:t>
      </w:r>
      <w:r>
        <w:t>. Vilnius: VĮ Registrų centras, 2011, p. 381.</w:t>
      </w:r>
    </w:p>
  </w:footnote>
  <w:footnote w:id="433">
    <w:p w:rsidR="00E0371E" w:rsidRDefault="00E0371E" w:rsidP="00274D82">
      <w:pPr>
        <w:pStyle w:val="Puslapioinaostekstas"/>
        <w:jc w:val="both"/>
      </w:pPr>
      <w:r>
        <w:rPr>
          <w:rStyle w:val="Puslapioinaosnuoroda"/>
        </w:rPr>
        <w:footnoteRef/>
      </w:r>
      <w:r w:rsidRPr="007A2173">
        <w:t>Lietuvos Respublikos Konstitucinio Teismo 2</w:t>
      </w:r>
      <w:r>
        <w:t xml:space="preserve">011 m. balandžio 7 d. nutarimas. </w:t>
      </w:r>
      <w:r w:rsidRPr="000F5EB7">
        <w:rPr>
          <w:i/>
        </w:rPr>
        <w:t>Valstybės žinios</w:t>
      </w:r>
      <w:r w:rsidRPr="000F5EB7">
        <w:t>. 2011, Nr. 42-1985.</w:t>
      </w:r>
      <w:r>
        <w:t xml:space="preserve"> Vilniaus apygardos teismo 2008 m. lapkričio 26 d. nutartis baudžiamojoje byloje Nr. 1S-945-628/2008. </w:t>
      </w:r>
    </w:p>
  </w:footnote>
  <w:footnote w:id="434">
    <w:p w:rsidR="00E0371E" w:rsidRDefault="00E0371E" w:rsidP="00980051">
      <w:pPr>
        <w:pStyle w:val="Puslapioinaostekstas"/>
        <w:jc w:val="both"/>
      </w:pPr>
      <w:r>
        <w:rPr>
          <w:rStyle w:val="Puslapioinaosnuoroda"/>
        </w:rPr>
        <w:footnoteRef/>
      </w:r>
      <w:r>
        <w:t xml:space="preserve"> P</w:t>
      </w:r>
      <w:r w:rsidRPr="00980051">
        <w:t xml:space="preserve">agal Konstituciją, </w:t>
      </w:r>
      <w:r w:rsidRPr="00D8011B">
        <w:rPr>
          <w:i/>
        </w:rPr>
        <w:t>inter alia</w:t>
      </w:r>
      <w:r w:rsidRPr="00980051">
        <w:t xml:space="preserve"> jos 109 straipsnio 1 dalį, 118 straipsnio (2003 m. kovo 20 d. redakcija) 1 dalį, įstatymų leidėjas, reguliuodamas baudžiamąjį procesą, negali nustatyti tokio teisinio reguliavimo, pagal kurį teismas galėtų organizuoti ikiteisminį tyrimą ir jam vadovauti. Lietuvos Respublikos Konstitucinio Teismo 2011 m. balandžio 7 d. nutarimas</w:t>
      </w:r>
      <w:r>
        <w:t xml:space="preserve">. </w:t>
      </w:r>
      <w:r w:rsidRPr="000F5EB7">
        <w:rPr>
          <w:i/>
        </w:rPr>
        <w:t>Valstybės žinios</w:t>
      </w:r>
      <w:r w:rsidRPr="000F5EB7">
        <w:t>. 2011, Nr. 42-1985.</w:t>
      </w:r>
    </w:p>
  </w:footnote>
  <w:footnote w:id="435">
    <w:p w:rsidR="00E0371E" w:rsidRDefault="00E0371E" w:rsidP="00274D82">
      <w:pPr>
        <w:pStyle w:val="Puslapioinaostekstas"/>
        <w:jc w:val="both"/>
      </w:pPr>
      <w:r>
        <w:rPr>
          <w:rStyle w:val="Puslapioinaosnuoroda"/>
        </w:rPr>
        <w:footnoteRef/>
      </w:r>
      <w:r w:rsidRPr="00531902">
        <w:t>Lietuvos Respublikos Konstitucinio Teismo</w:t>
      </w:r>
      <w:r>
        <w:t xml:space="preserve"> 2006 m. sausio 16 d. nutarimas</w:t>
      </w:r>
      <w:r w:rsidRPr="00531902">
        <w:t xml:space="preserve">. </w:t>
      </w:r>
      <w:r w:rsidRPr="000F5EB7">
        <w:rPr>
          <w:i/>
        </w:rPr>
        <w:t>Valstybės žinios</w:t>
      </w:r>
      <w:r>
        <w:t>. 2006, Nr. 7-254.</w:t>
      </w:r>
    </w:p>
  </w:footnote>
  <w:footnote w:id="436">
    <w:p w:rsidR="00E0371E" w:rsidRPr="00270E75" w:rsidRDefault="00E0371E" w:rsidP="00274D82">
      <w:pPr>
        <w:pStyle w:val="Puslapioinaostekstas"/>
        <w:jc w:val="both"/>
      </w:pPr>
      <w:r w:rsidRPr="00AD782A">
        <w:rPr>
          <w:rStyle w:val="Puslapioinaosnuoroda"/>
        </w:rPr>
        <w:footnoteRef/>
      </w:r>
      <w:r w:rsidRPr="00F12FF2">
        <w:t>Lietuvos Respublikos Konstitucinio Teismo 2006 m. birželio 15 d. nutarimas</w:t>
      </w:r>
      <w:r>
        <w:t xml:space="preserve">. </w:t>
      </w:r>
      <w:r w:rsidRPr="000F5EB7">
        <w:rPr>
          <w:i/>
        </w:rPr>
        <w:t>Valstybės žinios</w:t>
      </w:r>
      <w:r w:rsidRPr="000F5EB7">
        <w:t>. 2006, Nr. 68-2514.</w:t>
      </w:r>
    </w:p>
  </w:footnote>
  <w:footnote w:id="437">
    <w:p w:rsidR="00E0371E" w:rsidRDefault="00E0371E" w:rsidP="00370E38">
      <w:pPr>
        <w:pStyle w:val="Puslapioinaostekstas"/>
        <w:jc w:val="both"/>
      </w:pPr>
      <w:r>
        <w:rPr>
          <w:rStyle w:val="Puslapioinaosnuoroda"/>
        </w:rPr>
        <w:footnoteRef/>
      </w:r>
      <w:r w:rsidRPr="00370E38">
        <w:t>Lietuvos Respublikos Konstitucinio Teismo 2011 m. vasario 14 d. nutarimas</w:t>
      </w:r>
      <w:r>
        <w:t>.</w:t>
      </w:r>
      <w:r w:rsidRPr="00993334">
        <w:rPr>
          <w:i/>
        </w:rPr>
        <w:t>Valstybės žinios</w:t>
      </w:r>
      <w:r w:rsidRPr="00993334">
        <w:t>. 2011, Nr. 20-967.</w:t>
      </w:r>
      <w:r>
        <w:t xml:space="preserve"> Lietuvos Respublikos </w:t>
      </w:r>
      <w:r w:rsidRPr="00370E38">
        <w:t>Konstitucinio Teismo 1998 m. lapkričio 11 d.</w:t>
      </w:r>
      <w:r>
        <w:t xml:space="preserve"> nutarimas. </w:t>
      </w:r>
      <w:r w:rsidRPr="004C7782">
        <w:rPr>
          <w:i/>
        </w:rPr>
        <w:t>Valstybės žinios</w:t>
      </w:r>
      <w:r w:rsidRPr="00993334">
        <w:t>. 1998, Nr. 100-2791.</w:t>
      </w:r>
      <w:r>
        <w:t xml:space="preserve"> Lietuvos Respublikos </w:t>
      </w:r>
      <w:r w:rsidRPr="00370E38">
        <w:t xml:space="preserve">Konstitucinio Teismo </w:t>
      </w:r>
      <w:r>
        <w:t xml:space="preserve">2006 m. sausio 16 d. </w:t>
      </w:r>
      <w:r w:rsidRPr="00370E38">
        <w:t>nutarima</w:t>
      </w:r>
      <w:r>
        <w:t xml:space="preserve">s. </w:t>
      </w:r>
      <w:r w:rsidRPr="00993334">
        <w:rPr>
          <w:i/>
        </w:rPr>
        <w:t>Valstybės žinios</w:t>
      </w:r>
      <w:r>
        <w:t xml:space="preserve">. 2006, Nr. 7-254.Lietuvos Respublikos </w:t>
      </w:r>
      <w:r w:rsidRPr="00370E38">
        <w:t>Konstitucinio Teismo 2010 m. balandžio 20 d. sprendimas</w:t>
      </w:r>
      <w:r>
        <w:t xml:space="preserve">. </w:t>
      </w:r>
      <w:r w:rsidRPr="00993334">
        <w:rPr>
          <w:i/>
        </w:rPr>
        <w:t>Valstybės žinios</w:t>
      </w:r>
      <w:r w:rsidRPr="00993334">
        <w:t>. 2010, Nr. 46-2219.</w:t>
      </w:r>
      <w:r>
        <w:t xml:space="preserve"> Lietuvos Respublikos </w:t>
      </w:r>
      <w:r w:rsidRPr="00370E38">
        <w:t>Konstitucinio Teismo 2010 m. birželio 29 d. nutarimas</w:t>
      </w:r>
      <w:r>
        <w:t xml:space="preserve">. </w:t>
      </w:r>
      <w:r w:rsidRPr="00993334">
        <w:rPr>
          <w:i/>
        </w:rPr>
        <w:t>Valstybės žinios</w:t>
      </w:r>
      <w:r w:rsidRPr="00993334">
        <w:t>. 2010, Nr. 134-6860.</w:t>
      </w:r>
    </w:p>
  </w:footnote>
  <w:footnote w:id="438">
    <w:p w:rsidR="00E0371E" w:rsidRPr="00DF7890" w:rsidRDefault="00E0371E" w:rsidP="00C829C0">
      <w:pPr>
        <w:jc w:val="both"/>
      </w:pPr>
      <w:r w:rsidRPr="00DF7890">
        <w:rPr>
          <w:rStyle w:val="Puslapioinaosnuoroda"/>
          <w:sz w:val="20"/>
          <w:szCs w:val="20"/>
        </w:rPr>
        <w:footnoteRef/>
      </w:r>
      <w:r>
        <w:rPr>
          <w:sz w:val="20"/>
          <w:szCs w:val="20"/>
        </w:rPr>
        <w:t xml:space="preserve"> </w:t>
      </w:r>
      <w:r w:rsidRPr="00DF7890">
        <w:rPr>
          <w:sz w:val="20"/>
          <w:szCs w:val="20"/>
        </w:rPr>
        <w:t xml:space="preserve">Europos </w:t>
      </w:r>
      <w:r>
        <w:rPr>
          <w:sz w:val="20"/>
          <w:szCs w:val="20"/>
        </w:rPr>
        <w:t>Komisij</w:t>
      </w:r>
      <w:r w:rsidRPr="00DF7890">
        <w:rPr>
          <w:sz w:val="20"/>
          <w:szCs w:val="20"/>
        </w:rPr>
        <w:t xml:space="preserve">os </w:t>
      </w:r>
      <w:r>
        <w:rPr>
          <w:sz w:val="20"/>
          <w:szCs w:val="20"/>
        </w:rPr>
        <w:t xml:space="preserve">2013 m. lapkričio 27 d. </w:t>
      </w:r>
      <w:r w:rsidRPr="00DF7890">
        <w:rPr>
          <w:sz w:val="20"/>
          <w:szCs w:val="20"/>
        </w:rPr>
        <w:t>rekomendacijoje</w:t>
      </w:r>
      <w:r>
        <w:rPr>
          <w:sz w:val="20"/>
          <w:szCs w:val="20"/>
        </w:rPr>
        <w:t xml:space="preserve"> „p</w:t>
      </w:r>
      <w:r w:rsidRPr="00DF7890">
        <w:rPr>
          <w:sz w:val="20"/>
          <w:szCs w:val="20"/>
        </w:rPr>
        <w:t>ažeidžiam</w:t>
      </w:r>
      <w:r>
        <w:rPr>
          <w:sz w:val="20"/>
          <w:szCs w:val="20"/>
        </w:rPr>
        <w:t xml:space="preserve">ais asmenimis“ (angl. </w:t>
      </w:r>
      <w:r w:rsidRPr="001C5162">
        <w:rPr>
          <w:i/>
          <w:sz w:val="20"/>
          <w:szCs w:val="20"/>
        </w:rPr>
        <w:t>vulnerable persons</w:t>
      </w:r>
      <w:r>
        <w:rPr>
          <w:sz w:val="20"/>
          <w:szCs w:val="20"/>
        </w:rPr>
        <w:t>) laikomi asmenys, kurie negeba suprasti ir veiksmingai dalyvauti baudžiamajame procese dėl amžiaus, fizinės ar psichinės būklės. Nors rekomendacijoje numatytos procesinės apsaugos priemonės įtariamiesiems ir kaltinamiesiems, o šiame tyrime analizuojama nukentėjusiųjų teisės į teismą įgyvendinimo galimybės, sąvoka „pažeidžiamas asmuo“ bus vartojama vadovaujantis būtent šiais kriterijais.</w:t>
      </w:r>
      <w:r w:rsidRPr="00DF7890">
        <w:rPr>
          <w:sz w:val="20"/>
          <w:szCs w:val="20"/>
        </w:rPr>
        <w:t xml:space="preserve"> Europos </w:t>
      </w:r>
      <w:r>
        <w:rPr>
          <w:sz w:val="20"/>
          <w:szCs w:val="20"/>
        </w:rPr>
        <w:t>Komisij</w:t>
      </w:r>
      <w:r w:rsidRPr="00DF7890">
        <w:rPr>
          <w:sz w:val="20"/>
          <w:szCs w:val="20"/>
        </w:rPr>
        <w:t xml:space="preserve">os </w:t>
      </w:r>
      <w:r>
        <w:rPr>
          <w:sz w:val="20"/>
          <w:szCs w:val="20"/>
        </w:rPr>
        <w:t xml:space="preserve">2013 m. lapkričio 27 d. </w:t>
      </w:r>
      <w:r w:rsidRPr="00DF7890">
        <w:rPr>
          <w:sz w:val="20"/>
          <w:szCs w:val="20"/>
        </w:rPr>
        <w:t>rekomendacij</w:t>
      </w:r>
      <w:r>
        <w:rPr>
          <w:sz w:val="20"/>
          <w:szCs w:val="20"/>
        </w:rPr>
        <w:t xml:space="preserve">a 2013/C </w:t>
      </w:r>
      <w:r w:rsidRPr="00391B4D">
        <w:rPr>
          <w:sz w:val="20"/>
          <w:szCs w:val="20"/>
        </w:rPr>
        <w:t>378/02</w:t>
      </w:r>
      <w:r>
        <w:rPr>
          <w:sz w:val="20"/>
          <w:szCs w:val="20"/>
        </w:rPr>
        <w:t xml:space="preserve"> dėl procesinių apsaugos priemonių baudžiamosiose bylose įtariamiems ar kaltinamiems pažeidžiamiems asmenims OJ C 378. </w:t>
      </w:r>
      <w:r w:rsidRPr="001C5162">
        <w:rPr>
          <w:sz w:val="20"/>
          <w:szCs w:val="20"/>
        </w:rPr>
        <w:t xml:space="preserve">Zajančkauskienė, J. Specialioji pažeidžiamų įtariamųjųir kaltinamųjų apsauga. In Prapiestis, J., </w:t>
      </w:r>
      <w:r w:rsidRPr="00E206CB">
        <w:rPr>
          <w:i/>
          <w:sz w:val="20"/>
          <w:szCs w:val="20"/>
        </w:rPr>
        <w:t>et al</w:t>
      </w:r>
      <w:r w:rsidRPr="001C5162">
        <w:rPr>
          <w:sz w:val="20"/>
          <w:szCs w:val="20"/>
        </w:rPr>
        <w:t xml:space="preserve">. </w:t>
      </w:r>
      <w:r w:rsidRPr="001C5162">
        <w:rPr>
          <w:i/>
          <w:sz w:val="20"/>
          <w:szCs w:val="20"/>
        </w:rPr>
        <w:t>Globalizacijos iššūkiai baudžiamajai justicijai: recenzuotų mokslinių straipsnių baudžiamosios teisės, bausmių vykdymo ir baudžiamojo proceso klausimais rinkinys</w:t>
      </w:r>
      <w:r w:rsidRPr="001C5162">
        <w:rPr>
          <w:sz w:val="20"/>
          <w:szCs w:val="20"/>
        </w:rPr>
        <w:t xml:space="preserve">. Vilnius: </w:t>
      </w:r>
      <w:r>
        <w:rPr>
          <w:sz w:val="20"/>
          <w:szCs w:val="20"/>
        </w:rPr>
        <w:t xml:space="preserve">VĮ </w:t>
      </w:r>
      <w:r w:rsidRPr="001C5162">
        <w:rPr>
          <w:sz w:val="20"/>
          <w:szCs w:val="20"/>
        </w:rPr>
        <w:t>Registrų centras, 2014, p. 32</w:t>
      </w:r>
      <w:r>
        <w:rPr>
          <w:sz w:val="20"/>
          <w:szCs w:val="20"/>
        </w:rPr>
        <w:t>6</w:t>
      </w:r>
      <w:r w:rsidRPr="001C5162">
        <w:rPr>
          <w:sz w:val="20"/>
          <w:szCs w:val="20"/>
        </w:rPr>
        <w:t>-33</w:t>
      </w:r>
      <w:r>
        <w:rPr>
          <w:sz w:val="20"/>
          <w:szCs w:val="20"/>
        </w:rPr>
        <w:t>0</w:t>
      </w:r>
      <w:r w:rsidRPr="001C5162">
        <w:rPr>
          <w:sz w:val="20"/>
          <w:szCs w:val="20"/>
        </w:rPr>
        <w:t>.</w:t>
      </w:r>
    </w:p>
  </w:footnote>
  <w:footnote w:id="439">
    <w:p w:rsidR="00E0371E" w:rsidRPr="0090106D" w:rsidRDefault="00E0371E" w:rsidP="00C829C0">
      <w:pPr>
        <w:pStyle w:val="Puslapioinaostekstas"/>
        <w:jc w:val="both"/>
      </w:pPr>
      <w:r>
        <w:rPr>
          <w:rStyle w:val="Puslapioinaosnuoroda"/>
        </w:rPr>
        <w:footnoteRef/>
      </w:r>
      <w:r>
        <w:t>Specialiojoje normoje, reglamentuojančioje atstovavimą privataus kaltinimo bylų procese, nurodyta, kad teisėtas atstovas gali padėti ginti tik nepilnamečių ir asmenų, turinčių fizinės ir psichinės sveikatos sutrikimų, interesus</w:t>
      </w:r>
      <w:r w:rsidRPr="00E24924">
        <w:t xml:space="preserve"> </w:t>
      </w:r>
      <w:r>
        <w:t xml:space="preserve">(BPK 408 straipsnio 2 dalis). Bendrojoje normoje nurodyta, kad atstovas pagal įstatymą gali atstovauti ir asmeniui, įstatymų nustatyta tvarka pripažintam neveiksniu, taip pat prokuroro nutarimu ar teismo nutartimi atstovo pagal įstatymą teisėmis procese gali būti leidžiama dalyvauti asmens, kuris dėl senatvės, neįgalumo, ligos ar kitų svarbių priežasčių negali tinkamai pasinaudoti įstatymų suteiktomis teisėmis, šeimos nariui ar artimajam giminaičiui jų prašymu. Taigi specialiąja norma ribojamos nukentėjusių asmenų galimybės privataus kaltinimo procese ginti savo interesus pasitelkiant teisėtą atstovą. Privataus kaltinimo procese specialusis atstovavimo reglamentavimas neturėtų siaurinti asmenų, galinčių pasinaudoti atstovo pagal įstatymą arba asmens, kuriam leidžiama dalyvauti atstovo pagal įstatymą teisėmis, pagalba ginant savo teises, rato, todėl bendroji ir specialioji norma turėtų būti suderintos, numatant vienodas teises pasitelkti atstovą pagal įstatymą ar jo teisėmis dalyvaujantį asmenį tiek bendrojoje, tiek privataus kaltinimo proceso formoje. Ažubalytė, R., Jurgaitis, R., Zajančkauskienė, J. </w:t>
      </w:r>
      <w:r w:rsidRPr="00C72C52">
        <w:rPr>
          <w:i/>
        </w:rPr>
        <w:t>Specifinės baudžiamojo proceso rūšys: vadovėlis</w:t>
      </w:r>
      <w:r w:rsidRPr="00C72C52">
        <w:t>. Vilniu</w:t>
      </w:r>
      <w:r>
        <w:t>s</w:t>
      </w:r>
      <w:r w:rsidRPr="00C72C52">
        <w:t>: Myk</w:t>
      </w:r>
      <w:r>
        <w:t xml:space="preserve">olo Romerio universitetas, 2011, p. 136-137. </w:t>
      </w:r>
    </w:p>
  </w:footnote>
  <w:footnote w:id="440">
    <w:p w:rsidR="00E0371E" w:rsidRDefault="00E0371E">
      <w:pPr>
        <w:pStyle w:val="Puslapioinaostekstas"/>
      </w:pPr>
      <w:r>
        <w:rPr>
          <w:rStyle w:val="Puslapioinaosnuoroda"/>
        </w:rPr>
        <w:footnoteRef/>
      </w:r>
      <w:r>
        <w:t xml:space="preserve">Walklate, S. </w:t>
      </w:r>
      <w:r w:rsidRPr="00CB4AFE">
        <w:rPr>
          <w:i/>
        </w:rPr>
        <w:t>Handbook of Victims and Victimology</w:t>
      </w:r>
      <w:r>
        <w:t xml:space="preserve">. Portland: Willan Publishing, 2007, p. 287. </w:t>
      </w:r>
    </w:p>
  </w:footnote>
  <w:footnote w:id="441">
    <w:p w:rsidR="00E0371E" w:rsidRDefault="00E0371E" w:rsidP="00430788">
      <w:pPr>
        <w:pStyle w:val="Puslapioinaostekstas"/>
        <w:jc w:val="both"/>
      </w:pPr>
      <w:r>
        <w:rPr>
          <w:rStyle w:val="Puslapioinaosnuoroda"/>
        </w:rPr>
        <w:footnoteRef/>
      </w:r>
      <w:r>
        <w:t xml:space="preserve">Šiame darbe psichikos sutrikimų terminijos probleminiai aspektai analizuojami nebus. Šia tema: Zajančkauskienė, J. Fiziniai ar psichikos trūkumai (sutrikimai): procesinė teisinė samprata ir reikšmė. In Ancelis, P., </w:t>
      </w:r>
      <w:r w:rsidRPr="00EB331E">
        <w:rPr>
          <w:i/>
        </w:rPr>
        <w:t>et al.</w:t>
      </w:r>
      <w:r>
        <w:t xml:space="preserve"> </w:t>
      </w:r>
      <w:r w:rsidRPr="00241E5B">
        <w:rPr>
          <w:i/>
        </w:rPr>
        <w:t>Sąžiningas baudžiamasis procesas: probleminiai aspektai</w:t>
      </w:r>
      <w:r>
        <w:t xml:space="preserve">. Vilnius: Industrus, 2009, p. 292-300.  </w:t>
      </w:r>
      <w:r w:rsidRPr="00593B73">
        <w:t>Zajančkauskienė</w:t>
      </w:r>
      <w:r>
        <w:t>,</w:t>
      </w:r>
      <w:r w:rsidRPr="00593B73">
        <w:t xml:space="preserve"> J. Der Strafprozess mit Teilhabe von Menschen mit Behinderungen</w:t>
      </w:r>
      <w:r>
        <w:t xml:space="preserve">. </w:t>
      </w:r>
      <w:r w:rsidRPr="00492E6A">
        <w:rPr>
          <w:i/>
        </w:rPr>
        <w:t>Jurisprudencija</w:t>
      </w:r>
      <w:r w:rsidRPr="00593B73">
        <w:t>. 2010</w:t>
      </w:r>
      <w:r>
        <w:t>,</w:t>
      </w:r>
      <w:r w:rsidRPr="00593B73">
        <w:t xml:space="preserve"> 1</w:t>
      </w:r>
      <w:r>
        <w:t xml:space="preserve"> </w:t>
      </w:r>
      <w:r w:rsidRPr="00593B73">
        <w:t>(119)</w:t>
      </w:r>
      <w:r>
        <w:t>:</w:t>
      </w:r>
      <w:r w:rsidRPr="00593B73">
        <w:t xml:space="preserve"> 331-349.</w:t>
      </w:r>
    </w:p>
  </w:footnote>
  <w:footnote w:id="442">
    <w:p w:rsidR="00E0371E" w:rsidRDefault="00E0371E" w:rsidP="00274D82">
      <w:pPr>
        <w:pStyle w:val="Puslapioinaostekstas"/>
        <w:jc w:val="both"/>
      </w:pPr>
      <w:r>
        <w:rPr>
          <w:rStyle w:val="Puslapioinaosnuoroda"/>
        </w:rPr>
        <w:footnoteRef/>
      </w:r>
      <w:r w:rsidRPr="00531902">
        <w:t xml:space="preserve">Lietuvos Respublikos Konstitucinio Teismo </w:t>
      </w:r>
      <w:r>
        <w:t>2006 m. sausio 16 d. nutarimas</w:t>
      </w:r>
      <w:r w:rsidRPr="00531902">
        <w:t xml:space="preserve">. </w:t>
      </w:r>
      <w:r w:rsidRPr="00927F5E">
        <w:rPr>
          <w:i/>
        </w:rPr>
        <w:t>Valstybės žinios</w:t>
      </w:r>
      <w:r w:rsidRPr="00531902">
        <w:t>. 2006, Nr. 7-254.</w:t>
      </w:r>
    </w:p>
  </w:footnote>
  <w:footnote w:id="443">
    <w:p w:rsidR="00E0371E" w:rsidRPr="004C7782" w:rsidRDefault="00E0371E" w:rsidP="009142AD">
      <w:pPr>
        <w:jc w:val="both"/>
        <w:rPr>
          <w:sz w:val="20"/>
          <w:szCs w:val="20"/>
        </w:rPr>
      </w:pPr>
      <w:r>
        <w:rPr>
          <w:rStyle w:val="Puslapioinaosnuoroda"/>
        </w:rPr>
        <w:footnoteRef/>
      </w:r>
      <w:r w:rsidRPr="009142AD">
        <w:rPr>
          <w:sz w:val="20"/>
        </w:rPr>
        <w:t xml:space="preserve">Baudžiamojo proceso dalyvio procesinis veiksnumas apibūdina psichinį ir fizinį asmens gebėjimą savarankiškai atlikti proceso veiksmus ar juose dalyvauti, t.y. sąmoningai naudotis procesinėmis teisėmis ir įgyvendinti pareigas. Nukentėjusiųjų klasifikaciją priklausomai nuo veiksnumo pateikia Larin, A. M. </w:t>
      </w:r>
      <w:r w:rsidRPr="00531902">
        <w:rPr>
          <w:i/>
          <w:sz w:val="20"/>
        </w:rPr>
        <w:t>Za</w:t>
      </w:r>
      <w:r>
        <w:rPr>
          <w:i/>
          <w:sz w:val="20"/>
        </w:rPr>
        <w:t>shchita prav poterpevsh</w:t>
      </w:r>
      <w:r w:rsidRPr="00531902">
        <w:rPr>
          <w:i/>
          <w:sz w:val="20"/>
        </w:rPr>
        <w:t>ego v ugolovnom proces</w:t>
      </w:r>
      <w:r>
        <w:rPr>
          <w:i/>
          <w:sz w:val="20"/>
        </w:rPr>
        <w:t>s</w:t>
      </w:r>
      <w:r w:rsidRPr="00531902">
        <w:rPr>
          <w:i/>
          <w:sz w:val="20"/>
        </w:rPr>
        <w:t>e</w:t>
      </w:r>
      <w:r w:rsidRPr="009142AD">
        <w:rPr>
          <w:sz w:val="20"/>
        </w:rPr>
        <w:t xml:space="preserve"> [Protection of Victims‘ Rights in Criminal Procedure]. Мoskva</w:t>
      </w:r>
      <w:r>
        <w:rPr>
          <w:sz w:val="20"/>
        </w:rPr>
        <w:t>: Bek</w:t>
      </w:r>
      <w:r w:rsidRPr="009142AD">
        <w:rPr>
          <w:sz w:val="20"/>
        </w:rPr>
        <w:t xml:space="preserve">, </w:t>
      </w:r>
      <w:r w:rsidRPr="009142AD">
        <w:rPr>
          <w:sz w:val="20"/>
          <w:lang w:val="uk-UA"/>
        </w:rPr>
        <w:t>1993</w:t>
      </w:r>
      <w:r w:rsidRPr="009142AD">
        <w:rPr>
          <w:sz w:val="20"/>
        </w:rPr>
        <w:t xml:space="preserve">, p. </w:t>
      </w:r>
      <w:r w:rsidRPr="009142AD">
        <w:rPr>
          <w:sz w:val="20"/>
          <w:lang w:val="uk-UA"/>
        </w:rPr>
        <w:t>108-109.</w:t>
      </w:r>
      <w:r>
        <w:rPr>
          <w:sz w:val="20"/>
        </w:rPr>
        <w:t xml:space="preserve"> </w:t>
      </w:r>
      <w:r w:rsidRPr="00B37CCD">
        <w:rPr>
          <w:sz w:val="20"/>
          <w:szCs w:val="20"/>
        </w:rPr>
        <w:t xml:space="preserve">Zajančkauskienė, J. Fiziniai ar psichikos trūkumai (sutrikimai): procesinė teisinė samprata ir reikšmė. In Ancelis, P., Ažubalytė, R., Belevičius, L. et al. </w:t>
      </w:r>
      <w:r w:rsidRPr="00B37CCD">
        <w:rPr>
          <w:i/>
          <w:sz w:val="20"/>
          <w:szCs w:val="20"/>
        </w:rPr>
        <w:t>Sąžiningas baudžiamasis procesas: probleminiai aspektai</w:t>
      </w:r>
      <w:r w:rsidRPr="00B37CCD">
        <w:rPr>
          <w:sz w:val="20"/>
          <w:szCs w:val="20"/>
        </w:rPr>
        <w:t xml:space="preserve">. Vilnius: Industrus, 2009: </w:t>
      </w:r>
      <w:r>
        <w:rPr>
          <w:sz w:val="20"/>
          <w:szCs w:val="20"/>
        </w:rPr>
        <w:t>302</w:t>
      </w:r>
      <w:r w:rsidRPr="00B37CCD">
        <w:rPr>
          <w:sz w:val="20"/>
          <w:szCs w:val="20"/>
        </w:rPr>
        <w:t>-3</w:t>
      </w:r>
      <w:r>
        <w:rPr>
          <w:sz w:val="20"/>
          <w:szCs w:val="20"/>
        </w:rPr>
        <w:t>03</w:t>
      </w:r>
      <w:r w:rsidRPr="00B37CCD">
        <w:rPr>
          <w:sz w:val="20"/>
          <w:szCs w:val="20"/>
        </w:rPr>
        <w:t>.</w:t>
      </w:r>
      <w:r>
        <w:rPr>
          <w:sz w:val="20"/>
          <w:szCs w:val="20"/>
        </w:rPr>
        <w:t xml:space="preserve"> </w:t>
      </w:r>
      <w:r w:rsidRPr="004C7782">
        <w:rPr>
          <w:sz w:val="20"/>
          <w:szCs w:val="20"/>
        </w:rPr>
        <w:t>Zajančkauskienė, J. Prozessuale Handlungsf</w:t>
      </w:r>
      <w:r>
        <w:rPr>
          <w:sz w:val="20"/>
          <w:szCs w:val="20"/>
        </w:rPr>
        <w:t>ä</w:t>
      </w:r>
      <w:r w:rsidRPr="004C7782">
        <w:rPr>
          <w:sz w:val="20"/>
          <w:szCs w:val="20"/>
        </w:rPr>
        <w:t>higkeit eines Verdachtigen (Beschuldigten).</w:t>
      </w:r>
      <w:r>
        <w:rPr>
          <w:sz w:val="20"/>
          <w:szCs w:val="20"/>
        </w:rPr>
        <w:t xml:space="preserve"> </w:t>
      </w:r>
      <w:r w:rsidRPr="004C7782">
        <w:rPr>
          <w:i/>
          <w:sz w:val="20"/>
          <w:szCs w:val="20"/>
        </w:rPr>
        <w:t>Jurisprudencija</w:t>
      </w:r>
      <w:r w:rsidRPr="004C7782">
        <w:rPr>
          <w:sz w:val="20"/>
          <w:szCs w:val="20"/>
        </w:rPr>
        <w:t>. 2010, 4</w:t>
      </w:r>
      <w:r>
        <w:rPr>
          <w:sz w:val="20"/>
          <w:szCs w:val="20"/>
        </w:rPr>
        <w:t xml:space="preserve"> </w:t>
      </w:r>
      <w:r w:rsidRPr="004C7782">
        <w:rPr>
          <w:sz w:val="20"/>
          <w:szCs w:val="20"/>
        </w:rPr>
        <w:t>(122): 245-259.</w:t>
      </w:r>
    </w:p>
  </w:footnote>
  <w:footnote w:id="444">
    <w:p w:rsidR="00E0371E" w:rsidRDefault="00E0371E" w:rsidP="00274D82">
      <w:pPr>
        <w:pStyle w:val="Puslapioinaostekstas"/>
        <w:jc w:val="both"/>
      </w:pPr>
      <w:r>
        <w:rPr>
          <w:rStyle w:val="Puslapioinaosnuoroda"/>
        </w:rPr>
        <w:footnoteRef/>
      </w:r>
      <w:r>
        <w:t xml:space="preserve">Juzukonis, S. </w:t>
      </w:r>
      <w:r w:rsidRPr="00361386">
        <w:rPr>
          <w:i/>
        </w:rPr>
        <w:t>Nukentėjusiojo teisių apsauga baudžiamajame procese</w:t>
      </w:r>
      <w:r>
        <w:t>. Daktaro disertacija. Socialiniai mokslai (teisė). Vilnius: Lietuvos teisės universitetas, 2002, p. 100.</w:t>
      </w:r>
    </w:p>
  </w:footnote>
  <w:footnote w:id="445">
    <w:p w:rsidR="00E0371E" w:rsidRDefault="00E0371E" w:rsidP="004C7782">
      <w:pPr>
        <w:pStyle w:val="Puslapioinaostekstas"/>
        <w:jc w:val="both"/>
      </w:pPr>
      <w:r>
        <w:rPr>
          <w:rStyle w:val="Puslapioinaosnuoroda"/>
        </w:rPr>
        <w:footnoteRef/>
      </w:r>
      <w:r>
        <w:t xml:space="preserve">Zajančkauskienė, J. Fiziniai ar psichikos trūkumai (sutrikimai): procesinė teisinė samprata ir reikšmė. In Ancelis, P., </w:t>
      </w:r>
      <w:r w:rsidRPr="00EB331E">
        <w:rPr>
          <w:i/>
        </w:rPr>
        <w:t>et al</w:t>
      </w:r>
      <w:r>
        <w:t xml:space="preserve">. </w:t>
      </w:r>
      <w:r w:rsidRPr="00241E5B">
        <w:rPr>
          <w:i/>
        </w:rPr>
        <w:t>Sąžiningas baudžiamasis procesas: probleminiai aspektai</w:t>
      </w:r>
      <w:r>
        <w:t xml:space="preserve">. Vilnius: Industrus, 2009, p. 303. </w:t>
      </w:r>
      <w:r w:rsidRPr="00593B73">
        <w:t>Zajančkauskienė</w:t>
      </w:r>
      <w:r>
        <w:t>,</w:t>
      </w:r>
      <w:r w:rsidRPr="00593B73">
        <w:t xml:space="preserve"> J. Prozessuale Handlungsf</w:t>
      </w:r>
      <w:r>
        <w:t>ä</w:t>
      </w:r>
      <w:r w:rsidRPr="00593B73">
        <w:t>higkeit eines Verdachtigen (Beschuldigten)</w:t>
      </w:r>
      <w:r>
        <w:t xml:space="preserve">. </w:t>
      </w:r>
      <w:r w:rsidRPr="00593B73">
        <w:rPr>
          <w:i/>
        </w:rPr>
        <w:t>Jurisprudencija</w:t>
      </w:r>
      <w:r>
        <w:t>. 2010,</w:t>
      </w:r>
      <w:r w:rsidRPr="00593B73">
        <w:t xml:space="preserve"> 4</w:t>
      </w:r>
      <w:r>
        <w:t xml:space="preserve"> </w:t>
      </w:r>
      <w:r w:rsidRPr="00593B73">
        <w:t>(122)</w:t>
      </w:r>
      <w:r>
        <w:t>:</w:t>
      </w:r>
      <w:r w:rsidRPr="00593B73">
        <w:t xml:space="preserve"> 245-259.</w:t>
      </w:r>
    </w:p>
  </w:footnote>
  <w:footnote w:id="446">
    <w:p w:rsidR="00E0371E" w:rsidRDefault="00E0371E" w:rsidP="005242EA">
      <w:pPr>
        <w:pStyle w:val="Puslapioinaostekstas"/>
        <w:jc w:val="both"/>
      </w:pPr>
      <w:r>
        <w:rPr>
          <w:rStyle w:val="Puslapioinaosnuoroda"/>
        </w:rPr>
        <w:footnoteRef/>
      </w:r>
      <w:r>
        <w:t xml:space="preserve">Petersilia, J. R. </w:t>
      </w:r>
      <w:r w:rsidRPr="00065FCC">
        <w:t>Crime Victims with Developmental Disabilities: A Review Essay</w:t>
      </w:r>
      <w:r>
        <w:t xml:space="preserve">. </w:t>
      </w:r>
      <w:r>
        <w:rPr>
          <w:i/>
          <w:iCs/>
        </w:rPr>
        <w:t xml:space="preserve">Criminal Justice and Behavior. </w:t>
      </w:r>
      <w:r w:rsidRPr="00065FCC">
        <w:t>2001</w:t>
      </w:r>
      <w:r>
        <w:t>,</w:t>
      </w:r>
      <w:r w:rsidRPr="00065FCC">
        <w:t xml:space="preserve"> 28:</w:t>
      </w:r>
      <w:r>
        <w:t xml:space="preserve"> 681.</w:t>
      </w:r>
    </w:p>
  </w:footnote>
  <w:footnote w:id="447">
    <w:p w:rsidR="00E0371E" w:rsidRDefault="00E0371E" w:rsidP="00274D82">
      <w:pPr>
        <w:pStyle w:val="Puslapioinaostekstas"/>
        <w:jc w:val="both"/>
      </w:pPr>
      <w:r>
        <w:rPr>
          <w:rStyle w:val="Puslapioinaosnuoroda"/>
        </w:rPr>
        <w:footnoteRef/>
      </w:r>
      <w:r w:rsidRPr="00CE37D0">
        <w:t>Bejėgiškumas teismo psichiatrijos vertinimu charakterizuojamas juridinio ir medicininio kriterijų vienybe, nors bejėgiška būklė gali būti ir nesusijusi su psichikos sutrikimais.</w:t>
      </w:r>
      <w:r>
        <w:t xml:space="preserve"> </w:t>
      </w:r>
      <w:r w:rsidRPr="00CE37D0">
        <w:t xml:space="preserve">Gebėjimas teisingai suvokti turinčias reikšmės bylai aplinkybes sietinas su kognityviniais sugebėjimais, o gebėjimas duoti teisingus parodymus – su gebėjimu laisva valia reguliuoti poelgius įgyvendinant procesines funkcijas. </w:t>
      </w:r>
      <w:r>
        <w:t xml:space="preserve">Tkachenko, A. A. </w:t>
      </w:r>
      <w:r>
        <w:rPr>
          <w:i/>
        </w:rPr>
        <w:t>Sudebn</w:t>
      </w:r>
      <w:r w:rsidRPr="00DD2B9E">
        <w:rPr>
          <w:i/>
        </w:rPr>
        <w:t>a</w:t>
      </w:r>
      <w:r>
        <w:rPr>
          <w:i/>
        </w:rPr>
        <w:t>j</w:t>
      </w:r>
      <w:r w:rsidRPr="00DD2B9E">
        <w:rPr>
          <w:i/>
        </w:rPr>
        <w:t>a psi</w:t>
      </w:r>
      <w:r>
        <w:rPr>
          <w:i/>
        </w:rPr>
        <w:t>k</w:t>
      </w:r>
      <w:r w:rsidRPr="00DD2B9E">
        <w:rPr>
          <w:i/>
        </w:rPr>
        <w:t>h</w:t>
      </w:r>
      <w:r>
        <w:rPr>
          <w:i/>
        </w:rPr>
        <w:t>j</w:t>
      </w:r>
      <w:r w:rsidRPr="00DD2B9E">
        <w:rPr>
          <w:i/>
        </w:rPr>
        <w:t>atrija: konsultirovanie advokatov</w:t>
      </w:r>
      <w:r>
        <w:t xml:space="preserve"> [Forensic Psychiatry: Counseling Defence Lawyers]. Moskva: Logos, 2006, p. 338-342. </w:t>
      </w:r>
    </w:p>
  </w:footnote>
  <w:footnote w:id="448">
    <w:p w:rsidR="00E0371E" w:rsidRDefault="00E0371E">
      <w:pPr>
        <w:pStyle w:val="Puslapioinaostekstas"/>
      </w:pPr>
      <w:r>
        <w:rPr>
          <w:rStyle w:val="Puslapioinaosnuoroda"/>
        </w:rPr>
        <w:footnoteRef/>
      </w:r>
      <w:r>
        <w:t xml:space="preserve">Zajančkauskienė, J. Fiziniai ar psichikos trūkumai (sutrikimai): procesinė teisinė samprata ir reikšmė. In Ancelis, P., </w:t>
      </w:r>
      <w:r w:rsidRPr="00EB331E">
        <w:rPr>
          <w:i/>
        </w:rPr>
        <w:t>et al</w:t>
      </w:r>
      <w:r>
        <w:t xml:space="preserve">. </w:t>
      </w:r>
      <w:r w:rsidRPr="00241E5B">
        <w:rPr>
          <w:i/>
        </w:rPr>
        <w:t>Sąžiningas baudžiamasis procesas: probleminiai aspektai</w:t>
      </w:r>
      <w:r>
        <w:t>. Vilnius: Industrus, 2009, p. 313-319.</w:t>
      </w:r>
    </w:p>
  </w:footnote>
  <w:footnote w:id="449">
    <w:p w:rsidR="00E0371E" w:rsidRDefault="00E0371E" w:rsidP="00274D82">
      <w:pPr>
        <w:pStyle w:val="Puslapioinaostekstas"/>
        <w:jc w:val="both"/>
        <w:rPr>
          <w:bCs/>
        </w:rPr>
      </w:pPr>
      <w:r>
        <w:rPr>
          <w:rStyle w:val="Puslapioinaosnuoroda"/>
        </w:rPr>
        <w:footnoteRef/>
      </w:r>
      <w:r w:rsidRPr="00CE37D0">
        <w:t>Neįgalumo lygis nustatomas kompleksiškai vertinant asmens sveikatos būklę, galimybes būti savarankiškam kasdienėje veikloje, galimybes ugdytis, aplinkos veiksnių į</w:t>
      </w:r>
      <w:r>
        <w:t xml:space="preserve">taką ir kitus svarbius aspektus (19 straipsnio 3 dalis). Lietuvos Respublikos neįgaliųjų socialinės integracijos įstatymas. </w:t>
      </w:r>
      <w:r w:rsidRPr="0027398D">
        <w:rPr>
          <w:bCs/>
          <w:i/>
        </w:rPr>
        <w:t>Valstybės žinios</w:t>
      </w:r>
      <w:r>
        <w:rPr>
          <w:bCs/>
        </w:rPr>
        <w:t>.</w:t>
      </w:r>
      <w:r w:rsidRPr="0027398D">
        <w:rPr>
          <w:bCs/>
        </w:rPr>
        <w:t xml:space="preserve"> 2004, Nr. 83-2983</w:t>
      </w:r>
      <w:r>
        <w:rPr>
          <w:bCs/>
        </w:rPr>
        <w:t>.</w:t>
      </w:r>
    </w:p>
    <w:p w:rsidR="00E0371E" w:rsidRPr="0027398D" w:rsidRDefault="00E0371E" w:rsidP="00274D82">
      <w:pPr>
        <w:pStyle w:val="Puslapioinaostekstas"/>
        <w:jc w:val="both"/>
      </w:pPr>
      <w:r w:rsidRPr="0027398D">
        <w:t>4.1. sunkaus neįgalumo lygis – asmens būklė, kai dėl ligos, traumos, sužalojimo, įgimtų arba vaikystėje įgytų sveikatos sutrikimų, aplinkos veiksnių neigiamo poveikio žymiai sumažėjusios galimybės ugdytis, dalyvauti, veikti ir būtina nuolatinė kitų žmonių slauga, priežiūra, pagalba;</w:t>
      </w:r>
    </w:p>
    <w:p w:rsidR="00E0371E" w:rsidRPr="0027398D" w:rsidRDefault="00E0371E" w:rsidP="00274D82">
      <w:pPr>
        <w:pStyle w:val="Puslapioinaostekstas"/>
        <w:jc w:val="both"/>
      </w:pPr>
      <w:r w:rsidRPr="0027398D">
        <w:t>4.2. vidutinio neįgalumo lygis – asmens būklė, kai dėl ligos, traumos, sužalojimo, įgimtų arba vaikystėje įgytų sveikatos sutrikimų, aplinkos veiksnių neigiamo poveikio sumažėjusios galimybės ugdytis, dalyvauti, veikti ir reikia nenuolatinės kitų žmonių priežiūros, pagalbos;</w:t>
      </w:r>
    </w:p>
    <w:p w:rsidR="00E0371E" w:rsidRPr="0027398D" w:rsidRDefault="00E0371E" w:rsidP="00274D82">
      <w:pPr>
        <w:pStyle w:val="Puslapioinaostekstas"/>
        <w:jc w:val="both"/>
      </w:pPr>
      <w:r w:rsidRPr="0027398D">
        <w:t>4.3. lengvo neįgalumo lygis – asmens būklė, kai dėl ligos, traumos, sužalojimo, įgimtų arba vaikystėje įgytų sveikatos sutrikimų, aplinkos veiksnių neigiamo poveikio nežymiai sumažėjusios galimybės ugdytis, dalyvauti, veikti.</w:t>
      </w:r>
    </w:p>
    <w:p w:rsidR="00E0371E" w:rsidRDefault="00E0371E" w:rsidP="00274D82">
      <w:pPr>
        <w:pStyle w:val="Puslapioinaostekstas"/>
        <w:jc w:val="both"/>
      </w:pPr>
      <w:r w:rsidRPr="0027398D">
        <w:t>N</w:t>
      </w:r>
      <w:r>
        <w:t xml:space="preserve">eįgalumo lygio nustatymo kriterijų ir tvarkos aprašas, patvirtintas </w:t>
      </w:r>
      <w:r w:rsidRPr="0027398D">
        <w:t>Lietuvos Respublikos sveikatos apsaugos ministro, Lietuvos Respublikos socialinės apsaugos ir darbo ministro ir Lietuvos Respublikos švietimo ir mokslo ministro</w:t>
      </w:r>
      <w:r>
        <w:t xml:space="preserve"> </w:t>
      </w:r>
      <w:r w:rsidRPr="0027398D">
        <w:t>2005 m. kovo 23 d. įsakymu Nr. V-188/A1-84/ISAK-487</w:t>
      </w:r>
      <w:r>
        <w:t xml:space="preserve">. </w:t>
      </w:r>
      <w:r w:rsidRPr="0027398D">
        <w:rPr>
          <w:i/>
        </w:rPr>
        <w:t>Valstybės žinios</w:t>
      </w:r>
      <w:r>
        <w:t>.</w:t>
      </w:r>
      <w:r w:rsidRPr="0027398D">
        <w:t xml:space="preserve"> 2005, Nr. 39-1277</w:t>
      </w:r>
      <w:r>
        <w:t>.</w:t>
      </w:r>
    </w:p>
  </w:footnote>
  <w:footnote w:id="450">
    <w:p w:rsidR="00E0371E" w:rsidRDefault="00E0371E" w:rsidP="00274D82">
      <w:pPr>
        <w:pStyle w:val="Puslapioinaostekstas"/>
        <w:jc w:val="both"/>
      </w:pPr>
      <w:r>
        <w:rPr>
          <w:rStyle w:val="Puslapioinaosnuoroda"/>
        </w:rPr>
        <w:footnoteRef/>
      </w:r>
      <w:r w:rsidRPr="00CE0538">
        <w:rPr>
          <w:i/>
        </w:rPr>
        <w:t xml:space="preserve">„Teismui pateiktas </w:t>
      </w:r>
      <w:bookmarkStart w:id="219" w:name="Buk_20"/>
      <w:r w:rsidRPr="00CE0538">
        <w:rPr>
          <w:i/>
        </w:rPr>
        <w:t xml:space="preserve">O. V. </w:t>
      </w:r>
      <w:bookmarkEnd w:id="219"/>
      <w:r w:rsidRPr="00CE0538">
        <w:rPr>
          <w:i/>
        </w:rPr>
        <w:t xml:space="preserve">vardu išduotas neįgaliojo pažymėjimas nėra pakankamas argumentas, kad būtų sprendžiamas klausimas dėl negalimumo nagrinėti </w:t>
      </w:r>
      <w:bookmarkStart w:id="220" w:name="Buk_21"/>
      <w:r w:rsidRPr="00CE0538">
        <w:rPr>
          <w:i/>
        </w:rPr>
        <w:t xml:space="preserve">O. V. </w:t>
      </w:r>
      <w:bookmarkEnd w:id="220"/>
      <w:r w:rsidRPr="00CE0538">
        <w:rPr>
          <w:i/>
        </w:rPr>
        <w:t xml:space="preserve">skundą privataus kaltinimo tvarka (BPK 409 straipsnis)“. </w:t>
      </w:r>
      <w:r>
        <w:t xml:space="preserve">Vilniaus apygardos teismo 2008 m. lapkričio 26 d. nutartis baudžiamojoje byloje Nr. 1S-945-628/2008. </w:t>
      </w:r>
      <w:r w:rsidRPr="00CE0538">
        <w:rPr>
          <w:i/>
        </w:rPr>
        <w:t>„Sunki sveikatos būklė nepripažįstama pakankamu pagrindu konstatuoti, kad asmuo negali pats ar per atstovą ginti savo teisių“.</w:t>
      </w:r>
      <w:r>
        <w:t xml:space="preserve"> </w:t>
      </w:r>
      <w:r w:rsidRPr="00061E75">
        <w:t xml:space="preserve">Vilniaus apygardos teismo 2013 m. lapkričio 7 d. nutartis </w:t>
      </w:r>
      <w:r>
        <w:t>baudžiamojoje byloje Nr. 1S-923-628/2013.</w:t>
      </w:r>
    </w:p>
  </w:footnote>
  <w:footnote w:id="451">
    <w:p w:rsidR="00E0371E" w:rsidRDefault="00E0371E" w:rsidP="002761D6">
      <w:pPr>
        <w:pStyle w:val="Puslapioinaostekstas"/>
        <w:jc w:val="both"/>
      </w:pPr>
      <w:r>
        <w:rPr>
          <w:rStyle w:val="Puslapioinaosnuoroda"/>
        </w:rPr>
        <w:footnoteRef/>
      </w:r>
      <w:r>
        <w:t xml:space="preserve">Petersilia, J. R. </w:t>
      </w:r>
      <w:r w:rsidRPr="00065FCC">
        <w:t>Crime Victims with Developmental Disabilities: A Review Essay</w:t>
      </w:r>
      <w:r>
        <w:t xml:space="preserve">. </w:t>
      </w:r>
      <w:r>
        <w:rPr>
          <w:i/>
          <w:iCs/>
        </w:rPr>
        <w:t xml:space="preserve">Criminal Justice and Behavior. </w:t>
      </w:r>
      <w:r w:rsidRPr="00065FCC">
        <w:t>2001</w:t>
      </w:r>
      <w:r>
        <w:t>,</w:t>
      </w:r>
      <w:r w:rsidRPr="00065FCC">
        <w:t xml:space="preserve"> 28: </w:t>
      </w:r>
      <w:r>
        <w:t xml:space="preserve">680. </w:t>
      </w:r>
    </w:p>
  </w:footnote>
  <w:footnote w:id="452">
    <w:p w:rsidR="00E0371E" w:rsidRPr="00241E5B" w:rsidRDefault="00E0371E" w:rsidP="00241E5B">
      <w:pPr>
        <w:jc w:val="both"/>
        <w:rPr>
          <w:sz w:val="20"/>
        </w:rPr>
      </w:pPr>
      <w:r>
        <w:rPr>
          <w:rStyle w:val="Puslapioinaosnuoroda"/>
        </w:rPr>
        <w:footnoteRef/>
      </w:r>
      <w:r w:rsidRPr="00241E5B">
        <w:rPr>
          <w:sz w:val="20"/>
        </w:rPr>
        <w:t>BPK teisiškai svarbi yra pilnametystės riba: jaunesniems nei 18 metų asmenims, dalyvaujantiems baudžiamajame procese, taikomos specifinės proceso taisyklės. Tokia</w:t>
      </w:r>
      <w:r>
        <w:rPr>
          <w:sz w:val="20"/>
        </w:rPr>
        <w:t xml:space="preserve"> pati amžiaus riba numatyta ir V</w:t>
      </w:r>
      <w:r w:rsidRPr="00241E5B">
        <w:rPr>
          <w:sz w:val="20"/>
        </w:rPr>
        <w:t xml:space="preserve">aiko teisių konvencijoje. Jungtinių Tautų vaiko teisių konvencija. </w:t>
      </w:r>
      <w:r w:rsidRPr="00241E5B">
        <w:rPr>
          <w:i/>
          <w:sz w:val="20"/>
        </w:rPr>
        <w:t>Valstybės žinios</w:t>
      </w:r>
      <w:r w:rsidRPr="00241E5B">
        <w:rPr>
          <w:sz w:val="20"/>
        </w:rPr>
        <w:t>. 1995, Nr. 60-1501.</w:t>
      </w:r>
    </w:p>
  </w:footnote>
  <w:footnote w:id="453">
    <w:p w:rsidR="00E0371E" w:rsidRDefault="00E0371E" w:rsidP="00274D82">
      <w:pPr>
        <w:pStyle w:val="Puslapioinaostekstas"/>
        <w:jc w:val="both"/>
      </w:pPr>
      <w:r>
        <w:rPr>
          <w:rStyle w:val="Puslapioinaosnuoroda"/>
        </w:rPr>
        <w:footnoteRef/>
      </w:r>
      <w:r>
        <w:t>Kat</w:t>
      </w:r>
      <w:r w:rsidRPr="00875B7D">
        <w: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w:t>
      </w:r>
      <w:r>
        <w:t xml:space="preserve"> 1972, p. </w:t>
      </w:r>
      <w:r w:rsidRPr="00EF4DD9">
        <w:rPr>
          <w:lang w:val="uk-UA"/>
        </w:rPr>
        <w:t>124.</w:t>
      </w:r>
    </w:p>
  </w:footnote>
  <w:footnote w:id="454">
    <w:p w:rsidR="00E0371E" w:rsidRDefault="00E0371E" w:rsidP="00274D82">
      <w:pPr>
        <w:pStyle w:val="Puslapioinaostekstas"/>
        <w:jc w:val="both"/>
      </w:pPr>
      <w:r>
        <w:rPr>
          <w:rStyle w:val="Puslapioinaosnuoroda"/>
        </w:rPr>
        <w:footnoteRef/>
      </w:r>
      <w:r>
        <w:t>Sh</w:t>
      </w:r>
      <w:r w:rsidRPr="0097541E">
        <w:t>umilina,</w:t>
      </w:r>
      <w:r>
        <w:t xml:space="preserve"> O. Ju. </w:t>
      </w:r>
      <w:r>
        <w:rPr>
          <w:i/>
        </w:rPr>
        <w:t>Processual</w:t>
      </w:r>
      <w:r w:rsidRPr="00A55372">
        <w:rPr>
          <w:i/>
        </w:rPr>
        <w:t>no</w:t>
      </w:r>
      <w:r>
        <w:rPr>
          <w:i/>
        </w:rPr>
        <w:t>e polozheni</w:t>
      </w:r>
      <w:r w:rsidRPr="00A55372">
        <w:rPr>
          <w:i/>
        </w:rPr>
        <w:t>e poterpervshego po delam chastnogo obvinenija</w:t>
      </w:r>
      <w:r>
        <w:t xml:space="preserve"> [Legal Status of the Victim in the Cases of Private Prosecution]. Daktaro disertacija. Socialiniai mokslai (teisė). Krasnojarsk, 2003,</w:t>
      </w:r>
      <w:r w:rsidRPr="0097541E">
        <w:t xml:space="preserve"> p. 91</w:t>
      </w:r>
      <w:r>
        <w:t xml:space="preserve">. Doroshkov, V. V. </w:t>
      </w:r>
      <w:r>
        <w:rPr>
          <w:i/>
        </w:rPr>
        <w:t>Chastno</w:t>
      </w:r>
      <w:r w:rsidRPr="0008285E">
        <w:rPr>
          <w:i/>
        </w:rPr>
        <w:t>e obvin</w:t>
      </w:r>
      <w:r>
        <w:rPr>
          <w:i/>
        </w:rPr>
        <w:t>oni</w:t>
      </w:r>
      <w:r w:rsidRPr="0008285E">
        <w:rPr>
          <w:i/>
        </w:rPr>
        <w:t>e. Pravovaja teorija i sudebnaja praktika</w:t>
      </w:r>
      <w:r>
        <w:rPr>
          <w:i/>
        </w:rPr>
        <w:t xml:space="preserve"> </w:t>
      </w:r>
      <w:proofErr w:type="gramStart"/>
      <w:r>
        <w:t>[</w:t>
      </w:r>
      <w:proofErr w:type="gramEnd"/>
      <w:r>
        <w:t>Private Prosecution. Legal Theory and Case Law]. Moskva: Norma, 2000, p. 56-57.</w:t>
      </w:r>
    </w:p>
  </w:footnote>
  <w:footnote w:id="455">
    <w:p w:rsidR="00E0371E" w:rsidRDefault="00E0371E" w:rsidP="00274D82">
      <w:pPr>
        <w:pStyle w:val="Puslapioinaostekstas"/>
        <w:jc w:val="both"/>
      </w:pPr>
      <w:r>
        <w:rPr>
          <w:rStyle w:val="Puslapioinaosnuoroda"/>
        </w:rPr>
        <w:footnoteRef/>
      </w:r>
      <w:r>
        <w:t xml:space="preserve"> Ažubalytė, R. Baudžiamojo proceso, kuriame dalyvauja nepilnamečiai, teisinės ir faktinės diferenciacijos prielaidos ir iš jų kylantys reikalavimai. In Ancelis, P., </w:t>
      </w:r>
      <w:r w:rsidRPr="00116801">
        <w:rPr>
          <w:i/>
        </w:rPr>
        <w:t>et al</w:t>
      </w:r>
      <w:r>
        <w:t xml:space="preserve">. </w:t>
      </w:r>
      <w:r w:rsidRPr="00241E5B">
        <w:rPr>
          <w:i/>
        </w:rPr>
        <w:t>Sąžiningas baudžiamasis procesas: probleminiai aspektai</w:t>
      </w:r>
      <w:r>
        <w:t>. Vilnius: Industrus, 2009, p. 74.</w:t>
      </w:r>
    </w:p>
  </w:footnote>
  <w:footnote w:id="456">
    <w:p w:rsidR="00E0371E" w:rsidRDefault="00E0371E" w:rsidP="00824FFA">
      <w:pPr>
        <w:pStyle w:val="Puslapioinaostekstas"/>
        <w:jc w:val="both"/>
      </w:pPr>
      <w:r>
        <w:rPr>
          <w:rStyle w:val="Puslapioinaosnuoroda"/>
        </w:rPr>
        <w:footnoteRef/>
      </w:r>
      <w:r>
        <w:t xml:space="preserve">Ažubalytė, R. Nepilnamečio apklausa baudžiamajame procese. In Kurapka, V. E., </w:t>
      </w:r>
      <w:r w:rsidRPr="00E206CB">
        <w:rPr>
          <w:i/>
        </w:rPr>
        <w:t>et al</w:t>
      </w:r>
      <w:r>
        <w:t xml:space="preserve">. </w:t>
      </w:r>
      <w:r w:rsidRPr="00082942">
        <w:rPr>
          <w:i/>
        </w:rPr>
        <w:t>Baudžiamasis procesas: nuo teorijos iki įrodinėjimo (prof. dr. Eugenijaus Palskio atminimui). Mokslo studija</w:t>
      </w:r>
      <w:r w:rsidRPr="00C347C6">
        <w:t>. Vilnius: Myk</w:t>
      </w:r>
      <w:r>
        <w:t>olo Romerio universitetas, 2011, p. 162.</w:t>
      </w:r>
    </w:p>
  </w:footnote>
  <w:footnote w:id="457">
    <w:p w:rsidR="00E0371E" w:rsidRDefault="00E0371E" w:rsidP="00274D82">
      <w:pPr>
        <w:pStyle w:val="Puslapioinaostekstas"/>
        <w:jc w:val="both"/>
      </w:pPr>
      <w:r>
        <w:rPr>
          <w:rStyle w:val="Puslapioinaosnuoroda"/>
        </w:rPr>
        <w:footnoteRef/>
      </w:r>
      <w:r>
        <w:t>Sh</w:t>
      </w:r>
      <w:r w:rsidRPr="0097541E">
        <w:t>umilina,</w:t>
      </w:r>
      <w:r>
        <w:t xml:space="preserve"> O. Ju. </w:t>
      </w:r>
      <w:r>
        <w:rPr>
          <w:i/>
        </w:rPr>
        <w:t>Processual</w:t>
      </w:r>
      <w:r w:rsidRPr="00A55372">
        <w:rPr>
          <w:i/>
        </w:rPr>
        <w:t>no</w:t>
      </w:r>
      <w:r>
        <w:rPr>
          <w:i/>
        </w:rPr>
        <w:t>e polozheni</w:t>
      </w:r>
      <w:r w:rsidRPr="00A55372">
        <w:rPr>
          <w:i/>
        </w:rPr>
        <w:t>e poterpervshego po delam chastnogo obvinenija</w:t>
      </w:r>
      <w:r>
        <w:t xml:space="preserve"> [Legal Status of the Victim in the Cases of Private Prosecution]. Daktaro disertacija. Socialiniai mokslai (teisė). Krasnojarsk, 2003, p. 90. </w:t>
      </w:r>
    </w:p>
  </w:footnote>
  <w:footnote w:id="458">
    <w:p w:rsidR="00E0371E" w:rsidRPr="00691B01" w:rsidRDefault="00E0371E" w:rsidP="00691B01">
      <w:pPr>
        <w:rPr>
          <w:sz w:val="20"/>
          <w:szCs w:val="20"/>
        </w:rPr>
      </w:pPr>
      <w:r w:rsidRPr="00691B01">
        <w:rPr>
          <w:rStyle w:val="Puslapioinaosnuoroda"/>
          <w:sz w:val="20"/>
          <w:szCs w:val="20"/>
        </w:rPr>
        <w:footnoteRef/>
      </w:r>
      <w:r w:rsidRPr="00691B01">
        <w:rPr>
          <w:sz w:val="20"/>
          <w:szCs w:val="20"/>
        </w:rPr>
        <w:t xml:space="preserve"> Jungtinių Tautų vaiko teisių konvencija. </w:t>
      </w:r>
      <w:r w:rsidRPr="00691B01">
        <w:rPr>
          <w:i/>
          <w:sz w:val="20"/>
          <w:szCs w:val="20"/>
        </w:rPr>
        <w:t>Valstybės žinios</w:t>
      </w:r>
      <w:r w:rsidRPr="00691B01">
        <w:rPr>
          <w:sz w:val="20"/>
          <w:szCs w:val="20"/>
        </w:rPr>
        <w:t>. 1995, Nr. 60-1501.</w:t>
      </w:r>
    </w:p>
  </w:footnote>
  <w:footnote w:id="459">
    <w:p w:rsidR="00E0371E" w:rsidRDefault="00E0371E" w:rsidP="00274D82">
      <w:pPr>
        <w:pStyle w:val="Puslapioinaostekstas"/>
        <w:jc w:val="both"/>
      </w:pPr>
      <w:r>
        <w:rPr>
          <w:rStyle w:val="Puslapioinaosnuoroda"/>
        </w:rPr>
        <w:footnoteRef/>
      </w:r>
      <w:r>
        <w:t xml:space="preserve">Ažubalytė, R. Nepilnamečio apklausa baudžiamajame procese. In Kurapka, V. E., </w:t>
      </w:r>
      <w:r w:rsidRPr="000B0E8D">
        <w:rPr>
          <w:i/>
        </w:rPr>
        <w:t xml:space="preserve">et al. </w:t>
      </w:r>
      <w:r w:rsidRPr="00082942">
        <w:rPr>
          <w:i/>
        </w:rPr>
        <w:t>Baudžiamasis procesas: nuo teorijos iki įrodinėjimo (prof. dr. Eugenijaus Palskio atminimui). Mokslo studija</w:t>
      </w:r>
      <w:r w:rsidRPr="00C347C6">
        <w:t>. Vilnius: Myk</w:t>
      </w:r>
      <w:r>
        <w:t>olo Romerio universitetas, 2011, p. 164.</w:t>
      </w:r>
    </w:p>
  </w:footnote>
  <w:footnote w:id="460">
    <w:p w:rsidR="00E0371E" w:rsidRPr="00801466" w:rsidRDefault="00E0371E" w:rsidP="00274D82">
      <w:pPr>
        <w:jc w:val="both"/>
        <w:rPr>
          <w:sz w:val="20"/>
          <w:szCs w:val="20"/>
        </w:rPr>
      </w:pPr>
      <w:r w:rsidRPr="00801466">
        <w:rPr>
          <w:rStyle w:val="Puslapioinaosnuoroda"/>
          <w:sz w:val="20"/>
          <w:szCs w:val="20"/>
        </w:rPr>
        <w:footnoteRef/>
      </w:r>
      <w:r w:rsidRPr="00801466">
        <w:rPr>
          <w:sz w:val="20"/>
          <w:szCs w:val="20"/>
        </w:rPr>
        <w:t xml:space="preserve">Shumilina, O. Ju. </w:t>
      </w:r>
      <w:r w:rsidRPr="00801466">
        <w:rPr>
          <w:i/>
          <w:sz w:val="20"/>
          <w:szCs w:val="20"/>
        </w:rPr>
        <w:t>Processualnoe polozhenie poterpervshego po delam chastnogo obvinenija</w:t>
      </w:r>
      <w:r w:rsidRPr="00801466">
        <w:rPr>
          <w:sz w:val="20"/>
          <w:szCs w:val="20"/>
        </w:rPr>
        <w:t xml:space="preserve"> [Legal Status of the Victim in the Cases of Private Prosecution]. Daktaro disertacija. Socialiniai mokslai (teisė). Krasnojarsk, 2003, p. 93.</w:t>
      </w:r>
    </w:p>
  </w:footnote>
  <w:footnote w:id="461">
    <w:p w:rsidR="00E0371E" w:rsidRDefault="00E0371E" w:rsidP="00274D82">
      <w:pPr>
        <w:pStyle w:val="Puslapioinaostekstas"/>
        <w:jc w:val="both"/>
      </w:pPr>
      <w:r>
        <w:rPr>
          <w:rStyle w:val="Puslapioinaosnuoroda"/>
        </w:rPr>
        <w:footnoteRef/>
      </w:r>
      <w:r>
        <w:t xml:space="preserve">Roberson, C. </w:t>
      </w:r>
      <w:r w:rsidRPr="00C51700">
        <w:rPr>
          <w:i/>
        </w:rPr>
        <w:t>Juvenile Justice: Theory and Practice</w:t>
      </w:r>
      <w:r>
        <w:t xml:space="preserve">. Boca Raton, London, New York: CRC Press Taylor and Francis Group, 2010, p. 23. </w:t>
      </w:r>
      <w:r w:rsidRPr="00046171">
        <w:t xml:space="preserve">Hae-June, A. Tribal Governments Should be Entitled to Special Solicitude: The Overarching Sentiment of the Parens Patriae Doctrine. </w:t>
      </w:r>
      <w:r w:rsidRPr="00046171">
        <w:rPr>
          <w:i/>
        </w:rPr>
        <w:t>Ecology Law Quarterly</w:t>
      </w:r>
      <w:r w:rsidRPr="00046171">
        <w:t xml:space="preserve">. 2010, 37: 625-652.Mayo, J. I. Dependent, Neglected and Delinquent Children: The State as Pariens Patriae. </w:t>
      </w:r>
      <w:r w:rsidRPr="00046171">
        <w:rPr>
          <w:i/>
        </w:rPr>
        <w:t>Journal of Juvenile Law</w:t>
      </w:r>
      <w:r w:rsidRPr="00046171">
        <w:t>. 1981, 5: 90-98.</w:t>
      </w:r>
    </w:p>
  </w:footnote>
  <w:footnote w:id="462">
    <w:p w:rsidR="00E0371E" w:rsidRDefault="00E0371E" w:rsidP="00274D82">
      <w:pPr>
        <w:pStyle w:val="Puslapioinaostekstas"/>
        <w:jc w:val="both"/>
      </w:pPr>
      <w:r>
        <w:rPr>
          <w:rStyle w:val="Puslapioinaosnuoroda"/>
        </w:rPr>
        <w:footnoteRef/>
      </w:r>
      <w:r>
        <w:t xml:space="preserve">BPK 53 straipsnio 4 dalies atstovo pagal įstatymą kontekste taip pat išskiriama pagyvenusių žmonių amžiaus grupė, kurie įstatyme siejami su „senatvės“ kategorija.  </w:t>
      </w:r>
    </w:p>
  </w:footnote>
  <w:footnote w:id="463">
    <w:p w:rsidR="00E0371E" w:rsidRDefault="00E0371E" w:rsidP="00274D82">
      <w:pPr>
        <w:pStyle w:val="Puslapioinaostekstas"/>
        <w:jc w:val="both"/>
      </w:pPr>
      <w:r>
        <w:rPr>
          <w:rStyle w:val="Puslapioinaosnuoroda"/>
        </w:rPr>
        <w:footnoteRef/>
      </w:r>
      <w:r w:rsidRPr="00CE37D0">
        <w:t xml:space="preserve">Pagyvenusiems žmonėms būdingas bendras suvokimo, atminties funkcijų, naujų įgūdžių išmokimo, motorinių užduočių atlikimo ir bendrai centrinės nervų sistemos veiklos sulėtėjimas, jutiminio slenksčio žemėjimo tendencija (registruojama tik aštresnių dirgiklių diferenciacija). Taip pat pažymėtina, kad fizinis funkcionavimas didėjant amžiui </w:t>
      </w:r>
      <w:proofErr w:type="gramStart"/>
      <w:r w:rsidRPr="00CE37D0">
        <w:t>(</w:t>
      </w:r>
      <w:proofErr w:type="gramEnd"/>
      <w:r w:rsidRPr="00CE37D0">
        <w:t>virš 50 m.) reikalauja vis didesnio dėmesio, fizinių ir psichinių pastangų labiausiai dėl sulėtėjusios nervų sistemos veiklos. Susijusiems su amžiumi kognityviniams pokyčiams priskirtinas gebėjimo koncentruoti dėmesį susilpnėjimas, vykstantis kartu su sumažėjusiu gebėjimu ignoruoti nereikšmingą informaciją. Naujų įgūdžių įsisavinimas tampa sudėtingesnis, o didėj</w:t>
      </w:r>
      <w:r>
        <w:t>anti</w:t>
      </w:r>
      <w:r w:rsidRPr="00CE37D0">
        <w:t xml:space="preserve">s nelankstumas neigiamai paveikia gebėjimą spręsti naujas (neįprastas) problemas ir bendrai adaptuotis naujose sąveikose (bendravime). Taip pat yra įrodytas padidėjęs atminties deficitas, ypatingai trumpalaikės atminties ir laiko bei erdvės santykio suvokimas. Emociniams pokyčiams, kurie tipiškai lydi senėjimą, priskirtini padidėjęs atsargumas (ir sumažėjęs noras rizikuoti), motyvacijos pokyčiai. </w:t>
      </w:r>
      <w:r>
        <w:t>Hirschel, J. D., Rubin, K. B. Special Problems Faced by the Elderly Victims of</w:t>
      </w:r>
      <w:proofErr w:type="gramStart"/>
      <w:r>
        <w:t xml:space="preserve">  </w:t>
      </w:r>
      <w:proofErr w:type="gramEnd"/>
      <w:r>
        <w:t xml:space="preserve">Crime. </w:t>
      </w:r>
      <w:r w:rsidRPr="00584399">
        <w:rPr>
          <w:i/>
        </w:rPr>
        <w:t>Journal of Sociology and Social Welfare</w:t>
      </w:r>
      <w:r>
        <w:t>.</w:t>
      </w:r>
      <w:r w:rsidRPr="003C4E4D">
        <w:t xml:space="preserve"> 1982</w:t>
      </w:r>
      <w:r>
        <w:t>, 9: 358.</w:t>
      </w:r>
    </w:p>
  </w:footnote>
  <w:footnote w:id="464">
    <w:p w:rsidR="00E0371E" w:rsidRDefault="00E0371E" w:rsidP="00843313">
      <w:pPr>
        <w:pStyle w:val="Puslapioinaostekstas"/>
        <w:jc w:val="both"/>
      </w:pPr>
      <w:r>
        <w:rPr>
          <w:rStyle w:val="Puslapioinaosnuoroda"/>
        </w:rPr>
        <w:footnoteRef/>
      </w:r>
      <w:r w:rsidRPr="003C63D6">
        <w:t xml:space="preserve">Hirschel, J. D., Rubin, K. B. Special Problems Faced by the Elderly Victims of Crime. </w:t>
      </w:r>
      <w:r w:rsidRPr="003C63D6">
        <w:rPr>
          <w:i/>
        </w:rPr>
        <w:t>Journal of Sociology and Social Welfare</w:t>
      </w:r>
      <w:r w:rsidRPr="003C63D6">
        <w:t>. 1982, 9: 3</w:t>
      </w:r>
      <w:r>
        <w:t xml:space="preserve">64. </w:t>
      </w:r>
      <w:r w:rsidRPr="00A84A88">
        <w:t>Neanalizuojant fizinių ir ekonominių viktimizacijos pasekmių, dėl paminėtų su amžiumi pokyčių susidūrimas su baudžiamosios justicijos sistema sudaro vyresniems žmonėms papildomų sunkumų. Galimai kaltininko atsakomosios reakcijos baimė ir baimė bendrauti su pareigūnais (oficialiais asmenimis) gali tapti pagyvenusių žmonių, nukentėjusių nuo nusikalstamos veikos, nesikreipimo į teisėsaugos institucijas priežastimi. Be to, galimai baimė atrodyti kvailai gali paskatinti nutylėti skriaudą, kai kaltininkas pasina</w:t>
      </w:r>
      <w:r>
        <w:t>udojo nukentėjusiojo patiklumu.</w:t>
      </w:r>
    </w:p>
  </w:footnote>
  <w:footnote w:id="465">
    <w:p w:rsidR="00E0371E" w:rsidRDefault="00E0371E" w:rsidP="00843313">
      <w:pPr>
        <w:pStyle w:val="Puslapioinaostekstas"/>
        <w:jc w:val="both"/>
      </w:pPr>
      <w:r>
        <w:rPr>
          <w:rStyle w:val="Puslapioinaosnuoroda"/>
        </w:rPr>
        <w:footnoteRef/>
      </w:r>
      <w:r w:rsidRPr="003C63D6">
        <w:t xml:space="preserve">Hirschel, J. D., Rubin, K. B. Special Problems Faced by the Elderly Victims of Crime. </w:t>
      </w:r>
      <w:r w:rsidRPr="003C63D6">
        <w:rPr>
          <w:i/>
        </w:rPr>
        <w:t>Journal of Sociology and Social Welfare</w:t>
      </w:r>
      <w:r w:rsidRPr="003C63D6">
        <w:t>. 1982, 9: 3</w:t>
      </w:r>
      <w:r>
        <w:t xml:space="preserve">64. </w:t>
      </w:r>
    </w:p>
  </w:footnote>
  <w:footnote w:id="466">
    <w:p w:rsidR="00E0371E" w:rsidRDefault="00E0371E">
      <w:pPr>
        <w:pStyle w:val="Puslapioinaostekstas"/>
      </w:pPr>
      <w:r>
        <w:rPr>
          <w:rStyle w:val="Puslapioinaosnuoroda"/>
        </w:rPr>
        <w:footnoteRef/>
      </w:r>
      <w:r>
        <w:t xml:space="preserve">Zajančkauskienė, J. Fiziniai ar psichikos trūkumai (sutrikimai): procesinė teisinė samprata ir reikšmė. In Ancelis, P., </w:t>
      </w:r>
      <w:r w:rsidRPr="0047169F">
        <w:rPr>
          <w:i/>
        </w:rPr>
        <w:t>et al</w:t>
      </w:r>
      <w:r>
        <w:t xml:space="preserve">. </w:t>
      </w:r>
      <w:r w:rsidRPr="00241E5B">
        <w:rPr>
          <w:i/>
        </w:rPr>
        <w:t>Sąžiningas baudžiamasis procesas: probleminiai aspektai</w:t>
      </w:r>
      <w:r>
        <w:t>. Vilnius: Industrus, 2009, p. 320.</w:t>
      </w:r>
    </w:p>
  </w:footnote>
  <w:footnote w:id="467">
    <w:p w:rsidR="00E0371E" w:rsidRDefault="00E0371E" w:rsidP="004D19AA">
      <w:pPr>
        <w:pStyle w:val="Puslapioinaostekstas"/>
        <w:jc w:val="both"/>
      </w:pPr>
      <w:r>
        <w:rPr>
          <w:rStyle w:val="Puslapioinaosnuoroda"/>
        </w:rPr>
        <w:footnoteRef/>
      </w:r>
      <w:r>
        <w:t xml:space="preserve">Rimšelis, E. </w:t>
      </w:r>
      <w:r w:rsidRPr="001D0752">
        <w:rPr>
          <w:i/>
        </w:rPr>
        <w:t>Esminiai baudžiamojo proceso teisės pažeidimai: samprata, vertinimas ir procesiniai padariniai.</w:t>
      </w:r>
      <w:r>
        <w:t xml:space="preserve"> Daktaro disertacija (teisė). Socialiniai mokslai (teisė).Vilnius: Mykolo Romerio universitetas, 2006, p. 39. </w:t>
      </w:r>
    </w:p>
  </w:footnote>
  <w:footnote w:id="468">
    <w:p w:rsidR="00E0371E" w:rsidRDefault="00E0371E" w:rsidP="004D19AA">
      <w:pPr>
        <w:pStyle w:val="Puslapioinaostekstas"/>
        <w:jc w:val="both"/>
      </w:pPr>
      <w:r w:rsidRPr="00AD782A">
        <w:rPr>
          <w:rStyle w:val="Puslapioinaosnuoroda"/>
        </w:rPr>
        <w:footnoteRef/>
      </w:r>
      <w:r>
        <w:t>BPK 409 str. buvo papildytas 3 dalimi</w:t>
      </w:r>
      <w:r w:rsidRPr="005B3FFF">
        <w:t>, nurodančia, kad tais atvejais, kai nežinomas asmuo, gal</w:t>
      </w:r>
      <w:r>
        <w:t>imai</w:t>
      </w:r>
      <w:r w:rsidRPr="005B3FFF">
        <w:t xml:space="preserve"> įvykdęs nusikalstamą veiką, ikiteisminis tyrimas turi būti pradedamas ir vykdomas bendra tvarka. </w:t>
      </w:r>
      <w:r w:rsidRPr="00744CAA">
        <w:rPr>
          <w:iCs/>
        </w:rPr>
        <w:t>Lietuvos Respublikos baudžiamojo proceso kodekso 65, 94, 103, 109, 139, 151, 154, 158, 168, 181, 218, 220, 225, 232, 237, 239, 240, 306, 313, 346, 360, 364, 370, 377, 403, 409, 418, 421, 422, 425, 426, 429, 446, 456, 457, 458 straipsnių ir XXXV skyriaus pavadinimo pakeitimo ir papildymo įstatymas.</w:t>
      </w:r>
      <w:r>
        <w:rPr>
          <w:iCs/>
        </w:rPr>
        <w:t xml:space="preserve"> </w:t>
      </w:r>
      <w:r w:rsidRPr="00AD782A">
        <w:rPr>
          <w:i/>
          <w:iCs/>
        </w:rPr>
        <w:t>Valstybės žinios</w:t>
      </w:r>
      <w:r>
        <w:rPr>
          <w:i/>
          <w:iCs/>
        </w:rPr>
        <w:t xml:space="preserve">. </w:t>
      </w:r>
      <w:r w:rsidRPr="00274D42">
        <w:rPr>
          <w:iCs/>
        </w:rPr>
        <w:t>2004, Nr. 115-4276</w:t>
      </w:r>
      <w:r w:rsidRPr="00AD782A">
        <w:rPr>
          <w:i/>
          <w:iCs/>
        </w:rPr>
        <w:t>.</w:t>
      </w:r>
    </w:p>
  </w:footnote>
  <w:footnote w:id="469">
    <w:p w:rsidR="00E0371E" w:rsidRDefault="00E0371E" w:rsidP="004D19AA">
      <w:pPr>
        <w:pStyle w:val="Puslapioinaostekstas"/>
        <w:jc w:val="both"/>
      </w:pPr>
      <w:r w:rsidRPr="00AD782A">
        <w:rPr>
          <w:rStyle w:val="Puslapioinaosnuoroda"/>
        </w:rPr>
        <w:footnoteRef/>
      </w:r>
      <w:r w:rsidRPr="00531902">
        <w:t>Lietuvos Respublikos Konstitucinio Teismo</w:t>
      </w:r>
      <w:r>
        <w:t xml:space="preserve"> 2006 m. sausio 16 d. nutarimas</w:t>
      </w:r>
      <w:r w:rsidRPr="00AD782A">
        <w:t>.</w:t>
      </w:r>
      <w:r>
        <w:t xml:space="preserve"> </w:t>
      </w:r>
      <w:r w:rsidRPr="00927F5E">
        <w:rPr>
          <w:i/>
        </w:rPr>
        <w:t>Valstybės žinios</w:t>
      </w:r>
      <w:r>
        <w:t>. 2006, Nr. 7-254.</w:t>
      </w:r>
    </w:p>
  </w:footnote>
  <w:footnote w:id="470">
    <w:p w:rsidR="00E0371E" w:rsidRDefault="00E0371E" w:rsidP="004D19AA">
      <w:pPr>
        <w:pStyle w:val="Puslapioinaostekstas"/>
        <w:jc w:val="both"/>
      </w:pPr>
      <w:r>
        <w:rPr>
          <w:rStyle w:val="Puslapioinaosnuoroda"/>
        </w:rPr>
        <w:footnoteRef/>
      </w:r>
      <w:r>
        <w:t xml:space="preserve">Vilniaus apygardos teismo 2009 m. gegužės 12 d. nutartis baudžiamojoje byloje Nr. 1S-357-495/2009. </w:t>
      </w:r>
    </w:p>
  </w:footnote>
  <w:footnote w:id="471">
    <w:p w:rsidR="00E0371E" w:rsidRDefault="00E0371E" w:rsidP="00185C80">
      <w:pPr>
        <w:pStyle w:val="Puslapioinaostekstas"/>
        <w:jc w:val="both"/>
      </w:pPr>
      <w:r>
        <w:rPr>
          <w:rStyle w:val="Puslapioinaosnuoroda"/>
        </w:rPr>
        <w:footnoteRef/>
      </w:r>
      <w:r w:rsidRPr="00151168">
        <w:t xml:space="preserve">Lietuvos Aukščiausiojo Teismo 2010 m. gegužės 25 d. nutartis </w:t>
      </w:r>
      <w:r>
        <w:t xml:space="preserve">baudžiamojoje byloje </w:t>
      </w:r>
      <w:r w:rsidRPr="00151168">
        <w:t>Nr. 2K-178/2010</w:t>
      </w:r>
      <w:r>
        <w:t xml:space="preserve">, </w:t>
      </w:r>
      <w:r w:rsidRPr="00C174DC">
        <w:t xml:space="preserve">2013 m. gegužės 14 d. nutartis </w:t>
      </w:r>
      <w:r>
        <w:t xml:space="preserve">baudžiamojoje byloje </w:t>
      </w:r>
      <w:r w:rsidRPr="00C174DC">
        <w:t>Nr. 2K-240/2013</w:t>
      </w:r>
      <w:r>
        <w:t xml:space="preserve">, </w:t>
      </w:r>
      <w:r w:rsidRPr="00185C80">
        <w:t xml:space="preserve">2011 m. gruodžio 29 d. nutartis </w:t>
      </w:r>
      <w:r>
        <w:t xml:space="preserve">baudžiamojoje byloje </w:t>
      </w:r>
      <w:r w:rsidRPr="00185C80">
        <w:t>Nr. 2K-615/2011</w:t>
      </w:r>
      <w:r>
        <w:t xml:space="preserve">, </w:t>
      </w:r>
      <w:r w:rsidRPr="00185C80">
        <w:t xml:space="preserve">2012 m. lapkričio 27 d. nutartis </w:t>
      </w:r>
      <w:r>
        <w:t xml:space="preserve">baudžiamojoje byloje </w:t>
      </w:r>
      <w:r w:rsidRPr="00185C80">
        <w:t>Nr. 2K-580/2012</w:t>
      </w:r>
      <w:r>
        <w:t>,</w:t>
      </w:r>
      <w:r w:rsidRPr="00185C80">
        <w:t xml:space="preserve"> 2013 m. gegužės 14 d. nutartis </w:t>
      </w:r>
      <w:r>
        <w:t xml:space="preserve">baudžiamojoje byloje </w:t>
      </w:r>
      <w:r w:rsidRPr="00185C80">
        <w:t>Nr. 2K-248/2013</w:t>
      </w:r>
      <w:r>
        <w:t xml:space="preserve">. </w:t>
      </w:r>
      <w:r w:rsidRPr="00EF50B8">
        <w:rPr>
          <w:i/>
        </w:rPr>
        <w:t>Teismų praktika</w:t>
      </w:r>
      <w:r w:rsidRPr="00185C80">
        <w:t>. 2012, 38, p. 319-325</w:t>
      </w:r>
      <w:r>
        <w:t xml:space="preserve">. </w:t>
      </w:r>
    </w:p>
  </w:footnote>
  <w:footnote w:id="472">
    <w:p w:rsidR="00E0371E" w:rsidRDefault="00E0371E">
      <w:pPr>
        <w:pStyle w:val="Puslapioinaostekstas"/>
      </w:pPr>
      <w:r>
        <w:rPr>
          <w:rStyle w:val="Puslapioinaosnuoroda"/>
        </w:rPr>
        <w:footnoteRef/>
      </w:r>
      <w:r w:rsidRPr="00C174DC">
        <w:t xml:space="preserve">Lietuvos Aukščiausiojo Teismo 2012 m. gegužės 15 d. nutartis </w:t>
      </w:r>
      <w:r>
        <w:t xml:space="preserve">baudžiamojoje byloje </w:t>
      </w:r>
      <w:r w:rsidRPr="00C174DC">
        <w:t>Nr. 2K-283/2012</w:t>
      </w:r>
      <w:r>
        <w:t>.</w:t>
      </w:r>
    </w:p>
  </w:footnote>
  <w:footnote w:id="473">
    <w:p w:rsidR="00E0371E" w:rsidRDefault="00E0371E" w:rsidP="009850B7">
      <w:pPr>
        <w:pStyle w:val="Puslapioinaostekstas"/>
        <w:jc w:val="both"/>
      </w:pPr>
      <w:r>
        <w:rPr>
          <w:rStyle w:val="Puslapioinaosnuoroda"/>
        </w:rPr>
        <w:footnoteRef/>
      </w:r>
      <w:r w:rsidRPr="00744CAA">
        <w:t xml:space="preserve">Lietuvos Respublikos baudžiamojo proceso kodekso 3, 9, 40, 63, 64, 145, 147, 152, 154, 158, 160, 161, 162, 163, 170, 172, 178, 179, 181, 183, 212, 214, 217, 218, 220, 237, 254, 276, 372, 373, 374-1, 374-2, 418, 419, 421, 422, 426, 429 straipsnių pakeitimo ir papildymo ir Kodekso papildymo 3-2, 160-1 straipsniais įstatymas. </w:t>
      </w:r>
      <w:r w:rsidRPr="00744CAA">
        <w:rPr>
          <w:i/>
        </w:rPr>
        <w:t>Valstybės žinios</w:t>
      </w:r>
      <w:r w:rsidRPr="00744CAA">
        <w:t>. 2011, Nr. 81-3965.</w:t>
      </w:r>
    </w:p>
  </w:footnote>
  <w:footnote w:id="474">
    <w:p w:rsidR="00E0371E" w:rsidRDefault="00E0371E" w:rsidP="004D19AA">
      <w:pPr>
        <w:pStyle w:val="Puslapioinaostekstas"/>
        <w:jc w:val="both"/>
      </w:pPr>
      <w:r>
        <w:rPr>
          <w:rStyle w:val="Puslapioinaosnuoroda"/>
        </w:rPr>
        <w:footnoteRef/>
      </w:r>
      <w:r>
        <w:t xml:space="preserve">Ažubalytė, R., Jurgaitis, R., Zajančkauskienė, J. </w:t>
      </w:r>
      <w:r w:rsidRPr="00C72C52">
        <w:rPr>
          <w:i/>
        </w:rPr>
        <w:t>Specifinės baudžiamojo proceso rūšys: vadovėlis</w:t>
      </w:r>
      <w:r w:rsidRPr="00C72C52">
        <w:t>. Vilniu</w:t>
      </w:r>
      <w:r>
        <w:t>s</w:t>
      </w:r>
      <w:r w:rsidRPr="00C72C52">
        <w:t>: Myk</w:t>
      </w:r>
      <w:r>
        <w:t>olo Romerio universitetas, 2011, p. 150.</w:t>
      </w:r>
    </w:p>
  </w:footnote>
  <w:footnote w:id="475">
    <w:p w:rsidR="00E0371E" w:rsidRDefault="00E0371E" w:rsidP="009850B7">
      <w:pPr>
        <w:pStyle w:val="Puslapioinaostekstas"/>
        <w:jc w:val="both"/>
      </w:pPr>
      <w:r>
        <w:rPr>
          <w:rStyle w:val="Puslapioinaosnuoroda"/>
        </w:rPr>
        <w:footnoteRef/>
      </w:r>
      <w:r>
        <w:t xml:space="preserve">Jurka, R. Imuniteto įveikimas privataus kaltinimo bylų procese: esama būklė ir perspektyvos.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248.</w:t>
      </w:r>
    </w:p>
  </w:footnote>
  <w:footnote w:id="476">
    <w:p w:rsidR="00E0371E" w:rsidRDefault="00E0371E" w:rsidP="00904F31">
      <w:pPr>
        <w:pStyle w:val="Puslapioinaostekstas"/>
        <w:jc w:val="both"/>
      </w:pPr>
      <w:r>
        <w:rPr>
          <w:rStyle w:val="Puslapioinaosnuoroda"/>
        </w:rPr>
        <w:footnoteRef/>
      </w:r>
      <w:r w:rsidRPr="006C038B">
        <w:t>Lietuvos Respublikos Seimo statutas</w:t>
      </w:r>
      <w:r>
        <w:t xml:space="preserve">. </w:t>
      </w:r>
      <w:r w:rsidRPr="00CF0859">
        <w:rPr>
          <w:i/>
        </w:rPr>
        <w:t>Valstybės žinios</w:t>
      </w:r>
      <w:r>
        <w:t>.</w:t>
      </w:r>
      <w:r w:rsidRPr="006C038B">
        <w:t xml:space="preserve"> 1994, Nr. 15-249; 1999, Nr. 5-97</w:t>
      </w:r>
      <w:r>
        <w:t xml:space="preserve">. </w:t>
      </w:r>
      <w:r w:rsidRPr="00904F31">
        <w:t>Lietuvos Respublikos Seimo rinkimų įstatymas</w:t>
      </w:r>
      <w:r>
        <w:t xml:space="preserve">. </w:t>
      </w:r>
      <w:r w:rsidRPr="00CF0859">
        <w:rPr>
          <w:i/>
        </w:rPr>
        <w:t>Valstybės žinios</w:t>
      </w:r>
      <w:r>
        <w:t>. 20</w:t>
      </w:r>
      <w:r w:rsidRPr="00904F31">
        <w:t>00, Nr. 59-1760</w:t>
      </w:r>
      <w:r>
        <w:t xml:space="preserve">. </w:t>
      </w:r>
      <w:r w:rsidRPr="00EF297D">
        <w:t>Lietuvos Respublikos teismų įstatymas</w:t>
      </w:r>
      <w:r>
        <w:t xml:space="preserve">. </w:t>
      </w:r>
      <w:r w:rsidRPr="00CF0859">
        <w:rPr>
          <w:i/>
        </w:rPr>
        <w:t>Valstybės žinios</w:t>
      </w:r>
      <w:r>
        <w:rPr>
          <w:i/>
        </w:rPr>
        <w:t>.</w:t>
      </w:r>
      <w:r w:rsidRPr="00EF297D">
        <w:t xml:space="preserve"> 1994, Nr. 46-851; 2002, Nr. 17-649</w:t>
      </w:r>
      <w:r>
        <w:t>.</w:t>
      </w:r>
    </w:p>
  </w:footnote>
  <w:footnote w:id="477">
    <w:p w:rsidR="00E0371E" w:rsidRDefault="00E0371E" w:rsidP="006C038B">
      <w:pPr>
        <w:pStyle w:val="Puslapioinaostekstas"/>
        <w:jc w:val="both"/>
      </w:pPr>
      <w:r>
        <w:rPr>
          <w:rStyle w:val="Puslapioinaosnuoroda"/>
        </w:rPr>
        <w:footnoteRef/>
      </w:r>
      <w:r w:rsidRPr="00151168">
        <w:t xml:space="preserve">Vilniaus apygardos teismo 2012 m. spalio 22 d. nutartis </w:t>
      </w:r>
      <w:r>
        <w:t>baudžiamojoje byloje Nr. 1S-788-628/2012.</w:t>
      </w:r>
    </w:p>
  </w:footnote>
  <w:footnote w:id="478">
    <w:p w:rsidR="00E0371E" w:rsidRPr="00F93D17" w:rsidRDefault="00E0371E" w:rsidP="00F93D17">
      <w:pPr>
        <w:jc w:val="both"/>
        <w:rPr>
          <w:color w:val="000000"/>
          <w:sz w:val="20"/>
          <w:szCs w:val="20"/>
        </w:rPr>
      </w:pPr>
      <w:r w:rsidRPr="00F93D17">
        <w:rPr>
          <w:rStyle w:val="Puslapioinaosnuoroda"/>
          <w:sz w:val="20"/>
          <w:szCs w:val="20"/>
        </w:rPr>
        <w:footnoteRef/>
      </w:r>
      <w:r w:rsidRPr="00F93D17">
        <w:rPr>
          <w:i/>
          <w:sz w:val="20"/>
          <w:szCs w:val="20"/>
        </w:rPr>
        <w:t>Ielo v. Italy</w:t>
      </w:r>
      <w:r w:rsidRPr="00F93D17">
        <w:rPr>
          <w:i/>
          <w:iCs/>
          <w:sz w:val="20"/>
          <w:szCs w:val="20"/>
        </w:rPr>
        <w:t xml:space="preserve">, </w:t>
      </w:r>
      <w:r w:rsidRPr="00F93D17">
        <w:rPr>
          <w:iCs/>
          <w:sz w:val="20"/>
          <w:szCs w:val="20"/>
        </w:rPr>
        <w:t>no. 23053/02</w:t>
      </w:r>
      <w:r w:rsidRPr="00F93D17">
        <w:rPr>
          <w:sz w:val="20"/>
          <w:szCs w:val="20"/>
        </w:rPr>
        <w:t xml:space="preserve">, 6 December 2005. </w:t>
      </w:r>
      <w:r w:rsidRPr="00F93D17">
        <w:rPr>
          <w:i/>
          <w:sz w:val="20"/>
          <w:szCs w:val="20"/>
        </w:rPr>
        <w:t>Patrono, Cascini and Stefanelli v. Italy</w:t>
      </w:r>
      <w:r w:rsidRPr="00F93D17">
        <w:rPr>
          <w:iCs/>
          <w:sz w:val="20"/>
          <w:szCs w:val="20"/>
        </w:rPr>
        <w:t xml:space="preserve">, no. 10180/04, 20 April 2006. </w:t>
      </w:r>
      <w:r w:rsidRPr="00F93D17">
        <w:rPr>
          <w:i/>
          <w:sz w:val="20"/>
          <w:szCs w:val="20"/>
        </w:rPr>
        <w:t>Tsalkitzis v. Greece</w:t>
      </w:r>
      <w:r w:rsidRPr="00F93D17">
        <w:rPr>
          <w:sz w:val="20"/>
          <w:szCs w:val="20"/>
        </w:rPr>
        <w:t xml:space="preserve">, </w:t>
      </w:r>
      <w:r w:rsidRPr="00F93D17">
        <w:rPr>
          <w:iCs/>
          <w:sz w:val="20"/>
          <w:szCs w:val="20"/>
        </w:rPr>
        <w:t>no. 11801/04, 16 November 2006.</w:t>
      </w:r>
    </w:p>
  </w:footnote>
  <w:footnote w:id="479">
    <w:p w:rsidR="00E0371E" w:rsidRDefault="00E0371E" w:rsidP="004D19AA">
      <w:pPr>
        <w:pStyle w:val="Puslapioinaostekstas"/>
        <w:jc w:val="both"/>
      </w:pPr>
      <w:r>
        <w:rPr>
          <w:rStyle w:val="Puslapioinaosnuoroda"/>
        </w:rPr>
        <w:footnoteRef/>
      </w:r>
      <w:r w:rsidRPr="008D273F">
        <w:rPr>
          <w:bCs/>
        </w:rPr>
        <w:t>Lietuvos apeliacinio teismo 2007 m. gruodžio mėn. 21 d. nutartis baudžiamojoje bylo</w:t>
      </w:r>
      <w:r>
        <w:rPr>
          <w:bCs/>
        </w:rPr>
        <w:t>j</w:t>
      </w:r>
      <w:r w:rsidRPr="008D273F">
        <w:rPr>
          <w:bCs/>
        </w:rPr>
        <w:t>e Nr. 1N-49/2007</w:t>
      </w:r>
      <w:r>
        <w:rPr>
          <w:bCs/>
        </w:rPr>
        <w:t xml:space="preserve">, </w:t>
      </w:r>
      <w:r w:rsidRPr="008D273F">
        <w:rPr>
          <w:bCs/>
        </w:rPr>
        <w:t>2007 m. gruodžio mėn. 21 d. nutartis baudžiamojoje bylo</w:t>
      </w:r>
      <w:r>
        <w:rPr>
          <w:bCs/>
        </w:rPr>
        <w:t>j</w:t>
      </w:r>
      <w:r w:rsidRPr="008D273F">
        <w:rPr>
          <w:bCs/>
        </w:rPr>
        <w:t>e</w:t>
      </w:r>
      <w:r>
        <w:rPr>
          <w:bCs/>
        </w:rPr>
        <w:t xml:space="preserve"> Nr. 1N-48/2007.</w:t>
      </w:r>
    </w:p>
  </w:footnote>
  <w:footnote w:id="480">
    <w:p w:rsidR="00E0371E" w:rsidRDefault="00E0371E" w:rsidP="004D19AA">
      <w:pPr>
        <w:pStyle w:val="Puslapioinaostekstas"/>
        <w:jc w:val="both"/>
      </w:pPr>
      <w:r>
        <w:rPr>
          <w:rStyle w:val="Puslapioinaosnuoroda"/>
        </w:rPr>
        <w:footnoteRef/>
      </w:r>
      <w:r>
        <w:t>Lietuvos Respublikos Seimas atsisakė leisti patraukti atsakomybėn Seimo narius A. Sacharuką, P.</w:t>
      </w:r>
      <w:r w:rsidRPr="00F34941">
        <w:t xml:space="preserve"> Gražul</w:t>
      </w:r>
      <w:r>
        <w:t>į</w:t>
      </w:r>
      <w:r w:rsidRPr="00F34941">
        <w:t>, K</w:t>
      </w:r>
      <w:r>
        <w:t>. Uoką</w:t>
      </w:r>
      <w:r w:rsidRPr="00F34941">
        <w:t xml:space="preserve"> ir R</w:t>
      </w:r>
      <w:r>
        <w:t>.</w:t>
      </w:r>
      <w:r w:rsidRPr="00F34941">
        <w:t xml:space="preserve"> Žilinsk</w:t>
      </w:r>
      <w:r>
        <w:t xml:space="preserve">ą, nors, pvz., R. Žilinskas buvo kaltinamas nusikalstama veika, kuri buvo padaryta dar iki jo išrinkimo į Seimą. </w:t>
      </w:r>
      <w:r w:rsidRPr="003448BF">
        <w:t>Digrytė, E. Seimas spręs, ar panaikinti R.</w:t>
      </w:r>
      <w:r>
        <w:t xml:space="preserve"> </w:t>
      </w:r>
      <w:r w:rsidRPr="003448BF">
        <w:t>Žilinsko, V.</w:t>
      </w:r>
      <w:r>
        <w:t xml:space="preserve"> </w:t>
      </w:r>
      <w:r w:rsidRPr="003448BF">
        <w:t>Uspaskicho ir V.</w:t>
      </w:r>
      <w:r>
        <w:t xml:space="preserve"> </w:t>
      </w:r>
      <w:r w:rsidRPr="003448BF">
        <w:t>Gapšio neliečiamybę</w:t>
      </w:r>
      <w:r>
        <w:t>.</w:t>
      </w:r>
      <w:r w:rsidRPr="003448BF">
        <w:t xml:space="preserve"> </w:t>
      </w:r>
      <w:r w:rsidRPr="003448BF">
        <w:rPr>
          <w:i/>
        </w:rPr>
        <w:t>Delfi</w:t>
      </w:r>
      <w:r w:rsidRPr="003448BF">
        <w:t xml:space="preserve"> [interaktyvus]</w:t>
      </w:r>
      <w:r>
        <w:t>.</w:t>
      </w:r>
      <w:r w:rsidRPr="003448BF">
        <w:t xml:space="preserve"> 2008 [žiūrėta 2011-02-28]</w:t>
      </w:r>
      <w:r>
        <w:t>.</w:t>
      </w:r>
      <w:r w:rsidRPr="003448BF">
        <w:t xml:space="preserve"> &lt;</w:t>
      </w:r>
      <w:hyperlink r:id="rId22" w:history="1">
        <w:r w:rsidRPr="00760037">
          <w:rPr>
            <w:rStyle w:val="Hipersaitas"/>
          </w:rPr>
          <w:t>http://www.delfi.lt/news/daily/lithuania/seimas-spres-ar-panaikinti-rzilinsko-vuspaskicho-ir-vgapsio-nelieciamybe.d?id=19451756</w:t>
        </w:r>
      </w:hyperlink>
      <w:r w:rsidRPr="003448BF">
        <w:t>&gt;.</w:t>
      </w:r>
      <w:r>
        <w:t xml:space="preserve"> </w:t>
      </w:r>
      <w:r w:rsidRPr="003448BF">
        <w:t>Seimas paliko teisinę neliečiamybę P.</w:t>
      </w:r>
      <w:r>
        <w:t xml:space="preserve"> </w:t>
      </w:r>
      <w:r w:rsidRPr="003448BF">
        <w:t>Gražuliui ir K.</w:t>
      </w:r>
      <w:r>
        <w:t xml:space="preserve"> </w:t>
      </w:r>
      <w:r w:rsidRPr="003448BF">
        <w:t>Uokai.</w:t>
      </w:r>
      <w:r>
        <w:rPr>
          <w:i/>
        </w:rPr>
        <w:t xml:space="preserve"> Delfi</w:t>
      </w:r>
      <w:r w:rsidRPr="003448BF">
        <w:rPr>
          <w:i/>
        </w:rPr>
        <w:t xml:space="preserve"> </w:t>
      </w:r>
      <w:r w:rsidRPr="003448BF">
        <w:t>[interaktyvus]</w:t>
      </w:r>
      <w:r>
        <w:t>.</w:t>
      </w:r>
      <w:r w:rsidRPr="003448BF">
        <w:t xml:space="preserve"> 2010 [žiūrėta 2011-02-25]</w:t>
      </w:r>
      <w:r>
        <w:t>.</w:t>
      </w:r>
      <w:r w:rsidRPr="003448BF">
        <w:t xml:space="preserve"> &lt;http://m.delfi.lt/naujienos/article.php?id=37674515&gt;.</w:t>
      </w:r>
      <w:r>
        <w:t xml:space="preserve"> </w:t>
      </w:r>
      <w:r w:rsidRPr="00742E3C">
        <w:t>Seimas paliko A.Sacharukui neliečiamybę</w:t>
      </w:r>
      <w:r>
        <w:t>.</w:t>
      </w:r>
      <w:r w:rsidRPr="00742E3C">
        <w:t xml:space="preserve"> </w:t>
      </w:r>
      <w:r>
        <w:rPr>
          <w:i/>
        </w:rPr>
        <w:t>Respublika</w:t>
      </w:r>
      <w:r>
        <w:t xml:space="preserve"> [interaktyvus]. 2010 [žiūrėta 2011-02-25]. &lt;</w:t>
      </w:r>
      <w:r w:rsidRPr="00F34941">
        <w:t>http://www.respublika.lt/lt/naujienos/lietuva/lietuvos_politika/seimas_paliko_asacharukui_nelieciamybe_atnaujinta_1235/,print.1</w:t>
      </w:r>
      <w:r>
        <w:t>&gt;.</w:t>
      </w:r>
    </w:p>
  </w:footnote>
  <w:footnote w:id="481">
    <w:p w:rsidR="00E0371E" w:rsidRPr="00F93D17" w:rsidRDefault="00E0371E" w:rsidP="00F93D17">
      <w:pPr>
        <w:jc w:val="both"/>
        <w:rPr>
          <w:sz w:val="20"/>
          <w:szCs w:val="20"/>
        </w:rPr>
      </w:pPr>
      <w:r w:rsidRPr="00F93D17">
        <w:rPr>
          <w:rStyle w:val="Puslapioinaosnuoroda"/>
          <w:sz w:val="20"/>
          <w:szCs w:val="20"/>
        </w:rPr>
        <w:footnoteRef/>
      </w:r>
      <w:r w:rsidRPr="00F93D17">
        <w:rPr>
          <w:i/>
          <w:iCs/>
          <w:sz w:val="20"/>
          <w:szCs w:val="20"/>
        </w:rPr>
        <w:t>Běleš and Others v. the Czech Republic</w:t>
      </w:r>
      <w:r w:rsidRPr="00F93D17">
        <w:rPr>
          <w:sz w:val="20"/>
          <w:szCs w:val="20"/>
        </w:rPr>
        <w:t xml:space="preserve">, no. 47273/99, 12 November 2002, ECHR 2002-IX. </w:t>
      </w:r>
      <w:r w:rsidRPr="00F93D17">
        <w:rPr>
          <w:i/>
          <w:sz w:val="20"/>
          <w:szCs w:val="20"/>
        </w:rPr>
        <w:t>Cudak v. Lithuania</w:t>
      </w:r>
      <w:r w:rsidRPr="00F93D17">
        <w:rPr>
          <w:sz w:val="20"/>
          <w:szCs w:val="20"/>
        </w:rPr>
        <w:t>, [GC], no. 15869/02, 23 March 2010.</w:t>
      </w:r>
    </w:p>
  </w:footnote>
  <w:footnote w:id="482">
    <w:p w:rsidR="00E0371E" w:rsidRPr="0027564E" w:rsidRDefault="00E0371E" w:rsidP="004D19AA">
      <w:pPr>
        <w:pStyle w:val="Puslapioinaostekstas"/>
        <w:jc w:val="both"/>
      </w:pPr>
      <w:r>
        <w:rPr>
          <w:rStyle w:val="Puslapioinaosnuoroda"/>
        </w:rPr>
        <w:footnoteRef/>
      </w:r>
      <w:r w:rsidRPr="0027564E">
        <w:rPr>
          <w:bCs/>
        </w:rPr>
        <w:t xml:space="preserve">Lietuvos apeliacinio teismo 2007 m. gruodžio mėn. 21 d. nutartis </w:t>
      </w:r>
      <w:r>
        <w:t xml:space="preserve">baudžiamojoje byloje </w:t>
      </w:r>
      <w:r w:rsidRPr="0027564E">
        <w:rPr>
          <w:bCs/>
        </w:rPr>
        <w:t>Nr. 1N-49/2007</w:t>
      </w:r>
      <w:r>
        <w:rPr>
          <w:bCs/>
        </w:rPr>
        <w:t>,</w:t>
      </w:r>
      <w:r w:rsidRPr="0027564E">
        <w:rPr>
          <w:bCs/>
        </w:rPr>
        <w:t xml:space="preserve"> 2007 m. gruodžio mėn. 21 d. nutartis </w:t>
      </w:r>
      <w:r>
        <w:t>baudžiamojoje byloje</w:t>
      </w:r>
      <w:r>
        <w:rPr>
          <w:bCs/>
        </w:rPr>
        <w:t xml:space="preserve"> Nr. 1N-48/2007.</w:t>
      </w:r>
    </w:p>
  </w:footnote>
  <w:footnote w:id="483">
    <w:p w:rsidR="00E0371E" w:rsidRPr="00D821FB" w:rsidRDefault="00E0371E">
      <w:pPr>
        <w:pStyle w:val="Puslapioinaostekstas"/>
      </w:pPr>
      <w:r>
        <w:rPr>
          <w:rStyle w:val="Puslapioinaosnuoroda"/>
        </w:rPr>
        <w:footnoteRef/>
      </w:r>
      <w:r w:rsidRPr="00D821FB">
        <w:t xml:space="preserve">Vilniaus apygardos teismo 2013 m. rugsėjo 30 d. nutartis </w:t>
      </w:r>
      <w:r>
        <w:t xml:space="preserve">baudžiamojoje byloje </w:t>
      </w:r>
      <w:r w:rsidRPr="00D821FB">
        <w:t>Nr. 1A-476-166-2013.</w:t>
      </w:r>
    </w:p>
  </w:footnote>
  <w:footnote w:id="484">
    <w:p w:rsidR="00E0371E" w:rsidRDefault="00E0371E" w:rsidP="00E47F66">
      <w:pPr>
        <w:pStyle w:val="Puslapioinaostekstas"/>
        <w:jc w:val="both"/>
      </w:pPr>
      <w:r>
        <w:rPr>
          <w:rStyle w:val="Puslapioinaosnuoroda"/>
        </w:rPr>
        <w:footnoteRef/>
      </w:r>
      <w:r>
        <w:t xml:space="preserve">Jurka, R. Imuniteto įveikimas privataus kaltinimo bylų procese: esama būklė ir perspektyvos.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252.</w:t>
      </w:r>
    </w:p>
  </w:footnote>
  <w:footnote w:id="485">
    <w:p w:rsidR="00E0371E" w:rsidRDefault="00E0371E" w:rsidP="00E47F66">
      <w:pPr>
        <w:pStyle w:val="Puslapioinaostekstas"/>
        <w:jc w:val="both"/>
      </w:pPr>
      <w:r>
        <w:rPr>
          <w:rStyle w:val="Puslapioinaosnuoroda"/>
        </w:rPr>
        <w:footnoteRef/>
      </w:r>
      <w:r>
        <w:t xml:space="preserve">Jurka, R. Imuniteto įveikimas privataus kaltinimo bylų procese: esama būklė ir perspektyvos.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252.</w:t>
      </w:r>
    </w:p>
  </w:footnote>
  <w:footnote w:id="486">
    <w:p w:rsidR="00E0371E" w:rsidRDefault="00E0371E">
      <w:pPr>
        <w:pStyle w:val="Puslapioinaostekstas"/>
      </w:pPr>
      <w:r>
        <w:rPr>
          <w:rStyle w:val="Puslapioinaosnuoroda"/>
        </w:rPr>
        <w:footnoteRef/>
      </w:r>
      <w:r w:rsidRPr="00EC011B">
        <w:t xml:space="preserve">Klaipėdos apygardos teismo 2012 m. birželio 29 d. nutartis </w:t>
      </w:r>
      <w:r>
        <w:t xml:space="preserve">baudžiamojoje byloje Nr. 1-201-361/2012. </w:t>
      </w:r>
    </w:p>
  </w:footnote>
  <w:footnote w:id="487">
    <w:p w:rsidR="00E0371E" w:rsidRPr="0009110F" w:rsidRDefault="00E0371E" w:rsidP="001C7F25">
      <w:pPr>
        <w:ind w:right="57"/>
        <w:jc w:val="both"/>
        <w:rPr>
          <w:sz w:val="20"/>
          <w:szCs w:val="20"/>
        </w:rPr>
      </w:pPr>
      <w:r>
        <w:rPr>
          <w:rStyle w:val="Puslapioinaosnuoroda"/>
        </w:rPr>
        <w:footnoteRef/>
      </w:r>
      <w:r w:rsidRPr="0009110F">
        <w:rPr>
          <w:sz w:val="20"/>
          <w:szCs w:val="20"/>
        </w:rPr>
        <w:t>Vilniaus apygardos teismo 2008 m. balandžio 11d. nutar</w:t>
      </w:r>
      <w:r>
        <w:rPr>
          <w:sz w:val="20"/>
          <w:szCs w:val="20"/>
        </w:rPr>
        <w:t xml:space="preserve">tis </w:t>
      </w:r>
      <w:r w:rsidRPr="00DC4F0D">
        <w:rPr>
          <w:sz w:val="20"/>
        </w:rPr>
        <w:t xml:space="preserve">baudžiamojoje byloje </w:t>
      </w:r>
      <w:r>
        <w:rPr>
          <w:sz w:val="20"/>
          <w:szCs w:val="20"/>
        </w:rPr>
        <w:t xml:space="preserve">Nr. 1S-286-51/2008, </w:t>
      </w:r>
      <w:r w:rsidRPr="0070600C">
        <w:rPr>
          <w:sz w:val="20"/>
          <w:szCs w:val="20"/>
        </w:rPr>
        <w:t xml:space="preserve">2009 m. rugsėjo 28 d. nutartis </w:t>
      </w:r>
      <w:r w:rsidRPr="0044728D">
        <w:rPr>
          <w:sz w:val="20"/>
        </w:rPr>
        <w:t xml:space="preserve">baudžiamojoje byloje </w:t>
      </w:r>
      <w:r>
        <w:rPr>
          <w:sz w:val="20"/>
          <w:szCs w:val="20"/>
        </w:rPr>
        <w:t xml:space="preserve">Nr. 1S-758-190-2009, </w:t>
      </w:r>
      <w:r w:rsidRPr="003E3757">
        <w:rPr>
          <w:sz w:val="20"/>
          <w:szCs w:val="20"/>
        </w:rPr>
        <w:t xml:space="preserve">2009 m. spalio 7 d. nutartis </w:t>
      </w:r>
      <w:r w:rsidRPr="0044728D">
        <w:rPr>
          <w:sz w:val="20"/>
          <w:szCs w:val="20"/>
        </w:rPr>
        <w:t xml:space="preserve">baudžiamojoje byloje </w:t>
      </w:r>
      <w:r>
        <w:rPr>
          <w:sz w:val="20"/>
          <w:szCs w:val="20"/>
        </w:rPr>
        <w:t xml:space="preserve">Nr. 1S-816-376-2009, </w:t>
      </w:r>
      <w:r w:rsidRPr="003E3757">
        <w:rPr>
          <w:sz w:val="20"/>
          <w:szCs w:val="20"/>
        </w:rPr>
        <w:t xml:space="preserve">2009 m. lapkričio 24 d. nutartis </w:t>
      </w:r>
      <w:r w:rsidRPr="0044728D">
        <w:rPr>
          <w:sz w:val="20"/>
          <w:szCs w:val="20"/>
        </w:rPr>
        <w:t xml:space="preserve">baudžiamojoje byloje </w:t>
      </w:r>
      <w:r>
        <w:rPr>
          <w:sz w:val="20"/>
          <w:szCs w:val="20"/>
        </w:rPr>
        <w:t xml:space="preserve">Nr. 1S-988-92-2009, </w:t>
      </w:r>
      <w:r w:rsidRPr="003E3757">
        <w:rPr>
          <w:sz w:val="20"/>
          <w:szCs w:val="20"/>
        </w:rPr>
        <w:t xml:space="preserve">2011 m. lapkričio 8 d. nutartis </w:t>
      </w:r>
      <w:r w:rsidRPr="0044728D">
        <w:rPr>
          <w:sz w:val="20"/>
          <w:szCs w:val="20"/>
        </w:rPr>
        <w:t xml:space="preserve">baudžiamojoje byloje </w:t>
      </w:r>
      <w:r>
        <w:rPr>
          <w:sz w:val="20"/>
          <w:szCs w:val="20"/>
        </w:rPr>
        <w:t xml:space="preserve">Nr. 1S-628-376/2011. </w:t>
      </w:r>
    </w:p>
  </w:footnote>
  <w:footnote w:id="488">
    <w:p w:rsidR="00E0371E" w:rsidRDefault="00E0371E" w:rsidP="004D19AA">
      <w:pPr>
        <w:pStyle w:val="Puslapioinaostekstas"/>
        <w:jc w:val="both"/>
      </w:pPr>
      <w:r>
        <w:rPr>
          <w:rStyle w:val="Puslapioinaosnuoroda"/>
        </w:rPr>
        <w:footnoteRef/>
      </w:r>
      <w:r w:rsidRPr="00531902">
        <w:t xml:space="preserve">Lietuvos Respublikos Konstitucinio Teismo </w:t>
      </w:r>
      <w:r>
        <w:t xml:space="preserve">2006 m. sausio 16 d. nutarimas. </w:t>
      </w:r>
      <w:r w:rsidRPr="00927F5E">
        <w:rPr>
          <w:i/>
        </w:rPr>
        <w:t>Valstybės žinios</w:t>
      </w:r>
      <w:r>
        <w:t xml:space="preserve">. 2007, Nr. 7-254. </w:t>
      </w:r>
    </w:p>
  </w:footnote>
  <w:footnote w:id="489">
    <w:p w:rsidR="00E0371E" w:rsidRPr="003347CA" w:rsidRDefault="00E0371E" w:rsidP="003347CA">
      <w:pPr>
        <w:jc w:val="both"/>
        <w:rPr>
          <w:sz w:val="20"/>
          <w:szCs w:val="20"/>
        </w:rPr>
      </w:pPr>
      <w:r w:rsidRPr="003347CA">
        <w:rPr>
          <w:rStyle w:val="Puslapioinaosnuoroda"/>
          <w:sz w:val="20"/>
          <w:szCs w:val="20"/>
        </w:rPr>
        <w:footnoteRef/>
      </w:r>
      <w:r w:rsidRPr="003347CA">
        <w:rPr>
          <w:sz w:val="20"/>
          <w:szCs w:val="20"/>
        </w:rPr>
        <w:t xml:space="preserve">Konstitucijos 118 straipsnis. Lietuvos Respublikos Konstitucija. </w:t>
      </w:r>
      <w:r w:rsidRPr="003347CA">
        <w:rPr>
          <w:i/>
          <w:sz w:val="20"/>
          <w:szCs w:val="20"/>
        </w:rPr>
        <w:t>Lietuvos Aidas</w:t>
      </w:r>
      <w:r w:rsidRPr="003347CA">
        <w:rPr>
          <w:sz w:val="20"/>
          <w:szCs w:val="20"/>
        </w:rPr>
        <w:t xml:space="preserve">. 1992, Nr. 220. </w:t>
      </w:r>
      <w:r w:rsidRPr="003347CA">
        <w:rPr>
          <w:i/>
          <w:sz w:val="20"/>
          <w:szCs w:val="20"/>
        </w:rPr>
        <w:t>Valstybės žinios</w:t>
      </w:r>
      <w:r w:rsidRPr="003347CA">
        <w:rPr>
          <w:sz w:val="20"/>
          <w:szCs w:val="20"/>
        </w:rPr>
        <w:t xml:space="preserve">. 1992, Nr. 33-1014. Prokuratūros įstatymo 12 straipsnio 3 dalis. Lietuvos Respublikos prokuratūros įstatymas. </w:t>
      </w:r>
      <w:r w:rsidRPr="003347CA">
        <w:rPr>
          <w:bCs/>
          <w:i/>
          <w:sz w:val="20"/>
          <w:szCs w:val="20"/>
        </w:rPr>
        <w:t>Valstybės žinios</w:t>
      </w:r>
      <w:r w:rsidRPr="003347CA">
        <w:rPr>
          <w:bCs/>
          <w:sz w:val="20"/>
          <w:szCs w:val="20"/>
        </w:rPr>
        <w:t xml:space="preserve">. </w:t>
      </w:r>
      <w:r w:rsidRPr="003347CA">
        <w:rPr>
          <w:sz w:val="20"/>
          <w:szCs w:val="20"/>
        </w:rPr>
        <w:t xml:space="preserve">1994, Nr. 81-1514; 2003, Nr. 42-1919. Specialiųjų tyrimų tarnybos įstatymo 17 straipsnio 1 dalis. Lietuvos Respublikos specialiųjų tyrimų tarnybos įstatymas. </w:t>
      </w:r>
      <w:r w:rsidRPr="003347CA">
        <w:rPr>
          <w:i/>
          <w:sz w:val="20"/>
          <w:szCs w:val="20"/>
        </w:rPr>
        <w:t>Valstybės žinios</w:t>
      </w:r>
      <w:r w:rsidRPr="003347CA">
        <w:rPr>
          <w:sz w:val="20"/>
          <w:szCs w:val="20"/>
        </w:rPr>
        <w:t xml:space="preserve">. 2000, Nr. 41-1162. </w:t>
      </w:r>
    </w:p>
  </w:footnote>
  <w:footnote w:id="490">
    <w:p w:rsidR="00E0371E" w:rsidRPr="003347CA" w:rsidRDefault="00E0371E" w:rsidP="003347CA">
      <w:pPr>
        <w:pStyle w:val="Puslapioinaostekstas"/>
        <w:jc w:val="both"/>
      </w:pPr>
      <w:r w:rsidRPr="003347CA">
        <w:rPr>
          <w:rStyle w:val="Puslapioinaosnuoroda"/>
        </w:rPr>
        <w:footnoteRef/>
      </w:r>
      <w:r w:rsidRPr="003347CA">
        <w:t>Vilniaus apygardos teismo 2011 m. gruodžio 19 d. nutartis baudžiamojoje byloje Nr. 1S-733-495/2011.</w:t>
      </w:r>
    </w:p>
  </w:footnote>
  <w:footnote w:id="491">
    <w:p w:rsidR="00E0371E" w:rsidRPr="00670A0F" w:rsidRDefault="00E0371E" w:rsidP="00670A0F">
      <w:pPr>
        <w:jc w:val="both"/>
        <w:rPr>
          <w:sz w:val="20"/>
        </w:rPr>
      </w:pPr>
      <w:r w:rsidRPr="00670A0F">
        <w:rPr>
          <w:rStyle w:val="Puslapioinaosnuoroda"/>
          <w:sz w:val="20"/>
        </w:rPr>
        <w:footnoteRef/>
      </w:r>
      <w:r w:rsidRPr="00670A0F">
        <w:rPr>
          <w:sz w:val="20"/>
        </w:rPr>
        <w:t>Lietuvos apeliacinio teismo 2013 m. lapkričio 4 d. nutartis baudžiamojoje byloje Nr. 1N-180/2013, 2013 m. birželio 7 d. nutartis baudžiamojoje byloje Nr. 1N-79/2013, Klaipėdos apygardos teismo 2013 m. gegužės 15 d. nutartis baudžiamojoje byloje Nr. 1-151-380/2013, Vilniaus apygardos teismo 2011 m. gruodžio 19 d. nutartis baudžiamojoje byloje Nr. 1S-733-495/2011.</w:t>
      </w:r>
      <w:r>
        <w:rPr>
          <w:sz w:val="20"/>
        </w:rPr>
        <w:t xml:space="preserve"> </w:t>
      </w:r>
    </w:p>
  </w:footnote>
  <w:footnote w:id="492">
    <w:p w:rsidR="00E0371E" w:rsidRPr="003347CA" w:rsidRDefault="00E0371E" w:rsidP="003347CA">
      <w:pPr>
        <w:jc w:val="both"/>
        <w:rPr>
          <w:sz w:val="20"/>
          <w:szCs w:val="20"/>
        </w:rPr>
      </w:pPr>
      <w:r w:rsidRPr="003347CA">
        <w:rPr>
          <w:rStyle w:val="Puslapioinaosnuoroda"/>
          <w:sz w:val="20"/>
          <w:szCs w:val="20"/>
        </w:rPr>
        <w:footnoteRef/>
      </w:r>
      <w:r w:rsidRPr="003347CA">
        <w:rPr>
          <w:sz w:val="20"/>
          <w:szCs w:val="20"/>
        </w:rPr>
        <w:t xml:space="preserve">Gil, D. </w:t>
      </w:r>
      <w:r w:rsidRPr="003347CA">
        <w:rPr>
          <w:i/>
          <w:sz w:val="20"/>
          <w:szCs w:val="20"/>
          <w:lang w:val="pl-PL"/>
        </w:rPr>
        <w:t xml:space="preserve">Postępowanie w sprawach z oskarżenia prywatnego w polskim procesie karnym. </w:t>
      </w:r>
      <w:proofErr w:type="gramStart"/>
      <w:r w:rsidRPr="00006AF4">
        <w:rPr>
          <w:sz w:val="20"/>
          <w:szCs w:val="20"/>
          <w:lang w:val="en-US"/>
        </w:rPr>
        <w:t>Daktaro disertacija.</w:t>
      </w:r>
      <w:proofErr w:type="gramEnd"/>
      <w:r w:rsidRPr="00006AF4">
        <w:rPr>
          <w:sz w:val="20"/>
          <w:szCs w:val="20"/>
          <w:lang w:val="en-US"/>
        </w:rPr>
        <w:t xml:space="preserve"> </w:t>
      </w:r>
      <w:proofErr w:type="gramStart"/>
      <w:r w:rsidRPr="00006AF4">
        <w:rPr>
          <w:sz w:val="20"/>
          <w:szCs w:val="20"/>
          <w:lang w:val="en-US"/>
        </w:rPr>
        <w:t>Socialiniai mokslai (teisė).</w:t>
      </w:r>
      <w:proofErr w:type="gramEnd"/>
      <w:r w:rsidRPr="00006AF4">
        <w:rPr>
          <w:sz w:val="20"/>
          <w:szCs w:val="20"/>
          <w:lang w:val="en-US"/>
        </w:rPr>
        <w:t xml:space="preserve"> Warszawa, 2011, p. 102-112. </w:t>
      </w:r>
      <w:r w:rsidRPr="002531B6">
        <w:rPr>
          <w:sz w:val="20"/>
          <w:szCs w:val="20"/>
        </w:rPr>
        <w:t>Code of Criminal Procedure of the Republic of Poland [interak</w:t>
      </w:r>
      <w:r>
        <w:rPr>
          <w:sz w:val="20"/>
          <w:szCs w:val="20"/>
        </w:rPr>
        <w:t>tyvus]. [žiūrėta 2013-06-05]. &lt;</w:t>
      </w:r>
      <w:r w:rsidRPr="002531B6">
        <w:rPr>
          <w:sz w:val="20"/>
          <w:szCs w:val="20"/>
        </w:rPr>
        <w:t>file:///C:/Users/User/Downloads/Polish%20CPC%201997_am%202003_en%20(2).pdf&gt;.</w:t>
      </w:r>
    </w:p>
  </w:footnote>
  <w:footnote w:id="493">
    <w:p w:rsidR="00E0371E" w:rsidRDefault="00E0371E" w:rsidP="00D04833">
      <w:pPr>
        <w:pStyle w:val="Puslapioinaostekstas"/>
        <w:jc w:val="both"/>
      </w:pPr>
      <w:r>
        <w:rPr>
          <w:rStyle w:val="Puslapioinaosnuoroda"/>
        </w:rPr>
        <w:footnoteRef/>
      </w:r>
      <w:r>
        <w:t xml:space="preserve">Lietuvos Respublikos baudžiamojo proceso kodekso 28 straipsnio pakeitimo įstatymo projektas Nr. </w:t>
      </w:r>
      <w:r w:rsidRPr="00660F5B">
        <w:t>XIIP-878(2)</w:t>
      </w:r>
      <w:r>
        <w:t>. Pateiktas 2013-08-05 [interaktyvus] [žiūrėta 2013-11-15] &lt;</w:t>
      </w:r>
      <w:r w:rsidRPr="00660F5B">
        <w:t>http://www3.lrs.lt/pls/inter3/dokpaieska.showdoc_l?p_id=454409&amp;p_query=28%20straipsnio&amp;p_tr2=2</w:t>
      </w:r>
      <w:r>
        <w:t>&gt;.</w:t>
      </w:r>
    </w:p>
  </w:footnote>
  <w:footnote w:id="494">
    <w:p w:rsidR="00E0371E" w:rsidRPr="00270E75" w:rsidRDefault="00E0371E" w:rsidP="00D04833">
      <w:pPr>
        <w:pStyle w:val="Puslapioinaostekstas"/>
        <w:jc w:val="both"/>
      </w:pPr>
      <w:r w:rsidRPr="00AD782A">
        <w:rPr>
          <w:rStyle w:val="Puslapioinaosnuoroda"/>
        </w:rPr>
        <w:footnoteRef/>
      </w:r>
      <w:r>
        <w:t xml:space="preserve">Pripažinti juridinį asmenį, o taip pat ir valstybę nukentėjusiuoju siūlė S. Juzukonis. Juzukonis, S. </w:t>
      </w:r>
      <w:r w:rsidRPr="00361386">
        <w:rPr>
          <w:i/>
        </w:rPr>
        <w:t>Nukentėjusiojo teisių apsauga baudžiamajame procese</w:t>
      </w:r>
      <w:r>
        <w:t xml:space="preserve">. Daktaro disertacija. Socialiniai mokslai (teisė). Vilnius: Lietuvos teisės universitetas, 2002, p. 51, 59. Ažubalytė, R., Jurgaitis, R., Zajančkauskienė, J. </w:t>
      </w:r>
      <w:r w:rsidRPr="00CF2D35">
        <w:rPr>
          <w:i/>
        </w:rPr>
        <w:t>Specifinės baudžiamojo proceso rūšys</w:t>
      </w:r>
      <w:r>
        <w:rPr>
          <w:i/>
        </w:rPr>
        <w:t>: vadovėlis</w:t>
      </w:r>
      <w:r>
        <w:t xml:space="preserve">. Vilnius: Mykolo Romerio Universitetas, 2011, p. 138. LAT jurisprudencijoje </w:t>
      </w:r>
      <w:r w:rsidRPr="00AD782A">
        <w:t xml:space="preserve">yra </w:t>
      </w:r>
      <w:r>
        <w:t>pasisakyta</w:t>
      </w:r>
      <w:r w:rsidRPr="00AD782A">
        <w:t xml:space="preserve">, kad nukentėjusysis ir nukentėjęs asmuo yra netapačios sąvokos </w:t>
      </w:r>
      <w:r>
        <w:t>bei</w:t>
      </w:r>
      <w:r w:rsidRPr="00AD782A">
        <w:t xml:space="preserve"> kad nukentėjęs asmuo gali būti ir juridinis</w:t>
      </w:r>
      <w:r w:rsidRPr="00B92CDF">
        <w:t xml:space="preserve"> </w:t>
      </w:r>
      <w:r>
        <w:t>asmuo</w:t>
      </w:r>
      <w:r w:rsidRPr="00AD782A">
        <w:t>, tačiau tai neišsprendžia sisteminės problemos.</w:t>
      </w:r>
      <w:r w:rsidRPr="00B92CDF">
        <w:t xml:space="preserve"> </w:t>
      </w:r>
      <w:r>
        <w:t>Lietuvos Aukščiausiojo T</w:t>
      </w:r>
      <w:r w:rsidRPr="00AD782A">
        <w:t xml:space="preserve">eismo 2005 m. lapkričio 14 d. nutartis </w:t>
      </w:r>
      <w:r>
        <w:t xml:space="preserve">baudžiamojoje byloje Nr. 2K-P-464/2005. </w:t>
      </w:r>
    </w:p>
  </w:footnote>
  <w:footnote w:id="495">
    <w:p w:rsidR="00E0371E" w:rsidRDefault="00E0371E" w:rsidP="004D19AA">
      <w:pPr>
        <w:pStyle w:val="Puslapioinaostekstas"/>
        <w:jc w:val="both"/>
      </w:pPr>
      <w:r>
        <w:rPr>
          <w:rStyle w:val="Puslapioinaosnuoroda"/>
        </w:rPr>
        <w:footnoteRef/>
      </w:r>
      <w:r>
        <w:t xml:space="preserve">BPK 312 str. 3 d. civilinis ieškovas negali paduoti apeliacinio skundo dėl bausmės, tik dėl civilinio ieškinio. </w:t>
      </w:r>
    </w:p>
  </w:footnote>
  <w:footnote w:id="496">
    <w:p w:rsidR="00E0371E" w:rsidRDefault="00E0371E" w:rsidP="006505DE">
      <w:pPr>
        <w:pStyle w:val="Puslapioinaostekstas"/>
        <w:jc w:val="both"/>
      </w:pPr>
      <w:r>
        <w:rPr>
          <w:rStyle w:val="Puslapioinaosnuoroda"/>
        </w:rPr>
        <w:footnoteRef/>
      </w:r>
      <w:r>
        <w:t>Pavyzdžiui, BPK 312 straipsnio 3 dalyje numatyta, kad c</w:t>
      </w:r>
      <w:r w:rsidRPr="006505DE">
        <w:t xml:space="preserve">ivilinis ieškovas, civilinis atsakovas ir jų atstovai turi teisę paduoti apeliacinius skundus </w:t>
      </w:r>
      <w:r>
        <w:t xml:space="preserve">tik </w:t>
      </w:r>
      <w:r w:rsidRPr="006505DE">
        <w:t xml:space="preserve">dėl </w:t>
      </w:r>
      <w:r>
        <w:t xml:space="preserve">tos </w:t>
      </w:r>
      <w:r w:rsidRPr="006505DE">
        <w:t>nuosprendžio dalies, kuri yra susijusi su civiliniu ieškiniu.</w:t>
      </w:r>
    </w:p>
  </w:footnote>
  <w:footnote w:id="497">
    <w:p w:rsidR="00E0371E" w:rsidRPr="003D0A65" w:rsidRDefault="00E0371E" w:rsidP="004D19AA">
      <w:pPr>
        <w:pStyle w:val="Puslapioinaostekstas"/>
        <w:jc w:val="both"/>
      </w:pPr>
      <w:r>
        <w:rPr>
          <w:rStyle w:val="Puslapioinaosnuoroda"/>
        </w:rPr>
        <w:footnoteRef/>
      </w:r>
      <w:r>
        <w:t xml:space="preserve">Von Savigny, F. K. </w:t>
      </w:r>
      <w:r w:rsidRPr="00532AD0">
        <w:rPr>
          <w:i/>
        </w:rPr>
        <w:t>System des heutigen römischen Rechts</w:t>
      </w:r>
      <w:r w:rsidRPr="003D0A65">
        <w:t xml:space="preserve">. </w:t>
      </w:r>
      <w:r>
        <w:t>II tomas.</w:t>
      </w:r>
      <w:r w:rsidRPr="003D0A65">
        <w:t xml:space="preserve"> Berlin, 1840</w:t>
      </w:r>
      <w:r>
        <w:t xml:space="preserve">, </w:t>
      </w:r>
      <w:r w:rsidRPr="003D0A65">
        <w:t xml:space="preserve">p. 310. Cituota pagal Soloveičikas, D. </w:t>
      </w:r>
      <w:r w:rsidRPr="00532AD0">
        <w:rPr>
          <w:i/>
        </w:rPr>
        <w:t>Juridinių asmenų baudžiamoji atsakomybė</w:t>
      </w:r>
      <w:r w:rsidRPr="003D0A65">
        <w:t>.</w:t>
      </w:r>
      <w:r>
        <w:t xml:space="preserve"> Vilnius: Justitia, 2006, p. 62. </w:t>
      </w:r>
    </w:p>
  </w:footnote>
  <w:footnote w:id="498">
    <w:p w:rsidR="00E0371E" w:rsidRDefault="00E0371E" w:rsidP="00BC1378">
      <w:pPr>
        <w:autoSpaceDE w:val="0"/>
        <w:autoSpaceDN w:val="0"/>
        <w:adjustRightInd w:val="0"/>
        <w:jc w:val="both"/>
      </w:pPr>
      <w:r>
        <w:rPr>
          <w:rStyle w:val="Puslapioinaosnuoroda"/>
        </w:rPr>
        <w:footnoteRef/>
      </w:r>
      <w:r>
        <w:rPr>
          <w:sz w:val="20"/>
          <w:szCs w:val="20"/>
          <w:lang w:eastAsia="lt-LT"/>
        </w:rPr>
        <w:t xml:space="preserve">Cirtautienė, S. </w:t>
      </w:r>
      <w:r>
        <w:rPr>
          <w:i/>
          <w:iCs/>
          <w:sz w:val="20"/>
          <w:szCs w:val="20"/>
          <w:lang w:eastAsia="lt-LT"/>
        </w:rPr>
        <w:t>Šiuolaikinė neturtin</w:t>
      </w:r>
      <w:r>
        <w:rPr>
          <w:rFonts w:ascii="TimesNewRoman,Italic" w:eastAsia="TimesNewRoman,Italic" w:cs="TimesNewRoman,Italic"/>
          <w:i/>
          <w:iCs/>
          <w:sz w:val="20"/>
          <w:szCs w:val="20"/>
          <w:lang w:eastAsia="lt-LT"/>
        </w:rPr>
        <w:t>ė</w:t>
      </w:r>
      <w:r>
        <w:rPr>
          <w:i/>
          <w:iCs/>
          <w:sz w:val="20"/>
          <w:szCs w:val="20"/>
          <w:lang w:eastAsia="lt-LT"/>
        </w:rPr>
        <w:t>s žalos atlyginimo, kaip civilini</w:t>
      </w:r>
      <w:r>
        <w:rPr>
          <w:rFonts w:ascii="TimesNewRoman,Italic" w:eastAsia="TimesNewRoman,Italic" w:cs="TimesNewRoman,Italic" w:hint="eastAsia"/>
          <w:i/>
          <w:iCs/>
          <w:sz w:val="20"/>
          <w:szCs w:val="20"/>
          <w:lang w:eastAsia="lt-LT"/>
        </w:rPr>
        <w:t>ų</w:t>
      </w:r>
      <w:r>
        <w:rPr>
          <w:rFonts w:ascii="TimesNewRoman,Italic" w:eastAsia="TimesNewRoman,Italic" w:cs="TimesNewRoman,Italic"/>
          <w:i/>
          <w:iCs/>
          <w:sz w:val="20"/>
          <w:szCs w:val="20"/>
          <w:lang w:eastAsia="lt-LT"/>
        </w:rPr>
        <w:t xml:space="preserve"> </w:t>
      </w:r>
      <w:r>
        <w:rPr>
          <w:i/>
          <w:iCs/>
          <w:sz w:val="20"/>
          <w:szCs w:val="20"/>
          <w:lang w:eastAsia="lt-LT"/>
        </w:rPr>
        <w:t>teisi</w:t>
      </w:r>
      <w:r>
        <w:rPr>
          <w:rFonts w:ascii="TimesNewRoman,Italic" w:eastAsia="TimesNewRoman,Italic" w:cs="TimesNewRoman,Italic" w:hint="eastAsia"/>
          <w:i/>
          <w:iCs/>
          <w:sz w:val="20"/>
          <w:szCs w:val="20"/>
          <w:lang w:eastAsia="lt-LT"/>
        </w:rPr>
        <w:t>ų</w:t>
      </w:r>
      <w:r>
        <w:rPr>
          <w:rFonts w:ascii="TimesNewRoman,Italic" w:eastAsia="TimesNewRoman,Italic" w:cs="TimesNewRoman,Italic"/>
          <w:i/>
          <w:iCs/>
          <w:sz w:val="20"/>
          <w:szCs w:val="20"/>
          <w:lang w:eastAsia="lt-LT"/>
        </w:rPr>
        <w:t xml:space="preserve"> </w:t>
      </w:r>
      <w:r>
        <w:rPr>
          <w:i/>
          <w:iCs/>
          <w:sz w:val="20"/>
          <w:szCs w:val="20"/>
          <w:lang w:eastAsia="lt-LT"/>
        </w:rPr>
        <w:t>gynimo b</w:t>
      </w:r>
      <w:r>
        <w:rPr>
          <w:rFonts w:ascii="TimesNewRoman,Italic" w:eastAsia="TimesNewRoman,Italic" w:cs="TimesNewRoman,Italic" w:hint="eastAsia"/>
          <w:i/>
          <w:iCs/>
          <w:sz w:val="20"/>
          <w:szCs w:val="20"/>
          <w:lang w:eastAsia="lt-LT"/>
        </w:rPr>
        <w:t>ū</w:t>
      </w:r>
      <w:r>
        <w:rPr>
          <w:i/>
          <w:iCs/>
          <w:sz w:val="20"/>
          <w:szCs w:val="20"/>
          <w:lang w:eastAsia="lt-LT"/>
        </w:rPr>
        <w:t>do, koncepcija</w:t>
      </w:r>
      <w:r>
        <w:rPr>
          <w:sz w:val="20"/>
          <w:szCs w:val="20"/>
          <w:lang w:eastAsia="lt-LT"/>
        </w:rPr>
        <w:t>. Daktaro disertacija. Socialiniai mokslai (teisė). Vilnius: Mykolo Romerio universitetas, 2008, p. 146, 148-153. Cirtautienė, S. Neturtinės žalos atlyginimo tretiesiems asmenims galimyb</w:t>
      </w:r>
      <w:r>
        <w:rPr>
          <w:rFonts w:ascii="TimesNewRoman" w:eastAsia="TimesNewRoman" w:cs="TimesNewRoman"/>
          <w:sz w:val="20"/>
          <w:szCs w:val="20"/>
          <w:lang w:eastAsia="lt-LT"/>
        </w:rPr>
        <w:t>ė</w:t>
      </w:r>
      <w:r>
        <w:rPr>
          <w:sz w:val="20"/>
          <w:szCs w:val="20"/>
          <w:lang w:eastAsia="lt-LT"/>
        </w:rPr>
        <w:t>s sveikatos sužalojimo ir gyvyb</w:t>
      </w:r>
      <w:r>
        <w:rPr>
          <w:rFonts w:ascii="TimesNewRoman" w:eastAsia="TimesNewRoman" w:cs="TimesNewRoman"/>
          <w:sz w:val="20"/>
          <w:szCs w:val="20"/>
          <w:lang w:eastAsia="lt-LT"/>
        </w:rPr>
        <w:t>ė</w:t>
      </w:r>
      <w:r>
        <w:rPr>
          <w:sz w:val="20"/>
          <w:szCs w:val="20"/>
          <w:lang w:eastAsia="lt-LT"/>
        </w:rPr>
        <w:t>s at</w:t>
      </w:r>
      <w:r>
        <w:rPr>
          <w:rFonts w:ascii="TimesNewRoman" w:eastAsia="TimesNewRoman" w:cs="TimesNewRoman"/>
          <w:sz w:val="20"/>
          <w:szCs w:val="20"/>
          <w:lang w:eastAsia="lt-LT"/>
        </w:rPr>
        <w:t>ė</w:t>
      </w:r>
      <w:r>
        <w:rPr>
          <w:sz w:val="20"/>
          <w:szCs w:val="20"/>
          <w:lang w:eastAsia="lt-LT"/>
        </w:rPr>
        <w:t xml:space="preserve">mimo atveju. </w:t>
      </w:r>
      <w:r>
        <w:rPr>
          <w:i/>
          <w:iCs/>
          <w:sz w:val="20"/>
          <w:szCs w:val="20"/>
          <w:lang w:eastAsia="lt-LT"/>
        </w:rPr>
        <w:t>Justitia.</w:t>
      </w:r>
      <w:r>
        <w:rPr>
          <w:sz w:val="20"/>
          <w:szCs w:val="20"/>
          <w:lang w:eastAsia="lt-LT"/>
        </w:rPr>
        <w:t xml:space="preserve"> 2006, 2 (60): 30-39; 2006, 3 (61). Cirtautienė, S. Juridinio asmens teisės </w:t>
      </w:r>
      <w:r>
        <w:rPr>
          <w:rFonts w:ascii="TimesNewRoman" w:eastAsia="TimesNewRoman" w:cs="TimesNewRoman" w:hint="eastAsia"/>
          <w:sz w:val="20"/>
          <w:szCs w:val="20"/>
          <w:lang w:eastAsia="lt-LT"/>
        </w:rPr>
        <w:t>į</w:t>
      </w:r>
      <w:r>
        <w:rPr>
          <w:rFonts w:ascii="TimesNewRoman" w:eastAsia="TimesNewRoman" w:cs="TimesNewRoman"/>
          <w:sz w:val="20"/>
          <w:szCs w:val="20"/>
          <w:lang w:eastAsia="lt-LT"/>
        </w:rPr>
        <w:t xml:space="preserve"> </w:t>
      </w:r>
      <w:r>
        <w:rPr>
          <w:sz w:val="20"/>
          <w:szCs w:val="20"/>
          <w:lang w:eastAsia="lt-LT"/>
        </w:rPr>
        <w:t>neturtinės žalos atlyginim</w:t>
      </w:r>
      <w:r>
        <w:rPr>
          <w:rFonts w:ascii="TimesNewRoman" w:eastAsia="TimesNewRoman" w:cs="TimesNewRoman" w:hint="eastAsia"/>
          <w:sz w:val="20"/>
          <w:szCs w:val="20"/>
          <w:lang w:eastAsia="lt-LT"/>
        </w:rPr>
        <w:t>ą</w:t>
      </w:r>
      <w:r>
        <w:rPr>
          <w:rFonts w:ascii="TimesNewRoman" w:eastAsia="TimesNewRoman" w:cs="TimesNewRoman"/>
          <w:sz w:val="20"/>
          <w:szCs w:val="20"/>
          <w:lang w:eastAsia="lt-LT"/>
        </w:rPr>
        <w:t xml:space="preserve"> </w:t>
      </w:r>
      <w:r>
        <w:rPr>
          <w:sz w:val="20"/>
          <w:szCs w:val="20"/>
          <w:lang w:eastAsia="lt-LT"/>
        </w:rPr>
        <w:t xml:space="preserve">kitimo tendencijos civilinės teisės derinimo kontekstu. In </w:t>
      </w:r>
      <w:r>
        <w:rPr>
          <w:i/>
          <w:iCs/>
          <w:sz w:val="20"/>
          <w:szCs w:val="20"/>
          <w:lang w:eastAsia="lt-LT"/>
        </w:rPr>
        <w:t xml:space="preserve">Šiuolaikinės civilinės teisės raidos tendencijos ir perspektyvos. </w:t>
      </w:r>
      <w:r w:rsidRPr="004F7491">
        <w:rPr>
          <w:i/>
          <w:sz w:val="20"/>
          <w:szCs w:val="20"/>
          <w:lang w:eastAsia="lt-LT"/>
        </w:rPr>
        <w:t>Mokslini</w:t>
      </w:r>
      <w:r w:rsidRPr="004F7491">
        <w:rPr>
          <w:rFonts w:ascii="TimesNewRoman" w:eastAsia="TimesNewRoman" w:cs="TimesNewRoman" w:hint="eastAsia"/>
          <w:i/>
          <w:sz w:val="20"/>
          <w:szCs w:val="20"/>
          <w:lang w:eastAsia="lt-LT"/>
        </w:rPr>
        <w:t>ų</w:t>
      </w:r>
      <w:r w:rsidRPr="004F7491">
        <w:rPr>
          <w:rFonts w:ascii="TimesNewRoman" w:eastAsia="TimesNewRoman" w:cs="TimesNewRoman"/>
          <w:i/>
          <w:sz w:val="20"/>
          <w:szCs w:val="20"/>
          <w:lang w:eastAsia="lt-LT"/>
        </w:rPr>
        <w:t xml:space="preserve"> </w:t>
      </w:r>
      <w:r w:rsidRPr="004F7491">
        <w:rPr>
          <w:i/>
          <w:sz w:val="20"/>
          <w:szCs w:val="20"/>
          <w:lang w:eastAsia="lt-LT"/>
        </w:rPr>
        <w:t>straipsni</w:t>
      </w:r>
      <w:r w:rsidRPr="004F7491">
        <w:rPr>
          <w:rFonts w:ascii="TimesNewRoman" w:eastAsia="TimesNewRoman" w:cs="TimesNewRoman" w:hint="eastAsia"/>
          <w:i/>
          <w:sz w:val="20"/>
          <w:szCs w:val="20"/>
          <w:lang w:eastAsia="lt-LT"/>
        </w:rPr>
        <w:t>ų</w:t>
      </w:r>
      <w:r w:rsidRPr="004F7491">
        <w:rPr>
          <w:rFonts w:ascii="TimesNewRoman" w:eastAsia="TimesNewRoman" w:cs="TimesNewRoman"/>
          <w:i/>
          <w:sz w:val="20"/>
          <w:szCs w:val="20"/>
          <w:lang w:eastAsia="lt-LT"/>
        </w:rPr>
        <w:t xml:space="preserve"> </w:t>
      </w:r>
      <w:r w:rsidRPr="004F7491">
        <w:rPr>
          <w:i/>
          <w:sz w:val="20"/>
          <w:szCs w:val="20"/>
          <w:lang w:eastAsia="lt-LT"/>
        </w:rPr>
        <w:t>rinkinys</w:t>
      </w:r>
      <w:r>
        <w:rPr>
          <w:sz w:val="20"/>
          <w:szCs w:val="20"/>
          <w:lang w:eastAsia="lt-LT"/>
        </w:rPr>
        <w:t xml:space="preserve">. (red. V. Mizaras), Vilnius, 2007, p. 22-38. Mikelėnienė, D., Mikelėnas, V. Neturtinės žalos kompensavimas. </w:t>
      </w:r>
      <w:r>
        <w:rPr>
          <w:i/>
          <w:iCs/>
          <w:sz w:val="20"/>
          <w:szCs w:val="20"/>
          <w:lang w:eastAsia="lt-LT"/>
        </w:rPr>
        <w:t>Justitia</w:t>
      </w:r>
      <w:r>
        <w:rPr>
          <w:sz w:val="20"/>
          <w:szCs w:val="20"/>
          <w:lang w:eastAsia="lt-LT"/>
        </w:rPr>
        <w:t>. 1998, 2: 2-5; 23-25; 1998, 3: 6-9; 25.</w:t>
      </w:r>
    </w:p>
  </w:footnote>
  <w:footnote w:id="499">
    <w:p w:rsidR="00E0371E" w:rsidRPr="00CB5B98" w:rsidRDefault="00E0371E" w:rsidP="004D19AA">
      <w:pPr>
        <w:pStyle w:val="Puslapioinaostekstas"/>
        <w:jc w:val="both"/>
      </w:pPr>
      <w:r>
        <w:rPr>
          <w:rStyle w:val="Puslapioinaosnuoroda"/>
        </w:rPr>
        <w:footnoteRef/>
      </w:r>
      <w:r w:rsidRPr="001876A6">
        <w:t xml:space="preserve">Strafprozeβordnung [interaktyvus]. [žiūrėta 2010-07-28]. </w:t>
      </w:r>
      <w:r w:rsidRPr="004F7491">
        <w:t>&lt;http://www.gesetze-im-internet.de/stpo/index.html&gt;.</w:t>
      </w:r>
      <w:r>
        <w:t xml:space="preserve"> </w:t>
      </w:r>
    </w:p>
  </w:footnote>
  <w:footnote w:id="500">
    <w:p w:rsidR="00E0371E" w:rsidRDefault="00E0371E" w:rsidP="004D19AA">
      <w:pPr>
        <w:pStyle w:val="Puslapioinaostekstas"/>
        <w:jc w:val="both"/>
      </w:pPr>
      <w:r>
        <w:rPr>
          <w:rStyle w:val="Puslapioinaosnuoroda"/>
        </w:rPr>
        <w:footnoteRef/>
      </w:r>
      <w:r w:rsidRPr="002531B6">
        <w:t>Code of Criminal Procedure of the Republic of Poland [interaktyvu</w:t>
      </w:r>
      <w:r>
        <w:t>s]. [žiūrėta 2013-06-05]. &lt;</w:t>
      </w:r>
      <w:r w:rsidRPr="002531B6">
        <w:t>file:///C:/Users/User/Downloads/Polish%20CPC%201997_am%202003_en%20(2).pdf&gt;.</w:t>
      </w:r>
    </w:p>
  </w:footnote>
  <w:footnote w:id="501">
    <w:p w:rsidR="00E0371E" w:rsidRPr="00CB7F2F" w:rsidRDefault="00E0371E" w:rsidP="00630E77">
      <w:pPr>
        <w:autoSpaceDE w:val="0"/>
        <w:autoSpaceDN w:val="0"/>
        <w:adjustRightInd w:val="0"/>
        <w:jc w:val="both"/>
        <w:rPr>
          <w:sz w:val="20"/>
          <w:szCs w:val="20"/>
        </w:rPr>
      </w:pPr>
      <w:r>
        <w:rPr>
          <w:rStyle w:val="Puslapioinaosnuoroda"/>
        </w:rPr>
        <w:footnoteRef/>
      </w:r>
      <w:r w:rsidRPr="002A4187">
        <w:rPr>
          <w:sz w:val="20"/>
          <w:szCs w:val="20"/>
        </w:rPr>
        <w:t xml:space="preserve">Aleksandrov, A. S. </w:t>
      </w:r>
      <w:r w:rsidRPr="002A4187">
        <w:rPr>
          <w:i/>
          <w:sz w:val="20"/>
          <w:szCs w:val="20"/>
        </w:rPr>
        <w:t>Dispozitivnost v ugolovnom proces</w:t>
      </w:r>
      <w:r>
        <w:rPr>
          <w:i/>
          <w:sz w:val="20"/>
          <w:szCs w:val="20"/>
        </w:rPr>
        <w:t>s</w:t>
      </w:r>
      <w:r w:rsidRPr="002A4187">
        <w:rPr>
          <w:i/>
          <w:sz w:val="20"/>
          <w:szCs w:val="20"/>
        </w:rPr>
        <w:t>e</w:t>
      </w:r>
      <w:r w:rsidRPr="002A4187">
        <w:rPr>
          <w:sz w:val="20"/>
          <w:szCs w:val="20"/>
        </w:rPr>
        <w:t xml:space="preserve"> [Dispositiveness in Criminal Procedure]. Daktaro disertacija. Socialiniai mokslai (teisė). Nizhnij Novgorod, 1995, p. 2</w:t>
      </w:r>
      <w:r w:rsidRPr="00510FAA">
        <w:rPr>
          <w:sz w:val="20"/>
          <w:szCs w:val="20"/>
        </w:rPr>
        <w:t>17</w:t>
      </w:r>
      <w:r>
        <w:rPr>
          <w:sz w:val="20"/>
          <w:szCs w:val="20"/>
        </w:rPr>
        <w:t>.</w:t>
      </w:r>
      <w:r w:rsidRPr="002A4187">
        <w:rPr>
          <w:sz w:val="20"/>
          <w:szCs w:val="20"/>
        </w:rPr>
        <w:t xml:space="preserve"> </w:t>
      </w:r>
      <w:r w:rsidRPr="00561B97">
        <w:rPr>
          <w:sz w:val="20"/>
          <w:szCs w:val="20"/>
        </w:rPr>
        <w:t xml:space="preserve">Petrova, N. E. </w:t>
      </w:r>
      <w:r w:rsidRPr="00561B97">
        <w:rPr>
          <w:i/>
          <w:sz w:val="20"/>
          <w:szCs w:val="20"/>
        </w:rPr>
        <w:t xml:space="preserve">Chastnoe i subsidiarnoe obvinenie </w:t>
      </w:r>
      <w:r w:rsidRPr="00561B97">
        <w:rPr>
          <w:sz w:val="20"/>
          <w:szCs w:val="20"/>
        </w:rPr>
        <w:t>[Private and Subsidiary Prosecution]. Daktaro disertacija. S</w:t>
      </w:r>
      <w:r w:rsidRPr="002A4187">
        <w:rPr>
          <w:sz w:val="20"/>
          <w:szCs w:val="20"/>
        </w:rPr>
        <w:t xml:space="preserve">ocialiniai mokslai (teisė). </w:t>
      </w:r>
      <w:r w:rsidRPr="00CB7F2F">
        <w:rPr>
          <w:sz w:val="20"/>
          <w:szCs w:val="20"/>
        </w:rPr>
        <w:t xml:space="preserve">Samara, 2004, p. </w:t>
      </w:r>
      <w:r w:rsidRPr="00510FAA">
        <w:rPr>
          <w:sz w:val="20"/>
          <w:szCs w:val="20"/>
        </w:rPr>
        <w:t>105</w:t>
      </w:r>
      <w:r>
        <w:rPr>
          <w:sz w:val="20"/>
          <w:szCs w:val="20"/>
        </w:rPr>
        <w:t>.</w:t>
      </w:r>
    </w:p>
  </w:footnote>
  <w:footnote w:id="502">
    <w:p w:rsidR="00E0371E" w:rsidRPr="00154470" w:rsidRDefault="00E0371E" w:rsidP="00630E77">
      <w:pPr>
        <w:pStyle w:val="Puslapioinaostekstas"/>
        <w:jc w:val="both"/>
      </w:pPr>
      <w:r>
        <w:rPr>
          <w:rStyle w:val="Puslapioinaosnuoroda"/>
        </w:rPr>
        <w:footnoteRef/>
      </w:r>
      <w:r>
        <w:t xml:space="preserve">Soloveičikas D. </w:t>
      </w:r>
      <w:r w:rsidRPr="002A4187">
        <w:rPr>
          <w:i/>
        </w:rPr>
        <w:t>Juridinių asmenų baudžiamoji atsakomybė. Lyginamieji aspektai.</w:t>
      </w:r>
      <w:r>
        <w:t xml:space="preserve"> Vilnius:</w:t>
      </w:r>
      <w:r w:rsidRPr="000031F3">
        <w:t xml:space="preserve"> Justitia</w:t>
      </w:r>
      <w:r>
        <w:t>, 2006, p. 63-64</w:t>
      </w:r>
      <w:r w:rsidRPr="000031F3">
        <w:t xml:space="preserve">. </w:t>
      </w:r>
    </w:p>
  </w:footnote>
  <w:footnote w:id="503">
    <w:p w:rsidR="00E0371E" w:rsidRPr="004024B0" w:rsidRDefault="00E0371E" w:rsidP="00630E77">
      <w:pPr>
        <w:pStyle w:val="Puslapioinaostekstas"/>
        <w:jc w:val="both"/>
      </w:pPr>
      <w:r>
        <w:rPr>
          <w:rStyle w:val="Puslapioinaosnuoroda"/>
        </w:rPr>
        <w:footnoteRef/>
      </w:r>
      <w:r>
        <w:t xml:space="preserve">Plačiau apie tai: Soloveičikas D. </w:t>
      </w:r>
      <w:r w:rsidRPr="002A4187">
        <w:rPr>
          <w:i/>
        </w:rPr>
        <w:t>Juridinių asmenų baudžiamoji atsakomybė. Lyginamieji aspektai.</w:t>
      </w:r>
      <w:r>
        <w:t xml:space="preserve"> Vilnius:</w:t>
      </w:r>
      <w:r w:rsidRPr="000031F3">
        <w:t xml:space="preserve"> Justitia</w:t>
      </w:r>
      <w:r>
        <w:t xml:space="preserve">, 2006, p. </w:t>
      </w:r>
      <w:r w:rsidRPr="000031F3">
        <w:t xml:space="preserve">64-65. </w:t>
      </w:r>
      <w:r>
        <w:t xml:space="preserve">Sinkevičius, E. Juridinių asmenų baudžiamoji atsakomybė pagal 2000 m. baudžiamąjį kodeksą ir jos sąlygos. </w:t>
      </w:r>
      <w:r w:rsidRPr="00D542AE">
        <w:rPr>
          <w:i/>
        </w:rPr>
        <w:t>Teisė</w:t>
      </w:r>
      <w:r>
        <w:t xml:space="preserve">. 2003, 48: 130-143. Drakšas, R. Juridinių asmenų baudžiamosios atsakomybės problematika. </w:t>
      </w:r>
      <w:r w:rsidRPr="00D542AE">
        <w:rPr>
          <w:i/>
        </w:rPr>
        <w:t>Teisė</w:t>
      </w:r>
      <w:r>
        <w:rPr>
          <w:i/>
        </w:rPr>
        <w:t>.</w:t>
      </w:r>
      <w:r>
        <w:t xml:space="preserve"> 2004, 53: 68-79. Šulija, V. Juridinių asmenų baudžiamosios atsakomybės samprata ir taikymo problemos Lietuvoje. </w:t>
      </w:r>
      <w:r w:rsidRPr="00D542AE">
        <w:rPr>
          <w:i/>
        </w:rPr>
        <w:t>Jurisprudencija</w:t>
      </w:r>
      <w:r>
        <w:t xml:space="preserve">. 2003, 41 (33): 91-105. </w:t>
      </w:r>
    </w:p>
  </w:footnote>
  <w:footnote w:id="504">
    <w:p w:rsidR="00E0371E" w:rsidRDefault="00E0371E" w:rsidP="002A4187">
      <w:pPr>
        <w:pStyle w:val="Puslapioinaostekstas"/>
        <w:jc w:val="both"/>
      </w:pPr>
      <w:r>
        <w:rPr>
          <w:rStyle w:val="Puslapioinaosnuoroda"/>
        </w:rPr>
        <w:footnoteRef/>
      </w:r>
      <w:r w:rsidRPr="00B262A3">
        <w:t>CK 2.33 str</w:t>
      </w:r>
      <w:r>
        <w:t>.</w:t>
      </w:r>
      <w:r w:rsidRPr="00B262A3">
        <w:t xml:space="preserve"> prasme juridinis asmuo suprantamas kaip savo pavadinimą turinti įmonė, įstaiga arba organizacija, kuri gali savo vardu įgyti teises bei pareigas, būti ieškovu arba atsakovu teisme.</w:t>
      </w:r>
      <w:r>
        <w:t xml:space="preserve"> Lietuvos Respublikos civilinis kodeksas. </w:t>
      </w:r>
      <w:r w:rsidRPr="00541B80">
        <w:rPr>
          <w:i/>
        </w:rPr>
        <w:t>Valstybės Žinios</w:t>
      </w:r>
      <w:r>
        <w:t xml:space="preserve">. </w:t>
      </w:r>
      <w:r w:rsidRPr="000031F3">
        <w:t>2002, Nr. 15-555.</w:t>
      </w:r>
    </w:p>
  </w:footnote>
  <w:footnote w:id="505">
    <w:p w:rsidR="00E0371E" w:rsidRPr="00312AB7" w:rsidRDefault="00E0371E" w:rsidP="00161B77">
      <w:pPr>
        <w:ind w:right="57"/>
        <w:jc w:val="both"/>
        <w:rPr>
          <w:sz w:val="20"/>
          <w:szCs w:val="20"/>
        </w:rPr>
      </w:pPr>
      <w:r>
        <w:rPr>
          <w:rStyle w:val="Puslapioinaosnuoroda"/>
        </w:rPr>
        <w:footnoteRef/>
      </w:r>
      <w:r w:rsidRPr="00FD373D">
        <w:rPr>
          <w:sz w:val="20"/>
          <w:szCs w:val="20"/>
        </w:rPr>
        <w:t>Vilniaus apygardos teismo 2008</w:t>
      </w:r>
      <w:r>
        <w:rPr>
          <w:sz w:val="20"/>
          <w:szCs w:val="20"/>
        </w:rPr>
        <w:t xml:space="preserve"> </w:t>
      </w:r>
      <w:r w:rsidRPr="00FD373D">
        <w:rPr>
          <w:sz w:val="20"/>
          <w:szCs w:val="20"/>
        </w:rPr>
        <w:t>m. balandžio 11d. nutart</w:t>
      </w:r>
      <w:r>
        <w:rPr>
          <w:sz w:val="20"/>
          <w:szCs w:val="20"/>
        </w:rPr>
        <w:t>is</w:t>
      </w:r>
      <w:r>
        <w:t xml:space="preserve"> </w:t>
      </w:r>
      <w:r>
        <w:rPr>
          <w:sz w:val="20"/>
          <w:szCs w:val="20"/>
        </w:rPr>
        <w:t xml:space="preserve">baudžiamojoje byloje </w:t>
      </w:r>
      <w:r w:rsidRPr="00FD373D">
        <w:rPr>
          <w:sz w:val="20"/>
          <w:szCs w:val="20"/>
        </w:rPr>
        <w:t>Nr. 1S-286-51/2008</w:t>
      </w:r>
      <w:r>
        <w:rPr>
          <w:sz w:val="20"/>
          <w:szCs w:val="20"/>
        </w:rPr>
        <w:t xml:space="preserve">, </w:t>
      </w:r>
      <w:r w:rsidRPr="001F627B">
        <w:rPr>
          <w:sz w:val="20"/>
        </w:rPr>
        <w:t xml:space="preserve">2008 m. sausio 21 d. nutartis </w:t>
      </w:r>
      <w:r>
        <w:rPr>
          <w:sz w:val="20"/>
        </w:rPr>
        <w:t xml:space="preserve">baudžiamojoje byloje Nr. 1-88-518/2008, </w:t>
      </w:r>
      <w:r w:rsidRPr="00A77677">
        <w:rPr>
          <w:sz w:val="20"/>
        </w:rPr>
        <w:t xml:space="preserve">2012 m. balandžio 12 d. nutartis </w:t>
      </w:r>
      <w:r>
        <w:rPr>
          <w:sz w:val="20"/>
        </w:rPr>
        <w:t xml:space="preserve">baudžiamojoje byloje Nr. 1S-193-312/2012. </w:t>
      </w:r>
    </w:p>
  </w:footnote>
  <w:footnote w:id="506">
    <w:p w:rsidR="00E0371E" w:rsidRDefault="00E0371E" w:rsidP="00BE21E4">
      <w:pPr>
        <w:pStyle w:val="Puslapioinaostekstas"/>
      </w:pPr>
      <w:r>
        <w:rPr>
          <w:rStyle w:val="Puslapioinaosnuoroda"/>
        </w:rPr>
        <w:footnoteRef/>
      </w:r>
      <w:r w:rsidRPr="00630E77">
        <w:t xml:space="preserve">Vilniaus apygardos teismo 2012 m. sausio 27 d. nutartis </w:t>
      </w:r>
      <w:r>
        <w:t xml:space="preserve">baudžiamojoje byloje Nr. 1A-194-190-2012. </w:t>
      </w:r>
    </w:p>
  </w:footnote>
  <w:footnote w:id="507">
    <w:p w:rsidR="00E0371E" w:rsidRDefault="00E0371E">
      <w:pPr>
        <w:pStyle w:val="Puslapioinaostekstas"/>
      </w:pPr>
      <w:r>
        <w:rPr>
          <w:rStyle w:val="Puslapioinaosnuoroda"/>
        </w:rPr>
        <w:footnoteRef/>
      </w:r>
      <w:r>
        <w:t>Konkrečios keistinų teisės normų formuluotės pateikiamos pasiūlymuose.</w:t>
      </w:r>
    </w:p>
  </w:footnote>
  <w:footnote w:id="508">
    <w:p w:rsidR="00E0371E" w:rsidRDefault="00E0371E" w:rsidP="008E7E49">
      <w:pPr>
        <w:pStyle w:val="Puslapioinaostekstas"/>
        <w:jc w:val="both"/>
      </w:pPr>
      <w:r w:rsidRPr="00AD782A">
        <w:rPr>
          <w:rStyle w:val="Puslapioinaosnuoroda"/>
        </w:rPr>
        <w:footnoteRef/>
      </w:r>
      <w:r w:rsidRPr="00F12FF2">
        <w:t>Lietuvos Respublikos Konstitucinio Teismo 2006 m. birželio 15 d. nutarimas</w:t>
      </w:r>
      <w:r>
        <w:t xml:space="preserve">. </w:t>
      </w:r>
      <w:r w:rsidRPr="00993334">
        <w:rPr>
          <w:i/>
        </w:rPr>
        <w:t>Valstybės žinios</w:t>
      </w:r>
      <w:r w:rsidRPr="00993334">
        <w:t>. 2006, Nr. 68-2514.</w:t>
      </w:r>
    </w:p>
  </w:footnote>
  <w:footnote w:id="509">
    <w:p w:rsidR="00E0371E" w:rsidRPr="00D66E1B" w:rsidRDefault="00E0371E" w:rsidP="00C11265">
      <w:pPr>
        <w:pStyle w:val="Puslapioinaostekstas"/>
        <w:jc w:val="both"/>
      </w:pPr>
      <w:r w:rsidRPr="00AD782A">
        <w:rPr>
          <w:rStyle w:val="Puslapioinaosnuoroda"/>
        </w:rPr>
        <w:footnoteRef/>
      </w:r>
      <w:r>
        <w:t xml:space="preserve">Lietuvos Respublikos generalinio prokuroro 2008 m. rugpjūčio 11 d. įsakymas </w:t>
      </w:r>
      <w:r w:rsidRPr="0088664B">
        <w:t xml:space="preserve">Nr. </w:t>
      </w:r>
      <w:proofErr w:type="gramStart"/>
      <w:r w:rsidRPr="00A708D3">
        <w:rPr>
          <w:lang w:val="pt-BR"/>
        </w:rPr>
        <w:t>I-110</w:t>
      </w:r>
      <w:r>
        <w:t xml:space="preserve"> ,D</w:t>
      </w:r>
      <w:proofErr w:type="gramEnd"/>
      <w:r>
        <w:t xml:space="preserve">ėl rekomendacijų dėl ikiteisminio tyrimo pradžios ir jos registravimo tvarkos patvirtinimo“. </w:t>
      </w:r>
      <w:r w:rsidRPr="0088664B">
        <w:rPr>
          <w:i/>
        </w:rPr>
        <w:t>Valstybės žinios.</w:t>
      </w:r>
      <w:r>
        <w:t xml:space="preserve">  2008, Nr. 94-3713. </w:t>
      </w:r>
    </w:p>
  </w:footnote>
  <w:footnote w:id="510">
    <w:p w:rsidR="00E0371E" w:rsidRPr="00565255" w:rsidRDefault="00E0371E" w:rsidP="008E7E49">
      <w:pPr>
        <w:pStyle w:val="Puslapioinaostekstas"/>
        <w:jc w:val="both"/>
        <w:rPr>
          <w:i/>
        </w:rPr>
      </w:pPr>
      <w:r>
        <w:rPr>
          <w:rStyle w:val="Puslapioinaosnuoroda"/>
        </w:rPr>
        <w:footnoteRef/>
      </w:r>
      <w:r>
        <w:rPr>
          <w:i/>
        </w:rPr>
        <w:t>„</w:t>
      </w:r>
      <w:r w:rsidRPr="006D5CEA">
        <w:rPr>
          <w:i/>
        </w:rPr>
        <w:t>BPK nenustatyta, kokia konkrečia forma, esant BPK 409 straipsnio 1 dalyje nustatytam pagrindui, turi būti išreikštas prokuroro reikalavimas pradėti ikiteisminį tyrimą, tačiau visada turi būti surašytas motyvuotas sprendimas (paprastai šiuo atveju priimamas nutarimas), kuriame nurodomi išsamūs argumentai, pagrindžiantys BPK 409 straipsnio 1 dalyje nustatytos bent vienos aplinkybės buvimą.</w:t>
      </w:r>
      <w:r>
        <w:rPr>
          <w:i/>
        </w:rPr>
        <w:t xml:space="preserve">“ </w:t>
      </w:r>
      <w:r w:rsidRPr="00C11265">
        <w:t xml:space="preserve">Lietuvos Aukščiausiojo Teismo 2007 m. vasario 13 d. nutartis </w:t>
      </w:r>
      <w:r>
        <w:t xml:space="preserve">baudžiamojoje byloje </w:t>
      </w:r>
      <w:r w:rsidRPr="00C11265">
        <w:t>Nr. 2K-67/2007</w:t>
      </w:r>
      <w:r>
        <w:t>. „</w:t>
      </w:r>
      <w:r w:rsidRPr="00565255">
        <w:rPr>
          <w:i/>
        </w:rPr>
        <w:t xml:space="preserve">Atsižvelgiant į tai, kad </w:t>
      </w:r>
      <w:bookmarkStart w:id="264" w:name="n4_28"/>
      <w:r w:rsidRPr="00565255">
        <w:rPr>
          <w:i/>
        </w:rPr>
        <w:t>sprendimas</w:t>
      </w:r>
      <w:bookmarkStart w:id="265" w:name="pn4_28"/>
      <w:bookmarkEnd w:id="264"/>
      <w:bookmarkEnd w:id="265"/>
      <w:r w:rsidRPr="00565255">
        <w:rPr>
          <w:i/>
        </w:rPr>
        <w:t xml:space="preserve"> turi būti motyvuotas, pagrindžiantis bent vienos </w:t>
      </w:r>
      <w:bookmarkStart w:id="266" w:name="n4_29"/>
      <w:bookmarkEnd w:id="266"/>
      <w:r w:rsidRPr="00565255">
        <w:rPr>
          <w:i/>
        </w:rPr>
        <w:t>BPK 409</w:t>
      </w:r>
      <w:bookmarkStart w:id="267" w:name="pn4_30"/>
      <w:bookmarkEnd w:id="267"/>
      <w:r w:rsidRPr="00565255">
        <w:rPr>
          <w:i/>
        </w:rPr>
        <w:t xml:space="preserve"> straipsnio 1 dalyje nurodytos aplinkybės buvimą, paprastai yra priimamas </w:t>
      </w:r>
      <w:bookmarkStart w:id="268" w:name="n4_31"/>
      <w:r w:rsidRPr="00565255">
        <w:rPr>
          <w:i/>
        </w:rPr>
        <w:t>nutarimas</w:t>
      </w:r>
      <w:bookmarkStart w:id="269" w:name="pn4_31"/>
      <w:bookmarkEnd w:id="268"/>
      <w:bookmarkEnd w:id="269"/>
      <w:r w:rsidRPr="00565255">
        <w:rPr>
          <w:i/>
        </w:rPr>
        <w:t xml:space="preserve"> (</w:t>
      </w:r>
      <w:bookmarkStart w:id="270" w:name="n4_32"/>
      <w:bookmarkEnd w:id="270"/>
      <w:r w:rsidRPr="00565255">
        <w:rPr>
          <w:i/>
        </w:rPr>
        <w:t>BPK</w:t>
      </w:r>
      <w:bookmarkStart w:id="271" w:name="pn4_32"/>
      <w:bookmarkStart w:id="272" w:name="n4_33"/>
      <w:bookmarkEnd w:id="271"/>
      <w:bookmarkEnd w:id="272"/>
      <w:r>
        <w:rPr>
          <w:i/>
        </w:rPr>
        <w:t xml:space="preserve"> </w:t>
      </w:r>
      <w:r w:rsidRPr="00565255">
        <w:rPr>
          <w:i/>
        </w:rPr>
        <w:t>30</w:t>
      </w:r>
      <w:bookmarkStart w:id="273" w:name="pn4_33"/>
      <w:bookmarkEnd w:id="273"/>
      <w:r w:rsidRPr="00565255">
        <w:rPr>
          <w:i/>
        </w:rPr>
        <w:t xml:space="preserve"> straipsnis).</w:t>
      </w:r>
      <w:r>
        <w:rPr>
          <w:i/>
        </w:rPr>
        <w:t xml:space="preserve">“ </w:t>
      </w:r>
      <w:r w:rsidRPr="00F33D7D">
        <w:t>Lietuvos Aukščiausiojo Teismo 20</w:t>
      </w:r>
      <w:r>
        <w:t>10</w:t>
      </w:r>
      <w:r w:rsidRPr="00F33D7D">
        <w:t xml:space="preserve"> m. </w:t>
      </w:r>
      <w:r>
        <w:t>gegužės 25</w:t>
      </w:r>
      <w:r w:rsidRPr="00F33D7D">
        <w:t xml:space="preserve"> d. nutartis </w:t>
      </w:r>
      <w:r>
        <w:t xml:space="preserve">baudžiamojoje byloje </w:t>
      </w:r>
      <w:r w:rsidRPr="00F33D7D">
        <w:t xml:space="preserve">Nr. </w:t>
      </w:r>
      <w:r w:rsidRPr="00E364E3">
        <w:t>2K-178/2010</w:t>
      </w:r>
      <w:r>
        <w:t xml:space="preserve">. Lietuvos Aukščiausiojo Teismo 2014 m. gegužės 13 d. nutartis baudžiamojoje byloje Nr. 2K-258/2014. </w:t>
      </w:r>
    </w:p>
  </w:footnote>
  <w:footnote w:id="511">
    <w:p w:rsidR="00E0371E" w:rsidRPr="00270E75" w:rsidRDefault="00E0371E" w:rsidP="008E7E49">
      <w:pPr>
        <w:jc w:val="both"/>
      </w:pPr>
      <w:r w:rsidRPr="00AD782A">
        <w:rPr>
          <w:rStyle w:val="Puslapioinaosnuoroda"/>
        </w:rPr>
        <w:footnoteRef/>
      </w:r>
      <w:r w:rsidRPr="003C2C25">
        <w:rPr>
          <w:sz w:val="20"/>
          <w:szCs w:val="20"/>
        </w:rPr>
        <w:t xml:space="preserve">Lietuvos Aukščiausiojo Teismo </w:t>
      </w:r>
      <w:r>
        <w:rPr>
          <w:sz w:val="20"/>
          <w:szCs w:val="20"/>
        </w:rPr>
        <w:t xml:space="preserve">2007 m. liepos 24 d. </w:t>
      </w:r>
      <w:r w:rsidRPr="003C2C25">
        <w:rPr>
          <w:sz w:val="20"/>
          <w:szCs w:val="20"/>
        </w:rPr>
        <w:t>nutartis</w:t>
      </w:r>
      <w:r>
        <w:rPr>
          <w:sz w:val="20"/>
          <w:szCs w:val="20"/>
        </w:rPr>
        <w:t xml:space="preserve"> baudžiamojoje byloje</w:t>
      </w:r>
      <w:r w:rsidRPr="003C2C25">
        <w:rPr>
          <w:sz w:val="20"/>
          <w:szCs w:val="20"/>
        </w:rPr>
        <w:t xml:space="preserve"> Nr. 2K – 624/2007.</w:t>
      </w:r>
    </w:p>
  </w:footnote>
  <w:footnote w:id="512">
    <w:p w:rsidR="00E0371E" w:rsidRPr="001376DC" w:rsidRDefault="00E0371E" w:rsidP="008E7E49">
      <w:pPr>
        <w:pStyle w:val="Puslapioinaostekstas"/>
        <w:jc w:val="both"/>
      </w:pPr>
      <w:r>
        <w:rPr>
          <w:rStyle w:val="Puslapioinaosnuoroda"/>
        </w:rPr>
        <w:footnoteRef/>
      </w:r>
      <w:r w:rsidRPr="001376DC">
        <w:rPr>
          <w:bCs/>
        </w:rPr>
        <w:t xml:space="preserve">Lietuvos Aukščiausiojo Teismo 2010 m. balandžio mėn. 13 d. nutartis </w:t>
      </w:r>
      <w:r>
        <w:rPr>
          <w:bCs/>
        </w:rPr>
        <w:t xml:space="preserve">baudžiamojoje byloje </w:t>
      </w:r>
      <w:r w:rsidRPr="001376DC">
        <w:rPr>
          <w:bCs/>
        </w:rPr>
        <w:t>Nr. 2K-146/2010</w:t>
      </w:r>
      <w:r>
        <w:rPr>
          <w:bCs/>
        </w:rPr>
        <w:t>.</w:t>
      </w:r>
    </w:p>
  </w:footnote>
  <w:footnote w:id="513">
    <w:p w:rsidR="00E0371E" w:rsidRPr="003C2C25" w:rsidRDefault="00E0371E" w:rsidP="008E7E49">
      <w:pPr>
        <w:jc w:val="both"/>
        <w:rPr>
          <w:sz w:val="20"/>
          <w:szCs w:val="20"/>
        </w:rPr>
      </w:pPr>
      <w:r w:rsidRPr="003C2C25">
        <w:rPr>
          <w:rStyle w:val="Puslapioinaosnuoroda"/>
          <w:sz w:val="20"/>
          <w:szCs w:val="20"/>
        </w:rPr>
        <w:footnoteRef/>
      </w:r>
      <w:r w:rsidRPr="003C2C25">
        <w:rPr>
          <w:sz w:val="20"/>
          <w:szCs w:val="20"/>
        </w:rPr>
        <w:t xml:space="preserve">Lietuvos Aukščiausiojo Teismo </w:t>
      </w:r>
      <w:r>
        <w:rPr>
          <w:sz w:val="20"/>
          <w:szCs w:val="20"/>
        </w:rPr>
        <w:t xml:space="preserve">2006 m. balandžio 4 d. </w:t>
      </w:r>
      <w:r w:rsidRPr="003C2C25">
        <w:rPr>
          <w:sz w:val="20"/>
          <w:szCs w:val="20"/>
        </w:rPr>
        <w:t xml:space="preserve">nutartis </w:t>
      </w:r>
      <w:r>
        <w:rPr>
          <w:sz w:val="20"/>
          <w:szCs w:val="20"/>
        </w:rPr>
        <w:t>baudžiamojoje byloje Nr. 2K – 234/2006,</w:t>
      </w:r>
      <w:r w:rsidRPr="003C2C25">
        <w:rPr>
          <w:sz w:val="20"/>
          <w:szCs w:val="20"/>
        </w:rPr>
        <w:t xml:space="preserve"> 2007 m. vasario 13 d. nutartis </w:t>
      </w:r>
      <w:r>
        <w:rPr>
          <w:sz w:val="20"/>
          <w:szCs w:val="20"/>
        </w:rPr>
        <w:t>baudžiamojoje byloje Nr. 2K-67/2007,</w:t>
      </w:r>
      <w:r w:rsidRPr="003C2C25">
        <w:rPr>
          <w:sz w:val="20"/>
          <w:szCs w:val="20"/>
        </w:rPr>
        <w:t xml:space="preserve"> </w:t>
      </w:r>
      <w:r>
        <w:rPr>
          <w:sz w:val="20"/>
          <w:szCs w:val="20"/>
        </w:rPr>
        <w:t xml:space="preserve">2007 m. liepos 24 d. </w:t>
      </w:r>
      <w:r w:rsidRPr="003C2C25">
        <w:rPr>
          <w:sz w:val="20"/>
          <w:szCs w:val="20"/>
        </w:rPr>
        <w:t xml:space="preserve">nutartis </w:t>
      </w:r>
      <w:r>
        <w:rPr>
          <w:sz w:val="20"/>
          <w:szCs w:val="20"/>
        </w:rPr>
        <w:t xml:space="preserve">baudžiamojoje byloje </w:t>
      </w:r>
      <w:r w:rsidRPr="003C2C25">
        <w:rPr>
          <w:sz w:val="20"/>
          <w:szCs w:val="20"/>
        </w:rPr>
        <w:t>Nr. 2K – 624/2007.</w:t>
      </w:r>
      <w:r>
        <w:rPr>
          <w:sz w:val="20"/>
          <w:szCs w:val="20"/>
        </w:rPr>
        <w:t xml:space="preserve"> </w:t>
      </w:r>
    </w:p>
  </w:footnote>
  <w:footnote w:id="514">
    <w:p w:rsidR="00E0371E" w:rsidRDefault="00E0371E" w:rsidP="008E7E49">
      <w:pPr>
        <w:pStyle w:val="Puslapioinaostekstas"/>
        <w:jc w:val="both"/>
      </w:pPr>
      <w:r>
        <w:rPr>
          <w:rStyle w:val="Puslapioinaosnuoroda"/>
        </w:rPr>
        <w:footnoteRef/>
      </w:r>
      <w:r w:rsidRPr="001376DC">
        <w:rPr>
          <w:bCs/>
        </w:rPr>
        <w:t>Lietuvos Aukščiausiojo Teismo 200</w:t>
      </w:r>
      <w:r>
        <w:rPr>
          <w:bCs/>
        </w:rPr>
        <w:t>8</w:t>
      </w:r>
      <w:r w:rsidRPr="001376DC">
        <w:rPr>
          <w:bCs/>
        </w:rPr>
        <w:t xml:space="preserve"> m. </w:t>
      </w:r>
      <w:r>
        <w:rPr>
          <w:bCs/>
        </w:rPr>
        <w:t>rugsėj</w:t>
      </w:r>
      <w:r w:rsidRPr="001376DC">
        <w:rPr>
          <w:bCs/>
        </w:rPr>
        <w:t>o mėn. 3</w:t>
      </w:r>
      <w:r>
        <w:rPr>
          <w:bCs/>
        </w:rPr>
        <w:t>0</w:t>
      </w:r>
      <w:r w:rsidRPr="001376DC">
        <w:rPr>
          <w:bCs/>
        </w:rPr>
        <w:t xml:space="preserve"> d. nutartis </w:t>
      </w:r>
      <w:r>
        <w:rPr>
          <w:bCs/>
        </w:rPr>
        <w:t>baudžiamojoje byloje Nr. 2K-375/</w:t>
      </w:r>
      <w:r w:rsidRPr="001376DC">
        <w:rPr>
          <w:bCs/>
        </w:rPr>
        <w:t>200</w:t>
      </w:r>
      <w:r>
        <w:rPr>
          <w:bCs/>
        </w:rPr>
        <w:t xml:space="preserve">8. </w:t>
      </w:r>
      <w:r w:rsidRPr="00AB1E4A">
        <w:t xml:space="preserve">Ažubalytė, R., Jurgaitis, R., Zajančkauskienė, J. </w:t>
      </w:r>
      <w:r w:rsidRPr="00AB1E4A">
        <w:rPr>
          <w:i/>
        </w:rPr>
        <w:t>Specifinės baudžiamojo proceso rūšys: vadovėlis</w:t>
      </w:r>
      <w:r w:rsidRPr="00AB1E4A">
        <w:t>. Vilnius: Mykolo Romerio universitetas, 2011, p.</w:t>
      </w:r>
      <w:r>
        <w:t xml:space="preserve"> 172-173.</w:t>
      </w:r>
    </w:p>
  </w:footnote>
  <w:footnote w:id="515">
    <w:p w:rsidR="00E0371E" w:rsidRDefault="00E0371E" w:rsidP="008E7E49">
      <w:pPr>
        <w:pStyle w:val="Puslapioinaostekstas"/>
        <w:jc w:val="both"/>
      </w:pPr>
      <w:r>
        <w:rPr>
          <w:rStyle w:val="Puslapioinaosnuoroda"/>
        </w:rPr>
        <w:footnoteRef/>
      </w:r>
      <w:r w:rsidRPr="00E87A34">
        <w:t xml:space="preserve">Lietuvos Aukščiausiojo Teismo 2009 m. kovo mėn. 10 d. nutartis </w:t>
      </w:r>
      <w:r>
        <w:t xml:space="preserve">baudžiamojoje byloje </w:t>
      </w:r>
      <w:r w:rsidRPr="00E87A34">
        <w:t>Nr. 2K-107/2009</w:t>
      </w:r>
      <w:r>
        <w:t xml:space="preserve">. </w:t>
      </w:r>
    </w:p>
  </w:footnote>
  <w:footnote w:id="516">
    <w:p w:rsidR="00E0371E" w:rsidRDefault="00E0371E" w:rsidP="008E7E49">
      <w:pPr>
        <w:pStyle w:val="Puslapioinaostekstas"/>
        <w:jc w:val="both"/>
      </w:pPr>
      <w:r>
        <w:rPr>
          <w:rStyle w:val="Puslapioinaosnuoroda"/>
        </w:rPr>
        <w:footnoteRef/>
      </w:r>
      <w:r>
        <w:t xml:space="preserve">Rimšelis, E. </w:t>
      </w:r>
      <w:r w:rsidRPr="001D0752">
        <w:rPr>
          <w:i/>
        </w:rPr>
        <w:t>Esminiai baudžiamojo proceso teisės pažeidimai: samprata, vertinimas ir procesiniai padariniai.</w:t>
      </w:r>
      <w:r>
        <w:t xml:space="preserve"> Daktaro disertacija (teisė). Socialiniai mokslai (teisė). Vilnius: Mykolo Romerio universitetas, 2006, p. 79.</w:t>
      </w:r>
    </w:p>
  </w:footnote>
  <w:footnote w:id="517">
    <w:p w:rsidR="00E0371E" w:rsidRPr="003D34FD" w:rsidRDefault="00E0371E" w:rsidP="008E7E49">
      <w:pPr>
        <w:pStyle w:val="prastasistinklapis"/>
        <w:jc w:val="both"/>
        <w:rPr>
          <w:sz w:val="20"/>
          <w:szCs w:val="20"/>
        </w:rPr>
      </w:pPr>
      <w:r w:rsidRPr="00AD782A">
        <w:rPr>
          <w:rStyle w:val="Puslapioinaosnuoroda"/>
          <w:sz w:val="20"/>
          <w:szCs w:val="20"/>
        </w:rPr>
        <w:footnoteRef/>
      </w:r>
      <w:r w:rsidRPr="00AD782A">
        <w:rPr>
          <w:sz w:val="20"/>
          <w:szCs w:val="20"/>
        </w:rPr>
        <w:t xml:space="preserve">Lietuvos Aukščiausiojo Teismo 2008 m. lapkričio 11 d. nutartis </w:t>
      </w:r>
      <w:r>
        <w:rPr>
          <w:sz w:val="20"/>
          <w:szCs w:val="20"/>
        </w:rPr>
        <w:t xml:space="preserve">baudžiamojoje byloje Nr. 2K–426/2008. </w:t>
      </w:r>
      <w:r w:rsidRPr="003D34FD">
        <w:rPr>
          <w:sz w:val="20"/>
          <w:szCs w:val="20"/>
        </w:rPr>
        <w:t xml:space="preserve">Ažubalytė, R., Jurgaitis, R., Zajančkauskienė, J. </w:t>
      </w:r>
      <w:r w:rsidRPr="003D34FD">
        <w:rPr>
          <w:i/>
          <w:sz w:val="20"/>
          <w:szCs w:val="20"/>
        </w:rPr>
        <w:t>Specifinės baudžiamojo proceso rūšys: vadovėlis</w:t>
      </w:r>
      <w:r w:rsidRPr="003D34FD">
        <w:rPr>
          <w:sz w:val="20"/>
          <w:szCs w:val="20"/>
        </w:rPr>
        <w:t>. Vilnius: Mykolo Romerio universitetas, 2011, p. 178.</w:t>
      </w:r>
    </w:p>
  </w:footnote>
  <w:footnote w:id="518">
    <w:p w:rsidR="00E0371E" w:rsidRDefault="00E0371E" w:rsidP="008E7E49">
      <w:pPr>
        <w:pStyle w:val="Puslapioinaostekstas"/>
        <w:jc w:val="both"/>
      </w:pPr>
      <w:r>
        <w:rPr>
          <w:rStyle w:val="Puslapioinaosnuoroda"/>
        </w:rPr>
        <w:footnoteRef/>
      </w:r>
      <w:r w:rsidRPr="00E364E3">
        <w:t xml:space="preserve">Lietuvos Aukščiausiojo Teismo 2011 m. gruodžio mėn. 29 d. nutartis </w:t>
      </w:r>
      <w:r>
        <w:t xml:space="preserve">baudžiamojoje byloje </w:t>
      </w:r>
      <w:r w:rsidRPr="00E364E3">
        <w:t>Nr. 2K-615/2011</w:t>
      </w:r>
      <w:r>
        <w:t xml:space="preserve">, </w:t>
      </w:r>
      <w:r w:rsidRPr="001314E3">
        <w:t xml:space="preserve">2009 m. gruodžio mėn. 15 d. nutartis </w:t>
      </w:r>
      <w:r>
        <w:t xml:space="preserve">baudžiamojoje byloje </w:t>
      </w:r>
      <w:r w:rsidRPr="001314E3">
        <w:t>Nr. 2K-423/2009</w:t>
      </w:r>
      <w:r>
        <w:t xml:space="preserve">, </w:t>
      </w:r>
      <w:r w:rsidRPr="00F3380E">
        <w:rPr>
          <w:iCs/>
        </w:rPr>
        <w:t>2008 m. rugsėjo 30 d.</w:t>
      </w:r>
      <w:r>
        <w:rPr>
          <w:iCs/>
        </w:rPr>
        <w:t xml:space="preserve"> </w:t>
      </w:r>
      <w:r w:rsidRPr="00F3380E">
        <w:rPr>
          <w:iCs/>
        </w:rPr>
        <w:t xml:space="preserve">nutartis </w:t>
      </w:r>
      <w:r>
        <w:t xml:space="preserve">baudžiamojoje byloje </w:t>
      </w:r>
      <w:r w:rsidRPr="00F3380E">
        <w:rPr>
          <w:iCs/>
        </w:rPr>
        <w:t>Nr. 2K-375/2008</w:t>
      </w:r>
      <w:r>
        <w:rPr>
          <w:iCs/>
        </w:rPr>
        <w:t>,</w:t>
      </w:r>
      <w:r w:rsidRPr="001376DC">
        <w:t xml:space="preserve"> 2010 m. balandžio mėn. 27 d. nutartis</w:t>
      </w:r>
      <w:r>
        <w:t xml:space="preserve"> baudžiamojoje byloje</w:t>
      </w:r>
      <w:r w:rsidRPr="001376DC">
        <w:t xml:space="preserve"> Nr. 2K-211/2010</w:t>
      </w:r>
      <w:r>
        <w:t xml:space="preserve">, </w:t>
      </w:r>
      <w:r w:rsidRPr="000D7A29">
        <w:t xml:space="preserve">2013 m. gegužės 14 d. nutartis </w:t>
      </w:r>
      <w:r>
        <w:t xml:space="preserve">baudžiamojoje byloje </w:t>
      </w:r>
      <w:r w:rsidRPr="000D7A29">
        <w:t>Nr. 2K-240/2013</w:t>
      </w:r>
      <w:r>
        <w:t xml:space="preserve">, </w:t>
      </w:r>
      <w:r w:rsidRPr="00404135">
        <w:t xml:space="preserve">2012 m. gegužės 15 d. nutartis </w:t>
      </w:r>
      <w:r>
        <w:t xml:space="preserve">baudžiamojoje byloje </w:t>
      </w:r>
      <w:r w:rsidRPr="00404135">
        <w:t>Nr. 2K-283/2012</w:t>
      </w:r>
      <w:r>
        <w:t xml:space="preserve">, </w:t>
      </w:r>
      <w:r w:rsidRPr="005F5529">
        <w:t xml:space="preserve">2012 m. kovo 6 d. nutartis </w:t>
      </w:r>
      <w:r>
        <w:t xml:space="preserve">baudžiamojoje byloje </w:t>
      </w:r>
      <w:r w:rsidRPr="005F5529">
        <w:t>Nr. 2K-124/2012</w:t>
      </w:r>
      <w:r>
        <w:t>.</w:t>
      </w:r>
    </w:p>
  </w:footnote>
  <w:footnote w:id="519">
    <w:p w:rsidR="00E0371E" w:rsidRPr="003F2D19" w:rsidRDefault="00E0371E" w:rsidP="00377592">
      <w:pPr>
        <w:pStyle w:val="prastasistinklapis"/>
        <w:jc w:val="both"/>
        <w:rPr>
          <w:sz w:val="20"/>
          <w:szCs w:val="20"/>
        </w:rPr>
      </w:pPr>
      <w:r w:rsidRPr="000456A0">
        <w:rPr>
          <w:rStyle w:val="Puslapioinaosnuoroda"/>
          <w:sz w:val="20"/>
          <w:szCs w:val="20"/>
        </w:rPr>
        <w:footnoteRef/>
      </w:r>
      <w:r w:rsidRPr="003F2D19">
        <w:rPr>
          <w:sz w:val="20"/>
          <w:szCs w:val="20"/>
        </w:rPr>
        <w:t xml:space="preserve">Lietuvos Aukščiausiojo Teismo 2008 m. rugsėjo 30 d. nutartis baudžiamojoje byloje </w:t>
      </w:r>
      <w:r w:rsidRPr="003F2D19">
        <w:rPr>
          <w:color w:val="000000"/>
          <w:sz w:val="20"/>
          <w:szCs w:val="20"/>
        </w:rPr>
        <w:t>Nr. 2K-375/2008,</w:t>
      </w:r>
      <w:r w:rsidRPr="003F2D19">
        <w:rPr>
          <w:sz w:val="20"/>
          <w:szCs w:val="20"/>
        </w:rPr>
        <w:t xml:space="preserve"> 2011 m. vasario mėn. 22 d. nutartis baudžiamojoje byloje Nr. 2K-120/2011, 2012 m. balandžio 3 d. nutartis baudžiamojoje byloje Nr. 2K-189/2012, 2011 m. birželio 7 d. nutartis baudžiamojoje byloje Nr. 2K-273/2011, 2011 m. vasario 22 d. nutartis baudžiamojoje byloje Nr. 2K-120/2011.</w:t>
      </w:r>
    </w:p>
  </w:footnote>
  <w:footnote w:id="520">
    <w:p w:rsidR="00E0371E" w:rsidRDefault="00E0371E" w:rsidP="00377592">
      <w:pPr>
        <w:pStyle w:val="Puslapioinaostekstas"/>
        <w:jc w:val="both"/>
      </w:pPr>
      <w:r>
        <w:rPr>
          <w:rStyle w:val="Puslapioinaosnuoroda"/>
        </w:rPr>
        <w:footnoteRef/>
      </w:r>
      <w:r w:rsidRPr="000E60BC">
        <w:t xml:space="preserve">Lietuvos Aukščiausiojo Teismo 2010 m. gegužės mėn. 25 d. nutartis </w:t>
      </w:r>
      <w:r>
        <w:t xml:space="preserve">baudžiamojoje byloje </w:t>
      </w:r>
      <w:r w:rsidRPr="000E60BC">
        <w:t>Nr. 2K-178/2010</w:t>
      </w:r>
      <w:r>
        <w:t>.</w:t>
      </w:r>
    </w:p>
  </w:footnote>
  <w:footnote w:id="521">
    <w:p w:rsidR="00E0371E" w:rsidRPr="00270E75" w:rsidRDefault="00E0371E" w:rsidP="008E7E49">
      <w:pPr>
        <w:pStyle w:val="Puslapioinaostekstas"/>
        <w:jc w:val="both"/>
      </w:pPr>
      <w:r w:rsidRPr="00AD782A">
        <w:rPr>
          <w:rStyle w:val="Puslapioinaosnuoroda"/>
        </w:rPr>
        <w:footnoteRef/>
      </w:r>
      <w:r w:rsidRPr="00AB1E4A">
        <w:t xml:space="preserve">Ažubalytė, R., Jurgaitis, R., Zajančkauskienė, J. </w:t>
      </w:r>
      <w:r w:rsidRPr="00AB1E4A">
        <w:rPr>
          <w:i/>
        </w:rPr>
        <w:t>Specifinės baudžiamojo proceso rūšys: vadovėlis</w:t>
      </w:r>
      <w:r w:rsidRPr="00AB1E4A">
        <w:t>. Vilnius: Mykolo</w:t>
      </w:r>
      <w:r>
        <w:t xml:space="preserve"> Romerio universitetas, 2011, </w:t>
      </w:r>
      <w:r w:rsidRPr="00AD782A">
        <w:t>p. 237.</w:t>
      </w:r>
    </w:p>
  </w:footnote>
  <w:footnote w:id="522">
    <w:p w:rsidR="00E0371E" w:rsidRPr="00151ABB" w:rsidRDefault="00E0371E" w:rsidP="00376E6E">
      <w:pPr>
        <w:jc w:val="both"/>
        <w:rPr>
          <w:sz w:val="20"/>
          <w:szCs w:val="20"/>
        </w:rPr>
      </w:pPr>
      <w:r>
        <w:rPr>
          <w:rStyle w:val="Puslapioinaosnuoroda"/>
        </w:rPr>
        <w:footnoteRef/>
      </w:r>
      <w:r w:rsidRPr="00151ABB">
        <w:rPr>
          <w:sz w:val="20"/>
          <w:szCs w:val="20"/>
        </w:rPr>
        <w:t>Vilniaus miesto pirmo apylinkės teismo 2007 m. rugpjūčio 10 d. nutartimi privataus kaltinimo procesas buvo nutrauktas, o byla perduota Vilniaus apygardos prokuratūrai atlikti ikiteisminį tyrimą pagal 2007 m. liepos 31 d. Vilniaus apygardos prokuratūros vyriausiojo prokuroro pareiškimą dėl valstybinio kaltinimo palaikymo, kuriame buvo prašoma bylą perduoti Vilniaus apygardos prokuratūrai ikiteisminiam tyrimui atlikti.</w:t>
      </w:r>
      <w:r w:rsidRPr="007B7828">
        <w:rPr>
          <w:sz w:val="20"/>
          <w:szCs w:val="20"/>
        </w:rPr>
        <w:t xml:space="preserve"> Vilniaus apygardos teismo </w:t>
      </w:r>
      <w:r w:rsidRPr="007B7828">
        <w:rPr>
          <w:bCs/>
          <w:sz w:val="20"/>
          <w:szCs w:val="20"/>
        </w:rPr>
        <w:t xml:space="preserve">2008 m. sausio 21 d. </w:t>
      </w:r>
      <w:r w:rsidRPr="007B7828">
        <w:rPr>
          <w:sz w:val="20"/>
          <w:szCs w:val="20"/>
        </w:rPr>
        <w:t>nutartis baudžiamojoje byloje Nr. 1S-20-149/2008.</w:t>
      </w:r>
    </w:p>
  </w:footnote>
  <w:footnote w:id="523">
    <w:p w:rsidR="00E0371E" w:rsidRPr="00510FAA" w:rsidRDefault="00E0371E" w:rsidP="00AF4A7E">
      <w:pPr>
        <w:pStyle w:val="Puslapioinaostekstas"/>
        <w:jc w:val="both"/>
        <w:rPr>
          <w:lang w:val="de-DE"/>
        </w:rPr>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p. </w:t>
      </w:r>
      <w:r w:rsidRPr="00510FAA">
        <w:rPr>
          <w:lang w:val="de-DE"/>
        </w:rPr>
        <w:t>200.</w:t>
      </w:r>
    </w:p>
  </w:footnote>
  <w:footnote w:id="524">
    <w:p w:rsidR="00E0371E" w:rsidRDefault="00E0371E" w:rsidP="00AF4A7E">
      <w:pPr>
        <w:pStyle w:val="Puslapioinaostekstas"/>
        <w:jc w:val="both"/>
      </w:pPr>
      <w:r>
        <w:rPr>
          <w:rStyle w:val="Puslapioinaosnuoroda"/>
        </w:rPr>
        <w:footnoteRef/>
      </w:r>
      <w:r w:rsidRPr="00564998">
        <w:t xml:space="preserve">Koewius, R. </w:t>
      </w:r>
      <w:r w:rsidRPr="00564998">
        <w:rPr>
          <w:i/>
        </w:rPr>
        <w:t>Die Rechtswirklichkeit der Privatklage</w:t>
      </w:r>
      <w:r w:rsidRPr="00564998">
        <w:t>. Be</w:t>
      </w:r>
      <w:r>
        <w:t>rlin: Duncker &amp; Humblot, 1974, p. 146-</w:t>
      </w:r>
      <w:r w:rsidRPr="00510FAA">
        <w:rPr>
          <w:lang w:val="de-DE"/>
        </w:rPr>
        <w:t>150.</w:t>
      </w:r>
    </w:p>
  </w:footnote>
  <w:footnote w:id="525">
    <w:p w:rsidR="00E0371E" w:rsidRPr="004A5D00" w:rsidRDefault="00E0371E" w:rsidP="00376E6E">
      <w:pPr>
        <w:pStyle w:val="Puslapioinaostekstas"/>
        <w:jc w:val="both"/>
      </w:pPr>
      <w:r>
        <w:rPr>
          <w:rStyle w:val="Puslapioinaosnuoroda"/>
        </w:rPr>
        <w:footnoteRef/>
      </w:r>
      <w:r>
        <w:t xml:space="preserve">Von Schacky, S. </w:t>
      </w:r>
      <w:r w:rsidRPr="00362C4C">
        <w:rPr>
          <w:i/>
        </w:rPr>
        <w:t>Das Privatklageverfahren und seine Berechtigung heute</w:t>
      </w:r>
      <w:r>
        <w:t>. Daktaro disertacija. Socialiniai mokslai (teisė). Frankfurt am Main: Johann Wolfgang Goethe-Universität, 1975, p. 201. Vokietijos BPK</w:t>
      </w:r>
      <w:r w:rsidRPr="004A5D00">
        <w:t xml:space="preserve"> 377 str</w:t>
      </w:r>
      <w:r>
        <w:t>aipsnio</w:t>
      </w:r>
      <w:r w:rsidRPr="004A5D00">
        <w:t xml:space="preserve"> 2 d</w:t>
      </w:r>
      <w:r>
        <w:t>alis. Strafprozeβordnung [interaktyvus].</w:t>
      </w:r>
      <w:r w:rsidRPr="009658DF">
        <w:t xml:space="preserve"> [žiūrėta 2010-07-28]</w:t>
      </w:r>
      <w:r>
        <w:t>.</w:t>
      </w:r>
      <w:r w:rsidRPr="009658DF">
        <w:t xml:space="preserve"> </w:t>
      </w:r>
      <w:r w:rsidRPr="007B7828">
        <w:t>&lt;http://www.gesetze-im-internet.de/stpo/index.html&gt;.</w:t>
      </w:r>
    </w:p>
  </w:footnote>
  <w:footnote w:id="526">
    <w:p w:rsidR="00E0371E" w:rsidRDefault="00E0371E" w:rsidP="00930CED">
      <w:pPr>
        <w:pStyle w:val="Puslapioinaostekstas"/>
      </w:pPr>
      <w:r>
        <w:rPr>
          <w:rStyle w:val="Puslapioinaosnuoroda"/>
        </w:rPr>
        <w:footnoteRef/>
      </w:r>
      <w:r>
        <w:t>Konkreti keistinos teisės normos formuluotė pateikiama pasiūlymuose.</w:t>
      </w:r>
    </w:p>
  </w:footnote>
  <w:footnote w:id="527">
    <w:p w:rsidR="00E0371E" w:rsidRDefault="00E0371E" w:rsidP="00BA000B">
      <w:pPr>
        <w:pStyle w:val="Puslapioinaostekstas"/>
        <w:jc w:val="both"/>
      </w:pPr>
      <w:r>
        <w:rPr>
          <w:rStyle w:val="Puslapioinaosnuoroda"/>
        </w:rPr>
        <w:footnoteRef/>
      </w:r>
      <w:r>
        <w:t xml:space="preserve">Konstitucinis Teismas taip pat konstatavo, kad teismas turi turėti teisę perduoti bylą ikiteisminiam tyrimui atlikti, tačiau, nepaisant to, įstatymų leidėjas į tai iki šiol neatsižvelgė. </w:t>
      </w:r>
      <w:r w:rsidRPr="00531902">
        <w:t>Konstitucinio Teismo</w:t>
      </w:r>
      <w:r>
        <w:t xml:space="preserve"> 2006 m. sausio 16 d. nutarimas</w:t>
      </w:r>
      <w:r w:rsidRPr="00980051">
        <w:t>.</w:t>
      </w:r>
      <w:r>
        <w:t xml:space="preserve"> </w:t>
      </w:r>
      <w:r w:rsidRPr="00927F5E">
        <w:rPr>
          <w:i/>
        </w:rPr>
        <w:t>Valstybės žinios</w:t>
      </w:r>
      <w:r>
        <w:t xml:space="preserve">. 2006, Nr. 7-254. </w:t>
      </w:r>
      <w:r w:rsidRPr="00BA000B">
        <w:t xml:space="preserve">Goda, G. Konstitucinė justicija ir baudžiamojo proceso mokslas. </w:t>
      </w:r>
      <w:r w:rsidRPr="00BA000B">
        <w:rPr>
          <w:i/>
        </w:rPr>
        <w:t>Teisė</w:t>
      </w:r>
      <w:r w:rsidRPr="00BA000B">
        <w:t xml:space="preserve">. 2011, 78: </w:t>
      </w:r>
      <w:r>
        <w:t>8</w:t>
      </w:r>
      <w:r w:rsidRPr="00BA000B">
        <w:t>2.</w:t>
      </w:r>
      <w:r>
        <w:t xml:space="preserve"> </w:t>
      </w:r>
    </w:p>
  </w:footnote>
  <w:footnote w:id="528">
    <w:p w:rsidR="00E0371E" w:rsidRDefault="00E0371E" w:rsidP="00980051">
      <w:pPr>
        <w:pStyle w:val="Puslapioinaostekstas"/>
        <w:jc w:val="both"/>
      </w:pPr>
      <w:r>
        <w:rPr>
          <w:rStyle w:val="Puslapioinaosnuoroda"/>
        </w:rPr>
        <w:footnoteRef/>
      </w:r>
      <w:r w:rsidRPr="007A2173">
        <w:t>Lietuvos Respublikos Konstitucinio Teismo 2011 m. balandžio 7 d. nutarimas</w:t>
      </w:r>
      <w:r>
        <w:t xml:space="preserve">. </w:t>
      </w:r>
      <w:r w:rsidRPr="00993334">
        <w:rPr>
          <w:i/>
        </w:rPr>
        <w:t>Valstybės žinios</w:t>
      </w:r>
      <w:r w:rsidRPr="00993334">
        <w:t>. 2011, Nr. 42-1985.</w:t>
      </w:r>
      <w:r w:rsidRPr="00980051">
        <w:t xml:space="preserve"> </w:t>
      </w:r>
      <w:r w:rsidRPr="00930CED">
        <w:rPr>
          <w:i/>
        </w:rPr>
        <w:t>„Konstitucijoje įtvirtintas prokuroro nepriklausomumas negali būti interpretuojamas kaip reiškiantis, esą prokurorai baudžiamajame procese neprivalo laikytis įstatymų ir (arba) vykdyti teismo (teisėjo) nurodymų“</w:t>
      </w:r>
      <w:r>
        <w:t xml:space="preserve">. </w:t>
      </w:r>
      <w:r w:rsidRPr="00531902">
        <w:t>Lietuvos Respublikos Konstitucinio Teismo</w:t>
      </w:r>
      <w:r>
        <w:t xml:space="preserve"> 2006 m. sausio 16 d. nutarimas</w:t>
      </w:r>
      <w:r w:rsidRPr="00980051">
        <w:t>.</w:t>
      </w:r>
      <w:r>
        <w:t xml:space="preserve"> </w:t>
      </w:r>
      <w:r w:rsidRPr="00927F5E">
        <w:rPr>
          <w:i/>
        </w:rPr>
        <w:t>Valstybės žinios</w:t>
      </w:r>
      <w:r>
        <w:t>. 2006, Nr. 7-254.</w:t>
      </w:r>
    </w:p>
  </w:footnote>
  <w:footnote w:id="529">
    <w:p w:rsidR="00E0371E" w:rsidRDefault="00E0371E">
      <w:pPr>
        <w:pStyle w:val="Puslapioinaostekstas"/>
      </w:pPr>
      <w:r>
        <w:rPr>
          <w:rStyle w:val="Puslapioinaosnuoroda"/>
        </w:rPr>
        <w:footnoteRef/>
      </w:r>
      <w:r>
        <w:t xml:space="preserve">Konkreti keistinos teisės normos formuluotė pateikiama pasiūlymuose. </w:t>
      </w:r>
    </w:p>
  </w:footnote>
  <w:footnote w:id="530">
    <w:p w:rsidR="00E0371E" w:rsidRPr="00930CED" w:rsidRDefault="00E0371E" w:rsidP="00274D82">
      <w:pPr>
        <w:ind w:right="57"/>
        <w:jc w:val="both"/>
        <w:rPr>
          <w:i/>
          <w:sz w:val="20"/>
          <w:szCs w:val="20"/>
        </w:rPr>
      </w:pPr>
      <w:r>
        <w:rPr>
          <w:rStyle w:val="Puslapioinaosnuoroda"/>
        </w:rPr>
        <w:footnoteRef/>
      </w:r>
      <w:r w:rsidRPr="00FD373D">
        <w:rPr>
          <w:sz w:val="20"/>
          <w:szCs w:val="20"/>
        </w:rPr>
        <w:t xml:space="preserve">Vilniaus apygardos teismo nutartyje pasisakoma dėl teismo nutarčių privalomumo prokurorui: </w:t>
      </w:r>
      <w:r w:rsidRPr="00930CED">
        <w:rPr>
          <w:i/>
          <w:sz w:val="20"/>
          <w:szCs w:val="20"/>
        </w:rPr>
        <w:t>„</w:t>
      </w:r>
      <w:proofErr w:type="gramStart"/>
      <w:r w:rsidRPr="00930CED">
        <w:rPr>
          <w:i/>
          <w:sz w:val="20"/>
          <w:szCs w:val="20"/>
        </w:rPr>
        <w:t>[</w:t>
      </w:r>
      <w:proofErr w:type="gramEnd"/>
      <w:r w:rsidRPr="00930CED">
        <w:rPr>
          <w:i/>
          <w:sz w:val="20"/>
          <w:szCs w:val="20"/>
        </w:rPr>
        <w:t xml:space="preserve">...] prokurorui nepagrįstai nepanaikinus neteisėto nutarimo, tą </w:t>
      </w:r>
      <w:r w:rsidRPr="00930CED">
        <w:rPr>
          <w:i/>
          <w:iCs/>
          <w:sz w:val="20"/>
          <w:szCs w:val="20"/>
        </w:rPr>
        <w:t>privalo padaryti teismas,</w:t>
      </w:r>
      <w:r w:rsidRPr="00930CED">
        <w:rPr>
          <w:i/>
          <w:sz w:val="20"/>
          <w:szCs w:val="20"/>
        </w:rPr>
        <w:t xml:space="preserve"> pats panaikindamas neteisėtą prokuroro nutarimą. Tai reiškia, kad </w:t>
      </w:r>
      <w:r w:rsidRPr="00930CED">
        <w:rPr>
          <w:bCs/>
          <w:i/>
          <w:iCs/>
          <w:sz w:val="20"/>
          <w:szCs w:val="20"/>
        </w:rPr>
        <w:t>teismui pripažinus, jog prokuroro priimtas sprendimas atsisakyti pradėti ikiteisminį tyrimą yra neteisėtas, tai tik priešingas prokuroro sprendimas, – pradėti ikiteisminį tyrimą, – atitiktų įstatymą.</w:t>
      </w:r>
      <w:r w:rsidRPr="00930CED">
        <w:rPr>
          <w:i/>
          <w:sz w:val="20"/>
          <w:szCs w:val="20"/>
        </w:rPr>
        <w:t xml:space="preserve">Todėl įsiteisėjęs teismo sprendimas panaikinti prokuroro nutarimą atsisakyti pradėti ikiteisminį tyrimą, iš esmės </w:t>
      </w:r>
      <w:r w:rsidRPr="00930CED">
        <w:rPr>
          <w:i/>
          <w:iCs/>
          <w:sz w:val="20"/>
          <w:szCs w:val="20"/>
        </w:rPr>
        <w:t>yra teismo įpareigojimas prokurorui pradėti ikiteisminį tyrimą. Pagal</w:t>
      </w:r>
      <w:r w:rsidRPr="00930CED">
        <w:rPr>
          <w:i/>
          <w:sz w:val="20"/>
          <w:szCs w:val="20"/>
        </w:rPr>
        <w:t xml:space="preserve"> BPK 346 straipsnio 1 dalį, įsiteisėjusi teismo nutartis yra privaloma visiems pareigūnams, iš jų ir prokurorams. Nurodyto straipsnio 2d. konstatuoja įstatymais numatytą atsakomybę už įsiteisėjusios teismo nutarties nevykdymą. Teismo įpareigojimas prokurorui pradėti ikiteisminį tyrimą, neprieštarauja BPK IV d. (XIII skyriaus) nuostatoms, numatančioms, kad ikiteisminį tyrimą pradeda ir atlieka tik ikiteisminio tyrimo pareigūnai bei prokuroras, nes ir </w:t>
      </w:r>
      <w:r w:rsidRPr="00930CED">
        <w:rPr>
          <w:i/>
          <w:iCs/>
          <w:sz w:val="20"/>
          <w:szCs w:val="20"/>
        </w:rPr>
        <w:t>esant įpareigojančiai teismo nutarčiai, ikiteisminį tyrimą pradeda ne teismas, o prokuroras.</w:t>
      </w:r>
      <w:r>
        <w:rPr>
          <w:i/>
          <w:iCs/>
          <w:sz w:val="20"/>
          <w:szCs w:val="20"/>
        </w:rPr>
        <w:t xml:space="preserve"> </w:t>
      </w:r>
      <w:r w:rsidRPr="00930CED">
        <w:rPr>
          <w:i/>
          <w:sz w:val="20"/>
          <w:szCs w:val="20"/>
        </w:rPr>
        <w:t xml:space="preserve">Prokurorų samprotavimai apie jų nutarimus panaikinusių teismo nutarčių neprivalomą pobūdį, nes šios nutartys esą tik grąžina suinteresuotų asmenų pareiškimus į pradinę sprendimų priėmimo stadiją, todėl prokuroras, nesaistomas teismų nutarčių, gali pakartotinai priimti kitą, tapatų panaikintam, sprendimą, yra tik niekuo nepagrįsti, prieštaraujantys baudžiamojo proceso įstatymui, suinteresuotų prokuratūros pareigūnų žinybiniai išvedžiojimai; ši prokurorų nuostata prieštarauja ne tik minėto BPK 346 straipsnio 1dalies imperatyviai nuostatai, bet ir visam baudžiamojo proceso įstatymo normomis nustatytam </w:t>
      </w:r>
      <w:r w:rsidRPr="00930CED">
        <w:rPr>
          <w:i/>
          <w:iCs/>
          <w:sz w:val="20"/>
          <w:szCs w:val="20"/>
        </w:rPr>
        <w:t>pareigūnų (tarp jų ir prokurorų) priimtų sprendimų apskundimo teismams institutui.</w:t>
      </w:r>
      <w:r w:rsidRPr="00930CED">
        <w:rPr>
          <w:i/>
          <w:sz w:val="20"/>
          <w:szCs w:val="20"/>
        </w:rPr>
        <w:t xml:space="preserve"> Pasak prokurorų logikos, šis institutas būtų visiškai </w:t>
      </w:r>
      <w:r w:rsidRPr="00930CED">
        <w:rPr>
          <w:i/>
          <w:iCs/>
          <w:sz w:val="20"/>
          <w:szCs w:val="20"/>
        </w:rPr>
        <w:t>bereikšmis</w:t>
      </w:r>
      <w:r w:rsidRPr="00930CED">
        <w:rPr>
          <w:i/>
          <w:sz w:val="20"/>
          <w:szCs w:val="20"/>
        </w:rPr>
        <w:t xml:space="preserve">, nes, anot jų, teismų nutartys prokurorui neturi privalomo, įpareigojančio pobūdžio. Dar daugiau, šis institutas būtų ir </w:t>
      </w:r>
      <w:r w:rsidRPr="00930CED">
        <w:rPr>
          <w:i/>
          <w:iCs/>
          <w:sz w:val="20"/>
          <w:szCs w:val="20"/>
        </w:rPr>
        <w:t>beprasmis</w:t>
      </w:r>
      <w:r w:rsidRPr="00930CED">
        <w:rPr>
          <w:i/>
          <w:sz w:val="20"/>
          <w:szCs w:val="20"/>
        </w:rPr>
        <w:t>, nes, teismui pripažinus prokuroro nutarimą neteisėtu, prokuroras vėl galėtų priimti analogišką neteisėtą nutarimą ir taip be galo (teismai naikina prokurorų nutarimus, o šie juos atkartoja... iki absurdo)“.</w:t>
      </w:r>
      <w:r w:rsidRPr="00930CED">
        <w:rPr>
          <w:sz w:val="20"/>
          <w:szCs w:val="20"/>
        </w:rPr>
        <w:t xml:space="preserve"> </w:t>
      </w:r>
      <w:r w:rsidRPr="00FD373D">
        <w:rPr>
          <w:sz w:val="20"/>
          <w:szCs w:val="20"/>
        </w:rPr>
        <w:t>Vilniaus apygardos teismo 2008m. balandžio 11d. nutart</w:t>
      </w:r>
      <w:r>
        <w:rPr>
          <w:sz w:val="20"/>
          <w:szCs w:val="20"/>
        </w:rPr>
        <w:t>is</w:t>
      </w:r>
      <w:r w:rsidRPr="00FD373D">
        <w:rPr>
          <w:sz w:val="20"/>
          <w:szCs w:val="20"/>
        </w:rPr>
        <w:t xml:space="preserve"> Nr. 1S-286-51/2008</w:t>
      </w:r>
      <w:r>
        <w:rPr>
          <w:sz w:val="20"/>
          <w:szCs w:val="20"/>
        </w:rPr>
        <w:t>.</w:t>
      </w:r>
    </w:p>
  </w:footnote>
  <w:footnote w:id="531">
    <w:p w:rsidR="00E0371E" w:rsidRPr="003F2D19" w:rsidRDefault="00E0371E" w:rsidP="00994EC6">
      <w:pPr>
        <w:jc w:val="both"/>
        <w:rPr>
          <w:sz w:val="20"/>
          <w:szCs w:val="20"/>
        </w:rPr>
      </w:pPr>
      <w:r>
        <w:rPr>
          <w:rStyle w:val="Puslapioinaosnuoroda"/>
        </w:rPr>
        <w:footnoteRef/>
      </w:r>
      <w:r w:rsidRPr="003F2D19">
        <w:rPr>
          <w:sz w:val="20"/>
          <w:szCs w:val="20"/>
        </w:rPr>
        <w:t xml:space="preserve">2008 Vilniaus miesto pirmo apylinkės teismo 2007 m. rugpjūčio 10 d. nutartimi privataus kaltinimo procesas buvo nutrauktas, o byla perduota Vilniaus apygardos prokuratūrai atlikti ikiteisminį tyrimą pagal 2007 m. liepos 31 d. Vilniaus apygardos prokuratūros vyriausiojo prokuroro pareiškimą dėl valstybinio kaltinimo palaikymo, kuriame buvo prašoma bylą perduoti Vilniaus apygardos prokuratūrai ikiteisminiam tyrimui atlikti. </w:t>
      </w:r>
    </w:p>
    <w:p w:rsidR="00E0371E" w:rsidRPr="00DC611B" w:rsidRDefault="00E0371E" w:rsidP="00A80EFE">
      <w:pPr>
        <w:ind w:firstLine="567"/>
        <w:jc w:val="both"/>
        <w:rPr>
          <w:sz w:val="20"/>
          <w:szCs w:val="20"/>
        </w:rPr>
      </w:pPr>
      <w:r w:rsidRPr="00DC611B">
        <w:rPr>
          <w:sz w:val="20"/>
          <w:szCs w:val="20"/>
        </w:rPr>
        <w:t>Vilniaus apygardos prokuratūra, vadovaudamasi Lietuvos Respublikos specialiųjų tyrimų tarnybos įstatymo 17 str</w:t>
      </w:r>
      <w:r>
        <w:rPr>
          <w:sz w:val="20"/>
          <w:szCs w:val="20"/>
        </w:rPr>
        <w:t>aipsniu</w:t>
      </w:r>
      <w:r w:rsidRPr="00DC611B">
        <w:rPr>
          <w:sz w:val="20"/>
          <w:szCs w:val="20"/>
        </w:rPr>
        <w:t xml:space="preserve">, pagal kurį pradėti ikiteisminį tyrimą dėl STT pareigūno veiksmų gali tik Lietuvos Respublikos generalinis prokuroras ar jo pavaduotojas, perdavė bylą Lietuvos Respublikos generalinei prokuratūrai. Lietuvos Respublikos generalinės prokuratūros </w:t>
      </w:r>
      <w:r>
        <w:rPr>
          <w:sz w:val="20"/>
          <w:szCs w:val="20"/>
        </w:rPr>
        <w:t>prokurorė</w:t>
      </w:r>
      <w:r w:rsidRPr="00DC611B">
        <w:rPr>
          <w:sz w:val="20"/>
          <w:szCs w:val="20"/>
        </w:rPr>
        <w:t xml:space="preserve"> 2007 m. lapkričio 14 d. nutarimu atsisakė pradėti ikiteisminį tyrimą dėl neteisėto informacijos apie asmens privatų gyvenimą atskleidimo ar panaudojimo, konstatavusi, kad nepadaryta veika, turinti n</w:t>
      </w:r>
      <w:r>
        <w:rPr>
          <w:sz w:val="20"/>
          <w:szCs w:val="20"/>
        </w:rPr>
        <w:t>usikaltimo, numatyto BK 168 straipsnio 1 dalyje</w:t>
      </w:r>
      <w:r w:rsidRPr="00DC611B">
        <w:rPr>
          <w:sz w:val="20"/>
          <w:szCs w:val="20"/>
        </w:rPr>
        <w:t xml:space="preserve">, požymių.        </w:t>
      </w:r>
    </w:p>
    <w:p w:rsidR="00E0371E" w:rsidRPr="00DC611B" w:rsidRDefault="00E0371E" w:rsidP="00A80EFE">
      <w:pPr>
        <w:ind w:firstLine="567"/>
        <w:jc w:val="both"/>
        <w:rPr>
          <w:sz w:val="20"/>
          <w:szCs w:val="20"/>
        </w:rPr>
      </w:pPr>
      <w:r w:rsidRPr="00DC611B">
        <w:rPr>
          <w:sz w:val="20"/>
          <w:szCs w:val="20"/>
        </w:rPr>
        <w:t xml:space="preserve">Vilniaus miesto antras apylinkės teismas 2007 m. gruodžio 22 d. nutartimi pareiškėjo </w:t>
      </w:r>
      <w:bookmarkStart w:id="281" w:name="Buk_2"/>
      <w:r w:rsidRPr="00DC611B">
        <w:rPr>
          <w:sz w:val="20"/>
          <w:szCs w:val="20"/>
        </w:rPr>
        <w:t xml:space="preserve">A. M. </w:t>
      </w:r>
      <w:bookmarkEnd w:id="281"/>
      <w:r w:rsidRPr="00DC611B">
        <w:rPr>
          <w:sz w:val="20"/>
          <w:szCs w:val="20"/>
        </w:rPr>
        <w:t>skundą patenkino</w:t>
      </w:r>
      <w:r>
        <w:rPr>
          <w:sz w:val="20"/>
          <w:szCs w:val="20"/>
        </w:rPr>
        <w:t xml:space="preserve"> ir</w:t>
      </w:r>
      <w:r w:rsidRPr="00DC611B">
        <w:rPr>
          <w:sz w:val="20"/>
          <w:szCs w:val="20"/>
        </w:rPr>
        <w:t xml:space="preserve"> panaikino Lietuvos Respublikos generalinės prokuratūros prokurorės 2007 m. lapkričio 14 d. nutarimą atsisakyti pradėti ikiteisminį tyrimą</w:t>
      </w:r>
      <w:r>
        <w:rPr>
          <w:sz w:val="20"/>
          <w:szCs w:val="20"/>
        </w:rPr>
        <w:t>,</w:t>
      </w:r>
      <w:r w:rsidRPr="00DC611B">
        <w:rPr>
          <w:sz w:val="20"/>
          <w:szCs w:val="20"/>
        </w:rPr>
        <w:t xml:space="preserve"> motyv</w:t>
      </w:r>
      <w:r>
        <w:rPr>
          <w:sz w:val="20"/>
          <w:szCs w:val="20"/>
        </w:rPr>
        <w:t>uojant</w:t>
      </w:r>
      <w:r w:rsidRPr="00DC611B">
        <w:rPr>
          <w:sz w:val="20"/>
          <w:szCs w:val="20"/>
        </w:rPr>
        <w:t xml:space="preserve"> tuo, kad Vilniaus ap</w:t>
      </w:r>
      <w:r>
        <w:rPr>
          <w:sz w:val="20"/>
          <w:szCs w:val="20"/>
        </w:rPr>
        <w:t>ygardos prokuratūra BPK 409 straipsnio</w:t>
      </w:r>
      <w:r w:rsidRPr="00DC611B">
        <w:rPr>
          <w:sz w:val="20"/>
          <w:szCs w:val="20"/>
        </w:rPr>
        <w:t xml:space="preserve"> pagrindu buvo įpareigota, o savo pareiškimu įsipareigojusi </w:t>
      </w:r>
      <w:bookmarkStart w:id="282" w:name="Buk_3"/>
      <w:r w:rsidRPr="00DC611B">
        <w:rPr>
          <w:sz w:val="20"/>
          <w:szCs w:val="20"/>
        </w:rPr>
        <w:t xml:space="preserve">A. M. </w:t>
      </w:r>
      <w:bookmarkEnd w:id="282"/>
      <w:r w:rsidRPr="00DC611B">
        <w:rPr>
          <w:sz w:val="20"/>
          <w:szCs w:val="20"/>
        </w:rPr>
        <w:t xml:space="preserve">pradėtoje privataus kaltinimo byloje atlikti ikiteisminį tyrimą, privalėjo atlikti ikiteisminį tyrimą ir surinkusi faktinius duomenis spręsti klausimą dėl kaltinamojo akto surašymo ir bylos perdavimo teismui arba, nesant tam pagrindo, nutraukti pradėtą ikiteisminį tyrimą. Lietuvos Respublikos generalinės prokuratūros prokurorei priėmus nutarimą </w:t>
      </w:r>
      <w:bookmarkStart w:id="283" w:name="Buk_4"/>
      <w:r w:rsidRPr="00DC611B">
        <w:rPr>
          <w:sz w:val="20"/>
          <w:szCs w:val="20"/>
        </w:rPr>
        <w:t xml:space="preserve">A. M. </w:t>
      </w:r>
      <w:bookmarkEnd w:id="283"/>
      <w:r w:rsidRPr="00DC611B">
        <w:rPr>
          <w:sz w:val="20"/>
          <w:szCs w:val="20"/>
        </w:rPr>
        <w:t xml:space="preserve">iškeltoje privataus kaltinimo byloje atsisakyti pradėti ikiteisminį tyrimą ir esant įsigaliojusiai Vilniaus miesto pirmo apylinkės teismo 2007 m. rugpjūčio 10 d. nutarčiai nutraukti </w:t>
      </w:r>
      <w:bookmarkStart w:id="284" w:name="Buk_5"/>
      <w:r w:rsidRPr="00DC611B">
        <w:rPr>
          <w:sz w:val="20"/>
          <w:szCs w:val="20"/>
        </w:rPr>
        <w:t xml:space="preserve">A. M. </w:t>
      </w:r>
      <w:bookmarkEnd w:id="284"/>
      <w:r w:rsidRPr="00DC611B">
        <w:rPr>
          <w:sz w:val="20"/>
          <w:szCs w:val="20"/>
        </w:rPr>
        <w:t xml:space="preserve">pradėtą privataus kaltinimo procesą, pareiškėjas </w:t>
      </w:r>
      <w:bookmarkStart w:id="285" w:name="Buk_10"/>
      <w:r w:rsidRPr="00DC611B">
        <w:rPr>
          <w:sz w:val="20"/>
          <w:szCs w:val="20"/>
        </w:rPr>
        <w:t>A. M.</w:t>
      </w:r>
      <w:bookmarkEnd w:id="285"/>
      <w:r w:rsidRPr="00DC611B">
        <w:rPr>
          <w:sz w:val="20"/>
          <w:szCs w:val="20"/>
        </w:rPr>
        <w:t>, norėdamas apginti savo pažeistas teises, turi vėl iš naujo pradėti privataus kaltinimo proc</w:t>
      </w:r>
      <w:r>
        <w:rPr>
          <w:sz w:val="20"/>
          <w:szCs w:val="20"/>
        </w:rPr>
        <w:t xml:space="preserve">esą apylinkės teisme. </w:t>
      </w:r>
      <w:r w:rsidRPr="00E07D02">
        <w:rPr>
          <w:sz w:val="20"/>
          <w:szCs w:val="20"/>
        </w:rPr>
        <w:t>Taigi šiuo atveju Vilniaus apygardos prokuratūros vyri</w:t>
      </w:r>
      <w:r>
        <w:rPr>
          <w:sz w:val="20"/>
          <w:szCs w:val="20"/>
        </w:rPr>
        <w:t>ausiasis prokuroras BPK 409 straipsnio</w:t>
      </w:r>
      <w:r w:rsidRPr="00E07D02">
        <w:rPr>
          <w:sz w:val="20"/>
          <w:szCs w:val="20"/>
        </w:rPr>
        <w:t xml:space="preserve"> 2 d</w:t>
      </w:r>
      <w:r>
        <w:rPr>
          <w:sz w:val="20"/>
          <w:szCs w:val="20"/>
        </w:rPr>
        <w:t>alies</w:t>
      </w:r>
      <w:r w:rsidRPr="00E07D02">
        <w:rPr>
          <w:sz w:val="20"/>
          <w:szCs w:val="20"/>
        </w:rPr>
        <w:t xml:space="preserve"> pagrindu įsipareigojo atlikti ikiteisminį tyrimą privataus kaltinimo byloje, kuris toliau vyksta bendra BPK XIII skyriuje, reglamentuojančiame bendrąsias ikiteisminio tyrimo nuostatas, tvarka. </w:t>
      </w:r>
      <w:r w:rsidRPr="003F2D19">
        <w:rPr>
          <w:sz w:val="20"/>
          <w:szCs w:val="20"/>
        </w:rPr>
        <w:t xml:space="preserve">Vilniaus apygardos teismo </w:t>
      </w:r>
      <w:r w:rsidRPr="003F2D19">
        <w:rPr>
          <w:bCs/>
          <w:sz w:val="20"/>
          <w:szCs w:val="20"/>
        </w:rPr>
        <w:t xml:space="preserve">2008 m. sausio 21 d. </w:t>
      </w:r>
      <w:r w:rsidRPr="003F2D19">
        <w:rPr>
          <w:sz w:val="20"/>
          <w:szCs w:val="20"/>
        </w:rPr>
        <w:t>nutartis bau</w:t>
      </w:r>
      <w:r>
        <w:rPr>
          <w:sz w:val="20"/>
          <w:szCs w:val="20"/>
        </w:rPr>
        <w:t>džiamojoje byloje Nr. 1S-20-149/2008.</w:t>
      </w:r>
    </w:p>
  </w:footnote>
  <w:footnote w:id="532">
    <w:p w:rsidR="00E0371E" w:rsidRPr="00FB446B" w:rsidRDefault="00E0371E" w:rsidP="00274D82">
      <w:pPr>
        <w:pStyle w:val="Puslapioinaostekstas"/>
        <w:jc w:val="both"/>
      </w:pPr>
      <w:r>
        <w:rPr>
          <w:rStyle w:val="Puslapioinaosnuoroda"/>
        </w:rPr>
        <w:footnoteRef/>
      </w:r>
      <w:r w:rsidRPr="00CC4FD4">
        <w:t>Abramavičius, A. Teisė į teisminę gynybą Lietuvos Respublikos Konstitucinio Teis</w:t>
      </w:r>
      <w:r>
        <w:t>m</w:t>
      </w:r>
      <w:r w:rsidRPr="00CC4FD4">
        <w:t xml:space="preserve">o jurisprudencijoje. </w:t>
      </w:r>
      <w:r w:rsidRPr="00CC4FD4">
        <w:rPr>
          <w:i/>
        </w:rPr>
        <w:t>Jurisprudencija</w:t>
      </w:r>
      <w:r>
        <w:rPr>
          <w:i/>
        </w:rPr>
        <w:t>.</w:t>
      </w:r>
      <w:r w:rsidRPr="00CC4FD4">
        <w:t xml:space="preserve"> 2009, 3 (117):</w:t>
      </w:r>
      <w:r>
        <w:t xml:space="preserve"> </w:t>
      </w:r>
      <w:r w:rsidRPr="00CC4FD4">
        <w:t>21-40</w:t>
      </w:r>
      <w:r>
        <w:t xml:space="preserve">. </w:t>
      </w:r>
      <w:r w:rsidRPr="00CC4FD4">
        <w:t xml:space="preserve">Sinkevičius, V. </w:t>
      </w:r>
      <w:r w:rsidRPr="001C4402">
        <w:t>Teisės į teisingą teisinį procesą samprata Lietuvos Respublikos Konstitucinio Teismo jurisprudencijoje.</w:t>
      </w:r>
      <w:r w:rsidRPr="00CC4FD4">
        <w:t xml:space="preserve"> </w:t>
      </w:r>
      <w:r w:rsidRPr="001C4402">
        <w:rPr>
          <w:i/>
        </w:rPr>
        <w:t>Konstitucinė jurisprudencija</w:t>
      </w:r>
      <w:r w:rsidRPr="00CC4FD4">
        <w:t>. 2006, 2</w:t>
      </w:r>
      <w:r>
        <w:t xml:space="preserve">: </w:t>
      </w:r>
      <w:r w:rsidRPr="00FB446B">
        <w:t xml:space="preserve">253. </w:t>
      </w:r>
      <w:r w:rsidRPr="00314421">
        <w:t xml:space="preserve">Jurgaitis, R. Konstituciniai baudžiamojo proceso teisės pagrindai. In Ancelis, P., </w:t>
      </w:r>
      <w:r w:rsidRPr="008B20C4">
        <w:rPr>
          <w:i/>
        </w:rPr>
        <w:t>et al.</w:t>
      </w:r>
      <w:r w:rsidRPr="00314421">
        <w:t xml:space="preserve"> </w:t>
      </w:r>
      <w:r w:rsidRPr="00314421">
        <w:rPr>
          <w:i/>
        </w:rPr>
        <w:t>Sąžiningas baudžiamasis procesas: probleminiai aspektai</w:t>
      </w:r>
      <w:r w:rsidRPr="00314421">
        <w:t>. Viln</w:t>
      </w:r>
      <w:r>
        <w:t xml:space="preserve">ius: Industrus, 2009, p. 36. Lietuvos Respublikos Konstitucinio Teismo </w:t>
      </w:r>
      <w:r>
        <w:rPr>
          <w:rFonts w:eastAsia="Times New Roman"/>
          <w:szCs w:val="24"/>
        </w:rPr>
        <w:t xml:space="preserve">2004 m. gruodžio 13 d. nutarimas. </w:t>
      </w:r>
      <w:r w:rsidRPr="00993334">
        <w:rPr>
          <w:rFonts w:eastAsia="Times New Roman"/>
          <w:i/>
          <w:szCs w:val="24"/>
        </w:rPr>
        <w:t>Valstybės žinios</w:t>
      </w:r>
      <w:r w:rsidRPr="00993334">
        <w:rPr>
          <w:rFonts w:eastAsia="Times New Roman"/>
          <w:szCs w:val="24"/>
        </w:rPr>
        <w:t>. 2004, Nr. 181-6708; Nr. 186 (atitaisymas).</w:t>
      </w:r>
    </w:p>
  </w:footnote>
  <w:footnote w:id="533">
    <w:p w:rsidR="00E0371E" w:rsidRPr="00FB446B" w:rsidRDefault="00E0371E" w:rsidP="002F1880">
      <w:pPr>
        <w:pStyle w:val="Puslapioinaostekstas"/>
        <w:jc w:val="both"/>
      </w:pPr>
      <w:r>
        <w:rPr>
          <w:rStyle w:val="Puslapioinaosnuoroda"/>
        </w:rPr>
        <w:footnoteRef/>
      </w:r>
      <w:r>
        <w:t xml:space="preserve">Ši išvada daroma remiantis tiek Lietuvos konstitucine jurisprudencija, tiek Konvencijos analize. </w:t>
      </w:r>
      <w:r w:rsidRPr="00531902">
        <w:t xml:space="preserve">Lietuvos Respublikos Konstitucinio Teismo </w:t>
      </w:r>
      <w:r>
        <w:t>2006 m. sausio 16 d. nutarimas</w:t>
      </w:r>
      <w:r w:rsidRPr="00531902">
        <w:t xml:space="preserve">. </w:t>
      </w:r>
      <w:r w:rsidRPr="00927F5E">
        <w:rPr>
          <w:i/>
        </w:rPr>
        <w:t>Valstybės žinios</w:t>
      </w:r>
      <w:r w:rsidRPr="00531902">
        <w:t>. 2006, Nr. 7-254.</w:t>
      </w:r>
      <w:r>
        <w:t xml:space="preserve"> Štarienė, L. </w:t>
      </w:r>
      <w:r w:rsidRPr="0069522B">
        <w:rPr>
          <w:i/>
        </w:rPr>
        <w:t>Teisė į teisingą teismą pagal Europos žmogaus teisių konvenciją</w:t>
      </w:r>
      <w:r w:rsidRPr="0069522B">
        <w:t xml:space="preserve">. </w:t>
      </w:r>
      <w:r>
        <w:t>Vilnius: VĮ Registrų centras, 2010, p. 178.</w:t>
      </w:r>
    </w:p>
  </w:footnote>
  <w:footnote w:id="534">
    <w:p w:rsidR="00E0371E" w:rsidRPr="00875019" w:rsidRDefault="00E0371E" w:rsidP="003B3C35">
      <w:pPr>
        <w:autoSpaceDE w:val="0"/>
        <w:autoSpaceDN w:val="0"/>
        <w:adjustRightInd w:val="0"/>
        <w:jc w:val="both"/>
        <w:rPr>
          <w:sz w:val="20"/>
          <w:szCs w:val="20"/>
        </w:rPr>
      </w:pPr>
      <w:r>
        <w:rPr>
          <w:rStyle w:val="Puslapioinaosnuoroda"/>
        </w:rPr>
        <w:footnoteRef/>
      </w:r>
      <w:r w:rsidRPr="00875019">
        <w:rPr>
          <w:sz w:val="20"/>
          <w:szCs w:val="20"/>
        </w:rPr>
        <w:t xml:space="preserve">Štarienė, L. </w:t>
      </w:r>
      <w:r w:rsidRPr="00875019">
        <w:rPr>
          <w:rFonts w:ascii="TT5C0o00" w:hAnsi="TT5C0o00" w:cs="TT5C0o00"/>
          <w:sz w:val="20"/>
          <w:szCs w:val="20"/>
        </w:rPr>
        <w:t>Teisės į teisingą teismą, įtvirtintos Europos žmogaus teisių konvencijos 6 str., pobūdis, vieta ir apsaugos lygis kitų konvencijos teisių požiūriu</w:t>
      </w:r>
      <w:r w:rsidRPr="00875019">
        <w:rPr>
          <w:rFonts w:ascii="TT5C0o00" w:hAnsi="TT5C0o00" w:cs="TT5C0o00"/>
          <w:i/>
          <w:sz w:val="20"/>
          <w:szCs w:val="20"/>
        </w:rPr>
        <w:t>. Jurisprudencija</w:t>
      </w:r>
      <w:r>
        <w:rPr>
          <w:rFonts w:ascii="TT5C0o00" w:hAnsi="TT5C0o00" w:cs="TT5C0o00"/>
          <w:sz w:val="20"/>
          <w:szCs w:val="20"/>
        </w:rPr>
        <w:t>.</w:t>
      </w:r>
      <w:r w:rsidRPr="00875019">
        <w:rPr>
          <w:rFonts w:ascii="TT5C0o00" w:hAnsi="TT5C0o00" w:cs="TT5C0o00"/>
          <w:sz w:val="20"/>
          <w:szCs w:val="20"/>
        </w:rPr>
        <w:t xml:space="preserve"> 2006, 10 (88): 40.</w:t>
      </w:r>
    </w:p>
  </w:footnote>
  <w:footnote w:id="535">
    <w:p w:rsidR="00E0371E" w:rsidRPr="001D2BCA" w:rsidRDefault="00E0371E" w:rsidP="00274D82">
      <w:pPr>
        <w:pStyle w:val="Puslapioinaostekstas"/>
        <w:jc w:val="both"/>
      </w:pPr>
      <w:r w:rsidRPr="001D2BCA">
        <w:rPr>
          <w:rStyle w:val="Puslapioinaosnuoroda"/>
        </w:rPr>
        <w:footnoteRef/>
      </w:r>
      <w:r w:rsidRPr="00531902">
        <w:t>Lietuvos Re</w:t>
      </w:r>
      <w:r>
        <w:t xml:space="preserve">spublikos Konstitucinio Teismo </w:t>
      </w:r>
      <w:r w:rsidRPr="00531902">
        <w:t>2006 m. sausio 16 d. nutarimas</w:t>
      </w:r>
      <w:r>
        <w:t xml:space="preserve">. </w:t>
      </w:r>
      <w:r w:rsidRPr="00927F5E">
        <w:rPr>
          <w:i/>
        </w:rPr>
        <w:t>Valstybės žinios</w:t>
      </w:r>
      <w:r>
        <w:t>. 2006, Nr. 7-254</w:t>
      </w:r>
      <w:r>
        <w:rPr>
          <w:rFonts w:eastAsia="Times New Roman"/>
          <w:szCs w:val="24"/>
        </w:rPr>
        <w:t>.</w:t>
      </w:r>
    </w:p>
  </w:footnote>
  <w:footnote w:id="536">
    <w:p w:rsidR="00E0371E" w:rsidRDefault="00E0371E" w:rsidP="00274D82">
      <w:pPr>
        <w:pStyle w:val="Puslapioinaostekstas"/>
        <w:jc w:val="both"/>
      </w:pPr>
      <w:r>
        <w:rPr>
          <w:rStyle w:val="Puslapioinaosnuoroda"/>
        </w:rPr>
        <w:footnoteRef/>
      </w:r>
      <w:r w:rsidRPr="007616C6">
        <w:rPr>
          <w:rFonts w:eastAsia="Times New Roman"/>
          <w:szCs w:val="24"/>
        </w:rPr>
        <w:t xml:space="preserve">Ažubalytė, R. Nukentėjusio nuo nusikalstamos veikos asmens teisė kreiptis į teismą kaip teisminės gynybos realizavimo baudžiamajame procese prielaida. </w:t>
      </w:r>
      <w:r w:rsidRPr="007616C6">
        <w:rPr>
          <w:rFonts w:eastAsia="Times New Roman"/>
          <w:i/>
          <w:szCs w:val="24"/>
        </w:rPr>
        <w:t>Jurisprudencija</w:t>
      </w:r>
      <w:r>
        <w:rPr>
          <w:rFonts w:eastAsia="Times New Roman"/>
          <w:szCs w:val="24"/>
        </w:rPr>
        <w:t>.</w:t>
      </w:r>
      <w:r w:rsidRPr="007616C6">
        <w:rPr>
          <w:rFonts w:eastAsia="Times New Roman"/>
          <w:szCs w:val="24"/>
        </w:rPr>
        <w:t xml:space="preserve"> 2010, 4 (122): 2</w:t>
      </w:r>
      <w:r w:rsidRPr="004C12EA">
        <w:rPr>
          <w:rFonts w:eastAsia="Times New Roman"/>
          <w:szCs w:val="24"/>
        </w:rPr>
        <w:t>27</w:t>
      </w:r>
      <w:r>
        <w:rPr>
          <w:rFonts w:eastAsia="Times New Roman"/>
          <w:szCs w:val="24"/>
        </w:rPr>
        <w:t>.</w:t>
      </w:r>
    </w:p>
  </w:footnote>
  <w:footnote w:id="537">
    <w:p w:rsidR="00E0371E" w:rsidRDefault="00E0371E" w:rsidP="00CD1BB5">
      <w:pPr>
        <w:pStyle w:val="Puslapioinaostekstas"/>
        <w:jc w:val="both"/>
      </w:pPr>
      <w:r>
        <w:rPr>
          <w:rStyle w:val="Puslapioinaosnuoroda"/>
        </w:rPr>
        <w:footnoteRef/>
      </w:r>
      <w:r>
        <w:t xml:space="preserve">Maiwald, M. Die Beteiligung des Verletzten am Strafverfahren. </w:t>
      </w:r>
      <w:r w:rsidRPr="00812929">
        <w:rPr>
          <w:i/>
        </w:rPr>
        <w:t>GA</w:t>
      </w:r>
      <w:r>
        <w:t>. 1970: 45.</w:t>
      </w:r>
    </w:p>
  </w:footnote>
  <w:footnote w:id="538">
    <w:p w:rsidR="00E0371E" w:rsidRPr="00EB52A2" w:rsidRDefault="00E0371E" w:rsidP="00274D82">
      <w:pPr>
        <w:pStyle w:val="Puslapioinaostekstas"/>
        <w:jc w:val="both"/>
      </w:pPr>
      <w:r w:rsidRPr="00EB52A2">
        <w:rPr>
          <w:rStyle w:val="Puslapioinaosnuoroda"/>
        </w:rPr>
        <w:footnoteRef/>
      </w:r>
      <w:r>
        <w:rPr>
          <w:rFonts w:eastAsia="Times New Roman"/>
          <w:i/>
        </w:rPr>
        <w:t>„T</w:t>
      </w:r>
      <w:r w:rsidRPr="00B262A3">
        <w:rPr>
          <w:rFonts w:eastAsia="Times New Roman"/>
          <w:i/>
        </w:rPr>
        <w:t>okia asmens teisės į teisminę gynybą įgyvendinimo forma, kai pats nukentėjusysis (o ne valstybės įgalioti subjektai) sprendžia dėl baudžiamojo proceso inicijavimo, yra suderinama su teisės į teisminę gynybą konstituciniu principu</w:t>
      </w:r>
      <w:r>
        <w:rPr>
          <w:rFonts w:eastAsia="Times New Roman"/>
          <w:i/>
        </w:rPr>
        <w:t xml:space="preserve">“. </w:t>
      </w:r>
      <w:r w:rsidRPr="00531902">
        <w:t>Lietuvos Respublikos Konstitucinio Teismo</w:t>
      </w:r>
      <w:r>
        <w:t xml:space="preserve"> 2006 m. sausio 16 d. nutarimas</w:t>
      </w:r>
      <w:r w:rsidRPr="00EB52A2">
        <w:t xml:space="preserve">. </w:t>
      </w:r>
      <w:r w:rsidRPr="00EB52A2">
        <w:rPr>
          <w:i/>
          <w:iCs/>
        </w:rPr>
        <w:t xml:space="preserve">Valstybės žinios. </w:t>
      </w:r>
      <w:r w:rsidRPr="00EB52A2">
        <w:t>2006, Nr. 7-254.</w:t>
      </w:r>
      <w:r>
        <w:t xml:space="preserve"> </w:t>
      </w:r>
      <w:r w:rsidRPr="00C8142D">
        <w:t xml:space="preserve">Ažubalytė, R. Nukentėjusio nuo nusikalstamos veikos asmens teisė kreiptis į teismą kaip teisminės gynybos realizavimo baudžiamajame procese prielaida. </w:t>
      </w:r>
      <w:r w:rsidRPr="00C8142D">
        <w:rPr>
          <w:i/>
        </w:rPr>
        <w:t>Jurisprudencija</w:t>
      </w:r>
      <w:r>
        <w:t>. 2010, 4 (122): 230.</w:t>
      </w:r>
    </w:p>
  </w:footnote>
  <w:footnote w:id="539">
    <w:p w:rsidR="00E0371E" w:rsidRDefault="00E0371E" w:rsidP="00AB152C">
      <w:pPr>
        <w:pStyle w:val="Puslapioinaostekstas"/>
        <w:jc w:val="both"/>
      </w:pPr>
      <w:r>
        <w:rPr>
          <w:rStyle w:val="Puslapioinaosnuoroda"/>
        </w:rPr>
        <w:footnoteRef/>
      </w:r>
      <w:r>
        <w:t xml:space="preserve">Ambrasaitė, G. </w:t>
      </w:r>
      <w:r w:rsidRPr="00773F12">
        <w:rPr>
          <w:i/>
        </w:rPr>
        <w:t>Apeliacija civiliniame procese</w:t>
      </w:r>
      <w:r>
        <w:t xml:space="preserve">. Daktaro disertacija. Socialiniai mokslai (teisė). Vilnius: Lietuvos Teisės Universitetas, 2004, p. 64. </w:t>
      </w:r>
    </w:p>
  </w:footnote>
  <w:footnote w:id="540">
    <w:p w:rsidR="00E0371E" w:rsidRDefault="00E0371E" w:rsidP="00274D82">
      <w:pPr>
        <w:pStyle w:val="Puslapioinaostekstas"/>
        <w:jc w:val="both"/>
      </w:pPr>
      <w:r>
        <w:rPr>
          <w:rStyle w:val="Puslapioinaosnuoroda"/>
        </w:rPr>
        <w:footnoteRef/>
      </w:r>
      <w:r w:rsidRPr="00820EEF">
        <w:rPr>
          <w:i/>
        </w:rPr>
        <w:t>Baškienė v. Lithuania</w:t>
      </w:r>
      <w:r>
        <w:t xml:space="preserve">, no. 11529/04, 24 July 2007, para. 79. </w:t>
      </w:r>
      <w:r w:rsidRPr="00820EEF">
        <w:rPr>
          <w:i/>
        </w:rPr>
        <w:t>Jasiūnienė v. Lithuania</w:t>
      </w:r>
      <w:r>
        <w:t>, no. 41510/98, 6 March 2003, para. 27.</w:t>
      </w:r>
      <w:r w:rsidRPr="00820EEF">
        <w:t xml:space="preserve"> </w:t>
      </w:r>
      <w:r>
        <w:t xml:space="preserve">Štarienė, L. </w:t>
      </w:r>
      <w:r w:rsidRPr="0069522B">
        <w:rPr>
          <w:i/>
        </w:rPr>
        <w:t>Teisė į teisingą teismą pagal Europos žmogaus teisių konvenciją</w:t>
      </w:r>
      <w:r w:rsidRPr="0069522B">
        <w:t xml:space="preserve">. </w:t>
      </w:r>
      <w:r>
        <w:t>Vilnius: VĮ Registrų centras, 2010, p. 232-233.</w:t>
      </w:r>
    </w:p>
  </w:footnote>
  <w:footnote w:id="541">
    <w:p w:rsidR="00E0371E" w:rsidRDefault="00E0371E" w:rsidP="00274D82">
      <w:pPr>
        <w:pStyle w:val="Puslapioinaostekstas"/>
        <w:jc w:val="both"/>
      </w:pPr>
      <w:r>
        <w:rPr>
          <w:rStyle w:val="Puslapioinaosnuoroda"/>
        </w:rPr>
        <w:footnoteRef/>
      </w:r>
      <w:r w:rsidRPr="00820EEF">
        <w:rPr>
          <w:i/>
        </w:rPr>
        <w:t>Le Compte, Van Leuven and De Meyere v. Belgium</w:t>
      </w:r>
      <w:r>
        <w:t xml:space="preserve">, no. 6878/75, 7238/75, 23 June 1981, para. 51. Štarienė, L. </w:t>
      </w:r>
      <w:r>
        <w:rPr>
          <w:i/>
        </w:rPr>
        <w:t>T</w:t>
      </w:r>
      <w:r w:rsidRPr="0069522B">
        <w:rPr>
          <w:i/>
        </w:rPr>
        <w:t>eisė į teisingą teismą pagal Europos žmogaus teisių konvenciją</w:t>
      </w:r>
      <w:r w:rsidRPr="0069522B">
        <w:t xml:space="preserve">. </w:t>
      </w:r>
      <w:r>
        <w:t xml:space="preserve">Vilnius: VĮ Registrų centras, 2010, p. 234-236. </w:t>
      </w:r>
    </w:p>
  </w:footnote>
  <w:footnote w:id="542">
    <w:p w:rsidR="00E0371E" w:rsidRDefault="00E0371E" w:rsidP="00274D82">
      <w:pPr>
        <w:pStyle w:val="Puslapioinaostekstas"/>
        <w:jc w:val="both"/>
      </w:pPr>
      <w:r>
        <w:rPr>
          <w:rStyle w:val="Puslapioinaosnuoroda"/>
        </w:rPr>
        <w:footnoteRef/>
      </w:r>
      <w:r w:rsidRPr="00820EEF">
        <w:rPr>
          <w:i/>
        </w:rPr>
        <w:t>Gouffre de la Pradelle v. France</w:t>
      </w:r>
      <w:r>
        <w:t xml:space="preserve">, no. 12964/87, 16 December 1992, paras. 33, 34. </w:t>
      </w:r>
      <w:r w:rsidRPr="00820EEF">
        <w:rPr>
          <w:i/>
        </w:rPr>
        <w:t>Hajiyev v. Italy</w:t>
      </w:r>
      <w:r>
        <w:t xml:space="preserve"> </w:t>
      </w:r>
      <w:proofErr w:type="gramStart"/>
      <w:r>
        <w:t>(</w:t>
      </w:r>
      <w:proofErr w:type="gramEnd"/>
      <w:r>
        <w:t xml:space="preserve">No. 1), no. 40877/98, 30 January 2003, paras. 65, 52. Štarienė, L. </w:t>
      </w:r>
      <w:r w:rsidRPr="0069522B">
        <w:rPr>
          <w:i/>
        </w:rPr>
        <w:t>Teisė į teisingą teismą pagal Europos žmogaus teisių konvenciją</w:t>
      </w:r>
      <w:r w:rsidRPr="0069522B">
        <w:t xml:space="preserve">. </w:t>
      </w:r>
      <w:r>
        <w:t>Vilnius: VĮ Registrų centras, 2010, p. 251.</w:t>
      </w:r>
    </w:p>
  </w:footnote>
  <w:footnote w:id="543">
    <w:p w:rsidR="00E0371E" w:rsidRDefault="00E0371E" w:rsidP="00274D82">
      <w:pPr>
        <w:pStyle w:val="Puslapioinaostekstas"/>
        <w:jc w:val="both"/>
      </w:pPr>
      <w:r>
        <w:rPr>
          <w:rStyle w:val="Puslapioinaosnuoroda"/>
        </w:rPr>
        <w:footnoteRef/>
      </w:r>
      <w:r w:rsidRPr="003D05F7">
        <w:t xml:space="preserve">Birmontienė, T. </w:t>
      </w:r>
      <w:r w:rsidRPr="006378DA">
        <w:t>Šiuolaikinės žmogaus teisių konstitucinės doktrinos</w:t>
      </w:r>
      <w:r>
        <w:t xml:space="preserve"> tendencijos. </w:t>
      </w:r>
      <w:r w:rsidRPr="006378DA">
        <w:rPr>
          <w:i/>
        </w:rPr>
        <w:t>Konstitucinė jurisprudencija</w:t>
      </w:r>
      <w:r>
        <w:t xml:space="preserve">. 2007, 1 (5): 214. </w:t>
      </w:r>
    </w:p>
  </w:footnote>
  <w:footnote w:id="544">
    <w:p w:rsidR="00E0371E" w:rsidRDefault="00E0371E" w:rsidP="00274D82">
      <w:pPr>
        <w:pStyle w:val="Puslapioinaostekstas"/>
        <w:jc w:val="both"/>
      </w:pPr>
      <w:r>
        <w:rPr>
          <w:rStyle w:val="Puslapioinaosnuoroda"/>
        </w:rPr>
        <w:footnoteRef/>
      </w:r>
      <w:r w:rsidRPr="00024F96">
        <w:t xml:space="preserve">Jurgaitis, R. Konstituciniai baudžiamojo proceso teisės pagrindai. In Ancelis, P., </w:t>
      </w:r>
      <w:r w:rsidRPr="008B20C4">
        <w:rPr>
          <w:i/>
        </w:rPr>
        <w:t>et al.</w:t>
      </w:r>
      <w:r w:rsidRPr="00024F96">
        <w:t xml:space="preserve"> </w:t>
      </w:r>
      <w:r w:rsidRPr="00024F96">
        <w:rPr>
          <w:i/>
        </w:rPr>
        <w:t>Sąžiningas baudžiamasis procesas: probleminiai aspektai</w:t>
      </w:r>
      <w:r w:rsidRPr="00024F96">
        <w:t>. Vilnius: Industrus, 2009</w:t>
      </w:r>
      <w:r>
        <w:t>, p</w:t>
      </w:r>
      <w:r w:rsidRPr="00024F96">
        <w:t>. 36.</w:t>
      </w:r>
    </w:p>
  </w:footnote>
  <w:footnote w:id="545">
    <w:p w:rsidR="00E0371E" w:rsidRDefault="00E0371E" w:rsidP="00274D82">
      <w:pPr>
        <w:pStyle w:val="Puslapioinaostekstas"/>
        <w:jc w:val="both"/>
      </w:pPr>
      <w:r>
        <w:rPr>
          <w:rStyle w:val="Puslapioinaosnuoroda"/>
        </w:rPr>
        <w:footnoteRef/>
      </w:r>
      <w:r>
        <w:t>Štarienė, L.</w:t>
      </w:r>
      <w:r w:rsidRPr="0069522B">
        <w:t xml:space="preserve"> </w:t>
      </w:r>
      <w:r w:rsidRPr="0069522B">
        <w:rPr>
          <w:i/>
        </w:rPr>
        <w:t>Teisė į teisingą teismą pagal Europos žmogaus teisių konvenciją</w:t>
      </w:r>
      <w:r w:rsidRPr="0069522B">
        <w:t>.</w:t>
      </w:r>
      <w:r>
        <w:t xml:space="preserve"> Vilnius: VĮ Registrų centras, 2010, p. 35. </w:t>
      </w:r>
    </w:p>
  </w:footnote>
  <w:footnote w:id="546">
    <w:p w:rsidR="00E0371E" w:rsidRPr="00814AEC" w:rsidRDefault="00E0371E" w:rsidP="00274D82">
      <w:pPr>
        <w:pStyle w:val="Puslapioinaostekstas"/>
        <w:jc w:val="both"/>
      </w:pPr>
      <w:r w:rsidRPr="00814AEC">
        <w:rPr>
          <w:rStyle w:val="Puslapioinaosnuoroda"/>
        </w:rPr>
        <w:footnoteRef/>
      </w:r>
      <w:r w:rsidRPr="00820EEF">
        <w:rPr>
          <w:i/>
        </w:rPr>
        <w:t>Ilasku v. Moldova and Russia</w:t>
      </w:r>
      <w:r w:rsidRPr="00814AEC">
        <w:t xml:space="preserve"> [GC], no. 48787/99, 8 July 2004, para. 332.</w:t>
      </w:r>
      <w:r>
        <w:t xml:space="preserve"> </w:t>
      </w:r>
      <w:r w:rsidRPr="00820EEF">
        <w:rPr>
          <w:i/>
        </w:rPr>
        <w:t>Ashingdane v. United Kingdom</w:t>
      </w:r>
      <w:r w:rsidRPr="00814AEC">
        <w:t>, no.</w:t>
      </w:r>
      <w:r>
        <w:t xml:space="preserve"> 8225/78, 28 May 1985, para. 57.</w:t>
      </w:r>
      <w:r w:rsidRPr="00814AEC">
        <w:t xml:space="preserve"> </w:t>
      </w:r>
      <w:r w:rsidRPr="00820EEF">
        <w:rPr>
          <w:i/>
        </w:rPr>
        <w:t>A v. United Kingdom</w:t>
      </w:r>
      <w:r w:rsidRPr="00814AEC">
        <w:t>, no. 35373</w:t>
      </w:r>
      <w:r>
        <w:t>/97, 17 December 2002, para. 74.</w:t>
      </w:r>
      <w:r w:rsidRPr="00814AEC">
        <w:t xml:space="preserve"> </w:t>
      </w:r>
      <w:r w:rsidRPr="00820EEF">
        <w:rPr>
          <w:i/>
        </w:rPr>
        <w:t>Kreuz v. Poland</w:t>
      </w:r>
      <w:r w:rsidRPr="00814AEC">
        <w:t>, no. 2</w:t>
      </w:r>
      <w:r>
        <w:t>8249/95, 19 June 2001, para. 53.</w:t>
      </w:r>
    </w:p>
  </w:footnote>
  <w:footnote w:id="547">
    <w:p w:rsidR="00E0371E" w:rsidRPr="0069522B" w:rsidRDefault="00E0371E" w:rsidP="00274D82">
      <w:pPr>
        <w:jc w:val="both"/>
        <w:rPr>
          <w:sz w:val="20"/>
          <w:szCs w:val="20"/>
        </w:rPr>
      </w:pPr>
      <w:r w:rsidRPr="00814AEC">
        <w:rPr>
          <w:rStyle w:val="Puslapioinaosnuoroda"/>
        </w:rPr>
        <w:footnoteRef/>
      </w:r>
      <w:r w:rsidRPr="0069522B">
        <w:rPr>
          <w:rFonts w:eastAsia="Times New Roman"/>
          <w:sz w:val="20"/>
          <w:szCs w:val="20"/>
        </w:rPr>
        <w:t>Į atskiras grupes galima išskirti šiuos teisės į teismą ribojimus: 1</w:t>
      </w:r>
      <w:r>
        <w:rPr>
          <w:rFonts w:eastAsia="Times New Roman"/>
          <w:sz w:val="20"/>
          <w:szCs w:val="20"/>
        </w:rPr>
        <w:t>.a</w:t>
      </w:r>
      <w:r w:rsidRPr="0069522B">
        <w:rPr>
          <w:rFonts w:eastAsia="Times New Roman"/>
          <w:sz w:val="20"/>
          <w:szCs w:val="20"/>
        </w:rPr>
        <w:t>pribojimai tam tikrų asmenų grupių atžvilgiu;</w:t>
      </w:r>
      <w:r>
        <w:rPr>
          <w:rFonts w:eastAsia="Times New Roman"/>
          <w:sz w:val="20"/>
          <w:szCs w:val="20"/>
        </w:rPr>
        <w:t xml:space="preserve"> 2. t</w:t>
      </w:r>
      <w:r w:rsidRPr="0069522B">
        <w:rPr>
          <w:rFonts w:eastAsia="Times New Roman"/>
          <w:sz w:val="20"/>
          <w:szCs w:val="20"/>
        </w:rPr>
        <w:t>erminai ir procesiniai reikalavimai ieškiniui ar skundui paduoti;</w:t>
      </w:r>
      <w:r>
        <w:rPr>
          <w:rFonts w:eastAsia="Times New Roman"/>
          <w:sz w:val="20"/>
          <w:szCs w:val="20"/>
        </w:rPr>
        <w:t xml:space="preserve"> 3. p</w:t>
      </w:r>
      <w:r w:rsidRPr="0069522B">
        <w:rPr>
          <w:rFonts w:eastAsia="Times New Roman"/>
          <w:sz w:val="20"/>
          <w:szCs w:val="20"/>
        </w:rPr>
        <w:t>rocesinių nuostatų aiškumas;</w:t>
      </w:r>
      <w:r>
        <w:rPr>
          <w:rFonts w:eastAsia="Times New Roman"/>
          <w:sz w:val="20"/>
          <w:szCs w:val="20"/>
        </w:rPr>
        <w:t xml:space="preserve"> 4. r</w:t>
      </w:r>
      <w:r w:rsidRPr="0069522B">
        <w:rPr>
          <w:rFonts w:eastAsia="Times New Roman"/>
          <w:sz w:val="20"/>
          <w:szCs w:val="20"/>
        </w:rPr>
        <w:t>etrospektyvus teisės aktų aiškinimas;</w:t>
      </w:r>
      <w:r>
        <w:rPr>
          <w:rFonts w:eastAsia="Times New Roman"/>
          <w:sz w:val="20"/>
          <w:szCs w:val="20"/>
        </w:rPr>
        <w:t xml:space="preserve"> 5. b</w:t>
      </w:r>
      <w:r w:rsidRPr="0069522B">
        <w:rPr>
          <w:rFonts w:eastAsia="Times New Roman"/>
          <w:sz w:val="20"/>
          <w:szCs w:val="20"/>
        </w:rPr>
        <w:t>ylinėjimosi išlaidos ir kiti mokesčiai.</w:t>
      </w:r>
      <w:r>
        <w:rPr>
          <w:rFonts w:eastAsia="Times New Roman"/>
          <w:sz w:val="20"/>
          <w:szCs w:val="20"/>
        </w:rPr>
        <w:t xml:space="preserve"> </w:t>
      </w:r>
      <w:r w:rsidRPr="0069522B">
        <w:rPr>
          <w:sz w:val="20"/>
          <w:szCs w:val="20"/>
        </w:rPr>
        <w:t xml:space="preserve">Štarienė, L. </w:t>
      </w:r>
      <w:r w:rsidRPr="0069522B">
        <w:rPr>
          <w:i/>
          <w:sz w:val="20"/>
          <w:szCs w:val="20"/>
        </w:rPr>
        <w:t>Teisė į teisingą teismą pagal Europos žmogaus teisių konvenciją</w:t>
      </w:r>
      <w:r w:rsidRPr="0069522B">
        <w:rPr>
          <w:sz w:val="20"/>
          <w:szCs w:val="20"/>
        </w:rPr>
        <w:t xml:space="preserve">. Vilnius: VĮ Registrų centras, 2010, p. 189. </w:t>
      </w:r>
    </w:p>
  </w:footnote>
  <w:footnote w:id="548">
    <w:p w:rsidR="00E0371E" w:rsidRPr="00CC23F8" w:rsidRDefault="00E0371E" w:rsidP="00274D82">
      <w:pPr>
        <w:pStyle w:val="Puslapioinaostekstas"/>
        <w:jc w:val="both"/>
      </w:pPr>
      <w:r w:rsidRPr="00CC23F8">
        <w:rPr>
          <w:rStyle w:val="Puslapioinaosnuoroda"/>
        </w:rPr>
        <w:footnoteRef/>
      </w:r>
      <w:r w:rsidRPr="00820EEF">
        <w:rPr>
          <w:i/>
        </w:rPr>
        <w:t>Golder v. United Kingdom</w:t>
      </w:r>
      <w:r w:rsidRPr="00CC23F8">
        <w:t>, no. 4451/70, 21 February 1975, para. 39.</w:t>
      </w:r>
      <w:r w:rsidRPr="00820EEF">
        <w:t xml:space="preserve"> </w:t>
      </w:r>
      <w:r>
        <w:t xml:space="preserve">Štarienė, L. </w:t>
      </w:r>
      <w:r w:rsidRPr="0069522B">
        <w:rPr>
          <w:i/>
        </w:rPr>
        <w:t>Teisė į teisingą teismą pagal Europos žmogaus teisių konvenciją</w:t>
      </w:r>
      <w:r w:rsidRPr="0069522B">
        <w:t xml:space="preserve">. </w:t>
      </w:r>
      <w:r>
        <w:t xml:space="preserve">Vilnius: Registrų centras, 2010, </w:t>
      </w:r>
      <w:r w:rsidRPr="00CC23F8">
        <w:t>p. 190.</w:t>
      </w:r>
    </w:p>
  </w:footnote>
  <w:footnote w:id="549">
    <w:p w:rsidR="00E0371E" w:rsidRPr="00CC23F8" w:rsidRDefault="00E0371E" w:rsidP="00274D82">
      <w:pPr>
        <w:pStyle w:val="Puslapioinaostekstas"/>
        <w:jc w:val="both"/>
      </w:pPr>
      <w:r>
        <w:rPr>
          <w:rStyle w:val="Puslapioinaosnuoroda"/>
        </w:rPr>
        <w:footnoteRef/>
      </w:r>
      <w:r w:rsidRPr="00820EEF">
        <w:rPr>
          <w:i/>
        </w:rPr>
        <w:t>Markovic and Others v. Italy</w:t>
      </w:r>
      <w:r>
        <w:t>, [GC], no. 1398/03, 14 December 2006. Štarienė, L.</w:t>
      </w:r>
      <w:r w:rsidRPr="0069522B">
        <w:t xml:space="preserve"> </w:t>
      </w:r>
      <w:r w:rsidRPr="0069522B">
        <w:rPr>
          <w:i/>
        </w:rPr>
        <w:t>Teisė į teisingą teismą pagal Europos žmogaus teisių konvenciją</w:t>
      </w:r>
      <w:r w:rsidRPr="0069522B">
        <w:t xml:space="preserve">. </w:t>
      </w:r>
      <w:r>
        <w:t>Vilnius: VĮ Registrų centras, 2010, p. 192.</w:t>
      </w:r>
    </w:p>
  </w:footnote>
  <w:footnote w:id="550">
    <w:p w:rsidR="00E0371E" w:rsidRDefault="00E0371E" w:rsidP="00274D82">
      <w:pPr>
        <w:pStyle w:val="Puslapioinaostekstas"/>
        <w:jc w:val="both"/>
      </w:pPr>
      <w:r>
        <w:rPr>
          <w:rStyle w:val="Puslapioinaosnuoroda"/>
        </w:rPr>
        <w:footnoteRef/>
      </w:r>
      <w:r>
        <w:t xml:space="preserve">Von Schacky, S. </w:t>
      </w:r>
      <w:r w:rsidRPr="00362C4C">
        <w:rPr>
          <w:i/>
        </w:rPr>
        <w:t>Das Privatklageverfahren und seine Berechtigung heute</w:t>
      </w:r>
      <w:r>
        <w:t>. Daktaro disertacija. Socialiniai mokslai (teisė). Frankfurt am Main: Johann Wolfgang Goethe-Universität, 1975, p. 61.</w:t>
      </w:r>
    </w:p>
  </w:footnote>
  <w:footnote w:id="551">
    <w:p w:rsidR="00E0371E" w:rsidRPr="00820EEF" w:rsidRDefault="00E0371E" w:rsidP="00820EEF">
      <w:pPr>
        <w:jc w:val="both"/>
        <w:rPr>
          <w:sz w:val="20"/>
          <w:szCs w:val="20"/>
        </w:rPr>
      </w:pPr>
      <w:r w:rsidRPr="00820EEF">
        <w:rPr>
          <w:rStyle w:val="Puslapioinaosnuoroda"/>
          <w:sz w:val="20"/>
          <w:szCs w:val="20"/>
        </w:rPr>
        <w:footnoteRef/>
      </w:r>
      <w:r w:rsidRPr="00820EEF">
        <w:rPr>
          <w:sz w:val="20"/>
          <w:szCs w:val="20"/>
        </w:rPr>
        <w:t xml:space="preserve">The Relation between the Public Prosecutor and the Police (Austria): </w:t>
      </w:r>
      <w:hyperlink r:id="rId23" w:history="1">
        <w:r w:rsidRPr="00820EEF">
          <w:rPr>
            <w:color w:val="0000FF"/>
            <w:sz w:val="20"/>
            <w:szCs w:val="20"/>
            <w:u w:val="single"/>
          </w:rPr>
          <w:t>http://www.euro-justice.com/member_states/austria/country_report/1362/</w:t>
        </w:r>
      </w:hyperlink>
      <w:r w:rsidRPr="00820EEF">
        <w:rPr>
          <w:sz w:val="20"/>
          <w:szCs w:val="20"/>
        </w:rPr>
        <w:t xml:space="preserve"> cituota per LRS PTD.</w:t>
      </w:r>
    </w:p>
  </w:footnote>
  <w:footnote w:id="552">
    <w:p w:rsidR="00E0371E" w:rsidRPr="00820EEF" w:rsidRDefault="00E0371E" w:rsidP="00820EEF">
      <w:pPr>
        <w:jc w:val="both"/>
        <w:rPr>
          <w:sz w:val="20"/>
          <w:szCs w:val="20"/>
        </w:rPr>
      </w:pPr>
      <w:r w:rsidRPr="00820EEF">
        <w:rPr>
          <w:rStyle w:val="Puslapioinaosnuoroda"/>
          <w:sz w:val="20"/>
          <w:szCs w:val="20"/>
        </w:rPr>
        <w:footnoteRef/>
      </w:r>
      <w:r w:rsidRPr="00820EEF">
        <w:rPr>
          <w:rFonts w:eastAsia="Times New Roman"/>
          <w:sz w:val="20"/>
          <w:szCs w:val="20"/>
        </w:rPr>
        <w:t>Šis terminas netaikomas priešpriešiniam kaltinimui bylose dėl įžeidimo (Kroatijos BPK 47 straipsnio 2 dalis).</w:t>
      </w:r>
      <w:r>
        <w:rPr>
          <w:sz w:val="20"/>
          <w:szCs w:val="20"/>
        </w:rPr>
        <w:t xml:space="preserve"> </w:t>
      </w:r>
      <w:r w:rsidRPr="003E3724">
        <w:rPr>
          <w:sz w:val="20"/>
          <w:szCs w:val="20"/>
        </w:rPr>
        <w:t>Criminal Procedure Act of the Republic of Croatia [interaktyvus]. [žiūrėta 2013-12-05]. &lt;http://www.vsrh.hr/CustomPages/Static/HRV/Files/Legislation</w:t>
      </w:r>
      <w:r>
        <w:rPr>
          <w:sz w:val="20"/>
          <w:szCs w:val="20"/>
        </w:rPr>
        <w:t xml:space="preserve">__Criminal-Procedure-Act.pdf&gt;. </w:t>
      </w:r>
    </w:p>
  </w:footnote>
  <w:footnote w:id="553">
    <w:p w:rsidR="00E0371E" w:rsidRPr="00AD1A73" w:rsidRDefault="00E0371E" w:rsidP="00DA0F2C">
      <w:pPr>
        <w:pStyle w:val="Puslapioinaostekstas"/>
        <w:jc w:val="both"/>
      </w:pPr>
      <w:r>
        <w:rPr>
          <w:rStyle w:val="Puslapioinaosnuoroda"/>
        </w:rPr>
        <w:footnoteRef/>
      </w:r>
      <w:r w:rsidRPr="00AD1A73">
        <w:rPr>
          <w:bCs/>
        </w:rPr>
        <w:t xml:space="preserve">Lietuvos Aukščiausiojo Teismo 2014 m. balandžio 15 d. nutartis </w:t>
      </w:r>
      <w:r w:rsidRPr="00AD1A73">
        <w:t xml:space="preserve">baudžiamojoje byloje </w:t>
      </w:r>
      <w:r w:rsidRPr="00AD1A73">
        <w:rPr>
          <w:bCs/>
        </w:rPr>
        <w:t xml:space="preserve">Nr. 2A-5/2014. </w:t>
      </w:r>
    </w:p>
  </w:footnote>
  <w:footnote w:id="554">
    <w:p w:rsidR="00E0371E" w:rsidRDefault="00E0371E" w:rsidP="00274D82">
      <w:pPr>
        <w:pStyle w:val="Puslapioinaostekstas"/>
        <w:jc w:val="both"/>
      </w:pPr>
      <w:r>
        <w:rPr>
          <w:rStyle w:val="Puslapioinaosnuoroda"/>
        </w:rPr>
        <w:footnoteRef/>
      </w:r>
      <w:r>
        <w:t xml:space="preserve">Vilniaus apygardos teismo 2008 m. spalio 27 d. nutartis baudžiamojoje byloje </w:t>
      </w:r>
      <w:r w:rsidRPr="009F5AA3">
        <w:t>Nr. 1S-826-303-2008</w:t>
      </w:r>
      <w:r>
        <w:t xml:space="preserve">. </w:t>
      </w:r>
    </w:p>
  </w:footnote>
  <w:footnote w:id="555">
    <w:p w:rsidR="00E0371E" w:rsidRDefault="00E0371E" w:rsidP="00110C0F">
      <w:pPr>
        <w:pStyle w:val="Puslapioinaostekstas"/>
        <w:jc w:val="both"/>
      </w:pPr>
      <w:r>
        <w:rPr>
          <w:rStyle w:val="Puslapioinaosnuoroda"/>
        </w:rPr>
        <w:footnoteRef/>
      </w:r>
      <w:r w:rsidRPr="0008285E">
        <w:t xml:space="preserve">Rezon, A. K. </w:t>
      </w:r>
      <w:r>
        <w:rPr>
          <w:i/>
        </w:rPr>
        <w:t>O prestuplenijak</w:t>
      </w:r>
      <w:r w:rsidRPr="0008285E">
        <w:rPr>
          <w:i/>
        </w:rPr>
        <w:t>h, nakazuemy</w:t>
      </w:r>
      <w:r>
        <w:rPr>
          <w:i/>
        </w:rPr>
        <w:t>k</w:t>
      </w:r>
      <w:r w:rsidRPr="0008285E">
        <w:rPr>
          <w:i/>
        </w:rPr>
        <w:t>h tolko po zhalobe poterpevshego po russkomu pravu</w:t>
      </w:r>
      <w:r w:rsidRPr="0008285E">
        <w:t xml:space="preserve"> [On Crimes Punishable Only by </w:t>
      </w:r>
      <w:r>
        <w:t xml:space="preserve">a </w:t>
      </w:r>
      <w:r w:rsidRPr="0008285E">
        <w:t>Complaint of the Victim in Russian Law]</w:t>
      </w:r>
      <w:r w:rsidRPr="00510FAA">
        <w:rPr>
          <w:lang w:val="en-US"/>
        </w:rPr>
        <w:t xml:space="preserve">. </w:t>
      </w:r>
      <w:r w:rsidRPr="0008285E">
        <w:t xml:space="preserve">Sankt </w:t>
      </w:r>
      <w:r>
        <w:t>Peterburg</w:t>
      </w:r>
      <w:r w:rsidRPr="0008285E">
        <w:t>: Senat pravitelstvujushchego prava</w:t>
      </w:r>
      <w:r w:rsidRPr="00510FAA">
        <w:rPr>
          <w:lang w:val="en-US"/>
        </w:rPr>
        <w:t>,</w:t>
      </w:r>
      <w:r>
        <w:rPr>
          <w:lang w:val="en-US"/>
        </w:rPr>
        <w:t xml:space="preserve"> </w:t>
      </w:r>
      <w:r w:rsidRPr="00510FAA">
        <w:rPr>
          <w:lang w:val="en-US"/>
        </w:rPr>
        <w:t>1882.</w:t>
      </w:r>
    </w:p>
  </w:footnote>
  <w:footnote w:id="556">
    <w:p w:rsidR="00E0371E" w:rsidRPr="009C5411" w:rsidRDefault="00E0371E" w:rsidP="00274D82">
      <w:pPr>
        <w:pStyle w:val="Puslapioinaostekstas"/>
        <w:jc w:val="both"/>
      </w:pPr>
      <w:r>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Private Prosecution. Legal Theory and Case Law]. Moskva: Norma, 2000</w:t>
      </w:r>
      <w:r w:rsidRPr="009C5411">
        <w:t xml:space="preserve">, p. 45. </w:t>
      </w:r>
    </w:p>
  </w:footnote>
  <w:footnote w:id="557">
    <w:p w:rsidR="00E0371E" w:rsidRDefault="00E0371E" w:rsidP="00820EEF">
      <w:pPr>
        <w:pStyle w:val="Puslapioinaostekstas"/>
        <w:jc w:val="both"/>
      </w:pPr>
      <w:r>
        <w:rPr>
          <w:rStyle w:val="Puslapioinaosnuoroda"/>
        </w:rPr>
        <w:footnoteRef/>
      </w:r>
      <w:r>
        <w:t xml:space="preserve">Piesliakas, V. </w:t>
      </w:r>
      <w:r w:rsidRPr="001C49BD">
        <w:rPr>
          <w:i/>
        </w:rPr>
        <w:t>Lietuvos bau</w:t>
      </w:r>
      <w:r>
        <w:rPr>
          <w:i/>
        </w:rPr>
        <w:t xml:space="preserve">džiamoji teisė. </w:t>
      </w:r>
      <w:r w:rsidRPr="002504EB">
        <w:t xml:space="preserve">I knyga. 2-oji pataisyta ir papildyta laida. </w:t>
      </w:r>
      <w:r>
        <w:t xml:space="preserve">Vilnius: Justitia, 2009, p. 117. </w:t>
      </w:r>
    </w:p>
  </w:footnote>
  <w:footnote w:id="558">
    <w:p w:rsidR="00E0371E" w:rsidRPr="00820EEF" w:rsidRDefault="00E0371E" w:rsidP="00274D82">
      <w:pPr>
        <w:pStyle w:val="Puslapioinaostekstas"/>
        <w:jc w:val="both"/>
      </w:pPr>
      <w:r>
        <w:rPr>
          <w:rStyle w:val="Puslapioinaosnuoroda"/>
        </w:rPr>
        <w:footnoteRef/>
      </w:r>
      <w:r w:rsidRPr="00522573">
        <w:rPr>
          <w:i/>
        </w:rPr>
        <w:t xml:space="preserve">Deweer v. Belgium, </w:t>
      </w:r>
      <w:r w:rsidRPr="00820EEF">
        <w:t xml:space="preserve">no. 6903/75, 27 February 1980, para. 44. </w:t>
      </w:r>
      <w:r>
        <w:t xml:space="preserve">Štarienė, L. </w:t>
      </w:r>
      <w:r w:rsidRPr="0069522B">
        <w:rPr>
          <w:i/>
        </w:rPr>
        <w:t>Teisė į teisingą teismą pagal Europos žmogaus teisių konvenciją</w:t>
      </w:r>
      <w:r w:rsidRPr="0069522B">
        <w:t xml:space="preserve">. </w:t>
      </w:r>
      <w:r>
        <w:t xml:space="preserve">Vilnius: VĮ Registrų centras, 2010, p. </w:t>
      </w:r>
      <w:r w:rsidRPr="00820EEF">
        <w:t>113.</w:t>
      </w:r>
    </w:p>
  </w:footnote>
  <w:footnote w:id="559">
    <w:p w:rsidR="00E0371E" w:rsidRPr="00522573" w:rsidRDefault="00E0371E" w:rsidP="00274D82">
      <w:pPr>
        <w:pStyle w:val="Puslapioinaostekstas"/>
        <w:jc w:val="both"/>
      </w:pPr>
      <w:r>
        <w:rPr>
          <w:rStyle w:val="Puslapioinaosnuoroda"/>
        </w:rPr>
        <w:footnoteRef/>
      </w:r>
      <w:r w:rsidRPr="00820EEF">
        <w:rPr>
          <w:i/>
        </w:rPr>
        <w:t>Simonavičius v. Lithuania</w:t>
      </w:r>
      <w:r w:rsidRPr="00522573">
        <w:t>, no. 37</w:t>
      </w:r>
      <w:r>
        <w:t>415/02, 27 June 2006, para. 38.</w:t>
      </w:r>
    </w:p>
  </w:footnote>
  <w:footnote w:id="560">
    <w:p w:rsidR="00E0371E" w:rsidRDefault="00E0371E" w:rsidP="00274D82">
      <w:pPr>
        <w:pStyle w:val="Puslapioinaostekstas"/>
        <w:jc w:val="both"/>
      </w:pPr>
      <w:r w:rsidRPr="00522573">
        <w:rPr>
          <w:rStyle w:val="Puslapioinaosnuoroda"/>
        </w:rPr>
        <w:footnoteRef/>
      </w:r>
      <w:r w:rsidRPr="00522573">
        <w:t>Frau v. Italy, no. 12147/86, 19 February 1991, para. 14.</w:t>
      </w:r>
      <w:r>
        <w:t xml:space="preserve"> Štarienė, L. </w:t>
      </w:r>
      <w:r w:rsidRPr="0069522B">
        <w:rPr>
          <w:i/>
        </w:rPr>
        <w:t>Teisė į teisingą teismą pagal Europos žmogaus teisių konvenciją</w:t>
      </w:r>
      <w:r w:rsidRPr="0069522B">
        <w:t xml:space="preserve">. </w:t>
      </w:r>
      <w:r>
        <w:t xml:space="preserve">Vilnius: VĮ Registrų centras, 2010, p. 114. </w:t>
      </w:r>
    </w:p>
  </w:footnote>
  <w:footnote w:id="561">
    <w:p w:rsidR="00E0371E" w:rsidRDefault="00E0371E" w:rsidP="00274D82">
      <w:pPr>
        <w:pStyle w:val="Puslapioinaostekstas"/>
        <w:jc w:val="both"/>
      </w:pPr>
      <w:r>
        <w:rPr>
          <w:rStyle w:val="Puslapioinaosnuoroda"/>
        </w:rPr>
        <w:footnoteRef/>
      </w:r>
      <w:r>
        <w:t>Šiame skirsnyje nagrinėjami reikalavimai taikomi taip pat ir p</w:t>
      </w:r>
      <w:r w:rsidRPr="0008303C">
        <w:t>rieš</w:t>
      </w:r>
      <w:r>
        <w:t>priešiniam skundui</w:t>
      </w:r>
      <w:r w:rsidRPr="0008303C">
        <w:t xml:space="preserve">. </w:t>
      </w:r>
    </w:p>
  </w:footnote>
  <w:footnote w:id="562">
    <w:p w:rsidR="00E0371E" w:rsidRDefault="00E0371E" w:rsidP="00274D82">
      <w:pPr>
        <w:pStyle w:val="Puslapioinaostekstas"/>
        <w:jc w:val="both"/>
      </w:pPr>
      <w:r>
        <w:rPr>
          <w:rStyle w:val="Puslapioinaosnuoroda"/>
        </w:rPr>
        <w:footnoteRef/>
      </w:r>
      <w:r>
        <w:t xml:space="preserve">Palyginimui, nukentėjusio asmens skundas dėl nusikalstamos veikos, kuri tiriama ir nagrinėjama viešojo kaltinimo tvarka, galimas ir be reikalavimo pradėti ikiteisminį tyrimą, kadangi ikiteisminio tyrimo pareigūnas, prokuroras privalo kiekvienu atveju, nustatęs nusikalstamos veikos požymius, pradėti ikiteisminį tyrimą </w:t>
      </w:r>
      <w:r w:rsidRPr="005137E8">
        <w:rPr>
          <w:i/>
        </w:rPr>
        <w:t>ex officio</w:t>
      </w:r>
      <w:r>
        <w:t>.</w:t>
      </w:r>
    </w:p>
  </w:footnote>
  <w:footnote w:id="563">
    <w:p w:rsidR="00E0371E" w:rsidRDefault="00E0371E" w:rsidP="00274D82">
      <w:pPr>
        <w:pStyle w:val="Puslapioinaostekstas"/>
        <w:jc w:val="both"/>
      </w:pPr>
      <w:r>
        <w:rPr>
          <w:rStyle w:val="Puslapioinaosnuoroda"/>
        </w:rPr>
        <w:footnoteRef/>
      </w:r>
      <w:r>
        <w:t xml:space="preserve">T.y. </w:t>
      </w:r>
      <w:r w:rsidRPr="00980EF5">
        <w:rPr>
          <w:rFonts w:eastAsia="Times New Roman"/>
          <w:szCs w:val="24"/>
        </w:rPr>
        <w:t>skunde ar pareiškime turi būti nurodyta: teismo, kuriam teisminga</w:t>
      </w:r>
      <w:r>
        <w:rPr>
          <w:rFonts w:eastAsia="Times New Roman"/>
          <w:szCs w:val="24"/>
        </w:rPr>
        <w:t xml:space="preserve"> </w:t>
      </w:r>
      <w:r w:rsidRPr="00980EF5">
        <w:rPr>
          <w:rFonts w:eastAsia="Times New Roman"/>
          <w:szCs w:val="24"/>
        </w:rPr>
        <w:t>byla, pavadinimas; nusikalstamos veikos, kuria kaltinamas asmuo, padarymo faktinės aplinkybės; duomenys, kurie patvirtina skunde ar pareiškime išdėstytas aplinkybes; nukentėjusiojo, nusikalstamos veikos padarymu įtariamo asmens bei liudytojų vardai, pavardės ir gyvenamoji vieta; skundas turi būti pasirašytas nukentėjusiojo (pareiškimas – nukentėjusiojo teisėto atstovo).</w:t>
      </w:r>
    </w:p>
  </w:footnote>
  <w:footnote w:id="564">
    <w:p w:rsidR="00E0371E" w:rsidRDefault="00E0371E" w:rsidP="00274D82">
      <w:pPr>
        <w:pStyle w:val="Puslapioinaostekstas"/>
        <w:jc w:val="both"/>
      </w:pPr>
      <w:r>
        <w:rPr>
          <w:rStyle w:val="Puslapioinaosnuoroda"/>
        </w:rPr>
        <w:footnoteRef/>
      </w:r>
      <w:r>
        <w:t xml:space="preserve">Lietuvos Respublikos Konstitucinio Teismo 2000 m. rugsėjo 19 d. nutarimas. </w:t>
      </w:r>
      <w:r w:rsidRPr="00105CF1">
        <w:rPr>
          <w:i/>
        </w:rPr>
        <w:t>Valstybės žinios</w:t>
      </w:r>
      <w:r w:rsidRPr="00105CF1">
        <w:t>. 2000, Nr. 80-2423.</w:t>
      </w:r>
    </w:p>
  </w:footnote>
  <w:footnote w:id="565">
    <w:p w:rsidR="00E0371E" w:rsidRPr="004E186E" w:rsidRDefault="00E0371E" w:rsidP="00274D82">
      <w:pPr>
        <w:pStyle w:val="Puslapioinaostekstas"/>
        <w:jc w:val="both"/>
      </w:pPr>
      <w:r w:rsidRPr="004E186E">
        <w:rPr>
          <w:rStyle w:val="Puslapioinaosnuoroda"/>
        </w:rPr>
        <w:footnoteRef/>
      </w:r>
      <w:r>
        <w:t xml:space="preserve">Apie </w:t>
      </w:r>
      <w:r w:rsidRPr="004E186E">
        <w:rPr>
          <w:rFonts w:eastAsia="Times New Roman"/>
        </w:rPr>
        <w:t>n</w:t>
      </w:r>
      <w:r>
        <w:rPr>
          <w:rFonts w:eastAsia="Times New Roman"/>
        </w:rPr>
        <w:t xml:space="preserve">ukentėjusiojo interesų pažeidimą dėl skundo formalumų: </w:t>
      </w:r>
      <w:r>
        <w:t xml:space="preserve">Von Schacky, S. </w:t>
      </w:r>
      <w:r w:rsidRPr="00362C4C">
        <w:rPr>
          <w:i/>
        </w:rPr>
        <w:t>Das Privatklageverfahren und seine Berechtigung heute</w:t>
      </w:r>
      <w:r>
        <w:t xml:space="preserve">. Daktaro disertacija. Socialiniai mokslai (teisė). Frankfurt am Main: Johann Wolfgang Goethe-Universität, 1975, </w:t>
      </w:r>
      <w:r w:rsidRPr="004E186E">
        <w:rPr>
          <w:rFonts w:eastAsia="Times New Roman"/>
        </w:rPr>
        <w:t xml:space="preserve">p. 307-314. </w:t>
      </w:r>
      <w:r w:rsidRPr="0085752D">
        <w:t xml:space="preserve">Ažubalytė, R. Nukentėjusio nuo nusikalstamos veikos asmens teisė kreiptis į teismą kaip teisminės gynybos realizavimo baudžiamajame procese prielaida. </w:t>
      </w:r>
      <w:r w:rsidRPr="0085752D">
        <w:rPr>
          <w:i/>
        </w:rPr>
        <w:t>Jurisprudencija</w:t>
      </w:r>
      <w:r>
        <w:t>.</w:t>
      </w:r>
      <w:r w:rsidRPr="0085752D">
        <w:t xml:space="preserve"> 2</w:t>
      </w:r>
      <w:r>
        <w:t xml:space="preserve">010, 4 (122): 229. </w:t>
      </w:r>
    </w:p>
  </w:footnote>
  <w:footnote w:id="566">
    <w:p w:rsidR="00E0371E" w:rsidRDefault="00E0371E" w:rsidP="00274D82">
      <w:pPr>
        <w:pStyle w:val="Puslapioinaostekstas"/>
        <w:jc w:val="both"/>
      </w:pPr>
      <w:r>
        <w:rPr>
          <w:rStyle w:val="Puslapioinaosnuoroda"/>
        </w:rPr>
        <w:footnoteRef/>
      </w:r>
      <w:r w:rsidRPr="00D846EC">
        <w:rPr>
          <w:rFonts w:eastAsia="Times New Roman"/>
          <w:szCs w:val="24"/>
        </w:rPr>
        <w:t xml:space="preserve">Dėl </w:t>
      </w:r>
      <w:r>
        <w:rPr>
          <w:rFonts w:eastAsia="Times New Roman"/>
          <w:szCs w:val="24"/>
        </w:rPr>
        <w:t xml:space="preserve">BPK 407 straipsnyje </w:t>
      </w:r>
      <w:r w:rsidRPr="00D846EC">
        <w:rPr>
          <w:rFonts w:eastAsia="Times New Roman"/>
          <w:szCs w:val="24"/>
        </w:rPr>
        <w:t>nustatytų reikalavimų privataus kaltinimo skundui buvo</w:t>
      </w:r>
      <w:r>
        <w:rPr>
          <w:rFonts w:eastAsia="Times New Roman"/>
          <w:szCs w:val="24"/>
        </w:rPr>
        <w:t xml:space="preserve"> kreiptasi į Konstitucinį Teismą</w:t>
      </w:r>
      <w:r w:rsidRPr="00D846EC">
        <w:rPr>
          <w:rFonts w:eastAsia="Times New Roman"/>
          <w:szCs w:val="24"/>
        </w:rPr>
        <w:t>, ar šie reikalavimai nepažeidžia Konstitucijos 29 str</w:t>
      </w:r>
      <w:r>
        <w:rPr>
          <w:rFonts w:eastAsia="Times New Roman"/>
          <w:szCs w:val="24"/>
        </w:rPr>
        <w:t>aipsnio</w:t>
      </w:r>
      <w:r w:rsidRPr="00D846EC">
        <w:rPr>
          <w:rFonts w:eastAsia="Times New Roman"/>
          <w:szCs w:val="24"/>
        </w:rPr>
        <w:t xml:space="preserve"> 1 d</w:t>
      </w:r>
      <w:r>
        <w:rPr>
          <w:rFonts w:eastAsia="Times New Roman"/>
          <w:szCs w:val="24"/>
        </w:rPr>
        <w:t>alyje</w:t>
      </w:r>
      <w:r w:rsidRPr="00D846EC">
        <w:rPr>
          <w:rFonts w:eastAsia="Times New Roman"/>
          <w:szCs w:val="24"/>
        </w:rPr>
        <w:t xml:space="preserve"> nustatyto asmenų</w:t>
      </w:r>
      <w:r>
        <w:rPr>
          <w:rFonts w:eastAsia="Times New Roman"/>
          <w:szCs w:val="24"/>
        </w:rPr>
        <w:t xml:space="preserve"> lygiateisiškumo principo</w:t>
      </w:r>
      <w:r w:rsidRPr="00D846EC">
        <w:rPr>
          <w:rFonts w:eastAsia="Times New Roman"/>
          <w:szCs w:val="24"/>
        </w:rPr>
        <w:t>, nes nukentėjusiajam keliami griežtesni reikalavimai pradėti baudžiamąją bylą nei nukentėjusiesiems bendra tvarka nagrinėjamose bylose.</w:t>
      </w:r>
    </w:p>
  </w:footnote>
  <w:footnote w:id="567">
    <w:p w:rsidR="00E0371E" w:rsidRDefault="00E0371E" w:rsidP="00274D82">
      <w:pPr>
        <w:pStyle w:val="Puslapioinaostekstas"/>
        <w:jc w:val="both"/>
      </w:pPr>
      <w:r>
        <w:rPr>
          <w:rStyle w:val="Puslapioinaosnuoroda"/>
        </w:rPr>
        <w:footnoteRef/>
      </w:r>
      <w:r w:rsidRPr="00531902">
        <w:t>Lietuvos Respublikos Konstitucinio Teismo</w:t>
      </w:r>
      <w:r>
        <w:t xml:space="preserve"> 2006 m. sausio 16 d. nutarimas</w:t>
      </w:r>
      <w:r w:rsidRPr="00EB52A2">
        <w:t xml:space="preserve">. </w:t>
      </w:r>
      <w:r w:rsidRPr="00EB52A2">
        <w:rPr>
          <w:i/>
          <w:iCs/>
        </w:rPr>
        <w:t xml:space="preserve">Valstybės žinios. </w:t>
      </w:r>
      <w:r w:rsidRPr="00EB52A2">
        <w:t>2006, Nr.</w:t>
      </w:r>
      <w:r>
        <w:t xml:space="preserve"> 7-254. </w:t>
      </w:r>
    </w:p>
  </w:footnote>
  <w:footnote w:id="568">
    <w:p w:rsidR="00E0371E" w:rsidRPr="0085752D" w:rsidRDefault="00E0371E" w:rsidP="00274D82">
      <w:pPr>
        <w:pStyle w:val="Puslapioinaostekstas"/>
        <w:jc w:val="both"/>
      </w:pPr>
      <w:r w:rsidRPr="0085752D">
        <w:rPr>
          <w:rStyle w:val="Puslapioinaosnuoroda"/>
        </w:rPr>
        <w:footnoteRef/>
      </w:r>
      <w:r w:rsidRPr="0085752D">
        <w:t xml:space="preserve">Ažubalytė, R. Nukentėjusio nuo nusikalstamos veikos asmens teisė kreiptis į teismą kaip teisminės gynybos realizavimo baudžiamajame procese prielaida. </w:t>
      </w:r>
      <w:r w:rsidRPr="0085752D">
        <w:rPr>
          <w:i/>
        </w:rPr>
        <w:t>Jurisprudencija</w:t>
      </w:r>
      <w:r>
        <w:t>.</w:t>
      </w:r>
      <w:r w:rsidRPr="0085752D">
        <w:t xml:space="preserve"> 2010, 4 (122): 23. </w:t>
      </w:r>
    </w:p>
  </w:footnote>
  <w:footnote w:id="569">
    <w:p w:rsidR="00E0371E" w:rsidRPr="00E140E3" w:rsidRDefault="00E0371E" w:rsidP="00274D82">
      <w:pPr>
        <w:pStyle w:val="Puslapioinaostekstas"/>
        <w:jc w:val="both"/>
      </w:pPr>
      <w:r w:rsidRPr="00E140E3">
        <w:rPr>
          <w:rStyle w:val="Puslapioinaosnuoroda"/>
        </w:rPr>
        <w:footnoteRef/>
      </w:r>
      <w:r w:rsidRPr="00531902">
        <w:t>Lietuvos Respublikos Konstitucinio Teismo</w:t>
      </w:r>
      <w:r>
        <w:t xml:space="preserve"> 2006 m. sausio 16 d. nutarimas</w:t>
      </w:r>
      <w:r w:rsidRPr="00EB52A2">
        <w:t xml:space="preserve">. </w:t>
      </w:r>
      <w:r w:rsidRPr="00EB52A2">
        <w:rPr>
          <w:i/>
          <w:iCs/>
        </w:rPr>
        <w:t xml:space="preserve">Valstybės žinios. </w:t>
      </w:r>
      <w:r w:rsidRPr="00EB52A2">
        <w:t>2006, Nr.</w:t>
      </w:r>
      <w:r>
        <w:t xml:space="preserve"> 7-254</w:t>
      </w:r>
      <w:r w:rsidRPr="00E140E3">
        <w:t>.</w:t>
      </w:r>
    </w:p>
  </w:footnote>
  <w:footnote w:id="570">
    <w:p w:rsidR="00E0371E" w:rsidRDefault="00E0371E" w:rsidP="00E921F2">
      <w:pPr>
        <w:pStyle w:val="Puslapioinaostekstas"/>
        <w:jc w:val="both"/>
      </w:pPr>
      <w:r>
        <w:rPr>
          <w:rStyle w:val="Puslapioinaosnuoroda"/>
        </w:rPr>
        <w:footnoteRef/>
      </w:r>
      <w:r>
        <w:t xml:space="preserve">Gil, D. </w:t>
      </w:r>
      <w:r w:rsidRPr="00875B7D">
        <w:rPr>
          <w:i/>
          <w:lang w:val="pl-PL"/>
        </w:rPr>
        <w:t>Postępowanie w sprawach z oskarżenia prywatnego w polskim procesie karnym</w:t>
      </w:r>
      <w:r>
        <w:rPr>
          <w:i/>
          <w:lang w:val="pl-PL"/>
        </w:rPr>
        <w:t xml:space="preserve">. </w:t>
      </w:r>
      <w:proofErr w:type="gramStart"/>
      <w:r w:rsidRPr="00761E0B">
        <w:rPr>
          <w:lang w:val="en-US"/>
        </w:rPr>
        <w:t>Daktaro disertacija.</w:t>
      </w:r>
      <w:proofErr w:type="gramEnd"/>
      <w:r w:rsidRPr="00761E0B">
        <w:rPr>
          <w:lang w:val="en-US"/>
        </w:rPr>
        <w:t xml:space="preserve"> </w:t>
      </w:r>
      <w:proofErr w:type="gramStart"/>
      <w:r w:rsidRPr="00761E0B">
        <w:rPr>
          <w:lang w:val="en-US"/>
        </w:rPr>
        <w:t>Socialiniai mokslai (teisė).</w:t>
      </w:r>
      <w:proofErr w:type="gramEnd"/>
      <w:r w:rsidRPr="00761E0B">
        <w:rPr>
          <w:lang w:val="en-US"/>
        </w:rPr>
        <w:t xml:space="preserve"> Warszawa, 2011, p. 85</w:t>
      </w:r>
      <w:r>
        <w:t>.</w:t>
      </w:r>
    </w:p>
  </w:footnote>
  <w:footnote w:id="571">
    <w:p w:rsidR="00E0371E" w:rsidRPr="00D149E5" w:rsidRDefault="00E0371E" w:rsidP="00D149E5">
      <w:pPr>
        <w:jc w:val="both"/>
        <w:rPr>
          <w:i/>
          <w:sz w:val="20"/>
          <w:szCs w:val="20"/>
        </w:rPr>
      </w:pPr>
      <w:r w:rsidRPr="00761E0B">
        <w:rPr>
          <w:rStyle w:val="Puslapioinaosnuoroda"/>
          <w:sz w:val="20"/>
          <w:szCs w:val="20"/>
        </w:rPr>
        <w:footnoteRef/>
      </w:r>
      <w:r w:rsidRPr="00761E0B">
        <w:rPr>
          <w:i/>
          <w:sz w:val="20"/>
          <w:szCs w:val="20"/>
        </w:rPr>
        <w:t xml:space="preserve">Colozza v. Italy, </w:t>
      </w:r>
      <w:r w:rsidRPr="00761E0B">
        <w:rPr>
          <w:sz w:val="20"/>
          <w:szCs w:val="20"/>
        </w:rPr>
        <w:t>no. 9024/80, 12 February 1985, 7 EHRR 516.</w:t>
      </w:r>
      <w:r w:rsidRPr="00761E0B">
        <w:rPr>
          <w:i/>
          <w:sz w:val="20"/>
          <w:szCs w:val="20"/>
        </w:rPr>
        <w:t xml:space="preserve"> Van Mechelen and others v. Netherlands, </w:t>
      </w:r>
      <w:r w:rsidRPr="00761E0B">
        <w:rPr>
          <w:sz w:val="20"/>
          <w:szCs w:val="20"/>
        </w:rPr>
        <w:t>no. 21363/93, 21364/93, 21427/93, 22056/93, 23 April 1997.</w:t>
      </w:r>
    </w:p>
  </w:footnote>
  <w:footnote w:id="572">
    <w:p w:rsidR="00E0371E" w:rsidRPr="00447213" w:rsidRDefault="00E0371E" w:rsidP="00274D82">
      <w:pPr>
        <w:pStyle w:val="Puslapioinaostekstas"/>
        <w:jc w:val="both"/>
      </w:pPr>
      <w:r w:rsidRPr="00447213">
        <w:rPr>
          <w:rStyle w:val="Puslapioinaosnuoroda"/>
        </w:rPr>
        <w:footnoteRef/>
      </w:r>
      <w:r w:rsidRPr="00447213">
        <w:t xml:space="preserve">Merkevičius, R. </w:t>
      </w:r>
      <w:r w:rsidRPr="00447213">
        <w:rPr>
          <w:i/>
        </w:rPr>
        <w:t>Baudžiamasis procesas: įtariamojo samprata</w:t>
      </w:r>
      <w:r w:rsidRPr="00447213">
        <w:t>. Vilnius: VĮ Registrų centro teisin</w:t>
      </w:r>
      <w:r>
        <w:t>ės informacijos departamentas, p</w:t>
      </w:r>
      <w:r w:rsidRPr="00447213">
        <w:t xml:space="preserve">. </w:t>
      </w:r>
      <w:r>
        <w:t>322, 324-325.</w:t>
      </w:r>
    </w:p>
  </w:footnote>
  <w:footnote w:id="573">
    <w:p w:rsidR="00E0371E" w:rsidRDefault="00E0371E" w:rsidP="00274D82">
      <w:pPr>
        <w:pStyle w:val="Puslapioinaostekstas"/>
        <w:jc w:val="both"/>
      </w:pPr>
      <w:r>
        <w:rPr>
          <w:rStyle w:val="Puslapioinaosnuoroda"/>
        </w:rPr>
        <w:footnoteRef/>
      </w:r>
      <w:r>
        <w:t xml:space="preserve">Trechsel, S. </w:t>
      </w:r>
      <w:r w:rsidRPr="00731D02">
        <w:rPr>
          <w:i/>
        </w:rPr>
        <w:t>Human</w:t>
      </w:r>
      <w:r>
        <w:rPr>
          <w:i/>
        </w:rPr>
        <w:t xml:space="preserve"> R</w:t>
      </w:r>
      <w:r w:rsidRPr="00731D02">
        <w:rPr>
          <w:i/>
        </w:rPr>
        <w:t>ights in</w:t>
      </w:r>
      <w:r>
        <w:rPr>
          <w:i/>
        </w:rPr>
        <w:t xml:space="preserve"> Criminal P</w:t>
      </w:r>
      <w:r w:rsidRPr="00731D02">
        <w:rPr>
          <w:i/>
        </w:rPr>
        <w:t>roceedings</w:t>
      </w:r>
      <w:r>
        <w:t>. Oxford</w:t>
      </w:r>
      <w:r w:rsidRPr="00731D02">
        <w:t>: Oxford University Press, 2006</w:t>
      </w:r>
      <w:r>
        <w:t xml:space="preserve">, p. 194. </w:t>
      </w:r>
    </w:p>
  </w:footnote>
  <w:footnote w:id="574">
    <w:p w:rsidR="00E0371E" w:rsidRDefault="00E0371E" w:rsidP="00274D82">
      <w:pPr>
        <w:pStyle w:val="Puslapioinaostekstas"/>
        <w:jc w:val="both"/>
      </w:pPr>
      <w:r>
        <w:rPr>
          <w:rStyle w:val="Puslapioinaosnuoroda"/>
        </w:rPr>
        <w:footnoteRef/>
      </w:r>
      <w:r w:rsidRPr="00F040A2">
        <w:t>Girdauskas</w:t>
      </w:r>
      <w:r>
        <w:t>,</w:t>
      </w:r>
      <w:r w:rsidRPr="00F040A2">
        <w:t xml:space="preserve"> M. Teismo kompetencija keisti inkriminuojamos veikos</w:t>
      </w:r>
      <w:r>
        <w:t xml:space="preserve"> </w:t>
      </w:r>
      <w:r w:rsidRPr="00F040A2">
        <w:t>kvalifikaciją. Žmogaus teisių ir pagrindinių laisvių apsa</w:t>
      </w:r>
      <w:r>
        <w:t xml:space="preserve">ugos konvencijos reikalavimai. </w:t>
      </w:r>
      <w:r w:rsidRPr="00731D02">
        <w:rPr>
          <w:i/>
        </w:rPr>
        <w:t>Teisės problemos</w:t>
      </w:r>
      <w:r w:rsidRPr="00F040A2">
        <w:t>. 2005, 1(47)</w:t>
      </w:r>
      <w:r>
        <w:t>:</w:t>
      </w:r>
      <w:r w:rsidRPr="00F040A2">
        <w:t xml:space="preserve"> 2</w:t>
      </w:r>
      <w:r>
        <w:t xml:space="preserve">9. Gušauskienė, M. </w:t>
      </w:r>
      <w:r w:rsidRPr="00AA1245">
        <w:rPr>
          <w:i/>
        </w:rPr>
        <w:t>Teisė į gynybą atskleidžiant ir tiriant nusikalstamas veikas: teorinės teisinės prielaidos ir praktinio taikymo problemos</w:t>
      </w:r>
      <w:r>
        <w:t xml:space="preserve">. Daktaro disertacija. Socialiniai mokslai (teisė). Vilnius: Mykolo Romerio Universitetas, 2007, p. 98. </w:t>
      </w:r>
      <w:r w:rsidRPr="00965B06">
        <w:t xml:space="preserve">Gušauskienė, M. Įtariamojo teisės į gynybą teisinis procesinis turinys ikiteisminio tyrimo stadijoje. </w:t>
      </w:r>
      <w:r>
        <w:t xml:space="preserve">In Ancelis, P., </w:t>
      </w:r>
      <w:r w:rsidRPr="00BF245F">
        <w:rPr>
          <w:i/>
        </w:rPr>
        <w:t>et al</w:t>
      </w:r>
      <w:r>
        <w:t xml:space="preserve">. </w:t>
      </w:r>
      <w:r w:rsidRPr="00241E5B">
        <w:rPr>
          <w:i/>
        </w:rPr>
        <w:t>Sąžiningas baudžiamasis procesas: probleminiai aspektai</w:t>
      </w:r>
      <w:r>
        <w:t>. Vilnius: Industrus, 2009, p. 231</w:t>
      </w:r>
      <w:r w:rsidRPr="00965B06">
        <w:t>.</w:t>
      </w:r>
      <w:r>
        <w:t xml:space="preserve"> </w:t>
      </w:r>
    </w:p>
  </w:footnote>
  <w:footnote w:id="575">
    <w:p w:rsidR="00E0371E" w:rsidRPr="0084245B" w:rsidRDefault="00E0371E" w:rsidP="0084245B">
      <w:pPr>
        <w:jc w:val="both"/>
        <w:rPr>
          <w:sz w:val="20"/>
          <w:szCs w:val="20"/>
        </w:rPr>
      </w:pPr>
      <w:r w:rsidRPr="0084245B">
        <w:rPr>
          <w:rStyle w:val="Puslapioinaosnuoroda"/>
          <w:sz w:val="20"/>
          <w:szCs w:val="20"/>
        </w:rPr>
        <w:footnoteRef/>
      </w:r>
      <w:r w:rsidRPr="0084245B">
        <w:rPr>
          <w:sz w:val="20"/>
          <w:szCs w:val="20"/>
        </w:rPr>
        <w:t xml:space="preserve">Trechsel, S. </w:t>
      </w:r>
      <w:r w:rsidRPr="0084245B">
        <w:rPr>
          <w:i/>
          <w:sz w:val="20"/>
          <w:szCs w:val="20"/>
        </w:rPr>
        <w:t>Human Rights in Criminal Proceedings</w:t>
      </w:r>
      <w:r w:rsidRPr="0084245B">
        <w:rPr>
          <w:sz w:val="20"/>
          <w:szCs w:val="20"/>
        </w:rPr>
        <w:t xml:space="preserve">. Oxford: Oxford University Press, 2006, p. 195. </w:t>
      </w:r>
      <w:r w:rsidRPr="0084245B">
        <w:rPr>
          <w:i/>
          <w:sz w:val="20"/>
          <w:szCs w:val="20"/>
        </w:rPr>
        <w:t>Gea Catalan v. Spain</w:t>
      </w:r>
      <w:r w:rsidRPr="0084245B">
        <w:rPr>
          <w:sz w:val="20"/>
          <w:szCs w:val="20"/>
        </w:rPr>
        <w:t xml:space="preserve">, no. 19160/91, 10 February 1995. </w:t>
      </w:r>
      <w:r w:rsidRPr="0084245B">
        <w:rPr>
          <w:i/>
          <w:sz w:val="20"/>
          <w:szCs w:val="20"/>
        </w:rPr>
        <w:t>Pelissier and Sassi v. France</w:t>
      </w:r>
      <w:r w:rsidRPr="0084245B">
        <w:rPr>
          <w:sz w:val="20"/>
          <w:szCs w:val="20"/>
        </w:rPr>
        <w:t xml:space="preserve">, no. 25444/94, 25 March, 1999, ECHR 1999-II. </w:t>
      </w:r>
      <w:r w:rsidRPr="0084245B">
        <w:rPr>
          <w:i/>
          <w:sz w:val="20"/>
          <w:szCs w:val="20"/>
        </w:rPr>
        <w:t>Dallos v. Hungary</w:t>
      </w:r>
      <w:r w:rsidRPr="0084245B">
        <w:rPr>
          <w:sz w:val="20"/>
          <w:szCs w:val="20"/>
        </w:rPr>
        <w:t>, no. 29082/95, 1 March 2011.</w:t>
      </w:r>
      <w:r w:rsidRPr="0084245B">
        <w:rPr>
          <w:i/>
          <w:sz w:val="20"/>
          <w:szCs w:val="20"/>
        </w:rPr>
        <w:t xml:space="preserve"> Sipavičius v. Lithuania</w:t>
      </w:r>
      <w:r w:rsidRPr="0084245B">
        <w:rPr>
          <w:sz w:val="20"/>
          <w:szCs w:val="20"/>
        </w:rPr>
        <w:t xml:space="preserve">, no. 49093/99, 21 February 2002. </w:t>
      </w:r>
    </w:p>
  </w:footnote>
  <w:footnote w:id="576">
    <w:p w:rsidR="00E0371E" w:rsidRPr="002F3242" w:rsidRDefault="00E0371E" w:rsidP="00274D82">
      <w:pPr>
        <w:pStyle w:val="Puslapioinaostekstas"/>
        <w:jc w:val="both"/>
      </w:pPr>
      <w:r>
        <w:rPr>
          <w:rStyle w:val="Puslapioinaosnuoroda"/>
        </w:rPr>
        <w:footnoteRef/>
      </w:r>
      <w:r w:rsidRPr="002F3242">
        <w:t xml:space="preserve">Merkevičius, R. </w:t>
      </w:r>
      <w:r w:rsidRPr="002F3242">
        <w:rPr>
          <w:i/>
        </w:rPr>
        <w:t>Baudžiamasis procesas: įtariamojo samprata</w:t>
      </w:r>
      <w:r w:rsidRPr="002F3242">
        <w:t>. Vilnius: VĮ Registrų centro teis</w:t>
      </w:r>
      <w:r>
        <w:t>inės informacijos departamentas,</w:t>
      </w:r>
      <w:r w:rsidRPr="002F3242">
        <w:t xml:space="preserve"> 2007, p. 324. </w:t>
      </w:r>
    </w:p>
  </w:footnote>
  <w:footnote w:id="577">
    <w:p w:rsidR="00E0371E" w:rsidRPr="00C8142D" w:rsidRDefault="00E0371E" w:rsidP="00274D82">
      <w:pPr>
        <w:pStyle w:val="Puslapioinaostekstas"/>
        <w:jc w:val="both"/>
      </w:pPr>
      <w:r w:rsidRPr="00C8142D">
        <w:rPr>
          <w:rStyle w:val="Puslapioinaosnuoroda"/>
        </w:rPr>
        <w:footnoteRef/>
      </w:r>
      <w:r w:rsidRPr="00C8142D">
        <w:t xml:space="preserve">Ažubalytė, R. Nukentėjusio nuo nusikalstamos veikos asmens teisė kreiptis į teismą kaip teisminės gynybos realizavimo baudžiamajame procese prielaida. </w:t>
      </w:r>
      <w:r w:rsidRPr="00C8142D">
        <w:rPr>
          <w:i/>
        </w:rPr>
        <w:t>Jurisprudencija</w:t>
      </w:r>
      <w:r>
        <w:t>.</w:t>
      </w:r>
      <w:r w:rsidRPr="00C8142D">
        <w:t xml:space="preserve"> 2010, 4 (122): 2</w:t>
      </w:r>
      <w:r>
        <w:t>3</w:t>
      </w:r>
      <w:r w:rsidRPr="00C8142D">
        <w:t xml:space="preserve">3. </w:t>
      </w:r>
    </w:p>
  </w:footnote>
  <w:footnote w:id="578">
    <w:p w:rsidR="00E0371E" w:rsidRPr="00731D02" w:rsidRDefault="00E0371E" w:rsidP="00274D82">
      <w:pPr>
        <w:jc w:val="both"/>
        <w:rPr>
          <w:bCs/>
          <w:sz w:val="20"/>
        </w:rPr>
      </w:pPr>
      <w:r w:rsidRPr="00A16204">
        <w:rPr>
          <w:rStyle w:val="Puslapioinaosnuoroda"/>
        </w:rPr>
        <w:footnoteRef/>
      </w:r>
      <w:r w:rsidRPr="003F2D19">
        <w:rPr>
          <w:sz w:val="20"/>
          <w:szCs w:val="20"/>
        </w:rPr>
        <w:t>Vilniaus apygardos teismas konstatavo, kad „</w:t>
      </w:r>
      <w:r w:rsidRPr="003F2D19">
        <w:rPr>
          <w:i/>
          <w:sz w:val="20"/>
          <w:szCs w:val="20"/>
        </w:rPr>
        <w:t xml:space="preserve">apelianto teiginiai, kad jis nėra kompetentingas atriboti </w:t>
      </w:r>
      <w:r w:rsidRPr="003F2D19">
        <w:rPr>
          <w:bCs/>
          <w:i/>
          <w:sz w:val="20"/>
          <w:szCs w:val="20"/>
        </w:rPr>
        <w:t xml:space="preserve">nusikalstamos veikos pakartotinumą nuo šios veikos tęstinumo kaltinamojo </w:t>
      </w:r>
      <w:bookmarkStart w:id="338" w:name="Buk_6"/>
      <w:r w:rsidRPr="003F2D19">
        <w:rPr>
          <w:bCs/>
          <w:i/>
          <w:sz w:val="20"/>
          <w:szCs w:val="20"/>
        </w:rPr>
        <w:t xml:space="preserve">A. D. </w:t>
      </w:r>
      <w:bookmarkEnd w:id="338"/>
      <w:r w:rsidRPr="003F2D19">
        <w:rPr>
          <w:bCs/>
          <w:i/>
          <w:sz w:val="20"/>
          <w:szCs w:val="20"/>
        </w:rPr>
        <w:t xml:space="preserve">atžvilgiu, nepagrįsti. Apeliantas </w:t>
      </w:r>
      <w:r w:rsidRPr="003F2D19">
        <w:rPr>
          <w:i/>
          <w:sz w:val="20"/>
          <w:szCs w:val="20"/>
        </w:rPr>
        <w:t xml:space="preserve">2007-12-18 skunde nurodydamas, kad A. D. tęsė tikrovės neatitinkančių publikacijų ciklą apie pareiškėjo </w:t>
      </w:r>
      <w:bookmarkStart w:id="339" w:name="Buk_19"/>
      <w:r w:rsidRPr="003F2D19">
        <w:rPr>
          <w:i/>
          <w:sz w:val="20"/>
          <w:szCs w:val="20"/>
        </w:rPr>
        <w:t xml:space="preserve">J. G. </w:t>
      </w:r>
      <w:bookmarkEnd w:id="339"/>
      <w:r w:rsidRPr="003F2D19">
        <w:rPr>
          <w:i/>
          <w:sz w:val="20"/>
          <w:szCs w:val="20"/>
        </w:rPr>
        <w:t xml:space="preserve">ir UAB </w:t>
      </w:r>
      <w:r w:rsidRPr="003F2D19">
        <w:rPr>
          <w:bCs/>
          <w:i/>
          <w:sz w:val="20"/>
          <w:szCs w:val="20"/>
        </w:rPr>
        <w:t xml:space="preserve">„A“ (duomenys neskelbtini) </w:t>
      </w:r>
      <w:r w:rsidRPr="003F2D19">
        <w:rPr>
          <w:i/>
          <w:sz w:val="20"/>
          <w:szCs w:val="20"/>
        </w:rPr>
        <w:t xml:space="preserve">veikląir pakartotinai 2007 m. lapkričio 24 d. – gruodžio 1 d. leidinyje </w:t>
      </w:r>
      <w:r w:rsidRPr="003F2D19">
        <w:rPr>
          <w:bCs/>
          <w:i/>
          <w:sz w:val="20"/>
          <w:szCs w:val="20"/>
        </w:rPr>
        <w:t>„X“ (duomenys neskelbtini)</w:t>
      </w:r>
      <w:r w:rsidRPr="003F2D19">
        <w:rPr>
          <w:i/>
          <w:sz w:val="20"/>
          <w:szCs w:val="20"/>
        </w:rPr>
        <w:t>, Nr. 31 (163) straipsnyje „Teisėjai nebijo imti kyšių“ pateikė neteisingą, šmeižikišką, paniekinančią ir žeminančio pobūdžio informaciją, taip ir nenurodė ar už kiekvieną tikrovės neatitinkančią publikaciją skirtinguose straipsniuose pateikia kaip naujus kaltinimus A. D. atžvilgiu ar minėti faktai yra grindžiami kaip tęstinė veika. Todėl t</w:t>
      </w:r>
      <w:r w:rsidRPr="003F2D19">
        <w:rPr>
          <w:bCs/>
          <w:i/>
          <w:sz w:val="20"/>
          <w:szCs w:val="20"/>
        </w:rPr>
        <w:t>eismas minėtus nesuformuluotus pateiktus faktus pagrįstai nurodė</w:t>
      </w:r>
      <w:r w:rsidRPr="003F2D19">
        <w:rPr>
          <w:i/>
          <w:sz w:val="20"/>
          <w:szCs w:val="20"/>
        </w:rPr>
        <w:t xml:space="preserve"> kaip vieną iš skundo trūkumų“</w:t>
      </w:r>
      <w:r w:rsidRPr="003F2D19">
        <w:rPr>
          <w:sz w:val="20"/>
          <w:szCs w:val="20"/>
        </w:rPr>
        <w:t>.Vilniaus apygardos teismo 2008 m. vasario 11 d. nutartis baudžiamojoje byloje Nr. 1S-71/2008.</w:t>
      </w:r>
    </w:p>
  </w:footnote>
  <w:footnote w:id="579">
    <w:p w:rsidR="00E0371E" w:rsidRDefault="00E0371E" w:rsidP="00274D82">
      <w:pPr>
        <w:pStyle w:val="Puslapioinaostekstas"/>
        <w:jc w:val="both"/>
      </w:pPr>
      <w:r>
        <w:rPr>
          <w:rStyle w:val="Puslapioinaosnuoroda"/>
        </w:rPr>
        <w:footnoteRef/>
      </w:r>
      <w:r>
        <w:t>Šiaulių apygardos teismo 2008 m. vasario 20 d. nutartis baudžiamojoje byloje Nr. 1A-25/64/2008.</w:t>
      </w:r>
    </w:p>
  </w:footnote>
  <w:footnote w:id="580">
    <w:p w:rsidR="00E0371E" w:rsidRDefault="00E0371E" w:rsidP="00D06EE0">
      <w:pPr>
        <w:pStyle w:val="Puslapioinaostekstas"/>
        <w:jc w:val="both"/>
      </w:pPr>
      <w:r>
        <w:rPr>
          <w:rStyle w:val="Puslapioinaosnuoroda"/>
        </w:rPr>
        <w:footnoteRef/>
      </w:r>
      <w:r>
        <w:t xml:space="preserve">EŽTT jurisprudencijoje išskiriamas subjektyvus nešališkumas ir objektyvus (procedūrinis) nešališkumas. </w:t>
      </w:r>
    </w:p>
  </w:footnote>
  <w:footnote w:id="581">
    <w:p w:rsidR="00E0371E" w:rsidRDefault="00E0371E" w:rsidP="00927F5E">
      <w:pPr>
        <w:pStyle w:val="Puslapioinaostekstas"/>
        <w:jc w:val="both"/>
      </w:pPr>
      <w:r>
        <w:rPr>
          <w:rStyle w:val="Puslapioinaosnuoroda"/>
        </w:rPr>
        <w:footnoteRef/>
      </w:r>
      <w:r w:rsidRPr="00DB023F">
        <w:t>Lietuvos Respublikos Konstitucinio Teismo 2013 m. lapkričio 15 d. nutarimas</w:t>
      </w:r>
      <w:r>
        <w:t xml:space="preserve">. </w:t>
      </w:r>
      <w:r w:rsidRPr="00927F5E">
        <w:rPr>
          <w:i/>
        </w:rPr>
        <w:t>Valstybės žinios</w:t>
      </w:r>
      <w:r>
        <w:t>. 2013, Nr. 119-6005.</w:t>
      </w:r>
    </w:p>
  </w:footnote>
  <w:footnote w:id="582">
    <w:p w:rsidR="00E0371E" w:rsidRPr="007D069E" w:rsidRDefault="00E0371E" w:rsidP="007D069E">
      <w:pPr>
        <w:jc w:val="both"/>
        <w:rPr>
          <w:rFonts w:eastAsia="Times New Roman"/>
          <w:sz w:val="20"/>
          <w:szCs w:val="20"/>
        </w:rPr>
      </w:pPr>
      <w:r>
        <w:rPr>
          <w:rStyle w:val="Puslapioinaosnuoroda"/>
        </w:rPr>
        <w:footnoteRef/>
      </w:r>
      <w:r w:rsidRPr="007D069E">
        <w:rPr>
          <w:sz w:val="20"/>
          <w:szCs w:val="20"/>
        </w:rPr>
        <w:t xml:space="preserve">Von Schacky, S. </w:t>
      </w:r>
      <w:r w:rsidRPr="007D069E">
        <w:rPr>
          <w:i/>
          <w:sz w:val="20"/>
          <w:szCs w:val="20"/>
        </w:rPr>
        <w:t>Das Privatklageverfahren und seine Berechtigung heute</w:t>
      </w:r>
      <w:r w:rsidRPr="007D069E">
        <w:rPr>
          <w:sz w:val="20"/>
          <w:szCs w:val="20"/>
        </w:rPr>
        <w:t xml:space="preserve">. Daktaro disertacija. Socialiniai mokslai (teisė). Frankfurt am Main: Johann Wolfgang Goethe-Universität, 1975, p. 60. </w:t>
      </w:r>
      <w:r w:rsidRPr="007D069E">
        <w:rPr>
          <w:rFonts w:eastAsia="Times New Roman"/>
          <w:sz w:val="20"/>
          <w:szCs w:val="20"/>
        </w:rPr>
        <w:t xml:space="preserve">Vokietijos BPK 381 straipsnyje numatomos dvi galimos kaltinimo iškėlimo formos: rašytinis skundas ir žodinis </w:t>
      </w:r>
      <w:r w:rsidRPr="0013286E">
        <w:rPr>
          <w:rFonts w:eastAsia="Times New Roman"/>
          <w:sz w:val="20"/>
          <w:szCs w:val="20"/>
        </w:rPr>
        <w:t>skundas, kurį teismo</w:t>
      </w:r>
      <w:r>
        <w:rPr>
          <w:rFonts w:eastAsia="Times New Roman"/>
          <w:sz w:val="20"/>
          <w:szCs w:val="20"/>
        </w:rPr>
        <w:t xml:space="preserve"> darbuotojas įrašo į protokolą. </w:t>
      </w:r>
      <w:r w:rsidRPr="001876A6">
        <w:rPr>
          <w:rFonts w:eastAsia="Times New Roman"/>
          <w:sz w:val="20"/>
          <w:szCs w:val="20"/>
        </w:rPr>
        <w:t xml:space="preserve">Strafprozeβordnung [interaktyvus]. [žiūrėta 2010-07-28]. </w:t>
      </w:r>
      <w:r w:rsidRPr="0084245B">
        <w:rPr>
          <w:rFonts w:eastAsia="Times New Roman"/>
          <w:sz w:val="20"/>
          <w:szCs w:val="20"/>
        </w:rPr>
        <w:t>&lt;http://www.gesetze-im-internet.de/stpo/index.html&gt;.</w:t>
      </w:r>
      <w:r>
        <w:rPr>
          <w:rFonts w:eastAsia="Times New Roman"/>
          <w:sz w:val="20"/>
          <w:szCs w:val="20"/>
        </w:rPr>
        <w:t xml:space="preserve"> </w:t>
      </w:r>
      <w:r w:rsidRPr="0013286E">
        <w:rPr>
          <w:rFonts w:eastAsia="Times New Roman"/>
          <w:sz w:val="20"/>
          <w:szCs w:val="20"/>
        </w:rPr>
        <w:t xml:space="preserve">Žodžiu gali būti pareiškiamas kaltinimas ir Austrijoje (Austrijos BPK 46 </w:t>
      </w:r>
      <w:r w:rsidRPr="0013286E">
        <w:rPr>
          <w:rFonts w:eastAsia="Times New Roman"/>
          <w:sz w:val="20"/>
          <w:szCs w:val="20"/>
          <w:vertAlign w:val="superscript"/>
        </w:rPr>
        <w:t xml:space="preserve">1 </w:t>
      </w:r>
      <w:r>
        <w:rPr>
          <w:rFonts w:eastAsia="Times New Roman"/>
          <w:sz w:val="20"/>
          <w:szCs w:val="20"/>
        </w:rPr>
        <w:t xml:space="preserve">straipsnis). Tačiau bet kuria forma teikiant privataus kaltinimo skundą, keliamas reikalavimas nurodyti nusikalstamos veikos kvalifikaciją. </w:t>
      </w:r>
      <w:r w:rsidRPr="002531B6">
        <w:rPr>
          <w:rFonts w:eastAsia="Times New Roman"/>
          <w:sz w:val="20"/>
          <w:szCs w:val="20"/>
        </w:rPr>
        <w:t>Strafprozeβordnung [interaktyvus]. [žiūrėta 2013-12-05]. &lt;file:///C:/Users/User/Downloads/Austria_CPC_as_of_%2004.11.2013_de.pdf&gt;.</w:t>
      </w:r>
    </w:p>
  </w:footnote>
  <w:footnote w:id="583">
    <w:p w:rsidR="00E0371E" w:rsidRPr="00D5782F" w:rsidRDefault="00E0371E" w:rsidP="00274D82">
      <w:pPr>
        <w:pStyle w:val="Puslapioinaostekstas"/>
        <w:jc w:val="both"/>
      </w:pPr>
      <w:r w:rsidRPr="00D5782F">
        <w:rPr>
          <w:rStyle w:val="Puslapioinaosnuoroda"/>
        </w:rPr>
        <w:footnoteRef/>
      </w:r>
      <w:r w:rsidRPr="00531902">
        <w:t xml:space="preserve">Lietuvos Respublikos Konstitucinio Teismo </w:t>
      </w:r>
      <w:r>
        <w:t>2006 m. sausio 16 d. nutarimas</w:t>
      </w:r>
      <w:r w:rsidRPr="00EB52A2">
        <w:t xml:space="preserve">. </w:t>
      </w:r>
      <w:r w:rsidRPr="00EB52A2">
        <w:rPr>
          <w:i/>
          <w:iCs/>
        </w:rPr>
        <w:t xml:space="preserve">Valstybės žinios. </w:t>
      </w:r>
      <w:r w:rsidRPr="00EB52A2">
        <w:t>2006, Nr.</w:t>
      </w:r>
      <w:r>
        <w:t xml:space="preserve"> 7-254</w:t>
      </w:r>
      <w:r w:rsidRPr="00D5782F">
        <w:t xml:space="preserve">. </w:t>
      </w:r>
    </w:p>
  </w:footnote>
  <w:footnote w:id="584">
    <w:p w:rsidR="00E0371E" w:rsidRDefault="00E0371E" w:rsidP="00973B0F">
      <w:pPr>
        <w:pStyle w:val="Puslapioinaostekstas"/>
        <w:jc w:val="both"/>
      </w:pPr>
      <w:r>
        <w:rPr>
          <w:rStyle w:val="Puslapioinaosnuoroda"/>
        </w:rPr>
        <w:footnoteRef/>
      </w:r>
      <w:r w:rsidRPr="00744CAA">
        <w:rPr>
          <w:rFonts w:eastAsia="Times New Roman"/>
        </w:rPr>
        <w:t xml:space="preserve">Lietuvos Respublikos asmens duomenų teisinės apsaugos įstatymas. </w:t>
      </w:r>
      <w:r w:rsidRPr="00744CAA">
        <w:rPr>
          <w:rFonts w:eastAsia="Times New Roman"/>
          <w:i/>
        </w:rPr>
        <w:t>Valstybės žinios</w:t>
      </w:r>
      <w:r w:rsidRPr="00744CAA">
        <w:rPr>
          <w:rFonts w:eastAsia="Times New Roman"/>
        </w:rPr>
        <w:t>. 1996, Nr. 63-1479.</w:t>
      </w:r>
    </w:p>
  </w:footnote>
  <w:footnote w:id="585">
    <w:p w:rsidR="00E0371E" w:rsidRDefault="00E0371E" w:rsidP="00274D82">
      <w:pPr>
        <w:pStyle w:val="Puslapioinaostekstas"/>
        <w:jc w:val="both"/>
      </w:pPr>
      <w:r>
        <w:rPr>
          <w:rStyle w:val="Puslapioinaosnuoroda"/>
        </w:rPr>
        <w:footnoteRef/>
      </w:r>
      <w:r>
        <w:t>Šiaulių apygardos teismo 2006 m. spalio 25 d. nutartis baudžiamojoje byloje Nr. 1A-462-210/2006.</w:t>
      </w:r>
    </w:p>
  </w:footnote>
  <w:footnote w:id="586">
    <w:p w:rsidR="00E0371E" w:rsidRPr="007F1EA6" w:rsidRDefault="00E0371E" w:rsidP="00845308">
      <w:pPr>
        <w:jc w:val="both"/>
        <w:rPr>
          <w:sz w:val="20"/>
          <w:szCs w:val="20"/>
        </w:rPr>
      </w:pPr>
      <w:r>
        <w:rPr>
          <w:rStyle w:val="Puslapioinaosnuoroda"/>
        </w:rPr>
        <w:footnoteRef/>
      </w:r>
      <w:r>
        <w:rPr>
          <w:sz w:val="20"/>
          <w:szCs w:val="20"/>
        </w:rPr>
        <w:t>„S</w:t>
      </w:r>
      <w:r w:rsidRPr="00351E81">
        <w:rPr>
          <w:i/>
          <w:sz w:val="20"/>
          <w:szCs w:val="20"/>
        </w:rPr>
        <w:t>iekdamas užtikrinti pareiškėjos teisę į teisminę gynybą bei išvengti dirbtinio šios teisės įgyvendinimo suvaržymo, privalėjo imtis priemonių nusikalstama veika kaltinamo asmens gyvenamajai vietai nustatyt</w:t>
      </w:r>
      <w:r w:rsidRPr="00C57F3F">
        <w:rPr>
          <w:sz w:val="20"/>
          <w:szCs w:val="20"/>
        </w:rPr>
        <w:t>i</w:t>
      </w:r>
      <w:r>
        <w:rPr>
          <w:sz w:val="20"/>
          <w:szCs w:val="20"/>
        </w:rPr>
        <w:t>“</w:t>
      </w:r>
      <w:r w:rsidRPr="00C57F3F">
        <w:rPr>
          <w:sz w:val="20"/>
          <w:szCs w:val="20"/>
        </w:rPr>
        <w:t xml:space="preserve">.Vilniaus apygardos teismo 2008 m. vasario 7 d. nutartis </w:t>
      </w:r>
      <w:r>
        <w:rPr>
          <w:sz w:val="20"/>
          <w:szCs w:val="20"/>
        </w:rPr>
        <w:t xml:space="preserve">baudžiamojoje byloje Nr. 1S-103-318/2008. Taip pat </w:t>
      </w:r>
      <w:r w:rsidRPr="00C57F3F">
        <w:rPr>
          <w:sz w:val="20"/>
          <w:szCs w:val="20"/>
        </w:rPr>
        <w:t xml:space="preserve">Vilniaus apygardos teismo </w:t>
      </w:r>
      <w:r w:rsidRPr="003816D2">
        <w:rPr>
          <w:sz w:val="20"/>
          <w:szCs w:val="20"/>
        </w:rPr>
        <w:t>2009 m. birželio 10 d.</w:t>
      </w:r>
      <w:r>
        <w:rPr>
          <w:sz w:val="20"/>
          <w:szCs w:val="20"/>
        </w:rPr>
        <w:t xml:space="preserve"> </w:t>
      </w:r>
      <w:r w:rsidRPr="00C57F3F">
        <w:rPr>
          <w:sz w:val="20"/>
          <w:szCs w:val="20"/>
        </w:rPr>
        <w:t xml:space="preserve">nutartis </w:t>
      </w:r>
      <w:r>
        <w:rPr>
          <w:sz w:val="20"/>
          <w:szCs w:val="20"/>
        </w:rPr>
        <w:t xml:space="preserve">baudžiamojoje byloje </w:t>
      </w:r>
      <w:r w:rsidRPr="00C57F3F">
        <w:rPr>
          <w:sz w:val="20"/>
          <w:szCs w:val="20"/>
        </w:rPr>
        <w:t>Nr.</w:t>
      </w:r>
      <w:r w:rsidRPr="003816D2">
        <w:rPr>
          <w:sz w:val="20"/>
          <w:szCs w:val="20"/>
        </w:rPr>
        <w:t>1S-423-495/2009</w:t>
      </w:r>
      <w:r>
        <w:rPr>
          <w:sz w:val="20"/>
          <w:szCs w:val="20"/>
        </w:rPr>
        <w:t xml:space="preserve">, </w:t>
      </w:r>
      <w:r w:rsidRPr="007F1EA6">
        <w:rPr>
          <w:sz w:val="20"/>
          <w:szCs w:val="20"/>
        </w:rPr>
        <w:t>2008 m. sausio 7 d.</w:t>
      </w:r>
      <w:r>
        <w:rPr>
          <w:sz w:val="20"/>
          <w:szCs w:val="20"/>
        </w:rPr>
        <w:t xml:space="preserve"> </w:t>
      </w:r>
      <w:r w:rsidRPr="00C57F3F">
        <w:rPr>
          <w:sz w:val="20"/>
          <w:szCs w:val="20"/>
        </w:rPr>
        <w:t xml:space="preserve">nutartis </w:t>
      </w:r>
      <w:r>
        <w:rPr>
          <w:sz w:val="20"/>
          <w:szCs w:val="20"/>
        </w:rPr>
        <w:t xml:space="preserve">baudžiamojoje byloje Nr. </w:t>
      </w:r>
      <w:r w:rsidRPr="007F1EA6">
        <w:rPr>
          <w:sz w:val="20"/>
          <w:szCs w:val="20"/>
        </w:rPr>
        <w:t>1S-639-9-2007</w:t>
      </w:r>
      <w:r>
        <w:rPr>
          <w:sz w:val="20"/>
          <w:szCs w:val="20"/>
        </w:rPr>
        <w:t xml:space="preserve">. </w:t>
      </w:r>
    </w:p>
  </w:footnote>
  <w:footnote w:id="587">
    <w:p w:rsidR="00E0371E" w:rsidRPr="00A16204" w:rsidRDefault="00E0371E" w:rsidP="00274D82">
      <w:pPr>
        <w:pStyle w:val="Puslapioinaostekstas"/>
        <w:jc w:val="both"/>
      </w:pPr>
      <w:r w:rsidRPr="00A16204">
        <w:rPr>
          <w:rStyle w:val="Puslapioinaosnuoroda"/>
        </w:rPr>
        <w:footnoteRef/>
      </w:r>
      <w:r w:rsidRPr="00A16204">
        <w:t>Vilniau</w:t>
      </w:r>
      <w:r>
        <w:t>s</w:t>
      </w:r>
      <w:r w:rsidRPr="00A16204">
        <w:t xml:space="preserve"> apygardos teismo 2007 m. spalio 4 d. nutartis </w:t>
      </w:r>
      <w:r>
        <w:t xml:space="preserve">baudžiamojoje byloje </w:t>
      </w:r>
      <w:r w:rsidRPr="00A16204">
        <w:t>Nr. 1A-954/2007.</w:t>
      </w:r>
    </w:p>
  </w:footnote>
  <w:footnote w:id="588">
    <w:p w:rsidR="00E0371E" w:rsidRDefault="00E0371E" w:rsidP="00274D82">
      <w:pPr>
        <w:pStyle w:val="Puslapioinaostekstas"/>
        <w:jc w:val="both"/>
      </w:pPr>
      <w:r>
        <w:rPr>
          <w:rStyle w:val="Puslapioinaosnuoroda"/>
        </w:rPr>
        <w:footnoteRef/>
      </w:r>
      <w:r>
        <w:t>Vilniaus apygardos teismo 2009 m. vasario 12 d. nutartis baudžiamojoje byloje Nr. 1S-72-518/2009.</w:t>
      </w:r>
    </w:p>
  </w:footnote>
  <w:footnote w:id="589">
    <w:p w:rsidR="00E0371E" w:rsidRDefault="00E0371E" w:rsidP="00274D82">
      <w:pPr>
        <w:pStyle w:val="Puslapioinaostekstas"/>
        <w:jc w:val="both"/>
      </w:pPr>
      <w:r>
        <w:rPr>
          <w:rStyle w:val="Puslapioinaosnuoroda"/>
        </w:rPr>
        <w:footnoteRef/>
      </w:r>
      <w:r w:rsidRPr="00490AD0">
        <w:t xml:space="preserve">Vilniaus apygardos teismo </w:t>
      </w:r>
      <w:r>
        <w:t xml:space="preserve">2008 m. vasario 7 d. </w:t>
      </w:r>
      <w:r w:rsidRPr="00490AD0">
        <w:t xml:space="preserve">nutartis </w:t>
      </w:r>
      <w:r>
        <w:t xml:space="preserve">baudžiamojoje byloje </w:t>
      </w:r>
      <w:r w:rsidRPr="00490AD0">
        <w:t>Nr. 1S-</w:t>
      </w:r>
      <w:r>
        <w:t>103</w:t>
      </w:r>
      <w:r w:rsidRPr="00490AD0">
        <w:t>-</w:t>
      </w:r>
      <w:r>
        <w:t>3</w:t>
      </w:r>
      <w:r w:rsidRPr="00490AD0">
        <w:t>18/200</w:t>
      </w:r>
      <w:r>
        <w:t>8</w:t>
      </w:r>
      <w:r w:rsidRPr="00490AD0">
        <w:t>.</w:t>
      </w:r>
    </w:p>
  </w:footnote>
  <w:footnote w:id="590">
    <w:p w:rsidR="00E0371E" w:rsidRPr="00E140E3" w:rsidRDefault="00E0371E" w:rsidP="00274D82">
      <w:pPr>
        <w:pStyle w:val="Puslapioinaostekstas"/>
        <w:jc w:val="both"/>
      </w:pPr>
      <w:r>
        <w:rPr>
          <w:rStyle w:val="Puslapioinaosnuoroda"/>
        </w:rPr>
        <w:footnoteRef/>
      </w:r>
      <w:r w:rsidRPr="00E140E3">
        <w:t xml:space="preserve">Vilniaus apygardos teismo 2008 m. kovo 3 d. nutartis </w:t>
      </w:r>
      <w:r>
        <w:t xml:space="preserve">baudžiamojoje byloje </w:t>
      </w:r>
      <w:r w:rsidRPr="00E140E3">
        <w:t xml:space="preserve">Nr. 1S-158-211/2008. </w:t>
      </w:r>
    </w:p>
  </w:footnote>
  <w:footnote w:id="591">
    <w:p w:rsidR="00E0371E" w:rsidRPr="00E140E3" w:rsidRDefault="00E0371E" w:rsidP="00274D82">
      <w:pPr>
        <w:jc w:val="both"/>
        <w:rPr>
          <w:bCs/>
          <w:sz w:val="20"/>
          <w:szCs w:val="20"/>
        </w:rPr>
      </w:pPr>
      <w:r w:rsidRPr="00E140E3">
        <w:rPr>
          <w:rStyle w:val="Puslapioinaosnuoroda"/>
          <w:sz w:val="20"/>
          <w:szCs w:val="20"/>
        </w:rPr>
        <w:footnoteRef/>
      </w:r>
      <w:r w:rsidRPr="00E140E3">
        <w:rPr>
          <w:sz w:val="20"/>
          <w:szCs w:val="20"/>
        </w:rPr>
        <w:t xml:space="preserve">Vilniaus apygardos teismo 2009 m. birželio 10 d. nutartis </w:t>
      </w:r>
      <w:r>
        <w:rPr>
          <w:sz w:val="20"/>
          <w:szCs w:val="20"/>
        </w:rPr>
        <w:t xml:space="preserve">baudžiamojoje byl;je </w:t>
      </w:r>
      <w:r w:rsidRPr="00E140E3">
        <w:rPr>
          <w:sz w:val="20"/>
          <w:szCs w:val="20"/>
        </w:rPr>
        <w:t>Nr. 1S-423-495/2009.</w:t>
      </w:r>
    </w:p>
  </w:footnote>
  <w:footnote w:id="592">
    <w:p w:rsidR="00E0371E" w:rsidRPr="00E140E3" w:rsidRDefault="00E0371E" w:rsidP="00274D82">
      <w:pPr>
        <w:pStyle w:val="Puslapioinaostekstas"/>
        <w:jc w:val="both"/>
      </w:pPr>
      <w:r w:rsidRPr="00E140E3">
        <w:rPr>
          <w:rStyle w:val="Puslapioinaosnuoroda"/>
        </w:rPr>
        <w:footnoteRef/>
      </w:r>
      <w:r w:rsidRPr="00E140E3">
        <w:t xml:space="preserve">Vilniaus apygardos teismo 2008 m. sausio 7 d. nutartis </w:t>
      </w:r>
      <w:r>
        <w:t xml:space="preserve">baudžiamojoje byloje </w:t>
      </w:r>
      <w:r w:rsidRPr="00E140E3">
        <w:t>Nr. 1S-639-9-2007.</w:t>
      </w:r>
    </w:p>
  </w:footnote>
  <w:footnote w:id="593">
    <w:p w:rsidR="00E0371E" w:rsidRDefault="00E0371E" w:rsidP="00274D82">
      <w:pPr>
        <w:pStyle w:val="Puslapioinaostekstas"/>
        <w:jc w:val="both"/>
      </w:pPr>
      <w:r>
        <w:rPr>
          <w:rStyle w:val="Puslapioinaosnuoroda"/>
        </w:rPr>
        <w:footnoteRef/>
      </w:r>
      <w:r>
        <w:t xml:space="preserve">Šiaulių apygardos teismo 2007 m. rugsėjo 12 d. nutartis baudžiamojoje byloje Nr. I-20-116/2007. </w:t>
      </w:r>
    </w:p>
  </w:footnote>
  <w:footnote w:id="594">
    <w:p w:rsidR="00E0371E" w:rsidRPr="00704B43" w:rsidRDefault="00E0371E" w:rsidP="006323B9">
      <w:pPr>
        <w:pStyle w:val="Puslapioinaostekstas"/>
        <w:jc w:val="both"/>
      </w:pPr>
      <w:r w:rsidRPr="00704B43">
        <w:rPr>
          <w:rStyle w:val="Puslapioinaosnuoroda"/>
        </w:rPr>
        <w:footnoteRef/>
      </w:r>
      <w:r>
        <w:t xml:space="preserve">Doroshkov, V. V. </w:t>
      </w:r>
      <w:r>
        <w:rPr>
          <w:i/>
        </w:rPr>
        <w:t>Chastnoe obvineni</w:t>
      </w:r>
      <w:r w:rsidRPr="0008285E">
        <w:rPr>
          <w:i/>
        </w:rPr>
        <w:t>e. Pravovaja teorija i sudebnaja praktika</w:t>
      </w:r>
      <w:r>
        <w:rPr>
          <w:i/>
        </w:rPr>
        <w:t xml:space="preserve"> </w:t>
      </w:r>
      <w:proofErr w:type="gramStart"/>
      <w:r>
        <w:t>[</w:t>
      </w:r>
      <w:proofErr w:type="gramEnd"/>
      <w:r>
        <w:t xml:space="preserve">Private Prosecution. Legal Theory and Case Law]. Moskva: Norma, 2000, </w:t>
      </w:r>
      <w:r w:rsidRPr="00704B43">
        <w:t>p. 59</w:t>
      </w:r>
      <w:r>
        <w:t>.</w:t>
      </w:r>
    </w:p>
  </w:footnote>
  <w:footnote w:id="595">
    <w:p w:rsidR="00E0371E" w:rsidRDefault="00E0371E" w:rsidP="00274D82">
      <w:pPr>
        <w:pStyle w:val="Puslapioinaostekstas"/>
        <w:jc w:val="both"/>
      </w:pPr>
      <w:r>
        <w:rPr>
          <w:rStyle w:val="Puslapioinaosnuoroda"/>
        </w:rPr>
        <w:footnoteRef/>
      </w:r>
      <w:r>
        <w:t>Foj</w:t>
      </w:r>
      <w:r w:rsidRPr="00812929">
        <w:t xml:space="preserve">nickij, I. Ja. </w:t>
      </w:r>
      <w:r w:rsidRPr="00812929">
        <w:rPr>
          <w:i/>
        </w:rPr>
        <w:t xml:space="preserve">Kurs ugolovnogo sudoproizvodstva </w:t>
      </w:r>
      <w:r w:rsidRPr="00812929">
        <w:t>[Course of Criminal Procedure]. I tomas. Sankt Peterburg: Alfa, 1996</w:t>
      </w:r>
      <w:r>
        <w:t xml:space="preserve">, p. </w:t>
      </w:r>
      <w:r w:rsidRPr="00510FAA">
        <w:rPr>
          <w:rFonts w:eastAsia="Times New Roman"/>
          <w:lang w:val="en-US"/>
        </w:rPr>
        <w:t>234.</w:t>
      </w:r>
    </w:p>
  </w:footnote>
  <w:footnote w:id="596">
    <w:p w:rsidR="00E0371E" w:rsidRPr="00801466" w:rsidRDefault="00E0371E" w:rsidP="00274D82">
      <w:pPr>
        <w:jc w:val="both"/>
        <w:rPr>
          <w:rFonts w:eastAsia="Times New Roman"/>
          <w:sz w:val="20"/>
          <w:szCs w:val="20"/>
        </w:rPr>
      </w:pPr>
      <w:r w:rsidRPr="00801466">
        <w:rPr>
          <w:rStyle w:val="Puslapioinaosnuoroda"/>
          <w:sz w:val="20"/>
          <w:szCs w:val="20"/>
        </w:rPr>
        <w:footnoteRef/>
      </w:r>
      <w:r w:rsidRPr="00801466">
        <w:rPr>
          <w:sz w:val="20"/>
          <w:szCs w:val="20"/>
        </w:rPr>
        <w:t xml:space="preserve">Shumilina, O. Ju. </w:t>
      </w:r>
      <w:r w:rsidRPr="00801466">
        <w:rPr>
          <w:i/>
          <w:sz w:val="20"/>
          <w:szCs w:val="20"/>
        </w:rPr>
        <w:t>Processualnoe polozhenie poterpervshego po delam chastnogo obvinenija</w:t>
      </w:r>
      <w:r w:rsidRPr="00801466">
        <w:rPr>
          <w:sz w:val="20"/>
          <w:szCs w:val="20"/>
        </w:rPr>
        <w:t xml:space="preserve"> [Legal Status of the Victim in the Cases of Private Prosecution]. Daktaro disertacija. Socialiniai mokslai (teisė). Krasnojarsk, 2003, </w:t>
      </w:r>
      <w:r w:rsidRPr="00801466">
        <w:rPr>
          <w:rFonts w:eastAsia="Times New Roman"/>
          <w:sz w:val="20"/>
          <w:szCs w:val="20"/>
        </w:rPr>
        <w:t xml:space="preserve">p. 94. </w:t>
      </w:r>
    </w:p>
  </w:footnote>
  <w:footnote w:id="597">
    <w:p w:rsidR="00E0371E" w:rsidRPr="00E010B8" w:rsidRDefault="00E0371E" w:rsidP="00274D82">
      <w:pPr>
        <w:pStyle w:val="Puslapioinaostekstas"/>
        <w:jc w:val="both"/>
      </w:pPr>
      <w:r w:rsidRPr="00E010B8">
        <w:rPr>
          <w:rStyle w:val="Puslapioinaosnuoroda"/>
        </w:rPr>
        <w:footnoteRef/>
      </w:r>
      <w:r>
        <w:t>Sh</w:t>
      </w:r>
      <w:r w:rsidRPr="0097541E">
        <w:t>umilina,</w:t>
      </w:r>
      <w:r>
        <w:t xml:space="preserve"> O. Ju. </w:t>
      </w:r>
      <w:r>
        <w:rPr>
          <w:i/>
        </w:rPr>
        <w:t>Processual</w:t>
      </w:r>
      <w:r w:rsidRPr="00A55372">
        <w:rPr>
          <w:i/>
        </w:rPr>
        <w:t>no</w:t>
      </w:r>
      <w:r>
        <w:rPr>
          <w:i/>
        </w:rPr>
        <w:t>e polozheni</w:t>
      </w:r>
      <w:r w:rsidRPr="00A55372">
        <w:rPr>
          <w:i/>
        </w:rPr>
        <w:t>e poterpervshego po delam chastnogo obvinenija</w:t>
      </w:r>
      <w:r>
        <w:t xml:space="preserve"> [Legal Status of the Victim in the Cases of Private Prosecution]. Daktaro disertacija. Socialiniai mokslai (teisė). Krasnojarsk, 2003, </w:t>
      </w:r>
      <w:r w:rsidRPr="00E010B8">
        <w:t>p. 95</w:t>
      </w:r>
      <w:r>
        <w:t>.</w:t>
      </w:r>
    </w:p>
  </w:footnote>
  <w:footnote w:id="598">
    <w:p w:rsidR="00E0371E" w:rsidRDefault="00E0371E" w:rsidP="00274D82">
      <w:pPr>
        <w:pStyle w:val="Puslapioinaostekstas"/>
        <w:jc w:val="both"/>
      </w:pPr>
      <w:r>
        <w:rPr>
          <w:rStyle w:val="Puslapioinaosnuoroda"/>
        </w:rPr>
        <w:footnoteRef/>
      </w:r>
      <w:r w:rsidRPr="00285691">
        <w:rPr>
          <w:rFonts w:eastAsia="Times New Roman"/>
          <w:szCs w:val="24"/>
        </w:rPr>
        <w:t>Lietuvos mokslininkai yra nagrinėję tik dėl nusikaltimo žuvusio nukentėjusiojo teisių perėmimą. Tačiau ši teisinė situacija paprastai susijusi ne su teisių perėmimu, o su žuvusio (mirusio) dėl nusikalstamos veikos artimųjų patirta neturtine žala. Teisių perėmimas siejamas ne su tiesiogiai patirta žala, o su asmens, patyrusio žalą, negalėjimu toliau ginti savo teisių. Šis klausimas yra aktualus įvertinant ne tik privatų kaltintojo interesą, bet ir viešąjį interesą, susijusį su teisingumo vykdymo procesu atitinkamame procese.</w:t>
      </w:r>
      <w:r>
        <w:rPr>
          <w:rFonts w:eastAsia="Times New Roman"/>
          <w:szCs w:val="24"/>
        </w:rPr>
        <w:t xml:space="preserve"> </w:t>
      </w:r>
    </w:p>
  </w:footnote>
  <w:footnote w:id="599">
    <w:p w:rsidR="00E0371E" w:rsidRPr="00704B43" w:rsidRDefault="00E0371E" w:rsidP="00274D82">
      <w:pPr>
        <w:pStyle w:val="Puslapioinaostekstas"/>
        <w:jc w:val="both"/>
      </w:pPr>
      <w:r w:rsidRPr="00704B43">
        <w:rPr>
          <w:rStyle w:val="Puslapioinaosnuoroda"/>
        </w:rPr>
        <w:footnoteRef/>
      </w:r>
      <w:r w:rsidRPr="00874BF8">
        <w:t xml:space="preserve">Ažubalytė, R., Jurgaitis, R., Zajančkauskienė, J. </w:t>
      </w:r>
      <w:r w:rsidRPr="00795814">
        <w:rPr>
          <w:i/>
        </w:rPr>
        <w:t>Specifinės baudžiamojo proceso rūšys</w:t>
      </w:r>
      <w:r>
        <w:rPr>
          <w:i/>
        </w:rPr>
        <w:t>: vadovėlis</w:t>
      </w:r>
      <w:r w:rsidRPr="00874BF8">
        <w:t>. Vilnius</w:t>
      </w:r>
      <w:r>
        <w:t>:</w:t>
      </w:r>
      <w:r w:rsidRPr="00874BF8">
        <w:t xml:space="preserve"> Mykolo Romerio Universitetas, 2011, p. 141-145. </w:t>
      </w:r>
    </w:p>
  </w:footnote>
  <w:footnote w:id="600">
    <w:p w:rsidR="00E0371E" w:rsidRPr="00167FCC" w:rsidRDefault="00E0371E" w:rsidP="00274D82">
      <w:pPr>
        <w:pStyle w:val="Puslapioinaostekstas"/>
        <w:jc w:val="both"/>
      </w:pPr>
      <w:r w:rsidRPr="00167FCC">
        <w:rPr>
          <w:rStyle w:val="Puslapioinaosnuoroda"/>
        </w:rPr>
        <w:footnoteRef/>
      </w:r>
      <w:r w:rsidRPr="00167FCC">
        <w:t xml:space="preserve">Teisės normų, reguliuojančių nusikalstama veika padarytos žalos atlyginimą, taikymo baudžiamosiose bylose apžvalga. </w:t>
      </w:r>
      <w:r w:rsidRPr="00F80D00">
        <w:rPr>
          <w:i/>
        </w:rPr>
        <w:t>Teismų praktika</w:t>
      </w:r>
      <w:r w:rsidRPr="00167FCC">
        <w:t>. 2008, 29</w:t>
      </w:r>
      <w:r>
        <w:t>: 457.</w:t>
      </w:r>
    </w:p>
  </w:footnote>
  <w:footnote w:id="601">
    <w:p w:rsidR="00E0371E" w:rsidRDefault="00E0371E" w:rsidP="00274D82">
      <w:pPr>
        <w:pStyle w:val="Puslapioinaostekstas"/>
        <w:jc w:val="both"/>
      </w:pPr>
      <w:r>
        <w:rPr>
          <w:rStyle w:val="Puslapioinaosnuoroda"/>
        </w:rPr>
        <w:footnoteRef/>
      </w:r>
      <w:r w:rsidRPr="00167FCC">
        <w:t xml:space="preserve">Teisės normų, reguliuojančių nusikalstama veika padarytos žalos atlyginimą, taikymo baudžiamosiose bylose apžvalga. </w:t>
      </w:r>
      <w:r w:rsidRPr="00F80D00">
        <w:rPr>
          <w:i/>
        </w:rPr>
        <w:t>Teismų praktika</w:t>
      </w:r>
      <w:r w:rsidRPr="00167FCC">
        <w:t>. 2008, 29</w:t>
      </w:r>
      <w:r>
        <w:t>: 457.</w:t>
      </w:r>
    </w:p>
  </w:footnote>
  <w:footnote w:id="602">
    <w:p w:rsidR="00E0371E" w:rsidRDefault="00E0371E" w:rsidP="00D81DE0">
      <w:pPr>
        <w:pStyle w:val="Puslapioinaostekstas"/>
        <w:jc w:val="both"/>
      </w:pPr>
      <w:r>
        <w:rPr>
          <w:rStyle w:val="Puslapioinaosnuoroda"/>
        </w:rPr>
        <w:footnoteRef/>
      </w:r>
      <w:r>
        <w:t xml:space="preserve">Lietuvos Respublikos Konstitucinio Teismo 2006 m. rugpjūčio 19 d. nutarimas. </w:t>
      </w:r>
      <w:r w:rsidRPr="00F80D00">
        <w:rPr>
          <w:i/>
        </w:rPr>
        <w:t>Valstybės žinios</w:t>
      </w:r>
      <w:r>
        <w:t xml:space="preserve">. </w:t>
      </w:r>
      <w:r w:rsidRPr="00F80D00">
        <w:t>2006, Nr. 90-3529; 2006,</w:t>
      </w:r>
      <w:r>
        <w:t xml:space="preserve"> </w:t>
      </w:r>
      <w:r w:rsidRPr="00F80D00">
        <w:t>Nr.</w:t>
      </w:r>
      <w:r>
        <w:t xml:space="preserve"> </w:t>
      </w:r>
      <w:r w:rsidRPr="00F80D00">
        <w:t>137 (atitaisymas).</w:t>
      </w:r>
    </w:p>
  </w:footnote>
  <w:footnote w:id="603">
    <w:p w:rsidR="00E0371E" w:rsidRPr="00E010B8" w:rsidRDefault="00E0371E" w:rsidP="006323B9">
      <w:pPr>
        <w:pStyle w:val="Puslapioinaostekstas"/>
        <w:jc w:val="both"/>
      </w:pPr>
      <w:r w:rsidRPr="00E010B8">
        <w:rPr>
          <w:rStyle w:val="Puslapioinaosnuoroda"/>
        </w:rPr>
        <w:footnoteRef/>
      </w:r>
      <w:r>
        <w:t xml:space="preserve">Doroshkov, V. V. </w:t>
      </w:r>
      <w:r w:rsidRPr="00795814">
        <w:rPr>
          <w:i/>
        </w:rPr>
        <w:t>Rukovodstvo dlja mirovy</w:t>
      </w:r>
      <w:r>
        <w:rPr>
          <w:i/>
        </w:rPr>
        <w:t>k</w:t>
      </w:r>
      <w:r w:rsidRPr="00795814">
        <w:rPr>
          <w:i/>
        </w:rPr>
        <w:t>h sude</w:t>
      </w:r>
      <w:r>
        <w:rPr>
          <w:i/>
        </w:rPr>
        <w:t xml:space="preserve">j. Dela chastnogo obvinenija </w:t>
      </w:r>
      <w:proofErr w:type="gramStart"/>
      <w:r>
        <w:t>[</w:t>
      </w:r>
      <w:proofErr w:type="gramEnd"/>
      <w:r>
        <w:t xml:space="preserve">Manual for Peace Judges. </w:t>
      </w:r>
      <w:r w:rsidRPr="00795814">
        <w:t>Cases of Private Prosecution</w:t>
      </w:r>
      <w:r>
        <w:t>]</w:t>
      </w:r>
      <w:r w:rsidRPr="00E010B8">
        <w:rPr>
          <w:i/>
        </w:rPr>
        <w:t>.</w:t>
      </w:r>
      <w:r>
        <w:rPr>
          <w:i/>
        </w:rPr>
        <w:t xml:space="preserve"> </w:t>
      </w:r>
      <w:r>
        <w:t>Moskva: Norma, 2001, p</w:t>
      </w:r>
      <w:r w:rsidRPr="00E010B8">
        <w:t>. 102–103.</w:t>
      </w:r>
    </w:p>
  </w:footnote>
  <w:footnote w:id="604">
    <w:p w:rsidR="00E0371E" w:rsidRPr="00CE6A98" w:rsidRDefault="00E0371E" w:rsidP="00245FF8">
      <w:pPr>
        <w:pStyle w:val="Puslapioinaostekstas"/>
        <w:jc w:val="both"/>
      </w:pPr>
      <w:r>
        <w:rPr>
          <w:rStyle w:val="Puslapioinaosnuoroda"/>
        </w:rPr>
        <w:footnoteRef/>
      </w:r>
      <w:r w:rsidRPr="00CE6A98">
        <w:t xml:space="preserve">Fazsi, L. The Right of the Injured Parties to Represent Themselves Rather Instead of Being Represented by a Prosecutor in the Criminal Procedure Code of Hungary. </w:t>
      </w:r>
      <w:r w:rsidRPr="00CE6A98">
        <w:rPr>
          <w:i/>
        </w:rPr>
        <w:t>Curentul Juridic</w:t>
      </w:r>
      <w:r w:rsidRPr="00CE6A98">
        <w:t xml:space="preserve"> [interaktyvus]</w:t>
      </w:r>
      <w:r>
        <w:t>.</w:t>
      </w:r>
      <w:r w:rsidRPr="00CE6A98">
        <w:t xml:space="preserve">  2011, 14 (2): 131-145 [žiūrėta 2013-10-21]</w:t>
      </w:r>
      <w:r>
        <w:t>.</w:t>
      </w:r>
      <w:r w:rsidRPr="00CE6A98">
        <w:t xml:space="preserve"> &lt; http://revcurentjur.ro/arhiva/attachments_201102/recjurid112_13F.pdf&gt;</w:t>
      </w:r>
      <w:r>
        <w:t>.</w:t>
      </w:r>
    </w:p>
  </w:footnote>
  <w:footnote w:id="605">
    <w:p w:rsidR="00E0371E" w:rsidRDefault="00E0371E">
      <w:pPr>
        <w:pStyle w:val="Puslapioinaostekstas"/>
      </w:pPr>
      <w:r>
        <w:rPr>
          <w:rStyle w:val="Puslapioinaosnuoroda"/>
        </w:rPr>
        <w:footnoteRef/>
      </w:r>
      <w:r w:rsidRPr="001876A6">
        <w:t xml:space="preserve">Strafprozeβordnung [interaktyvus]. [žiūrėta 2010-07-28]. </w:t>
      </w:r>
      <w:r w:rsidRPr="004F7491">
        <w:t>&lt;http://www.gesetze-im-internet.de/stpo/index.html&gt;.</w:t>
      </w:r>
    </w:p>
  </w:footnote>
  <w:footnote w:id="606">
    <w:p w:rsidR="00E0371E" w:rsidRPr="00CE6A98" w:rsidRDefault="00E0371E">
      <w:pPr>
        <w:pStyle w:val="Puslapioinaostekstas"/>
      </w:pPr>
      <w:r w:rsidRPr="00CE6A98">
        <w:rPr>
          <w:rStyle w:val="Puslapioinaosnuoroda"/>
        </w:rPr>
        <w:footnoteRef/>
      </w:r>
      <w:r w:rsidRPr="002531B6">
        <w:t>Code of Criminal Procedure of the Republic of Poland [interak</w:t>
      </w:r>
      <w:r>
        <w:t>tyvus]. [žiūrėta 2013-06-05]. &lt;</w:t>
      </w:r>
      <w:r w:rsidRPr="002531B6">
        <w:t>file:///C:/Users/User/Downloads/Polish%20CPC%201997_am%202003_en%20(2).pdf&gt;.</w:t>
      </w:r>
      <w:r w:rsidRPr="00CE6A98">
        <w:t xml:space="preserve"> </w:t>
      </w:r>
    </w:p>
  </w:footnote>
  <w:footnote w:id="607">
    <w:p w:rsidR="00E0371E" w:rsidRPr="00704B43" w:rsidRDefault="00E0371E" w:rsidP="00274D82">
      <w:pPr>
        <w:pStyle w:val="Puslapioinaostekstas"/>
        <w:jc w:val="both"/>
      </w:pPr>
      <w:r w:rsidRPr="00704B43">
        <w:rPr>
          <w:rStyle w:val="Puslapioinaosnuoroda"/>
        </w:rPr>
        <w:footnoteRef/>
      </w:r>
      <w:r w:rsidRPr="00704B43">
        <w:t xml:space="preserve">Thibaut, J. Walker, L. A Theory of Procedure. </w:t>
      </w:r>
      <w:r w:rsidRPr="00704B43">
        <w:rPr>
          <w:i/>
        </w:rPr>
        <w:t>California Law Review</w:t>
      </w:r>
      <w:r w:rsidRPr="00704B43">
        <w:t xml:space="preserve">. 1978, 66: 543-545. </w:t>
      </w:r>
    </w:p>
  </w:footnote>
  <w:footnote w:id="608">
    <w:p w:rsidR="00E0371E" w:rsidRDefault="00E0371E" w:rsidP="0069654B">
      <w:pPr>
        <w:pStyle w:val="Puslapioinaostekstas"/>
        <w:jc w:val="both"/>
      </w:pPr>
      <w:r>
        <w:rPr>
          <w:rStyle w:val="Puslapioinaosnuoroda"/>
        </w:rPr>
        <w:footnoteRef/>
      </w:r>
      <w:r>
        <w:t xml:space="preserve">Manytina, kad šalys gali susitaikyti </w:t>
      </w:r>
      <w:r>
        <w:rPr>
          <w:rFonts w:eastAsia="Times New Roman"/>
        </w:rPr>
        <w:t xml:space="preserve">pirmojoje ir apeliacinėje instancijose iki teismui išeinant priimti procesinio sprendimo. Kasacinėje instancijoje nagrinėjami tik teisės klausimai, todėl susitaikymas nėra galimas. </w:t>
      </w:r>
    </w:p>
  </w:footnote>
  <w:footnote w:id="609">
    <w:p w:rsidR="00E0371E" w:rsidRDefault="00E0371E" w:rsidP="00274D82">
      <w:pPr>
        <w:pStyle w:val="Puslapioinaostekstas"/>
        <w:jc w:val="both"/>
      </w:pPr>
      <w:r>
        <w:rPr>
          <w:rStyle w:val="Puslapioinaosnuoroda"/>
        </w:rPr>
        <w:footnoteRef/>
      </w:r>
      <w:r>
        <w:t xml:space="preserve">Panomariovas, A. Tiesos paieškos priemonė – fikcija, baudžiamojo proceso pavyzdžiu. In Kurapka, V. E., </w:t>
      </w:r>
      <w:r w:rsidRPr="004D31B4">
        <w:rPr>
          <w:i/>
        </w:rPr>
        <w:t>et al</w:t>
      </w:r>
      <w:r>
        <w:t xml:space="preserve">. </w:t>
      </w:r>
      <w:r w:rsidRPr="00082942">
        <w:rPr>
          <w:i/>
        </w:rPr>
        <w:t>Baudžiamasis procesas: nuo teorijos iki įrodinėjimo (prof. dr. Eugenijaus Palskio atminimui). Mokslo studija</w:t>
      </w:r>
      <w:r w:rsidRPr="00C347C6">
        <w:t>. Vilnius: Mykolo Romerio universitetas, 2011</w:t>
      </w:r>
      <w:r>
        <w:t>, p</w:t>
      </w:r>
      <w:r w:rsidRPr="00C347C6">
        <w:t>.</w:t>
      </w:r>
      <w:r>
        <w:t xml:space="preserve"> 57. </w:t>
      </w:r>
    </w:p>
  </w:footnote>
  <w:footnote w:id="610">
    <w:p w:rsidR="00E0371E" w:rsidRDefault="00E0371E" w:rsidP="00274D82">
      <w:pPr>
        <w:pStyle w:val="Puslapioinaostekstas"/>
        <w:jc w:val="both"/>
      </w:pPr>
      <w:r>
        <w:rPr>
          <w:rStyle w:val="Puslapioinaosnuoroda"/>
        </w:rPr>
        <w:footnoteRef/>
      </w:r>
      <w:r>
        <w:t>Merkevičius, R. Baudžiamojo proceso kodeksas: ar teisminio nagrinėjimo struktūra garantuoja teisingą teismą</w:t>
      </w:r>
      <w:r w:rsidRPr="00D754F4">
        <w:t>? In Ancelis, P.</w:t>
      </w:r>
      <w:r>
        <w:t>,</w:t>
      </w:r>
      <w:r w:rsidRPr="00D754F4">
        <w:t xml:space="preserve"> </w:t>
      </w:r>
      <w:r w:rsidRPr="000A377F">
        <w:rPr>
          <w:i/>
        </w:rPr>
        <w:t>et al</w:t>
      </w:r>
      <w:r w:rsidRPr="00D754F4">
        <w:t xml:space="preserve">. </w:t>
      </w:r>
      <w:r w:rsidRPr="00D754F4">
        <w:rPr>
          <w:i/>
        </w:rPr>
        <w:t>Sąžiningas baudžiamasis procesas: probleminiai aspektai</w:t>
      </w:r>
      <w:r w:rsidRPr="00D754F4">
        <w:t>. Vilnius: Industrus, 2009, p. 135.</w:t>
      </w:r>
      <w:r>
        <w:t xml:space="preserve"> Ažubalytė, R. Baudžiamojo proceso paskirties interpretavimo kaita Lietuvai atgavus nepriklausomybę. In </w:t>
      </w:r>
      <w:r w:rsidRPr="002D2C4F">
        <w:rPr>
          <w:i/>
        </w:rPr>
        <w:t>Regnum est: 1990 m. Kovo 11-osios Nepriklausomybės Aktui – 20. Liber Amicorum Vytautui Landsbergiui</w:t>
      </w:r>
      <w:r>
        <w:t xml:space="preserve">. (Red. Mesonis, G.). Vilnius: Mykolo Romerio universiteto Leidybos centras, 2009, p. 511-530. Jurka, R. Žmogaus teisių gynimas Lietuvos baudžiamajame procese: antropocentrinio požiūrio link. In </w:t>
      </w:r>
      <w:r w:rsidRPr="002D2C4F">
        <w:rPr>
          <w:i/>
        </w:rPr>
        <w:t>Regnum est: 1990 m. Kovo 11-osios Nepriklausomybės Aktui – 20. Liber Amicorum Vytautui Landsbergiui</w:t>
      </w:r>
      <w:r>
        <w:t xml:space="preserve">. (Red. Mesonis, G.). Vilnius: Mykolo Romerio universiteto Leidybos centras, 2009, p. 335-353.  </w:t>
      </w:r>
    </w:p>
  </w:footnote>
  <w:footnote w:id="611">
    <w:p w:rsidR="00E0371E" w:rsidRDefault="00E0371E" w:rsidP="00274D82">
      <w:pPr>
        <w:pStyle w:val="Puslapioinaostekstas"/>
        <w:jc w:val="both"/>
      </w:pPr>
      <w:r>
        <w:rPr>
          <w:rStyle w:val="Puslapioinaosnuoroda"/>
        </w:rPr>
        <w:footnoteRef/>
      </w:r>
      <w:r>
        <w:t xml:space="preserve">Belevičius, L. Procesinių prievartos priemonių teisėtumo ir jų taikymo metu gautų įrodymų leistinumo probleminiai aspektai. In Kurapka, V. E., </w:t>
      </w:r>
      <w:r w:rsidRPr="004D31B4">
        <w:rPr>
          <w:i/>
        </w:rPr>
        <w:t>et al</w:t>
      </w:r>
      <w:r>
        <w:t xml:space="preserve">. </w:t>
      </w:r>
      <w:r w:rsidRPr="00B1609C">
        <w:rPr>
          <w:i/>
        </w:rPr>
        <w:t>Baudžiamasis procesas: nuo teorijos iki įrodinėjimo.</w:t>
      </w:r>
      <w:r>
        <w:t xml:space="preserve"> Vilnius: Mykolo Romerio Universitetas, 2011, p. 327. </w:t>
      </w:r>
    </w:p>
  </w:footnote>
  <w:footnote w:id="612">
    <w:p w:rsidR="00E0371E" w:rsidRPr="00704B43" w:rsidRDefault="00E0371E" w:rsidP="00274D82">
      <w:pPr>
        <w:pStyle w:val="Puslapioinaostekstas"/>
        <w:jc w:val="both"/>
      </w:pPr>
      <w:r w:rsidRPr="00704B43">
        <w:rPr>
          <w:rStyle w:val="Puslapioinaosnuoroda"/>
        </w:rPr>
        <w:footnoteRef/>
      </w:r>
      <w:r w:rsidRPr="00704B43">
        <w:t>J</w:t>
      </w:r>
      <w:r>
        <w:t>ustickis,</w:t>
      </w:r>
      <w:r w:rsidRPr="00704B43">
        <w:t xml:space="preserve"> V. </w:t>
      </w:r>
      <w:r w:rsidRPr="000A377F">
        <w:rPr>
          <w:i/>
        </w:rPr>
        <w:t xml:space="preserve">Bendroji ir teisės psichologija: vadovėlis. </w:t>
      </w:r>
      <w:r w:rsidRPr="000A377F">
        <w:t>2-oji pataisyta ir papildyta laida. Vilnius: Mykolo Romerio universiteto Leidybos centras, 2004,</w:t>
      </w:r>
      <w:r>
        <w:t xml:space="preserve"> p. 325. </w:t>
      </w:r>
    </w:p>
  </w:footnote>
  <w:footnote w:id="613">
    <w:p w:rsidR="00E0371E" w:rsidRPr="00704B43" w:rsidRDefault="00E0371E" w:rsidP="00274D82">
      <w:pPr>
        <w:pStyle w:val="Puslapioinaostekstas"/>
        <w:jc w:val="both"/>
      </w:pPr>
      <w:r w:rsidRPr="00704B43">
        <w:rPr>
          <w:rStyle w:val="Puslapioinaosnuoroda"/>
        </w:rPr>
        <w:footnoteRef/>
      </w:r>
      <w:r w:rsidRPr="00704B43">
        <w:t>H</w:t>
      </w:r>
      <w:r>
        <w:t>agen,</w:t>
      </w:r>
      <w:r w:rsidRPr="00704B43">
        <w:t xml:space="preserve"> J. Die soziale Funktion des Prozesses. </w:t>
      </w:r>
      <w:r w:rsidRPr="002328FA">
        <w:rPr>
          <w:i/>
        </w:rPr>
        <w:t>ZZP</w:t>
      </w:r>
      <w:r>
        <w:t>.</w:t>
      </w:r>
      <w:r w:rsidRPr="00704B43">
        <w:t xml:space="preserve"> 1971, </w:t>
      </w:r>
      <w:r>
        <w:t xml:space="preserve">84: </w:t>
      </w:r>
      <w:r w:rsidRPr="00704B43">
        <w:t>390.</w:t>
      </w:r>
    </w:p>
  </w:footnote>
  <w:footnote w:id="614">
    <w:p w:rsidR="00E0371E" w:rsidRDefault="00E0371E" w:rsidP="00E33A9F">
      <w:pPr>
        <w:pStyle w:val="Puslapioinaostekstas"/>
        <w:jc w:val="both"/>
      </w:pPr>
      <w:r>
        <w:rPr>
          <w:rStyle w:val="Puslapioinaosnuoroda"/>
        </w:rPr>
        <w:footnoteRef/>
      </w:r>
      <w:r>
        <w:t xml:space="preserve">Trumpulis, U. </w:t>
      </w:r>
      <w:r w:rsidRPr="00E33A9F">
        <w:rPr>
          <w:i/>
        </w:rPr>
        <w:t>Viešojo intereso kategorija administracinėje teisėje.</w:t>
      </w:r>
      <w:r>
        <w:t xml:space="preserve"> Daktaro disertacija. Socialiniai mokslai (teisė). Vilnius: Mykolo Romerio universitetas, 2011, p. 110-121. </w:t>
      </w:r>
    </w:p>
  </w:footnote>
  <w:footnote w:id="615">
    <w:p w:rsidR="00E0371E" w:rsidRPr="00704B43" w:rsidRDefault="00E0371E" w:rsidP="00274D82">
      <w:pPr>
        <w:pStyle w:val="Puslapioinaostekstas"/>
        <w:jc w:val="both"/>
      </w:pPr>
      <w:r w:rsidRPr="00704B43">
        <w:rPr>
          <w:rStyle w:val="Puslapioinaosnuoroda"/>
        </w:rPr>
        <w:footnoteRef/>
      </w:r>
      <w:r w:rsidRPr="00704B43">
        <w:t>H</w:t>
      </w:r>
      <w:r>
        <w:t>agen,</w:t>
      </w:r>
      <w:r w:rsidRPr="00704B43">
        <w:t xml:space="preserve"> J. Die soziale Funktion des </w:t>
      </w:r>
      <w:r>
        <w:t xml:space="preserve">Prozesses. </w:t>
      </w:r>
      <w:r w:rsidRPr="002328FA">
        <w:rPr>
          <w:i/>
        </w:rPr>
        <w:t>ZZP</w:t>
      </w:r>
      <w:r>
        <w:rPr>
          <w:i/>
        </w:rPr>
        <w:t>.</w:t>
      </w:r>
      <w:r>
        <w:t xml:space="preserve"> 1971, 84: </w:t>
      </w:r>
      <w:r w:rsidRPr="00704B43">
        <w:t>390.</w:t>
      </w:r>
    </w:p>
  </w:footnote>
  <w:footnote w:id="616">
    <w:p w:rsidR="00E0371E" w:rsidRPr="00704B43" w:rsidRDefault="00E0371E" w:rsidP="00274D82">
      <w:pPr>
        <w:pStyle w:val="Puslapioinaostekstas"/>
        <w:jc w:val="both"/>
      </w:pPr>
      <w:r w:rsidRPr="00704B43">
        <w:rPr>
          <w:rStyle w:val="Puslapioinaosnuoroda"/>
        </w:rPr>
        <w:footnoteRef/>
      </w:r>
      <w:r>
        <w:t xml:space="preserve">Abramavičius, A., </w:t>
      </w:r>
      <w:r w:rsidRPr="00F326CF">
        <w:rPr>
          <w:i/>
        </w:rPr>
        <w:t>et al.</w:t>
      </w:r>
      <w:r>
        <w:t xml:space="preserve"> </w:t>
      </w:r>
      <w:r w:rsidRPr="00951D4B">
        <w:rPr>
          <w:i/>
        </w:rPr>
        <w:t>Lietuvos Respublikos baudžiamojo kodekso komentaras. Bendroji dalis (1-98 straipsniai).</w:t>
      </w:r>
      <w:r>
        <w:t xml:space="preserve"> Vilnius: Teisinės informacijos centras, 2004, </w:t>
      </w:r>
      <w:r w:rsidRPr="00704B43">
        <w:t>p. 467.</w:t>
      </w:r>
    </w:p>
  </w:footnote>
  <w:footnote w:id="617">
    <w:p w:rsidR="00E0371E" w:rsidRDefault="00E0371E" w:rsidP="00274D82">
      <w:pPr>
        <w:pStyle w:val="Puslapioinaostekstas"/>
        <w:jc w:val="both"/>
      </w:pPr>
      <w:r>
        <w:rPr>
          <w:rStyle w:val="Puslapioinaosnuoroda"/>
        </w:rPr>
        <w:footnoteRef/>
      </w:r>
      <w:r w:rsidRPr="00046287">
        <w:t xml:space="preserve">Socialinės taikos privalumus civiliniame procese analizuoja </w:t>
      </w:r>
      <w:r>
        <w:t xml:space="preserve">V. </w:t>
      </w:r>
      <w:r w:rsidRPr="00046287">
        <w:t>Vėbraitė disertaciniame tyrime.</w:t>
      </w:r>
      <w:r>
        <w:t xml:space="preserve"> Vėbraitė, V. </w:t>
      </w:r>
      <w:r>
        <w:rPr>
          <w:i/>
        </w:rPr>
        <w:t>Šalių sutaikymas</w:t>
      </w:r>
      <w:r w:rsidRPr="00795814">
        <w:rPr>
          <w:i/>
        </w:rPr>
        <w:t xml:space="preserve"> civiliniame procese</w:t>
      </w:r>
      <w:r>
        <w:t xml:space="preserve">. Daktaro disertacija. Socialiniai mokslai (teisė). Vilnius: Vilniaus universitetas, 2009, p. 22. Tai pastebi ir </w:t>
      </w:r>
      <w:r w:rsidRPr="0096414F">
        <w:rPr>
          <w:rFonts w:eastAsia="Times New Roman"/>
          <w:szCs w:val="24"/>
        </w:rPr>
        <w:t>U. Trumpulis</w:t>
      </w:r>
      <w:r>
        <w:rPr>
          <w:rFonts w:eastAsia="Times New Roman"/>
          <w:szCs w:val="24"/>
        </w:rPr>
        <w:t>, kuris</w:t>
      </w:r>
      <w:r w:rsidRPr="0096414F">
        <w:rPr>
          <w:rFonts w:eastAsia="Times New Roman"/>
          <w:szCs w:val="24"/>
        </w:rPr>
        <w:t xml:space="preserve"> mediacijos privalumus</w:t>
      </w:r>
      <w:r>
        <w:rPr>
          <w:rFonts w:eastAsia="Times New Roman"/>
          <w:szCs w:val="24"/>
        </w:rPr>
        <w:t xml:space="preserve"> administraciniame procese</w:t>
      </w:r>
      <w:r w:rsidRPr="0096414F">
        <w:rPr>
          <w:rFonts w:eastAsia="Times New Roman"/>
          <w:szCs w:val="24"/>
        </w:rPr>
        <w:t xml:space="preserve"> sąlyginai skirsto į privalumus, susijusius su teismų veiklos gerinimu ir teisingumo vykdymu bei susijusius su šalių interesų identifikavimu, supratimu, jų suderinimu.</w:t>
      </w:r>
      <w:r>
        <w:rPr>
          <w:rFonts w:eastAsia="Times New Roman"/>
          <w:szCs w:val="24"/>
        </w:rPr>
        <w:t xml:space="preserve"> </w:t>
      </w:r>
      <w:r>
        <w:t xml:space="preserve">Trumpulis, U. </w:t>
      </w:r>
      <w:r w:rsidRPr="00E33A9F">
        <w:rPr>
          <w:i/>
        </w:rPr>
        <w:t>Viešojo intereso kategorija administracinėje teisėje.</w:t>
      </w:r>
      <w:r>
        <w:t xml:space="preserve"> Daktaro disertacija. Socialiniai mokslai (teisė). Vilnius: Mykolo Romerio universitetas, 2011, p. 119. Mediacijos privalumus baudžiamajame procese nagrinėjo R. Uscila. Uscila, R. Nusikaltimo aukos ir nusikaltėlio mediacijos įdiegimo galimybės Lietuvoje. </w:t>
      </w:r>
      <w:r w:rsidRPr="005E4E0B">
        <w:rPr>
          <w:i/>
        </w:rPr>
        <w:t>Teisės problemos</w:t>
      </w:r>
      <w:r>
        <w:t xml:space="preserve">. 2006, 2(52): 84-99. </w:t>
      </w:r>
    </w:p>
  </w:footnote>
  <w:footnote w:id="618">
    <w:p w:rsidR="00E0371E" w:rsidRDefault="00E0371E" w:rsidP="00274D82">
      <w:pPr>
        <w:pStyle w:val="Puslapioinaostekstas"/>
        <w:jc w:val="both"/>
      </w:pPr>
      <w:r>
        <w:rPr>
          <w:rStyle w:val="Puslapioinaosnuoroda"/>
        </w:rPr>
        <w:footnoteRef/>
      </w:r>
      <w:r>
        <w:t xml:space="preserve"> Tokią išvadą U. Trumpulis daro nagrinėjamas mediacijos institutą, tačiau pastebėtina, kad analizuojami privalumai yra bendri visoms alternatyvių ginčo sprendimų formoms. Trumpulis, U. </w:t>
      </w:r>
      <w:r w:rsidRPr="002328FA">
        <w:rPr>
          <w:i/>
        </w:rPr>
        <w:t>Viešojo intereso kategorija administracinėje teisėje</w:t>
      </w:r>
      <w:r>
        <w:t xml:space="preserve">. Daktaro disertacija. Socialiniai mokslai (teisė). Vilnius: Mykolo Romerio universitetas, 2011, p. 119. </w:t>
      </w:r>
    </w:p>
  </w:footnote>
  <w:footnote w:id="619">
    <w:p w:rsidR="00E0371E" w:rsidRPr="00704B43" w:rsidRDefault="00E0371E" w:rsidP="00274D82">
      <w:pPr>
        <w:pStyle w:val="Puslapioinaostekstas"/>
        <w:jc w:val="both"/>
      </w:pPr>
      <w:r w:rsidRPr="00704B43">
        <w:rPr>
          <w:rStyle w:val="Puslapioinaosnuoroda"/>
        </w:rPr>
        <w:footnoteRef/>
      </w:r>
      <w:r>
        <w:t xml:space="preserve">Vėbraitė, V. </w:t>
      </w:r>
      <w:r>
        <w:rPr>
          <w:i/>
        </w:rPr>
        <w:t>Šalių sutaikymas</w:t>
      </w:r>
      <w:r w:rsidRPr="00795814">
        <w:rPr>
          <w:i/>
        </w:rPr>
        <w:t xml:space="preserve"> civiliniame procese</w:t>
      </w:r>
      <w:r>
        <w:t xml:space="preserve">. Daktaro disertacija. Socialiniai mokslai (teisė). Vilnius: Vilniaus universitetas, 2009, </w:t>
      </w:r>
      <w:r w:rsidRPr="00704B43">
        <w:t>p. 24</w:t>
      </w:r>
      <w:r>
        <w:t>.</w:t>
      </w:r>
    </w:p>
  </w:footnote>
  <w:footnote w:id="620">
    <w:p w:rsidR="00E0371E" w:rsidRPr="00704B43" w:rsidRDefault="00E0371E" w:rsidP="00274D82">
      <w:pPr>
        <w:pStyle w:val="Puslapioinaostekstas"/>
        <w:jc w:val="both"/>
      </w:pPr>
      <w:r w:rsidRPr="00704B43">
        <w:rPr>
          <w:rStyle w:val="Puslapioinaosnuoroda"/>
        </w:rPr>
        <w:footnoteRef/>
      </w:r>
      <w:r w:rsidRPr="00704B43">
        <w:t>J</w:t>
      </w:r>
      <w:r>
        <w:t>ustickis,</w:t>
      </w:r>
      <w:r w:rsidRPr="00704B43">
        <w:t xml:space="preserve"> V. </w:t>
      </w:r>
      <w:r w:rsidRPr="000A377F">
        <w:rPr>
          <w:i/>
        </w:rPr>
        <w:t xml:space="preserve">Bendroji ir teisės psichologija: vadovėlis. </w:t>
      </w:r>
      <w:r w:rsidRPr="000A377F">
        <w:t>2-oji pataisyta ir papildyta laida. Vilnius: Mykolo Romerio universiteto Leidybos centras, 2004,</w:t>
      </w:r>
      <w:r w:rsidRPr="00704B43">
        <w:t xml:space="preserve"> p.</w:t>
      </w:r>
      <w:r>
        <w:t xml:space="preserve"> </w:t>
      </w:r>
      <w:r w:rsidRPr="00704B43">
        <w:t xml:space="preserve">325. </w:t>
      </w:r>
    </w:p>
  </w:footnote>
  <w:footnote w:id="621">
    <w:p w:rsidR="00E0371E" w:rsidRDefault="00E0371E" w:rsidP="00274D82">
      <w:pPr>
        <w:pStyle w:val="Puslapioinaostekstas"/>
        <w:jc w:val="both"/>
      </w:pPr>
      <w:r>
        <w:rPr>
          <w:rStyle w:val="Puslapioinaosnuoroda"/>
        </w:rPr>
        <w:footnoteRef/>
      </w:r>
      <w:r>
        <w:t xml:space="preserve">Geerds, F. Zur Rechtsstellung des Verletzten im Strafprozeβ. </w:t>
      </w:r>
      <w:r w:rsidRPr="00137156">
        <w:rPr>
          <w:i/>
        </w:rPr>
        <w:t>JZ</w:t>
      </w:r>
      <w:r>
        <w:t xml:space="preserve">. 1984, 17: 790-791.  </w:t>
      </w:r>
    </w:p>
  </w:footnote>
  <w:footnote w:id="622">
    <w:p w:rsidR="00E0371E" w:rsidRDefault="00E0371E" w:rsidP="00274D82">
      <w:pPr>
        <w:pStyle w:val="Puslapioinaostekstas"/>
        <w:jc w:val="both"/>
      </w:pPr>
      <w:r>
        <w:rPr>
          <w:rStyle w:val="Puslapioinaosnuoroda"/>
        </w:rPr>
        <w:footnoteRef/>
      </w:r>
      <w:r w:rsidRPr="00874BF8">
        <w:t xml:space="preserve">Ažubalytė, R., Jurgaitis, R., Zajančkauskienė, J. </w:t>
      </w:r>
      <w:r w:rsidRPr="00545E04">
        <w:rPr>
          <w:i/>
        </w:rPr>
        <w:t>Specifinės baudžiamojo proceso rūšys</w:t>
      </w:r>
      <w:r>
        <w:rPr>
          <w:i/>
        </w:rPr>
        <w:t>: vadovėlis</w:t>
      </w:r>
      <w:r w:rsidRPr="00874BF8">
        <w:t xml:space="preserve">. </w:t>
      </w:r>
      <w:r>
        <w:t xml:space="preserve">Vilnius: </w:t>
      </w:r>
      <w:r w:rsidRPr="00874BF8">
        <w:t xml:space="preserve">Mykolo Romerio Universitetas, 2011, p. </w:t>
      </w:r>
      <w:r>
        <w:t xml:space="preserve">154. </w:t>
      </w:r>
    </w:p>
  </w:footnote>
  <w:footnote w:id="623">
    <w:p w:rsidR="00E0371E" w:rsidRPr="00704B43" w:rsidRDefault="00E0371E" w:rsidP="00274D82">
      <w:pPr>
        <w:pStyle w:val="Puslapioinaostekstas"/>
        <w:jc w:val="both"/>
      </w:pPr>
      <w:r w:rsidRPr="00704B43">
        <w:rPr>
          <w:rStyle w:val="Puslapioinaosnuoroda"/>
        </w:rPr>
        <w:footnoteRef/>
      </w:r>
      <w:r w:rsidRPr="00704B43">
        <w:t>Lietuvos Respublikos Konstitucinio Teismo 2006 sausio 16 d. nutarimas.</w:t>
      </w:r>
      <w:r>
        <w:t xml:space="preserve"> </w:t>
      </w:r>
      <w:r w:rsidRPr="00927F5E">
        <w:rPr>
          <w:i/>
        </w:rPr>
        <w:t>Valstybės</w:t>
      </w:r>
      <w:proofErr w:type="gramStart"/>
      <w:r>
        <w:rPr>
          <w:i/>
        </w:rPr>
        <w:t xml:space="preserve"> </w:t>
      </w:r>
      <w:r w:rsidRPr="00927F5E">
        <w:rPr>
          <w:i/>
        </w:rPr>
        <w:t xml:space="preserve"> </w:t>
      </w:r>
      <w:proofErr w:type="gramEnd"/>
      <w:r w:rsidRPr="00927F5E">
        <w:rPr>
          <w:i/>
        </w:rPr>
        <w:t>žinios</w:t>
      </w:r>
      <w:r>
        <w:t xml:space="preserve">. 2006, Nr. 7-254. </w:t>
      </w:r>
    </w:p>
  </w:footnote>
  <w:footnote w:id="624">
    <w:p w:rsidR="00E0371E" w:rsidRPr="00704B43" w:rsidRDefault="00E0371E" w:rsidP="00046171">
      <w:pPr>
        <w:pStyle w:val="Puslapioinaostekstas"/>
        <w:jc w:val="both"/>
      </w:pPr>
      <w:r w:rsidRPr="00704B43">
        <w:rPr>
          <w:rStyle w:val="Puslapioinaosnuoroda"/>
        </w:rPr>
        <w:footnoteRef/>
      </w:r>
      <w:r>
        <w:t>Ažubalytė, R.</w:t>
      </w:r>
      <w:r w:rsidRPr="00704B43">
        <w:t xml:space="preserve"> </w:t>
      </w:r>
      <w:r w:rsidRPr="00403694">
        <w:rPr>
          <w:i/>
        </w:rPr>
        <w:t xml:space="preserve">Diskrecinis baudžiamasis persekiojimas: teoriniai pagrindai, taikymo problemos ir perspektyvos Lietuvoje. </w:t>
      </w:r>
      <w:r w:rsidRPr="00403694">
        <w:t>Daktaro disertacija. Socialiniai mokslai (teisė). Vilnius: Lietuvos teisės universitetas, 2002,</w:t>
      </w:r>
      <w:r>
        <w:rPr>
          <w:i/>
        </w:rPr>
        <w:t xml:space="preserve"> </w:t>
      </w:r>
      <w:r w:rsidRPr="00704B43">
        <w:t>p. 106–1</w:t>
      </w:r>
      <w:r>
        <w:t>17.</w:t>
      </w:r>
      <w:r w:rsidRPr="00704B43">
        <w:t xml:space="preserve"> </w:t>
      </w:r>
    </w:p>
  </w:footnote>
  <w:footnote w:id="625">
    <w:p w:rsidR="00E0371E" w:rsidRPr="00704B43" w:rsidRDefault="00E0371E" w:rsidP="00274D82">
      <w:pPr>
        <w:pStyle w:val="Puslapioinaostekstas"/>
        <w:jc w:val="both"/>
      </w:pPr>
      <w:r w:rsidRPr="00704B43">
        <w:rPr>
          <w:rStyle w:val="Puslapioinaosnuoroda"/>
        </w:rPr>
        <w:footnoteRef/>
      </w:r>
      <w:r>
        <w:t>Plačiau ap</w:t>
      </w:r>
      <w:r w:rsidRPr="00704B43">
        <w:t>ie susitaikymą viešojo kaltinimo bylose Lietuvoje</w:t>
      </w:r>
      <w:r>
        <w:t>:</w:t>
      </w:r>
      <w:r w:rsidRPr="00704B43">
        <w:t xml:space="preserve"> Ažubalytė, R. </w:t>
      </w:r>
      <w:r w:rsidRPr="00704B43">
        <w:rPr>
          <w:i/>
        </w:rPr>
        <w:t>Diskrecinis baudžiamasis persekiojimas: teoriniai pagrindai, taikymo problemos ir perspektyvos Lietuvoje</w:t>
      </w:r>
      <w:r>
        <w:t xml:space="preserve">. </w:t>
      </w:r>
      <w:r w:rsidRPr="00403694">
        <w:t xml:space="preserve">Daktaro disertacija. Socialiniai mokslai (teisė). Vilnius: Lietuvos teisės universitetas, </w:t>
      </w:r>
      <w:r w:rsidRPr="00704B43">
        <w:t>p. 118–136.</w:t>
      </w:r>
    </w:p>
  </w:footnote>
  <w:footnote w:id="626">
    <w:p w:rsidR="00E0371E" w:rsidRPr="00704B43" w:rsidRDefault="00E0371E" w:rsidP="00274D82">
      <w:pPr>
        <w:pStyle w:val="Puslapioinaostekstas"/>
        <w:jc w:val="both"/>
      </w:pPr>
      <w:r w:rsidRPr="00704B43">
        <w:rPr>
          <w:rStyle w:val="Puslapioinaosnuoroda"/>
        </w:rPr>
        <w:footnoteRef/>
      </w:r>
      <w:r>
        <w:t xml:space="preserve">Abramavičius, A., </w:t>
      </w:r>
      <w:r w:rsidRPr="00F326CF">
        <w:rPr>
          <w:i/>
        </w:rPr>
        <w:t>et al</w:t>
      </w:r>
      <w:r>
        <w:t xml:space="preserve">. </w:t>
      </w:r>
      <w:r w:rsidRPr="00951D4B">
        <w:rPr>
          <w:i/>
        </w:rPr>
        <w:t>Lietuvos Respublikos baudžiamojo kodekso komentaras. Bendroji dalis (1-98 straipsniai).</w:t>
      </w:r>
      <w:r>
        <w:t xml:space="preserve"> Vilnius: Teisinės informacijos centras, 2004, </w:t>
      </w:r>
      <w:r w:rsidRPr="00704B43">
        <w:t>p. 469.</w:t>
      </w:r>
    </w:p>
  </w:footnote>
  <w:footnote w:id="627">
    <w:p w:rsidR="00E0371E" w:rsidRPr="00D82178" w:rsidRDefault="00E0371E" w:rsidP="001C5381">
      <w:pPr>
        <w:pStyle w:val="Puslapioinaostekstas"/>
        <w:jc w:val="both"/>
      </w:pPr>
      <w:r>
        <w:rPr>
          <w:rStyle w:val="Puslapioinaosnuoroda"/>
        </w:rPr>
        <w:footnoteRef/>
      </w:r>
      <w:r w:rsidRPr="00D82178">
        <w:t>Tarpukario Lietuvos baudžiamajame procese susitaikymo galimybė taip pat buvo numatyta, tačiau taikinimo procedūros reglamentavimas nebuvo detalus. Tarpukario Lietuvoje, Baudž</w:t>
      </w:r>
      <w:r>
        <w:t>iamojo proceso įstatymo 120 straipsnis</w:t>
      </w:r>
      <w:r w:rsidRPr="00D82178">
        <w:t xml:space="preserve"> numatė, kad bylose, kurios gali pasibaigti šalių susitaikymu, Taikos Teisėjas turi jas </w:t>
      </w:r>
      <w:r>
        <w:t>su</w:t>
      </w:r>
      <w:r w:rsidRPr="00D82178">
        <w:t>taik</w:t>
      </w:r>
      <w:r>
        <w:t>y</w:t>
      </w:r>
      <w:r w:rsidRPr="00D82178">
        <w:t xml:space="preserve">ti ir tik </w:t>
      </w:r>
      <w:r>
        <w:t>nepavykus to padaryti</w:t>
      </w:r>
      <w:r w:rsidRPr="00D82178">
        <w:t xml:space="preserve">, </w:t>
      </w:r>
      <w:r>
        <w:t xml:space="preserve">turi nagrinėti bylą iš esmės ir priimti </w:t>
      </w:r>
      <w:r w:rsidRPr="00D82178">
        <w:t>sprendimą. 1961 m</w:t>
      </w:r>
      <w:r>
        <w:t>.</w:t>
      </w:r>
      <w:r w:rsidRPr="00D82178">
        <w:t xml:space="preserve"> BPK atskirai taikinamoji privataus kaltinimo bylų stadija numatyta nebuvo, tačiau 126 str</w:t>
      </w:r>
      <w:r>
        <w:t>aipsnyje</w:t>
      </w:r>
      <w:r w:rsidRPr="00D82178">
        <w:t>, reglamentavusiame baudžiamosios bylos iškėlimą tik dėl nukentėjusiojo skundo, numatė, kad baudžiamosios bylos turi būti nutraukiamos, jeigu nukentėjusysis susitaiko su kaltinamuoju. BPK 261 str</w:t>
      </w:r>
      <w:r>
        <w:t>aipsnio</w:t>
      </w:r>
      <w:r w:rsidRPr="00D82178">
        <w:t xml:space="preserve"> 2 d</w:t>
      </w:r>
      <w:r>
        <w:t>alyje</w:t>
      </w:r>
      <w:r w:rsidRPr="00D82178">
        <w:t xml:space="preserve"> buvo numatyta: ,,</w:t>
      </w:r>
      <w:r w:rsidRPr="004518DA">
        <w:rPr>
          <w:i/>
        </w:rPr>
        <w:t>Prieš iškeldamas bylą dėl nukentėjusiojo skundo imasi priemonių nukentėjusiajam sutaikyti su asmeniu, prieš kurį paduotas skundas</w:t>
      </w:r>
      <w:r w:rsidRPr="00D82178">
        <w:t xml:space="preserve">.“ T.p. apie tai </w:t>
      </w:r>
      <w:r>
        <w:t xml:space="preserve">Juzukonis, S. </w:t>
      </w:r>
      <w:r w:rsidRPr="00361386">
        <w:rPr>
          <w:i/>
        </w:rPr>
        <w:t>Nukentėjusiojo teisių apsauga baudžiamajame procese</w:t>
      </w:r>
      <w:r>
        <w:t>. Daktaro disertacija. Socialiniai mokslai (teisė). Vilnius: Lietuvos teisės universitetas, 2002, p. 22-23</w:t>
      </w:r>
      <w:r w:rsidRPr="00D82178">
        <w:t xml:space="preserve">. </w:t>
      </w:r>
    </w:p>
  </w:footnote>
  <w:footnote w:id="628">
    <w:p w:rsidR="00E0371E" w:rsidRPr="00704B43" w:rsidRDefault="00E0371E" w:rsidP="00274D82">
      <w:pPr>
        <w:pStyle w:val="Puslapioinaostekstas"/>
        <w:jc w:val="both"/>
        <w:rPr>
          <w:sz w:val="18"/>
        </w:rPr>
      </w:pPr>
      <w:r w:rsidRPr="00704B43">
        <w:rPr>
          <w:rStyle w:val="Puslapioinaosnuoroda"/>
          <w:sz w:val="18"/>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w:t>
      </w:r>
      <w:r w:rsidRPr="00704B43">
        <w:rPr>
          <w:sz w:val="18"/>
        </w:rPr>
        <w:t>p. 22</w:t>
      </w:r>
      <w:r>
        <w:rPr>
          <w:sz w:val="18"/>
        </w:rPr>
        <w:t>.</w:t>
      </w:r>
    </w:p>
  </w:footnote>
  <w:footnote w:id="629">
    <w:p w:rsidR="00E0371E" w:rsidRPr="00704B43" w:rsidRDefault="00E0371E" w:rsidP="00274D82">
      <w:pPr>
        <w:pStyle w:val="Puslapioinaostekstas"/>
        <w:jc w:val="both"/>
        <w:rPr>
          <w:sz w:val="18"/>
        </w:rPr>
      </w:pPr>
      <w:r w:rsidRPr="00704B43">
        <w:rPr>
          <w:rStyle w:val="Puslapioinaosnuoroda"/>
          <w:sz w:val="18"/>
        </w:rPr>
        <w:footnoteRef/>
      </w:r>
      <w:r>
        <w:t xml:space="preserve">Von Schacky, S. </w:t>
      </w:r>
      <w:r w:rsidRPr="00362C4C">
        <w:rPr>
          <w:i/>
        </w:rPr>
        <w:t>Das Privatklageverfahren und seine Berechtigung heute</w:t>
      </w:r>
      <w:r>
        <w:t>. Daktaro disertacija. Socialiniai mokslai (teisė). Frankfurt am Main: Johann Wolfgang Goethe-Universität, 1975</w:t>
      </w:r>
      <w:r w:rsidRPr="00704B43">
        <w:rPr>
          <w:sz w:val="18"/>
        </w:rPr>
        <w:t>, p. 23</w:t>
      </w:r>
      <w:r>
        <w:rPr>
          <w:sz w:val="18"/>
        </w:rPr>
        <w:t>.</w:t>
      </w:r>
    </w:p>
  </w:footnote>
  <w:footnote w:id="630">
    <w:p w:rsidR="00E0371E" w:rsidRDefault="00E0371E" w:rsidP="00274D82">
      <w:pPr>
        <w:pStyle w:val="Puslapioinaostekstas"/>
        <w:jc w:val="both"/>
      </w:pPr>
      <w:r>
        <w:rPr>
          <w:rStyle w:val="Puslapioinaosnuoroda"/>
        </w:rPr>
        <w:footnoteRef/>
      </w:r>
      <w:r>
        <w:t xml:space="preserve">Umbreit, M. S. </w:t>
      </w:r>
      <w:r w:rsidRPr="00A33FC1">
        <w:rPr>
          <w:i/>
        </w:rPr>
        <w:t>The Handbook of Victim Offen</w:t>
      </w:r>
      <w:r>
        <w:rPr>
          <w:i/>
        </w:rPr>
        <w:t>d</w:t>
      </w:r>
      <w:r w:rsidRPr="00A33FC1">
        <w:rPr>
          <w:i/>
        </w:rPr>
        <w:t>er Mediation</w:t>
      </w:r>
      <w:r>
        <w:t>. San Francisco: Jossey-Bass Inc. Publishers</w:t>
      </w:r>
      <w:r w:rsidRPr="000738F2">
        <w:t>: A Wiley Imprint</w:t>
      </w:r>
      <w:r>
        <w:t xml:space="preserve">, 2001, p. xxv. </w:t>
      </w:r>
    </w:p>
  </w:footnote>
  <w:footnote w:id="631">
    <w:p w:rsidR="00E0371E" w:rsidRDefault="00E0371E" w:rsidP="00274D82">
      <w:pPr>
        <w:pStyle w:val="Puslapioinaostekstas"/>
        <w:jc w:val="both"/>
      </w:pPr>
      <w:r>
        <w:rPr>
          <w:rStyle w:val="Puslapioinaosnuoroda"/>
        </w:rPr>
        <w:footnoteRef/>
      </w:r>
      <w:r>
        <w:rPr>
          <w:rFonts w:eastAsia="Times New Roman"/>
          <w:szCs w:val="24"/>
        </w:rPr>
        <w:t xml:space="preserve">Nusikaltėlio - aukos mediacija pirmą kartą buvo taikyta kaip eksperimentas 1974 m. Kanadoje, Ontario provincijoje. Jo sėkmė paskatino inicijuoti ir aukos – nusikaltėlio susitaikymo projektą </w:t>
      </w:r>
      <w:proofErr w:type="gramStart"/>
      <w:r>
        <w:rPr>
          <w:rFonts w:eastAsia="Times New Roman"/>
          <w:szCs w:val="24"/>
        </w:rPr>
        <w:t>(</w:t>
      </w:r>
      <w:proofErr w:type="gramEnd"/>
      <w:r>
        <w:rPr>
          <w:rFonts w:eastAsia="Times New Roman"/>
          <w:szCs w:val="24"/>
        </w:rPr>
        <w:t xml:space="preserve">angl. </w:t>
      </w:r>
      <w:r w:rsidRPr="007F4A48">
        <w:rPr>
          <w:rFonts w:eastAsia="Times New Roman"/>
          <w:i/>
          <w:szCs w:val="24"/>
        </w:rPr>
        <w:t>Victim Offender Reconciliation Project</w:t>
      </w:r>
      <w:r>
        <w:rPr>
          <w:rFonts w:eastAsia="Times New Roman"/>
          <w:szCs w:val="24"/>
        </w:rPr>
        <w:t xml:space="preserve">) Šiaurės Amerikoje. </w:t>
      </w:r>
      <w:r w:rsidRPr="001B0046">
        <w:t xml:space="preserve">Umbreit, M. S. </w:t>
      </w:r>
      <w:r w:rsidRPr="00127EF1">
        <w:rPr>
          <w:i/>
        </w:rPr>
        <w:t>The Handbook of Victim Offen</w:t>
      </w:r>
      <w:r>
        <w:rPr>
          <w:i/>
        </w:rPr>
        <w:t>d</w:t>
      </w:r>
      <w:r w:rsidRPr="00127EF1">
        <w:rPr>
          <w:i/>
        </w:rPr>
        <w:t>er Mediation</w:t>
      </w:r>
      <w:r w:rsidRPr="001B0046">
        <w:t>. San Francisco: Jossey-Bas</w:t>
      </w:r>
      <w:r>
        <w:t>s Inc. Publishers</w:t>
      </w:r>
      <w:r w:rsidRPr="000738F2">
        <w:t>: A Wiley Imprint</w:t>
      </w:r>
      <w:r>
        <w:t>, 2001, p. xlii.</w:t>
      </w:r>
    </w:p>
  </w:footnote>
  <w:footnote w:id="632">
    <w:p w:rsidR="00E0371E" w:rsidRDefault="00E0371E" w:rsidP="00274D82">
      <w:pPr>
        <w:pStyle w:val="Puslapioinaostekstas"/>
        <w:jc w:val="both"/>
      </w:pPr>
      <w:r>
        <w:rPr>
          <w:rStyle w:val="Puslapioinaosnuoroda"/>
        </w:rPr>
        <w:footnoteRef/>
      </w:r>
      <w:r w:rsidRPr="00A179E3">
        <w:t>Lieberman</w:t>
      </w:r>
      <w:r>
        <w:t xml:space="preserve">, J. K., </w:t>
      </w:r>
      <w:r w:rsidRPr="00A179E3">
        <w:t>Henry,</w:t>
      </w:r>
      <w:r>
        <w:t xml:space="preserve"> J. F. </w:t>
      </w:r>
      <w:r w:rsidRPr="007F4A48">
        <w:rPr>
          <w:iCs/>
        </w:rPr>
        <w:t>Lessons from the Alterative Dispute Resolution Movement</w:t>
      </w:r>
      <w:r>
        <w:rPr>
          <w:iCs/>
        </w:rPr>
        <w:t xml:space="preserve">. </w:t>
      </w:r>
      <w:r w:rsidRPr="00127EF1">
        <w:rPr>
          <w:i/>
        </w:rPr>
        <w:t>University of Chicago Law Revie</w:t>
      </w:r>
      <w:r>
        <w:t>w. 1986, 53:</w:t>
      </w:r>
      <w:r w:rsidRPr="00A179E3">
        <w:t xml:space="preserve"> 431</w:t>
      </w:r>
      <w:r>
        <w:t xml:space="preserve">. </w:t>
      </w:r>
      <w:r w:rsidRPr="00994F38">
        <w:t xml:space="preserve">Kaminskienė, N. </w:t>
      </w:r>
      <w:r w:rsidRPr="00127EF1">
        <w:rPr>
          <w:i/>
        </w:rPr>
        <w:t>Alternatyvus civilinių ginčų sprendimas</w:t>
      </w:r>
      <w:r w:rsidRPr="00994F38">
        <w:t xml:space="preserve">. Vilnius: VĮ Registrų centras, 2011, p. </w:t>
      </w:r>
      <w:r>
        <w:t xml:space="preserve">50-54. </w:t>
      </w:r>
      <w:r w:rsidRPr="00763A08">
        <w:t xml:space="preserve">Kaminskienė, N. Alternatyvus ginčų sprendimas. </w:t>
      </w:r>
      <w:r w:rsidRPr="00763A08">
        <w:rPr>
          <w:i/>
        </w:rPr>
        <w:t>Jurisprudencija</w:t>
      </w:r>
      <w:r w:rsidRPr="00763A08">
        <w:t>. 2006, 9 (87): 84–92.</w:t>
      </w:r>
      <w:r>
        <w:t xml:space="preserve"> </w:t>
      </w:r>
      <w:r w:rsidRPr="00704B43">
        <w:t xml:space="preserve">Uscila, R. </w:t>
      </w:r>
      <w:r w:rsidRPr="00704B43">
        <w:rPr>
          <w:i/>
        </w:rPr>
        <w:t>Nusikaltimo aukos ir nusikaltėlio interakcija: viktimologinis aspektas.</w:t>
      </w:r>
      <w:r w:rsidRPr="00704B43">
        <w:t xml:space="preserve"> Daktaro disertacija. Socialiniai moksl</w:t>
      </w:r>
      <w:r>
        <w:t xml:space="preserve">ai (teisė). Vilnius: Lietuvos teisės universitetas, 2003. </w:t>
      </w:r>
    </w:p>
  </w:footnote>
  <w:footnote w:id="633">
    <w:p w:rsidR="00E0371E" w:rsidRDefault="00E0371E" w:rsidP="00274D82">
      <w:pPr>
        <w:pStyle w:val="Puslapioinaostekstas"/>
        <w:jc w:val="both"/>
      </w:pPr>
      <w:r>
        <w:rPr>
          <w:rStyle w:val="Puslapioinaosnuoroda"/>
        </w:rPr>
        <w:footnoteRef/>
      </w:r>
      <w:r>
        <w:t>Lewis, M.,</w:t>
      </w:r>
      <w:r w:rsidRPr="00A179E3">
        <w:t xml:space="preserve"> M</w:t>
      </w:r>
      <w:r>
        <w:t>c</w:t>
      </w:r>
      <w:r w:rsidRPr="00A179E3">
        <w:t>C</w:t>
      </w:r>
      <w:r>
        <w:t xml:space="preserve">rimmon, L. </w:t>
      </w:r>
      <w:r w:rsidRPr="00A33FC1">
        <w:rPr>
          <w:i/>
        </w:rPr>
        <w:t>The Role of ADR Processes in the Criminal Justice System: A View From Australia</w:t>
      </w:r>
      <w:r>
        <w:t xml:space="preserve"> [interaktyvus]. 2005, p. 2-3</w:t>
      </w:r>
      <w:r w:rsidRPr="00A179E3">
        <w:t xml:space="preserve"> </w:t>
      </w:r>
      <w:r>
        <w:t xml:space="preserve">[žiūrėta 2013-09-15]. </w:t>
      </w:r>
      <w:r>
        <w:rPr>
          <w:i/>
          <w:iCs/>
        </w:rPr>
        <w:t>&lt;</w:t>
      </w:r>
      <w:r w:rsidRPr="00A179E3">
        <w:t>http://www.doj.gov.za/ alraesa/conferences/papers/ent_s3_mccrimmon.pdf</w:t>
      </w:r>
      <w:r>
        <w:t>&gt;</w:t>
      </w:r>
      <w:r w:rsidRPr="00A179E3">
        <w:t xml:space="preserve">.  </w:t>
      </w:r>
    </w:p>
  </w:footnote>
  <w:footnote w:id="634">
    <w:p w:rsidR="00E0371E" w:rsidRPr="00172A49" w:rsidRDefault="00E0371E" w:rsidP="00274D82">
      <w:pPr>
        <w:pStyle w:val="Puslapioinaostekstas"/>
        <w:jc w:val="both"/>
      </w:pPr>
      <w:r w:rsidRPr="00172A49">
        <w:rPr>
          <w:rStyle w:val="Puslapioinaosnuoroda"/>
        </w:rPr>
        <w:footnoteRef/>
      </w:r>
      <w:r w:rsidRPr="00172A49">
        <w:t xml:space="preserve">Trumpulis, U. </w:t>
      </w:r>
      <w:r w:rsidRPr="00172A49">
        <w:rPr>
          <w:i/>
        </w:rPr>
        <w:t>Viešojo intereso kategorija administracinėje teisėje</w:t>
      </w:r>
      <w:r w:rsidRPr="00172A49">
        <w:t xml:space="preserve">. Daktaro disertacija. </w:t>
      </w:r>
      <w:r>
        <w:t xml:space="preserve">Socialiniai mokslai (teisė). </w:t>
      </w:r>
      <w:r w:rsidRPr="00172A49">
        <w:t xml:space="preserve">Vilnius: Mykolo Romerio universitetas, 2011, p. 111. </w:t>
      </w:r>
    </w:p>
  </w:footnote>
  <w:footnote w:id="635">
    <w:p w:rsidR="00E0371E" w:rsidRDefault="00E0371E" w:rsidP="00274D82">
      <w:pPr>
        <w:pStyle w:val="Puslapioinaostekstas"/>
        <w:jc w:val="both"/>
      </w:pPr>
      <w:r>
        <w:rPr>
          <w:rStyle w:val="Puslapioinaosnuoroda"/>
        </w:rPr>
        <w:footnoteRef/>
      </w:r>
      <w:r w:rsidRPr="0020780E">
        <w:t>Nader</w:t>
      </w:r>
      <w:r>
        <w:t xml:space="preserve">, L. </w:t>
      </w:r>
      <w:r w:rsidRPr="00A33FC1">
        <w:rPr>
          <w:iCs/>
        </w:rPr>
        <w:t>Controlling Processes in the Practice of Law: Hierarchy and Pacification in the Movement to Re-Form Dispute Ideology</w:t>
      </w:r>
      <w:r>
        <w:rPr>
          <w:iCs/>
        </w:rPr>
        <w:t xml:space="preserve">. </w:t>
      </w:r>
      <w:r w:rsidRPr="00A33FC1">
        <w:rPr>
          <w:i/>
        </w:rPr>
        <w:t>Ohio State Journal on Dispute Resolution</w:t>
      </w:r>
      <w:r w:rsidRPr="0020780E">
        <w:t>.</w:t>
      </w:r>
      <w:r w:rsidRPr="004518DA">
        <w:t xml:space="preserve"> </w:t>
      </w:r>
      <w:r>
        <w:t>1993, 9 (1): 3-6.</w:t>
      </w:r>
    </w:p>
  </w:footnote>
  <w:footnote w:id="636">
    <w:p w:rsidR="00E0371E" w:rsidRDefault="00E0371E" w:rsidP="00274D82">
      <w:pPr>
        <w:pStyle w:val="Puslapioinaostekstas"/>
        <w:jc w:val="both"/>
      </w:pPr>
      <w:r>
        <w:rPr>
          <w:rStyle w:val="Puslapioinaosnuoroda"/>
        </w:rPr>
        <w:footnoteRef/>
      </w:r>
      <w:r w:rsidRPr="0020780E">
        <w:t>Bakker</w:t>
      </w:r>
      <w:r>
        <w:t>, M.</w:t>
      </w:r>
      <w:r w:rsidRPr="0020780E">
        <w:t>,</w:t>
      </w:r>
      <w:r>
        <w:t xml:space="preserve"> W. </w:t>
      </w:r>
      <w:r w:rsidRPr="00A33FC1">
        <w:rPr>
          <w:iCs/>
        </w:rPr>
        <w:t>Repairing the Breach and Reconciling the Discordant: Mediation in the Criminal Justice System</w:t>
      </w:r>
      <w:r>
        <w:t xml:space="preserve">. </w:t>
      </w:r>
      <w:r w:rsidRPr="00A33FC1">
        <w:rPr>
          <w:i/>
        </w:rPr>
        <w:t>North Carolina Law Review</w:t>
      </w:r>
      <w:r w:rsidRPr="0020780E">
        <w:t xml:space="preserve">. </w:t>
      </w:r>
      <w:r>
        <w:t>1994, 72:</w:t>
      </w:r>
      <w:r w:rsidRPr="0020780E">
        <w:t xml:space="preserve"> 148</w:t>
      </w:r>
      <w:r>
        <w:t>8</w:t>
      </w:r>
      <w:r w:rsidRPr="0020780E">
        <w:t xml:space="preserve">.  </w:t>
      </w:r>
    </w:p>
  </w:footnote>
  <w:footnote w:id="637">
    <w:p w:rsidR="00E0371E" w:rsidRDefault="00E0371E" w:rsidP="000C5F80">
      <w:pPr>
        <w:pStyle w:val="Puslapioinaostekstas"/>
        <w:jc w:val="both"/>
      </w:pPr>
      <w:r>
        <w:rPr>
          <w:rStyle w:val="Puslapioinaosnuoroda"/>
        </w:rPr>
        <w:footnoteRef/>
      </w:r>
      <w:r w:rsidRPr="0020780E">
        <w:t>Fiss,</w:t>
      </w:r>
      <w:r>
        <w:t xml:space="preserve"> O. M. </w:t>
      </w:r>
      <w:r w:rsidRPr="00127EF1">
        <w:rPr>
          <w:iCs/>
        </w:rPr>
        <w:t>Against Settlement</w:t>
      </w:r>
      <w:r w:rsidRPr="00127EF1">
        <w:t>.</w:t>
      </w:r>
      <w:r>
        <w:t xml:space="preserve"> </w:t>
      </w:r>
      <w:r w:rsidRPr="00127EF1">
        <w:rPr>
          <w:i/>
        </w:rPr>
        <w:t>Yale Law Journal</w:t>
      </w:r>
      <w:r>
        <w:rPr>
          <w:i/>
        </w:rPr>
        <w:t>.</w:t>
      </w:r>
      <w:r>
        <w:t xml:space="preserve"> 1984, 93: </w:t>
      </w:r>
      <w:r w:rsidRPr="0020780E">
        <w:t>10</w:t>
      </w:r>
      <w:r>
        <w:t>85</w:t>
      </w:r>
      <w:r w:rsidRPr="0020780E">
        <w:t xml:space="preserve">.  </w:t>
      </w:r>
    </w:p>
  </w:footnote>
  <w:footnote w:id="638">
    <w:p w:rsidR="00E0371E" w:rsidRDefault="00E0371E" w:rsidP="00274D82">
      <w:pPr>
        <w:pStyle w:val="Puslapioinaostekstas"/>
        <w:jc w:val="both"/>
      </w:pPr>
      <w:r>
        <w:rPr>
          <w:rStyle w:val="Puslapioinaosnuoroda"/>
        </w:rPr>
        <w:footnoteRef/>
      </w:r>
      <w:r>
        <w:rPr>
          <w:rFonts w:eastAsia="Times New Roman"/>
          <w:szCs w:val="24"/>
        </w:rPr>
        <w:t xml:space="preserve">Plačiąja prasme alternatyvus ginčų sprendimas apima visas ginčų sprendimų alternatyvas (neteismines ginčų sprendimo procedūras), taip pat ir teismo procese vykstančias (teismo inicijuojamas ir organizuojamas) alternatyvių ginčo sprendimų procedūras, kurios nėra tradicinis teismo procesas. </w:t>
      </w:r>
      <w:r>
        <w:t xml:space="preserve">Kaminskienė, N. </w:t>
      </w:r>
      <w:r w:rsidRPr="00127EF1">
        <w:rPr>
          <w:i/>
        </w:rPr>
        <w:t>Alternatyvus civilinių ginčų sprendimas</w:t>
      </w:r>
      <w:r>
        <w:t xml:space="preserve">. Vilnius: VĮ Registrų centras, 2011, p. 41. </w:t>
      </w:r>
    </w:p>
  </w:footnote>
  <w:footnote w:id="639">
    <w:p w:rsidR="00E0371E" w:rsidRPr="00704B43" w:rsidRDefault="00E0371E" w:rsidP="00274D82">
      <w:pPr>
        <w:pStyle w:val="Puslapioinaostekstas"/>
        <w:jc w:val="both"/>
      </w:pPr>
      <w:r w:rsidRPr="00704B43">
        <w:rPr>
          <w:rStyle w:val="Puslapioinaosnuoroda"/>
        </w:rPr>
        <w:footnoteRef/>
      </w:r>
      <w:r w:rsidRPr="00704B43">
        <w:t xml:space="preserve">Ažubalytė, R. Susitarimas (susitaikymas) viešojo kaltinimo bylose kaip viena iš diskrecinio baudžiamojo persekiojimo formų. </w:t>
      </w:r>
      <w:r w:rsidRPr="00704B43">
        <w:rPr>
          <w:i/>
        </w:rPr>
        <w:t>Jurisprudencija</w:t>
      </w:r>
      <w:r w:rsidRPr="00704B43">
        <w:t>. 2006, 6 (84): 37- 38.</w:t>
      </w:r>
    </w:p>
  </w:footnote>
  <w:footnote w:id="640">
    <w:p w:rsidR="00E0371E" w:rsidRPr="0021752F" w:rsidRDefault="00E0371E" w:rsidP="00274D82">
      <w:pPr>
        <w:pStyle w:val="Puslapioinaostekstas"/>
        <w:jc w:val="both"/>
      </w:pPr>
      <w:r w:rsidRPr="0021752F">
        <w:rPr>
          <w:rStyle w:val="Puslapioinaosnuoroda"/>
        </w:rPr>
        <w:footnoteRef/>
      </w:r>
      <w:r w:rsidRPr="00AB1E4A">
        <w:t xml:space="preserve">Ažubalytė, R., Jurgaitis, R., Zajančkauskienė, J. </w:t>
      </w:r>
      <w:r w:rsidRPr="00AB1E4A">
        <w:rPr>
          <w:i/>
        </w:rPr>
        <w:t>Specifinės baudžiamojo proceso rūšys: vadovėlis</w:t>
      </w:r>
      <w:r w:rsidRPr="00AB1E4A">
        <w:t>. Vilnius: Mykolo Romerio universitetas, 2011, p.</w:t>
      </w:r>
      <w:r>
        <w:t xml:space="preserve"> 156. </w:t>
      </w:r>
    </w:p>
  </w:footnote>
  <w:footnote w:id="641">
    <w:p w:rsidR="00E0371E" w:rsidRPr="00484A04" w:rsidRDefault="00E0371E" w:rsidP="00274D82">
      <w:pPr>
        <w:jc w:val="both"/>
        <w:rPr>
          <w:sz w:val="20"/>
          <w:szCs w:val="20"/>
        </w:rPr>
      </w:pPr>
      <w:r w:rsidRPr="00704B43">
        <w:rPr>
          <w:rStyle w:val="Puslapioinaosnuoroda"/>
          <w:sz w:val="20"/>
        </w:rPr>
        <w:footnoteRef/>
      </w:r>
      <w:r w:rsidRPr="002E7C17">
        <w:rPr>
          <w:sz w:val="20"/>
          <w:szCs w:val="20"/>
        </w:rPr>
        <w:t xml:space="preserve">Doroshkov, V. V. </w:t>
      </w:r>
      <w:r w:rsidRPr="002E7C17">
        <w:rPr>
          <w:i/>
          <w:sz w:val="20"/>
          <w:szCs w:val="20"/>
        </w:rPr>
        <w:t>Rukovodstvo dlja mirovy</w:t>
      </w:r>
      <w:r>
        <w:rPr>
          <w:i/>
          <w:sz w:val="20"/>
          <w:szCs w:val="20"/>
        </w:rPr>
        <w:t>k</w:t>
      </w:r>
      <w:r w:rsidRPr="002E7C17">
        <w:rPr>
          <w:i/>
          <w:sz w:val="20"/>
          <w:szCs w:val="20"/>
        </w:rPr>
        <w:t>h sudej. Dela chastnogo obvinenija</w:t>
      </w:r>
      <w:r>
        <w:rPr>
          <w:i/>
          <w:sz w:val="20"/>
          <w:szCs w:val="20"/>
        </w:rPr>
        <w:t xml:space="preserve">. </w:t>
      </w:r>
      <w:r w:rsidRPr="002E7C17">
        <w:rPr>
          <w:sz w:val="20"/>
          <w:szCs w:val="20"/>
        </w:rPr>
        <w:t>[Manual for Peace Judges.</w:t>
      </w:r>
      <w:r>
        <w:rPr>
          <w:sz w:val="20"/>
          <w:szCs w:val="20"/>
        </w:rPr>
        <w:t xml:space="preserve"> </w:t>
      </w:r>
      <w:r w:rsidRPr="002E7C17">
        <w:rPr>
          <w:sz w:val="20"/>
          <w:szCs w:val="20"/>
        </w:rPr>
        <w:t>Cases of Private Prosecution]</w:t>
      </w:r>
      <w:r w:rsidRPr="002E7C17">
        <w:rPr>
          <w:i/>
          <w:sz w:val="20"/>
          <w:szCs w:val="20"/>
        </w:rPr>
        <w:t>.</w:t>
      </w:r>
      <w:r w:rsidRPr="002E7C17">
        <w:rPr>
          <w:sz w:val="20"/>
          <w:szCs w:val="20"/>
        </w:rPr>
        <w:t xml:space="preserve"> Moskva:</w:t>
      </w:r>
      <w:r>
        <w:rPr>
          <w:sz w:val="20"/>
          <w:szCs w:val="20"/>
        </w:rPr>
        <w:t xml:space="preserve"> </w:t>
      </w:r>
      <w:r w:rsidRPr="002E7C17">
        <w:rPr>
          <w:sz w:val="20"/>
          <w:szCs w:val="20"/>
        </w:rPr>
        <w:t xml:space="preserve">Norma, 2001, p. </w:t>
      </w:r>
      <w:r w:rsidRPr="00704B43">
        <w:rPr>
          <w:sz w:val="20"/>
        </w:rPr>
        <w:t xml:space="preserve">102–103. </w:t>
      </w:r>
      <w:r>
        <w:rPr>
          <w:sz w:val="20"/>
        </w:rPr>
        <w:t xml:space="preserve"> </w:t>
      </w:r>
      <w:r w:rsidRPr="00704B43">
        <w:rPr>
          <w:sz w:val="20"/>
        </w:rPr>
        <w:t>Ažubalytė,</w:t>
      </w:r>
      <w:r>
        <w:rPr>
          <w:sz w:val="20"/>
        </w:rPr>
        <w:t xml:space="preserve"> </w:t>
      </w:r>
      <w:r w:rsidRPr="00704B43">
        <w:rPr>
          <w:sz w:val="20"/>
        </w:rPr>
        <w:t xml:space="preserve">R. Alternatyvūs baudžiamojo konflikto sprendimo būdai nagrinėjant bylą teisme. </w:t>
      </w:r>
      <w:r w:rsidRPr="0021752F">
        <w:rPr>
          <w:i/>
          <w:sz w:val="20"/>
        </w:rPr>
        <w:t>Jurisprudencija</w:t>
      </w:r>
      <w:r>
        <w:rPr>
          <w:sz w:val="20"/>
        </w:rPr>
        <w:t>. 2008, 6 (108):</w:t>
      </w:r>
      <w:r w:rsidRPr="00704B43">
        <w:rPr>
          <w:sz w:val="20"/>
        </w:rPr>
        <w:t xml:space="preserve"> 43-44. </w:t>
      </w:r>
      <w:r w:rsidRPr="00484A04">
        <w:rPr>
          <w:sz w:val="20"/>
          <w:szCs w:val="20"/>
        </w:rPr>
        <w:t xml:space="preserve">Ažubalytė, R., Jurgaitis, R., Zajančkauskienė, J. </w:t>
      </w:r>
      <w:r w:rsidRPr="00484A04">
        <w:rPr>
          <w:i/>
          <w:sz w:val="20"/>
          <w:szCs w:val="20"/>
        </w:rPr>
        <w:t>Specifinės baudžiamojo proceso rūšys: vadovėlis</w:t>
      </w:r>
      <w:r w:rsidRPr="00484A04">
        <w:rPr>
          <w:sz w:val="20"/>
          <w:szCs w:val="20"/>
        </w:rPr>
        <w:t>. Vilnius: Mykolo Romerio universitetas, 2011, p. 156.</w:t>
      </w:r>
    </w:p>
  </w:footnote>
  <w:footnote w:id="642">
    <w:p w:rsidR="00E0371E" w:rsidRDefault="00E0371E" w:rsidP="00274D82">
      <w:pPr>
        <w:pStyle w:val="Puslapioinaostekstas"/>
        <w:jc w:val="both"/>
      </w:pPr>
      <w:r>
        <w:rPr>
          <w:rStyle w:val="Puslapioinaosnuoroda"/>
        </w:rPr>
        <w:footnoteRef/>
      </w:r>
      <w:r w:rsidRPr="00875B7D">
        <w:t>Katkalo, S. I., Luka</w:t>
      </w:r>
      <w:r>
        <w:t>sh</w:t>
      </w:r>
      <w:r w:rsidRPr="00875B7D">
        <w:t>evi</w:t>
      </w:r>
      <w:r>
        <w:t>ch</w:t>
      </w:r>
      <w:r w:rsidRPr="00875B7D">
        <w:t xml:space="preserve">, V. Z. </w:t>
      </w:r>
      <w:r>
        <w:rPr>
          <w:i/>
        </w:rPr>
        <w:t>Sudoproizvodstvo po delam ch</w:t>
      </w:r>
      <w:r w:rsidRPr="00875B7D">
        <w:rPr>
          <w:i/>
        </w:rPr>
        <w:t>astnogo obvinenija</w:t>
      </w:r>
      <w:r w:rsidRPr="00875B7D">
        <w:t xml:space="preserve"> [Legal Procedure in Private Prosecution Cases]. Leningrad: Leningradskij gosudarstvennyj universitet, 1972</w:t>
      </w:r>
      <w:r>
        <w:t xml:space="preserve">, p. 87-88. </w:t>
      </w:r>
    </w:p>
  </w:footnote>
  <w:footnote w:id="643">
    <w:p w:rsidR="00E0371E" w:rsidRDefault="00E0371E" w:rsidP="0043367D">
      <w:pPr>
        <w:pStyle w:val="Puslapioinaostekstas"/>
        <w:jc w:val="both"/>
      </w:pPr>
      <w:r>
        <w:rPr>
          <w:rStyle w:val="Puslapioinaosnuoroda"/>
        </w:rPr>
        <w:footnoteRef/>
      </w:r>
      <w:r>
        <w:t xml:space="preserve">Uscila, R. </w:t>
      </w:r>
      <w:r w:rsidRPr="0006173C">
        <w:rPr>
          <w:i/>
        </w:rPr>
        <w:t>Viktimologijos pagrindai</w:t>
      </w:r>
      <w:r>
        <w:t xml:space="preserve">. Vilnius: Nusikalstamumo prevencijos Lietuvoje centras, 2005, p. 123. </w:t>
      </w:r>
    </w:p>
  </w:footnote>
  <w:footnote w:id="644">
    <w:p w:rsidR="00E0371E" w:rsidRPr="006150EE" w:rsidRDefault="00E0371E" w:rsidP="00274D82">
      <w:pPr>
        <w:pStyle w:val="Puslapioinaostekstas"/>
        <w:jc w:val="both"/>
      </w:pPr>
      <w:r w:rsidRPr="006150EE">
        <w:rPr>
          <w:rStyle w:val="Puslapioinaosnuoroda"/>
        </w:rPr>
        <w:footnoteRef/>
      </w:r>
      <w:r w:rsidRPr="006150EE">
        <w:t xml:space="preserve">Pradel, J. </w:t>
      </w:r>
      <w:r w:rsidRPr="006150EE">
        <w:rPr>
          <w:i/>
        </w:rPr>
        <w:t>Lyginamoji baudžiamoji teisė</w:t>
      </w:r>
      <w:r w:rsidRPr="006150EE">
        <w:t>. Vilnius</w:t>
      </w:r>
      <w:r>
        <w:t>: Eugrimas</w:t>
      </w:r>
      <w:r w:rsidRPr="006150EE">
        <w:t xml:space="preserve">, 2001, p. 153. </w:t>
      </w:r>
    </w:p>
  </w:footnote>
  <w:footnote w:id="645">
    <w:p w:rsidR="00E0371E" w:rsidRDefault="00E0371E" w:rsidP="00274D82">
      <w:pPr>
        <w:pStyle w:val="Puslapioinaostekstas"/>
        <w:jc w:val="both"/>
      </w:pPr>
      <w:r>
        <w:rPr>
          <w:rStyle w:val="Puslapioinaosnuoroda"/>
        </w:rPr>
        <w:footnoteRef/>
      </w:r>
      <w:r w:rsidRPr="003A26F2">
        <w:t xml:space="preserve">Gil, D. Posiedzenie pojednawcze a mediacja w sprawach z oskarżenia prywatnego. </w:t>
      </w:r>
      <w:r w:rsidRPr="003A26F2">
        <w:rPr>
          <w:i/>
        </w:rPr>
        <w:t>Palestra</w:t>
      </w:r>
      <w:r w:rsidRPr="003A26F2">
        <w:t xml:space="preserve">. 2010, 7-8: </w:t>
      </w:r>
      <w:r>
        <w:t>80</w:t>
      </w:r>
      <w:r w:rsidRPr="003A26F2">
        <w:t>.</w:t>
      </w:r>
    </w:p>
  </w:footnote>
  <w:footnote w:id="646">
    <w:p w:rsidR="00E0371E" w:rsidRPr="00D71207" w:rsidRDefault="00E0371E" w:rsidP="00D71207">
      <w:pPr>
        <w:jc w:val="both"/>
        <w:rPr>
          <w:sz w:val="20"/>
          <w:szCs w:val="20"/>
        </w:rPr>
      </w:pPr>
      <w:r w:rsidRPr="00D57103">
        <w:rPr>
          <w:rStyle w:val="Puslapioinaosnuoroda"/>
        </w:rPr>
        <w:footnoteRef/>
      </w:r>
      <w:r w:rsidRPr="00D71207">
        <w:rPr>
          <w:rFonts w:eastAsia="Times New Roman"/>
          <w:sz w:val="20"/>
          <w:szCs w:val="20"/>
        </w:rPr>
        <w:t xml:space="preserve">BPK vartojamos sąvokos „taikinamasis“, „sutaikyti“ suponuoja ne teisinį, o psichologinį konflikto išsprendimo būdo aspektą. </w:t>
      </w:r>
      <w:r>
        <w:rPr>
          <w:rFonts w:eastAsia="Times New Roman"/>
          <w:sz w:val="20"/>
          <w:szCs w:val="20"/>
        </w:rPr>
        <w:t>Kai kurių autorių</w:t>
      </w:r>
      <w:r>
        <w:rPr>
          <w:sz w:val="20"/>
          <w:szCs w:val="20"/>
        </w:rPr>
        <w:t xml:space="preserve"> nuomone</w:t>
      </w:r>
      <w:r w:rsidRPr="00D71207">
        <w:rPr>
          <w:sz w:val="20"/>
          <w:szCs w:val="20"/>
        </w:rPr>
        <w:t>, šalims susitaikius</w:t>
      </w:r>
      <w:r>
        <w:rPr>
          <w:sz w:val="20"/>
          <w:szCs w:val="20"/>
        </w:rPr>
        <w:t>,</w:t>
      </w:r>
      <w:r w:rsidRPr="00D71207">
        <w:rPr>
          <w:sz w:val="20"/>
          <w:szCs w:val="20"/>
        </w:rPr>
        <w:t xml:space="preserve"> tikras kaltinamojo atgailavimas ir nuoširdus nukentėjusiojo atleidimas</w:t>
      </w:r>
      <w:r>
        <w:rPr>
          <w:sz w:val="20"/>
          <w:szCs w:val="20"/>
        </w:rPr>
        <w:t xml:space="preserve"> nėra būtina sąlyga atleisti kaltininką nuo baudžiamosios atsakomybės</w:t>
      </w:r>
      <w:r w:rsidRPr="00D71207">
        <w:rPr>
          <w:sz w:val="20"/>
          <w:szCs w:val="20"/>
        </w:rPr>
        <w:t>. Kalbant apie mediaciją labiau tiktų ne susitaikymo (</w:t>
      </w:r>
      <w:r>
        <w:rPr>
          <w:sz w:val="20"/>
          <w:szCs w:val="20"/>
        </w:rPr>
        <w:t xml:space="preserve">angl. </w:t>
      </w:r>
      <w:r w:rsidRPr="00D71207">
        <w:rPr>
          <w:i/>
          <w:sz w:val="20"/>
          <w:szCs w:val="20"/>
        </w:rPr>
        <w:t>reconciliation</w:t>
      </w:r>
      <w:r w:rsidRPr="00D71207">
        <w:rPr>
          <w:sz w:val="20"/>
          <w:szCs w:val="20"/>
        </w:rPr>
        <w:t>), o susitarimo (</w:t>
      </w:r>
      <w:r>
        <w:rPr>
          <w:sz w:val="20"/>
          <w:szCs w:val="20"/>
        </w:rPr>
        <w:t xml:space="preserve">angl. </w:t>
      </w:r>
      <w:r w:rsidRPr="00D71207">
        <w:rPr>
          <w:i/>
          <w:sz w:val="20"/>
          <w:szCs w:val="20"/>
        </w:rPr>
        <w:t>understanding</w:t>
      </w:r>
      <w:r w:rsidRPr="00D71207">
        <w:rPr>
          <w:sz w:val="20"/>
          <w:szCs w:val="20"/>
        </w:rPr>
        <w:t xml:space="preserve">) terminas, nes esmė yra visų pirma tarpusavio supratimas, kurio pasekmė galėtų būti susitaikymas. Susitaikymas reiškia daugiau nei susitarimą, </w:t>
      </w:r>
      <w:r>
        <w:rPr>
          <w:sz w:val="20"/>
          <w:szCs w:val="20"/>
        </w:rPr>
        <w:t xml:space="preserve">t.y. </w:t>
      </w:r>
      <w:r w:rsidRPr="00D71207">
        <w:rPr>
          <w:sz w:val="20"/>
          <w:szCs w:val="20"/>
        </w:rPr>
        <w:t xml:space="preserve"> specifinis psichologinis procesas</w:t>
      </w:r>
      <w:r>
        <w:rPr>
          <w:sz w:val="20"/>
          <w:szCs w:val="20"/>
        </w:rPr>
        <w:t>, kuriame dalyvauja</w:t>
      </w:r>
      <w:r w:rsidRPr="00D71207">
        <w:rPr>
          <w:sz w:val="20"/>
          <w:szCs w:val="20"/>
        </w:rPr>
        <w:t xml:space="preserve"> nukentėjusysis </w:t>
      </w:r>
      <w:r>
        <w:rPr>
          <w:sz w:val="20"/>
          <w:szCs w:val="20"/>
        </w:rPr>
        <w:t>ir kaltininkas</w:t>
      </w:r>
      <w:r w:rsidRPr="00D71207">
        <w:rPr>
          <w:sz w:val="20"/>
          <w:szCs w:val="20"/>
        </w:rPr>
        <w:t xml:space="preserve">. Tačiau susitaikymas nėra būtinas sėkmingai mediacijai. Michailovič, I. </w:t>
      </w:r>
      <w:r w:rsidRPr="00D71207">
        <w:rPr>
          <w:i/>
          <w:sz w:val="20"/>
          <w:szCs w:val="20"/>
        </w:rPr>
        <w:t>Viktimologijos raida ir perspektyvos</w:t>
      </w:r>
      <w:r w:rsidRPr="00D71207">
        <w:rPr>
          <w:sz w:val="20"/>
          <w:szCs w:val="20"/>
        </w:rPr>
        <w:t xml:space="preserve">. Vilnius: Teisinės informacijos centras. 2007, p. 95. Michailovič, I. Atkuriamojo teisingumo galimybės baudžiamojoje justicijoje. In Prapiestis, J., </w:t>
      </w:r>
      <w:r w:rsidRPr="00E206CB">
        <w:rPr>
          <w:i/>
          <w:sz w:val="20"/>
          <w:szCs w:val="20"/>
        </w:rPr>
        <w:t>et al</w:t>
      </w:r>
      <w:r w:rsidRPr="00D71207">
        <w:rPr>
          <w:sz w:val="20"/>
          <w:szCs w:val="20"/>
        </w:rPr>
        <w:t xml:space="preserve">. </w:t>
      </w:r>
      <w:r w:rsidRPr="00D71207">
        <w:rPr>
          <w:i/>
          <w:sz w:val="20"/>
          <w:szCs w:val="20"/>
        </w:rPr>
        <w:t>Globalizacijos iššūkiai baudžiamajai justicijai: recenzuotų mokslinių straipsnių baudžiamosios teisės, bausmių vykdymo ir baudžiamojo proceso klausimais rinkinys</w:t>
      </w:r>
      <w:r w:rsidRPr="00D71207">
        <w:rPr>
          <w:sz w:val="20"/>
          <w:szCs w:val="20"/>
        </w:rPr>
        <w:t xml:space="preserve">. Vilnius: </w:t>
      </w:r>
      <w:r>
        <w:rPr>
          <w:sz w:val="20"/>
          <w:szCs w:val="20"/>
        </w:rPr>
        <w:t xml:space="preserve">VĮ </w:t>
      </w:r>
      <w:r w:rsidRPr="00D71207">
        <w:rPr>
          <w:sz w:val="20"/>
          <w:szCs w:val="20"/>
        </w:rPr>
        <w:t xml:space="preserve">Registrų centras, 2014, p. 85.  </w:t>
      </w:r>
    </w:p>
  </w:footnote>
  <w:footnote w:id="647">
    <w:p w:rsidR="00E0371E" w:rsidRPr="00C70F57" w:rsidRDefault="00E0371E" w:rsidP="004B77FE">
      <w:pPr>
        <w:pStyle w:val="Puslapioinaostekstas"/>
        <w:jc w:val="both"/>
      </w:pPr>
      <w:r>
        <w:rPr>
          <w:rStyle w:val="Puslapioinaosnuoroda"/>
        </w:rPr>
        <w:footnoteRef/>
      </w:r>
      <w:r w:rsidRPr="006158FE">
        <w:rPr>
          <w:rFonts w:eastAsia="Times New Roman"/>
          <w:szCs w:val="24"/>
        </w:rPr>
        <w:t xml:space="preserve">Europos Parlamento ir </w:t>
      </w:r>
      <w:r>
        <w:rPr>
          <w:rFonts w:eastAsia="Times New Roman"/>
          <w:szCs w:val="24"/>
        </w:rPr>
        <w:t>Europos Tarybos</w:t>
      </w:r>
      <w:r w:rsidRPr="006158FE">
        <w:rPr>
          <w:rFonts w:eastAsia="Times New Roman"/>
          <w:szCs w:val="24"/>
        </w:rPr>
        <w:t xml:space="preserve"> 2008 m. gegužės 21 d.</w:t>
      </w:r>
      <w:r>
        <w:rPr>
          <w:rFonts w:eastAsia="Times New Roman"/>
          <w:szCs w:val="24"/>
        </w:rPr>
        <w:t xml:space="preserve"> direktyvoje </w:t>
      </w:r>
      <w:r w:rsidRPr="006158FE">
        <w:rPr>
          <w:rFonts w:eastAsia="Times New Roman"/>
          <w:szCs w:val="24"/>
        </w:rPr>
        <w:t>yra pateiktas toks</w:t>
      </w:r>
      <w:r>
        <w:rPr>
          <w:rFonts w:eastAsia="Times New Roman"/>
          <w:szCs w:val="24"/>
        </w:rPr>
        <w:t xml:space="preserve"> </w:t>
      </w:r>
      <w:r w:rsidRPr="006158FE">
        <w:rPr>
          <w:rFonts w:eastAsia="Times New Roman"/>
          <w:szCs w:val="24"/>
        </w:rPr>
        <w:t>mediacijos apibrėžimas, pagal kurį tai struktūrizuotas procesas, kai dvi ar</w:t>
      </w:r>
      <w:r>
        <w:rPr>
          <w:rFonts w:eastAsia="Times New Roman"/>
          <w:szCs w:val="24"/>
        </w:rPr>
        <w:t xml:space="preserve"> </w:t>
      </w:r>
      <w:r w:rsidRPr="006158FE">
        <w:rPr>
          <w:rFonts w:eastAsia="Times New Roman"/>
          <w:szCs w:val="24"/>
        </w:rPr>
        <w:t>daugiau šalių savanoriškai bando išspręsti ginčą su mediatoriaus pagalba.</w:t>
      </w:r>
      <w:r>
        <w:rPr>
          <w:rFonts w:eastAsia="Times New Roman"/>
          <w:szCs w:val="24"/>
        </w:rPr>
        <w:t xml:space="preserve"> </w:t>
      </w:r>
      <w:r w:rsidRPr="006158FE">
        <w:rPr>
          <w:rFonts w:eastAsia="Times New Roman"/>
          <w:szCs w:val="24"/>
        </w:rPr>
        <w:t xml:space="preserve">Europos Parlamento ir </w:t>
      </w:r>
      <w:r>
        <w:rPr>
          <w:rFonts w:eastAsia="Times New Roman"/>
          <w:szCs w:val="24"/>
        </w:rPr>
        <w:t>Europos Tarybos</w:t>
      </w:r>
      <w:r w:rsidRPr="006158FE">
        <w:rPr>
          <w:rFonts w:eastAsia="Times New Roman"/>
          <w:szCs w:val="24"/>
        </w:rPr>
        <w:t xml:space="preserve"> direktyv</w:t>
      </w:r>
      <w:r>
        <w:rPr>
          <w:rFonts w:eastAsia="Times New Roman"/>
          <w:szCs w:val="24"/>
        </w:rPr>
        <w:t>a</w:t>
      </w:r>
      <w:r w:rsidRPr="006158FE">
        <w:rPr>
          <w:rFonts w:eastAsia="Times New Roman"/>
          <w:szCs w:val="24"/>
        </w:rPr>
        <w:t xml:space="preserve"> </w:t>
      </w:r>
      <w:r>
        <w:t>2008/52/EC d</w:t>
      </w:r>
      <w:r w:rsidRPr="006158FE">
        <w:rPr>
          <w:rFonts w:eastAsia="Times New Roman"/>
          <w:szCs w:val="24"/>
        </w:rPr>
        <w:t>ėl kai kurių</w:t>
      </w:r>
      <w:r>
        <w:rPr>
          <w:rFonts w:eastAsia="Times New Roman"/>
          <w:szCs w:val="24"/>
        </w:rPr>
        <w:t xml:space="preserve"> </w:t>
      </w:r>
      <w:r w:rsidRPr="006158FE">
        <w:rPr>
          <w:rFonts w:eastAsia="Times New Roman"/>
          <w:szCs w:val="24"/>
        </w:rPr>
        <w:t>mediacijos civilinėse ir komercinėse bylose aspektų</w:t>
      </w:r>
      <w:r>
        <w:rPr>
          <w:rFonts w:eastAsia="Times New Roman"/>
          <w:szCs w:val="24"/>
        </w:rPr>
        <w:t xml:space="preserve"> </w:t>
      </w:r>
      <w:r>
        <w:t xml:space="preserve">OJ L 136. </w:t>
      </w:r>
      <w:r w:rsidRPr="00C70F57">
        <w:t xml:space="preserve">Išsamiai: Trumpulis, U. </w:t>
      </w:r>
      <w:r w:rsidRPr="00C70F57">
        <w:rPr>
          <w:i/>
        </w:rPr>
        <w:t>Viešojo intereso kategorija administracinėje teisėje</w:t>
      </w:r>
      <w:r w:rsidRPr="00C70F57">
        <w:t xml:space="preserve">. Daktaro disertacija. </w:t>
      </w:r>
      <w:r>
        <w:t xml:space="preserve">Socialiniai mokslai (teisė). </w:t>
      </w:r>
      <w:r w:rsidRPr="00C70F57">
        <w:t>Vilnius: Mykolo Romerio universitetas, 2011, p. 117-118.</w:t>
      </w:r>
      <w:r>
        <w:t xml:space="preserve"> </w:t>
      </w:r>
      <w:proofErr w:type="gramStart"/>
      <w:r w:rsidRPr="00EF791D">
        <w:rPr>
          <w:lang w:val="en-US"/>
        </w:rPr>
        <w:t>Zedner, L. Victims.</w:t>
      </w:r>
      <w:proofErr w:type="gramEnd"/>
      <w:r>
        <w:rPr>
          <w:lang w:val="en-US"/>
        </w:rPr>
        <w:t xml:space="preserve"> </w:t>
      </w:r>
      <w:proofErr w:type="gramStart"/>
      <w:r w:rsidRPr="00EF791D">
        <w:rPr>
          <w:lang w:val="en-US"/>
        </w:rPr>
        <w:t xml:space="preserve">In </w:t>
      </w:r>
      <w:r w:rsidRPr="00EF791D">
        <w:rPr>
          <w:i/>
          <w:lang w:val="en-US"/>
        </w:rPr>
        <w:t>The Oxford Handbook of Criminology</w:t>
      </w:r>
      <w:r w:rsidRPr="00EF791D">
        <w:rPr>
          <w:lang w:val="en-US"/>
        </w:rPr>
        <w:t>.</w:t>
      </w:r>
      <w:proofErr w:type="gramEnd"/>
      <w:r>
        <w:rPr>
          <w:lang w:val="en-US"/>
        </w:rPr>
        <w:t xml:space="preserve"> </w:t>
      </w:r>
      <w:proofErr w:type="gramStart"/>
      <w:r>
        <w:rPr>
          <w:lang w:val="en-US"/>
        </w:rPr>
        <w:t>(Red.</w:t>
      </w:r>
      <w:proofErr w:type="gramEnd"/>
      <w:r>
        <w:rPr>
          <w:lang w:val="en-US"/>
        </w:rPr>
        <w:t xml:space="preserve"> </w:t>
      </w:r>
      <w:proofErr w:type="gramStart"/>
      <w:r w:rsidRPr="00EF791D">
        <w:rPr>
          <w:lang w:val="en-US"/>
        </w:rPr>
        <w:t>Maguire, M., Morgan, R., Reiner, R.</w:t>
      </w:r>
      <w:r>
        <w:rPr>
          <w:lang w:val="en-US"/>
        </w:rPr>
        <w:t>)</w:t>
      </w:r>
      <w:proofErr w:type="gramEnd"/>
      <w:r w:rsidRPr="00EF791D">
        <w:rPr>
          <w:lang w:val="en-US"/>
        </w:rPr>
        <w:t xml:space="preserve"> </w:t>
      </w:r>
      <w:proofErr w:type="gramStart"/>
      <w:r w:rsidRPr="00EF791D">
        <w:rPr>
          <w:lang w:val="en-US"/>
        </w:rPr>
        <w:t>2</w:t>
      </w:r>
      <w:r>
        <w:rPr>
          <w:lang w:val="en-US"/>
        </w:rPr>
        <w:t>-oji laida</w:t>
      </w:r>
      <w:r w:rsidRPr="00EF791D">
        <w:rPr>
          <w:lang w:val="en-US"/>
        </w:rPr>
        <w:t>.</w:t>
      </w:r>
      <w:proofErr w:type="gramEnd"/>
      <w:r w:rsidRPr="00EF791D">
        <w:rPr>
          <w:lang w:val="en-US"/>
        </w:rPr>
        <w:t xml:space="preserve"> Oxford: Clarendon Press, 1997,</w:t>
      </w:r>
      <w:r>
        <w:rPr>
          <w:lang w:val="en-US"/>
        </w:rPr>
        <w:t xml:space="preserve"> p. 602. </w:t>
      </w:r>
    </w:p>
  </w:footnote>
  <w:footnote w:id="648">
    <w:p w:rsidR="00E0371E" w:rsidRPr="000C13E0" w:rsidRDefault="00E0371E" w:rsidP="004B77FE">
      <w:pPr>
        <w:pStyle w:val="Puslapioinaostekstas"/>
        <w:jc w:val="both"/>
      </w:pPr>
      <w:r w:rsidRPr="000C13E0">
        <w:rPr>
          <w:rStyle w:val="Puslapioinaosnuoroda"/>
        </w:rPr>
        <w:footnoteRef/>
      </w:r>
      <w:r w:rsidRPr="00D02E14">
        <w:t>Europos Sąjungos Tarybos 2001 m. kovo 15 d. pamatinis sprendimas 2001/220/TVR dėl nukentėjusiųjų padėties baudžiamosiose bylose OL L 82/32 2.</w:t>
      </w:r>
    </w:p>
  </w:footnote>
  <w:footnote w:id="649">
    <w:p w:rsidR="00E0371E" w:rsidRDefault="00E0371E" w:rsidP="004B77FE">
      <w:pPr>
        <w:pStyle w:val="Puslapioinaostekstas"/>
        <w:jc w:val="both"/>
      </w:pPr>
      <w:r>
        <w:rPr>
          <w:rStyle w:val="Puslapioinaosnuoroda"/>
        </w:rPr>
        <w:footnoteRef/>
      </w:r>
      <w:r>
        <w:t xml:space="preserve">Uscila, R. </w:t>
      </w:r>
      <w:r w:rsidRPr="00D02E14">
        <w:rPr>
          <w:i/>
        </w:rPr>
        <w:t>Viktimologijos pagrindai</w:t>
      </w:r>
      <w:r>
        <w:t xml:space="preserve">. Nusikalstamumo prevencijos Lietuvoje centras: Vilnius, 2005, p. 127. </w:t>
      </w:r>
    </w:p>
  </w:footnote>
  <w:footnote w:id="650">
    <w:p w:rsidR="00E0371E" w:rsidRPr="004150A7" w:rsidRDefault="00E0371E" w:rsidP="004B77FE">
      <w:pPr>
        <w:pStyle w:val="Puslapioinaostekstas"/>
        <w:jc w:val="both"/>
      </w:pPr>
      <w:r>
        <w:rPr>
          <w:rStyle w:val="Puslapioinaosnuoroda"/>
        </w:rPr>
        <w:footnoteRef/>
      </w:r>
      <w:r w:rsidRPr="004150A7">
        <w:t xml:space="preserve">Michailovič, I. </w:t>
      </w:r>
      <w:r w:rsidRPr="004150A7">
        <w:rPr>
          <w:i/>
        </w:rPr>
        <w:t>Viktimologijos raida ir perspektyvos</w:t>
      </w:r>
      <w:r w:rsidRPr="004150A7">
        <w:t xml:space="preserve">. Vilnius: Teisinės informacijos centras. 2007, p. 92. </w:t>
      </w:r>
    </w:p>
  </w:footnote>
  <w:footnote w:id="651">
    <w:p w:rsidR="00E0371E" w:rsidRDefault="00E0371E" w:rsidP="004B77FE">
      <w:pPr>
        <w:pStyle w:val="Puslapioinaostekstas"/>
        <w:jc w:val="both"/>
      </w:pPr>
      <w:r>
        <w:rPr>
          <w:rStyle w:val="Puslapioinaosnuoroda"/>
        </w:rPr>
        <w:footnoteRef/>
      </w:r>
      <w:r>
        <w:t xml:space="preserve">Grace, M. T. Criminal Alternative Dispute Resolution: Restoring Justice, Respecting Responsibility and Reniewing Public Norms. </w:t>
      </w:r>
      <w:r>
        <w:rPr>
          <w:i/>
          <w:iCs/>
        </w:rPr>
        <w:t xml:space="preserve">Vermont Law Review. </w:t>
      </w:r>
      <w:r w:rsidRPr="001C0841">
        <w:rPr>
          <w:iCs/>
        </w:rPr>
        <w:t>2010,</w:t>
      </w:r>
      <w:r>
        <w:rPr>
          <w:iCs/>
        </w:rPr>
        <w:t xml:space="preserve"> </w:t>
      </w:r>
      <w:r w:rsidRPr="001C0841">
        <w:t>34:</w:t>
      </w:r>
      <w:r>
        <w:t xml:space="preserve"> 582.</w:t>
      </w:r>
    </w:p>
  </w:footnote>
  <w:footnote w:id="652">
    <w:p w:rsidR="00E0371E" w:rsidRPr="000C13E0" w:rsidRDefault="00E0371E" w:rsidP="004B77FE">
      <w:pPr>
        <w:pStyle w:val="Puslapioinaostekstas"/>
        <w:jc w:val="both"/>
      </w:pPr>
      <w:r w:rsidRPr="000C13E0">
        <w:rPr>
          <w:rStyle w:val="Puslapioinaosnuoroda"/>
        </w:rPr>
        <w:footnoteRef/>
      </w:r>
      <w:r w:rsidRPr="000C13E0">
        <w:t xml:space="preserve">Ažubalytė, R. Susitarimas (susitaikymas) viešojo kaltinimo bylose kaip viena iš diskrecinio baudžiamojo persekiojimo formų. </w:t>
      </w:r>
      <w:r w:rsidRPr="000C13E0">
        <w:rPr>
          <w:i/>
        </w:rPr>
        <w:t>Jurisprudencija</w:t>
      </w:r>
      <w:r w:rsidRPr="000C13E0">
        <w:t>. 2006, 6 (84):</w:t>
      </w:r>
      <w:proofErr w:type="gramStart"/>
      <w:r w:rsidRPr="000C13E0">
        <w:t xml:space="preserve">  </w:t>
      </w:r>
      <w:proofErr w:type="gramEnd"/>
      <w:r w:rsidRPr="000C13E0">
        <w:t>37- 38.</w:t>
      </w:r>
    </w:p>
  </w:footnote>
  <w:footnote w:id="653">
    <w:p w:rsidR="00E0371E" w:rsidRDefault="00E0371E" w:rsidP="004B77FE">
      <w:pPr>
        <w:pStyle w:val="Puslapioinaostekstas"/>
        <w:jc w:val="both"/>
      </w:pPr>
      <w:r>
        <w:rPr>
          <w:rStyle w:val="Puslapioinaosnuoroda"/>
        </w:rPr>
        <w:footnoteRef/>
      </w:r>
      <w:r w:rsidRPr="00D023F7">
        <w:t xml:space="preserve">Simaitis, R. </w:t>
      </w:r>
      <w:r w:rsidRPr="00BB3917">
        <w:t>Teisminė mediacija: kas tai?</w:t>
      </w:r>
      <w:r w:rsidRPr="003D05F7">
        <w:t xml:space="preserve"> </w:t>
      </w:r>
      <w:r w:rsidRPr="00E15304">
        <w:rPr>
          <w:i/>
        </w:rPr>
        <w:t>Pranešimas</w:t>
      </w:r>
      <w:r>
        <w:t xml:space="preserve"> </w:t>
      </w:r>
      <w:r w:rsidRPr="00BB3917">
        <w:rPr>
          <w:i/>
        </w:rPr>
        <w:t>2006 m. balandžio 6 d. konferencijo</w:t>
      </w:r>
      <w:r>
        <w:rPr>
          <w:i/>
        </w:rPr>
        <w:t>je</w:t>
      </w:r>
      <w:r w:rsidRPr="003D05F7">
        <w:t>.</w:t>
      </w:r>
      <w:r>
        <w:t xml:space="preserve"> Vilnius, 2006, s</w:t>
      </w:r>
      <w:r w:rsidRPr="00D023F7">
        <w:t xml:space="preserve">kaidrė </w:t>
      </w:r>
      <w:r>
        <w:t xml:space="preserve">Nr. 6-7. </w:t>
      </w:r>
    </w:p>
  </w:footnote>
  <w:footnote w:id="654">
    <w:p w:rsidR="00E0371E" w:rsidRDefault="00E0371E" w:rsidP="004B77FE">
      <w:pPr>
        <w:pStyle w:val="Puslapioinaostekstas"/>
        <w:jc w:val="both"/>
      </w:pPr>
      <w:r>
        <w:rPr>
          <w:rStyle w:val="Puslapioinaosnuoroda"/>
        </w:rPr>
        <w:footnoteRef/>
      </w:r>
      <w:r>
        <w:t xml:space="preserve">Kaminskienė, N. Teisminė mediacija Lietuvoje. Quo vadis? </w:t>
      </w:r>
      <w:r w:rsidRPr="00127EF1">
        <w:rPr>
          <w:i/>
        </w:rPr>
        <w:t>Socialinis darbas</w:t>
      </w:r>
      <w:r>
        <w:t>.</w:t>
      </w:r>
      <w:r w:rsidRPr="001E162F">
        <w:t xml:space="preserve"> 2010</w:t>
      </w:r>
      <w:r>
        <w:t>,</w:t>
      </w:r>
      <w:r w:rsidRPr="001E162F">
        <w:t xml:space="preserve"> 9</w:t>
      </w:r>
      <w:r>
        <w:t xml:space="preserve"> </w:t>
      </w:r>
      <w:r w:rsidRPr="001E162F">
        <w:t>(1)</w:t>
      </w:r>
      <w:r>
        <w:t xml:space="preserve">: 54-63. </w:t>
      </w:r>
    </w:p>
  </w:footnote>
  <w:footnote w:id="655">
    <w:p w:rsidR="00E0371E" w:rsidRDefault="00E0371E" w:rsidP="00274D82">
      <w:pPr>
        <w:pStyle w:val="Puslapioinaostekstas"/>
        <w:jc w:val="both"/>
      </w:pPr>
      <w:r>
        <w:rPr>
          <w:rStyle w:val="Puslapioinaosnuoroda"/>
        </w:rPr>
        <w:footnoteRef/>
      </w:r>
      <w:r>
        <w:t xml:space="preserve">Pvz., Vėbraitė, V. </w:t>
      </w:r>
      <w:r>
        <w:rPr>
          <w:i/>
        </w:rPr>
        <w:t>Šalių sutaikymas</w:t>
      </w:r>
      <w:r w:rsidRPr="00795814">
        <w:rPr>
          <w:i/>
        </w:rPr>
        <w:t xml:space="preserve"> civiliniame procese</w:t>
      </w:r>
      <w:r>
        <w:t xml:space="preserve">. Daktaro disertacija. Socialiniai mokslai (teisė). Vilnius: Vilniaus universitetas, 2009, p. 160-161. Simaitis, R. Mediacijos privačiuose ginčuose teisinio reguliavimo tendencijos Lietuvoje. </w:t>
      </w:r>
      <w:r w:rsidRPr="00BD4750">
        <w:rPr>
          <w:i/>
        </w:rPr>
        <w:t>Justitia</w:t>
      </w:r>
      <w:r>
        <w:t xml:space="preserve">. </w:t>
      </w:r>
      <w:r w:rsidRPr="008F77A1">
        <w:t>2007, 2 (64): 2</w:t>
      </w:r>
      <w:r>
        <w:t xml:space="preserve">5. </w:t>
      </w:r>
    </w:p>
  </w:footnote>
  <w:footnote w:id="656">
    <w:p w:rsidR="00E0371E" w:rsidRDefault="00E0371E" w:rsidP="00274D82">
      <w:pPr>
        <w:pStyle w:val="Puslapioinaostekstas"/>
        <w:jc w:val="both"/>
      </w:pPr>
      <w:r>
        <w:rPr>
          <w:rStyle w:val="Puslapioinaosnuoroda"/>
        </w:rPr>
        <w:footnoteRef/>
      </w:r>
      <w:r>
        <w:t xml:space="preserve">Simaitis, R. Mediacijos privačiuose ginčuose teisinio reguliavimo tendencijos Lietuvoje. </w:t>
      </w:r>
      <w:r w:rsidRPr="00BD4750">
        <w:rPr>
          <w:i/>
        </w:rPr>
        <w:t>Justitia</w:t>
      </w:r>
      <w:r>
        <w:t xml:space="preserve">. </w:t>
      </w:r>
      <w:r w:rsidRPr="008F77A1">
        <w:t>2007, 2 (64): 2</w:t>
      </w:r>
      <w:r>
        <w:t>6</w:t>
      </w:r>
      <w:r w:rsidRPr="008F77A1">
        <w:t>.</w:t>
      </w:r>
    </w:p>
  </w:footnote>
  <w:footnote w:id="657">
    <w:p w:rsidR="00E0371E" w:rsidRPr="00E4439F" w:rsidRDefault="00E0371E" w:rsidP="00274D82">
      <w:pPr>
        <w:pStyle w:val="Puslapioinaostekstas"/>
        <w:jc w:val="both"/>
      </w:pPr>
      <w:r w:rsidRPr="00E4439F">
        <w:rPr>
          <w:rStyle w:val="Puslapioinaosnuoroda"/>
        </w:rPr>
        <w:footnoteRef/>
      </w:r>
      <w:r w:rsidRPr="00E4439F">
        <w:t>Jurkšaitytė</w:t>
      </w:r>
      <w:r>
        <w:t>,</w:t>
      </w:r>
      <w:r w:rsidRPr="00E4439F">
        <w:t xml:space="preserve"> J. Ar Lietuvos Respublikos įstatymai leidžia naudoti tarpininkavimą kaip alte</w:t>
      </w:r>
      <w:r>
        <w:t xml:space="preserve">rnatyvų ginčų sprendimo būdą? </w:t>
      </w:r>
      <w:r w:rsidRPr="00DC460B">
        <w:rPr>
          <w:i/>
        </w:rPr>
        <w:t>Teisės apžvalga</w:t>
      </w:r>
      <w:r>
        <w:t>. 2001, 5:</w:t>
      </w:r>
      <w:r w:rsidRPr="00E4439F">
        <w:rPr>
          <w:rFonts w:eastAsia="Times New Roman"/>
        </w:rPr>
        <w:t xml:space="preserve"> 24–28</w:t>
      </w:r>
      <w:r>
        <w:rPr>
          <w:rFonts w:eastAsia="Times New Roman"/>
        </w:rPr>
        <w:t>.</w:t>
      </w:r>
    </w:p>
  </w:footnote>
  <w:footnote w:id="658">
    <w:p w:rsidR="00E0371E" w:rsidRPr="00E4439F" w:rsidRDefault="00E0371E" w:rsidP="004D6EE2">
      <w:pPr>
        <w:pStyle w:val="Puslapioinaostekstas"/>
        <w:jc w:val="both"/>
      </w:pPr>
      <w:r w:rsidRPr="00E4439F">
        <w:rPr>
          <w:rStyle w:val="Puslapioinaosnuoroda"/>
        </w:rPr>
        <w:footnoteRef/>
      </w:r>
      <w:r w:rsidRPr="00E4439F">
        <w:t>Uscila R. Nusikaltimo aukos ir nusikaltėlio mediacijos įdiegimo galimybės Lietuvoje</w:t>
      </w:r>
      <w:r>
        <w:t xml:space="preserve">. </w:t>
      </w:r>
      <w:r w:rsidRPr="009C3EB0">
        <w:rPr>
          <w:i/>
        </w:rPr>
        <w:t>Teisės problemos</w:t>
      </w:r>
      <w:r w:rsidRPr="00E4439F">
        <w:t>. 2006</w:t>
      </w:r>
      <w:r>
        <w:t>, 2:</w:t>
      </w:r>
      <w:r w:rsidRPr="00E4439F">
        <w:t xml:space="preserve"> </w:t>
      </w:r>
      <w:r>
        <w:t>97</w:t>
      </w:r>
      <w:r w:rsidRPr="00E4439F">
        <w:t>-</w:t>
      </w:r>
      <w:r>
        <w:t>99</w:t>
      </w:r>
      <w:r w:rsidRPr="00E4439F">
        <w:t>.</w:t>
      </w:r>
      <w:r>
        <w:t xml:space="preserve"> </w:t>
      </w:r>
      <w:r>
        <w:rPr>
          <w:rFonts w:eastAsia="Times New Roman"/>
        </w:rPr>
        <w:t xml:space="preserve">Šio tyrimo </w:t>
      </w:r>
      <w:r w:rsidRPr="00CE37D0">
        <w:rPr>
          <w:rFonts w:eastAsia="Times New Roman"/>
        </w:rPr>
        <w:t>išvadose pagrįstai teigiama, kad siekiant Lietuvoje sėkmingai pasinaudoti alternatyviomis baudžiamojo konflikto sprendimo galimybėmis būtina kompleksiškai spręsti teisinio reg</w:t>
      </w:r>
      <w:r>
        <w:rPr>
          <w:rFonts w:eastAsia="Times New Roman"/>
        </w:rPr>
        <w:t>uli</w:t>
      </w:r>
      <w:r w:rsidRPr="00CE37D0">
        <w:rPr>
          <w:rFonts w:eastAsia="Times New Roman"/>
        </w:rPr>
        <w:t>avimo bei organizacinius klausimus.</w:t>
      </w:r>
    </w:p>
  </w:footnote>
  <w:footnote w:id="659">
    <w:p w:rsidR="00E0371E" w:rsidRPr="00E4439F" w:rsidRDefault="00E0371E" w:rsidP="00274D82">
      <w:pPr>
        <w:pStyle w:val="Puslapioinaostekstas"/>
        <w:jc w:val="both"/>
      </w:pPr>
      <w:r w:rsidRPr="00E4439F">
        <w:rPr>
          <w:rStyle w:val="Puslapioinaosnuoroda"/>
        </w:rPr>
        <w:footnoteRef/>
      </w:r>
      <w:r w:rsidRPr="00E4439F">
        <w:t xml:space="preserve">Ažubalytė, R. Susitarimas (susitaikymas) viešojo kaltinimo bylose kaip viena iš diskrecinio baudžiamojo persekiojimo formų. </w:t>
      </w:r>
      <w:r w:rsidRPr="00E4439F">
        <w:rPr>
          <w:i/>
        </w:rPr>
        <w:t>Jurisprudencija</w:t>
      </w:r>
      <w:r w:rsidRPr="00E4439F">
        <w:t>. 2006, 6 (84): 38.</w:t>
      </w:r>
    </w:p>
  </w:footnote>
  <w:footnote w:id="660">
    <w:p w:rsidR="00E0371E" w:rsidRDefault="00E0371E" w:rsidP="00274D82">
      <w:pPr>
        <w:pStyle w:val="Puslapioinaostekstas"/>
        <w:jc w:val="both"/>
      </w:pPr>
      <w:r>
        <w:rPr>
          <w:rStyle w:val="Puslapioinaosnuoroda"/>
        </w:rPr>
        <w:footnoteRef/>
      </w:r>
      <w:r w:rsidRPr="0020780E">
        <w:t>A</w:t>
      </w:r>
      <w:r>
        <w:t>lper, B. S.,</w:t>
      </w:r>
      <w:r w:rsidRPr="0020780E">
        <w:t xml:space="preserve"> N</w:t>
      </w:r>
      <w:r>
        <w:t xml:space="preserve">ichols, L. T. </w:t>
      </w:r>
      <w:r w:rsidRPr="00C407CB">
        <w:rPr>
          <w:i/>
        </w:rPr>
        <w:t xml:space="preserve">Beyond the Courtroom: Programs in Community Justice and Conflict Resolution. </w:t>
      </w:r>
      <w:r w:rsidRPr="00C407CB">
        <w:t>Lexington, Mass.: Lexington Books, 1981</w:t>
      </w:r>
      <w:r>
        <w:t xml:space="preserve">, p. </w:t>
      </w:r>
      <w:r w:rsidRPr="0020780E">
        <w:t>13</w:t>
      </w:r>
      <w:r>
        <w:t>.</w:t>
      </w:r>
      <w:r w:rsidRPr="0020780E">
        <w:t xml:space="preserve"> (</w:t>
      </w:r>
      <w:r>
        <w:t xml:space="preserve">diskutuojama, kad teismų problemos </w:t>
      </w:r>
      <w:r w:rsidRPr="00484A04">
        <w:rPr>
          <w:i/>
        </w:rPr>
        <w:t>inter alia</w:t>
      </w:r>
      <w:r>
        <w:t xml:space="preserve"> yra ir teismo neprieinamumas dėl proceso kaštų didėjimo ir delsimo</w:t>
      </w:r>
      <w:r w:rsidRPr="0020780E">
        <w:t xml:space="preserve">, </w:t>
      </w:r>
      <w:r>
        <w:t>neveiksmingos procedūros</w:t>
      </w:r>
      <w:r w:rsidRPr="0020780E">
        <w:t xml:space="preserve"> </w:t>
      </w:r>
      <w:r>
        <w:t xml:space="preserve">ir nusimaltimo aukų ignoravimo (angl. </w:t>
      </w:r>
      <w:r w:rsidRPr="002E7C17">
        <w:rPr>
          <w:i/>
        </w:rPr>
        <w:t>disregard</w:t>
      </w:r>
      <w:r w:rsidRPr="0020780E">
        <w:t xml:space="preserve">).  </w:t>
      </w:r>
    </w:p>
  </w:footnote>
  <w:footnote w:id="661">
    <w:p w:rsidR="00E0371E" w:rsidRDefault="00E0371E" w:rsidP="00274D82">
      <w:pPr>
        <w:pStyle w:val="Puslapioinaostekstas"/>
        <w:jc w:val="both"/>
      </w:pPr>
      <w:r>
        <w:rPr>
          <w:rStyle w:val="Puslapioinaosnuoroda"/>
        </w:rPr>
        <w:footnoteRef/>
      </w:r>
      <w:r>
        <w:t xml:space="preserve">Lieberman, J. K., </w:t>
      </w:r>
      <w:r w:rsidRPr="0020780E">
        <w:t>Henry,</w:t>
      </w:r>
      <w:r>
        <w:t xml:space="preserve"> J. F. </w:t>
      </w:r>
      <w:r w:rsidRPr="002E7C17">
        <w:rPr>
          <w:iCs/>
        </w:rPr>
        <w:t>Lessons from the Alterative Dispute Resolution Movement</w:t>
      </w:r>
      <w:r>
        <w:t xml:space="preserve">. </w:t>
      </w:r>
      <w:r w:rsidRPr="002E7C17">
        <w:rPr>
          <w:i/>
        </w:rPr>
        <w:t>University of Chicago Law Review</w:t>
      </w:r>
      <w:r>
        <w:t xml:space="preserve">. 1986, 53: 425-426. </w:t>
      </w:r>
    </w:p>
  </w:footnote>
  <w:footnote w:id="662">
    <w:p w:rsidR="00E0371E" w:rsidRDefault="00E0371E" w:rsidP="00F906C7">
      <w:pPr>
        <w:pStyle w:val="Puslapioinaostekstas"/>
        <w:jc w:val="both"/>
      </w:pPr>
      <w:r>
        <w:rPr>
          <w:rStyle w:val="Puslapioinaosnuoroda"/>
        </w:rPr>
        <w:footnoteRef/>
      </w:r>
      <w:r w:rsidRPr="001A1757">
        <w:t>Nacionalinės teismų administracijos</w:t>
      </w:r>
      <w:r>
        <w:t xml:space="preserve"> 2013 m. balandžio 11 d.</w:t>
      </w:r>
      <w:r w:rsidRPr="001A1757">
        <w:t xml:space="preserve"> raštas </w:t>
      </w:r>
      <w:r>
        <w:t>Nr. 4R-950-(6.9)</w:t>
      </w:r>
      <w:r w:rsidRPr="001A1757">
        <w:t xml:space="preserve"> </w:t>
      </w:r>
      <w:r>
        <w:t>„</w:t>
      </w:r>
      <w:r w:rsidRPr="001A1757">
        <w:t>Dėl statistinės informacijos apie privataus kaltinimo bylų teisminį nagrinėjimą</w:t>
      </w:r>
      <w:r>
        <w:t>“.</w:t>
      </w:r>
      <w:r w:rsidRPr="001A1757">
        <w:t xml:space="preserve"> Skelbta </w:t>
      </w:r>
      <w:r w:rsidRPr="006A6C35">
        <w:rPr>
          <w:i/>
        </w:rPr>
        <w:t>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w:t>
      </w:r>
      <w:r w:rsidRPr="001A1757">
        <w:t xml:space="preserve"> Vilnius, 2013.</w:t>
      </w:r>
    </w:p>
  </w:footnote>
  <w:footnote w:id="663">
    <w:p w:rsidR="00E0371E" w:rsidRDefault="00E0371E" w:rsidP="007E32DD">
      <w:pPr>
        <w:pStyle w:val="Puslapioinaostekstas"/>
        <w:jc w:val="both"/>
      </w:pPr>
      <w:r>
        <w:rPr>
          <w:rStyle w:val="Puslapioinaosnuoroda"/>
        </w:rPr>
        <w:footnoteRef/>
      </w:r>
      <w:r>
        <w:t>BPK 417 straipsnyje numatyta perėjimo iš valstybinio kaltinimo į privatų kaltinimą procedūra nagrinėta II šio darbo skyriuje.</w:t>
      </w:r>
    </w:p>
  </w:footnote>
  <w:footnote w:id="664">
    <w:p w:rsidR="00E0371E" w:rsidRDefault="00E0371E" w:rsidP="007E32DD">
      <w:pPr>
        <w:pStyle w:val="Puslapioinaostekstas"/>
        <w:jc w:val="both"/>
      </w:pPr>
      <w:r>
        <w:rPr>
          <w:rStyle w:val="Puslapioinaosnuoroda"/>
        </w:rPr>
        <w:footnoteRef/>
      </w:r>
      <w:r w:rsidRPr="00607156">
        <w:t>Šiaulių apylinkės teismo 2013 m. lapkričio 26 d</w:t>
      </w:r>
      <w:r>
        <w:t xml:space="preserve">. nutartis baudžiamojoje byloje Nr. PK-1185-898/2013, </w:t>
      </w:r>
      <w:r w:rsidRPr="00607156">
        <w:t xml:space="preserve">2013 m. rugsėjo 11 d. nutartis </w:t>
      </w:r>
      <w:r>
        <w:t xml:space="preserve">baudžiamojoje byloje </w:t>
      </w:r>
      <w:r w:rsidRPr="00607156">
        <w:t>Nr. PK-1000-898/2013</w:t>
      </w:r>
      <w:r>
        <w:t xml:space="preserve">. </w:t>
      </w:r>
      <w:r w:rsidRPr="00C94E3E">
        <w:t>Vilniaus miesto apylinkės teismo</w:t>
      </w:r>
      <w:r>
        <w:t xml:space="preserve"> </w:t>
      </w:r>
      <w:r w:rsidRPr="00C94E3E">
        <w:t xml:space="preserve">2013 m. balandžio 3 d. nuosprendis </w:t>
      </w:r>
      <w:r>
        <w:t xml:space="preserve">baudžiamojoje byloje Nr. PK-464-870/2013. </w:t>
      </w:r>
      <w:r w:rsidRPr="00C94E3E">
        <w:t>Kupiškio rajono apylinkės teismo</w:t>
      </w:r>
      <w:r>
        <w:t xml:space="preserve"> </w:t>
      </w:r>
      <w:r w:rsidRPr="00C94E3E">
        <w:t xml:space="preserve">2013 m. balandžio 2 d. nutartis </w:t>
      </w:r>
      <w:r>
        <w:t>baudžiamojoje byloje Nr. PK-37-783/2013.</w:t>
      </w:r>
      <w:r w:rsidRPr="00C94E3E">
        <w:t xml:space="preserve"> Panevėžio miesto apylinkės teismo 2013 m. sausio 11 d. nuosprendis </w:t>
      </w:r>
      <w:r>
        <w:t xml:space="preserve">baudžiamojoje byloje </w:t>
      </w:r>
      <w:r w:rsidRPr="00C94E3E">
        <w:t>Nr. PK-291-334/2012</w:t>
      </w:r>
      <w:r>
        <w:t>.</w:t>
      </w:r>
    </w:p>
  </w:footnote>
  <w:footnote w:id="665">
    <w:p w:rsidR="00E0371E" w:rsidRDefault="00E0371E" w:rsidP="007E32DD">
      <w:pPr>
        <w:pStyle w:val="Puslapioinaostekstas"/>
        <w:jc w:val="both"/>
      </w:pPr>
      <w:r>
        <w:rPr>
          <w:rStyle w:val="Puslapioinaosnuoroda"/>
        </w:rPr>
        <w:footnoteRef/>
      </w:r>
      <w:r w:rsidRPr="00C94E3E">
        <w:t>Kaišiadorių rajono apylinkės teismo 2013 m. balandžio 23 d.</w:t>
      </w:r>
      <w:r>
        <w:t xml:space="preserve"> nuosprendis baudžiamojoje byloje Nr. PK-55-753/2013. </w:t>
      </w:r>
      <w:r w:rsidRPr="00C94E3E">
        <w:t>Kelmės rajono apylinkės teismo</w:t>
      </w:r>
      <w:r>
        <w:t xml:space="preserve"> </w:t>
      </w:r>
      <w:r w:rsidRPr="00C94E3E">
        <w:t xml:space="preserve">2013 m. vasario 27 d. nuosprendis </w:t>
      </w:r>
      <w:r>
        <w:t xml:space="preserve">baudžiamojoje byloje </w:t>
      </w:r>
      <w:r w:rsidRPr="00C94E3E">
        <w:t>Nr. PK-12-496/2013</w:t>
      </w:r>
      <w:r>
        <w:t>.</w:t>
      </w:r>
    </w:p>
  </w:footnote>
  <w:footnote w:id="666">
    <w:p w:rsidR="00E0371E" w:rsidRDefault="00E0371E" w:rsidP="007E32DD">
      <w:pPr>
        <w:pStyle w:val="Puslapioinaostekstas"/>
        <w:jc w:val="both"/>
      </w:pPr>
      <w:r>
        <w:rPr>
          <w:rStyle w:val="Puslapioinaosnuoroda"/>
        </w:rPr>
        <w:footnoteRef/>
      </w:r>
      <w:r>
        <w:t xml:space="preserve"> Prienų rajono apylinkės teismo 2</w:t>
      </w:r>
      <w:r w:rsidRPr="00B448A1">
        <w:t>013 m. rugsėjo 16 d</w:t>
      </w:r>
      <w:r>
        <w:t>. nuosprendis baudžiamojoje byloje Nr. PK-1-878/2013.</w:t>
      </w:r>
    </w:p>
  </w:footnote>
  <w:footnote w:id="667">
    <w:p w:rsidR="00E0371E" w:rsidRDefault="00E0371E" w:rsidP="007E32DD">
      <w:pPr>
        <w:pStyle w:val="Puslapioinaostekstas"/>
        <w:jc w:val="both"/>
      </w:pPr>
      <w:r>
        <w:rPr>
          <w:rStyle w:val="Puslapioinaosnuoroda"/>
        </w:rPr>
        <w:footnoteRef/>
      </w:r>
      <w:r w:rsidRPr="00B448A1">
        <w:t xml:space="preserve">Panevėžio miesto apylinkės teismo 2012 m. liepos 2 d. </w:t>
      </w:r>
      <w:r>
        <w:t xml:space="preserve">nuosprendis baudžiamojoje byloje Nr. PK-288-768/2012. </w:t>
      </w:r>
    </w:p>
  </w:footnote>
  <w:footnote w:id="668">
    <w:p w:rsidR="00E0371E" w:rsidRDefault="00E0371E" w:rsidP="007E32DD">
      <w:pPr>
        <w:pStyle w:val="Puslapioinaostekstas"/>
        <w:jc w:val="both"/>
      </w:pPr>
      <w:r>
        <w:rPr>
          <w:rStyle w:val="Puslapioinaosnuoroda"/>
        </w:rPr>
        <w:footnoteRef/>
      </w:r>
      <w:r w:rsidRPr="00076E12">
        <w:t>Baudžiamojo proceso kodekso 37, 40, 44, 46, 48, 53, 55, 56, 62, 63, 64, 65, 70, 73, 80, 82, 90, 93, 108, 110, 111, 130, 131, 132, 139, 140, 141, 142, 151, 154, 160, 161, 166, 167, 168, 171, 178, 186, 199, 212, 214, 217, 225, 232, 233, 234, 254, 256, 276, 287, 296, 300, 302, 303, 308, 310, 312, 313, 314, 316, 317, 318, 319, 320, 324, 326, 327, 329, 333, 342, 358, 367, 368, 370, 372, 373, 374, 375, 377, 380, 381, 382, 384, 385, 409, 413, 414, 439, 447, 448, 454, 460 straipsnių pakeitimo ir papildymo, 306 straipsnio pripažinimo netekusiu galios, Kodekso papildymo 41(1), 77(2), 80(1), 374(1), 374(2), 412(1) straipsniais ir Ko</w:t>
      </w:r>
      <w:r>
        <w:t>dekso priedo papildymo įstatymas.</w:t>
      </w:r>
      <w:r w:rsidRPr="001A1757">
        <w:rPr>
          <w:rFonts w:eastAsia="Times New Roman"/>
          <w:i/>
          <w:iCs/>
        </w:rPr>
        <w:t xml:space="preserve"> </w:t>
      </w:r>
      <w:r w:rsidRPr="00744CAA">
        <w:rPr>
          <w:rFonts w:eastAsia="Times New Roman"/>
          <w:i/>
          <w:iCs/>
        </w:rPr>
        <w:t>Valstybės žinios</w:t>
      </w:r>
      <w:r w:rsidRPr="00744CAA">
        <w:rPr>
          <w:rFonts w:eastAsia="Times New Roman"/>
          <w:iCs/>
        </w:rPr>
        <w:t>. 2007, Nr. 81-3312.</w:t>
      </w:r>
    </w:p>
  </w:footnote>
  <w:footnote w:id="669">
    <w:p w:rsidR="00E0371E" w:rsidRPr="00FF1A29" w:rsidRDefault="00E0371E" w:rsidP="007E32DD">
      <w:pPr>
        <w:pStyle w:val="Puslapioinaostekstas"/>
        <w:jc w:val="both"/>
        <w:rPr>
          <w:bCs/>
        </w:rPr>
      </w:pPr>
      <w:r>
        <w:rPr>
          <w:rStyle w:val="Puslapioinaosnuoroda"/>
        </w:rPr>
        <w:footnoteRef/>
      </w:r>
      <w:r w:rsidRPr="00FF1A29">
        <w:rPr>
          <w:bCs/>
        </w:rPr>
        <w:t xml:space="preserve">Vilniaus apygardos teismo 2009 m. vasario 9 </w:t>
      </w:r>
      <w:r>
        <w:rPr>
          <w:bCs/>
        </w:rPr>
        <w:t xml:space="preserve">d. </w:t>
      </w:r>
      <w:r w:rsidRPr="00FF1A29">
        <w:rPr>
          <w:bCs/>
        </w:rPr>
        <w:t xml:space="preserve">nutartis </w:t>
      </w:r>
      <w:r>
        <w:t xml:space="preserve">baudžiamojoje byloje </w:t>
      </w:r>
      <w:r w:rsidRPr="00FF1A29">
        <w:rPr>
          <w:bCs/>
        </w:rPr>
        <w:t>Nr. 1S-71-628/2009</w:t>
      </w:r>
      <w:r>
        <w:rPr>
          <w:bCs/>
        </w:rPr>
        <w:t xml:space="preserve">, </w:t>
      </w:r>
      <w:r>
        <w:t xml:space="preserve">2008 m. liepos 10 d. nutartis baudžiamojoje byloje Nr. </w:t>
      </w:r>
      <w:r w:rsidRPr="00256844">
        <w:t>1S-542-312/2008</w:t>
      </w:r>
      <w:r>
        <w:t>.</w:t>
      </w:r>
    </w:p>
  </w:footnote>
  <w:footnote w:id="670">
    <w:p w:rsidR="00E0371E" w:rsidRDefault="00E0371E" w:rsidP="007E32DD">
      <w:pPr>
        <w:pStyle w:val="Puslapioinaostekstas"/>
        <w:jc w:val="both"/>
      </w:pPr>
      <w:r>
        <w:rPr>
          <w:rStyle w:val="Puslapioinaosnuoroda"/>
        </w:rPr>
        <w:footnoteRef/>
      </w:r>
      <w:r>
        <w:t xml:space="preserve">Goda, G., Kazlauskas, M., Kuconis, P. </w:t>
      </w:r>
      <w:r w:rsidRPr="00AD4628">
        <w:rPr>
          <w:i/>
        </w:rPr>
        <w:t>Baudžiamojo proceso teisė</w:t>
      </w:r>
      <w:r>
        <w:rPr>
          <w:i/>
        </w:rPr>
        <w:t>.</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xml:space="preserve">, </w:t>
      </w:r>
      <w:r>
        <w:t>p. 373.</w:t>
      </w:r>
    </w:p>
  </w:footnote>
  <w:footnote w:id="671">
    <w:p w:rsidR="00E0371E" w:rsidRPr="00D754F4" w:rsidRDefault="00E0371E" w:rsidP="007E32DD">
      <w:pPr>
        <w:pStyle w:val="Puslapioinaostekstas"/>
        <w:jc w:val="both"/>
      </w:pPr>
      <w:r>
        <w:rPr>
          <w:rStyle w:val="Puslapioinaosnuoroda"/>
        </w:rPr>
        <w:footnoteRef/>
      </w:r>
      <w:r>
        <w:t>Merkevičius, R. Baudžiamojo proceso kodeksas: ar teisminio nagrinėjimo struktūra garantuoja teisingą teismą? In Ancelis, P.,</w:t>
      </w:r>
      <w:r w:rsidRPr="00D754F4">
        <w:t xml:space="preserve"> </w:t>
      </w:r>
      <w:r w:rsidRPr="001A1757">
        <w:rPr>
          <w:i/>
        </w:rPr>
        <w:t>et al</w:t>
      </w:r>
      <w:r w:rsidRPr="00D754F4">
        <w:t xml:space="preserve">. </w:t>
      </w:r>
      <w:r w:rsidRPr="00D754F4">
        <w:rPr>
          <w:i/>
        </w:rPr>
        <w:t>Sąžiningas baudžiamasis procesas: probleminiai aspektai</w:t>
      </w:r>
      <w:r w:rsidRPr="00D754F4">
        <w:t>. Vilnius: Industrus, 2009, p. 138-140.</w:t>
      </w:r>
    </w:p>
  </w:footnote>
  <w:footnote w:id="672">
    <w:p w:rsidR="00E0371E" w:rsidRDefault="00E0371E" w:rsidP="007E32DD">
      <w:pPr>
        <w:pStyle w:val="Puslapioinaostekstas"/>
        <w:jc w:val="both"/>
      </w:pPr>
      <w:r>
        <w:rPr>
          <w:rStyle w:val="Puslapioinaosnuoroda"/>
        </w:rPr>
        <w:footnoteRef/>
      </w:r>
      <w:r>
        <w:t xml:space="preserve">Baudžiamajame procese galima kalbėti tik apie neprivalomą procesinio bendrininkavimo formą, kadangi tiek nukentėjusiojo teisės ir interesai, tiek kaltininko atsakomybė baudžiamojoje teisėje individualizuojama ir visais atvejais vertinamos kiekvieno asmens atžvilgiu individualiai. Savaime suprantama, kad kolektyvinės baudžiamosios atsakomybės negalimumas neleidžia iš viso modeliuoti atsakovų, t.y. kaltinamųjų, procesinio bendrininkavimo. </w:t>
      </w:r>
    </w:p>
  </w:footnote>
  <w:footnote w:id="673">
    <w:p w:rsidR="00E0371E" w:rsidRDefault="00E0371E" w:rsidP="00445FF7">
      <w:pPr>
        <w:pStyle w:val="Puslapioinaostekstas"/>
        <w:jc w:val="both"/>
      </w:pPr>
      <w:r>
        <w:rPr>
          <w:rStyle w:val="Puslapioinaosnuoroda"/>
        </w:rPr>
        <w:footnoteRef/>
      </w:r>
      <w:r>
        <w:t xml:space="preserve">Vokietijos BPK kelių bendrakaltintojų dalyvavimas procese taip pat nėra reglamentuotas. </w:t>
      </w:r>
      <w:r w:rsidRPr="00966917">
        <w:t>Dürwanger, K.,</w:t>
      </w:r>
      <w:r>
        <w:t xml:space="preserve"> </w:t>
      </w:r>
      <w:r w:rsidRPr="00966917">
        <w:t xml:space="preserve">Dempewolf, G. </w:t>
      </w:r>
      <w:r w:rsidRPr="00966917">
        <w:rPr>
          <w:i/>
        </w:rPr>
        <w:t>Handbuch des Privatklagerechts</w:t>
      </w:r>
      <w:r w:rsidRPr="00966917">
        <w:t>. 3-ioji laida. Darmstadt, 1971</w:t>
      </w:r>
      <w:r>
        <w:t xml:space="preserve">, p. 281. </w:t>
      </w:r>
    </w:p>
  </w:footnote>
  <w:footnote w:id="674">
    <w:p w:rsidR="00E0371E" w:rsidRDefault="00E0371E" w:rsidP="007E32DD">
      <w:pPr>
        <w:pStyle w:val="Puslapioinaostekstas"/>
        <w:jc w:val="both"/>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p. 63-64. </w:t>
      </w:r>
    </w:p>
  </w:footnote>
  <w:footnote w:id="675">
    <w:p w:rsidR="00E0371E" w:rsidRDefault="00E0371E" w:rsidP="007E32DD">
      <w:pPr>
        <w:pStyle w:val="Puslapioinaostekstas"/>
        <w:jc w:val="both"/>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p. 64. </w:t>
      </w:r>
    </w:p>
  </w:footnote>
  <w:footnote w:id="676">
    <w:p w:rsidR="00E0371E" w:rsidRPr="00876038" w:rsidRDefault="00E0371E" w:rsidP="001A1757">
      <w:pPr>
        <w:pStyle w:val="Puslapioinaostekstas"/>
        <w:jc w:val="both"/>
        <w:rPr>
          <w:sz w:val="16"/>
        </w:rPr>
      </w:pPr>
      <w:r>
        <w:rPr>
          <w:rStyle w:val="Puslapioinaosnuoroda"/>
        </w:rPr>
        <w:footnoteRef/>
      </w:r>
      <w:r>
        <w:t xml:space="preserve">Vilniaus rajono apylinkės teisme buvo atskirai nagrinėtos privataus kaltinimo bylos </w:t>
      </w:r>
      <w:r w:rsidRPr="00876038">
        <w:rPr>
          <w:szCs w:val="24"/>
        </w:rPr>
        <w:t>PK-356-137/2013, PK-438-137/2013, PK-81-298/2014</w:t>
      </w:r>
      <w:r>
        <w:rPr>
          <w:szCs w:val="24"/>
        </w:rPr>
        <w:t xml:space="preserve"> to paties asmens atžvilgiu dėl analogiškų veikų, numatytų BK 154 straipsnio 2 dalyje, 155 straipsnio 1 dalyje.  </w:t>
      </w:r>
    </w:p>
  </w:footnote>
  <w:footnote w:id="677">
    <w:p w:rsidR="00E0371E" w:rsidRDefault="00E0371E" w:rsidP="007E32DD">
      <w:pPr>
        <w:pStyle w:val="Puslapioinaostekstas"/>
        <w:jc w:val="both"/>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p. 65. Schorn, H. </w:t>
      </w:r>
      <w:r w:rsidRPr="006C29E3">
        <w:rPr>
          <w:i/>
        </w:rPr>
        <w:t>Der Strafrichter</w:t>
      </w:r>
      <w:r>
        <w:t>. Frankfurt am Main, 1960, p. 379.</w:t>
      </w:r>
    </w:p>
  </w:footnote>
  <w:footnote w:id="678">
    <w:p w:rsidR="00E0371E" w:rsidRDefault="00E0371E" w:rsidP="007E32DD">
      <w:pPr>
        <w:pStyle w:val="Puslapioinaostekstas"/>
        <w:jc w:val="both"/>
      </w:pPr>
      <w:r>
        <w:rPr>
          <w:rStyle w:val="Puslapioinaosnuoroda"/>
        </w:rPr>
        <w:footnoteRef/>
      </w:r>
      <w:r>
        <w:t xml:space="preserve">Von Schacky, S. </w:t>
      </w:r>
      <w:r w:rsidRPr="00362C4C">
        <w:rPr>
          <w:i/>
        </w:rPr>
        <w:t>Das Privatklageverfahren und seine Berechtigung heute</w:t>
      </w:r>
      <w:r>
        <w:t xml:space="preserve">. Daktaro disertacija. Socialiniai mokslai (teisė). Frankfurt am Main: Johann Wolfgang Goethe-Universität, 1975, p. 73. </w:t>
      </w:r>
    </w:p>
  </w:footnote>
  <w:footnote w:id="679">
    <w:p w:rsidR="00E0371E" w:rsidRDefault="00E0371E" w:rsidP="007E32DD">
      <w:pPr>
        <w:pStyle w:val="Puslapioinaostekstas"/>
        <w:jc w:val="both"/>
      </w:pPr>
      <w:r>
        <w:rPr>
          <w:rStyle w:val="Puslapioinaosnuoroda"/>
        </w:rPr>
        <w:footnoteRef/>
      </w:r>
      <w:r w:rsidRPr="0037377C">
        <w:t>Christie, N. The Ideal Victim</w:t>
      </w:r>
      <w:r>
        <w:t>.</w:t>
      </w:r>
      <w:r w:rsidRPr="0037377C">
        <w:t xml:space="preserve"> </w:t>
      </w:r>
      <w:r>
        <w:t>I</w:t>
      </w:r>
      <w:r w:rsidRPr="0037377C">
        <w:t xml:space="preserve">n </w:t>
      </w:r>
      <w:r w:rsidRPr="0037377C">
        <w:rPr>
          <w:i/>
          <w:iCs/>
        </w:rPr>
        <w:t>From Crime Policy to Victim Policy:</w:t>
      </w:r>
      <w:r>
        <w:rPr>
          <w:i/>
          <w:iCs/>
        </w:rPr>
        <w:t xml:space="preserve"> </w:t>
      </w:r>
      <w:r w:rsidRPr="0037377C">
        <w:rPr>
          <w:i/>
          <w:iCs/>
        </w:rPr>
        <w:t>Reorienting the Justice System</w:t>
      </w:r>
      <w:r w:rsidRPr="0037377C">
        <w:t xml:space="preserve">. </w:t>
      </w:r>
      <w:r>
        <w:t xml:space="preserve">(Red. </w:t>
      </w:r>
      <w:r w:rsidRPr="0037377C">
        <w:t>Fattah</w:t>
      </w:r>
      <w:r>
        <w:t>, E. A.).</w:t>
      </w:r>
      <w:r w:rsidRPr="0037377C">
        <w:t xml:space="preserve"> Basingstoke: Macmillan.</w:t>
      </w:r>
      <w:r>
        <w:t xml:space="preserve"> 1986, p. 18-19.</w:t>
      </w:r>
    </w:p>
  </w:footnote>
  <w:footnote w:id="680">
    <w:p w:rsidR="00E0371E" w:rsidRDefault="00E0371E" w:rsidP="007E32DD">
      <w:pPr>
        <w:pStyle w:val="Puslapioinaostekstas"/>
        <w:jc w:val="both"/>
      </w:pPr>
      <w:r>
        <w:rPr>
          <w:rStyle w:val="Puslapioinaosnuoroda"/>
        </w:rPr>
        <w:footnoteRef/>
      </w:r>
      <w:r w:rsidRPr="0037377C">
        <w:t xml:space="preserve">Walklate, S. </w:t>
      </w:r>
      <w:r w:rsidRPr="0037377C">
        <w:rPr>
          <w:i/>
          <w:iCs/>
        </w:rPr>
        <w:t>Imagining the Victim of Crime</w:t>
      </w:r>
      <w:r w:rsidRPr="0037377C">
        <w:t>. Maidenhead: Op</w:t>
      </w:r>
      <w:r>
        <w:t xml:space="preserve">en University Press/McGraw-Hill, 2007, p. 28. </w:t>
      </w:r>
    </w:p>
  </w:footnote>
  <w:footnote w:id="681">
    <w:p w:rsidR="00E0371E" w:rsidRDefault="00E0371E" w:rsidP="007E32DD">
      <w:pPr>
        <w:pStyle w:val="Puslapioinaostekstas"/>
        <w:jc w:val="both"/>
      </w:pPr>
      <w:r>
        <w:rPr>
          <w:rStyle w:val="Puslapioinaosnuoroda"/>
        </w:rPr>
        <w:footnoteRef/>
      </w:r>
      <w:r w:rsidRPr="0037377C">
        <w:rPr>
          <w:rFonts w:eastAsia="Times New Roman"/>
          <w:szCs w:val="24"/>
        </w:rPr>
        <w:t xml:space="preserve">Walklate, </w:t>
      </w:r>
      <w:r w:rsidRPr="0037377C">
        <w:t xml:space="preserve">S. </w:t>
      </w:r>
      <w:r w:rsidRPr="0037377C">
        <w:rPr>
          <w:i/>
          <w:iCs/>
        </w:rPr>
        <w:t>Imagining the Victim of Crime</w:t>
      </w:r>
      <w:r w:rsidRPr="0037377C">
        <w:t>. Maidenhead: Op</w:t>
      </w:r>
      <w:r>
        <w:t>en University Press/McGraw-Hill, 2007, p.</w:t>
      </w:r>
      <w:r w:rsidRPr="0037377C">
        <w:rPr>
          <w:rFonts w:eastAsia="Times New Roman"/>
          <w:szCs w:val="24"/>
        </w:rPr>
        <w:t xml:space="preserve"> 77</w:t>
      </w:r>
      <w:r>
        <w:rPr>
          <w:rFonts w:eastAsia="Times New Roman"/>
          <w:szCs w:val="24"/>
        </w:rPr>
        <w:t xml:space="preserve">. </w:t>
      </w:r>
    </w:p>
  </w:footnote>
  <w:footnote w:id="682">
    <w:p w:rsidR="00E0371E" w:rsidRDefault="00E0371E" w:rsidP="007E32DD">
      <w:pPr>
        <w:pStyle w:val="Puslapioinaostekstas"/>
        <w:jc w:val="both"/>
      </w:pPr>
      <w:r>
        <w:rPr>
          <w:rStyle w:val="Puslapioinaosnuoroda"/>
        </w:rPr>
        <w:footnoteRef/>
      </w:r>
      <w:r>
        <w:t xml:space="preserve">Čia nekaltumo sąvoka naudojama ne baudžiamąja teisine, o moraline prasme. </w:t>
      </w:r>
    </w:p>
  </w:footnote>
  <w:footnote w:id="683">
    <w:p w:rsidR="00E0371E" w:rsidRDefault="00E0371E" w:rsidP="007E32DD">
      <w:pPr>
        <w:pStyle w:val="Puslapioinaostekstas"/>
        <w:jc w:val="both"/>
      </w:pPr>
      <w:r>
        <w:rPr>
          <w:rStyle w:val="Puslapioinaosnuoroda"/>
        </w:rPr>
        <w:footnoteRef/>
      </w:r>
      <w:r>
        <w:t xml:space="preserve">Guberman, O. V. </w:t>
      </w:r>
      <w:r>
        <w:rPr>
          <w:i/>
        </w:rPr>
        <w:t>Proizvodstvo u mirovogo sudi</w:t>
      </w:r>
      <w:r w:rsidRPr="004A672C">
        <w:rPr>
          <w:i/>
        </w:rPr>
        <w:t xml:space="preserve">: osobennosti sobiranija dokazatelstv </w:t>
      </w:r>
      <w:r>
        <w:rPr>
          <w:i/>
        </w:rPr>
        <w:t>po delam ch</w:t>
      </w:r>
      <w:r w:rsidRPr="004A672C">
        <w:rPr>
          <w:i/>
        </w:rPr>
        <w:t>astnogo obvinenija.</w:t>
      </w:r>
      <w:r>
        <w:t xml:space="preserve"> [Procedure in Magistrates Courts: Features of Evidence Collection]. Daktaro disertacija. Socialiniai mokslai (teisė). Nizhnij Novgorod, 2008, p. 124.</w:t>
      </w:r>
    </w:p>
  </w:footnote>
  <w:footnote w:id="684">
    <w:p w:rsidR="00E0371E" w:rsidRDefault="00E0371E" w:rsidP="007E32DD">
      <w:pPr>
        <w:pStyle w:val="Puslapioinaostekstas"/>
        <w:jc w:val="both"/>
      </w:pPr>
      <w:r>
        <w:rPr>
          <w:rStyle w:val="Puslapioinaosnuoroda"/>
        </w:rPr>
        <w:footnoteRef/>
      </w:r>
      <w:r>
        <w:t>Šiaulių apygardos teismo 2009 m. vasario 11 d. nutartis baudžiamojoje byloje Nr. 1A-50-210/2009.</w:t>
      </w:r>
    </w:p>
  </w:footnote>
  <w:footnote w:id="685">
    <w:p w:rsidR="00E0371E" w:rsidRDefault="00E0371E" w:rsidP="007E32DD">
      <w:pPr>
        <w:pStyle w:val="Puslapioinaostekstas"/>
        <w:jc w:val="both"/>
      </w:pPr>
      <w:r>
        <w:rPr>
          <w:rStyle w:val="Puslapioinaosnuoroda"/>
        </w:rPr>
        <w:footnoteRef/>
      </w:r>
      <w:r>
        <w:t xml:space="preserve">Guberman, O. V. </w:t>
      </w:r>
      <w:r>
        <w:rPr>
          <w:i/>
        </w:rPr>
        <w:t>Proizvodstvo u mirovogo sud</w:t>
      </w:r>
      <w:r w:rsidRPr="004A672C">
        <w:rPr>
          <w:i/>
        </w:rPr>
        <w:t xml:space="preserve">i: osobennosti sobiranija dokazatelstv </w:t>
      </w:r>
      <w:r>
        <w:rPr>
          <w:i/>
        </w:rPr>
        <w:t>po delam ch</w:t>
      </w:r>
      <w:r w:rsidRPr="004A672C">
        <w:rPr>
          <w:i/>
        </w:rPr>
        <w:t>astnogo obvinenija.</w:t>
      </w:r>
      <w:r>
        <w:t xml:space="preserve"> [Procedure in Magistrates Courts: Features of Evidence Collection]. Daktaro disertacija. Socialiniai mokslai (teisė). Nizhnij Novgorod, 2008, p. 124. </w:t>
      </w:r>
    </w:p>
  </w:footnote>
  <w:footnote w:id="686">
    <w:p w:rsidR="00E0371E" w:rsidRDefault="00E0371E" w:rsidP="007E32DD">
      <w:pPr>
        <w:pStyle w:val="Puslapioinaostekstas"/>
        <w:jc w:val="both"/>
      </w:pPr>
      <w:r>
        <w:rPr>
          <w:rStyle w:val="Puslapioinaosnuoroda"/>
        </w:rPr>
        <w:footnoteRef/>
      </w:r>
      <w:r>
        <w:t>Šiaulių apygardos teismo 2008 m. balandžio 9 d. nutartis baudžiamojoje byloje Nr. 1A-99-300/2008.</w:t>
      </w:r>
    </w:p>
  </w:footnote>
  <w:footnote w:id="687">
    <w:p w:rsidR="00E0371E" w:rsidRDefault="00E0371E" w:rsidP="007E32DD">
      <w:pPr>
        <w:pStyle w:val="Puslapioinaostekstas"/>
        <w:jc w:val="both"/>
      </w:pPr>
      <w:r>
        <w:rPr>
          <w:rStyle w:val="Puslapioinaosnuoroda"/>
        </w:rPr>
        <w:footnoteRef/>
      </w:r>
      <w:r w:rsidRPr="00B262A3">
        <w:rPr>
          <w:rFonts w:eastAsia="Times New Roman"/>
        </w:rPr>
        <w:t>BPK normos, reglamentuojančios įrodymų sampratą, lėmė įrodinėjimo proceso sampratos pokytį. Įrodinėjimo veikla ikiteisminio tyrimo stadijoje buvo pakeista duomenų rinkimo funkcija,</w:t>
      </w:r>
      <w:r>
        <w:rPr>
          <w:rFonts w:eastAsia="Times New Roman"/>
        </w:rPr>
        <w:t xml:space="preserve"> </w:t>
      </w:r>
      <w:r w:rsidRPr="00B262A3">
        <w:rPr>
          <w:rFonts w:eastAsia="Times New Roman"/>
        </w:rPr>
        <w:t xml:space="preserve">o įrodymų reikšmė jiems suteikiama tik </w:t>
      </w:r>
      <w:r>
        <w:rPr>
          <w:rFonts w:eastAsia="Times New Roman"/>
        </w:rPr>
        <w:t>juos ištyrus teisme (BPK 20 straipsnio</w:t>
      </w:r>
      <w:r w:rsidRPr="00B262A3">
        <w:rPr>
          <w:rFonts w:eastAsia="Times New Roman"/>
        </w:rPr>
        <w:t xml:space="preserve"> 2 d</w:t>
      </w:r>
      <w:r>
        <w:rPr>
          <w:rFonts w:eastAsia="Times New Roman"/>
        </w:rPr>
        <w:t>alis</w:t>
      </w:r>
      <w:r w:rsidRPr="00B262A3">
        <w:rPr>
          <w:rFonts w:eastAsia="Times New Roman"/>
        </w:rPr>
        <w:t xml:space="preserve">). </w:t>
      </w:r>
      <w:r>
        <w:t xml:space="preserve">Goda, G., Kazlauskas, M., Kuconis, P. </w:t>
      </w:r>
      <w:r w:rsidRPr="00AD4628">
        <w:rPr>
          <w:i/>
        </w:rPr>
        <w:t>Baudžiamojo proceso teisė</w:t>
      </w:r>
      <w:r>
        <w:rPr>
          <w:i/>
        </w:rPr>
        <w:t>.</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p. 174.</w:t>
      </w:r>
      <w:r>
        <w:t xml:space="preserve"> Ši įrodinėjimo samprata sulaukė ir kritikos. Pvz., </w:t>
      </w:r>
      <w:r w:rsidRPr="004C7431">
        <w:t>P. Anceli</w:t>
      </w:r>
      <w:r>
        <w:t>o nuomone,</w:t>
      </w:r>
      <w:r w:rsidRPr="004C7431">
        <w:t xml:space="preserve"> įrodomosios informacijos rinkimo procesas yra ne kas kita kaip</w:t>
      </w:r>
      <w:r>
        <w:t xml:space="preserve"> </w:t>
      </w:r>
      <w:r w:rsidRPr="004C7431">
        <w:t>įrodinėjimas, n</w:t>
      </w:r>
      <w:r>
        <w:t xml:space="preserve">es kitaip reikštų, kad tyrėjas </w:t>
      </w:r>
      <w:r w:rsidRPr="004C7431">
        <w:t>aptikdamas,</w:t>
      </w:r>
      <w:r>
        <w:t xml:space="preserve"> </w:t>
      </w:r>
      <w:r w:rsidRPr="004C7431">
        <w:t>rinkdamas, tikrindamas faktinius bylos duomeni</w:t>
      </w:r>
      <w:r>
        <w:t>s, jų neanalizuoja ir nevertina</w:t>
      </w:r>
      <w:r w:rsidRPr="004C7431">
        <w:t>.</w:t>
      </w:r>
      <w:r>
        <w:t xml:space="preserve"> </w:t>
      </w:r>
      <w:r w:rsidRPr="004C7431">
        <w:t>Ancelis</w:t>
      </w:r>
      <w:r>
        <w:t>,</w:t>
      </w:r>
      <w:r w:rsidRPr="004C7431">
        <w:t xml:space="preserve"> P. Įrodinėjimo teisinio reguliavimo įtaka, užtikrinant proceso dalyvių teises</w:t>
      </w:r>
      <w:r>
        <w:t xml:space="preserve"> </w:t>
      </w:r>
      <w:r w:rsidRPr="004C7431">
        <w:t xml:space="preserve">ikiteisminiame etape. </w:t>
      </w:r>
      <w:r w:rsidRPr="004C7431">
        <w:rPr>
          <w:i/>
        </w:rPr>
        <w:t>Jurisprudencija</w:t>
      </w:r>
      <w:r w:rsidRPr="004C7431">
        <w:t>. 2006, 11(89)</w:t>
      </w:r>
      <w:r>
        <w:t xml:space="preserve">: 9. </w:t>
      </w:r>
      <w:r w:rsidRPr="004C7431">
        <w:t>Ancelis</w:t>
      </w:r>
      <w:r>
        <w:t>,</w:t>
      </w:r>
      <w:r w:rsidRPr="004C7431">
        <w:t xml:space="preserve"> P. </w:t>
      </w:r>
      <w:r w:rsidRPr="004C7431">
        <w:rPr>
          <w:i/>
        </w:rPr>
        <w:t>Baudžiamojo proceso ikiteisminis etapas</w:t>
      </w:r>
      <w:r w:rsidRPr="004C7431">
        <w:t>. Vilnius</w:t>
      </w:r>
      <w:r>
        <w:t>: Saulužė</w:t>
      </w:r>
      <w:r w:rsidRPr="004C7431">
        <w:t>. 2007</w:t>
      </w:r>
      <w:r>
        <w:t xml:space="preserve">, p. 143-151, 242-247. </w:t>
      </w:r>
      <w:r w:rsidRPr="00CF6007">
        <w:t>Arlauskaitė-Rinkevičienė</w:t>
      </w:r>
      <w:r>
        <w:t>,</w:t>
      </w:r>
      <w:r w:rsidRPr="00CF6007">
        <w:t xml:space="preserve"> U. Įrodymų sampratos reglamentavimo baudžiamojo proceso kodekse trūkumai. </w:t>
      </w:r>
      <w:r w:rsidRPr="00386479">
        <w:rPr>
          <w:i/>
        </w:rPr>
        <w:t>Jurisprudencija</w:t>
      </w:r>
      <w:r>
        <w:t xml:space="preserve">. 2007, 4 (94): </w:t>
      </w:r>
      <w:r w:rsidRPr="00CF6007">
        <w:t>77.</w:t>
      </w:r>
      <w:r>
        <w:t xml:space="preserve"> Nuostatos, kad pažinimas baudžiamajame procese ir yra tas pats įrodinėjimas, laikosi ir kiti Lietuvos procesualistai. </w:t>
      </w:r>
      <w:r w:rsidRPr="00CF6007">
        <w:t>Goda,</w:t>
      </w:r>
      <w:r>
        <w:t xml:space="preserve"> G.,</w:t>
      </w:r>
      <w:r w:rsidRPr="00CF6007">
        <w:t xml:space="preserve"> Kazlauskas,</w:t>
      </w:r>
      <w:r>
        <w:t xml:space="preserve"> M.,</w:t>
      </w:r>
      <w:r w:rsidRPr="00CF6007">
        <w:t xml:space="preserve"> Kuconis</w:t>
      </w:r>
      <w:r>
        <w:t>, P.</w:t>
      </w:r>
      <w:r w:rsidRPr="00CF6007">
        <w:rPr>
          <w:i/>
        </w:rPr>
        <w:t>Baud</w:t>
      </w:r>
      <w:r w:rsidRPr="00CF6007">
        <w:rPr>
          <w:rFonts w:hint="eastAsia"/>
          <w:i/>
        </w:rPr>
        <w:t>ž</w:t>
      </w:r>
      <w:r w:rsidRPr="00CF6007">
        <w:rPr>
          <w:i/>
        </w:rPr>
        <w:t>iamojo proceso teis</w:t>
      </w:r>
      <w:r w:rsidRPr="00CF6007">
        <w:rPr>
          <w:rFonts w:hint="eastAsia"/>
          <w:i/>
        </w:rPr>
        <w:t>ė</w:t>
      </w:r>
      <w:r w:rsidRPr="00CF6007">
        <w:rPr>
          <w:i/>
        </w:rPr>
        <w:t>. Vadov</w:t>
      </w:r>
      <w:r w:rsidRPr="00CF6007">
        <w:rPr>
          <w:rFonts w:hint="eastAsia"/>
          <w:i/>
        </w:rPr>
        <w:t>ė</w:t>
      </w:r>
      <w:r w:rsidRPr="00CF6007">
        <w:rPr>
          <w:i/>
        </w:rPr>
        <w:t>lis</w:t>
      </w:r>
      <w:r>
        <w:t>.</w:t>
      </w:r>
      <w:r w:rsidRPr="00CF6007">
        <w:t xml:space="preserve"> Vilnius, 2005</w:t>
      </w:r>
      <w:r>
        <w:t>, p. 174</w:t>
      </w:r>
      <w:r w:rsidRPr="00CF6007">
        <w:t>.</w:t>
      </w:r>
    </w:p>
  </w:footnote>
  <w:footnote w:id="688">
    <w:p w:rsidR="00E0371E" w:rsidRDefault="00E0371E" w:rsidP="007E32DD">
      <w:pPr>
        <w:pStyle w:val="Puslapioinaostekstas"/>
        <w:jc w:val="both"/>
      </w:pPr>
      <w:r>
        <w:rPr>
          <w:rStyle w:val="Puslapioinaosnuoroda"/>
        </w:rPr>
        <w:footnoteRef/>
      </w:r>
      <w:r w:rsidRPr="00B262A3">
        <w:rPr>
          <w:rFonts w:eastAsia="Times New Roman"/>
        </w:rPr>
        <w:t>Teorijoje analizuojant pažinimo ir įrodinėjimo proceso turinį, skirtingai traktuojami pažinimo ir įrodinėjimo procesų pradžios momentai. Vieni mokslininkai teigia, kad bendrasis pažinimo procesas ir įrodinėjimo procesas yra atsieti, kiti – kad šie procesai, t.y. išorėje vykstanti daikto arba reiškinio pažintinė veikla ir procesinio pažinimo veikla (įrodymų ištyrimas) sutampa.</w:t>
      </w:r>
      <w:r>
        <w:rPr>
          <w:rFonts w:eastAsia="Times New Roman"/>
        </w:rPr>
        <w:t xml:space="preserve"> </w:t>
      </w:r>
      <w:r w:rsidRPr="00CF6007">
        <w:t>Arlauskaitė-Rinkevičienė</w:t>
      </w:r>
      <w:r>
        <w:t>,</w:t>
      </w:r>
      <w:r w:rsidRPr="00CF6007">
        <w:t xml:space="preserve"> U. Įrodymų sampratos reglamentavimo baudžiamojo proceso kodekse trūkumai. </w:t>
      </w:r>
      <w:r w:rsidRPr="00386479">
        <w:rPr>
          <w:i/>
        </w:rPr>
        <w:t>Jurisprudencija</w:t>
      </w:r>
      <w:r>
        <w:t xml:space="preserve">. 2007, 4 (94): 76. </w:t>
      </w:r>
      <w:r>
        <w:rPr>
          <w:rFonts w:eastAsia="Times New Roman"/>
        </w:rPr>
        <w:t>Tai remiasi nuostata, kad į</w:t>
      </w:r>
      <w:r w:rsidRPr="00B262A3">
        <w:rPr>
          <w:rFonts w:eastAsia="Times New Roman"/>
        </w:rPr>
        <w:t>rodinėjimo procesas yra vientisas ir nedalomas pažinimo procesas, kurio elementai laiko atžvilgiu gali net sutapti.</w:t>
      </w:r>
      <w:r>
        <w:rPr>
          <w:rFonts w:eastAsia="Times New Roman"/>
        </w:rPr>
        <w:t xml:space="preserve"> </w:t>
      </w:r>
      <w:r w:rsidRPr="00B17EC0">
        <w:t>Rinkevičius</w:t>
      </w:r>
      <w:r>
        <w:t>,</w:t>
      </w:r>
      <w:r w:rsidRPr="00B17EC0">
        <w:t xml:space="preserve"> J. </w:t>
      </w:r>
      <w:r w:rsidRPr="000878AE">
        <w:rPr>
          <w:i/>
        </w:rPr>
        <w:t>Procesiniai įrodinėjimo baudžiamosiose bylose pagrindai.</w:t>
      </w:r>
      <w:r>
        <w:t xml:space="preserve"> Vilnius: Vilniaus universiteto leidykla, 1990, p. 22. </w:t>
      </w:r>
      <w:r w:rsidRPr="00B17EC0">
        <w:t>Ancelis</w:t>
      </w:r>
      <w:r>
        <w:t>,</w:t>
      </w:r>
      <w:r w:rsidRPr="00B17EC0">
        <w:t xml:space="preserve"> P.</w:t>
      </w:r>
      <w:r>
        <w:t>,</w:t>
      </w:r>
      <w:r w:rsidRPr="00B17EC0">
        <w:t xml:space="preserve"> Šapalaitė</w:t>
      </w:r>
      <w:r>
        <w:t>,</w:t>
      </w:r>
      <w:r w:rsidRPr="00B17EC0">
        <w:t xml:space="preserve"> E. Daiktų statusas baudžiamajame procese</w:t>
      </w:r>
      <w:r>
        <w:t xml:space="preserve">. </w:t>
      </w:r>
      <w:r w:rsidRPr="000878AE">
        <w:rPr>
          <w:i/>
        </w:rPr>
        <w:t>Jurisprudencija</w:t>
      </w:r>
      <w:r w:rsidRPr="00B17EC0">
        <w:t>.</w:t>
      </w:r>
      <w:r>
        <w:t xml:space="preserve"> 2004, 49(41): 124.</w:t>
      </w:r>
    </w:p>
  </w:footnote>
  <w:footnote w:id="689">
    <w:p w:rsidR="00E0371E" w:rsidRDefault="00E0371E" w:rsidP="007E32DD">
      <w:pPr>
        <w:pStyle w:val="Puslapioinaostekstas"/>
        <w:jc w:val="both"/>
      </w:pPr>
      <w:r>
        <w:rPr>
          <w:rStyle w:val="Puslapioinaosnuoroda"/>
        </w:rPr>
        <w:footnoteRef/>
      </w:r>
      <w:r>
        <w:t xml:space="preserve">Belevičius, L. Procesinių prievartos priemonių teisėtumo ir jų taikymo metu gautų įrodymų leistinumo probleminiai aspektai. In Kurapka, V. E., </w:t>
      </w:r>
      <w:r w:rsidRPr="004D31B4">
        <w:rPr>
          <w:i/>
        </w:rPr>
        <w:t>et al</w:t>
      </w:r>
      <w:r>
        <w:t xml:space="preserve">. </w:t>
      </w:r>
      <w:r w:rsidRPr="00B1609C">
        <w:rPr>
          <w:i/>
        </w:rPr>
        <w:t>Baudžiamasis procesas: nuo teorijos iki įrodinėjimo.</w:t>
      </w:r>
      <w:r>
        <w:t xml:space="preserve"> Vilnius: Mykolo Romerio Universitetas, 2011, p. 329.</w:t>
      </w:r>
    </w:p>
  </w:footnote>
  <w:footnote w:id="690">
    <w:p w:rsidR="00E0371E" w:rsidRDefault="00E0371E" w:rsidP="007E32DD">
      <w:pPr>
        <w:pStyle w:val="Puslapioinaostekstas"/>
        <w:jc w:val="both"/>
      </w:pPr>
      <w:r>
        <w:rPr>
          <w:rStyle w:val="Puslapioinaosnuoroda"/>
        </w:rPr>
        <w:footnoteRef/>
      </w:r>
      <w:r>
        <w:t xml:space="preserve">Arlauskaitė-Rinkevičienė, U. Pažinimo proceso ir tiesos nustatymo baudžiamajame procese probleminiai aspektai. </w:t>
      </w:r>
      <w:r w:rsidRPr="002A1096">
        <w:rPr>
          <w:i/>
        </w:rPr>
        <w:t>Jurisprudencija</w:t>
      </w:r>
      <w:r>
        <w:rPr>
          <w:i/>
        </w:rPr>
        <w:t>.</w:t>
      </w:r>
      <w:r>
        <w:t xml:space="preserve"> 2006, 11 (89): 73. </w:t>
      </w:r>
    </w:p>
  </w:footnote>
  <w:footnote w:id="691">
    <w:p w:rsidR="00E0371E" w:rsidRDefault="00E0371E" w:rsidP="007E32DD">
      <w:pPr>
        <w:pStyle w:val="Puslapioinaostekstas"/>
        <w:jc w:val="both"/>
      </w:pPr>
      <w:r>
        <w:rPr>
          <w:rStyle w:val="Puslapioinaosnuoroda"/>
        </w:rPr>
        <w:footnoteRef/>
      </w:r>
      <w:r w:rsidRPr="003C6DD7">
        <w:t xml:space="preserve">Lietuvos Aukščiausiojo Teismo Baudžiamojo proceso kodekso normų, reglamentuojančių įrodinėjimą, taikymo teismų praktikoje apžvalga. </w:t>
      </w:r>
      <w:r w:rsidRPr="009F5399">
        <w:rPr>
          <w:i/>
        </w:rPr>
        <w:t>Teismų praktika</w:t>
      </w:r>
      <w:r w:rsidRPr="003C6DD7">
        <w:t>. 2007, 27</w:t>
      </w:r>
      <w:r>
        <w:t xml:space="preserve">: </w:t>
      </w:r>
      <w:r w:rsidRPr="003C6DD7">
        <w:t>32</w:t>
      </w:r>
      <w:r>
        <w:t xml:space="preserve">1. </w:t>
      </w:r>
    </w:p>
  </w:footnote>
  <w:footnote w:id="692">
    <w:p w:rsidR="00E0371E" w:rsidRDefault="00E0371E" w:rsidP="007E32DD">
      <w:pPr>
        <w:pStyle w:val="Puslapioinaostekstas"/>
        <w:jc w:val="both"/>
      </w:pPr>
      <w:r>
        <w:rPr>
          <w:rStyle w:val="Puslapioinaosnuoroda"/>
        </w:rPr>
        <w:footnoteRef/>
      </w:r>
      <w:r>
        <w:t xml:space="preserve">Gušauskienė, M. Įtariamojo teisės į gynybą teisinis procesinis turinys ikiteisminio tyrimo stadijoje. In Ancelis, P., </w:t>
      </w:r>
      <w:r w:rsidRPr="001657F4">
        <w:rPr>
          <w:i/>
        </w:rPr>
        <w:t>et al.</w:t>
      </w:r>
      <w:r>
        <w:t xml:space="preserve"> </w:t>
      </w:r>
      <w:r w:rsidRPr="00241E5B">
        <w:rPr>
          <w:i/>
        </w:rPr>
        <w:t>Sąžiningas baudžiamasis procesas: probleminiai aspektai</w:t>
      </w:r>
      <w:r>
        <w:t>. Vilnius: Industrus, 2009, p. 235.</w:t>
      </w:r>
    </w:p>
  </w:footnote>
  <w:footnote w:id="693">
    <w:p w:rsidR="00E0371E" w:rsidRPr="00D63F5D" w:rsidRDefault="00E0371E" w:rsidP="008579E0">
      <w:pPr>
        <w:jc w:val="both"/>
        <w:rPr>
          <w:sz w:val="20"/>
        </w:rPr>
      </w:pPr>
      <w:r w:rsidRPr="00D63F5D">
        <w:rPr>
          <w:rStyle w:val="Puslapioinaosnuoroda"/>
          <w:sz w:val="20"/>
        </w:rPr>
        <w:footnoteRef/>
      </w:r>
      <w:r w:rsidRPr="00D63F5D">
        <w:rPr>
          <w:sz w:val="20"/>
        </w:rPr>
        <w:t xml:space="preserve">Nukentėjusiajam dėl jo atžvilgiu įvykdytos nusikalstamos veikos kreipusis į ikiteisminio tyrimo įstaigą, kai kuriais atvejais pradedamas ikiteisminis tyrimas dėl viešojo kaltinimo tvarka nagrinėtinos nusikalstamos veikos, o paaiškėjus, jog veika priskirtina nusikalstamų veikų, dėl kurių neatliekamas ikiteisminis tyrimas, kategorijai, ikiteisminis tyrimas nutraukiamas. Ikiteisminio tyrimo metu surinkta įrodomoji informacija gali būti panaudota privataus kaltinimo procese. Šiuo atveju turime procesinę įrodymų rinkimo formą. </w:t>
      </w:r>
      <w:r>
        <w:rPr>
          <w:sz w:val="20"/>
        </w:rPr>
        <w:t>Taip pat leidžiama atlikti proceso veiksmus, nesusijusius su procesinėmis prievartos priemonėmis (BPK 168 straipsnio 1 dalis), ir tikslinant skundą ar pareiškimą nepradėjus ikiteisminio tyrimo. Todėl duomenys, užfiksuoti atliekant proceso veiksmus BPK 168 straipsnio 1 dalyje numatyta tvarka, priskirtini procesinei įrodymų rinkimo formai, net jei</w:t>
      </w:r>
      <w:r w:rsidRPr="00867F06">
        <w:rPr>
          <w:sz w:val="20"/>
        </w:rPr>
        <w:t xml:space="preserve"> atsisak</w:t>
      </w:r>
      <w:r>
        <w:rPr>
          <w:sz w:val="20"/>
        </w:rPr>
        <w:t xml:space="preserve">oma pradėti ikiteisminį tyrimą. </w:t>
      </w:r>
    </w:p>
  </w:footnote>
  <w:footnote w:id="694">
    <w:p w:rsidR="00E0371E" w:rsidRPr="00A051B8" w:rsidRDefault="00E0371E" w:rsidP="00A051B8">
      <w:pPr>
        <w:jc w:val="both"/>
        <w:rPr>
          <w:rFonts w:eastAsia="Times New Roman"/>
          <w:sz w:val="20"/>
          <w:szCs w:val="20"/>
        </w:rPr>
      </w:pPr>
      <w:r w:rsidRPr="00A051B8">
        <w:rPr>
          <w:rStyle w:val="Puslapioinaosnuoroda"/>
          <w:sz w:val="20"/>
          <w:szCs w:val="20"/>
        </w:rPr>
        <w:footnoteRef/>
      </w:r>
      <w:r>
        <w:rPr>
          <w:sz w:val="20"/>
          <w:szCs w:val="20"/>
        </w:rPr>
        <w:t>Teorijoje p</w:t>
      </w:r>
      <w:r w:rsidRPr="00A051B8">
        <w:rPr>
          <w:rFonts w:eastAsia="Times New Roman"/>
          <w:sz w:val="20"/>
          <w:szCs w:val="20"/>
        </w:rPr>
        <w:t>rie privačių asmenų renkamos informacijos priskir</w:t>
      </w:r>
      <w:r>
        <w:rPr>
          <w:rFonts w:eastAsia="Times New Roman"/>
          <w:sz w:val="20"/>
          <w:szCs w:val="20"/>
        </w:rPr>
        <w:t>iam</w:t>
      </w:r>
      <w:r w:rsidRPr="00A051B8">
        <w:rPr>
          <w:rFonts w:eastAsia="Times New Roman"/>
          <w:sz w:val="20"/>
          <w:szCs w:val="20"/>
        </w:rPr>
        <w:t xml:space="preserve">a ir privati detektyvinė veikla, kuri </w:t>
      </w:r>
      <w:r>
        <w:rPr>
          <w:rFonts w:eastAsia="Times New Roman"/>
          <w:sz w:val="20"/>
          <w:szCs w:val="20"/>
        </w:rPr>
        <w:t>gali būti</w:t>
      </w:r>
      <w:r w:rsidRPr="00A051B8">
        <w:rPr>
          <w:rFonts w:eastAsia="Times New Roman"/>
          <w:sz w:val="20"/>
          <w:szCs w:val="20"/>
        </w:rPr>
        <w:t xml:space="preserve"> vykdoma privačios sutarties pagrindu, siekiant surinkti duomenis, panaudotinus baudžiamajame procese</w:t>
      </w:r>
      <w:r>
        <w:rPr>
          <w:rFonts w:eastAsia="Times New Roman"/>
          <w:sz w:val="20"/>
          <w:szCs w:val="20"/>
        </w:rPr>
        <w:t>, jei tokia veikla yra reglamentuota įstatymo</w:t>
      </w:r>
      <w:r w:rsidRPr="00A051B8">
        <w:rPr>
          <w:rFonts w:eastAsia="Times New Roman"/>
          <w:sz w:val="20"/>
          <w:szCs w:val="20"/>
        </w:rPr>
        <w:t>.</w:t>
      </w:r>
      <w:r>
        <w:rPr>
          <w:rFonts w:eastAsia="Times New Roman"/>
          <w:sz w:val="20"/>
          <w:szCs w:val="20"/>
        </w:rPr>
        <w:t xml:space="preserve"> Lietuvoje būta iniciatyvos įteisinti privačią detektyvinę veiklą, tačiau šis projektas nesulaukė įstatymų leidėjo palaikymo.</w:t>
      </w:r>
      <w:r w:rsidRPr="00A051B8">
        <w:rPr>
          <w:sz w:val="20"/>
          <w:szCs w:val="20"/>
        </w:rPr>
        <w:t>Lietuvos Respublikos privačios detektyvinės veiklos įstatymo projektas. [interaktyvus]. 2012, Nr. XIP-4305. [žiūrėta 2013-11-05]</w:t>
      </w:r>
      <w:r>
        <w:rPr>
          <w:sz w:val="20"/>
          <w:szCs w:val="20"/>
        </w:rPr>
        <w:t>.</w:t>
      </w:r>
      <w:r w:rsidRPr="00A051B8">
        <w:rPr>
          <w:sz w:val="20"/>
          <w:szCs w:val="20"/>
        </w:rPr>
        <w:t xml:space="preserve"> </w:t>
      </w:r>
      <w:r>
        <w:rPr>
          <w:sz w:val="20"/>
          <w:szCs w:val="20"/>
        </w:rPr>
        <w:t>&lt;</w:t>
      </w:r>
      <w:r w:rsidRPr="00A051B8">
        <w:rPr>
          <w:sz w:val="20"/>
          <w:szCs w:val="20"/>
        </w:rPr>
        <w:t>http://www3.lrs.lt/pls/inter3/dokpaieska.showdoc_l?p_id=422008&amp;p_query=&amp;p_tr2=2</w:t>
      </w:r>
      <w:r>
        <w:rPr>
          <w:sz w:val="20"/>
          <w:szCs w:val="20"/>
        </w:rPr>
        <w:t>&gt;.</w:t>
      </w:r>
    </w:p>
  </w:footnote>
  <w:footnote w:id="695">
    <w:p w:rsidR="00E0371E" w:rsidRDefault="00E0371E" w:rsidP="00D27C1D">
      <w:pPr>
        <w:pStyle w:val="Puslapioinaostekstas"/>
        <w:jc w:val="both"/>
      </w:pPr>
      <w:r w:rsidRPr="00A051B8">
        <w:rPr>
          <w:rStyle w:val="Puslapioinaosnuoroda"/>
        </w:rPr>
        <w:footnoteRef/>
      </w:r>
      <w:r w:rsidRPr="00A051B8">
        <w:t>Įrodymais gali būti pripažįstami ir duomenys, gauti kitų žemesnės nei įstatymai aktų, nustatyta tvarka. Šiuo atveju</w:t>
      </w:r>
      <w:r w:rsidRPr="001853BE">
        <w:t xml:space="preserve"> svarbu, kad tokie aktai būtų priimti vadovaujantis įstatymu.</w:t>
      </w:r>
      <w:r>
        <w:t xml:space="preserve"> </w:t>
      </w:r>
      <w:r w:rsidRPr="001853BE">
        <w:t>L</w:t>
      </w:r>
      <w:r>
        <w:t>ietuvos Aukščiausiojo Teismo</w:t>
      </w:r>
      <w:r w:rsidRPr="001853BE">
        <w:t xml:space="preserve"> Baudžiamojo </w:t>
      </w:r>
      <w:r>
        <w:t xml:space="preserve">proceso </w:t>
      </w:r>
      <w:r w:rsidRPr="001853BE">
        <w:t xml:space="preserve">kodekso normų, reglamentuojančių įrodinėjimą, taikymo teismų praktikoje </w:t>
      </w:r>
      <w:r>
        <w:t xml:space="preserve">apžvalga. </w:t>
      </w:r>
      <w:r w:rsidRPr="001D7591">
        <w:rPr>
          <w:i/>
        </w:rPr>
        <w:t>Teismų praktika</w:t>
      </w:r>
      <w:r>
        <w:t xml:space="preserve">. 2007, 27: 329. </w:t>
      </w:r>
    </w:p>
  </w:footnote>
  <w:footnote w:id="696">
    <w:p w:rsidR="00E0371E" w:rsidRDefault="00E0371E" w:rsidP="007E32DD">
      <w:pPr>
        <w:pStyle w:val="Puslapioinaostekstas"/>
        <w:jc w:val="both"/>
      </w:pPr>
      <w:r>
        <w:rPr>
          <w:rStyle w:val="Puslapioinaosnuoroda"/>
        </w:rPr>
        <w:footnoteRef/>
      </w:r>
      <w:r>
        <w:t xml:space="preserve">Bilius, M., Kuzminovas, M. Privačių subjektų surinktų duomenų naudojimas Lietuvos baudžiamajame procese.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.Vilnius: VĮ Registrų centras, 2014, p. 397-412.</w:t>
      </w:r>
    </w:p>
  </w:footnote>
  <w:footnote w:id="697">
    <w:p w:rsidR="00E0371E" w:rsidRDefault="00E0371E" w:rsidP="00607241">
      <w:pPr>
        <w:pStyle w:val="Puslapioinaostekstas"/>
        <w:jc w:val="both"/>
      </w:pPr>
      <w:r>
        <w:rPr>
          <w:rStyle w:val="Puslapioinaosnuoroda"/>
        </w:rPr>
        <w:footnoteRef/>
      </w:r>
      <w:r>
        <w:t xml:space="preserve">Riess, P. Der Strafprozess und der Verletzte – eine Zwischenbilanz. </w:t>
      </w:r>
      <w:r w:rsidRPr="009A17C9">
        <w:rPr>
          <w:i/>
        </w:rPr>
        <w:t>Jura</w:t>
      </w:r>
      <w:r>
        <w:t xml:space="preserve">. 1987: 281. </w:t>
      </w:r>
      <w:r w:rsidRPr="00875B7D">
        <w:t xml:space="preserve">Jung, H. Zur Rechtsstellung des Verletzten im Strafverfahren. </w:t>
      </w:r>
      <w:r w:rsidRPr="00875B7D">
        <w:rPr>
          <w:i/>
        </w:rPr>
        <w:t>Juristische Rundschau</w:t>
      </w:r>
      <w:r>
        <w:t>. 1984, 8: 311.</w:t>
      </w:r>
    </w:p>
  </w:footnote>
  <w:footnote w:id="698">
    <w:p w:rsidR="00E0371E" w:rsidRDefault="00E0371E" w:rsidP="007E32DD">
      <w:pPr>
        <w:pStyle w:val="Puslapioinaostekstas"/>
        <w:jc w:val="both"/>
      </w:pPr>
      <w:r>
        <w:rPr>
          <w:rStyle w:val="Puslapioinaosnuoroda"/>
        </w:rPr>
        <w:footnoteRef/>
      </w:r>
      <w:r>
        <w:t>V</w:t>
      </w:r>
      <w:r w:rsidRPr="00EA451E">
        <w:rPr>
          <w:iCs/>
        </w:rPr>
        <w:t>ietoje</w:t>
      </w:r>
      <w:r>
        <w:rPr>
          <w:iCs/>
        </w:rPr>
        <w:t xml:space="preserve"> privataus kaltinimo instituto siūloma</w:t>
      </w:r>
      <w:r w:rsidRPr="00EA451E">
        <w:rPr>
          <w:iCs/>
        </w:rPr>
        <w:t xml:space="preserve"> išvystyt</w:t>
      </w:r>
      <w:r>
        <w:rPr>
          <w:iCs/>
        </w:rPr>
        <w:t>i</w:t>
      </w:r>
      <w:r w:rsidRPr="00EA451E">
        <w:rPr>
          <w:iCs/>
        </w:rPr>
        <w:t xml:space="preserve"> bei materialiai skatin</w:t>
      </w:r>
      <w:r>
        <w:rPr>
          <w:iCs/>
        </w:rPr>
        <w:t>ti</w:t>
      </w:r>
      <w:r w:rsidRPr="00EA451E">
        <w:rPr>
          <w:iCs/>
        </w:rPr>
        <w:t xml:space="preserve"> galimyb</w:t>
      </w:r>
      <w:r>
        <w:rPr>
          <w:iCs/>
        </w:rPr>
        <w:t>e</w:t>
      </w:r>
      <w:r w:rsidRPr="00EA451E">
        <w:rPr>
          <w:iCs/>
        </w:rPr>
        <w:t xml:space="preserve">s neteisminei mediacijai ir konflikto šalių susitaikymui. </w:t>
      </w:r>
      <w:r w:rsidRPr="00875B7D">
        <w:rPr>
          <w:lang w:val="de-DE"/>
        </w:rPr>
        <w:t>Weigend, T. „Die Strafe f</w:t>
      </w:r>
      <w:r w:rsidRPr="00875B7D">
        <w:t>ü</w:t>
      </w:r>
      <w:r w:rsidRPr="00875B7D">
        <w:rPr>
          <w:lang w:val="de-DE"/>
        </w:rPr>
        <w:t xml:space="preserve">r das Opfer?“ - Zur Renaissance des Genugtuungsgedankes im Straf- und Strafverfahrensrecht. </w:t>
      </w:r>
      <w:r w:rsidRPr="006637D3">
        <w:rPr>
          <w:i/>
          <w:lang w:val="de-DE"/>
        </w:rPr>
        <w:t>Rechtswissenschaft</w:t>
      </w:r>
      <w:r w:rsidRPr="006637D3">
        <w:rPr>
          <w:lang w:val="de-DE"/>
        </w:rPr>
        <w:t>. 2010,</w:t>
      </w:r>
      <w:r>
        <w:rPr>
          <w:lang w:val="de-DE"/>
        </w:rPr>
        <w:t xml:space="preserve"> </w:t>
      </w:r>
      <w:r w:rsidRPr="006637D3">
        <w:rPr>
          <w:lang w:val="de-DE"/>
        </w:rPr>
        <w:t xml:space="preserve">1: </w:t>
      </w:r>
      <w:r>
        <w:t>35.</w:t>
      </w:r>
    </w:p>
  </w:footnote>
  <w:footnote w:id="699">
    <w:p w:rsidR="00E0371E" w:rsidRDefault="00E0371E" w:rsidP="007E32DD">
      <w:pPr>
        <w:pStyle w:val="Puslapioinaostekstas"/>
        <w:jc w:val="both"/>
      </w:pPr>
      <w:r>
        <w:rPr>
          <w:rStyle w:val="Puslapioinaosnuoroda"/>
        </w:rPr>
        <w:footnoteRef/>
      </w:r>
      <w:r>
        <w:t xml:space="preserve">Riess, P. Der Strafprozess und der Verletzte – eine Zwischenbilanz. </w:t>
      </w:r>
      <w:r w:rsidRPr="009A17C9">
        <w:rPr>
          <w:i/>
        </w:rPr>
        <w:t>Jura</w:t>
      </w:r>
      <w:r>
        <w:t>. 1987: 281.</w:t>
      </w:r>
    </w:p>
  </w:footnote>
  <w:footnote w:id="700">
    <w:p w:rsidR="00E0371E" w:rsidRPr="00ED08A6" w:rsidRDefault="00E0371E" w:rsidP="00ED08A6">
      <w:pPr>
        <w:autoSpaceDE w:val="0"/>
        <w:autoSpaceDN w:val="0"/>
        <w:adjustRightInd w:val="0"/>
        <w:jc w:val="both"/>
        <w:rPr>
          <w:color w:val="000000"/>
          <w:sz w:val="20"/>
          <w:szCs w:val="20"/>
          <w:lang w:eastAsia="lt-LT"/>
        </w:rPr>
      </w:pPr>
      <w:r w:rsidRPr="00ED08A6">
        <w:rPr>
          <w:rStyle w:val="Puslapioinaosnuoroda"/>
          <w:sz w:val="20"/>
          <w:szCs w:val="20"/>
        </w:rPr>
        <w:footnoteRef/>
      </w:r>
      <w:r>
        <w:rPr>
          <w:sz w:val="20"/>
          <w:szCs w:val="20"/>
        </w:rPr>
        <w:t xml:space="preserve">Ši problematika analizuota autorės publikuotame moksliniame straipsnyje. </w:t>
      </w:r>
      <w:r w:rsidRPr="00ED08A6">
        <w:rPr>
          <w:color w:val="000000"/>
          <w:sz w:val="20"/>
          <w:szCs w:val="20"/>
          <w:lang w:eastAsia="lt-LT"/>
        </w:rPr>
        <w:t xml:space="preserve">Matuizienė, E. Kai kurie privataus kaltinimo teisės įgyvendinimo aspektai. </w:t>
      </w:r>
      <w:r w:rsidRPr="00ED08A6">
        <w:rPr>
          <w:i/>
          <w:color w:val="000000"/>
          <w:sz w:val="20"/>
          <w:szCs w:val="20"/>
          <w:lang w:eastAsia="lt-LT"/>
        </w:rPr>
        <w:t>Visuomenės saugumas ir viešoji tvarka.</w:t>
      </w:r>
      <w:r w:rsidRPr="00ED08A6">
        <w:rPr>
          <w:color w:val="000000"/>
          <w:sz w:val="20"/>
          <w:szCs w:val="20"/>
          <w:lang w:eastAsia="lt-LT"/>
        </w:rPr>
        <w:t xml:space="preserve"> 2013, 10</w:t>
      </w:r>
      <w:r>
        <w:rPr>
          <w:color w:val="000000"/>
          <w:sz w:val="20"/>
          <w:szCs w:val="20"/>
          <w:lang w:eastAsia="lt-LT"/>
        </w:rPr>
        <w:t>:</w:t>
      </w:r>
      <w:r w:rsidRPr="00ED08A6">
        <w:rPr>
          <w:color w:val="000000"/>
          <w:sz w:val="20"/>
          <w:szCs w:val="20"/>
          <w:lang w:eastAsia="lt-LT"/>
        </w:rPr>
        <w:t xml:space="preserve"> 86-108.</w:t>
      </w:r>
    </w:p>
  </w:footnote>
  <w:footnote w:id="701">
    <w:p w:rsidR="00E0371E" w:rsidRDefault="00E0371E" w:rsidP="007E32DD">
      <w:pPr>
        <w:pStyle w:val="Puslapioinaostekstas"/>
        <w:jc w:val="both"/>
      </w:pPr>
      <w:r>
        <w:rPr>
          <w:rStyle w:val="Puslapioinaosnuoroda"/>
        </w:rPr>
        <w:footnoteRef/>
      </w:r>
      <w:r w:rsidRPr="007A2ED2">
        <w:t>Girdauskas</w:t>
      </w:r>
      <w:r>
        <w:t>,</w:t>
      </w:r>
      <w:r w:rsidRPr="007A2ED2">
        <w:t xml:space="preserve"> M. Rungimosi principas baudžiamajame procese: turinio aspektai.</w:t>
      </w:r>
      <w:r>
        <w:t xml:space="preserve"> </w:t>
      </w:r>
      <w:r w:rsidRPr="00B76292">
        <w:rPr>
          <w:i/>
        </w:rPr>
        <w:t>Teisė</w:t>
      </w:r>
      <w:r w:rsidRPr="007A2ED2">
        <w:t>. 2004, 53</w:t>
      </w:r>
      <w:r>
        <w:t>: 109.</w:t>
      </w:r>
    </w:p>
  </w:footnote>
  <w:footnote w:id="702">
    <w:p w:rsidR="00E0371E" w:rsidRDefault="00E0371E" w:rsidP="007E32DD">
      <w:pPr>
        <w:pStyle w:val="Puslapioinaostekstas"/>
        <w:jc w:val="both"/>
      </w:pPr>
      <w:r>
        <w:rPr>
          <w:rStyle w:val="Puslapioinaosnuoroda"/>
        </w:rPr>
        <w:footnoteRef/>
      </w:r>
      <w:r>
        <w:t xml:space="preserve">Lazareva, V. A. Dokazyvanije v ugolovnom processe. Moskva, 2010, p. 48-52, per Ancelis, P. Įrodinėjimo tikslas, dalykas ir priemonės. In Kurapka, V. E., </w:t>
      </w:r>
      <w:r w:rsidRPr="00116801">
        <w:rPr>
          <w:i/>
        </w:rPr>
        <w:t>et al</w:t>
      </w:r>
      <w:r>
        <w:t xml:space="preserve">. </w:t>
      </w:r>
      <w:r w:rsidRPr="00082942">
        <w:rPr>
          <w:i/>
        </w:rPr>
        <w:t>Baudžiamasis procesas: nuo teorijos iki įrodinėjimo (prof. dr. Eugenijaus Palskio atminimui). Mokslo studija</w:t>
      </w:r>
      <w:r w:rsidRPr="00C347C6">
        <w:t>. Vilnius: Mykolo Romerio universitetas, 2011</w:t>
      </w:r>
      <w:r>
        <w:t xml:space="preserve">, p. 218. </w:t>
      </w:r>
    </w:p>
  </w:footnote>
  <w:footnote w:id="703">
    <w:p w:rsidR="00E0371E" w:rsidRPr="00927F5E" w:rsidRDefault="00E0371E" w:rsidP="00927F5E">
      <w:pPr>
        <w:jc w:val="both"/>
        <w:rPr>
          <w:bCs/>
          <w:sz w:val="20"/>
          <w:szCs w:val="20"/>
        </w:rPr>
      </w:pPr>
      <w:r w:rsidRPr="0021752F">
        <w:rPr>
          <w:rStyle w:val="Puslapioinaosnuoroda"/>
        </w:rPr>
        <w:footnoteRef/>
      </w:r>
      <w:r w:rsidRPr="00927F5E">
        <w:rPr>
          <w:sz w:val="20"/>
          <w:szCs w:val="20"/>
        </w:rPr>
        <w:t xml:space="preserve">Lietuvos Respublikos Konstitucinio Teismo 2011 m. balandžio 7 d. nutarimas. </w:t>
      </w:r>
      <w:r w:rsidRPr="00927F5E">
        <w:rPr>
          <w:i/>
          <w:sz w:val="20"/>
          <w:szCs w:val="20"/>
        </w:rPr>
        <w:t>Valstybės žinios</w:t>
      </w:r>
      <w:r w:rsidRPr="00927F5E">
        <w:rPr>
          <w:sz w:val="20"/>
          <w:szCs w:val="20"/>
        </w:rPr>
        <w:t>. 2011, Nr. 42-1985.</w:t>
      </w:r>
      <w:r>
        <w:rPr>
          <w:sz w:val="20"/>
          <w:szCs w:val="20"/>
        </w:rPr>
        <w:t xml:space="preserve"> </w:t>
      </w:r>
      <w:r w:rsidRPr="00927F5E">
        <w:rPr>
          <w:sz w:val="20"/>
          <w:szCs w:val="20"/>
        </w:rPr>
        <w:t xml:space="preserve">Lietuvos Respublikos Konstitucinio Teismo 2006 m. sausio 16 d. nutarimas. </w:t>
      </w:r>
      <w:r w:rsidRPr="00927F5E">
        <w:rPr>
          <w:i/>
          <w:iCs/>
          <w:sz w:val="20"/>
          <w:szCs w:val="20"/>
        </w:rPr>
        <w:t xml:space="preserve">Valstybės žinios. </w:t>
      </w:r>
      <w:r w:rsidRPr="00927F5E">
        <w:rPr>
          <w:sz w:val="20"/>
          <w:szCs w:val="20"/>
        </w:rPr>
        <w:t>2006, Nr. 7-254</w:t>
      </w:r>
      <w:r>
        <w:rPr>
          <w:bCs/>
          <w:sz w:val="20"/>
          <w:szCs w:val="20"/>
        </w:rPr>
        <w:t>.</w:t>
      </w:r>
      <w:r w:rsidRPr="00927F5E">
        <w:rPr>
          <w:bCs/>
          <w:sz w:val="20"/>
          <w:szCs w:val="20"/>
        </w:rPr>
        <w:t xml:space="preserve"> </w:t>
      </w:r>
      <w:r w:rsidRPr="00927F5E">
        <w:rPr>
          <w:sz w:val="20"/>
          <w:szCs w:val="20"/>
        </w:rPr>
        <w:t xml:space="preserve">Lietuvos Respublikos Konstitucinio Teismo </w:t>
      </w:r>
      <w:r w:rsidRPr="00927F5E">
        <w:rPr>
          <w:bCs/>
          <w:sz w:val="20"/>
          <w:szCs w:val="20"/>
        </w:rPr>
        <w:t xml:space="preserve">2008 m. gegužės 28 d. nutarimas. </w:t>
      </w:r>
      <w:r w:rsidRPr="00927F5E">
        <w:rPr>
          <w:i/>
          <w:sz w:val="20"/>
          <w:szCs w:val="20"/>
        </w:rPr>
        <w:t>Valstybės žinios.</w:t>
      </w:r>
      <w:r w:rsidRPr="00927F5E">
        <w:rPr>
          <w:sz w:val="20"/>
          <w:szCs w:val="20"/>
        </w:rPr>
        <w:t xml:space="preserve"> 2008, Nr. 62-2353.</w:t>
      </w:r>
    </w:p>
  </w:footnote>
  <w:footnote w:id="704">
    <w:p w:rsidR="00E0371E" w:rsidRPr="001657F4" w:rsidRDefault="00E0371E" w:rsidP="007E32DD">
      <w:pPr>
        <w:autoSpaceDE w:val="0"/>
        <w:autoSpaceDN w:val="0"/>
        <w:adjustRightInd w:val="0"/>
        <w:jc w:val="both"/>
        <w:rPr>
          <w:sz w:val="20"/>
          <w:szCs w:val="20"/>
        </w:rPr>
      </w:pPr>
      <w:r w:rsidRPr="001657F4">
        <w:rPr>
          <w:rStyle w:val="Puslapioinaosnuoroda"/>
          <w:sz w:val="20"/>
          <w:szCs w:val="20"/>
        </w:rPr>
        <w:footnoteRef/>
      </w:r>
      <w:r w:rsidRPr="001657F4">
        <w:rPr>
          <w:sz w:val="20"/>
          <w:szCs w:val="20"/>
        </w:rPr>
        <w:t xml:space="preserve">Lietuvos Aukščiausiojo Teismo Baudžiamojo </w:t>
      </w:r>
      <w:r>
        <w:rPr>
          <w:sz w:val="20"/>
          <w:szCs w:val="20"/>
        </w:rPr>
        <w:t xml:space="preserve">proceso </w:t>
      </w:r>
      <w:r w:rsidRPr="001657F4">
        <w:rPr>
          <w:sz w:val="20"/>
          <w:szCs w:val="20"/>
        </w:rPr>
        <w:t xml:space="preserve">kodekso normų, reglamentuojančių įrodinėjimą, taikymo teismų praktikoje apžvalga. </w:t>
      </w:r>
      <w:r w:rsidRPr="001657F4">
        <w:rPr>
          <w:i/>
          <w:sz w:val="20"/>
          <w:szCs w:val="20"/>
        </w:rPr>
        <w:t>Teismų praktika</w:t>
      </w:r>
      <w:r>
        <w:rPr>
          <w:sz w:val="20"/>
          <w:szCs w:val="20"/>
        </w:rPr>
        <w:t>. 2007, 27: 32</w:t>
      </w:r>
      <w:r w:rsidRPr="001657F4">
        <w:rPr>
          <w:sz w:val="20"/>
          <w:szCs w:val="20"/>
        </w:rPr>
        <w:t>2.</w:t>
      </w:r>
    </w:p>
  </w:footnote>
  <w:footnote w:id="705">
    <w:p w:rsidR="00E0371E" w:rsidRDefault="00E0371E">
      <w:pPr>
        <w:pStyle w:val="Puslapioinaostekstas"/>
      </w:pPr>
      <w:r>
        <w:rPr>
          <w:rStyle w:val="Puslapioinaosnuoroda"/>
        </w:rPr>
        <w:footnoteRef/>
      </w:r>
      <w:r>
        <w:t xml:space="preserve">Terebeiza, Ž. Laisvas įrodymų vertinimas civiliniame procese: teoriniai ir praktiniai aspektai. </w:t>
      </w:r>
      <w:r w:rsidRPr="00AA00E0">
        <w:rPr>
          <w:i/>
        </w:rPr>
        <w:t>Jurisprudencija</w:t>
      </w:r>
      <w:r>
        <w:t>. 2007, 5 (95): 80-81.</w:t>
      </w:r>
    </w:p>
  </w:footnote>
  <w:footnote w:id="706">
    <w:p w:rsidR="00E0371E" w:rsidRDefault="00E0371E" w:rsidP="007E32DD">
      <w:pPr>
        <w:pStyle w:val="Puslapioinaostekstas"/>
        <w:jc w:val="both"/>
      </w:pPr>
      <w:r>
        <w:rPr>
          <w:rStyle w:val="Puslapioinaosnuoroda"/>
        </w:rPr>
        <w:footnoteRef/>
      </w:r>
      <w:r w:rsidRPr="001853BE">
        <w:t>L</w:t>
      </w:r>
      <w:r>
        <w:t>ietuvos Aukščiausiojo Teismo</w:t>
      </w:r>
      <w:r w:rsidRPr="001853BE">
        <w:t xml:space="preserve"> Baudžiamojo </w:t>
      </w:r>
      <w:r>
        <w:t xml:space="preserve">proceso </w:t>
      </w:r>
      <w:r w:rsidRPr="001853BE">
        <w:t xml:space="preserve">kodekso normų, reglamentuojančių įrodinėjimą, taikymo teismų praktikoje </w:t>
      </w:r>
      <w:r>
        <w:t xml:space="preserve">apžvalga. </w:t>
      </w:r>
      <w:r w:rsidRPr="001D7591">
        <w:rPr>
          <w:i/>
        </w:rPr>
        <w:t>Teismų praktika</w:t>
      </w:r>
      <w:r>
        <w:t>. 2007, 27: 329</w:t>
      </w:r>
      <w:r>
        <w:rPr>
          <w:rFonts w:ascii="TimesNewRomanPSMT" w:hAnsi="TimesNewRomanPSMT" w:cs="TimesNewRomanPSMT"/>
        </w:rPr>
        <w:t xml:space="preserve">. </w:t>
      </w:r>
    </w:p>
  </w:footnote>
  <w:footnote w:id="707">
    <w:p w:rsidR="00E0371E" w:rsidRDefault="00E0371E" w:rsidP="007E32DD">
      <w:pPr>
        <w:pStyle w:val="Puslapioinaostekstas"/>
        <w:jc w:val="both"/>
      </w:pPr>
      <w:r>
        <w:rPr>
          <w:rStyle w:val="Puslapioinaosnuoroda"/>
        </w:rPr>
        <w:footnoteRef/>
      </w:r>
      <w:r w:rsidRPr="004228EF">
        <w:t xml:space="preserve">Driukas, A.,  Valančius, V. </w:t>
      </w:r>
      <w:r w:rsidRPr="004228EF">
        <w:rPr>
          <w:i/>
        </w:rPr>
        <w:t>Civilinis procesas: teorija ir praktika</w:t>
      </w:r>
      <w:r w:rsidRPr="004228EF">
        <w:t>. </w:t>
      </w:r>
      <w:r>
        <w:t xml:space="preserve">II tomas. </w:t>
      </w:r>
      <w:r w:rsidRPr="004228EF">
        <w:t>Vilnius: Teisinės informacijos centras, 2005-2007</w:t>
      </w:r>
      <w:r>
        <w:t xml:space="preserve">, p. 563. </w:t>
      </w:r>
    </w:p>
  </w:footnote>
  <w:footnote w:id="708">
    <w:p w:rsidR="00E0371E" w:rsidRPr="00270E75" w:rsidRDefault="00E0371E" w:rsidP="007E32DD">
      <w:pPr>
        <w:pStyle w:val="Puslapioinaostekstas"/>
        <w:jc w:val="both"/>
      </w:pPr>
      <w:r w:rsidRPr="00AD782A">
        <w:rPr>
          <w:rStyle w:val="Puslapioinaosnuoroda"/>
        </w:rPr>
        <w:footnoteRef/>
      </w:r>
      <w:r w:rsidRPr="00AD782A">
        <w:t>Lietuvos Respublikos Konstitucinio Teismo 1999 m. vasario 5 d. nutarimas</w:t>
      </w:r>
      <w:r>
        <w:t xml:space="preserve">. </w:t>
      </w:r>
      <w:r w:rsidRPr="00993334">
        <w:rPr>
          <w:i/>
        </w:rPr>
        <w:t>Valstybės žinios</w:t>
      </w:r>
      <w:r w:rsidRPr="00993334">
        <w:t>. 1999, Nr. 15-402.</w:t>
      </w:r>
      <w:r w:rsidRPr="00AD782A">
        <w:t xml:space="preserve"> Lietuvos Respublikos Konstitucinio Teismo 2000 m. gegužės 8 d. nutarimas</w:t>
      </w:r>
      <w:r>
        <w:t xml:space="preserve">. </w:t>
      </w:r>
      <w:r w:rsidRPr="00993334">
        <w:rPr>
          <w:i/>
        </w:rPr>
        <w:t>Valstybės žinios</w:t>
      </w:r>
      <w:r w:rsidRPr="00993334">
        <w:t>. 2000, Nr. 39-1105.</w:t>
      </w:r>
      <w:r>
        <w:t xml:space="preserve"> </w:t>
      </w:r>
      <w:r w:rsidRPr="00531902">
        <w:t>Lietuvos Re</w:t>
      </w:r>
      <w:r>
        <w:t>spublikos Konstitucinio Teismo 2006 m. sausio 16 d. nutarimas</w:t>
      </w:r>
      <w:r w:rsidRPr="00EB52A2">
        <w:t xml:space="preserve">. </w:t>
      </w:r>
      <w:r w:rsidRPr="00EB52A2">
        <w:rPr>
          <w:i/>
          <w:iCs/>
        </w:rPr>
        <w:t xml:space="preserve">Valstybės žinios. </w:t>
      </w:r>
      <w:r w:rsidRPr="00EB52A2">
        <w:t>2006, Nr.</w:t>
      </w:r>
      <w:r>
        <w:t xml:space="preserve"> 7-254</w:t>
      </w:r>
      <w:r w:rsidRPr="00AD782A">
        <w:t>.</w:t>
      </w:r>
    </w:p>
  </w:footnote>
  <w:footnote w:id="709">
    <w:p w:rsidR="00E0371E" w:rsidRDefault="00E0371E" w:rsidP="007E32DD">
      <w:pPr>
        <w:pStyle w:val="Puslapioinaostekstas"/>
        <w:jc w:val="both"/>
      </w:pPr>
      <w:r w:rsidRPr="00AD782A">
        <w:rPr>
          <w:rStyle w:val="Puslapioinaosnuoroda"/>
        </w:rPr>
        <w:footnoteRef/>
      </w:r>
      <w:r w:rsidRPr="00AD782A">
        <w:t xml:space="preserve">Lietuvos Respublikos Konstitucinio Teismo 1999 m. vasario 5 d. nutarimas. </w:t>
      </w:r>
      <w:r w:rsidRPr="00993334">
        <w:rPr>
          <w:i/>
        </w:rPr>
        <w:t>Valstybės žinios</w:t>
      </w:r>
      <w:r w:rsidRPr="00993334">
        <w:t>. 1999, Nr. 15-402.</w:t>
      </w:r>
    </w:p>
  </w:footnote>
  <w:footnote w:id="710">
    <w:p w:rsidR="00E0371E" w:rsidRPr="00927F5E" w:rsidRDefault="00E0371E" w:rsidP="00A74256">
      <w:pPr>
        <w:pStyle w:val="Puslapioinaostekstas"/>
      </w:pPr>
      <w:r w:rsidRPr="00AD782A">
        <w:rPr>
          <w:rStyle w:val="Puslapioinaosnuoroda"/>
        </w:rPr>
        <w:footnoteRef/>
      </w:r>
      <w:r w:rsidRPr="00531902">
        <w:t>Lietuvos Respublikos Konstitucinio Teismo 2006 m. sau</w:t>
      </w:r>
      <w:r>
        <w:t>sio 16 d. nutarimas.</w:t>
      </w:r>
      <w:r w:rsidRPr="00EB52A2">
        <w:rPr>
          <w:i/>
          <w:iCs/>
        </w:rPr>
        <w:t xml:space="preserve">Valstybės žinios. </w:t>
      </w:r>
      <w:r w:rsidRPr="00EB52A2">
        <w:t>2006, Nr.</w:t>
      </w:r>
      <w:r>
        <w:t xml:space="preserve"> 7-254</w:t>
      </w:r>
      <w:r w:rsidRPr="00AD782A">
        <w:t>.</w:t>
      </w:r>
      <w:r>
        <w:t xml:space="preserve"> </w:t>
      </w:r>
      <w:r w:rsidRPr="00A404A5">
        <w:t>Lietuvos Respublikos Konstitucinio Teismo 2013 m. lapkričio 15 d. nutarimas</w:t>
      </w:r>
      <w:r>
        <w:t>.</w:t>
      </w:r>
      <w:r w:rsidRPr="00EB52A2">
        <w:rPr>
          <w:i/>
          <w:iCs/>
        </w:rPr>
        <w:t>Valstybės žinios.</w:t>
      </w:r>
      <w:r>
        <w:rPr>
          <w:i/>
          <w:iCs/>
        </w:rPr>
        <w:t xml:space="preserve"> </w:t>
      </w:r>
      <w:r>
        <w:rPr>
          <w:iCs/>
        </w:rPr>
        <w:t xml:space="preserve">2013, Nr. 119-6005. </w:t>
      </w:r>
    </w:p>
  </w:footnote>
  <w:footnote w:id="711">
    <w:p w:rsidR="00E0371E" w:rsidRPr="00927F5E" w:rsidRDefault="00E0371E" w:rsidP="007E32DD">
      <w:pPr>
        <w:pStyle w:val="Puslapioinaostekstas"/>
        <w:jc w:val="both"/>
      </w:pPr>
      <w:r w:rsidRPr="00AD782A">
        <w:rPr>
          <w:rStyle w:val="Puslapioinaosnuoroda"/>
        </w:rPr>
        <w:footnoteRef/>
      </w:r>
      <w:r w:rsidRPr="00AD782A">
        <w:t xml:space="preserve"> Lietuvos Respublikos Konstitucinio Teismo 2006 m. sausio 16 d. nutarimas.</w:t>
      </w:r>
      <w:r w:rsidRPr="00EB52A2">
        <w:rPr>
          <w:i/>
          <w:iCs/>
        </w:rPr>
        <w:t>Valstybės žinios.</w:t>
      </w:r>
      <w:r>
        <w:rPr>
          <w:iCs/>
        </w:rPr>
        <w:t xml:space="preserve">2006, Nr. 7-254. </w:t>
      </w:r>
    </w:p>
  </w:footnote>
  <w:footnote w:id="712">
    <w:p w:rsidR="00E0371E" w:rsidRPr="0088664B" w:rsidRDefault="00E0371E" w:rsidP="007E32DD">
      <w:pPr>
        <w:pStyle w:val="Puslapioinaostekstas"/>
        <w:jc w:val="both"/>
      </w:pPr>
      <w:r>
        <w:rPr>
          <w:rStyle w:val="Puslapioinaosnuoroda"/>
        </w:rPr>
        <w:footnoteRef/>
      </w:r>
      <w:r>
        <w:t xml:space="preserve">Goda, G. Oficialumo principas ir jo išimtys Lietuvos baudžiamajame procese. In </w:t>
      </w:r>
      <w:r w:rsidRPr="00AD4628">
        <w:rPr>
          <w:i/>
        </w:rPr>
        <w:t>Lietuvos Respublikos baudžiamajam kodeksui – 10 metų.</w:t>
      </w:r>
      <w:r>
        <w:t xml:space="preserve"> Vilnius: VĮ Registrų centras, 2011, p. 386–388. </w:t>
      </w:r>
    </w:p>
  </w:footnote>
  <w:footnote w:id="713">
    <w:p w:rsidR="00E0371E" w:rsidRDefault="00E0371E" w:rsidP="007E32DD">
      <w:pPr>
        <w:pStyle w:val="Puslapioinaostekstas"/>
        <w:jc w:val="both"/>
      </w:pPr>
      <w:r>
        <w:rPr>
          <w:rStyle w:val="Puslapioinaosnuoroda"/>
        </w:rPr>
        <w:footnoteRef/>
      </w:r>
      <w:r>
        <w:t xml:space="preserve">Goda, G., Kazlauskas, M., Kuconis, P. </w:t>
      </w:r>
      <w:r w:rsidRPr="00AD4628">
        <w:rPr>
          <w:i/>
        </w:rPr>
        <w:t>Baudžiamojo proceso teisė</w:t>
      </w:r>
      <w:r>
        <w:rPr>
          <w:i/>
        </w:rPr>
        <w:t>.</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xml:space="preserve">, </w:t>
      </w:r>
      <w:r>
        <w:t xml:space="preserve">p. 172. </w:t>
      </w:r>
    </w:p>
  </w:footnote>
  <w:footnote w:id="714">
    <w:p w:rsidR="00E0371E" w:rsidRDefault="00E0371E" w:rsidP="007E32DD">
      <w:pPr>
        <w:pStyle w:val="Puslapioinaostekstas"/>
        <w:jc w:val="both"/>
      </w:pPr>
      <w:r>
        <w:rPr>
          <w:rStyle w:val="Puslapioinaosnuoroda"/>
        </w:rPr>
        <w:footnoteRef/>
      </w:r>
      <w:r>
        <w:t xml:space="preserve">Merkevicius, R. </w:t>
      </w:r>
      <w:r w:rsidRPr="001657F4">
        <w:t xml:space="preserve">Baudžiamojo proceso kodeksas: ar teisminio nagrinėjimo struktūra garantuoja teisingą teismą? </w:t>
      </w:r>
      <w:r>
        <w:t xml:space="preserve">In Ancelis, P., </w:t>
      </w:r>
      <w:r w:rsidRPr="001657F4">
        <w:rPr>
          <w:i/>
        </w:rPr>
        <w:t>et al</w:t>
      </w:r>
      <w:r>
        <w:t xml:space="preserve">. </w:t>
      </w:r>
      <w:r w:rsidRPr="00241E5B">
        <w:rPr>
          <w:i/>
        </w:rPr>
        <w:t>Sąžiningas baudžiamasis procesas: probleminiai aspektai</w:t>
      </w:r>
      <w:r>
        <w:t xml:space="preserve">. Vilnius: Industrus, 2009, p. 143. </w:t>
      </w:r>
    </w:p>
  </w:footnote>
  <w:footnote w:id="715">
    <w:p w:rsidR="00E0371E" w:rsidRDefault="00E0371E" w:rsidP="007E32DD">
      <w:pPr>
        <w:pStyle w:val="Puslapioinaostekstas"/>
        <w:jc w:val="both"/>
      </w:pPr>
      <w:r>
        <w:rPr>
          <w:rStyle w:val="Puslapioinaosnuoroda"/>
        </w:rPr>
        <w:footnoteRef/>
      </w:r>
      <w:r>
        <w:rPr>
          <w:rFonts w:ascii="TimesNewRomanPSMT" w:eastAsia="Times New Roman" w:hAnsi="TimesNewRomanPSMT" w:cs="TimesNewRomanPSMT"/>
          <w:iCs/>
          <w:szCs w:val="24"/>
        </w:rPr>
        <w:t xml:space="preserve">Bendrojoje teisėje įrodinėjimo pareiga </w:t>
      </w:r>
      <w:r>
        <w:rPr>
          <w:rFonts w:ascii="TimesNewRomanPSMT" w:eastAsia="Times New Roman" w:hAnsi="TimesNewRomanPSMT" w:cs="TimesNewRomanPSMT"/>
          <w:szCs w:val="24"/>
        </w:rPr>
        <w:t xml:space="preserve">(angl. </w:t>
      </w:r>
      <w:r w:rsidRPr="005174B0">
        <w:rPr>
          <w:rFonts w:ascii="TimesNewRomanPSMT" w:eastAsia="Times New Roman" w:hAnsi="TimesNewRomanPSMT" w:cs="TimesNewRomanPSMT"/>
          <w:i/>
          <w:iCs/>
          <w:szCs w:val="24"/>
        </w:rPr>
        <w:t>burden of proof</w:t>
      </w:r>
      <w:r>
        <w:rPr>
          <w:rFonts w:ascii="TimesNewRomanPSMT" w:eastAsia="Times New Roman" w:hAnsi="TimesNewRomanPSMT" w:cs="TimesNewRomanPSMT"/>
          <w:iCs/>
          <w:szCs w:val="24"/>
        </w:rPr>
        <w:t xml:space="preserve">) suprantama dvejopai: pareiga teikti įrodymus (angl. </w:t>
      </w:r>
      <w:r w:rsidRPr="00003137">
        <w:rPr>
          <w:rFonts w:ascii="TimesNewRomanPSMT" w:eastAsia="Times New Roman" w:hAnsi="TimesNewRomanPSMT" w:cs="TimesNewRomanPSMT"/>
          <w:i/>
          <w:iCs/>
          <w:szCs w:val="24"/>
        </w:rPr>
        <w:t>burden of evidence</w:t>
      </w:r>
      <w:r>
        <w:rPr>
          <w:rFonts w:ascii="TimesNewRomanPSMT" w:eastAsia="Times New Roman" w:hAnsi="TimesNewRomanPSMT" w:cs="TimesNewRomanPSMT"/>
          <w:iCs/>
          <w:szCs w:val="24"/>
        </w:rPr>
        <w:t xml:space="preserve">), sietina su įrodymų pakankamumu, ir įtikinimo pareiga (angl. </w:t>
      </w:r>
      <w:r w:rsidRPr="00003137">
        <w:rPr>
          <w:rFonts w:ascii="TimesNewRomanPSMT" w:eastAsia="Times New Roman" w:hAnsi="TimesNewRomanPSMT" w:cs="TimesNewRomanPSMT"/>
          <w:i/>
          <w:iCs/>
          <w:szCs w:val="24"/>
        </w:rPr>
        <w:t>the burden of persuasion</w:t>
      </w:r>
      <w:r>
        <w:rPr>
          <w:rFonts w:ascii="TimesNewRomanPSMT" w:eastAsia="Times New Roman" w:hAnsi="TimesNewRomanPSMT" w:cs="TimesNewRomanPSMT"/>
          <w:iCs/>
          <w:szCs w:val="24"/>
        </w:rPr>
        <w:t xml:space="preserve">), sietina su pateiktų įrodymų svarumu. Anglosaksų sistemos įrodinėjimo pareigos ypatumas yra tas, kad pareiga teikti įrodymus bylos procese gali pereiti nuo vienos šalies kitai, o pareiga įtikinti visada tenka teigiančiajai (t.y. kaltinančiajai) šaliai ir nėra siejama išimtinai su valstybinio kaltinimo veikla. </w:t>
      </w:r>
      <w:r>
        <w:t xml:space="preserve">Hoffman, J. A., Schröder, W. A. Burdens of Proof. </w:t>
      </w:r>
      <w:r w:rsidRPr="007D7CDA">
        <w:rPr>
          <w:i/>
        </w:rPr>
        <w:t>Alabama Law Review</w:t>
      </w:r>
      <w:r>
        <w:t>.</w:t>
      </w:r>
      <w:r w:rsidRPr="007F7B8F">
        <w:t xml:space="preserve"> 1986-1987</w:t>
      </w:r>
      <w:r>
        <w:t>, 38: 31-32.</w:t>
      </w:r>
    </w:p>
  </w:footnote>
  <w:footnote w:id="716">
    <w:p w:rsidR="00E0371E" w:rsidRDefault="00E0371E" w:rsidP="00BF2E33">
      <w:pPr>
        <w:pStyle w:val="Puslapioinaostekstas"/>
        <w:jc w:val="both"/>
      </w:pPr>
      <w:r>
        <w:rPr>
          <w:rStyle w:val="Puslapioinaosnuoroda"/>
        </w:rPr>
        <w:footnoteRef/>
      </w:r>
      <w:r>
        <w:t xml:space="preserve">Riess, P. Der Strafprozess und der Verletzte – eine Zwischenbilanz. </w:t>
      </w:r>
      <w:r w:rsidRPr="009A17C9">
        <w:rPr>
          <w:i/>
        </w:rPr>
        <w:t>Jura</w:t>
      </w:r>
      <w:r>
        <w:t xml:space="preserve">. 1987: 281. </w:t>
      </w:r>
      <w:r w:rsidRPr="00875B7D">
        <w:t xml:space="preserve">Jung, H. Zur Rechtsstellung des Verletzten im Strafverfahren. </w:t>
      </w:r>
      <w:r w:rsidRPr="00875B7D">
        <w:rPr>
          <w:i/>
        </w:rPr>
        <w:t>Juristische Rundschau</w:t>
      </w:r>
      <w:r>
        <w:t>. 1984, 8: 311.</w:t>
      </w:r>
    </w:p>
  </w:footnote>
  <w:footnote w:id="717">
    <w:p w:rsidR="00E0371E" w:rsidRDefault="00E0371E" w:rsidP="007E32DD">
      <w:pPr>
        <w:pStyle w:val="Puslapioinaostekstas"/>
        <w:jc w:val="both"/>
      </w:pPr>
      <w:r>
        <w:rPr>
          <w:rStyle w:val="Puslapioinaosnuoroda"/>
        </w:rPr>
        <w:footnoteRef/>
      </w:r>
      <w:r>
        <w:t xml:space="preserve">Panomariovas, A. Tiesos paieškos priemonė – fikcija, baudžiamojo proceso pavyzdžiu. In Kurapka, V. E., </w:t>
      </w:r>
      <w:r w:rsidRPr="004D31B4">
        <w:rPr>
          <w:i/>
        </w:rPr>
        <w:t>et al</w:t>
      </w:r>
      <w:r>
        <w:t xml:space="preserve">. </w:t>
      </w:r>
      <w:r w:rsidRPr="00082942">
        <w:rPr>
          <w:i/>
        </w:rPr>
        <w:t>Baudžiamasis procesas: nuo teorijos iki įrodinėjimo (prof. dr. Eugenijaus Palskio atminimui). Mokslo studija</w:t>
      </w:r>
      <w:r w:rsidRPr="00C347C6">
        <w:t>. Vilnius: Mykolo Romerio universitetas, 2011</w:t>
      </w:r>
      <w:r>
        <w:t xml:space="preserve">, p. 58. </w:t>
      </w:r>
    </w:p>
  </w:footnote>
  <w:footnote w:id="718">
    <w:p w:rsidR="00E0371E" w:rsidRDefault="00E0371E" w:rsidP="007E32DD">
      <w:pPr>
        <w:pStyle w:val="Puslapioinaostekstas"/>
        <w:jc w:val="both"/>
      </w:pPr>
      <w:r>
        <w:rPr>
          <w:rStyle w:val="Puslapioinaosnuoroda"/>
        </w:rPr>
        <w:footnoteRef/>
      </w:r>
      <w:r>
        <w:t xml:space="preserve">Ancelis, P. Įrodinėjimo tikslas, dalykas ir priemonės. In Kurapka, V. E., </w:t>
      </w:r>
      <w:r w:rsidRPr="00116801">
        <w:rPr>
          <w:i/>
        </w:rPr>
        <w:t>et al</w:t>
      </w:r>
      <w:r>
        <w:t xml:space="preserve">. </w:t>
      </w:r>
      <w:r w:rsidRPr="00082942">
        <w:rPr>
          <w:i/>
        </w:rPr>
        <w:t>Baudžiamasis procesas: nuo teorijos iki įrodinėjimo (prof. dr. Eugenijaus Palskio atminimui). Mokslo studija</w:t>
      </w:r>
      <w:r w:rsidRPr="00C347C6">
        <w:t>. Vilnius: Mykolo Romerio universitetas, 2011</w:t>
      </w:r>
      <w:r>
        <w:t xml:space="preserve">, p. 207. </w:t>
      </w:r>
    </w:p>
  </w:footnote>
  <w:footnote w:id="719">
    <w:p w:rsidR="00E0371E" w:rsidRDefault="00E0371E" w:rsidP="007E32DD">
      <w:pPr>
        <w:pStyle w:val="Puslapioinaostekstas"/>
        <w:jc w:val="both"/>
      </w:pPr>
      <w:r>
        <w:rPr>
          <w:rStyle w:val="Puslapioinaosnuoroda"/>
        </w:rPr>
        <w:footnoteRef/>
      </w:r>
      <w:r>
        <w:t xml:space="preserve">Panomariovas, A. Tiesos paieškos priemonė – fikcija, baudžiamojo proceso pavyzdžiu. In Kurapka, V. E., </w:t>
      </w:r>
      <w:r w:rsidRPr="004D31B4">
        <w:rPr>
          <w:i/>
        </w:rPr>
        <w:t>et al</w:t>
      </w:r>
      <w:r>
        <w:t xml:space="preserve">. </w:t>
      </w:r>
      <w:r w:rsidRPr="00082942">
        <w:rPr>
          <w:i/>
        </w:rPr>
        <w:t>Baudžiamasis procesas: nuo teorijos iki įrodinėjimo (prof. dr. Eugenijaus Palskio atminimui). Mokslo studija</w:t>
      </w:r>
      <w:r w:rsidRPr="00C347C6">
        <w:t>. Vilnius: Mykolo Romerio universitetas, 2011</w:t>
      </w:r>
      <w:r>
        <w:t>, p. 58.</w:t>
      </w:r>
    </w:p>
  </w:footnote>
  <w:footnote w:id="720">
    <w:p w:rsidR="00E0371E" w:rsidRDefault="00E0371E" w:rsidP="007E32DD">
      <w:pPr>
        <w:pStyle w:val="Puslapioinaostekstas"/>
        <w:jc w:val="both"/>
      </w:pPr>
      <w:r>
        <w:rPr>
          <w:rStyle w:val="Puslapioinaosnuoroda"/>
        </w:rPr>
        <w:footnoteRef/>
      </w:r>
      <w:r>
        <w:t xml:space="preserve">Terebeiza, Ž. </w:t>
      </w:r>
      <w:r w:rsidRPr="00935FB9">
        <w:rPr>
          <w:i/>
        </w:rPr>
        <w:t>Įrodinėjimo našta ir jos paskirstymas civiliniame procese</w:t>
      </w:r>
      <w:r>
        <w:t>. Daktaro disertacija. Socialiniai mokslai</w:t>
      </w:r>
      <w:r w:rsidRPr="00935FB9">
        <w:t xml:space="preserve"> </w:t>
      </w:r>
      <w:r>
        <w:t>(</w:t>
      </w:r>
      <w:r w:rsidRPr="00935FB9">
        <w:t>teisė)</w:t>
      </w:r>
      <w:r>
        <w:t>.</w:t>
      </w:r>
      <w:r w:rsidRPr="00935FB9">
        <w:t xml:space="preserve"> </w:t>
      </w:r>
      <w:r>
        <w:t xml:space="preserve">Vilnius: </w:t>
      </w:r>
      <w:r w:rsidRPr="00935FB9">
        <w:t>Mykolo Romer</w:t>
      </w:r>
      <w:r>
        <w:t xml:space="preserve">io universitetas, 2009, p. 54-55. Nekrošius, V. </w:t>
      </w:r>
      <w:r w:rsidRPr="00935FB9">
        <w:t>Lietuvos Aukščiausiojo Teismo senato nutarimo „Dėl Civilinio proceso kodekso normų, reglamentuojančių įrodinėjimą, taikymo teismų praktikoje“ teorinė ir praktinė analizė</w:t>
      </w:r>
      <w:r>
        <w:t xml:space="preserve">. </w:t>
      </w:r>
      <w:r w:rsidRPr="00935FB9">
        <w:rPr>
          <w:i/>
        </w:rPr>
        <w:t>Justitia</w:t>
      </w:r>
      <w:r>
        <w:t>. 2005, 3 (57): 15.</w:t>
      </w:r>
    </w:p>
  </w:footnote>
  <w:footnote w:id="721">
    <w:p w:rsidR="00E0371E" w:rsidRDefault="00E0371E" w:rsidP="007E32DD">
      <w:pPr>
        <w:pStyle w:val="Puslapioinaostekstas"/>
        <w:jc w:val="both"/>
      </w:pPr>
      <w:r>
        <w:rPr>
          <w:rStyle w:val="Puslapioinaosnuoroda"/>
        </w:rPr>
        <w:footnoteRef/>
      </w:r>
      <w:r>
        <w:t xml:space="preserve">Terebeiza, Ž. </w:t>
      </w:r>
      <w:r w:rsidRPr="00935FB9">
        <w:rPr>
          <w:i/>
        </w:rPr>
        <w:t>Įrodinėjimo našta ir jos paskirstymas civiliniame procese</w:t>
      </w:r>
      <w:r>
        <w:t>. Daktaro disertacija. Socialiniai mokslai</w:t>
      </w:r>
      <w:r w:rsidRPr="00935FB9">
        <w:t xml:space="preserve"> </w:t>
      </w:r>
      <w:r>
        <w:t>(</w:t>
      </w:r>
      <w:r w:rsidRPr="00935FB9">
        <w:t>teisė)</w:t>
      </w:r>
      <w:r>
        <w:t>.</w:t>
      </w:r>
      <w:r w:rsidRPr="00935FB9">
        <w:t xml:space="preserve"> </w:t>
      </w:r>
      <w:r>
        <w:t xml:space="preserve">Vilnius: </w:t>
      </w:r>
      <w:r w:rsidRPr="00935FB9">
        <w:t>Mykolo Romer</w:t>
      </w:r>
      <w:r>
        <w:t xml:space="preserve">io universitetas, 2009, p. 47. </w:t>
      </w:r>
    </w:p>
  </w:footnote>
  <w:footnote w:id="722">
    <w:p w:rsidR="00E0371E" w:rsidRDefault="00E0371E" w:rsidP="008454E2">
      <w:pPr>
        <w:pStyle w:val="Puslapioinaostekstas"/>
        <w:jc w:val="both"/>
      </w:pPr>
      <w:r>
        <w:rPr>
          <w:rStyle w:val="Puslapioinaosnuoroda"/>
        </w:rPr>
        <w:footnoteRef/>
      </w:r>
      <w:r w:rsidRPr="008454E2">
        <w:t xml:space="preserve">Lietuvos Respublikos teisės gauti informaciją iš valstybės ir savivaldybių institucijų ir įstaigų įstatymas. </w:t>
      </w:r>
      <w:r w:rsidRPr="008454E2">
        <w:rPr>
          <w:i/>
        </w:rPr>
        <w:t>Valstybės žinios</w:t>
      </w:r>
      <w:r w:rsidRPr="008454E2">
        <w:t>. 2000, Nr. 10-236; 2005, Nr. 139-5008.</w:t>
      </w:r>
      <w:r>
        <w:t xml:space="preserve"> </w:t>
      </w:r>
      <w:r w:rsidRPr="009F769F">
        <w:t>Lietuvos Respublikos Vyriausybės 2007 m. rugpjūčio 22 d. nutarimas Nr. 875 „Dėl Asmenų prašymų nagrinėjimo ir jų aptarnavimo viešojo administravimo institucijose, įstaigose ir kituose viešojo administravimo subjektuose taisyklių patvirtinimo“</w:t>
      </w:r>
      <w:r>
        <w:t>.</w:t>
      </w:r>
      <w:r w:rsidRPr="009F769F">
        <w:t xml:space="preserve"> </w:t>
      </w:r>
      <w:r w:rsidRPr="009F769F">
        <w:rPr>
          <w:i/>
        </w:rPr>
        <w:t>Valstybės žinios</w:t>
      </w:r>
      <w:r>
        <w:t>.</w:t>
      </w:r>
      <w:r w:rsidRPr="009F769F">
        <w:t xml:space="preserve"> 2007, Nr. 94-3779</w:t>
      </w:r>
      <w:r>
        <w:t>.</w:t>
      </w:r>
    </w:p>
  </w:footnote>
  <w:footnote w:id="723">
    <w:p w:rsidR="00E0371E" w:rsidRDefault="00E0371E" w:rsidP="004C51ED">
      <w:pPr>
        <w:pStyle w:val="Puslapioinaostekstas"/>
        <w:jc w:val="both"/>
      </w:pPr>
      <w:r>
        <w:rPr>
          <w:rStyle w:val="Puslapioinaosnuoroda"/>
        </w:rPr>
        <w:footnoteRef/>
      </w:r>
      <w:r>
        <w:t xml:space="preserve">Panomariovas, A., Ramanauskas, R. Slaptumas – tiesos baudžiamajame procese nustatymo priemonė. </w:t>
      </w:r>
      <w:r w:rsidRPr="004C51ED">
        <w:rPr>
          <w:i/>
        </w:rPr>
        <w:t>Jurisprudencija</w:t>
      </w:r>
      <w:r>
        <w:t xml:space="preserve">. 2005, 75 (67): 55. Bilius, M., Kuzminovas, M. Privačių subjektų surinktų duomenų naudojimas Lietuvos baudžiamajame procese.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401.</w:t>
      </w:r>
    </w:p>
  </w:footnote>
  <w:footnote w:id="724">
    <w:p w:rsidR="00E0371E" w:rsidRDefault="00E0371E" w:rsidP="007E32DD">
      <w:pPr>
        <w:pStyle w:val="Puslapioinaostekstas"/>
        <w:jc w:val="both"/>
      </w:pPr>
      <w:r>
        <w:rPr>
          <w:rStyle w:val="Puslapioinaosnuoroda"/>
        </w:rPr>
        <w:footnoteRef/>
      </w:r>
      <w:r w:rsidRPr="00101E82">
        <w:rPr>
          <w:rFonts w:ascii="TimesNewRomanPSMT" w:eastAsia="Times New Roman" w:hAnsi="TimesNewRomanPSMT" w:cs="TimesNewRomanPSMT"/>
          <w:szCs w:val="24"/>
        </w:rPr>
        <w:t>Įrodymų rinkimas suprantamas kaip subjekto vykdomas įrodinėjimas jo teisių ir įgaliojimų ribose, veiksm</w:t>
      </w:r>
      <w:r>
        <w:rPr>
          <w:rFonts w:ascii="TimesNewRomanPSMT" w:eastAsia="Times New Roman" w:hAnsi="TimesNewRomanPSMT" w:cs="TimesNewRomanPSMT"/>
          <w:szCs w:val="24"/>
        </w:rPr>
        <w:t>ai</w:t>
      </w:r>
      <w:r w:rsidRPr="00101E82">
        <w:rPr>
          <w:rFonts w:ascii="TimesNewRomanPSMT" w:eastAsia="Times New Roman" w:hAnsi="TimesNewRomanPSMT" w:cs="TimesNewRomanPSMT"/>
          <w:szCs w:val="24"/>
        </w:rPr>
        <w:t>, nukreipt</w:t>
      </w:r>
      <w:r>
        <w:rPr>
          <w:rFonts w:ascii="TimesNewRomanPSMT" w:eastAsia="Times New Roman" w:hAnsi="TimesNewRomanPSMT" w:cs="TimesNewRomanPSMT"/>
          <w:szCs w:val="24"/>
        </w:rPr>
        <w:t>i</w:t>
      </w:r>
      <w:r w:rsidRPr="00101E82">
        <w:rPr>
          <w:rFonts w:ascii="TimesNewRomanPSMT" w:eastAsia="Times New Roman" w:hAnsi="TimesNewRomanPSMT" w:cs="TimesNewRomanPSMT"/>
          <w:szCs w:val="24"/>
        </w:rPr>
        <w:t xml:space="preserve"> į įrodymų aptikimą, išreikalavimą, gavimą ir užtvirtinimą įstatymų nustatyta tvarka. Įrodymų pateikimas – tai proceso dalyvio teisės dalyvauti įrodinėjimo procese įgyvendinimo priemonė. </w:t>
      </w:r>
      <w:r>
        <w:t xml:space="preserve">Guberman, O. V. </w:t>
      </w:r>
      <w:r>
        <w:rPr>
          <w:i/>
        </w:rPr>
        <w:t>Proizvodstvo u mirovogo sud</w:t>
      </w:r>
      <w:r w:rsidRPr="004A672C">
        <w:rPr>
          <w:i/>
        </w:rPr>
        <w:t xml:space="preserve">i: osobennosti sobiranija dokazatelstv </w:t>
      </w:r>
      <w:r>
        <w:rPr>
          <w:i/>
        </w:rPr>
        <w:t>po delam ch</w:t>
      </w:r>
      <w:r w:rsidRPr="004A672C">
        <w:rPr>
          <w:i/>
        </w:rPr>
        <w:t>astnogo obvinenija.</w:t>
      </w:r>
      <w:r>
        <w:t xml:space="preserve"> [Procedure in Magistrates Courts: Features of Evidence Collection]. Daktaro disertacija. Socialiniai mokslai (teisė). Nizhnij Novgorod, 2008, p. 134.</w:t>
      </w:r>
    </w:p>
  </w:footnote>
  <w:footnote w:id="725">
    <w:p w:rsidR="00E0371E" w:rsidRDefault="00E0371E" w:rsidP="007E32DD">
      <w:pPr>
        <w:pStyle w:val="Puslapioinaostekstas"/>
        <w:jc w:val="both"/>
      </w:pPr>
      <w:r>
        <w:rPr>
          <w:rStyle w:val="Puslapioinaosnuoroda"/>
        </w:rPr>
        <w:footnoteRef/>
      </w:r>
      <w:r>
        <w:t xml:space="preserve">Guberman, O. V. </w:t>
      </w:r>
      <w:r>
        <w:rPr>
          <w:i/>
        </w:rPr>
        <w:t>Proizvodstvo u mirovogo sud</w:t>
      </w:r>
      <w:r w:rsidRPr="004A672C">
        <w:rPr>
          <w:i/>
        </w:rPr>
        <w:t xml:space="preserve">i: osobennosti sobiranija dokazatelstv </w:t>
      </w:r>
      <w:r>
        <w:rPr>
          <w:i/>
        </w:rPr>
        <w:t>po delam chastnogo obvinenija</w:t>
      </w:r>
      <w:r>
        <w:t xml:space="preserve"> [Procedure in Magistrates Courts: Features of Evidence Collection]. Daktaro disertacija. Socialiniai mokslai (teisė). Nizhnij Novgorod, 2008, p. 134. </w:t>
      </w:r>
      <w:r>
        <w:rPr>
          <w:i/>
        </w:rPr>
        <w:t>Ugolovno-processualno</w:t>
      </w:r>
      <w:r w:rsidRPr="007920F4">
        <w:rPr>
          <w:i/>
        </w:rPr>
        <w:t>e pravo Rossi</w:t>
      </w:r>
      <w:r>
        <w:rPr>
          <w:i/>
        </w:rPr>
        <w:t>jskoj Federaci</w:t>
      </w:r>
      <w:r w:rsidRPr="007920F4">
        <w:rPr>
          <w:i/>
        </w:rPr>
        <w:t>i. U</w:t>
      </w:r>
      <w:r>
        <w:rPr>
          <w:i/>
        </w:rPr>
        <w:t>chebnik</w:t>
      </w:r>
      <w:r w:rsidRPr="007920F4">
        <w:rPr>
          <w:i/>
        </w:rPr>
        <w:t>.</w:t>
      </w:r>
      <w:r>
        <w:rPr>
          <w:i/>
        </w:rPr>
        <w:t xml:space="preserve"> </w:t>
      </w:r>
      <w:r>
        <w:t>[Criminal Procedure Law of Russian Federation]. (Red. Petrukhin, I. L., Michaj</w:t>
      </w:r>
      <w:r w:rsidRPr="00835DD2">
        <w:t>lovskaja, I. B.</w:t>
      </w:r>
      <w:r>
        <w:t xml:space="preserve">) </w:t>
      </w:r>
      <w:r w:rsidRPr="00835DD2">
        <w:t>3-i</w:t>
      </w:r>
      <w:r>
        <w:t>oji</w:t>
      </w:r>
      <w:r w:rsidRPr="00835DD2">
        <w:t xml:space="preserve"> l</w:t>
      </w:r>
      <w:r>
        <w:t>aida</w:t>
      </w:r>
      <w:r w:rsidRPr="00835DD2">
        <w:t xml:space="preserve">. </w:t>
      </w:r>
      <w:r>
        <w:t>Moskva: Prospekt, 2010, p. 104.</w:t>
      </w:r>
    </w:p>
  </w:footnote>
  <w:footnote w:id="726">
    <w:p w:rsidR="00E0371E" w:rsidRDefault="00E0371E" w:rsidP="007E32DD">
      <w:pPr>
        <w:pStyle w:val="Puslapioinaostekstas"/>
        <w:jc w:val="both"/>
      </w:pPr>
      <w:r>
        <w:rPr>
          <w:rStyle w:val="Puslapioinaosnuoroda"/>
        </w:rPr>
        <w:footnoteRef/>
      </w:r>
      <w:r>
        <w:t>Vilniaus apygardos teismo 2006 m. kovo 14 d. nutartis baudžiamojoje byloje Nr. 1A-203-166/2006.</w:t>
      </w:r>
    </w:p>
  </w:footnote>
  <w:footnote w:id="727">
    <w:p w:rsidR="00E0371E" w:rsidRDefault="00E0371E" w:rsidP="007E32DD">
      <w:pPr>
        <w:pStyle w:val="Puslapioinaostekstas"/>
        <w:jc w:val="both"/>
      </w:pPr>
      <w:r>
        <w:rPr>
          <w:rStyle w:val="Puslapioinaosnuoroda"/>
        </w:rPr>
        <w:footnoteRef/>
      </w:r>
      <w:r>
        <w:t xml:space="preserve">Šiaulių apygardos teismo 2008 m. birželio 26 d. nutartis baudžiamojoje byloje Nr. I-124-316/2008. </w:t>
      </w:r>
    </w:p>
  </w:footnote>
  <w:footnote w:id="728">
    <w:p w:rsidR="00E0371E" w:rsidRPr="00F37137" w:rsidRDefault="00E0371E" w:rsidP="00FC313B">
      <w:pPr>
        <w:pStyle w:val="Puslapioinaostekstas"/>
        <w:jc w:val="both"/>
      </w:pPr>
      <w:r>
        <w:rPr>
          <w:rStyle w:val="Puslapioinaosnuoroda"/>
        </w:rPr>
        <w:footnoteRef/>
      </w:r>
      <w:r w:rsidRPr="00101E82">
        <w:rPr>
          <w:rFonts w:ascii="TimesNewRomanPSMT" w:eastAsia="Times New Roman" w:hAnsi="TimesNewRomanPSMT" w:cs="TimesNewRomanPSMT"/>
          <w:szCs w:val="24"/>
        </w:rPr>
        <w:t xml:space="preserve">Pagrindiniai </w:t>
      </w:r>
      <w:r>
        <w:rPr>
          <w:rFonts w:ascii="TimesNewRomanPSMT" w:eastAsia="Times New Roman" w:hAnsi="TimesNewRomanPSMT" w:cs="TimesNewRomanPSMT"/>
          <w:szCs w:val="24"/>
        </w:rPr>
        <w:t>įrodinėjimo dalyko turinio elementai: nusikalstamos veikos</w:t>
      </w:r>
      <w:r w:rsidRPr="00101E82">
        <w:rPr>
          <w:rFonts w:ascii="TimesNewRomanPSMT" w:eastAsia="Times New Roman" w:hAnsi="TimesNewRomanPSMT" w:cs="TimesNewRomanPSMT"/>
          <w:szCs w:val="24"/>
        </w:rPr>
        <w:t xml:space="preserve"> įvykis, asmens kaltė nusikaltimo padarymu, aplinkybės, charakterizuojančios kaltinam</w:t>
      </w:r>
      <w:r>
        <w:rPr>
          <w:rFonts w:ascii="TimesNewRomanPSMT" w:eastAsia="Times New Roman" w:hAnsi="TimesNewRomanPSMT" w:cs="TimesNewRomanPSMT"/>
          <w:szCs w:val="24"/>
        </w:rPr>
        <w:t>ojo asmenybę, padarytos nusikalstama veika</w:t>
      </w:r>
      <w:r w:rsidRPr="00101E82">
        <w:rPr>
          <w:rFonts w:ascii="TimesNewRomanPSMT" w:eastAsia="Times New Roman" w:hAnsi="TimesNewRomanPSMT" w:cs="TimesNewRomanPSMT"/>
          <w:szCs w:val="24"/>
        </w:rPr>
        <w:t xml:space="preserve"> žalos pobūdis ir dydis, aplinkybės, šalinančios veiklos baudžiamumą, aplinkybės, švelninančios ir sunkinančios atsakomybę, aplinkybės, dėl kurių asmuo gali būti atleidžiamas nuo baudžiamosios atsakomybės ir bausmės.</w:t>
      </w:r>
      <w:r>
        <w:rPr>
          <w:rFonts w:ascii="TimesNewRomanPSMT" w:eastAsia="Times New Roman" w:hAnsi="TimesNewRomanPSMT" w:cs="TimesNewRomanPSMT"/>
          <w:szCs w:val="24"/>
        </w:rPr>
        <w:t xml:space="preserve"> Ryzhakov, A. P. </w:t>
      </w:r>
      <w:r w:rsidRPr="000E307C">
        <w:rPr>
          <w:rFonts w:ascii="TimesNewRomanPSMT" w:eastAsia="Times New Roman" w:hAnsi="TimesNewRomanPSMT" w:cs="TimesNewRomanPSMT"/>
          <w:i/>
          <w:szCs w:val="24"/>
        </w:rPr>
        <w:t>Ugolovnyj process</w:t>
      </w:r>
      <w:r>
        <w:rPr>
          <w:rFonts w:ascii="TimesNewRomanPSMT" w:eastAsia="Times New Roman" w:hAnsi="TimesNewRomanPSMT" w:cs="TimesNewRomanPSMT"/>
          <w:szCs w:val="24"/>
        </w:rPr>
        <w:t xml:space="preserve"> [Criminal Procedure]</w:t>
      </w:r>
      <w:r>
        <w:t>. Moskva: Norma, 2004, p. 207-208.</w:t>
      </w:r>
    </w:p>
  </w:footnote>
  <w:footnote w:id="729">
    <w:p w:rsidR="00E0371E" w:rsidRPr="00954244" w:rsidRDefault="00E0371E" w:rsidP="007E32DD">
      <w:pPr>
        <w:jc w:val="both"/>
        <w:rPr>
          <w:rFonts w:ascii="TimesNewRomanPSMT" w:hAnsi="TimesNewRomanPSMT" w:cs="TimesNewRomanPSMT"/>
          <w:sz w:val="20"/>
        </w:rPr>
      </w:pPr>
      <w:r w:rsidRPr="00D009E8">
        <w:rPr>
          <w:rStyle w:val="Puslapioinaosnuoroda"/>
          <w:sz w:val="20"/>
        </w:rPr>
        <w:footnoteRef/>
      </w:r>
      <w:r w:rsidRPr="00D009E8">
        <w:rPr>
          <w:rFonts w:ascii="TimesNewRomanPSMT" w:hAnsi="TimesNewRomanPSMT" w:cs="TimesNewRomanPSMT"/>
          <w:sz w:val="20"/>
        </w:rPr>
        <w:t>E. Palskys siūlė baudžiamojo proceso kodekso projekte įtvirtinti normą, kad kaltintojas, nepriklausomai nuo to, valstybinis jis ar privatus privalo pranešti teismui ir tas tyrimo eigoje paaiškėjusias aplinkybes, kurios nepatvirtina kaltinimo ar jam prieštarauja. Burda</w:t>
      </w:r>
      <w:r>
        <w:rPr>
          <w:rFonts w:ascii="TimesNewRomanPSMT" w:hAnsi="TimesNewRomanPSMT" w:cs="TimesNewRomanPSMT"/>
          <w:sz w:val="20"/>
        </w:rPr>
        <w:t>, R</w:t>
      </w:r>
      <w:r w:rsidRPr="00D009E8">
        <w:rPr>
          <w:rFonts w:ascii="TimesNewRomanPSMT" w:hAnsi="TimesNewRomanPSMT" w:cs="TimesNewRomanPSMT"/>
          <w:sz w:val="20"/>
        </w:rPr>
        <w:t xml:space="preserve">. Profesoriaus Eugenijaus Palskio požiūris į įrodymų sampratą. </w:t>
      </w:r>
      <w:r w:rsidRPr="00395291">
        <w:rPr>
          <w:rFonts w:ascii="TimesNewRomanPSMT" w:hAnsi="TimesNewRomanPSMT" w:cs="TimesNewRomanPSMT"/>
          <w:i/>
          <w:sz w:val="20"/>
        </w:rPr>
        <w:t>Jurisprudencija</w:t>
      </w:r>
      <w:r>
        <w:rPr>
          <w:rFonts w:ascii="TimesNewRomanPSMT" w:hAnsi="TimesNewRomanPSMT" w:cs="TimesNewRomanPSMT"/>
          <w:sz w:val="20"/>
        </w:rPr>
        <w:t>.</w:t>
      </w:r>
      <w:r w:rsidRPr="00D009E8">
        <w:rPr>
          <w:rFonts w:ascii="TimesNewRomanPSMT" w:hAnsi="TimesNewRomanPSMT" w:cs="TimesNewRomanPSMT"/>
          <w:sz w:val="20"/>
        </w:rPr>
        <w:t xml:space="preserve"> 2005, </w:t>
      </w:r>
      <w:r>
        <w:rPr>
          <w:rFonts w:ascii="TimesNewRomanPSMT" w:hAnsi="TimesNewRomanPSMT" w:cs="TimesNewRomanPSMT"/>
          <w:sz w:val="20"/>
        </w:rPr>
        <w:t xml:space="preserve">75 (67): 20.  </w:t>
      </w:r>
    </w:p>
  </w:footnote>
  <w:footnote w:id="730">
    <w:p w:rsidR="00E0371E" w:rsidRDefault="00E0371E" w:rsidP="007E32DD">
      <w:pPr>
        <w:pStyle w:val="Puslapioinaostekstas"/>
        <w:jc w:val="both"/>
      </w:pPr>
      <w:r>
        <w:rPr>
          <w:rStyle w:val="Puslapioinaosnuoroda"/>
        </w:rPr>
        <w:footnoteRef/>
      </w:r>
      <w:r w:rsidRPr="00D754F4">
        <w:t xml:space="preserve">Merkevičius, R. Baudžiamojo proceso kodeksas: ar teisminio nagrinėjimo struktūra garantuoja teisingą teismą? In Ancelis, P., </w:t>
      </w:r>
      <w:r w:rsidRPr="00351994">
        <w:rPr>
          <w:i/>
        </w:rPr>
        <w:t>et al</w:t>
      </w:r>
      <w:r w:rsidRPr="00D754F4">
        <w:t xml:space="preserve">. </w:t>
      </w:r>
      <w:r w:rsidRPr="00D754F4">
        <w:rPr>
          <w:i/>
        </w:rPr>
        <w:t>Sąžiningas baudžiamasis procesas: probleminiai aspektai</w:t>
      </w:r>
      <w:r w:rsidRPr="00D754F4">
        <w:t>. Vilnius: Industrus, 2009,</w:t>
      </w:r>
      <w:r>
        <w:t xml:space="preserve"> p. 158. Gušauskienė, M., Lygių procesinių teisių įgyvendinimo problemos ikiteisminiame tyrime. </w:t>
      </w:r>
      <w:r w:rsidRPr="00262B7C">
        <w:rPr>
          <w:i/>
        </w:rPr>
        <w:t>Jurisprudencija</w:t>
      </w:r>
      <w:r>
        <w:t xml:space="preserve">. 2005, 67 (59): 55. </w:t>
      </w:r>
    </w:p>
  </w:footnote>
  <w:footnote w:id="731">
    <w:p w:rsidR="00E0371E" w:rsidRDefault="00E0371E" w:rsidP="007E32DD">
      <w:pPr>
        <w:pStyle w:val="Puslapioinaostekstas"/>
        <w:jc w:val="both"/>
      </w:pPr>
      <w:r>
        <w:rPr>
          <w:rStyle w:val="Puslapioinaosnuoroda"/>
        </w:rPr>
        <w:footnoteRef/>
      </w:r>
      <w:r>
        <w:rPr>
          <w:rFonts w:eastAsia="Times New Roman"/>
        </w:rPr>
        <w:t>P</w:t>
      </w:r>
      <w:r w:rsidRPr="00B262A3">
        <w:rPr>
          <w:rFonts w:eastAsia="Times New Roman"/>
        </w:rPr>
        <w:t>abrėžtinas procesinis disbalansas tarp kaltinamojo ir jo gynėjo teisių.</w:t>
      </w:r>
      <w:r>
        <w:rPr>
          <w:rFonts w:eastAsia="Times New Roman"/>
        </w:rPr>
        <w:t xml:space="preserve"> </w:t>
      </w:r>
      <w:r w:rsidRPr="00B262A3">
        <w:rPr>
          <w:rFonts w:eastAsia="Times New Roman"/>
        </w:rPr>
        <w:t>BPK 48 str</w:t>
      </w:r>
      <w:r>
        <w:rPr>
          <w:rFonts w:eastAsia="Times New Roman"/>
        </w:rPr>
        <w:t>aipsnio</w:t>
      </w:r>
      <w:r w:rsidRPr="00B262A3">
        <w:rPr>
          <w:rFonts w:eastAsia="Times New Roman"/>
        </w:rPr>
        <w:t xml:space="preserve"> 1 d</w:t>
      </w:r>
      <w:r>
        <w:rPr>
          <w:rFonts w:eastAsia="Times New Roman"/>
        </w:rPr>
        <w:t>alyje</w:t>
      </w:r>
      <w:r w:rsidRPr="00B262A3">
        <w:rPr>
          <w:rFonts w:eastAsia="Times New Roman"/>
        </w:rPr>
        <w:t xml:space="preserve"> ir Advokatūros įstatymo 44 str</w:t>
      </w:r>
      <w:r>
        <w:rPr>
          <w:rFonts w:eastAsia="Times New Roman"/>
        </w:rPr>
        <w:t>aipsnyje</w:t>
      </w:r>
      <w:r w:rsidRPr="00B262A3">
        <w:rPr>
          <w:rFonts w:eastAsia="Times New Roman"/>
        </w:rPr>
        <w:t xml:space="preserve"> numatytos priemonės įgyvendinti gynėjo įrodomajai veiklai. BPK straipsnių, numatančių kaltinamojo ir gynėjo teises įrodinėjimo procese, analizė leidžia teigti, kad kaltinamasis yra procesinių įgaliojimų kontekste silpnesnė figūra nei gynėjas, nes kaltinamojo galimybės dalyvauti įrodymų rinkimo procese savarankiškai yra žymiai mažesnės nei jo gynėjo.</w:t>
      </w:r>
      <w:r w:rsidRPr="0009194A">
        <w:rPr>
          <w:rFonts w:ascii="TimesNewRomanPSMT" w:eastAsia="Times New Roman" w:hAnsi="TimesNewRomanPSMT" w:cs="TimesNewRomanPSMT"/>
          <w:szCs w:val="24"/>
        </w:rPr>
        <w:t xml:space="preserve"> BPK 48 str</w:t>
      </w:r>
      <w:r>
        <w:rPr>
          <w:rFonts w:ascii="TimesNewRomanPSMT" w:eastAsia="Times New Roman" w:hAnsi="TimesNewRomanPSMT" w:cs="TimesNewRomanPSMT"/>
          <w:szCs w:val="24"/>
        </w:rPr>
        <w:t>aipsnio</w:t>
      </w:r>
      <w:r w:rsidRPr="0009194A">
        <w:rPr>
          <w:rFonts w:ascii="TimesNewRomanPSMT" w:eastAsia="Times New Roman" w:hAnsi="TimesNewRomanPSMT" w:cs="TimesNewRomanPSMT"/>
          <w:szCs w:val="24"/>
        </w:rPr>
        <w:t xml:space="preserve"> 1</w:t>
      </w:r>
      <w:r>
        <w:rPr>
          <w:rFonts w:ascii="TimesNewRomanPSMT" w:eastAsia="Times New Roman" w:hAnsi="TimesNewRomanPSMT" w:cs="TimesNewRomanPSMT"/>
          <w:szCs w:val="24"/>
        </w:rPr>
        <w:t xml:space="preserve"> dalis: gynėja</w:t>
      </w:r>
      <w:r w:rsidRPr="00C51A1C">
        <w:rPr>
          <w:rFonts w:ascii="TimesNewRomanPSMT" w:eastAsia="Times New Roman" w:hAnsi="TimesNewRomanPSMT" w:cs="TimesNewRomanPSMT"/>
          <w:szCs w:val="24"/>
        </w:rPr>
        <w:t>s turi teisę savarankiškai rinkti gynybai reikalingus duomenis, kuriuos gali</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gauti nesinaudodamas procesinėmis prievartos priemonėmis, gauti iš įmonių, įstaigų, ir</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organizacijų bei asmenų gynybai reikalingus duomenis ir daiktus, kalbėtis su asmenimis apie</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jiems žinomas įvykio aplinkybes, apžiūrinėti ir fotografuoti įvykio vietą, transporto priemones,</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ar kitaip fiksuoti gynybai reikalingą informa</w:t>
      </w:r>
      <w:r>
        <w:rPr>
          <w:rFonts w:ascii="TimesNewRomanPSMT" w:eastAsia="Times New Roman" w:hAnsi="TimesNewRomanPSMT" w:cs="TimesNewRomanPSMT"/>
          <w:szCs w:val="24"/>
        </w:rPr>
        <w:t xml:space="preserve">ciją, pateikti prašymus teisme.Advokatūros įstatymo 44 straipsnis: </w:t>
      </w:r>
      <w:r w:rsidRPr="00C51A1C">
        <w:rPr>
          <w:rFonts w:ascii="TimesNewRomanPSMT" w:eastAsia="Times New Roman" w:hAnsi="TimesNewRomanPSMT" w:cs="TimesNewRomanPSMT"/>
          <w:szCs w:val="24"/>
        </w:rPr>
        <w:t>advokatas turi teisę susipažinti su teismų ir kitų institucijų,</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nagrinėjančių ginčus ir skundus, praktika, taip pat su įsiteisėjusiais jų sprendimais,</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nuosprendžiais, nutartimis ir kita bylų medžiaga, daryti šios medžiagos kopijas, jeigu teismas</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nėra nustatęs apribojimų dėl dokumentų viešumo, tvirtinti bylai nagrinėti teisme reikalingų</w:t>
      </w:r>
      <w:r>
        <w:rPr>
          <w:rFonts w:ascii="TimesNewRomanPSMT" w:eastAsia="Times New Roman" w:hAnsi="TimesNewRomanPSMT" w:cs="TimesNewRomanPSMT"/>
          <w:szCs w:val="24"/>
        </w:rPr>
        <w:t xml:space="preserve"> </w:t>
      </w:r>
      <w:r w:rsidRPr="00C51A1C">
        <w:rPr>
          <w:rFonts w:ascii="TimesNewRomanPSMT" w:eastAsia="Times New Roman" w:hAnsi="TimesNewRomanPSMT" w:cs="TimesNewRomanPSMT"/>
          <w:szCs w:val="24"/>
        </w:rPr>
        <w:t>rašytinių įrodymų nuorašus.</w:t>
      </w:r>
      <w:r>
        <w:rPr>
          <w:rFonts w:ascii="TimesNewRomanPSMT" w:eastAsia="Times New Roman" w:hAnsi="TimesNewRomanPSMT" w:cs="TimesNewRomanPSMT"/>
          <w:szCs w:val="24"/>
        </w:rPr>
        <w:t xml:space="preserve"> </w:t>
      </w:r>
      <w:r w:rsidRPr="005A52D9">
        <w:t xml:space="preserve">Gušauskienė, M. Gynybos šalies teisė dalyvauti įrodinėjimo procese. </w:t>
      </w:r>
      <w:r>
        <w:t xml:space="preserve">In Kurapka, V. E., </w:t>
      </w:r>
      <w:r w:rsidRPr="004D31B4">
        <w:rPr>
          <w:i/>
        </w:rPr>
        <w:t>et al</w:t>
      </w:r>
      <w:r>
        <w:t xml:space="preserve">. </w:t>
      </w:r>
      <w:r w:rsidRPr="00082942">
        <w:rPr>
          <w:i/>
        </w:rPr>
        <w:t>Baudžiamasis procesas: nuo teorijos iki įrodinėjimo (prof. dr. Eugenijaus Palskio atminimui). Mokslo studija</w:t>
      </w:r>
      <w:r w:rsidRPr="00C347C6">
        <w:t>. Vilnius: Myk</w:t>
      </w:r>
      <w:r>
        <w:t xml:space="preserve">olo Romerio universitetas, 2011, p. 372. </w:t>
      </w:r>
      <w:r w:rsidRPr="00744CAA">
        <w:t xml:space="preserve">Lietuvos Respublikos advokatūros įstatymas. </w:t>
      </w:r>
      <w:r w:rsidRPr="00744CAA">
        <w:rPr>
          <w:i/>
        </w:rPr>
        <w:t>Valstybės žinios</w:t>
      </w:r>
      <w:r w:rsidRPr="00744CAA">
        <w:t>. 2004, Nr. 50-1632.</w:t>
      </w:r>
      <w:r>
        <w:t xml:space="preserve"> </w:t>
      </w:r>
      <w:r w:rsidRPr="00F326CF">
        <w:t xml:space="preserve">Gušauskienė, M. </w:t>
      </w:r>
      <w:r w:rsidRPr="00F326CF">
        <w:rPr>
          <w:i/>
        </w:rPr>
        <w:t>Teisė į gynybą atskleidžiant ir tiriant nusikalstamas veikas: teorinės teisinės prielaidos ir praktinio taikymo problemos</w:t>
      </w:r>
      <w:r w:rsidRPr="00F326CF">
        <w:t>. Daktaro disertacija. Socialiniai mokslai (teisė). Vilnius: Mykolo Romerio Universitetas, 2007</w:t>
      </w:r>
      <w:r>
        <w:t xml:space="preserve">, p. 85-88. </w:t>
      </w:r>
    </w:p>
  </w:footnote>
  <w:footnote w:id="732">
    <w:p w:rsidR="00E0371E" w:rsidRDefault="00E0371E" w:rsidP="0079356C">
      <w:pPr>
        <w:pStyle w:val="Puslapioinaostekstas"/>
        <w:jc w:val="both"/>
      </w:pPr>
      <w:r>
        <w:rPr>
          <w:rStyle w:val="Puslapioinaosnuoroda"/>
        </w:rPr>
        <w:footnoteRef/>
      </w:r>
      <w:r>
        <w:t xml:space="preserve">Bilius, M. </w:t>
      </w:r>
      <w:r w:rsidRPr="0079356C">
        <w:rPr>
          <w:i/>
        </w:rPr>
        <w:t>Privačios detektyvinės veiklos teisinio reglamentavimo Lietuvoje problematika</w:t>
      </w:r>
      <w:r>
        <w:t>. Daktaro disertacija. Socialiniai mokslai (teisė). Kaunas: Vytauto Didžiojo universitetas, 2013, p. 49.</w:t>
      </w:r>
    </w:p>
  </w:footnote>
  <w:footnote w:id="733">
    <w:p w:rsidR="00E0371E" w:rsidRDefault="00E0371E" w:rsidP="007E32DD">
      <w:pPr>
        <w:pStyle w:val="Puslapioinaostekstas"/>
        <w:jc w:val="both"/>
      </w:pPr>
      <w:r>
        <w:rPr>
          <w:rStyle w:val="Puslapioinaosnuoroda"/>
        </w:rPr>
        <w:footnoteRef/>
      </w:r>
      <w:r w:rsidRPr="006D6377">
        <w:t xml:space="preserve">Bilius, M. Privačių detektyvinių paslaugų naudojimo galimybės siekiant asmens teisių ir teisėtų interesų apsaugos. </w:t>
      </w:r>
      <w:r>
        <w:t xml:space="preserve">In </w:t>
      </w:r>
      <w:r w:rsidRPr="006D6377">
        <w:rPr>
          <w:i/>
        </w:rPr>
        <w:t xml:space="preserve">Viešosios </w:t>
      </w:r>
      <w:r>
        <w:rPr>
          <w:i/>
        </w:rPr>
        <w:t>t</w:t>
      </w:r>
      <w:r w:rsidRPr="006D6377">
        <w:rPr>
          <w:i/>
        </w:rPr>
        <w:t xml:space="preserve">eisės </w:t>
      </w:r>
      <w:r>
        <w:rPr>
          <w:i/>
        </w:rPr>
        <w:t>r</w:t>
      </w:r>
      <w:r w:rsidRPr="006D6377">
        <w:rPr>
          <w:i/>
        </w:rPr>
        <w:t xml:space="preserve">aida: </w:t>
      </w:r>
      <w:r>
        <w:rPr>
          <w:i/>
        </w:rPr>
        <w:t>d</w:t>
      </w:r>
      <w:r w:rsidRPr="006D6377">
        <w:rPr>
          <w:i/>
        </w:rPr>
        <w:t xml:space="preserve">e </w:t>
      </w:r>
      <w:r>
        <w:rPr>
          <w:i/>
        </w:rPr>
        <w:t>j</w:t>
      </w:r>
      <w:r w:rsidRPr="006D6377">
        <w:rPr>
          <w:i/>
        </w:rPr>
        <w:t xml:space="preserve">ure </w:t>
      </w:r>
      <w:r>
        <w:rPr>
          <w:i/>
        </w:rPr>
        <w:t>i</w:t>
      </w:r>
      <w:r w:rsidRPr="006D6377">
        <w:rPr>
          <w:i/>
        </w:rPr>
        <w:t xml:space="preserve">r </w:t>
      </w:r>
      <w:r>
        <w:rPr>
          <w:i/>
        </w:rPr>
        <w:t>de f</w:t>
      </w:r>
      <w:r w:rsidRPr="006D6377">
        <w:rPr>
          <w:i/>
        </w:rPr>
        <w:t xml:space="preserve">acto </w:t>
      </w:r>
      <w:r>
        <w:rPr>
          <w:i/>
        </w:rPr>
        <w:t>p</w:t>
      </w:r>
      <w:r w:rsidRPr="006D6377">
        <w:rPr>
          <w:i/>
        </w:rPr>
        <w:t>roblematika.</w:t>
      </w:r>
      <w:r w:rsidRPr="006D6377">
        <w:t xml:space="preserve"> </w:t>
      </w:r>
      <w:r>
        <w:t xml:space="preserve">(Red. </w:t>
      </w:r>
      <w:r w:rsidRPr="006D6377">
        <w:t>Mesonis, G.</w:t>
      </w:r>
      <w:r>
        <w:t>,</w:t>
      </w:r>
      <w:r w:rsidRPr="006D6377">
        <w:t xml:space="preserve"> </w:t>
      </w:r>
      <w:r w:rsidRPr="00AF330B">
        <w:rPr>
          <w:i/>
        </w:rPr>
        <w:t>et al</w:t>
      </w:r>
      <w:r w:rsidRPr="006D6377">
        <w:t>.)</w:t>
      </w:r>
      <w:r>
        <w:t>.</w:t>
      </w:r>
      <w:r w:rsidRPr="006D6377">
        <w:t xml:space="preserve"> </w:t>
      </w:r>
      <w:r>
        <w:t xml:space="preserve">MES, </w:t>
      </w:r>
      <w:r w:rsidRPr="006D6377">
        <w:t>2013</w:t>
      </w:r>
      <w:r>
        <w:t>, p.</w:t>
      </w:r>
      <w:r w:rsidRPr="006D6377">
        <w:t xml:space="preserve"> 110-125</w:t>
      </w:r>
      <w:r>
        <w:t xml:space="preserve">. </w:t>
      </w:r>
    </w:p>
  </w:footnote>
  <w:footnote w:id="734">
    <w:p w:rsidR="00E0371E" w:rsidRDefault="00E0371E" w:rsidP="007E32DD">
      <w:pPr>
        <w:pStyle w:val="Puslapioinaostekstas"/>
        <w:jc w:val="both"/>
      </w:pPr>
      <w:r>
        <w:rPr>
          <w:rStyle w:val="Puslapioinaosnuoroda"/>
        </w:rPr>
        <w:footnoteRef/>
      </w:r>
      <w:r w:rsidRPr="00351994">
        <w:t xml:space="preserve">Bilius, M. Etikos vaidmuo privačioje detektyvinėje veikloje. </w:t>
      </w:r>
      <w:r w:rsidRPr="00351994">
        <w:rPr>
          <w:i/>
        </w:rPr>
        <w:t>2011 m. rugsėjo 30 d. pranešimas tarptautinėje mokslinėje konferencijoje „Globalizacijos įtaka teisei: besikeičiantis teisininkų etikos vaidmuo“</w:t>
      </w:r>
      <w:r w:rsidRPr="00351994">
        <w:t xml:space="preserve">. Kaunas: Vytauto Didžiojo universitetas, 2011. </w:t>
      </w:r>
      <w:r>
        <w:t xml:space="preserve"> </w:t>
      </w:r>
      <w:r w:rsidRPr="006D6377">
        <w:t xml:space="preserve">Bilius, M. Privačių detektyvinių paslaugų naudojimo galimybės siekiant asmens teisių ir teisėtų interesų apsaugos. </w:t>
      </w:r>
      <w:r>
        <w:t xml:space="preserve">In </w:t>
      </w:r>
      <w:r w:rsidRPr="006D6377">
        <w:rPr>
          <w:i/>
        </w:rPr>
        <w:t xml:space="preserve">Viešosios </w:t>
      </w:r>
      <w:r>
        <w:rPr>
          <w:i/>
        </w:rPr>
        <w:t>t</w:t>
      </w:r>
      <w:r w:rsidRPr="006D6377">
        <w:rPr>
          <w:i/>
        </w:rPr>
        <w:t xml:space="preserve">eisės </w:t>
      </w:r>
      <w:r>
        <w:rPr>
          <w:i/>
        </w:rPr>
        <w:t>r</w:t>
      </w:r>
      <w:r w:rsidRPr="006D6377">
        <w:rPr>
          <w:i/>
        </w:rPr>
        <w:t xml:space="preserve">aida: </w:t>
      </w:r>
      <w:r>
        <w:rPr>
          <w:i/>
        </w:rPr>
        <w:t>d</w:t>
      </w:r>
      <w:r w:rsidRPr="006D6377">
        <w:rPr>
          <w:i/>
        </w:rPr>
        <w:t xml:space="preserve">e </w:t>
      </w:r>
      <w:r>
        <w:rPr>
          <w:i/>
        </w:rPr>
        <w:t>j</w:t>
      </w:r>
      <w:r w:rsidRPr="006D6377">
        <w:rPr>
          <w:i/>
        </w:rPr>
        <w:t xml:space="preserve">ure </w:t>
      </w:r>
      <w:r>
        <w:rPr>
          <w:i/>
        </w:rPr>
        <w:t>i</w:t>
      </w:r>
      <w:r w:rsidRPr="006D6377">
        <w:rPr>
          <w:i/>
        </w:rPr>
        <w:t xml:space="preserve">r </w:t>
      </w:r>
      <w:r>
        <w:rPr>
          <w:i/>
        </w:rPr>
        <w:t>de f</w:t>
      </w:r>
      <w:r w:rsidRPr="006D6377">
        <w:rPr>
          <w:i/>
        </w:rPr>
        <w:t xml:space="preserve">acto </w:t>
      </w:r>
      <w:r>
        <w:rPr>
          <w:i/>
        </w:rPr>
        <w:t>p</w:t>
      </w:r>
      <w:r w:rsidRPr="006D6377">
        <w:rPr>
          <w:i/>
        </w:rPr>
        <w:t>roblematika.</w:t>
      </w:r>
      <w:r w:rsidRPr="006D6377">
        <w:t xml:space="preserve"> </w:t>
      </w:r>
      <w:r>
        <w:t xml:space="preserve">(Red. </w:t>
      </w:r>
      <w:r w:rsidRPr="006D6377">
        <w:t>Mesonis, G.</w:t>
      </w:r>
      <w:r>
        <w:t>,</w:t>
      </w:r>
      <w:r w:rsidRPr="006D6377">
        <w:t xml:space="preserve"> </w:t>
      </w:r>
      <w:r w:rsidRPr="00AF330B">
        <w:rPr>
          <w:i/>
        </w:rPr>
        <w:t>et al</w:t>
      </w:r>
      <w:r w:rsidRPr="006D6377">
        <w:t>.)</w:t>
      </w:r>
      <w:r>
        <w:t>.</w:t>
      </w:r>
      <w:r w:rsidRPr="006D6377">
        <w:t xml:space="preserve"> </w:t>
      </w:r>
      <w:r>
        <w:t xml:space="preserve">MES, </w:t>
      </w:r>
      <w:r w:rsidRPr="006D6377">
        <w:t>2013</w:t>
      </w:r>
      <w:r>
        <w:t>, p.</w:t>
      </w:r>
      <w:r w:rsidRPr="006D6377">
        <w:t xml:space="preserve"> 110-125</w:t>
      </w:r>
      <w:r>
        <w:t xml:space="preserve">. Bilius, M., Kuzminovas, M. Privačių subjektų surinktų duomenų naudojimas Lietuvos baudžiamajame procese. In </w:t>
      </w:r>
      <w:r w:rsidRPr="009850B7">
        <w:t>Prapiestis, J., e</w:t>
      </w:r>
      <w:r w:rsidRPr="00E206CB">
        <w:rPr>
          <w:i/>
        </w:rPr>
        <w:t>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406-409.</w:t>
      </w:r>
    </w:p>
  </w:footnote>
  <w:footnote w:id="735">
    <w:p w:rsidR="00E0371E" w:rsidRDefault="00E0371E" w:rsidP="007E32DD">
      <w:pPr>
        <w:pStyle w:val="Puslapioinaostekstas"/>
        <w:jc w:val="both"/>
      </w:pPr>
      <w:r>
        <w:rPr>
          <w:rStyle w:val="Puslapioinaosnuoroda"/>
        </w:rPr>
        <w:footnoteRef/>
      </w:r>
      <w:r w:rsidRPr="002D6628">
        <w:t>Lietuvos Respublikos privačios detektyvinės veiklos įstatymo projektas [interaktyvus]. 2012-04-11, Nr. XIP-4305. [žiūrėta 2013-11-05]</w:t>
      </w:r>
      <w:r>
        <w:t>.</w:t>
      </w:r>
      <w:r w:rsidRPr="002D6628">
        <w:t xml:space="preserve"> </w:t>
      </w:r>
      <w:r>
        <w:t>&lt;</w:t>
      </w:r>
      <w:r w:rsidRPr="002D6628">
        <w:t>http://www3.lrs.lt/pls/inter3/dokpaieska.showdoc_l?p_id=422008&amp;p_query=&amp;p_tr2=2</w:t>
      </w:r>
      <w:r>
        <w:t>&gt;.</w:t>
      </w:r>
    </w:p>
  </w:footnote>
  <w:footnote w:id="736">
    <w:p w:rsidR="00E0371E" w:rsidRDefault="00E0371E" w:rsidP="007E32DD">
      <w:pPr>
        <w:pStyle w:val="Puslapioinaostekstas"/>
        <w:jc w:val="both"/>
      </w:pPr>
      <w:r>
        <w:rPr>
          <w:rStyle w:val="Puslapioinaosnuoroda"/>
        </w:rPr>
        <w:footnoteRef/>
      </w:r>
      <w:r w:rsidRPr="00F8040D">
        <w:t xml:space="preserve">Gušauskienė, M. Gynybos šalies teisė dalyvauti įrodinėjimo procese. In </w:t>
      </w:r>
      <w:r>
        <w:t xml:space="preserve">Kurapka, V. E., </w:t>
      </w:r>
      <w:r w:rsidRPr="004D31B4">
        <w:rPr>
          <w:i/>
        </w:rPr>
        <w:t>et al</w:t>
      </w:r>
      <w:r>
        <w:t xml:space="preserve">. </w:t>
      </w:r>
      <w:r w:rsidRPr="00082942">
        <w:rPr>
          <w:i/>
        </w:rPr>
        <w:t>Baudžiamasis procesas: nuo teorijos iki įrodinėjimo (prof. dr. Eugenijaus Palskio atminimui). Mokslo studija</w:t>
      </w:r>
      <w:r w:rsidRPr="00C347C6">
        <w:t>. Vilnius: Myk</w:t>
      </w:r>
      <w:r>
        <w:t xml:space="preserve">olo Romerio universitetas, 2011, p. 371. </w:t>
      </w:r>
    </w:p>
  </w:footnote>
  <w:footnote w:id="737">
    <w:p w:rsidR="00E0371E" w:rsidRDefault="00E0371E" w:rsidP="007E32DD">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131.</w:t>
      </w:r>
    </w:p>
  </w:footnote>
  <w:footnote w:id="738">
    <w:p w:rsidR="00E0371E" w:rsidRDefault="00E0371E" w:rsidP="007E32DD">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135-136.</w:t>
      </w:r>
    </w:p>
  </w:footnote>
  <w:footnote w:id="739">
    <w:p w:rsidR="00E0371E" w:rsidRDefault="00E0371E" w:rsidP="007E32DD">
      <w:pPr>
        <w:pStyle w:val="Puslapioinaostekstas"/>
        <w:jc w:val="both"/>
      </w:pPr>
      <w:r>
        <w:rPr>
          <w:rStyle w:val="Puslapioinaosnuoroda"/>
        </w:rPr>
        <w:footnoteRef/>
      </w:r>
      <w:r w:rsidRPr="00B262A3">
        <w:rPr>
          <w:rFonts w:eastAsia="Times New Roman"/>
        </w:rPr>
        <w:t>M. Gušauskienė teigia, kad gynybos šalis laikytina įrodinėjimo subjektu, tačiau pabrėžia išlygą, kad jos procesinės galimybės nėra lygios kaltintojo procesinėms galimybėms.</w:t>
      </w:r>
      <w:r>
        <w:rPr>
          <w:rFonts w:eastAsia="Times New Roman"/>
        </w:rPr>
        <w:t xml:space="preserve"> </w:t>
      </w:r>
      <w:r>
        <w:t xml:space="preserve">Gušauskienė, M. Gynybos šalies teisė dalyvauti įrodinėjimo procese. In Kurapka, V. E., </w:t>
      </w:r>
      <w:r w:rsidRPr="004D31B4">
        <w:rPr>
          <w:i/>
        </w:rPr>
        <w:t>et al.</w:t>
      </w:r>
      <w:r>
        <w:t xml:space="preserve"> </w:t>
      </w:r>
      <w:r w:rsidRPr="00082942">
        <w:rPr>
          <w:i/>
        </w:rPr>
        <w:t>Baudžiamasis procesas: nuo teorijos iki įrodinėjimo (prof. dr. Eugenijaus Palskio atminimui). Mokslo studija</w:t>
      </w:r>
      <w:r w:rsidRPr="00C347C6">
        <w:t>. Vilnius: Myk</w:t>
      </w:r>
      <w:r>
        <w:t>olo Romerio universitetas, 2011, p. 364, 369.</w:t>
      </w:r>
    </w:p>
  </w:footnote>
  <w:footnote w:id="740">
    <w:p w:rsidR="00E0371E" w:rsidRDefault="00E0371E" w:rsidP="007E32DD">
      <w:pPr>
        <w:pStyle w:val="Puslapioinaostekstas"/>
        <w:jc w:val="both"/>
      </w:pPr>
      <w:r>
        <w:rPr>
          <w:rStyle w:val="Puslapioinaosnuoroda"/>
        </w:rPr>
        <w:footnoteRef/>
      </w:r>
      <w:r>
        <w:t xml:space="preserve">Gušauskienė, M. Gynybos šalies teisė dalyvauti įrodinėjimo procese. In Kurapka, V. E., </w:t>
      </w:r>
      <w:r w:rsidRPr="004D31B4">
        <w:rPr>
          <w:i/>
        </w:rPr>
        <w:t>et al</w:t>
      </w:r>
      <w:r>
        <w:t xml:space="preserve">. </w:t>
      </w:r>
      <w:r w:rsidRPr="00082942">
        <w:rPr>
          <w:i/>
        </w:rPr>
        <w:t>Baudžiamasis procesas: nuo teorijos iki įrodinėjimo (prof. dr. Eugenijaus Palskio atminimui). Mokslo studija</w:t>
      </w:r>
      <w:r w:rsidRPr="00C347C6">
        <w:t>. Vilnius: Myk</w:t>
      </w:r>
      <w:r>
        <w:t>olo Romerio universitetas, 2011</w:t>
      </w:r>
      <w:r w:rsidRPr="0081259C">
        <w:t xml:space="preserve">, p. </w:t>
      </w:r>
      <w:r>
        <w:t xml:space="preserve">364. </w:t>
      </w:r>
    </w:p>
  </w:footnote>
  <w:footnote w:id="741">
    <w:p w:rsidR="00E0371E" w:rsidRDefault="00E0371E" w:rsidP="007E32DD">
      <w:pPr>
        <w:pStyle w:val="Puslapioinaostekstas"/>
        <w:jc w:val="both"/>
      </w:pPr>
      <w:r>
        <w:rPr>
          <w:rStyle w:val="Puslapioinaosnuoroda"/>
        </w:rPr>
        <w:footnoteRef/>
      </w:r>
      <w:r w:rsidRPr="005A52D9">
        <w:t xml:space="preserve">Gušauskienė, M. Gynybos šalies teisė dalyvauti įrodinėjimo procese. </w:t>
      </w:r>
      <w:r>
        <w:t xml:space="preserve">In Kurapka, V. E., </w:t>
      </w:r>
      <w:r w:rsidRPr="004D31B4">
        <w:rPr>
          <w:i/>
        </w:rPr>
        <w:t>et al.</w:t>
      </w:r>
      <w:r>
        <w:t xml:space="preserve"> </w:t>
      </w:r>
      <w:r w:rsidRPr="00082942">
        <w:rPr>
          <w:i/>
        </w:rPr>
        <w:t>Baudžiamasis procesas: nuo teorijos iki įrodinėjimo (prof. dr. Eugenijaus Palskio atminimui). Mokslo studija</w:t>
      </w:r>
      <w:r w:rsidRPr="00C347C6">
        <w:t>. Vilnius: Mykolo Romerio universitetas, 2011</w:t>
      </w:r>
      <w:r>
        <w:t xml:space="preserve">, p. 371. </w:t>
      </w:r>
    </w:p>
  </w:footnote>
  <w:footnote w:id="742">
    <w:p w:rsidR="00E0371E" w:rsidRDefault="00E0371E" w:rsidP="007E32DD">
      <w:pPr>
        <w:pStyle w:val="Puslapioinaostekstas"/>
        <w:jc w:val="both"/>
      </w:pPr>
      <w:r>
        <w:rPr>
          <w:rStyle w:val="Puslapioinaosnuoroda"/>
        </w:rPr>
        <w:footnoteRef/>
      </w:r>
      <w:r>
        <w:t xml:space="preserve">Montvydienė, I. </w:t>
      </w:r>
      <w:r w:rsidRPr="004D5788">
        <w:rPr>
          <w:i/>
        </w:rPr>
        <w:t>Valstybės garantuojama teisinė pagalba civilinėse bylose</w:t>
      </w:r>
      <w:r>
        <w:t xml:space="preserve">. Daktaro disertacija. Socialiniai mokslai (teisė). Vilnius: Mykolo Romerio universitetas, 2010, p. 189. </w:t>
      </w:r>
    </w:p>
  </w:footnote>
  <w:footnote w:id="743">
    <w:p w:rsidR="00E0371E" w:rsidRPr="00B65DC6" w:rsidRDefault="00E0371E" w:rsidP="007E32DD">
      <w:pPr>
        <w:pStyle w:val="Puslapioinaostekstas"/>
        <w:jc w:val="both"/>
      </w:pPr>
      <w:r w:rsidRPr="00B65DC6">
        <w:rPr>
          <w:rStyle w:val="Puslapioinaosnuoroda"/>
        </w:rPr>
        <w:footnoteRef/>
      </w:r>
      <w:r w:rsidRPr="00B65DC6">
        <w:t xml:space="preserve">Apibendrindama autorių nuomones, I. Žalėnienė išskiria tris pagrindinius atstovavimo civiliniame procese požymius, kurie vertintini kaip universalūs procesinio atstovavimo institutui, taip pat ir baudžiamajame procese: 1. </w:t>
      </w:r>
      <w:r>
        <w:t>a</w:t>
      </w:r>
      <w:r w:rsidRPr="00B65DC6">
        <w:t>tstovas visuomet veikia kito asmens – atstovaujamojo – vardu</w:t>
      </w:r>
      <w:r>
        <w:t xml:space="preserve">; </w:t>
      </w:r>
      <w:r w:rsidRPr="00B65DC6">
        <w:t xml:space="preserve">2. </w:t>
      </w:r>
      <w:r>
        <w:t>a</w:t>
      </w:r>
      <w:r w:rsidRPr="00B65DC6">
        <w:t>tstovas veikti atstovaujamojo vardu gali tik tada, kai yra tinkamai įgalintas</w:t>
      </w:r>
      <w:r>
        <w:t>;</w:t>
      </w:r>
      <w:r w:rsidRPr="00B65DC6">
        <w:t xml:space="preserve"> 3. </w:t>
      </w:r>
      <w:r>
        <w:t>a</w:t>
      </w:r>
      <w:r w:rsidRPr="00B65DC6">
        <w:t>tstovavimo rezultatas – teisinių pasekmių svetimoje teisinėje sferoje</w:t>
      </w:r>
      <w:r>
        <w:t xml:space="preserve"> sukūrimas. </w:t>
      </w:r>
      <w:r w:rsidRPr="002F3D07">
        <w:t>Žalėnienė, I</w:t>
      </w:r>
      <w:r>
        <w:t xml:space="preserve">. </w:t>
      </w:r>
      <w:r w:rsidRPr="002F3D07">
        <w:rPr>
          <w:i/>
        </w:rPr>
        <w:t>Atstovavimas civiliniame procese (teoriniai ir praktiniai aspektai).</w:t>
      </w:r>
      <w:r>
        <w:rPr>
          <w:i/>
        </w:rPr>
        <w:t xml:space="preserve"> </w:t>
      </w:r>
      <w:r>
        <w:t>D</w:t>
      </w:r>
      <w:r w:rsidRPr="002F3D07">
        <w:t>aktaro disertacija</w:t>
      </w:r>
      <w:r>
        <w:t>. Socialiniai mokslai</w:t>
      </w:r>
      <w:r w:rsidRPr="002F3D07">
        <w:t xml:space="preserve"> </w:t>
      </w:r>
      <w:r>
        <w:t>(</w:t>
      </w:r>
      <w:r w:rsidRPr="002F3D07">
        <w:t>teisė</w:t>
      </w:r>
      <w:r>
        <w:t>)</w:t>
      </w:r>
      <w:r w:rsidRPr="002F3D07">
        <w:t>. Vilnius</w:t>
      </w:r>
      <w:r>
        <w:t>:</w:t>
      </w:r>
      <w:r w:rsidRPr="002F3D07">
        <w:t xml:space="preserve"> Mykolo Romerio universitetas</w:t>
      </w:r>
      <w:r>
        <w:t xml:space="preserve">, 2006, </w:t>
      </w:r>
      <w:r w:rsidRPr="00B65DC6">
        <w:t>p. 63</w:t>
      </w:r>
      <w:r>
        <w:t xml:space="preserve">. </w:t>
      </w:r>
      <w:r w:rsidRPr="002F3D07">
        <w:t>Žalėnienė, I</w:t>
      </w:r>
      <w:r>
        <w:t>.</w:t>
      </w:r>
      <w:r w:rsidRPr="002F3D07">
        <w:t xml:space="preserve"> Atstovavimo civiliniame procese sampratos problema. </w:t>
      </w:r>
      <w:r w:rsidRPr="002F3D07">
        <w:rPr>
          <w:i/>
        </w:rPr>
        <w:t>Socialinių mokslų studijos</w:t>
      </w:r>
      <w:r w:rsidRPr="002F3D07">
        <w:t>.</w:t>
      </w:r>
      <w:r>
        <w:t xml:space="preserve"> 2010,</w:t>
      </w:r>
      <w:r w:rsidRPr="002F3D07">
        <w:t xml:space="preserve"> 1</w:t>
      </w:r>
      <w:r>
        <w:t xml:space="preserve"> </w:t>
      </w:r>
      <w:r w:rsidRPr="002F3D07">
        <w:t>(5)</w:t>
      </w:r>
      <w:r>
        <w:t>:</w:t>
      </w:r>
      <w:r w:rsidRPr="002F3D07">
        <w:t xml:space="preserve"> 205-217.</w:t>
      </w:r>
    </w:p>
  </w:footnote>
  <w:footnote w:id="744">
    <w:p w:rsidR="00E0371E" w:rsidRDefault="00E0371E" w:rsidP="007E32DD">
      <w:pPr>
        <w:pStyle w:val="Puslapioinaostekstas"/>
        <w:jc w:val="both"/>
      </w:pPr>
      <w:r>
        <w:rPr>
          <w:rStyle w:val="Puslapioinaosnuoroda"/>
        </w:rPr>
        <w:footnoteRef/>
      </w:r>
      <w:r>
        <w:t xml:space="preserve">Kai kurių mokslininkų nuomone tai yra procesinio atstovavimo požymis, o ne tikslas. </w:t>
      </w:r>
      <w:r w:rsidRPr="002F3D07">
        <w:t>Žalėnienė, I</w:t>
      </w:r>
      <w:r>
        <w:t xml:space="preserve">. </w:t>
      </w:r>
      <w:r w:rsidRPr="002F3D07">
        <w:rPr>
          <w:i/>
        </w:rPr>
        <w:t>Atstovavimas civiliniame procese (teoriniai ir praktiniai aspektai).</w:t>
      </w:r>
      <w:r>
        <w:rPr>
          <w:i/>
        </w:rPr>
        <w:t xml:space="preserve"> </w:t>
      </w:r>
      <w:r>
        <w:t>D</w:t>
      </w:r>
      <w:r w:rsidRPr="002F3D07">
        <w:t>aktaro disertacija</w:t>
      </w:r>
      <w:r>
        <w:t>. Socialiniai mokslai</w:t>
      </w:r>
      <w:r w:rsidRPr="002F3D07">
        <w:t xml:space="preserve"> </w:t>
      </w:r>
      <w:r>
        <w:t>(</w:t>
      </w:r>
      <w:r w:rsidRPr="002F3D07">
        <w:t>teisė</w:t>
      </w:r>
      <w:r>
        <w:t>)</w:t>
      </w:r>
      <w:r w:rsidRPr="002F3D07">
        <w:t>. Vilnius</w:t>
      </w:r>
      <w:r>
        <w:t>:</w:t>
      </w:r>
      <w:r w:rsidRPr="002F3D07">
        <w:t xml:space="preserve"> Mykolo Romerio universitetas</w:t>
      </w:r>
      <w:r>
        <w:t>, 2006, p. 57.</w:t>
      </w:r>
    </w:p>
  </w:footnote>
  <w:footnote w:id="745">
    <w:p w:rsidR="00E0371E" w:rsidRDefault="00E0371E" w:rsidP="007E32DD">
      <w:pPr>
        <w:pStyle w:val="Puslapioinaostekstas"/>
        <w:jc w:val="both"/>
      </w:pPr>
      <w:r>
        <w:rPr>
          <w:rStyle w:val="Puslapioinaosnuoroda"/>
        </w:rPr>
        <w:footnoteRef/>
      </w:r>
      <w:r>
        <w:t xml:space="preserve">Vadovaujamasi Advokatūros įstatymo 2 straipsnyje įtvirtinta teisinių paslaugų ir teisinės pagalbos sąvoka, pabrėžiant, kad teisinė pagalba apima ir neatlygintiną teisinių paslaugų teikimą. </w:t>
      </w:r>
      <w:r w:rsidRPr="005F660D">
        <w:t>Advokatų teikiamos teisinės paslaugos – tai teisės konsultacijos (patarimai teisės klausimais), teisinę reikšmę turinčių dokumentų rengimas, atstovavimas teisės klausimais, gynyba bei atstovavimas bylų procese, kai šie veiksmai atliekami už atlyginimą, išskyrus šio Įstatymo 4 straipsnio 5 dalyje nurodytą atvejį.</w:t>
      </w:r>
      <w:r>
        <w:t xml:space="preserve"> (</w:t>
      </w:r>
      <w:r w:rsidRPr="005F660D">
        <w:t>Advokatas turi teisę teikti teisines paslaugas nemokamai, t. y. teikti teisinę pagalbą.</w:t>
      </w:r>
      <w:r>
        <w:t xml:space="preserve">) </w:t>
      </w:r>
      <w:r w:rsidRPr="002F3D07">
        <w:t>Žalėnienė, I</w:t>
      </w:r>
      <w:r>
        <w:t xml:space="preserve">. </w:t>
      </w:r>
      <w:r w:rsidRPr="002F3D07">
        <w:rPr>
          <w:i/>
        </w:rPr>
        <w:t>Atstovavimas civiliniame procese (teoriniai ir praktiniai aspektai).</w:t>
      </w:r>
      <w:r>
        <w:rPr>
          <w:i/>
        </w:rPr>
        <w:t xml:space="preserve"> </w:t>
      </w:r>
      <w:r>
        <w:t>D</w:t>
      </w:r>
      <w:r w:rsidRPr="002F3D07">
        <w:t>aktaro disertacija</w:t>
      </w:r>
      <w:r>
        <w:t>. Socialiniai mokslai</w:t>
      </w:r>
      <w:r w:rsidRPr="002F3D07">
        <w:t xml:space="preserve"> </w:t>
      </w:r>
      <w:r>
        <w:t>(</w:t>
      </w:r>
      <w:r w:rsidRPr="002F3D07">
        <w:t>teisė</w:t>
      </w:r>
      <w:r>
        <w:t>)</w:t>
      </w:r>
      <w:r w:rsidRPr="002F3D07">
        <w:t>. Vilnius</w:t>
      </w:r>
      <w:r>
        <w:t>:</w:t>
      </w:r>
      <w:r w:rsidRPr="002F3D07">
        <w:t xml:space="preserve"> Mykolo Romerio universitetas</w:t>
      </w:r>
      <w:r>
        <w:t xml:space="preserve">, 2006, p. 58. </w:t>
      </w:r>
      <w:r w:rsidRPr="00744CAA">
        <w:t xml:space="preserve">Lietuvos Respublikos advokatūros įstatymas. </w:t>
      </w:r>
      <w:r w:rsidRPr="00744CAA">
        <w:rPr>
          <w:i/>
        </w:rPr>
        <w:t>Valstybės žinios</w:t>
      </w:r>
      <w:r w:rsidRPr="00744CAA">
        <w:t>. 2004, Nr. 50-1632.</w:t>
      </w:r>
    </w:p>
  </w:footnote>
  <w:footnote w:id="746">
    <w:p w:rsidR="00E0371E" w:rsidRDefault="00E0371E" w:rsidP="007E32DD">
      <w:pPr>
        <w:pStyle w:val="Puslapioinaostekstas"/>
        <w:jc w:val="both"/>
      </w:pPr>
      <w:r>
        <w:rPr>
          <w:rStyle w:val="Puslapioinaosnuoroda"/>
        </w:rPr>
        <w:footnoteRef/>
      </w:r>
      <w:r>
        <w:t xml:space="preserve">Laužikas, E., Mikelėnas, V., Nekrošius, V. </w:t>
      </w:r>
      <w:r w:rsidRPr="005F660D">
        <w:rPr>
          <w:i/>
        </w:rPr>
        <w:t>Civilinio proceso teisė</w:t>
      </w:r>
      <w:r>
        <w:t xml:space="preserve">. I tomas. </w:t>
      </w:r>
      <w:r w:rsidRPr="00A42945">
        <w:t xml:space="preserve">Vilnius: Justitia, 2003, </w:t>
      </w:r>
      <w:r>
        <w:t>p. 285.</w:t>
      </w:r>
    </w:p>
  </w:footnote>
  <w:footnote w:id="747">
    <w:p w:rsidR="00E0371E" w:rsidRDefault="00E0371E" w:rsidP="007E32DD">
      <w:pPr>
        <w:pStyle w:val="Puslapioinaostekstas"/>
        <w:jc w:val="both"/>
      </w:pPr>
      <w:r>
        <w:rPr>
          <w:rStyle w:val="Puslapioinaosnuoroda"/>
        </w:rPr>
        <w:footnoteRef/>
      </w:r>
      <w:r>
        <w:t xml:space="preserve">Jurka, R., Juzukonis, S., Randakevičienė, I. </w:t>
      </w:r>
      <w:r w:rsidRPr="00174E79">
        <w:rPr>
          <w:i/>
        </w:rPr>
        <w:t>Baudžiamojo proceso dalyviai</w:t>
      </w:r>
      <w:r>
        <w:t xml:space="preserve">. Vilnius: Industrus, 2009, p. 86. Juzukonis, S. </w:t>
      </w:r>
      <w:r w:rsidRPr="001B4562">
        <w:rPr>
          <w:i/>
        </w:rPr>
        <w:t>Nukentėjusiojo teisių apsauga baudžiamajame procese</w:t>
      </w:r>
      <w:r>
        <w:t>. Daktaro disertacija.</w:t>
      </w:r>
      <w:r w:rsidRPr="001B4562">
        <w:t xml:space="preserve"> </w:t>
      </w:r>
      <w:r>
        <w:t>S</w:t>
      </w:r>
      <w:r w:rsidRPr="001B4562">
        <w:t xml:space="preserve">ocialiniai mokslai </w:t>
      </w:r>
      <w:r>
        <w:t>(</w:t>
      </w:r>
      <w:r w:rsidRPr="001B4562">
        <w:t>teisė)</w:t>
      </w:r>
      <w:r>
        <w:t>.</w:t>
      </w:r>
      <w:r w:rsidRPr="001B4562">
        <w:t xml:space="preserve"> </w:t>
      </w:r>
      <w:r>
        <w:t xml:space="preserve">Vilnius: </w:t>
      </w:r>
      <w:r w:rsidRPr="001B4562">
        <w:t>Lietuvos teisės universitetas, 2002</w:t>
      </w:r>
      <w:r>
        <w:t>, p. 99.</w:t>
      </w:r>
    </w:p>
  </w:footnote>
  <w:footnote w:id="748">
    <w:p w:rsidR="00E0371E" w:rsidRDefault="00E0371E" w:rsidP="007E32DD">
      <w:pPr>
        <w:pStyle w:val="Puslapioinaostekstas"/>
        <w:jc w:val="both"/>
      </w:pPr>
      <w:r>
        <w:rPr>
          <w:rStyle w:val="Puslapioinaosnuoroda"/>
        </w:rPr>
        <w:footnoteRef/>
      </w:r>
      <w:r>
        <w:t xml:space="preserve">Juzukonis, S. </w:t>
      </w:r>
      <w:r w:rsidRPr="001B4562">
        <w:rPr>
          <w:i/>
        </w:rPr>
        <w:t>Nukentėjusiojo teisių apsauga baudžiamajame procese</w:t>
      </w:r>
      <w:r>
        <w:t>. Daktaro disertacija.</w:t>
      </w:r>
      <w:r w:rsidRPr="001B4562">
        <w:t xml:space="preserve"> </w:t>
      </w:r>
      <w:r>
        <w:t>S</w:t>
      </w:r>
      <w:r w:rsidRPr="001B4562">
        <w:t xml:space="preserve">ocialiniai mokslai </w:t>
      </w:r>
      <w:r>
        <w:t>(</w:t>
      </w:r>
      <w:r w:rsidRPr="001B4562">
        <w:t>teisė)</w:t>
      </w:r>
      <w:r>
        <w:t>.</w:t>
      </w:r>
      <w:r w:rsidRPr="001B4562">
        <w:t xml:space="preserve"> </w:t>
      </w:r>
      <w:r>
        <w:t xml:space="preserve">Vilnius: </w:t>
      </w:r>
      <w:r w:rsidRPr="001B4562">
        <w:t>Lietuvos teisės universitetas, 2002</w:t>
      </w:r>
      <w:r>
        <w:t>, p. 99.</w:t>
      </w:r>
    </w:p>
  </w:footnote>
  <w:footnote w:id="749">
    <w:p w:rsidR="00E0371E" w:rsidRDefault="00E0371E" w:rsidP="007E32DD">
      <w:pPr>
        <w:pStyle w:val="Puslapioinaostekstas"/>
        <w:jc w:val="both"/>
      </w:pPr>
      <w:r>
        <w:rPr>
          <w:rStyle w:val="Puslapioinaosnuoroda"/>
        </w:rPr>
        <w:footnoteRef/>
      </w:r>
      <w:r>
        <w:t xml:space="preserve">Goda, G., Kazlauskas, M., Kuconis, P. </w:t>
      </w:r>
      <w:r w:rsidRPr="00AD4628">
        <w:rPr>
          <w:i/>
        </w:rPr>
        <w:t>Baudžiamojo proceso teisė</w:t>
      </w:r>
      <w:r>
        <w:rPr>
          <w:i/>
        </w:rPr>
        <w:t>.</w:t>
      </w:r>
      <w:r w:rsidRPr="00AD4628">
        <w:rPr>
          <w:i/>
        </w:rPr>
        <w:t xml:space="preserve"> </w:t>
      </w:r>
      <w:r>
        <w:rPr>
          <w:i/>
        </w:rPr>
        <w:t>V</w:t>
      </w:r>
      <w:r w:rsidRPr="00AD4628">
        <w:rPr>
          <w:i/>
        </w:rPr>
        <w:t>adovėlis</w:t>
      </w:r>
      <w:r>
        <w:t>. 2-oji pataisyta ir papildyta laida. Vilnius: VĮ Registrų centras, 2011</w:t>
      </w:r>
      <w:r>
        <w:rPr>
          <w:rFonts w:ascii="TimesNewRomanPSMT" w:hAnsi="TimesNewRomanPSMT"/>
        </w:rPr>
        <w:t xml:space="preserve">, </w:t>
      </w:r>
      <w:r>
        <w:t>p. 92.</w:t>
      </w:r>
    </w:p>
  </w:footnote>
  <w:footnote w:id="750">
    <w:p w:rsidR="00E0371E" w:rsidRPr="00C8142D" w:rsidRDefault="00E0371E" w:rsidP="007E32DD">
      <w:pPr>
        <w:pStyle w:val="Puslapioinaostekstas"/>
        <w:jc w:val="both"/>
      </w:pPr>
      <w:r w:rsidRPr="00447213">
        <w:rPr>
          <w:rStyle w:val="Puslapioinaosnuoroda"/>
        </w:rPr>
        <w:footnoteRef/>
      </w:r>
      <w:r w:rsidRPr="00447213">
        <w:t>EŽTT pripažino, kad teisės į teisminę</w:t>
      </w:r>
      <w:r w:rsidRPr="00C8142D">
        <w:t xml:space="preserve"> gynybą būtina prielaida tam tikrais atvejais gali būti teisinės pagalbos</w:t>
      </w:r>
      <w:r>
        <w:t xml:space="preserve"> </w:t>
      </w:r>
      <w:r w:rsidRPr="00C8142D">
        <w:t xml:space="preserve">suteikimas. </w:t>
      </w:r>
      <w:r w:rsidRPr="00C8142D">
        <w:rPr>
          <w:i/>
          <w:iCs/>
        </w:rPr>
        <w:t>Case of Airey v. Ireland</w:t>
      </w:r>
      <w:r>
        <w:rPr>
          <w:i/>
          <w:iCs/>
        </w:rPr>
        <w:t>,</w:t>
      </w:r>
      <w:r w:rsidRPr="00C8142D">
        <w:t xml:space="preserve"> </w:t>
      </w:r>
      <w:r>
        <w:t>n</w:t>
      </w:r>
      <w:r w:rsidRPr="00C8142D">
        <w:t>o. 6289/73, 9 October 1979, ECHR A32.</w:t>
      </w:r>
    </w:p>
  </w:footnote>
  <w:footnote w:id="751">
    <w:p w:rsidR="00E0371E" w:rsidRDefault="00E0371E" w:rsidP="007E32DD">
      <w:pPr>
        <w:pStyle w:val="Puslapioinaostekstas"/>
        <w:jc w:val="both"/>
      </w:pPr>
      <w:r>
        <w:rPr>
          <w:rStyle w:val="Puslapioinaosnuoroda"/>
        </w:rPr>
        <w:footnoteRef/>
      </w:r>
      <w:r w:rsidRPr="0090180F">
        <w:t xml:space="preserve">Ažubalytė, R. Nukentėjusio nuo nusikalstamos veikos asmens teisė kreiptis į teismą kaip teisminės gynybos realizavimo baudžiamajame procese prielaida. </w:t>
      </w:r>
      <w:r w:rsidRPr="0090180F">
        <w:rPr>
          <w:i/>
        </w:rPr>
        <w:t>Jurisprudencija</w:t>
      </w:r>
      <w:r>
        <w:rPr>
          <w:i/>
        </w:rPr>
        <w:t>.</w:t>
      </w:r>
      <w:r w:rsidRPr="0090180F">
        <w:t xml:space="preserve"> </w:t>
      </w:r>
      <w:r>
        <w:t xml:space="preserve">2010, 4 (122): </w:t>
      </w:r>
      <w:r w:rsidRPr="00D046AB">
        <w:rPr>
          <w:szCs w:val="24"/>
        </w:rPr>
        <w:t>234</w:t>
      </w:r>
      <w:r>
        <w:rPr>
          <w:szCs w:val="24"/>
        </w:rPr>
        <w:t>.</w:t>
      </w:r>
    </w:p>
  </w:footnote>
  <w:footnote w:id="752">
    <w:p w:rsidR="00E0371E" w:rsidRDefault="00E0371E" w:rsidP="007E32DD">
      <w:pPr>
        <w:pStyle w:val="Puslapioinaostekstas"/>
        <w:jc w:val="both"/>
      </w:pPr>
      <w:r>
        <w:rPr>
          <w:rStyle w:val="Puslapioinaosnuoroda"/>
        </w:rPr>
        <w:footnoteRef/>
      </w:r>
      <w:r>
        <w:t xml:space="preserve">Montvydienė, I. </w:t>
      </w:r>
      <w:r w:rsidRPr="004D5788">
        <w:rPr>
          <w:i/>
        </w:rPr>
        <w:t>Valstybės garantuojama teisinė pagalba civilinėse bylose</w:t>
      </w:r>
      <w:r>
        <w:t xml:space="preserve">. Daktaro disertacija. Socialiniai mokslai (teisė). Vilnius: Mykolo Romerio universitetas, 2010, p. 46. </w:t>
      </w:r>
    </w:p>
  </w:footnote>
  <w:footnote w:id="753">
    <w:p w:rsidR="00E0371E" w:rsidRDefault="00E0371E" w:rsidP="007E32DD">
      <w:pPr>
        <w:pStyle w:val="Puslapioinaostekstas"/>
        <w:jc w:val="both"/>
      </w:pPr>
      <w:r>
        <w:rPr>
          <w:rStyle w:val="Puslapioinaosnuoroda"/>
        </w:rPr>
        <w:footnoteRef/>
      </w:r>
      <w:r>
        <w:t xml:space="preserve">EŽTT praktikoje teisinės pagalbos veiksmingumas vertinamas pagal teisminės pagalbos prieinamumo užtikrinimo rezultatus. Teisinės pagalbos kokybės kriterijų klausimą tarptautinių teisės aktų ir EŽTT jurisprudencijos kontekste išsamiai analizavo Montvydienė, I. </w:t>
      </w:r>
      <w:r w:rsidRPr="004D5788">
        <w:rPr>
          <w:i/>
        </w:rPr>
        <w:t>Valstybės garantuojama teisinė pagalba civilinėse bylose</w:t>
      </w:r>
      <w:r>
        <w:t xml:space="preserve">. Daktaro disertacija. Socialiniai mokslai (teisė). Vilnius: Mykolo Romerio universitetas, 2010, p. 46-49, 124-147. </w:t>
      </w:r>
    </w:p>
  </w:footnote>
  <w:footnote w:id="754">
    <w:p w:rsidR="00E0371E" w:rsidRDefault="00E0371E" w:rsidP="00744CAA">
      <w:pPr>
        <w:pStyle w:val="Puslapioinaostekstas"/>
        <w:jc w:val="both"/>
      </w:pPr>
      <w:r>
        <w:rPr>
          <w:rStyle w:val="Puslapioinaosnuoroda"/>
        </w:rPr>
        <w:footnoteRef/>
      </w:r>
      <w:r>
        <w:t xml:space="preserve">Lietuvos Respublikos advokatūros įstatymas. </w:t>
      </w:r>
      <w:r w:rsidRPr="007530AB">
        <w:rPr>
          <w:i/>
        </w:rPr>
        <w:t>Valstybės žinios</w:t>
      </w:r>
      <w:r>
        <w:t>. 2004, Nr. 50-1632.</w:t>
      </w:r>
    </w:p>
  </w:footnote>
  <w:footnote w:id="755">
    <w:p w:rsidR="00E0371E" w:rsidRDefault="00E0371E" w:rsidP="007E32DD">
      <w:pPr>
        <w:pStyle w:val="Puslapioinaostekstas"/>
        <w:jc w:val="both"/>
      </w:pPr>
      <w:r>
        <w:rPr>
          <w:rStyle w:val="Puslapioinaosnuoroda"/>
        </w:rPr>
        <w:footnoteRef/>
      </w:r>
      <w:r w:rsidRPr="00D44F78">
        <w:rPr>
          <w:rFonts w:ascii="TimesNewRomanPSMT" w:hAnsi="TimesNewRomanPSMT" w:cs="TimesNewRomanPSMT"/>
          <w:i/>
          <w:szCs w:val="24"/>
        </w:rPr>
        <w:t>Gordon v. the United Kingdom</w:t>
      </w:r>
      <w:r w:rsidRPr="004248F4">
        <w:rPr>
          <w:rFonts w:ascii="TimesNewRomanPSMT" w:hAnsi="TimesNewRomanPSMT" w:cs="TimesNewRomanPSMT"/>
          <w:szCs w:val="24"/>
        </w:rPr>
        <w:t xml:space="preserve">, </w:t>
      </w:r>
      <w:r>
        <w:rPr>
          <w:rFonts w:ascii="TimesNewRomanPSMT" w:hAnsi="TimesNewRomanPSMT" w:cs="TimesNewRomanPSMT"/>
          <w:szCs w:val="24"/>
        </w:rPr>
        <w:t xml:space="preserve">no. </w:t>
      </w:r>
      <w:r w:rsidRPr="004248F4">
        <w:rPr>
          <w:rFonts w:ascii="TimesNewRomanPSMT" w:hAnsi="TimesNewRomanPSMT" w:cs="TimesNewRomanPSMT"/>
          <w:szCs w:val="24"/>
        </w:rPr>
        <w:t>4451/70</w:t>
      </w:r>
      <w:r>
        <w:rPr>
          <w:rFonts w:ascii="TimesNewRomanPSMT" w:hAnsi="TimesNewRomanPSMT" w:cs="TimesNewRomanPSMT"/>
          <w:szCs w:val="24"/>
        </w:rPr>
        <w:t xml:space="preserve">, 21 February </w:t>
      </w:r>
      <w:r w:rsidRPr="004248F4">
        <w:rPr>
          <w:rFonts w:ascii="TimesNewRomanPSMT" w:hAnsi="TimesNewRomanPSMT" w:cs="TimesNewRomanPSMT"/>
          <w:szCs w:val="24"/>
        </w:rPr>
        <w:t>1975</w:t>
      </w:r>
      <w:r>
        <w:rPr>
          <w:rFonts w:ascii="TimesNewRomanPSMT" w:hAnsi="TimesNewRomanPSMT" w:cs="TimesNewRomanPSMT"/>
          <w:szCs w:val="24"/>
        </w:rPr>
        <w:t xml:space="preserve">. </w:t>
      </w:r>
      <w:r w:rsidRPr="0095038A">
        <w:rPr>
          <w:rFonts w:ascii="TimesNewRomanPSMT" w:hAnsi="TimesNewRomanPSMT" w:cs="TimesNewRomanPSMT"/>
          <w:i/>
          <w:szCs w:val="24"/>
        </w:rPr>
        <w:t>John Murray v. the United Kingdom</w:t>
      </w:r>
      <w:r>
        <w:rPr>
          <w:rFonts w:ascii="TimesNewRomanPSMT" w:hAnsi="TimesNewRomanPSMT" w:cs="TimesNewRomanPSMT"/>
          <w:szCs w:val="24"/>
        </w:rPr>
        <w:t>, no.</w:t>
      </w:r>
      <w:r w:rsidRPr="004248F4">
        <w:rPr>
          <w:rFonts w:ascii="TimesNewRomanPSMT" w:hAnsi="TimesNewRomanPSMT" w:cs="TimesNewRomanPSMT"/>
          <w:szCs w:val="24"/>
        </w:rPr>
        <w:t xml:space="preserve"> 18731/91</w:t>
      </w:r>
      <w:r>
        <w:rPr>
          <w:rFonts w:ascii="TimesNewRomanPSMT" w:hAnsi="TimesNewRomanPSMT" w:cs="TimesNewRomanPSMT"/>
          <w:szCs w:val="24"/>
        </w:rPr>
        <w:t>, 8 February 1996.</w:t>
      </w:r>
      <w:r w:rsidRPr="004248F4">
        <w:rPr>
          <w:rFonts w:ascii="TimesNewRomanPSMT" w:hAnsi="TimesNewRomanPSMT" w:cs="TimesNewRomanPSMT"/>
          <w:szCs w:val="24"/>
        </w:rPr>
        <w:t xml:space="preserve"> </w:t>
      </w:r>
      <w:r w:rsidRPr="0095038A">
        <w:rPr>
          <w:rFonts w:ascii="TimesNewRomanPSMT" w:hAnsi="TimesNewRomanPSMT" w:cs="TimesNewRomanPSMT"/>
          <w:i/>
          <w:szCs w:val="24"/>
        </w:rPr>
        <w:t>Averill v. the United Kingdom</w:t>
      </w:r>
      <w:r>
        <w:rPr>
          <w:rFonts w:ascii="TimesNewRomanPSMT" w:hAnsi="TimesNewRomanPSMT" w:cs="TimesNewRomanPSMT"/>
          <w:szCs w:val="24"/>
        </w:rPr>
        <w:t xml:space="preserve">, no. </w:t>
      </w:r>
      <w:r w:rsidRPr="004248F4">
        <w:rPr>
          <w:rFonts w:ascii="TimesNewRomanPSMT" w:hAnsi="TimesNewRomanPSMT" w:cs="TimesNewRomanPSMT"/>
          <w:szCs w:val="24"/>
        </w:rPr>
        <w:t>36408/97</w:t>
      </w:r>
      <w:r>
        <w:rPr>
          <w:rFonts w:ascii="TimesNewRomanPSMT" w:hAnsi="TimesNewRomanPSMT" w:cs="TimesNewRomanPSMT"/>
          <w:szCs w:val="24"/>
        </w:rPr>
        <w:t>, 6 June 2000.</w:t>
      </w:r>
      <w:r w:rsidRPr="004248F4">
        <w:rPr>
          <w:rFonts w:ascii="TimesNewRomanPSMT" w:hAnsi="TimesNewRomanPSMT" w:cs="TimesNewRomanPSMT"/>
          <w:szCs w:val="24"/>
        </w:rPr>
        <w:t xml:space="preserve"> </w:t>
      </w:r>
      <w:r w:rsidRPr="0095038A">
        <w:rPr>
          <w:rFonts w:ascii="TimesNewRomanPSMT" w:hAnsi="TimesNewRomanPSMT" w:cs="TimesNewRomanPSMT"/>
          <w:i/>
          <w:szCs w:val="24"/>
        </w:rPr>
        <w:t>Ezeh and Connors v. the United Kingdom</w:t>
      </w:r>
      <w:r w:rsidRPr="004248F4">
        <w:rPr>
          <w:rFonts w:ascii="TimesNewRomanPSMT" w:hAnsi="TimesNewRomanPSMT" w:cs="TimesNewRomanPSMT"/>
          <w:szCs w:val="24"/>
        </w:rPr>
        <w:t>,</w:t>
      </w:r>
      <w:r>
        <w:rPr>
          <w:rFonts w:ascii="TimesNewRomanPSMT" w:hAnsi="TimesNewRomanPSMT" w:cs="TimesNewRomanPSMT"/>
          <w:szCs w:val="24"/>
        </w:rPr>
        <w:t xml:space="preserve"> no. 39665/98,</w:t>
      </w:r>
      <w:r w:rsidRPr="004248F4">
        <w:rPr>
          <w:rFonts w:ascii="TimesNewRomanPSMT" w:hAnsi="TimesNewRomanPSMT" w:cs="TimesNewRomanPSMT"/>
          <w:szCs w:val="24"/>
        </w:rPr>
        <w:t xml:space="preserve"> 40086/98</w:t>
      </w:r>
      <w:r>
        <w:rPr>
          <w:rFonts w:ascii="TimesNewRomanPSMT" w:hAnsi="TimesNewRomanPSMT" w:cs="TimesNewRomanPSMT"/>
          <w:szCs w:val="24"/>
        </w:rPr>
        <w:t>, 9 October 2003.</w:t>
      </w:r>
      <w:r w:rsidRPr="004248F4">
        <w:rPr>
          <w:rFonts w:ascii="TimesNewRomanPSMT" w:hAnsi="TimesNewRomanPSMT" w:cs="TimesNewRomanPSMT"/>
          <w:szCs w:val="24"/>
        </w:rPr>
        <w:t xml:space="preserve"> </w:t>
      </w:r>
      <w:r w:rsidRPr="0095038A">
        <w:rPr>
          <w:rFonts w:ascii="TimesNewRomanPSMT" w:hAnsi="TimesNewRomanPSMT" w:cs="TimesNewRomanPSMT"/>
          <w:i/>
          <w:szCs w:val="24"/>
        </w:rPr>
        <w:t>Öcalan</w:t>
      </w:r>
      <w:r>
        <w:rPr>
          <w:rFonts w:ascii="TimesNewRomanPSMT" w:hAnsi="TimesNewRomanPSMT" w:cs="TimesNewRomanPSMT"/>
          <w:i/>
          <w:szCs w:val="24"/>
        </w:rPr>
        <w:t xml:space="preserve"> </w:t>
      </w:r>
      <w:r w:rsidRPr="0095038A">
        <w:rPr>
          <w:rFonts w:ascii="TimesNewRomanPSMT" w:hAnsi="TimesNewRomanPSMT" w:cs="TimesNewRomanPSMT"/>
          <w:i/>
          <w:szCs w:val="24"/>
        </w:rPr>
        <w:t>v. Turkey</w:t>
      </w:r>
      <w:r>
        <w:rPr>
          <w:rFonts w:ascii="TimesNewRomanPSMT" w:hAnsi="TimesNewRomanPSMT" w:cs="TimesNewRomanPSMT"/>
          <w:szCs w:val="24"/>
        </w:rPr>
        <w:t xml:space="preserve">, no. </w:t>
      </w:r>
      <w:r w:rsidRPr="004248F4">
        <w:rPr>
          <w:rFonts w:ascii="TimesNewRomanPSMT" w:hAnsi="TimesNewRomanPSMT" w:cs="TimesNewRomanPSMT"/>
          <w:szCs w:val="24"/>
        </w:rPr>
        <w:t>46221/99</w:t>
      </w:r>
      <w:r>
        <w:rPr>
          <w:rFonts w:ascii="TimesNewRomanPSMT" w:hAnsi="TimesNewRomanPSMT" w:cs="TimesNewRomanPSMT"/>
          <w:szCs w:val="24"/>
        </w:rPr>
        <w:t>,</w:t>
      </w:r>
      <w:r w:rsidRPr="004248F4">
        <w:rPr>
          <w:rFonts w:ascii="TimesNewRomanPSMT" w:hAnsi="TimesNewRomanPSMT" w:cs="TimesNewRomanPSMT"/>
          <w:szCs w:val="24"/>
        </w:rPr>
        <w:t xml:space="preserve"> </w:t>
      </w:r>
      <w:r>
        <w:rPr>
          <w:rFonts w:ascii="TimesNewRomanPSMT" w:hAnsi="TimesNewRomanPSMT" w:cs="TimesNewRomanPSMT"/>
          <w:szCs w:val="24"/>
        </w:rPr>
        <w:t>12 May 2005</w:t>
      </w:r>
      <w:r w:rsidRPr="004248F4">
        <w:rPr>
          <w:rFonts w:ascii="TimesNewRomanPSMT" w:hAnsi="TimesNewRomanPSMT" w:cs="TimesNewRomanPSMT"/>
          <w:szCs w:val="24"/>
        </w:rPr>
        <w:t>, ir kt.</w:t>
      </w:r>
    </w:p>
  </w:footnote>
  <w:footnote w:id="756">
    <w:p w:rsidR="00E0371E" w:rsidRDefault="00E0371E" w:rsidP="007E32DD">
      <w:pPr>
        <w:pStyle w:val="Puslapioinaostekstas"/>
        <w:jc w:val="both"/>
      </w:pPr>
      <w:r>
        <w:rPr>
          <w:rStyle w:val="Puslapioinaosnuoroda"/>
        </w:rPr>
        <w:footnoteRef/>
      </w:r>
      <w:r w:rsidRPr="00531902">
        <w:t>Lietuvos Respublikos Konstitucinio Teismo</w:t>
      </w:r>
      <w:r>
        <w:t xml:space="preserve"> 2006 m. sausio 16 d. nutarimas</w:t>
      </w:r>
      <w:r w:rsidRPr="00EB52A2">
        <w:t xml:space="preserve">. </w:t>
      </w:r>
      <w:r w:rsidRPr="00EB52A2">
        <w:rPr>
          <w:i/>
          <w:iCs/>
        </w:rPr>
        <w:t xml:space="preserve">Valstybės žinios. </w:t>
      </w:r>
      <w:r w:rsidRPr="00EB52A2">
        <w:t>2006, Nr. 7-254.</w:t>
      </w:r>
    </w:p>
  </w:footnote>
  <w:footnote w:id="757">
    <w:p w:rsidR="00E0371E" w:rsidRPr="001E03F0" w:rsidRDefault="00E0371E" w:rsidP="007E32DD">
      <w:pPr>
        <w:pStyle w:val="Puslapioinaostekstas"/>
        <w:jc w:val="both"/>
      </w:pPr>
      <w:r>
        <w:rPr>
          <w:rStyle w:val="Puslapioinaosnuoroda"/>
        </w:rPr>
        <w:footnoteRef/>
      </w:r>
      <w:r>
        <w:rPr>
          <w:bCs/>
          <w:szCs w:val="16"/>
        </w:rPr>
        <w:t>Lietuvos Respublikos Konstitucinio Teismo 2011 m. birželio 9 d. nutarimas</w:t>
      </w:r>
      <w:r>
        <w:t xml:space="preserve">. </w:t>
      </w:r>
      <w:r w:rsidRPr="00D44F78">
        <w:rPr>
          <w:i/>
        </w:rPr>
        <w:t>Valstybės žinios</w:t>
      </w:r>
      <w:r>
        <w:t>. 2011, Nr. 156-7405.</w:t>
      </w:r>
    </w:p>
  </w:footnote>
  <w:footnote w:id="758">
    <w:p w:rsidR="00E0371E" w:rsidRDefault="00E0371E" w:rsidP="007E32DD">
      <w:pPr>
        <w:pStyle w:val="Puslapioinaostekstas"/>
        <w:jc w:val="both"/>
      </w:pPr>
      <w:r>
        <w:rPr>
          <w:rStyle w:val="Puslapioinaosnuoroda"/>
        </w:rPr>
        <w:footnoteRef/>
      </w:r>
      <w:r w:rsidRPr="00531902">
        <w:t>Lietuvos Respublikos Konstitucinio Teismo</w:t>
      </w:r>
      <w:r>
        <w:t xml:space="preserve"> 2006 m. sausio 16 d. nutarimas</w:t>
      </w:r>
      <w:r w:rsidRPr="00EB52A2">
        <w:t xml:space="preserve">. </w:t>
      </w:r>
      <w:r w:rsidRPr="00EB52A2">
        <w:rPr>
          <w:i/>
          <w:iCs/>
        </w:rPr>
        <w:t xml:space="preserve">Valstybės žinios. </w:t>
      </w:r>
      <w:r w:rsidRPr="00EB52A2">
        <w:t>2006, Nr. 7-254.</w:t>
      </w:r>
      <w:r>
        <w:t xml:space="preserve"> </w:t>
      </w:r>
      <w:r>
        <w:rPr>
          <w:bCs/>
          <w:szCs w:val="16"/>
        </w:rPr>
        <w:t>Lietuvos Respublikos Konstitucinio Teismo 2001 m. vasario 12 d. nutarimas</w:t>
      </w:r>
      <w:r w:rsidRPr="001E03F0">
        <w:rPr>
          <w:rFonts w:ascii="TimesNewRomanPSMT" w:hAnsi="TimesNewRomanPSMT" w:cs="TimesNewRomanPSMT"/>
          <w:szCs w:val="24"/>
        </w:rPr>
        <w:t>.</w:t>
      </w:r>
      <w:r w:rsidRPr="00D44F78">
        <w:rPr>
          <w:rFonts w:ascii="TimesNewRomanPSMT" w:hAnsi="TimesNewRomanPSMT" w:cs="TimesNewRomanPSMT"/>
          <w:i/>
          <w:szCs w:val="24"/>
        </w:rPr>
        <w:t>Valstybės žinios</w:t>
      </w:r>
      <w:r>
        <w:rPr>
          <w:rFonts w:ascii="TimesNewRomanPSMT" w:hAnsi="TimesNewRomanPSMT" w:cs="TimesNewRomanPSMT"/>
          <w:szCs w:val="24"/>
        </w:rPr>
        <w:t xml:space="preserve">. 2001, Nr. 14-445. </w:t>
      </w:r>
    </w:p>
  </w:footnote>
  <w:footnote w:id="759">
    <w:p w:rsidR="00E0371E" w:rsidRPr="00C8142D" w:rsidRDefault="00E0371E" w:rsidP="00CF0859">
      <w:pPr>
        <w:pStyle w:val="Puslapioinaostekstas"/>
        <w:jc w:val="both"/>
      </w:pPr>
      <w:r w:rsidRPr="00C8142D">
        <w:rPr>
          <w:rStyle w:val="Puslapioinaosnuoroda"/>
        </w:rPr>
        <w:footnoteRef/>
      </w:r>
      <w:r w:rsidRPr="00C8142D">
        <w:t xml:space="preserve">Lietuvos Respublikos valstybės garantuojamos teisinės pagalbos įstatymas. </w:t>
      </w:r>
      <w:r w:rsidRPr="00C8142D">
        <w:rPr>
          <w:i/>
          <w:iCs/>
        </w:rPr>
        <w:t>Valstybės žinios</w:t>
      </w:r>
      <w:r w:rsidRPr="00C8142D">
        <w:t xml:space="preserve">. 2000, Nr. 30-827; </w:t>
      </w:r>
      <w:r w:rsidRPr="00C8142D">
        <w:rPr>
          <w:i/>
          <w:iCs/>
        </w:rPr>
        <w:t>Valstybės žinios</w:t>
      </w:r>
      <w:r w:rsidRPr="00C8142D">
        <w:t>. 2005, Nr. 18-572</w:t>
      </w:r>
      <w:r w:rsidRPr="00C8142D">
        <w:rPr>
          <w:i/>
          <w:iCs/>
        </w:rPr>
        <w:t xml:space="preserve">. </w:t>
      </w:r>
    </w:p>
  </w:footnote>
  <w:footnote w:id="760">
    <w:p w:rsidR="00E0371E" w:rsidRPr="00C8142D" w:rsidRDefault="00E0371E" w:rsidP="007E32DD">
      <w:pPr>
        <w:pStyle w:val="Puslapioinaostekstas"/>
        <w:jc w:val="both"/>
      </w:pPr>
      <w:r w:rsidRPr="00C8142D">
        <w:rPr>
          <w:rStyle w:val="Puslapioinaosnuoroda"/>
        </w:rPr>
        <w:footnoteRef/>
      </w:r>
      <w:r>
        <w:t xml:space="preserve">Montvydienė, I. </w:t>
      </w:r>
      <w:r w:rsidRPr="004D5788">
        <w:rPr>
          <w:i/>
        </w:rPr>
        <w:t>Valstybės garantuojama teisinė pagalba civilinėse bylose</w:t>
      </w:r>
      <w:r>
        <w:t xml:space="preserve">. Daktaro disertacija. Socialiniai mokslai (teisė). Vilnius: Mykolo Romerio universitetas, 2010, </w:t>
      </w:r>
      <w:r w:rsidRPr="00C8142D">
        <w:t xml:space="preserve">p. 50-59. </w:t>
      </w:r>
    </w:p>
  </w:footnote>
  <w:footnote w:id="761">
    <w:p w:rsidR="00E0371E" w:rsidRDefault="00E0371E" w:rsidP="001559CF">
      <w:pPr>
        <w:pStyle w:val="Puslapioinaostekstas"/>
        <w:jc w:val="both"/>
      </w:pPr>
      <w:r w:rsidRPr="00AD782A">
        <w:rPr>
          <w:rStyle w:val="Puslapioinaosnuoroda"/>
        </w:rPr>
        <w:footnoteRef/>
      </w:r>
      <w:r>
        <w:t xml:space="preserve">Abramavičius, A., </w:t>
      </w:r>
      <w:r w:rsidRPr="00F326CF">
        <w:rPr>
          <w:i/>
        </w:rPr>
        <w:t>et al</w:t>
      </w:r>
      <w:r>
        <w:t xml:space="preserve">. </w:t>
      </w:r>
      <w:r w:rsidRPr="00951D4B">
        <w:rPr>
          <w:i/>
        </w:rPr>
        <w:t>Lietuvos Respublikos baudžiamojo kodekso komentaras. Bendroji dalis (1-98 straipsniai).</w:t>
      </w:r>
      <w:r>
        <w:t xml:space="preserve"> Vilnius: Teisinės informacijos centras, 2004, </w:t>
      </w:r>
      <w:r w:rsidRPr="00AD782A">
        <w:t>p. 473.</w:t>
      </w:r>
    </w:p>
  </w:footnote>
  <w:footnote w:id="762">
    <w:p w:rsidR="00E0371E" w:rsidRDefault="00E0371E" w:rsidP="00792810">
      <w:pPr>
        <w:pStyle w:val="Puslapioinaostekstas"/>
        <w:jc w:val="both"/>
      </w:pPr>
      <w:r>
        <w:rPr>
          <w:rStyle w:val="Puslapioinaosnuoroda"/>
        </w:rPr>
        <w:footnoteRef/>
      </w:r>
      <w:r>
        <w:t xml:space="preserve">Susitaikymo privataus kaltinimo procese skirtingi aspektai jau buvo nagrinėti kituose skyriuose proceso formos pakeitimo ir alternatyvių ginčo spendimų formų kontekste. </w:t>
      </w:r>
    </w:p>
  </w:footnote>
  <w:footnote w:id="763">
    <w:p w:rsidR="00E0371E" w:rsidRDefault="00E0371E" w:rsidP="001559CF">
      <w:pPr>
        <w:pStyle w:val="Puslapioinaostekstas"/>
        <w:jc w:val="both"/>
      </w:pPr>
      <w:r w:rsidRPr="00AD782A">
        <w:rPr>
          <w:rStyle w:val="Puslapioinaosnuoroda"/>
        </w:rPr>
        <w:footnoteRef/>
      </w:r>
      <w:r w:rsidRPr="00AD782A">
        <w:t>Kauno apyg</w:t>
      </w:r>
      <w:r>
        <w:t xml:space="preserve">ardos teismo 2008 m. kovo 6 d. </w:t>
      </w:r>
      <w:r w:rsidRPr="00AD782A">
        <w:t xml:space="preserve">nutartis </w:t>
      </w:r>
      <w:r>
        <w:t xml:space="preserve">baudžiamojoje byloje Nr. 1A-172-48/2008. </w:t>
      </w:r>
    </w:p>
  </w:footnote>
  <w:footnote w:id="764">
    <w:p w:rsidR="00E0371E" w:rsidRDefault="00E0371E" w:rsidP="007F6189">
      <w:pPr>
        <w:pStyle w:val="Puslapioinaostekstas"/>
        <w:jc w:val="both"/>
      </w:pPr>
      <w:r>
        <w:rPr>
          <w:rStyle w:val="Puslapioinaosnuoroda"/>
        </w:rPr>
        <w:footnoteRef/>
      </w:r>
      <w:r w:rsidRPr="002D21CD">
        <w:t xml:space="preserve">Klaipėdos apygardos teismo 2013 m. kovo 7 d. nutartis </w:t>
      </w:r>
      <w:r>
        <w:t xml:space="preserve">baudžiamojoje byloje Nr. 1A-99-380-2013. </w:t>
      </w:r>
      <w:r w:rsidRPr="002D21CD">
        <w:t xml:space="preserve">Kauno apygardos teismo 2013 m. sausio 31 d. nutartis </w:t>
      </w:r>
      <w:r>
        <w:t xml:space="preserve">baudžiamojoje byloje Nr. 1S-185-397/2013. </w:t>
      </w:r>
    </w:p>
  </w:footnote>
  <w:footnote w:id="765">
    <w:p w:rsidR="00E0371E" w:rsidRDefault="00E0371E" w:rsidP="007E32DD">
      <w:pPr>
        <w:pStyle w:val="Puslapioinaostekstas"/>
        <w:jc w:val="both"/>
      </w:pPr>
      <w:r>
        <w:rPr>
          <w:rStyle w:val="Puslapioinaosnuoroda"/>
        </w:rPr>
        <w:footnoteRef/>
      </w:r>
      <w:r>
        <w:t xml:space="preserve">Lietuvos Respublikos </w:t>
      </w:r>
      <w:r>
        <w:rPr>
          <w:rFonts w:eastAsia="Times New Roman"/>
          <w:szCs w:val="24"/>
        </w:rPr>
        <w:t xml:space="preserve">Konstitucinio Teismo 2006 m. </w:t>
      </w:r>
      <w:r w:rsidRPr="002C7DCB">
        <w:rPr>
          <w:rFonts w:eastAsia="Times New Roman"/>
          <w:szCs w:val="24"/>
        </w:rPr>
        <w:t>sausio 16 d.</w:t>
      </w:r>
      <w:r>
        <w:rPr>
          <w:rFonts w:eastAsia="Times New Roman"/>
          <w:szCs w:val="24"/>
        </w:rPr>
        <w:t xml:space="preserve"> </w:t>
      </w:r>
      <w:r w:rsidRPr="002C7DCB">
        <w:rPr>
          <w:rFonts w:eastAsia="Times New Roman"/>
          <w:szCs w:val="24"/>
        </w:rPr>
        <w:t>nutarimas</w:t>
      </w:r>
      <w:r>
        <w:rPr>
          <w:rFonts w:eastAsia="Times New Roman"/>
          <w:szCs w:val="24"/>
        </w:rPr>
        <w:t xml:space="preserve">. </w:t>
      </w:r>
      <w:r w:rsidRPr="00C215AA">
        <w:rPr>
          <w:rFonts w:eastAsia="Times New Roman"/>
          <w:i/>
          <w:szCs w:val="24"/>
        </w:rPr>
        <w:t>Valstybės žinios</w:t>
      </w:r>
      <w:r>
        <w:rPr>
          <w:rFonts w:eastAsia="Times New Roman"/>
          <w:szCs w:val="24"/>
        </w:rPr>
        <w:t>. 2006, Nr. 7-254.</w:t>
      </w:r>
    </w:p>
  </w:footnote>
  <w:footnote w:id="766">
    <w:p w:rsidR="00E0371E" w:rsidRDefault="00E0371E" w:rsidP="00144A75">
      <w:pPr>
        <w:pStyle w:val="Puslapioinaostekstas"/>
        <w:jc w:val="both"/>
      </w:pPr>
      <w:r>
        <w:rPr>
          <w:rStyle w:val="Puslapioinaosnuoroda"/>
        </w:rPr>
        <w:footnoteRef/>
      </w:r>
      <w:r w:rsidRPr="007E32DD">
        <w:rPr>
          <w:rFonts w:eastAsia="Times New Roman"/>
        </w:rPr>
        <w:t xml:space="preserve">Senovės Graikijos teisei būdinga tai, kad </w:t>
      </w:r>
      <w:r>
        <w:rPr>
          <w:rFonts w:eastAsia="Times New Roman"/>
        </w:rPr>
        <w:t>buvo skiriamas</w:t>
      </w:r>
      <w:r w:rsidRPr="007E32DD">
        <w:rPr>
          <w:rFonts w:eastAsia="Times New Roman"/>
        </w:rPr>
        <w:t xml:space="preserve"> ypating</w:t>
      </w:r>
      <w:r>
        <w:rPr>
          <w:rFonts w:eastAsia="Times New Roman"/>
        </w:rPr>
        <w:t>as</w:t>
      </w:r>
      <w:r w:rsidRPr="007E32DD">
        <w:rPr>
          <w:rFonts w:eastAsia="Times New Roman"/>
        </w:rPr>
        <w:t xml:space="preserve"> dėmes</w:t>
      </w:r>
      <w:r>
        <w:rPr>
          <w:rFonts w:eastAsia="Times New Roman"/>
        </w:rPr>
        <w:t>ys</w:t>
      </w:r>
      <w:r w:rsidRPr="007E32DD">
        <w:rPr>
          <w:rFonts w:eastAsia="Times New Roman"/>
        </w:rPr>
        <w:t xml:space="preserve"> kaltintojo atsakomybei dėl kaltinimo pagrįstumo. Kad užkirstų kelią nepagrįstam bylinėjimuisi, Atėnų teisėje buvo taikomos bausmės savanoriams kaltintojams (tiesiogiai nenukentėjusiems nuo nusikaltimo), kurie atsisakė bylos arba nesugebėjo gauti penktadalio prisiekusiųjų balsų teisme: jis turėdavo sumokėti baudą ir negalėdavo reikšti viešųjų ieškinių ateityje (jei 3 kartus ieškinys buvo nepagrįstas).</w:t>
      </w:r>
      <w:r>
        <w:rPr>
          <w:rFonts w:eastAsia="Times New Roman"/>
        </w:rPr>
        <w:t xml:space="preserve"> [</w:t>
      </w:r>
      <w:r w:rsidRPr="00C50B77">
        <w:t xml:space="preserve">Lanni, A. Social Norms in the Courts of Ancient Athens. </w:t>
      </w:r>
      <w:r w:rsidRPr="00C50B77">
        <w:rPr>
          <w:i/>
        </w:rPr>
        <w:t>Journal of Legal Analysis, Forthcoming</w:t>
      </w:r>
      <w:r w:rsidRPr="00C50B77">
        <w:t xml:space="preserve"> [interaktyvus]. Harvard Public Law Working Paper, 2008, 08-19 [žiūrėta 2013-07-20]</w:t>
      </w:r>
      <w:r>
        <w:t>.</w:t>
      </w:r>
      <w:r w:rsidRPr="00C50B77">
        <w:t xml:space="preserve"> &lt;http://ssrn.com/abstract=1213161&gt;.</w:t>
      </w:r>
      <w:r>
        <w:t xml:space="preserve">] </w:t>
      </w:r>
      <w:r w:rsidRPr="007E32DD">
        <w:rPr>
          <w:rFonts w:eastAsia="Times New Roman"/>
        </w:rPr>
        <w:t>Pagal 1285 m. Eduardo I Antro</w:t>
      </w:r>
      <w:r>
        <w:rPr>
          <w:rFonts w:eastAsia="Times New Roman"/>
        </w:rPr>
        <w:t>jo Vestminsterio Statuto 12 straipsnį</w:t>
      </w:r>
      <w:r w:rsidRPr="007E32DD">
        <w:rPr>
          <w:rFonts w:eastAsia="Times New Roman"/>
        </w:rPr>
        <w:t>, kaltintojas atsakė už kaltinimo teisingumą, o išteisinimo atveju kaltinamojo reikalavimu galėjo jam būti skiriama bausmė.</w:t>
      </w:r>
      <w:r>
        <w:rPr>
          <w:rFonts w:eastAsia="Times New Roman"/>
        </w:rPr>
        <w:t xml:space="preserve"> </w:t>
      </w:r>
      <w:r>
        <w:t>[</w:t>
      </w:r>
      <w:r w:rsidRPr="00457889">
        <w:t xml:space="preserve">Chelcov-Bebutov, M. A. </w:t>
      </w:r>
      <w:r w:rsidRPr="00457889">
        <w:rPr>
          <w:i/>
        </w:rPr>
        <w:t>Kurs ugolovnogo processa. Ocherki po istorii suda i ugolovnogo processa v rabovladelcheskikh, feodalnykh i burzhuaznykh gosudarstvakh</w:t>
      </w:r>
      <w:r w:rsidRPr="00457889">
        <w:t>. [The Course of Criminal Procedure. Essays on the History of the Court and Criminal Proceedings in Slave, Feudal and Bourgeois States]. Sankt</w:t>
      </w:r>
      <w:r>
        <w:t xml:space="preserve"> Peterburg: Ravena: Alfa, 1995, p</w:t>
      </w:r>
      <w:r w:rsidRPr="00FB3325">
        <w:t>. 313.</w:t>
      </w:r>
      <w:r>
        <w:t xml:space="preserve">] </w:t>
      </w:r>
      <w:r w:rsidRPr="007E32DD">
        <w:rPr>
          <w:rFonts w:eastAsia="Times New Roman"/>
        </w:rPr>
        <w:t>Anglijos įstatymai nustatė sunkias pasekmes privačiam kaltintojui tuo atveju, jei jo pareikštas kaltinimas nepasitvirtindavo. Jam būdavo skiriama įkalinimo bausmė ir bauda. Taip pat kaltinamasis naudojosi teise bet kuriuo metu iškviesti privatų kaltintoją į kovą. Kad šių pasekmių išvengtų, kaltintojui buvo tik viena galimybė: pasiekti, kad jo iškeltą kaltinimą palaikytų bendruomenės prisiek</w:t>
      </w:r>
      <w:r>
        <w:rPr>
          <w:rFonts w:eastAsia="Times New Roman"/>
        </w:rPr>
        <w:t>usieji</w:t>
      </w:r>
      <w:r w:rsidRPr="007E32DD">
        <w:rPr>
          <w:rFonts w:eastAsia="Times New Roman"/>
        </w:rPr>
        <w:t xml:space="preserve"> (angl. </w:t>
      </w:r>
      <w:r w:rsidRPr="007E32DD">
        <w:rPr>
          <w:rFonts w:eastAsia="Times New Roman"/>
          <w:i/>
        </w:rPr>
        <w:t>grand jury</w:t>
      </w:r>
      <w:r w:rsidRPr="007E32DD">
        <w:rPr>
          <w:rFonts w:eastAsia="Times New Roman"/>
        </w:rPr>
        <w:t xml:space="preserve">). Laipsniškai </w:t>
      </w:r>
      <w:r>
        <w:rPr>
          <w:rFonts w:eastAsia="Times New Roman"/>
        </w:rPr>
        <w:t>prisiekusieji</w:t>
      </w:r>
      <w:r w:rsidRPr="007E32DD">
        <w:rPr>
          <w:rFonts w:eastAsia="Times New Roman"/>
        </w:rPr>
        <w:t xml:space="preserve"> </w:t>
      </w:r>
      <w:r>
        <w:rPr>
          <w:rFonts w:eastAsia="Times New Roman"/>
        </w:rPr>
        <w:t>ėmė vykdyti</w:t>
      </w:r>
      <w:r w:rsidRPr="007E32DD">
        <w:rPr>
          <w:rFonts w:eastAsia="Times New Roman"/>
        </w:rPr>
        <w:t xml:space="preserve"> kaltinimo </w:t>
      </w:r>
      <w:r>
        <w:rPr>
          <w:rFonts w:eastAsia="Times New Roman"/>
        </w:rPr>
        <w:t xml:space="preserve">funkciją ir </w:t>
      </w:r>
      <w:r w:rsidRPr="007E32DD">
        <w:rPr>
          <w:rFonts w:eastAsia="Times New Roman"/>
        </w:rPr>
        <w:t>pakeit</w:t>
      </w:r>
      <w:r>
        <w:rPr>
          <w:rFonts w:eastAsia="Times New Roman"/>
        </w:rPr>
        <w:t>ė</w:t>
      </w:r>
      <w:r w:rsidRPr="007E32DD">
        <w:rPr>
          <w:rFonts w:eastAsia="Times New Roman"/>
        </w:rPr>
        <w:t xml:space="preserve"> privatų kaltintoją. XV a. pabaigoje ši forma įgavo norminį įtvirtinimą precedentinėje teisėje (angl. </w:t>
      </w:r>
      <w:r w:rsidRPr="007E32DD">
        <w:rPr>
          <w:rFonts w:eastAsia="Times New Roman"/>
          <w:i/>
        </w:rPr>
        <w:t>common law</w:t>
      </w:r>
      <w:r w:rsidRPr="007E32DD">
        <w:rPr>
          <w:rFonts w:eastAsia="Times New Roman"/>
        </w:rPr>
        <w:t>)</w:t>
      </w:r>
      <w:r>
        <w:rPr>
          <w:rFonts w:eastAsia="Times New Roman"/>
        </w:rPr>
        <w:t>. Buvo</w:t>
      </w:r>
      <w:r w:rsidRPr="007E32DD">
        <w:rPr>
          <w:rFonts w:eastAsia="Times New Roman"/>
        </w:rPr>
        <w:t xml:space="preserve"> reikalau</w:t>
      </w:r>
      <w:r>
        <w:rPr>
          <w:rFonts w:eastAsia="Times New Roman"/>
        </w:rPr>
        <w:t>jama</w:t>
      </w:r>
      <w:r w:rsidRPr="007E32DD">
        <w:rPr>
          <w:rFonts w:eastAsia="Times New Roman"/>
        </w:rPr>
        <w:t xml:space="preserve">, kad kaltintojas raštu pristatytų </w:t>
      </w:r>
      <w:r>
        <w:rPr>
          <w:rFonts w:eastAsia="Times New Roman"/>
        </w:rPr>
        <w:t>prisiekusiesiems</w:t>
      </w:r>
      <w:r w:rsidRPr="007E32DD">
        <w:rPr>
          <w:rFonts w:eastAsia="Times New Roman"/>
        </w:rPr>
        <w:t xml:space="preserve"> kaltinamojo akto projektą, kuriame turėjo būti tiksliai išvardinti kaltinimo punktai su visomis susijusiomis aplinkybėmis, o taip pat kviestinų liudytojų sąrašas.</w:t>
      </w:r>
      <w:r>
        <w:rPr>
          <w:rFonts w:eastAsia="Times New Roman"/>
        </w:rPr>
        <w:t xml:space="preserve"> [</w:t>
      </w:r>
      <w:r w:rsidRPr="00763A08">
        <w:rPr>
          <w:rFonts w:eastAsia="Times New Roman"/>
        </w:rPr>
        <w:t xml:space="preserve">Klerman, D. Settlement and the Decline of Private Prosecution in Thirteenth-Century England. </w:t>
      </w:r>
      <w:r w:rsidRPr="007E0446">
        <w:rPr>
          <w:rFonts w:eastAsia="Times New Roman"/>
          <w:i/>
        </w:rPr>
        <w:t>Law and History Review</w:t>
      </w:r>
      <w:r w:rsidRPr="00763A08">
        <w:rPr>
          <w:rFonts w:eastAsia="Times New Roman"/>
        </w:rPr>
        <w:t>. 2001</w:t>
      </w:r>
      <w:r>
        <w:rPr>
          <w:rFonts w:eastAsia="Times New Roman"/>
        </w:rPr>
        <w:t>, 19 (1): 10].</w:t>
      </w:r>
      <w:r>
        <w:t xml:space="preserve"> </w:t>
      </w:r>
      <w:r w:rsidRPr="007E32DD">
        <w:rPr>
          <w:rFonts w:eastAsia="Times New Roman"/>
        </w:rPr>
        <w:t>Ankstyvųjų viduramžių Prancūzijos baudžiamajame procese šalių procesinio lygiateisiškumo užtikrinimui buvo skiriamas ypatingas vaidmuo. Šaliai, pralaimėjusiai bylą, grėsė bausmė. Už neatvykimą į teismą kaltintojui buvo skiriama bauda. Neteisingas kaltinamosios veiklos vykdymas atėmė kaltinimo teisę ateityje.</w:t>
      </w:r>
      <w:r>
        <w:rPr>
          <w:rFonts w:eastAsia="Times New Roman"/>
        </w:rPr>
        <w:t xml:space="preserve"> </w:t>
      </w:r>
      <w:r w:rsidRPr="007E32DD">
        <w:rPr>
          <w:rFonts w:eastAsia="Times New Roman"/>
        </w:rPr>
        <w:t>Kaltintojas pats formulavo kaltinimą ir buvo įpareigotas įrodyti savo nurodytus faktus. Tik tuo atveju, kai kaltininkas pripažindavo savo kaltę, kaltintojas buvo atleidžiamas nuo įrodinėjimo pareigos.</w:t>
      </w:r>
      <w:r>
        <w:rPr>
          <w:rFonts w:eastAsia="Times New Roman"/>
        </w:rPr>
        <w:t xml:space="preserve"> [</w:t>
      </w:r>
      <w:r w:rsidRPr="005F6C4D">
        <w:rPr>
          <w:rFonts w:eastAsia="Times New Roman"/>
        </w:rPr>
        <w:t xml:space="preserve">Langbein, J. H. </w:t>
      </w:r>
      <w:r w:rsidRPr="005F6C4D">
        <w:rPr>
          <w:rFonts w:eastAsia="Times New Roman"/>
          <w:i/>
        </w:rPr>
        <w:t>Prosecuting Crime in the Renaissance: England, Germany, France</w:t>
      </w:r>
      <w:r w:rsidRPr="005F6C4D">
        <w:rPr>
          <w:rFonts w:eastAsia="Times New Roman"/>
        </w:rPr>
        <w:t xml:space="preserve"> [interaktyvus]. Clark, New Jersey: The Lawbook Exchange Ltd., 2005 [žiūrėta 2012-01-06]</w:t>
      </w:r>
      <w:r>
        <w:rPr>
          <w:rFonts w:eastAsia="Times New Roman"/>
        </w:rPr>
        <w:t>.</w:t>
      </w:r>
      <w:r w:rsidRPr="005F6C4D">
        <w:rPr>
          <w:rFonts w:eastAsia="Times New Roman"/>
        </w:rPr>
        <w:t xml:space="preserve"> &lt;http://books.google.lt/books?id=Ae8-rRHi4KMC&amp;pg=PA78&amp;dq=Langbein,+J.+H.+Prosecuting+crime+in+the+renaissance:+England,+Germany,+France.&amp;hl=lt&amp;sa=X&amp;ei=bXMFT-_lE87AtAbQ-ZGCDw&amp;ved=0CC0Q6AEwAA#v=onepage&amp;q&amp;f=false&gt;.</w:t>
      </w:r>
      <w:r>
        <w:rPr>
          <w:rFonts w:eastAsia="Times New Roman"/>
        </w:rPr>
        <w:t xml:space="preserve"> </w:t>
      </w:r>
      <w:r w:rsidRPr="00457889">
        <w:t>Chelcov-Be</w:t>
      </w:r>
      <w:r>
        <w:t xml:space="preserve">butov, </w:t>
      </w:r>
      <w:r w:rsidRPr="00457889">
        <w:t xml:space="preserve">M. A. </w:t>
      </w:r>
      <w:r w:rsidRPr="00457889">
        <w:rPr>
          <w:i/>
        </w:rPr>
        <w:t>Kurs ugolovnogo processa. Ocherki po istorii suda i ugolovnogo processa v rabovladelcheskikh, feodalnykh i burzhuaznykh gosudarstvakh</w:t>
      </w:r>
      <w:r w:rsidRPr="00457889">
        <w:t>. [The Course of Criminal Procedure. Essays on the History of the Court and Criminal Proceedings in Slave, Feudal and Bourgeois States]. Sankt Peterburg: Ravena: Alfa, 1995.</w:t>
      </w:r>
      <w:r>
        <w:t>p</w:t>
      </w:r>
      <w:r w:rsidRPr="00396E81">
        <w:t>. 171-187</w:t>
      </w:r>
      <w:r>
        <w:t>.] F</w:t>
      </w:r>
      <w:r w:rsidRPr="007E32DD">
        <w:rPr>
          <w:rFonts w:eastAsia="Times New Roman"/>
        </w:rPr>
        <w:t>eodalinėje Vokietijoje kaltintoj</w:t>
      </w:r>
      <w:r>
        <w:rPr>
          <w:rFonts w:eastAsia="Times New Roman"/>
        </w:rPr>
        <w:t xml:space="preserve">as </w:t>
      </w:r>
      <w:r w:rsidRPr="007E32DD">
        <w:rPr>
          <w:rFonts w:eastAsia="Times New Roman"/>
        </w:rPr>
        <w:t xml:space="preserve">taip pat </w:t>
      </w:r>
      <w:r>
        <w:rPr>
          <w:rFonts w:eastAsia="Times New Roman"/>
        </w:rPr>
        <w:t>turėjo</w:t>
      </w:r>
      <w:r w:rsidRPr="007E32DD">
        <w:rPr>
          <w:rFonts w:eastAsia="Times New Roman"/>
        </w:rPr>
        <w:t xml:space="preserve"> pareig</w:t>
      </w:r>
      <w:r>
        <w:rPr>
          <w:rFonts w:eastAsia="Times New Roman"/>
        </w:rPr>
        <w:t>ą</w:t>
      </w:r>
      <w:r w:rsidRPr="007E32DD">
        <w:rPr>
          <w:rFonts w:eastAsia="Times New Roman"/>
        </w:rPr>
        <w:t xml:space="preserve"> įrodyti kaltinimą. Jei kaltinamasis prieštaravo kaltinimui ir jo prieštaravimą teismas pripažindavo teisingu, kaltintojui buvo skiriama bauda už melagingo kaltinimo pareiškimą ir finansinė sankcija kaltinamojo naudai. XVI a. Vokietijoje pagal įstatymo numatytą procedūrą, jei privatus asmuo reikalaudavo užtikrinti jam teisę inicijuoti baudžiamąjį procesą, iš jo būdavo pareikalaujama sumokėti teismo nustatytą užstatą. Šis fondas būdavo naudojamas </w:t>
      </w:r>
      <w:r>
        <w:rPr>
          <w:rFonts w:eastAsia="Times New Roman"/>
        </w:rPr>
        <w:t xml:space="preserve">mokėti </w:t>
      </w:r>
      <w:r w:rsidRPr="007E32DD">
        <w:rPr>
          <w:rFonts w:eastAsia="Times New Roman"/>
        </w:rPr>
        <w:t>kompensacij</w:t>
      </w:r>
      <w:r>
        <w:rPr>
          <w:rFonts w:eastAsia="Times New Roman"/>
        </w:rPr>
        <w:t>a</w:t>
      </w:r>
      <w:r w:rsidRPr="007E32DD">
        <w:rPr>
          <w:rFonts w:eastAsia="Times New Roman"/>
        </w:rPr>
        <w:t xml:space="preserve">s kaltinamiesiems, jei privatus kaltintojas nesugebėdavo įrodyti jo kaltumo byloje. Jei privatus kaltintojas atsisakydavo sumokėti užstatą, jis būdavo įkalinamas iki teismo kartu su įtariamuoju. </w:t>
      </w:r>
      <w:r>
        <w:rPr>
          <w:rFonts w:eastAsia="Times New Roman"/>
        </w:rPr>
        <w:t xml:space="preserve">Žinoma, tokios procedūros sumenkindavo norą bylinėtis </w:t>
      </w:r>
      <w:r w:rsidRPr="007E32DD">
        <w:rPr>
          <w:rFonts w:eastAsia="Times New Roman"/>
        </w:rPr>
        <w:t>privataus kaltinimo</w:t>
      </w:r>
      <w:r>
        <w:rPr>
          <w:rFonts w:eastAsia="Times New Roman"/>
        </w:rPr>
        <w:t xml:space="preserve"> tvarka</w:t>
      </w:r>
      <w:r w:rsidRPr="007E32DD">
        <w:rPr>
          <w:rFonts w:eastAsia="Times New Roman"/>
        </w:rPr>
        <w:t>.</w:t>
      </w:r>
      <w:r>
        <w:rPr>
          <w:rFonts w:eastAsia="Times New Roman"/>
        </w:rPr>
        <w:t xml:space="preserve"> [</w:t>
      </w:r>
      <w:r w:rsidRPr="00C50B77">
        <w:t xml:space="preserve">Esmein, A. </w:t>
      </w:r>
      <w:r w:rsidRPr="00C50B77">
        <w:rPr>
          <w:i/>
        </w:rPr>
        <w:t>A History of Continental Criminal Procedure</w:t>
      </w:r>
      <w:r w:rsidRPr="00C50B77">
        <w:t xml:space="preserve"> [interaktyvus]. Union, New Jersey: The Lawbook Exchange, 2000 [žiūrėta 2012-01-06]. &lt;http://books.google.lt/books?id=dBubbTnqKXQC&amp;printsec=frontcover&amp;dq=Esmein,+A.+A+history+of+continental+criminal+procedure&amp;hl=lt&amp;sa=X&amp;ei=yYUFT6CBA4vasgb726CDDw&amp;sqi=2&amp;redir_esc=y#v=onepage&amp;q=Esmein%2C%20A.%20A%20history%20of%20continental%20criminal%20procedure&amp;f=false&gt;.</w:t>
      </w:r>
      <w:r>
        <w:t xml:space="preserve">] </w:t>
      </w:r>
      <w:r w:rsidRPr="00584B70">
        <w:t xml:space="preserve">Van Caenegem, R.C. </w:t>
      </w:r>
      <w:r w:rsidRPr="00584B70">
        <w:rPr>
          <w:i/>
        </w:rPr>
        <w:t>Legal History: a European Perspective</w:t>
      </w:r>
      <w:r w:rsidRPr="00584B70">
        <w:t>. Lo</w:t>
      </w:r>
      <w:r>
        <w:t>ndon: The Hambledon Press, 1991, p. 63-70, 125-147.</w:t>
      </w:r>
    </w:p>
  </w:footnote>
  <w:footnote w:id="767">
    <w:p w:rsidR="00E0371E" w:rsidRDefault="00E0371E" w:rsidP="007E32DD">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49, 53. </w:t>
      </w:r>
    </w:p>
  </w:footnote>
  <w:footnote w:id="768">
    <w:p w:rsidR="00E0371E" w:rsidRDefault="00E0371E" w:rsidP="007E32DD">
      <w:pPr>
        <w:pStyle w:val="Puslapioinaostekstas"/>
        <w:jc w:val="both"/>
      </w:pPr>
      <w:r>
        <w:rPr>
          <w:rStyle w:val="Puslapioinaosnuoroda"/>
        </w:rPr>
        <w:footnoteRef/>
      </w:r>
      <w:r w:rsidRPr="00933D54">
        <w:t xml:space="preserve">Petrova, N. E. </w:t>
      </w:r>
      <w:r>
        <w:rPr>
          <w:i/>
        </w:rPr>
        <w:t>Chastno</w:t>
      </w:r>
      <w:r w:rsidRPr="00933D54">
        <w:rPr>
          <w:i/>
        </w:rPr>
        <w:t>e</w:t>
      </w:r>
      <w:r>
        <w:rPr>
          <w:i/>
        </w:rPr>
        <w:t xml:space="preserve"> i subsidiarnoe obvineni</w:t>
      </w:r>
      <w:r w:rsidRPr="00933D54">
        <w:rPr>
          <w:i/>
        </w:rPr>
        <w:t xml:space="preserve">e </w:t>
      </w:r>
      <w:r w:rsidRPr="00B56034">
        <w:t xml:space="preserve">[Private and Subsidiary </w:t>
      </w:r>
      <w:r>
        <w:t>Prosecu</w:t>
      </w:r>
      <w:r w:rsidRPr="00B56034">
        <w:t>tion]</w:t>
      </w:r>
      <w:r w:rsidRPr="00B56034">
        <w:rPr>
          <w:sz w:val="16"/>
        </w:rPr>
        <w:t>.</w:t>
      </w:r>
      <w:r>
        <w:rPr>
          <w:sz w:val="16"/>
        </w:rPr>
        <w:t xml:space="preserve"> </w:t>
      </w:r>
      <w:r w:rsidRPr="00DF7E16">
        <w:rPr>
          <w:color w:val="000033"/>
        </w:rPr>
        <w:t>D</w:t>
      </w:r>
      <w:r>
        <w:rPr>
          <w:color w:val="000033"/>
        </w:rPr>
        <w:t>aktaro disertacija. Socialiniai mokslai (</w:t>
      </w:r>
      <w:r w:rsidRPr="00DF7E16">
        <w:rPr>
          <w:color w:val="000033"/>
        </w:rPr>
        <w:t>teisė</w:t>
      </w:r>
      <w:r>
        <w:rPr>
          <w:color w:val="000033"/>
        </w:rPr>
        <w:t>)</w:t>
      </w:r>
      <w:r w:rsidRPr="00DF7E16">
        <w:rPr>
          <w:color w:val="000033"/>
        </w:rPr>
        <w:t>.</w:t>
      </w:r>
      <w:r>
        <w:rPr>
          <w:color w:val="000033"/>
        </w:rPr>
        <w:t xml:space="preserve"> </w:t>
      </w:r>
      <w:r>
        <w:t>Samara,</w:t>
      </w:r>
      <w:r w:rsidRPr="00DD1E61">
        <w:t xml:space="preserve"> 2004,</w:t>
      </w:r>
      <w:r>
        <w:t xml:space="preserve"> p. 55.</w:t>
      </w:r>
    </w:p>
  </w:footnote>
  <w:footnote w:id="769">
    <w:p w:rsidR="00E0371E" w:rsidRDefault="00E0371E" w:rsidP="007E32DD">
      <w:pPr>
        <w:pStyle w:val="Puslapioinaostekstas"/>
        <w:jc w:val="both"/>
      </w:pPr>
      <w:r>
        <w:rPr>
          <w:rStyle w:val="Puslapioinaosnuoroda"/>
        </w:rPr>
        <w:footnoteRef/>
      </w:r>
      <w:r w:rsidRPr="00D54634">
        <w:t>Vaišvila</w:t>
      </w:r>
      <w:r>
        <w:t>,</w:t>
      </w:r>
      <w:r w:rsidRPr="00D54634">
        <w:t xml:space="preserve"> A. </w:t>
      </w:r>
      <w:r w:rsidRPr="00B37B87">
        <w:rPr>
          <w:i/>
        </w:rPr>
        <w:t>Teisės teorija</w:t>
      </w:r>
      <w:r w:rsidRPr="00D54634">
        <w:t xml:space="preserve">. </w:t>
      </w:r>
      <w:r>
        <w:t>2-oji</w:t>
      </w:r>
      <w:r w:rsidRPr="009D6923">
        <w:t xml:space="preserve"> p</w:t>
      </w:r>
      <w:r>
        <w:t>ataisyta ir papildyta laida.</w:t>
      </w:r>
      <w:r w:rsidRPr="00D54634">
        <w:t xml:space="preserve"> Vilnius</w:t>
      </w:r>
      <w:r>
        <w:t xml:space="preserve">: Justitia, 2004, p. 114. </w:t>
      </w:r>
    </w:p>
  </w:footnote>
  <w:footnote w:id="770">
    <w:p w:rsidR="00E0371E" w:rsidRDefault="00E0371E" w:rsidP="00B30D5B">
      <w:pPr>
        <w:pStyle w:val="Puslapioinaostekstas"/>
        <w:jc w:val="both"/>
      </w:pPr>
      <w:r>
        <w:rPr>
          <w:rStyle w:val="Puslapioinaosnuoroda"/>
        </w:rPr>
        <w:footnoteRef/>
      </w:r>
      <w:r>
        <w:rPr>
          <w:rFonts w:eastAsia="Times New Roman"/>
        </w:rPr>
        <w:t>T</w:t>
      </w:r>
      <w:r w:rsidRPr="00CE37D0">
        <w:rPr>
          <w:rFonts w:eastAsia="Times New Roman"/>
        </w:rPr>
        <w:t xml:space="preserve">eisinės pasekmės skiriasi priklausomai nuo privataus kaltintojo kaltės formos. Esant </w:t>
      </w:r>
      <w:r>
        <w:rPr>
          <w:rFonts w:eastAsia="Times New Roman"/>
        </w:rPr>
        <w:t>asmens</w:t>
      </w:r>
      <w:r w:rsidRPr="00CE37D0">
        <w:rPr>
          <w:rFonts w:eastAsia="Times New Roman"/>
        </w:rPr>
        <w:t xml:space="preserve"> tyčiai žinomai melagingai apkaltinti kitą asmenį, jo veiksmai užtraukia baudžiamąją atsakomybę už žinomai melagingą a</w:t>
      </w:r>
      <w:r>
        <w:rPr>
          <w:rFonts w:eastAsia="Times New Roman"/>
        </w:rPr>
        <w:t xml:space="preserve">smens įskundimą (BK 236 straipsnis). Kadangi žinomas melagingas pranešimas apie nebūtą nusikaltimą yra nusikalstama veika, padaroma ne įgyvendinant privataus kaltinimo teisę, o pasinaudojant menama privataus kaltinimo teise, todėl ir pasekmės už tyčinius veiksmus čia nebus nagrinėjamos kaip nesusijusios su nagrinėjama tema. </w:t>
      </w:r>
    </w:p>
  </w:footnote>
  <w:footnote w:id="771">
    <w:p w:rsidR="00E0371E" w:rsidRDefault="00E0371E" w:rsidP="007E32DD">
      <w:pPr>
        <w:pStyle w:val="Puslapioinaostekstas"/>
        <w:jc w:val="both"/>
      </w:pPr>
      <w:r>
        <w:rPr>
          <w:rStyle w:val="Puslapioinaosnuoroda"/>
        </w:rPr>
        <w:footnoteRef/>
      </w:r>
      <w:r>
        <w:t xml:space="preserve">Simaitis, R. </w:t>
      </w:r>
      <w:r w:rsidRPr="006504E5">
        <w:rPr>
          <w:i/>
        </w:rPr>
        <w:t>Bylinėjimosi išlaidos civiliniame procese</w:t>
      </w:r>
      <w:r>
        <w:t xml:space="preserve">. Vilnius: Justitia, 2007, p. 34-35. </w:t>
      </w:r>
    </w:p>
  </w:footnote>
  <w:footnote w:id="772">
    <w:p w:rsidR="00E0371E" w:rsidRPr="000F682B" w:rsidRDefault="00E0371E" w:rsidP="007E32DD">
      <w:pPr>
        <w:jc w:val="both"/>
        <w:rPr>
          <w:rFonts w:eastAsia="Times New Roman"/>
          <w:sz w:val="20"/>
        </w:rPr>
      </w:pPr>
      <w:r>
        <w:rPr>
          <w:rStyle w:val="Puslapioinaosnuoroda"/>
        </w:rPr>
        <w:footnoteRef/>
      </w:r>
      <w:r w:rsidRPr="000F682B">
        <w:rPr>
          <w:rFonts w:eastAsia="Times New Roman"/>
          <w:sz w:val="20"/>
        </w:rPr>
        <w:t>Civiliniame procese reikalavimą pačioms šalims padengti dalį išlaidų lemia įsitikinimas, kad už privačių ginčų sprendimą turi bent iš dalies mokėti tiesioginiai šios paslaugos vartotojai, taip pat siekis apsisaugoti nuo piktnaudžiavimo procesu, reguliuoti proceso dalyvių elgesį tokiu būdu, kad procesas taptų ekonomiškesnis, spartesnis, kokybiškesnis ir pan. Teisingumo vykdymas,</w:t>
      </w:r>
      <w:r>
        <w:rPr>
          <w:rFonts w:eastAsia="Times New Roman"/>
          <w:sz w:val="20"/>
        </w:rPr>
        <w:t xml:space="preserve"> </w:t>
      </w:r>
      <w:r w:rsidRPr="000F682B">
        <w:rPr>
          <w:rFonts w:eastAsia="Times New Roman"/>
          <w:sz w:val="20"/>
        </w:rPr>
        <w:t>nepriklausomai nuo to, ar byla nagrinėjama civiliniame ar baudžiamajame procese, laikomas valstybės viešąja funkcija, kas suponuoja valstybės pareigą išlaikyti teisėsaugos sistemą. Simaitis, R.</w:t>
      </w:r>
      <w:r>
        <w:rPr>
          <w:rFonts w:eastAsia="Times New Roman"/>
          <w:sz w:val="20"/>
        </w:rPr>
        <w:t xml:space="preserve"> </w:t>
      </w:r>
      <w:r w:rsidRPr="00312DB5">
        <w:rPr>
          <w:i/>
          <w:sz w:val="20"/>
          <w:szCs w:val="20"/>
        </w:rPr>
        <w:t>Bylinėjimosi išlaidos civiliniame procese</w:t>
      </w:r>
      <w:r w:rsidRPr="00312DB5">
        <w:rPr>
          <w:sz w:val="20"/>
          <w:szCs w:val="20"/>
        </w:rPr>
        <w:t>. Vilnius: Justitia, 2007,</w:t>
      </w:r>
      <w:r w:rsidRPr="00312DB5">
        <w:rPr>
          <w:rFonts w:eastAsia="Times New Roman"/>
          <w:sz w:val="20"/>
          <w:szCs w:val="20"/>
        </w:rPr>
        <w:t xml:space="preserve"> p. 35.</w:t>
      </w:r>
      <w:r w:rsidRPr="000F682B">
        <w:rPr>
          <w:rFonts w:eastAsia="Times New Roman"/>
          <w:sz w:val="20"/>
        </w:rPr>
        <w:t xml:space="preserve"> Baudžiamajame procese ši valstybės pareiga sietina su viešuoju interesu ir valstybės pareiga užtikrinti visuomenės saugumą, todėl ir proceso išlaidų atlyginimo funkcija nesietina su teisingumo vykdymo mechanizmo finansavimu. Netgi privataus kaltinimo procesas, vykdomas nukentėjusiojo iniciatyva dėl privataus konflikto, vertintinas pirmiausia kaip valstybės pareiga, o ne paslauga privatiems asmenims. Taigi teisės pažeidimo vertinimas kaip nusikalstamos veikos, nors ir mažesnio pavojingumo, bei konflikto sprendimo priskyrimas baudžiamajai teisenai, suponuoja ir valstybės pareigą padengti teisingumo vykdymo išlaidas. Tačiau net ir baudžiamajame procese numatyta galimybė proceso išlaidas su tam tikromis įstatyme numatytomis išlygomis išieškoti iš nuteistojo, kuris pripažintas kaltu, bet nuo bausmės atleistas arba kuriam bausmė </w:t>
      </w:r>
      <w:r>
        <w:rPr>
          <w:rFonts w:eastAsia="Times New Roman"/>
          <w:sz w:val="20"/>
        </w:rPr>
        <w:t>nepaskirta (BPK 103 straipsnis</w:t>
      </w:r>
      <w:r w:rsidRPr="000F682B">
        <w:rPr>
          <w:rFonts w:eastAsia="Times New Roman"/>
          <w:sz w:val="20"/>
        </w:rPr>
        <w:t>, 105 str</w:t>
      </w:r>
      <w:r>
        <w:rPr>
          <w:rFonts w:eastAsia="Times New Roman"/>
          <w:sz w:val="20"/>
        </w:rPr>
        <w:t>aipsnio</w:t>
      </w:r>
      <w:r w:rsidRPr="000F682B">
        <w:rPr>
          <w:rFonts w:eastAsia="Times New Roman"/>
          <w:sz w:val="20"/>
        </w:rPr>
        <w:t xml:space="preserve"> 1 ir 2 d</w:t>
      </w:r>
      <w:r>
        <w:rPr>
          <w:rFonts w:eastAsia="Times New Roman"/>
          <w:sz w:val="20"/>
        </w:rPr>
        <w:t>alys</w:t>
      </w:r>
      <w:r w:rsidRPr="000F682B">
        <w:rPr>
          <w:rFonts w:eastAsia="Times New Roman"/>
          <w:sz w:val="20"/>
        </w:rPr>
        <w:t xml:space="preserve">). </w:t>
      </w:r>
    </w:p>
  </w:footnote>
  <w:footnote w:id="773">
    <w:p w:rsidR="00E0371E" w:rsidRDefault="00E0371E" w:rsidP="007E32DD">
      <w:pPr>
        <w:pStyle w:val="Puslapioinaostekstas"/>
        <w:jc w:val="both"/>
      </w:pPr>
      <w:r>
        <w:rPr>
          <w:rStyle w:val="Puslapioinaosnuoroda"/>
        </w:rPr>
        <w:footnoteRef/>
      </w:r>
      <w:r>
        <w:rPr>
          <w:rFonts w:eastAsia="Times New Roman"/>
          <w:szCs w:val="24"/>
        </w:rPr>
        <w:t>Civiliniame procese valstybės finansinė pagalba proceso dalyviams sietina su žyminio mokesčio instituto atitinkamu reguliavimu bei kai kurių bylinėjimosi išlaidų paskirstymu priklausomai nuo proceso dalyvių turtinės padėties</w:t>
      </w:r>
      <w:r>
        <w:t xml:space="preserve">. </w:t>
      </w:r>
    </w:p>
  </w:footnote>
  <w:footnote w:id="774">
    <w:p w:rsidR="00E0371E" w:rsidRPr="000F682B" w:rsidRDefault="00E0371E" w:rsidP="007E32DD">
      <w:pPr>
        <w:jc w:val="both"/>
        <w:rPr>
          <w:rFonts w:eastAsia="Times New Roman"/>
          <w:sz w:val="20"/>
        </w:rPr>
      </w:pPr>
      <w:r w:rsidRPr="000F682B">
        <w:rPr>
          <w:rStyle w:val="Puslapioinaosnuoroda"/>
          <w:sz w:val="20"/>
        </w:rPr>
        <w:footnoteRef/>
      </w:r>
      <w:r w:rsidRPr="000F682B">
        <w:rPr>
          <w:rFonts w:eastAsia="Times New Roman"/>
          <w:sz w:val="20"/>
        </w:rPr>
        <w:t xml:space="preserve">Proceso veiksmingumo ir kokybės užtikrinimas civiliniame procese siejamas su investavimu į bylą samdant kvalifikuotus teisininkus, renkant įrodymus savo lėšomis ir pastangomis, turint tikslą laimėti bylą. </w:t>
      </w:r>
      <w:r w:rsidRPr="000F682B">
        <w:rPr>
          <w:sz w:val="20"/>
        </w:rPr>
        <w:t xml:space="preserve">Simaitis, R. </w:t>
      </w:r>
      <w:r w:rsidRPr="000F682B">
        <w:rPr>
          <w:i/>
          <w:sz w:val="20"/>
        </w:rPr>
        <w:t>Bylinėjimosi išlaidos civiliniame procese</w:t>
      </w:r>
      <w:r w:rsidRPr="000F682B">
        <w:rPr>
          <w:sz w:val="20"/>
        </w:rPr>
        <w:t xml:space="preserve">. Vilnius: Justitia, 2007, p. 42. </w:t>
      </w:r>
      <w:r w:rsidRPr="000F682B">
        <w:rPr>
          <w:rFonts w:eastAsia="Times New Roman"/>
          <w:sz w:val="20"/>
        </w:rPr>
        <w:t xml:space="preserve">Lyginant su civiliniu procesu, šalių galimybes rinkti įrodymus privataus kaltinimo procese riboja jų įgaliojimai, todėl ir investavimas į bylą turi atitinkamai mažesnę reikšmę. Tačiau atstovo (kvalifikuoto teisininko) </w:t>
      </w:r>
      <w:r>
        <w:rPr>
          <w:rFonts w:eastAsia="Times New Roman"/>
          <w:sz w:val="20"/>
        </w:rPr>
        <w:t xml:space="preserve">teisinė </w:t>
      </w:r>
      <w:r w:rsidRPr="000F682B">
        <w:rPr>
          <w:rFonts w:eastAsia="Times New Roman"/>
          <w:sz w:val="20"/>
        </w:rPr>
        <w:t xml:space="preserve">pagalba </w:t>
      </w:r>
      <w:r>
        <w:rPr>
          <w:rFonts w:eastAsia="Times New Roman"/>
          <w:sz w:val="20"/>
        </w:rPr>
        <w:t>privačiam kaltintojui įgyvendin</w:t>
      </w:r>
      <w:r w:rsidRPr="000F682B">
        <w:rPr>
          <w:rFonts w:eastAsia="Times New Roman"/>
          <w:sz w:val="20"/>
        </w:rPr>
        <w:t xml:space="preserve">ant kaltinimo </w:t>
      </w:r>
      <w:r>
        <w:rPr>
          <w:rFonts w:eastAsia="Times New Roman"/>
          <w:sz w:val="20"/>
        </w:rPr>
        <w:t>funkciją</w:t>
      </w:r>
      <w:r w:rsidRPr="000F682B">
        <w:rPr>
          <w:rFonts w:eastAsia="Times New Roman"/>
          <w:sz w:val="20"/>
        </w:rPr>
        <w:t xml:space="preserve"> ir kaltinamojo </w:t>
      </w:r>
      <w:r>
        <w:rPr>
          <w:rFonts w:eastAsia="Times New Roman"/>
          <w:sz w:val="20"/>
        </w:rPr>
        <w:t xml:space="preserve">aktyvi </w:t>
      </w:r>
      <w:r w:rsidRPr="000F682B">
        <w:rPr>
          <w:rFonts w:eastAsia="Times New Roman"/>
          <w:sz w:val="20"/>
        </w:rPr>
        <w:t xml:space="preserve">gynyba, dalyvaujant kvalifikuotam gynėjui, taip pat turi įtakos bylinėjimosi kokybei. </w:t>
      </w:r>
    </w:p>
  </w:footnote>
  <w:footnote w:id="775">
    <w:p w:rsidR="00E0371E" w:rsidRDefault="00E0371E" w:rsidP="007E32DD">
      <w:pPr>
        <w:pStyle w:val="Puslapioinaostekstas"/>
        <w:jc w:val="both"/>
      </w:pPr>
      <w:r>
        <w:rPr>
          <w:rStyle w:val="Puslapioinaosnuoroda"/>
        </w:rPr>
        <w:footnoteRef/>
      </w:r>
      <w:r>
        <w:t xml:space="preserve">Baudžiamajame procese nėra kompensacinio pobūdžio normų, būdingų civiliniam procesui ir susijusių su žyminio mokesčio grąžinimu, priklausomai nuo šalių procesinio elgesio. Taip pat neturi reikšmingos įtakos šalių procesinis elgesys ir atlyginant bylinėjimosi išlaidas. Pvz., BPK 105 straipsnio 7 dalis numato, kad </w:t>
      </w:r>
      <w:r w:rsidRPr="005E069C">
        <w:t>proces</w:t>
      </w:r>
      <w:r>
        <w:t>ą nutrauku</w:t>
      </w:r>
      <w:r w:rsidRPr="005E069C">
        <w:t xml:space="preserve">s, </w:t>
      </w:r>
      <w:r>
        <w:t>kai</w:t>
      </w:r>
      <w:r w:rsidRPr="005E069C">
        <w:t xml:space="preserve"> nukentėjusysis susitaikė su įtariamuoju ar kaltinamuoju, prokuroras ar teismas turi teisę nuspręsti, kad proceso išlaidas turi sumokėti įtariamasis, kaltinamasis ir nu</w:t>
      </w:r>
      <w:r>
        <w:t>kentėjusysis arba vienas iš jų.</w:t>
      </w:r>
    </w:p>
  </w:footnote>
  <w:footnote w:id="776">
    <w:p w:rsidR="00E0371E" w:rsidRDefault="00E0371E" w:rsidP="007E32DD">
      <w:pPr>
        <w:pStyle w:val="Puslapioinaostekstas"/>
        <w:jc w:val="both"/>
      </w:pPr>
      <w:r>
        <w:rPr>
          <w:rStyle w:val="Puslapioinaosnuoroda"/>
        </w:rPr>
        <w:footnoteRef/>
      </w:r>
      <w:r>
        <w:t xml:space="preserve">Simaitis, R. </w:t>
      </w:r>
      <w:r w:rsidRPr="009D6923">
        <w:rPr>
          <w:i/>
        </w:rPr>
        <w:t>Bylinėjimosi išlaidos civiliniame procese</w:t>
      </w:r>
      <w:r>
        <w:t xml:space="preserve">. Vilnius: Justitia, 2007, p. 45. </w:t>
      </w:r>
      <w:r>
        <w:rPr>
          <w:rFonts w:eastAsia="Times New Roman"/>
          <w:szCs w:val="24"/>
        </w:rPr>
        <w:t>CPK 79 straipsnyje taip pat skiriamos dvi bylinėjimosi išlaidų rūšys: žyminis mokestis ir i</w:t>
      </w:r>
      <w:r w:rsidRPr="009D6923">
        <w:rPr>
          <w:rFonts w:eastAsia="Times New Roman"/>
          <w:szCs w:val="24"/>
        </w:rPr>
        <w:t>šlaidos</w:t>
      </w:r>
      <w:r>
        <w:rPr>
          <w:rFonts w:eastAsia="Times New Roman"/>
          <w:szCs w:val="24"/>
        </w:rPr>
        <w:t>,</w:t>
      </w:r>
      <w:r w:rsidRPr="009D6923">
        <w:rPr>
          <w:rFonts w:eastAsia="Times New Roman"/>
          <w:szCs w:val="24"/>
        </w:rPr>
        <w:t xml:space="preserve"> s</w:t>
      </w:r>
      <w:r>
        <w:rPr>
          <w:rFonts w:eastAsia="Times New Roman"/>
          <w:szCs w:val="24"/>
        </w:rPr>
        <w:t>usijusios su bylos nagrinėjimu.</w:t>
      </w:r>
    </w:p>
  </w:footnote>
  <w:footnote w:id="777">
    <w:p w:rsidR="00E0371E" w:rsidRPr="00D54634" w:rsidRDefault="00E0371E" w:rsidP="007E32DD">
      <w:pPr>
        <w:pStyle w:val="Puslapioinaostekstas"/>
        <w:jc w:val="both"/>
      </w:pPr>
      <w:r>
        <w:rPr>
          <w:rStyle w:val="Puslapioinaosnuoroda"/>
        </w:rPr>
        <w:footnoteRef/>
      </w:r>
      <w:r>
        <w:rPr>
          <w:rFonts w:eastAsia="Times New Roman"/>
          <w:szCs w:val="24"/>
        </w:rPr>
        <w:t xml:space="preserve">Lenkijoje žyminis mokestis (300 Lenkijos zlotų) yra nustatytas 2003-05-28 Teisingumo ministro potvarkiu. Šis mokestis grąžinamas privačiam kaltintojui, jei šalys susitaiko iki bylos teisminio nagrinėjimo, taip pat jei procesą perima prokuroras ir šis baigiamas bendra tvarka. Jei šalys susitaiko teisminio nagrinėjimo metu, grąžinama pusė žyminio mokesčio sumos. </w:t>
      </w:r>
      <w:r>
        <w:t xml:space="preserve">Gil, D. </w:t>
      </w:r>
      <w:r w:rsidRPr="00C50B77">
        <w:rPr>
          <w:i/>
        </w:rPr>
        <w:t xml:space="preserve">Postępowanie w sprawach z oskarżenia prywatnego w polskim procesie karnym. </w:t>
      </w:r>
      <w:r w:rsidRPr="00C50B77">
        <w:t>Daktaro disertacija. Socialiniai mokslai (teisė). Warszawa, 2011, p. 283-288.</w:t>
      </w:r>
    </w:p>
  </w:footnote>
  <w:footnote w:id="778">
    <w:p w:rsidR="00E0371E" w:rsidRDefault="00E0371E" w:rsidP="007E32DD">
      <w:pPr>
        <w:pStyle w:val="Puslapioinaostekstas"/>
        <w:jc w:val="both"/>
      </w:pPr>
      <w:r>
        <w:rPr>
          <w:rStyle w:val="Puslapioinaosnuoroda"/>
        </w:rPr>
        <w:footnoteRef/>
      </w:r>
      <w:r>
        <w:t>Šiaulių apygardos teismo 2007 m. lapkričio 20 d. nutartis baudžiamojoje byloje Nr. 1A-339-116/2007.</w:t>
      </w:r>
    </w:p>
  </w:footnote>
  <w:footnote w:id="779">
    <w:p w:rsidR="00E0371E" w:rsidRDefault="00E0371E" w:rsidP="007E32DD">
      <w:pPr>
        <w:pStyle w:val="Puslapioinaostekstas"/>
        <w:jc w:val="both"/>
      </w:pPr>
      <w:r>
        <w:rPr>
          <w:rStyle w:val="Puslapioinaosnuoroda"/>
        </w:rPr>
        <w:footnoteRef/>
      </w:r>
      <w:r>
        <w:t xml:space="preserve">Lietuvos Aukščiausiojo Teismo 2014 m. gegužės 13 d. nutartis baudžiamojoje byloje Nr. 2K-258/2014. </w:t>
      </w:r>
      <w:r w:rsidRPr="00B74E74">
        <w:t xml:space="preserve">Šiaulių apygardos teismo 2007 m. lapkričio 20 d. nutartis </w:t>
      </w:r>
      <w:r>
        <w:t xml:space="preserve">baudžiamojoje byloje </w:t>
      </w:r>
      <w:r w:rsidRPr="00B74E74">
        <w:t>Nr. 1A-339-116/2007</w:t>
      </w:r>
      <w:r>
        <w:t>.</w:t>
      </w:r>
    </w:p>
  </w:footnote>
  <w:footnote w:id="780">
    <w:p w:rsidR="00E0371E" w:rsidRDefault="00E0371E" w:rsidP="007E32DD">
      <w:pPr>
        <w:pStyle w:val="Puslapioinaostekstas"/>
        <w:jc w:val="both"/>
      </w:pPr>
      <w:r>
        <w:rPr>
          <w:rStyle w:val="Puslapioinaosnuoroda"/>
        </w:rPr>
        <w:footnoteRef/>
      </w:r>
      <w:r>
        <w:t>Vilniaus apygardos teismo 2009 m. vasario 23 d. nutartis c</w:t>
      </w:r>
      <w:r w:rsidRPr="00741CD1">
        <w:t>ivilinė</w:t>
      </w:r>
      <w:r>
        <w:t>je</w:t>
      </w:r>
      <w:r w:rsidRPr="00741CD1">
        <w:t xml:space="preserve"> byl</w:t>
      </w:r>
      <w:r>
        <w:t>oje</w:t>
      </w:r>
      <w:r w:rsidRPr="00741CD1">
        <w:t xml:space="preserve"> Nr. 2A-182-340/09</w:t>
      </w:r>
      <w:r>
        <w:t xml:space="preserve">. </w:t>
      </w:r>
    </w:p>
  </w:footnote>
  <w:footnote w:id="781">
    <w:p w:rsidR="00E0371E" w:rsidRDefault="00E0371E" w:rsidP="007E32DD">
      <w:pPr>
        <w:pStyle w:val="Puslapioinaostekstas"/>
        <w:jc w:val="both"/>
      </w:pPr>
      <w:r>
        <w:rPr>
          <w:rStyle w:val="Puslapioinaosnuoroda"/>
        </w:rPr>
        <w:footnoteRef/>
      </w:r>
      <w:r w:rsidRPr="00230A89">
        <w:t xml:space="preserve">Kauno apylinkės teismo 2013 m. rugpjūčio 26 d. nutartis </w:t>
      </w:r>
      <w:r>
        <w:t xml:space="preserve">baudžiamojoje byloje Nr. PK-2114-738/2013. </w:t>
      </w:r>
      <w:r w:rsidRPr="0025302D">
        <w:t>Mažeikių rajono apylinkės teismo</w:t>
      </w:r>
      <w:r>
        <w:t xml:space="preserve"> </w:t>
      </w:r>
      <w:r w:rsidRPr="0025302D">
        <w:t xml:space="preserve">2013 m. gegužės 2 d. nutartis </w:t>
      </w:r>
      <w:r>
        <w:t>baudžiamojoje byloje Nr. PK-173-853/2013.</w:t>
      </w:r>
      <w:r w:rsidRPr="0025302D">
        <w:t xml:space="preserve"> Šiaulių apylinkės teismo</w:t>
      </w:r>
      <w:r>
        <w:t xml:space="preserve"> </w:t>
      </w:r>
      <w:r w:rsidRPr="0025302D">
        <w:t xml:space="preserve">2013 m. kovo 15 </w:t>
      </w:r>
      <w:r>
        <w:t>d. nutartis baudžiamojoje byloje Nr. PK-442-885/2013.</w:t>
      </w:r>
    </w:p>
  </w:footnote>
  <w:footnote w:id="782">
    <w:p w:rsidR="00E0371E" w:rsidRDefault="00E0371E" w:rsidP="007E32DD">
      <w:pPr>
        <w:pStyle w:val="Puslapioinaostekstas"/>
        <w:jc w:val="both"/>
      </w:pPr>
      <w:r>
        <w:rPr>
          <w:rStyle w:val="Puslapioinaosnuoroda"/>
        </w:rPr>
        <w:footnoteRef/>
      </w:r>
      <w:r>
        <w:t>Šiaulių apygardos teismo 2008 m. rugsėjo 2 d. nutartis baudžiamojoje byloje Nr. 1A-282-354/2008.</w:t>
      </w:r>
    </w:p>
  </w:footnote>
  <w:footnote w:id="783">
    <w:p w:rsidR="00E0371E" w:rsidRDefault="00E0371E" w:rsidP="007E32DD">
      <w:pPr>
        <w:pStyle w:val="Puslapioinaostekstas"/>
        <w:jc w:val="both"/>
      </w:pPr>
      <w:r>
        <w:rPr>
          <w:rStyle w:val="Puslapioinaosnuoroda"/>
        </w:rPr>
        <w:footnoteRef/>
      </w:r>
      <w:r w:rsidRPr="00E4272E">
        <w:t>Vilniaus apygardos teismo 2009 m. vasario 23 d. nutartis civilinėje byloje Nr. 2A-182-340/09</w:t>
      </w:r>
      <w:r>
        <w:t>.</w:t>
      </w:r>
    </w:p>
  </w:footnote>
  <w:footnote w:id="784">
    <w:p w:rsidR="00E0371E" w:rsidRDefault="00E0371E" w:rsidP="007E32DD">
      <w:pPr>
        <w:pStyle w:val="Puslapioinaostekstas"/>
        <w:jc w:val="both"/>
      </w:pPr>
      <w:r>
        <w:rPr>
          <w:rStyle w:val="Puslapioinaosnuoroda"/>
        </w:rPr>
        <w:footnoteRef/>
      </w:r>
      <w:r>
        <w:t xml:space="preserve">Prancūzijoje privataus kaltintojo statusą įgyja asmuo, padavęs civilinį ieškinį.  </w:t>
      </w:r>
    </w:p>
  </w:footnote>
  <w:footnote w:id="785">
    <w:p w:rsidR="00E0371E" w:rsidRPr="00EC1307" w:rsidRDefault="00E0371E" w:rsidP="007E32DD">
      <w:pPr>
        <w:pStyle w:val="Puslapioinaostekstas"/>
        <w:jc w:val="both"/>
      </w:pPr>
      <w:r>
        <w:rPr>
          <w:rStyle w:val="Puslapioinaosnuoroda"/>
        </w:rPr>
        <w:footnoteRef/>
      </w:r>
      <w:r w:rsidRPr="00EC1307">
        <w:t>Chiavario, M. Private Parties: the Rights of the Defendant and the Victim. In D</w:t>
      </w:r>
      <w:r>
        <w:t xml:space="preserve">elmas-Marty, M., Spencer. J. R. </w:t>
      </w:r>
      <w:r w:rsidRPr="00EC1307">
        <w:rPr>
          <w:i/>
        </w:rPr>
        <w:t>European criminal procedures</w:t>
      </w:r>
      <w:r>
        <w:t xml:space="preserve">. </w:t>
      </w:r>
      <w:r w:rsidRPr="00EC1307">
        <w:t>Cambridge: Cambridge Universi</w:t>
      </w:r>
      <w:r>
        <w:t>ty Press, 2006, p. 525.</w:t>
      </w:r>
    </w:p>
  </w:footnote>
  <w:footnote w:id="786">
    <w:p w:rsidR="00E0371E" w:rsidRDefault="00E0371E" w:rsidP="00B27494">
      <w:pPr>
        <w:pStyle w:val="Puslapioinaostekstas"/>
        <w:jc w:val="both"/>
      </w:pPr>
      <w:r>
        <w:rPr>
          <w:rStyle w:val="Puslapioinaosnuoroda"/>
        </w:rPr>
        <w:footnoteRef/>
      </w:r>
      <w:r w:rsidRPr="00744CAA">
        <w:t xml:space="preserve">Lietuvos Respublikos baudžiamojo proceso kodekso 37, 102, 233, 240, 243, 244, 261, 273, 314, 323, 361, 362, 362-1, 364, 367, 440, 441, 442 straipsnių pakeitimo ir Kodekso papildymo 242-1 straipsniu įstatymas. </w:t>
      </w:r>
      <w:r w:rsidRPr="00744CAA">
        <w:rPr>
          <w:i/>
        </w:rPr>
        <w:t>Teisės aktų registras</w:t>
      </w:r>
      <w:r w:rsidRPr="00744CAA">
        <w:t xml:space="preserve">. 2014, Nr. 2014-03406. </w:t>
      </w:r>
      <w:r>
        <w:t xml:space="preserve">Šie </w:t>
      </w:r>
      <w:r w:rsidRPr="00B27494">
        <w:t xml:space="preserve">pakeitimai taikomi nuosprendžiams ir nutartims, priimtiems po </w:t>
      </w:r>
      <w:r>
        <w:t xml:space="preserve">šios </w:t>
      </w:r>
      <w:r w:rsidRPr="00B27494">
        <w:t xml:space="preserve">įstatymo </w:t>
      </w:r>
      <w:r>
        <w:t>nuostatos</w:t>
      </w:r>
      <w:r w:rsidRPr="00B27494">
        <w:t xml:space="preserve"> įsigaliojimo</w:t>
      </w:r>
      <w:r>
        <w:t xml:space="preserve"> 2014-03-25</w:t>
      </w:r>
      <w:r w:rsidRPr="00B27494">
        <w:t>.</w:t>
      </w:r>
    </w:p>
  </w:footnote>
  <w:footnote w:id="787">
    <w:p w:rsidR="00E0371E" w:rsidRDefault="00E0371E" w:rsidP="00B909AD">
      <w:pPr>
        <w:pStyle w:val="Puslapioinaostekstas"/>
        <w:jc w:val="both"/>
      </w:pPr>
      <w:r>
        <w:rPr>
          <w:rStyle w:val="Puslapioinaosnuoroda"/>
        </w:rPr>
        <w:footnoteRef/>
      </w:r>
      <w:r w:rsidRPr="00B909AD">
        <w:t>Šiame darbe nebus nagrinėjama išimtinė teismų sprendimų kontrolės forma - baudžiamosios bylos, išnagrinėtos privataus kaltinimo tvarka, atnaujinimas, kadangi privataus kaltinimo byla gali būti atnaujinta bendrais pagrindais ir specifika nepasižymi.</w:t>
      </w:r>
    </w:p>
  </w:footnote>
  <w:footnote w:id="788">
    <w:p w:rsidR="00E0371E" w:rsidRDefault="00E0371E" w:rsidP="008B2C23">
      <w:pPr>
        <w:pStyle w:val="Puslapioinaostekstas"/>
        <w:jc w:val="both"/>
      </w:pPr>
      <w:r>
        <w:rPr>
          <w:rStyle w:val="Puslapioinaosnuoroda"/>
        </w:rPr>
        <w:footnoteRef/>
      </w:r>
      <w:r>
        <w:t xml:space="preserve">Šį klausimą ne kartą yra kėlę ir analizavę civilinio proceso mokslininkai: Nekrošius, V. </w:t>
      </w:r>
      <w:r w:rsidRPr="00D2751A">
        <w:rPr>
          <w:i/>
        </w:rPr>
        <w:t>Teismų sprendimų teisėtumo ir pagrįstumo kontrolė civiliniame procese: klasikinė sistema ir reforma Lietuvos Respublikoje</w:t>
      </w:r>
      <w:r>
        <w:t xml:space="preserve">. Daktaro disertacija. Socialiniai mokslai (teisė). Vilnius: Vilniaus universitetas, 1996, p. 23-27. Ambrasaitė, G. </w:t>
      </w:r>
      <w:r w:rsidRPr="00773F12">
        <w:rPr>
          <w:i/>
        </w:rPr>
        <w:t>Apeliacija civiliniame procese</w:t>
      </w:r>
      <w:r>
        <w:t xml:space="preserve">. Daktaro disertacija. Socialiniai mokslai (teisė). Vilnius: Lietuvos teisės universitetas, 2004, p. 59-71. Kavaliauskienė, G. </w:t>
      </w:r>
      <w:r w:rsidRPr="00CB4501">
        <w:rPr>
          <w:i/>
        </w:rPr>
        <w:t>Proceso civilinėje byloje prielaidos ir sąlygos</w:t>
      </w:r>
      <w:r>
        <w:t xml:space="preserve">. Daktaro disertacija. Socialiniai mokslai (teisė). Vilnius: Mykolo Romerio universitetas, 2010, p. 34-48. Mikelėnas, V. </w:t>
      </w:r>
      <w:r w:rsidRPr="00CB4501">
        <w:rPr>
          <w:i/>
        </w:rPr>
        <w:t xml:space="preserve">Civilinis procesas. </w:t>
      </w:r>
      <w:r w:rsidRPr="00046171">
        <w:t>II dalis</w:t>
      </w:r>
      <w:r w:rsidRPr="00CB4501">
        <w:rPr>
          <w:i/>
        </w:rPr>
        <w:t>.</w:t>
      </w:r>
      <w:r>
        <w:t xml:space="preserve"> Vilnius: Justitia, 1997, p. 70. </w:t>
      </w:r>
      <w:r w:rsidRPr="00CB4501">
        <w:rPr>
          <w:i/>
        </w:rPr>
        <w:t>Lietuvos konstitucinė teisė. Vadovėlis</w:t>
      </w:r>
      <w:r>
        <w:t xml:space="preserve">. Vilnius: LTU leidybos centras, 2001, p. 793. Nekrošius, V. </w:t>
      </w:r>
      <w:r w:rsidRPr="006C29E3">
        <w:rPr>
          <w:i/>
        </w:rPr>
        <w:t>Civilinis procesas: koncentruotumo principas ir jo įgyvendinimo galimybės</w:t>
      </w:r>
      <w:r>
        <w:t xml:space="preserve">. Vilnius: </w:t>
      </w:r>
      <w:r w:rsidRPr="006C29E3">
        <w:t>Justitia,</w:t>
      </w:r>
      <w:r>
        <w:t xml:space="preserve"> 2002, p. 209-210.</w:t>
      </w:r>
    </w:p>
  </w:footnote>
  <w:footnote w:id="789">
    <w:p w:rsidR="00E0371E" w:rsidRDefault="00E0371E" w:rsidP="008B2C23">
      <w:pPr>
        <w:pStyle w:val="Puslapioinaostekstas"/>
        <w:jc w:val="both"/>
      </w:pPr>
      <w:r>
        <w:rPr>
          <w:rStyle w:val="Puslapioinaosnuoroda"/>
        </w:rPr>
        <w:footnoteRef/>
      </w:r>
      <w:r>
        <w:t xml:space="preserve">Lietuvos Respublikos Konstitucinio Teismo 2006 m. kovo 28 d. nutarimas. </w:t>
      </w:r>
      <w:r w:rsidRPr="00C50B77">
        <w:rPr>
          <w:i/>
        </w:rPr>
        <w:t>Valstybės žinios</w:t>
      </w:r>
      <w:r w:rsidRPr="00C50B77">
        <w:t>. 2006, Nr. 36-1292.</w:t>
      </w:r>
    </w:p>
  </w:footnote>
  <w:footnote w:id="790">
    <w:p w:rsidR="00E0371E" w:rsidRDefault="00E0371E" w:rsidP="00B909AD">
      <w:pPr>
        <w:pStyle w:val="Puslapioinaostekstas"/>
        <w:jc w:val="both"/>
      </w:pPr>
      <w:r>
        <w:rPr>
          <w:rStyle w:val="Puslapioinaosnuoroda"/>
        </w:rPr>
        <w:footnoteRef/>
      </w:r>
      <w:r w:rsidRPr="00F1326E">
        <w:t xml:space="preserve">Trechsel, S. </w:t>
      </w:r>
      <w:r w:rsidRPr="00E83F87">
        <w:rPr>
          <w:i/>
        </w:rPr>
        <w:t>Human Rights in Criminal Proceedings</w:t>
      </w:r>
      <w:r w:rsidRPr="00F1326E">
        <w:t>. Oxford, New York: Oxford University Press, 2005, p. 362</w:t>
      </w:r>
      <w:r>
        <w:t xml:space="preserve">. </w:t>
      </w:r>
    </w:p>
  </w:footnote>
  <w:footnote w:id="791">
    <w:p w:rsidR="00E0371E" w:rsidRDefault="00E0371E" w:rsidP="00B909AD">
      <w:pPr>
        <w:pStyle w:val="Puslapioinaostekstas"/>
        <w:jc w:val="both"/>
      </w:pPr>
      <w:r>
        <w:rPr>
          <w:rStyle w:val="Puslapioinaosnuoroda"/>
        </w:rPr>
        <w:footnoteRef/>
      </w:r>
      <w:r w:rsidRPr="00F1326E">
        <w:t xml:space="preserve">Trechsel, S. </w:t>
      </w:r>
      <w:r w:rsidRPr="00E83F87">
        <w:rPr>
          <w:i/>
        </w:rPr>
        <w:t>Human Rights in Criminal Proceedings</w:t>
      </w:r>
      <w:r w:rsidRPr="00F1326E">
        <w:t>. Oxford, New York: Oxford University Press, 2005, p. 36</w:t>
      </w:r>
      <w:r>
        <w:t xml:space="preserve">3. </w:t>
      </w:r>
      <w:r w:rsidRPr="00A82B90">
        <w:rPr>
          <w:i/>
        </w:rPr>
        <w:t>Delcourt v. Belgium</w:t>
      </w:r>
      <w:r>
        <w:t xml:space="preserve">, </w:t>
      </w:r>
      <w:r w:rsidRPr="00A82B90">
        <w:t>no. 2689/65, 17 January 1970.</w:t>
      </w:r>
    </w:p>
  </w:footnote>
  <w:footnote w:id="792">
    <w:p w:rsidR="00E0371E" w:rsidRDefault="00E0371E" w:rsidP="008B2C23">
      <w:pPr>
        <w:pStyle w:val="Puslapioinaostekstas"/>
        <w:jc w:val="both"/>
      </w:pPr>
      <w:r>
        <w:rPr>
          <w:rStyle w:val="Puslapioinaosnuoroda"/>
        </w:rPr>
        <w:footnoteRef/>
      </w:r>
      <w:r>
        <w:t xml:space="preserve">Kavaliauskienė, G. </w:t>
      </w:r>
      <w:r w:rsidRPr="00CB4501">
        <w:rPr>
          <w:i/>
        </w:rPr>
        <w:t>Proceso civilinėje byloje prielaidos ir sąlygos</w:t>
      </w:r>
      <w:r>
        <w:t xml:space="preserve">. Daktaro disertacija. Socialiniai mokslai (teisė). Vilnius: Mykolo Romerio universitetas, 2010, p. 43. </w:t>
      </w:r>
    </w:p>
  </w:footnote>
  <w:footnote w:id="793">
    <w:p w:rsidR="00E0371E" w:rsidRDefault="00E0371E" w:rsidP="008B2C23">
      <w:pPr>
        <w:pStyle w:val="Puslapioinaostekstas"/>
        <w:jc w:val="both"/>
      </w:pPr>
      <w:r>
        <w:rPr>
          <w:rStyle w:val="Puslapioinaosnuoroda"/>
        </w:rPr>
        <w:footnoteRef/>
      </w:r>
      <w:r>
        <w:t xml:space="preserve">Ambrasaitė, G. </w:t>
      </w:r>
      <w:r w:rsidRPr="00773F12">
        <w:rPr>
          <w:i/>
        </w:rPr>
        <w:t>Apeliacija civiliniame procese</w:t>
      </w:r>
      <w:r>
        <w:t xml:space="preserve">. Daktaro disertacija. Socialiniai mokslai (teisė). Vilnius: Lietuvos teisės universitetas, 2004, p. 66. </w:t>
      </w:r>
    </w:p>
  </w:footnote>
  <w:footnote w:id="794">
    <w:p w:rsidR="00E0371E" w:rsidRDefault="00E0371E" w:rsidP="008B2C23">
      <w:pPr>
        <w:pStyle w:val="Puslapioinaostekstas"/>
        <w:jc w:val="both"/>
      </w:pPr>
      <w:r>
        <w:rPr>
          <w:rStyle w:val="Puslapioinaosnuoroda"/>
        </w:rPr>
        <w:footnoteRef/>
      </w:r>
      <w:r>
        <w:t xml:space="preserve">Garnelienė, L., Rimšelis, E. Apeliacijos sampratos įtaka teismų praktikai baudžiamajame procese. </w:t>
      </w:r>
      <w:r w:rsidRPr="00E33300">
        <w:rPr>
          <w:i/>
        </w:rPr>
        <w:t>Socialinių mokslų studijos</w:t>
      </w:r>
      <w:r>
        <w:t xml:space="preserve">. </w:t>
      </w:r>
      <w:r w:rsidRPr="00852ABC">
        <w:t>2009, 4</w:t>
      </w:r>
      <w:r>
        <w:t xml:space="preserve"> </w:t>
      </w:r>
      <w:r w:rsidRPr="00852ABC">
        <w:t>(4)</w:t>
      </w:r>
      <w:r>
        <w:t>:</w:t>
      </w:r>
      <w:r w:rsidRPr="00852ABC">
        <w:t xml:space="preserve"> 243–259</w:t>
      </w:r>
      <w:r>
        <w:t xml:space="preserve">. </w:t>
      </w:r>
    </w:p>
  </w:footnote>
  <w:footnote w:id="795">
    <w:p w:rsidR="00E0371E" w:rsidRDefault="00E0371E" w:rsidP="008B2C23">
      <w:pPr>
        <w:pStyle w:val="Puslapioinaostekstas"/>
        <w:jc w:val="both"/>
      </w:pPr>
      <w:r>
        <w:rPr>
          <w:rStyle w:val="Puslapioinaosnuoroda"/>
        </w:rPr>
        <w:footnoteRef/>
      </w:r>
      <w:r w:rsidRPr="00F1326E">
        <w:t xml:space="preserve">Trechsel, S. </w:t>
      </w:r>
      <w:r w:rsidRPr="00E83F87">
        <w:rPr>
          <w:i/>
        </w:rPr>
        <w:t>Human Rights in Criminal Proceedings</w:t>
      </w:r>
      <w:r w:rsidRPr="00F1326E">
        <w:t>. Oxford, New York: Oxford University Press, 2005, p. 36</w:t>
      </w:r>
      <w:r>
        <w:t xml:space="preserve">3. </w:t>
      </w:r>
      <w:r w:rsidRPr="00A82B90">
        <w:rPr>
          <w:i/>
        </w:rPr>
        <w:t>Delcourt v. Belgium</w:t>
      </w:r>
      <w:r>
        <w:t xml:space="preserve">, </w:t>
      </w:r>
      <w:r w:rsidRPr="00A82B90">
        <w:t>no. 2689/65, 17 January 1970.</w:t>
      </w:r>
    </w:p>
  </w:footnote>
  <w:footnote w:id="796">
    <w:p w:rsidR="00E0371E" w:rsidRDefault="00E0371E" w:rsidP="00FC009A">
      <w:pPr>
        <w:pStyle w:val="Puslapioinaostekstas"/>
        <w:jc w:val="both"/>
      </w:pPr>
      <w:r>
        <w:rPr>
          <w:rStyle w:val="Puslapioinaosnuoroda"/>
        </w:rPr>
        <w:footnoteRef/>
      </w:r>
      <w:r w:rsidRPr="00D75BEF">
        <w:t xml:space="preserve">Štarienė, L. </w:t>
      </w:r>
      <w:r w:rsidRPr="00D75BEF">
        <w:rPr>
          <w:i/>
        </w:rPr>
        <w:t>Teisė į teisingą teismą pagal Europos žmogaus teisių konvenciją</w:t>
      </w:r>
      <w:r w:rsidRPr="00D75BEF">
        <w:t>. Vil</w:t>
      </w:r>
      <w:r>
        <w:t xml:space="preserve">nius: VĮ Registrų centras, 2010, p. 158. </w:t>
      </w:r>
    </w:p>
  </w:footnote>
  <w:footnote w:id="797">
    <w:p w:rsidR="00E0371E" w:rsidRDefault="00E0371E" w:rsidP="008B2C23">
      <w:pPr>
        <w:pStyle w:val="Puslapioinaostekstas"/>
        <w:jc w:val="both"/>
      </w:pPr>
      <w:r>
        <w:rPr>
          <w:rStyle w:val="Puslapioinaosnuoroda"/>
        </w:rPr>
        <w:footnoteRef/>
      </w:r>
      <w:r w:rsidRPr="00D75BEF">
        <w:rPr>
          <w:i/>
        </w:rPr>
        <w:t>Ekbatani v. Sweden</w:t>
      </w:r>
      <w:r>
        <w:t xml:space="preserve">, no. 10563/83, 26 May 1988, para. 26. </w:t>
      </w:r>
    </w:p>
  </w:footnote>
  <w:footnote w:id="798">
    <w:p w:rsidR="00E0371E" w:rsidRPr="00751E1D" w:rsidRDefault="00E0371E" w:rsidP="00751E1D">
      <w:pPr>
        <w:jc w:val="both"/>
        <w:rPr>
          <w:sz w:val="20"/>
          <w:szCs w:val="20"/>
        </w:rPr>
      </w:pPr>
      <w:r>
        <w:rPr>
          <w:rStyle w:val="Puslapioinaosnuoroda"/>
        </w:rPr>
        <w:footnoteRef/>
      </w:r>
      <w:r w:rsidRPr="00751E1D">
        <w:rPr>
          <w:sz w:val="20"/>
          <w:szCs w:val="20"/>
        </w:rPr>
        <w:t xml:space="preserve">Vitkauskas, D., Dikov, D. </w:t>
      </w:r>
      <w:r w:rsidRPr="00751E1D">
        <w:rPr>
          <w:i/>
          <w:sz w:val="20"/>
          <w:szCs w:val="20"/>
        </w:rPr>
        <w:t>Protecting the Right to a Fair Trial under the European Convention of Human Rights</w:t>
      </w:r>
      <w:r w:rsidRPr="00751E1D">
        <w:rPr>
          <w:sz w:val="20"/>
          <w:szCs w:val="20"/>
        </w:rPr>
        <w:t xml:space="preserve"> [interaktyvus]</w:t>
      </w:r>
      <w:r>
        <w:rPr>
          <w:sz w:val="20"/>
          <w:szCs w:val="20"/>
        </w:rPr>
        <w:t xml:space="preserve">. </w:t>
      </w:r>
      <w:r w:rsidRPr="00751E1D">
        <w:rPr>
          <w:sz w:val="20"/>
          <w:szCs w:val="20"/>
        </w:rPr>
        <w:t>Strasbourg</w:t>
      </w:r>
      <w:r>
        <w:rPr>
          <w:sz w:val="20"/>
          <w:szCs w:val="20"/>
        </w:rPr>
        <w:t>:</w:t>
      </w:r>
      <w:r w:rsidRPr="00751E1D">
        <w:rPr>
          <w:sz w:val="20"/>
          <w:szCs w:val="20"/>
        </w:rPr>
        <w:t xml:space="preserve"> Council of Europe, 2012</w:t>
      </w:r>
      <w:r>
        <w:rPr>
          <w:sz w:val="20"/>
          <w:szCs w:val="20"/>
        </w:rPr>
        <w:t>, p. 11</w:t>
      </w:r>
      <w:r w:rsidRPr="00751E1D">
        <w:rPr>
          <w:sz w:val="20"/>
          <w:szCs w:val="20"/>
        </w:rPr>
        <w:t xml:space="preserve"> [žiūrėta 2013-01-14]. &lt;</w:t>
      </w:r>
      <w:hyperlink r:id="rId24" w:history="1">
        <w:r w:rsidRPr="00751E1D">
          <w:rPr>
            <w:rStyle w:val="Hipersaitas"/>
            <w:sz w:val="20"/>
            <w:szCs w:val="20"/>
          </w:rPr>
          <w:t>http://www.coe.int/t/dghl/cooperation/capacitybuilding/Source/documentation/hb12_fairtrial_en.pdf</w:t>
        </w:r>
      </w:hyperlink>
      <w:r w:rsidRPr="00751E1D">
        <w:rPr>
          <w:sz w:val="20"/>
          <w:szCs w:val="20"/>
        </w:rPr>
        <w:t xml:space="preserve">&gt;. </w:t>
      </w:r>
    </w:p>
    <w:p w:rsidR="00E0371E" w:rsidRPr="005E0384" w:rsidRDefault="00E0371E" w:rsidP="008B2C23">
      <w:pPr>
        <w:pStyle w:val="Puslapioinaostekstas"/>
        <w:jc w:val="both"/>
        <w:rPr>
          <w:rFonts w:eastAsia="Times New Roman"/>
          <w:i/>
          <w:szCs w:val="24"/>
        </w:rPr>
      </w:pPr>
      <w:r w:rsidRPr="00D75BEF">
        <w:rPr>
          <w:i/>
        </w:rPr>
        <w:t>Guérin v. France</w:t>
      </w:r>
      <w:r w:rsidRPr="00D75BEF">
        <w:t>, no. 25201/94, 29 July 1998.</w:t>
      </w:r>
      <w:r w:rsidRPr="00743284">
        <w:rPr>
          <w:lang w:val="fr-FR"/>
        </w:rPr>
        <w:t xml:space="preserve"> </w:t>
      </w:r>
      <w:r w:rsidRPr="00D75BEF">
        <w:rPr>
          <w:i/>
        </w:rPr>
        <w:t>Garcia Manibardo v. Spain</w:t>
      </w:r>
      <w:r w:rsidRPr="00D75BEF">
        <w:t xml:space="preserve">, no. 38695/97, 15 February 2000. </w:t>
      </w:r>
      <w:r>
        <w:t xml:space="preserve"> </w:t>
      </w:r>
      <w:r w:rsidRPr="00D75BEF">
        <w:rPr>
          <w:i/>
        </w:rPr>
        <w:t>Sotris and Nikos Koutras Atte v. Greece</w:t>
      </w:r>
      <w:r w:rsidRPr="00D75BEF">
        <w:t xml:space="preserve">, no. 39442/98, 16 November 2000. </w:t>
      </w:r>
      <w:r w:rsidRPr="00D75BEF">
        <w:rPr>
          <w:i/>
        </w:rPr>
        <w:t>Annoni Di Gussola and others v. France</w:t>
      </w:r>
      <w:r w:rsidRPr="00D75BEF">
        <w:t xml:space="preserve">, no. 31819/96, 33293/96, 14 November 2000. </w:t>
      </w:r>
      <w:r w:rsidRPr="00D75BEF">
        <w:rPr>
          <w:i/>
        </w:rPr>
        <w:t>Miroslavsky v. United Kingdom</w:t>
      </w:r>
      <w:r w:rsidRPr="00D75BEF">
        <w:t>, no. 18139/91, 23 June 1995, 20 EHRR 442.</w:t>
      </w:r>
      <w:r>
        <w:t xml:space="preserve"> </w:t>
      </w:r>
      <w:r w:rsidRPr="00D75BEF">
        <w:rPr>
          <w:rFonts w:eastAsia="Times New Roman"/>
          <w:i/>
          <w:szCs w:val="24"/>
        </w:rPr>
        <w:t xml:space="preserve">The Belgian Linguistic Case </w:t>
      </w:r>
      <w:proofErr w:type="gramStart"/>
      <w:r w:rsidRPr="00D75BEF">
        <w:rPr>
          <w:rFonts w:eastAsia="Times New Roman"/>
          <w:i/>
          <w:szCs w:val="24"/>
        </w:rPr>
        <w:t>(</w:t>
      </w:r>
      <w:proofErr w:type="gramEnd"/>
      <w:r w:rsidRPr="00D75BEF">
        <w:rPr>
          <w:rFonts w:eastAsia="Times New Roman"/>
          <w:i/>
          <w:szCs w:val="24"/>
        </w:rPr>
        <w:t>N</w:t>
      </w:r>
      <w:r>
        <w:rPr>
          <w:rFonts w:eastAsia="Times New Roman"/>
          <w:i/>
          <w:szCs w:val="24"/>
        </w:rPr>
        <w:t xml:space="preserve">o. 1), </w:t>
      </w:r>
      <w:r w:rsidRPr="00D75BEF">
        <w:rPr>
          <w:rFonts w:eastAsia="Times New Roman"/>
          <w:szCs w:val="24"/>
        </w:rPr>
        <w:t>23 July 1968. 1 EHHR 241</w:t>
      </w:r>
      <w:r>
        <w:rPr>
          <w:rFonts w:eastAsia="Times New Roman"/>
          <w:szCs w:val="24"/>
        </w:rPr>
        <w:t>,</w:t>
      </w:r>
      <w:r w:rsidRPr="00D75BEF">
        <w:rPr>
          <w:rFonts w:eastAsia="Times New Roman"/>
          <w:szCs w:val="24"/>
        </w:rPr>
        <w:t xml:space="preserve"> para. 9</w:t>
      </w:r>
      <w:r>
        <w:rPr>
          <w:rFonts w:eastAsia="Times New Roman"/>
          <w:i/>
          <w:szCs w:val="24"/>
        </w:rPr>
        <w:t>.</w:t>
      </w:r>
      <w:r w:rsidRPr="0088616C">
        <w:rPr>
          <w:rFonts w:eastAsia="Times New Roman"/>
          <w:szCs w:val="24"/>
        </w:rPr>
        <w:t xml:space="preserve"> </w:t>
      </w:r>
      <w:r w:rsidRPr="00A82B90">
        <w:rPr>
          <w:i/>
        </w:rPr>
        <w:t>Delcourt v. Belgium</w:t>
      </w:r>
      <w:r>
        <w:t>, no. 2689/65, 17 January 1970</w:t>
      </w:r>
      <w:r w:rsidRPr="005858A8">
        <w:t>,</w:t>
      </w:r>
      <w:r w:rsidRPr="005858A8">
        <w:rPr>
          <w:rFonts w:eastAsia="Times New Roman"/>
          <w:szCs w:val="24"/>
        </w:rPr>
        <w:t xml:space="preserve"> para.25</w:t>
      </w:r>
      <w:r w:rsidRPr="005858A8">
        <w:t>.</w:t>
      </w:r>
    </w:p>
  </w:footnote>
  <w:footnote w:id="799">
    <w:p w:rsidR="00E0371E" w:rsidRDefault="00E0371E" w:rsidP="008B2C23">
      <w:pPr>
        <w:pStyle w:val="Puslapioinaostekstas"/>
        <w:jc w:val="both"/>
      </w:pPr>
      <w:r>
        <w:rPr>
          <w:rStyle w:val="Puslapioinaosnuoroda"/>
        </w:rPr>
        <w:footnoteRef/>
      </w:r>
      <w:r>
        <w:rPr>
          <w:i/>
        </w:rPr>
        <w:t>Human Rights Files No. 13</w:t>
      </w:r>
      <w:r w:rsidRPr="00751E1D">
        <w:rPr>
          <w:i/>
        </w:rPr>
        <w:t xml:space="preserve"> Article 6 of the European C</w:t>
      </w:r>
      <w:r>
        <w:rPr>
          <w:i/>
        </w:rPr>
        <w:t>onvention of Human Rights. The R</w:t>
      </w:r>
      <w:r w:rsidRPr="00751E1D">
        <w:rPr>
          <w:i/>
        </w:rPr>
        <w:t xml:space="preserve">ight to a </w:t>
      </w:r>
      <w:r>
        <w:rPr>
          <w:i/>
        </w:rPr>
        <w:t>F</w:t>
      </w:r>
      <w:r w:rsidRPr="00751E1D">
        <w:rPr>
          <w:i/>
        </w:rPr>
        <w:t xml:space="preserve">air </w:t>
      </w:r>
      <w:r>
        <w:rPr>
          <w:i/>
        </w:rPr>
        <w:t>T</w:t>
      </w:r>
      <w:r w:rsidRPr="00751E1D">
        <w:rPr>
          <w:i/>
        </w:rPr>
        <w:t>rial</w:t>
      </w:r>
      <w:r>
        <w:t xml:space="preserve">. Strasbourg: Council of Europe Press, 1994, p. 25. Ambrasaitė, G. </w:t>
      </w:r>
      <w:r w:rsidRPr="00773F12">
        <w:rPr>
          <w:i/>
        </w:rPr>
        <w:t>Apeliacija civiliniame procese</w:t>
      </w:r>
      <w:r>
        <w:t>. Daktaro disertacija. Socialiniai mokslai (teisė). Vilnius: Lietuvos teisės universitetas, 2004, p. 67.</w:t>
      </w:r>
    </w:p>
  </w:footnote>
  <w:footnote w:id="800">
    <w:p w:rsidR="00E0371E" w:rsidRDefault="00E0371E" w:rsidP="008B2C23">
      <w:pPr>
        <w:pStyle w:val="Puslapioinaostekstas"/>
        <w:jc w:val="both"/>
      </w:pPr>
      <w:r>
        <w:rPr>
          <w:rStyle w:val="Puslapioinaosnuoroda"/>
        </w:rPr>
        <w:footnoteRef/>
      </w:r>
      <w:r>
        <w:t xml:space="preserve">Ambrasaitė, G. </w:t>
      </w:r>
      <w:r w:rsidRPr="00773F12">
        <w:rPr>
          <w:i/>
        </w:rPr>
        <w:t>Apeliacija civiliniame procese</w:t>
      </w:r>
      <w:r>
        <w:t xml:space="preserve">. Daktaro disertacija. Socialiniai mokslai (teisė). Vilnius: Lietuvos teisės universitetas, 2004, p. 69. </w:t>
      </w:r>
      <w:r w:rsidRPr="00D75BEF">
        <w:rPr>
          <w:i/>
        </w:rPr>
        <w:t>Brualla Gomez De La Torre v. Spain</w:t>
      </w:r>
      <w:r w:rsidRPr="00D75BEF">
        <w:t>, no. 26737/95, 19 December 1997.</w:t>
      </w:r>
    </w:p>
  </w:footnote>
  <w:footnote w:id="801">
    <w:p w:rsidR="00E0371E" w:rsidRDefault="00E0371E" w:rsidP="008B2C23">
      <w:pPr>
        <w:pStyle w:val="Puslapioinaostekstas"/>
        <w:jc w:val="both"/>
      </w:pPr>
      <w:r>
        <w:rPr>
          <w:rStyle w:val="Puslapioinaosnuoroda"/>
        </w:rPr>
        <w:footnoteRef/>
      </w:r>
      <w:r>
        <w:t xml:space="preserve">Ambrasaitė, G. </w:t>
      </w:r>
      <w:r w:rsidRPr="00773F12">
        <w:rPr>
          <w:i/>
        </w:rPr>
        <w:t>Apeliacija civiliniame procese</w:t>
      </w:r>
      <w:r>
        <w:t xml:space="preserve">. Daktaro disertacija. Socialiniai mokslai (teisė). Vilnius: Lietuvos teisės universitetas, 2004, p. 69. </w:t>
      </w:r>
      <w:r>
        <w:rPr>
          <w:rFonts w:eastAsia="Times New Roman"/>
          <w:szCs w:val="24"/>
        </w:rPr>
        <w:t xml:space="preserve">Byloje </w:t>
      </w:r>
      <w:r w:rsidRPr="001950F9">
        <w:rPr>
          <w:rFonts w:eastAsia="Times New Roman"/>
          <w:i/>
          <w:szCs w:val="24"/>
        </w:rPr>
        <w:t>Ekbatani v. Sweden</w:t>
      </w:r>
      <w:r>
        <w:rPr>
          <w:rFonts w:eastAsia="Times New Roman"/>
          <w:szCs w:val="24"/>
        </w:rPr>
        <w:t xml:space="preserve"> EŽTT konstatavo, kad kai apeliacinė instancija yra kompetentinga spręsti bylą iš esmės, t.y. tiek fakto, tiek teisės klausimus, paprastai tokio proceso metu asmeniui turi būti suteikiamas toks pat teisės į teisingą teismą apsaugos lygis kaip ir pirmojoje instancijoje. Faktas,</w:t>
      </w:r>
      <w:proofErr w:type="gramStart"/>
      <w:r>
        <w:rPr>
          <w:rFonts w:eastAsia="Times New Roman"/>
          <w:szCs w:val="24"/>
        </w:rPr>
        <w:t xml:space="preserve">  </w:t>
      </w:r>
      <w:proofErr w:type="gramEnd"/>
      <w:r>
        <w:rPr>
          <w:rFonts w:eastAsia="Times New Roman"/>
          <w:szCs w:val="24"/>
        </w:rPr>
        <w:t>kad apeliacinėje ar kasacinėje instancijoje yra sprendžiami tik teisės klausimai, nereiškia, kad teisė į teisingą teismą nėra taikoma tokiam procesui, tačiau tokiais atvejais siauresnė šios teisės taikymo apimtis.</w:t>
      </w:r>
      <w:r>
        <w:t xml:space="preserve"> </w:t>
      </w:r>
      <w:r w:rsidRPr="001950F9">
        <w:rPr>
          <w:rFonts w:eastAsia="Times New Roman"/>
          <w:i/>
          <w:szCs w:val="24"/>
        </w:rPr>
        <w:t>Ekbatani v. Sweden</w:t>
      </w:r>
      <w:r>
        <w:rPr>
          <w:rFonts w:eastAsia="Times New Roman"/>
          <w:i/>
          <w:szCs w:val="24"/>
        </w:rPr>
        <w:t>,</w:t>
      </w:r>
      <w:r>
        <w:rPr>
          <w:rFonts w:eastAsia="Times New Roman"/>
          <w:szCs w:val="24"/>
        </w:rPr>
        <w:t xml:space="preserve"> </w:t>
      </w:r>
      <w:r>
        <w:t>no.10563/83,</w:t>
      </w:r>
      <w:r w:rsidRPr="00DD1A85">
        <w:rPr>
          <w:i/>
        </w:rPr>
        <w:t xml:space="preserve"> 26 May 1988.</w:t>
      </w:r>
      <w:r>
        <w:rPr>
          <w:i/>
        </w:rPr>
        <w:t xml:space="preserve"> </w:t>
      </w:r>
      <w:r>
        <w:rPr>
          <w:rFonts w:eastAsia="Times New Roman"/>
          <w:szCs w:val="24"/>
        </w:rPr>
        <w:t xml:space="preserve">Teisė į teismą tais atvejais, kai sprendžiami tik teisės klausimai, gali būti labiau apribota nei tais atvejais, kai nagrinėjami tiek teisės, tiek fakto klausimai. </w:t>
      </w:r>
      <w:r w:rsidRPr="00ED27CE">
        <w:rPr>
          <w:i/>
        </w:rPr>
        <w:t>Levages Prestations Servines v. France (1)</w:t>
      </w:r>
      <w:r>
        <w:t xml:space="preserve">, </w:t>
      </w:r>
      <w:r w:rsidRPr="00ED27CE">
        <w:t>no. 21920/93, 23 September 1996, ECHR 1996.</w:t>
      </w:r>
    </w:p>
  </w:footnote>
  <w:footnote w:id="802">
    <w:p w:rsidR="00E0371E" w:rsidRDefault="00E0371E" w:rsidP="00E71D60">
      <w:pPr>
        <w:pStyle w:val="Puslapioinaostekstas"/>
        <w:jc w:val="both"/>
      </w:pPr>
      <w:r>
        <w:rPr>
          <w:rStyle w:val="Puslapioinaosnuoroda"/>
        </w:rPr>
        <w:footnoteRef/>
      </w:r>
      <w:r w:rsidRPr="00B909AD">
        <w:t xml:space="preserve">Kai kurie civilinio proceso mokslininkai kasacijos nelaiko trečiąja instancija, kadangi šioje grandyje tikrinamas tik teismo sprendimo teisėtumas, o byla iš naujo nėra nagrinėjama. </w:t>
      </w:r>
      <w:r>
        <w:t xml:space="preserve">Mikelėnas, V. Quo vadis? Arba eksperimentuojama toliau. </w:t>
      </w:r>
      <w:r w:rsidRPr="00E83F87">
        <w:rPr>
          <w:i/>
        </w:rPr>
        <w:t>Justi</w:t>
      </w:r>
      <w:r>
        <w:rPr>
          <w:i/>
        </w:rPr>
        <w:t>ti</w:t>
      </w:r>
      <w:r w:rsidRPr="00E83F87">
        <w:rPr>
          <w:i/>
        </w:rPr>
        <w:t>a</w:t>
      </w:r>
      <w:r>
        <w:rPr>
          <w:i/>
        </w:rPr>
        <w:t>.</w:t>
      </w:r>
      <w:r>
        <w:t xml:space="preserve"> </w:t>
      </w:r>
      <w:r w:rsidRPr="00ED27CE">
        <w:t xml:space="preserve">1999, 4 (22): </w:t>
      </w:r>
      <w:r>
        <w:t xml:space="preserve">3. </w:t>
      </w:r>
    </w:p>
  </w:footnote>
  <w:footnote w:id="803">
    <w:p w:rsidR="00E0371E" w:rsidRDefault="00E0371E" w:rsidP="007E32DD">
      <w:pPr>
        <w:pStyle w:val="Puslapioinaostekstas"/>
        <w:jc w:val="both"/>
      </w:pPr>
      <w:r>
        <w:rPr>
          <w:rStyle w:val="Puslapioinaosnuoroda"/>
        </w:rPr>
        <w:footnoteRef/>
      </w:r>
      <w:r w:rsidRPr="00754BE4">
        <w:t xml:space="preserve">Randakevičienė, I. Teismų sprendimų kontrolės formos baudžiamajame procese. </w:t>
      </w:r>
      <w:r>
        <w:t xml:space="preserve">In Ancelis, P., </w:t>
      </w:r>
      <w:r w:rsidRPr="00ED27CE">
        <w:rPr>
          <w:i/>
        </w:rPr>
        <w:t>et al</w:t>
      </w:r>
      <w:r>
        <w:t xml:space="preserve">. </w:t>
      </w:r>
      <w:r w:rsidRPr="00241E5B">
        <w:rPr>
          <w:i/>
        </w:rPr>
        <w:t>Sąžiningas baudžiamasis procesas: probleminiai aspektai</w:t>
      </w:r>
      <w:r>
        <w:t xml:space="preserve">. Vilnius: Industrus, 2009, p. 194. </w:t>
      </w:r>
    </w:p>
  </w:footnote>
  <w:footnote w:id="804">
    <w:p w:rsidR="00E0371E" w:rsidRDefault="00E0371E" w:rsidP="00567CAF">
      <w:pPr>
        <w:pStyle w:val="Puslapioinaostekstas"/>
        <w:jc w:val="both"/>
      </w:pPr>
      <w:r>
        <w:rPr>
          <w:rStyle w:val="Puslapioinaosnuoroda"/>
        </w:rPr>
        <w:footnoteRef/>
      </w:r>
      <w:r>
        <w:t xml:space="preserve">Apie teisės stabilumo principą pasisakė EŽTT byloje </w:t>
      </w:r>
      <w:r w:rsidRPr="00754BE4">
        <w:rPr>
          <w:i/>
        </w:rPr>
        <w:t>Brumarescu v. Romania</w:t>
      </w:r>
      <w:r>
        <w:rPr>
          <w:i/>
        </w:rPr>
        <w:t>,</w:t>
      </w:r>
      <w:r>
        <w:t xml:space="preserve"> </w:t>
      </w:r>
      <w:r w:rsidRPr="00ED27CE">
        <w:t xml:space="preserve">[GC], no. 28342/95, 23 January 2001. </w:t>
      </w:r>
      <w:r>
        <w:t xml:space="preserve">Viena iš teisės viršenybės principo sudedamųjų dalių yra teisės stabilumo principas, reiškiantis, kad galutinis įsiteisėjęs teismo sprendimas negali nuolat būti pavojuje dėl galimybės būti apskųstas, t.y. apskundimo teisė negali būti neribota. </w:t>
      </w:r>
    </w:p>
  </w:footnote>
  <w:footnote w:id="805">
    <w:p w:rsidR="00E0371E" w:rsidRDefault="00E0371E" w:rsidP="00567CAF">
      <w:pPr>
        <w:pStyle w:val="Puslapioinaostekstas"/>
        <w:jc w:val="both"/>
      </w:pPr>
      <w:r>
        <w:rPr>
          <w:rStyle w:val="Puslapioinaosnuoroda"/>
        </w:rPr>
        <w:footnoteRef/>
      </w:r>
      <w:r w:rsidRPr="001F0E09">
        <w:t xml:space="preserve">Randakevičienė, I. Teismų sprendimų kontrolės formos baudžiamajame procese. </w:t>
      </w:r>
      <w:r>
        <w:t xml:space="preserve">In Ancelis, P., </w:t>
      </w:r>
      <w:r w:rsidRPr="00ED27CE">
        <w:rPr>
          <w:i/>
        </w:rPr>
        <w:t>et al</w:t>
      </w:r>
      <w:r>
        <w:t xml:space="preserve">. </w:t>
      </w:r>
      <w:r w:rsidRPr="00241E5B">
        <w:rPr>
          <w:i/>
        </w:rPr>
        <w:t>Sąžiningas baudžiamasis procesas: probleminiai aspektai</w:t>
      </w:r>
      <w:r>
        <w:t>. Vilnius: Industrus, 2009, p. 191.</w:t>
      </w:r>
    </w:p>
  </w:footnote>
  <w:footnote w:id="806">
    <w:p w:rsidR="00E0371E" w:rsidRPr="00FD3A3E" w:rsidRDefault="00E0371E" w:rsidP="007E32DD">
      <w:pPr>
        <w:pStyle w:val="Puslapioinaostekstas"/>
        <w:jc w:val="both"/>
      </w:pPr>
      <w:r>
        <w:rPr>
          <w:rStyle w:val="Puslapioinaosnuoroda"/>
        </w:rPr>
        <w:footnoteRef/>
      </w:r>
      <w:r w:rsidRPr="00531902">
        <w:t>Lietuvos Respublikos Konstitucinio Teismo 2006</w:t>
      </w:r>
      <w:r>
        <w:t xml:space="preserve"> m. sausio 16 d. nutarimas</w:t>
      </w:r>
      <w:r w:rsidRPr="00EB52A2">
        <w:t xml:space="preserve">. </w:t>
      </w:r>
      <w:r w:rsidRPr="00EB52A2">
        <w:rPr>
          <w:i/>
          <w:iCs/>
        </w:rPr>
        <w:t xml:space="preserve">Valstybės žinios. </w:t>
      </w:r>
      <w:r w:rsidRPr="00EB52A2">
        <w:t>2006, Nr. 7-254.</w:t>
      </w:r>
    </w:p>
  </w:footnote>
  <w:footnote w:id="807">
    <w:p w:rsidR="00E0371E" w:rsidRDefault="00E0371E" w:rsidP="007E32DD">
      <w:pPr>
        <w:pStyle w:val="Puslapioinaostekstas"/>
        <w:jc w:val="both"/>
      </w:pPr>
      <w:r>
        <w:rPr>
          <w:rStyle w:val="Puslapioinaosnuoroda"/>
        </w:rPr>
        <w:footnoteRef/>
      </w:r>
      <w:r>
        <w:t xml:space="preserve"> Randakevičienė, I. Teismų sprendimų kontrolės formos baudžiamajame procese. In Ancelis, P., </w:t>
      </w:r>
      <w:r w:rsidRPr="00ED27CE">
        <w:rPr>
          <w:i/>
        </w:rPr>
        <w:t>et al.</w:t>
      </w:r>
      <w:r>
        <w:t xml:space="preserve"> </w:t>
      </w:r>
      <w:r w:rsidRPr="00241E5B">
        <w:rPr>
          <w:i/>
        </w:rPr>
        <w:t>Sąžiningas baudžiamasis procesas: probleminiai aspektai</w:t>
      </w:r>
      <w:r>
        <w:t xml:space="preserve">. Vilnius: Industrus, 2009, p. 179, 195. Kavaliauskienė, G. Proceso civilinėje byloje prielaidos ir sąlygos. Daktaro disertacija. Socialiniai mokslai (teisė). Vilnius: Mykolo Romerio universitetas, 2010, p. 34. </w:t>
      </w:r>
    </w:p>
  </w:footnote>
  <w:footnote w:id="808">
    <w:p w:rsidR="00E0371E" w:rsidRDefault="00E0371E" w:rsidP="007E32DD">
      <w:pPr>
        <w:pStyle w:val="Puslapioinaostekstas"/>
        <w:jc w:val="both"/>
      </w:pPr>
      <w:r>
        <w:rPr>
          <w:rStyle w:val="Puslapioinaosnuoroda"/>
        </w:rPr>
        <w:footnoteRef/>
      </w:r>
      <w:r w:rsidRPr="008252D7">
        <w:t xml:space="preserve">Randakevičienė, I. Teismų sprendimų kontrolės formos baudžiamajame procese. </w:t>
      </w:r>
      <w:r>
        <w:t xml:space="preserve">In Ancelis, P., </w:t>
      </w:r>
      <w:r w:rsidRPr="00ED27CE">
        <w:rPr>
          <w:i/>
        </w:rPr>
        <w:t>et al.</w:t>
      </w:r>
      <w:r>
        <w:t xml:space="preserve"> </w:t>
      </w:r>
      <w:r w:rsidRPr="00241E5B">
        <w:rPr>
          <w:i/>
        </w:rPr>
        <w:t>Sąžiningas baudžiamasis procesas: probleminiai aspektai</w:t>
      </w:r>
      <w:r>
        <w:t xml:space="preserve">. Vilnius: Industrus, 2009, p. 195. Ashworth, A., Redmayne, M. </w:t>
      </w:r>
      <w:r w:rsidRPr="00E83F87">
        <w:rPr>
          <w:i/>
        </w:rPr>
        <w:t>The Criminal Process</w:t>
      </w:r>
      <w:r>
        <w:t xml:space="preserve">. New York: Oxford, 2005, p. 338. </w:t>
      </w:r>
    </w:p>
  </w:footnote>
  <w:footnote w:id="809">
    <w:p w:rsidR="00E0371E" w:rsidRDefault="00E0371E" w:rsidP="007E32DD">
      <w:pPr>
        <w:pStyle w:val="Puslapioinaostekstas"/>
        <w:jc w:val="both"/>
      </w:pPr>
      <w:r>
        <w:rPr>
          <w:rStyle w:val="Puslapioinaosnuoroda"/>
        </w:rPr>
        <w:footnoteRef/>
      </w:r>
      <w:r w:rsidRPr="008252D7">
        <w:t xml:space="preserve">Randakevičienė, I. Teismų sprendimų kontrolės formos baudžiamajame procese. </w:t>
      </w:r>
      <w:r>
        <w:t xml:space="preserve">In Ancelis, P., </w:t>
      </w:r>
      <w:r w:rsidRPr="00ED27CE">
        <w:rPr>
          <w:i/>
        </w:rPr>
        <w:t>et al.</w:t>
      </w:r>
      <w:r>
        <w:t xml:space="preserve"> </w:t>
      </w:r>
      <w:r w:rsidRPr="00241E5B">
        <w:rPr>
          <w:i/>
        </w:rPr>
        <w:t>Sąžiningas baudžiamasis procesas: probleminiai aspektai</w:t>
      </w:r>
      <w:r>
        <w:t xml:space="preserve">. Vilnius: Industrus, 2009, p. 195. </w:t>
      </w:r>
    </w:p>
  </w:footnote>
  <w:footnote w:id="810">
    <w:p w:rsidR="00E0371E" w:rsidRDefault="00E0371E">
      <w:pPr>
        <w:pStyle w:val="Puslapioinaostekstas"/>
      </w:pPr>
      <w:r>
        <w:rPr>
          <w:rStyle w:val="Puslapioinaosnuoroda"/>
        </w:rPr>
        <w:footnoteRef/>
      </w:r>
      <w:r w:rsidRPr="00ED27CE">
        <w:t xml:space="preserve">Lietuvos Respublikos baudžiamojo proceso kodekso 37, 102, 233, 240, 243, 244, 261, 273, 314, 323, 361, 362, 362-1, 364, 367, 440, 441, 442 straipsnių pakeitimo ir Kodekso papildymo 242-1 straipsniu įstatymas. </w:t>
      </w:r>
      <w:r w:rsidRPr="00ED27CE">
        <w:rPr>
          <w:i/>
        </w:rPr>
        <w:t>Teisės aktų registras</w:t>
      </w:r>
      <w:r w:rsidRPr="00ED27CE">
        <w:t>. 2014, Nr. 2014-03406.</w:t>
      </w:r>
    </w:p>
  </w:footnote>
  <w:footnote w:id="811">
    <w:p w:rsidR="00E0371E" w:rsidRDefault="00E0371E" w:rsidP="007E32DD">
      <w:pPr>
        <w:pStyle w:val="Puslapioinaostekstas"/>
        <w:jc w:val="both"/>
      </w:pPr>
      <w:r>
        <w:rPr>
          <w:rStyle w:val="Puslapioinaosnuoroda"/>
        </w:rPr>
        <w:footnoteRef/>
      </w:r>
      <w:r w:rsidRPr="00BF69D5">
        <w:t>Ažubalytė, R</w:t>
      </w:r>
      <w:r>
        <w:t xml:space="preserve">., Jurgaitis, R., Zajančkauskienė, J. </w:t>
      </w:r>
      <w:r w:rsidRPr="00BA6F3D">
        <w:rPr>
          <w:i/>
        </w:rPr>
        <w:t>Spec</w:t>
      </w:r>
      <w:r>
        <w:rPr>
          <w:i/>
        </w:rPr>
        <w:t>ifinės baudžiamojo proceso rūšys:</w:t>
      </w:r>
      <w:r w:rsidRPr="00BA6F3D">
        <w:rPr>
          <w:i/>
        </w:rPr>
        <w:t xml:space="preserve"> vadovėlis</w:t>
      </w:r>
      <w:r>
        <w:t>.</w:t>
      </w:r>
      <w:r w:rsidRPr="00BF69D5">
        <w:t xml:space="preserve"> Vilnius: Mykolo Romerio universitetas, 2011</w:t>
      </w:r>
      <w:r>
        <w:t xml:space="preserve">, p. 15. Kūris, E. Teismo precedentas kaip teisės šaltinis Lietuvoje: oficiali konstitucinė doktrina, teisinio mąstymo stereotipai ir kontrargumentai. </w:t>
      </w:r>
      <w:r w:rsidRPr="00765A6D">
        <w:rPr>
          <w:i/>
        </w:rPr>
        <w:t>Jurisprudencija</w:t>
      </w:r>
      <w:r>
        <w:t xml:space="preserve">. 2009, 2 (116): 131-149. </w:t>
      </w:r>
      <w:r w:rsidRPr="00ED27CE">
        <w:t>Lietuvos Respublikos Konstitucinio Teismo 2006 m. kovo 28 d. nutarimas</w:t>
      </w:r>
      <w:r>
        <w:t>.</w:t>
      </w:r>
      <w:r w:rsidRPr="00ED27CE">
        <w:t xml:space="preserve"> </w:t>
      </w:r>
      <w:r w:rsidRPr="00ED27CE">
        <w:rPr>
          <w:i/>
        </w:rPr>
        <w:t>Valstybės žinios</w:t>
      </w:r>
      <w:r w:rsidRPr="00ED27CE">
        <w:t>. 2006, Nr. 36-1292.</w:t>
      </w:r>
    </w:p>
  </w:footnote>
  <w:footnote w:id="812">
    <w:p w:rsidR="00E0371E" w:rsidRDefault="00E0371E" w:rsidP="007E32DD">
      <w:pPr>
        <w:pStyle w:val="Puslapioinaostekstas"/>
        <w:jc w:val="both"/>
      </w:pPr>
      <w:r>
        <w:rPr>
          <w:rStyle w:val="Puslapioinaosnuoroda"/>
        </w:rPr>
        <w:footnoteRef/>
      </w:r>
      <w:r w:rsidRPr="0042476D">
        <w:t xml:space="preserve">Teismai, priimdami sprendimus atitinkamų kategorijų bylose, yra saistomi savo pačių sukurtų teisės aiškinimo taisyklių, suformuluotų analogiškose ar iš esmės panašiose bylose. Žemesnės instancijos teismai, priimdami sprendimus atitinkamų kategorijų bylose, yra saistomi aukštesnės instancijos teismų teisės aiškinimo taisyklių, suformuluotų analogiškose ar iš esmės panašiose bylose. Teismų praktika atitinkamų kategorijų bylose turi būti keičiama ir naujos teisės aiškinimo taisyklės analogiškose ar iš esmės panašiose bylose gali būti kuriamos tik tais atvejais, kai tai yra neišvengiama </w:t>
      </w:r>
      <w:r>
        <w:t xml:space="preserve">ar objektyviai būtina (Teismų įstatymo 33 straipsnio 4 dalis). </w:t>
      </w:r>
      <w:r w:rsidRPr="00CF0859">
        <w:t xml:space="preserve">Lietuvos Respublikos teismų įstatymo 33, 34, 36, 38, 39, 42, 43, 47, 51, 55(1), 57, 61, 63, 64, 69(1), 81 straipsnių, IX skyriaus pavadinimo, 83, 84, 85, 86, 90, 98, 101, 103 straipsnių, XII skyriaus antrojo skirsnio pavadinimo, 106, 107, 108, 119, 120, 122, 124, 127, 128, 129 straipsnių pakeitimo ir papildymo, 89, 109, 110, 111, 112, 125 straipsnių pripažinimo netekusiais galios ir Įstatymo papildymo 53(1), 53(2) straipsniais ir IX skyriaus trečiuoju skirsniu įstatymas. </w:t>
      </w:r>
      <w:r w:rsidRPr="00CF0859">
        <w:rPr>
          <w:i/>
        </w:rPr>
        <w:t>Valstybės žinios</w:t>
      </w:r>
      <w:r w:rsidRPr="00CF0859">
        <w:t>. 2008, Nr. 81-3186.</w:t>
      </w:r>
    </w:p>
  </w:footnote>
  <w:footnote w:id="813">
    <w:p w:rsidR="00E0371E" w:rsidRDefault="00E0371E" w:rsidP="00E078C5">
      <w:pPr>
        <w:pStyle w:val="Puslapioinaostekstas"/>
        <w:jc w:val="both"/>
      </w:pPr>
      <w:r>
        <w:rPr>
          <w:rStyle w:val="Puslapioinaosnuoroda"/>
        </w:rPr>
        <w:footnoteRef/>
      </w:r>
      <w:r>
        <w:t xml:space="preserve">Drakšas, R. Dėl kasacinio proceso galimybės privataus kaltinimo bylose.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264-267.</w:t>
      </w:r>
    </w:p>
  </w:footnote>
  <w:footnote w:id="814">
    <w:p w:rsidR="00E0371E" w:rsidRDefault="00E0371E" w:rsidP="00FB34A8">
      <w:pPr>
        <w:pStyle w:val="Puslapioinaostekstas"/>
        <w:jc w:val="both"/>
      </w:pPr>
      <w:r>
        <w:rPr>
          <w:rStyle w:val="Puslapioinaosnuoroda"/>
        </w:rPr>
        <w:footnoteRef/>
      </w:r>
      <w:r w:rsidRPr="006A768A">
        <w:t xml:space="preserve">Nekrošius, V. </w:t>
      </w:r>
      <w:r w:rsidRPr="009953D2">
        <w:rPr>
          <w:i/>
        </w:rPr>
        <w:t>Civilinis procesas: koncentruotumo principas ir jo įgyvendinimo galimybės</w:t>
      </w:r>
      <w:r w:rsidRPr="006A768A">
        <w:t>.</w:t>
      </w:r>
      <w:r>
        <w:t xml:space="preserve"> Vilnius: </w:t>
      </w:r>
      <w:r w:rsidRPr="009953D2">
        <w:t>Justitia</w:t>
      </w:r>
      <w:r>
        <w:t xml:space="preserve">, 2002, p. 226. </w:t>
      </w:r>
      <w:r w:rsidRPr="008252D7">
        <w:t xml:space="preserve">Randakevičienė, I. Teismų sprendimų kontrolės formos baudžiamajame procese. </w:t>
      </w:r>
      <w:r>
        <w:t xml:space="preserve">In Ancelis, P., </w:t>
      </w:r>
      <w:r w:rsidRPr="00ED27CE">
        <w:rPr>
          <w:i/>
        </w:rPr>
        <w:t>et al.</w:t>
      </w:r>
      <w:r>
        <w:t xml:space="preserve"> </w:t>
      </w:r>
      <w:r w:rsidRPr="00241E5B">
        <w:rPr>
          <w:i/>
        </w:rPr>
        <w:t>Sąžiningas baudžiamasis procesas: probleminiai aspektai</w:t>
      </w:r>
      <w:r>
        <w:t xml:space="preserve">. Vilnius: Industrus, 2009, p. 188-191. Ambrasaitė, G. </w:t>
      </w:r>
      <w:r w:rsidRPr="00773F12">
        <w:rPr>
          <w:i/>
        </w:rPr>
        <w:t>Apeliacija civiliniame procese</w:t>
      </w:r>
      <w:r>
        <w:t>. Daktaro disertacija. Socialiniai mokslai (teisė). Vilnius: Lietuvos teisės universitetas, 2004, p. 69.</w:t>
      </w:r>
    </w:p>
  </w:footnote>
  <w:footnote w:id="815">
    <w:p w:rsidR="00E0371E" w:rsidRDefault="00E0371E" w:rsidP="00FB34A8">
      <w:pPr>
        <w:pStyle w:val="Puslapioinaostekstas"/>
        <w:jc w:val="both"/>
      </w:pPr>
      <w:r>
        <w:rPr>
          <w:rStyle w:val="Puslapioinaosnuoroda"/>
        </w:rPr>
        <w:footnoteRef/>
      </w:r>
      <w:r>
        <w:t xml:space="preserve"> Nekrošius, V. </w:t>
      </w:r>
      <w:r w:rsidRPr="00FD2BE0">
        <w:t>Kasacija Lietuvos, Latvijos ir Estijos civiliniame procese</w:t>
      </w:r>
      <w:r>
        <w:t xml:space="preserve">. </w:t>
      </w:r>
      <w:r w:rsidRPr="00FD2BE0">
        <w:rPr>
          <w:i/>
        </w:rPr>
        <w:t>Justitia</w:t>
      </w:r>
      <w:r>
        <w:rPr>
          <w:i/>
        </w:rPr>
        <w:t>.</w:t>
      </w:r>
      <w:r>
        <w:t xml:space="preserve"> 2006, 4 (62): 28. </w:t>
      </w:r>
    </w:p>
  </w:footnote>
  <w:footnote w:id="816">
    <w:p w:rsidR="00E0371E" w:rsidRDefault="00E0371E" w:rsidP="00694131">
      <w:pPr>
        <w:pStyle w:val="Puslapioinaostekstas"/>
        <w:jc w:val="both"/>
      </w:pPr>
      <w:r>
        <w:rPr>
          <w:rStyle w:val="Puslapioinaosnuoroda"/>
        </w:rPr>
        <w:footnoteRef/>
      </w:r>
      <w:r>
        <w:t xml:space="preserve">Drakšas, R. Dėl kasacinio proceso galimybės privataus kaltinimo bylose. In </w:t>
      </w:r>
      <w:r w:rsidRPr="009850B7">
        <w:t xml:space="preserve">Prapiestis, J., </w:t>
      </w:r>
      <w:r w:rsidRPr="00E206CB">
        <w:rPr>
          <w:i/>
        </w:rPr>
        <w:t>et al.</w:t>
      </w:r>
      <w:r w:rsidRPr="009850B7">
        <w:t xml:space="preserve"> </w:t>
      </w:r>
      <w:r w:rsidRPr="00416064">
        <w:rPr>
          <w:i/>
        </w:rPr>
        <w:t>Globalizacijos iššūkiai baudžiamajai justicijai: recenzuotų mokslinių straipsnių baudžiamosios teisės, bausmių vykdymo ir baudžiamojo proceso klausimais rinkinys</w:t>
      </w:r>
      <w:r>
        <w:t>. Vilnius: VĮ Registrų centras, 2014, p. 264-267.</w:t>
      </w:r>
    </w:p>
  </w:footnote>
  <w:footnote w:id="817">
    <w:p w:rsidR="00E0371E" w:rsidRDefault="00E0371E" w:rsidP="007E32DD">
      <w:pPr>
        <w:pStyle w:val="Puslapioinaostekstas"/>
        <w:jc w:val="both"/>
      </w:pPr>
      <w:r>
        <w:rPr>
          <w:rStyle w:val="Puslapioinaosnuoroda"/>
        </w:rPr>
        <w:footnoteRef/>
      </w:r>
      <w:r w:rsidRPr="00881523">
        <w:t xml:space="preserve">Lietuvos Aukščiausiojo Teismo 2009 m. balandžio mėn. 21 d. nutartis </w:t>
      </w:r>
      <w:r>
        <w:t xml:space="preserve">baudžiamojoje byloje Nr. 2A-1/2009, </w:t>
      </w:r>
      <w:r w:rsidRPr="00B41DE3">
        <w:t xml:space="preserve">2012 m. balandžio mėn. 24 d. nutartis </w:t>
      </w:r>
      <w:r>
        <w:t xml:space="preserve">baudžiamojoje byloje </w:t>
      </w:r>
      <w:r w:rsidRPr="00B41DE3">
        <w:t>Nr. 2A-</w:t>
      </w:r>
      <w:r>
        <w:t xml:space="preserve">3/2012, </w:t>
      </w:r>
      <w:r w:rsidRPr="00B41DE3">
        <w:t xml:space="preserve">2011 m. spalio mėn. 4 d. nutartis </w:t>
      </w:r>
      <w:r>
        <w:t xml:space="preserve">baudžiamojoje byloje </w:t>
      </w:r>
      <w:r w:rsidRPr="00B41DE3">
        <w:t>Nr. 2A-4/20</w:t>
      </w:r>
      <w:r>
        <w:t xml:space="preserve">11. </w:t>
      </w:r>
      <w:r w:rsidRPr="00A82B90">
        <w:rPr>
          <w:i/>
        </w:rPr>
        <w:t>Delcourt v. Belgium</w:t>
      </w:r>
      <w:r>
        <w:t>, no. 2689/65, 17 January 1970</w:t>
      </w:r>
      <w:r w:rsidRPr="004D14F0">
        <w:rPr>
          <w:i/>
        </w:rPr>
        <w:t xml:space="preserve">, </w:t>
      </w:r>
      <w:r w:rsidRPr="005858A8">
        <w:t>para.25.</w:t>
      </w:r>
    </w:p>
  </w:footnote>
  <w:footnote w:id="818">
    <w:p w:rsidR="00E0371E" w:rsidRDefault="00E0371E" w:rsidP="007E32DD">
      <w:pPr>
        <w:pStyle w:val="Puslapioinaostekstas"/>
        <w:jc w:val="both"/>
      </w:pPr>
      <w:r>
        <w:rPr>
          <w:rStyle w:val="Puslapioinaosnuoroda"/>
        </w:rPr>
        <w:footnoteRef/>
      </w:r>
      <w:r w:rsidRPr="00531902">
        <w:t>Lietuvos Respublikos Konstitucinio Teismo</w:t>
      </w:r>
      <w:r>
        <w:t xml:space="preserve"> 2006 m. kovo 28 d. nutarimas. </w:t>
      </w:r>
      <w:r w:rsidRPr="00993334">
        <w:rPr>
          <w:i/>
        </w:rPr>
        <w:t>Valstybės žinios</w:t>
      </w:r>
      <w:r w:rsidRPr="00993334">
        <w:t>. 2006, Nr. 36-1292.</w:t>
      </w:r>
    </w:p>
  </w:footnote>
  <w:footnote w:id="819">
    <w:p w:rsidR="00E0371E" w:rsidRDefault="00E0371E" w:rsidP="00C5115B">
      <w:pPr>
        <w:pStyle w:val="Puslapioinaostekstas"/>
        <w:jc w:val="both"/>
      </w:pPr>
      <w:r>
        <w:rPr>
          <w:rStyle w:val="Puslapioinaosnuoroda"/>
        </w:rPr>
        <w:footnoteRef/>
      </w:r>
      <w:r>
        <w:t xml:space="preserve">Von Schacky, S. </w:t>
      </w:r>
      <w:r w:rsidRPr="00362C4C">
        <w:rPr>
          <w:i/>
        </w:rPr>
        <w:t>Das Privatklageverfahren und seine Berechtigung heute</w:t>
      </w:r>
      <w:r>
        <w:t>. Daktaro disertacija. Socialiniai mokslai (teisė). Frankfurt am Main: Johann Wolfgang Goethe-Universität, 1975, p. 234-239.</w:t>
      </w:r>
    </w:p>
  </w:footnote>
  <w:footnote w:id="820">
    <w:p w:rsidR="00E0371E" w:rsidRDefault="00E0371E" w:rsidP="00C5115B">
      <w:pPr>
        <w:pStyle w:val="Puslapioinaostekstas"/>
        <w:jc w:val="both"/>
      </w:pPr>
      <w:r>
        <w:rPr>
          <w:rStyle w:val="Puslapioinaosnuoroda"/>
        </w:rPr>
        <w:footnoteRef/>
      </w:r>
      <w:r w:rsidRPr="005929F2">
        <w:t xml:space="preserve">Randakevičienė, I. Teismų sprendimų kontrolės formos baudžiamajame procese. </w:t>
      </w:r>
      <w:r>
        <w:t xml:space="preserve">In Ancelis, P., </w:t>
      </w:r>
      <w:r w:rsidRPr="0075606B">
        <w:rPr>
          <w:i/>
        </w:rPr>
        <w:t>et al.</w:t>
      </w:r>
      <w:r>
        <w:t xml:space="preserve"> </w:t>
      </w:r>
      <w:r w:rsidRPr="00241E5B">
        <w:rPr>
          <w:i/>
        </w:rPr>
        <w:t>Sąžiningas baudžiamasis procesas: probleminiai aspektai</w:t>
      </w:r>
      <w:r>
        <w:t xml:space="preserve">. Vilnius: Industrus, 2009, p. 185-186. </w:t>
      </w:r>
    </w:p>
  </w:footnote>
  <w:footnote w:id="821">
    <w:p w:rsidR="00E0371E" w:rsidRDefault="00E0371E" w:rsidP="00F954A9">
      <w:pPr>
        <w:pStyle w:val="Puslapioinaostekstas"/>
        <w:jc w:val="both"/>
      </w:pPr>
      <w:r>
        <w:rPr>
          <w:rStyle w:val="Puslapioinaosnuoroda"/>
        </w:rPr>
        <w:footnoteRef/>
      </w:r>
      <w:r w:rsidRPr="00F954A9">
        <w:t xml:space="preserve">Nacionalinė teismų administracija. </w:t>
      </w:r>
      <w:r w:rsidRPr="00BC3636">
        <w:rPr>
          <w:i/>
        </w:rPr>
        <w:t>Teismų statistika</w:t>
      </w:r>
      <w:r w:rsidRPr="00F954A9">
        <w:t xml:space="preserve"> [interaktyvus]. [žiūrėta 2014-03-24]. &lt;http://www.teismai.lt/lt/teismai/teismai-statistika/&gt;.</w:t>
      </w:r>
    </w:p>
  </w:footnote>
  <w:footnote w:id="822">
    <w:p w:rsidR="00E0371E" w:rsidRDefault="00E0371E" w:rsidP="00FC5493">
      <w:pPr>
        <w:pStyle w:val="Puslapioinaostekstas"/>
        <w:jc w:val="both"/>
      </w:pPr>
      <w:r>
        <w:rPr>
          <w:rStyle w:val="Puslapioinaosnuoroda"/>
        </w:rPr>
        <w:footnoteRef/>
      </w:r>
      <w:r w:rsidRPr="00FC5493">
        <w:t>Nacionalinės teismų administracijos 2013 m. balandžio 11 d. raštas Nr. 4R-950-(6.9) Dėl statistinės informacijos apie privataus kaltinimo bylų teisminį nagrinėjimą. Skelbta 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 Vilnius, 2013.</w:t>
      </w:r>
    </w:p>
  </w:footnote>
  <w:footnote w:id="823">
    <w:p w:rsidR="00E0371E" w:rsidRDefault="00E0371E" w:rsidP="00647C51">
      <w:pPr>
        <w:pStyle w:val="Puslapioinaostekstas"/>
        <w:jc w:val="both"/>
      </w:pPr>
      <w:r>
        <w:rPr>
          <w:rStyle w:val="Puslapioinaosnuoroda"/>
        </w:rPr>
        <w:footnoteRef/>
      </w:r>
      <w:r w:rsidRPr="00647C51">
        <w:t>Nacionalinės teismų administracijos 2013 m. balandžio 11 d. raštas Nr. 4R-950-(6.9) Dėl statistinės informacijos apie privataus kaltinimo bylų teisminį nagrinėjimą. Skelbta Lietuvos advokatūros, Nacionalinės teismų administracijos ir Lietuvos Respublikos Seimo Teisės ir teisėtvarkos komiteto 2013 m. balandžio 26 d. apskritojo stalo diskusijoje „Privataus kaltinimo instituto probleminiai aspektai bei įžeidimo/šmeižimo dekriminalizavimo galimybės“. Vilnius, 2013.</w:t>
      </w:r>
    </w:p>
  </w:footnote>
  <w:footnote w:id="824">
    <w:p w:rsidR="00E0371E" w:rsidRDefault="00E0371E" w:rsidP="00BA56F6">
      <w:pPr>
        <w:pStyle w:val="Puslapioinaostekstas"/>
        <w:jc w:val="both"/>
      </w:pPr>
      <w:r>
        <w:rPr>
          <w:rStyle w:val="Puslapioinaosnuoroda"/>
        </w:rPr>
        <w:footnoteRef/>
      </w:r>
      <w:r>
        <w:t xml:space="preserve">Duomenys gauti išanalizavus 260 pirmosios instancijos teismų sprendimų, priimtų privataus kaltinimo bylose 2012 m., ir 350 pirmosios instancijos teismų sprendimų, priimtų privataus kaltinimo bylose 2013 m. </w:t>
      </w:r>
    </w:p>
    <w:p w:rsidR="00E0371E" w:rsidRDefault="00E0371E">
      <w:pPr>
        <w:pStyle w:val="Puslapioinaostekstas"/>
      </w:pPr>
      <w:r>
        <w:t xml:space="preserve">**Šioje byloje kardomoji priemonė – įpareigojimas periodiškai registruotis policijos įstaigoje buvo pakeista į suėmimą.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7A65CC0"/>
    <w:lvl w:ilvl="0">
      <w:start w:val="1"/>
      <w:numFmt w:val="bullet"/>
      <w:pStyle w:val="Sraassuenkleliais"/>
      <w:lvlText w:val=""/>
      <w:lvlJc w:val="left"/>
      <w:pPr>
        <w:tabs>
          <w:tab w:val="num" w:pos="360"/>
        </w:tabs>
        <w:ind w:left="360" w:hanging="360"/>
      </w:pPr>
      <w:rPr>
        <w:rFonts w:ascii="Symbol" w:hAnsi="Symbol" w:hint="default"/>
      </w:rPr>
    </w:lvl>
  </w:abstractNum>
  <w:abstractNum w:abstractNumId="1">
    <w:nsid w:val="03F56D12"/>
    <w:multiLevelType w:val="hybridMultilevel"/>
    <w:tmpl w:val="E6142F1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4A13BE9"/>
    <w:multiLevelType w:val="multilevel"/>
    <w:tmpl w:val="5B2654C2"/>
    <w:lvl w:ilvl="0">
      <w:start w:val="1"/>
      <w:numFmt w:val="decimal"/>
      <w:lvlText w:val="%1."/>
      <w:lvlJc w:val="left"/>
      <w:pPr>
        <w:ind w:left="360" w:hanging="360"/>
      </w:pPr>
      <w:rPr>
        <w:rFonts w:hint="default"/>
      </w:rPr>
    </w:lvl>
    <w:lvl w:ilvl="1">
      <w:start w:val="1"/>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3">
    <w:nsid w:val="0FB5347D"/>
    <w:multiLevelType w:val="hybridMultilevel"/>
    <w:tmpl w:val="5E0A31A2"/>
    <w:lvl w:ilvl="0" w:tplc="1E7257BC">
      <w:start w:val="1996"/>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0FD8149C"/>
    <w:multiLevelType w:val="hybridMultilevel"/>
    <w:tmpl w:val="A650FBC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9DA0466"/>
    <w:multiLevelType w:val="multilevel"/>
    <w:tmpl w:val="D784A14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E880CE6"/>
    <w:multiLevelType w:val="hybridMultilevel"/>
    <w:tmpl w:val="551A493A"/>
    <w:lvl w:ilvl="0" w:tplc="398AD25A">
      <w:start w:val="34"/>
      <w:numFmt w:val="decimal"/>
      <w:lvlText w:val="%1"/>
      <w:lvlJc w:val="left"/>
      <w:pPr>
        <w:ind w:left="1656" w:hanging="360"/>
      </w:pPr>
      <w:rPr>
        <w:rFonts w:hint="default"/>
        <w:b/>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7">
    <w:nsid w:val="1FC7589D"/>
    <w:multiLevelType w:val="hybridMultilevel"/>
    <w:tmpl w:val="B17C956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21986F9F"/>
    <w:multiLevelType w:val="multilevel"/>
    <w:tmpl w:val="45064C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7DC6B2B"/>
    <w:multiLevelType w:val="hybridMultilevel"/>
    <w:tmpl w:val="F2E60AC4"/>
    <w:lvl w:ilvl="0" w:tplc="9E2ED0FC">
      <w:start w:val="1"/>
      <w:numFmt w:val="decimal"/>
      <w:lvlText w:val="%1."/>
      <w:lvlJc w:val="left"/>
      <w:pPr>
        <w:ind w:left="1649" w:hanging="360"/>
      </w:pPr>
      <w:rPr>
        <w:rFonts w:hint="default"/>
      </w:rPr>
    </w:lvl>
    <w:lvl w:ilvl="1" w:tplc="04270019" w:tentative="1">
      <w:start w:val="1"/>
      <w:numFmt w:val="lowerLetter"/>
      <w:lvlText w:val="%2."/>
      <w:lvlJc w:val="left"/>
      <w:pPr>
        <w:ind w:left="2369" w:hanging="360"/>
      </w:pPr>
    </w:lvl>
    <w:lvl w:ilvl="2" w:tplc="0427001B" w:tentative="1">
      <w:start w:val="1"/>
      <w:numFmt w:val="lowerRoman"/>
      <w:lvlText w:val="%3."/>
      <w:lvlJc w:val="right"/>
      <w:pPr>
        <w:ind w:left="3089" w:hanging="180"/>
      </w:pPr>
    </w:lvl>
    <w:lvl w:ilvl="3" w:tplc="0427000F" w:tentative="1">
      <w:start w:val="1"/>
      <w:numFmt w:val="decimal"/>
      <w:lvlText w:val="%4."/>
      <w:lvlJc w:val="left"/>
      <w:pPr>
        <w:ind w:left="3809" w:hanging="360"/>
      </w:pPr>
    </w:lvl>
    <w:lvl w:ilvl="4" w:tplc="04270019" w:tentative="1">
      <w:start w:val="1"/>
      <w:numFmt w:val="lowerLetter"/>
      <w:lvlText w:val="%5."/>
      <w:lvlJc w:val="left"/>
      <w:pPr>
        <w:ind w:left="4529" w:hanging="360"/>
      </w:pPr>
    </w:lvl>
    <w:lvl w:ilvl="5" w:tplc="0427001B" w:tentative="1">
      <w:start w:val="1"/>
      <w:numFmt w:val="lowerRoman"/>
      <w:lvlText w:val="%6."/>
      <w:lvlJc w:val="right"/>
      <w:pPr>
        <w:ind w:left="5249" w:hanging="180"/>
      </w:pPr>
    </w:lvl>
    <w:lvl w:ilvl="6" w:tplc="0427000F" w:tentative="1">
      <w:start w:val="1"/>
      <w:numFmt w:val="decimal"/>
      <w:lvlText w:val="%7."/>
      <w:lvlJc w:val="left"/>
      <w:pPr>
        <w:ind w:left="5969" w:hanging="360"/>
      </w:pPr>
    </w:lvl>
    <w:lvl w:ilvl="7" w:tplc="04270019" w:tentative="1">
      <w:start w:val="1"/>
      <w:numFmt w:val="lowerLetter"/>
      <w:lvlText w:val="%8."/>
      <w:lvlJc w:val="left"/>
      <w:pPr>
        <w:ind w:left="6689" w:hanging="360"/>
      </w:pPr>
    </w:lvl>
    <w:lvl w:ilvl="8" w:tplc="0427001B" w:tentative="1">
      <w:start w:val="1"/>
      <w:numFmt w:val="lowerRoman"/>
      <w:lvlText w:val="%9."/>
      <w:lvlJc w:val="right"/>
      <w:pPr>
        <w:ind w:left="7409" w:hanging="180"/>
      </w:pPr>
    </w:lvl>
  </w:abstractNum>
  <w:abstractNum w:abstractNumId="10">
    <w:nsid w:val="282F52C3"/>
    <w:multiLevelType w:val="hybridMultilevel"/>
    <w:tmpl w:val="8B6E7132"/>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1">
    <w:nsid w:val="2A0E207A"/>
    <w:multiLevelType w:val="hybridMultilevel"/>
    <w:tmpl w:val="21DA266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B0B0033"/>
    <w:multiLevelType w:val="multilevel"/>
    <w:tmpl w:val="3CFCDA80"/>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2B714B21"/>
    <w:multiLevelType w:val="hybridMultilevel"/>
    <w:tmpl w:val="9CE229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2C6847AE"/>
    <w:multiLevelType w:val="hybridMultilevel"/>
    <w:tmpl w:val="C7689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400344"/>
    <w:multiLevelType w:val="hybridMultilevel"/>
    <w:tmpl w:val="0D0CDB3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FE10088"/>
    <w:multiLevelType w:val="hybridMultilevel"/>
    <w:tmpl w:val="281C046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31B77485"/>
    <w:multiLevelType w:val="multilevel"/>
    <w:tmpl w:val="1EBEBF10"/>
    <w:lvl w:ilvl="0">
      <w:start w:val="1"/>
      <w:numFmt w:val="decimal"/>
      <w:lvlText w:val="%1."/>
      <w:lvlJc w:val="left"/>
      <w:pPr>
        <w:ind w:left="720" w:hanging="360"/>
      </w:pPr>
      <w:rPr>
        <w:rFonts w:hint="default"/>
      </w:rPr>
    </w:lvl>
    <w:lvl w:ilvl="1">
      <w:start w:val="2"/>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3"/>
      <w:numFmt w:val="decimal"/>
      <w:isLgl/>
      <w:lvlText w:val="%1.%2.%3.%4."/>
      <w:lvlJc w:val="left"/>
      <w:pPr>
        <w:ind w:left="1140" w:hanging="7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39941BE"/>
    <w:multiLevelType w:val="hybridMultilevel"/>
    <w:tmpl w:val="8F9A95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BAB4933"/>
    <w:multiLevelType w:val="hybridMultilevel"/>
    <w:tmpl w:val="CEB232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DC0333A"/>
    <w:multiLevelType w:val="multilevel"/>
    <w:tmpl w:val="72083282"/>
    <w:lvl w:ilvl="0">
      <w:start w:val="1"/>
      <w:numFmt w:val="decimal"/>
      <w:lvlText w:val="%1."/>
      <w:lvlJc w:val="left"/>
      <w:pPr>
        <w:ind w:left="644" w:hanging="360"/>
      </w:pPr>
      <w:rPr>
        <w:b w:val="0"/>
        <w:i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nsid w:val="3EC70ED9"/>
    <w:multiLevelType w:val="multilevel"/>
    <w:tmpl w:val="959C0544"/>
    <w:lvl w:ilvl="0">
      <w:start w:val="1"/>
      <w:numFmt w:val="decimal"/>
      <w:lvlText w:val="%1."/>
      <w:lvlJc w:val="left"/>
      <w:pPr>
        <w:ind w:left="720" w:hanging="360"/>
      </w:pPr>
      <w:rPr>
        <w:rFonts w:hint="default"/>
      </w:rPr>
    </w:lvl>
    <w:lvl w:ilvl="1">
      <w:start w:val="4"/>
      <w:numFmt w:val="decimal"/>
      <w:isLgl/>
      <w:lvlText w:val="%1.%2."/>
      <w:lvlJc w:val="left"/>
      <w:pPr>
        <w:ind w:left="1609" w:hanging="720"/>
      </w:pPr>
      <w:rPr>
        <w:rFonts w:hint="default"/>
      </w:rPr>
    </w:lvl>
    <w:lvl w:ilvl="2">
      <w:start w:val="4"/>
      <w:numFmt w:val="decimal"/>
      <w:isLgl/>
      <w:lvlText w:val="%1.%2.%3."/>
      <w:lvlJc w:val="left"/>
      <w:pPr>
        <w:ind w:left="2138" w:hanging="720"/>
      </w:pPr>
      <w:rPr>
        <w:rFonts w:hint="default"/>
      </w:rPr>
    </w:lvl>
    <w:lvl w:ilvl="3">
      <w:start w:val="1"/>
      <w:numFmt w:val="decimal"/>
      <w:isLgl/>
      <w:lvlText w:val="%1.%2.%3.%4."/>
      <w:lvlJc w:val="left"/>
      <w:pPr>
        <w:ind w:left="3027" w:hanging="1080"/>
      </w:pPr>
      <w:rPr>
        <w:rFonts w:hint="default"/>
      </w:rPr>
    </w:lvl>
    <w:lvl w:ilvl="4">
      <w:start w:val="1"/>
      <w:numFmt w:val="decimal"/>
      <w:isLgl/>
      <w:lvlText w:val="%1.%2.%3.%4.%5."/>
      <w:lvlJc w:val="left"/>
      <w:pPr>
        <w:ind w:left="3916" w:hanging="1440"/>
      </w:pPr>
      <w:rPr>
        <w:rFonts w:hint="default"/>
      </w:rPr>
    </w:lvl>
    <w:lvl w:ilvl="5">
      <w:start w:val="1"/>
      <w:numFmt w:val="decimal"/>
      <w:isLgl/>
      <w:lvlText w:val="%1.%2.%3.%4.%5.%6."/>
      <w:lvlJc w:val="left"/>
      <w:pPr>
        <w:ind w:left="4445" w:hanging="1440"/>
      </w:pPr>
      <w:rPr>
        <w:rFonts w:hint="default"/>
      </w:rPr>
    </w:lvl>
    <w:lvl w:ilvl="6">
      <w:start w:val="1"/>
      <w:numFmt w:val="decimal"/>
      <w:isLgl/>
      <w:lvlText w:val="%1.%2.%3.%4.%5.%6.%7."/>
      <w:lvlJc w:val="left"/>
      <w:pPr>
        <w:ind w:left="5334" w:hanging="1800"/>
      </w:pPr>
      <w:rPr>
        <w:rFonts w:hint="default"/>
      </w:rPr>
    </w:lvl>
    <w:lvl w:ilvl="7">
      <w:start w:val="1"/>
      <w:numFmt w:val="decimal"/>
      <w:isLgl/>
      <w:lvlText w:val="%1.%2.%3.%4.%5.%6.%7.%8."/>
      <w:lvlJc w:val="left"/>
      <w:pPr>
        <w:ind w:left="5863" w:hanging="1800"/>
      </w:pPr>
      <w:rPr>
        <w:rFonts w:hint="default"/>
      </w:rPr>
    </w:lvl>
    <w:lvl w:ilvl="8">
      <w:start w:val="1"/>
      <w:numFmt w:val="decimal"/>
      <w:isLgl/>
      <w:lvlText w:val="%1.%2.%3.%4.%5.%6.%7.%8.%9."/>
      <w:lvlJc w:val="left"/>
      <w:pPr>
        <w:ind w:left="6752" w:hanging="2160"/>
      </w:pPr>
      <w:rPr>
        <w:rFonts w:hint="default"/>
      </w:rPr>
    </w:lvl>
  </w:abstractNum>
  <w:abstractNum w:abstractNumId="22">
    <w:nsid w:val="3F8F1659"/>
    <w:multiLevelType w:val="multilevel"/>
    <w:tmpl w:val="37F06B7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680" w:hanging="144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560" w:hanging="2160"/>
      </w:pPr>
      <w:rPr>
        <w:rFonts w:hint="default"/>
      </w:rPr>
    </w:lvl>
    <w:lvl w:ilvl="8">
      <w:start w:val="1"/>
      <w:numFmt w:val="decimal"/>
      <w:isLgl/>
      <w:lvlText w:val="%1.%2.%3.%4.%5.%6.%7.%8.%9."/>
      <w:lvlJc w:val="left"/>
      <w:pPr>
        <w:ind w:left="8280" w:hanging="2160"/>
      </w:pPr>
      <w:rPr>
        <w:rFonts w:hint="default"/>
      </w:rPr>
    </w:lvl>
  </w:abstractNum>
  <w:abstractNum w:abstractNumId="23">
    <w:nsid w:val="434201B2"/>
    <w:multiLevelType w:val="hybridMultilevel"/>
    <w:tmpl w:val="860ACB1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3F8564B"/>
    <w:multiLevelType w:val="hybridMultilevel"/>
    <w:tmpl w:val="85F6BF7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76F3ACB"/>
    <w:multiLevelType w:val="hybridMultilevel"/>
    <w:tmpl w:val="7940E94A"/>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6">
    <w:nsid w:val="498C3257"/>
    <w:multiLevelType w:val="hybridMultilevel"/>
    <w:tmpl w:val="73C0F01E"/>
    <w:lvl w:ilvl="0" w:tplc="56FEB4D4">
      <w:start w:val="1"/>
      <w:numFmt w:val="decimal"/>
      <w:lvlText w:val="%1."/>
      <w:lvlJc w:val="left"/>
      <w:pPr>
        <w:ind w:left="720" w:hanging="360"/>
      </w:pPr>
      <w:rPr>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9D233F2"/>
    <w:multiLevelType w:val="hybridMultilevel"/>
    <w:tmpl w:val="88FCD760"/>
    <w:lvl w:ilvl="0" w:tplc="61CEA196">
      <w:start w:val="34"/>
      <w:numFmt w:val="decimal"/>
      <w:lvlText w:val="%1"/>
      <w:lvlJc w:val="left"/>
      <w:pPr>
        <w:ind w:left="1656" w:hanging="360"/>
      </w:pPr>
      <w:rPr>
        <w:rFonts w:hint="default"/>
        <w:b/>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28">
    <w:nsid w:val="4D1845A9"/>
    <w:multiLevelType w:val="hybridMultilevel"/>
    <w:tmpl w:val="6212E46A"/>
    <w:lvl w:ilvl="0" w:tplc="9704035C">
      <w:start w:val="1"/>
      <w:numFmt w:val="decimal"/>
      <w:lvlText w:val="%1."/>
      <w:lvlJc w:val="left"/>
      <w:pPr>
        <w:ind w:left="1004" w:hanging="360"/>
      </w:pPr>
      <w:rPr>
        <w:rFonts w:hint="default"/>
      </w:rPr>
    </w:lvl>
    <w:lvl w:ilvl="1" w:tplc="04270019" w:tentative="1">
      <w:start w:val="1"/>
      <w:numFmt w:val="lowerLetter"/>
      <w:lvlText w:val="%2."/>
      <w:lvlJc w:val="left"/>
      <w:pPr>
        <w:ind w:left="1724" w:hanging="360"/>
      </w:pPr>
    </w:lvl>
    <w:lvl w:ilvl="2" w:tplc="0427001B" w:tentative="1">
      <w:start w:val="1"/>
      <w:numFmt w:val="lowerRoman"/>
      <w:lvlText w:val="%3."/>
      <w:lvlJc w:val="right"/>
      <w:pPr>
        <w:ind w:left="2444" w:hanging="180"/>
      </w:pPr>
    </w:lvl>
    <w:lvl w:ilvl="3" w:tplc="0427000F" w:tentative="1">
      <w:start w:val="1"/>
      <w:numFmt w:val="decimal"/>
      <w:lvlText w:val="%4."/>
      <w:lvlJc w:val="left"/>
      <w:pPr>
        <w:ind w:left="3164" w:hanging="360"/>
      </w:pPr>
    </w:lvl>
    <w:lvl w:ilvl="4" w:tplc="04270019" w:tentative="1">
      <w:start w:val="1"/>
      <w:numFmt w:val="lowerLetter"/>
      <w:lvlText w:val="%5."/>
      <w:lvlJc w:val="left"/>
      <w:pPr>
        <w:ind w:left="3884" w:hanging="360"/>
      </w:pPr>
    </w:lvl>
    <w:lvl w:ilvl="5" w:tplc="0427001B" w:tentative="1">
      <w:start w:val="1"/>
      <w:numFmt w:val="lowerRoman"/>
      <w:lvlText w:val="%6."/>
      <w:lvlJc w:val="right"/>
      <w:pPr>
        <w:ind w:left="4604" w:hanging="180"/>
      </w:pPr>
    </w:lvl>
    <w:lvl w:ilvl="6" w:tplc="0427000F" w:tentative="1">
      <w:start w:val="1"/>
      <w:numFmt w:val="decimal"/>
      <w:lvlText w:val="%7."/>
      <w:lvlJc w:val="left"/>
      <w:pPr>
        <w:ind w:left="5324" w:hanging="360"/>
      </w:pPr>
    </w:lvl>
    <w:lvl w:ilvl="7" w:tplc="04270019" w:tentative="1">
      <w:start w:val="1"/>
      <w:numFmt w:val="lowerLetter"/>
      <w:lvlText w:val="%8."/>
      <w:lvlJc w:val="left"/>
      <w:pPr>
        <w:ind w:left="6044" w:hanging="360"/>
      </w:pPr>
    </w:lvl>
    <w:lvl w:ilvl="8" w:tplc="0427001B" w:tentative="1">
      <w:start w:val="1"/>
      <w:numFmt w:val="lowerRoman"/>
      <w:lvlText w:val="%9."/>
      <w:lvlJc w:val="right"/>
      <w:pPr>
        <w:ind w:left="6764" w:hanging="180"/>
      </w:pPr>
    </w:lvl>
  </w:abstractNum>
  <w:abstractNum w:abstractNumId="29">
    <w:nsid w:val="4E3766A1"/>
    <w:multiLevelType w:val="multilevel"/>
    <w:tmpl w:val="7E7CDDAA"/>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2651" w:hanging="1800"/>
      </w:pPr>
      <w:rPr>
        <w:rFonts w:hint="default"/>
      </w:rPr>
    </w:lvl>
  </w:abstractNum>
  <w:abstractNum w:abstractNumId="30">
    <w:nsid w:val="632D7A00"/>
    <w:multiLevelType w:val="hybridMultilevel"/>
    <w:tmpl w:val="F30EF7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2242F3"/>
    <w:multiLevelType w:val="multilevel"/>
    <w:tmpl w:val="0734BBF0"/>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69A52563"/>
    <w:multiLevelType w:val="hybridMultilevel"/>
    <w:tmpl w:val="914A662E"/>
    <w:lvl w:ilvl="0" w:tplc="68CA874A">
      <w:start w:val="34"/>
      <w:numFmt w:val="decimal"/>
      <w:lvlText w:val="%1"/>
      <w:lvlJc w:val="left"/>
      <w:pPr>
        <w:ind w:left="1004" w:hanging="360"/>
      </w:pPr>
      <w:rPr>
        <w:rFonts w:hint="default"/>
        <w:b/>
      </w:rPr>
    </w:lvl>
    <w:lvl w:ilvl="1" w:tplc="04270019" w:tentative="1">
      <w:start w:val="1"/>
      <w:numFmt w:val="lowerLetter"/>
      <w:lvlText w:val="%2."/>
      <w:lvlJc w:val="left"/>
      <w:pPr>
        <w:ind w:left="1724" w:hanging="360"/>
      </w:pPr>
    </w:lvl>
    <w:lvl w:ilvl="2" w:tplc="0427001B" w:tentative="1">
      <w:start w:val="1"/>
      <w:numFmt w:val="lowerRoman"/>
      <w:lvlText w:val="%3."/>
      <w:lvlJc w:val="right"/>
      <w:pPr>
        <w:ind w:left="2444" w:hanging="180"/>
      </w:pPr>
    </w:lvl>
    <w:lvl w:ilvl="3" w:tplc="0427000F" w:tentative="1">
      <w:start w:val="1"/>
      <w:numFmt w:val="decimal"/>
      <w:lvlText w:val="%4."/>
      <w:lvlJc w:val="left"/>
      <w:pPr>
        <w:ind w:left="3164" w:hanging="360"/>
      </w:pPr>
    </w:lvl>
    <w:lvl w:ilvl="4" w:tplc="04270019" w:tentative="1">
      <w:start w:val="1"/>
      <w:numFmt w:val="lowerLetter"/>
      <w:lvlText w:val="%5."/>
      <w:lvlJc w:val="left"/>
      <w:pPr>
        <w:ind w:left="3884" w:hanging="360"/>
      </w:pPr>
    </w:lvl>
    <w:lvl w:ilvl="5" w:tplc="0427001B" w:tentative="1">
      <w:start w:val="1"/>
      <w:numFmt w:val="lowerRoman"/>
      <w:lvlText w:val="%6."/>
      <w:lvlJc w:val="right"/>
      <w:pPr>
        <w:ind w:left="4604" w:hanging="180"/>
      </w:pPr>
    </w:lvl>
    <w:lvl w:ilvl="6" w:tplc="0427000F" w:tentative="1">
      <w:start w:val="1"/>
      <w:numFmt w:val="decimal"/>
      <w:lvlText w:val="%7."/>
      <w:lvlJc w:val="left"/>
      <w:pPr>
        <w:ind w:left="5324" w:hanging="360"/>
      </w:pPr>
    </w:lvl>
    <w:lvl w:ilvl="7" w:tplc="04270019" w:tentative="1">
      <w:start w:val="1"/>
      <w:numFmt w:val="lowerLetter"/>
      <w:lvlText w:val="%8."/>
      <w:lvlJc w:val="left"/>
      <w:pPr>
        <w:ind w:left="6044" w:hanging="360"/>
      </w:pPr>
    </w:lvl>
    <w:lvl w:ilvl="8" w:tplc="0427001B" w:tentative="1">
      <w:start w:val="1"/>
      <w:numFmt w:val="lowerRoman"/>
      <w:lvlText w:val="%9."/>
      <w:lvlJc w:val="right"/>
      <w:pPr>
        <w:ind w:left="6764" w:hanging="180"/>
      </w:pPr>
    </w:lvl>
  </w:abstractNum>
  <w:abstractNum w:abstractNumId="33">
    <w:nsid w:val="6B003FFE"/>
    <w:multiLevelType w:val="multilevel"/>
    <w:tmpl w:val="0EC891EC"/>
    <w:lvl w:ilvl="0">
      <w:start w:val="1"/>
      <w:numFmt w:val="decimal"/>
      <w:lvlText w:val="%1."/>
      <w:lvlJc w:val="left"/>
      <w:pPr>
        <w:ind w:left="1440" w:hanging="360"/>
      </w:pPr>
      <w:rPr>
        <w:rFonts w:eastAsia="Calibri" w:hint="default"/>
      </w:rPr>
    </w:lvl>
    <w:lvl w:ilvl="1">
      <w:start w:val="5"/>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34">
    <w:nsid w:val="6E6A2B45"/>
    <w:multiLevelType w:val="hybridMultilevel"/>
    <w:tmpl w:val="9DBE0410"/>
    <w:lvl w:ilvl="0" w:tplc="42DEC4B0">
      <w:start w:val="1"/>
      <w:numFmt w:val="decimal"/>
      <w:lvlText w:val="%1."/>
      <w:lvlJc w:val="left"/>
      <w:pPr>
        <w:tabs>
          <w:tab w:val="num" w:pos="720"/>
        </w:tabs>
        <w:ind w:left="720" w:hanging="360"/>
      </w:pPr>
      <w:rPr>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5">
    <w:nsid w:val="6E9A4719"/>
    <w:multiLevelType w:val="hybridMultilevel"/>
    <w:tmpl w:val="A624514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730254AA"/>
    <w:multiLevelType w:val="hybridMultilevel"/>
    <w:tmpl w:val="9A08AE4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768B714C"/>
    <w:multiLevelType w:val="hybridMultilevel"/>
    <w:tmpl w:val="7C3A433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77FC561B"/>
    <w:multiLevelType w:val="hybridMultilevel"/>
    <w:tmpl w:val="A934E48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7AFD1E7D"/>
    <w:multiLevelType w:val="hybridMultilevel"/>
    <w:tmpl w:val="C8B8C6B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BF54B2B"/>
    <w:multiLevelType w:val="hybridMultilevel"/>
    <w:tmpl w:val="0C50B9A2"/>
    <w:lvl w:ilvl="0" w:tplc="18AA8490">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1">
    <w:nsid w:val="7EA37CF7"/>
    <w:multiLevelType w:val="hybridMultilevel"/>
    <w:tmpl w:val="E34A2F7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7"/>
  </w:num>
  <w:num w:numId="2">
    <w:abstractNumId w:val="16"/>
  </w:num>
  <w:num w:numId="3">
    <w:abstractNumId w:val="10"/>
  </w:num>
  <w:num w:numId="4">
    <w:abstractNumId w:val="25"/>
  </w:num>
  <w:num w:numId="5">
    <w:abstractNumId w:val="34"/>
  </w:num>
  <w:num w:numId="6">
    <w:abstractNumId w:val="4"/>
  </w:num>
  <w:num w:numId="7">
    <w:abstractNumId w:val="36"/>
  </w:num>
  <w:num w:numId="8">
    <w:abstractNumId w:val="22"/>
  </w:num>
  <w:num w:numId="9">
    <w:abstractNumId w:val="19"/>
  </w:num>
  <w:num w:numId="10">
    <w:abstractNumId w:val="3"/>
  </w:num>
  <w:num w:numId="11">
    <w:abstractNumId w:val="17"/>
  </w:num>
  <w:num w:numId="12">
    <w:abstractNumId w:val="6"/>
  </w:num>
  <w:num w:numId="13">
    <w:abstractNumId w:val="21"/>
  </w:num>
  <w:num w:numId="14">
    <w:abstractNumId w:val="37"/>
  </w:num>
  <w:num w:numId="15">
    <w:abstractNumId w:val="40"/>
  </w:num>
  <w:num w:numId="16">
    <w:abstractNumId w:val="2"/>
  </w:num>
  <w:num w:numId="17">
    <w:abstractNumId w:val="12"/>
  </w:num>
  <w:num w:numId="18">
    <w:abstractNumId w:val="13"/>
  </w:num>
  <w:num w:numId="19">
    <w:abstractNumId w:val="38"/>
  </w:num>
  <w:num w:numId="20">
    <w:abstractNumId w:val="29"/>
  </w:num>
  <w:num w:numId="21">
    <w:abstractNumId w:val="8"/>
  </w:num>
  <w:num w:numId="22">
    <w:abstractNumId w:val="0"/>
  </w:num>
  <w:num w:numId="23">
    <w:abstractNumId w:val="20"/>
  </w:num>
  <w:num w:numId="24">
    <w:abstractNumId w:val="30"/>
  </w:num>
  <w:num w:numId="25">
    <w:abstractNumId w:val="33"/>
  </w:num>
  <w:num w:numId="26">
    <w:abstractNumId w:val="14"/>
  </w:num>
  <w:num w:numId="27">
    <w:abstractNumId w:val="28"/>
  </w:num>
  <w:num w:numId="28">
    <w:abstractNumId w:val="27"/>
  </w:num>
  <w:num w:numId="29">
    <w:abstractNumId w:val="32"/>
  </w:num>
  <w:num w:numId="30">
    <w:abstractNumId w:val="15"/>
  </w:num>
  <w:num w:numId="31">
    <w:abstractNumId w:val="31"/>
  </w:num>
  <w:num w:numId="32">
    <w:abstractNumId w:val="9"/>
  </w:num>
  <w:num w:numId="33">
    <w:abstractNumId w:val="26"/>
  </w:num>
  <w:num w:numId="34">
    <w:abstractNumId w:val="18"/>
  </w:num>
  <w:num w:numId="35">
    <w:abstractNumId w:val="23"/>
  </w:num>
  <w:num w:numId="36">
    <w:abstractNumId w:val="39"/>
  </w:num>
  <w:num w:numId="37">
    <w:abstractNumId w:val="11"/>
  </w:num>
  <w:num w:numId="38">
    <w:abstractNumId w:val="24"/>
  </w:num>
  <w:num w:numId="39">
    <w:abstractNumId w:val="5"/>
  </w:num>
  <w:num w:numId="40">
    <w:abstractNumId w:val="41"/>
  </w:num>
  <w:num w:numId="41">
    <w:abstractNumId w:val="35"/>
  </w:num>
  <w:num w:numId="42">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ctiveWritingStyle w:appName="MSWord" w:lang="ru-RU" w:vendorID="64" w:dllVersion="131078" w:nlCheck="1" w:checkStyle="0"/>
  <w:activeWritingStyle w:appName="MSWord" w:lang="de-DE"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1"/>
  <w:proofState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CD4"/>
    <w:rsid w:val="00001303"/>
    <w:rsid w:val="000026F6"/>
    <w:rsid w:val="00002F69"/>
    <w:rsid w:val="000038F2"/>
    <w:rsid w:val="000046DC"/>
    <w:rsid w:val="00004AB2"/>
    <w:rsid w:val="00006747"/>
    <w:rsid w:val="00006AF4"/>
    <w:rsid w:val="00007E4D"/>
    <w:rsid w:val="0001072D"/>
    <w:rsid w:val="00010B89"/>
    <w:rsid w:val="00011ADC"/>
    <w:rsid w:val="00011D63"/>
    <w:rsid w:val="00015708"/>
    <w:rsid w:val="00015906"/>
    <w:rsid w:val="000164DF"/>
    <w:rsid w:val="000168BA"/>
    <w:rsid w:val="0002108C"/>
    <w:rsid w:val="000213A2"/>
    <w:rsid w:val="00021461"/>
    <w:rsid w:val="00021B4C"/>
    <w:rsid w:val="000220E7"/>
    <w:rsid w:val="0002268D"/>
    <w:rsid w:val="000256DF"/>
    <w:rsid w:val="00026E79"/>
    <w:rsid w:val="0003174E"/>
    <w:rsid w:val="00032AAB"/>
    <w:rsid w:val="00034AE8"/>
    <w:rsid w:val="0003553E"/>
    <w:rsid w:val="00036155"/>
    <w:rsid w:val="000408F4"/>
    <w:rsid w:val="00041BC7"/>
    <w:rsid w:val="00041C6E"/>
    <w:rsid w:val="00041F8A"/>
    <w:rsid w:val="000430E9"/>
    <w:rsid w:val="00043EE2"/>
    <w:rsid w:val="0004427C"/>
    <w:rsid w:val="0004453A"/>
    <w:rsid w:val="00044BC3"/>
    <w:rsid w:val="00044CCF"/>
    <w:rsid w:val="000455D0"/>
    <w:rsid w:val="000456F4"/>
    <w:rsid w:val="00046171"/>
    <w:rsid w:val="00050C77"/>
    <w:rsid w:val="00050C83"/>
    <w:rsid w:val="00051020"/>
    <w:rsid w:val="00051831"/>
    <w:rsid w:val="00053586"/>
    <w:rsid w:val="00056AB6"/>
    <w:rsid w:val="000600F8"/>
    <w:rsid w:val="0006050C"/>
    <w:rsid w:val="00061E75"/>
    <w:rsid w:val="00061ED5"/>
    <w:rsid w:val="00063814"/>
    <w:rsid w:val="00063886"/>
    <w:rsid w:val="0006691E"/>
    <w:rsid w:val="00066D8C"/>
    <w:rsid w:val="00067604"/>
    <w:rsid w:val="000676B9"/>
    <w:rsid w:val="00070E8D"/>
    <w:rsid w:val="00074151"/>
    <w:rsid w:val="00076C63"/>
    <w:rsid w:val="00081116"/>
    <w:rsid w:val="00081FD6"/>
    <w:rsid w:val="0008285E"/>
    <w:rsid w:val="000837A3"/>
    <w:rsid w:val="00084772"/>
    <w:rsid w:val="00091565"/>
    <w:rsid w:val="00091A3C"/>
    <w:rsid w:val="0009328D"/>
    <w:rsid w:val="0009554E"/>
    <w:rsid w:val="0009612F"/>
    <w:rsid w:val="00097B45"/>
    <w:rsid w:val="000A00FA"/>
    <w:rsid w:val="000A0E91"/>
    <w:rsid w:val="000A0F2B"/>
    <w:rsid w:val="000A1495"/>
    <w:rsid w:val="000A17CD"/>
    <w:rsid w:val="000A2004"/>
    <w:rsid w:val="000A377F"/>
    <w:rsid w:val="000A43A1"/>
    <w:rsid w:val="000A491D"/>
    <w:rsid w:val="000A5965"/>
    <w:rsid w:val="000B0D1D"/>
    <w:rsid w:val="000B0E8D"/>
    <w:rsid w:val="000B2576"/>
    <w:rsid w:val="000B2663"/>
    <w:rsid w:val="000B348E"/>
    <w:rsid w:val="000B417D"/>
    <w:rsid w:val="000B41C3"/>
    <w:rsid w:val="000B42ED"/>
    <w:rsid w:val="000B469D"/>
    <w:rsid w:val="000B49A8"/>
    <w:rsid w:val="000B6D5F"/>
    <w:rsid w:val="000B6FDA"/>
    <w:rsid w:val="000B7922"/>
    <w:rsid w:val="000C1997"/>
    <w:rsid w:val="000C1BE7"/>
    <w:rsid w:val="000C1D3E"/>
    <w:rsid w:val="000C1F40"/>
    <w:rsid w:val="000C33E2"/>
    <w:rsid w:val="000C34EC"/>
    <w:rsid w:val="000C3C58"/>
    <w:rsid w:val="000C4507"/>
    <w:rsid w:val="000C5BFF"/>
    <w:rsid w:val="000C5F80"/>
    <w:rsid w:val="000D0692"/>
    <w:rsid w:val="000D198B"/>
    <w:rsid w:val="000D1A3E"/>
    <w:rsid w:val="000D1D95"/>
    <w:rsid w:val="000D30F5"/>
    <w:rsid w:val="000D51AE"/>
    <w:rsid w:val="000D6DF9"/>
    <w:rsid w:val="000D7696"/>
    <w:rsid w:val="000D7A29"/>
    <w:rsid w:val="000E1D3D"/>
    <w:rsid w:val="000E1E9D"/>
    <w:rsid w:val="000E307C"/>
    <w:rsid w:val="000E5166"/>
    <w:rsid w:val="000E6463"/>
    <w:rsid w:val="000E6561"/>
    <w:rsid w:val="000E7F26"/>
    <w:rsid w:val="000F1C50"/>
    <w:rsid w:val="000F26E1"/>
    <w:rsid w:val="000F55A8"/>
    <w:rsid w:val="000F5EB7"/>
    <w:rsid w:val="000F709B"/>
    <w:rsid w:val="00100104"/>
    <w:rsid w:val="00102663"/>
    <w:rsid w:val="001038EC"/>
    <w:rsid w:val="00103999"/>
    <w:rsid w:val="00105CF1"/>
    <w:rsid w:val="0010649C"/>
    <w:rsid w:val="00110C0F"/>
    <w:rsid w:val="001114D8"/>
    <w:rsid w:val="00112D29"/>
    <w:rsid w:val="00112FF8"/>
    <w:rsid w:val="001132D8"/>
    <w:rsid w:val="00114B67"/>
    <w:rsid w:val="00115374"/>
    <w:rsid w:val="00116801"/>
    <w:rsid w:val="0012019B"/>
    <w:rsid w:val="00121937"/>
    <w:rsid w:val="00121973"/>
    <w:rsid w:val="00121E7B"/>
    <w:rsid w:val="00121FFC"/>
    <w:rsid w:val="00124EA7"/>
    <w:rsid w:val="001263DA"/>
    <w:rsid w:val="00126797"/>
    <w:rsid w:val="00126829"/>
    <w:rsid w:val="00126D77"/>
    <w:rsid w:val="001313E0"/>
    <w:rsid w:val="0013188F"/>
    <w:rsid w:val="0013286E"/>
    <w:rsid w:val="001329FB"/>
    <w:rsid w:val="001337F3"/>
    <w:rsid w:val="00134662"/>
    <w:rsid w:val="0013690B"/>
    <w:rsid w:val="00137156"/>
    <w:rsid w:val="00137782"/>
    <w:rsid w:val="001379B1"/>
    <w:rsid w:val="00137D5D"/>
    <w:rsid w:val="00140878"/>
    <w:rsid w:val="00141A00"/>
    <w:rsid w:val="00142CE6"/>
    <w:rsid w:val="00144A75"/>
    <w:rsid w:val="00145AA9"/>
    <w:rsid w:val="001475B4"/>
    <w:rsid w:val="00147771"/>
    <w:rsid w:val="00150D49"/>
    <w:rsid w:val="00151168"/>
    <w:rsid w:val="00152AD1"/>
    <w:rsid w:val="001559CF"/>
    <w:rsid w:val="0015684B"/>
    <w:rsid w:val="00156A1E"/>
    <w:rsid w:val="0015747F"/>
    <w:rsid w:val="00160835"/>
    <w:rsid w:val="00161870"/>
    <w:rsid w:val="00161983"/>
    <w:rsid w:val="00161B77"/>
    <w:rsid w:val="001637D0"/>
    <w:rsid w:val="00164940"/>
    <w:rsid w:val="001657F4"/>
    <w:rsid w:val="00166417"/>
    <w:rsid w:val="0016743D"/>
    <w:rsid w:val="00170214"/>
    <w:rsid w:val="00171DE1"/>
    <w:rsid w:val="001751ED"/>
    <w:rsid w:val="00175D87"/>
    <w:rsid w:val="00176A18"/>
    <w:rsid w:val="001801E7"/>
    <w:rsid w:val="00180ECC"/>
    <w:rsid w:val="00183B97"/>
    <w:rsid w:val="001848EE"/>
    <w:rsid w:val="00184B78"/>
    <w:rsid w:val="00185C80"/>
    <w:rsid w:val="001876A6"/>
    <w:rsid w:val="00187704"/>
    <w:rsid w:val="00190B03"/>
    <w:rsid w:val="00191E73"/>
    <w:rsid w:val="001922EB"/>
    <w:rsid w:val="0019257E"/>
    <w:rsid w:val="001950F9"/>
    <w:rsid w:val="001A1757"/>
    <w:rsid w:val="001A4BAB"/>
    <w:rsid w:val="001B04CB"/>
    <w:rsid w:val="001B0874"/>
    <w:rsid w:val="001B1024"/>
    <w:rsid w:val="001B4047"/>
    <w:rsid w:val="001B6740"/>
    <w:rsid w:val="001C1D40"/>
    <w:rsid w:val="001C2017"/>
    <w:rsid w:val="001C22DB"/>
    <w:rsid w:val="001C38DE"/>
    <w:rsid w:val="001C4402"/>
    <w:rsid w:val="001C49BD"/>
    <w:rsid w:val="001C5162"/>
    <w:rsid w:val="001C5381"/>
    <w:rsid w:val="001C5713"/>
    <w:rsid w:val="001C5B2A"/>
    <w:rsid w:val="001C6827"/>
    <w:rsid w:val="001C7057"/>
    <w:rsid w:val="001C79B5"/>
    <w:rsid w:val="001C7BBB"/>
    <w:rsid w:val="001C7F25"/>
    <w:rsid w:val="001D343C"/>
    <w:rsid w:val="001D4939"/>
    <w:rsid w:val="001D4A6D"/>
    <w:rsid w:val="001D748A"/>
    <w:rsid w:val="001D7591"/>
    <w:rsid w:val="001E1D8A"/>
    <w:rsid w:val="001E1E74"/>
    <w:rsid w:val="001E2777"/>
    <w:rsid w:val="001E49A4"/>
    <w:rsid w:val="001E51F3"/>
    <w:rsid w:val="001E5644"/>
    <w:rsid w:val="001E56BE"/>
    <w:rsid w:val="001E665C"/>
    <w:rsid w:val="001E75DC"/>
    <w:rsid w:val="001F0563"/>
    <w:rsid w:val="001F1EC1"/>
    <w:rsid w:val="001F1FEF"/>
    <w:rsid w:val="001F22C9"/>
    <w:rsid w:val="001F2ADC"/>
    <w:rsid w:val="001F3E60"/>
    <w:rsid w:val="001F5922"/>
    <w:rsid w:val="001F627B"/>
    <w:rsid w:val="001F6E7C"/>
    <w:rsid w:val="001F7EF7"/>
    <w:rsid w:val="00200115"/>
    <w:rsid w:val="00201317"/>
    <w:rsid w:val="00201758"/>
    <w:rsid w:val="0020204E"/>
    <w:rsid w:val="002028D4"/>
    <w:rsid w:val="002034C4"/>
    <w:rsid w:val="00205CE3"/>
    <w:rsid w:val="00207193"/>
    <w:rsid w:val="00210881"/>
    <w:rsid w:val="00210F9F"/>
    <w:rsid w:val="002113A5"/>
    <w:rsid w:val="002118E4"/>
    <w:rsid w:val="00211E10"/>
    <w:rsid w:val="002127B3"/>
    <w:rsid w:val="00214915"/>
    <w:rsid w:val="002150C7"/>
    <w:rsid w:val="00215CEA"/>
    <w:rsid w:val="00217852"/>
    <w:rsid w:val="0022001D"/>
    <w:rsid w:val="00220907"/>
    <w:rsid w:val="002224D7"/>
    <w:rsid w:val="002226D0"/>
    <w:rsid w:val="002256BB"/>
    <w:rsid w:val="00225A19"/>
    <w:rsid w:val="0022654A"/>
    <w:rsid w:val="00226A36"/>
    <w:rsid w:val="00230AEC"/>
    <w:rsid w:val="002317CF"/>
    <w:rsid w:val="0023207E"/>
    <w:rsid w:val="002328FA"/>
    <w:rsid w:val="00232E3F"/>
    <w:rsid w:val="002342DC"/>
    <w:rsid w:val="00234A87"/>
    <w:rsid w:val="00234A96"/>
    <w:rsid w:val="00236832"/>
    <w:rsid w:val="00236B7D"/>
    <w:rsid w:val="00236F10"/>
    <w:rsid w:val="00236FB3"/>
    <w:rsid w:val="0023713E"/>
    <w:rsid w:val="00241E5B"/>
    <w:rsid w:val="00241F91"/>
    <w:rsid w:val="0024342C"/>
    <w:rsid w:val="00243D6A"/>
    <w:rsid w:val="00245FF8"/>
    <w:rsid w:val="002504EB"/>
    <w:rsid w:val="002516AE"/>
    <w:rsid w:val="002517C1"/>
    <w:rsid w:val="002531B6"/>
    <w:rsid w:val="00253552"/>
    <w:rsid w:val="00256AA1"/>
    <w:rsid w:val="00256B92"/>
    <w:rsid w:val="00261927"/>
    <w:rsid w:val="00262B48"/>
    <w:rsid w:val="002635AA"/>
    <w:rsid w:val="00266977"/>
    <w:rsid w:val="002671E2"/>
    <w:rsid w:val="00272B6A"/>
    <w:rsid w:val="00272DF3"/>
    <w:rsid w:val="00274D82"/>
    <w:rsid w:val="002761D6"/>
    <w:rsid w:val="00280D96"/>
    <w:rsid w:val="00281217"/>
    <w:rsid w:val="00281C76"/>
    <w:rsid w:val="0028419F"/>
    <w:rsid w:val="00290C1A"/>
    <w:rsid w:val="00291232"/>
    <w:rsid w:val="00291D2A"/>
    <w:rsid w:val="0029302C"/>
    <w:rsid w:val="002930C0"/>
    <w:rsid w:val="002933EB"/>
    <w:rsid w:val="00294920"/>
    <w:rsid w:val="002956CC"/>
    <w:rsid w:val="0029671B"/>
    <w:rsid w:val="0029716F"/>
    <w:rsid w:val="002A24E7"/>
    <w:rsid w:val="002A266E"/>
    <w:rsid w:val="002A2D1A"/>
    <w:rsid w:val="002A4187"/>
    <w:rsid w:val="002A644F"/>
    <w:rsid w:val="002A6D26"/>
    <w:rsid w:val="002B2B7D"/>
    <w:rsid w:val="002B3CBC"/>
    <w:rsid w:val="002B3D3E"/>
    <w:rsid w:val="002B591B"/>
    <w:rsid w:val="002B5DED"/>
    <w:rsid w:val="002B6B57"/>
    <w:rsid w:val="002B6D31"/>
    <w:rsid w:val="002C1089"/>
    <w:rsid w:val="002C10F5"/>
    <w:rsid w:val="002C1746"/>
    <w:rsid w:val="002C25ED"/>
    <w:rsid w:val="002C5D7D"/>
    <w:rsid w:val="002C7456"/>
    <w:rsid w:val="002C7CA1"/>
    <w:rsid w:val="002D0568"/>
    <w:rsid w:val="002D0E2A"/>
    <w:rsid w:val="002D21CD"/>
    <w:rsid w:val="002D3097"/>
    <w:rsid w:val="002D358A"/>
    <w:rsid w:val="002D6483"/>
    <w:rsid w:val="002D6628"/>
    <w:rsid w:val="002D6FA5"/>
    <w:rsid w:val="002E6D81"/>
    <w:rsid w:val="002E7C17"/>
    <w:rsid w:val="002F1880"/>
    <w:rsid w:val="002F2117"/>
    <w:rsid w:val="002F2267"/>
    <w:rsid w:val="002F386D"/>
    <w:rsid w:val="002F49EE"/>
    <w:rsid w:val="002F525D"/>
    <w:rsid w:val="002F5A23"/>
    <w:rsid w:val="002F6FDA"/>
    <w:rsid w:val="002F7C76"/>
    <w:rsid w:val="00301013"/>
    <w:rsid w:val="003011A5"/>
    <w:rsid w:val="003038C8"/>
    <w:rsid w:val="00304041"/>
    <w:rsid w:val="00305D0F"/>
    <w:rsid w:val="00307B4A"/>
    <w:rsid w:val="00310CE2"/>
    <w:rsid w:val="00310D6B"/>
    <w:rsid w:val="00310FFC"/>
    <w:rsid w:val="00312293"/>
    <w:rsid w:val="003126DE"/>
    <w:rsid w:val="00312DB5"/>
    <w:rsid w:val="00320B03"/>
    <w:rsid w:val="00320FB7"/>
    <w:rsid w:val="00323B0E"/>
    <w:rsid w:val="003250D4"/>
    <w:rsid w:val="00326B76"/>
    <w:rsid w:val="00326EA1"/>
    <w:rsid w:val="0032771C"/>
    <w:rsid w:val="00330C1A"/>
    <w:rsid w:val="0033150C"/>
    <w:rsid w:val="003328F6"/>
    <w:rsid w:val="003329FF"/>
    <w:rsid w:val="003347CA"/>
    <w:rsid w:val="00334D2B"/>
    <w:rsid w:val="003362F2"/>
    <w:rsid w:val="00337D50"/>
    <w:rsid w:val="00337DE4"/>
    <w:rsid w:val="003427F1"/>
    <w:rsid w:val="003448BF"/>
    <w:rsid w:val="003469A1"/>
    <w:rsid w:val="00347D9F"/>
    <w:rsid w:val="00351856"/>
    <w:rsid w:val="00351994"/>
    <w:rsid w:val="00351E81"/>
    <w:rsid w:val="003528C3"/>
    <w:rsid w:val="00354B8B"/>
    <w:rsid w:val="00357C64"/>
    <w:rsid w:val="00362C4C"/>
    <w:rsid w:val="00363191"/>
    <w:rsid w:val="003632C7"/>
    <w:rsid w:val="00363817"/>
    <w:rsid w:val="00364446"/>
    <w:rsid w:val="0036453B"/>
    <w:rsid w:val="00365E90"/>
    <w:rsid w:val="00366C1B"/>
    <w:rsid w:val="00366CCE"/>
    <w:rsid w:val="00366FC5"/>
    <w:rsid w:val="00370498"/>
    <w:rsid w:val="00370E38"/>
    <w:rsid w:val="00371A34"/>
    <w:rsid w:val="00372F3D"/>
    <w:rsid w:val="003732C7"/>
    <w:rsid w:val="0037439C"/>
    <w:rsid w:val="00375705"/>
    <w:rsid w:val="00376715"/>
    <w:rsid w:val="00376C31"/>
    <w:rsid w:val="00376E6E"/>
    <w:rsid w:val="003773AB"/>
    <w:rsid w:val="00377592"/>
    <w:rsid w:val="0038032C"/>
    <w:rsid w:val="00382412"/>
    <w:rsid w:val="003826BF"/>
    <w:rsid w:val="00386479"/>
    <w:rsid w:val="00387724"/>
    <w:rsid w:val="0039104D"/>
    <w:rsid w:val="00391B4D"/>
    <w:rsid w:val="00391F92"/>
    <w:rsid w:val="003948BB"/>
    <w:rsid w:val="00395291"/>
    <w:rsid w:val="00396489"/>
    <w:rsid w:val="00397E48"/>
    <w:rsid w:val="003A0009"/>
    <w:rsid w:val="003A08C9"/>
    <w:rsid w:val="003A26F2"/>
    <w:rsid w:val="003A4A8D"/>
    <w:rsid w:val="003A6F49"/>
    <w:rsid w:val="003A7A72"/>
    <w:rsid w:val="003B0995"/>
    <w:rsid w:val="003B298F"/>
    <w:rsid w:val="003B2CE7"/>
    <w:rsid w:val="003B3A44"/>
    <w:rsid w:val="003B3C35"/>
    <w:rsid w:val="003B55E7"/>
    <w:rsid w:val="003B706A"/>
    <w:rsid w:val="003C1B90"/>
    <w:rsid w:val="003C1E0C"/>
    <w:rsid w:val="003C24BD"/>
    <w:rsid w:val="003C3B73"/>
    <w:rsid w:val="003C4732"/>
    <w:rsid w:val="003C5E10"/>
    <w:rsid w:val="003C639D"/>
    <w:rsid w:val="003C6DD7"/>
    <w:rsid w:val="003D1272"/>
    <w:rsid w:val="003D1E2E"/>
    <w:rsid w:val="003D1EF7"/>
    <w:rsid w:val="003D322F"/>
    <w:rsid w:val="003D34FD"/>
    <w:rsid w:val="003D678B"/>
    <w:rsid w:val="003D6C59"/>
    <w:rsid w:val="003D70A8"/>
    <w:rsid w:val="003D721F"/>
    <w:rsid w:val="003E3724"/>
    <w:rsid w:val="003E3757"/>
    <w:rsid w:val="003E3809"/>
    <w:rsid w:val="003E52BC"/>
    <w:rsid w:val="003F19E1"/>
    <w:rsid w:val="003F2B2A"/>
    <w:rsid w:val="003F2D19"/>
    <w:rsid w:val="003F5F06"/>
    <w:rsid w:val="003F64C1"/>
    <w:rsid w:val="003F7689"/>
    <w:rsid w:val="00400C58"/>
    <w:rsid w:val="004014A2"/>
    <w:rsid w:val="00401D2A"/>
    <w:rsid w:val="00401D62"/>
    <w:rsid w:val="00401FB4"/>
    <w:rsid w:val="00403694"/>
    <w:rsid w:val="00403FB6"/>
    <w:rsid w:val="00404135"/>
    <w:rsid w:val="00404F16"/>
    <w:rsid w:val="00405A77"/>
    <w:rsid w:val="00406663"/>
    <w:rsid w:val="004101F1"/>
    <w:rsid w:val="004103BB"/>
    <w:rsid w:val="00412532"/>
    <w:rsid w:val="00414EA9"/>
    <w:rsid w:val="00416064"/>
    <w:rsid w:val="00417828"/>
    <w:rsid w:val="0042172D"/>
    <w:rsid w:val="004228EF"/>
    <w:rsid w:val="0042461E"/>
    <w:rsid w:val="00424A3F"/>
    <w:rsid w:val="0042509D"/>
    <w:rsid w:val="00425993"/>
    <w:rsid w:val="00426937"/>
    <w:rsid w:val="00427684"/>
    <w:rsid w:val="00427974"/>
    <w:rsid w:val="00430788"/>
    <w:rsid w:val="00432313"/>
    <w:rsid w:val="00432455"/>
    <w:rsid w:val="0043347E"/>
    <w:rsid w:val="0043367D"/>
    <w:rsid w:val="00433A2E"/>
    <w:rsid w:val="00433C88"/>
    <w:rsid w:val="0043523F"/>
    <w:rsid w:val="004358E4"/>
    <w:rsid w:val="00435FAB"/>
    <w:rsid w:val="00436996"/>
    <w:rsid w:val="00436D14"/>
    <w:rsid w:val="00437168"/>
    <w:rsid w:val="00437558"/>
    <w:rsid w:val="00442D85"/>
    <w:rsid w:val="0044399C"/>
    <w:rsid w:val="00445FF7"/>
    <w:rsid w:val="00446D8E"/>
    <w:rsid w:val="0044728D"/>
    <w:rsid w:val="004518DA"/>
    <w:rsid w:val="00452526"/>
    <w:rsid w:val="00452C27"/>
    <w:rsid w:val="00452DE4"/>
    <w:rsid w:val="00453904"/>
    <w:rsid w:val="00454981"/>
    <w:rsid w:val="0045534B"/>
    <w:rsid w:val="00456E84"/>
    <w:rsid w:val="0045776C"/>
    <w:rsid w:val="00457889"/>
    <w:rsid w:val="00461659"/>
    <w:rsid w:val="00462A95"/>
    <w:rsid w:val="00462DBA"/>
    <w:rsid w:val="00465932"/>
    <w:rsid w:val="004664A9"/>
    <w:rsid w:val="004673F6"/>
    <w:rsid w:val="0047131D"/>
    <w:rsid w:val="0047169F"/>
    <w:rsid w:val="00471957"/>
    <w:rsid w:val="00471FDD"/>
    <w:rsid w:val="00472D69"/>
    <w:rsid w:val="0047771B"/>
    <w:rsid w:val="004800E4"/>
    <w:rsid w:val="00480813"/>
    <w:rsid w:val="00480DD3"/>
    <w:rsid w:val="004836E8"/>
    <w:rsid w:val="00484A04"/>
    <w:rsid w:val="004850F1"/>
    <w:rsid w:val="00487330"/>
    <w:rsid w:val="00487FA8"/>
    <w:rsid w:val="00491413"/>
    <w:rsid w:val="004927F2"/>
    <w:rsid w:val="00492E6A"/>
    <w:rsid w:val="00494331"/>
    <w:rsid w:val="0049462B"/>
    <w:rsid w:val="0049512A"/>
    <w:rsid w:val="00495223"/>
    <w:rsid w:val="0049695D"/>
    <w:rsid w:val="00497570"/>
    <w:rsid w:val="004A0854"/>
    <w:rsid w:val="004A0EC1"/>
    <w:rsid w:val="004A22B0"/>
    <w:rsid w:val="004A7ECB"/>
    <w:rsid w:val="004B0EFA"/>
    <w:rsid w:val="004B50B2"/>
    <w:rsid w:val="004B5817"/>
    <w:rsid w:val="004B5FC4"/>
    <w:rsid w:val="004B6DF5"/>
    <w:rsid w:val="004B77FE"/>
    <w:rsid w:val="004C0061"/>
    <w:rsid w:val="004C1874"/>
    <w:rsid w:val="004C1B1F"/>
    <w:rsid w:val="004C3243"/>
    <w:rsid w:val="004C35A3"/>
    <w:rsid w:val="004C51ED"/>
    <w:rsid w:val="004C7782"/>
    <w:rsid w:val="004D086D"/>
    <w:rsid w:val="004D1226"/>
    <w:rsid w:val="004D19AA"/>
    <w:rsid w:val="004D22AA"/>
    <w:rsid w:val="004D251D"/>
    <w:rsid w:val="004D31B4"/>
    <w:rsid w:val="004D3286"/>
    <w:rsid w:val="004D40F6"/>
    <w:rsid w:val="004D5321"/>
    <w:rsid w:val="004D6EE2"/>
    <w:rsid w:val="004D7D1E"/>
    <w:rsid w:val="004E064E"/>
    <w:rsid w:val="004E2A6C"/>
    <w:rsid w:val="004E3F4C"/>
    <w:rsid w:val="004E49BD"/>
    <w:rsid w:val="004E70A7"/>
    <w:rsid w:val="004F00D2"/>
    <w:rsid w:val="004F25CB"/>
    <w:rsid w:val="004F3680"/>
    <w:rsid w:val="004F3DEF"/>
    <w:rsid w:val="004F5F34"/>
    <w:rsid w:val="004F661C"/>
    <w:rsid w:val="004F687C"/>
    <w:rsid w:val="004F7491"/>
    <w:rsid w:val="004F7EAA"/>
    <w:rsid w:val="00501A1C"/>
    <w:rsid w:val="00501CFD"/>
    <w:rsid w:val="00502E22"/>
    <w:rsid w:val="0050532A"/>
    <w:rsid w:val="00505800"/>
    <w:rsid w:val="005065EC"/>
    <w:rsid w:val="0050737D"/>
    <w:rsid w:val="00510FAA"/>
    <w:rsid w:val="00512EE8"/>
    <w:rsid w:val="005137E8"/>
    <w:rsid w:val="00515137"/>
    <w:rsid w:val="0051741C"/>
    <w:rsid w:val="00517A2B"/>
    <w:rsid w:val="00521D99"/>
    <w:rsid w:val="005226DB"/>
    <w:rsid w:val="00523082"/>
    <w:rsid w:val="005242EA"/>
    <w:rsid w:val="005251C7"/>
    <w:rsid w:val="0052620F"/>
    <w:rsid w:val="00526CF3"/>
    <w:rsid w:val="0052714E"/>
    <w:rsid w:val="0052794E"/>
    <w:rsid w:val="00527F20"/>
    <w:rsid w:val="00531371"/>
    <w:rsid w:val="00531902"/>
    <w:rsid w:val="00532AD0"/>
    <w:rsid w:val="005370B8"/>
    <w:rsid w:val="00541B80"/>
    <w:rsid w:val="00543F06"/>
    <w:rsid w:val="00544ECC"/>
    <w:rsid w:val="005452B1"/>
    <w:rsid w:val="00550254"/>
    <w:rsid w:val="005512AA"/>
    <w:rsid w:val="005554B7"/>
    <w:rsid w:val="00556AB0"/>
    <w:rsid w:val="00557333"/>
    <w:rsid w:val="005600AA"/>
    <w:rsid w:val="00561B97"/>
    <w:rsid w:val="00564998"/>
    <w:rsid w:val="00564AEF"/>
    <w:rsid w:val="00565255"/>
    <w:rsid w:val="0056554C"/>
    <w:rsid w:val="0056607D"/>
    <w:rsid w:val="005664E5"/>
    <w:rsid w:val="005674F2"/>
    <w:rsid w:val="00567586"/>
    <w:rsid w:val="005676C7"/>
    <w:rsid w:val="00567B3D"/>
    <w:rsid w:val="00567CAF"/>
    <w:rsid w:val="00570942"/>
    <w:rsid w:val="00570950"/>
    <w:rsid w:val="005722E1"/>
    <w:rsid w:val="005732AB"/>
    <w:rsid w:val="005745C3"/>
    <w:rsid w:val="00574775"/>
    <w:rsid w:val="00574FE9"/>
    <w:rsid w:val="00575AED"/>
    <w:rsid w:val="00580112"/>
    <w:rsid w:val="0058030C"/>
    <w:rsid w:val="00580FD6"/>
    <w:rsid w:val="0058251B"/>
    <w:rsid w:val="00582A3A"/>
    <w:rsid w:val="005848FE"/>
    <w:rsid w:val="00584B70"/>
    <w:rsid w:val="005858A8"/>
    <w:rsid w:val="00586565"/>
    <w:rsid w:val="00587B59"/>
    <w:rsid w:val="00593B73"/>
    <w:rsid w:val="005964B7"/>
    <w:rsid w:val="00596CEA"/>
    <w:rsid w:val="00596E19"/>
    <w:rsid w:val="00597086"/>
    <w:rsid w:val="00597A2B"/>
    <w:rsid w:val="00597C0C"/>
    <w:rsid w:val="005A2223"/>
    <w:rsid w:val="005A3F15"/>
    <w:rsid w:val="005A4334"/>
    <w:rsid w:val="005A5081"/>
    <w:rsid w:val="005B01BB"/>
    <w:rsid w:val="005B0538"/>
    <w:rsid w:val="005B1C75"/>
    <w:rsid w:val="005B3289"/>
    <w:rsid w:val="005B3DC7"/>
    <w:rsid w:val="005B4CAD"/>
    <w:rsid w:val="005B4F1E"/>
    <w:rsid w:val="005B7437"/>
    <w:rsid w:val="005B7D03"/>
    <w:rsid w:val="005B7EA9"/>
    <w:rsid w:val="005C12DE"/>
    <w:rsid w:val="005C16DF"/>
    <w:rsid w:val="005C34BB"/>
    <w:rsid w:val="005C3BE3"/>
    <w:rsid w:val="005C3FF2"/>
    <w:rsid w:val="005C4069"/>
    <w:rsid w:val="005C55FC"/>
    <w:rsid w:val="005C6C46"/>
    <w:rsid w:val="005D26CD"/>
    <w:rsid w:val="005D28BE"/>
    <w:rsid w:val="005D38AF"/>
    <w:rsid w:val="005D4BA5"/>
    <w:rsid w:val="005D542B"/>
    <w:rsid w:val="005D5BA6"/>
    <w:rsid w:val="005D620A"/>
    <w:rsid w:val="005D6812"/>
    <w:rsid w:val="005D6A07"/>
    <w:rsid w:val="005D6CFF"/>
    <w:rsid w:val="005E180A"/>
    <w:rsid w:val="005E2D39"/>
    <w:rsid w:val="005E38AE"/>
    <w:rsid w:val="005E4E0B"/>
    <w:rsid w:val="005E6527"/>
    <w:rsid w:val="005F1642"/>
    <w:rsid w:val="005F1EB9"/>
    <w:rsid w:val="005F2A83"/>
    <w:rsid w:val="005F43DF"/>
    <w:rsid w:val="005F5529"/>
    <w:rsid w:val="005F6C4D"/>
    <w:rsid w:val="005F7C93"/>
    <w:rsid w:val="005F7F9B"/>
    <w:rsid w:val="00603065"/>
    <w:rsid w:val="00606040"/>
    <w:rsid w:val="006069E5"/>
    <w:rsid w:val="00607241"/>
    <w:rsid w:val="006079F2"/>
    <w:rsid w:val="006124DE"/>
    <w:rsid w:val="006126CF"/>
    <w:rsid w:val="00617488"/>
    <w:rsid w:val="00617BF2"/>
    <w:rsid w:val="00620214"/>
    <w:rsid w:val="00620A25"/>
    <w:rsid w:val="0062123C"/>
    <w:rsid w:val="0062366B"/>
    <w:rsid w:val="00623715"/>
    <w:rsid w:val="00624E03"/>
    <w:rsid w:val="006274D5"/>
    <w:rsid w:val="006277F1"/>
    <w:rsid w:val="00630E77"/>
    <w:rsid w:val="00631DA3"/>
    <w:rsid w:val="00631EBE"/>
    <w:rsid w:val="006323B9"/>
    <w:rsid w:val="00632BC2"/>
    <w:rsid w:val="00634616"/>
    <w:rsid w:val="006369CC"/>
    <w:rsid w:val="0063785E"/>
    <w:rsid w:val="00637B1B"/>
    <w:rsid w:val="00640EDA"/>
    <w:rsid w:val="00643AD3"/>
    <w:rsid w:val="00643FCB"/>
    <w:rsid w:val="006453E7"/>
    <w:rsid w:val="006455A9"/>
    <w:rsid w:val="00647C51"/>
    <w:rsid w:val="00650050"/>
    <w:rsid w:val="006505DE"/>
    <w:rsid w:val="00654490"/>
    <w:rsid w:val="00654921"/>
    <w:rsid w:val="0065514D"/>
    <w:rsid w:val="00655483"/>
    <w:rsid w:val="006558EA"/>
    <w:rsid w:val="00656DA9"/>
    <w:rsid w:val="00660F5B"/>
    <w:rsid w:val="00661385"/>
    <w:rsid w:val="006615BE"/>
    <w:rsid w:val="006622BC"/>
    <w:rsid w:val="00664A6D"/>
    <w:rsid w:val="00664B9A"/>
    <w:rsid w:val="006675D6"/>
    <w:rsid w:val="0066790D"/>
    <w:rsid w:val="00670A0F"/>
    <w:rsid w:val="00670A21"/>
    <w:rsid w:val="00670D00"/>
    <w:rsid w:val="00671F01"/>
    <w:rsid w:val="00672D84"/>
    <w:rsid w:val="00673490"/>
    <w:rsid w:val="00673917"/>
    <w:rsid w:val="00676BA2"/>
    <w:rsid w:val="00681015"/>
    <w:rsid w:val="00682DD1"/>
    <w:rsid w:val="00682F14"/>
    <w:rsid w:val="00687246"/>
    <w:rsid w:val="00687A2B"/>
    <w:rsid w:val="00691B01"/>
    <w:rsid w:val="00692FEF"/>
    <w:rsid w:val="006935A3"/>
    <w:rsid w:val="00693B65"/>
    <w:rsid w:val="00694131"/>
    <w:rsid w:val="0069436D"/>
    <w:rsid w:val="0069578F"/>
    <w:rsid w:val="0069654B"/>
    <w:rsid w:val="006A0203"/>
    <w:rsid w:val="006A1AA7"/>
    <w:rsid w:val="006A2409"/>
    <w:rsid w:val="006A28A6"/>
    <w:rsid w:val="006A4F58"/>
    <w:rsid w:val="006A6688"/>
    <w:rsid w:val="006A6C35"/>
    <w:rsid w:val="006A7563"/>
    <w:rsid w:val="006B0AEE"/>
    <w:rsid w:val="006B2823"/>
    <w:rsid w:val="006B3B4B"/>
    <w:rsid w:val="006B4F39"/>
    <w:rsid w:val="006B52E3"/>
    <w:rsid w:val="006B5A3A"/>
    <w:rsid w:val="006B5C29"/>
    <w:rsid w:val="006B615E"/>
    <w:rsid w:val="006B7C88"/>
    <w:rsid w:val="006C038B"/>
    <w:rsid w:val="006C29E3"/>
    <w:rsid w:val="006C2AC7"/>
    <w:rsid w:val="006C38C2"/>
    <w:rsid w:val="006C498D"/>
    <w:rsid w:val="006C4A68"/>
    <w:rsid w:val="006C5870"/>
    <w:rsid w:val="006D02FB"/>
    <w:rsid w:val="006D0C03"/>
    <w:rsid w:val="006D4C11"/>
    <w:rsid w:val="006D5C4E"/>
    <w:rsid w:val="006D6827"/>
    <w:rsid w:val="006D73A1"/>
    <w:rsid w:val="006D7601"/>
    <w:rsid w:val="006D791B"/>
    <w:rsid w:val="006E0EAD"/>
    <w:rsid w:val="006E2A1B"/>
    <w:rsid w:val="006E2F78"/>
    <w:rsid w:val="006E5034"/>
    <w:rsid w:val="006E577A"/>
    <w:rsid w:val="006E5B2E"/>
    <w:rsid w:val="006E6E90"/>
    <w:rsid w:val="006F14E8"/>
    <w:rsid w:val="006F2B62"/>
    <w:rsid w:val="006F3323"/>
    <w:rsid w:val="006F41E4"/>
    <w:rsid w:val="006F5834"/>
    <w:rsid w:val="006F58FA"/>
    <w:rsid w:val="006F645A"/>
    <w:rsid w:val="007024F3"/>
    <w:rsid w:val="00702DFB"/>
    <w:rsid w:val="007032F3"/>
    <w:rsid w:val="00703A6E"/>
    <w:rsid w:val="007053FF"/>
    <w:rsid w:val="0070600C"/>
    <w:rsid w:val="00707CEE"/>
    <w:rsid w:val="00710067"/>
    <w:rsid w:val="00710B36"/>
    <w:rsid w:val="00712D13"/>
    <w:rsid w:val="0071409B"/>
    <w:rsid w:val="0071562F"/>
    <w:rsid w:val="0071671A"/>
    <w:rsid w:val="007176E6"/>
    <w:rsid w:val="0071771D"/>
    <w:rsid w:val="00720480"/>
    <w:rsid w:val="00721278"/>
    <w:rsid w:val="007222D8"/>
    <w:rsid w:val="0072351F"/>
    <w:rsid w:val="007248A0"/>
    <w:rsid w:val="0073081A"/>
    <w:rsid w:val="00732669"/>
    <w:rsid w:val="00733CEA"/>
    <w:rsid w:val="00734A22"/>
    <w:rsid w:val="007415EF"/>
    <w:rsid w:val="00741A89"/>
    <w:rsid w:val="00742E3C"/>
    <w:rsid w:val="00744A22"/>
    <w:rsid w:val="00744CAA"/>
    <w:rsid w:val="0074506D"/>
    <w:rsid w:val="00745B4E"/>
    <w:rsid w:val="007467D4"/>
    <w:rsid w:val="007467EF"/>
    <w:rsid w:val="00746847"/>
    <w:rsid w:val="00751E1D"/>
    <w:rsid w:val="007542C9"/>
    <w:rsid w:val="00755132"/>
    <w:rsid w:val="00755315"/>
    <w:rsid w:val="0075606B"/>
    <w:rsid w:val="00757969"/>
    <w:rsid w:val="007601AD"/>
    <w:rsid w:val="00761866"/>
    <w:rsid w:val="00761E0B"/>
    <w:rsid w:val="00762AFC"/>
    <w:rsid w:val="00763198"/>
    <w:rsid w:val="00763A08"/>
    <w:rsid w:val="00763F33"/>
    <w:rsid w:val="00765A6D"/>
    <w:rsid w:val="00770233"/>
    <w:rsid w:val="00770750"/>
    <w:rsid w:val="0077335B"/>
    <w:rsid w:val="007743A7"/>
    <w:rsid w:val="00774D77"/>
    <w:rsid w:val="00781642"/>
    <w:rsid w:val="00781B09"/>
    <w:rsid w:val="00781DC3"/>
    <w:rsid w:val="0078234E"/>
    <w:rsid w:val="007831A2"/>
    <w:rsid w:val="0078434C"/>
    <w:rsid w:val="00785424"/>
    <w:rsid w:val="007858E0"/>
    <w:rsid w:val="0078606F"/>
    <w:rsid w:val="00787C44"/>
    <w:rsid w:val="00790F0E"/>
    <w:rsid w:val="007920F4"/>
    <w:rsid w:val="00792810"/>
    <w:rsid w:val="0079356C"/>
    <w:rsid w:val="00795814"/>
    <w:rsid w:val="007974DB"/>
    <w:rsid w:val="007A185D"/>
    <w:rsid w:val="007A2173"/>
    <w:rsid w:val="007A3554"/>
    <w:rsid w:val="007A484F"/>
    <w:rsid w:val="007A4C18"/>
    <w:rsid w:val="007A597D"/>
    <w:rsid w:val="007A6CAD"/>
    <w:rsid w:val="007B028A"/>
    <w:rsid w:val="007B52F0"/>
    <w:rsid w:val="007B7828"/>
    <w:rsid w:val="007B790C"/>
    <w:rsid w:val="007C21C7"/>
    <w:rsid w:val="007C22D7"/>
    <w:rsid w:val="007C235D"/>
    <w:rsid w:val="007C29D0"/>
    <w:rsid w:val="007C3DA6"/>
    <w:rsid w:val="007D0637"/>
    <w:rsid w:val="007D068E"/>
    <w:rsid w:val="007D069E"/>
    <w:rsid w:val="007D0D27"/>
    <w:rsid w:val="007D4725"/>
    <w:rsid w:val="007D7E8C"/>
    <w:rsid w:val="007D7EF4"/>
    <w:rsid w:val="007E0228"/>
    <w:rsid w:val="007E0446"/>
    <w:rsid w:val="007E2D5B"/>
    <w:rsid w:val="007E2E16"/>
    <w:rsid w:val="007E3173"/>
    <w:rsid w:val="007E32DD"/>
    <w:rsid w:val="007E3B47"/>
    <w:rsid w:val="007E53AE"/>
    <w:rsid w:val="007F47AE"/>
    <w:rsid w:val="007F4978"/>
    <w:rsid w:val="007F4D27"/>
    <w:rsid w:val="007F5055"/>
    <w:rsid w:val="007F5CA0"/>
    <w:rsid w:val="007F5D34"/>
    <w:rsid w:val="007F5F7F"/>
    <w:rsid w:val="007F6189"/>
    <w:rsid w:val="007F6D02"/>
    <w:rsid w:val="007F6E16"/>
    <w:rsid w:val="008006F5"/>
    <w:rsid w:val="00800B20"/>
    <w:rsid w:val="00801466"/>
    <w:rsid w:val="008018B3"/>
    <w:rsid w:val="0080403C"/>
    <w:rsid w:val="008052CB"/>
    <w:rsid w:val="0080536C"/>
    <w:rsid w:val="00806338"/>
    <w:rsid w:val="00806FAE"/>
    <w:rsid w:val="00810487"/>
    <w:rsid w:val="00810807"/>
    <w:rsid w:val="008110FA"/>
    <w:rsid w:val="00812929"/>
    <w:rsid w:val="0081447A"/>
    <w:rsid w:val="00814484"/>
    <w:rsid w:val="00815745"/>
    <w:rsid w:val="00820EEF"/>
    <w:rsid w:val="008233E8"/>
    <w:rsid w:val="008240F9"/>
    <w:rsid w:val="0082488A"/>
    <w:rsid w:val="00824FFA"/>
    <w:rsid w:val="00825E29"/>
    <w:rsid w:val="00827132"/>
    <w:rsid w:val="008304F5"/>
    <w:rsid w:val="008308E6"/>
    <w:rsid w:val="00830A32"/>
    <w:rsid w:val="00831855"/>
    <w:rsid w:val="00834E87"/>
    <w:rsid w:val="00835426"/>
    <w:rsid w:val="008364D3"/>
    <w:rsid w:val="00836BA8"/>
    <w:rsid w:val="00837C35"/>
    <w:rsid w:val="008400FC"/>
    <w:rsid w:val="0084245B"/>
    <w:rsid w:val="00842C8C"/>
    <w:rsid w:val="00843313"/>
    <w:rsid w:val="00843E00"/>
    <w:rsid w:val="008448C5"/>
    <w:rsid w:val="00845308"/>
    <w:rsid w:val="008454E2"/>
    <w:rsid w:val="00846325"/>
    <w:rsid w:val="008475B2"/>
    <w:rsid w:val="00850020"/>
    <w:rsid w:val="00851DDF"/>
    <w:rsid w:val="00852DC2"/>
    <w:rsid w:val="00853AAF"/>
    <w:rsid w:val="008557FD"/>
    <w:rsid w:val="00856C29"/>
    <w:rsid w:val="008579E0"/>
    <w:rsid w:val="00860446"/>
    <w:rsid w:val="00860BB9"/>
    <w:rsid w:val="00861FFC"/>
    <w:rsid w:val="0086303E"/>
    <w:rsid w:val="008653DA"/>
    <w:rsid w:val="00865B4C"/>
    <w:rsid w:val="00866076"/>
    <w:rsid w:val="00867A73"/>
    <w:rsid w:val="00867F06"/>
    <w:rsid w:val="00870136"/>
    <w:rsid w:val="00872E63"/>
    <w:rsid w:val="00873352"/>
    <w:rsid w:val="00873774"/>
    <w:rsid w:val="00874DB4"/>
    <w:rsid w:val="008754D8"/>
    <w:rsid w:val="00875B7D"/>
    <w:rsid w:val="00876038"/>
    <w:rsid w:val="0087605E"/>
    <w:rsid w:val="00877C91"/>
    <w:rsid w:val="00880477"/>
    <w:rsid w:val="00881523"/>
    <w:rsid w:val="00882473"/>
    <w:rsid w:val="00882ADC"/>
    <w:rsid w:val="00883D02"/>
    <w:rsid w:val="00885AEF"/>
    <w:rsid w:val="00890851"/>
    <w:rsid w:val="00891822"/>
    <w:rsid w:val="008923FC"/>
    <w:rsid w:val="008A211A"/>
    <w:rsid w:val="008A38EB"/>
    <w:rsid w:val="008A5AD7"/>
    <w:rsid w:val="008A6CCE"/>
    <w:rsid w:val="008A779B"/>
    <w:rsid w:val="008B076B"/>
    <w:rsid w:val="008B0B69"/>
    <w:rsid w:val="008B20C4"/>
    <w:rsid w:val="008B2A26"/>
    <w:rsid w:val="008B2C23"/>
    <w:rsid w:val="008B368E"/>
    <w:rsid w:val="008B489D"/>
    <w:rsid w:val="008B4D35"/>
    <w:rsid w:val="008B59A1"/>
    <w:rsid w:val="008B5ADE"/>
    <w:rsid w:val="008B7D61"/>
    <w:rsid w:val="008C07BF"/>
    <w:rsid w:val="008C07DE"/>
    <w:rsid w:val="008C0AE3"/>
    <w:rsid w:val="008C2C78"/>
    <w:rsid w:val="008C2F02"/>
    <w:rsid w:val="008C34A6"/>
    <w:rsid w:val="008C3A79"/>
    <w:rsid w:val="008C3E5D"/>
    <w:rsid w:val="008C57CF"/>
    <w:rsid w:val="008C6160"/>
    <w:rsid w:val="008C631E"/>
    <w:rsid w:val="008D36F6"/>
    <w:rsid w:val="008D4FE9"/>
    <w:rsid w:val="008D570E"/>
    <w:rsid w:val="008D7815"/>
    <w:rsid w:val="008E0379"/>
    <w:rsid w:val="008E182D"/>
    <w:rsid w:val="008E32BC"/>
    <w:rsid w:val="008E7E49"/>
    <w:rsid w:val="008F16AF"/>
    <w:rsid w:val="008F5354"/>
    <w:rsid w:val="008F7292"/>
    <w:rsid w:val="008F77A1"/>
    <w:rsid w:val="00900989"/>
    <w:rsid w:val="00900F55"/>
    <w:rsid w:val="009023F3"/>
    <w:rsid w:val="009035C5"/>
    <w:rsid w:val="00903C40"/>
    <w:rsid w:val="00903FAA"/>
    <w:rsid w:val="009041A9"/>
    <w:rsid w:val="00904F31"/>
    <w:rsid w:val="0090587A"/>
    <w:rsid w:val="00905AF0"/>
    <w:rsid w:val="009065CE"/>
    <w:rsid w:val="00906741"/>
    <w:rsid w:val="00907ECA"/>
    <w:rsid w:val="00910818"/>
    <w:rsid w:val="00910E2F"/>
    <w:rsid w:val="00911433"/>
    <w:rsid w:val="00911569"/>
    <w:rsid w:val="00911F4D"/>
    <w:rsid w:val="009142AD"/>
    <w:rsid w:val="00920B97"/>
    <w:rsid w:val="009239CC"/>
    <w:rsid w:val="0092456A"/>
    <w:rsid w:val="00924EA7"/>
    <w:rsid w:val="0092604A"/>
    <w:rsid w:val="00926935"/>
    <w:rsid w:val="00927AED"/>
    <w:rsid w:val="00927F5E"/>
    <w:rsid w:val="00930CED"/>
    <w:rsid w:val="00931BF9"/>
    <w:rsid w:val="00931E3C"/>
    <w:rsid w:val="00931E70"/>
    <w:rsid w:val="009326DC"/>
    <w:rsid w:val="009338C9"/>
    <w:rsid w:val="00933D54"/>
    <w:rsid w:val="0093677C"/>
    <w:rsid w:val="00942870"/>
    <w:rsid w:val="00943BA4"/>
    <w:rsid w:val="00945FDA"/>
    <w:rsid w:val="00946783"/>
    <w:rsid w:val="0094680E"/>
    <w:rsid w:val="00950D4C"/>
    <w:rsid w:val="00951D4B"/>
    <w:rsid w:val="0095234F"/>
    <w:rsid w:val="00953BDE"/>
    <w:rsid w:val="0095524C"/>
    <w:rsid w:val="00957D66"/>
    <w:rsid w:val="00957D72"/>
    <w:rsid w:val="00957E5B"/>
    <w:rsid w:val="00962158"/>
    <w:rsid w:val="0096492B"/>
    <w:rsid w:val="00964934"/>
    <w:rsid w:val="00965BB0"/>
    <w:rsid w:val="009660AA"/>
    <w:rsid w:val="00966730"/>
    <w:rsid w:val="00966917"/>
    <w:rsid w:val="00967A7E"/>
    <w:rsid w:val="00970CB8"/>
    <w:rsid w:val="00971705"/>
    <w:rsid w:val="00973B0F"/>
    <w:rsid w:val="00974219"/>
    <w:rsid w:val="00974344"/>
    <w:rsid w:val="00975A19"/>
    <w:rsid w:val="0097603F"/>
    <w:rsid w:val="00977564"/>
    <w:rsid w:val="00980051"/>
    <w:rsid w:val="00982235"/>
    <w:rsid w:val="009848B5"/>
    <w:rsid w:val="009850B7"/>
    <w:rsid w:val="00985575"/>
    <w:rsid w:val="00986D7E"/>
    <w:rsid w:val="0098793A"/>
    <w:rsid w:val="00993334"/>
    <w:rsid w:val="00994EC6"/>
    <w:rsid w:val="009953D2"/>
    <w:rsid w:val="009957C6"/>
    <w:rsid w:val="00995D7A"/>
    <w:rsid w:val="00995EE1"/>
    <w:rsid w:val="009A001D"/>
    <w:rsid w:val="009A1756"/>
    <w:rsid w:val="009A1E97"/>
    <w:rsid w:val="009A31F0"/>
    <w:rsid w:val="009A3C5C"/>
    <w:rsid w:val="009A4821"/>
    <w:rsid w:val="009A675C"/>
    <w:rsid w:val="009A7F34"/>
    <w:rsid w:val="009B009F"/>
    <w:rsid w:val="009B25EE"/>
    <w:rsid w:val="009B2E54"/>
    <w:rsid w:val="009B67BB"/>
    <w:rsid w:val="009C0DF1"/>
    <w:rsid w:val="009C3EB0"/>
    <w:rsid w:val="009C5045"/>
    <w:rsid w:val="009C5E23"/>
    <w:rsid w:val="009C73FA"/>
    <w:rsid w:val="009D287F"/>
    <w:rsid w:val="009D34FB"/>
    <w:rsid w:val="009D7160"/>
    <w:rsid w:val="009D76F0"/>
    <w:rsid w:val="009D7A57"/>
    <w:rsid w:val="009E0CA2"/>
    <w:rsid w:val="009E12F5"/>
    <w:rsid w:val="009E37B9"/>
    <w:rsid w:val="009E38A5"/>
    <w:rsid w:val="009E423B"/>
    <w:rsid w:val="009F07BC"/>
    <w:rsid w:val="009F0875"/>
    <w:rsid w:val="009F147E"/>
    <w:rsid w:val="009F4B94"/>
    <w:rsid w:val="009F5399"/>
    <w:rsid w:val="009F6C3F"/>
    <w:rsid w:val="009F6EE8"/>
    <w:rsid w:val="009F6EEB"/>
    <w:rsid w:val="009F7544"/>
    <w:rsid w:val="009F769F"/>
    <w:rsid w:val="00A0034E"/>
    <w:rsid w:val="00A01AB5"/>
    <w:rsid w:val="00A02C70"/>
    <w:rsid w:val="00A04863"/>
    <w:rsid w:val="00A051B8"/>
    <w:rsid w:val="00A06CAB"/>
    <w:rsid w:val="00A06CBE"/>
    <w:rsid w:val="00A07B34"/>
    <w:rsid w:val="00A10910"/>
    <w:rsid w:val="00A14408"/>
    <w:rsid w:val="00A148C0"/>
    <w:rsid w:val="00A15D61"/>
    <w:rsid w:val="00A15E30"/>
    <w:rsid w:val="00A2070D"/>
    <w:rsid w:val="00A21F35"/>
    <w:rsid w:val="00A2202E"/>
    <w:rsid w:val="00A2424C"/>
    <w:rsid w:val="00A2434C"/>
    <w:rsid w:val="00A2555A"/>
    <w:rsid w:val="00A311D9"/>
    <w:rsid w:val="00A33E8A"/>
    <w:rsid w:val="00A33FC1"/>
    <w:rsid w:val="00A34749"/>
    <w:rsid w:val="00A352FC"/>
    <w:rsid w:val="00A35E75"/>
    <w:rsid w:val="00A404A5"/>
    <w:rsid w:val="00A4100F"/>
    <w:rsid w:val="00A41B7A"/>
    <w:rsid w:val="00A420C8"/>
    <w:rsid w:val="00A423ED"/>
    <w:rsid w:val="00A42A4F"/>
    <w:rsid w:val="00A44BE2"/>
    <w:rsid w:val="00A4709C"/>
    <w:rsid w:val="00A47652"/>
    <w:rsid w:val="00A47AC4"/>
    <w:rsid w:val="00A54AF2"/>
    <w:rsid w:val="00A54FDC"/>
    <w:rsid w:val="00A55372"/>
    <w:rsid w:val="00A5662D"/>
    <w:rsid w:val="00A56C62"/>
    <w:rsid w:val="00A57609"/>
    <w:rsid w:val="00A5771D"/>
    <w:rsid w:val="00A62320"/>
    <w:rsid w:val="00A63EA4"/>
    <w:rsid w:val="00A64079"/>
    <w:rsid w:val="00A65EFE"/>
    <w:rsid w:val="00A7090A"/>
    <w:rsid w:val="00A70AA1"/>
    <w:rsid w:val="00A714C9"/>
    <w:rsid w:val="00A731B6"/>
    <w:rsid w:val="00A7336D"/>
    <w:rsid w:val="00A74256"/>
    <w:rsid w:val="00A77677"/>
    <w:rsid w:val="00A77931"/>
    <w:rsid w:val="00A80EC0"/>
    <w:rsid w:val="00A80EFE"/>
    <w:rsid w:val="00A82B90"/>
    <w:rsid w:val="00A84A88"/>
    <w:rsid w:val="00A85F77"/>
    <w:rsid w:val="00A913C3"/>
    <w:rsid w:val="00A923BF"/>
    <w:rsid w:val="00A92625"/>
    <w:rsid w:val="00A9300B"/>
    <w:rsid w:val="00A95669"/>
    <w:rsid w:val="00A972B1"/>
    <w:rsid w:val="00A972D2"/>
    <w:rsid w:val="00A97526"/>
    <w:rsid w:val="00A97B04"/>
    <w:rsid w:val="00AA00E0"/>
    <w:rsid w:val="00AA0B66"/>
    <w:rsid w:val="00AA1245"/>
    <w:rsid w:val="00AA533A"/>
    <w:rsid w:val="00AA78F9"/>
    <w:rsid w:val="00AB02A9"/>
    <w:rsid w:val="00AB121F"/>
    <w:rsid w:val="00AB141C"/>
    <w:rsid w:val="00AB152C"/>
    <w:rsid w:val="00AB1D2E"/>
    <w:rsid w:val="00AB22FE"/>
    <w:rsid w:val="00AB3F23"/>
    <w:rsid w:val="00AB4297"/>
    <w:rsid w:val="00AB4C29"/>
    <w:rsid w:val="00AB5102"/>
    <w:rsid w:val="00AB6364"/>
    <w:rsid w:val="00AB7372"/>
    <w:rsid w:val="00AC02DF"/>
    <w:rsid w:val="00AC1DB2"/>
    <w:rsid w:val="00AC3414"/>
    <w:rsid w:val="00AC3467"/>
    <w:rsid w:val="00AC5BA3"/>
    <w:rsid w:val="00AC6286"/>
    <w:rsid w:val="00AC760F"/>
    <w:rsid w:val="00AD0485"/>
    <w:rsid w:val="00AD05DB"/>
    <w:rsid w:val="00AD1A73"/>
    <w:rsid w:val="00AD3D2F"/>
    <w:rsid w:val="00AD4322"/>
    <w:rsid w:val="00AD4628"/>
    <w:rsid w:val="00AD7C92"/>
    <w:rsid w:val="00AE17C0"/>
    <w:rsid w:val="00AE3514"/>
    <w:rsid w:val="00AE424F"/>
    <w:rsid w:val="00AE6316"/>
    <w:rsid w:val="00AE67C2"/>
    <w:rsid w:val="00AE6888"/>
    <w:rsid w:val="00AE6993"/>
    <w:rsid w:val="00AE726B"/>
    <w:rsid w:val="00AE7EC5"/>
    <w:rsid w:val="00AF0FE9"/>
    <w:rsid w:val="00AF1F46"/>
    <w:rsid w:val="00AF2454"/>
    <w:rsid w:val="00AF31D6"/>
    <w:rsid w:val="00AF39FA"/>
    <w:rsid w:val="00AF4A7E"/>
    <w:rsid w:val="00AF78AE"/>
    <w:rsid w:val="00B02348"/>
    <w:rsid w:val="00B033D9"/>
    <w:rsid w:val="00B03F88"/>
    <w:rsid w:val="00B04D53"/>
    <w:rsid w:val="00B078DB"/>
    <w:rsid w:val="00B07C45"/>
    <w:rsid w:val="00B1045C"/>
    <w:rsid w:val="00B12152"/>
    <w:rsid w:val="00B1366E"/>
    <w:rsid w:val="00B13F95"/>
    <w:rsid w:val="00B16908"/>
    <w:rsid w:val="00B21E81"/>
    <w:rsid w:val="00B2257F"/>
    <w:rsid w:val="00B23393"/>
    <w:rsid w:val="00B25A4C"/>
    <w:rsid w:val="00B262A3"/>
    <w:rsid w:val="00B2648C"/>
    <w:rsid w:val="00B2745D"/>
    <w:rsid w:val="00B27494"/>
    <w:rsid w:val="00B275B0"/>
    <w:rsid w:val="00B302FD"/>
    <w:rsid w:val="00B30D5B"/>
    <w:rsid w:val="00B326C2"/>
    <w:rsid w:val="00B32917"/>
    <w:rsid w:val="00B332E6"/>
    <w:rsid w:val="00B34A64"/>
    <w:rsid w:val="00B36791"/>
    <w:rsid w:val="00B36A36"/>
    <w:rsid w:val="00B37B87"/>
    <w:rsid w:val="00B37CCD"/>
    <w:rsid w:val="00B41DE3"/>
    <w:rsid w:val="00B41E43"/>
    <w:rsid w:val="00B42666"/>
    <w:rsid w:val="00B42C64"/>
    <w:rsid w:val="00B43516"/>
    <w:rsid w:val="00B44A9D"/>
    <w:rsid w:val="00B45D24"/>
    <w:rsid w:val="00B479F5"/>
    <w:rsid w:val="00B50F23"/>
    <w:rsid w:val="00B52D29"/>
    <w:rsid w:val="00B54C68"/>
    <w:rsid w:val="00B55B33"/>
    <w:rsid w:val="00B56034"/>
    <w:rsid w:val="00B57450"/>
    <w:rsid w:val="00B645CB"/>
    <w:rsid w:val="00B6668F"/>
    <w:rsid w:val="00B668B7"/>
    <w:rsid w:val="00B66D4D"/>
    <w:rsid w:val="00B702EC"/>
    <w:rsid w:val="00B70AE9"/>
    <w:rsid w:val="00B720AF"/>
    <w:rsid w:val="00B77054"/>
    <w:rsid w:val="00B7788C"/>
    <w:rsid w:val="00B77CA7"/>
    <w:rsid w:val="00B808FF"/>
    <w:rsid w:val="00B80A7B"/>
    <w:rsid w:val="00B8384F"/>
    <w:rsid w:val="00B86A1E"/>
    <w:rsid w:val="00B879E6"/>
    <w:rsid w:val="00B87E04"/>
    <w:rsid w:val="00B87FEA"/>
    <w:rsid w:val="00B90492"/>
    <w:rsid w:val="00B909AD"/>
    <w:rsid w:val="00B92447"/>
    <w:rsid w:val="00B92BBD"/>
    <w:rsid w:val="00B92CDF"/>
    <w:rsid w:val="00B93654"/>
    <w:rsid w:val="00B957ED"/>
    <w:rsid w:val="00B960CA"/>
    <w:rsid w:val="00BA000B"/>
    <w:rsid w:val="00BA406E"/>
    <w:rsid w:val="00BA56F6"/>
    <w:rsid w:val="00BA6F3D"/>
    <w:rsid w:val="00BB0BAD"/>
    <w:rsid w:val="00BB111E"/>
    <w:rsid w:val="00BB1A10"/>
    <w:rsid w:val="00BC0B42"/>
    <w:rsid w:val="00BC1378"/>
    <w:rsid w:val="00BC3636"/>
    <w:rsid w:val="00BC56C7"/>
    <w:rsid w:val="00BD332A"/>
    <w:rsid w:val="00BD3B6C"/>
    <w:rsid w:val="00BD6690"/>
    <w:rsid w:val="00BD73FA"/>
    <w:rsid w:val="00BE021F"/>
    <w:rsid w:val="00BE05A5"/>
    <w:rsid w:val="00BE21E4"/>
    <w:rsid w:val="00BE240F"/>
    <w:rsid w:val="00BE576C"/>
    <w:rsid w:val="00BE7FA0"/>
    <w:rsid w:val="00BF245F"/>
    <w:rsid w:val="00BF2E33"/>
    <w:rsid w:val="00BF345D"/>
    <w:rsid w:val="00BF3837"/>
    <w:rsid w:val="00BF3934"/>
    <w:rsid w:val="00BF39BC"/>
    <w:rsid w:val="00BF5E95"/>
    <w:rsid w:val="00BF69D5"/>
    <w:rsid w:val="00BF7407"/>
    <w:rsid w:val="00BF75B9"/>
    <w:rsid w:val="00BF762A"/>
    <w:rsid w:val="00BF7EFF"/>
    <w:rsid w:val="00C009B5"/>
    <w:rsid w:val="00C02BB2"/>
    <w:rsid w:val="00C03F0D"/>
    <w:rsid w:val="00C05854"/>
    <w:rsid w:val="00C06BEE"/>
    <w:rsid w:val="00C070B7"/>
    <w:rsid w:val="00C07928"/>
    <w:rsid w:val="00C1107E"/>
    <w:rsid w:val="00C11265"/>
    <w:rsid w:val="00C1126C"/>
    <w:rsid w:val="00C127CF"/>
    <w:rsid w:val="00C13DEC"/>
    <w:rsid w:val="00C15014"/>
    <w:rsid w:val="00C174DC"/>
    <w:rsid w:val="00C17786"/>
    <w:rsid w:val="00C20D6E"/>
    <w:rsid w:val="00C215AA"/>
    <w:rsid w:val="00C219C7"/>
    <w:rsid w:val="00C224CF"/>
    <w:rsid w:val="00C22784"/>
    <w:rsid w:val="00C249C5"/>
    <w:rsid w:val="00C24EB1"/>
    <w:rsid w:val="00C25713"/>
    <w:rsid w:val="00C26B36"/>
    <w:rsid w:val="00C30305"/>
    <w:rsid w:val="00C31F53"/>
    <w:rsid w:val="00C401BD"/>
    <w:rsid w:val="00C407CB"/>
    <w:rsid w:val="00C415FE"/>
    <w:rsid w:val="00C42828"/>
    <w:rsid w:val="00C47859"/>
    <w:rsid w:val="00C47877"/>
    <w:rsid w:val="00C50B77"/>
    <w:rsid w:val="00C5115B"/>
    <w:rsid w:val="00C515EE"/>
    <w:rsid w:val="00C524F2"/>
    <w:rsid w:val="00C52502"/>
    <w:rsid w:val="00C52EBA"/>
    <w:rsid w:val="00C552BC"/>
    <w:rsid w:val="00C55797"/>
    <w:rsid w:val="00C61D2C"/>
    <w:rsid w:val="00C63115"/>
    <w:rsid w:val="00C63384"/>
    <w:rsid w:val="00C64159"/>
    <w:rsid w:val="00C66C5A"/>
    <w:rsid w:val="00C7086F"/>
    <w:rsid w:val="00C72732"/>
    <w:rsid w:val="00C77E1D"/>
    <w:rsid w:val="00C807DF"/>
    <w:rsid w:val="00C80A0E"/>
    <w:rsid w:val="00C81AA2"/>
    <w:rsid w:val="00C829C0"/>
    <w:rsid w:val="00C83365"/>
    <w:rsid w:val="00C83381"/>
    <w:rsid w:val="00C85EA7"/>
    <w:rsid w:val="00C85F3A"/>
    <w:rsid w:val="00C871D5"/>
    <w:rsid w:val="00C876A6"/>
    <w:rsid w:val="00C9071D"/>
    <w:rsid w:val="00C907A4"/>
    <w:rsid w:val="00C93815"/>
    <w:rsid w:val="00C94830"/>
    <w:rsid w:val="00CA66D4"/>
    <w:rsid w:val="00CA704E"/>
    <w:rsid w:val="00CA785E"/>
    <w:rsid w:val="00CB4AFE"/>
    <w:rsid w:val="00CB4E20"/>
    <w:rsid w:val="00CB7F2F"/>
    <w:rsid w:val="00CC0743"/>
    <w:rsid w:val="00CC0D05"/>
    <w:rsid w:val="00CC17D6"/>
    <w:rsid w:val="00CC2579"/>
    <w:rsid w:val="00CC2867"/>
    <w:rsid w:val="00CC602F"/>
    <w:rsid w:val="00CC667D"/>
    <w:rsid w:val="00CC6A92"/>
    <w:rsid w:val="00CC7580"/>
    <w:rsid w:val="00CD00CE"/>
    <w:rsid w:val="00CD08A7"/>
    <w:rsid w:val="00CD08D4"/>
    <w:rsid w:val="00CD1BB5"/>
    <w:rsid w:val="00CD3B63"/>
    <w:rsid w:val="00CD5312"/>
    <w:rsid w:val="00CD596C"/>
    <w:rsid w:val="00CE0538"/>
    <w:rsid w:val="00CE08D5"/>
    <w:rsid w:val="00CE1460"/>
    <w:rsid w:val="00CE155C"/>
    <w:rsid w:val="00CE253F"/>
    <w:rsid w:val="00CE2A36"/>
    <w:rsid w:val="00CE37D0"/>
    <w:rsid w:val="00CE3AE6"/>
    <w:rsid w:val="00CE3CF5"/>
    <w:rsid w:val="00CE489F"/>
    <w:rsid w:val="00CE6A98"/>
    <w:rsid w:val="00CF003E"/>
    <w:rsid w:val="00CF045A"/>
    <w:rsid w:val="00CF0859"/>
    <w:rsid w:val="00CF3197"/>
    <w:rsid w:val="00CF3707"/>
    <w:rsid w:val="00CF3875"/>
    <w:rsid w:val="00CF39E0"/>
    <w:rsid w:val="00D015CB"/>
    <w:rsid w:val="00D02E14"/>
    <w:rsid w:val="00D0392E"/>
    <w:rsid w:val="00D0393D"/>
    <w:rsid w:val="00D03FDA"/>
    <w:rsid w:val="00D04833"/>
    <w:rsid w:val="00D049A9"/>
    <w:rsid w:val="00D05217"/>
    <w:rsid w:val="00D06236"/>
    <w:rsid w:val="00D06EE0"/>
    <w:rsid w:val="00D07FC9"/>
    <w:rsid w:val="00D10395"/>
    <w:rsid w:val="00D11116"/>
    <w:rsid w:val="00D12A7D"/>
    <w:rsid w:val="00D13E54"/>
    <w:rsid w:val="00D14040"/>
    <w:rsid w:val="00D14981"/>
    <w:rsid w:val="00D149E5"/>
    <w:rsid w:val="00D1564C"/>
    <w:rsid w:val="00D15E49"/>
    <w:rsid w:val="00D17D98"/>
    <w:rsid w:val="00D20ED2"/>
    <w:rsid w:val="00D223CC"/>
    <w:rsid w:val="00D23E51"/>
    <w:rsid w:val="00D23E6D"/>
    <w:rsid w:val="00D2671B"/>
    <w:rsid w:val="00D26B44"/>
    <w:rsid w:val="00D2720F"/>
    <w:rsid w:val="00D27C1D"/>
    <w:rsid w:val="00D303C4"/>
    <w:rsid w:val="00D3159B"/>
    <w:rsid w:val="00D319F2"/>
    <w:rsid w:val="00D339D5"/>
    <w:rsid w:val="00D342A2"/>
    <w:rsid w:val="00D34827"/>
    <w:rsid w:val="00D35E85"/>
    <w:rsid w:val="00D3696B"/>
    <w:rsid w:val="00D372D3"/>
    <w:rsid w:val="00D3753B"/>
    <w:rsid w:val="00D37E47"/>
    <w:rsid w:val="00D40A79"/>
    <w:rsid w:val="00D44EDC"/>
    <w:rsid w:val="00D44F3A"/>
    <w:rsid w:val="00D452BF"/>
    <w:rsid w:val="00D45697"/>
    <w:rsid w:val="00D4573F"/>
    <w:rsid w:val="00D46565"/>
    <w:rsid w:val="00D5098A"/>
    <w:rsid w:val="00D50997"/>
    <w:rsid w:val="00D5357C"/>
    <w:rsid w:val="00D535C6"/>
    <w:rsid w:val="00D542AE"/>
    <w:rsid w:val="00D5536A"/>
    <w:rsid w:val="00D557F7"/>
    <w:rsid w:val="00D5613C"/>
    <w:rsid w:val="00D569E9"/>
    <w:rsid w:val="00D57500"/>
    <w:rsid w:val="00D57743"/>
    <w:rsid w:val="00D60358"/>
    <w:rsid w:val="00D609E4"/>
    <w:rsid w:val="00D61763"/>
    <w:rsid w:val="00D63202"/>
    <w:rsid w:val="00D63433"/>
    <w:rsid w:val="00D63F5D"/>
    <w:rsid w:val="00D643AB"/>
    <w:rsid w:val="00D6478C"/>
    <w:rsid w:val="00D648DD"/>
    <w:rsid w:val="00D65905"/>
    <w:rsid w:val="00D66767"/>
    <w:rsid w:val="00D67E6B"/>
    <w:rsid w:val="00D70A5D"/>
    <w:rsid w:val="00D71207"/>
    <w:rsid w:val="00D7261F"/>
    <w:rsid w:val="00D73B75"/>
    <w:rsid w:val="00D75303"/>
    <w:rsid w:val="00D754F4"/>
    <w:rsid w:val="00D75BEF"/>
    <w:rsid w:val="00D8011B"/>
    <w:rsid w:val="00D80CD4"/>
    <w:rsid w:val="00D81DE0"/>
    <w:rsid w:val="00D82170"/>
    <w:rsid w:val="00D821FB"/>
    <w:rsid w:val="00D84792"/>
    <w:rsid w:val="00D911DC"/>
    <w:rsid w:val="00D917B7"/>
    <w:rsid w:val="00D94A08"/>
    <w:rsid w:val="00D9522D"/>
    <w:rsid w:val="00D95837"/>
    <w:rsid w:val="00D963A2"/>
    <w:rsid w:val="00DA0F2C"/>
    <w:rsid w:val="00DA45CA"/>
    <w:rsid w:val="00DA5830"/>
    <w:rsid w:val="00DA5A27"/>
    <w:rsid w:val="00DA6DF1"/>
    <w:rsid w:val="00DB023F"/>
    <w:rsid w:val="00DB158E"/>
    <w:rsid w:val="00DB33AC"/>
    <w:rsid w:val="00DB35A9"/>
    <w:rsid w:val="00DB3622"/>
    <w:rsid w:val="00DB3F70"/>
    <w:rsid w:val="00DB4ECD"/>
    <w:rsid w:val="00DB50B3"/>
    <w:rsid w:val="00DC00CD"/>
    <w:rsid w:val="00DC19CA"/>
    <w:rsid w:val="00DC4F0D"/>
    <w:rsid w:val="00DD1A85"/>
    <w:rsid w:val="00DD2B9E"/>
    <w:rsid w:val="00DD40AE"/>
    <w:rsid w:val="00DD53AD"/>
    <w:rsid w:val="00DD5D77"/>
    <w:rsid w:val="00DD6EFF"/>
    <w:rsid w:val="00DD74A3"/>
    <w:rsid w:val="00DD76F5"/>
    <w:rsid w:val="00DE0632"/>
    <w:rsid w:val="00DE43F9"/>
    <w:rsid w:val="00DE5294"/>
    <w:rsid w:val="00DE5332"/>
    <w:rsid w:val="00DE72D4"/>
    <w:rsid w:val="00DF031C"/>
    <w:rsid w:val="00DF05C0"/>
    <w:rsid w:val="00DF1119"/>
    <w:rsid w:val="00DF1263"/>
    <w:rsid w:val="00DF5F40"/>
    <w:rsid w:val="00DF6223"/>
    <w:rsid w:val="00DF62E7"/>
    <w:rsid w:val="00DF6510"/>
    <w:rsid w:val="00DF68E7"/>
    <w:rsid w:val="00DF6BB5"/>
    <w:rsid w:val="00DF7455"/>
    <w:rsid w:val="00DF75C0"/>
    <w:rsid w:val="00DF7890"/>
    <w:rsid w:val="00E0203F"/>
    <w:rsid w:val="00E02082"/>
    <w:rsid w:val="00E0323D"/>
    <w:rsid w:val="00E0371E"/>
    <w:rsid w:val="00E04B19"/>
    <w:rsid w:val="00E078C5"/>
    <w:rsid w:val="00E112BF"/>
    <w:rsid w:val="00E12FB3"/>
    <w:rsid w:val="00E13DFB"/>
    <w:rsid w:val="00E16954"/>
    <w:rsid w:val="00E17C76"/>
    <w:rsid w:val="00E20457"/>
    <w:rsid w:val="00E206CB"/>
    <w:rsid w:val="00E20B50"/>
    <w:rsid w:val="00E2111E"/>
    <w:rsid w:val="00E22AAA"/>
    <w:rsid w:val="00E233ED"/>
    <w:rsid w:val="00E2384D"/>
    <w:rsid w:val="00E2458A"/>
    <w:rsid w:val="00E26DC1"/>
    <w:rsid w:val="00E271EF"/>
    <w:rsid w:val="00E272A5"/>
    <w:rsid w:val="00E30EC8"/>
    <w:rsid w:val="00E31754"/>
    <w:rsid w:val="00E328C7"/>
    <w:rsid w:val="00E33A9F"/>
    <w:rsid w:val="00E35040"/>
    <w:rsid w:val="00E3544C"/>
    <w:rsid w:val="00E355F1"/>
    <w:rsid w:val="00E36EC8"/>
    <w:rsid w:val="00E3730A"/>
    <w:rsid w:val="00E37E4E"/>
    <w:rsid w:val="00E40A54"/>
    <w:rsid w:val="00E4103D"/>
    <w:rsid w:val="00E42399"/>
    <w:rsid w:val="00E432C0"/>
    <w:rsid w:val="00E43E30"/>
    <w:rsid w:val="00E47374"/>
    <w:rsid w:val="00E47F66"/>
    <w:rsid w:val="00E54438"/>
    <w:rsid w:val="00E56E33"/>
    <w:rsid w:val="00E57603"/>
    <w:rsid w:val="00E614D1"/>
    <w:rsid w:val="00E6249A"/>
    <w:rsid w:val="00E63045"/>
    <w:rsid w:val="00E63D25"/>
    <w:rsid w:val="00E65538"/>
    <w:rsid w:val="00E65A14"/>
    <w:rsid w:val="00E6610D"/>
    <w:rsid w:val="00E67FBE"/>
    <w:rsid w:val="00E700B8"/>
    <w:rsid w:val="00E71D60"/>
    <w:rsid w:val="00E74AA9"/>
    <w:rsid w:val="00E74BEE"/>
    <w:rsid w:val="00E775B0"/>
    <w:rsid w:val="00E81161"/>
    <w:rsid w:val="00E830F1"/>
    <w:rsid w:val="00E83980"/>
    <w:rsid w:val="00E83F18"/>
    <w:rsid w:val="00E83F87"/>
    <w:rsid w:val="00E85083"/>
    <w:rsid w:val="00E8594A"/>
    <w:rsid w:val="00E9028E"/>
    <w:rsid w:val="00E90393"/>
    <w:rsid w:val="00E921F2"/>
    <w:rsid w:val="00E92DBB"/>
    <w:rsid w:val="00E93D40"/>
    <w:rsid w:val="00E94F80"/>
    <w:rsid w:val="00E9528C"/>
    <w:rsid w:val="00E9545B"/>
    <w:rsid w:val="00EA1D86"/>
    <w:rsid w:val="00EA21FE"/>
    <w:rsid w:val="00EA49C0"/>
    <w:rsid w:val="00EA4A0B"/>
    <w:rsid w:val="00EA6BD9"/>
    <w:rsid w:val="00EA7C59"/>
    <w:rsid w:val="00EB2947"/>
    <w:rsid w:val="00EB2C24"/>
    <w:rsid w:val="00EB331E"/>
    <w:rsid w:val="00EB5DEF"/>
    <w:rsid w:val="00EB6030"/>
    <w:rsid w:val="00EB61AF"/>
    <w:rsid w:val="00EB6927"/>
    <w:rsid w:val="00EB6B7F"/>
    <w:rsid w:val="00EB7072"/>
    <w:rsid w:val="00EB7A91"/>
    <w:rsid w:val="00EC011B"/>
    <w:rsid w:val="00EC0504"/>
    <w:rsid w:val="00EC320E"/>
    <w:rsid w:val="00EC57C2"/>
    <w:rsid w:val="00EC6454"/>
    <w:rsid w:val="00EC6D62"/>
    <w:rsid w:val="00EC70E5"/>
    <w:rsid w:val="00EC7688"/>
    <w:rsid w:val="00ED00D2"/>
    <w:rsid w:val="00ED08A6"/>
    <w:rsid w:val="00ED27CE"/>
    <w:rsid w:val="00ED3323"/>
    <w:rsid w:val="00ED3CA1"/>
    <w:rsid w:val="00ED45F0"/>
    <w:rsid w:val="00ED4EB3"/>
    <w:rsid w:val="00ED6481"/>
    <w:rsid w:val="00EE1C6A"/>
    <w:rsid w:val="00EE2981"/>
    <w:rsid w:val="00EE3721"/>
    <w:rsid w:val="00EE50D6"/>
    <w:rsid w:val="00EE73ED"/>
    <w:rsid w:val="00EF195A"/>
    <w:rsid w:val="00EF1F41"/>
    <w:rsid w:val="00EF284C"/>
    <w:rsid w:val="00EF297D"/>
    <w:rsid w:val="00EF50B8"/>
    <w:rsid w:val="00F00CF5"/>
    <w:rsid w:val="00F01A9D"/>
    <w:rsid w:val="00F02CF0"/>
    <w:rsid w:val="00F03C32"/>
    <w:rsid w:val="00F05DBF"/>
    <w:rsid w:val="00F0779E"/>
    <w:rsid w:val="00F1070E"/>
    <w:rsid w:val="00F10CDB"/>
    <w:rsid w:val="00F10EC0"/>
    <w:rsid w:val="00F1114E"/>
    <w:rsid w:val="00F1235F"/>
    <w:rsid w:val="00F12DD1"/>
    <w:rsid w:val="00F12FF2"/>
    <w:rsid w:val="00F13DAE"/>
    <w:rsid w:val="00F1698D"/>
    <w:rsid w:val="00F16A45"/>
    <w:rsid w:val="00F2065C"/>
    <w:rsid w:val="00F21477"/>
    <w:rsid w:val="00F21AB7"/>
    <w:rsid w:val="00F2201D"/>
    <w:rsid w:val="00F23B91"/>
    <w:rsid w:val="00F2441B"/>
    <w:rsid w:val="00F2491D"/>
    <w:rsid w:val="00F259BE"/>
    <w:rsid w:val="00F25E06"/>
    <w:rsid w:val="00F2698B"/>
    <w:rsid w:val="00F276DB"/>
    <w:rsid w:val="00F30178"/>
    <w:rsid w:val="00F325DA"/>
    <w:rsid w:val="00F326CF"/>
    <w:rsid w:val="00F33B3C"/>
    <w:rsid w:val="00F34711"/>
    <w:rsid w:val="00F36E3B"/>
    <w:rsid w:val="00F41BF5"/>
    <w:rsid w:val="00F43147"/>
    <w:rsid w:val="00F43B95"/>
    <w:rsid w:val="00F46DFC"/>
    <w:rsid w:val="00F46F00"/>
    <w:rsid w:val="00F47517"/>
    <w:rsid w:val="00F47876"/>
    <w:rsid w:val="00F52E20"/>
    <w:rsid w:val="00F53357"/>
    <w:rsid w:val="00F5445B"/>
    <w:rsid w:val="00F54942"/>
    <w:rsid w:val="00F6429F"/>
    <w:rsid w:val="00F64385"/>
    <w:rsid w:val="00F64EE9"/>
    <w:rsid w:val="00F66BA8"/>
    <w:rsid w:val="00F67251"/>
    <w:rsid w:val="00F70A1B"/>
    <w:rsid w:val="00F71D60"/>
    <w:rsid w:val="00F71F2E"/>
    <w:rsid w:val="00F72402"/>
    <w:rsid w:val="00F7481D"/>
    <w:rsid w:val="00F74E1A"/>
    <w:rsid w:val="00F7500F"/>
    <w:rsid w:val="00F752AA"/>
    <w:rsid w:val="00F757D8"/>
    <w:rsid w:val="00F7707E"/>
    <w:rsid w:val="00F80D00"/>
    <w:rsid w:val="00F818D3"/>
    <w:rsid w:val="00F82CEC"/>
    <w:rsid w:val="00F84C7C"/>
    <w:rsid w:val="00F84E17"/>
    <w:rsid w:val="00F85019"/>
    <w:rsid w:val="00F857D9"/>
    <w:rsid w:val="00F85E09"/>
    <w:rsid w:val="00F87400"/>
    <w:rsid w:val="00F90370"/>
    <w:rsid w:val="00F906C7"/>
    <w:rsid w:val="00F9111D"/>
    <w:rsid w:val="00F91616"/>
    <w:rsid w:val="00F927E2"/>
    <w:rsid w:val="00F93861"/>
    <w:rsid w:val="00F93D17"/>
    <w:rsid w:val="00F954A9"/>
    <w:rsid w:val="00F957BE"/>
    <w:rsid w:val="00FA17BB"/>
    <w:rsid w:val="00FA2F24"/>
    <w:rsid w:val="00FA570B"/>
    <w:rsid w:val="00FA5735"/>
    <w:rsid w:val="00FA75C9"/>
    <w:rsid w:val="00FA7E9B"/>
    <w:rsid w:val="00FB0515"/>
    <w:rsid w:val="00FB0772"/>
    <w:rsid w:val="00FB1025"/>
    <w:rsid w:val="00FB1501"/>
    <w:rsid w:val="00FB15D8"/>
    <w:rsid w:val="00FB1B80"/>
    <w:rsid w:val="00FB23A6"/>
    <w:rsid w:val="00FB3354"/>
    <w:rsid w:val="00FB34A8"/>
    <w:rsid w:val="00FB364B"/>
    <w:rsid w:val="00FB3D58"/>
    <w:rsid w:val="00FC009A"/>
    <w:rsid w:val="00FC163D"/>
    <w:rsid w:val="00FC1829"/>
    <w:rsid w:val="00FC313B"/>
    <w:rsid w:val="00FC5493"/>
    <w:rsid w:val="00FC555A"/>
    <w:rsid w:val="00FC685F"/>
    <w:rsid w:val="00FD0AEF"/>
    <w:rsid w:val="00FD1CBB"/>
    <w:rsid w:val="00FD2BE0"/>
    <w:rsid w:val="00FD3FAC"/>
    <w:rsid w:val="00FD4759"/>
    <w:rsid w:val="00FD6570"/>
    <w:rsid w:val="00FE0B8A"/>
    <w:rsid w:val="00FE1649"/>
    <w:rsid w:val="00FE1D55"/>
    <w:rsid w:val="00FE437E"/>
    <w:rsid w:val="00FE5281"/>
    <w:rsid w:val="00FE57AD"/>
    <w:rsid w:val="00FE6620"/>
    <w:rsid w:val="00FE71BC"/>
    <w:rsid w:val="00FE76AA"/>
    <w:rsid w:val="00FE78A7"/>
    <w:rsid w:val="00FF1523"/>
    <w:rsid w:val="00FF1B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prastasis">
    <w:name w:val="Normal"/>
    <w:qFormat/>
    <w:rsid w:val="009065CE"/>
    <w:rPr>
      <w:sz w:val="24"/>
      <w:szCs w:val="24"/>
      <w:lang w:eastAsia="en-US"/>
    </w:rPr>
  </w:style>
  <w:style w:type="paragraph" w:styleId="Antrat1">
    <w:name w:val="heading 1"/>
    <w:basedOn w:val="prastasis"/>
    <w:next w:val="prastasis"/>
    <w:link w:val="Antrat1Diagrama"/>
    <w:uiPriority w:val="9"/>
    <w:qFormat/>
    <w:rsid w:val="009D287F"/>
    <w:pPr>
      <w:keepNext/>
      <w:spacing w:before="240" w:after="60"/>
      <w:outlineLvl w:val="0"/>
    </w:pPr>
    <w:rPr>
      <w:rFonts w:ascii="Cambria" w:eastAsia="Times New Roman" w:hAnsi="Cambria"/>
      <w:b/>
      <w:bCs/>
      <w:kern w:val="32"/>
      <w:sz w:val="32"/>
      <w:szCs w:val="32"/>
    </w:rPr>
  </w:style>
  <w:style w:type="paragraph" w:styleId="Antrat2">
    <w:name w:val="heading 2"/>
    <w:basedOn w:val="prastasis"/>
    <w:next w:val="prastasis"/>
    <w:link w:val="Antrat2Diagrama"/>
    <w:uiPriority w:val="9"/>
    <w:qFormat/>
    <w:rsid w:val="003A08C9"/>
    <w:pPr>
      <w:keepNext/>
      <w:spacing w:before="240" w:after="60"/>
      <w:outlineLvl w:val="1"/>
    </w:pPr>
    <w:rPr>
      <w:rFonts w:ascii="Cambria" w:eastAsia="Times New Roman" w:hAnsi="Cambria"/>
      <w:b/>
      <w:bCs/>
      <w:i/>
      <w:iCs/>
      <w:sz w:val="28"/>
      <w:szCs w:val="28"/>
    </w:rPr>
  </w:style>
  <w:style w:type="paragraph" w:styleId="Antrat3">
    <w:name w:val="heading 3"/>
    <w:basedOn w:val="prastasis"/>
    <w:next w:val="prastasis"/>
    <w:link w:val="Antrat3Diagrama"/>
    <w:qFormat/>
    <w:rsid w:val="00437558"/>
    <w:pPr>
      <w:keepNext/>
      <w:spacing w:before="240" w:after="60"/>
      <w:outlineLvl w:val="2"/>
    </w:pPr>
    <w:rPr>
      <w:rFonts w:ascii="Arial" w:eastAsia="Times New Roman" w:hAnsi="Arial" w:cs="Arial"/>
      <w:b/>
      <w:bCs/>
      <w:sz w:val="26"/>
      <w:szCs w:val="26"/>
      <w:lang w:eastAsia="lt-LT"/>
    </w:rPr>
  </w:style>
  <w:style w:type="paragraph" w:styleId="Antrat4">
    <w:name w:val="heading 4"/>
    <w:basedOn w:val="prastasis"/>
    <w:next w:val="prastasis"/>
    <w:link w:val="Antrat4Diagrama"/>
    <w:qFormat/>
    <w:rsid w:val="003E3809"/>
    <w:pPr>
      <w:keepNext/>
      <w:spacing w:before="240" w:after="60" w:line="360" w:lineRule="auto"/>
      <w:ind w:firstLine="1418"/>
      <w:jc w:val="both"/>
      <w:outlineLvl w:val="3"/>
    </w:pPr>
    <w:rPr>
      <w:rFonts w:ascii="Calibri" w:eastAsia="Times New Roman" w:hAnsi="Calibri"/>
      <w:b/>
      <w:bCs/>
      <w:sz w:val="28"/>
      <w:szCs w:val="28"/>
      <w:lang w:eastAsia="lt-LT"/>
    </w:rPr>
  </w:style>
  <w:style w:type="paragraph" w:styleId="Antrat5">
    <w:name w:val="heading 5"/>
    <w:basedOn w:val="prastasis"/>
    <w:next w:val="prastasis"/>
    <w:link w:val="Antrat5Diagrama"/>
    <w:qFormat/>
    <w:rsid w:val="003E3809"/>
    <w:pPr>
      <w:spacing w:before="240" w:after="60" w:line="360" w:lineRule="auto"/>
      <w:ind w:firstLine="1418"/>
      <w:jc w:val="both"/>
      <w:outlineLvl w:val="4"/>
    </w:pPr>
    <w:rPr>
      <w:rFonts w:ascii="Calibri" w:eastAsia="Times New Roman" w:hAnsi="Calibri"/>
      <w:b/>
      <w:bCs/>
      <w:i/>
      <w:iCs/>
      <w:sz w:val="26"/>
      <w:szCs w:val="26"/>
      <w:lang w:eastAsia="lt-LT"/>
    </w:rPr>
  </w:style>
  <w:style w:type="paragraph" w:styleId="Antrat6">
    <w:name w:val="heading 6"/>
    <w:basedOn w:val="prastasis"/>
    <w:next w:val="prastasis"/>
    <w:link w:val="Antrat6Diagrama"/>
    <w:qFormat/>
    <w:rsid w:val="003E3809"/>
    <w:pPr>
      <w:spacing w:before="240" w:after="60" w:line="360" w:lineRule="auto"/>
      <w:ind w:firstLine="1418"/>
      <w:jc w:val="both"/>
      <w:outlineLvl w:val="5"/>
    </w:pPr>
    <w:rPr>
      <w:rFonts w:ascii="Calibri" w:eastAsia="Times New Roman" w:hAnsi="Calibri"/>
      <w:b/>
      <w:bCs/>
      <w:sz w:val="22"/>
      <w:szCs w:val="2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
    <w:rsid w:val="009D287F"/>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3A08C9"/>
    <w:rPr>
      <w:rFonts w:ascii="Cambria" w:eastAsia="Times New Roman" w:hAnsi="Cambria" w:cs="Times New Roman"/>
      <w:b/>
      <w:bCs/>
      <w:i/>
      <w:iCs/>
      <w:sz w:val="28"/>
      <w:szCs w:val="28"/>
      <w:lang w:eastAsia="en-US"/>
    </w:rPr>
  </w:style>
  <w:style w:type="character" w:customStyle="1" w:styleId="Antrat3Diagrama">
    <w:name w:val="Antraštė 3 Diagrama"/>
    <w:link w:val="Antrat3"/>
    <w:rsid w:val="00437558"/>
    <w:rPr>
      <w:rFonts w:ascii="Arial" w:eastAsia="Times New Roman" w:hAnsi="Arial" w:cs="Arial"/>
      <w:b/>
      <w:bCs/>
      <w:sz w:val="26"/>
      <w:szCs w:val="26"/>
    </w:rPr>
  </w:style>
  <w:style w:type="character" w:customStyle="1" w:styleId="Antrat4Diagrama">
    <w:name w:val="Antraštė 4 Diagrama"/>
    <w:link w:val="Antrat4"/>
    <w:rsid w:val="003E3809"/>
    <w:rPr>
      <w:rFonts w:ascii="Calibri" w:hAnsi="Calibri"/>
      <w:b/>
      <w:bCs/>
      <w:sz w:val="28"/>
      <w:szCs w:val="28"/>
      <w:lang w:val="lt-LT" w:eastAsia="lt-LT" w:bidi="ar-SA"/>
    </w:rPr>
  </w:style>
  <w:style w:type="character" w:customStyle="1" w:styleId="Antrat5Diagrama">
    <w:name w:val="Antraštė 5 Diagrama"/>
    <w:link w:val="Antrat5"/>
    <w:rsid w:val="003E3809"/>
    <w:rPr>
      <w:rFonts w:ascii="Calibri" w:hAnsi="Calibri"/>
      <w:b/>
      <w:bCs/>
      <w:i/>
      <w:iCs/>
      <w:sz w:val="26"/>
      <w:szCs w:val="26"/>
      <w:lang w:val="lt-LT" w:eastAsia="lt-LT" w:bidi="ar-SA"/>
    </w:rPr>
  </w:style>
  <w:style w:type="character" w:customStyle="1" w:styleId="Antrat6Diagrama">
    <w:name w:val="Antraštė 6 Diagrama"/>
    <w:link w:val="Antrat6"/>
    <w:rsid w:val="003E3809"/>
    <w:rPr>
      <w:rFonts w:ascii="Calibri" w:hAnsi="Calibri"/>
      <w:b/>
      <w:bCs/>
      <w:sz w:val="22"/>
      <w:szCs w:val="22"/>
      <w:lang w:val="lt-LT" w:eastAsia="lt-LT" w:bidi="ar-SA"/>
    </w:rPr>
  </w:style>
  <w:style w:type="paragraph" w:styleId="Puslapioinaostekstas">
    <w:name w:val="footnote text"/>
    <w:aliases w:val="Fußnotentext Char,Fußnotentext Char1 Char,Fußnotentext Char Char Char,Footnote Text Char Char Char,Footnote Text Char2,Footnote Text Char Char1,Footnote Text Char1 Char Char1,Footnote Text Char Char Char Char1,Footnote Char Char"/>
    <w:basedOn w:val="prastasis"/>
    <w:link w:val="PuslapioinaostekstasDiagrama"/>
    <w:uiPriority w:val="99"/>
    <w:unhideWhenUsed/>
    <w:rsid w:val="001D4939"/>
    <w:rPr>
      <w:sz w:val="20"/>
      <w:szCs w:val="20"/>
    </w:rPr>
  </w:style>
  <w:style w:type="character" w:customStyle="1" w:styleId="PuslapioinaostekstasDiagrama">
    <w:name w:val="Puslapio išnašos tekstas Diagrama"/>
    <w:aliases w:val="Fußnotentext Char Diagrama,Fußnotentext Char1 Char Diagrama,Fußnotentext Char Char Char Diagrama,Footnote Text Char Char Char Diagrama,Footnote Text Char2 Diagrama,Footnote Text Char Char1 Diagrama"/>
    <w:link w:val="Puslapioinaostekstas"/>
    <w:uiPriority w:val="99"/>
    <w:rsid w:val="001D4939"/>
    <w:rPr>
      <w:lang w:eastAsia="en-US"/>
    </w:rPr>
  </w:style>
  <w:style w:type="character" w:styleId="Puslapioinaosnuoroda">
    <w:name w:val="footnote reference"/>
    <w:uiPriority w:val="99"/>
    <w:semiHidden/>
    <w:unhideWhenUsed/>
    <w:rsid w:val="001D4939"/>
    <w:rPr>
      <w:vertAlign w:val="superscript"/>
    </w:rPr>
  </w:style>
  <w:style w:type="paragraph" w:styleId="Pagrindinistekstas">
    <w:name w:val="Body Text"/>
    <w:basedOn w:val="prastasis"/>
    <w:link w:val="PagrindinistekstasDiagrama"/>
    <w:rsid w:val="00F01A9D"/>
    <w:rPr>
      <w:rFonts w:eastAsia="Times New Roman"/>
      <w:b/>
      <w:bCs/>
    </w:rPr>
  </w:style>
  <w:style w:type="character" w:customStyle="1" w:styleId="PagrindinistekstasDiagrama">
    <w:name w:val="Pagrindinis tekstas Diagrama"/>
    <w:link w:val="Pagrindinistekstas"/>
    <w:rsid w:val="00F01A9D"/>
    <w:rPr>
      <w:rFonts w:eastAsia="Times New Roman"/>
      <w:b/>
      <w:bCs/>
      <w:sz w:val="24"/>
      <w:szCs w:val="24"/>
      <w:lang w:eastAsia="en-US"/>
    </w:rPr>
  </w:style>
  <w:style w:type="paragraph" w:styleId="Antrats">
    <w:name w:val="header"/>
    <w:basedOn w:val="prastasis"/>
    <w:link w:val="AntratsDiagrama"/>
    <w:uiPriority w:val="99"/>
    <w:unhideWhenUsed/>
    <w:rsid w:val="006B5C29"/>
    <w:pPr>
      <w:tabs>
        <w:tab w:val="center" w:pos="4819"/>
        <w:tab w:val="right" w:pos="9638"/>
      </w:tabs>
    </w:pPr>
  </w:style>
  <w:style w:type="character" w:customStyle="1" w:styleId="AntratsDiagrama">
    <w:name w:val="Antraštės Diagrama"/>
    <w:link w:val="Antrats"/>
    <w:uiPriority w:val="99"/>
    <w:rsid w:val="006B5C29"/>
    <w:rPr>
      <w:sz w:val="24"/>
      <w:szCs w:val="24"/>
      <w:lang w:eastAsia="en-US"/>
    </w:rPr>
  </w:style>
  <w:style w:type="paragraph" w:styleId="Porat">
    <w:name w:val="footer"/>
    <w:basedOn w:val="prastasis"/>
    <w:link w:val="PoratDiagrama"/>
    <w:uiPriority w:val="99"/>
    <w:unhideWhenUsed/>
    <w:rsid w:val="006B5C29"/>
    <w:pPr>
      <w:tabs>
        <w:tab w:val="center" w:pos="4819"/>
        <w:tab w:val="right" w:pos="9638"/>
      </w:tabs>
    </w:pPr>
  </w:style>
  <w:style w:type="character" w:customStyle="1" w:styleId="PoratDiagrama">
    <w:name w:val="Poraštė Diagrama"/>
    <w:link w:val="Porat"/>
    <w:uiPriority w:val="99"/>
    <w:rsid w:val="006B5C29"/>
    <w:rPr>
      <w:sz w:val="24"/>
      <w:szCs w:val="24"/>
      <w:lang w:eastAsia="en-US"/>
    </w:rPr>
  </w:style>
  <w:style w:type="paragraph" w:styleId="prastasistinklapis">
    <w:name w:val="Normal (Web)"/>
    <w:basedOn w:val="prastasis"/>
    <w:uiPriority w:val="99"/>
    <w:semiHidden/>
    <w:unhideWhenUsed/>
    <w:rsid w:val="00E36EC8"/>
  </w:style>
  <w:style w:type="character" w:styleId="Emfaz">
    <w:name w:val="Emphasis"/>
    <w:uiPriority w:val="20"/>
    <w:qFormat/>
    <w:rsid w:val="000455D0"/>
    <w:rPr>
      <w:i/>
      <w:iCs/>
    </w:rPr>
  </w:style>
  <w:style w:type="paragraph" w:styleId="HTMLiankstoformatuotas">
    <w:name w:val="HTML Preformatted"/>
    <w:basedOn w:val="prastasis"/>
    <w:link w:val="HTMLiankstoformatuotasDiagrama"/>
    <w:uiPriority w:val="99"/>
    <w:unhideWhenUsed/>
    <w:rsid w:val="004228EF"/>
    <w:rPr>
      <w:rFonts w:ascii="Courier New" w:hAnsi="Courier New" w:cs="Courier New"/>
      <w:sz w:val="20"/>
      <w:szCs w:val="20"/>
    </w:rPr>
  </w:style>
  <w:style w:type="character" w:customStyle="1" w:styleId="HTMLiankstoformatuotasDiagrama">
    <w:name w:val="HTML iš anksto formatuotas Diagrama"/>
    <w:link w:val="HTMLiankstoformatuotas"/>
    <w:uiPriority w:val="99"/>
    <w:rsid w:val="004228EF"/>
    <w:rPr>
      <w:rFonts w:ascii="Courier New" w:hAnsi="Courier New" w:cs="Courier New"/>
      <w:lang w:eastAsia="en-US"/>
    </w:rPr>
  </w:style>
  <w:style w:type="character" w:styleId="Hipersaitas">
    <w:name w:val="Hyperlink"/>
    <w:uiPriority w:val="99"/>
    <w:unhideWhenUsed/>
    <w:rsid w:val="00584B70"/>
    <w:rPr>
      <w:color w:val="0000FF"/>
      <w:u w:val="single"/>
    </w:rPr>
  </w:style>
  <w:style w:type="paragraph" w:styleId="Turinioantrat">
    <w:name w:val="TOC Heading"/>
    <w:basedOn w:val="Antrat1"/>
    <w:next w:val="prastasis"/>
    <w:uiPriority w:val="39"/>
    <w:qFormat/>
    <w:rsid w:val="008B5ADE"/>
    <w:pPr>
      <w:outlineLvl w:val="9"/>
    </w:pPr>
  </w:style>
  <w:style w:type="paragraph" w:styleId="Turinys2">
    <w:name w:val="toc 2"/>
    <w:basedOn w:val="prastasis"/>
    <w:next w:val="prastasis"/>
    <w:autoRedefine/>
    <w:uiPriority w:val="39"/>
    <w:unhideWhenUsed/>
    <w:rsid w:val="008B5ADE"/>
    <w:pPr>
      <w:ind w:left="240"/>
    </w:pPr>
  </w:style>
  <w:style w:type="paragraph" w:styleId="Turinys3">
    <w:name w:val="toc 3"/>
    <w:basedOn w:val="prastasis"/>
    <w:next w:val="prastasis"/>
    <w:autoRedefine/>
    <w:uiPriority w:val="39"/>
    <w:unhideWhenUsed/>
    <w:rsid w:val="008B5ADE"/>
    <w:pPr>
      <w:ind w:left="480"/>
    </w:pPr>
  </w:style>
  <w:style w:type="paragraph" w:styleId="Turinys1">
    <w:name w:val="toc 1"/>
    <w:basedOn w:val="prastasis"/>
    <w:next w:val="prastasis"/>
    <w:autoRedefine/>
    <w:uiPriority w:val="39"/>
    <w:unhideWhenUsed/>
    <w:rsid w:val="0056607D"/>
  </w:style>
  <w:style w:type="character" w:styleId="Grietas">
    <w:name w:val="Strong"/>
    <w:qFormat/>
    <w:rsid w:val="003E3809"/>
    <w:rPr>
      <w:b/>
      <w:bCs/>
    </w:rPr>
  </w:style>
  <w:style w:type="paragraph" w:styleId="Paprastasistekstas">
    <w:name w:val="Plain Text"/>
    <w:basedOn w:val="prastasis"/>
    <w:link w:val="PaprastasistekstasDiagrama"/>
    <w:rsid w:val="003E3809"/>
    <w:rPr>
      <w:rFonts w:ascii="Courier New" w:eastAsia="Times New Roman" w:hAnsi="Courier New"/>
      <w:sz w:val="20"/>
      <w:szCs w:val="20"/>
    </w:rPr>
  </w:style>
  <w:style w:type="character" w:styleId="Puslapionumeris">
    <w:name w:val="page number"/>
    <w:basedOn w:val="Numatytasispastraiposriftas"/>
    <w:rsid w:val="003E3809"/>
  </w:style>
  <w:style w:type="paragraph" w:styleId="Citata">
    <w:name w:val="Quote"/>
    <w:basedOn w:val="prastasis"/>
    <w:next w:val="prastasis"/>
    <w:link w:val="CitataDiagrama"/>
    <w:qFormat/>
    <w:rsid w:val="003E3809"/>
    <w:rPr>
      <w:rFonts w:eastAsia="Times New Roman"/>
      <w:i/>
      <w:iCs/>
      <w:color w:val="000000"/>
      <w:lang w:eastAsia="lt-LT"/>
    </w:rPr>
  </w:style>
  <w:style w:type="character" w:customStyle="1" w:styleId="CitataDiagrama">
    <w:name w:val="Citata Diagrama"/>
    <w:link w:val="Citata"/>
    <w:rsid w:val="003E3809"/>
    <w:rPr>
      <w:i/>
      <w:iCs/>
      <w:color w:val="000000"/>
      <w:sz w:val="24"/>
      <w:szCs w:val="24"/>
      <w:lang w:val="lt-LT" w:eastAsia="lt-LT" w:bidi="ar-SA"/>
    </w:rPr>
  </w:style>
  <w:style w:type="paragraph" w:customStyle="1" w:styleId="a">
    <w:name w:val="Īįū÷ķūé"/>
    <w:basedOn w:val="prastasis"/>
    <w:next w:val="prastasis"/>
    <w:rsid w:val="003E3809"/>
    <w:pPr>
      <w:autoSpaceDE w:val="0"/>
      <w:autoSpaceDN w:val="0"/>
      <w:adjustRightInd w:val="0"/>
    </w:pPr>
    <w:rPr>
      <w:rFonts w:eastAsia="Times New Roman"/>
      <w:lang w:eastAsia="lt-LT"/>
    </w:rPr>
  </w:style>
  <w:style w:type="paragraph" w:styleId="Pavadinimas">
    <w:name w:val="Title"/>
    <w:basedOn w:val="prastasis"/>
    <w:next w:val="prastasis"/>
    <w:link w:val="PavadinimasDiagrama"/>
    <w:qFormat/>
    <w:rsid w:val="003E3809"/>
    <w:pPr>
      <w:spacing w:before="240" w:after="60"/>
      <w:jc w:val="center"/>
      <w:outlineLvl w:val="0"/>
    </w:pPr>
    <w:rPr>
      <w:rFonts w:ascii="Cambria" w:eastAsia="Times New Roman" w:hAnsi="Cambria"/>
      <w:b/>
      <w:bCs/>
      <w:kern w:val="28"/>
      <w:sz w:val="32"/>
      <w:szCs w:val="32"/>
      <w:lang w:eastAsia="lt-LT"/>
    </w:rPr>
  </w:style>
  <w:style w:type="paragraph" w:styleId="Iskirtacitata">
    <w:name w:val="Intense Quote"/>
    <w:basedOn w:val="prastasis"/>
    <w:next w:val="prastasis"/>
    <w:link w:val="IskirtacitataDiagrama"/>
    <w:qFormat/>
    <w:rsid w:val="003E3809"/>
    <w:pPr>
      <w:pBdr>
        <w:bottom w:val="single" w:sz="4" w:space="4" w:color="4F81BD"/>
      </w:pBdr>
      <w:spacing w:before="200" w:after="280"/>
      <w:ind w:left="936" w:right="936"/>
    </w:pPr>
    <w:rPr>
      <w:rFonts w:eastAsia="Times New Roman"/>
      <w:b/>
      <w:bCs/>
      <w:i/>
      <w:iCs/>
      <w:color w:val="4F81BD"/>
      <w:lang w:eastAsia="lt-LT"/>
    </w:rPr>
  </w:style>
  <w:style w:type="character" w:customStyle="1" w:styleId="IskirtacitataDiagrama">
    <w:name w:val="Išskirta citata Diagrama"/>
    <w:link w:val="Iskirtacitata"/>
    <w:rsid w:val="003E3809"/>
    <w:rPr>
      <w:b/>
      <w:bCs/>
      <w:i/>
      <w:iCs/>
      <w:color w:val="4F81BD"/>
      <w:sz w:val="24"/>
      <w:szCs w:val="24"/>
      <w:lang w:val="lt-LT" w:eastAsia="lt-LT" w:bidi="ar-SA"/>
    </w:rPr>
  </w:style>
  <w:style w:type="paragraph" w:styleId="Antrinispavadinimas">
    <w:name w:val="Subtitle"/>
    <w:basedOn w:val="prastasis"/>
    <w:next w:val="prastasis"/>
    <w:link w:val="AntrinispavadinimasDiagrama"/>
    <w:qFormat/>
    <w:rsid w:val="003E3809"/>
    <w:pPr>
      <w:spacing w:after="60"/>
      <w:jc w:val="center"/>
      <w:outlineLvl w:val="1"/>
    </w:pPr>
    <w:rPr>
      <w:rFonts w:ascii="Cambria" w:eastAsia="Times New Roman" w:hAnsi="Cambria"/>
      <w:lang w:eastAsia="lt-LT"/>
    </w:rPr>
  </w:style>
  <w:style w:type="paragraph" w:styleId="Betarp">
    <w:name w:val="No Spacing"/>
    <w:link w:val="BetarpDiagrama"/>
    <w:qFormat/>
    <w:rsid w:val="003E3809"/>
    <w:rPr>
      <w:rFonts w:eastAsia="Times New Roman"/>
      <w:sz w:val="24"/>
      <w:szCs w:val="24"/>
    </w:rPr>
  </w:style>
  <w:style w:type="character" w:customStyle="1" w:styleId="BetarpDiagrama">
    <w:name w:val="Be tarpų Diagrama"/>
    <w:link w:val="Betarp"/>
    <w:rsid w:val="003E3809"/>
    <w:rPr>
      <w:sz w:val="24"/>
      <w:szCs w:val="24"/>
      <w:lang w:val="lt-LT" w:eastAsia="lt-LT" w:bidi="ar-SA"/>
    </w:rPr>
  </w:style>
  <w:style w:type="character" w:styleId="Rykuspabraukimas">
    <w:name w:val="Intense Emphasis"/>
    <w:qFormat/>
    <w:rsid w:val="003E3809"/>
    <w:rPr>
      <w:b/>
      <w:bCs/>
      <w:i/>
      <w:iCs/>
      <w:color w:val="4F81BD"/>
    </w:rPr>
  </w:style>
  <w:style w:type="table" w:styleId="Lentelstinklelis">
    <w:name w:val="Table Grid"/>
    <w:basedOn w:val="prastojilentel"/>
    <w:rsid w:val="003E380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ykuspabraukimas">
    <w:name w:val="Subtle Emphasis"/>
    <w:qFormat/>
    <w:rsid w:val="003E3809"/>
    <w:rPr>
      <w:i/>
      <w:iCs/>
      <w:color w:val="808080"/>
    </w:rPr>
  </w:style>
  <w:style w:type="character" w:styleId="Perirtashipersaitas">
    <w:name w:val="FollowedHyperlink"/>
    <w:rsid w:val="003E3809"/>
    <w:rPr>
      <w:color w:val="800080"/>
      <w:u w:val="single"/>
    </w:rPr>
  </w:style>
  <w:style w:type="character" w:styleId="Komentaronuoroda">
    <w:name w:val="annotation reference"/>
    <w:rsid w:val="003E3809"/>
    <w:rPr>
      <w:sz w:val="16"/>
      <w:szCs w:val="16"/>
    </w:rPr>
  </w:style>
  <w:style w:type="paragraph" w:styleId="Komentarotekstas">
    <w:name w:val="annotation text"/>
    <w:basedOn w:val="prastasis"/>
    <w:link w:val="KomentarotekstasDiagrama"/>
    <w:rsid w:val="003E3809"/>
    <w:rPr>
      <w:rFonts w:eastAsia="Times New Roman"/>
      <w:sz w:val="20"/>
      <w:szCs w:val="20"/>
      <w:lang w:eastAsia="lt-LT"/>
    </w:rPr>
  </w:style>
  <w:style w:type="paragraph" w:styleId="Komentarotema">
    <w:name w:val="annotation subject"/>
    <w:basedOn w:val="Komentarotekstas"/>
    <w:next w:val="Komentarotekstas"/>
    <w:link w:val="KomentarotemaDiagrama"/>
    <w:rsid w:val="003E3809"/>
    <w:rPr>
      <w:b/>
      <w:bCs/>
    </w:rPr>
  </w:style>
  <w:style w:type="paragraph" w:styleId="Debesliotekstas">
    <w:name w:val="Balloon Text"/>
    <w:basedOn w:val="prastasis"/>
    <w:link w:val="DebesliotekstasDiagrama"/>
    <w:rsid w:val="003E3809"/>
    <w:rPr>
      <w:rFonts w:ascii="Tahoma" w:eastAsia="Times New Roman" w:hAnsi="Tahoma" w:cs="Tahoma"/>
      <w:sz w:val="16"/>
      <w:szCs w:val="16"/>
      <w:lang w:eastAsia="lt-LT"/>
    </w:rPr>
  </w:style>
  <w:style w:type="paragraph" w:styleId="Dokumentostruktra">
    <w:name w:val="Document Map"/>
    <w:basedOn w:val="prastasis"/>
    <w:link w:val="DokumentostruktraDiagrama"/>
    <w:semiHidden/>
    <w:rsid w:val="003E3809"/>
    <w:pPr>
      <w:shd w:val="clear" w:color="auto" w:fill="000080"/>
    </w:pPr>
    <w:rPr>
      <w:rFonts w:ascii="Tahoma" w:eastAsia="Times New Roman" w:hAnsi="Tahoma" w:cs="Tahoma"/>
      <w:sz w:val="20"/>
      <w:szCs w:val="20"/>
      <w:lang w:eastAsia="lt-LT"/>
    </w:rPr>
  </w:style>
  <w:style w:type="character" w:customStyle="1" w:styleId="DiagramaDiagrama13">
    <w:name w:val="Diagrama Diagrama13"/>
    <w:rsid w:val="003E3809"/>
    <w:rPr>
      <w:rFonts w:ascii="Cambria" w:hAnsi="Cambria"/>
      <w:b/>
      <w:bCs/>
      <w:color w:val="4F81BD"/>
      <w:sz w:val="26"/>
      <w:szCs w:val="26"/>
      <w:lang w:val="lt-LT" w:eastAsia="lt-LT" w:bidi="ar-SA"/>
    </w:rPr>
  </w:style>
  <w:style w:type="paragraph" w:styleId="Sraopastraipa">
    <w:name w:val="List Paragraph"/>
    <w:basedOn w:val="prastasis"/>
    <w:qFormat/>
    <w:rsid w:val="003E3809"/>
    <w:pPr>
      <w:spacing w:line="360" w:lineRule="auto"/>
      <w:ind w:left="720" w:firstLine="1418"/>
      <w:contextualSpacing/>
      <w:jc w:val="both"/>
    </w:pPr>
    <w:rPr>
      <w:rFonts w:eastAsia="Times New Roman"/>
      <w:lang w:eastAsia="lt-LT"/>
    </w:rPr>
  </w:style>
  <w:style w:type="character" w:customStyle="1" w:styleId="DiagramaDiagrama14">
    <w:name w:val="Diagrama Diagrama14"/>
    <w:rsid w:val="003E3809"/>
    <w:rPr>
      <w:rFonts w:ascii="Arial" w:hAnsi="Arial" w:cs="Arial"/>
      <w:b/>
      <w:bCs/>
      <w:kern w:val="32"/>
      <w:sz w:val="32"/>
      <w:szCs w:val="32"/>
      <w:lang w:val="lt-LT" w:eastAsia="lt-LT" w:bidi="ar-SA"/>
    </w:rPr>
  </w:style>
  <w:style w:type="character" w:customStyle="1" w:styleId="DiagramaDiagrama12">
    <w:name w:val="Diagrama Diagrama12"/>
    <w:rsid w:val="003E3809"/>
    <w:rPr>
      <w:rFonts w:ascii="Arial" w:hAnsi="Arial" w:cs="Arial"/>
      <w:b/>
      <w:bCs/>
      <w:sz w:val="26"/>
      <w:szCs w:val="26"/>
      <w:lang w:val="lt-LT" w:eastAsia="lt-LT" w:bidi="ar-SA"/>
    </w:rPr>
  </w:style>
  <w:style w:type="character" w:customStyle="1" w:styleId="DiagramaDiagrama8">
    <w:name w:val="Diagrama Diagrama8"/>
    <w:rsid w:val="003E3809"/>
    <w:rPr>
      <w:sz w:val="24"/>
      <w:szCs w:val="24"/>
      <w:lang w:val="lt-LT" w:eastAsia="lt-LT" w:bidi="ar-SA"/>
    </w:rPr>
  </w:style>
  <w:style w:type="paragraph" w:styleId="Turinys4">
    <w:name w:val="toc 4"/>
    <w:basedOn w:val="prastasis"/>
    <w:next w:val="prastasis"/>
    <w:autoRedefine/>
    <w:rsid w:val="003E3809"/>
    <w:pPr>
      <w:spacing w:line="360" w:lineRule="auto"/>
      <w:ind w:left="720" w:firstLine="1418"/>
      <w:jc w:val="both"/>
    </w:pPr>
    <w:rPr>
      <w:rFonts w:eastAsia="Times New Roman"/>
      <w:lang w:eastAsia="lt-LT"/>
    </w:rPr>
  </w:style>
  <w:style w:type="paragraph" w:styleId="Pagrindinistekstas2">
    <w:name w:val="Body Text 2"/>
    <w:basedOn w:val="prastasis"/>
    <w:link w:val="Pagrindinistekstas2Diagrama"/>
    <w:semiHidden/>
    <w:unhideWhenUsed/>
    <w:rsid w:val="003E3809"/>
    <w:pPr>
      <w:spacing w:after="120" w:line="480" w:lineRule="auto"/>
      <w:ind w:firstLine="1418"/>
      <w:jc w:val="both"/>
    </w:pPr>
    <w:rPr>
      <w:rFonts w:eastAsia="Times New Roman"/>
      <w:lang w:eastAsia="lt-LT"/>
    </w:rPr>
  </w:style>
  <w:style w:type="paragraph" w:styleId="Pagrindiniotekstotrauka">
    <w:name w:val="Body Text Indent"/>
    <w:basedOn w:val="prastasis"/>
    <w:link w:val="PagrindiniotekstotraukaDiagrama"/>
    <w:semiHidden/>
    <w:unhideWhenUsed/>
    <w:rsid w:val="003E3809"/>
    <w:pPr>
      <w:spacing w:after="120"/>
      <w:ind w:left="283"/>
      <w:jc w:val="both"/>
    </w:pPr>
    <w:rPr>
      <w:szCs w:val="22"/>
      <w:lang w:eastAsia="lt-LT"/>
    </w:rPr>
  </w:style>
  <w:style w:type="paragraph" w:styleId="Pagrindiniotekstotrauka2">
    <w:name w:val="Body Text Indent 2"/>
    <w:basedOn w:val="prastasis"/>
    <w:link w:val="Pagrindiniotekstotrauka2Diagrama"/>
    <w:semiHidden/>
    <w:unhideWhenUsed/>
    <w:rsid w:val="003E3809"/>
    <w:pPr>
      <w:spacing w:after="120" w:line="480" w:lineRule="auto"/>
      <w:ind w:left="283"/>
      <w:jc w:val="both"/>
    </w:pPr>
    <w:rPr>
      <w:szCs w:val="22"/>
      <w:lang w:eastAsia="lt-LT"/>
    </w:rPr>
  </w:style>
  <w:style w:type="paragraph" w:customStyle="1" w:styleId="Default">
    <w:name w:val="Default"/>
    <w:rsid w:val="003E3809"/>
    <w:pPr>
      <w:autoSpaceDE w:val="0"/>
      <w:autoSpaceDN w:val="0"/>
      <w:adjustRightInd w:val="0"/>
    </w:pPr>
    <w:rPr>
      <w:rFonts w:ascii="Arial" w:hAnsi="Arial" w:cs="Arial"/>
      <w:color w:val="000000"/>
      <w:sz w:val="24"/>
      <w:szCs w:val="24"/>
    </w:rPr>
  </w:style>
  <w:style w:type="character" w:customStyle="1" w:styleId="datametai">
    <w:name w:val="datametai"/>
    <w:rsid w:val="003E3809"/>
  </w:style>
  <w:style w:type="character" w:customStyle="1" w:styleId="datamnuo">
    <w:name w:val="datamnuo"/>
    <w:rsid w:val="003E3809"/>
  </w:style>
  <w:style w:type="character" w:customStyle="1" w:styleId="datadiena">
    <w:name w:val="datadiena"/>
    <w:rsid w:val="003E3809"/>
  </w:style>
  <w:style w:type="character" w:customStyle="1" w:styleId="statymonr">
    <w:name w:val="statymonr"/>
    <w:rsid w:val="003E3809"/>
  </w:style>
  <w:style w:type="character" w:customStyle="1" w:styleId="A0">
    <w:name w:val="A0"/>
    <w:uiPriority w:val="99"/>
    <w:rsid w:val="00CD1BB5"/>
    <w:rPr>
      <w:rFonts w:cs="Adobe Garamond Pro"/>
      <w:color w:val="000000"/>
      <w:sz w:val="15"/>
      <w:szCs w:val="15"/>
    </w:rPr>
  </w:style>
  <w:style w:type="paragraph" w:customStyle="1" w:styleId="tajtip">
    <w:name w:val="tajtip"/>
    <w:basedOn w:val="prastasis"/>
    <w:rsid w:val="00BE240F"/>
    <w:pPr>
      <w:spacing w:before="100" w:beforeAutospacing="1" w:after="100" w:afterAutospacing="1"/>
    </w:pPr>
    <w:rPr>
      <w:rFonts w:eastAsia="Times New Roman"/>
      <w:lang w:eastAsia="lt-LT"/>
    </w:rPr>
  </w:style>
  <w:style w:type="character" w:customStyle="1" w:styleId="KomentarotekstasDiagrama">
    <w:name w:val="Komentaro tekstas Diagrama"/>
    <w:basedOn w:val="Numatytasispastraiposriftas"/>
    <w:link w:val="Komentarotekstas"/>
    <w:rsid w:val="007E32DD"/>
    <w:rPr>
      <w:rFonts w:eastAsia="Times New Roman"/>
    </w:rPr>
  </w:style>
  <w:style w:type="character" w:customStyle="1" w:styleId="searchword">
    <w:name w:val="searchword"/>
    <w:basedOn w:val="Numatytasispastraiposriftas"/>
    <w:rsid w:val="007E32DD"/>
  </w:style>
  <w:style w:type="paragraph" w:styleId="Sraassuenkleliais">
    <w:name w:val="List Bullet"/>
    <w:basedOn w:val="prastasis"/>
    <w:uiPriority w:val="99"/>
    <w:unhideWhenUsed/>
    <w:rsid w:val="00A55372"/>
    <w:pPr>
      <w:numPr>
        <w:numId w:val="22"/>
      </w:numPr>
      <w:contextualSpacing/>
    </w:pPr>
  </w:style>
  <w:style w:type="numbering" w:customStyle="1" w:styleId="Sraonra1">
    <w:name w:val="Sąrašo nėra1"/>
    <w:next w:val="Sraonra"/>
    <w:uiPriority w:val="99"/>
    <w:semiHidden/>
    <w:unhideWhenUsed/>
    <w:rsid w:val="00FD0AEF"/>
  </w:style>
  <w:style w:type="character" w:customStyle="1" w:styleId="PaprastasistekstasDiagrama">
    <w:name w:val="Paprastasis tekstas Diagrama"/>
    <w:basedOn w:val="Numatytasispastraiposriftas"/>
    <w:link w:val="Paprastasistekstas"/>
    <w:rsid w:val="00FD0AEF"/>
    <w:rPr>
      <w:rFonts w:ascii="Courier New" w:eastAsia="Times New Roman" w:hAnsi="Courier New"/>
      <w:lang w:eastAsia="en-US"/>
    </w:rPr>
  </w:style>
  <w:style w:type="character" w:customStyle="1" w:styleId="PavadinimasDiagrama">
    <w:name w:val="Pavadinimas Diagrama"/>
    <w:basedOn w:val="Numatytasispastraiposriftas"/>
    <w:link w:val="Pavadinimas"/>
    <w:rsid w:val="00FD0AEF"/>
    <w:rPr>
      <w:rFonts w:ascii="Cambria" w:eastAsia="Times New Roman" w:hAnsi="Cambria"/>
      <w:b/>
      <w:bCs/>
      <w:kern w:val="28"/>
      <w:sz w:val="32"/>
      <w:szCs w:val="32"/>
    </w:rPr>
  </w:style>
  <w:style w:type="character" w:customStyle="1" w:styleId="AntrinispavadinimasDiagrama">
    <w:name w:val="Antrinis pavadinimas Diagrama"/>
    <w:basedOn w:val="Numatytasispastraiposriftas"/>
    <w:link w:val="Antrinispavadinimas"/>
    <w:rsid w:val="00FD0AEF"/>
    <w:rPr>
      <w:rFonts w:ascii="Cambria" w:eastAsia="Times New Roman" w:hAnsi="Cambria"/>
      <w:sz w:val="24"/>
      <w:szCs w:val="24"/>
    </w:rPr>
  </w:style>
  <w:style w:type="character" w:customStyle="1" w:styleId="KomentarotemaDiagrama">
    <w:name w:val="Komentaro tema Diagrama"/>
    <w:basedOn w:val="KomentarotekstasDiagrama"/>
    <w:link w:val="Komentarotema"/>
    <w:rsid w:val="00FD0AEF"/>
    <w:rPr>
      <w:rFonts w:eastAsia="Times New Roman"/>
      <w:b/>
      <w:bCs/>
    </w:rPr>
  </w:style>
  <w:style w:type="character" w:customStyle="1" w:styleId="DebesliotekstasDiagrama">
    <w:name w:val="Debesėlio tekstas Diagrama"/>
    <w:basedOn w:val="Numatytasispastraiposriftas"/>
    <w:link w:val="Debesliotekstas"/>
    <w:rsid w:val="00FD0AEF"/>
    <w:rPr>
      <w:rFonts w:ascii="Tahoma" w:eastAsia="Times New Roman" w:hAnsi="Tahoma" w:cs="Tahoma"/>
      <w:sz w:val="16"/>
      <w:szCs w:val="16"/>
    </w:rPr>
  </w:style>
  <w:style w:type="character" w:customStyle="1" w:styleId="DokumentostruktraDiagrama">
    <w:name w:val="Dokumento struktūra Diagrama"/>
    <w:basedOn w:val="Numatytasispastraiposriftas"/>
    <w:link w:val="Dokumentostruktra"/>
    <w:semiHidden/>
    <w:rsid w:val="00FD0AEF"/>
    <w:rPr>
      <w:rFonts w:ascii="Tahoma" w:eastAsia="Times New Roman" w:hAnsi="Tahoma" w:cs="Tahoma"/>
      <w:shd w:val="clear" w:color="auto" w:fill="000080"/>
    </w:rPr>
  </w:style>
  <w:style w:type="character" w:customStyle="1" w:styleId="Pagrindinistekstas2Diagrama">
    <w:name w:val="Pagrindinis tekstas 2 Diagrama"/>
    <w:basedOn w:val="Numatytasispastraiposriftas"/>
    <w:link w:val="Pagrindinistekstas2"/>
    <w:semiHidden/>
    <w:rsid w:val="00FD0AEF"/>
    <w:rPr>
      <w:rFonts w:eastAsia="Times New Roman"/>
      <w:sz w:val="24"/>
      <w:szCs w:val="24"/>
    </w:rPr>
  </w:style>
  <w:style w:type="character" w:customStyle="1" w:styleId="PagrindiniotekstotraukaDiagrama">
    <w:name w:val="Pagrindinio teksto įtrauka Diagrama"/>
    <w:basedOn w:val="Numatytasispastraiposriftas"/>
    <w:link w:val="Pagrindiniotekstotrauka"/>
    <w:semiHidden/>
    <w:rsid w:val="00FD0AEF"/>
    <w:rPr>
      <w:sz w:val="24"/>
      <w:szCs w:val="22"/>
    </w:rPr>
  </w:style>
  <w:style w:type="character" w:customStyle="1" w:styleId="Pagrindiniotekstotrauka2Diagrama">
    <w:name w:val="Pagrindinio teksto įtrauka 2 Diagrama"/>
    <w:basedOn w:val="Numatytasispastraiposriftas"/>
    <w:link w:val="Pagrindiniotekstotrauka2"/>
    <w:semiHidden/>
    <w:rsid w:val="00FD0AEF"/>
    <w:rPr>
      <w:sz w:val="24"/>
      <w:szCs w:val="22"/>
    </w:rPr>
  </w:style>
  <w:style w:type="character" w:customStyle="1" w:styleId="st">
    <w:name w:val="st"/>
    <w:basedOn w:val="Numatytasispastraiposriftas"/>
    <w:rsid w:val="00FD0A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prastasis">
    <w:name w:val="Normal"/>
    <w:qFormat/>
    <w:rsid w:val="009065CE"/>
    <w:rPr>
      <w:sz w:val="24"/>
      <w:szCs w:val="24"/>
      <w:lang w:eastAsia="en-US"/>
    </w:rPr>
  </w:style>
  <w:style w:type="paragraph" w:styleId="Antrat1">
    <w:name w:val="heading 1"/>
    <w:basedOn w:val="prastasis"/>
    <w:next w:val="prastasis"/>
    <w:link w:val="Antrat1Diagrama"/>
    <w:uiPriority w:val="9"/>
    <w:qFormat/>
    <w:rsid w:val="009D287F"/>
    <w:pPr>
      <w:keepNext/>
      <w:spacing w:before="240" w:after="60"/>
      <w:outlineLvl w:val="0"/>
    </w:pPr>
    <w:rPr>
      <w:rFonts w:ascii="Cambria" w:eastAsia="Times New Roman" w:hAnsi="Cambria"/>
      <w:b/>
      <w:bCs/>
      <w:kern w:val="32"/>
      <w:sz w:val="32"/>
      <w:szCs w:val="32"/>
    </w:rPr>
  </w:style>
  <w:style w:type="paragraph" w:styleId="Antrat2">
    <w:name w:val="heading 2"/>
    <w:basedOn w:val="prastasis"/>
    <w:next w:val="prastasis"/>
    <w:link w:val="Antrat2Diagrama"/>
    <w:uiPriority w:val="9"/>
    <w:qFormat/>
    <w:rsid w:val="003A08C9"/>
    <w:pPr>
      <w:keepNext/>
      <w:spacing w:before="240" w:after="60"/>
      <w:outlineLvl w:val="1"/>
    </w:pPr>
    <w:rPr>
      <w:rFonts w:ascii="Cambria" w:eastAsia="Times New Roman" w:hAnsi="Cambria"/>
      <w:b/>
      <w:bCs/>
      <w:i/>
      <w:iCs/>
      <w:sz w:val="28"/>
      <w:szCs w:val="28"/>
    </w:rPr>
  </w:style>
  <w:style w:type="paragraph" w:styleId="Antrat3">
    <w:name w:val="heading 3"/>
    <w:basedOn w:val="prastasis"/>
    <w:next w:val="prastasis"/>
    <w:link w:val="Antrat3Diagrama"/>
    <w:qFormat/>
    <w:rsid w:val="00437558"/>
    <w:pPr>
      <w:keepNext/>
      <w:spacing w:before="240" w:after="60"/>
      <w:outlineLvl w:val="2"/>
    </w:pPr>
    <w:rPr>
      <w:rFonts w:ascii="Arial" w:eastAsia="Times New Roman" w:hAnsi="Arial" w:cs="Arial"/>
      <w:b/>
      <w:bCs/>
      <w:sz w:val="26"/>
      <w:szCs w:val="26"/>
      <w:lang w:eastAsia="lt-LT"/>
    </w:rPr>
  </w:style>
  <w:style w:type="paragraph" w:styleId="Antrat4">
    <w:name w:val="heading 4"/>
    <w:basedOn w:val="prastasis"/>
    <w:next w:val="prastasis"/>
    <w:link w:val="Antrat4Diagrama"/>
    <w:qFormat/>
    <w:rsid w:val="003E3809"/>
    <w:pPr>
      <w:keepNext/>
      <w:spacing w:before="240" w:after="60" w:line="360" w:lineRule="auto"/>
      <w:ind w:firstLine="1418"/>
      <w:jc w:val="both"/>
      <w:outlineLvl w:val="3"/>
    </w:pPr>
    <w:rPr>
      <w:rFonts w:ascii="Calibri" w:eastAsia="Times New Roman" w:hAnsi="Calibri"/>
      <w:b/>
      <w:bCs/>
      <w:sz w:val="28"/>
      <w:szCs w:val="28"/>
      <w:lang w:eastAsia="lt-LT"/>
    </w:rPr>
  </w:style>
  <w:style w:type="paragraph" w:styleId="Antrat5">
    <w:name w:val="heading 5"/>
    <w:basedOn w:val="prastasis"/>
    <w:next w:val="prastasis"/>
    <w:link w:val="Antrat5Diagrama"/>
    <w:qFormat/>
    <w:rsid w:val="003E3809"/>
    <w:pPr>
      <w:spacing w:before="240" w:after="60" w:line="360" w:lineRule="auto"/>
      <w:ind w:firstLine="1418"/>
      <w:jc w:val="both"/>
      <w:outlineLvl w:val="4"/>
    </w:pPr>
    <w:rPr>
      <w:rFonts w:ascii="Calibri" w:eastAsia="Times New Roman" w:hAnsi="Calibri"/>
      <w:b/>
      <w:bCs/>
      <w:i/>
      <w:iCs/>
      <w:sz w:val="26"/>
      <w:szCs w:val="26"/>
      <w:lang w:eastAsia="lt-LT"/>
    </w:rPr>
  </w:style>
  <w:style w:type="paragraph" w:styleId="Antrat6">
    <w:name w:val="heading 6"/>
    <w:basedOn w:val="prastasis"/>
    <w:next w:val="prastasis"/>
    <w:link w:val="Antrat6Diagrama"/>
    <w:qFormat/>
    <w:rsid w:val="003E3809"/>
    <w:pPr>
      <w:spacing w:before="240" w:after="60" w:line="360" w:lineRule="auto"/>
      <w:ind w:firstLine="1418"/>
      <w:jc w:val="both"/>
      <w:outlineLvl w:val="5"/>
    </w:pPr>
    <w:rPr>
      <w:rFonts w:ascii="Calibri" w:eastAsia="Times New Roman" w:hAnsi="Calibri"/>
      <w:b/>
      <w:bCs/>
      <w:sz w:val="22"/>
      <w:szCs w:val="2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
    <w:rsid w:val="009D287F"/>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3A08C9"/>
    <w:rPr>
      <w:rFonts w:ascii="Cambria" w:eastAsia="Times New Roman" w:hAnsi="Cambria" w:cs="Times New Roman"/>
      <w:b/>
      <w:bCs/>
      <w:i/>
      <w:iCs/>
      <w:sz w:val="28"/>
      <w:szCs w:val="28"/>
      <w:lang w:eastAsia="en-US"/>
    </w:rPr>
  </w:style>
  <w:style w:type="character" w:customStyle="1" w:styleId="Antrat3Diagrama">
    <w:name w:val="Antraštė 3 Diagrama"/>
    <w:link w:val="Antrat3"/>
    <w:rsid w:val="00437558"/>
    <w:rPr>
      <w:rFonts w:ascii="Arial" w:eastAsia="Times New Roman" w:hAnsi="Arial" w:cs="Arial"/>
      <w:b/>
      <w:bCs/>
      <w:sz w:val="26"/>
      <w:szCs w:val="26"/>
    </w:rPr>
  </w:style>
  <w:style w:type="character" w:customStyle="1" w:styleId="Antrat4Diagrama">
    <w:name w:val="Antraštė 4 Diagrama"/>
    <w:link w:val="Antrat4"/>
    <w:rsid w:val="003E3809"/>
    <w:rPr>
      <w:rFonts w:ascii="Calibri" w:hAnsi="Calibri"/>
      <w:b/>
      <w:bCs/>
      <w:sz w:val="28"/>
      <w:szCs w:val="28"/>
      <w:lang w:val="lt-LT" w:eastAsia="lt-LT" w:bidi="ar-SA"/>
    </w:rPr>
  </w:style>
  <w:style w:type="character" w:customStyle="1" w:styleId="Antrat5Diagrama">
    <w:name w:val="Antraštė 5 Diagrama"/>
    <w:link w:val="Antrat5"/>
    <w:rsid w:val="003E3809"/>
    <w:rPr>
      <w:rFonts w:ascii="Calibri" w:hAnsi="Calibri"/>
      <w:b/>
      <w:bCs/>
      <w:i/>
      <w:iCs/>
      <w:sz w:val="26"/>
      <w:szCs w:val="26"/>
      <w:lang w:val="lt-LT" w:eastAsia="lt-LT" w:bidi="ar-SA"/>
    </w:rPr>
  </w:style>
  <w:style w:type="character" w:customStyle="1" w:styleId="Antrat6Diagrama">
    <w:name w:val="Antraštė 6 Diagrama"/>
    <w:link w:val="Antrat6"/>
    <w:rsid w:val="003E3809"/>
    <w:rPr>
      <w:rFonts w:ascii="Calibri" w:hAnsi="Calibri"/>
      <w:b/>
      <w:bCs/>
      <w:sz w:val="22"/>
      <w:szCs w:val="22"/>
      <w:lang w:val="lt-LT" w:eastAsia="lt-LT" w:bidi="ar-SA"/>
    </w:rPr>
  </w:style>
  <w:style w:type="paragraph" w:styleId="Puslapioinaostekstas">
    <w:name w:val="footnote text"/>
    <w:aliases w:val="Fußnotentext Char,Fußnotentext Char1 Char,Fußnotentext Char Char Char,Footnote Text Char Char Char,Footnote Text Char2,Footnote Text Char Char1,Footnote Text Char1 Char Char1,Footnote Text Char Char Char Char1,Footnote Char Char"/>
    <w:basedOn w:val="prastasis"/>
    <w:link w:val="PuslapioinaostekstasDiagrama"/>
    <w:uiPriority w:val="99"/>
    <w:unhideWhenUsed/>
    <w:rsid w:val="001D4939"/>
    <w:rPr>
      <w:sz w:val="20"/>
      <w:szCs w:val="20"/>
    </w:rPr>
  </w:style>
  <w:style w:type="character" w:customStyle="1" w:styleId="PuslapioinaostekstasDiagrama">
    <w:name w:val="Puslapio išnašos tekstas Diagrama"/>
    <w:aliases w:val="Fußnotentext Char Diagrama,Fußnotentext Char1 Char Diagrama,Fußnotentext Char Char Char Diagrama,Footnote Text Char Char Char Diagrama,Footnote Text Char2 Diagrama,Footnote Text Char Char1 Diagrama"/>
    <w:link w:val="Puslapioinaostekstas"/>
    <w:uiPriority w:val="99"/>
    <w:rsid w:val="001D4939"/>
    <w:rPr>
      <w:lang w:eastAsia="en-US"/>
    </w:rPr>
  </w:style>
  <w:style w:type="character" w:styleId="Puslapioinaosnuoroda">
    <w:name w:val="footnote reference"/>
    <w:uiPriority w:val="99"/>
    <w:semiHidden/>
    <w:unhideWhenUsed/>
    <w:rsid w:val="001D4939"/>
    <w:rPr>
      <w:vertAlign w:val="superscript"/>
    </w:rPr>
  </w:style>
  <w:style w:type="paragraph" w:styleId="Pagrindinistekstas">
    <w:name w:val="Body Text"/>
    <w:basedOn w:val="prastasis"/>
    <w:link w:val="PagrindinistekstasDiagrama"/>
    <w:rsid w:val="00F01A9D"/>
    <w:rPr>
      <w:rFonts w:eastAsia="Times New Roman"/>
      <w:b/>
      <w:bCs/>
    </w:rPr>
  </w:style>
  <w:style w:type="character" w:customStyle="1" w:styleId="PagrindinistekstasDiagrama">
    <w:name w:val="Pagrindinis tekstas Diagrama"/>
    <w:link w:val="Pagrindinistekstas"/>
    <w:rsid w:val="00F01A9D"/>
    <w:rPr>
      <w:rFonts w:eastAsia="Times New Roman"/>
      <w:b/>
      <w:bCs/>
      <w:sz w:val="24"/>
      <w:szCs w:val="24"/>
      <w:lang w:eastAsia="en-US"/>
    </w:rPr>
  </w:style>
  <w:style w:type="paragraph" w:styleId="Antrats">
    <w:name w:val="header"/>
    <w:basedOn w:val="prastasis"/>
    <w:link w:val="AntratsDiagrama"/>
    <w:uiPriority w:val="99"/>
    <w:unhideWhenUsed/>
    <w:rsid w:val="006B5C29"/>
    <w:pPr>
      <w:tabs>
        <w:tab w:val="center" w:pos="4819"/>
        <w:tab w:val="right" w:pos="9638"/>
      </w:tabs>
    </w:pPr>
  </w:style>
  <w:style w:type="character" w:customStyle="1" w:styleId="AntratsDiagrama">
    <w:name w:val="Antraštės Diagrama"/>
    <w:link w:val="Antrats"/>
    <w:uiPriority w:val="99"/>
    <w:rsid w:val="006B5C29"/>
    <w:rPr>
      <w:sz w:val="24"/>
      <w:szCs w:val="24"/>
      <w:lang w:eastAsia="en-US"/>
    </w:rPr>
  </w:style>
  <w:style w:type="paragraph" w:styleId="Porat">
    <w:name w:val="footer"/>
    <w:basedOn w:val="prastasis"/>
    <w:link w:val="PoratDiagrama"/>
    <w:uiPriority w:val="99"/>
    <w:unhideWhenUsed/>
    <w:rsid w:val="006B5C29"/>
    <w:pPr>
      <w:tabs>
        <w:tab w:val="center" w:pos="4819"/>
        <w:tab w:val="right" w:pos="9638"/>
      </w:tabs>
    </w:pPr>
  </w:style>
  <w:style w:type="character" w:customStyle="1" w:styleId="PoratDiagrama">
    <w:name w:val="Poraštė Diagrama"/>
    <w:link w:val="Porat"/>
    <w:uiPriority w:val="99"/>
    <w:rsid w:val="006B5C29"/>
    <w:rPr>
      <w:sz w:val="24"/>
      <w:szCs w:val="24"/>
      <w:lang w:eastAsia="en-US"/>
    </w:rPr>
  </w:style>
  <w:style w:type="paragraph" w:styleId="prastasistinklapis">
    <w:name w:val="Normal (Web)"/>
    <w:basedOn w:val="prastasis"/>
    <w:uiPriority w:val="99"/>
    <w:semiHidden/>
    <w:unhideWhenUsed/>
    <w:rsid w:val="00E36EC8"/>
  </w:style>
  <w:style w:type="character" w:styleId="Emfaz">
    <w:name w:val="Emphasis"/>
    <w:uiPriority w:val="20"/>
    <w:qFormat/>
    <w:rsid w:val="000455D0"/>
    <w:rPr>
      <w:i/>
      <w:iCs/>
    </w:rPr>
  </w:style>
  <w:style w:type="paragraph" w:styleId="HTMLiankstoformatuotas">
    <w:name w:val="HTML Preformatted"/>
    <w:basedOn w:val="prastasis"/>
    <w:link w:val="HTMLiankstoformatuotasDiagrama"/>
    <w:uiPriority w:val="99"/>
    <w:unhideWhenUsed/>
    <w:rsid w:val="004228EF"/>
    <w:rPr>
      <w:rFonts w:ascii="Courier New" w:hAnsi="Courier New" w:cs="Courier New"/>
      <w:sz w:val="20"/>
      <w:szCs w:val="20"/>
    </w:rPr>
  </w:style>
  <w:style w:type="character" w:customStyle="1" w:styleId="HTMLiankstoformatuotasDiagrama">
    <w:name w:val="HTML iš anksto formatuotas Diagrama"/>
    <w:link w:val="HTMLiankstoformatuotas"/>
    <w:uiPriority w:val="99"/>
    <w:rsid w:val="004228EF"/>
    <w:rPr>
      <w:rFonts w:ascii="Courier New" w:hAnsi="Courier New" w:cs="Courier New"/>
      <w:lang w:eastAsia="en-US"/>
    </w:rPr>
  </w:style>
  <w:style w:type="character" w:styleId="Hipersaitas">
    <w:name w:val="Hyperlink"/>
    <w:uiPriority w:val="99"/>
    <w:unhideWhenUsed/>
    <w:rsid w:val="00584B70"/>
    <w:rPr>
      <w:color w:val="0000FF"/>
      <w:u w:val="single"/>
    </w:rPr>
  </w:style>
  <w:style w:type="paragraph" w:styleId="Turinioantrat">
    <w:name w:val="TOC Heading"/>
    <w:basedOn w:val="Antrat1"/>
    <w:next w:val="prastasis"/>
    <w:uiPriority w:val="39"/>
    <w:qFormat/>
    <w:rsid w:val="008B5ADE"/>
    <w:pPr>
      <w:outlineLvl w:val="9"/>
    </w:pPr>
  </w:style>
  <w:style w:type="paragraph" w:styleId="Turinys2">
    <w:name w:val="toc 2"/>
    <w:basedOn w:val="prastasis"/>
    <w:next w:val="prastasis"/>
    <w:autoRedefine/>
    <w:uiPriority w:val="39"/>
    <w:unhideWhenUsed/>
    <w:rsid w:val="008B5ADE"/>
    <w:pPr>
      <w:ind w:left="240"/>
    </w:pPr>
  </w:style>
  <w:style w:type="paragraph" w:styleId="Turinys3">
    <w:name w:val="toc 3"/>
    <w:basedOn w:val="prastasis"/>
    <w:next w:val="prastasis"/>
    <w:autoRedefine/>
    <w:uiPriority w:val="39"/>
    <w:unhideWhenUsed/>
    <w:rsid w:val="008B5ADE"/>
    <w:pPr>
      <w:ind w:left="480"/>
    </w:pPr>
  </w:style>
  <w:style w:type="paragraph" w:styleId="Turinys1">
    <w:name w:val="toc 1"/>
    <w:basedOn w:val="prastasis"/>
    <w:next w:val="prastasis"/>
    <w:autoRedefine/>
    <w:uiPriority w:val="39"/>
    <w:unhideWhenUsed/>
    <w:rsid w:val="0056607D"/>
  </w:style>
  <w:style w:type="character" w:styleId="Grietas">
    <w:name w:val="Strong"/>
    <w:qFormat/>
    <w:rsid w:val="003E3809"/>
    <w:rPr>
      <w:b/>
      <w:bCs/>
    </w:rPr>
  </w:style>
  <w:style w:type="paragraph" w:styleId="Paprastasistekstas">
    <w:name w:val="Plain Text"/>
    <w:basedOn w:val="prastasis"/>
    <w:link w:val="PaprastasistekstasDiagrama"/>
    <w:rsid w:val="003E3809"/>
    <w:rPr>
      <w:rFonts w:ascii="Courier New" w:eastAsia="Times New Roman" w:hAnsi="Courier New"/>
      <w:sz w:val="20"/>
      <w:szCs w:val="20"/>
    </w:rPr>
  </w:style>
  <w:style w:type="character" w:styleId="Puslapionumeris">
    <w:name w:val="page number"/>
    <w:basedOn w:val="Numatytasispastraiposriftas"/>
    <w:rsid w:val="003E3809"/>
  </w:style>
  <w:style w:type="paragraph" w:styleId="Citata">
    <w:name w:val="Quote"/>
    <w:basedOn w:val="prastasis"/>
    <w:next w:val="prastasis"/>
    <w:link w:val="CitataDiagrama"/>
    <w:qFormat/>
    <w:rsid w:val="003E3809"/>
    <w:rPr>
      <w:rFonts w:eastAsia="Times New Roman"/>
      <w:i/>
      <w:iCs/>
      <w:color w:val="000000"/>
      <w:lang w:eastAsia="lt-LT"/>
    </w:rPr>
  </w:style>
  <w:style w:type="character" w:customStyle="1" w:styleId="CitataDiagrama">
    <w:name w:val="Citata Diagrama"/>
    <w:link w:val="Citata"/>
    <w:rsid w:val="003E3809"/>
    <w:rPr>
      <w:i/>
      <w:iCs/>
      <w:color w:val="000000"/>
      <w:sz w:val="24"/>
      <w:szCs w:val="24"/>
      <w:lang w:val="lt-LT" w:eastAsia="lt-LT" w:bidi="ar-SA"/>
    </w:rPr>
  </w:style>
  <w:style w:type="paragraph" w:customStyle="1" w:styleId="a">
    <w:name w:val="Īįū÷ķūé"/>
    <w:basedOn w:val="prastasis"/>
    <w:next w:val="prastasis"/>
    <w:rsid w:val="003E3809"/>
    <w:pPr>
      <w:autoSpaceDE w:val="0"/>
      <w:autoSpaceDN w:val="0"/>
      <w:adjustRightInd w:val="0"/>
    </w:pPr>
    <w:rPr>
      <w:rFonts w:eastAsia="Times New Roman"/>
      <w:lang w:eastAsia="lt-LT"/>
    </w:rPr>
  </w:style>
  <w:style w:type="paragraph" w:styleId="Pavadinimas">
    <w:name w:val="Title"/>
    <w:basedOn w:val="prastasis"/>
    <w:next w:val="prastasis"/>
    <w:link w:val="PavadinimasDiagrama"/>
    <w:qFormat/>
    <w:rsid w:val="003E3809"/>
    <w:pPr>
      <w:spacing w:before="240" w:after="60"/>
      <w:jc w:val="center"/>
      <w:outlineLvl w:val="0"/>
    </w:pPr>
    <w:rPr>
      <w:rFonts w:ascii="Cambria" w:eastAsia="Times New Roman" w:hAnsi="Cambria"/>
      <w:b/>
      <w:bCs/>
      <w:kern w:val="28"/>
      <w:sz w:val="32"/>
      <w:szCs w:val="32"/>
      <w:lang w:eastAsia="lt-LT"/>
    </w:rPr>
  </w:style>
  <w:style w:type="paragraph" w:styleId="Iskirtacitata">
    <w:name w:val="Intense Quote"/>
    <w:basedOn w:val="prastasis"/>
    <w:next w:val="prastasis"/>
    <w:link w:val="IskirtacitataDiagrama"/>
    <w:qFormat/>
    <w:rsid w:val="003E3809"/>
    <w:pPr>
      <w:pBdr>
        <w:bottom w:val="single" w:sz="4" w:space="4" w:color="4F81BD"/>
      </w:pBdr>
      <w:spacing w:before="200" w:after="280"/>
      <w:ind w:left="936" w:right="936"/>
    </w:pPr>
    <w:rPr>
      <w:rFonts w:eastAsia="Times New Roman"/>
      <w:b/>
      <w:bCs/>
      <w:i/>
      <w:iCs/>
      <w:color w:val="4F81BD"/>
      <w:lang w:eastAsia="lt-LT"/>
    </w:rPr>
  </w:style>
  <w:style w:type="character" w:customStyle="1" w:styleId="IskirtacitataDiagrama">
    <w:name w:val="Išskirta citata Diagrama"/>
    <w:link w:val="Iskirtacitata"/>
    <w:rsid w:val="003E3809"/>
    <w:rPr>
      <w:b/>
      <w:bCs/>
      <w:i/>
      <w:iCs/>
      <w:color w:val="4F81BD"/>
      <w:sz w:val="24"/>
      <w:szCs w:val="24"/>
      <w:lang w:val="lt-LT" w:eastAsia="lt-LT" w:bidi="ar-SA"/>
    </w:rPr>
  </w:style>
  <w:style w:type="paragraph" w:styleId="Antrinispavadinimas">
    <w:name w:val="Subtitle"/>
    <w:basedOn w:val="prastasis"/>
    <w:next w:val="prastasis"/>
    <w:link w:val="AntrinispavadinimasDiagrama"/>
    <w:qFormat/>
    <w:rsid w:val="003E3809"/>
    <w:pPr>
      <w:spacing w:after="60"/>
      <w:jc w:val="center"/>
      <w:outlineLvl w:val="1"/>
    </w:pPr>
    <w:rPr>
      <w:rFonts w:ascii="Cambria" w:eastAsia="Times New Roman" w:hAnsi="Cambria"/>
      <w:lang w:eastAsia="lt-LT"/>
    </w:rPr>
  </w:style>
  <w:style w:type="paragraph" w:styleId="Betarp">
    <w:name w:val="No Spacing"/>
    <w:link w:val="BetarpDiagrama"/>
    <w:qFormat/>
    <w:rsid w:val="003E3809"/>
    <w:rPr>
      <w:rFonts w:eastAsia="Times New Roman"/>
      <w:sz w:val="24"/>
      <w:szCs w:val="24"/>
    </w:rPr>
  </w:style>
  <w:style w:type="character" w:customStyle="1" w:styleId="BetarpDiagrama">
    <w:name w:val="Be tarpų Diagrama"/>
    <w:link w:val="Betarp"/>
    <w:rsid w:val="003E3809"/>
    <w:rPr>
      <w:sz w:val="24"/>
      <w:szCs w:val="24"/>
      <w:lang w:val="lt-LT" w:eastAsia="lt-LT" w:bidi="ar-SA"/>
    </w:rPr>
  </w:style>
  <w:style w:type="character" w:styleId="Rykuspabraukimas">
    <w:name w:val="Intense Emphasis"/>
    <w:qFormat/>
    <w:rsid w:val="003E3809"/>
    <w:rPr>
      <w:b/>
      <w:bCs/>
      <w:i/>
      <w:iCs/>
      <w:color w:val="4F81BD"/>
    </w:rPr>
  </w:style>
  <w:style w:type="table" w:styleId="Lentelstinklelis">
    <w:name w:val="Table Grid"/>
    <w:basedOn w:val="prastojilentel"/>
    <w:rsid w:val="003E380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ykuspabraukimas">
    <w:name w:val="Subtle Emphasis"/>
    <w:qFormat/>
    <w:rsid w:val="003E3809"/>
    <w:rPr>
      <w:i/>
      <w:iCs/>
      <w:color w:val="808080"/>
    </w:rPr>
  </w:style>
  <w:style w:type="character" w:styleId="Perirtashipersaitas">
    <w:name w:val="FollowedHyperlink"/>
    <w:rsid w:val="003E3809"/>
    <w:rPr>
      <w:color w:val="800080"/>
      <w:u w:val="single"/>
    </w:rPr>
  </w:style>
  <w:style w:type="character" w:styleId="Komentaronuoroda">
    <w:name w:val="annotation reference"/>
    <w:rsid w:val="003E3809"/>
    <w:rPr>
      <w:sz w:val="16"/>
      <w:szCs w:val="16"/>
    </w:rPr>
  </w:style>
  <w:style w:type="paragraph" w:styleId="Komentarotekstas">
    <w:name w:val="annotation text"/>
    <w:basedOn w:val="prastasis"/>
    <w:link w:val="KomentarotekstasDiagrama"/>
    <w:rsid w:val="003E3809"/>
    <w:rPr>
      <w:rFonts w:eastAsia="Times New Roman"/>
      <w:sz w:val="20"/>
      <w:szCs w:val="20"/>
      <w:lang w:eastAsia="lt-LT"/>
    </w:rPr>
  </w:style>
  <w:style w:type="paragraph" w:styleId="Komentarotema">
    <w:name w:val="annotation subject"/>
    <w:basedOn w:val="Komentarotekstas"/>
    <w:next w:val="Komentarotekstas"/>
    <w:link w:val="KomentarotemaDiagrama"/>
    <w:rsid w:val="003E3809"/>
    <w:rPr>
      <w:b/>
      <w:bCs/>
    </w:rPr>
  </w:style>
  <w:style w:type="paragraph" w:styleId="Debesliotekstas">
    <w:name w:val="Balloon Text"/>
    <w:basedOn w:val="prastasis"/>
    <w:link w:val="DebesliotekstasDiagrama"/>
    <w:rsid w:val="003E3809"/>
    <w:rPr>
      <w:rFonts w:ascii="Tahoma" w:eastAsia="Times New Roman" w:hAnsi="Tahoma" w:cs="Tahoma"/>
      <w:sz w:val="16"/>
      <w:szCs w:val="16"/>
      <w:lang w:eastAsia="lt-LT"/>
    </w:rPr>
  </w:style>
  <w:style w:type="paragraph" w:styleId="Dokumentostruktra">
    <w:name w:val="Document Map"/>
    <w:basedOn w:val="prastasis"/>
    <w:link w:val="DokumentostruktraDiagrama"/>
    <w:semiHidden/>
    <w:rsid w:val="003E3809"/>
    <w:pPr>
      <w:shd w:val="clear" w:color="auto" w:fill="000080"/>
    </w:pPr>
    <w:rPr>
      <w:rFonts w:ascii="Tahoma" w:eastAsia="Times New Roman" w:hAnsi="Tahoma" w:cs="Tahoma"/>
      <w:sz w:val="20"/>
      <w:szCs w:val="20"/>
      <w:lang w:eastAsia="lt-LT"/>
    </w:rPr>
  </w:style>
  <w:style w:type="character" w:customStyle="1" w:styleId="DiagramaDiagrama13">
    <w:name w:val="Diagrama Diagrama13"/>
    <w:rsid w:val="003E3809"/>
    <w:rPr>
      <w:rFonts w:ascii="Cambria" w:hAnsi="Cambria"/>
      <w:b/>
      <w:bCs/>
      <w:color w:val="4F81BD"/>
      <w:sz w:val="26"/>
      <w:szCs w:val="26"/>
      <w:lang w:val="lt-LT" w:eastAsia="lt-LT" w:bidi="ar-SA"/>
    </w:rPr>
  </w:style>
  <w:style w:type="paragraph" w:styleId="Sraopastraipa">
    <w:name w:val="List Paragraph"/>
    <w:basedOn w:val="prastasis"/>
    <w:qFormat/>
    <w:rsid w:val="003E3809"/>
    <w:pPr>
      <w:spacing w:line="360" w:lineRule="auto"/>
      <w:ind w:left="720" w:firstLine="1418"/>
      <w:contextualSpacing/>
      <w:jc w:val="both"/>
    </w:pPr>
    <w:rPr>
      <w:rFonts w:eastAsia="Times New Roman"/>
      <w:lang w:eastAsia="lt-LT"/>
    </w:rPr>
  </w:style>
  <w:style w:type="character" w:customStyle="1" w:styleId="DiagramaDiagrama14">
    <w:name w:val="Diagrama Diagrama14"/>
    <w:rsid w:val="003E3809"/>
    <w:rPr>
      <w:rFonts w:ascii="Arial" w:hAnsi="Arial" w:cs="Arial"/>
      <w:b/>
      <w:bCs/>
      <w:kern w:val="32"/>
      <w:sz w:val="32"/>
      <w:szCs w:val="32"/>
      <w:lang w:val="lt-LT" w:eastAsia="lt-LT" w:bidi="ar-SA"/>
    </w:rPr>
  </w:style>
  <w:style w:type="character" w:customStyle="1" w:styleId="DiagramaDiagrama12">
    <w:name w:val="Diagrama Diagrama12"/>
    <w:rsid w:val="003E3809"/>
    <w:rPr>
      <w:rFonts w:ascii="Arial" w:hAnsi="Arial" w:cs="Arial"/>
      <w:b/>
      <w:bCs/>
      <w:sz w:val="26"/>
      <w:szCs w:val="26"/>
      <w:lang w:val="lt-LT" w:eastAsia="lt-LT" w:bidi="ar-SA"/>
    </w:rPr>
  </w:style>
  <w:style w:type="character" w:customStyle="1" w:styleId="DiagramaDiagrama8">
    <w:name w:val="Diagrama Diagrama8"/>
    <w:rsid w:val="003E3809"/>
    <w:rPr>
      <w:sz w:val="24"/>
      <w:szCs w:val="24"/>
      <w:lang w:val="lt-LT" w:eastAsia="lt-LT" w:bidi="ar-SA"/>
    </w:rPr>
  </w:style>
  <w:style w:type="paragraph" w:styleId="Turinys4">
    <w:name w:val="toc 4"/>
    <w:basedOn w:val="prastasis"/>
    <w:next w:val="prastasis"/>
    <w:autoRedefine/>
    <w:rsid w:val="003E3809"/>
    <w:pPr>
      <w:spacing w:line="360" w:lineRule="auto"/>
      <w:ind w:left="720" w:firstLine="1418"/>
      <w:jc w:val="both"/>
    </w:pPr>
    <w:rPr>
      <w:rFonts w:eastAsia="Times New Roman"/>
      <w:lang w:eastAsia="lt-LT"/>
    </w:rPr>
  </w:style>
  <w:style w:type="paragraph" w:styleId="Pagrindinistekstas2">
    <w:name w:val="Body Text 2"/>
    <w:basedOn w:val="prastasis"/>
    <w:link w:val="Pagrindinistekstas2Diagrama"/>
    <w:semiHidden/>
    <w:unhideWhenUsed/>
    <w:rsid w:val="003E3809"/>
    <w:pPr>
      <w:spacing w:after="120" w:line="480" w:lineRule="auto"/>
      <w:ind w:firstLine="1418"/>
      <w:jc w:val="both"/>
    </w:pPr>
    <w:rPr>
      <w:rFonts w:eastAsia="Times New Roman"/>
      <w:lang w:eastAsia="lt-LT"/>
    </w:rPr>
  </w:style>
  <w:style w:type="paragraph" w:styleId="Pagrindiniotekstotrauka">
    <w:name w:val="Body Text Indent"/>
    <w:basedOn w:val="prastasis"/>
    <w:link w:val="PagrindiniotekstotraukaDiagrama"/>
    <w:semiHidden/>
    <w:unhideWhenUsed/>
    <w:rsid w:val="003E3809"/>
    <w:pPr>
      <w:spacing w:after="120"/>
      <w:ind w:left="283"/>
      <w:jc w:val="both"/>
    </w:pPr>
    <w:rPr>
      <w:szCs w:val="22"/>
      <w:lang w:eastAsia="lt-LT"/>
    </w:rPr>
  </w:style>
  <w:style w:type="paragraph" w:styleId="Pagrindiniotekstotrauka2">
    <w:name w:val="Body Text Indent 2"/>
    <w:basedOn w:val="prastasis"/>
    <w:link w:val="Pagrindiniotekstotrauka2Diagrama"/>
    <w:semiHidden/>
    <w:unhideWhenUsed/>
    <w:rsid w:val="003E3809"/>
    <w:pPr>
      <w:spacing w:after="120" w:line="480" w:lineRule="auto"/>
      <w:ind w:left="283"/>
      <w:jc w:val="both"/>
    </w:pPr>
    <w:rPr>
      <w:szCs w:val="22"/>
      <w:lang w:eastAsia="lt-LT"/>
    </w:rPr>
  </w:style>
  <w:style w:type="paragraph" w:customStyle="1" w:styleId="Default">
    <w:name w:val="Default"/>
    <w:rsid w:val="003E3809"/>
    <w:pPr>
      <w:autoSpaceDE w:val="0"/>
      <w:autoSpaceDN w:val="0"/>
      <w:adjustRightInd w:val="0"/>
    </w:pPr>
    <w:rPr>
      <w:rFonts w:ascii="Arial" w:hAnsi="Arial" w:cs="Arial"/>
      <w:color w:val="000000"/>
      <w:sz w:val="24"/>
      <w:szCs w:val="24"/>
    </w:rPr>
  </w:style>
  <w:style w:type="character" w:customStyle="1" w:styleId="datametai">
    <w:name w:val="datametai"/>
    <w:rsid w:val="003E3809"/>
  </w:style>
  <w:style w:type="character" w:customStyle="1" w:styleId="datamnuo">
    <w:name w:val="datamnuo"/>
    <w:rsid w:val="003E3809"/>
  </w:style>
  <w:style w:type="character" w:customStyle="1" w:styleId="datadiena">
    <w:name w:val="datadiena"/>
    <w:rsid w:val="003E3809"/>
  </w:style>
  <w:style w:type="character" w:customStyle="1" w:styleId="statymonr">
    <w:name w:val="statymonr"/>
    <w:rsid w:val="003E3809"/>
  </w:style>
  <w:style w:type="character" w:customStyle="1" w:styleId="A0">
    <w:name w:val="A0"/>
    <w:uiPriority w:val="99"/>
    <w:rsid w:val="00CD1BB5"/>
    <w:rPr>
      <w:rFonts w:cs="Adobe Garamond Pro"/>
      <w:color w:val="000000"/>
      <w:sz w:val="15"/>
      <w:szCs w:val="15"/>
    </w:rPr>
  </w:style>
  <w:style w:type="paragraph" w:customStyle="1" w:styleId="tajtip">
    <w:name w:val="tajtip"/>
    <w:basedOn w:val="prastasis"/>
    <w:rsid w:val="00BE240F"/>
    <w:pPr>
      <w:spacing w:before="100" w:beforeAutospacing="1" w:after="100" w:afterAutospacing="1"/>
    </w:pPr>
    <w:rPr>
      <w:rFonts w:eastAsia="Times New Roman"/>
      <w:lang w:eastAsia="lt-LT"/>
    </w:rPr>
  </w:style>
  <w:style w:type="character" w:customStyle="1" w:styleId="KomentarotekstasDiagrama">
    <w:name w:val="Komentaro tekstas Diagrama"/>
    <w:basedOn w:val="Numatytasispastraiposriftas"/>
    <w:link w:val="Komentarotekstas"/>
    <w:rsid w:val="007E32DD"/>
    <w:rPr>
      <w:rFonts w:eastAsia="Times New Roman"/>
    </w:rPr>
  </w:style>
  <w:style w:type="character" w:customStyle="1" w:styleId="searchword">
    <w:name w:val="searchword"/>
    <w:basedOn w:val="Numatytasispastraiposriftas"/>
    <w:rsid w:val="007E32DD"/>
  </w:style>
  <w:style w:type="paragraph" w:styleId="Sraassuenkleliais">
    <w:name w:val="List Bullet"/>
    <w:basedOn w:val="prastasis"/>
    <w:uiPriority w:val="99"/>
    <w:unhideWhenUsed/>
    <w:rsid w:val="00A55372"/>
    <w:pPr>
      <w:numPr>
        <w:numId w:val="22"/>
      </w:numPr>
      <w:contextualSpacing/>
    </w:pPr>
  </w:style>
  <w:style w:type="numbering" w:customStyle="1" w:styleId="Sraonra1">
    <w:name w:val="Sąrašo nėra1"/>
    <w:next w:val="Sraonra"/>
    <w:uiPriority w:val="99"/>
    <w:semiHidden/>
    <w:unhideWhenUsed/>
    <w:rsid w:val="00FD0AEF"/>
  </w:style>
  <w:style w:type="character" w:customStyle="1" w:styleId="PaprastasistekstasDiagrama">
    <w:name w:val="Paprastasis tekstas Diagrama"/>
    <w:basedOn w:val="Numatytasispastraiposriftas"/>
    <w:link w:val="Paprastasistekstas"/>
    <w:rsid w:val="00FD0AEF"/>
    <w:rPr>
      <w:rFonts w:ascii="Courier New" w:eastAsia="Times New Roman" w:hAnsi="Courier New"/>
      <w:lang w:eastAsia="en-US"/>
    </w:rPr>
  </w:style>
  <w:style w:type="character" w:customStyle="1" w:styleId="PavadinimasDiagrama">
    <w:name w:val="Pavadinimas Diagrama"/>
    <w:basedOn w:val="Numatytasispastraiposriftas"/>
    <w:link w:val="Pavadinimas"/>
    <w:rsid w:val="00FD0AEF"/>
    <w:rPr>
      <w:rFonts w:ascii="Cambria" w:eastAsia="Times New Roman" w:hAnsi="Cambria"/>
      <w:b/>
      <w:bCs/>
      <w:kern w:val="28"/>
      <w:sz w:val="32"/>
      <w:szCs w:val="32"/>
    </w:rPr>
  </w:style>
  <w:style w:type="character" w:customStyle="1" w:styleId="AntrinispavadinimasDiagrama">
    <w:name w:val="Antrinis pavadinimas Diagrama"/>
    <w:basedOn w:val="Numatytasispastraiposriftas"/>
    <w:link w:val="Antrinispavadinimas"/>
    <w:rsid w:val="00FD0AEF"/>
    <w:rPr>
      <w:rFonts w:ascii="Cambria" w:eastAsia="Times New Roman" w:hAnsi="Cambria"/>
      <w:sz w:val="24"/>
      <w:szCs w:val="24"/>
    </w:rPr>
  </w:style>
  <w:style w:type="character" w:customStyle="1" w:styleId="KomentarotemaDiagrama">
    <w:name w:val="Komentaro tema Diagrama"/>
    <w:basedOn w:val="KomentarotekstasDiagrama"/>
    <w:link w:val="Komentarotema"/>
    <w:rsid w:val="00FD0AEF"/>
    <w:rPr>
      <w:rFonts w:eastAsia="Times New Roman"/>
      <w:b/>
      <w:bCs/>
    </w:rPr>
  </w:style>
  <w:style w:type="character" w:customStyle="1" w:styleId="DebesliotekstasDiagrama">
    <w:name w:val="Debesėlio tekstas Diagrama"/>
    <w:basedOn w:val="Numatytasispastraiposriftas"/>
    <w:link w:val="Debesliotekstas"/>
    <w:rsid w:val="00FD0AEF"/>
    <w:rPr>
      <w:rFonts w:ascii="Tahoma" w:eastAsia="Times New Roman" w:hAnsi="Tahoma" w:cs="Tahoma"/>
      <w:sz w:val="16"/>
      <w:szCs w:val="16"/>
    </w:rPr>
  </w:style>
  <w:style w:type="character" w:customStyle="1" w:styleId="DokumentostruktraDiagrama">
    <w:name w:val="Dokumento struktūra Diagrama"/>
    <w:basedOn w:val="Numatytasispastraiposriftas"/>
    <w:link w:val="Dokumentostruktra"/>
    <w:semiHidden/>
    <w:rsid w:val="00FD0AEF"/>
    <w:rPr>
      <w:rFonts w:ascii="Tahoma" w:eastAsia="Times New Roman" w:hAnsi="Tahoma" w:cs="Tahoma"/>
      <w:shd w:val="clear" w:color="auto" w:fill="000080"/>
    </w:rPr>
  </w:style>
  <w:style w:type="character" w:customStyle="1" w:styleId="Pagrindinistekstas2Diagrama">
    <w:name w:val="Pagrindinis tekstas 2 Diagrama"/>
    <w:basedOn w:val="Numatytasispastraiposriftas"/>
    <w:link w:val="Pagrindinistekstas2"/>
    <w:semiHidden/>
    <w:rsid w:val="00FD0AEF"/>
    <w:rPr>
      <w:rFonts w:eastAsia="Times New Roman"/>
      <w:sz w:val="24"/>
      <w:szCs w:val="24"/>
    </w:rPr>
  </w:style>
  <w:style w:type="character" w:customStyle="1" w:styleId="PagrindiniotekstotraukaDiagrama">
    <w:name w:val="Pagrindinio teksto įtrauka Diagrama"/>
    <w:basedOn w:val="Numatytasispastraiposriftas"/>
    <w:link w:val="Pagrindiniotekstotrauka"/>
    <w:semiHidden/>
    <w:rsid w:val="00FD0AEF"/>
    <w:rPr>
      <w:sz w:val="24"/>
      <w:szCs w:val="22"/>
    </w:rPr>
  </w:style>
  <w:style w:type="character" w:customStyle="1" w:styleId="Pagrindiniotekstotrauka2Diagrama">
    <w:name w:val="Pagrindinio teksto įtrauka 2 Diagrama"/>
    <w:basedOn w:val="Numatytasispastraiposriftas"/>
    <w:link w:val="Pagrindiniotekstotrauka2"/>
    <w:semiHidden/>
    <w:rsid w:val="00FD0AEF"/>
    <w:rPr>
      <w:sz w:val="24"/>
      <w:szCs w:val="22"/>
    </w:rPr>
  </w:style>
  <w:style w:type="character" w:customStyle="1" w:styleId="st">
    <w:name w:val="st"/>
    <w:basedOn w:val="Numatytasispastraiposriftas"/>
    <w:rsid w:val="00FD0A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26589">
      <w:bodyDiv w:val="1"/>
      <w:marLeft w:val="0"/>
      <w:marRight w:val="0"/>
      <w:marTop w:val="0"/>
      <w:marBottom w:val="0"/>
      <w:divBdr>
        <w:top w:val="none" w:sz="0" w:space="0" w:color="auto"/>
        <w:left w:val="none" w:sz="0" w:space="0" w:color="auto"/>
        <w:bottom w:val="none" w:sz="0" w:space="0" w:color="auto"/>
        <w:right w:val="none" w:sz="0" w:space="0" w:color="auto"/>
      </w:divBdr>
      <w:divsChild>
        <w:div w:id="125854640">
          <w:marLeft w:val="547"/>
          <w:marRight w:val="0"/>
          <w:marTop w:val="96"/>
          <w:marBottom w:val="0"/>
          <w:divBdr>
            <w:top w:val="none" w:sz="0" w:space="0" w:color="auto"/>
            <w:left w:val="none" w:sz="0" w:space="0" w:color="auto"/>
            <w:bottom w:val="none" w:sz="0" w:space="0" w:color="auto"/>
            <w:right w:val="none" w:sz="0" w:space="0" w:color="auto"/>
          </w:divBdr>
        </w:div>
      </w:divsChild>
    </w:div>
    <w:div w:id="211891926">
      <w:bodyDiv w:val="1"/>
      <w:marLeft w:val="0"/>
      <w:marRight w:val="0"/>
      <w:marTop w:val="0"/>
      <w:marBottom w:val="0"/>
      <w:divBdr>
        <w:top w:val="none" w:sz="0" w:space="0" w:color="auto"/>
        <w:left w:val="none" w:sz="0" w:space="0" w:color="auto"/>
        <w:bottom w:val="none" w:sz="0" w:space="0" w:color="auto"/>
        <w:right w:val="none" w:sz="0" w:space="0" w:color="auto"/>
      </w:divBdr>
      <w:divsChild>
        <w:div w:id="1942907745">
          <w:marLeft w:val="0"/>
          <w:marRight w:val="0"/>
          <w:marTop w:val="0"/>
          <w:marBottom w:val="0"/>
          <w:divBdr>
            <w:top w:val="none" w:sz="0" w:space="0" w:color="auto"/>
            <w:left w:val="none" w:sz="0" w:space="0" w:color="auto"/>
            <w:bottom w:val="none" w:sz="0" w:space="0" w:color="auto"/>
            <w:right w:val="none" w:sz="0" w:space="0" w:color="auto"/>
          </w:divBdr>
          <w:divsChild>
            <w:div w:id="1062604474">
              <w:marLeft w:val="0"/>
              <w:marRight w:val="0"/>
              <w:marTop w:val="0"/>
              <w:marBottom w:val="0"/>
              <w:divBdr>
                <w:top w:val="none" w:sz="0" w:space="0" w:color="auto"/>
                <w:left w:val="none" w:sz="0" w:space="0" w:color="auto"/>
                <w:bottom w:val="none" w:sz="0" w:space="0" w:color="auto"/>
                <w:right w:val="none" w:sz="0" w:space="0" w:color="auto"/>
              </w:divBdr>
              <w:divsChild>
                <w:div w:id="1170098513">
                  <w:marLeft w:val="0"/>
                  <w:marRight w:val="0"/>
                  <w:marTop w:val="0"/>
                  <w:marBottom w:val="0"/>
                  <w:divBdr>
                    <w:top w:val="none" w:sz="0" w:space="0" w:color="auto"/>
                    <w:left w:val="none" w:sz="0" w:space="0" w:color="auto"/>
                    <w:bottom w:val="none" w:sz="0" w:space="0" w:color="auto"/>
                    <w:right w:val="none" w:sz="0" w:space="0" w:color="auto"/>
                  </w:divBdr>
                  <w:divsChild>
                    <w:div w:id="1370882276">
                      <w:marLeft w:val="0"/>
                      <w:marRight w:val="0"/>
                      <w:marTop w:val="0"/>
                      <w:marBottom w:val="0"/>
                      <w:divBdr>
                        <w:top w:val="none" w:sz="0" w:space="0" w:color="auto"/>
                        <w:left w:val="none" w:sz="0" w:space="0" w:color="auto"/>
                        <w:bottom w:val="none" w:sz="0" w:space="0" w:color="auto"/>
                        <w:right w:val="none" w:sz="0" w:space="0" w:color="auto"/>
                      </w:divBdr>
                      <w:divsChild>
                        <w:div w:id="1118180572">
                          <w:marLeft w:val="0"/>
                          <w:marRight w:val="0"/>
                          <w:marTop w:val="0"/>
                          <w:marBottom w:val="0"/>
                          <w:divBdr>
                            <w:top w:val="none" w:sz="0" w:space="0" w:color="auto"/>
                            <w:left w:val="none" w:sz="0" w:space="0" w:color="auto"/>
                            <w:bottom w:val="none" w:sz="0" w:space="0" w:color="auto"/>
                            <w:right w:val="none" w:sz="0" w:space="0" w:color="auto"/>
                          </w:divBdr>
                          <w:divsChild>
                            <w:div w:id="2013488430">
                              <w:marLeft w:val="0"/>
                              <w:marRight w:val="0"/>
                              <w:marTop w:val="0"/>
                              <w:marBottom w:val="0"/>
                              <w:divBdr>
                                <w:top w:val="none" w:sz="0" w:space="0" w:color="auto"/>
                                <w:left w:val="none" w:sz="0" w:space="0" w:color="auto"/>
                                <w:bottom w:val="none" w:sz="0" w:space="0" w:color="auto"/>
                                <w:right w:val="none" w:sz="0" w:space="0" w:color="auto"/>
                              </w:divBdr>
                              <w:divsChild>
                                <w:div w:id="9575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6188906">
      <w:bodyDiv w:val="1"/>
      <w:marLeft w:val="0"/>
      <w:marRight w:val="0"/>
      <w:marTop w:val="0"/>
      <w:marBottom w:val="0"/>
      <w:divBdr>
        <w:top w:val="none" w:sz="0" w:space="0" w:color="auto"/>
        <w:left w:val="none" w:sz="0" w:space="0" w:color="auto"/>
        <w:bottom w:val="none" w:sz="0" w:space="0" w:color="auto"/>
        <w:right w:val="none" w:sz="0" w:space="0" w:color="auto"/>
      </w:divBdr>
    </w:div>
    <w:div w:id="372391390">
      <w:bodyDiv w:val="1"/>
      <w:marLeft w:val="0"/>
      <w:marRight w:val="0"/>
      <w:marTop w:val="0"/>
      <w:marBottom w:val="0"/>
      <w:divBdr>
        <w:top w:val="none" w:sz="0" w:space="0" w:color="auto"/>
        <w:left w:val="none" w:sz="0" w:space="0" w:color="auto"/>
        <w:bottom w:val="none" w:sz="0" w:space="0" w:color="auto"/>
        <w:right w:val="none" w:sz="0" w:space="0" w:color="auto"/>
      </w:divBdr>
    </w:div>
    <w:div w:id="622155575">
      <w:bodyDiv w:val="1"/>
      <w:marLeft w:val="0"/>
      <w:marRight w:val="0"/>
      <w:marTop w:val="0"/>
      <w:marBottom w:val="0"/>
      <w:divBdr>
        <w:top w:val="none" w:sz="0" w:space="0" w:color="auto"/>
        <w:left w:val="none" w:sz="0" w:space="0" w:color="auto"/>
        <w:bottom w:val="none" w:sz="0" w:space="0" w:color="auto"/>
        <w:right w:val="none" w:sz="0" w:space="0" w:color="auto"/>
      </w:divBdr>
    </w:div>
    <w:div w:id="693262161">
      <w:bodyDiv w:val="1"/>
      <w:marLeft w:val="0"/>
      <w:marRight w:val="0"/>
      <w:marTop w:val="0"/>
      <w:marBottom w:val="150"/>
      <w:divBdr>
        <w:top w:val="none" w:sz="0" w:space="0" w:color="auto"/>
        <w:left w:val="none" w:sz="0" w:space="0" w:color="auto"/>
        <w:bottom w:val="none" w:sz="0" w:space="0" w:color="auto"/>
        <w:right w:val="none" w:sz="0" w:space="0" w:color="auto"/>
      </w:divBdr>
      <w:divsChild>
        <w:div w:id="830415085">
          <w:marLeft w:val="600"/>
          <w:marRight w:val="0"/>
          <w:marTop w:val="0"/>
          <w:marBottom w:val="0"/>
          <w:divBdr>
            <w:top w:val="none" w:sz="0" w:space="0" w:color="auto"/>
            <w:left w:val="none" w:sz="0" w:space="0" w:color="auto"/>
            <w:bottom w:val="none" w:sz="0" w:space="0" w:color="auto"/>
            <w:right w:val="none" w:sz="0" w:space="0" w:color="auto"/>
          </w:divBdr>
          <w:divsChild>
            <w:div w:id="183772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115308">
      <w:bodyDiv w:val="1"/>
      <w:marLeft w:val="0"/>
      <w:marRight w:val="0"/>
      <w:marTop w:val="0"/>
      <w:marBottom w:val="0"/>
      <w:divBdr>
        <w:top w:val="none" w:sz="0" w:space="0" w:color="auto"/>
        <w:left w:val="none" w:sz="0" w:space="0" w:color="auto"/>
        <w:bottom w:val="none" w:sz="0" w:space="0" w:color="auto"/>
        <w:right w:val="none" w:sz="0" w:space="0" w:color="auto"/>
      </w:divBdr>
    </w:div>
    <w:div w:id="1236087326">
      <w:bodyDiv w:val="1"/>
      <w:marLeft w:val="0"/>
      <w:marRight w:val="0"/>
      <w:marTop w:val="0"/>
      <w:marBottom w:val="150"/>
      <w:divBdr>
        <w:top w:val="none" w:sz="0" w:space="0" w:color="auto"/>
        <w:left w:val="none" w:sz="0" w:space="0" w:color="auto"/>
        <w:bottom w:val="none" w:sz="0" w:space="0" w:color="auto"/>
        <w:right w:val="none" w:sz="0" w:space="0" w:color="auto"/>
      </w:divBdr>
      <w:divsChild>
        <w:div w:id="1095976910">
          <w:marLeft w:val="600"/>
          <w:marRight w:val="0"/>
          <w:marTop w:val="0"/>
          <w:marBottom w:val="0"/>
          <w:divBdr>
            <w:top w:val="none" w:sz="0" w:space="0" w:color="auto"/>
            <w:left w:val="none" w:sz="0" w:space="0" w:color="auto"/>
            <w:bottom w:val="none" w:sz="0" w:space="0" w:color="auto"/>
            <w:right w:val="none" w:sz="0" w:space="0" w:color="auto"/>
          </w:divBdr>
          <w:divsChild>
            <w:div w:id="117626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727177">
      <w:bodyDiv w:val="1"/>
      <w:marLeft w:val="0"/>
      <w:marRight w:val="0"/>
      <w:marTop w:val="0"/>
      <w:marBottom w:val="0"/>
      <w:divBdr>
        <w:top w:val="none" w:sz="0" w:space="0" w:color="auto"/>
        <w:left w:val="none" w:sz="0" w:space="0" w:color="auto"/>
        <w:bottom w:val="none" w:sz="0" w:space="0" w:color="auto"/>
        <w:right w:val="none" w:sz="0" w:space="0" w:color="auto"/>
      </w:divBdr>
    </w:div>
    <w:div w:id="1623683095">
      <w:bodyDiv w:val="1"/>
      <w:marLeft w:val="225"/>
      <w:marRight w:val="225"/>
      <w:marTop w:val="0"/>
      <w:marBottom w:val="0"/>
      <w:divBdr>
        <w:top w:val="none" w:sz="0" w:space="0" w:color="auto"/>
        <w:left w:val="none" w:sz="0" w:space="0" w:color="auto"/>
        <w:bottom w:val="none" w:sz="0" w:space="0" w:color="auto"/>
        <w:right w:val="none" w:sz="0" w:space="0" w:color="auto"/>
      </w:divBdr>
      <w:divsChild>
        <w:div w:id="147871619">
          <w:marLeft w:val="0"/>
          <w:marRight w:val="0"/>
          <w:marTop w:val="0"/>
          <w:marBottom w:val="0"/>
          <w:divBdr>
            <w:top w:val="none" w:sz="0" w:space="0" w:color="auto"/>
            <w:left w:val="none" w:sz="0" w:space="0" w:color="auto"/>
            <w:bottom w:val="none" w:sz="0" w:space="0" w:color="auto"/>
            <w:right w:val="none" w:sz="0" w:space="0" w:color="auto"/>
          </w:divBdr>
        </w:div>
      </w:divsChild>
    </w:div>
    <w:div w:id="1890995198">
      <w:bodyDiv w:val="1"/>
      <w:marLeft w:val="0"/>
      <w:marRight w:val="0"/>
      <w:marTop w:val="0"/>
      <w:marBottom w:val="0"/>
      <w:divBdr>
        <w:top w:val="none" w:sz="0" w:space="0" w:color="auto"/>
        <w:left w:val="none" w:sz="0" w:space="0" w:color="auto"/>
        <w:bottom w:val="none" w:sz="0" w:space="0" w:color="auto"/>
        <w:right w:val="none" w:sz="0" w:space="0" w:color="auto"/>
      </w:divBdr>
    </w:div>
    <w:div w:id="209643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books.google.lt/books?id=Ae8-rRHi4KMC&amp;pg=PA78&amp;dq=Langbein,+J.+H.+Prosecuting+crime+in+the+renaissance:+England,+Germany,+France.&amp;hl=lt&amp;sa=X&amp;ei=bXMFT-_lE87AtAbQ-ZGCDw&amp;ved=0CC0Q6AEwAA" TargetMode="External"/><Relationship Id="rId18" Type="http://schemas.openxmlformats.org/officeDocument/2006/relationships/hyperlink" Target="http://www3.lrs.lt/pls/inter3/dokpaieska.showdoc_l?p_id=454409&amp;p_query=28%20straipsnio&amp;p_tr2=2" TargetMode="External"/><Relationship Id="rId26" Type="http://schemas.openxmlformats.org/officeDocument/2006/relationships/hyperlink" Target="http://verslas.delfi.lt/Media/btv-uogos-praso-i-ginca-su-prokuroru-isikisti-kalbos-instituta.d?id=20864845" TargetMode="External"/><Relationship Id="rId3" Type="http://schemas.openxmlformats.org/officeDocument/2006/relationships/styles" Target="styles.xml"/><Relationship Id="rId21" Type="http://schemas.openxmlformats.org/officeDocument/2006/relationships/hyperlink" Target="http://www.gesetze-im-internet.de/stpo/index.htm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revcurentjur.ro/arhiva/attachments_201102/recjurid112_13F.pdf" TargetMode="External"/><Relationship Id="rId17" Type="http://schemas.openxmlformats.org/officeDocument/2006/relationships/hyperlink" Target="http://www.tzz.lt" TargetMode="External"/><Relationship Id="rId25" Type="http://schemas.openxmlformats.org/officeDocument/2006/relationships/hyperlink" Target="http://www.alfa.lt/straipsnis/10236056/?Prokuroras.Laucius..atleisiu.tik.vienam.is.BTV.laidos.kureju=2008-11-11_16-32" TargetMode="External"/><Relationship Id="rId33"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http://books.google.lt/books?id=py_dX__lu50C&amp;pg=PA93&amp;dq=%C5%A0elih,+A.+(2000).+The+prosecution+process+and+the+(changing)+role+of+the+prosecutor.&amp;hl=lt&amp;sa=X&amp;ei=7o0FT7qAB8zwsga8iYmCDw&amp;ved=0CC0Q6AEwAA" TargetMode="External"/><Relationship Id="rId20" Type="http://schemas.openxmlformats.org/officeDocument/2006/relationships/hyperlink" Target="http://www.vsrh.hr/CustomPages/Static/HRV/Files/Legislation__Criminal-Procedure-Act.pdf"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books.google.lt/books?id=dBubbTnqKXQC&amp;printsec=frontcover&amp;dq=Esmein,+A.+A+history+of+continental+criminal+procedure&amp;hl=lt&amp;sa=X&amp;ei=yYUFT6CBA4vasgb726CDDw&amp;sqi=2&amp;redir_esc=y" TargetMode="External"/><Relationship Id="rId24" Type="http://schemas.openxmlformats.org/officeDocument/2006/relationships/hyperlink" Target="http://www.teismai.lt/lt/teismai/teismai-statistika/" TargetMode="External"/><Relationship Id="rId32"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hyperlink" Target="http://www.lrkt.lt/PKonferencijose/15.pdf" TargetMode="External"/><Relationship Id="rId23" Type="http://schemas.openxmlformats.org/officeDocument/2006/relationships/hyperlink" Target="http://www3.lrs.lt/pls/inter/w2008_home.dabarseime" TargetMode="External"/><Relationship Id="rId28" Type="http://schemas.openxmlformats.org/officeDocument/2006/relationships/image" Target="media/image1.png"/><Relationship Id="rId36" Type="http://schemas.openxmlformats.org/officeDocument/2006/relationships/theme" Target="theme/theme1.xml"/><Relationship Id="rId10" Type="http://schemas.openxmlformats.org/officeDocument/2006/relationships/hyperlink" Target="http://webu2.upmf-grenoble.fr/Haiti/Cours/Ak/Corpus/CJ3.htm" TargetMode="External"/><Relationship Id="rId19" Type="http://schemas.openxmlformats.org/officeDocument/2006/relationships/hyperlink" Target="http://www.un.org/documents/ga/res/40/a40r034.htm" TargetMode="External"/><Relationship Id="rId31"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yperlink" Target="http://www.newbooks-services.de/MediaFiles/Texts/0/9783867522250_Excerpt_001.pdf" TargetMode="External"/><Relationship Id="rId14" Type="http://schemas.openxmlformats.org/officeDocument/2006/relationships/hyperlink" Target="http://icj.sagepub.com/cgi/content/abstract/18/2/190" TargetMode="External"/><Relationship Id="rId22" Type="http://schemas.openxmlformats.org/officeDocument/2006/relationships/hyperlink" Target="http://www.respublika.lt/lt/naujienos/pramogos/zvaigzdes_ir_zmones/isizeide_prokuroras__sedek,print.1" TargetMode="External"/><Relationship Id="rId27" Type="http://schemas.openxmlformats.org/officeDocument/2006/relationships/hyperlink" Target="http://www.euro-justice.com/member_states/austria/country_report/1362/" TargetMode="External"/><Relationship Id="rId30" Type="http://schemas.openxmlformats.org/officeDocument/2006/relationships/image" Target="media/image3.png"/><Relationship Id="rId35" Type="http://schemas.openxmlformats.org/officeDocument/2006/relationships/fontTable" Target="fontTable.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www3.lrs.lt/pls/inter/w2008_home.dabarseime" TargetMode="External"/><Relationship Id="rId13" Type="http://schemas.openxmlformats.org/officeDocument/2006/relationships/hyperlink" Target="http://www.teismai.lt/lt/teismai/teismai-statistika/" TargetMode="External"/><Relationship Id="rId18" Type="http://schemas.openxmlformats.org/officeDocument/2006/relationships/hyperlink" Target="http://www.google.com/books?hl=lt&amp;lr=&amp;id=jL5m1Q-3SdUC&amp;oi=fnd&amp;pg=PA4&amp;dq=tavuchis+mea+culpa&amp;ots=LFEYuy1_s0&amp;sig=YcUABdqBRmy3LoCA40QC3ypB3s0" TargetMode="External"/><Relationship Id="rId3" Type="http://schemas.openxmlformats.org/officeDocument/2006/relationships/hyperlink" Target="http://www.newbooks-services.de/MediaFiles/Texts/0/9783867522250_Excerpt_001.pdf" TargetMode="External"/><Relationship Id="rId21" Type="http://schemas.openxmlformats.org/officeDocument/2006/relationships/hyperlink" Target="http://www.alfa.lt/straipsnis/10236056/?Prokuroras.Laucius..atleisiu.tik.vienam.is.BTV.laidos.kureju=2008-11-11_16-32" TargetMode="External"/><Relationship Id="rId7" Type="http://schemas.openxmlformats.org/officeDocument/2006/relationships/hyperlink" Target="http://icj.sagepub.com/cgi/content/abstract/18/2/190" TargetMode="External"/><Relationship Id="rId12" Type="http://schemas.openxmlformats.org/officeDocument/2006/relationships/hyperlink" Target="http://www.teismai.lt/lt/teismai/teismai-statistika/" TargetMode="External"/><Relationship Id="rId17" Type="http://schemas.openxmlformats.org/officeDocument/2006/relationships/hyperlink" Target="http://www.un.org/documents/ga/res/40/a40r034.htm" TargetMode="External"/><Relationship Id="rId2" Type="http://schemas.openxmlformats.org/officeDocument/2006/relationships/hyperlink" Target="http://www.lrkt.lt/PKonferencijose/15.pdf" TargetMode="External"/><Relationship Id="rId16" Type="http://schemas.openxmlformats.org/officeDocument/2006/relationships/hyperlink" Target="http://www.un.org/documents/ga/res/40/a40r034.htm" TargetMode="External"/><Relationship Id="rId20" Type="http://schemas.openxmlformats.org/officeDocument/2006/relationships/hyperlink" Target="http://www.gesetze-im-internet.de/stpo/index.html" TargetMode="External"/><Relationship Id="rId1" Type="http://schemas.openxmlformats.org/officeDocument/2006/relationships/hyperlink" Target="http://icj.sagepub.com/cgi/content/abstract/18/2/190" TargetMode="External"/><Relationship Id="rId6" Type="http://schemas.openxmlformats.org/officeDocument/2006/relationships/hyperlink" Target="http://books.google.lt/books?id=py_dX__lu50C&amp;pg=PA93&amp;dq=%C5%A0elih,+A.+(2000).+The+prosecution+process+and+the+(changing)+role+of+the+prosecutor.&amp;hl=lt&amp;sa=X&amp;ei=7o0FT7qAB8zwsga8iYmCDw&amp;ved=0CC0Q6AEwAA" TargetMode="External"/><Relationship Id="rId11" Type="http://schemas.openxmlformats.org/officeDocument/2006/relationships/hyperlink" Target="http://www.gesetze-im-internet.de/stpo/index.html" TargetMode="External"/><Relationship Id="rId24" Type="http://schemas.openxmlformats.org/officeDocument/2006/relationships/hyperlink" Target="http://www.coe.int/t/dghl/cooperation/capacitybuilding/Source/documentation/hb12_fairtrial_en.pdf" TargetMode="External"/><Relationship Id="rId5" Type="http://schemas.openxmlformats.org/officeDocument/2006/relationships/hyperlink" Target="http://icj.sagepub.com/cgi/content/abstract/18/2/190" TargetMode="External"/><Relationship Id="rId15" Type="http://schemas.openxmlformats.org/officeDocument/2006/relationships/hyperlink" Target="http://www.un.org/documents/ga/res/40/a40r034.htm" TargetMode="External"/><Relationship Id="rId23" Type="http://schemas.openxmlformats.org/officeDocument/2006/relationships/hyperlink" Target="http://www.euro-justice.com/member_states/austria/country_report/1362/" TargetMode="External"/><Relationship Id="rId10" Type="http://schemas.openxmlformats.org/officeDocument/2006/relationships/hyperlink" Target="http://www.euro-justice.com/member_states/austria/country_report/1362/" TargetMode="External"/><Relationship Id="rId19" Type="http://schemas.openxmlformats.org/officeDocument/2006/relationships/hyperlink" Target="http://www.un.org/documents/ga/res/40/a40r034.htm" TargetMode="External"/><Relationship Id="rId4" Type="http://schemas.openxmlformats.org/officeDocument/2006/relationships/hyperlink" Target="http://webu2.upmf-grenoble.fr/Haiti/Cours/Ak/Corpus/CJ3.htm" TargetMode="External"/><Relationship Id="rId9" Type="http://schemas.openxmlformats.org/officeDocument/2006/relationships/hyperlink" Target="http://www.teise.org/docs/upload/TAREJU%20studija.pdf" TargetMode="External"/><Relationship Id="rId14" Type="http://schemas.openxmlformats.org/officeDocument/2006/relationships/hyperlink" Target="http://www.tzz.lt" TargetMode="External"/><Relationship Id="rId22" Type="http://schemas.openxmlformats.org/officeDocument/2006/relationships/hyperlink" Target="http://www.delfi.lt/news/daily/lithuania/seimas-spres-ar-panaikinti-rzilinsko-vuspaskicho-ir-vgapsio-nelieciamybe.d?id=194517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79D090-4987-4F99-99E0-746C85575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251</Pages>
  <Words>376370</Words>
  <Characters>214531</Characters>
  <Application>Microsoft Office Word</Application>
  <DocSecurity>0</DocSecurity>
  <Lines>1787</Lines>
  <Paragraphs>1179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MYKOLO ROMERIO UNIVERSITETAS</vt:lpstr>
      <vt:lpstr>MYKOLO ROMERIO UNIVERSITETAS</vt:lpstr>
    </vt:vector>
  </TitlesOfParts>
  <Company>Microsoft</Company>
  <LinksUpToDate>false</LinksUpToDate>
  <CharactersWithSpaces>589722</CharactersWithSpaces>
  <SharedDoc>false</SharedDoc>
  <HLinks>
    <vt:vector size="588" baseType="variant">
      <vt:variant>
        <vt:i4>1703991</vt:i4>
      </vt:variant>
      <vt:variant>
        <vt:i4>386</vt:i4>
      </vt:variant>
      <vt:variant>
        <vt:i4>0</vt:i4>
      </vt:variant>
      <vt:variant>
        <vt:i4>5</vt:i4>
      </vt:variant>
      <vt:variant>
        <vt:lpwstr/>
      </vt:variant>
      <vt:variant>
        <vt:lpwstr>_Toc365498877</vt:lpwstr>
      </vt:variant>
      <vt:variant>
        <vt:i4>1703991</vt:i4>
      </vt:variant>
      <vt:variant>
        <vt:i4>380</vt:i4>
      </vt:variant>
      <vt:variant>
        <vt:i4>0</vt:i4>
      </vt:variant>
      <vt:variant>
        <vt:i4>5</vt:i4>
      </vt:variant>
      <vt:variant>
        <vt:lpwstr/>
      </vt:variant>
      <vt:variant>
        <vt:lpwstr>_Toc365498876</vt:lpwstr>
      </vt:variant>
      <vt:variant>
        <vt:i4>1703991</vt:i4>
      </vt:variant>
      <vt:variant>
        <vt:i4>374</vt:i4>
      </vt:variant>
      <vt:variant>
        <vt:i4>0</vt:i4>
      </vt:variant>
      <vt:variant>
        <vt:i4>5</vt:i4>
      </vt:variant>
      <vt:variant>
        <vt:lpwstr/>
      </vt:variant>
      <vt:variant>
        <vt:lpwstr>_Toc365498875</vt:lpwstr>
      </vt:variant>
      <vt:variant>
        <vt:i4>1703991</vt:i4>
      </vt:variant>
      <vt:variant>
        <vt:i4>368</vt:i4>
      </vt:variant>
      <vt:variant>
        <vt:i4>0</vt:i4>
      </vt:variant>
      <vt:variant>
        <vt:i4>5</vt:i4>
      </vt:variant>
      <vt:variant>
        <vt:lpwstr/>
      </vt:variant>
      <vt:variant>
        <vt:lpwstr>_Toc365498874</vt:lpwstr>
      </vt:variant>
      <vt:variant>
        <vt:i4>1703991</vt:i4>
      </vt:variant>
      <vt:variant>
        <vt:i4>362</vt:i4>
      </vt:variant>
      <vt:variant>
        <vt:i4>0</vt:i4>
      </vt:variant>
      <vt:variant>
        <vt:i4>5</vt:i4>
      </vt:variant>
      <vt:variant>
        <vt:lpwstr/>
      </vt:variant>
      <vt:variant>
        <vt:lpwstr>_Toc365498873</vt:lpwstr>
      </vt:variant>
      <vt:variant>
        <vt:i4>1703991</vt:i4>
      </vt:variant>
      <vt:variant>
        <vt:i4>356</vt:i4>
      </vt:variant>
      <vt:variant>
        <vt:i4>0</vt:i4>
      </vt:variant>
      <vt:variant>
        <vt:i4>5</vt:i4>
      </vt:variant>
      <vt:variant>
        <vt:lpwstr/>
      </vt:variant>
      <vt:variant>
        <vt:lpwstr>_Toc365498872</vt:lpwstr>
      </vt:variant>
      <vt:variant>
        <vt:i4>1703991</vt:i4>
      </vt:variant>
      <vt:variant>
        <vt:i4>350</vt:i4>
      </vt:variant>
      <vt:variant>
        <vt:i4>0</vt:i4>
      </vt:variant>
      <vt:variant>
        <vt:i4>5</vt:i4>
      </vt:variant>
      <vt:variant>
        <vt:lpwstr/>
      </vt:variant>
      <vt:variant>
        <vt:lpwstr>_Toc365498871</vt:lpwstr>
      </vt:variant>
      <vt:variant>
        <vt:i4>1703991</vt:i4>
      </vt:variant>
      <vt:variant>
        <vt:i4>344</vt:i4>
      </vt:variant>
      <vt:variant>
        <vt:i4>0</vt:i4>
      </vt:variant>
      <vt:variant>
        <vt:i4>5</vt:i4>
      </vt:variant>
      <vt:variant>
        <vt:lpwstr/>
      </vt:variant>
      <vt:variant>
        <vt:lpwstr>_Toc365498870</vt:lpwstr>
      </vt:variant>
      <vt:variant>
        <vt:i4>1769527</vt:i4>
      </vt:variant>
      <vt:variant>
        <vt:i4>338</vt:i4>
      </vt:variant>
      <vt:variant>
        <vt:i4>0</vt:i4>
      </vt:variant>
      <vt:variant>
        <vt:i4>5</vt:i4>
      </vt:variant>
      <vt:variant>
        <vt:lpwstr/>
      </vt:variant>
      <vt:variant>
        <vt:lpwstr>_Toc365498869</vt:lpwstr>
      </vt:variant>
      <vt:variant>
        <vt:i4>1769527</vt:i4>
      </vt:variant>
      <vt:variant>
        <vt:i4>332</vt:i4>
      </vt:variant>
      <vt:variant>
        <vt:i4>0</vt:i4>
      </vt:variant>
      <vt:variant>
        <vt:i4>5</vt:i4>
      </vt:variant>
      <vt:variant>
        <vt:lpwstr/>
      </vt:variant>
      <vt:variant>
        <vt:lpwstr>_Toc365498868</vt:lpwstr>
      </vt:variant>
      <vt:variant>
        <vt:i4>1769527</vt:i4>
      </vt:variant>
      <vt:variant>
        <vt:i4>326</vt:i4>
      </vt:variant>
      <vt:variant>
        <vt:i4>0</vt:i4>
      </vt:variant>
      <vt:variant>
        <vt:i4>5</vt:i4>
      </vt:variant>
      <vt:variant>
        <vt:lpwstr/>
      </vt:variant>
      <vt:variant>
        <vt:lpwstr>_Toc365498867</vt:lpwstr>
      </vt:variant>
      <vt:variant>
        <vt:i4>1769527</vt:i4>
      </vt:variant>
      <vt:variant>
        <vt:i4>320</vt:i4>
      </vt:variant>
      <vt:variant>
        <vt:i4>0</vt:i4>
      </vt:variant>
      <vt:variant>
        <vt:i4>5</vt:i4>
      </vt:variant>
      <vt:variant>
        <vt:lpwstr/>
      </vt:variant>
      <vt:variant>
        <vt:lpwstr>_Toc365498866</vt:lpwstr>
      </vt:variant>
      <vt:variant>
        <vt:i4>1769527</vt:i4>
      </vt:variant>
      <vt:variant>
        <vt:i4>314</vt:i4>
      </vt:variant>
      <vt:variant>
        <vt:i4>0</vt:i4>
      </vt:variant>
      <vt:variant>
        <vt:i4>5</vt:i4>
      </vt:variant>
      <vt:variant>
        <vt:lpwstr/>
      </vt:variant>
      <vt:variant>
        <vt:lpwstr>_Toc365498865</vt:lpwstr>
      </vt:variant>
      <vt:variant>
        <vt:i4>1769527</vt:i4>
      </vt:variant>
      <vt:variant>
        <vt:i4>308</vt:i4>
      </vt:variant>
      <vt:variant>
        <vt:i4>0</vt:i4>
      </vt:variant>
      <vt:variant>
        <vt:i4>5</vt:i4>
      </vt:variant>
      <vt:variant>
        <vt:lpwstr/>
      </vt:variant>
      <vt:variant>
        <vt:lpwstr>_Toc365498864</vt:lpwstr>
      </vt:variant>
      <vt:variant>
        <vt:i4>1769527</vt:i4>
      </vt:variant>
      <vt:variant>
        <vt:i4>302</vt:i4>
      </vt:variant>
      <vt:variant>
        <vt:i4>0</vt:i4>
      </vt:variant>
      <vt:variant>
        <vt:i4>5</vt:i4>
      </vt:variant>
      <vt:variant>
        <vt:lpwstr/>
      </vt:variant>
      <vt:variant>
        <vt:lpwstr>_Toc365498863</vt:lpwstr>
      </vt:variant>
      <vt:variant>
        <vt:i4>1769527</vt:i4>
      </vt:variant>
      <vt:variant>
        <vt:i4>296</vt:i4>
      </vt:variant>
      <vt:variant>
        <vt:i4>0</vt:i4>
      </vt:variant>
      <vt:variant>
        <vt:i4>5</vt:i4>
      </vt:variant>
      <vt:variant>
        <vt:lpwstr/>
      </vt:variant>
      <vt:variant>
        <vt:lpwstr>_Toc365498862</vt:lpwstr>
      </vt:variant>
      <vt:variant>
        <vt:i4>1769527</vt:i4>
      </vt:variant>
      <vt:variant>
        <vt:i4>290</vt:i4>
      </vt:variant>
      <vt:variant>
        <vt:i4>0</vt:i4>
      </vt:variant>
      <vt:variant>
        <vt:i4>5</vt:i4>
      </vt:variant>
      <vt:variant>
        <vt:lpwstr/>
      </vt:variant>
      <vt:variant>
        <vt:lpwstr>_Toc365498861</vt:lpwstr>
      </vt:variant>
      <vt:variant>
        <vt:i4>1769527</vt:i4>
      </vt:variant>
      <vt:variant>
        <vt:i4>284</vt:i4>
      </vt:variant>
      <vt:variant>
        <vt:i4>0</vt:i4>
      </vt:variant>
      <vt:variant>
        <vt:i4>5</vt:i4>
      </vt:variant>
      <vt:variant>
        <vt:lpwstr/>
      </vt:variant>
      <vt:variant>
        <vt:lpwstr>_Toc365498860</vt:lpwstr>
      </vt:variant>
      <vt:variant>
        <vt:i4>1572919</vt:i4>
      </vt:variant>
      <vt:variant>
        <vt:i4>278</vt:i4>
      </vt:variant>
      <vt:variant>
        <vt:i4>0</vt:i4>
      </vt:variant>
      <vt:variant>
        <vt:i4>5</vt:i4>
      </vt:variant>
      <vt:variant>
        <vt:lpwstr/>
      </vt:variant>
      <vt:variant>
        <vt:lpwstr>_Toc365498859</vt:lpwstr>
      </vt:variant>
      <vt:variant>
        <vt:i4>1572919</vt:i4>
      </vt:variant>
      <vt:variant>
        <vt:i4>272</vt:i4>
      </vt:variant>
      <vt:variant>
        <vt:i4>0</vt:i4>
      </vt:variant>
      <vt:variant>
        <vt:i4>5</vt:i4>
      </vt:variant>
      <vt:variant>
        <vt:lpwstr/>
      </vt:variant>
      <vt:variant>
        <vt:lpwstr>_Toc365498858</vt:lpwstr>
      </vt:variant>
      <vt:variant>
        <vt:i4>1572919</vt:i4>
      </vt:variant>
      <vt:variant>
        <vt:i4>266</vt:i4>
      </vt:variant>
      <vt:variant>
        <vt:i4>0</vt:i4>
      </vt:variant>
      <vt:variant>
        <vt:i4>5</vt:i4>
      </vt:variant>
      <vt:variant>
        <vt:lpwstr/>
      </vt:variant>
      <vt:variant>
        <vt:lpwstr>_Toc365498857</vt:lpwstr>
      </vt:variant>
      <vt:variant>
        <vt:i4>1572919</vt:i4>
      </vt:variant>
      <vt:variant>
        <vt:i4>260</vt:i4>
      </vt:variant>
      <vt:variant>
        <vt:i4>0</vt:i4>
      </vt:variant>
      <vt:variant>
        <vt:i4>5</vt:i4>
      </vt:variant>
      <vt:variant>
        <vt:lpwstr/>
      </vt:variant>
      <vt:variant>
        <vt:lpwstr>_Toc365498856</vt:lpwstr>
      </vt:variant>
      <vt:variant>
        <vt:i4>1572919</vt:i4>
      </vt:variant>
      <vt:variant>
        <vt:i4>254</vt:i4>
      </vt:variant>
      <vt:variant>
        <vt:i4>0</vt:i4>
      </vt:variant>
      <vt:variant>
        <vt:i4>5</vt:i4>
      </vt:variant>
      <vt:variant>
        <vt:lpwstr/>
      </vt:variant>
      <vt:variant>
        <vt:lpwstr>_Toc365498855</vt:lpwstr>
      </vt:variant>
      <vt:variant>
        <vt:i4>1572919</vt:i4>
      </vt:variant>
      <vt:variant>
        <vt:i4>248</vt:i4>
      </vt:variant>
      <vt:variant>
        <vt:i4>0</vt:i4>
      </vt:variant>
      <vt:variant>
        <vt:i4>5</vt:i4>
      </vt:variant>
      <vt:variant>
        <vt:lpwstr/>
      </vt:variant>
      <vt:variant>
        <vt:lpwstr>_Toc365498854</vt:lpwstr>
      </vt:variant>
      <vt:variant>
        <vt:i4>1572919</vt:i4>
      </vt:variant>
      <vt:variant>
        <vt:i4>242</vt:i4>
      </vt:variant>
      <vt:variant>
        <vt:i4>0</vt:i4>
      </vt:variant>
      <vt:variant>
        <vt:i4>5</vt:i4>
      </vt:variant>
      <vt:variant>
        <vt:lpwstr/>
      </vt:variant>
      <vt:variant>
        <vt:lpwstr>_Toc365498853</vt:lpwstr>
      </vt:variant>
      <vt:variant>
        <vt:i4>1572919</vt:i4>
      </vt:variant>
      <vt:variant>
        <vt:i4>236</vt:i4>
      </vt:variant>
      <vt:variant>
        <vt:i4>0</vt:i4>
      </vt:variant>
      <vt:variant>
        <vt:i4>5</vt:i4>
      </vt:variant>
      <vt:variant>
        <vt:lpwstr/>
      </vt:variant>
      <vt:variant>
        <vt:lpwstr>_Toc365498852</vt:lpwstr>
      </vt:variant>
      <vt:variant>
        <vt:i4>1572919</vt:i4>
      </vt:variant>
      <vt:variant>
        <vt:i4>230</vt:i4>
      </vt:variant>
      <vt:variant>
        <vt:i4>0</vt:i4>
      </vt:variant>
      <vt:variant>
        <vt:i4>5</vt:i4>
      </vt:variant>
      <vt:variant>
        <vt:lpwstr/>
      </vt:variant>
      <vt:variant>
        <vt:lpwstr>_Toc365498851</vt:lpwstr>
      </vt:variant>
      <vt:variant>
        <vt:i4>1572919</vt:i4>
      </vt:variant>
      <vt:variant>
        <vt:i4>224</vt:i4>
      </vt:variant>
      <vt:variant>
        <vt:i4>0</vt:i4>
      </vt:variant>
      <vt:variant>
        <vt:i4>5</vt:i4>
      </vt:variant>
      <vt:variant>
        <vt:lpwstr/>
      </vt:variant>
      <vt:variant>
        <vt:lpwstr>_Toc365498850</vt:lpwstr>
      </vt:variant>
      <vt:variant>
        <vt:i4>1638455</vt:i4>
      </vt:variant>
      <vt:variant>
        <vt:i4>218</vt:i4>
      </vt:variant>
      <vt:variant>
        <vt:i4>0</vt:i4>
      </vt:variant>
      <vt:variant>
        <vt:i4>5</vt:i4>
      </vt:variant>
      <vt:variant>
        <vt:lpwstr/>
      </vt:variant>
      <vt:variant>
        <vt:lpwstr>_Toc365498849</vt:lpwstr>
      </vt:variant>
      <vt:variant>
        <vt:i4>1638455</vt:i4>
      </vt:variant>
      <vt:variant>
        <vt:i4>212</vt:i4>
      </vt:variant>
      <vt:variant>
        <vt:i4>0</vt:i4>
      </vt:variant>
      <vt:variant>
        <vt:i4>5</vt:i4>
      </vt:variant>
      <vt:variant>
        <vt:lpwstr/>
      </vt:variant>
      <vt:variant>
        <vt:lpwstr>_Toc365498848</vt:lpwstr>
      </vt:variant>
      <vt:variant>
        <vt:i4>1638455</vt:i4>
      </vt:variant>
      <vt:variant>
        <vt:i4>206</vt:i4>
      </vt:variant>
      <vt:variant>
        <vt:i4>0</vt:i4>
      </vt:variant>
      <vt:variant>
        <vt:i4>5</vt:i4>
      </vt:variant>
      <vt:variant>
        <vt:lpwstr/>
      </vt:variant>
      <vt:variant>
        <vt:lpwstr>_Toc365498847</vt:lpwstr>
      </vt:variant>
      <vt:variant>
        <vt:i4>1638455</vt:i4>
      </vt:variant>
      <vt:variant>
        <vt:i4>200</vt:i4>
      </vt:variant>
      <vt:variant>
        <vt:i4>0</vt:i4>
      </vt:variant>
      <vt:variant>
        <vt:i4>5</vt:i4>
      </vt:variant>
      <vt:variant>
        <vt:lpwstr/>
      </vt:variant>
      <vt:variant>
        <vt:lpwstr>_Toc365498846</vt:lpwstr>
      </vt:variant>
      <vt:variant>
        <vt:i4>1638455</vt:i4>
      </vt:variant>
      <vt:variant>
        <vt:i4>194</vt:i4>
      </vt:variant>
      <vt:variant>
        <vt:i4>0</vt:i4>
      </vt:variant>
      <vt:variant>
        <vt:i4>5</vt:i4>
      </vt:variant>
      <vt:variant>
        <vt:lpwstr/>
      </vt:variant>
      <vt:variant>
        <vt:lpwstr>_Toc365498845</vt:lpwstr>
      </vt:variant>
      <vt:variant>
        <vt:i4>1638455</vt:i4>
      </vt:variant>
      <vt:variant>
        <vt:i4>188</vt:i4>
      </vt:variant>
      <vt:variant>
        <vt:i4>0</vt:i4>
      </vt:variant>
      <vt:variant>
        <vt:i4>5</vt:i4>
      </vt:variant>
      <vt:variant>
        <vt:lpwstr/>
      </vt:variant>
      <vt:variant>
        <vt:lpwstr>_Toc365498844</vt:lpwstr>
      </vt:variant>
      <vt:variant>
        <vt:i4>1638455</vt:i4>
      </vt:variant>
      <vt:variant>
        <vt:i4>182</vt:i4>
      </vt:variant>
      <vt:variant>
        <vt:i4>0</vt:i4>
      </vt:variant>
      <vt:variant>
        <vt:i4>5</vt:i4>
      </vt:variant>
      <vt:variant>
        <vt:lpwstr/>
      </vt:variant>
      <vt:variant>
        <vt:lpwstr>_Toc365498843</vt:lpwstr>
      </vt:variant>
      <vt:variant>
        <vt:i4>1638455</vt:i4>
      </vt:variant>
      <vt:variant>
        <vt:i4>176</vt:i4>
      </vt:variant>
      <vt:variant>
        <vt:i4>0</vt:i4>
      </vt:variant>
      <vt:variant>
        <vt:i4>5</vt:i4>
      </vt:variant>
      <vt:variant>
        <vt:lpwstr/>
      </vt:variant>
      <vt:variant>
        <vt:lpwstr>_Toc365498842</vt:lpwstr>
      </vt:variant>
      <vt:variant>
        <vt:i4>1638455</vt:i4>
      </vt:variant>
      <vt:variant>
        <vt:i4>170</vt:i4>
      </vt:variant>
      <vt:variant>
        <vt:i4>0</vt:i4>
      </vt:variant>
      <vt:variant>
        <vt:i4>5</vt:i4>
      </vt:variant>
      <vt:variant>
        <vt:lpwstr/>
      </vt:variant>
      <vt:variant>
        <vt:lpwstr>_Toc365498841</vt:lpwstr>
      </vt:variant>
      <vt:variant>
        <vt:i4>1638455</vt:i4>
      </vt:variant>
      <vt:variant>
        <vt:i4>164</vt:i4>
      </vt:variant>
      <vt:variant>
        <vt:i4>0</vt:i4>
      </vt:variant>
      <vt:variant>
        <vt:i4>5</vt:i4>
      </vt:variant>
      <vt:variant>
        <vt:lpwstr/>
      </vt:variant>
      <vt:variant>
        <vt:lpwstr>_Toc365498840</vt:lpwstr>
      </vt:variant>
      <vt:variant>
        <vt:i4>1966135</vt:i4>
      </vt:variant>
      <vt:variant>
        <vt:i4>158</vt:i4>
      </vt:variant>
      <vt:variant>
        <vt:i4>0</vt:i4>
      </vt:variant>
      <vt:variant>
        <vt:i4>5</vt:i4>
      </vt:variant>
      <vt:variant>
        <vt:lpwstr/>
      </vt:variant>
      <vt:variant>
        <vt:lpwstr>_Toc365498839</vt:lpwstr>
      </vt:variant>
      <vt:variant>
        <vt:i4>1966135</vt:i4>
      </vt:variant>
      <vt:variant>
        <vt:i4>152</vt:i4>
      </vt:variant>
      <vt:variant>
        <vt:i4>0</vt:i4>
      </vt:variant>
      <vt:variant>
        <vt:i4>5</vt:i4>
      </vt:variant>
      <vt:variant>
        <vt:lpwstr/>
      </vt:variant>
      <vt:variant>
        <vt:lpwstr>_Toc365498838</vt:lpwstr>
      </vt:variant>
      <vt:variant>
        <vt:i4>1966135</vt:i4>
      </vt:variant>
      <vt:variant>
        <vt:i4>146</vt:i4>
      </vt:variant>
      <vt:variant>
        <vt:i4>0</vt:i4>
      </vt:variant>
      <vt:variant>
        <vt:i4>5</vt:i4>
      </vt:variant>
      <vt:variant>
        <vt:lpwstr/>
      </vt:variant>
      <vt:variant>
        <vt:lpwstr>_Toc365498837</vt:lpwstr>
      </vt:variant>
      <vt:variant>
        <vt:i4>1966135</vt:i4>
      </vt:variant>
      <vt:variant>
        <vt:i4>140</vt:i4>
      </vt:variant>
      <vt:variant>
        <vt:i4>0</vt:i4>
      </vt:variant>
      <vt:variant>
        <vt:i4>5</vt:i4>
      </vt:variant>
      <vt:variant>
        <vt:lpwstr/>
      </vt:variant>
      <vt:variant>
        <vt:lpwstr>_Toc365498836</vt:lpwstr>
      </vt:variant>
      <vt:variant>
        <vt:i4>1966135</vt:i4>
      </vt:variant>
      <vt:variant>
        <vt:i4>134</vt:i4>
      </vt:variant>
      <vt:variant>
        <vt:i4>0</vt:i4>
      </vt:variant>
      <vt:variant>
        <vt:i4>5</vt:i4>
      </vt:variant>
      <vt:variant>
        <vt:lpwstr/>
      </vt:variant>
      <vt:variant>
        <vt:lpwstr>_Toc365498835</vt:lpwstr>
      </vt:variant>
      <vt:variant>
        <vt:i4>1966135</vt:i4>
      </vt:variant>
      <vt:variant>
        <vt:i4>128</vt:i4>
      </vt:variant>
      <vt:variant>
        <vt:i4>0</vt:i4>
      </vt:variant>
      <vt:variant>
        <vt:i4>5</vt:i4>
      </vt:variant>
      <vt:variant>
        <vt:lpwstr/>
      </vt:variant>
      <vt:variant>
        <vt:lpwstr>_Toc365498834</vt:lpwstr>
      </vt:variant>
      <vt:variant>
        <vt:i4>1966135</vt:i4>
      </vt:variant>
      <vt:variant>
        <vt:i4>122</vt:i4>
      </vt:variant>
      <vt:variant>
        <vt:i4>0</vt:i4>
      </vt:variant>
      <vt:variant>
        <vt:i4>5</vt:i4>
      </vt:variant>
      <vt:variant>
        <vt:lpwstr/>
      </vt:variant>
      <vt:variant>
        <vt:lpwstr>_Toc365498833</vt:lpwstr>
      </vt:variant>
      <vt:variant>
        <vt:i4>1966135</vt:i4>
      </vt:variant>
      <vt:variant>
        <vt:i4>116</vt:i4>
      </vt:variant>
      <vt:variant>
        <vt:i4>0</vt:i4>
      </vt:variant>
      <vt:variant>
        <vt:i4>5</vt:i4>
      </vt:variant>
      <vt:variant>
        <vt:lpwstr/>
      </vt:variant>
      <vt:variant>
        <vt:lpwstr>_Toc365498832</vt:lpwstr>
      </vt:variant>
      <vt:variant>
        <vt:i4>1966135</vt:i4>
      </vt:variant>
      <vt:variant>
        <vt:i4>110</vt:i4>
      </vt:variant>
      <vt:variant>
        <vt:i4>0</vt:i4>
      </vt:variant>
      <vt:variant>
        <vt:i4>5</vt:i4>
      </vt:variant>
      <vt:variant>
        <vt:lpwstr/>
      </vt:variant>
      <vt:variant>
        <vt:lpwstr>_Toc365498831</vt:lpwstr>
      </vt:variant>
      <vt:variant>
        <vt:i4>1966135</vt:i4>
      </vt:variant>
      <vt:variant>
        <vt:i4>104</vt:i4>
      </vt:variant>
      <vt:variant>
        <vt:i4>0</vt:i4>
      </vt:variant>
      <vt:variant>
        <vt:i4>5</vt:i4>
      </vt:variant>
      <vt:variant>
        <vt:lpwstr/>
      </vt:variant>
      <vt:variant>
        <vt:lpwstr>_Toc365498830</vt:lpwstr>
      </vt:variant>
      <vt:variant>
        <vt:i4>2031671</vt:i4>
      </vt:variant>
      <vt:variant>
        <vt:i4>98</vt:i4>
      </vt:variant>
      <vt:variant>
        <vt:i4>0</vt:i4>
      </vt:variant>
      <vt:variant>
        <vt:i4>5</vt:i4>
      </vt:variant>
      <vt:variant>
        <vt:lpwstr/>
      </vt:variant>
      <vt:variant>
        <vt:lpwstr>_Toc365498829</vt:lpwstr>
      </vt:variant>
      <vt:variant>
        <vt:i4>2031671</vt:i4>
      </vt:variant>
      <vt:variant>
        <vt:i4>92</vt:i4>
      </vt:variant>
      <vt:variant>
        <vt:i4>0</vt:i4>
      </vt:variant>
      <vt:variant>
        <vt:i4>5</vt:i4>
      </vt:variant>
      <vt:variant>
        <vt:lpwstr/>
      </vt:variant>
      <vt:variant>
        <vt:lpwstr>_Toc365498828</vt:lpwstr>
      </vt:variant>
      <vt:variant>
        <vt:i4>2031671</vt:i4>
      </vt:variant>
      <vt:variant>
        <vt:i4>86</vt:i4>
      </vt:variant>
      <vt:variant>
        <vt:i4>0</vt:i4>
      </vt:variant>
      <vt:variant>
        <vt:i4>5</vt:i4>
      </vt:variant>
      <vt:variant>
        <vt:lpwstr/>
      </vt:variant>
      <vt:variant>
        <vt:lpwstr>_Toc365498827</vt:lpwstr>
      </vt:variant>
      <vt:variant>
        <vt:i4>2031671</vt:i4>
      </vt:variant>
      <vt:variant>
        <vt:i4>80</vt:i4>
      </vt:variant>
      <vt:variant>
        <vt:i4>0</vt:i4>
      </vt:variant>
      <vt:variant>
        <vt:i4>5</vt:i4>
      </vt:variant>
      <vt:variant>
        <vt:lpwstr/>
      </vt:variant>
      <vt:variant>
        <vt:lpwstr>_Toc365498826</vt:lpwstr>
      </vt:variant>
      <vt:variant>
        <vt:i4>2031671</vt:i4>
      </vt:variant>
      <vt:variant>
        <vt:i4>74</vt:i4>
      </vt:variant>
      <vt:variant>
        <vt:i4>0</vt:i4>
      </vt:variant>
      <vt:variant>
        <vt:i4>5</vt:i4>
      </vt:variant>
      <vt:variant>
        <vt:lpwstr/>
      </vt:variant>
      <vt:variant>
        <vt:lpwstr>_Toc365498825</vt:lpwstr>
      </vt:variant>
      <vt:variant>
        <vt:i4>2031671</vt:i4>
      </vt:variant>
      <vt:variant>
        <vt:i4>68</vt:i4>
      </vt:variant>
      <vt:variant>
        <vt:i4>0</vt:i4>
      </vt:variant>
      <vt:variant>
        <vt:i4>5</vt:i4>
      </vt:variant>
      <vt:variant>
        <vt:lpwstr/>
      </vt:variant>
      <vt:variant>
        <vt:lpwstr>_Toc365498824</vt:lpwstr>
      </vt:variant>
      <vt:variant>
        <vt:i4>2031671</vt:i4>
      </vt:variant>
      <vt:variant>
        <vt:i4>62</vt:i4>
      </vt:variant>
      <vt:variant>
        <vt:i4>0</vt:i4>
      </vt:variant>
      <vt:variant>
        <vt:i4>5</vt:i4>
      </vt:variant>
      <vt:variant>
        <vt:lpwstr/>
      </vt:variant>
      <vt:variant>
        <vt:lpwstr>_Toc365498823</vt:lpwstr>
      </vt:variant>
      <vt:variant>
        <vt:i4>2031671</vt:i4>
      </vt:variant>
      <vt:variant>
        <vt:i4>56</vt:i4>
      </vt:variant>
      <vt:variant>
        <vt:i4>0</vt:i4>
      </vt:variant>
      <vt:variant>
        <vt:i4>5</vt:i4>
      </vt:variant>
      <vt:variant>
        <vt:lpwstr/>
      </vt:variant>
      <vt:variant>
        <vt:lpwstr>_Toc365498822</vt:lpwstr>
      </vt:variant>
      <vt:variant>
        <vt:i4>2031671</vt:i4>
      </vt:variant>
      <vt:variant>
        <vt:i4>50</vt:i4>
      </vt:variant>
      <vt:variant>
        <vt:i4>0</vt:i4>
      </vt:variant>
      <vt:variant>
        <vt:i4>5</vt:i4>
      </vt:variant>
      <vt:variant>
        <vt:lpwstr/>
      </vt:variant>
      <vt:variant>
        <vt:lpwstr>_Toc365498821</vt:lpwstr>
      </vt:variant>
      <vt:variant>
        <vt:i4>2031671</vt:i4>
      </vt:variant>
      <vt:variant>
        <vt:i4>44</vt:i4>
      </vt:variant>
      <vt:variant>
        <vt:i4>0</vt:i4>
      </vt:variant>
      <vt:variant>
        <vt:i4>5</vt:i4>
      </vt:variant>
      <vt:variant>
        <vt:lpwstr/>
      </vt:variant>
      <vt:variant>
        <vt:lpwstr>_Toc365498820</vt:lpwstr>
      </vt:variant>
      <vt:variant>
        <vt:i4>1835063</vt:i4>
      </vt:variant>
      <vt:variant>
        <vt:i4>38</vt:i4>
      </vt:variant>
      <vt:variant>
        <vt:i4>0</vt:i4>
      </vt:variant>
      <vt:variant>
        <vt:i4>5</vt:i4>
      </vt:variant>
      <vt:variant>
        <vt:lpwstr/>
      </vt:variant>
      <vt:variant>
        <vt:lpwstr>_Toc365498819</vt:lpwstr>
      </vt:variant>
      <vt:variant>
        <vt:i4>1835063</vt:i4>
      </vt:variant>
      <vt:variant>
        <vt:i4>32</vt:i4>
      </vt:variant>
      <vt:variant>
        <vt:i4>0</vt:i4>
      </vt:variant>
      <vt:variant>
        <vt:i4>5</vt:i4>
      </vt:variant>
      <vt:variant>
        <vt:lpwstr/>
      </vt:variant>
      <vt:variant>
        <vt:lpwstr>_Toc365498818</vt:lpwstr>
      </vt:variant>
      <vt:variant>
        <vt:i4>1835063</vt:i4>
      </vt:variant>
      <vt:variant>
        <vt:i4>26</vt:i4>
      </vt:variant>
      <vt:variant>
        <vt:i4>0</vt:i4>
      </vt:variant>
      <vt:variant>
        <vt:i4>5</vt:i4>
      </vt:variant>
      <vt:variant>
        <vt:lpwstr/>
      </vt:variant>
      <vt:variant>
        <vt:lpwstr>_Toc365498817</vt:lpwstr>
      </vt:variant>
      <vt:variant>
        <vt:i4>1835063</vt:i4>
      </vt:variant>
      <vt:variant>
        <vt:i4>20</vt:i4>
      </vt:variant>
      <vt:variant>
        <vt:i4>0</vt:i4>
      </vt:variant>
      <vt:variant>
        <vt:i4>5</vt:i4>
      </vt:variant>
      <vt:variant>
        <vt:lpwstr/>
      </vt:variant>
      <vt:variant>
        <vt:lpwstr>_Toc365498816</vt:lpwstr>
      </vt:variant>
      <vt:variant>
        <vt:i4>1835063</vt:i4>
      </vt:variant>
      <vt:variant>
        <vt:i4>14</vt:i4>
      </vt:variant>
      <vt:variant>
        <vt:i4>0</vt:i4>
      </vt:variant>
      <vt:variant>
        <vt:i4>5</vt:i4>
      </vt:variant>
      <vt:variant>
        <vt:lpwstr/>
      </vt:variant>
      <vt:variant>
        <vt:lpwstr>_Toc365498815</vt:lpwstr>
      </vt:variant>
      <vt:variant>
        <vt:i4>1835063</vt:i4>
      </vt:variant>
      <vt:variant>
        <vt:i4>8</vt:i4>
      </vt:variant>
      <vt:variant>
        <vt:i4>0</vt:i4>
      </vt:variant>
      <vt:variant>
        <vt:i4>5</vt:i4>
      </vt:variant>
      <vt:variant>
        <vt:lpwstr/>
      </vt:variant>
      <vt:variant>
        <vt:lpwstr>_Toc365498814</vt:lpwstr>
      </vt:variant>
      <vt:variant>
        <vt:i4>1835063</vt:i4>
      </vt:variant>
      <vt:variant>
        <vt:i4>2</vt:i4>
      </vt:variant>
      <vt:variant>
        <vt:i4>0</vt:i4>
      </vt:variant>
      <vt:variant>
        <vt:i4>5</vt:i4>
      </vt:variant>
      <vt:variant>
        <vt:lpwstr/>
      </vt:variant>
      <vt:variant>
        <vt:lpwstr>_Toc365498813</vt:lpwstr>
      </vt:variant>
      <vt:variant>
        <vt:i4>524293</vt:i4>
      </vt:variant>
      <vt:variant>
        <vt:i4>96</vt:i4>
      </vt:variant>
      <vt:variant>
        <vt:i4>0</vt:i4>
      </vt:variant>
      <vt:variant>
        <vt:i4>5</vt:i4>
      </vt:variant>
      <vt:variant>
        <vt:lpwstr>http://cmiskp.echr.coe.int/tkp197/view.asp?action=html&amp;documentId=695344&amp;portal=hbkm&amp;source=externalbydocnumber&amp;table=F69A27FD8FB86142BF01C1166DEA398649</vt:lpwstr>
      </vt:variant>
      <vt:variant>
        <vt:lpwstr/>
      </vt:variant>
      <vt:variant>
        <vt:i4>524292</vt:i4>
      </vt:variant>
      <vt:variant>
        <vt:i4>93</vt:i4>
      </vt:variant>
      <vt:variant>
        <vt:i4>0</vt:i4>
      </vt:variant>
      <vt:variant>
        <vt:i4>5</vt:i4>
      </vt:variant>
      <vt:variant>
        <vt:lpwstr>http://cmiskp.echr.coe.int/tkp197/view.asp?action=html&amp;documentId=695354&amp;portal=hbkm&amp;source=externalbydocnumber&amp;table=F69A27FD8FB86142BF01C1166DEA398649</vt:lpwstr>
      </vt:variant>
      <vt:variant>
        <vt:lpwstr/>
      </vt:variant>
      <vt:variant>
        <vt:i4>524293</vt:i4>
      </vt:variant>
      <vt:variant>
        <vt:i4>90</vt:i4>
      </vt:variant>
      <vt:variant>
        <vt:i4>0</vt:i4>
      </vt:variant>
      <vt:variant>
        <vt:i4>5</vt:i4>
      </vt:variant>
      <vt:variant>
        <vt:lpwstr>http://cmiskp.echr.coe.int/tkp197/view.asp?action=html&amp;documentId=695344&amp;portal=hbkm&amp;source=externalbydocnumber&amp;table=F69A27FD8FB86142BF01C1166DEA398649</vt:lpwstr>
      </vt:variant>
      <vt:variant>
        <vt:lpwstr/>
      </vt:variant>
      <vt:variant>
        <vt:i4>917514</vt:i4>
      </vt:variant>
      <vt:variant>
        <vt:i4>87</vt:i4>
      </vt:variant>
      <vt:variant>
        <vt:i4>0</vt:i4>
      </vt:variant>
      <vt:variant>
        <vt:i4>5</vt:i4>
      </vt:variant>
      <vt:variant>
        <vt:lpwstr>http://cmiskp.echr.coe.int/tkp197/view.asp?action=html&amp;documentId=696081&amp;portal=hbkm&amp;source=externalbydocnumber&amp;table=F69A27FD8FB86142BF01C1166DEA398649</vt:lpwstr>
      </vt:variant>
      <vt:variant>
        <vt:lpwstr/>
      </vt:variant>
      <vt:variant>
        <vt:i4>2687052</vt:i4>
      </vt:variant>
      <vt:variant>
        <vt:i4>84</vt:i4>
      </vt:variant>
      <vt:variant>
        <vt:i4>0</vt:i4>
      </vt:variant>
      <vt:variant>
        <vt:i4>5</vt:i4>
      </vt:variant>
      <vt:variant>
        <vt:lpwstr>http://www2.lat.lt/lat_web_test/4_tpbiuleteniai/senos/nutartis.aspx?id=32350</vt:lpwstr>
      </vt:variant>
      <vt:variant>
        <vt:lpwstr/>
      </vt:variant>
      <vt:variant>
        <vt:i4>2687052</vt:i4>
      </vt:variant>
      <vt:variant>
        <vt:i4>81</vt:i4>
      </vt:variant>
      <vt:variant>
        <vt:i4>0</vt:i4>
      </vt:variant>
      <vt:variant>
        <vt:i4>5</vt:i4>
      </vt:variant>
      <vt:variant>
        <vt:lpwstr>http://www2.lat.lt/lat_web_test/4_tpbiuleteniai/senos/nutartis.aspx?id=32350</vt:lpwstr>
      </vt:variant>
      <vt:variant>
        <vt:lpwstr/>
      </vt:variant>
      <vt:variant>
        <vt:i4>2687052</vt:i4>
      </vt:variant>
      <vt:variant>
        <vt:i4>78</vt:i4>
      </vt:variant>
      <vt:variant>
        <vt:i4>0</vt:i4>
      </vt:variant>
      <vt:variant>
        <vt:i4>5</vt:i4>
      </vt:variant>
      <vt:variant>
        <vt:lpwstr>http://www2.lat.lt/lat_web_test/4_tpbiuleteniai/senos/nutartis.aspx?id=32350</vt:lpwstr>
      </vt:variant>
      <vt:variant>
        <vt:lpwstr/>
      </vt:variant>
      <vt:variant>
        <vt:i4>1835089</vt:i4>
      </vt:variant>
      <vt:variant>
        <vt:i4>75</vt:i4>
      </vt:variant>
      <vt:variant>
        <vt:i4>0</vt:i4>
      </vt:variant>
      <vt:variant>
        <vt:i4>5</vt:i4>
      </vt:variant>
      <vt:variant>
        <vt:lpwstr>http://www3.lrs.lt/cgi-bin/preps2?a=301998&amp;b=</vt:lpwstr>
      </vt:variant>
      <vt:variant>
        <vt:lpwstr/>
      </vt:variant>
      <vt:variant>
        <vt:i4>5505054</vt:i4>
      </vt:variant>
      <vt:variant>
        <vt:i4>72</vt:i4>
      </vt:variant>
      <vt:variant>
        <vt:i4>0</vt:i4>
      </vt:variant>
      <vt:variant>
        <vt:i4>5</vt:i4>
      </vt:variant>
      <vt:variant>
        <vt:lpwstr>http://www3.lrs.lt/cgi-bin/preps2?a=29193&amp;b=</vt:lpwstr>
      </vt:variant>
      <vt:variant>
        <vt:lpwstr/>
      </vt:variant>
      <vt:variant>
        <vt:i4>262166</vt:i4>
      </vt:variant>
      <vt:variant>
        <vt:i4>69</vt:i4>
      </vt:variant>
      <vt:variant>
        <vt:i4>0</vt:i4>
      </vt:variant>
      <vt:variant>
        <vt:i4>5</vt:i4>
      </vt:variant>
      <vt:variant>
        <vt:lpwstr>http://www.balsas.lt/zodynas/terminu-zodynas</vt:lpwstr>
      </vt:variant>
      <vt:variant>
        <vt:lpwstr/>
      </vt:variant>
      <vt:variant>
        <vt:i4>7733367</vt:i4>
      </vt:variant>
      <vt:variant>
        <vt:i4>66</vt:i4>
      </vt:variant>
      <vt:variant>
        <vt:i4>0</vt:i4>
      </vt:variant>
      <vt:variant>
        <vt:i4>5</vt:i4>
      </vt:variant>
      <vt:variant>
        <vt:lpwstr>http://www.lrytas.lt/-12772932961275002349-seimo-nariai-nelie%C4%8Diamieji-nes-j%C5%B3-nieks-nenori-liesti.htm</vt:lpwstr>
      </vt:variant>
      <vt:variant>
        <vt:lpwstr/>
      </vt:variant>
      <vt:variant>
        <vt:i4>3014764</vt:i4>
      </vt:variant>
      <vt:variant>
        <vt:i4>63</vt:i4>
      </vt:variant>
      <vt:variant>
        <vt:i4>0</vt:i4>
      </vt:variant>
      <vt:variant>
        <vt:i4>5</vt:i4>
      </vt:variant>
      <vt:variant>
        <vt:lpwstr>http://www3.lrs.lt/cgi-bin/preps2?a=5734&amp;b=</vt:lpwstr>
      </vt:variant>
      <vt:variant>
        <vt:lpwstr/>
      </vt:variant>
      <vt:variant>
        <vt:i4>7995427</vt:i4>
      </vt:variant>
      <vt:variant>
        <vt:i4>60</vt:i4>
      </vt:variant>
      <vt:variant>
        <vt:i4>0</vt:i4>
      </vt:variant>
      <vt:variant>
        <vt:i4>5</vt:i4>
      </vt:variant>
      <vt:variant>
        <vt:lpwstr>http://verslas.delfi.lt/Media/btv-uogos-praso-i-ginca-su-prokuroru-isikisti-kalbos-instituta.d?id=20864845</vt:lpwstr>
      </vt:variant>
      <vt:variant>
        <vt:lpwstr/>
      </vt:variant>
      <vt:variant>
        <vt:i4>3211336</vt:i4>
      </vt:variant>
      <vt:variant>
        <vt:i4>57</vt:i4>
      </vt:variant>
      <vt:variant>
        <vt:i4>0</vt:i4>
      </vt:variant>
      <vt:variant>
        <vt:i4>5</vt:i4>
      </vt:variant>
      <vt:variant>
        <vt:lpwstr>http://www.alfa.lt/straipsnis/10236056/?Prokuroras.Laucius..atleisiu.tik.vienam.is.BTV.laidos.kureju=2008-11-11_16-32</vt:lpwstr>
      </vt:variant>
      <vt:variant>
        <vt:lpwstr/>
      </vt:variant>
      <vt:variant>
        <vt:i4>3932180</vt:i4>
      </vt:variant>
      <vt:variant>
        <vt:i4>54</vt:i4>
      </vt:variant>
      <vt:variant>
        <vt:i4>0</vt:i4>
      </vt:variant>
      <vt:variant>
        <vt:i4>5</vt:i4>
      </vt:variant>
      <vt:variant>
        <vt:lpwstr>http://www.respublika.lt/lt/naujienos/pramogos/zvaigzdes_ir_zmones/isizeide_prokuroras__sedek,print.1</vt:lpwstr>
      </vt:variant>
      <vt:variant>
        <vt:lpwstr/>
      </vt:variant>
      <vt:variant>
        <vt:i4>4718662</vt:i4>
      </vt:variant>
      <vt:variant>
        <vt:i4>51</vt:i4>
      </vt:variant>
      <vt:variant>
        <vt:i4>0</vt:i4>
      </vt:variant>
      <vt:variant>
        <vt:i4>5</vt:i4>
      </vt:variant>
      <vt:variant>
        <vt:lpwstr>http://www.mediabv.lt/res_zinpr_det.php?id=21109</vt:lpwstr>
      </vt:variant>
      <vt:variant>
        <vt:lpwstr/>
      </vt:variant>
      <vt:variant>
        <vt:i4>3145997</vt:i4>
      </vt:variant>
      <vt:variant>
        <vt:i4>48</vt:i4>
      </vt:variant>
      <vt:variant>
        <vt:i4>0</vt:i4>
      </vt:variant>
      <vt:variant>
        <vt:i4>5</vt:i4>
      </vt:variant>
      <vt:variant>
        <vt:lpwstr>http://www.legislationline.org/documents/section/criminal-codes žiūrėta 2013-06-05</vt:lpwstr>
      </vt:variant>
      <vt:variant>
        <vt:lpwstr/>
      </vt:variant>
      <vt:variant>
        <vt:i4>5963862</vt:i4>
      </vt:variant>
      <vt:variant>
        <vt:i4>45</vt:i4>
      </vt:variant>
      <vt:variant>
        <vt:i4>0</vt:i4>
      </vt:variant>
      <vt:variant>
        <vt:i4>5</vt:i4>
      </vt:variant>
      <vt:variant>
        <vt:lpwstr>http://www.gesetze-im-internet.de/stpo/index.html</vt:lpwstr>
      </vt:variant>
      <vt:variant>
        <vt:lpwstr/>
      </vt:variant>
      <vt:variant>
        <vt:i4>7602229</vt:i4>
      </vt:variant>
      <vt:variant>
        <vt:i4>42</vt:i4>
      </vt:variant>
      <vt:variant>
        <vt:i4>0</vt:i4>
      </vt:variant>
      <vt:variant>
        <vt:i4>5</vt:i4>
      </vt:variant>
      <vt:variant>
        <vt:lpwstr>http://www.legislationline.org/documents/section/criminal-codes</vt:lpwstr>
      </vt:variant>
      <vt:variant>
        <vt:lpwstr/>
      </vt:variant>
      <vt:variant>
        <vt:i4>6094926</vt:i4>
      </vt:variant>
      <vt:variant>
        <vt:i4>39</vt:i4>
      </vt:variant>
      <vt:variant>
        <vt:i4>0</vt:i4>
      </vt:variant>
      <vt:variant>
        <vt:i4>5</vt:i4>
      </vt:variant>
      <vt:variant>
        <vt:lpwstr>http://www.un.org/documents/ga/res/40/a40r034.htm</vt:lpwstr>
      </vt:variant>
      <vt:variant>
        <vt:lpwstr/>
      </vt:variant>
      <vt:variant>
        <vt:i4>4784128</vt:i4>
      </vt:variant>
      <vt:variant>
        <vt:i4>36</vt:i4>
      </vt:variant>
      <vt:variant>
        <vt:i4>0</vt:i4>
      </vt:variant>
      <vt:variant>
        <vt:i4>5</vt:i4>
      </vt:variant>
      <vt:variant>
        <vt:lpwstr>http://www.aic.gov.au/en/publications/previous series/proceedings/1-27/~/media/publications/proceedings/27/groenhuijsen.ashx</vt:lpwstr>
      </vt:variant>
      <vt:variant>
        <vt:lpwstr/>
      </vt:variant>
      <vt:variant>
        <vt:i4>4194423</vt:i4>
      </vt:variant>
      <vt:variant>
        <vt:i4>33</vt:i4>
      </vt:variant>
      <vt:variant>
        <vt:i4>0</vt:i4>
      </vt:variant>
      <vt:variant>
        <vt:i4>5</vt:i4>
      </vt:variant>
      <vt:variant>
        <vt:lpwstr>http://www.google.com/books?hl=lt&amp;lr=&amp;id=jL5m1Q-3SdUC&amp;oi=fnd&amp;pg=PA4&amp;dq=tavuchis+mea+culpa&amp;ots=LFEYuy1_s0&amp;sig=YcUABdqBRmy3LoCA40QC3ypB3s0</vt:lpwstr>
      </vt:variant>
      <vt:variant>
        <vt:lpwstr>v=onepage&amp;q=tavuchis%20mea%20culpa&amp;f=false</vt:lpwstr>
      </vt:variant>
      <vt:variant>
        <vt:i4>6094926</vt:i4>
      </vt:variant>
      <vt:variant>
        <vt:i4>30</vt:i4>
      </vt:variant>
      <vt:variant>
        <vt:i4>0</vt:i4>
      </vt:variant>
      <vt:variant>
        <vt:i4>5</vt:i4>
      </vt:variant>
      <vt:variant>
        <vt:lpwstr>http://www.un.org/documents/ga/res/40/a40r034.htm</vt:lpwstr>
      </vt:variant>
      <vt:variant>
        <vt:lpwstr/>
      </vt:variant>
      <vt:variant>
        <vt:i4>6094926</vt:i4>
      </vt:variant>
      <vt:variant>
        <vt:i4>27</vt:i4>
      </vt:variant>
      <vt:variant>
        <vt:i4>0</vt:i4>
      </vt:variant>
      <vt:variant>
        <vt:i4>5</vt:i4>
      </vt:variant>
      <vt:variant>
        <vt:lpwstr>http://www.un.org/documents/ga/res/40/a40r034.htm</vt:lpwstr>
      </vt:variant>
      <vt:variant>
        <vt:lpwstr/>
      </vt:variant>
      <vt:variant>
        <vt:i4>6684784</vt:i4>
      </vt:variant>
      <vt:variant>
        <vt:i4>24</vt:i4>
      </vt:variant>
      <vt:variant>
        <vt:i4>0</vt:i4>
      </vt:variant>
      <vt:variant>
        <vt:i4>5</vt:i4>
      </vt:variant>
      <vt:variant>
        <vt:lpwstr>http://www.tzz.lt/</vt:lpwstr>
      </vt:variant>
      <vt:variant>
        <vt:lpwstr/>
      </vt:variant>
      <vt:variant>
        <vt:i4>1114204</vt:i4>
      </vt:variant>
      <vt:variant>
        <vt:i4>21</vt:i4>
      </vt:variant>
      <vt:variant>
        <vt:i4>0</vt:i4>
      </vt:variant>
      <vt:variant>
        <vt:i4>5</vt:i4>
      </vt:variant>
      <vt:variant>
        <vt:lpwstr>http://www3.lrs.lt/cgi-bin/preps2?a=214805&amp;b=</vt:lpwstr>
      </vt:variant>
      <vt:variant>
        <vt:lpwstr/>
      </vt:variant>
      <vt:variant>
        <vt:i4>327762</vt:i4>
      </vt:variant>
      <vt:variant>
        <vt:i4>18</vt:i4>
      </vt:variant>
      <vt:variant>
        <vt:i4>0</vt:i4>
      </vt:variant>
      <vt:variant>
        <vt:i4>5</vt:i4>
      </vt:variant>
      <vt:variant>
        <vt:lpwstr>http://www.kasdien.lt/Pradzia/Naujienos/Lietuvoje/Teisesaugos-reitingus-gerins-tareju-institutas</vt:lpwstr>
      </vt:variant>
      <vt:variant>
        <vt:lpwstr/>
      </vt:variant>
      <vt:variant>
        <vt:i4>7602289</vt:i4>
      </vt:variant>
      <vt:variant>
        <vt:i4>15</vt:i4>
      </vt:variant>
      <vt:variant>
        <vt:i4>0</vt:i4>
      </vt:variant>
      <vt:variant>
        <vt:i4>5</vt:i4>
      </vt:variant>
      <vt:variant>
        <vt:lpwstr>http://www.teise.org/docs/upload/TAREJU studija.pdf</vt:lpwstr>
      </vt:variant>
      <vt:variant>
        <vt:lpwstr/>
      </vt:variant>
      <vt:variant>
        <vt:i4>6946909</vt:i4>
      </vt:variant>
      <vt:variant>
        <vt:i4>12</vt:i4>
      </vt:variant>
      <vt:variant>
        <vt:i4>0</vt:i4>
      </vt:variant>
      <vt:variant>
        <vt:i4>5</vt:i4>
      </vt:variant>
      <vt:variant>
        <vt:lpwstr>http://www3.lrs.lt/pls/inter/w2008_home.dabarseime</vt:lpwstr>
      </vt:variant>
      <vt:variant>
        <vt:lpwstr/>
      </vt:variant>
      <vt:variant>
        <vt:i4>7536732</vt:i4>
      </vt:variant>
      <vt:variant>
        <vt:i4>9</vt:i4>
      </vt:variant>
      <vt:variant>
        <vt:i4>0</vt:i4>
      </vt:variant>
      <vt:variant>
        <vt:i4>5</vt:i4>
      </vt:variant>
      <vt:variant>
        <vt:lpwstr>http://webu2.upmf-grenoble.fr/Haiti/Cours/Ak/Corpus/CJ3.htm</vt:lpwstr>
      </vt:variant>
      <vt:variant>
        <vt:lpwstr>7</vt:lpwstr>
      </vt:variant>
      <vt:variant>
        <vt:i4>7143482</vt:i4>
      </vt:variant>
      <vt:variant>
        <vt:i4>6</vt:i4>
      </vt:variant>
      <vt:variant>
        <vt:i4>0</vt:i4>
      </vt:variant>
      <vt:variant>
        <vt:i4>5</vt:i4>
      </vt:variant>
      <vt:variant>
        <vt:lpwstr>http://litlex.mruni.lt/Litlex/LL.DLL?Tekstas=1?Id=5868&amp;Zd=&amp;BF=1</vt:lpwstr>
      </vt:variant>
      <vt:variant>
        <vt:lpwstr/>
      </vt:variant>
      <vt:variant>
        <vt:i4>720896</vt:i4>
      </vt:variant>
      <vt:variant>
        <vt:i4>3</vt:i4>
      </vt:variant>
      <vt:variant>
        <vt:i4>0</vt:i4>
      </vt:variant>
      <vt:variant>
        <vt:i4>5</vt:i4>
      </vt:variant>
      <vt:variant>
        <vt:lpwstr>http://www.lrkt.lt/PKonferencijose/15.pdf</vt:lpwstr>
      </vt:variant>
      <vt:variant>
        <vt:lpwstr/>
      </vt:variant>
      <vt:variant>
        <vt:i4>1114178</vt:i4>
      </vt:variant>
      <vt:variant>
        <vt:i4>0</vt:i4>
      </vt:variant>
      <vt:variant>
        <vt:i4>0</vt:i4>
      </vt:variant>
      <vt:variant>
        <vt:i4>5</vt:i4>
      </vt:variant>
      <vt:variant>
        <vt:lpwstr>http://icj.sagepub.com/cgi/content/abstract/18/2/190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Eglė Matuizienė</dc:creator>
  <cp:lastModifiedBy>Matuizienė Eglė</cp:lastModifiedBy>
  <cp:revision>3</cp:revision>
  <cp:lastPrinted>2014-09-02T07:32:00Z</cp:lastPrinted>
  <dcterms:created xsi:type="dcterms:W3CDTF">2014-10-13T07:31:00Z</dcterms:created>
  <dcterms:modified xsi:type="dcterms:W3CDTF">2014-11-04T08:40:00Z</dcterms:modified>
</cp:coreProperties>
</file>