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E1B" w:rsidRPr="00527562" w:rsidRDefault="00507E1B" w:rsidP="00507E1B">
      <w:pPr>
        <w:spacing w:line="360" w:lineRule="auto"/>
        <w:jc w:val="center"/>
        <w:rPr>
          <w:rFonts w:ascii="Times New Roman" w:hAnsi="Times New Roman" w:cs="Times New Roman"/>
          <w:b/>
          <w:sz w:val="32"/>
          <w:szCs w:val="32"/>
        </w:rPr>
      </w:pPr>
      <w:bookmarkStart w:id="0" w:name="_GoBack"/>
      <w:bookmarkEnd w:id="0"/>
      <w:r w:rsidRPr="00527562">
        <w:rPr>
          <w:rFonts w:ascii="Times New Roman" w:hAnsi="Times New Roman" w:cs="Times New Roman"/>
          <w:b/>
          <w:sz w:val="32"/>
          <w:szCs w:val="32"/>
        </w:rPr>
        <w:t>MYKOLO ROMERIO UNIVERSITETAS</w:t>
      </w:r>
    </w:p>
    <w:p w:rsidR="00507E1B" w:rsidRPr="00AA31E3" w:rsidRDefault="00507E1B" w:rsidP="00507E1B">
      <w:pPr>
        <w:spacing w:line="360" w:lineRule="auto"/>
        <w:jc w:val="center"/>
        <w:rPr>
          <w:rFonts w:ascii="Times New Roman" w:hAnsi="Times New Roman" w:cs="Times New Roman"/>
          <w:b/>
          <w:sz w:val="28"/>
          <w:szCs w:val="28"/>
        </w:rPr>
      </w:pPr>
      <w:r w:rsidRPr="00AA31E3">
        <w:rPr>
          <w:rFonts w:ascii="Times New Roman" w:hAnsi="Times New Roman" w:cs="Times New Roman"/>
          <w:b/>
          <w:sz w:val="28"/>
          <w:szCs w:val="28"/>
        </w:rPr>
        <w:t>EKONOMI</w:t>
      </w:r>
      <w:r>
        <w:rPr>
          <w:rFonts w:ascii="Times New Roman" w:hAnsi="Times New Roman" w:cs="Times New Roman"/>
          <w:b/>
          <w:sz w:val="28"/>
          <w:szCs w:val="28"/>
        </w:rPr>
        <w:t>KOS IR FINANSŲ VALDYMO FAKULTETAS</w:t>
      </w:r>
    </w:p>
    <w:p w:rsidR="00507E1B" w:rsidRPr="00527562" w:rsidRDefault="00507E1B" w:rsidP="00507E1B">
      <w:pPr>
        <w:spacing w:line="360" w:lineRule="auto"/>
        <w:jc w:val="center"/>
        <w:rPr>
          <w:rFonts w:ascii="Times New Roman" w:hAnsi="Times New Roman" w:cs="Times New Roman"/>
          <w:b/>
        </w:rPr>
      </w:pPr>
      <w:r w:rsidRPr="00527562">
        <w:rPr>
          <w:rFonts w:ascii="Times New Roman" w:hAnsi="Times New Roman" w:cs="Times New Roman"/>
          <w:b/>
        </w:rPr>
        <w:t>BANKININKYSTĖS IR INVESTICIJŲ KATEDRA</w:t>
      </w:r>
    </w:p>
    <w:p w:rsidR="00507E1B" w:rsidRPr="001B17AD" w:rsidRDefault="00507E1B" w:rsidP="00507E1B">
      <w:pPr>
        <w:spacing w:line="360" w:lineRule="auto"/>
        <w:jc w:val="center"/>
        <w:rPr>
          <w:rFonts w:ascii="Times New Roman" w:hAnsi="Times New Roman" w:cs="Times New Roman"/>
          <w:b/>
          <w:sz w:val="32"/>
          <w:szCs w:val="32"/>
        </w:rPr>
      </w:pPr>
    </w:p>
    <w:p w:rsidR="00507E1B" w:rsidRPr="001B17AD" w:rsidRDefault="00507E1B" w:rsidP="00507E1B">
      <w:pPr>
        <w:spacing w:line="360" w:lineRule="auto"/>
        <w:jc w:val="center"/>
        <w:rPr>
          <w:rFonts w:ascii="Times New Roman" w:hAnsi="Times New Roman" w:cs="Times New Roman"/>
          <w:b/>
          <w:sz w:val="32"/>
          <w:szCs w:val="32"/>
        </w:rPr>
      </w:pPr>
    </w:p>
    <w:p w:rsidR="00507E1B" w:rsidRPr="00AA31E3" w:rsidRDefault="00507E1B" w:rsidP="00507E1B">
      <w:pPr>
        <w:tabs>
          <w:tab w:val="left" w:pos="2430"/>
        </w:tabs>
        <w:spacing w:line="360" w:lineRule="auto"/>
        <w:rPr>
          <w:rFonts w:ascii="Times New Roman" w:hAnsi="Times New Roman" w:cs="Times New Roman"/>
          <w:b/>
          <w:sz w:val="28"/>
          <w:szCs w:val="28"/>
        </w:rPr>
      </w:pPr>
      <w:r>
        <w:rPr>
          <w:rFonts w:ascii="Times New Roman" w:hAnsi="Times New Roman" w:cs="Times New Roman"/>
          <w:b/>
          <w:sz w:val="28"/>
          <w:szCs w:val="28"/>
        </w:rPr>
        <w:tab/>
      </w:r>
    </w:p>
    <w:p w:rsidR="00507E1B" w:rsidRPr="00527562" w:rsidRDefault="00507E1B" w:rsidP="00507E1B">
      <w:pPr>
        <w:spacing w:line="360" w:lineRule="auto"/>
        <w:jc w:val="center"/>
        <w:rPr>
          <w:rFonts w:ascii="Times New Roman" w:hAnsi="Times New Roman" w:cs="Times New Roman"/>
          <w:b/>
          <w:sz w:val="32"/>
          <w:szCs w:val="32"/>
        </w:rPr>
      </w:pPr>
      <w:r w:rsidRPr="00527562">
        <w:rPr>
          <w:rFonts w:ascii="Times New Roman" w:hAnsi="Times New Roman" w:cs="Times New Roman"/>
          <w:b/>
          <w:sz w:val="32"/>
          <w:szCs w:val="32"/>
        </w:rPr>
        <w:t>LAIMONAS ZABITIS</w:t>
      </w:r>
    </w:p>
    <w:p w:rsidR="00507E1B" w:rsidRPr="001B17AD" w:rsidRDefault="00507E1B" w:rsidP="00507E1B">
      <w:pPr>
        <w:spacing w:line="360" w:lineRule="auto"/>
        <w:jc w:val="center"/>
        <w:rPr>
          <w:rFonts w:ascii="Times New Roman" w:hAnsi="Times New Roman" w:cs="Times New Roman"/>
          <w:b/>
          <w:sz w:val="32"/>
          <w:szCs w:val="32"/>
        </w:rPr>
      </w:pPr>
    </w:p>
    <w:p w:rsidR="00507E1B" w:rsidRPr="001B17AD" w:rsidRDefault="00507E1B" w:rsidP="00507E1B">
      <w:pPr>
        <w:spacing w:line="360" w:lineRule="auto"/>
        <w:jc w:val="center"/>
        <w:rPr>
          <w:rFonts w:ascii="Times New Roman" w:hAnsi="Times New Roman" w:cs="Times New Roman"/>
          <w:b/>
          <w:sz w:val="32"/>
          <w:szCs w:val="32"/>
        </w:rPr>
      </w:pPr>
    </w:p>
    <w:p w:rsidR="00507E1B" w:rsidRPr="00AA31E3" w:rsidRDefault="00507E1B" w:rsidP="00507E1B">
      <w:pPr>
        <w:spacing w:line="360" w:lineRule="auto"/>
        <w:jc w:val="center"/>
        <w:rPr>
          <w:rFonts w:ascii="Times New Roman" w:hAnsi="Times New Roman" w:cs="Times New Roman"/>
          <w:b/>
          <w:sz w:val="28"/>
          <w:szCs w:val="28"/>
        </w:rPr>
      </w:pPr>
    </w:p>
    <w:p w:rsidR="00507E1B" w:rsidRPr="00AA31E3" w:rsidRDefault="00AC04FB" w:rsidP="00507E1B">
      <w:pPr>
        <w:spacing w:line="360" w:lineRule="auto"/>
        <w:jc w:val="center"/>
        <w:rPr>
          <w:rStyle w:val="apple-style-span"/>
          <w:rFonts w:ascii="Times New Roman" w:hAnsi="Times New Roman" w:cs="Times New Roman"/>
          <w:b/>
          <w:bCs/>
          <w:sz w:val="40"/>
          <w:szCs w:val="40"/>
        </w:rPr>
      </w:pPr>
      <w:r>
        <w:rPr>
          <w:rStyle w:val="apple-style-span"/>
          <w:rFonts w:ascii="Times New Roman" w:hAnsi="Times New Roman" w:cs="Times New Roman"/>
          <w:b/>
          <w:bCs/>
          <w:sz w:val="40"/>
          <w:szCs w:val="40"/>
        </w:rPr>
        <w:t>LIZINGO RINKOS ĮTAKOS</w:t>
      </w:r>
      <w:r w:rsidR="001E3B2F">
        <w:rPr>
          <w:rStyle w:val="apple-style-span"/>
          <w:rFonts w:ascii="Times New Roman" w:hAnsi="Times New Roman" w:cs="Times New Roman"/>
          <w:b/>
          <w:bCs/>
          <w:sz w:val="40"/>
          <w:szCs w:val="40"/>
        </w:rPr>
        <w:t xml:space="preserve"> LIETUVOS EKONOMIKAI</w:t>
      </w:r>
      <w:r>
        <w:rPr>
          <w:rStyle w:val="apple-style-span"/>
          <w:rFonts w:ascii="Times New Roman" w:hAnsi="Times New Roman" w:cs="Times New Roman"/>
          <w:b/>
          <w:bCs/>
          <w:sz w:val="40"/>
          <w:szCs w:val="40"/>
        </w:rPr>
        <w:t xml:space="preserve"> VERTINIMAS</w:t>
      </w:r>
    </w:p>
    <w:p w:rsidR="00507E1B" w:rsidRPr="00AA31E3" w:rsidRDefault="00507E1B" w:rsidP="00507E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Magistro baigiamasis darbas</w:t>
      </w:r>
    </w:p>
    <w:p w:rsidR="00507E1B" w:rsidRPr="00AA31E3" w:rsidRDefault="00507E1B" w:rsidP="00507E1B">
      <w:pPr>
        <w:spacing w:line="360" w:lineRule="auto"/>
        <w:jc w:val="both"/>
        <w:rPr>
          <w:rFonts w:ascii="Times New Roman" w:hAnsi="Times New Roman" w:cs="Times New Roman"/>
          <w:b/>
        </w:rPr>
      </w:pPr>
    </w:p>
    <w:p w:rsidR="00507E1B" w:rsidRDefault="00507E1B" w:rsidP="00507E1B">
      <w:pPr>
        <w:spacing w:line="360" w:lineRule="auto"/>
        <w:jc w:val="both"/>
        <w:rPr>
          <w:rFonts w:ascii="Times New Roman" w:hAnsi="Times New Roman" w:cs="Times New Roman"/>
          <w:b/>
        </w:rPr>
      </w:pPr>
    </w:p>
    <w:p w:rsidR="00507E1B" w:rsidRDefault="00507E1B" w:rsidP="00507E1B">
      <w:pPr>
        <w:spacing w:line="360" w:lineRule="auto"/>
        <w:jc w:val="both"/>
        <w:rPr>
          <w:rFonts w:ascii="Times New Roman" w:hAnsi="Times New Roman" w:cs="Times New Roman"/>
          <w:b/>
        </w:rPr>
      </w:pPr>
    </w:p>
    <w:p w:rsidR="00507E1B" w:rsidRPr="00AA31E3" w:rsidRDefault="00507E1B" w:rsidP="00507E1B">
      <w:pPr>
        <w:spacing w:line="360" w:lineRule="auto"/>
        <w:jc w:val="both"/>
        <w:rPr>
          <w:rFonts w:ascii="Times New Roman" w:hAnsi="Times New Roman" w:cs="Times New Roman"/>
          <w:b/>
        </w:rPr>
      </w:pPr>
    </w:p>
    <w:p w:rsidR="00507E1B" w:rsidRPr="00B564B8" w:rsidRDefault="00507E1B" w:rsidP="00507E1B">
      <w:pPr>
        <w:spacing w:line="360" w:lineRule="auto"/>
        <w:rPr>
          <w:rFonts w:ascii="Times New Roman" w:hAnsi="Times New Roman" w:cs="Times New Roman"/>
          <w:b/>
          <w:bCs/>
          <w:sz w:val="28"/>
          <w:szCs w:val="28"/>
        </w:rPr>
      </w:pPr>
      <w:r w:rsidRPr="00B564B8">
        <w:rPr>
          <w:rFonts w:ascii="Times New Roman" w:hAnsi="Times New Roman" w:cs="Times New Roman"/>
          <w:b/>
          <w:bCs/>
          <w:sz w:val="28"/>
          <w:szCs w:val="28"/>
        </w:rPr>
        <w:t>Vadovas:</w:t>
      </w:r>
    </w:p>
    <w:p w:rsidR="00507E1B" w:rsidRPr="00B564B8" w:rsidRDefault="00507E1B" w:rsidP="00507E1B">
      <w:pPr>
        <w:spacing w:line="360" w:lineRule="auto"/>
        <w:rPr>
          <w:rFonts w:ascii="Times New Roman" w:hAnsi="Times New Roman" w:cs="Times New Roman"/>
          <w:b/>
          <w:bCs/>
          <w:sz w:val="28"/>
          <w:szCs w:val="28"/>
        </w:rPr>
      </w:pPr>
      <w:r>
        <w:rPr>
          <w:rFonts w:ascii="Times New Roman" w:hAnsi="Times New Roman" w:cs="Times New Roman"/>
          <w:b/>
          <w:bCs/>
          <w:sz w:val="28"/>
          <w:szCs w:val="28"/>
        </w:rPr>
        <w:t xml:space="preserve">prof. </w:t>
      </w:r>
      <w:r w:rsidR="005F2B0E">
        <w:rPr>
          <w:rFonts w:ascii="Times New Roman" w:hAnsi="Times New Roman" w:cs="Times New Roman"/>
          <w:b/>
          <w:bCs/>
          <w:sz w:val="28"/>
          <w:szCs w:val="28"/>
        </w:rPr>
        <w:t xml:space="preserve">dr. </w:t>
      </w:r>
      <w:r>
        <w:rPr>
          <w:rFonts w:ascii="Times New Roman" w:hAnsi="Times New Roman" w:cs="Times New Roman"/>
          <w:b/>
          <w:bCs/>
          <w:sz w:val="28"/>
          <w:szCs w:val="28"/>
        </w:rPr>
        <w:t>I.Mačerinskienė</w:t>
      </w:r>
    </w:p>
    <w:p w:rsidR="00507E1B" w:rsidRDefault="00507E1B" w:rsidP="00507E1B">
      <w:pPr>
        <w:spacing w:line="360" w:lineRule="auto"/>
        <w:jc w:val="both"/>
        <w:rPr>
          <w:rFonts w:ascii="Times New Roman" w:hAnsi="Times New Roman" w:cs="Times New Roman"/>
          <w:b/>
          <w:bCs/>
        </w:rPr>
      </w:pPr>
    </w:p>
    <w:p w:rsidR="00507E1B" w:rsidRDefault="00507E1B" w:rsidP="00507E1B">
      <w:pPr>
        <w:spacing w:line="360" w:lineRule="auto"/>
        <w:jc w:val="both"/>
        <w:rPr>
          <w:rFonts w:ascii="Times New Roman" w:hAnsi="Times New Roman" w:cs="Times New Roman"/>
          <w:b/>
          <w:bCs/>
        </w:rPr>
      </w:pPr>
    </w:p>
    <w:p w:rsidR="00507E1B" w:rsidRPr="00AA31E3" w:rsidRDefault="00507E1B" w:rsidP="00507E1B">
      <w:pPr>
        <w:spacing w:line="360" w:lineRule="auto"/>
        <w:jc w:val="center"/>
        <w:rPr>
          <w:rFonts w:ascii="Times New Roman" w:hAnsi="Times New Roman" w:cs="Times New Roman"/>
          <w:b/>
          <w:bCs/>
        </w:rPr>
      </w:pPr>
    </w:p>
    <w:p w:rsidR="00507E1B" w:rsidRPr="00AA31E3" w:rsidRDefault="00507E1B" w:rsidP="00507E1B">
      <w:pPr>
        <w:jc w:val="center"/>
        <w:rPr>
          <w:rFonts w:ascii="Times New Roman" w:hAnsi="Times New Roman" w:cs="Times New Roman"/>
          <w:b/>
          <w:bCs/>
          <w:sz w:val="28"/>
          <w:szCs w:val="28"/>
        </w:rPr>
      </w:pPr>
    </w:p>
    <w:p w:rsidR="00507E1B" w:rsidRDefault="00507E1B" w:rsidP="00507E1B">
      <w:pPr>
        <w:jc w:val="center"/>
        <w:rPr>
          <w:rFonts w:ascii="Times New Roman" w:hAnsi="Times New Roman" w:cs="Times New Roman"/>
          <w:b/>
          <w:bCs/>
          <w:sz w:val="28"/>
          <w:szCs w:val="28"/>
        </w:rPr>
      </w:pPr>
    </w:p>
    <w:p w:rsidR="00507E1B" w:rsidRDefault="00507E1B" w:rsidP="00507E1B">
      <w:pPr>
        <w:jc w:val="center"/>
        <w:rPr>
          <w:rFonts w:ascii="Times New Roman" w:hAnsi="Times New Roman" w:cs="Times New Roman"/>
          <w:b/>
          <w:bCs/>
          <w:sz w:val="28"/>
          <w:szCs w:val="28"/>
        </w:rPr>
      </w:pPr>
    </w:p>
    <w:p w:rsidR="00764D64" w:rsidRDefault="00764D64" w:rsidP="00507E1B">
      <w:pPr>
        <w:jc w:val="center"/>
        <w:rPr>
          <w:rFonts w:ascii="Times New Roman" w:hAnsi="Times New Roman" w:cs="Times New Roman"/>
          <w:b/>
          <w:bCs/>
          <w:sz w:val="28"/>
          <w:szCs w:val="28"/>
        </w:rPr>
      </w:pPr>
    </w:p>
    <w:p w:rsidR="00764D64" w:rsidRDefault="00764D64" w:rsidP="00507E1B">
      <w:pPr>
        <w:jc w:val="center"/>
        <w:rPr>
          <w:rFonts w:ascii="Times New Roman" w:hAnsi="Times New Roman" w:cs="Times New Roman"/>
          <w:b/>
          <w:bCs/>
          <w:sz w:val="28"/>
          <w:szCs w:val="28"/>
        </w:rPr>
      </w:pPr>
    </w:p>
    <w:p w:rsidR="00507E1B" w:rsidRDefault="00507E1B" w:rsidP="00507E1B">
      <w:pPr>
        <w:rPr>
          <w:rFonts w:ascii="Times New Roman" w:hAnsi="Times New Roman" w:cs="Times New Roman"/>
          <w:b/>
          <w:bCs/>
          <w:sz w:val="28"/>
          <w:szCs w:val="28"/>
        </w:rPr>
      </w:pPr>
    </w:p>
    <w:p w:rsidR="00507E1B" w:rsidRPr="006A6A5F" w:rsidRDefault="00507E1B" w:rsidP="00507E1B">
      <w:pPr>
        <w:jc w:val="center"/>
        <w:rPr>
          <w:rFonts w:ascii="Times New Roman" w:hAnsi="Times New Roman" w:cs="Times New Roman"/>
          <w:b/>
          <w:bCs/>
          <w:sz w:val="28"/>
          <w:szCs w:val="28"/>
        </w:rPr>
      </w:pPr>
      <w:r>
        <w:rPr>
          <w:rFonts w:ascii="Times New Roman" w:hAnsi="Times New Roman" w:cs="Times New Roman"/>
          <w:b/>
          <w:bCs/>
          <w:sz w:val="28"/>
          <w:szCs w:val="28"/>
        </w:rPr>
        <w:t>VILNIUS</w:t>
      </w:r>
      <w:r w:rsidRPr="00527562">
        <w:rPr>
          <w:rFonts w:ascii="Times New Roman" w:hAnsi="Times New Roman" w:cs="Times New Roman"/>
          <w:b/>
          <w:bCs/>
          <w:sz w:val="28"/>
          <w:szCs w:val="28"/>
        </w:rPr>
        <w:t>, 20</w:t>
      </w:r>
      <w:r>
        <w:rPr>
          <w:rFonts w:ascii="Times New Roman" w:hAnsi="Times New Roman" w:cs="Times New Roman"/>
          <w:b/>
          <w:bCs/>
          <w:sz w:val="28"/>
          <w:szCs w:val="28"/>
        </w:rPr>
        <w:t>12</w:t>
      </w:r>
    </w:p>
    <w:p w:rsidR="00507E1B" w:rsidRDefault="00507E1B" w:rsidP="00507E1B">
      <w:pPr>
        <w:spacing w:line="360" w:lineRule="auto"/>
        <w:jc w:val="center"/>
        <w:rPr>
          <w:rFonts w:ascii="Times New Roman" w:hAnsi="Times New Roman" w:cs="Times New Roman"/>
          <w:sz w:val="32"/>
          <w:szCs w:val="32"/>
        </w:rPr>
        <w:sectPr w:rsidR="00507E1B" w:rsidSect="00507E1B">
          <w:headerReference w:type="default" r:id="rId9"/>
          <w:footerReference w:type="even" r:id="rId10"/>
          <w:footerReference w:type="default" r:id="rId11"/>
          <w:pgSz w:w="11906" w:h="16838" w:code="9"/>
          <w:pgMar w:top="1134" w:right="567" w:bottom="1134" w:left="1418" w:header="567" w:footer="567" w:gutter="0"/>
          <w:cols w:space="1296"/>
          <w:titlePg/>
          <w:docGrid w:linePitch="360"/>
        </w:sectPr>
      </w:pPr>
    </w:p>
    <w:p w:rsidR="00507E1B" w:rsidRPr="00E73EBB" w:rsidRDefault="00507E1B" w:rsidP="00507E1B">
      <w:pPr>
        <w:spacing w:line="360" w:lineRule="auto"/>
        <w:jc w:val="center"/>
        <w:rPr>
          <w:rFonts w:ascii="Times New Roman" w:hAnsi="Times New Roman" w:cs="Times New Roman"/>
          <w:sz w:val="28"/>
          <w:szCs w:val="28"/>
        </w:rPr>
      </w:pPr>
    </w:p>
    <w:p w:rsidR="00507E1B" w:rsidRDefault="00507E1B" w:rsidP="00507E1B">
      <w:pPr>
        <w:spacing w:line="360" w:lineRule="auto"/>
        <w:jc w:val="center"/>
        <w:rPr>
          <w:rFonts w:ascii="Times New Roman" w:hAnsi="Times New Roman" w:cs="Times New Roman"/>
          <w:b/>
          <w:sz w:val="32"/>
          <w:szCs w:val="32"/>
        </w:rPr>
        <w:sectPr w:rsidR="00507E1B" w:rsidSect="008722BE">
          <w:type w:val="continuous"/>
          <w:pgSz w:w="11906" w:h="16838" w:code="9"/>
          <w:pgMar w:top="1134" w:right="567" w:bottom="1134" w:left="1418" w:header="567" w:footer="567" w:gutter="0"/>
          <w:cols w:space="1296"/>
          <w:titlePg/>
          <w:docGrid w:linePitch="360"/>
        </w:sectPr>
      </w:pPr>
    </w:p>
    <w:p w:rsidR="00507E1B" w:rsidRDefault="00507E1B" w:rsidP="00507E1B">
      <w:pPr>
        <w:spacing w:line="360" w:lineRule="auto"/>
        <w:jc w:val="center"/>
        <w:rPr>
          <w:rFonts w:ascii="Times New Roman" w:hAnsi="Times New Roman" w:cs="Times New Roman"/>
          <w:b/>
          <w:sz w:val="32"/>
          <w:szCs w:val="32"/>
        </w:rPr>
      </w:pPr>
    </w:p>
    <w:p w:rsidR="00507E1B" w:rsidRPr="00527562" w:rsidRDefault="00507E1B" w:rsidP="00507E1B">
      <w:pPr>
        <w:spacing w:line="360" w:lineRule="auto"/>
        <w:jc w:val="center"/>
        <w:rPr>
          <w:rFonts w:ascii="Times New Roman" w:hAnsi="Times New Roman" w:cs="Times New Roman"/>
          <w:b/>
          <w:sz w:val="32"/>
          <w:szCs w:val="32"/>
        </w:rPr>
      </w:pPr>
      <w:r w:rsidRPr="00527562">
        <w:rPr>
          <w:rFonts w:ascii="Times New Roman" w:hAnsi="Times New Roman" w:cs="Times New Roman"/>
          <w:b/>
          <w:sz w:val="32"/>
          <w:szCs w:val="32"/>
        </w:rPr>
        <w:t>MYKOLO ROMERIO UNIVERSITETAS</w:t>
      </w:r>
    </w:p>
    <w:p w:rsidR="00507E1B" w:rsidRPr="00AA31E3" w:rsidRDefault="00507E1B" w:rsidP="00507E1B">
      <w:pPr>
        <w:spacing w:line="360" w:lineRule="auto"/>
        <w:jc w:val="center"/>
        <w:rPr>
          <w:rFonts w:ascii="Times New Roman" w:hAnsi="Times New Roman" w:cs="Times New Roman"/>
          <w:b/>
          <w:sz w:val="28"/>
          <w:szCs w:val="28"/>
        </w:rPr>
      </w:pPr>
      <w:r w:rsidRPr="00AA31E3">
        <w:rPr>
          <w:rFonts w:ascii="Times New Roman" w:hAnsi="Times New Roman" w:cs="Times New Roman"/>
          <w:b/>
          <w:sz w:val="28"/>
          <w:szCs w:val="28"/>
        </w:rPr>
        <w:t>EKONOMI</w:t>
      </w:r>
      <w:r>
        <w:rPr>
          <w:rFonts w:ascii="Times New Roman" w:hAnsi="Times New Roman" w:cs="Times New Roman"/>
          <w:b/>
          <w:sz w:val="28"/>
          <w:szCs w:val="28"/>
        </w:rPr>
        <w:t>KOS IR FINANSŲ VALDYMO FAKULTETAS</w:t>
      </w:r>
    </w:p>
    <w:p w:rsidR="00507E1B" w:rsidRPr="00527562" w:rsidRDefault="00507E1B" w:rsidP="00507E1B">
      <w:pPr>
        <w:spacing w:line="360" w:lineRule="auto"/>
        <w:jc w:val="center"/>
        <w:rPr>
          <w:rFonts w:ascii="Times New Roman" w:hAnsi="Times New Roman" w:cs="Times New Roman"/>
          <w:b/>
        </w:rPr>
      </w:pPr>
      <w:r w:rsidRPr="00527562">
        <w:rPr>
          <w:rFonts w:ascii="Times New Roman" w:hAnsi="Times New Roman" w:cs="Times New Roman"/>
          <w:b/>
        </w:rPr>
        <w:t>BANKININKYSTĖS IR INVESTICIJŲ KATEDRA</w:t>
      </w:r>
    </w:p>
    <w:p w:rsidR="00507E1B" w:rsidRPr="001B17AD" w:rsidRDefault="00507E1B" w:rsidP="00507E1B">
      <w:pPr>
        <w:spacing w:line="360" w:lineRule="auto"/>
        <w:jc w:val="center"/>
        <w:rPr>
          <w:rFonts w:ascii="Times New Roman" w:hAnsi="Times New Roman" w:cs="Times New Roman"/>
          <w:b/>
          <w:sz w:val="32"/>
          <w:szCs w:val="32"/>
        </w:rPr>
      </w:pPr>
    </w:p>
    <w:p w:rsidR="00507E1B" w:rsidRPr="001B17AD" w:rsidRDefault="00507E1B" w:rsidP="00507E1B">
      <w:pPr>
        <w:spacing w:line="360" w:lineRule="auto"/>
        <w:jc w:val="center"/>
        <w:rPr>
          <w:rFonts w:ascii="Times New Roman" w:hAnsi="Times New Roman" w:cs="Times New Roman"/>
          <w:b/>
          <w:sz w:val="32"/>
          <w:szCs w:val="32"/>
        </w:rPr>
      </w:pPr>
    </w:p>
    <w:p w:rsidR="00507E1B" w:rsidRPr="00AA31E3" w:rsidRDefault="00507E1B" w:rsidP="00507E1B">
      <w:pPr>
        <w:spacing w:line="360" w:lineRule="auto"/>
        <w:jc w:val="center"/>
        <w:rPr>
          <w:rFonts w:ascii="Times New Roman" w:hAnsi="Times New Roman" w:cs="Times New Roman"/>
          <w:b/>
          <w:sz w:val="28"/>
          <w:szCs w:val="28"/>
        </w:rPr>
      </w:pPr>
    </w:p>
    <w:p w:rsidR="00507E1B" w:rsidRPr="001B17AD" w:rsidRDefault="00507E1B" w:rsidP="00507E1B">
      <w:pPr>
        <w:spacing w:line="360" w:lineRule="auto"/>
        <w:jc w:val="center"/>
        <w:rPr>
          <w:rFonts w:ascii="Times New Roman" w:hAnsi="Times New Roman" w:cs="Times New Roman"/>
          <w:b/>
          <w:sz w:val="32"/>
          <w:szCs w:val="32"/>
        </w:rPr>
      </w:pPr>
    </w:p>
    <w:p w:rsidR="00507E1B" w:rsidRPr="00AA31E3" w:rsidRDefault="00AC04FB" w:rsidP="00507E1B">
      <w:pPr>
        <w:spacing w:line="360" w:lineRule="auto"/>
        <w:jc w:val="center"/>
        <w:rPr>
          <w:rStyle w:val="apple-style-span"/>
          <w:rFonts w:ascii="Times New Roman" w:hAnsi="Times New Roman" w:cs="Times New Roman"/>
          <w:b/>
          <w:bCs/>
          <w:sz w:val="40"/>
          <w:szCs w:val="40"/>
        </w:rPr>
      </w:pPr>
      <w:r>
        <w:rPr>
          <w:rStyle w:val="apple-style-span"/>
          <w:rFonts w:ascii="Times New Roman" w:hAnsi="Times New Roman" w:cs="Times New Roman"/>
          <w:b/>
          <w:bCs/>
          <w:sz w:val="40"/>
          <w:szCs w:val="40"/>
        </w:rPr>
        <w:t>LIZINGO RINKOS ĮTAKOS</w:t>
      </w:r>
      <w:r w:rsidR="001E3B2F">
        <w:rPr>
          <w:rStyle w:val="apple-style-span"/>
          <w:rFonts w:ascii="Times New Roman" w:hAnsi="Times New Roman" w:cs="Times New Roman"/>
          <w:b/>
          <w:bCs/>
          <w:sz w:val="40"/>
          <w:szCs w:val="40"/>
        </w:rPr>
        <w:t xml:space="preserve"> LIETUVOS EKONOMIKAI</w:t>
      </w:r>
      <w:r>
        <w:rPr>
          <w:rStyle w:val="apple-style-span"/>
          <w:rFonts w:ascii="Times New Roman" w:hAnsi="Times New Roman" w:cs="Times New Roman"/>
          <w:b/>
          <w:bCs/>
          <w:sz w:val="40"/>
          <w:szCs w:val="40"/>
        </w:rPr>
        <w:t xml:space="preserve"> VERTINIMAS</w:t>
      </w:r>
    </w:p>
    <w:p w:rsidR="00507E1B" w:rsidRDefault="00507E1B" w:rsidP="00507E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Finansų rinkų magistro baigiamasis darbas</w:t>
      </w:r>
    </w:p>
    <w:p w:rsidR="00507E1B" w:rsidRPr="00AA31E3" w:rsidRDefault="00507E1B" w:rsidP="00507E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Studijų programa </w:t>
      </w:r>
      <w:hyperlink r:id="rId12" w:history="1">
        <w:r w:rsidR="008722BE" w:rsidRPr="008722BE">
          <w:rPr>
            <w:rStyle w:val="Hyperlink"/>
            <w:rFonts w:ascii="Times New Roman" w:hAnsi="Times New Roman" w:cs="Times New Roman"/>
            <w:b/>
            <w:color w:val="auto"/>
            <w:sz w:val="28"/>
            <w:szCs w:val="28"/>
            <w:u w:val="none"/>
          </w:rPr>
          <w:t>621L10009</w:t>
        </w:r>
      </w:hyperlink>
    </w:p>
    <w:p w:rsidR="00507E1B" w:rsidRPr="00AA31E3" w:rsidRDefault="00507E1B" w:rsidP="00507E1B">
      <w:pPr>
        <w:spacing w:line="360" w:lineRule="auto"/>
        <w:jc w:val="both"/>
        <w:rPr>
          <w:rFonts w:ascii="Times New Roman" w:hAnsi="Times New Roman" w:cs="Times New Roman"/>
          <w:b/>
        </w:rPr>
      </w:pPr>
    </w:p>
    <w:p w:rsidR="00507E1B" w:rsidRDefault="00507E1B" w:rsidP="00507E1B">
      <w:pPr>
        <w:spacing w:line="360" w:lineRule="auto"/>
        <w:jc w:val="both"/>
        <w:rPr>
          <w:rFonts w:ascii="Times New Roman" w:hAnsi="Times New Roman" w:cs="Times New Roman"/>
          <w:b/>
        </w:rPr>
      </w:pPr>
    </w:p>
    <w:p w:rsidR="00507E1B" w:rsidRDefault="00507E1B" w:rsidP="00507E1B">
      <w:pPr>
        <w:spacing w:line="360" w:lineRule="auto"/>
        <w:jc w:val="both"/>
        <w:rPr>
          <w:rFonts w:ascii="Times New Roman" w:hAnsi="Times New Roman" w:cs="Times New Roman"/>
          <w:b/>
        </w:rPr>
      </w:pPr>
    </w:p>
    <w:p w:rsidR="00507E1B" w:rsidRPr="00AA31E3" w:rsidRDefault="00507E1B" w:rsidP="00507E1B">
      <w:pPr>
        <w:spacing w:line="360" w:lineRule="auto"/>
        <w:jc w:val="both"/>
        <w:rPr>
          <w:rFonts w:ascii="Times New Roman" w:hAnsi="Times New Roman" w:cs="Times New Roman"/>
          <w:b/>
        </w:rPr>
      </w:pPr>
    </w:p>
    <w:p w:rsidR="00507E1B" w:rsidRPr="00B564B8" w:rsidRDefault="00507E1B" w:rsidP="00507E1B">
      <w:pPr>
        <w:spacing w:line="360" w:lineRule="auto"/>
        <w:ind w:left="5192" w:firstLine="1045"/>
        <w:rPr>
          <w:rFonts w:ascii="Times New Roman" w:hAnsi="Times New Roman" w:cs="Times New Roman"/>
          <w:b/>
          <w:bCs/>
        </w:rPr>
      </w:pPr>
      <w:r w:rsidRPr="00B564B8">
        <w:rPr>
          <w:rFonts w:ascii="Times New Roman" w:hAnsi="Times New Roman" w:cs="Times New Roman"/>
          <w:b/>
          <w:bCs/>
        </w:rPr>
        <w:t>Vadovas:</w:t>
      </w:r>
    </w:p>
    <w:p w:rsidR="00507E1B" w:rsidRPr="00B564B8" w:rsidRDefault="00507E1B" w:rsidP="005F2B0E">
      <w:pPr>
        <w:spacing w:line="360" w:lineRule="auto"/>
        <w:ind w:left="4941" w:firstLine="1296"/>
        <w:rPr>
          <w:rFonts w:ascii="Times New Roman" w:hAnsi="Times New Roman" w:cs="Times New Roman"/>
          <w:b/>
          <w:bCs/>
        </w:rPr>
      </w:pPr>
      <w:r>
        <w:rPr>
          <w:rFonts w:ascii="Times New Roman" w:hAnsi="Times New Roman" w:cs="Times New Roman"/>
          <w:b/>
          <w:bCs/>
        </w:rPr>
        <w:t>prof</w:t>
      </w:r>
      <w:r w:rsidRPr="00B564B8">
        <w:rPr>
          <w:rFonts w:ascii="Times New Roman" w:hAnsi="Times New Roman" w:cs="Times New Roman"/>
          <w:b/>
          <w:bCs/>
        </w:rPr>
        <w:t xml:space="preserve">. </w:t>
      </w:r>
      <w:r w:rsidR="005F2B0E">
        <w:rPr>
          <w:rFonts w:ascii="Times New Roman" w:hAnsi="Times New Roman" w:cs="Times New Roman"/>
          <w:b/>
          <w:bCs/>
        </w:rPr>
        <w:t xml:space="preserve">dr. </w:t>
      </w:r>
      <w:r>
        <w:rPr>
          <w:rFonts w:ascii="Times New Roman" w:hAnsi="Times New Roman" w:cs="Times New Roman"/>
          <w:b/>
          <w:bCs/>
        </w:rPr>
        <w:t>I. Mačerinskienė</w:t>
      </w:r>
    </w:p>
    <w:p w:rsidR="00507E1B" w:rsidRPr="006F1C69" w:rsidRDefault="00017F9D" w:rsidP="00507E1B">
      <w:pPr>
        <w:tabs>
          <w:tab w:val="left" w:pos="6237"/>
        </w:tabs>
        <w:spacing w:line="360" w:lineRule="auto"/>
        <w:jc w:val="both"/>
        <w:rPr>
          <w:rFonts w:ascii="Times New Roman" w:hAnsi="Times New Roman" w:cs="Times New Roman"/>
          <w:b/>
          <w:bCs/>
        </w:rPr>
      </w:pPr>
      <w:r>
        <w:rPr>
          <w:rFonts w:ascii="Times New Roman" w:hAnsi="Times New Roman" w:cs="Times New Roman"/>
          <w:b/>
          <w:bCs/>
        </w:rPr>
        <w:tab/>
        <w:t>2012 12</w:t>
      </w:r>
      <w:r w:rsidR="00507E1B" w:rsidRPr="006F1C69">
        <w:rPr>
          <w:rFonts w:ascii="Times New Roman" w:hAnsi="Times New Roman" w:cs="Times New Roman"/>
          <w:b/>
          <w:bCs/>
        </w:rPr>
        <w:t xml:space="preserve"> …</w:t>
      </w:r>
    </w:p>
    <w:p w:rsidR="00507E1B" w:rsidRPr="006F1C69" w:rsidRDefault="00507E1B" w:rsidP="00507E1B">
      <w:pPr>
        <w:tabs>
          <w:tab w:val="left" w:pos="6237"/>
        </w:tabs>
        <w:spacing w:line="360" w:lineRule="auto"/>
        <w:jc w:val="both"/>
        <w:rPr>
          <w:rFonts w:ascii="Times New Roman" w:hAnsi="Times New Roman" w:cs="Times New Roman"/>
          <w:b/>
          <w:bCs/>
        </w:rPr>
      </w:pPr>
    </w:p>
    <w:p w:rsidR="00507E1B" w:rsidRDefault="00507E1B" w:rsidP="00507E1B">
      <w:pPr>
        <w:tabs>
          <w:tab w:val="left" w:pos="1134"/>
          <w:tab w:val="left" w:pos="2835"/>
          <w:tab w:val="left" w:pos="6237"/>
        </w:tabs>
        <w:spacing w:line="360" w:lineRule="auto"/>
        <w:jc w:val="both"/>
        <w:rPr>
          <w:rFonts w:ascii="Times New Roman" w:hAnsi="Times New Roman" w:cs="Times New Roman"/>
          <w:b/>
          <w:bCs/>
        </w:rPr>
      </w:pPr>
      <w:r>
        <w:rPr>
          <w:rFonts w:ascii="Times New Roman" w:hAnsi="Times New Roman" w:cs="Times New Roman"/>
          <w:b/>
          <w:bCs/>
        </w:rPr>
        <w:tab/>
        <w:t>Recenzentas</w:t>
      </w:r>
      <w:r>
        <w:rPr>
          <w:rFonts w:ascii="Times New Roman" w:hAnsi="Times New Roman" w:cs="Times New Roman"/>
          <w:b/>
          <w:bCs/>
        </w:rPr>
        <w:tab/>
      </w:r>
      <w:r>
        <w:rPr>
          <w:rFonts w:ascii="Times New Roman" w:hAnsi="Times New Roman" w:cs="Times New Roman"/>
          <w:b/>
          <w:bCs/>
        </w:rPr>
        <w:tab/>
        <w:t>Atliko:</w:t>
      </w:r>
    </w:p>
    <w:p w:rsidR="00507E1B" w:rsidRPr="006F1C69" w:rsidRDefault="00507E1B" w:rsidP="00507E1B">
      <w:pPr>
        <w:tabs>
          <w:tab w:val="left" w:pos="1134"/>
          <w:tab w:val="left" w:pos="2835"/>
          <w:tab w:val="left" w:pos="6237"/>
        </w:tabs>
        <w:spacing w:line="360" w:lineRule="auto"/>
        <w:jc w:val="both"/>
        <w:rPr>
          <w:rFonts w:ascii="Times New Roman" w:hAnsi="Times New Roman" w:cs="Times New Roman"/>
          <w:b/>
          <w:bCs/>
        </w:rPr>
      </w:pP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FRmns1-01</w:t>
      </w:r>
      <w:r w:rsidRPr="006F1C69">
        <w:rPr>
          <w:rFonts w:ascii="Times New Roman" w:hAnsi="Times New Roman" w:cs="Times New Roman"/>
          <w:b/>
          <w:bCs/>
        </w:rPr>
        <w:t xml:space="preserve"> gr. stud.</w:t>
      </w:r>
    </w:p>
    <w:p w:rsidR="00507E1B" w:rsidRPr="006F1C69" w:rsidRDefault="00507E1B" w:rsidP="00507E1B">
      <w:pPr>
        <w:tabs>
          <w:tab w:val="left" w:pos="1134"/>
          <w:tab w:val="left" w:pos="2835"/>
          <w:tab w:val="left" w:pos="6237"/>
          <w:tab w:val="left" w:pos="7371"/>
        </w:tabs>
        <w:spacing w:line="360" w:lineRule="auto"/>
        <w:jc w:val="both"/>
        <w:rPr>
          <w:rFonts w:ascii="Times New Roman" w:hAnsi="Times New Roman" w:cs="Times New Roman"/>
          <w:b/>
          <w:bCs/>
        </w:rPr>
      </w:pPr>
      <w:r w:rsidRPr="006F1C69">
        <w:rPr>
          <w:rFonts w:ascii="Times New Roman" w:hAnsi="Times New Roman" w:cs="Times New Roman"/>
          <w:b/>
          <w:bCs/>
        </w:rPr>
        <w:tab/>
      </w:r>
      <w:r w:rsidRPr="006F1C69">
        <w:rPr>
          <w:rFonts w:ascii="Times New Roman" w:hAnsi="Times New Roman" w:cs="Times New Roman"/>
          <w:b/>
          <w:bCs/>
        </w:rPr>
        <w:tab/>
      </w:r>
      <w:r w:rsidRPr="006F1C69">
        <w:rPr>
          <w:rFonts w:ascii="Times New Roman" w:hAnsi="Times New Roman" w:cs="Times New Roman"/>
          <w:b/>
          <w:bCs/>
        </w:rPr>
        <w:tab/>
      </w:r>
      <w:r w:rsidRPr="006F1C69">
        <w:rPr>
          <w:rFonts w:ascii="Times New Roman" w:hAnsi="Times New Roman" w:cs="Times New Roman"/>
          <w:b/>
          <w:bCs/>
        </w:rPr>
        <w:tab/>
        <w:t>L. Zabitis</w:t>
      </w:r>
    </w:p>
    <w:p w:rsidR="00507E1B" w:rsidRPr="00B564B8" w:rsidRDefault="00507E1B" w:rsidP="00507E1B">
      <w:pPr>
        <w:tabs>
          <w:tab w:val="left" w:pos="1134"/>
          <w:tab w:val="left" w:pos="2835"/>
          <w:tab w:val="left" w:pos="6237"/>
          <w:tab w:val="left" w:pos="7371"/>
        </w:tabs>
        <w:spacing w:line="360" w:lineRule="auto"/>
        <w:jc w:val="both"/>
        <w:rPr>
          <w:rFonts w:ascii="Times New Roman" w:hAnsi="Times New Roman" w:cs="Times New Roman"/>
          <w:b/>
          <w:bCs/>
          <w:lang w:val="en-US"/>
        </w:rPr>
      </w:pPr>
      <w:r w:rsidRPr="006F1C69">
        <w:rPr>
          <w:rFonts w:ascii="Times New Roman" w:hAnsi="Times New Roman" w:cs="Times New Roman"/>
          <w:b/>
          <w:bCs/>
        </w:rPr>
        <w:tab/>
      </w:r>
      <w:r w:rsidR="005F2B0E">
        <w:rPr>
          <w:rFonts w:ascii="Times New Roman" w:hAnsi="Times New Roman" w:cs="Times New Roman"/>
          <w:b/>
          <w:bCs/>
          <w:lang w:val="en-US"/>
        </w:rPr>
        <w:t xml:space="preserve">2012 </w:t>
      </w:r>
      <w:r w:rsidR="00017F9D">
        <w:rPr>
          <w:rFonts w:ascii="Times New Roman" w:hAnsi="Times New Roman" w:cs="Times New Roman"/>
          <w:b/>
          <w:bCs/>
          <w:lang w:val="en-US"/>
        </w:rPr>
        <w:t>12</w:t>
      </w:r>
      <w:r>
        <w:rPr>
          <w:rFonts w:ascii="Times New Roman" w:hAnsi="Times New Roman" w:cs="Times New Roman"/>
          <w:b/>
          <w:bCs/>
          <w:lang w:val="en-US"/>
        </w:rPr>
        <w:t xml:space="preserve"> …</w:t>
      </w:r>
      <w:r>
        <w:rPr>
          <w:rFonts w:ascii="Times New Roman" w:hAnsi="Times New Roman" w:cs="Times New Roman"/>
          <w:b/>
          <w:bCs/>
          <w:lang w:val="en-US"/>
        </w:rPr>
        <w:tab/>
      </w:r>
      <w:r>
        <w:rPr>
          <w:rFonts w:ascii="Times New Roman" w:hAnsi="Times New Roman" w:cs="Times New Roman"/>
          <w:b/>
          <w:bCs/>
          <w:lang w:val="en-US"/>
        </w:rPr>
        <w:tab/>
        <w:t xml:space="preserve">2012 </w:t>
      </w:r>
      <w:r w:rsidR="00017F9D">
        <w:rPr>
          <w:rFonts w:ascii="Times New Roman" w:hAnsi="Times New Roman" w:cs="Times New Roman"/>
          <w:b/>
          <w:bCs/>
          <w:lang w:val="en-US"/>
        </w:rPr>
        <w:t>12</w:t>
      </w:r>
      <w:r>
        <w:rPr>
          <w:rFonts w:ascii="Times New Roman" w:hAnsi="Times New Roman" w:cs="Times New Roman"/>
          <w:b/>
          <w:bCs/>
          <w:lang w:val="en-US"/>
        </w:rPr>
        <w:t xml:space="preserve"> </w:t>
      </w:r>
      <w:r w:rsidR="00017F9D">
        <w:rPr>
          <w:rFonts w:ascii="Times New Roman" w:hAnsi="Times New Roman" w:cs="Times New Roman"/>
          <w:b/>
          <w:bCs/>
          <w:lang w:val="en-US"/>
        </w:rPr>
        <w:t>01</w:t>
      </w:r>
    </w:p>
    <w:p w:rsidR="00507E1B" w:rsidRDefault="00507E1B" w:rsidP="00507E1B">
      <w:pPr>
        <w:spacing w:line="360" w:lineRule="auto"/>
        <w:jc w:val="both"/>
        <w:rPr>
          <w:rFonts w:ascii="Times New Roman" w:hAnsi="Times New Roman" w:cs="Times New Roman"/>
          <w:b/>
          <w:bCs/>
        </w:rPr>
      </w:pPr>
    </w:p>
    <w:p w:rsidR="00507E1B" w:rsidRDefault="00507E1B" w:rsidP="00507E1B">
      <w:pPr>
        <w:jc w:val="center"/>
        <w:rPr>
          <w:rFonts w:ascii="Times New Roman" w:hAnsi="Times New Roman" w:cs="Times New Roman"/>
          <w:b/>
          <w:bCs/>
          <w:sz w:val="28"/>
          <w:szCs w:val="28"/>
        </w:rPr>
      </w:pPr>
    </w:p>
    <w:p w:rsidR="00507E1B" w:rsidRPr="00AA31E3" w:rsidRDefault="00507E1B" w:rsidP="00507E1B">
      <w:pPr>
        <w:jc w:val="center"/>
        <w:rPr>
          <w:rFonts w:ascii="Times New Roman" w:hAnsi="Times New Roman" w:cs="Times New Roman"/>
          <w:b/>
          <w:bCs/>
          <w:sz w:val="28"/>
          <w:szCs w:val="28"/>
        </w:rPr>
      </w:pPr>
    </w:p>
    <w:p w:rsidR="00507E1B" w:rsidRDefault="00507E1B" w:rsidP="00507E1B">
      <w:pPr>
        <w:jc w:val="center"/>
        <w:rPr>
          <w:rFonts w:ascii="Times New Roman" w:hAnsi="Times New Roman" w:cs="Times New Roman"/>
          <w:b/>
          <w:bCs/>
          <w:sz w:val="28"/>
          <w:szCs w:val="28"/>
        </w:rPr>
      </w:pPr>
    </w:p>
    <w:p w:rsidR="00507E1B" w:rsidRPr="00527562" w:rsidRDefault="00507E1B" w:rsidP="00507E1B">
      <w:pPr>
        <w:jc w:val="center"/>
        <w:rPr>
          <w:rFonts w:ascii="Times New Roman" w:hAnsi="Times New Roman" w:cs="Times New Roman"/>
          <w:b/>
          <w:bCs/>
          <w:sz w:val="28"/>
          <w:szCs w:val="28"/>
        </w:rPr>
      </w:pPr>
      <w:r>
        <w:rPr>
          <w:rFonts w:ascii="Times New Roman" w:hAnsi="Times New Roman" w:cs="Times New Roman"/>
          <w:b/>
          <w:bCs/>
          <w:sz w:val="28"/>
          <w:szCs w:val="28"/>
        </w:rPr>
        <w:t>VILNIUS, 2012</w:t>
      </w:r>
    </w:p>
    <w:p w:rsidR="00507E1B" w:rsidRDefault="00507E1B" w:rsidP="00507E1B">
      <w:pPr>
        <w:jc w:val="center"/>
        <w:rPr>
          <w:rFonts w:ascii="Times New Roman" w:hAnsi="Times New Roman" w:cs="Times New Roman"/>
        </w:rPr>
      </w:pPr>
    </w:p>
    <w:p w:rsidR="00507E1B" w:rsidRDefault="00507E1B" w:rsidP="00507E1B">
      <w:pPr>
        <w:jc w:val="center"/>
        <w:rPr>
          <w:rFonts w:ascii="Times New Roman" w:hAnsi="Times New Roman" w:cs="Times New Roman"/>
          <w:b/>
          <w:sz w:val="28"/>
          <w:szCs w:val="28"/>
        </w:rPr>
        <w:sectPr w:rsidR="00507E1B" w:rsidSect="008722BE">
          <w:headerReference w:type="first" r:id="rId13"/>
          <w:pgSz w:w="11906" w:h="16838" w:code="9"/>
          <w:pgMar w:top="1134" w:right="567" w:bottom="1134" w:left="1418" w:header="567" w:footer="567" w:gutter="0"/>
          <w:cols w:space="1296"/>
          <w:titlePg/>
          <w:docGrid w:linePitch="360"/>
        </w:sectPr>
      </w:pPr>
    </w:p>
    <w:p w:rsidR="00507E1B" w:rsidRDefault="00507E1B" w:rsidP="00507E1B">
      <w:pPr>
        <w:jc w:val="center"/>
        <w:rPr>
          <w:rFonts w:ascii="Times New Roman" w:hAnsi="Times New Roman" w:cs="Times New Roman"/>
          <w:b/>
          <w:sz w:val="28"/>
          <w:szCs w:val="28"/>
        </w:rPr>
      </w:pPr>
    </w:p>
    <w:p w:rsidR="00507E1B" w:rsidRDefault="00507E1B" w:rsidP="00507E1B">
      <w:pPr>
        <w:rPr>
          <w:rFonts w:ascii="Times New Roman" w:hAnsi="Times New Roman" w:cs="Times New Roman"/>
          <w:b/>
          <w:sz w:val="28"/>
          <w:szCs w:val="28"/>
        </w:rPr>
        <w:sectPr w:rsidR="00507E1B" w:rsidSect="008722BE">
          <w:type w:val="continuous"/>
          <w:pgSz w:w="11906" w:h="16838" w:code="9"/>
          <w:pgMar w:top="1134" w:right="567" w:bottom="1134" w:left="1418" w:header="567" w:footer="567" w:gutter="0"/>
          <w:cols w:space="1296"/>
          <w:titlePg/>
          <w:docGrid w:linePitch="360"/>
        </w:sectPr>
      </w:pPr>
    </w:p>
    <w:p w:rsidR="008E7D8F" w:rsidRDefault="008E7D8F" w:rsidP="00507E1B">
      <w:pPr>
        <w:jc w:val="center"/>
        <w:rPr>
          <w:rFonts w:ascii="Times New Roman" w:hAnsi="Times New Roman" w:cs="Times New Roman"/>
          <w:b/>
        </w:rPr>
        <w:sectPr w:rsidR="008E7D8F" w:rsidSect="00E30EE1">
          <w:pgSz w:w="11906" w:h="16838"/>
          <w:pgMar w:top="1134" w:right="567" w:bottom="1134" w:left="1418" w:header="567" w:footer="567" w:gutter="0"/>
          <w:cols w:space="1296"/>
          <w:titlePg/>
          <w:docGrid w:linePitch="360"/>
        </w:sectPr>
      </w:pPr>
    </w:p>
    <w:p w:rsidR="00507E1B" w:rsidRPr="009E5708" w:rsidRDefault="00507E1B" w:rsidP="00507E1B">
      <w:pPr>
        <w:jc w:val="center"/>
        <w:rPr>
          <w:rFonts w:ascii="Times New Roman" w:hAnsi="Times New Roman" w:cs="Times New Roman"/>
          <w:b/>
        </w:rPr>
      </w:pPr>
    </w:p>
    <w:p w:rsidR="00507E1B" w:rsidRPr="00AA31E3" w:rsidRDefault="00507E1B" w:rsidP="00507E1B">
      <w:pPr>
        <w:jc w:val="center"/>
        <w:rPr>
          <w:rFonts w:ascii="Times New Roman" w:hAnsi="Times New Roman" w:cs="Times New Roman"/>
          <w:b/>
          <w:sz w:val="28"/>
          <w:szCs w:val="28"/>
        </w:rPr>
      </w:pPr>
      <w:r w:rsidRPr="00AA31E3">
        <w:rPr>
          <w:rFonts w:ascii="Times New Roman" w:hAnsi="Times New Roman" w:cs="Times New Roman"/>
          <w:b/>
          <w:sz w:val="28"/>
          <w:szCs w:val="28"/>
        </w:rPr>
        <w:t>TURINYS</w:t>
      </w:r>
    </w:p>
    <w:p w:rsidR="006D09D0" w:rsidRDefault="006D09D0">
      <w:pPr>
        <w:spacing w:after="200" w:line="276" w:lineRule="auto"/>
        <w:rPr>
          <w:rFonts w:ascii="Times New Roman" w:hAnsi="Times New Roman" w:cs="Times New Roman"/>
        </w:rPr>
      </w:pPr>
    </w:p>
    <w:p w:rsidR="003014A6" w:rsidRPr="003014A6" w:rsidRDefault="00B737C2"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r w:rsidRPr="003014A6">
        <w:rPr>
          <w:rFonts w:ascii="Times New Roman" w:hAnsi="Times New Roman" w:cs="Times New Roman"/>
        </w:rPr>
        <w:fldChar w:fldCharType="begin"/>
      </w:r>
      <w:r w:rsidRPr="003014A6">
        <w:rPr>
          <w:rFonts w:ascii="Times New Roman" w:hAnsi="Times New Roman" w:cs="Times New Roman"/>
        </w:rPr>
        <w:instrText xml:space="preserve"> TOC \o "1-3" \h \z \u </w:instrText>
      </w:r>
      <w:r w:rsidRPr="003014A6">
        <w:rPr>
          <w:rFonts w:ascii="Times New Roman" w:hAnsi="Times New Roman" w:cs="Times New Roman"/>
        </w:rPr>
        <w:fldChar w:fldCharType="separate"/>
      </w:r>
      <w:hyperlink w:anchor="_Toc343517963" w:history="1">
        <w:r w:rsidR="003014A6" w:rsidRPr="003014A6">
          <w:rPr>
            <w:rStyle w:val="Hyperlink"/>
            <w:rFonts w:ascii="Times New Roman" w:hAnsi="Times New Roman" w:cs="Times New Roman"/>
            <w:noProof/>
          </w:rPr>
          <w:t>ĮVADAS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_Toc343517963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6</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left" w:pos="440"/>
          <w:tab w:val="right" w:leader="dot" w:pos="9911"/>
        </w:tabs>
        <w:spacing w:line="360" w:lineRule="auto"/>
        <w:rPr>
          <w:rFonts w:ascii="Times New Roman" w:eastAsiaTheme="minorEastAsia" w:hAnsi="Times New Roman" w:cs="Times New Roman"/>
          <w:noProof/>
          <w:color w:val="auto"/>
          <w:sz w:val="22"/>
          <w:szCs w:val="22"/>
        </w:rPr>
      </w:pPr>
      <w:hyperlink w:anchor="_Toc343517964" w:history="1">
        <w:r w:rsidR="003014A6" w:rsidRPr="003014A6">
          <w:rPr>
            <w:rStyle w:val="Hyperlink"/>
            <w:rFonts w:ascii="Times New Roman" w:hAnsi="Times New Roman" w:cs="Times New Roman"/>
            <w:noProof/>
          </w:rPr>
          <w:t>1.</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TEORINĖ ANALIZĖ</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_Toc343517964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65" w:history="1">
        <w:r w:rsidR="003014A6" w:rsidRPr="003014A6">
          <w:rPr>
            <w:rStyle w:val="Hyperlink"/>
            <w:rFonts w:ascii="Times New Roman" w:hAnsi="Times New Roman" w:cs="Times New Roman"/>
            <w:noProof/>
          </w:rPr>
          <w:t>1.1.</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koncepcija</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_Toc343517965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66" w:history="1">
        <w:r w:rsidR="003014A6" w:rsidRPr="003014A6">
          <w:rPr>
            <w:rStyle w:val="Hyperlink"/>
            <w:rFonts w:ascii="Times New Roman" w:hAnsi="Times New Roman" w:cs="Times New Roman"/>
            <w:noProof/>
          </w:rPr>
          <w:t>1.2.</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tipai</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_Toc343517966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10</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67" w:history="1">
        <w:r w:rsidR="003014A6" w:rsidRPr="003014A6">
          <w:rPr>
            <w:rStyle w:val="Hyperlink"/>
            <w:rFonts w:ascii="Times New Roman" w:hAnsi="Times New Roman" w:cs="Times New Roman"/>
            <w:noProof/>
          </w:rPr>
          <w:t>1.3.</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privalumai ir trūkumai</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_Toc343517967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15</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68" w:history="1">
        <w:r w:rsidR="003014A6" w:rsidRPr="003014A6">
          <w:rPr>
            <w:rStyle w:val="Hyperlink"/>
            <w:rFonts w:ascii="Times New Roman" w:hAnsi="Times New Roman" w:cs="Times New Roman"/>
            <w:noProof/>
          </w:rPr>
          <w:t>1.4.</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reikšmė ekonomikai</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_Toc343517968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19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69" w:history="1">
        <w:r w:rsidR="003014A6" w:rsidRPr="003014A6">
          <w:rPr>
            <w:rStyle w:val="Hyperlink"/>
            <w:rFonts w:ascii="Times New Roman" w:hAnsi="Times New Roman" w:cs="Times New Roman"/>
            <w:noProof/>
          </w:rPr>
          <w:t>1.5.</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Lietuvos lizingo rinka</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_Toc343517969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27</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left" w:pos="440"/>
          <w:tab w:val="right" w:leader="dot" w:pos="9911"/>
        </w:tabs>
        <w:spacing w:line="360" w:lineRule="auto"/>
        <w:rPr>
          <w:rFonts w:ascii="Times New Roman" w:eastAsiaTheme="minorEastAsia" w:hAnsi="Times New Roman" w:cs="Times New Roman"/>
          <w:noProof/>
          <w:color w:val="auto"/>
          <w:sz w:val="22"/>
          <w:szCs w:val="22"/>
        </w:rPr>
      </w:pPr>
      <w:hyperlink w:anchor="_Toc343517970" w:history="1">
        <w:r w:rsidR="003014A6" w:rsidRPr="003014A6">
          <w:rPr>
            <w:rStyle w:val="Hyperlink"/>
            <w:rFonts w:ascii="Times New Roman" w:hAnsi="Times New Roman" w:cs="Times New Roman"/>
            <w:noProof/>
          </w:rPr>
          <w:t>2.</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ŠALIES EKONOMIKAI VERTINIMO METODOLOGIJA</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_Toc343517970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29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1" w:history="1">
        <w:r w:rsidR="003014A6" w:rsidRPr="003014A6">
          <w:rPr>
            <w:rStyle w:val="Hyperlink"/>
            <w:rFonts w:ascii="Times New Roman" w:hAnsi="Times New Roman" w:cs="Times New Roman"/>
            <w:noProof/>
          </w:rPr>
          <w:t>2.1.</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šalies ekonomikai vertinimo modelis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_Toc343517971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29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2" w:history="1">
        <w:r w:rsidR="003014A6" w:rsidRPr="003014A6">
          <w:rPr>
            <w:rStyle w:val="Hyperlink"/>
            <w:rFonts w:ascii="Times New Roman" w:hAnsi="Times New Roman" w:cs="Times New Roman"/>
            <w:noProof/>
          </w:rPr>
          <w:t>2.2.</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Lietuvos lizingo rinkos kitimo tendencijos 1998-2011 m.</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_Toc343517972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39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3" w:history="1">
        <w:r w:rsidR="003014A6" w:rsidRPr="003014A6">
          <w:rPr>
            <w:rStyle w:val="Hyperlink"/>
            <w:rFonts w:ascii="Times New Roman" w:hAnsi="Times New Roman" w:cs="Times New Roman"/>
            <w:noProof/>
          </w:rPr>
          <w:t>2.3.</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Lietuvos lizingo rinkos palyginimas su užsienio lizingo rinkomis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_Toc343517973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44</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left" w:pos="440"/>
          <w:tab w:val="right" w:leader="dot" w:pos="9911"/>
        </w:tabs>
        <w:spacing w:line="360" w:lineRule="auto"/>
        <w:rPr>
          <w:rFonts w:ascii="Times New Roman" w:eastAsiaTheme="minorEastAsia" w:hAnsi="Times New Roman" w:cs="Times New Roman"/>
          <w:noProof/>
          <w:color w:val="auto"/>
          <w:sz w:val="22"/>
          <w:szCs w:val="22"/>
        </w:rPr>
      </w:pPr>
      <w:hyperlink w:anchor="_Toc343517974" w:history="1">
        <w:r w:rsidR="003014A6" w:rsidRPr="003014A6">
          <w:rPr>
            <w:rStyle w:val="Hyperlink"/>
            <w:rFonts w:ascii="Times New Roman" w:hAnsi="Times New Roman" w:cs="Times New Roman"/>
            <w:noProof/>
          </w:rPr>
          <w:t>3.</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LIETUVOS EKONOMIKAI ĮVERTINIMAS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_Toc343517974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50</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5" w:history="1">
        <w:r w:rsidR="003014A6" w:rsidRPr="003014A6">
          <w:rPr>
            <w:rStyle w:val="Hyperlink"/>
            <w:rFonts w:ascii="Times New Roman" w:hAnsi="Times New Roman" w:cs="Times New Roman"/>
            <w:noProof/>
          </w:rPr>
          <w:t>3.1.</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Lietuvos bendrajam vidaus produktui įvertinimas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_Toc343517975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50</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6" w:history="1">
        <w:r w:rsidR="003014A6" w:rsidRPr="003014A6">
          <w:rPr>
            <w:rStyle w:val="Hyperlink"/>
            <w:rFonts w:ascii="Times New Roman" w:hAnsi="Times New Roman" w:cs="Times New Roman"/>
            <w:noProof/>
          </w:rPr>
          <w:t>3.2.</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tiesioginėms užsienio investicijoms įvertinimas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_Toc343517976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54</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7" w:history="1">
        <w:r w:rsidR="003014A6" w:rsidRPr="003014A6">
          <w:rPr>
            <w:rStyle w:val="Hyperlink"/>
            <w:rFonts w:ascii="Times New Roman" w:hAnsi="Times New Roman" w:cs="Times New Roman"/>
            <w:noProof/>
          </w:rPr>
          <w:t>3.3.</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nedarbo lygiui įvertinimas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_Toc343517977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56</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8" w:history="1">
        <w:r w:rsidR="003014A6" w:rsidRPr="003014A6">
          <w:rPr>
            <w:rStyle w:val="Hyperlink"/>
            <w:rFonts w:ascii="Times New Roman" w:hAnsi="Times New Roman" w:cs="Times New Roman"/>
            <w:noProof/>
          </w:rPr>
          <w:t>3.4.</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Lietuvos ekonomikai nustatymas, remiantis ekspertinio vertinimo metodu</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_Toc343517978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59</w:t>
        </w:r>
        <w:r w:rsidR="003014A6" w:rsidRPr="003014A6">
          <w:rPr>
            <w:rFonts w:ascii="Times New Roman" w:hAnsi="Times New Roman" w:cs="Times New Roman"/>
            <w:noProof/>
            <w:webHidden/>
          </w:rPr>
          <w:fldChar w:fldCharType="end"/>
        </w:r>
      </w:hyperlink>
    </w:p>
    <w:p w:rsidR="003014A6" w:rsidRPr="003014A6" w:rsidRDefault="00E07141" w:rsidP="003014A6">
      <w:pPr>
        <w:pStyle w:val="TOC2"/>
        <w:tabs>
          <w:tab w:val="left" w:pos="880"/>
          <w:tab w:val="right" w:leader="dot" w:pos="9911"/>
        </w:tabs>
        <w:spacing w:line="360" w:lineRule="auto"/>
        <w:rPr>
          <w:rFonts w:ascii="Times New Roman" w:eastAsiaTheme="minorEastAsia" w:hAnsi="Times New Roman" w:cs="Times New Roman"/>
          <w:noProof/>
          <w:color w:val="auto"/>
          <w:sz w:val="22"/>
          <w:szCs w:val="22"/>
        </w:rPr>
      </w:pPr>
      <w:hyperlink w:anchor="_Toc343517979" w:history="1">
        <w:r w:rsidR="003014A6" w:rsidRPr="003014A6">
          <w:rPr>
            <w:rStyle w:val="Hyperlink"/>
            <w:rFonts w:ascii="Times New Roman" w:hAnsi="Times New Roman" w:cs="Times New Roman"/>
            <w:noProof/>
          </w:rPr>
          <w:t>3.5.</w:t>
        </w:r>
        <w:r w:rsidR="003014A6" w:rsidRPr="003014A6">
          <w:rPr>
            <w:rFonts w:ascii="Times New Roman" w:eastAsiaTheme="minorEastAsia" w:hAnsi="Times New Roman" w:cs="Times New Roman"/>
            <w:noProof/>
            <w:color w:val="auto"/>
            <w:sz w:val="22"/>
            <w:szCs w:val="22"/>
          </w:rPr>
          <w:tab/>
        </w:r>
        <w:r w:rsidR="003014A6" w:rsidRPr="003014A6">
          <w:rPr>
            <w:rStyle w:val="Hyperlink"/>
            <w:rFonts w:ascii="Times New Roman" w:hAnsi="Times New Roman" w:cs="Times New Roman"/>
            <w:noProof/>
          </w:rPr>
          <w:t>Lizingo rinkos įtakos Lietuvos ekonomikai vertinimas</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_Toc343517979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64</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0" w:history="1">
        <w:r w:rsidR="003014A6" w:rsidRPr="003014A6">
          <w:rPr>
            <w:rStyle w:val="Hyperlink"/>
            <w:rFonts w:ascii="Times New Roman" w:hAnsi="Times New Roman" w:cs="Times New Roman"/>
            <w:noProof/>
          </w:rPr>
          <w:t>IŠVADOS IR SIŪLYMAI</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_Toc343517980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68</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1" w:history="1">
        <w:r w:rsidR="003014A6" w:rsidRPr="003014A6">
          <w:rPr>
            <w:rStyle w:val="Hyperlink"/>
            <w:rFonts w:ascii="Times New Roman" w:hAnsi="Times New Roman" w:cs="Times New Roman"/>
            <w:noProof/>
          </w:rPr>
          <w:t>LITERATŪRA</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_Toc343517981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71</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2" w:history="1">
        <w:r w:rsidR="003014A6" w:rsidRPr="003014A6">
          <w:rPr>
            <w:rStyle w:val="Hyperlink"/>
            <w:rFonts w:ascii="Times New Roman" w:hAnsi="Times New Roman" w:cs="Times New Roman"/>
            <w:noProof/>
          </w:rPr>
          <w:t>ANOTACIJA</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_Toc343517982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76</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3" w:history="1">
        <w:r w:rsidR="003014A6" w:rsidRPr="003014A6">
          <w:rPr>
            <w:rStyle w:val="Hyperlink"/>
            <w:rFonts w:ascii="Times New Roman" w:hAnsi="Times New Roman" w:cs="Times New Roman"/>
            <w:noProof/>
          </w:rPr>
          <w:t>ANOTATION</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_Toc343517983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77</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4" w:history="1">
        <w:r w:rsidR="003014A6" w:rsidRPr="003014A6">
          <w:rPr>
            <w:rStyle w:val="Hyperlink"/>
            <w:rFonts w:ascii="Times New Roman" w:hAnsi="Times New Roman" w:cs="Times New Roman"/>
            <w:noProof/>
          </w:rPr>
          <w:t>SANTRAUKA</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_Toc343517984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78</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5" w:history="1">
        <w:r w:rsidR="003014A6" w:rsidRPr="003014A6">
          <w:rPr>
            <w:rStyle w:val="Hyperlink"/>
            <w:rFonts w:ascii="Times New Roman" w:hAnsi="Times New Roman" w:cs="Times New Roman"/>
            <w:noProof/>
            <w:lang w:val="en-US"/>
          </w:rPr>
          <w:t>SUMMARY</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_Toc343517985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79</w:t>
        </w:r>
        <w:r w:rsidR="003014A6" w:rsidRPr="003014A6">
          <w:rPr>
            <w:rFonts w:ascii="Times New Roman" w:hAnsi="Times New Roman" w:cs="Times New Roman"/>
            <w:noProof/>
            <w:webHidden/>
          </w:rPr>
          <w:fldChar w:fldCharType="end"/>
        </w:r>
      </w:hyperlink>
    </w:p>
    <w:p w:rsidR="003014A6" w:rsidRPr="003014A6" w:rsidRDefault="00E07141" w:rsidP="003014A6">
      <w:pPr>
        <w:pStyle w:val="TOC1"/>
        <w:tabs>
          <w:tab w:val="right" w:leader="dot" w:pos="9911"/>
        </w:tabs>
        <w:spacing w:line="360" w:lineRule="auto"/>
        <w:rPr>
          <w:rFonts w:ascii="Times New Roman" w:eastAsiaTheme="minorEastAsia" w:hAnsi="Times New Roman" w:cs="Times New Roman"/>
          <w:noProof/>
          <w:color w:val="auto"/>
          <w:sz w:val="22"/>
          <w:szCs w:val="22"/>
        </w:rPr>
      </w:pPr>
      <w:hyperlink w:anchor="_Toc343517986" w:history="1">
        <w:r w:rsidR="003014A6" w:rsidRPr="003014A6">
          <w:rPr>
            <w:rStyle w:val="Hyperlink"/>
            <w:rFonts w:ascii="Times New Roman" w:hAnsi="Times New Roman" w:cs="Times New Roman"/>
            <w:noProof/>
          </w:rPr>
          <w:t>PRIEDAI</w:t>
        </w:r>
        <w:r w:rsidR="003014A6" w:rsidRPr="003014A6">
          <w:rPr>
            <w:rFonts w:ascii="Times New Roman" w:hAnsi="Times New Roman" w:cs="Times New Roman"/>
            <w:noProof/>
            <w:webHidden/>
          </w:rPr>
          <w:tab/>
        </w:r>
        <w:r w:rsidR="003014A6" w:rsidRPr="003014A6">
          <w:rPr>
            <w:rFonts w:ascii="Times New Roman" w:hAnsi="Times New Roman" w:cs="Times New Roman"/>
            <w:noProof/>
            <w:webHidden/>
          </w:rPr>
          <w:fldChar w:fldCharType="begin"/>
        </w:r>
        <w:r w:rsidR="003014A6" w:rsidRPr="003014A6">
          <w:rPr>
            <w:rFonts w:ascii="Times New Roman" w:hAnsi="Times New Roman" w:cs="Times New Roman"/>
            <w:noProof/>
            <w:webHidden/>
          </w:rPr>
          <w:instrText xml:space="preserve"> PAGEREF _Toc343517986 \h </w:instrText>
        </w:r>
        <w:r w:rsidR="003014A6" w:rsidRPr="003014A6">
          <w:rPr>
            <w:rFonts w:ascii="Times New Roman" w:hAnsi="Times New Roman" w:cs="Times New Roman"/>
            <w:noProof/>
            <w:webHidden/>
          </w:rPr>
        </w:r>
        <w:r w:rsidR="003014A6" w:rsidRPr="003014A6">
          <w:rPr>
            <w:rFonts w:ascii="Times New Roman" w:hAnsi="Times New Roman" w:cs="Times New Roman"/>
            <w:noProof/>
            <w:webHidden/>
          </w:rPr>
          <w:fldChar w:fldCharType="separate"/>
        </w:r>
        <w:r w:rsidR="000F1E7F">
          <w:rPr>
            <w:rFonts w:ascii="Times New Roman" w:hAnsi="Times New Roman" w:cs="Times New Roman"/>
            <w:noProof/>
            <w:webHidden/>
          </w:rPr>
          <w:t>80</w:t>
        </w:r>
        <w:r w:rsidR="003014A6" w:rsidRPr="003014A6">
          <w:rPr>
            <w:rFonts w:ascii="Times New Roman" w:hAnsi="Times New Roman" w:cs="Times New Roman"/>
            <w:noProof/>
            <w:webHidden/>
          </w:rPr>
          <w:fldChar w:fldCharType="end"/>
        </w:r>
      </w:hyperlink>
    </w:p>
    <w:p w:rsidR="00B737C2" w:rsidRPr="00B737C2" w:rsidRDefault="00B737C2" w:rsidP="003014A6">
      <w:pPr>
        <w:spacing w:after="200" w:line="360" w:lineRule="auto"/>
        <w:rPr>
          <w:rFonts w:ascii="Times New Roman" w:hAnsi="Times New Roman" w:cs="Times New Roman"/>
        </w:rPr>
      </w:pPr>
      <w:r w:rsidRPr="003014A6">
        <w:rPr>
          <w:rFonts w:ascii="Times New Roman" w:hAnsi="Times New Roman" w:cs="Times New Roman"/>
        </w:rPr>
        <w:fldChar w:fldCharType="end"/>
      </w:r>
    </w:p>
    <w:p w:rsidR="00A13434" w:rsidRDefault="00A13434" w:rsidP="00B737C2">
      <w:pPr>
        <w:jc w:val="center"/>
        <w:rPr>
          <w:rFonts w:ascii="Times New Roman" w:hAnsi="Times New Roman" w:cs="Times New Roman"/>
          <w:b/>
          <w:sz w:val="28"/>
          <w:szCs w:val="28"/>
        </w:rPr>
      </w:pPr>
    </w:p>
    <w:p w:rsidR="006D09D0" w:rsidRPr="00B737C2" w:rsidRDefault="006D09D0" w:rsidP="00B737C2">
      <w:pPr>
        <w:jc w:val="center"/>
        <w:rPr>
          <w:rFonts w:ascii="Times New Roman" w:hAnsi="Times New Roman" w:cs="Times New Roman"/>
          <w:b/>
          <w:sz w:val="28"/>
          <w:szCs w:val="28"/>
        </w:rPr>
      </w:pPr>
      <w:r w:rsidRPr="00B737C2">
        <w:rPr>
          <w:rFonts w:ascii="Times New Roman" w:hAnsi="Times New Roman" w:cs="Times New Roman"/>
          <w:b/>
          <w:sz w:val="28"/>
          <w:szCs w:val="28"/>
        </w:rPr>
        <w:t>LENTELĖS</w:t>
      </w:r>
    </w:p>
    <w:p w:rsidR="00016B66" w:rsidRDefault="00016B66" w:rsidP="00016B66">
      <w:pPr>
        <w:rPr>
          <w:rFonts w:ascii="Times New Roman" w:hAnsi="Times New Roman" w:cs="Times New Roman"/>
        </w:rPr>
      </w:pPr>
    </w:p>
    <w:p w:rsidR="002B0781" w:rsidRPr="002B0781" w:rsidRDefault="00BA2859"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r w:rsidRPr="00BA2859">
        <w:rPr>
          <w:rFonts w:ascii="Times New Roman" w:hAnsi="Times New Roman" w:cs="Times New Roman"/>
        </w:rPr>
        <w:fldChar w:fldCharType="begin"/>
      </w:r>
      <w:r w:rsidRPr="00BA2859">
        <w:rPr>
          <w:rFonts w:ascii="Times New Roman" w:hAnsi="Times New Roman" w:cs="Times New Roman"/>
        </w:rPr>
        <w:instrText xml:space="preserve"> TOC \h \z \t "Lentelės" \c </w:instrText>
      </w:r>
      <w:r w:rsidRPr="00BA2859">
        <w:rPr>
          <w:rFonts w:ascii="Times New Roman" w:hAnsi="Times New Roman" w:cs="Times New Roman"/>
        </w:rPr>
        <w:fldChar w:fldCharType="separate"/>
      </w:r>
      <w:hyperlink w:anchor="_Toc343459638" w:history="1">
        <w:r w:rsidR="002B0781" w:rsidRPr="002B0781">
          <w:rPr>
            <w:rStyle w:val="Hyperlink"/>
            <w:rFonts w:ascii="Times New Roman" w:hAnsi="Times New Roman" w:cs="Times New Roman"/>
            <w:noProof/>
          </w:rPr>
          <w:t>1 lentelė. Finansinio ir veiklos lizingo palyginimas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_Toc343459638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13</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39" w:history="1">
        <w:r w:rsidR="002B0781" w:rsidRPr="002B0781">
          <w:rPr>
            <w:rStyle w:val="Hyperlink"/>
            <w:rFonts w:ascii="Times New Roman" w:hAnsi="Times New Roman" w:cs="Times New Roman"/>
            <w:noProof/>
          </w:rPr>
          <w:t>2 lentelė. Empiriniai tyrimai atlikti pereinamosios ekonomikos šalyse, siekiant ištirti finansinio sektoriaus įtaką ekonomikos augimui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_Toc343459639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21</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0" w:history="1">
        <w:r w:rsidR="002B0781" w:rsidRPr="002B0781">
          <w:rPr>
            <w:rStyle w:val="Hyperlink"/>
            <w:rFonts w:ascii="Times New Roman" w:hAnsi="Times New Roman" w:cs="Times New Roman"/>
            <w:noProof/>
          </w:rPr>
          <w:t>3 lentelė. 10 Didžiausių lizingo rinkų pasaulyje pagal naujai pasirašomų sutarčių vertę 2010 m.</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_Toc343459640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44</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1" w:history="1">
        <w:r w:rsidR="002B0781" w:rsidRPr="002B0781">
          <w:rPr>
            <w:rStyle w:val="Hyperlink"/>
            <w:rFonts w:ascii="Times New Roman" w:hAnsi="Times New Roman" w:cs="Times New Roman"/>
            <w:noProof/>
          </w:rPr>
          <w:t>4 lentelė. Koreliacinės regresinės analizės tarp lizingo rinkos ir BVP atlikimui reikalingi kintamieji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_Toc343459641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51</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2" w:history="1">
        <w:r w:rsidR="002B0781" w:rsidRPr="002B0781">
          <w:rPr>
            <w:rStyle w:val="Hyperlink"/>
            <w:rFonts w:ascii="Times New Roman" w:hAnsi="Times New Roman" w:cs="Times New Roman"/>
            <w:noProof/>
          </w:rPr>
          <w:t>5 lentelė. Daugiamatės regresijos koeficientų lentelė, priklausomas kintamasis - BVP, nepriklausomi – lizingo portfelis, tiesioginės užsienio investicijos, nedarbo lygis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_Toc343459642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52</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3" w:history="1">
        <w:r w:rsidR="002B0781" w:rsidRPr="002B0781">
          <w:rPr>
            <w:rStyle w:val="Hyperlink"/>
            <w:rFonts w:ascii="Times New Roman" w:hAnsi="Times New Roman" w:cs="Times New Roman"/>
            <w:noProof/>
          </w:rPr>
          <w:t>6 lentelė. Daugiamatės regresijos koeficientų lentelė, priklausomas kintamasis - BVP, nepriklausomi – lizingo portfelis, tiesioginės užsienio investicijos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_Toc343459643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53</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4" w:history="1">
        <w:r w:rsidR="002B0781" w:rsidRPr="002B0781">
          <w:rPr>
            <w:rStyle w:val="Hyperlink"/>
            <w:rFonts w:ascii="Times New Roman" w:hAnsi="Times New Roman" w:cs="Times New Roman"/>
            <w:noProof/>
            <w:lang w:eastAsia="en-US"/>
          </w:rPr>
          <w:t>7 lentelė. Daugiamatės regresinės analizės kintamieji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_Toc343459644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53</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5" w:history="1">
        <w:r w:rsidR="002B0781" w:rsidRPr="002B0781">
          <w:rPr>
            <w:rStyle w:val="Hyperlink"/>
            <w:rFonts w:ascii="Times New Roman" w:hAnsi="Times New Roman" w:cs="Times New Roman"/>
            <w:noProof/>
          </w:rPr>
          <w:t>8 lentelė. Koreliacinės regresinės analizės tarp lizingo rinkos ir tiesioginių užsienio investicijų atlikimui reikalingi kintamieji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_Toc343459645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55</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6" w:history="1">
        <w:r w:rsidR="002B0781" w:rsidRPr="002B0781">
          <w:rPr>
            <w:rStyle w:val="Hyperlink"/>
            <w:rFonts w:ascii="Times New Roman" w:hAnsi="Times New Roman" w:cs="Times New Roman"/>
            <w:noProof/>
          </w:rPr>
          <w:t>9 lentelė. Koreliacinės regresinės analizės tarp lizingo rinkos ir nedarbo lygio atlikimui reikalingi kintamieji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_Toc343459646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58</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7" w:history="1">
        <w:r w:rsidR="002B0781" w:rsidRPr="002B0781">
          <w:rPr>
            <w:rStyle w:val="Hyperlink"/>
            <w:rFonts w:ascii="Times New Roman" w:hAnsi="Times New Roman" w:cs="Times New Roman"/>
            <w:noProof/>
            <w:lang w:eastAsia="en-US"/>
          </w:rPr>
          <w:t>10 lentelė. Ekspertų vertinimo duomenys ir rezultatai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_Toc343459647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60</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48" w:history="1">
        <w:r w:rsidR="002B0781" w:rsidRPr="002B0781">
          <w:rPr>
            <w:rStyle w:val="Hyperlink"/>
            <w:rFonts w:ascii="Times New Roman" w:hAnsi="Times New Roman" w:cs="Times New Roman"/>
            <w:noProof/>
          </w:rPr>
          <w:t>11 lentelė. Grupiniai alternatyvų įverčiai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_Toc343459648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62</w:t>
        </w:r>
        <w:r w:rsidR="002B0781" w:rsidRPr="002B0781">
          <w:rPr>
            <w:rFonts w:ascii="Times New Roman" w:hAnsi="Times New Roman" w:cs="Times New Roman"/>
            <w:noProof/>
            <w:webHidden/>
          </w:rPr>
          <w:fldChar w:fldCharType="end"/>
        </w:r>
      </w:hyperlink>
    </w:p>
    <w:p w:rsidR="002B0781" w:rsidRDefault="00E07141" w:rsidP="002B0781">
      <w:pPr>
        <w:pStyle w:val="TableofFigures"/>
        <w:tabs>
          <w:tab w:val="right" w:leader="dot" w:pos="9911"/>
        </w:tabs>
        <w:spacing w:line="360" w:lineRule="auto"/>
        <w:rPr>
          <w:rFonts w:asciiTheme="minorHAnsi" w:eastAsiaTheme="minorEastAsia" w:hAnsiTheme="minorHAnsi" w:cstheme="minorBidi"/>
          <w:noProof/>
          <w:color w:val="auto"/>
          <w:sz w:val="22"/>
          <w:szCs w:val="22"/>
        </w:rPr>
      </w:pPr>
      <w:hyperlink w:anchor="_Toc343459649" w:history="1">
        <w:r w:rsidR="002B0781" w:rsidRPr="002B0781">
          <w:rPr>
            <w:rStyle w:val="Hyperlink"/>
            <w:rFonts w:ascii="Times New Roman" w:hAnsi="Times New Roman" w:cs="Times New Roman"/>
            <w:noProof/>
          </w:rPr>
          <w:t>12 lentelė. Apskaičiuota elementų suma, kompetencijų įverčiai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_Toc343459649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62</w:t>
        </w:r>
        <w:r w:rsidR="002B0781" w:rsidRPr="002B0781">
          <w:rPr>
            <w:rFonts w:ascii="Times New Roman" w:hAnsi="Times New Roman" w:cs="Times New Roman"/>
            <w:noProof/>
            <w:webHidden/>
          </w:rPr>
          <w:fldChar w:fldCharType="end"/>
        </w:r>
      </w:hyperlink>
    </w:p>
    <w:p w:rsidR="00016B66" w:rsidRPr="00016B66" w:rsidRDefault="00BA2859" w:rsidP="00BA2859">
      <w:pPr>
        <w:spacing w:line="360" w:lineRule="auto"/>
        <w:rPr>
          <w:rFonts w:ascii="Times New Roman" w:hAnsi="Times New Roman" w:cs="Times New Roman"/>
        </w:rPr>
      </w:pPr>
      <w:r w:rsidRPr="00BA2859">
        <w:rPr>
          <w:rFonts w:ascii="Times New Roman" w:hAnsi="Times New Roman" w:cs="Times New Roman"/>
        </w:rPr>
        <w:fldChar w:fldCharType="end"/>
      </w:r>
    </w:p>
    <w:p w:rsidR="006D09D0" w:rsidRDefault="006D09D0">
      <w:pPr>
        <w:spacing w:after="200" w:line="276" w:lineRule="auto"/>
        <w:rPr>
          <w:rFonts w:ascii="Times New Roman" w:eastAsiaTheme="majorEastAsia" w:hAnsi="Times New Roman" w:cs="Times New Roman"/>
          <w:b/>
          <w:bCs/>
          <w:color w:val="auto"/>
          <w:sz w:val="28"/>
          <w:szCs w:val="28"/>
        </w:rPr>
      </w:pPr>
      <w:r>
        <w:br w:type="page"/>
      </w:r>
    </w:p>
    <w:p w:rsidR="00016B66" w:rsidRDefault="00016B66" w:rsidP="00016B66">
      <w:pPr>
        <w:pStyle w:val="Heading1"/>
        <w:numPr>
          <w:ilvl w:val="0"/>
          <w:numId w:val="0"/>
        </w:numPr>
        <w:spacing w:before="0"/>
      </w:pPr>
    </w:p>
    <w:p w:rsidR="006D09D0" w:rsidRPr="00B737C2" w:rsidRDefault="006D09D0" w:rsidP="00B737C2">
      <w:pPr>
        <w:jc w:val="center"/>
        <w:rPr>
          <w:rFonts w:ascii="Times New Roman" w:hAnsi="Times New Roman" w:cs="Times New Roman"/>
          <w:b/>
          <w:sz w:val="28"/>
          <w:szCs w:val="28"/>
        </w:rPr>
      </w:pPr>
      <w:r w:rsidRPr="00B737C2">
        <w:rPr>
          <w:rFonts w:ascii="Times New Roman" w:hAnsi="Times New Roman" w:cs="Times New Roman"/>
          <w:b/>
          <w:sz w:val="28"/>
          <w:szCs w:val="28"/>
        </w:rPr>
        <w:t>PAVEIKSLAI</w:t>
      </w:r>
    </w:p>
    <w:p w:rsidR="002B0781" w:rsidRPr="002B0781" w:rsidRDefault="00BA2859"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r>
        <w:fldChar w:fldCharType="begin"/>
      </w:r>
      <w:r>
        <w:instrText xml:space="preserve"> TOC \f G \h \z \t "Paveikslai" \c </w:instrText>
      </w:r>
      <w:r>
        <w:fldChar w:fldCharType="separate"/>
      </w:r>
      <w:hyperlink w:anchor="_Toc343459669" w:history="1"/>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0" w:history="1">
        <w:r w:rsidR="002B0781" w:rsidRPr="002B0781">
          <w:rPr>
            <w:rStyle w:val="Hyperlink"/>
            <w:rFonts w:ascii="Times New Roman" w:hAnsi="Times New Roman" w:cs="Times New Roman"/>
            <w:noProof/>
          </w:rPr>
          <w:t>1 pav. Lizingo tipai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_Toc343459670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11</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2" w:history="1">
        <w:r w:rsidR="002B0781" w:rsidRPr="002B0781">
          <w:rPr>
            <w:rStyle w:val="Hyperlink"/>
            <w:rFonts w:ascii="Times New Roman" w:hAnsi="Times New Roman" w:cs="Times New Roman"/>
            <w:noProof/>
          </w:rPr>
          <w:t>2 pav. Standartinė lizingo suteikimo schema</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_Toc343459672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12</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3" w:history="1">
        <w:r w:rsidR="002B0781" w:rsidRPr="002B0781">
          <w:rPr>
            <w:rStyle w:val="Hyperlink"/>
            <w:rFonts w:ascii="Times New Roman" w:hAnsi="Times New Roman" w:cs="Times New Roman"/>
            <w:noProof/>
          </w:rPr>
          <w:t>3 pav. Lizingo rinkos poveikis ekonomikos augimui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_Toc343459673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23</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4" w:history="1">
        <w:r w:rsidR="002B0781" w:rsidRPr="002B0781">
          <w:rPr>
            <w:rStyle w:val="Hyperlink"/>
            <w:rFonts w:ascii="Times New Roman" w:hAnsi="Times New Roman" w:cs="Times New Roman"/>
            <w:noProof/>
          </w:rPr>
          <w:t>4 pav. Ekspertinio tyrimo stadijos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_Toc343459674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33</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5" w:history="1">
        <w:r w:rsidR="002B0781" w:rsidRPr="002B0781">
          <w:rPr>
            <w:rStyle w:val="Hyperlink"/>
            <w:rFonts w:ascii="Times New Roman" w:hAnsi="Times New Roman" w:cs="Times New Roman"/>
            <w:noProof/>
          </w:rPr>
          <w:t>5 pav. Ekspertų skaičiaus įtaka vertinimo patikimumui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_Toc343459675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35</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6" w:history="1">
        <w:r w:rsidR="002B0781" w:rsidRPr="002B0781">
          <w:rPr>
            <w:rStyle w:val="Hyperlink"/>
            <w:rFonts w:ascii="Times New Roman" w:hAnsi="Times New Roman" w:cs="Times New Roman"/>
            <w:noProof/>
          </w:rPr>
          <w:t>6 pav. Lizingo rinkos įtakos šalies ekonomikai įvertinimo modelis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_Toc343459676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38</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7" w:history="1">
        <w:r w:rsidR="002B0781" w:rsidRPr="002B0781">
          <w:rPr>
            <w:rStyle w:val="Hyperlink"/>
            <w:rFonts w:ascii="Times New Roman" w:hAnsi="Times New Roman" w:cs="Times New Roman"/>
            <w:noProof/>
          </w:rPr>
          <w:t>7 pav. Lietuvos lizingo portfelis 1998-2011 metais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_Toc343459677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39</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8" w:history="1">
        <w:r w:rsidR="002B0781" w:rsidRPr="002B0781">
          <w:rPr>
            <w:rStyle w:val="Hyperlink"/>
            <w:rFonts w:ascii="Times New Roman" w:hAnsi="Times New Roman" w:cs="Times New Roman"/>
            <w:noProof/>
          </w:rPr>
          <w:t>8 pav. Naujai pasirašytų lizingo sutarčių vertė Lietuvoje 2000 – 2011 metais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_Toc343459678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40</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79" w:history="1">
        <w:r w:rsidR="002B0781" w:rsidRPr="002B0781">
          <w:rPr>
            <w:rStyle w:val="Hyperlink"/>
            <w:rFonts w:ascii="Times New Roman" w:hAnsi="Times New Roman" w:cs="Times New Roman"/>
            <w:noProof/>
          </w:rPr>
          <w:t>9 pav. Lietuvos lizingo portfelio struktūra pagal lizingo tipą 1998 – 2011 metais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_Toc343459679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41</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0" w:history="1">
        <w:r w:rsidR="002B0781" w:rsidRPr="002B0781">
          <w:rPr>
            <w:rStyle w:val="Hyperlink"/>
            <w:rFonts w:ascii="Times New Roman" w:hAnsi="Times New Roman" w:cs="Times New Roman"/>
            <w:noProof/>
          </w:rPr>
          <w:t>10 pav. Lietuvos lizingo portfelio struktūra pagal turto rūšį 1998 – 2011 metais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_Toc343459680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42</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1" w:history="1">
        <w:r w:rsidR="002B0781" w:rsidRPr="002B0781">
          <w:rPr>
            <w:rStyle w:val="Hyperlink"/>
            <w:rFonts w:ascii="Times New Roman" w:hAnsi="Times New Roman" w:cs="Times New Roman"/>
            <w:noProof/>
          </w:rPr>
          <w:t>11 pav. Lietuvos lizingo rinkos pasiskirstymas pagal lizingo įmonių, užimamą rinkos dalį 2012 m. I ketv.</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_Toc343459681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43</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3" w:history="1">
        <w:r w:rsidR="002B0781" w:rsidRPr="002B0781">
          <w:rPr>
            <w:rStyle w:val="Hyperlink"/>
            <w:rFonts w:ascii="Times New Roman" w:hAnsi="Times New Roman" w:cs="Times New Roman"/>
            <w:noProof/>
          </w:rPr>
          <w:t>12 pav. Naujai sudaromų lizingo sutarčių vertė pagal regionus 1991 – 2010 metais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_Toc343459683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45</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4" w:history="1">
        <w:r w:rsidR="002B0781" w:rsidRPr="002B0781">
          <w:rPr>
            <w:rStyle w:val="Hyperlink"/>
            <w:rFonts w:ascii="Times New Roman" w:hAnsi="Times New Roman" w:cs="Times New Roman"/>
            <w:noProof/>
          </w:rPr>
          <w:t>13 pav. Baltijos šalių lizingo portfelis 2006-2011 metais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_Toc343459684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46</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5" w:history="1">
        <w:r w:rsidR="002B0781" w:rsidRPr="002B0781">
          <w:rPr>
            <w:rStyle w:val="Hyperlink"/>
            <w:rFonts w:ascii="Times New Roman" w:hAnsi="Times New Roman" w:cs="Times New Roman"/>
            <w:noProof/>
          </w:rPr>
          <w:t>14 pav. Naujai pasirašytų lizingo sutarčių vertė Baltijos šalyse</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_Toc343459685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47</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7" w:history="1">
        <w:r w:rsidR="002B0781" w:rsidRPr="002B0781">
          <w:rPr>
            <w:rStyle w:val="Hyperlink"/>
            <w:rFonts w:ascii="Times New Roman" w:hAnsi="Times New Roman" w:cs="Times New Roman"/>
            <w:noProof/>
          </w:rPr>
          <w:t>15 pav. Lizingo rinkos ir bendrojo vidaus produkto santykis pasaulyje 2010 m.</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_Toc343459687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48</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88" w:history="1">
        <w:r w:rsidR="002B0781" w:rsidRPr="002B0781">
          <w:rPr>
            <w:rStyle w:val="Hyperlink"/>
            <w:rFonts w:ascii="Times New Roman" w:hAnsi="Times New Roman" w:cs="Times New Roman"/>
            <w:noProof/>
          </w:rPr>
          <w:t>16 pav. Lietuvos lizingo portfelio, bendrojo vidaus produkto, lizingo rinkos paplitimo ekonomikoje rodiklio pokytis 1998-2011 m.</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_Toc343459688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50</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90" w:history="1">
        <w:r w:rsidR="002B0781" w:rsidRPr="002B0781">
          <w:rPr>
            <w:rStyle w:val="Hyperlink"/>
            <w:rFonts w:ascii="Times New Roman" w:hAnsi="Times New Roman" w:cs="Times New Roman"/>
            <w:noProof/>
          </w:rPr>
          <w:t>17 pav. Lizingo portfelio ir BVP priklausomybė</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_Toc343459690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52</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91" w:history="1">
        <w:r w:rsidR="002B0781" w:rsidRPr="002B0781">
          <w:rPr>
            <w:rStyle w:val="Hyperlink"/>
            <w:rFonts w:ascii="Times New Roman" w:hAnsi="Times New Roman" w:cs="Times New Roman"/>
            <w:noProof/>
          </w:rPr>
          <w:t>18 pav. Lietuvos lizingo portfelio, tiesioginių užsienio investicijų pokytis 1998-2011 m.</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_Toc343459691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55</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92" w:history="1">
        <w:r w:rsidR="002B0781" w:rsidRPr="002B0781">
          <w:rPr>
            <w:rStyle w:val="Hyperlink"/>
            <w:rFonts w:ascii="Times New Roman" w:hAnsi="Times New Roman" w:cs="Times New Roman"/>
            <w:noProof/>
          </w:rPr>
          <w:t>Šaltinis: sudaryta autoriaus</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_Toc343459692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56</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93" w:history="1">
        <w:r w:rsidR="002B0781" w:rsidRPr="002B0781">
          <w:rPr>
            <w:rStyle w:val="Hyperlink"/>
            <w:rFonts w:ascii="Times New Roman" w:hAnsi="Times New Roman" w:cs="Times New Roman"/>
            <w:noProof/>
          </w:rPr>
          <w:t>19 pav. Lizingo portfelio ir tiesioginių užsienio investicijų priklausomybė</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_Toc343459693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56</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94" w:history="1">
        <w:r w:rsidR="002B0781" w:rsidRPr="002B0781">
          <w:rPr>
            <w:rStyle w:val="Hyperlink"/>
            <w:rFonts w:ascii="Times New Roman" w:hAnsi="Times New Roman" w:cs="Times New Roman"/>
            <w:noProof/>
          </w:rPr>
          <w:t>20 pav. Lietuvos lizingo portfelio, nedarbo lygio pokytis 1998-2011 m.</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_Toc343459694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57</w:t>
        </w:r>
        <w:r w:rsidR="002B0781" w:rsidRPr="002B0781">
          <w:rPr>
            <w:rFonts w:ascii="Times New Roman" w:hAnsi="Times New Roman" w:cs="Times New Roman"/>
            <w:noProof/>
            <w:webHidden/>
          </w:rPr>
          <w:fldChar w:fldCharType="end"/>
        </w:r>
      </w:hyperlink>
    </w:p>
    <w:p w:rsidR="002B0781" w:rsidRDefault="00E07141" w:rsidP="002B0781">
      <w:pPr>
        <w:pStyle w:val="TableofFigures"/>
        <w:tabs>
          <w:tab w:val="right" w:leader="dot" w:pos="9911"/>
        </w:tabs>
        <w:spacing w:line="360" w:lineRule="auto"/>
        <w:rPr>
          <w:rFonts w:asciiTheme="minorHAnsi" w:eastAsiaTheme="minorEastAsia" w:hAnsiTheme="minorHAnsi" w:cstheme="minorBidi"/>
          <w:noProof/>
          <w:color w:val="auto"/>
          <w:sz w:val="22"/>
          <w:szCs w:val="22"/>
        </w:rPr>
      </w:pPr>
      <w:hyperlink w:anchor="_Toc343459696" w:history="1">
        <w:r w:rsidR="002B0781" w:rsidRPr="002B0781">
          <w:rPr>
            <w:rStyle w:val="Hyperlink"/>
            <w:rFonts w:ascii="Times New Roman" w:hAnsi="Times New Roman" w:cs="Times New Roman"/>
            <w:noProof/>
          </w:rPr>
          <w:t>21 pav. Lizingo portfelio ir nedarbo lygio priklausomybė</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_Toc343459696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58</w:t>
        </w:r>
        <w:r w:rsidR="002B0781" w:rsidRPr="002B0781">
          <w:rPr>
            <w:rFonts w:ascii="Times New Roman" w:hAnsi="Times New Roman" w:cs="Times New Roman"/>
            <w:noProof/>
            <w:webHidden/>
          </w:rPr>
          <w:fldChar w:fldCharType="end"/>
        </w:r>
      </w:hyperlink>
    </w:p>
    <w:p w:rsidR="002B0781" w:rsidRPr="002B0781" w:rsidRDefault="00E07141" w:rsidP="002B0781">
      <w:pPr>
        <w:pStyle w:val="TableofFigures"/>
        <w:tabs>
          <w:tab w:val="right" w:leader="dot" w:pos="9911"/>
        </w:tabs>
        <w:spacing w:line="360" w:lineRule="auto"/>
        <w:rPr>
          <w:rFonts w:ascii="Times New Roman" w:eastAsiaTheme="minorEastAsia" w:hAnsi="Times New Roman" w:cs="Times New Roman"/>
          <w:noProof/>
          <w:color w:val="auto"/>
          <w:sz w:val="22"/>
          <w:szCs w:val="22"/>
        </w:rPr>
      </w:pPr>
      <w:hyperlink w:anchor="_Toc343459697" w:history="1">
        <w:r w:rsidR="002B0781" w:rsidRPr="002B0781">
          <w:rPr>
            <w:rStyle w:val="Hyperlink"/>
            <w:rFonts w:ascii="Times New Roman" w:hAnsi="Times New Roman" w:cs="Times New Roman"/>
            <w:noProof/>
          </w:rPr>
          <w:t>22 pav. Klausimas „Kokią įtaką, Jūsų nuomone, lizingo rinka daro Lietuvos ekonomikai</w:t>
        </w:r>
        <w:r w:rsidR="002B0781" w:rsidRPr="002B0781">
          <w:rPr>
            <w:rFonts w:ascii="Times New Roman" w:hAnsi="Times New Roman" w:cs="Times New Roman"/>
            <w:noProof/>
            <w:webHidden/>
          </w:rPr>
          <w:tab/>
        </w:r>
        <w:r w:rsidR="002B0781" w:rsidRPr="002B0781">
          <w:rPr>
            <w:rFonts w:ascii="Times New Roman" w:hAnsi="Times New Roman" w:cs="Times New Roman"/>
            <w:noProof/>
            <w:webHidden/>
          </w:rPr>
          <w:fldChar w:fldCharType="begin"/>
        </w:r>
        <w:r w:rsidR="002B0781" w:rsidRPr="002B0781">
          <w:rPr>
            <w:rFonts w:ascii="Times New Roman" w:hAnsi="Times New Roman" w:cs="Times New Roman"/>
            <w:noProof/>
            <w:webHidden/>
          </w:rPr>
          <w:instrText xml:space="preserve"> PAGEREF _Toc343459697 \h </w:instrText>
        </w:r>
        <w:r w:rsidR="002B0781" w:rsidRPr="002B0781">
          <w:rPr>
            <w:rFonts w:ascii="Times New Roman" w:hAnsi="Times New Roman" w:cs="Times New Roman"/>
            <w:noProof/>
            <w:webHidden/>
          </w:rPr>
        </w:r>
        <w:r w:rsidR="002B0781" w:rsidRPr="002B0781">
          <w:rPr>
            <w:rFonts w:ascii="Times New Roman" w:hAnsi="Times New Roman" w:cs="Times New Roman"/>
            <w:noProof/>
            <w:webHidden/>
          </w:rPr>
          <w:fldChar w:fldCharType="separate"/>
        </w:r>
        <w:r w:rsidR="000F1E7F">
          <w:rPr>
            <w:rFonts w:ascii="Times New Roman" w:hAnsi="Times New Roman" w:cs="Times New Roman"/>
            <w:noProof/>
            <w:webHidden/>
          </w:rPr>
          <w:t>60</w:t>
        </w:r>
        <w:r w:rsidR="002B0781" w:rsidRPr="002B0781">
          <w:rPr>
            <w:rFonts w:ascii="Times New Roman" w:hAnsi="Times New Roman" w:cs="Times New Roman"/>
            <w:noProof/>
            <w:webHidden/>
          </w:rPr>
          <w:fldChar w:fldCharType="end"/>
        </w:r>
      </w:hyperlink>
    </w:p>
    <w:p w:rsidR="006D09D0" w:rsidRDefault="00BA2859" w:rsidP="002D7694">
      <w:pPr>
        <w:spacing w:after="200" w:line="360" w:lineRule="auto"/>
        <w:rPr>
          <w:rFonts w:ascii="Times New Roman" w:eastAsiaTheme="majorEastAsia" w:hAnsi="Times New Roman" w:cs="Times New Roman"/>
          <w:b/>
          <w:bCs/>
          <w:color w:val="auto"/>
          <w:sz w:val="28"/>
          <w:szCs w:val="28"/>
        </w:rPr>
      </w:pPr>
      <w:r>
        <w:fldChar w:fldCharType="end"/>
      </w:r>
      <w:r w:rsidR="006D09D0">
        <w:br w:type="page"/>
      </w:r>
    </w:p>
    <w:p w:rsidR="00162F26" w:rsidRPr="00162F26" w:rsidRDefault="00162F26" w:rsidP="00162F26">
      <w:pPr>
        <w:pStyle w:val="Heading1"/>
        <w:numPr>
          <w:ilvl w:val="0"/>
          <w:numId w:val="0"/>
        </w:numPr>
        <w:spacing w:before="0"/>
        <w:rPr>
          <w:sz w:val="24"/>
          <w:szCs w:val="24"/>
        </w:rPr>
      </w:pPr>
    </w:p>
    <w:p w:rsidR="006D09D0" w:rsidRDefault="006D09D0" w:rsidP="00162F26">
      <w:pPr>
        <w:pStyle w:val="Heading1"/>
        <w:numPr>
          <w:ilvl w:val="0"/>
          <w:numId w:val="0"/>
        </w:numPr>
        <w:spacing w:before="0"/>
      </w:pPr>
      <w:bookmarkStart w:id="1" w:name="_Toc343517963"/>
      <w:r>
        <w:t>ĮVADAS</w:t>
      </w:r>
      <w:bookmarkEnd w:id="1"/>
    </w:p>
    <w:p w:rsidR="00162F26" w:rsidRPr="00162F26" w:rsidRDefault="00162F26" w:rsidP="00162F26">
      <w:pPr>
        <w:rPr>
          <w:rFonts w:ascii="Times New Roman" w:hAnsi="Times New Roman" w:cs="Times New Roman"/>
        </w:rPr>
      </w:pPr>
    </w:p>
    <w:p w:rsidR="00162F26" w:rsidRDefault="00162F26" w:rsidP="00AC04FB">
      <w:pPr>
        <w:spacing w:line="360" w:lineRule="auto"/>
        <w:ind w:firstLine="567"/>
        <w:jc w:val="both"/>
        <w:rPr>
          <w:rFonts w:ascii="Times New Roman" w:hAnsi="Times New Roman" w:cs="Times New Roman"/>
        </w:rPr>
      </w:pPr>
      <w:r w:rsidRPr="00AE05A3">
        <w:rPr>
          <w:rFonts w:ascii="Times New Roman" w:hAnsi="Times New Roman" w:cs="Times New Roman"/>
          <w:b/>
        </w:rPr>
        <w:t>Tyrimo aktualumas</w:t>
      </w:r>
      <w:r>
        <w:rPr>
          <w:rFonts w:ascii="Times New Roman" w:hAnsi="Times New Roman" w:cs="Times New Roman"/>
          <w:b/>
        </w:rPr>
        <w:t xml:space="preserve">. </w:t>
      </w:r>
      <w:r w:rsidR="005D0702">
        <w:rPr>
          <w:rFonts w:ascii="Times New Roman" w:hAnsi="Times New Roman" w:cs="Times New Roman"/>
        </w:rPr>
        <w:t>Pasaulinė technologijų plėtra, individų noras turėti vie</w:t>
      </w:r>
      <w:r w:rsidR="00270EFF">
        <w:rPr>
          <w:rFonts w:ascii="Times New Roman" w:hAnsi="Times New Roman" w:cs="Times New Roman"/>
        </w:rPr>
        <w:t xml:space="preserve">ną ar kitą daiktą čia ir dabar, </w:t>
      </w:r>
      <w:r w:rsidR="005D0702">
        <w:rPr>
          <w:rFonts w:ascii="Times New Roman" w:hAnsi="Times New Roman" w:cs="Times New Roman"/>
        </w:rPr>
        <w:t xml:space="preserve">finansinių įstaigų </w:t>
      </w:r>
      <w:r w:rsidR="006110F7">
        <w:rPr>
          <w:rFonts w:ascii="Times New Roman" w:hAnsi="Times New Roman" w:cs="Times New Roman"/>
        </w:rPr>
        <w:t>pageidavimas</w:t>
      </w:r>
      <w:r w:rsidR="005D0702">
        <w:rPr>
          <w:rFonts w:ascii="Times New Roman" w:hAnsi="Times New Roman" w:cs="Times New Roman"/>
        </w:rPr>
        <w:t xml:space="preserve"> patenkinti klientų poreikius paskatino lizingo paslaugos atsiradimą pasaulyje. </w:t>
      </w:r>
      <w:r w:rsidR="005264B2">
        <w:rPr>
          <w:rFonts w:ascii="Times New Roman" w:hAnsi="Times New Roman" w:cs="Times New Roman"/>
        </w:rPr>
        <w:t xml:space="preserve">Ši paslauga iš karto po atsiradimo vienoje ar kitoje šalyje užima svarbią poziciją naujų įrengimų ir technologijų, taip pat transporto priemonių </w:t>
      </w:r>
      <w:r w:rsidR="000D35EC">
        <w:rPr>
          <w:rFonts w:ascii="Times New Roman" w:hAnsi="Times New Roman" w:cs="Times New Roman"/>
        </w:rPr>
        <w:t xml:space="preserve">finansavimo srityje. Tai lėmė, kad šiandien lizingo paslauga </w:t>
      </w:r>
      <w:r w:rsidR="00475E56">
        <w:rPr>
          <w:rFonts w:ascii="Times New Roman" w:hAnsi="Times New Roman" w:cs="Times New Roman"/>
        </w:rPr>
        <w:t>yra plačiai paplitusi tiek E</w:t>
      </w:r>
      <w:r w:rsidR="000D35EC">
        <w:rPr>
          <w:rFonts w:ascii="Times New Roman" w:hAnsi="Times New Roman" w:cs="Times New Roman"/>
        </w:rPr>
        <w:t xml:space="preserve">uropoje, tiek visame pasaulyje ir dažnai įvardijama kaip antra svarbiausia finansavimo sritis po įprastų </w:t>
      </w:r>
      <w:r w:rsidR="0019790B">
        <w:rPr>
          <w:rFonts w:ascii="Times New Roman" w:hAnsi="Times New Roman" w:cs="Times New Roman"/>
        </w:rPr>
        <w:t>banko</w:t>
      </w:r>
      <w:r w:rsidR="000D35EC">
        <w:rPr>
          <w:rFonts w:ascii="Times New Roman" w:hAnsi="Times New Roman" w:cs="Times New Roman"/>
        </w:rPr>
        <w:t xml:space="preserve"> kreditų. </w:t>
      </w:r>
      <w:r w:rsidR="007D0F0E">
        <w:rPr>
          <w:rFonts w:ascii="Times New Roman" w:hAnsi="Times New Roman" w:cs="Times New Roman"/>
        </w:rPr>
        <w:t>Pagrindinės tokio paplitimo priežastys</w:t>
      </w:r>
      <w:r w:rsidR="00270EFF">
        <w:rPr>
          <w:rFonts w:ascii="Times New Roman" w:hAnsi="Times New Roman" w:cs="Times New Roman"/>
        </w:rPr>
        <w:t xml:space="preserve"> yra </w:t>
      </w:r>
      <w:r w:rsidR="007D0F0E">
        <w:rPr>
          <w:rFonts w:ascii="Times New Roman" w:hAnsi="Times New Roman" w:cs="Times New Roman"/>
        </w:rPr>
        <w:t>lizingo</w:t>
      </w:r>
      <w:r w:rsidR="00270EFF">
        <w:rPr>
          <w:rFonts w:ascii="Times New Roman" w:hAnsi="Times New Roman" w:cs="Times New Roman"/>
        </w:rPr>
        <w:t xml:space="preserve"> paslaugos </w:t>
      </w:r>
      <w:r w:rsidR="005A2B2B">
        <w:rPr>
          <w:rFonts w:ascii="Times New Roman" w:hAnsi="Times New Roman" w:cs="Times New Roman"/>
        </w:rPr>
        <w:t>patrauklumas,</w:t>
      </w:r>
      <w:r w:rsidR="0019790B">
        <w:rPr>
          <w:rFonts w:ascii="Times New Roman" w:hAnsi="Times New Roman" w:cs="Times New Roman"/>
        </w:rPr>
        <w:t xml:space="preserve"> </w:t>
      </w:r>
      <w:r w:rsidR="00270EFF">
        <w:rPr>
          <w:rFonts w:ascii="Times New Roman" w:hAnsi="Times New Roman" w:cs="Times New Roman"/>
        </w:rPr>
        <w:t>lankstumas, kurį ji suteikia</w:t>
      </w:r>
      <w:r w:rsidR="0019790B">
        <w:rPr>
          <w:rFonts w:ascii="Times New Roman" w:hAnsi="Times New Roman" w:cs="Times New Roman"/>
        </w:rPr>
        <w:t xml:space="preserve"> tiek jos gavėjui tiek teikėjui</w:t>
      </w:r>
      <w:r w:rsidR="005A2B2B">
        <w:rPr>
          <w:rFonts w:ascii="Times New Roman" w:hAnsi="Times New Roman" w:cs="Times New Roman"/>
        </w:rPr>
        <w:t xml:space="preserve"> bei pakankamai nesudėtingas šios paslaugos suteikimas.</w:t>
      </w:r>
      <w:r w:rsidR="00270EFF">
        <w:rPr>
          <w:rFonts w:ascii="Times New Roman" w:hAnsi="Times New Roman" w:cs="Times New Roman"/>
        </w:rPr>
        <w:t xml:space="preserve"> </w:t>
      </w:r>
      <w:r>
        <w:rPr>
          <w:rFonts w:ascii="Times New Roman" w:hAnsi="Times New Roman" w:cs="Times New Roman"/>
        </w:rPr>
        <w:t xml:space="preserve">Jeigu </w:t>
      </w:r>
      <w:r w:rsidR="0019790B">
        <w:rPr>
          <w:rFonts w:ascii="Times New Roman" w:hAnsi="Times New Roman" w:cs="Times New Roman"/>
        </w:rPr>
        <w:t xml:space="preserve">pavyzdžiui </w:t>
      </w:r>
      <w:r>
        <w:rPr>
          <w:rFonts w:ascii="Times New Roman" w:hAnsi="Times New Roman" w:cs="Times New Roman"/>
        </w:rPr>
        <w:t xml:space="preserve">gauti solidžią banko paskolą gali toli gražu ne kiekvienas norintis, tai lizingo būdu įsigytas kompiuteris ar televizorius stovi daugelio namuose. </w:t>
      </w:r>
      <w:r w:rsidR="009C478B">
        <w:rPr>
          <w:rFonts w:ascii="Times New Roman" w:hAnsi="Times New Roman" w:cs="Times New Roman"/>
        </w:rPr>
        <w:t>Būtent g</w:t>
      </w:r>
      <w:r>
        <w:rPr>
          <w:rFonts w:ascii="Times New Roman" w:hAnsi="Times New Roman" w:cs="Times New Roman"/>
        </w:rPr>
        <w:t>alimybė atsiradusį vartojimo poreikį patenkinti dabartiniu momentu, neturint reikalingos pinigų sumos norimai prekei ar paslaugai įsigyti, pritraukia didžiules apimtis potencialių lizingo bendrovių klientų. Deja, ne visada pamatuotai. Apdairiai didinamas lizingo portfelis naudingas praktiškai visoms proceso pusėms: skatinami pardavimai generuoja didesnes apyvartas verslo subjektams, auga valstybės mokestinės pajamos, sudėtingi ir brangūs investiciniai projektai įgyja didesnes įgyvendinimo galimybes, o vartotojams atsiranda būdas atsikelti ateities vartojimą. Tačiau nereikėtų pamiršti, kad lizingas, kaip ir banko paskolos, yra finansinė paslauga, skatinanti vartojimą. Taigi prie teigiamo poveikio ekonomikai reikėtų įvertinti ir nepagrįsto augimo grėsmę bei nestabilios finansų sistemos pavojų.</w:t>
      </w:r>
      <w:r w:rsidR="00AC04FB">
        <w:rPr>
          <w:rFonts w:ascii="Times New Roman" w:hAnsi="Times New Roman" w:cs="Times New Roman"/>
        </w:rPr>
        <w:t xml:space="preserve"> </w:t>
      </w:r>
      <w:r w:rsidR="00AC04FB" w:rsidRPr="00AC04FB">
        <w:rPr>
          <w:rFonts w:ascii="Times New Roman" w:hAnsi="Times New Roman" w:cs="Times New Roman"/>
          <w:color w:val="auto"/>
        </w:rPr>
        <w:t>Magistro baigiamojo darbo tyrimas yra aktualus moksline ir tai</w:t>
      </w:r>
      <w:r w:rsidR="00AD41D7">
        <w:rPr>
          <w:rFonts w:ascii="Times New Roman" w:hAnsi="Times New Roman" w:cs="Times New Roman"/>
          <w:color w:val="auto"/>
        </w:rPr>
        <w:t>komąja prasme. Jame analizuojami</w:t>
      </w:r>
      <w:r w:rsidR="00AC04FB" w:rsidRPr="00AC04FB">
        <w:rPr>
          <w:rFonts w:ascii="Times New Roman" w:hAnsi="Times New Roman" w:cs="Times New Roman"/>
          <w:color w:val="auto"/>
        </w:rPr>
        <w:t xml:space="preserve"> atskirų lizingo atmainų veikimo mechanizmai, atskleidžiami pasirinktos finansinės paslaugos privalumai ir trūkumai, įvertinamas lizingo poveikis ekonomikai. D</w:t>
      </w:r>
      <w:r w:rsidR="00AD41D7">
        <w:rPr>
          <w:rFonts w:ascii="Times New Roman" w:hAnsi="Times New Roman" w:cs="Times New Roman"/>
          <w:color w:val="auto"/>
        </w:rPr>
        <w:t>arbų, kuriuose būtų analizuojamos</w:t>
      </w:r>
      <w:r w:rsidR="00AC04FB" w:rsidRPr="00AC04FB">
        <w:rPr>
          <w:rFonts w:ascii="Times New Roman" w:hAnsi="Times New Roman" w:cs="Times New Roman"/>
          <w:color w:val="auto"/>
        </w:rPr>
        <w:t xml:space="preserve"> lizingo paslaugos, </w:t>
      </w:r>
      <w:r w:rsidR="00AD41D7">
        <w:rPr>
          <w:rFonts w:ascii="Times New Roman" w:hAnsi="Times New Roman" w:cs="Times New Roman"/>
          <w:color w:val="auto"/>
        </w:rPr>
        <w:t>lizingo</w:t>
      </w:r>
      <w:r w:rsidR="00AC04FB" w:rsidRPr="00AC04FB">
        <w:rPr>
          <w:rFonts w:ascii="Times New Roman" w:hAnsi="Times New Roman" w:cs="Times New Roman"/>
          <w:color w:val="auto"/>
        </w:rPr>
        <w:t xml:space="preserve"> rinkos įtaka šalies ekonomikai pasigendama.</w:t>
      </w:r>
    </w:p>
    <w:p w:rsidR="004C4A66" w:rsidRPr="004C4A66" w:rsidRDefault="00162F26" w:rsidP="004C4A66">
      <w:pPr>
        <w:spacing w:line="360" w:lineRule="auto"/>
        <w:ind w:firstLine="567"/>
        <w:jc w:val="both"/>
        <w:rPr>
          <w:rFonts w:ascii="Times New Roman" w:hAnsi="Times New Roman" w:cs="Times New Roman"/>
        </w:rPr>
      </w:pPr>
      <w:r w:rsidRPr="00C056A9">
        <w:rPr>
          <w:rFonts w:ascii="Times New Roman" w:hAnsi="Times New Roman" w:cs="Times New Roman"/>
          <w:b/>
        </w:rPr>
        <w:t>Temos naujumas</w:t>
      </w:r>
      <w:r>
        <w:rPr>
          <w:rFonts w:ascii="Times New Roman" w:hAnsi="Times New Roman" w:cs="Times New Roman"/>
          <w:b/>
        </w:rPr>
        <w:t xml:space="preserve">. </w:t>
      </w:r>
      <w:r w:rsidR="00AC04FB">
        <w:rPr>
          <w:rFonts w:ascii="Times New Roman" w:hAnsi="Times New Roman" w:cs="Times New Roman"/>
        </w:rPr>
        <w:t>Mokslininkai</w:t>
      </w:r>
      <w:r w:rsidR="00506EB9">
        <w:rPr>
          <w:rFonts w:ascii="Times New Roman" w:hAnsi="Times New Roman" w:cs="Times New Roman"/>
        </w:rPr>
        <w:t xml:space="preserve"> matydami sparčią lizingo </w:t>
      </w:r>
      <w:r w:rsidR="001D2B34">
        <w:rPr>
          <w:rFonts w:ascii="Times New Roman" w:hAnsi="Times New Roman" w:cs="Times New Roman"/>
        </w:rPr>
        <w:t>rinkos</w:t>
      </w:r>
      <w:r w:rsidR="00506EB9">
        <w:rPr>
          <w:rFonts w:ascii="Times New Roman" w:hAnsi="Times New Roman" w:cs="Times New Roman"/>
        </w:rPr>
        <w:t xml:space="preserve"> </w:t>
      </w:r>
      <w:r w:rsidR="00207932">
        <w:rPr>
          <w:rFonts w:ascii="Times New Roman" w:hAnsi="Times New Roman" w:cs="Times New Roman"/>
        </w:rPr>
        <w:t>plėtrą,</w:t>
      </w:r>
      <w:r w:rsidR="00506EB9">
        <w:rPr>
          <w:rFonts w:ascii="Times New Roman" w:hAnsi="Times New Roman" w:cs="Times New Roman"/>
        </w:rPr>
        <w:t xml:space="preserve"> </w:t>
      </w:r>
      <w:r w:rsidR="00207932">
        <w:rPr>
          <w:rFonts w:ascii="Times New Roman" w:hAnsi="Times New Roman" w:cs="Times New Roman"/>
        </w:rPr>
        <w:t>vis didėjančias šios paslaugos apimtis bei rin</w:t>
      </w:r>
      <w:r w:rsidR="006110F7">
        <w:rPr>
          <w:rFonts w:ascii="Times New Roman" w:hAnsi="Times New Roman" w:cs="Times New Roman"/>
        </w:rPr>
        <w:t xml:space="preserve">kos </w:t>
      </w:r>
      <w:r w:rsidR="00AC04FB">
        <w:rPr>
          <w:rFonts w:ascii="Times New Roman" w:hAnsi="Times New Roman" w:cs="Times New Roman"/>
        </w:rPr>
        <w:t>plėtrą</w:t>
      </w:r>
      <w:r w:rsidR="006110F7">
        <w:rPr>
          <w:rFonts w:ascii="Times New Roman" w:hAnsi="Times New Roman" w:cs="Times New Roman"/>
        </w:rPr>
        <w:t>, pabrėžia</w:t>
      </w:r>
      <w:r w:rsidR="00207932">
        <w:rPr>
          <w:rFonts w:ascii="Times New Roman" w:hAnsi="Times New Roman" w:cs="Times New Roman"/>
        </w:rPr>
        <w:t xml:space="preserve"> tyrimų siekiant išsiaiškinti lizingo </w:t>
      </w:r>
      <w:r w:rsidR="00AD41D7">
        <w:rPr>
          <w:rFonts w:ascii="Times New Roman" w:hAnsi="Times New Roman" w:cs="Times New Roman"/>
        </w:rPr>
        <w:t>rinkos</w:t>
      </w:r>
      <w:r w:rsidR="00103C53">
        <w:rPr>
          <w:rFonts w:ascii="Times New Roman" w:hAnsi="Times New Roman" w:cs="Times New Roman"/>
        </w:rPr>
        <w:t xml:space="preserve"> reikšmę</w:t>
      </w:r>
      <w:r w:rsidR="00207932">
        <w:rPr>
          <w:rFonts w:ascii="Times New Roman" w:hAnsi="Times New Roman" w:cs="Times New Roman"/>
        </w:rPr>
        <w:t xml:space="preserve"> šalies ekonomikoms </w:t>
      </w:r>
      <w:r w:rsidR="004C4A66">
        <w:rPr>
          <w:rFonts w:ascii="Times New Roman" w:hAnsi="Times New Roman" w:cs="Times New Roman"/>
        </w:rPr>
        <w:t>būtinumą b</w:t>
      </w:r>
      <w:r w:rsidR="001D2B34">
        <w:rPr>
          <w:rFonts w:ascii="Times New Roman" w:hAnsi="Times New Roman" w:cs="Times New Roman"/>
        </w:rPr>
        <w:t>ei pastebi tokių tyrimų trūkumą</w:t>
      </w:r>
      <w:r w:rsidR="004C4A66">
        <w:rPr>
          <w:rFonts w:ascii="Times New Roman" w:hAnsi="Times New Roman" w:cs="Times New Roman"/>
        </w:rPr>
        <w:t xml:space="preserve"> </w:t>
      </w:r>
      <w:r w:rsidR="00207932">
        <w:rPr>
          <w:rFonts w:ascii="Times New Roman" w:hAnsi="Times New Roman" w:cs="Times New Roman"/>
        </w:rPr>
        <w:t>(Moutot et al.</w:t>
      </w:r>
      <w:r w:rsidR="00103C53">
        <w:rPr>
          <w:rFonts w:ascii="Times New Roman" w:hAnsi="Times New Roman" w:cs="Times New Roman"/>
        </w:rPr>
        <w:t xml:space="preserve"> (2007), Backe, Zumer (2005), Europos plėtros ir rekonstrukcijos bankas (2006)). </w:t>
      </w:r>
      <w:r w:rsidR="004C4A66">
        <w:rPr>
          <w:rFonts w:ascii="Times New Roman" w:hAnsi="Times New Roman" w:cs="Times New Roman"/>
        </w:rPr>
        <w:t xml:space="preserve">Remiantis šiomis autorių pastabomis nenuostabu, kad </w:t>
      </w:r>
      <w:r w:rsidR="004C4A66" w:rsidRPr="004C4A66">
        <w:rPr>
          <w:rFonts w:ascii="Times New Roman" w:hAnsi="Times New Roman" w:cs="Times New Roman"/>
        </w:rPr>
        <w:t xml:space="preserve">darbų, kuriuose būtų nagrinėjama lizingo rinkos </w:t>
      </w:r>
      <w:r w:rsidR="004C4A66">
        <w:rPr>
          <w:rFonts w:ascii="Times New Roman" w:hAnsi="Times New Roman" w:cs="Times New Roman"/>
        </w:rPr>
        <w:t>reikšmė</w:t>
      </w:r>
      <w:r w:rsidR="004C4A66" w:rsidRPr="004C4A66">
        <w:rPr>
          <w:rFonts w:ascii="Times New Roman" w:hAnsi="Times New Roman" w:cs="Times New Roman"/>
        </w:rPr>
        <w:t xml:space="preserve"> Lietuvos ekonomikai trūksta. Iš lietuvių autorių, išsamiau lizingą nagrinėjo tik Danys, Milašauskas (2000) ir Baršauskas ir kt. (2007). Pastarasis vienintelis tarp Lietuvos autorių bandė aiškintis teorinę lizingo rinkos įtaką šalies ekonomikai. Empirinių tyrimų siekiant išsiaiškinti lizingo rinkos poveikį Lietuvos ekonomikai apskritai nepavyko rasti.</w:t>
      </w:r>
      <w:r w:rsidR="004C4A66">
        <w:rPr>
          <w:rFonts w:ascii="Times New Roman" w:hAnsi="Times New Roman" w:cs="Times New Roman"/>
        </w:rPr>
        <w:t xml:space="preserve"> </w:t>
      </w:r>
      <w:r w:rsidR="004C4A66" w:rsidRPr="004C4A66">
        <w:rPr>
          <w:rFonts w:ascii="Times New Roman" w:hAnsi="Times New Roman" w:cs="Times New Roman"/>
        </w:rPr>
        <w:t>Užsienio autorių darbuose Lietuvos lizingo rinka a</w:t>
      </w:r>
      <w:r w:rsidR="0083381B">
        <w:rPr>
          <w:rFonts w:ascii="Times New Roman" w:hAnsi="Times New Roman" w:cs="Times New Roman"/>
        </w:rPr>
        <w:t xml:space="preserve">nalizuojama </w:t>
      </w:r>
      <w:r w:rsidR="005F655B">
        <w:rPr>
          <w:rFonts w:ascii="Times New Roman" w:hAnsi="Times New Roman" w:cs="Times New Roman"/>
        </w:rPr>
        <w:t xml:space="preserve">tik </w:t>
      </w:r>
      <w:r w:rsidR="0083381B">
        <w:rPr>
          <w:rFonts w:ascii="Times New Roman" w:hAnsi="Times New Roman" w:cs="Times New Roman"/>
        </w:rPr>
        <w:t xml:space="preserve">bendrame kontekste. </w:t>
      </w:r>
      <w:r w:rsidR="004C4A66" w:rsidRPr="004C4A66">
        <w:rPr>
          <w:rFonts w:ascii="Times New Roman" w:hAnsi="Times New Roman" w:cs="Times New Roman"/>
        </w:rPr>
        <w:t xml:space="preserve">Taigi akivaizdu, kad naujausiais duomenimis paremtų analitinių darbų Lietuvos lizingo </w:t>
      </w:r>
      <w:r w:rsidR="004C4A66" w:rsidRPr="004C4A66">
        <w:rPr>
          <w:rFonts w:ascii="Times New Roman" w:hAnsi="Times New Roman" w:cs="Times New Roman"/>
        </w:rPr>
        <w:lastRenderedPageBreak/>
        <w:t>rinkos kontekste trūksta. Įvertinant, kad lizingo paslauga Lietuvos rinkoje veikia beveik 20 metų, tokie tyrimai yra būtini.</w:t>
      </w:r>
      <w:r w:rsidR="0083381B">
        <w:rPr>
          <w:rFonts w:ascii="Times New Roman" w:hAnsi="Times New Roman" w:cs="Times New Roman"/>
        </w:rPr>
        <w:t xml:space="preserve"> </w:t>
      </w:r>
      <w:r w:rsidR="005F655B">
        <w:rPr>
          <w:rFonts w:ascii="Times New Roman" w:hAnsi="Times New Roman" w:cs="Times New Roman"/>
        </w:rPr>
        <w:t>Siekiant juos atlikti bus remiamasi užsienio autorių patirtimi bei praktika.</w:t>
      </w:r>
    </w:p>
    <w:p w:rsidR="00A87F12" w:rsidRDefault="00AC04FB" w:rsidP="00AC04FB">
      <w:pPr>
        <w:spacing w:line="360" w:lineRule="auto"/>
        <w:ind w:firstLine="567"/>
        <w:jc w:val="both"/>
        <w:rPr>
          <w:rFonts w:ascii="Times New Roman" w:hAnsi="Times New Roman" w:cs="Times New Roman"/>
        </w:rPr>
      </w:pPr>
      <w:r>
        <w:rPr>
          <w:rFonts w:ascii="Times New Roman" w:hAnsi="Times New Roman" w:cs="Times New Roman"/>
        </w:rPr>
        <w:t>Magistro baigiamajame darbe yra</w:t>
      </w:r>
      <w:r w:rsidR="00103C53">
        <w:rPr>
          <w:rFonts w:ascii="Times New Roman" w:hAnsi="Times New Roman" w:cs="Times New Roman"/>
        </w:rPr>
        <w:t xml:space="preserve"> nagrinėjami užsienio autorių </w:t>
      </w:r>
      <w:r w:rsidR="008727AB">
        <w:rPr>
          <w:rFonts w:ascii="Times New Roman" w:hAnsi="Times New Roman" w:cs="Times New Roman"/>
        </w:rPr>
        <w:t>(</w:t>
      </w:r>
      <w:r w:rsidR="00103C53" w:rsidRPr="00103C53">
        <w:rPr>
          <w:rFonts w:ascii="Times New Roman" w:hAnsi="Times New Roman" w:cs="Times New Roman"/>
        </w:rPr>
        <w:t xml:space="preserve">Gallardo (1997), </w:t>
      </w:r>
      <w:r w:rsidR="008727AB" w:rsidRPr="008727AB">
        <w:rPr>
          <w:rFonts w:ascii="Times New Roman" w:hAnsi="Times New Roman" w:cs="Times New Roman"/>
        </w:rPr>
        <w:t>Beuselinck (2000)</w:t>
      </w:r>
      <w:r w:rsidR="008727AB">
        <w:rPr>
          <w:rFonts w:ascii="Times New Roman" w:hAnsi="Times New Roman" w:cs="Times New Roman"/>
        </w:rPr>
        <w:t xml:space="preserve">, </w:t>
      </w:r>
      <w:r w:rsidR="00103C53" w:rsidRPr="00103C53">
        <w:rPr>
          <w:rFonts w:ascii="Times New Roman" w:hAnsi="Times New Roman" w:cs="Times New Roman"/>
        </w:rPr>
        <w:t xml:space="preserve">Pakhtusov, Bay, </w:t>
      </w:r>
      <w:r w:rsidR="008727AB">
        <w:rPr>
          <w:rFonts w:ascii="Times New Roman" w:hAnsi="Times New Roman" w:cs="Times New Roman"/>
        </w:rPr>
        <w:t>(</w:t>
      </w:r>
      <w:r w:rsidR="00103C53" w:rsidRPr="00103C53">
        <w:rPr>
          <w:rFonts w:ascii="Times New Roman" w:hAnsi="Times New Roman" w:cs="Times New Roman"/>
        </w:rPr>
        <w:t xml:space="preserve">2006), </w:t>
      </w:r>
      <w:r w:rsidR="008727AB">
        <w:rPr>
          <w:rFonts w:ascii="Times New Roman" w:hAnsi="Times New Roman" w:cs="Times New Roman"/>
        </w:rPr>
        <w:t>Galič ir Funarič (</w:t>
      </w:r>
      <w:r w:rsidR="00103C53" w:rsidRPr="00103C53">
        <w:rPr>
          <w:rFonts w:ascii="Times New Roman" w:hAnsi="Times New Roman" w:cs="Times New Roman"/>
        </w:rPr>
        <w:t xml:space="preserve">2008), </w:t>
      </w:r>
      <w:r w:rsidR="00D653B2" w:rsidRPr="00D653B2">
        <w:rPr>
          <w:rFonts w:ascii="Times New Roman" w:hAnsi="Times New Roman" w:cs="Times New Roman"/>
        </w:rPr>
        <w:t>Koh (2006)</w:t>
      </w:r>
      <w:r w:rsidR="00D653B2">
        <w:rPr>
          <w:rFonts w:ascii="Times New Roman" w:hAnsi="Times New Roman" w:cs="Times New Roman"/>
        </w:rPr>
        <w:t xml:space="preserve">, </w:t>
      </w:r>
      <w:r w:rsidR="00103C53" w:rsidRPr="00103C53">
        <w:rPr>
          <w:rFonts w:ascii="Times New Roman" w:hAnsi="Times New Roman" w:cs="Times New Roman"/>
        </w:rPr>
        <w:t xml:space="preserve">Yang, </w:t>
      </w:r>
      <w:r w:rsidR="008727AB">
        <w:rPr>
          <w:rFonts w:ascii="Times New Roman" w:hAnsi="Times New Roman" w:cs="Times New Roman"/>
        </w:rPr>
        <w:t>(</w:t>
      </w:r>
      <w:r w:rsidR="00F8779A">
        <w:rPr>
          <w:rFonts w:ascii="Times New Roman" w:hAnsi="Times New Roman" w:cs="Times New Roman"/>
        </w:rPr>
        <w:t>2012)</w:t>
      </w:r>
      <w:r w:rsidR="008727AB">
        <w:rPr>
          <w:rFonts w:ascii="Times New Roman" w:hAnsi="Times New Roman" w:cs="Times New Roman"/>
        </w:rPr>
        <w:t xml:space="preserve">) moksliniai darbai ir tyrimai, atlikti siekiant </w:t>
      </w:r>
      <w:r>
        <w:rPr>
          <w:rFonts w:ascii="Times New Roman" w:hAnsi="Times New Roman" w:cs="Times New Roman"/>
        </w:rPr>
        <w:t>teoriniu požiūriu</w:t>
      </w:r>
      <w:r w:rsidR="00AD41D7">
        <w:rPr>
          <w:rFonts w:ascii="Times New Roman" w:hAnsi="Times New Roman" w:cs="Times New Roman"/>
        </w:rPr>
        <w:t xml:space="preserve"> išsiaiškinti </w:t>
      </w:r>
      <w:r w:rsidR="008727AB">
        <w:rPr>
          <w:rFonts w:ascii="Times New Roman" w:hAnsi="Times New Roman" w:cs="Times New Roman"/>
        </w:rPr>
        <w:t xml:space="preserve">lizingo rinkos įtaką įvairių šalių ekonomikoms. Taip pat apžvelgiami pagrindiniai empiriniai tyrimai </w:t>
      </w:r>
      <w:r w:rsidR="00EC1CE3">
        <w:rPr>
          <w:rFonts w:ascii="Times New Roman" w:hAnsi="Times New Roman" w:cs="Times New Roman"/>
        </w:rPr>
        <w:t>šia tema bei</w:t>
      </w:r>
      <w:r w:rsidR="008727AB">
        <w:rPr>
          <w:rFonts w:ascii="Times New Roman" w:hAnsi="Times New Roman" w:cs="Times New Roman"/>
        </w:rPr>
        <w:t xml:space="preserve"> pateikiamos jų išvados (</w:t>
      </w:r>
      <w:r w:rsidR="008727AB" w:rsidRPr="008727AB">
        <w:rPr>
          <w:rFonts w:ascii="Times New Roman" w:hAnsi="Times New Roman" w:cs="Times New Roman"/>
        </w:rPr>
        <w:t xml:space="preserve">Biagi (1999), Fleming, </w:t>
      </w:r>
      <w:r w:rsidR="008727AB">
        <w:rPr>
          <w:rFonts w:ascii="Times New Roman" w:hAnsi="Times New Roman" w:cs="Times New Roman"/>
        </w:rPr>
        <w:t>(</w:t>
      </w:r>
      <w:r w:rsidR="008727AB" w:rsidRPr="008727AB">
        <w:rPr>
          <w:rFonts w:ascii="Times New Roman" w:hAnsi="Times New Roman" w:cs="Times New Roman"/>
        </w:rPr>
        <w:t>2004), Kichler ir Haiss (2009)</w:t>
      </w:r>
      <w:r w:rsidR="008727AB">
        <w:rPr>
          <w:rFonts w:ascii="Times New Roman" w:hAnsi="Times New Roman" w:cs="Times New Roman"/>
        </w:rPr>
        <w:t>)</w:t>
      </w:r>
      <w:r w:rsidR="00EC1CE3">
        <w:rPr>
          <w:rFonts w:ascii="Times New Roman" w:hAnsi="Times New Roman" w:cs="Times New Roman"/>
        </w:rPr>
        <w:t>.</w:t>
      </w:r>
      <w:r>
        <w:rPr>
          <w:rFonts w:ascii="Times New Roman" w:hAnsi="Times New Roman" w:cs="Times New Roman"/>
        </w:rPr>
        <w:t xml:space="preserve"> </w:t>
      </w:r>
      <w:r w:rsidR="008D515D">
        <w:rPr>
          <w:rFonts w:ascii="Times New Roman" w:hAnsi="Times New Roman" w:cs="Times New Roman"/>
        </w:rPr>
        <w:t>R</w:t>
      </w:r>
      <w:r w:rsidR="00A87F12" w:rsidRPr="00A87F12">
        <w:rPr>
          <w:rFonts w:ascii="Times New Roman" w:hAnsi="Times New Roman" w:cs="Times New Roman"/>
        </w:rPr>
        <w:t xml:space="preserve">emiantis teorinio lygmens studijomis, </w:t>
      </w:r>
      <w:r w:rsidR="00A87F12">
        <w:rPr>
          <w:rFonts w:ascii="Times New Roman" w:hAnsi="Times New Roman" w:cs="Times New Roman"/>
        </w:rPr>
        <w:t xml:space="preserve">užsienio autorių atliktais empiriniais tyrimais, </w:t>
      </w:r>
      <w:r w:rsidR="00A87F12" w:rsidRPr="00A87F12">
        <w:rPr>
          <w:rFonts w:ascii="Times New Roman" w:hAnsi="Times New Roman" w:cs="Times New Roman"/>
        </w:rPr>
        <w:t xml:space="preserve">statistiniais bei </w:t>
      </w:r>
      <w:r w:rsidR="00A87F12">
        <w:rPr>
          <w:rFonts w:ascii="Times New Roman" w:hAnsi="Times New Roman" w:cs="Times New Roman"/>
        </w:rPr>
        <w:t xml:space="preserve">darbo autoriaus </w:t>
      </w:r>
      <w:r w:rsidR="00A87F12" w:rsidRPr="00A87F12">
        <w:rPr>
          <w:rFonts w:ascii="Times New Roman" w:hAnsi="Times New Roman" w:cs="Times New Roman"/>
        </w:rPr>
        <w:t>atlikt</w:t>
      </w:r>
      <w:r w:rsidR="00A87F12">
        <w:rPr>
          <w:rFonts w:ascii="Times New Roman" w:hAnsi="Times New Roman" w:cs="Times New Roman"/>
        </w:rPr>
        <w:t xml:space="preserve">ų empirinių tyrimų duomenimis darbe </w:t>
      </w:r>
      <w:r>
        <w:rPr>
          <w:rFonts w:ascii="Times New Roman" w:hAnsi="Times New Roman" w:cs="Times New Roman"/>
        </w:rPr>
        <w:t>yra</w:t>
      </w:r>
      <w:r w:rsidR="00A87F12">
        <w:rPr>
          <w:rFonts w:ascii="Times New Roman" w:hAnsi="Times New Roman" w:cs="Times New Roman"/>
        </w:rPr>
        <w:t xml:space="preserve"> įvairiapusiškai nagrinėja</w:t>
      </w:r>
      <w:r w:rsidR="006110F7">
        <w:rPr>
          <w:rFonts w:ascii="Times New Roman" w:hAnsi="Times New Roman" w:cs="Times New Roman"/>
        </w:rPr>
        <w:t>ma</w:t>
      </w:r>
      <w:r w:rsidR="00A87F12">
        <w:rPr>
          <w:rFonts w:ascii="Times New Roman" w:hAnsi="Times New Roman" w:cs="Times New Roman"/>
        </w:rPr>
        <w:t xml:space="preserve"> </w:t>
      </w:r>
      <w:r>
        <w:rPr>
          <w:rFonts w:ascii="Times New Roman" w:hAnsi="Times New Roman" w:cs="Times New Roman"/>
        </w:rPr>
        <w:t xml:space="preserve">lizingo paslauga, </w:t>
      </w:r>
      <w:r w:rsidR="00A87F12">
        <w:rPr>
          <w:rFonts w:ascii="Times New Roman" w:hAnsi="Times New Roman" w:cs="Times New Roman"/>
        </w:rPr>
        <w:t xml:space="preserve">lizingo </w:t>
      </w:r>
      <w:r>
        <w:rPr>
          <w:rFonts w:ascii="Times New Roman" w:hAnsi="Times New Roman" w:cs="Times New Roman"/>
        </w:rPr>
        <w:t>rinka ir</w:t>
      </w:r>
      <w:r w:rsidR="00A87F12">
        <w:rPr>
          <w:rFonts w:ascii="Times New Roman" w:hAnsi="Times New Roman" w:cs="Times New Roman"/>
        </w:rPr>
        <w:t xml:space="preserve"> jos reikšmė Lietuvos ekonomikai.</w:t>
      </w:r>
      <w:r w:rsidR="00A87F12" w:rsidRPr="00A87F12">
        <w:rPr>
          <w:rFonts w:ascii="Times New Roman" w:hAnsi="Times New Roman" w:cs="Times New Roman"/>
        </w:rPr>
        <w:t xml:space="preserve"> </w:t>
      </w:r>
    </w:p>
    <w:p w:rsidR="00162F26" w:rsidRPr="00C530A2" w:rsidRDefault="00162F26" w:rsidP="00162F26">
      <w:pPr>
        <w:spacing w:line="360" w:lineRule="auto"/>
        <w:ind w:firstLine="567"/>
        <w:jc w:val="both"/>
        <w:rPr>
          <w:rFonts w:ascii="Times New Roman" w:hAnsi="Times New Roman" w:cs="Times New Roman"/>
        </w:rPr>
      </w:pPr>
      <w:r w:rsidRPr="00AE05A3">
        <w:rPr>
          <w:rFonts w:ascii="Times New Roman" w:hAnsi="Times New Roman" w:cs="Times New Roman"/>
          <w:b/>
        </w:rPr>
        <w:t>Tyrimo problema.</w:t>
      </w:r>
      <w:r w:rsidR="00D653B2">
        <w:rPr>
          <w:rFonts w:ascii="Times New Roman" w:hAnsi="Times New Roman" w:cs="Times New Roman"/>
          <w:b/>
        </w:rPr>
        <w:t xml:space="preserve"> </w:t>
      </w:r>
      <w:r w:rsidR="00D653B2">
        <w:rPr>
          <w:rFonts w:ascii="Times New Roman" w:hAnsi="Times New Roman" w:cs="Times New Roman"/>
        </w:rPr>
        <w:t>Kokią įtaką lizingo rinka daro Lietuvos ekonomikai</w:t>
      </w:r>
      <w:r w:rsidRPr="00C530A2">
        <w:rPr>
          <w:rFonts w:ascii="Times New Roman" w:hAnsi="Times New Roman" w:cs="Times New Roman"/>
        </w:rPr>
        <w:t>?</w:t>
      </w:r>
    </w:p>
    <w:p w:rsidR="00162F26" w:rsidRPr="00AE05A3" w:rsidRDefault="00162F26" w:rsidP="00162F26">
      <w:pPr>
        <w:spacing w:line="360" w:lineRule="auto"/>
        <w:ind w:firstLine="567"/>
        <w:jc w:val="both"/>
        <w:rPr>
          <w:rFonts w:ascii="Times New Roman" w:hAnsi="Times New Roman" w:cs="Times New Roman"/>
          <w:b/>
        </w:rPr>
      </w:pPr>
      <w:r w:rsidRPr="00AE05A3">
        <w:rPr>
          <w:rFonts w:ascii="Times New Roman" w:hAnsi="Times New Roman" w:cs="Times New Roman"/>
          <w:b/>
        </w:rPr>
        <w:t>Tyrimo objektas</w:t>
      </w:r>
      <w:r w:rsidR="00D653B2">
        <w:rPr>
          <w:rFonts w:ascii="Times New Roman" w:hAnsi="Times New Roman" w:cs="Times New Roman"/>
          <w:b/>
        </w:rPr>
        <w:t>.</w:t>
      </w:r>
      <w:r>
        <w:rPr>
          <w:rFonts w:ascii="Times New Roman" w:hAnsi="Times New Roman" w:cs="Times New Roman"/>
          <w:b/>
        </w:rPr>
        <w:t xml:space="preserve"> </w:t>
      </w:r>
      <w:r w:rsidR="00D653B2">
        <w:rPr>
          <w:rFonts w:ascii="Times New Roman" w:hAnsi="Times New Roman" w:cs="Times New Roman"/>
        </w:rPr>
        <w:t>Lizingo rinka Lietuvoje.</w:t>
      </w:r>
    </w:p>
    <w:p w:rsidR="00D653B2" w:rsidRPr="001F44B3" w:rsidRDefault="00162F26" w:rsidP="00D653B2">
      <w:pPr>
        <w:spacing w:line="360" w:lineRule="auto"/>
        <w:ind w:firstLine="567"/>
        <w:jc w:val="both"/>
        <w:rPr>
          <w:rFonts w:ascii="Times New Roman" w:hAnsi="Times New Roman" w:cs="Times New Roman"/>
        </w:rPr>
      </w:pPr>
      <w:r w:rsidRPr="00AE05A3">
        <w:rPr>
          <w:rFonts w:ascii="Times New Roman" w:hAnsi="Times New Roman" w:cs="Times New Roman"/>
          <w:b/>
        </w:rPr>
        <w:t>Tyrimo tikslas</w:t>
      </w:r>
      <w:r w:rsidR="00D653B2">
        <w:rPr>
          <w:rFonts w:ascii="Times New Roman" w:hAnsi="Times New Roman" w:cs="Times New Roman"/>
          <w:b/>
        </w:rPr>
        <w:t>.</w:t>
      </w:r>
      <w:r w:rsidR="00C8040C">
        <w:rPr>
          <w:rFonts w:ascii="Times New Roman" w:hAnsi="Times New Roman" w:cs="Times New Roman"/>
        </w:rPr>
        <w:t xml:space="preserve"> </w:t>
      </w:r>
      <w:r w:rsidR="00D653B2" w:rsidRPr="00D653B2">
        <w:rPr>
          <w:rFonts w:ascii="Times New Roman" w:hAnsi="Times New Roman" w:cs="Times New Roman"/>
        </w:rPr>
        <w:t xml:space="preserve">Išanalizavus </w:t>
      </w:r>
      <w:r w:rsidR="00D653B2">
        <w:rPr>
          <w:rFonts w:ascii="Times New Roman" w:hAnsi="Times New Roman" w:cs="Times New Roman"/>
        </w:rPr>
        <w:t>lizingo rinkos</w:t>
      </w:r>
      <w:r w:rsidR="00D653B2" w:rsidRPr="00D653B2">
        <w:rPr>
          <w:rFonts w:ascii="Times New Roman" w:hAnsi="Times New Roman" w:cs="Times New Roman"/>
        </w:rPr>
        <w:t xml:space="preserve"> poveikio šalies ekonomikai teorinius aspektus, sudaryti </w:t>
      </w:r>
      <w:r w:rsidR="00D653B2">
        <w:rPr>
          <w:rFonts w:ascii="Times New Roman" w:hAnsi="Times New Roman" w:cs="Times New Roman"/>
        </w:rPr>
        <w:t>lizingo rinkos įtakos šalies ekonomikai</w:t>
      </w:r>
      <w:r w:rsidR="00D653B2" w:rsidRPr="00D653B2">
        <w:rPr>
          <w:rFonts w:ascii="Times New Roman" w:hAnsi="Times New Roman" w:cs="Times New Roman"/>
        </w:rPr>
        <w:t xml:space="preserve"> įvertinimo modelį ir juo remiantis </w:t>
      </w:r>
      <w:r w:rsidR="00D653B2">
        <w:rPr>
          <w:rFonts w:ascii="Times New Roman" w:hAnsi="Times New Roman" w:cs="Times New Roman"/>
        </w:rPr>
        <w:t>nustatyti lizingo rinkos poveikį Lietuvos ekonomikai</w:t>
      </w:r>
      <w:r w:rsidR="00513711">
        <w:rPr>
          <w:rFonts w:ascii="Times New Roman" w:hAnsi="Times New Roman" w:cs="Times New Roman"/>
        </w:rPr>
        <w:t>.</w:t>
      </w:r>
    </w:p>
    <w:p w:rsidR="00162F26" w:rsidRDefault="00162F26" w:rsidP="00162F26">
      <w:pPr>
        <w:spacing w:line="360" w:lineRule="auto"/>
        <w:ind w:firstLine="567"/>
        <w:jc w:val="both"/>
        <w:rPr>
          <w:rFonts w:ascii="Times New Roman" w:hAnsi="Times New Roman" w:cs="Times New Roman"/>
          <w:b/>
        </w:rPr>
      </w:pPr>
      <w:r w:rsidRPr="00AE05A3">
        <w:rPr>
          <w:rFonts w:ascii="Times New Roman" w:hAnsi="Times New Roman" w:cs="Times New Roman"/>
          <w:b/>
        </w:rPr>
        <w:t>Tyrimo uždaviniai</w:t>
      </w:r>
      <w:r>
        <w:rPr>
          <w:rFonts w:ascii="Times New Roman" w:hAnsi="Times New Roman" w:cs="Times New Roman"/>
          <w:b/>
        </w:rPr>
        <w:t>:</w:t>
      </w:r>
    </w:p>
    <w:p w:rsidR="00AC04FB" w:rsidRPr="00AC04FB" w:rsidRDefault="00AC04FB" w:rsidP="00AC04FB">
      <w:pPr>
        <w:numPr>
          <w:ilvl w:val="0"/>
          <w:numId w:val="16"/>
        </w:numPr>
        <w:spacing w:line="360" w:lineRule="auto"/>
        <w:jc w:val="both"/>
        <w:rPr>
          <w:rFonts w:ascii="Times New Roman" w:hAnsi="Times New Roman" w:cs="Times New Roman"/>
        </w:rPr>
      </w:pPr>
      <w:r w:rsidRPr="00AC04FB">
        <w:rPr>
          <w:rFonts w:ascii="Times New Roman" w:hAnsi="Times New Roman" w:cs="Times New Roman"/>
        </w:rPr>
        <w:t>Pateikti lizingo teoriją ir atskleisti lizingo rinkos reikšmę šalies ekonomikai.</w:t>
      </w:r>
    </w:p>
    <w:p w:rsidR="00AC04FB" w:rsidRPr="00AC04FB" w:rsidRDefault="00AC04FB" w:rsidP="00AC04FB">
      <w:pPr>
        <w:numPr>
          <w:ilvl w:val="0"/>
          <w:numId w:val="16"/>
        </w:numPr>
        <w:spacing w:line="360" w:lineRule="auto"/>
        <w:jc w:val="both"/>
        <w:rPr>
          <w:rFonts w:ascii="Times New Roman" w:hAnsi="Times New Roman" w:cs="Times New Roman"/>
        </w:rPr>
      </w:pPr>
      <w:r w:rsidRPr="00AC04FB">
        <w:rPr>
          <w:rFonts w:ascii="Times New Roman" w:hAnsi="Times New Roman" w:cs="Times New Roman"/>
        </w:rPr>
        <w:t>Parengti lizingo rinkos įtakos šalies ekonomikai vertinimo metodologiją.</w:t>
      </w:r>
    </w:p>
    <w:p w:rsidR="00AC04FB" w:rsidRPr="00AC04FB" w:rsidRDefault="00E16E2E" w:rsidP="00AC04FB">
      <w:pPr>
        <w:numPr>
          <w:ilvl w:val="0"/>
          <w:numId w:val="16"/>
        </w:numPr>
        <w:spacing w:line="360" w:lineRule="auto"/>
        <w:jc w:val="both"/>
        <w:rPr>
          <w:rFonts w:ascii="Times New Roman" w:hAnsi="Times New Roman" w:cs="Times New Roman"/>
        </w:rPr>
      </w:pPr>
      <w:r>
        <w:rPr>
          <w:rFonts w:ascii="Times New Roman" w:hAnsi="Times New Roman" w:cs="Times New Roman"/>
        </w:rPr>
        <w:t>Išanalizuoti</w:t>
      </w:r>
      <w:r w:rsidR="00AC04FB" w:rsidRPr="00AC04FB">
        <w:rPr>
          <w:rFonts w:ascii="Times New Roman" w:hAnsi="Times New Roman" w:cs="Times New Roman"/>
        </w:rPr>
        <w:t xml:space="preserve"> lizingo rinkos įtaką Lietuvos ekonomikai.</w:t>
      </w:r>
    </w:p>
    <w:p w:rsidR="00D653B2" w:rsidRPr="00D653B2" w:rsidRDefault="00D653B2" w:rsidP="00D653B2">
      <w:pPr>
        <w:spacing w:line="360" w:lineRule="auto"/>
        <w:ind w:firstLine="567"/>
        <w:jc w:val="both"/>
        <w:rPr>
          <w:rFonts w:ascii="Times New Roman" w:hAnsi="Times New Roman" w:cs="Times New Roman"/>
        </w:rPr>
      </w:pPr>
      <w:r w:rsidRPr="00D653B2">
        <w:rPr>
          <w:rFonts w:ascii="Times New Roman" w:hAnsi="Times New Roman" w:cs="Times New Roman"/>
          <w:b/>
        </w:rPr>
        <w:t xml:space="preserve">Tyrimo hipotezė. </w:t>
      </w:r>
      <w:r w:rsidRPr="00D653B2">
        <w:rPr>
          <w:rFonts w:ascii="Times New Roman" w:hAnsi="Times New Roman" w:cs="Times New Roman"/>
        </w:rPr>
        <w:t>Lizingo rinkos plėtra daro te</w:t>
      </w:r>
      <w:r w:rsidR="004B4E4E">
        <w:rPr>
          <w:rFonts w:ascii="Times New Roman" w:hAnsi="Times New Roman" w:cs="Times New Roman"/>
        </w:rPr>
        <w:t>igiamą įtaką Lietuvos ekonomikai</w:t>
      </w:r>
      <w:r w:rsidR="002E60B5">
        <w:rPr>
          <w:rFonts w:ascii="Times New Roman" w:hAnsi="Times New Roman" w:cs="Times New Roman"/>
        </w:rPr>
        <w:t>.</w:t>
      </w:r>
    </w:p>
    <w:p w:rsidR="00162F26" w:rsidRDefault="00162F26" w:rsidP="00162F26">
      <w:pPr>
        <w:spacing w:line="360" w:lineRule="auto"/>
        <w:ind w:firstLine="567"/>
        <w:jc w:val="both"/>
        <w:rPr>
          <w:rFonts w:ascii="Times New Roman" w:hAnsi="Times New Roman" w:cs="Times New Roman"/>
          <w:b/>
        </w:rPr>
      </w:pPr>
      <w:r>
        <w:rPr>
          <w:rFonts w:ascii="Times New Roman" w:hAnsi="Times New Roman" w:cs="Times New Roman"/>
          <w:b/>
        </w:rPr>
        <w:t>Tyrimo metodai:</w:t>
      </w:r>
    </w:p>
    <w:p w:rsidR="00AC04FB" w:rsidRDefault="00AC04FB" w:rsidP="00AC04FB">
      <w:pPr>
        <w:pStyle w:val="ListParagraph"/>
        <w:numPr>
          <w:ilvl w:val="0"/>
          <w:numId w:val="17"/>
        </w:numPr>
        <w:spacing w:line="360" w:lineRule="auto"/>
        <w:ind w:left="567" w:firstLine="284"/>
        <w:jc w:val="both"/>
        <w:rPr>
          <w:rFonts w:ascii="Times New Roman" w:hAnsi="Times New Roman" w:cs="Times New Roman"/>
          <w:b/>
        </w:rPr>
      </w:pPr>
      <w:r>
        <w:rPr>
          <w:rFonts w:ascii="Times New Roman" w:hAnsi="Times New Roman" w:cs="Times New Roman"/>
        </w:rPr>
        <w:t xml:space="preserve">Mokslinės literatūros analizė. Metodas daugiausiai taikomas nagrinėjant </w:t>
      </w:r>
      <w:r w:rsidRPr="00AC04FB">
        <w:rPr>
          <w:rFonts w:ascii="Times New Roman" w:hAnsi="Times New Roman" w:cs="Times New Roman"/>
          <w:color w:val="auto"/>
        </w:rPr>
        <w:t xml:space="preserve">lizingo koncepciją, jo privalumus ir trūkumus bei </w:t>
      </w:r>
      <w:r>
        <w:rPr>
          <w:rFonts w:ascii="Times New Roman" w:hAnsi="Times New Roman" w:cs="Times New Roman"/>
        </w:rPr>
        <w:t>įtaką ekonomikai.</w:t>
      </w:r>
    </w:p>
    <w:p w:rsidR="00162F26" w:rsidRPr="00483677" w:rsidRDefault="00162F26" w:rsidP="00162F26">
      <w:pPr>
        <w:pStyle w:val="ListParagraph"/>
        <w:numPr>
          <w:ilvl w:val="0"/>
          <w:numId w:val="17"/>
        </w:numPr>
        <w:spacing w:line="360" w:lineRule="auto"/>
        <w:ind w:left="567" w:firstLine="284"/>
        <w:jc w:val="both"/>
        <w:rPr>
          <w:rFonts w:ascii="Times New Roman" w:hAnsi="Times New Roman" w:cs="Times New Roman"/>
          <w:b/>
        </w:rPr>
      </w:pPr>
      <w:r w:rsidRPr="00483677">
        <w:rPr>
          <w:rFonts w:ascii="Times New Roman" w:hAnsi="Times New Roman" w:cs="Times New Roman"/>
        </w:rPr>
        <w:t xml:space="preserve">Lyginamoji ir vertinamoji analizė. Darbe lyginami lizingo rinkos </w:t>
      </w:r>
      <w:r>
        <w:rPr>
          <w:rFonts w:ascii="Times New Roman" w:hAnsi="Times New Roman" w:cs="Times New Roman"/>
        </w:rPr>
        <w:t>statistiniai duomenys, at</w:t>
      </w:r>
      <w:r w:rsidR="005C7E66">
        <w:rPr>
          <w:rFonts w:ascii="Times New Roman" w:hAnsi="Times New Roman" w:cs="Times New Roman"/>
        </w:rPr>
        <w:t>skiros lizingo rūšys. Vertinama</w:t>
      </w:r>
      <w:r>
        <w:rPr>
          <w:rFonts w:ascii="Times New Roman" w:hAnsi="Times New Roman" w:cs="Times New Roman"/>
        </w:rPr>
        <w:t xml:space="preserve"> pa</w:t>
      </w:r>
      <w:r w:rsidR="005C7E66">
        <w:rPr>
          <w:rFonts w:ascii="Times New Roman" w:hAnsi="Times New Roman" w:cs="Times New Roman"/>
        </w:rPr>
        <w:t xml:space="preserve">ti lizingo paslauga </w:t>
      </w:r>
      <w:r>
        <w:rPr>
          <w:rFonts w:ascii="Times New Roman" w:hAnsi="Times New Roman" w:cs="Times New Roman"/>
        </w:rPr>
        <w:t>įvardijant pagri</w:t>
      </w:r>
      <w:r w:rsidR="005C7E66">
        <w:rPr>
          <w:rFonts w:ascii="Times New Roman" w:hAnsi="Times New Roman" w:cs="Times New Roman"/>
        </w:rPr>
        <w:t>ndinius privalumus bei trūkumus, reikšmę ekonomikai. Taip pat atliekama Lietuvos lizingo rinkos su pasauline lizingo rinka lyginamoji analizė.</w:t>
      </w:r>
    </w:p>
    <w:p w:rsidR="00162F26" w:rsidRPr="00483677" w:rsidRDefault="00162F26" w:rsidP="00162F26">
      <w:pPr>
        <w:pStyle w:val="ListParagraph"/>
        <w:numPr>
          <w:ilvl w:val="0"/>
          <w:numId w:val="17"/>
        </w:numPr>
        <w:spacing w:line="360" w:lineRule="auto"/>
        <w:ind w:left="567" w:firstLine="284"/>
        <w:jc w:val="both"/>
        <w:rPr>
          <w:rFonts w:ascii="Times New Roman" w:hAnsi="Times New Roman" w:cs="Times New Roman"/>
          <w:b/>
        </w:rPr>
      </w:pPr>
      <w:r w:rsidRPr="00483677">
        <w:rPr>
          <w:rFonts w:ascii="Times New Roman" w:hAnsi="Times New Roman" w:cs="Times New Roman"/>
        </w:rPr>
        <w:t>Statistinė duomenų analizė. Šis metodas taikomas analizuojant lizingo rinkos plėtrą bei lizingo portfelio struktūrą Lietuvoje.</w:t>
      </w:r>
    </w:p>
    <w:p w:rsidR="00162F26" w:rsidRDefault="00162F26" w:rsidP="00162F26">
      <w:pPr>
        <w:pStyle w:val="ListParagraph"/>
        <w:numPr>
          <w:ilvl w:val="0"/>
          <w:numId w:val="17"/>
        </w:numPr>
        <w:spacing w:line="360" w:lineRule="auto"/>
        <w:ind w:left="567" w:firstLine="284"/>
        <w:jc w:val="both"/>
        <w:rPr>
          <w:rFonts w:ascii="Times New Roman" w:hAnsi="Times New Roman" w:cs="Times New Roman"/>
          <w:b/>
        </w:rPr>
      </w:pPr>
      <w:r>
        <w:rPr>
          <w:rFonts w:ascii="Times New Roman" w:hAnsi="Times New Roman" w:cs="Times New Roman"/>
        </w:rPr>
        <w:t>Apibendrinimo metodas. Taikomas apibendrinant skyrius bei formuluojant galutines išvadas.</w:t>
      </w:r>
    </w:p>
    <w:p w:rsidR="002860FA" w:rsidRPr="002860FA" w:rsidRDefault="005C7E66" w:rsidP="002860FA">
      <w:pPr>
        <w:pStyle w:val="ListParagraph"/>
        <w:numPr>
          <w:ilvl w:val="0"/>
          <w:numId w:val="17"/>
        </w:numPr>
        <w:spacing w:line="360" w:lineRule="auto"/>
        <w:ind w:left="567" w:firstLine="284"/>
        <w:jc w:val="both"/>
        <w:rPr>
          <w:rFonts w:ascii="Times New Roman" w:hAnsi="Times New Roman" w:cs="Times New Roman"/>
          <w:b/>
        </w:rPr>
      </w:pPr>
      <w:r>
        <w:rPr>
          <w:rFonts w:ascii="Times New Roman" w:hAnsi="Times New Roman" w:cs="Times New Roman"/>
        </w:rPr>
        <w:t>Koreliacinė regresinė analizė. Šis metodas naudojamas įvertinant lizingo rinkos įtaką Lietuvos ekonomikai.</w:t>
      </w:r>
    </w:p>
    <w:p w:rsidR="005C7E66" w:rsidRPr="002860FA" w:rsidRDefault="005C7E66" w:rsidP="002860FA">
      <w:pPr>
        <w:pStyle w:val="ListParagraph"/>
        <w:numPr>
          <w:ilvl w:val="0"/>
          <w:numId w:val="17"/>
        </w:numPr>
        <w:spacing w:line="360" w:lineRule="auto"/>
        <w:ind w:left="567" w:firstLine="284"/>
        <w:jc w:val="both"/>
        <w:rPr>
          <w:rFonts w:ascii="Times New Roman" w:hAnsi="Times New Roman" w:cs="Times New Roman"/>
          <w:b/>
        </w:rPr>
      </w:pPr>
      <w:r w:rsidRPr="002860FA">
        <w:rPr>
          <w:rFonts w:ascii="Times New Roman" w:hAnsi="Times New Roman" w:cs="Times New Roman"/>
        </w:rPr>
        <w:lastRenderedPageBreak/>
        <w:t>Anketinė apklausa, kurios pagalba atliekamas ekspertinis vertinimas.</w:t>
      </w:r>
      <w:r w:rsidR="006A7638" w:rsidRPr="002860FA">
        <w:rPr>
          <w:rFonts w:ascii="Times New Roman" w:hAnsi="Times New Roman" w:cs="Times New Roman"/>
        </w:rPr>
        <w:t xml:space="preserve"> Šis metodas naudojamas siekiant </w:t>
      </w:r>
      <w:r w:rsidR="00515BB6">
        <w:rPr>
          <w:rFonts w:ascii="Times New Roman" w:hAnsi="Times New Roman" w:cs="Times New Roman"/>
        </w:rPr>
        <w:t>s</w:t>
      </w:r>
      <w:r w:rsidR="006A7638" w:rsidRPr="002860FA">
        <w:rPr>
          <w:rFonts w:ascii="Times New Roman" w:hAnsi="Times New Roman" w:cs="Times New Roman"/>
        </w:rPr>
        <w:t>užinoti ekspertų nuomonę apie lizingo r</w:t>
      </w:r>
      <w:r w:rsidR="002860FA">
        <w:rPr>
          <w:rFonts w:ascii="Times New Roman" w:hAnsi="Times New Roman" w:cs="Times New Roman"/>
        </w:rPr>
        <w:t>inkos įtaką Lietuvos ekonomikai, n</w:t>
      </w:r>
      <w:r w:rsidR="006A7638" w:rsidRPr="002860FA">
        <w:rPr>
          <w:rFonts w:ascii="Times New Roman" w:hAnsi="Times New Roman" w:cs="Times New Roman"/>
        </w:rPr>
        <w:t>ustatyti pagrindines priežastis, tru</w:t>
      </w:r>
      <w:r w:rsidR="002860FA">
        <w:rPr>
          <w:rFonts w:ascii="Times New Roman" w:hAnsi="Times New Roman" w:cs="Times New Roman"/>
        </w:rPr>
        <w:t>kdančias lizingo rinkai plėstis, į</w:t>
      </w:r>
      <w:r w:rsidR="006A7638" w:rsidRPr="002860FA">
        <w:rPr>
          <w:rFonts w:ascii="Times New Roman" w:hAnsi="Times New Roman" w:cs="Times New Roman"/>
        </w:rPr>
        <w:t>vertinti Lietuvos lizingo rinkos plėtros galimybes.</w:t>
      </w:r>
    </w:p>
    <w:p w:rsidR="00162F26" w:rsidRDefault="00162F26" w:rsidP="00162F26">
      <w:pPr>
        <w:spacing w:line="360" w:lineRule="auto"/>
        <w:ind w:firstLine="567"/>
        <w:jc w:val="both"/>
        <w:rPr>
          <w:rFonts w:ascii="Times New Roman" w:hAnsi="Times New Roman" w:cs="Times New Roman"/>
        </w:rPr>
      </w:pPr>
      <w:r>
        <w:rPr>
          <w:rFonts w:ascii="Times New Roman" w:hAnsi="Times New Roman" w:cs="Times New Roman"/>
          <w:b/>
        </w:rPr>
        <w:t>Dar</w:t>
      </w:r>
      <w:r w:rsidRPr="001F44B3">
        <w:rPr>
          <w:rFonts w:ascii="Times New Roman" w:hAnsi="Times New Roman" w:cs="Times New Roman"/>
          <w:b/>
        </w:rPr>
        <w:t>bo struktūra ir rezultatų taikymo sritys</w:t>
      </w:r>
      <w:r w:rsidR="002860FA">
        <w:rPr>
          <w:rFonts w:ascii="Times New Roman" w:hAnsi="Times New Roman" w:cs="Times New Roman"/>
          <w:b/>
        </w:rPr>
        <w:t xml:space="preserve">. </w:t>
      </w:r>
      <w:r w:rsidR="001649CE" w:rsidRPr="001649CE">
        <w:rPr>
          <w:rFonts w:ascii="Times New Roman" w:hAnsi="Times New Roman" w:cs="Times New Roman"/>
        </w:rPr>
        <w:t xml:space="preserve">Darbą sudaro įvadas, </w:t>
      </w:r>
      <w:r w:rsidR="001649CE">
        <w:rPr>
          <w:rFonts w:ascii="Times New Roman" w:hAnsi="Times New Roman" w:cs="Times New Roman"/>
        </w:rPr>
        <w:t>trys</w:t>
      </w:r>
      <w:r w:rsidR="001649CE" w:rsidRPr="001649CE">
        <w:rPr>
          <w:rFonts w:ascii="Times New Roman" w:hAnsi="Times New Roman" w:cs="Times New Roman"/>
        </w:rPr>
        <w:t xml:space="preserve"> skyriai, išvados, literatūros sąrašas ir priedai. Darbo apimtis – </w:t>
      </w:r>
      <w:r w:rsidR="00275EE2">
        <w:rPr>
          <w:rFonts w:ascii="Times New Roman" w:hAnsi="Times New Roman" w:cs="Times New Roman"/>
          <w:color w:val="auto"/>
        </w:rPr>
        <w:t>79</w:t>
      </w:r>
      <w:r w:rsidR="00CC3019">
        <w:rPr>
          <w:rFonts w:ascii="Times New Roman" w:hAnsi="Times New Roman" w:cs="Times New Roman"/>
          <w:color w:val="auto"/>
        </w:rPr>
        <w:t xml:space="preserve"> </w:t>
      </w:r>
      <w:r w:rsidR="00D058DA">
        <w:rPr>
          <w:rFonts w:ascii="Times New Roman" w:hAnsi="Times New Roman" w:cs="Times New Roman"/>
        </w:rPr>
        <w:t>puslapi</w:t>
      </w:r>
      <w:r w:rsidR="00275EE2">
        <w:rPr>
          <w:rFonts w:ascii="Times New Roman" w:hAnsi="Times New Roman" w:cs="Times New Roman"/>
        </w:rPr>
        <w:t>ai</w:t>
      </w:r>
      <w:r w:rsidR="001649CE" w:rsidRPr="001649CE">
        <w:rPr>
          <w:rFonts w:ascii="Times New Roman" w:hAnsi="Times New Roman" w:cs="Times New Roman"/>
        </w:rPr>
        <w:t xml:space="preserve"> be priedų.</w:t>
      </w:r>
    </w:p>
    <w:p w:rsidR="004F40DE" w:rsidRDefault="008412F4" w:rsidP="00162F26">
      <w:pPr>
        <w:spacing w:line="360" w:lineRule="auto"/>
        <w:ind w:firstLine="567"/>
        <w:jc w:val="both"/>
        <w:rPr>
          <w:rFonts w:ascii="Times New Roman" w:hAnsi="Times New Roman" w:cs="Times New Roman"/>
          <w:bCs/>
          <w:iCs/>
        </w:rPr>
      </w:pPr>
      <w:r w:rsidRPr="008412F4">
        <w:rPr>
          <w:rFonts w:ascii="Times New Roman" w:hAnsi="Times New Roman" w:cs="Times New Roman"/>
          <w:bCs/>
          <w:iCs/>
        </w:rPr>
        <w:t>Pirmame skyriuje</w:t>
      </w:r>
      <w:r w:rsidRPr="008412F4">
        <w:rPr>
          <w:rFonts w:ascii="Times New Roman" w:hAnsi="Times New Roman" w:cs="Times New Roman"/>
          <w:b/>
          <w:bCs/>
          <w:i/>
          <w:iCs/>
        </w:rPr>
        <w:t xml:space="preserve"> </w:t>
      </w:r>
      <w:r>
        <w:rPr>
          <w:rFonts w:ascii="Times New Roman" w:hAnsi="Times New Roman" w:cs="Times New Roman"/>
          <w:bCs/>
          <w:iCs/>
        </w:rPr>
        <w:t xml:space="preserve">„Lizingo teorinė analizė“ atliekama mokslinės literatūros analizė: nagrinėjama lizingo paslaugos sąvoka, apžvelgiama istorinė lizingo paslaugos raida tiek pasaulyje, tiek Lietuvoje, aprašomi pagrindiniai lizingo tipai, privalumai ir trūkumai, analizuojami autorių </w:t>
      </w:r>
      <w:r w:rsidR="004F40DE">
        <w:rPr>
          <w:rFonts w:ascii="Times New Roman" w:hAnsi="Times New Roman" w:cs="Times New Roman"/>
          <w:bCs/>
          <w:iCs/>
        </w:rPr>
        <w:t xml:space="preserve">teoriniai ir empiriniai </w:t>
      </w:r>
      <w:r>
        <w:rPr>
          <w:rFonts w:ascii="Times New Roman" w:hAnsi="Times New Roman" w:cs="Times New Roman"/>
          <w:bCs/>
          <w:iCs/>
        </w:rPr>
        <w:t xml:space="preserve">tyrimai vertinant </w:t>
      </w:r>
      <w:r w:rsidR="004F40DE">
        <w:rPr>
          <w:rFonts w:ascii="Times New Roman" w:hAnsi="Times New Roman" w:cs="Times New Roman"/>
          <w:bCs/>
          <w:iCs/>
        </w:rPr>
        <w:t>lizingo rinkos įtaką ekonomikai ir pateikiamos jų išvados.</w:t>
      </w:r>
    </w:p>
    <w:p w:rsidR="004F40DE" w:rsidRDefault="008412F4" w:rsidP="00162F26">
      <w:pPr>
        <w:spacing w:line="360" w:lineRule="auto"/>
        <w:ind w:firstLine="567"/>
        <w:jc w:val="both"/>
        <w:rPr>
          <w:rFonts w:ascii="Times New Roman" w:hAnsi="Times New Roman" w:cs="Times New Roman"/>
        </w:rPr>
      </w:pPr>
      <w:r>
        <w:rPr>
          <w:rFonts w:ascii="Times New Roman" w:hAnsi="Times New Roman" w:cs="Times New Roman"/>
          <w:bCs/>
          <w:iCs/>
        </w:rPr>
        <w:t xml:space="preserve"> </w:t>
      </w:r>
      <w:r w:rsidRPr="004F40DE">
        <w:rPr>
          <w:rFonts w:ascii="Times New Roman" w:hAnsi="Times New Roman" w:cs="Times New Roman"/>
          <w:bCs/>
          <w:iCs/>
        </w:rPr>
        <w:t>Antrame skyriuje</w:t>
      </w:r>
      <w:r w:rsidRPr="008412F4">
        <w:rPr>
          <w:rFonts w:ascii="Times New Roman" w:hAnsi="Times New Roman" w:cs="Times New Roman"/>
          <w:b/>
          <w:bCs/>
          <w:i/>
          <w:iCs/>
        </w:rPr>
        <w:t xml:space="preserve"> </w:t>
      </w:r>
      <w:r w:rsidR="004F40DE" w:rsidRPr="004F40DE">
        <w:rPr>
          <w:rFonts w:ascii="Times New Roman" w:hAnsi="Times New Roman" w:cs="Times New Roman"/>
          <w:bCs/>
          <w:iCs/>
        </w:rPr>
        <w:t>„</w:t>
      </w:r>
      <w:r w:rsidR="00AD41D7">
        <w:rPr>
          <w:rFonts w:ascii="Times New Roman" w:hAnsi="Times New Roman" w:cs="Times New Roman"/>
          <w:bCs/>
          <w:iCs/>
        </w:rPr>
        <w:t>L</w:t>
      </w:r>
      <w:r w:rsidR="004F40DE">
        <w:rPr>
          <w:rFonts w:ascii="Times New Roman" w:hAnsi="Times New Roman" w:cs="Times New Roman"/>
          <w:bCs/>
          <w:iCs/>
        </w:rPr>
        <w:t>izingo rinkos įtak</w:t>
      </w:r>
      <w:r w:rsidR="00AD41D7">
        <w:rPr>
          <w:rFonts w:ascii="Times New Roman" w:hAnsi="Times New Roman" w:cs="Times New Roman"/>
          <w:bCs/>
          <w:iCs/>
        </w:rPr>
        <w:t>os ekonomikai vertinimo metodologija</w:t>
      </w:r>
      <w:r w:rsidR="004F40DE">
        <w:rPr>
          <w:rFonts w:ascii="Times New Roman" w:hAnsi="Times New Roman" w:cs="Times New Roman"/>
          <w:bCs/>
          <w:iCs/>
        </w:rPr>
        <w:t xml:space="preserve">“ </w:t>
      </w:r>
      <w:r w:rsidRPr="004F40DE">
        <w:rPr>
          <w:rFonts w:ascii="Times New Roman" w:hAnsi="Times New Roman" w:cs="Times New Roman"/>
        </w:rPr>
        <w:t>sudaromas</w:t>
      </w:r>
      <w:r w:rsidRPr="008412F4">
        <w:rPr>
          <w:rFonts w:ascii="Times New Roman" w:hAnsi="Times New Roman" w:cs="Times New Roman"/>
        </w:rPr>
        <w:t xml:space="preserve"> </w:t>
      </w:r>
      <w:r w:rsidR="004F40DE">
        <w:rPr>
          <w:rFonts w:ascii="Times New Roman" w:hAnsi="Times New Roman" w:cs="Times New Roman"/>
        </w:rPr>
        <w:t>lizingo rinkos</w:t>
      </w:r>
      <w:r w:rsidRPr="008412F4">
        <w:rPr>
          <w:rFonts w:ascii="Times New Roman" w:hAnsi="Times New Roman" w:cs="Times New Roman"/>
        </w:rPr>
        <w:t xml:space="preserve"> </w:t>
      </w:r>
      <w:r w:rsidR="004F40DE">
        <w:rPr>
          <w:rFonts w:ascii="Times New Roman" w:hAnsi="Times New Roman" w:cs="Times New Roman"/>
        </w:rPr>
        <w:t xml:space="preserve">įtakos ekonomikai </w:t>
      </w:r>
      <w:r w:rsidRPr="008412F4">
        <w:rPr>
          <w:rFonts w:ascii="Times New Roman" w:hAnsi="Times New Roman" w:cs="Times New Roman"/>
        </w:rPr>
        <w:t>vertinimo modelis</w:t>
      </w:r>
      <w:r w:rsidR="004F40DE">
        <w:rPr>
          <w:rFonts w:ascii="Times New Roman" w:hAnsi="Times New Roman" w:cs="Times New Roman"/>
        </w:rPr>
        <w:t xml:space="preserve"> bei</w:t>
      </w:r>
      <w:r w:rsidRPr="008412F4">
        <w:rPr>
          <w:rFonts w:ascii="Times New Roman" w:hAnsi="Times New Roman" w:cs="Times New Roman"/>
        </w:rPr>
        <w:t xml:space="preserve"> </w:t>
      </w:r>
      <w:r w:rsidR="004F40DE">
        <w:rPr>
          <w:rFonts w:ascii="Times New Roman" w:hAnsi="Times New Roman" w:cs="Times New Roman"/>
        </w:rPr>
        <w:t xml:space="preserve">analizuojama Lietuvos lizingo rinka, stebimos kitimo tendencijos, vertinama Lietuvos lizingo rinkos pozicija </w:t>
      </w:r>
      <w:r w:rsidR="00926830">
        <w:rPr>
          <w:rFonts w:ascii="Times New Roman" w:hAnsi="Times New Roman" w:cs="Times New Roman"/>
        </w:rPr>
        <w:t>B</w:t>
      </w:r>
      <w:r w:rsidR="004F40DE">
        <w:rPr>
          <w:rFonts w:ascii="Times New Roman" w:hAnsi="Times New Roman" w:cs="Times New Roman"/>
        </w:rPr>
        <w:t>altijos šalių</w:t>
      </w:r>
      <w:r w:rsidR="00926830">
        <w:rPr>
          <w:rFonts w:ascii="Times New Roman" w:hAnsi="Times New Roman" w:cs="Times New Roman"/>
        </w:rPr>
        <w:t>,</w:t>
      </w:r>
      <w:r w:rsidR="004F40DE">
        <w:rPr>
          <w:rFonts w:ascii="Times New Roman" w:hAnsi="Times New Roman" w:cs="Times New Roman"/>
        </w:rPr>
        <w:t xml:space="preserve"> Europos bei pasaulio kontekste.</w:t>
      </w:r>
    </w:p>
    <w:p w:rsidR="008412F4" w:rsidRDefault="008412F4" w:rsidP="00162F26">
      <w:pPr>
        <w:spacing w:line="360" w:lineRule="auto"/>
        <w:ind w:firstLine="567"/>
        <w:jc w:val="both"/>
        <w:rPr>
          <w:rFonts w:ascii="Times New Roman" w:hAnsi="Times New Roman" w:cs="Times New Roman"/>
        </w:rPr>
      </w:pPr>
      <w:r w:rsidRPr="004F40DE">
        <w:rPr>
          <w:rFonts w:ascii="Times New Roman" w:hAnsi="Times New Roman" w:cs="Times New Roman"/>
          <w:bCs/>
          <w:iCs/>
        </w:rPr>
        <w:t>Trečiame skyriuje</w:t>
      </w:r>
      <w:r w:rsidRPr="004F40DE">
        <w:rPr>
          <w:rFonts w:ascii="Times New Roman" w:hAnsi="Times New Roman" w:cs="Times New Roman"/>
        </w:rPr>
        <w:t xml:space="preserve"> </w:t>
      </w:r>
      <w:r w:rsidR="004F40DE">
        <w:rPr>
          <w:rFonts w:ascii="Times New Roman" w:hAnsi="Times New Roman" w:cs="Times New Roman"/>
        </w:rPr>
        <w:t>„Lizingo rin</w:t>
      </w:r>
      <w:r w:rsidR="00AD41D7">
        <w:rPr>
          <w:rFonts w:ascii="Times New Roman" w:hAnsi="Times New Roman" w:cs="Times New Roman"/>
        </w:rPr>
        <w:t>kos įtakos Lietuvos ekonomikai analizė</w:t>
      </w:r>
      <w:r w:rsidR="004F40DE">
        <w:rPr>
          <w:rFonts w:ascii="Times New Roman" w:hAnsi="Times New Roman" w:cs="Times New Roman"/>
        </w:rPr>
        <w:t>“ remiantis antrame skyriuje sudarytu modeliu</w:t>
      </w:r>
      <w:r w:rsidR="00926830">
        <w:rPr>
          <w:rFonts w:ascii="Times New Roman" w:hAnsi="Times New Roman" w:cs="Times New Roman"/>
        </w:rPr>
        <w:t xml:space="preserve"> </w:t>
      </w:r>
      <w:r w:rsidR="00926830" w:rsidRPr="008412F4">
        <w:rPr>
          <w:rFonts w:ascii="Times New Roman" w:hAnsi="Times New Roman" w:cs="Times New Roman"/>
        </w:rPr>
        <w:t xml:space="preserve">atliekamas </w:t>
      </w:r>
      <w:r w:rsidR="00926830">
        <w:rPr>
          <w:rFonts w:ascii="Times New Roman" w:hAnsi="Times New Roman" w:cs="Times New Roman"/>
        </w:rPr>
        <w:t xml:space="preserve">lizingo rinkos įtakos Lietuvos ekonomikai įvertinimas. </w:t>
      </w:r>
    </w:p>
    <w:p w:rsidR="00A612B6" w:rsidRDefault="008D515D" w:rsidP="00510B18">
      <w:pPr>
        <w:spacing w:line="360" w:lineRule="auto"/>
        <w:ind w:firstLine="567"/>
        <w:jc w:val="both"/>
        <w:rPr>
          <w:rFonts w:ascii="Times New Roman" w:hAnsi="Times New Roman" w:cs="Times New Roman"/>
        </w:rPr>
      </w:pPr>
      <w:r>
        <w:rPr>
          <w:rFonts w:ascii="Times New Roman" w:hAnsi="Times New Roman" w:cs="Times New Roman"/>
        </w:rPr>
        <w:t>Darbas ir jo</w:t>
      </w:r>
      <w:r w:rsidR="00241CC9" w:rsidRPr="00241CC9">
        <w:rPr>
          <w:rFonts w:ascii="Times New Roman" w:hAnsi="Times New Roman" w:cs="Times New Roman"/>
        </w:rPr>
        <w:t xml:space="preserve"> rezultatai gali </w:t>
      </w:r>
      <w:r w:rsidR="00241CC9">
        <w:rPr>
          <w:rFonts w:ascii="Times New Roman" w:hAnsi="Times New Roman" w:cs="Times New Roman"/>
        </w:rPr>
        <w:t xml:space="preserve">būti </w:t>
      </w:r>
      <w:r w:rsidR="00EB29CC">
        <w:rPr>
          <w:rFonts w:ascii="Times New Roman" w:hAnsi="Times New Roman" w:cs="Times New Roman"/>
        </w:rPr>
        <w:t xml:space="preserve">labiausiai </w:t>
      </w:r>
      <w:r w:rsidR="00241CC9">
        <w:rPr>
          <w:rFonts w:ascii="Times New Roman" w:hAnsi="Times New Roman" w:cs="Times New Roman"/>
        </w:rPr>
        <w:t xml:space="preserve">naudingi </w:t>
      </w:r>
      <w:r w:rsidR="00EB29CC">
        <w:rPr>
          <w:rFonts w:ascii="Times New Roman" w:hAnsi="Times New Roman" w:cs="Times New Roman"/>
        </w:rPr>
        <w:t>valdžios institucijoms bei lizingo kompanijoms. Kadangi šio tyrimo rezultatai parodė, kad Lietuvos lizingo rinkos plėtra turi teigiamą įtaką Lietuvos ekonomikai, valdžios institucijoms reikėtų atsižvelgti į lizingo įmonių atstovų pastabas</w:t>
      </w:r>
      <w:r w:rsidR="00CA05E2">
        <w:rPr>
          <w:rFonts w:ascii="Times New Roman" w:hAnsi="Times New Roman" w:cs="Times New Roman"/>
        </w:rPr>
        <w:t xml:space="preserve"> bei siūlomus pateikimus, kuriuos </w:t>
      </w:r>
      <w:r w:rsidR="00EB29CC">
        <w:rPr>
          <w:rFonts w:ascii="Times New Roman" w:hAnsi="Times New Roman" w:cs="Times New Roman"/>
        </w:rPr>
        <w:t xml:space="preserve">reikėtų </w:t>
      </w:r>
      <w:r w:rsidR="00CA05E2">
        <w:rPr>
          <w:rFonts w:ascii="Times New Roman" w:hAnsi="Times New Roman" w:cs="Times New Roman"/>
        </w:rPr>
        <w:t>atlikti</w:t>
      </w:r>
      <w:r w:rsidR="00687E42">
        <w:rPr>
          <w:rFonts w:ascii="Times New Roman" w:hAnsi="Times New Roman" w:cs="Times New Roman"/>
        </w:rPr>
        <w:t>,</w:t>
      </w:r>
      <w:r w:rsidR="00EB29CC">
        <w:rPr>
          <w:rFonts w:ascii="Times New Roman" w:hAnsi="Times New Roman" w:cs="Times New Roman"/>
        </w:rPr>
        <w:t xml:space="preserve"> norint užtikrint</w:t>
      </w:r>
      <w:r w:rsidR="00687E42">
        <w:rPr>
          <w:rFonts w:ascii="Times New Roman" w:hAnsi="Times New Roman" w:cs="Times New Roman"/>
        </w:rPr>
        <w:t>i stabilią lizingo rinkos plėtrą</w:t>
      </w:r>
      <w:r w:rsidR="00EB29CC">
        <w:rPr>
          <w:rFonts w:ascii="Times New Roman" w:hAnsi="Times New Roman" w:cs="Times New Roman"/>
        </w:rPr>
        <w:t xml:space="preserve">. Stabili lizingo rinkos plėtra tikėtina skatins Lietuvos </w:t>
      </w:r>
      <w:r w:rsidR="00CA05E2">
        <w:rPr>
          <w:rFonts w:ascii="Times New Roman" w:hAnsi="Times New Roman" w:cs="Times New Roman"/>
        </w:rPr>
        <w:t>bendrojo vidaus produkto augimą</w:t>
      </w:r>
      <w:r w:rsidR="00EB29CC">
        <w:rPr>
          <w:rFonts w:ascii="Times New Roman" w:hAnsi="Times New Roman" w:cs="Times New Roman"/>
        </w:rPr>
        <w:t xml:space="preserve">, nedarbo mažėjimą bei padės pritraukti naujų investicijų. Lizingo kompanijos </w:t>
      </w:r>
      <w:r>
        <w:rPr>
          <w:rFonts w:ascii="Times New Roman" w:hAnsi="Times New Roman" w:cs="Times New Roman"/>
        </w:rPr>
        <w:t xml:space="preserve">ir jų vadovai </w:t>
      </w:r>
      <w:r w:rsidR="00EB29CC">
        <w:rPr>
          <w:rFonts w:ascii="Times New Roman" w:hAnsi="Times New Roman" w:cs="Times New Roman"/>
        </w:rPr>
        <w:t>šio tyrimo rezultatais galėtų pasinaudoti komercini</w:t>
      </w:r>
      <w:r w:rsidR="00CA05E2">
        <w:rPr>
          <w:rFonts w:ascii="Times New Roman" w:hAnsi="Times New Roman" w:cs="Times New Roman"/>
        </w:rPr>
        <w:t>ais tikslais, siekdamos parodyti</w:t>
      </w:r>
      <w:r w:rsidR="00EB29CC">
        <w:rPr>
          <w:rFonts w:ascii="Times New Roman" w:hAnsi="Times New Roman" w:cs="Times New Roman"/>
        </w:rPr>
        <w:t xml:space="preserve"> šių įmonių teikiamos paslaugos </w:t>
      </w:r>
      <w:r w:rsidR="00510B18">
        <w:rPr>
          <w:rFonts w:ascii="Times New Roman" w:hAnsi="Times New Roman" w:cs="Times New Roman"/>
        </w:rPr>
        <w:t>naudą</w:t>
      </w:r>
      <w:r w:rsidR="00EB29CC">
        <w:rPr>
          <w:rFonts w:ascii="Times New Roman" w:hAnsi="Times New Roman" w:cs="Times New Roman"/>
        </w:rPr>
        <w:t xml:space="preserve"> ek</w:t>
      </w:r>
      <w:r w:rsidR="00A612B6">
        <w:rPr>
          <w:rFonts w:ascii="Times New Roman" w:hAnsi="Times New Roman" w:cs="Times New Roman"/>
        </w:rPr>
        <w:t>onomikai ir kiekvienam iš mūsų. Žinoma, kadangi tai buvo vienas iš pirmų</w:t>
      </w:r>
      <w:r w:rsidR="00CA05E2">
        <w:rPr>
          <w:rFonts w:ascii="Times New Roman" w:hAnsi="Times New Roman" w:cs="Times New Roman"/>
        </w:rPr>
        <w:t>jų</w:t>
      </w:r>
      <w:r w:rsidR="00A612B6">
        <w:rPr>
          <w:rFonts w:ascii="Times New Roman" w:hAnsi="Times New Roman" w:cs="Times New Roman"/>
        </w:rPr>
        <w:t xml:space="preserve"> tyrimų siekiant įvertinti lizingo rinkos įtaką Lietuvos ekonomikai, svarbu t</w:t>
      </w:r>
      <w:r w:rsidR="00C349DF">
        <w:rPr>
          <w:rFonts w:ascii="Times New Roman" w:hAnsi="Times New Roman" w:cs="Times New Roman"/>
        </w:rPr>
        <w:t xml:space="preserve">ęsti ir plėtoti naujus tyrimus, naudoti naujus metodus bei padėti </w:t>
      </w:r>
      <w:r w:rsidR="00A612B6">
        <w:rPr>
          <w:rFonts w:ascii="Times New Roman" w:hAnsi="Times New Roman" w:cs="Times New Roman"/>
        </w:rPr>
        <w:t>įsitikinti šio tyrimo rezultatais</w:t>
      </w:r>
      <w:r w:rsidR="00C349DF">
        <w:rPr>
          <w:rFonts w:ascii="Times New Roman" w:hAnsi="Times New Roman" w:cs="Times New Roman"/>
        </w:rPr>
        <w:t>. Naujų tyrimų rezultatai</w:t>
      </w:r>
      <w:r w:rsidR="00A612B6">
        <w:rPr>
          <w:rFonts w:ascii="Times New Roman" w:hAnsi="Times New Roman" w:cs="Times New Roman"/>
        </w:rPr>
        <w:t xml:space="preserve"> </w:t>
      </w:r>
      <w:r w:rsidR="00C349DF">
        <w:rPr>
          <w:rFonts w:ascii="Times New Roman" w:hAnsi="Times New Roman" w:cs="Times New Roman"/>
        </w:rPr>
        <w:t>galėtų būti pagrindas siekiant užtikrinti sėkmingą</w:t>
      </w:r>
      <w:r w:rsidR="00A612B6">
        <w:rPr>
          <w:rFonts w:ascii="Times New Roman" w:hAnsi="Times New Roman" w:cs="Times New Roman"/>
        </w:rPr>
        <w:t xml:space="preserve"> </w:t>
      </w:r>
      <w:r w:rsidR="00C349DF">
        <w:rPr>
          <w:rFonts w:ascii="Times New Roman" w:hAnsi="Times New Roman" w:cs="Times New Roman"/>
        </w:rPr>
        <w:t>Lietuvos lizingo rinkos ateitį.</w:t>
      </w:r>
    </w:p>
    <w:p w:rsidR="00162F26" w:rsidRDefault="00162F26">
      <w:pPr>
        <w:spacing w:after="200" w:line="276" w:lineRule="auto"/>
        <w:rPr>
          <w:rFonts w:ascii="Times New Roman" w:eastAsiaTheme="majorEastAsia" w:hAnsi="Times New Roman" w:cs="Times New Roman"/>
          <w:b/>
          <w:bCs/>
          <w:color w:val="auto"/>
          <w:sz w:val="28"/>
          <w:szCs w:val="28"/>
        </w:rPr>
      </w:pPr>
      <w:r>
        <w:rPr>
          <w:rFonts w:ascii="Times New Roman" w:eastAsiaTheme="majorEastAsia" w:hAnsi="Times New Roman" w:cs="Times New Roman"/>
          <w:b/>
          <w:bCs/>
          <w:color w:val="auto"/>
          <w:sz w:val="28"/>
          <w:szCs w:val="28"/>
        </w:rPr>
        <w:br w:type="page"/>
      </w:r>
    </w:p>
    <w:p w:rsidR="00507E1B" w:rsidRPr="00162F26" w:rsidRDefault="00507E1B" w:rsidP="006D09D0">
      <w:pPr>
        <w:pStyle w:val="Heading1"/>
        <w:numPr>
          <w:ilvl w:val="0"/>
          <w:numId w:val="0"/>
        </w:numPr>
        <w:ind w:left="720" w:hanging="360"/>
        <w:rPr>
          <w:sz w:val="24"/>
          <w:szCs w:val="24"/>
        </w:rPr>
      </w:pPr>
    </w:p>
    <w:p w:rsidR="000E06D8" w:rsidRDefault="00507E1B" w:rsidP="0030675B">
      <w:pPr>
        <w:pStyle w:val="Heading1"/>
        <w:spacing w:before="0"/>
      </w:pPr>
      <w:bookmarkStart w:id="2" w:name="_Toc343517964"/>
      <w:r w:rsidRPr="00316309">
        <w:t xml:space="preserve">LIZINGO </w:t>
      </w:r>
      <w:r w:rsidR="004251D4">
        <w:t>TEORINĖ ANALIZĖ</w:t>
      </w:r>
      <w:bookmarkEnd w:id="2"/>
    </w:p>
    <w:p w:rsidR="00432612" w:rsidRPr="00432612" w:rsidRDefault="00432612" w:rsidP="0030675B">
      <w:pPr>
        <w:rPr>
          <w:rFonts w:ascii="Times New Roman" w:hAnsi="Times New Roman" w:cs="Times New Roman"/>
        </w:rPr>
      </w:pPr>
    </w:p>
    <w:p w:rsidR="00432612" w:rsidRPr="0030675B" w:rsidRDefault="00AC04FB" w:rsidP="00F9096C">
      <w:pPr>
        <w:pStyle w:val="Heading2"/>
      </w:pPr>
      <w:bookmarkStart w:id="3" w:name="_Toc343517965"/>
      <w:r>
        <w:t>Lizingo koncepcija</w:t>
      </w:r>
      <w:bookmarkEnd w:id="3"/>
    </w:p>
    <w:p w:rsidR="00316309" w:rsidRPr="00432612" w:rsidRDefault="00316309" w:rsidP="00316309">
      <w:pPr>
        <w:rPr>
          <w:rFonts w:ascii="Times New Roman" w:hAnsi="Times New Roman" w:cs="Times New Roman"/>
        </w:rPr>
      </w:pPr>
    </w:p>
    <w:p w:rsidR="00F8088A" w:rsidRDefault="0093411E" w:rsidP="001062E1">
      <w:pPr>
        <w:spacing w:line="360" w:lineRule="auto"/>
        <w:ind w:firstLine="567"/>
        <w:jc w:val="both"/>
        <w:rPr>
          <w:rFonts w:ascii="Times New Roman" w:hAnsi="Times New Roman" w:cs="Times New Roman"/>
        </w:rPr>
      </w:pPr>
      <w:r>
        <w:rPr>
          <w:rFonts w:ascii="Times New Roman" w:hAnsi="Times New Roman" w:cs="Times New Roman"/>
        </w:rPr>
        <w:t xml:space="preserve">Lizingo </w:t>
      </w:r>
      <w:r w:rsidR="00084657">
        <w:rPr>
          <w:rFonts w:ascii="Times New Roman" w:hAnsi="Times New Roman" w:cs="Times New Roman"/>
        </w:rPr>
        <w:t>atsiradimą</w:t>
      </w:r>
      <w:r>
        <w:rPr>
          <w:rFonts w:ascii="Times New Roman" w:hAnsi="Times New Roman" w:cs="Times New Roman"/>
        </w:rPr>
        <w:t xml:space="preserve"> reikėtų sieti su aktyvių nuomos santykių rutuliojimusi. Tačiau </w:t>
      </w:r>
      <w:r w:rsidR="00084657">
        <w:rPr>
          <w:rFonts w:ascii="Times New Roman" w:hAnsi="Times New Roman" w:cs="Times New Roman"/>
        </w:rPr>
        <w:t>norint įvardyti</w:t>
      </w:r>
      <w:r>
        <w:rPr>
          <w:rFonts w:ascii="Times New Roman" w:hAnsi="Times New Roman" w:cs="Times New Roman"/>
        </w:rPr>
        <w:t xml:space="preserve"> tikslesnę lizingo </w:t>
      </w:r>
      <w:r w:rsidR="00084657">
        <w:rPr>
          <w:rFonts w:ascii="Times New Roman" w:hAnsi="Times New Roman" w:cs="Times New Roman"/>
        </w:rPr>
        <w:t>atsiradimo datą autoriai ginčijasi. Danys</w:t>
      </w:r>
      <w:r w:rsidR="003F7A2D">
        <w:rPr>
          <w:rFonts w:ascii="Times New Roman" w:hAnsi="Times New Roman" w:cs="Times New Roman"/>
        </w:rPr>
        <w:t xml:space="preserve"> ir Milašauskas</w:t>
      </w:r>
      <w:r w:rsidR="00084657">
        <w:rPr>
          <w:rFonts w:ascii="Times New Roman" w:hAnsi="Times New Roman" w:cs="Times New Roman"/>
        </w:rPr>
        <w:t xml:space="preserve"> (2000) teigia, kad t</w:t>
      </w:r>
      <w:r>
        <w:rPr>
          <w:rFonts w:ascii="Times New Roman" w:hAnsi="Times New Roman" w:cs="Times New Roman"/>
        </w:rPr>
        <w:t xml:space="preserve">am tikra forma lizingas jau egzistuoja ne mažiau nei keturis tūkstančius metų. </w:t>
      </w:r>
      <w:r w:rsidR="00084657">
        <w:rPr>
          <w:rFonts w:ascii="Times New Roman" w:hAnsi="Times New Roman" w:cs="Times New Roman"/>
        </w:rPr>
        <w:t xml:space="preserve">Senovės Egipto šventikai, už tam tikrą mokestį nuomoję žemės ūkio įrankius, naudojo savotišką lizingo formą. Tuo tarpu Jurgutytė (2003) savo straipsnyje rašo, kad lizingo ištakos siekia IV a. pr. Kr. „Kai kuriuose šaltiniuose teigiama, kad lizingo sutartys jau buvo sudaromos Šumero valstybėje: Uro mieste rastos molinės lentelės liudija apie žemės ūkio įrankių, žemės, vandens, buivolų ir kitų gyvūnų nuomą“. </w:t>
      </w:r>
      <w:r w:rsidR="00FC377F">
        <w:rPr>
          <w:rFonts w:ascii="Times New Roman" w:hAnsi="Times New Roman" w:cs="Times New Roman"/>
        </w:rPr>
        <w:t>Anot autorių, pirmą kartą rašytiniuose šaltiniuose lizingo operacija buvo paminėta 1066 m., kai Vilhelmas Užkariautojas išsinuomavo iš Normandijos pirklių laivų Britanijos salų puolimui. Tačiau tais laikais lizi</w:t>
      </w:r>
      <w:r w:rsidR="00AD41D7">
        <w:rPr>
          <w:rFonts w:ascii="Times New Roman" w:hAnsi="Times New Roman" w:cs="Times New Roman"/>
        </w:rPr>
        <w:t>ngas buvo suvokiamas kiek kitaip</w:t>
      </w:r>
      <w:r w:rsidR="00FC377F">
        <w:rPr>
          <w:rFonts w:ascii="Times New Roman" w:hAnsi="Times New Roman" w:cs="Times New Roman"/>
        </w:rPr>
        <w:t xml:space="preserve"> negu dabar – tiesiog paprasta nuoma. </w:t>
      </w:r>
    </w:p>
    <w:p w:rsidR="00FC377F" w:rsidRDefault="00476785" w:rsidP="001062E1">
      <w:pPr>
        <w:spacing w:line="360" w:lineRule="auto"/>
        <w:ind w:firstLine="567"/>
        <w:jc w:val="both"/>
        <w:rPr>
          <w:rFonts w:ascii="Times New Roman" w:hAnsi="Times New Roman" w:cs="Times New Roman"/>
        </w:rPr>
      </w:pPr>
      <w:r>
        <w:rPr>
          <w:rFonts w:ascii="Times New Roman" w:hAnsi="Times New Roman" w:cs="Times New Roman"/>
        </w:rPr>
        <w:t>Bėgant laikui požiūris į lizingą keitėsi: artimesnis lizingo suvokimas dabartiniam</w:t>
      </w:r>
      <w:r w:rsidR="00FC377F">
        <w:rPr>
          <w:rFonts w:ascii="Times New Roman" w:hAnsi="Times New Roman" w:cs="Times New Roman"/>
        </w:rPr>
        <w:t xml:space="preserve"> atsirado XIX a., kai buvo įregistruotos pirmosios lizingo bendrovės, kurios tuo metu buvo vadinamos vagonų bendrovėmis. Tokios bendrovės nuomodavo traukinių vagonus anglių ir mineralinių iškasenų savininkams 5 – 8 metų laikotarpiui, bet </w:t>
      </w:r>
      <w:r w:rsidR="0075329F">
        <w:rPr>
          <w:rFonts w:ascii="Times New Roman" w:hAnsi="Times New Roman" w:cs="Times New Roman"/>
        </w:rPr>
        <w:t>ilgalaikėse lizingo</w:t>
      </w:r>
      <w:r w:rsidR="00FC377F">
        <w:rPr>
          <w:rFonts w:ascii="Times New Roman" w:hAnsi="Times New Roman" w:cs="Times New Roman"/>
        </w:rPr>
        <w:t xml:space="preserve"> sutartyse jau buvo numatyta galimybė </w:t>
      </w:r>
      <w:r w:rsidR="0075329F">
        <w:rPr>
          <w:rFonts w:ascii="Times New Roman" w:hAnsi="Times New Roman" w:cs="Times New Roman"/>
        </w:rPr>
        <w:t xml:space="preserve">nuomininkui įsigyti nuomojamus vagonus (Danys, </w:t>
      </w:r>
      <w:r w:rsidR="003F7A2D">
        <w:rPr>
          <w:rFonts w:ascii="Times New Roman" w:hAnsi="Times New Roman" w:cs="Times New Roman"/>
        </w:rPr>
        <w:t xml:space="preserve">Milašauskas, </w:t>
      </w:r>
      <w:r w:rsidR="0075329F">
        <w:rPr>
          <w:rFonts w:ascii="Times New Roman" w:hAnsi="Times New Roman" w:cs="Times New Roman"/>
        </w:rPr>
        <w:t xml:space="preserve">2000). </w:t>
      </w:r>
      <w:r w:rsidR="00172019">
        <w:rPr>
          <w:rFonts w:ascii="Times New Roman" w:hAnsi="Times New Roman" w:cs="Times New Roman"/>
        </w:rPr>
        <w:t>Bėgant laikui lizingas</w:t>
      </w:r>
      <w:r w:rsidR="0075329F">
        <w:rPr>
          <w:rFonts w:ascii="Times New Roman" w:hAnsi="Times New Roman" w:cs="Times New Roman"/>
        </w:rPr>
        <w:t xml:space="preserve"> vis labiau populiarėjo, plito po skirtingas šalis ir dabar tai yra įprastas finansavimo </w:t>
      </w:r>
      <w:r>
        <w:rPr>
          <w:rFonts w:ascii="Times New Roman" w:hAnsi="Times New Roman" w:cs="Times New Roman"/>
        </w:rPr>
        <w:t>būdas visame pasaulyje</w:t>
      </w:r>
      <w:r w:rsidR="00172019">
        <w:rPr>
          <w:rFonts w:ascii="Times New Roman" w:hAnsi="Times New Roman" w:cs="Times New Roman"/>
        </w:rPr>
        <w:t>.</w:t>
      </w:r>
    </w:p>
    <w:p w:rsidR="00316309" w:rsidRDefault="0075329F" w:rsidP="0075329F">
      <w:pPr>
        <w:spacing w:line="360" w:lineRule="auto"/>
        <w:ind w:firstLine="567"/>
        <w:jc w:val="both"/>
        <w:rPr>
          <w:rFonts w:ascii="Times New Roman" w:hAnsi="Times New Roman" w:cs="Times New Roman"/>
        </w:rPr>
      </w:pPr>
      <w:r>
        <w:rPr>
          <w:rFonts w:ascii="Times New Roman" w:hAnsi="Times New Roman" w:cs="Times New Roman"/>
        </w:rPr>
        <w:t>Taigi i</w:t>
      </w:r>
      <w:r w:rsidR="00FC377F">
        <w:rPr>
          <w:rFonts w:ascii="Times New Roman" w:hAnsi="Times New Roman" w:cs="Times New Roman"/>
        </w:rPr>
        <w:t>šnagrinėjus skirtingą lizingo suvokimą praeities ir dabarties metu, būtina tiksliai ir teisingai apibrėžti šią sąvoką.</w:t>
      </w:r>
      <w:r>
        <w:rPr>
          <w:rFonts w:ascii="Times New Roman" w:hAnsi="Times New Roman" w:cs="Times New Roman"/>
        </w:rPr>
        <w:t xml:space="preserve"> </w:t>
      </w:r>
      <w:r w:rsidR="00316309">
        <w:rPr>
          <w:rFonts w:ascii="Times New Roman" w:hAnsi="Times New Roman" w:cs="Times New Roman"/>
        </w:rPr>
        <w:t xml:space="preserve">Šiuo tikslu panagrinėjau lietuvių ir užsienio autorių darbus ir pateiksiu keletą lizingo apibrėžimų. </w:t>
      </w:r>
      <w:r w:rsidR="00432612">
        <w:rPr>
          <w:rFonts w:ascii="Times New Roman" w:hAnsi="Times New Roman" w:cs="Times New Roman"/>
        </w:rPr>
        <w:t xml:space="preserve">Tarptautiniame finansų žodyne (2003) lizingas apibrėžiamas kaip susitarimas tarp turto savininko (lizingo kompanijos) ir kitos šalies (lizingo gavėjo) leisti naudoti turtą tam tikram laikotarpiui už tam tikrą atlygį. </w:t>
      </w:r>
      <w:r w:rsidR="00AD3DF3">
        <w:rPr>
          <w:rFonts w:ascii="Times New Roman" w:hAnsi="Times New Roman" w:cs="Times New Roman"/>
        </w:rPr>
        <w:t>Alam e</w:t>
      </w:r>
      <w:r w:rsidR="001062E1">
        <w:rPr>
          <w:rFonts w:ascii="Times New Roman" w:hAnsi="Times New Roman" w:cs="Times New Roman"/>
        </w:rPr>
        <w:t>t al. (2011) teigia, kad l</w:t>
      </w:r>
      <w:r w:rsidR="006B4D81">
        <w:rPr>
          <w:rFonts w:ascii="Times New Roman" w:hAnsi="Times New Roman" w:cs="Times New Roman"/>
        </w:rPr>
        <w:t xml:space="preserve">izingas </w:t>
      </w:r>
      <w:r w:rsidR="001062E1">
        <w:rPr>
          <w:rFonts w:ascii="Times New Roman" w:hAnsi="Times New Roman" w:cs="Times New Roman"/>
        </w:rPr>
        <w:t>yra</w:t>
      </w:r>
      <w:r w:rsidR="006B4D81">
        <w:rPr>
          <w:rFonts w:ascii="Times New Roman" w:hAnsi="Times New Roman" w:cs="Times New Roman"/>
        </w:rPr>
        <w:t xml:space="preserve"> priemonė </w:t>
      </w:r>
      <w:r w:rsidR="00053CB7">
        <w:rPr>
          <w:rFonts w:ascii="Times New Roman" w:hAnsi="Times New Roman" w:cs="Times New Roman"/>
        </w:rPr>
        <w:t>fi</w:t>
      </w:r>
      <w:r w:rsidR="00E11792">
        <w:rPr>
          <w:rFonts w:ascii="Times New Roman" w:hAnsi="Times New Roman" w:cs="Times New Roman"/>
        </w:rPr>
        <w:t>ziniams ar juridiniams asmenims</w:t>
      </w:r>
      <w:r w:rsidR="00053CB7">
        <w:rPr>
          <w:rFonts w:ascii="Times New Roman" w:hAnsi="Times New Roman" w:cs="Times New Roman"/>
        </w:rPr>
        <w:t xml:space="preserve"> </w:t>
      </w:r>
      <w:r w:rsidR="006B4D81">
        <w:rPr>
          <w:rFonts w:ascii="Times New Roman" w:hAnsi="Times New Roman" w:cs="Times New Roman"/>
        </w:rPr>
        <w:t xml:space="preserve">gauti įrangą, techniką ar kitokį turtą </w:t>
      </w:r>
      <w:r w:rsidR="00053CB7">
        <w:rPr>
          <w:rFonts w:ascii="Times New Roman" w:hAnsi="Times New Roman" w:cs="Times New Roman"/>
        </w:rPr>
        <w:t>iš karto nesumokant visos sumos</w:t>
      </w:r>
      <w:r w:rsidR="00E11792">
        <w:rPr>
          <w:rFonts w:ascii="Times New Roman" w:hAnsi="Times New Roman" w:cs="Times New Roman"/>
        </w:rPr>
        <w:t>.</w:t>
      </w:r>
      <w:r w:rsidR="00053CB7">
        <w:rPr>
          <w:rFonts w:ascii="Times New Roman" w:hAnsi="Times New Roman" w:cs="Times New Roman"/>
        </w:rPr>
        <w:t xml:space="preserve"> Šios priemonės pagalba pelnas gali būti uždirbamas neturint turto nuosavybės</w:t>
      </w:r>
      <w:r w:rsidR="001062E1">
        <w:rPr>
          <w:rFonts w:ascii="Times New Roman" w:hAnsi="Times New Roman" w:cs="Times New Roman"/>
        </w:rPr>
        <w:t>.</w:t>
      </w:r>
      <w:r w:rsidR="00053CB7">
        <w:rPr>
          <w:rFonts w:ascii="Times New Roman" w:hAnsi="Times New Roman" w:cs="Times New Roman"/>
        </w:rPr>
        <w:t xml:space="preserve"> </w:t>
      </w:r>
      <w:r w:rsidR="00E11792">
        <w:rPr>
          <w:rFonts w:ascii="Times New Roman" w:hAnsi="Times New Roman" w:cs="Times New Roman"/>
        </w:rPr>
        <w:t xml:space="preserve">Gazman (2011) lizingą apibrėžia </w:t>
      </w:r>
      <w:r w:rsidR="00602220">
        <w:rPr>
          <w:rFonts w:ascii="Times New Roman" w:hAnsi="Times New Roman" w:cs="Times New Roman"/>
        </w:rPr>
        <w:t>kaip lizingo gavėjo įsipareigojimą perimti pageidaujamą turtą iš tokio turto pardavėjo m</w:t>
      </w:r>
      <w:r w:rsidR="00EE48FF">
        <w:rPr>
          <w:rFonts w:ascii="Times New Roman" w:hAnsi="Times New Roman" w:cs="Times New Roman"/>
        </w:rPr>
        <w:t xml:space="preserve">okant įmokas lizingo kompanijai, kuri tampa turto savininke. </w:t>
      </w:r>
      <w:r w:rsidR="00426479">
        <w:rPr>
          <w:rFonts w:ascii="Times New Roman" w:hAnsi="Times New Roman" w:cs="Times New Roman"/>
        </w:rPr>
        <w:t>Gore</w:t>
      </w:r>
      <w:r w:rsidR="00454113">
        <w:rPr>
          <w:rFonts w:ascii="Times New Roman" w:hAnsi="Times New Roman" w:cs="Times New Roman"/>
        </w:rPr>
        <w:t>mykin  (</w:t>
      </w:r>
      <w:r w:rsidR="00C94F85">
        <w:rPr>
          <w:rFonts w:ascii="Times New Roman" w:hAnsi="Times New Roman" w:cs="Times New Roman"/>
        </w:rPr>
        <w:t>2009</w:t>
      </w:r>
      <w:r w:rsidR="00454113">
        <w:rPr>
          <w:rFonts w:ascii="Times New Roman" w:hAnsi="Times New Roman" w:cs="Times New Roman"/>
        </w:rPr>
        <w:t>)</w:t>
      </w:r>
      <w:r w:rsidR="00454113">
        <w:rPr>
          <w:rFonts w:ascii="Times New Roman" w:hAnsi="Times New Roman" w:cs="Times New Roman"/>
          <w:lang w:val="en-US"/>
        </w:rPr>
        <w:t xml:space="preserve"> </w:t>
      </w:r>
      <w:r w:rsidR="00454113">
        <w:rPr>
          <w:rFonts w:ascii="Times New Roman" w:hAnsi="Times New Roman" w:cs="Times New Roman"/>
        </w:rPr>
        <w:t>lizingą apibūdina žymiai paprasčiau – kaip nuomą arba nuomos rūšį. Lizingo gavėjas tiesiog naudojasi turtu, kuris jam nepriklauso</w:t>
      </w:r>
      <w:r w:rsidR="00432612">
        <w:rPr>
          <w:rFonts w:ascii="Times New Roman" w:hAnsi="Times New Roman" w:cs="Times New Roman"/>
        </w:rPr>
        <w:t xml:space="preserve">, mokėdamas tam tikras įmokas. </w:t>
      </w:r>
    </w:p>
    <w:p w:rsidR="0030675B" w:rsidRPr="0030675B" w:rsidRDefault="001062E1" w:rsidP="0030675B">
      <w:pPr>
        <w:spacing w:line="360" w:lineRule="auto"/>
        <w:ind w:firstLine="567"/>
        <w:jc w:val="both"/>
        <w:rPr>
          <w:rFonts w:ascii="Times New Roman" w:hAnsi="Times New Roman" w:cs="Times New Roman"/>
          <w:i/>
        </w:rPr>
      </w:pPr>
      <w:r>
        <w:rPr>
          <w:rFonts w:ascii="Times New Roman" w:hAnsi="Times New Roman" w:cs="Times New Roman"/>
        </w:rPr>
        <w:t>Lietuvių autori</w:t>
      </w:r>
      <w:r w:rsidR="007224B0">
        <w:rPr>
          <w:rFonts w:ascii="Times New Roman" w:hAnsi="Times New Roman" w:cs="Times New Roman"/>
        </w:rPr>
        <w:t>ai lizingą apibrėžia panašiai</w:t>
      </w:r>
      <w:r w:rsidR="00F9096C">
        <w:rPr>
          <w:rFonts w:ascii="Times New Roman" w:hAnsi="Times New Roman" w:cs="Times New Roman"/>
        </w:rPr>
        <w:t xml:space="preserve">: </w:t>
      </w:r>
      <w:r w:rsidR="0030675B" w:rsidRPr="0030675B">
        <w:rPr>
          <w:rFonts w:ascii="Times New Roman" w:hAnsi="Times New Roman" w:cs="Times New Roman"/>
          <w:i/>
        </w:rPr>
        <w:t xml:space="preserve">Lizingas – tai netradicinė finansavimo sistema, jungianti ilgalaikės nuomos ir kreditavimo elementus. Jo esmė yra ilgalaikė nuoma, kurią įmonei, lizingo gavėjai, suteikia bankas, lizingo objektą gaminanti įmonė ar lizingo kompanija vadinama </w:t>
      </w:r>
      <w:r w:rsidR="0030675B" w:rsidRPr="0030675B">
        <w:rPr>
          <w:rFonts w:ascii="Times New Roman" w:hAnsi="Times New Roman" w:cs="Times New Roman"/>
          <w:i/>
        </w:rPr>
        <w:lastRenderedPageBreak/>
        <w:t>lizingo davėju. Sudaręs su lizingo gavėju sutartį, lizingo davėjas perka įrengimą, mašinas, kitą nekilnojamą ar kilnojamą turtą ir išnuomoja lizingo gavėjui už tam tikrą mokėjimų sumą, kurią šis moka per visą sutarties laiką</w:t>
      </w:r>
      <w:r w:rsidR="0030675B">
        <w:rPr>
          <w:rFonts w:ascii="Times New Roman" w:hAnsi="Times New Roman" w:cs="Times New Roman"/>
          <w:i/>
        </w:rPr>
        <w:t xml:space="preserve"> (Dainauskienė, </w:t>
      </w:r>
      <w:r w:rsidR="0030675B" w:rsidRPr="0030675B">
        <w:rPr>
          <w:rFonts w:ascii="Times New Roman" w:hAnsi="Times New Roman" w:cs="Times New Roman"/>
          <w:i/>
        </w:rPr>
        <w:t>1996, p. 4)</w:t>
      </w:r>
      <w:r w:rsidR="0030675B">
        <w:rPr>
          <w:rFonts w:ascii="Times New Roman" w:hAnsi="Times New Roman" w:cs="Times New Roman"/>
          <w:i/>
        </w:rPr>
        <w:t>.</w:t>
      </w:r>
    </w:p>
    <w:p w:rsidR="0030675B" w:rsidRDefault="0030675B" w:rsidP="0030675B">
      <w:pPr>
        <w:spacing w:line="360" w:lineRule="auto"/>
        <w:ind w:firstLine="567"/>
        <w:jc w:val="both"/>
        <w:rPr>
          <w:rFonts w:ascii="Times New Roman" w:hAnsi="Times New Roman" w:cs="Times New Roman"/>
        </w:rPr>
      </w:pPr>
      <w:r w:rsidRPr="0030675B">
        <w:rPr>
          <w:rFonts w:ascii="Times New Roman" w:hAnsi="Times New Roman" w:cs="Times New Roman"/>
        </w:rPr>
        <w:t xml:space="preserve"> </w:t>
      </w:r>
      <w:r w:rsidR="007224B0">
        <w:rPr>
          <w:rFonts w:ascii="Times New Roman" w:hAnsi="Times New Roman" w:cs="Times New Roman"/>
        </w:rPr>
        <w:t>Danys</w:t>
      </w:r>
      <w:r w:rsidR="003F7A2D">
        <w:rPr>
          <w:rFonts w:ascii="Times New Roman" w:hAnsi="Times New Roman" w:cs="Times New Roman"/>
        </w:rPr>
        <w:t xml:space="preserve"> ir Milašauskas</w:t>
      </w:r>
      <w:r w:rsidR="007224B0">
        <w:rPr>
          <w:rFonts w:ascii="Times New Roman" w:hAnsi="Times New Roman" w:cs="Times New Roman"/>
        </w:rPr>
        <w:t xml:space="preserve"> (2000) pabrėžia, kad lizingą reikėtų analizuoti dviem aspektais – kaip </w:t>
      </w:r>
      <w:r w:rsidR="00E813FE">
        <w:rPr>
          <w:rFonts w:ascii="Times New Roman" w:hAnsi="Times New Roman" w:cs="Times New Roman"/>
        </w:rPr>
        <w:t xml:space="preserve">ekonominę-finansinę kategoriją, kurios esmė yra tai, kad lizingo bendrovė arba kitas lizingo davėjas teikia finansavimo paslaugas, kad ūkio subjektas galėtų įsigyti ilgalaikio materialiojo turto. Taip pat juridiniu aspektu – šiuo atveju lizingas – tai sutartis, pagal kurią viena šalis – lizingo davėjas – kitos šalies pavedimu įgyja turtą iš turto pardavėjo ir perleidžia teisę naudotis tuo turtu sutartą laikotarpį kitai šaliai – lizingo gavėjui, o pastarasis moka iš anksto sutartas lizingo įmokas. </w:t>
      </w:r>
    </w:p>
    <w:p w:rsidR="00C07B09" w:rsidRDefault="00FB3BFB" w:rsidP="0030675B">
      <w:pPr>
        <w:spacing w:line="360" w:lineRule="auto"/>
        <w:ind w:firstLine="567"/>
        <w:jc w:val="both"/>
        <w:rPr>
          <w:rFonts w:ascii="Times New Roman" w:hAnsi="Times New Roman" w:cs="Times New Roman"/>
        </w:rPr>
      </w:pPr>
      <w:r>
        <w:rPr>
          <w:rFonts w:ascii="Times New Roman" w:hAnsi="Times New Roman" w:cs="Times New Roman"/>
        </w:rPr>
        <w:t>Darbo autoriaus</w:t>
      </w:r>
      <w:r w:rsidR="0030675B">
        <w:rPr>
          <w:rFonts w:ascii="Times New Roman" w:hAnsi="Times New Roman" w:cs="Times New Roman"/>
        </w:rPr>
        <w:t xml:space="preserve"> nuomone</w:t>
      </w:r>
      <w:r w:rsidR="00F9096C">
        <w:rPr>
          <w:rFonts w:ascii="Times New Roman" w:hAnsi="Times New Roman" w:cs="Times New Roman"/>
        </w:rPr>
        <w:t>,</w:t>
      </w:r>
      <w:r w:rsidR="0030675B">
        <w:rPr>
          <w:rFonts w:ascii="Times New Roman" w:hAnsi="Times New Roman" w:cs="Times New Roman"/>
        </w:rPr>
        <w:t xml:space="preserve"> pats tiksliausias ir aiškiausiais lizingo apibrėžimas būtų: „</w:t>
      </w:r>
      <w:r w:rsidR="0030675B" w:rsidRPr="0030675B">
        <w:rPr>
          <w:rFonts w:ascii="Times New Roman" w:hAnsi="Times New Roman" w:cs="Times New Roman"/>
        </w:rPr>
        <w:t>Lizingas – tai toks turto įsigijimo finansavimo metodas, kai lizingo bendrovė nuperka kliento pasirinktą prekę ir suteikia teisę ja naudotis, kai prekės nuosavybės teisė galiojant lizingo sutarčiai priklauso lizingo bendrovei.“ (Treigienė, 2010, p. 60).</w:t>
      </w:r>
    </w:p>
    <w:p w:rsidR="0030675B" w:rsidRDefault="00016490" w:rsidP="0030675B">
      <w:pPr>
        <w:spacing w:line="360" w:lineRule="auto"/>
        <w:ind w:firstLine="567"/>
        <w:jc w:val="both"/>
        <w:rPr>
          <w:rFonts w:ascii="Times New Roman" w:hAnsi="Times New Roman" w:cs="Times New Roman"/>
        </w:rPr>
      </w:pPr>
      <w:r>
        <w:rPr>
          <w:rFonts w:ascii="Times New Roman" w:hAnsi="Times New Roman" w:cs="Times New Roman"/>
        </w:rPr>
        <w:t xml:space="preserve">Taigi apibendrinant pateiktus apibrėžimus galima teigti, kad </w:t>
      </w:r>
      <w:r w:rsidR="006D5DA3">
        <w:rPr>
          <w:rFonts w:ascii="Times New Roman" w:hAnsi="Times New Roman" w:cs="Times New Roman"/>
        </w:rPr>
        <w:t>nors jie ir turi skirtumų, tačiau savo esme yra panašūs</w:t>
      </w:r>
      <w:r>
        <w:rPr>
          <w:rFonts w:ascii="Times New Roman" w:hAnsi="Times New Roman" w:cs="Times New Roman"/>
        </w:rPr>
        <w:t>: akcentuojama galimybė naudoti turtą neturint jo nuosavybės, kai tą turtą nuperka lizingo bendrovė (išorinis finansuotojas), o už nupirktą turtą atsiskaitoma per keletą metų</w:t>
      </w:r>
      <w:r w:rsidR="006D5DA3">
        <w:rPr>
          <w:rFonts w:ascii="Times New Roman" w:hAnsi="Times New Roman" w:cs="Times New Roman"/>
        </w:rPr>
        <w:t xml:space="preserve"> kol galioja lizingo sutartis, mokant tam tikro dydžio įmokas. </w:t>
      </w:r>
    </w:p>
    <w:p w:rsidR="00016490" w:rsidRDefault="00016490" w:rsidP="0030675B">
      <w:pPr>
        <w:spacing w:line="360" w:lineRule="auto"/>
        <w:ind w:firstLine="567"/>
        <w:jc w:val="both"/>
        <w:rPr>
          <w:rFonts w:ascii="Times New Roman" w:hAnsi="Times New Roman" w:cs="Times New Roman"/>
        </w:rPr>
      </w:pPr>
    </w:p>
    <w:p w:rsidR="0030675B" w:rsidRPr="00F9096C" w:rsidRDefault="0030675B" w:rsidP="00F9096C">
      <w:pPr>
        <w:pStyle w:val="Heading2"/>
      </w:pPr>
      <w:bookmarkStart w:id="4" w:name="_Toc343517966"/>
      <w:r w:rsidRPr="00F9096C">
        <w:t xml:space="preserve">Lizingo </w:t>
      </w:r>
      <w:r w:rsidR="000814E3">
        <w:t>tipai</w:t>
      </w:r>
      <w:bookmarkEnd w:id="4"/>
    </w:p>
    <w:p w:rsidR="0030675B" w:rsidRDefault="0030675B" w:rsidP="0030675B">
      <w:pPr>
        <w:spacing w:line="360" w:lineRule="auto"/>
        <w:ind w:firstLine="567"/>
        <w:jc w:val="both"/>
        <w:rPr>
          <w:rFonts w:ascii="Times New Roman" w:hAnsi="Times New Roman" w:cs="Times New Roman"/>
        </w:rPr>
      </w:pPr>
    </w:p>
    <w:p w:rsidR="00F9096C" w:rsidRDefault="003077FA" w:rsidP="0030675B">
      <w:pPr>
        <w:spacing w:line="360" w:lineRule="auto"/>
        <w:ind w:firstLine="567"/>
        <w:jc w:val="both"/>
        <w:rPr>
          <w:rFonts w:ascii="Times New Roman" w:hAnsi="Times New Roman" w:cs="Times New Roman"/>
        </w:rPr>
      </w:pPr>
      <w:r>
        <w:rPr>
          <w:rFonts w:ascii="Times New Roman" w:hAnsi="Times New Roman" w:cs="Times New Roman"/>
        </w:rPr>
        <w:t>Lizingas</w:t>
      </w:r>
      <w:r w:rsidR="0081523B">
        <w:rPr>
          <w:rFonts w:ascii="Times New Roman" w:hAnsi="Times New Roman" w:cs="Times New Roman"/>
        </w:rPr>
        <w:t>,</w:t>
      </w:r>
      <w:r>
        <w:rPr>
          <w:rFonts w:ascii="Times New Roman" w:hAnsi="Times New Roman" w:cs="Times New Roman"/>
        </w:rPr>
        <w:t xml:space="preserve"> kaip viena iš finansavimo rūšių</w:t>
      </w:r>
      <w:r w:rsidR="0081523B">
        <w:rPr>
          <w:rFonts w:ascii="Times New Roman" w:hAnsi="Times New Roman" w:cs="Times New Roman"/>
        </w:rPr>
        <w:t>,</w:t>
      </w:r>
      <w:r>
        <w:rPr>
          <w:rFonts w:ascii="Times New Roman" w:hAnsi="Times New Roman" w:cs="Times New Roman"/>
        </w:rPr>
        <w:t xml:space="preserve"> turi savo atmainų, jis modifikuojamas atsižvelgiant į klientų poreikius. </w:t>
      </w:r>
      <w:r w:rsidR="0081523B">
        <w:rPr>
          <w:rFonts w:ascii="Times New Roman" w:hAnsi="Times New Roman" w:cs="Times New Roman"/>
        </w:rPr>
        <w:t>Lizingas turi keletą savo tipų, tačiau konkretaus klasifikavimo nustatymas yra tam tikra problema</w:t>
      </w:r>
      <w:r w:rsidR="004C5A86">
        <w:rPr>
          <w:rFonts w:ascii="Times New Roman" w:hAnsi="Times New Roman" w:cs="Times New Roman"/>
        </w:rPr>
        <w:t xml:space="preserve">. Skirtingose šalyse lizingas skirstomas </w:t>
      </w:r>
      <w:r w:rsidR="000814E3">
        <w:rPr>
          <w:rFonts w:ascii="Times New Roman" w:hAnsi="Times New Roman" w:cs="Times New Roman"/>
        </w:rPr>
        <w:t xml:space="preserve">pakankamai </w:t>
      </w:r>
      <w:r w:rsidR="004C5A86">
        <w:rPr>
          <w:rFonts w:ascii="Times New Roman" w:hAnsi="Times New Roman" w:cs="Times New Roman"/>
        </w:rPr>
        <w:t>skirtingai</w:t>
      </w:r>
      <w:r w:rsidR="000814E3">
        <w:rPr>
          <w:rFonts w:ascii="Times New Roman" w:hAnsi="Times New Roman" w:cs="Times New Roman"/>
        </w:rPr>
        <w:t xml:space="preserve">, egzistuoja daugiau arba mažiau rūšių. </w:t>
      </w:r>
      <w:r w:rsidR="00C55422">
        <w:rPr>
          <w:rFonts w:ascii="Times New Roman" w:hAnsi="Times New Roman" w:cs="Times New Roman"/>
        </w:rPr>
        <w:t xml:space="preserve">Taip atsitinka dėl skirtingos teisinės šalių bazės, skirtingų lizingo operacijų vertinimo. </w:t>
      </w:r>
      <w:r w:rsidR="00AC04FB" w:rsidRPr="00AC04FB">
        <w:rPr>
          <w:rFonts w:ascii="Times New Roman" w:hAnsi="Times New Roman" w:cs="Times New Roman"/>
        </w:rPr>
        <w:t>Remiantis lietuvių ir užsienio mokslininkų darbais galima išskirti pagrindinius lizingo tipus (žr. 1 pav.).</w:t>
      </w:r>
    </w:p>
    <w:p w:rsidR="000814E3" w:rsidRDefault="000814E3" w:rsidP="0030675B">
      <w:pPr>
        <w:spacing w:line="360" w:lineRule="auto"/>
        <w:ind w:firstLine="567"/>
        <w:jc w:val="both"/>
        <w:rPr>
          <w:rFonts w:ascii="Times New Roman" w:hAnsi="Times New Roman" w:cs="Times New Roman"/>
        </w:rPr>
      </w:pPr>
    </w:p>
    <w:p w:rsidR="000814E3" w:rsidRDefault="006B633C" w:rsidP="0030675B">
      <w:pPr>
        <w:spacing w:line="360" w:lineRule="auto"/>
        <w:ind w:firstLine="567"/>
        <w:jc w:val="both"/>
        <w:rPr>
          <w:rFonts w:ascii="Times New Roman" w:hAnsi="Times New Roman" w:cs="Times New Roman"/>
        </w:rPr>
      </w:pPr>
      <w:r>
        <w:rPr>
          <w:rFonts w:ascii="Times New Roman" w:hAnsi="Times New Roman" w:cs="Times New Roman"/>
          <w:noProof/>
        </w:rPr>
        <w:lastRenderedPageBreak/>
        <w:drawing>
          <wp:inline distT="0" distB="0" distL="0" distR="0" wp14:anchorId="411ABC28" wp14:editId="39B12F4F">
            <wp:extent cx="5276850" cy="2962275"/>
            <wp:effectExtent l="0" t="0" r="0" b="9525"/>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C04FB" w:rsidRPr="00AC04FB" w:rsidRDefault="00AC04FB" w:rsidP="00AC04FB">
      <w:pPr>
        <w:pStyle w:val="Paveikslai"/>
        <w:ind w:firstLine="2410"/>
        <w:jc w:val="left"/>
        <w:rPr>
          <w:sz w:val="20"/>
          <w:szCs w:val="20"/>
        </w:rPr>
      </w:pPr>
      <w:bookmarkStart w:id="5" w:name="_Toc343459669"/>
      <w:r>
        <w:rPr>
          <w:sz w:val="20"/>
          <w:szCs w:val="20"/>
        </w:rPr>
        <w:t xml:space="preserve">Šaltinis: </w:t>
      </w:r>
      <w:r w:rsidRPr="00AC04FB">
        <w:rPr>
          <w:b w:val="0"/>
          <w:sz w:val="20"/>
          <w:szCs w:val="20"/>
        </w:rPr>
        <w:t>sudaryta autoriaus</w:t>
      </w:r>
      <w:bookmarkEnd w:id="5"/>
    </w:p>
    <w:p w:rsidR="004C5A86" w:rsidRDefault="00811DC3" w:rsidP="00924B1F">
      <w:pPr>
        <w:pStyle w:val="Paveikslai"/>
      </w:pPr>
      <w:bookmarkStart w:id="6" w:name="_Toc343459670"/>
      <w:r>
        <w:t xml:space="preserve">1 </w:t>
      </w:r>
      <w:r w:rsidR="007603C0">
        <w:t>pav</w:t>
      </w:r>
      <w:r>
        <w:t>.</w:t>
      </w:r>
      <w:r w:rsidR="000814E3">
        <w:t xml:space="preserve"> Lizingo tipai</w:t>
      </w:r>
      <w:bookmarkEnd w:id="6"/>
    </w:p>
    <w:p w:rsidR="0069760D" w:rsidRDefault="0069760D" w:rsidP="00D435B2">
      <w:pPr>
        <w:spacing w:line="360" w:lineRule="auto"/>
        <w:jc w:val="both"/>
        <w:rPr>
          <w:rFonts w:ascii="Times New Roman" w:hAnsi="Times New Roman" w:cs="Times New Roman"/>
          <w:b/>
        </w:rPr>
      </w:pPr>
    </w:p>
    <w:p w:rsidR="00AC04FB" w:rsidRDefault="00AC04FB" w:rsidP="00AC04FB">
      <w:pPr>
        <w:tabs>
          <w:tab w:val="left" w:pos="567"/>
        </w:tabs>
        <w:spacing w:line="360" w:lineRule="auto"/>
        <w:jc w:val="both"/>
        <w:rPr>
          <w:rFonts w:ascii="Times New Roman" w:hAnsi="Times New Roman" w:cs="Times New Roman"/>
          <w:b/>
        </w:rPr>
      </w:pPr>
      <w:r>
        <w:rPr>
          <w:rFonts w:ascii="Times New Roman" w:hAnsi="Times New Roman" w:cs="Times New Roman"/>
          <w:b/>
        </w:rPr>
        <w:tab/>
        <w:t>Finansinis lizingas</w:t>
      </w:r>
    </w:p>
    <w:p w:rsidR="003733B5" w:rsidRDefault="0069760D" w:rsidP="00D435B2">
      <w:pPr>
        <w:tabs>
          <w:tab w:val="left" w:pos="567"/>
        </w:tabs>
        <w:spacing w:line="360" w:lineRule="auto"/>
        <w:jc w:val="both"/>
        <w:rPr>
          <w:rFonts w:ascii="Times New Roman" w:hAnsi="Times New Roman" w:cs="Times New Roman"/>
        </w:rPr>
      </w:pPr>
      <w:r>
        <w:rPr>
          <w:rFonts w:ascii="Times New Roman" w:hAnsi="Times New Roman" w:cs="Times New Roman"/>
          <w:b/>
        </w:rPr>
        <w:tab/>
      </w:r>
      <w:r w:rsidR="00D435B2">
        <w:rPr>
          <w:rFonts w:ascii="Times New Roman" w:hAnsi="Times New Roman" w:cs="Times New Roman"/>
        </w:rPr>
        <w:t>Kaip iš pirmo paveikslo matom</w:t>
      </w:r>
      <w:r w:rsidR="0013405E">
        <w:rPr>
          <w:rFonts w:ascii="Times New Roman" w:hAnsi="Times New Roman" w:cs="Times New Roman"/>
        </w:rPr>
        <w:t>e</w:t>
      </w:r>
      <w:r w:rsidR="00D435B2">
        <w:rPr>
          <w:rFonts w:ascii="Times New Roman" w:hAnsi="Times New Roman" w:cs="Times New Roman"/>
        </w:rPr>
        <w:t>, aptarsiu šešis lizingo tipus.</w:t>
      </w:r>
      <w:r w:rsidR="00301992">
        <w:rPr>
          <w:rFonts w:ascii="Times New Roman" w:hAnsi="Times New Roman" w:cs="Times New Roman"/>
        </w:rPr>
        <w:t xml:space="preserve"> </w:t>
      </w:r>
      <w:r w:rsidR="00D435B2">
        <w:rPr>
          <w:rFonts w:ascii="Times New Roman" w:hAnsi="Times New Roman" w:cs="Times New Roman"/>
        </w:rPr>
        <w:t xml:space="preserve">Pradėsiu nuo dviejų pagrindinių tipų: finansinio bei veiklos (dar dažnai vadinamo operatyvinio arba </w:t>
      </w:r>
      <w:r w:rsidR="00EE1664">
        <w:rPr>
          <w:rFonts w:ascii="Times New Roman" w:hAnsi="Times New Roman" w:cs="Times New Roman"/>
        </w:rPr>
        <w:t>oper</w:t>
      </w:r>
      <w:r w:rsidR="004E293F">
        <w:rPr>
          <w:rFonts w:ascii="Times New Roman" w:hAnsi="Times New Roman" w:cs="Times New Roman"/>
        </w:rPr>
        <w:t>a</w:t>
      </w:r>
      <w:r w:rsidR="00EE1664">
        <w:rPr>
          <w:rFonts w:ascii="Times New Roman" w:hAnsi="Times New Roman" w:cs="Times New Roman"/>
        </w:rPr>
        <w:t>cinio</w:t>
      </w:r>
      <w:r w:rsidR="00D435B2">
        <w:rPr>
          <w:rFonts w:ascii="Times New Roman" w:hAnsi="Times New Roman" w:cs="Times New Roman"/>
        </w:rPr>
        <w:t xml:space="preserve"> lizingo). Finansinis lizingas – tai </w:t>
      </w:r>
      <w:r w:rsidR="0013405E">
        <w:rPr>
          <w:rFonts w:ascii="Times New Roman" w:hAnsi="Times New Roman" w:cs="Times New Roman"/>
        </w:rPr>
        <w:t>toks lizingo sandoris, kai finansuojamas turto įsigijimas arba visa turto ekonominio naudojimo laiko dalis</w:t>
      </w:r>
      <w:r w:rsidR="00EE1664">
        <w:rPr>
          <w:rFonts w:ascii="Times New Roman" w:hAnsi="Times New Roman" w:cs="Times New Roman"/>
        </w:rPr>
        <w:t xml:space="preserve">. </w:t>
      </w:r>
      <w:r w:rsidR="004E293F">
        <w:rPr>
          <w:rFonts w:ascii="Times New Roman" w:hAnsi="Times New Roman" w:cs="Times New Roman"/>
        </w:rPr>
        <w:t xml:space="preserve">Toks sandoris dažnai būna ilgalaikis, kadangi laikotarpis apima didesnę arba visą ekonominio turto naudojimo laiko dalį </w:t>
      </w:r>
      <w:r w:rsidR="0013405E">
        <w:rPr>
          <w:rFonts w:ascii="Times New Roman" w:hAnsi="Times New Roman" w:cs="Times New Roman"/>
        </w:rPr>
        <w:t xml:space="preserve">(Danys, </w:t>
      </w:r>
      <w:r w:rsidR="003F7A2D">
        <w:rPr>
          <w:rFonts w:ascii="Times New Roman" w:hAnsi="Times New Roman" w:cs="Times New Roman"/>
        </w:rPr>
        <w:t xml:space="preserve">Milašauskas, </w:t>
      </w:r>
      <w:r w:rsidR="0013405E">
        <w:rPr>
          <w:rFonts w:ascii="Times New Roman" w:hAnsi="Times New Roman" w:cs="Times New Roman"/>
        </w:rPr>
        <w:t xml:space="preserve">2000). </w:t>
      </w:r>
      <w:r w:rsidR="00CD6225">
        <w:rPr>
          <w:rFonts w:ascii="Times New Roman" w:hAnsi="Times New Roman" w:cs="Times New Roman"/>
        </w:rPr>
        <w:t>Finansinio lizingo</w:t>
      </w:r>
      <w:r w:rsidR="00EE1664">
        <w:rPr>
          <w:rFonts w:ascii="Times New Roman" w:hAnsi="Times New Roman" w:cs="Times New Roman"/>
        </w:rPr>
        <w:t xml:space="preserve"> sandoris užtikrina </w:t>
      </w:r>
      <w:r w:rsidR="00CD6225">
        <w:rPr>
          <w:rFonts w:ascii="Times New Roman" w:hAnsi="Times New Roman" w:cs="Times New Roman"/>
        </w:rPr>
        <w:t xml:space="preserve">lizingo gavėjui </w:t>
      </w:r>
      <w:r w:rsidR="00EE1664">
        <w:rPr>
          <w:rFonts w:ascii="Times New Roman" w:hAnsi="Times New Roman" w:cs="Times New Roman"/>
        </w:rPr>
        <w:t xml:space="preserve">turto pirkimą </w:t>
      </w:r>
      <w:r w:rsidR="004E293F">
        <w:rPr>
          <w:rFonts w:ascii="Times New Roman" w:hAnsi="Times New Roman" w:cs="Times New Roman"/>
        </w:rPr>
        <w:t>ne didesne</w:t>
      </w:r>
      <w:r w:rsidR="00EE1664">
        <w:rPr>
          <w:rFonts w:ascii="Times New Roman" w:hAnsi="Times New Roman" w:cs="Times New Roman"/>
        </w:rPr>
        <w:t xml:space="preserve"> nei rinkos verte. Lizingo pabaigoje turto nuosavybė pe</w:t>
      </w:r>
      <w:r w:rsidR="00AD3DF3">
        <w:rPr>
          <w:rFonts w:ascii="Times New Roman" w:hAnsi="Times New Roman" w:cs="Times New Roman"/>
        </w:rPr>
        <w:t>reina lizingo gavėjui. (Nemati</w:t>
      </w:r>
      <w:r w:rsidR="00EE1664">
        <w:rPr>
          <w:rFonts w:ascii="Times New Roman" w:hAnsi="Times New Roman" w:cs="Times New Roman"/>
        </w:rPr>
        <w:t>, 2012).</w:t>
      </w:r>
      <w:r w:rsidR="000B60E1">
        <w:rPr>
          <w:rFonts w:ascii="Times New Roman" w:hAnsi="Times New Roman" w:cs="Times New Roman"/>
        </w:rPr>
        <w:t xml:space="preserve"> </w:t>
      </w:r>
      <w:r w:rsidR="00402CEA">
        <w:rPr>
          <w:rFonts w:ascii="Times New Roman" w:hAnsi="Times New Roman" w:cs="Times New Roman"/>
        </w:rPr>
        <w:t>Finansinio lizingo atveju lizingo bendrovė gauna pajamas iš turto vertės dengimo, palūkanų</w:t>
      </w:r>
      <w:r w:rsidR="00955270">
        <w:rPr>
          <w:rFonts w:ascii="Times New Roman" w:hAnsi="Times New Roman" w:cs="Times New Roman"/>
        </w:rPr>
        <w:t>, delspinigių, baudų. Be to, dažnoje sutartyje lizingo bendrovė dalinai apsisaugo ir nuo turto išankstinio išsipirkimo, nurodydam</w:t>
      </w:r>
      <w:r w:rsidR="000467D5">
        <w:rPr>
          <w:rFonts w:ascii="Times New Roman" w:hAnsi="Times New Roman" w:cs="Times New Roman"/>
        </w:rPr>
        <w:t>a, kad lizingo gavėjas pageidaud</w:t>
      </w:r>
      <w:r w:rsidR="00955270">
        <w:rPr>
          <w:rFonts w:ascii="Times New Roman" w:hAnsi="Times New Roman" w:cs="Times New Roman"/>
        </w:rPr>
        <w:t>a</w:t>
      </w:r>
      <w:r w:rsidR="000467D5">
        <w:rPr>
          <w:rFonts w:ascii="Times New Roman" w:hAnsi="Times New Roman" w:cs="Times New Roman"/>
        </w:rPr>
        <w:t>ma</w:t>
      </w:r>
      <w:r w:rsidR="00955270">
        <w:rPr>
          <w:rFonts w:ascii="Times New Roman" w:hAnsi="Times New Roman" w:cs="Times New Roman"/>
        </w:rPr>
        <w:t xml:space="preserve">s išsipirkti turtą anksčiau laiko turėtų sumokėti tam tikrą mokestį arba kelių mėnesių palūkanas į priekį. </w:t>
      </w:r>
      <w:r w:rsidR="00CD6225">
        <w:rPr>
          <w:rFonts w:ascii="Times New Roman" w:hAnsi="Times New Roman" w:cs="Times New Roman"/>
        </w:rPr>
        <w:t>Įprastai</w:t>
      </w:r>
      <w:r w:rsidR="000B60E1">
        <w:rPr>
          <w:rFonts w:ascii="Times New Roman" w:hAnsi="Times New Roman" w:cs="Times New Roman"/>
        </w:rPr>
        <w:t xml:space="preserve">, įvertinant </w:t>
      </w:r>
      <w:r w:rsidR="00CD6225">
        <w:rPr>
          <w:rFonts w:ascii="Times New Roman" w:hAnsi="Times New Roman" w:cs="Times New Roman"/>
        </w:rPr>
        <w:t xml:space="preserve">bendrą pinigų srautą iš lizingo įmokų </w:t>
      </w:r>
      <w:r w:rsidR="00955270">
        <w:rPr>
          <w:rFonts w:ascii="Times New Roman" w:hAnsi="Times New Roman" w:cs="Times New Roman"/>
        </w:rPr>
        <w:t xml:space="preserve">ir kitų įplaukų </w:t>
      </w:r>
      <w:r w:rsidR="00CD6225">
        <w:rPr>
          <w:rFonts w:ascii="Times New Roman" w:hAnsi="Times New Roman" w:cs="Times New Roman"/>
        </w:rPr>
        <w:t>be</w:t>
      </w:r>
      <w:r w:rsidR="006B633C">
        <w:rPr>
          <w:rFonts w:ascii="Times New Roman" w:hAnsi="Times New Roman" w:cs="Times New Roman"/>
        </w:rPr>
        <w:t>i patiriamas administracines ir</w:t>
      </w:r>
      <w:r w:rsidR="00CD6225">
        <w:rPr>
          <w:rFonts w:ascii="Times New Roman" w:hAnsi="Times New Roman" w:cs="Times New Roman"/>
        </w:rPr>
        <w:t xml:space="preserve"> kitas susijusias išlaidas per finansinio lizingo laikotarpį, ši lizingo paslauga lizingo bendrovei atneša pelną</w:t>
      </w:r>
      <w:r w:rsidR="00402CEA">
        <w:rPr>
          <w:rFonts w:ascii="Times New Roman" w:hAnsi="Times New Roman" w:cs="Times New Roman"/>
        </w:rPr>
        <w:t xml:space="preserve"> (Contino, 2002). </w:t>
      </w:r>
    </w:p>
    <w:p w:rsidR="003C48AA" w:rsidRDefault="003C48AA" w:rsidP="00D435B2">
      <w:pPr>
        <w:tabs>
          <w:tab w:val="left" w:pos="567"/>
        </w:tabs>
        <w:spacing w:line="360" w:lineRule="auto"/>
        <w:jc w:val="both"/>
        <w:rPr>
          <w:rFonts w:ascii="Times New Roman" w:hAnsi="Times New Roman" w:cs="Times New Roman"/>
        </w:rPr>
      </w:pPr>
      <w:r>
        <w:rPr>
          <w:rFonts w:ascii="Times New Roman" w:hAnsi="Times New Roman" w:cs="Times New Roman"/>
        </w:rPr>
        <w:tab/>
      </w:r>
      <w:r w:rsidRPr="003C48AA">
        <w:rPr>
          <w:rFonts w:ascii="Times New Roman" w:hAnsi="Times New Roman" w:cs="Times New Roman"/>
        </w:rPr>
        <w:t xml:space="preserve">Dažniausiai turto įsigyjamo finansinio lizingo būdu vertė naudojimo laikotarpio (kuris sutampa su lizingo laikotarpiu) pabaigoje bus lygi nuliui. Tokiais atvejais lizingo įmokų skaičiavime atsispindės nulinė likutinė vertė (Danys, </w:t>
      </w:r>
      <w:r w:rsidR="003F7A2D">
        <w:rPr>
          <w:rFonts w:ascii="Times New Roman" w:hAnsi="Times New Roman" w:cs="Times New Roman"/>
        </w:rPr>
        <w:t xml:space="preserve">Milašauskas, </w:t>
      </w:r>
      <w:r w:rsidRPr="003C48AA">
        <w:rPr>
          <w:rFonts w:ascii="Times New Roman" w:hAnsi="Times New Roman" w:cs="Times New Roman"/>
        </w:rPr>
        <w:t>2000). Tačiau pastaruoju metu vis labiau populiarėja finansinis lizingas su likutine verte, kai tam tikra turto vertė lieka lizingo termino pabaigoje. Tai padeda lizingą padaryti patrauklesniu lizingo gavėjui. Nukeliant tam tikrą sumą į lizingo termino pabaigą, pačios lizingo įmokos sumažėja bei tam</w:t>
      </w:r>
      <w:r w:rsidR="000B4CFD">
        <w:rPr>
          <w:rFonts w:ascii="Times New Roman" w:hAnsi="Times New Roman" w:cs="Times New Roman"/>
        </w:rPr>
        <w:t>pa</w:t>
      </w:r>
      <w:r w:rsidRPr="003C48AA">
        <w:rPr>
          <w:rFonts w:ascii="Times New Roman" w:hAnsi="Times New Roman" w:cs="Times New Roman"/>
        </w:rPr>
        <w:t xml:space="preserve"> mažesne našta. Likutinę vertę, priklausomai nuo </w:t>
      </w:r>
      <w:r w:rsidRPr="003C48AA">
        <w:rPr>
          <w:rFonts w:ascii="Times New Roman" w:hAnsi="Times New Roman" w:cs="Times New Roman"/>
        </w:rPr>
        <w:lastRenderedPageBreak/>
        <w:t>sutartinių įsipareigojimų gali sumokėti lizingo gavėjas, lizinguojamo turto pardavėjas arba lizingo bendrovė.</w:t>
      </w:r>
    </w:p>
    <w:p w:rsidR="005E3327" w:rsidRDefault="003733B5" w:rsidP="00D435B2">
      <w:pPr>
        <w:tabs>
          <w:tab w:val="left" w:pos="567"/>
        </w:tabs>
        <w:spacing w:line="360" w:lineRule="auto"/>
        <w:jc w:val="both"/>
        <w:rPr>
          <w:rFonts w:ascii="Times New Roman" w:hAnsi="Times New Roman" w:cs="Times New Roman"/>
        </w:rPr>
      </w:pPr>
      <w:r>
        <w:rPr>
          <w:rFonts w:ascii="Times New Roman" w:hAnsi="Times New Roman" w:cs="Times New Roman"/>
        </w:rPr>
        <w:tab/>
      </w:r>
      <w:r w:rsidR="006B633C">
        <w:rPr>
          <w:rFonts w:ascii="Times New Roman" w:hAnsi="Times New Roman" w:cs="Times New Roman"/>
        </w:rPr>
        <w:t xml:space="preserve">Apibūdinant finansinio lizingo paslaugą, mano nuomone, būtų svarbu </w:t>
      </w:r>
      <w:r w:rsidR="000B61A0">
        <w:rPr>
          <w:rFonts w:ascii="Times New Roman" w:hAnsi="Times New Roman" w:cs="Times New Roman"/>
        </w:rPr>
        <w:t xml:space="preserve">trumpai </w:t>
      </w:r>
      <w:r w:rsidR="006B633C">
        <w:rPr>
          <w:rFonts w:ascii="Times New Roman" w:hAnsi="Times New Roman" w:cs="Times New Roman"/>
        </w:rPr>
        <w:t>apibūdinti patį lizingo procesą.</w:t>
      </w:r>
      <w:r w:rsidR="005E3327">
        <w:rPr>
          <w:rFonts w:ascii="Times New Roman" w:hAnsi="Times New Roman" w:cs="Times New Roman"/>
        </w:rPr>
        <w:t xml:space="preserve"> Supaprastintą lizingo </w:t>
      </w:r>
      <w:r w:rsidR="001D36CB">
        <w:rPr>
          <w:rFonts w:ascii="Times New Roman" w:hAnsi="Times New Roman" w:cs="Times New Roman"/>
        </w:rPr>
        <w:t>suteikimo modelį</w:t>
      </w:r>
      <w:r w:rsidR="005E3327">
        <w:rPr>
          <w:rFonts w:ascii="Times New Roman" w:hAnsi="Times New Roman" w:cs="Times New Roman"/>
        </w:rPr>
        <w:t xml:space="preserve"> pateikiau 2 paveiksle:</w:t>
      </w:r>
    </w:p>
    <w:p w:rsidR="00B37CAA" w:rsidRDefault="00B37CAA" w:rsidP="00D435B2">
      <w:pPr>
        <w:tabs>
          <w:tab w:val="left" w:pos="567"/>
        </w:tabs>
        <w:spacing w:line="360" w:lineRule="auto"/>
        <w:jc w:val="both"/>
        <w:rPr>
          <w:rFonts w:ascii="Times New Roman" w:hAnsi="Times New Roman" w:cs="Times New Roman"/>
        </w:rPr>
      </w:pPr>
    </w:p>
    <w:p w:rsidR="005E3327" w:rsidRDefault="005F64D4" w:rsidP="00D435B2">
      <w:pPr>
        <w:tabs>
          <w:tab w:val="left" w:pos="567"/>
        </w:tabs>
        <w:spacing w:line="360" w:lineRule="auto"/>
        <w:jc w:val="both"/>
        <w:rPr>
          <w:rFonts w:ascii="Times New Roman" w:hAnsi="Times New Roman" w:cs="Times New Roman"/>
        </w:rPr>
      </w:pPr>
      <w:r>
        <w:rPr>
          <w:rFonts w:ascii="Times New Roman" w:hAnsi="Times New Roman" w:cs="Times New Roman"/>
          <w:noProof/>
        </w:rPr>
        <w:drawing>
          <wp:inline distT="0" distB="0" distL="0" distR="0" wp14:anchorId="5D70CF4D" wp14:editId="4BCDA280">
            <wp:extent cx="6343650" cy="1609725"/>
            <wp:effectExtent l="0" t="38100" r="0" b="4762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E16E2E" w:rsidRPr="00E16E2E" w:rsidRDefault="00E16E2E" w:rsidP="00E16E2E">
      <w:pPr>
        <w:pStyle w:val="Paveikslai"/>
        <w:ind w:firstLine="851"/>
        <w:jc w:val="left"/>
        <w:rPr>
          <w:b w:val="0"/>
          <w:sz w:val="20"/>
          <w:szCs w:val="20"/>
        </w:rPr>
      </w:pPr>
      <w:bookmarkStart w:id="7" w:name="_Toc343459671"/>
      <w:r>
        <w:rPr>
          <w:sz w:val="20"/>
          <w:szCs w:val="20"/>
        </w:rPr>
        <w:t xml:space="preserve">Šaltinis: </w:t>
      </w:r>
      <w:r w:rsidRPr="00E16E2E">
        <w:rPr>
          <w:b w:val="0"/>
          <w:sz w:val="20"/>
          <w:szCs w:val="20"/>
        </w:rPr>
        <w:t>parengta autoriaus</w:t>
      </w:r>
      <w:bookmarkEnd w:id="7"/>
    </w:p>
    <w:p w:rsidR="005F64D4" w:rsidRDefault="00811DC3" w:rsidP="00924B1F">
      <w:pPr>
        <w:pStyle w:val="Paveikslai"/>
      </w:pPr>
      <w:bookmarkStart w:id="8" w:name="_Toc343459672"/>
      <w:r>
        <w:t xml:space="preserve">2 </w:t>
      </w:r>
      <w:r w:rsidR="007603C0">
        <w:t>pav</w:t>
      </w:r>
      <w:r w:rsidR="002C11A2">
        <w:t>.</w:t>
      </w:r>
      <w:r w:rsidR="005F64D4" w:rsidRPr="005F64D4">
        <w:t xml:space="preserve"> Standartinė lizingo </w:t>
      </w:r>
      <w:r w:rsidR="006F571F">
        <w:t xml:space="preserve">suteikimo </w:t>
      </w:r>
      <w:r w:rsidR="005F64D4" w:rsidRPr="005F64D4">
        <w:t>schema</w:t>
      </w:r>
      <w:bookmarkEnd w:id="8"/>
    </w:p>
    <w:p w:rsidR="00B37CAA" w:rsidRPr="005F64D4" w:rsidRDefault="00B37CAA" w:rsidP="005F64D4">
      <w:pPr>
        <w:tabs>
          <w:tab w:val="left" w:pos="567"/>
        </w:tabs>
        <w:spacing w:line="360" w:lineRule="auto"/>
        <w:jc w:val="center"/>
        <w:rPr>
          <w:rFonts w:ascii="Times New Roman" w:hAnsi="Times New Roman" w:cs="Times New Roman"/>
          <w:b/>
        </w:rPr>
      </w:pPr>
    </w:p>
    <w:p w:rsidR="0069760D" w:rsidRDefault="005E3327" w:rsidP="00D435B2">
      <w:pPr>
        <w:tabs>
          <w:tab w:val="left" w:pos="567"/>
        </w:tabs>
        <w:spacing w:line="360" w:lineRule="auto"/>
        <w:jc w:val="both"/>
        <w:rPr>
          <w:rFonts w:ascii="Times New Roman" w:hAnsi="Times New Roman" w:cs="Times New Roman"/>
        </w:rPr>
      </w:pPr>
      <w:r>
        <w:rPr>
          <w:rFonts w:ascii="Times New Roman" w:hAnsi="Times New Roman" w:cs="Times New Roman"/>
        </w:rPr>
        <w:tab/>
      </w:r>
      <w:r w:rsidR="003733B5">
        <w:rPr>
          <w:rFonts w:ascii="Times New Roman" w:hAnsi="Times New Roman" w:cs="Times New Roman"/>
        </w:rPr>
        <w:t xml:space="preserve">Lizingo gavėjas pasirenka turto rūšį, tipą, modelį bei tiekėją. Derasi su tiekėju dėl sąlygų, garantijų, techninės priežiūros, pristatymo, kainos ir kitų. </w:t>
      </w:r>
      <w:r w:rsidR="00D57380">
        <w:rPr>
          <w:rFonts w:ascii="Times New Roman" w:hAnsi="Times New Roman" w:cs="Times New Roman"/>
        </w:rPr>
        <w:t>Galutinai suderinęs sąlygas</w:t>
      </w:r>
      <w:r w:rsidR="001D36CB">
        <w:rPr>
          <w:rFonts w:ascii="Times New Roman" w:hAnsi="Times New Roman" w:cs="Times New Roman"/>
        </w:rPr>
        <w:t>,</w:t>
      </w:r>
      <w:r w:rsidR="00D57380">
        <w:rPr>
          <w:rFonts w:ascii="Times New Roman" w:hAnsi="Times New Roman" w:cs="Times New Roman"/>
        </w:rPr>
        <w:t xml:space="preserve"> </w:t>
      </w:r>
      <w:r w:rsidR="008433B7">
        <w:rPr>
          <w:rFonts w:ascii="Times New Roman" w:hAnsi="Times New Roman" w:cs="Times New Roman"/>
        </w:rPr>
        <w:t xml:space="preserve">kreipiasi į lizingo bendrovę dėl finansavimo suteikimo. </w:t>
      </w:r>
      <w:r w:rsidR="001D36CB">
        <w:rPr>
          <w:rFonts w:ascii="Times New Roman" w:hAnsi="Times New Roman" w:cs="Times New Roman"/>
        </w:rPr>
        <w:t xml:space="preserve">Jeigu atsakymas būna teigiamas, </w:t>
      </w:r>
      <w:r w:rsidR="00AE3827">
        <w:rPr>
          <w:rFonts w:ascii="Times New Roman" w:hAnsi="Times New Roman" w:cs="Times New Roman"/>
        </w:rPr>
        <w:t>l</w:t>
      </w:r>
      <w:r w:rsidR="00D57380">
        <w:rPr>
          <w:rFonts w:ascii="Times New Roman" w:hAnsi="Times New Roman" w:cs="Times New Roman"/>
        </w:rPr>
        <w:t xml:space="preserve">izingo gavėjas sumoka pradinį įnašą bei administracinį mokestį, </w:t>
      </w:r>
      <w:r w:rsidR="00AE3827" w:rsidRPr="00AE3827">
        <w:rPr>
          <w:rFonts w:ascii="Times New Roman" w:hAnsi="Times New Roman" w:cs="Times New Roman"/>
        </w:rPr>
        <w:t xml:space="preserve">pasirašoma finansinio lizingo </w:t>
      </w:r>
      <w:r w:rsidR="00AE3827">
        <w:rPr>
          <w:rFonts w:ascii="Times New Roman" w:hAnsi="Times New Roman" w:cs="Times New Roman"/>
        </w:rPr>
        <w:t>bei</w:t>
      </w:r>
      <w:r w:rsidR="00D57380">
        <w:rPr>
          <w:rFonts w:ascii="Times New Roman" w:hAnsi="Times New Roman" w:cs="Times New Roman"/>
        </w:rPr>
        <w:t xml:space="preserve"> finansuojamo turto draudimo sutartis. </w:t>
      </w:r>
      <w:r w:rsidR="001D36CB">
        <w:rPr>
          <w:rFonts w:ascii="Times New Roman" w:hAnsi="Times New Roman" w:cs="Times New Roman"/>
        </w:rPr>
        <w:t>Lizingo bendrovė nuperka pa</w:t>
      </w:r>
      <w:r w:rsidR="00C97202">
        <w:rPr>
          <w:rFonts w:ascii="Times New Roman" w:hAnsi="Times New Roman" w:cs="Times New Roman"/>
        </w:rPr>
        <w:t xml:space="preserve">geidaujamą lizingo gavėjo turtą ir perduoda jį lizingo gavėjui. </w:t>
      </w:r>
      <w:r w:rsidR="00D57380">
        <w:rPr>
          <w:rFonts w:ascii="Times New Roman" w:hAnsi="Times New Roman" w:cs="Times New Roman"/>
        </w:rPr>
        <w:t>Tolimesnis lizingo gavėjo įsipareigojimas</w:t>
      </w:r>
      <w:r w:rsidR="00AE3827">
        <w:rPr>
          <w:rFonts w:ascii="Times New Roman" w:hAnsi="Times New Roman" w:cs="Times New Roman"/>
        </w:rPr>
        <w:t xml:space="preserve"> -</w:t>
      </w:r>
      <w:r w:rsidR="00D57380">
        <w:rPr>
          <w:rFonts w:ascii="Times New Roman" w:hAnsi="Times New Roman" w:cs="Times New Roman"/>
        </w:rPr>
        <w:t xml:space="preserve"> laiku mokėti </w:t>
      </w:r>
      <w:r w:rsidR="001D36CB">
        <w:rPr>
          <w:rFonts w:ascii="Times New Roman" w:hAnsi="Times New Roman" w:cs="Times New Roman"/>
        </w:rPr>
        <w:t xml:space="preserve">įmokas. </w:t>
      </w:r>
      <w:r w:rsidR="00D57380">
        <w:rPr>
          <w:rFonts w:ascii="Times New Roman" w:hAnsi="Times New Roman" w:cs="Times New Roman"/>
        </w:rPr>
        <w:t>Be to, l</w:t>
      </w:r>
      <w:r w:rsidR="003733B5">
        <w:rPr>
          <w:rFonts w:ascii="Times New Roman" w:hAnsi="Times New Roman" w:cs="Times New Roman"/>
        </w:rPr>
        <w:t>izingo gavėjas prisiima visas išlaidas susijusias su sutarties sudarymu, turto montavimu</w:t>
      </w:r>
      <w:r w:rsidR="001D36CB">
        <w:rPr>
          <w:rFonts w:ascii="Times New Roman" w:hAnsi="Times New Roman" w:cs="Times New Roman"/>
        </w:rPr>
        <w:t xml:space="preserve"> bei </w:t>
      </w:r>
      <w:r w:rsidR="003733B5">
        <w:rPr>
          <w:rFonts w:ascii="Times New Roman" w:hAnsi="Times New Roman" w:cs="Times New Roman"/>
        </w:rPr>
        <w:t>saugojimu</w:t>
      </w:r>
      <w:r w:rsidR="00D57380">
        <w:rPr>
          <w:rFonts w:ascii="Times New Roman" w:hAnsi="Times New Roman" w:cs="Times New Roman"/>
        </w:rPr>
        <w:t xml:space="preserve">. </w:t>
      </w:r>
    </w:p>
    <w:p w:rsidR="00E16E2E" w:rsidRDefault="00E16E2E" w:rsidP="00D435B2">
      <w:pPr>
        <w:tabs>
          <w:tab w:val="left" w:pos="567"/>
        </w:tabs>
        <w:spacing w:line="360" w:lineRule="auto"/>
        <w:jc w:val="both"/>
        <w:rPr>
          <w:rFonts w:ascii="Times New Roman" w:hAnsi="Times New Roman" w:cs="Times New Roman"/>
        </w:rPr>
      </w:pPr>
    </w:p>
    <w:p w:rsidR="00E16E2E" w:rsidRPr="00E16E2E" w:rsidRDefault="00E16E2E" w:rsidP="00D435B2">
      <w:pPr>
        <w:tabs>
          <w:tab w:val="left" w:pos="567"/>
        </w:tabs>
        <w:spacing w:line="360" w:lineRule="auto"/>
        <w:jc w:val="both"/>
        <w:rPr>
          <w:rFonts w:ascii="Times New Roman" w:hAnsi="Times New Roman" w:cs="Times New Roman"/>
          <w:b/>
        </w:rPr>
      </w:pPr>
      <w:r>
        <w:rPr>
          <w:rFonts w:ascii="Times New Roman" w:hAnsi="Times New Roman" w:cs="Times New Roman"/>
        </w:rPr>
        <w:tab/>
      </w:r>
      <w:r w:rsidRPr="00E16E2E">
        <w:rPr>
          <w:rFonts w:ascii="Times New Roman" w:hAnsi="Times New Roman" w:cs="Times New Roman"/>
          <w:b/>
        </w:rPr>
        <w:t>Operacinis (veiklos) lizingas</w:t>
      </w:r>
    </w:p>
    <w:p w:rsidR="000B61A0" w:rsidRDefault="000B61A0" w:rsidP="00D435B2">
      <w:pPr>
        <w:tabs>
          <w:tab w:val="left" w:pos="567"/>
        </w:tabs>
        <w:spacing w:line="360" w:lineRule="auto"/>
        <w:jc w:val="both"/>
        <w:rPr>
          <w:rFonts w:ascii="Times New Roman" w:hAnsi="Times New Roman" w:cs="Times New Roman"/>
        </w:rPr>
      </w:pPr>
      <w:r>
        <w:rPr>
          <w:rFonts w:ascii="Times New Roman" w:hAnsi="Times New Roman" w:cs="Times New Roman"/>
        </w:rPr>
        <w:tab/>
      </w:r>
      <w:r w:rsidR="00CA476B">
        <w:rPr>
          <w:rFonts w:ascii="Times New Roman" w:hAnsi="Times New Roman" w:cs="Times New Roman"/>
        </w:rPr>
        <w:t xml:space="preserve">Kitas pagrindinis lizingo tipas – tai </w:t>
      </w:r>
      <w:r w:rsidR="006223BA">
        <w:rPr>
          <w:rFonts w:ascii="Times New Roman" w:hAnsi="Times New Roman" w:cs="Times New Roman"/>
        </w:rPr>
        <w:t>operacinis (veiklos</w:t>
      </w:r>
      <w:r w:rsidR="00CA476B">
        <w:rPr>
          <w:rFonts w:ascii="Times New Roman" w:hAnsi="Times New Roman" w:cs="Times New Roman"/>
        </w:rPr>
        <w:t>) lizingas. Tai toks lizingo tipas, kai lizingo laikotarpis yra trumpesnis už turto naudingo tarnavimo laikotarpį</w:t>
      </w:r>
      <w:r w:rsidR="00493395">
        <w:rPr>
          <w:rFonts w:ascii="Times New Roman" w:hAnsi="Times New Roman" w:cs="Times New Roman"/>
        </w:rPr>
        <w:t xml:space="preserve"> (Contino, 2002). Arba kitais žodžiais tariant lizinguojamas turtas </w:t>
      </w:r>
      <w:r w:rsidR="00D17D8F">
        <w:rPr>
          <w:rFonts w:ascii="Times New Roman" w:hAnsi="Times New Roman" w:cs="Times New Roman"/>
        </w:rPr>
        <w:t xml:space="preserve">vieno </w:t>
      </w:r>
      <w:r w:rsidR="00493395">
        <w:rPr>
          <w:rFonts w:ascii="Times New Roman" w:hAnsi="Times New Roman" w:cs="Times New Roman"/>
        </w:rPr>
        <w:t xml:space="preserve">lizingo gavėjo yra naudojamas trumpiau negu </w:t>
      </w:r>
      <w:r w:rsidR="006223BA">
        <w:rPr>
          <w:rFonts w:ascii="Times New Roman" w:hAnsi="Times New Roman" w:cs="Times New Roman"/>
        </w:rPr>
        <w:t xml:space="preserve">tas turtas gali būti naudojamas apskritai. </w:t>
      </w:r>
      <w:r w:rsidR="00AD3DF3">
        <w:rPr>
          <w:rFonts w:ascii="Times New Roman" w:hAnsi="Times New Roman" w:cs="Times New Roman"/>
        </w:rPr>
        <w:t>(Nemati</w:t>
      </w:r>
      <w:r w:rsidR="00A562F2">
        <w:rPr>
          <w:rFonts w:ascii="Times New Roman" w:hAnsi="Times New Roman" w:cs="Times New Roman"/>
        </w:rPr>
        <w:t xml:space="preserve">, 2012). </w:t>
      </w:r>
      <w:r w:rsidR="006223BA">
        <w:rPr>
          <w:rFonts w:ascii="Times New Roman" w:hAnsi="Times New Roman" w:cs="Times New Roman"/>
        </w:rPr>
        <w:t xml:space="preserve">Veiklos lizingas gali trukti nuo kelių mėnesių iki kelių metų. </w:t>
      </w:r>
      <w:r w:rsidR="00C4617E">
        <w:rPr>
          <w:rFonts w:ascii="Times New Roman" w:hAnsi="Times New Roman" w:cs="Times New Roman"/>
        </w:rPr>
        <w:t xml:space="preserve">Skirtingai negu finansiniame lizinge, lizingo pabaigoje turto nuosavybė dažniausiai lieka lizingo bendrovei. Be to, pasibaigus lizingo sutarčiai, lizingas pratęsiamas arba suteikiamas kitam lizingo gavėjui. </w:t>
      </w:r>
      <w:r w:rsidR="006223BA">
        <w:rPr>
          <w:rFonts w:ascii="Times New Roman" w:hAnsi="Times New Roman" w:cs="Times New Roman"/>
        </w:rPr>
        <w:t>Kadangi lizingo terminas yra pakankamai trumpas, lizingo bendrovė n</w:t>
      </w:r>
      <w:r w:rsidR="00F44F86">
        <w:rPr>
          <w:rFonts w:ascii="Times New Roman" w:hAnsi="Times New Roman" w:cs="Times New Roman"/>
        </w:rPr>
        <w:t xml:space="preserve">egali būti užtikrinta pelnu (Danys, </w:t>
      </w:r>
      <w:r w:rsidR="003F7A2D">
        <w:rPr>
          <w:rFonts w:ascii="Times New Roman" w:hAnsi="Times New Roman" w:cs="Times New Roman"/>
        </w:rPr>
        <w:t xml:space="preserve">Milašauskas, </w:t>
      </w:r>
      <w:r w:rsidR="00F44F86">
        <w:rPr>
          <w:rFonts w:ascii="Times New Roman" w:hAnsi="Times New Roman" w:cs="Times New Roman"/>
        </w:rPr>
        <w:t xml:space="preserve">2000). </w:t>
      </w:r>
      <w:r w:rsidR="00FD5E65">
        <w:rPr>
          <w:rFonts w:ascii="Times New Roman" w:hAnsi="Times New Roman" w:cs="Times New Roman"/>
        </w:rPr>
        <w:t>Taip atsitinka, nes numatyti lizingo mokėjimai negali padengti viso turto vertės. Be to, l</w:t>
      </w:r>
      <w:r w:rsidR="006223BA">
        <w:rPr>
          <w:rFonts w:ascii="Times New Roman" w:hAnsi="Times New Roman" w:cs="Times New Roman"/>
        </w:rPr>
        <w:t xml:space="preserve">izingo bendrovei būtina sekti, kad turto rinkos vertė nebūtų žemesnė nei likutinė. Tokiu atveju pasibaigus veiklos lizingo sutarčiai lizingo bendrovė gali susidurti su sunkumais </w:t>
      </w:r>
      <w:r w:rsidR="00C4617E">
        <w:rPr>
          <w:rFonts w:ascii="Times New Roman" w:hAnsi="Times New Roman" w:cs="Times New Roman"/>
        </w:rPr>
        <w:t xml:space="preserve">dar kartą lizinguoti tą patį turtą arba jį parduoti ir taip patirti nuostolį. </w:t>
      </w:r>
      <w:r w:rsidR="00795E2D">
        <w:rPr>
          <w:rFonts w:ascii="Times New Roman" w:hAnsi="Times New Roman" w:cs="Times New Roman"/>
        </w:rPr>
        <w:t xml:space="preserve">Pastaruoju metu lizingo bendrovės </w:t>
      </w:r>
      <w:r w:rsidR="00795E2D">
        <w:rPr>
          <w:rFonts w:ascii="Times New Roman" w:hAnsi="Times New Roman" w:cs="Times New Roman"/>
        </w:rPr>
        <w:lastRenderedPageBreak/>
        <w:t xml:space="preserve">siekdamos panaikinti </w:t>
      </w:r>
      <w:r w:rsidR="00A562F2">
        <w:rPr>
          <w:rFonts w:ascii="Times New Roman" w:hAnsi="Times New Roman" w:cs="Times New Roman"/>
        </w:rPr>
        <w:t xml:space="preserve">šitą riziką sudarinėja sutartis, pagal </w:t>
      </w:r>
      <w:r w:rsidR="00795E2D">
        <w:rPr>
          <w:rFonts w:ascii="Times New Roman" w:hAnsi="Times New Roman" w:cs="Times New Roman"/>
        </w:rPr>
        <w:t xml:space="preserve">kurias turtą </w:t>
      </w:r>
      <w:r w:rsidR="00A562F2">
        <w:rPr>
          <w:rFonts w:ascii="Times New Roman" w:hAnsi="Times New Roman" w:cs="Times New Roman"/>
        </w:rPr>
        <w:t xml:space="preserve">lizingo termino pabaigoje </w:t>
      </w:r>
      <w:r w:rsidR="00795E2D">
        <w:rPr>
          <w:rFonts w:ascii="Times New Roman" w:hAnsi="Times New Roman" w:cs="Times New Roman"/>
        </w:rPr>
        <w:t>įsipareigoja atpirkti turto pardavėjas arba kita trečia šalis.</w:t>
      </w:r>
    </w:p>
    <w:p w:rsidR="0064003A" w:rsidRDefault="00A562F2" w:rsidP="00D435B2">
      <w:pPr>
        <w:tabs>
          <w:tab w:val="left" w:pos="567"/>
        </w:tabs>
        <w:spacing w:line="360" w:lineRule="auto"/>
        <w:jc w:val="both"/>
        <w:rPr>
          <w:rFonts w:ascii="Times New Roman" w:hAnsi="Times New Roman" w:cs="Times New Roman"/>
        </w:rPr>
      </w:pPr>
      <w:r>
        <w:rPr>
          <w:rFonts w:ascii="Times New Roman" w:hAnsi="Times New Roman" w:cs="Times New Roman"/>
        </w:rPr>
        <w:tab/>
        <w:t xml:space="preserve">Veiklos lizingas pagrinde išpopuliarėjo dėl </w:t>
      </w:r>
      <w:r w:rsidR="00FD5E65">
        <w:rPr>
          <w:rFonts w:ascii="Times New Roman" w:hAnsi="Times New Roman" w:cs="Times New Roman"/>
        </w:rPr>
        <w:t>paprastos jo apskaitos</w:t>
      </w:r>
      <w:r>
        <w:rPr>
          <w:rFonts w:ascii="Times New Roman" w:hAnsi="Times New Roman" w:cs="Times New Roman"/>
        </w:rPr>
        <w:t xml:space="preserve">. </w:t>
      </w:r>
      <w:r w:rsidR="007E58F9">
        <w:rPr>
          <w:rFonts w:ascii="Times New Roman" w:hAnsi="Times New Roman" w:cs="Times New Roman"/>
        </w:rPr>
        <w:t xml:space="preserve">Jeigu finansinio lizingo atveju turtas įtraukiamas į įmonės balansą, o į sąnaudas patenka nusidėvėjimas ir palūkanos, tai veiklos lizingo atveju turtas įtraukiamas į lizingo bendrovės apskaitą, o lizingo gavėjo sąnaudas sudaro veiklos </w:t>
      </w:r>
      <w:r w:rsidR="00FD5E65">
        <w:rPr>
          <w:rFonts w:ascii="Times New Roman" w:hAnsi="Times New Roman" w:cs="Times New Roman"/>
        </w:rPr>
        <w:t>lizingo</w:t>
      </w:r>
      <w:r w:rsidR="0063505F">
        <w:rPr>
          <w:rFonts w:ascii="Times New Roman" w:hAnsi="Times New Roman" w:cs="Times New Roman"/>
        </w:rPr>
        <w:t xml:space="preserve"> įmokos (Hepp, Gupta, 2010).</w:t>
      </w:r>
      <w:r w:rsidR="00644D67">
        <w:rPr>
          <w:rFonts w:ascii="Times New Roman" w:hAnsi="Times New Roman" w:cs="Times New Roman"/>
        </w:rPr>
        <w:t xml:space="preserve"> </w:t>
      </w:r>
      <w:r w:rsidR="00E16E2E" w:rsidRPr="00E16E2E">
        <w:rPr>
          <w:rFonts w:ascii="Times New Roman" w:hAnsi="Times New Roman" w:cs="Times New Roman"/>
        </w:rPr>
        <w:t>Apibūdinus finansinį ir veiklos lizingą galima palyginti jų ypatumus (žr. 1 lent.).</w:t>
      </w:r>
    </w:p>
    <w:p w:rsidR="00644D67" w:rsidRDefault="00644D67" w:rsidP="00D435B2">
      <w:pPr>
        <w:tabs>
          <w:tab w:val="left" w:pos="567"/>
        </w:tabs>
        <w:spacing w:line="360" w:lineRule="auto"/>
        <w:jc w:val="both"/>
        <w:rPr>
          <w:rFonts w:ascii="Times New Roman" w:hAnsi="Times New Roman" w:cs="Times New Roman"/>
        </w:rPr>
      </w:pPr>
    </w:p>
    <w:p w:rsidR="00A406DB" w:rsidRPr="00A406DB" w:rsidRDefault="00A406DB" w:rsidP="00924B1F">
      <w:pPr>
        <w:pStyle w:val="Lentels"/>
      </w:pPr>
      <w:bookmarkStart w:id="9" w:name="_Toc343459638"/>
      <w:r w:rsidRPr="00A406DB">
        <w:t>1 lentelė. Finansinio ir veiklos lizingo palyginimas</w:t>
      </w:r>
      <w:bookmarkEnd w:id="9"/>
    </w:p>
    <w:tbl>
      <w:tblPr>
        <w:tblStyle w:val="LightGrid-Accent5"/>
        <w:tblW w:w="0" w:type="auto"/>
        <w:tblLook w:val="04A0" w:firstRow="1" w:lastRow="0" w:firstColumn="1" w:lastColumn="0" w:noHBand="0" w:noVBand="1"/>
      </w:tblPr>
      <w:tblGrid>
        <w:gridCol w:w="2093"/>
        <w:gridCol w:w="3969"/>
        <w:gridCol w:w="4075"/>
      </w:tblGrid>
      <w:tr w:rsidR="00B91E1A" w:rsidTr="008E23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644D67" w:rsidP="00A406DB">
            <w:pPr>
              <w:tabs>
                <w:tab w:val="left" w:pos="567"/>
              </w:tabs>
              <w:spacing w:line="360" w:lineRule="auto"/>
              <w:jc w:val="center"/>
              <w:rPr>
                <w:rFonts w:ascii="Times New Roman" w:hAnsi="Times New Roman" w:cs="Times New Roman"/>
                <w:sz w:val="22"/>
                <w:szCs w:val="22"/>
              </w:rPr>
            </w:pPr>
            <w:r w:rsidRPr="00A406DB">
              <w:rPr>
                <w:rFonts w:ascii="Times New Roman" w:hAnsi="Times New Roman" w:cs="Times New Roman"/>
                <w:sz w:val="22"/>
                <w:szCs w:val="22"/>
              </w:rPr>
              <w:t>Požymis</w:t>
            </w:r>
          </w:p>
        </w:tc>
        <w:tc>
          <w:tcPr>
            <w:tcW w:w="3969" w:type="dxa"/>
          </w:tcPr>
          <w:p w:rsidR="00644D67" w:rsidRPr="00A406DB" w:rsidRDefault="00644D67" w:rsidP="00A406DB">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Finansinis lizingas</w:t>
            </w:r>
          </w:p>
        </w:tc>
        <w:tc>
          <w:tcPr>
            <w:tcW w:w="4075" w:type="dxa"/>
          </w:tcPr>
          <w:p w:rsidR="00644D67" w:rsidRPr="00A406DB" w:rsidRDefault="00644D67" w:rsidP="00A406DB">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Veiklos lizingas</w:t>
            </w:r>
          </w:p>
        </w:tc>
      </w:tr>
      <w:tr w:rsidR="00B91E1A" w:rsidTr="008E23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644D67" w:rsidP="00A406DB">
            <w:pPr>
              <w:tabs>
                <w:tab w:val="left" w:pos="567"/>
              </w:tabs>
              <w:spacing w:line="360" w:lineRule="auto"/>
              <w:rPr>
                <w:rFonts w:ascii="Times New Roman" w:hAnsi="Times New Roman" w:cs="Times New Roman"/>
                <w:sz w:val="22"/>
                <w:szCs w:val="22"/>
              </w:rPr>
            </w:pPr>
            <w:r w:rsidRPr="00A406DB">
              <w:rPr>
                <w:rFonts w:ascii="Times New Roman" w:hAnsi="Times New Roman" w:cs="Times New Roman"/>
                <w:sz w:val="22"/>
                <w:szCs w:val="22"/>
              </w:rPr>
              <w:t>Turtas</w:t>
            </w:r>
          </w:p>
        </w:tc>
        <w:tc>
          <w:tcPr>
            <w:tcW w:w="3969" w:type="dxa"/>
          </w:tcPr>
          <w:p w:rsidR="00644D67" w:rsidRPr="00A406DB" w:rsidRDefault="00644D67" w:rsidP="00B91E1A">
            <w:pPr>
              <w:tabs>
                <w:tab w:val="left" w:pos="567"/>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Naudojamas tik vieno lizingo gavėjo</w:t>
            </w:r>
            <w:r w:rsidR="00A406DB">
              <w:rPr>
                <w:rFonts w:ascii="Times New Roman" w:hAnsi="Times New Roman" w:cs="Times New Roman"/>
                <w:sz w:val="22"/>
                <w:szCs w:val="22"/>
              </w:rPr>
              <w:t>.</w:t>
            </w:r>
          </w:p>
        </w:tc>
        <w:tc>
          <w:tcPr>
            <w:tcW w:w="4075" w:type="dxa"/>
          </w:tcPr>
          <w:p w:rsidR="00644D67" w:rsidRPr="00A406DB" w:rsidRDefault="00644D67" w:rsidP="00B91E1A">
            <w:pPr>
              <w:tabs>
                <w:tab w:val="left" w:pos="567"/>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Nau</w:t>
            </w:r>
            <w:r w:rsidR="0064003A" w:rsidRPr="00A406DB">
              <w:rPr>
                <w:rFonts w:ascii="Times New Roman" w:hAnsi="Times New Roman" w:cs="Times New Roman"/>
                <w:sz w:val="22"/>
                <w:szCs w:val="22"/>
              </w:rPr>
              <w:t>dojamas ne vieno lizingo gavėjo, didelis panašumas į nuomą, gali būti keli turto naudotojai</w:t>
            </w:r>
            <w:r w:rsidR="00A406DB">
              <w:rPr>
                <w:rFonts w:ascii="Times New Roman" w:hAnsi="Times New Roman" w:cs="Times New Roman"/>
                <w:sz w:val="22"/>
                <w:szCs w:val="22"/>
              </w:rPr>
              <w:t>.</w:t>
            </w:r>
          </w:p>
        </w:tc>
      </w:tr>
      <w:tr w:rsidR="00B91E1A" w:rsidTr="008E23A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64003A" w:rsidP="00A406DB">
            <w:pPr>
              <w:tabs>
                <w:tab w:val="left" w:pos="567"/>
              </w:tabs>
              <w:spacing w:line="360" w:lineRule="auto"/>
              <w:rPr>
                <w:rFonts w:ascii="Times New Roman" w:hAnsi="Times New Roman" w:cs="Times New Roman"/>
                <w:sz w:val="22"/>
                <w:szCs w:val="22"/>
              </w:rPr>
            </w:pPr>
            <w:r w:rsidRPr="00A406DB">
              <w:rPr>
                <w:rFonts w:ascii="Times New Roman" w:hAnsi="Times New Roman" w:cs="Times New Roman"/>
                <w:sz w:val="22"/>
                <w:szCs w:val="22"/>
              </w:rPr>
              <w:t>Lizingo gavėjo pozicija</w:t>
            </w:r>
          </w:p>
        </w:tc>
        <w:tc>
          <w:tcPr>
            <w:tcW w:w="3969" w:type="dxa"/>
          </w:tcPr>
          <w:p w:rsidR="00644D67" w:rsidRPr="00A406DB" w:rsidRDefault="0064003A" w:rsidP="00B91E1A">
            <w:pPr>
              <w:tabs>
                <w:tab w:val="left" w:pos="567"/>
              </w:tabs>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Yra būsimas turto savininkas (nuosavybė lizingo pabaigoje)</w:t>
            </w:r>
            <w:r w:rsidR="00A406DB">
              <w:rPr>
                <w:rFonts w:ascii="Times New Roman" w:hAnsi="Times New Roman" w:cs="Times New Roman"/>
                <w:sz w:val="22"/>
                <w:szCs w:val="22"/>
              </w:rPr>
              <w:t>.</w:t>
            </w:r>
          </w:p>
        </w:tc>
        <w:tc>
          <w:tcPr>
            <w:tcW w:w="4075" w:type="dxa"/>
          </w:tcPr>
          <w:p w:rsidR="00644D67" w:rsidRPr="00A406DB" w:rsidRDefault="0064003A" w:rsidP="00B91E1A">
            <w:pPr>
              <w:tabs>
                <w:tab w:val="left" w:pos="567"/>
              </w:tabs>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Nėra būsimas turto savininkas. Turtas naudojamas (nuomojamas) tik tam tikram laikotarpiui</w:t>
            </w:r>
            <w:r w:rsidR="00A406DB">
              <w:rPr>
                <w:rFonts w:ascii="Times New Roman" w:hAnsi="Times New Roman" w:cs="Times New Roman"/>
                <w:sz w:val="22"/>
                <w:szCs w:val="22"/>
              </w:rPr>
              <w:t>.</w:t>
            </w:r>
          </w:p>
        </w:tc>
      </w:tr>
      <w:tr w:rsidR="00B91E1A" w:rsidTr="008E23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64003A" w:rsidP="00A406DB">
            <w:pPr>
              <w:tabs>
                <w:tab w:val="left" w:pos="567"/>
              </w:tabs>
              <w:spacing w:line="360" w:lineRule="auto"/>
              <w:rPr>
                <w:rFonts w:ascii="Times New Roman" w:hAnsi="Times New Roman" w:cs="Times New Roman"/>
                <w:sz w:val="22"/>
                <w:szCs w:val="22"/>
              </w:rPr>
            </w:pPr>
            <w:r w:rsidRPr="00A406DB">
              <w:rPr>
                <w:rFonts w:ascii="Times New Roman" w:hAnsi="Times New Roman" w:cs="Times New Roman"/>
                <w:sz w:val="22"/>
                <w:szCs w:val="22"/>
              </w:rPr>
              <w:t>Lizingo davėjo prisiimamos rizikos</w:t>
            </w:r>
          </w:p>
        </w:tc>
        <w:tc>
          <w:tcPr>
            <w:tcW w:w="3969" w:type="dxa"/>
          </w:tcPr>
          <w:p w:rsidR="00644D67" w:rsidRPr="00A406DB" w:rsidRDefault="0064003A" w:rsidP="00B91E1A">
            <w:pPr>
              <w:tabs>
                <w:tab w:val="left" w:pos="567"/>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Neprisiima jokios turto naudojimo rizikos. Lizingo kompanijai tenka tik finansinė rizika (įsipareigojimų nevykdymas)</w:t>
            </w:r>
            <w:r w:rsidR="00A406DB">
              <w:rPr>
                <w:rFonts w:ascii="Times New Roman" w:hAnsi="Times New Roman" w:cs="Times New Roman"/>
                <w:sz w:val="22"/>
                <w:szCs w:val="22"/>
              </w:rPr>
              <w:t>.</w:t>
            </w:r>
          </w:p>
        </w:tc>
        <w:tc>
          <w:tcPr>
            <w:tcW w:w="4075" w:type="dxa"/>
          </w:tcPr>
          <w:p w:rsidR="00644D67" w:rsidRPr="00A406DB" w:rsidRDefault="00B16E92" w:rsidP="00B91E1A">
            <w:pPr>
              <w:tabs>
                <w:tab w:val="left" w:pos="567"/>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Pr>
                <w:rFonts w:ascii="Times New Roman" w:hAnsi="Times New Roman" w:cs="Times New Roman"/>
                <w:sz w:val="22"/>
                <w:szCs w:val="22"/>
              </w:rPr>
              <w:t>Prisiimamo</w:t>
            </w:r>
            <w:r w:rsidR="0064003A" w:rsidRPr="00A406DB">
              <w:rPr>
                <w:rFonts w:ascii="Times New Roman" w:hAnsi="Times New Roman" w:cs="Times New Roman"/>
                <w:sz w:val="22"/>
                <w:szCs w:val="22"/>
              </w:rPr>
              <w:t>s visos turto naudojimo rizikos</w:t>
            </w:r>
            <w:r w:rsidR="00A406DB">
              <w:rPr>
                <w:rFonts w:ascii="Times New Roman" w:hAnsi="Times New Roman" w:cs="Times New Roman"/>
                <w:sz w:val="22"/>
                <w:szCs w:val="22"/>
              </w:rPr>
              <w:t>.</w:t>
            </w:r>
          </w:p>
        </w:tc>
      </w:tr>
      <w:tr w:rsidR="00B91E1A" w:rsidTr="008E23A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64003A" w:rsidP="00A406DB">
            <w:pPr>
              <w:tabs>
                <w:tab w:val="left" w:pos="567"/>
              </w:tabs>
              <w:spacing w:line="360" w:lineRule="auto"/>
              <w:rPr>
                <w:rFonts w:ascii="Times New Roman" w:hAnsi="Times New Roman" w:cs="Times New Roman"/>
                <w:sz w:val="22"/>
                <w:szCs w:val="22"/>
              </w:rPr>
            </w:pPr>
            <w:r w:rsidRPr="00A406DB">
              <w:rPr>
                <w:rFonts w:ascii="Times New Roman" w:hAnsi="Times New Roman" w:cs="Times New Roman"/>
                <w:sz w:val="22"/>
                <w:szCs w:val="22"/>
              </w:rPr>
              <w:t>Lizingo sutarties nutraukimas</w:t>
            </w:r>
          </w:p>
        </w:tc>
        <w:tc>
          <w:tcPr>
            <w:tcW w:w="3969" w:type="dxa"/>
          </w:tcPr>
          <w:p w:rsidR="00644D67" w:rsidRPr="00A406DB" w:rsidRDefault="0064003A" w:rsidP="00B91E1A">
            <w:pPr>
              <w:tabs>
                <w:tab w:val="left" w:pos="567"/>
              </w:tabs>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 xml:space="preserve">Sutartis </w:t>
            </w:r>
            <w:r w:rsidR="007F3FE8" w:rsidRPr="00A406DB">
              <w:rPr>
                <w:rFonts w:ascii="Times New Roman" w:hAnsi="Times New Roman" w:cs="Times New Roman"/>
                <w:sz w:val="22"/>
                <w:szCs w:val="22"/>
              </w:rPr>
              <w:t>negali būti nutraukiama, kol lizingo gavėjas pilnai neatsiskaito su lizingo davėju</w:t>
            </w:r>
            <w:r w:rsidR="00A406DB">
              <w:rPr>
                <w:rFonts w:ascii="Times New Roman" w:hAnsi="Times New Roman" w:cs="Times New Roman"/>
                <w:sz w:val="22"/>
                <w:szCs w:val="22"/>
              </w:rPr>
              <w:t>.</w:t>
            </w:r>
          </w:p>
        </w:tc>
        <w:tc>
          <w:tcPr>
            <w:tcW w:w="4075" w:type="dxa"/>
          </w:tcPr>
          <w:p w:rsidR="00644D67" w:rsidRPr="00A406DB" w:rsidRDefault="007F3FE8" w:rsidP="00B91E1A">
            <w:pPr>
              <w:tabs>
                <w:tab w:val="left" w:pos="567"/>
              </w:tabs>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Sutartis gali būti nutraukiama ir turtas grąžinamas lizingo davėjui, nesumokėjus visos lizingo sumos už turtą</w:t>
            </w:r>
            <w:r w:rsidR="00A406DB">
              <w:rPr>
                <w:rFonts w:ascii="Times New Roman" w:hAnsi="Times New Roman" w:cs="Times New Roman"/>
                <w:sz w:val="22"/>
                <w:szCs w:val="22"/>
              </w:rPr>
              <w:t>.</w:t>
            </w:r>
          </w:p>
        </w:tc>
      </w:tr>
      <w:tr w:rsidR="00B91E1A" w:rsidTr="008E23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7F3FE8" w:rsidP="00A406DB">
            <w:pPr>
              <w:tabs>
                <w:tab w:val="left" w:pos="567"/>
              </w:tabs>
              <w:spacing w:line="360" w:lineRule="auto"/>
              <w:rPr>
                <w:rFonts w:ascii="Times New Roman" w:hAnsi="Times New Roman" w:cs="Times New Roman"/>
                <w:sz w:val="22"/>
                <w:szCs w:val="22"/>
              </w:rPr>
            </w:pPr>
            <w:r w:rsidRPr="00A406DB">
              <w:rPr>
                <w:rFonts w:ascii="Times New Roman" w:hAnsi="Times New Roman" w:cs="Times New Roman"/>
                <w:sz w:val="22"/>
                <w:szCs w:val="22"/>
              </w:rPr>
              <w:t>Apmokėjimas už turtą</w:t>
            </w:r>
          </w:p>
        </w:tc>
        <w:tc>
          <w:tcPr>
            <w:tcW w:w="3969" w:type="dxa"/>
          </w:tcPr>
          <w:p w:rsidR="00644D67" w:rsidRPr="00A406DB" w:rsidRDefault="007F3FE8" w:rsidP="00B91E1A">
            <w:pPr>
              <w:tabs>
                <w:tab w:val="left" w:pos="567"/>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Lizingo gavėjas įsipareigoja per lizingo laikotarpį pilnai atsiskaityti už turtą</w:t>
            </w:r>
            <w:r w:rsidR="00A406DB">
              <w:rPr>
                <w:rFonts w:ascii="Times New Roman" w:hAnsi="Times New Roman" w:cs="Times New Roman"/>
                <w:sz w:val="22"/>
                <w:szCs w:val="22"/>
              </w:rPr>
              <w:t>.</w:t>
            </w:r>
          </w:p>
        </w:tc>
        <w:tc>
          <w:tcPr>
            <w:tcW w:w="4075" w:type="dxa"/>
          </w:tcPr>
          <w:p w:rsidR="00644D67" w:rsidRPr="00A406DB" w:rsidRDefault="007F3FE8" w:rsidP="00B91E1A">
            <w:pPr>
              <w:tabs>
                <w:tab w:val="left" w:pos="567"/>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Lizingo gavėjas neįsipareigoja pilnai atsiskaityti už lizingo davėjo nupirktą turtą</w:t>
            </w:r>
            <w:r w:rsidR="00A406DB">
              <w:rPr>
                <w:rFonts w:ascii="Times New Roman" w:hAnsi="Times New Roman" w:cs="Times New Roman"/>
                <w:sz w:val="22"/>
                <w:szCs w:val="22"/>
              </w:rPr>
              <w:t>.</w:t>
            </w:r>
          </w:p>
        </w:tc>
      </w:tr>
      <w:tr w:rsidR="00B91E1A" w:rsidTr="008E23A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4D67" w:rsidRPr="00A406DB" w:rsidRDefault="007F3FE8" w:rsidP="00A406DB">
            <w:pPr>
              <w:tabs>
                <w:tab w:val="left" w:pos="567"/>
              </w:tabs>
              <w:spacing w:line="360" w:lineRule="auto"/>
              <w:rPr>
                <w:rFonts w:ascii="Times New Roman" w:hAnsi="Times New Roman" w:cs="Times New Roman"/>
                <w:sz w:val="22"/>
                <w:szCs w:val="22"/>
              </w:rPr>
            </w:pPr>
            <w:r w:rsidRPr="00A406DB">
              <w:rPr>
                <w:rFonts w:ascii="Times New Roman" w:hAnsi="Times New Roman" w:cs="Times New Roman"/>
                <w:sz w:val="22"/>
                <w:szCs w:val="22"/>
              </w:rPr>
              <w:t>Papildomos paslaugos</w:t>
            </w:r>
          </w:p>
        </w:tc>
        <w:tc>
          <w:tcPr>
            <w:tcW w:w="3969" w:type="dxa"/>
          </w:tcPr>
          <w:p w:rsidR="00644D67" w:rsidRPr="00A406DB" w:rsidRDefault="007F3FE8" w:rsidP="00B91E1A">
            <w:pPr>
              <w:tabs>
                <w:tab w:val="left" w:pos="567"/>
              </w:tabs>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Lizingo davėjas suteikia tik finansavimo paslaugą, kitų paslaugų teikti neįsipareigoja</w:t>
            </w:r>
            <w:r w:rsidR="00A406DB">
              <w:rPr>
                <w:rFonts w:ascii="Times New Roman" w:hAnsi="Times New Roman" w:cs="Times New Roman"/>
                <w:sz w:val="22"/>
                <w:szCs w:val="22"/>
              </w:rPr>
              <w:t>.</w:t>
            </w:r>
          </w:p>
        </w:tc>
        <w:tc>
          <w:tcPr>
            <w:tcW w:w="4075" w:type="dxa"/>
          </w:tcPr>
          <w:p w:rsidR="00644D67" w:rsidRPr="00A406DB" w:rsidRDefault="000B7A57" w:rsidP="00B91E1A">
            <w:pPr>
              <w:tabs>
                <w:tab w:val="left" w:pos="567"/>
              </w:tabs>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A406DB">
              <w:rPr>
                <w:rFonts w:ascii="Times New Roman" w:hAnsi="Times New Roman" w:cs="Times New Roman"/>
                <w:sz w:val="22"/>
                <w:szCs w:val="22"/>
              </w:rPr>
              <w:t>Lizingo davėjas gali teikti ir kitas papildomas paslaugas, tokias kaip techninė priežiūra ir kitos</w:t>
            </w:r>
            <w:r w:rsidR="00A406DB">
              <w:rPr>
                <w:rFonts w:ascii="Times New Roman" w:hAnsi="Times New Roman" w:cs="Times New Roman"/>
                <w:sz w:val="22"/>
                <w:szCs w:val="22"/>
              </w:rPr>
              <w:t>.</w:t>
            </w:r>
          </w:p>
        </w:tc>
      </w:tr>
    </w:tbl>
    <w:p w:rsidR="00644D67" w:rsidRPr="00A406DB" w:rsidRDefault="00A406DB" w:rsidP="00217F21">
      <w:pPr>
        <w:tabs>
          <w:tab w:val="left" w:pos="567"/>
        </w:tabs>
        <w:spacing w:line="360" w:lineRule="auto"/>
        <w:rPr>
          <w:rFonts w:ascii="Times New Roman" w:hAnsi="Times New Roman" w:cs="Times New Roman"/>
          <w:sz w:val="20"/>
          <w:szCs w:val="20"/>
        </w:rPr>
      </w:pPr>
      <w:r w:rsidRPr="00A406DB">
        <w:rPr>
          <w:rFonts w:ascii="Times New Roman" w:hAnsi="Times New Roman" w:cs="Times New Roman"/>
          <w:b/>
          <w:sz w:val="20"/>
          <w:szCs w:val="20"/>
        </w:rPr>
        <w:t>Šaltinis:</w:t>
      </w:r>
      <w:r>
        <w:rPr>
          <w:rFonts w:ascii="Times New Roman" w:hAnsi="Times New Roman" w:cs="Times New Roman"/>
          <w:sz w:val="20"/>
          <w:szCs w:val="20"/>
        </w:rPr>
        <w:t xml:space="preserve"> adaptuota pagal G. Mazūre, 2009, p.83</w:t>
      </w:r>
    </w:p>
    <w:p w:rsidR="00644D67" w:rsidRDefault="00644D67" w:rsidP="00D435B2">
      <w:pPr>
        <w:tabs>
          <w:tab w:val="left" w:pos="567"/>
        </w:tabs>
        <w:spacing w:line="360" w:lineRule="auto"/>
        <w:jc w:val="both"/>
        <w:rPr>
          <w:rFonts w:ascii="Times New Roman" w:hAnsi="Times New Roman" w:cs="Times New Roman"/>
        </w:rPr>
      </w:pPr>
    </w:p>
    <w:p w:rsidR="00CF64F4" w:rsidRDefault="007E7692" w:rsidP="00D435B2">
      <w:pPr>
        <w:tabs>
          <w:tab w:val="left" w:pos="567"/>
        </w:tabs>
        <w:spacing w:line="360" w:lineRule="auto"/>
        <w:jc w:val="both"/>
        <w:rPr>
          <w:rFonts w:ascii="Times New Roman" w:hAnsi="Times New Roman" w:cs="Times New Roman"/>
        </w:rPr>
      </w:pPr>
      <w:r>
        <w:rPr>
          <w:rFonts w:ascii="Times New Roman" w:hAnsi="Times New Roman" w:cs="Times New Roman"/>
        </w:rPr>
        <w:tab/>
        <w:t>Kaip iš pirmos lentelės matome</w:t>
      </w:r>
      <w:r w:rsidR="008B6112">
        <w:rPr>
          <w:rFonts w:ascii="Times New Roman" w:hAnsi="Times New Roman" w:cs="Times New Roman"/>
        </w:rPr>
        <w:t xml:space="preserve">, </w:t>
      </w:r>
      <w:r w:rsidR="00C17FF6">
        <w:rPr>
          <w:rFonts w:ascii="Times New Roman" w:hAnsi="Times New Roman" w:cs="Times New Roman"/>
        </w:rPr>
        <w:t xml:space="preserve">skirtumų tarp finansinio ir veiklos lizingo netrūksta. Jeigu finansinio lizingo atveju turtas naudojamas tik vieno lizingo gavėjo, kuris ir yra būsimas turto savininkas, tai </w:t>
      </w:r>
      <w:r w:rsidR="00B16E92">
        <w:rPr>
          <w:rFonts w:ascii="Times New Roman" w:hAnsi="Times New Roman" w:cs="Times New Roman"/>
        </w:rPr>
        <w:t>renkantis</w:t>
      </w:r>
      <w:r w:rsidR="00C17FF6">
        <w:rPr>
          <w:rFonts w:ascii="Times New Roman" w:hAnsi="Times New Roman" w:cs="Times New Roman"/>
        </w:rPr>
        <w:t xml:space="preserve"> veiklos nuo</w:t>
      </w:r>
      <w:r w:rsidR="00B16E92">
        <w:rPr>
          <w:rFonts w:ascii="Times New Roman" w:hAnsi="Times New Roman" w:cs="Times New Roman"/>
        </w:rPr>
        <w:t>mą</w:t>
      </w:r>
      <w:r w:rsidR="00C17FF6">
        <w:rPr>
          <w:rFonts w:ascii="Times New Roman" w:hAnsi="Times New Roman" w:cs="Times New Roman"/>
        </w:rPr>
        <w:t xml:space="preserve"> turtą dažniausiai naudoja keli lizingo gavėjai ir jo nuosavybė lizingo pabaigoje </w:t>
      </w:r>
      <w:r w:rsidR="00B7197F">
        <w:rPr>
          <w:rFonts w:ascii="Times New Roman" w:hAnsi="Times New Roman" w:cs="Times New Roman"/>
        </w:rPr>
        <w:t>pereina lizingo bendrovei</w:t>
      </w:r>
      <w:r w:rsidR="00C17FF6">
        <w:rPr>
          <w:rFonts w:ascii="Times New Roman" w:hAnsi="Times New Roman" w:cs="Times New Roman"/>
        </w:rPr>
        <w:t xml:space="preserve">. </w:t>
      </w:r>
      <w:r w:rsidR="00B16E92">
        <w:rPr>
          <w:rFonts w:ascii="Times New Roman" w:hAnsi="Times New Roman" w:cs="Times New Roman"/>
        </w:rPr>
        <w:t xml:space="preserve">Teikdama finansinio lizingo paslaugą lizingo bendrovė neprisiima jokios turto naudojimo rizikos, išskyrus finansinę, </w:t>
      </w:r>
      <w:r w:rsidR="00407DC2">
        <w:rPr>
          <w:rFonts w:ascii="Times New Roman" w:hAnsi="Times New Roman" w:cs="Times New Roman"/>
        </w:rPr>
        <w:t xml:space="preserve">bei neįsipareigoja teikti jokių papildomų paslaugų. </w:t>
      </w:r>
      <w:r w:rsidR="00407DC2" w:rsidRPr="00943A38">
        <w:rPr>
          <w:rFonts w:ascii="Times New Roman" w:hAnsi="Times New Roman" w:cs="Times New Roman"/>
        </w:rPr>
        <w:t>Tuo tarpu</w:t>
      </w:r>
      <w:r w:rsidR="00B16E92" w:rsidRPr="00943A38">
        <w:rPr>
          <w:rFonts w:ascii="Times New Roman" w:hAnsi="Times New Roman" w:cs="Times New Roman"/>
        </w:rPr>
        <w:t xml:space="preserve"> </w:t>
      </w:r>
      <w:r w:rsidR="005915A4">
        <w:rPr>
          <w:rFonts w:ascii="Times New Roman" w:hAnsi="Times New Roman" w:cs="Times New Roman"/>
        </w:rPr>
        <w:t>siūlant</w:t>
      </w:r>
      <w:r w:rsidR="00B16E92" w:rsidRPr="00943A38">
        <w:rPr>
          <w:rFonts w:ascii="Times New Roman" w:hAnsi="Times New Roman" w:cs="Times New Roman"/>
        </w:rPr>
        <w:t xml:space="preserve"> veiklos nuomą prisiimamos visos turto naudojimo rizikos</w:t>
      </w:r>
      <w:r w:rsidR="0095501D">
        <w:rPr>
          <w:rFonts w:ascii="Times New Roman" w:hAnsi="Times New Roman" w:cs="Times New Roman"/>
        </w:rPr>
        <w:t xml:space="preserve">, gali būti teikiamos papildomos paslaugos. </w:t>
      </w:r>
      <w:r w:rsidR="00943A38" w:rsidRPr="00943A38">
        <w:rPr>
          <w:rFonts w:ascii="Times New Roman" w:hAnsi="Times New Roman" w:cs="Times New Roman"/>
        </w:rPr>
        <w:t xml:space="preserve">Pasirašoma finansinio lizingo sutartis negali būti nutraukiama, kol </w:t>
      </w:r>
      <w:r w:rsidR="00943A38" w:rsidRPr="00943A38">
        <w:rPr>
          <w:rFonts w:ascii="Times New Roman" w:hAnsi="Times New Roman" w:cs="Times New Roman"/>
        </w:rPr>
        <w:lastRenderedPageBreak/>
        <w:t>lizingo gavėjas pilnai neatsiskaito su lizingo bendrove</w:t>
      </w:r>
      <w:r w:rsidR="00943A38">
        <w:rPr>
          <w:rFonts w:ascii="Times New Roman" w:hAnsi="Times New Roman" w:cs="Times New Roman"/>
        </w:rPr>
        <w:t xml:space="preserve">, </w:t>
      </w:r>
      <w:r w:rsidR="00943A38" w:rsidRPr="00943A38">
        <w:rPr>
          <w:rFonts w:ascii="Times New Roman" w:hAnsi="Times New Roman" w:cs="Times New Roman"/>
        </w:rPr>
        <w:t xml:space="preserve">veiklos lizingo sutartis </w:t>
      </w:r>
      <w:r w:rsidR="00943A38">
        <w:rPr>
          <w:rFonts w:ascii="Times New Roman" w:hAnsi="Times New Roman" w:cs="Times New Roman"/>
        </w:rPr>
        <w:t xml:space="preserve">priešingai - </w:t>
      </w:r>
      <w:r w:rsidR="00943A38" w:rsidRPr="00943A38">
        <w:rPr>
          <w:rFonts w:ascii="Times New Roman" w:hAnsi="Times New Roman" w:cs="Times New Roman"/>
        </w:rPr>
        <w:t xml:space="preserve">gali būti nutraukiama ir turtas grąžinamas lizingo davėjui, nesumokėjus visos lizingo sumos už turtą, </w:t>
      </w:r>
      <w:r w:rsidR="00B54B20" w:rsidRPr="00943A38">
        <w:rPr>
          <w:rFonts w:ascii="Times New Roman" w:hAnsi="Times New Roman" w:cs="Times New Roman"/>
        </w:rPr>
        <w:t xml:space="preserve">Tačiau Lietuvos rinkoje </w:t>
      </w:r>
      <w:r w:rsidR="00943A38">
        <w:rPr>
          <w:rFonts w:ascii="Times New Roman" w:hAnsi="Times New Roman" w:cs="Times New Roman"/>
        </w:rPr>
        <w:t xml:space="preserve">keturi </w:t>
      </w:r>
      <w:r w:rsidR="00B54B20" w:rsidRPr="00943A38">
        <w:rPr>
          <w:rFonts w:ascii="Times New Roman" w:hAnsi="Times New Roman" w:cs="Times New Roman"/>
        </w:rPr>
        <w:t>pa</w:t>
      </w:r>
      <w:r w:rsidR="00045E9A" w:rsidRPr="00943A38">
        <w:rPr>
          <w:rFonts w:ascii="Times New Roman" w:hAnsi="Times New Roman" w:cs="Times New Roman"/>
        </w:rPr>
        <w:t>skutiniai įvardinti veiklos lizingo bruožai veikia retai</w:t>
      </w:r>
      <w:r w:rsidR="00B54B20" w:rsidRPr="00943A38">
        <w:rPr>
          <w:rFonts w:ascii="Times New Roman" w:hAnsi="Times New Roman" w:cs="Times New Roman"/>
        </w:rPr>
        <w:t>. Veiklos lizingo sutartyse praktiškai visada lieka punktai, kad lizingo gavėjas privalo, kaip ir finansinio lizingo atveju, apdrausti, prižiūrėti bei išlaikyti</w:t>
      </w:r>
      <w:r w:rsidR="00B54B20">
        <w:rPr>
          <w:rFonts w:ascii="Times New Roman" w:hAnsi="Times New Roman" w:cs="Times New Roman"/>
        </w:rPr>
        <w:t xml:space="preserve"> turtą tvarkingą savo lėšomis, be to, norint nutraukti veiklos nuomos sutartį bet kuriuo metu to padaryti tikrai nepavyks nepadengus likusios turto vertės ar neradus kito pirkėjo turtui. Kaip parodė darbo autoriaus darbinė praktika tam tikros išimtys gali būti taikomos tik lizingo su valstybinėmis įstaigomis ar įmonėmis</w:t>
      </w:r>
      <w:r w:rsidR="00CF64F4">
        <w:rPr>
          <w:rFonts w:ascii="Times New Roman" w:hAnsi="Times New Roman" w:cs="Times New Roman"/>
        </w:rPr>
        <w:t xml:space="preserve"> atveju</w:t>
      </w:r>
      <w:r w:rsidR="00B54B20">
        <w:rPr>
          <w:rFonts w:ascii="Times New Roman" w:hAnsi="Times New Roman" w:cs="Times New Roman"/>
        </w:rPr>
        <w:t xml:space="preserve">, kai lizingo bendrovė dalyvauja viešuose konkursuose </w:t>
      </w:r>
      <w:r w:rsidR="00045E9A">
        <w:rPr>
          <w:rFonts w:ascii="Times New Roman" w:hAnsi="Times New Roman" w:cs="Times New Roman"/>
        </w:rPr>
        <w:t>bei atsižvelgdama į konkursų</w:t>
      </w:r>
      <w:r w:rsidR="00B54B20">
        <w:rPr>
          <w:rFonts w:ascii="Times New Roman" w:hAnsi="Times New Roman" w:cs="Times New Roman"/>
        </w:rPr>
        <w:t xml:space="preserve"> sąlygas prisiima daugiau lizingo naudojimo išlaidų bei kai kuriais atvejais suteikia galimybę be jokių papildomų mokesčių grąžinti turtą lizingo bendrovei.  </w:t>
      </w:r>
      <w:r w:rsidR="00CF64F4">
        <w:rPr>
          <w:rFonts w:ascii="Times New Roman" w:hAnsi="Times New Roman" w:cs="Times New Roman"/>
        </w:rPr>
        <w:t xml:space="preserve">Taigi lyginant veiklos bei finansinį lizingą matome, kad finansinis lizingas labiau artimas daugumos žmonių nuomonei, kad </w:t>
      </w:r>
      <w:r w:rsidR="00943A38">
        <w:rPr>
          <w:rFonts w:ascii="Times New Roman" w:hAnsi="Times New Roman" w:cs="Times New Roman"/>
        </w:rPr>
        <w:t xml:space="preserve">turtą finansuojantis lizingo būdu </w:t>
      </w:r>
      <w:r w:rsidR="00CF64F4">
        <w:rPr>
          <w:rFonts w:ascii="Times New Roman" w:hAnsi="Times New Roman" w:cs="Times New Roman"/>
        </w:rPr>
        <w:t xml:space="preserve">už </w:t>
      </w:r>
      <w:r w:rsidR="00943A38">
        <w:rPr>
          <w:rFonts w:ascii="Times New Roman" w:hAnsi="Times New Roman" w:cs="Times New Roman"/>
        </w:rPr>
        <w:t>tą</w:t>
      </w:r>
      <w:r w:rsidR="004A77CA">
        <w:rPr>
          <w:rFonts w:ascii="Times New Roman" w:hAnsi="Times New Roman" w:cs="Times New Roman"/>
        </w:rPr>
        <w:t xml:space="preserve"> turtą mokamos periodinės įmoko</w:t>
      </w:r>
      <w:r w:rsidR="00CF64F4">
        <w:rPr>
          <w:rFonts w:ascii="Times New Roman" w:hAnsi="Times New Roman" w:cs="Times New Roman"/>
        </w:rPr>
        <w:t xml:space="preserve">s kol lizingo gale </w:t>
      </w:r>
      <w:r w:rsidR="004A77CA">
        <w:rPr>
          <w:rFonts w:ascii="Times New Roman" w:hAnsi="Times New Roman" w:cs="Times New Roman"/>
        </w:rPr>
        <w:t xml:space="preserve">sumokėjus visas įmokas </w:t>
      </w:r>
      <w:r w:rsidR="00CF64F4">
        <w:rPr>
          <w:rFonts w:ascii="Times New Roman" w:hAnsi="Times New Roman" w:cs="Times New Roman"/>
        </w:rPr>
        <w:t xml:space="preserve">lizinguojamas turtas pereina lizingo gavėjui, o veiklos lizingas artimesnis nuomai. </w:t>
      </w:r>
      <w:r w:rsidR="004A77CA">
        <w:rPr>
          <w:rFonts w:ascii="Times New Roman" w:hAnsi="Times New Roman" w:cs="Times New Roman"/>
        </w:rPr>
        <w:t xml:space="preserve">Tačiau mažoje Lietuvos lizingo rinkoje veiklos lizingas yra žymiai panašesnis į finansinį lizingą nei pasauliniame kontekste, nes tiesiog tam tikri veiklos lizingo bruožai Lietuvos rinkoje veikia tik iš dalies. </w:t>
      </w:r>
    </w:p>
    <w:p w:rsidR="0009183F" w:rsidRDefault="0009183F" w:rsidP="00D435B2">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Apžvelgę bei palyginę du pagrindinius lizingo tipus, pereikime prie kitų, kurie taip pat yra ne mažiau svarbūs. </w:t>
      </w:r>
    </w:p>
    <w:p w:rsidR="0009183F" w:rsidRDefault="0009183F" w:rsidP="00D435B2">
      <w:pPr>
        <w:tabs>
          <w:tab w:val="left" w:pos="567"/>
        </w:tabs>
        <w:spacing w:line="360" w:lineRule="auto"/>
        <w:jc w:val="both"/>
        <w:rPr>
          <w:rFonts w:ascii="Times New Roman" w:hAnsi="Times New Roman" w:cs="Times New Roman"/>
        </w:rPr>
      </w:pPr>
    </w:p>
    <w:p w:rsidR="00E16E2E" w:rsidRPr="00E16E2E" w:rsidRDefault="00D17D8F" w:rsidP="003C4A22">
      <w:pPr>
        <w:tabs>
          <w:tab w:val="left" w:pos="567"/>
        </w:tabs>
        <w:spacing w:line="360" w:lineRule="auto"/>
        <w:jc w:val="both"/>
        <w:rPr>
          <w:rFonts w:ascii="Times New Roman" w:hAnsi="Times New Roman" w:cs="Times New Roman"/>
          <w:b/>
        </w:rPr>
      </w:pPr>
      <w:r>
        <w:rPr>
          <w:rFonts w:ascii="Times New Roman" w:hAnsi="Times New Roman" w:cs="Times New Roman"/>
        </w:rPr>
        <w:tab/>
      </w:r>
      <w:r w:rsidR="00E16E2E" w:rsidRPr="00E16E2E">
        <w:rPr>
          <w:rFonts w:ascii="Times New Roman" w:hAnsi="Times New Roman" w:cs="Times New Roman"/>
          <w:b/>
        </w:rPr>
        <w:t>Grįžtamasis lizingas</w:t>
      </w:r>
    </w:p>
    <w:p w:rsidR="003C4A22" w:rsidRDefault="00E16E2E" w:rsidP="003C4A22">
      <w:pPr>
        <w:tabs>
          <w:tab w:val="left" w:pos="567"/>
        </w:tabs>
        <w:spacing w:line="360" w:lineRule="auto"/>
        <w:jc w:val="both"/>
        <w:rPr>
          <w:rFonts w:ascii="Times New Roman" w:hAnsi="Times New Roman" w:cs="Times New Roman"/>
        </w:rPr>
      </w:pPr>
      <w:r>
        <w:rPr>
          <w:rFonts w:ascii="Times New Roman" w:hAnsi="Times New Roman" w:cs="Times New Roman"/>
        </w:rPr>
        <w:tab/>
      </w:r>
      <w:r w:rsidR="00D17D8F">
        <w:rPr>
          <w:rFonts w:ascii="Times New Roman" w:hAnsi="Times New Roman" w:cs="Times New Roman"/>
        </w:rPr>
        <w:t xml:space="preserve">Kitas lizingo tipas </w:t>
      </w:r>
      <w:r w:rsidR="0063505F">
        <w:rPr>
          <w:rFonts w:ascii="Times New Roman" w:hAnsi="Times New Roman" w:cs="Times New Roman"/>
        </w:rPr>
        <w:t>–</w:t>
      </w:r>
      <w:r w:rsidR="00D17D8F">
        <w:rPr>
          <w:rFonts w:ascii="Times New Roman" w:hAnsi="Times New Roman" w:cs="Times New Roman"/>
        </w:rPr>
        <w:t xml:space="preserve"> </w:t>
      </w:r>
      <w:r w:rsidR="0063505F">
        <w:rPr>
          <w:rFonts w:ascii="Times New Roman" w:hAnsi="Times New Roman" w:cs="Times New Roman"/>
        </w:rPr>
        <w:t>grįžtamasis lizingas. Tai toks lizingo tipas, kai lizingo kompanija nuperka turtą iš savo kliento ir lizingu</w:t>
      </w:r>
      <w:r w:rsidR="00C21EF9">
        <w:rPr>
          <w:rFonts w:ascii="Times New Roman" w:hAnsi="Times New Roman" w:cs="Times New Roman"/>
        </w:rPr>
        <w:t xml:space="preserve">oja jį vėl tam pačiam klientui. </w:t>
      </w:r>
      <w:r w:rsidR="0063505F">
        <w:rPr>
          <w:rFonts w:ascii="Times New Roman" w:hAnsi="Times New Roman" w:cs="Times New Roman"/>
        </w:rPr>
        <w:t>Tai padeda tokiam lizingo gavėjui greitai gauti nemažą pinigų sumą</w:t>
      </w:r>
      <w:r w:rsidR="00C21EF9">
        <w:rPr>
          <w:rFonts w:ascii="Times New Roman" w:hAnsi="Times New Roman" w:cs="Times New Roman"/>
        </w:rPr>
        <w:t xml:space="preserve"> (Grönlund et al., 2008). </w:t>
      </w:r>
      <w:r w:rsidR="0063505F">
        <w:rPr>
          <w:rFonts w:ascii="Times New Roman" w:hAnsi="Times New Roman" w:cs="Times New Roman"/>
        </w:rPr>
        <w:t>Tokia paslauga dažniausiai naudojasi įmonės, susiduriančios su ap</w:t>
      </w:r>
      <w:r w:rsidR="00AD3DF3">
        <w:rPr>
          <w:rFonts w:ascii="Times New Roman" w:hAnsi="Times New Roman" w:cs="Times New Roman"/>
        </w:rPr>
        <w:t>yvartinių lėšų trūkumu (Nemati</w:t>
      </w:r>
      <w:r w:rsidR="0063505F">
        <w:rPr>
          <w:rFonts w:ascii="Times New Roman" w:hAnsi="Times New Roman" w:cs="Times New Roman"/>
        </w:rPr>
        <w:t>, 2012).</w:t>
      </w:r>
      <w:r w:rsidR="003C4A22">
        <w:rPr>
          <w:rFonts w:ascii="Times New Roman" w:hAnsi="Times New Roman" w:cs="Times New Roman"/>
        </w:rPr>
        <w:t xml:space="preserve"> </w:t>
      </w:r>
      <w:r w:rsidR="007E6EA1">
        <w:rPr>
          <w:rFonts w:ascii="Times New Roman" w:hAnsi="Times New Roman" w:cs="Times New Roman"/>
        </w:rPr>
        <w:t xml:space="preserve">Dažniausiai lizinguojamas turtas, kurio likęs ekonominio tarnavimo laikotarpis dar būna gana ilgas. Turto lizinguojama vertė turi visada būti mažesnė už turto rinkos kainą (Danys, </w:t>
      </w:r>
      <w:r w:rsidR="003F7A2D">
        <w:rPr>
          <w:rFonts w:ascii="Times New Roman" w:hAnsi="Times New Roman" w:cs="Times New Roman"/>
        </w:rPr>
        <w:t xml:space="preserve">Milašauskas, </w:t>
      </w:r>
      <w:r w:rsidR="007E6EA1">
        <w:rPr>
          <w:rFonts w:ascii="Times New Roman" w:hAnsi="Times New Roman" w:cs="Times New Roman"/>
        </w:rPr>
        <w:t>2000).</w:t>
      </w:r>
    </w:p>
    <w:p w:rsidR="00CA486D" w:rsidRDefault="00CA486D" w:rsidP="003C4A22">
      <w:pPr>
        <w:tabs>
          <w:tab w:val="left" w:pos="567"/>
        </w:tabs>
        <w:spacing w:line="360" w:lineRule="auto"/>
        <w:jc w:val="both"/>
        <w:rPr>
          <w:rFonts w:ascii="Times New Roman" w:hAnsi="Times New Roman" w:cs="Times New Roman"/>
        </w:rPr>
      </w:pPr>
    </w:p>
    <w:p w:rsidR="00CA486D" w:rsidRPr="00CA486D" w:rsidRDefault="00CA486D" w:rsidP="003C4A22">
      <w:pPr>
        <w:tabs>
          <w:tab w:val="left" w:pos="567"/>
        </w:tabs>
        <w:spacing w:line="360" w:lineRule="auto"/>
        <w:jc w:val="both"/>
        <w:rPr>
          <w:rFonts w:ascii="Times New Roman" w:hAnsi="Times New Roman" w:cs="Times New Roman"/>
          <w:b/>
        </w:rPr>
      </w:pPr>
      <w:r>
        <w:rPr>
          <w:rFonts w:ascii="Times New Roman" w:hAnsi="Times New Roman" w:cs="Times New Roman"/>
        </w:rPr>
        <w:tab/>
      </w:r>
      <w:r w:rsidRPr="00CA486D">
        <w:rPr>
          <w:rFonts w:ascii="Times New Roman" w:hAnsi="Times New Roman" w:cs="Times New Roman"/>
          <w:b/>
        </w:rPr>
        <w:t>Tarptautinis lizingas</w:t>
      </w:r>
    </w:p>
    <w:p w:rsidR="000E7818" w:rsidRDefault="007E6EA1" w:rsidP="003C4A22">
      <w:pPr>
        <w:tabs>
          <w:tab w:val="left" w:pos="567"/>
        </w:tabs>
        <w:spacing w:line="360" w:lineRule="auto"/>
        <w:jc w:val="both"/>
        <w:rPr>
          <w:rFonts w:ascii="Times New Roman" w:hAnsi="Times New Roman" w:cs="Times New Roman"/>
        </w:rPr>
      </w:pPr>
      <w:r>
        <w:rPr>
          <w:rFonts w:ascii="Times New Roman" w:hAnsi="Times New Roman" w:cs="Times New Roman"/>
        </w:rPr>
        <w:tab/>
        <w:t xml:space="preserve">Tarptautinis lizingas – tai toks lizingo tipas, kai lizingo gavėjas bei lizingo davėjas (lizingo kompanija) </w:t>
      </w:r>
      <w:r w:rsidR="00AD3DF3">
        <w:rPr>
          <w:rFonts w:ascii="Times New Roman" w:hAnsi="Times New Roman" w:cs="Times New Roman"/>
        </w:rPr>
        <w:t>yra iš skirtingų šalių (</w:t>
      </w:r>
      <w:r w:rsidR="00DF49F9">
        <w:rPr>
          <w:rFonts w:ascii="Times New Roman" w:hAnsi="Times New Roman" w:cs="Times New Roman"/>
        </w:rPr>
        <w:t>Wang, 2011</w:t>
      </w:r>
      <w:r>
        <w:rPr>
          <w:rFonts w:ascii="Times New Roman" w:hAnsi="Times New Roman" w:cs="Times New Roman"/>
        </w:rPr>
        <w:t xml:space="preserve">). Toks lizingas suteikia galimybę </w:t>
      </w:r>
      <w:r w:rsidR="00C97219">
        <w:rPr>
          <w:rFonts w:ascii="Times New Roman" w:hAnsi="Times New Roman" w:cs="Times New Roman"/>
        </w:rPr>
        <w:t>investuotojams, norintiems investuoti kitose šalyse, galimybę įsigyti turto tose šalyse iš tos šalies įmonių. Tarptautinis lizingas suteikia galimybę sumažinti palūkanų</w:t>
      </w:r>
      <w:r w:rsidR="000E7818">
        <w:rPr>
          <w:rFonts w:ascii="Times New Roman" w:hAnsi="Times New Roman" w:cs="Times New Roman"/>
        </w:rPr>
        <w:t xml:space="preserve">, transakcijų išlaidas bei gauti mokestinių lengvatų. </w:t>
      </w:r>
      <w:r w:rsidR="007D64D9">
        <w:rPr>
          <w:rFonts w:ascii="Times New Roman" w:hAnsi="Times New Roman" w:cs="Times New Roman"/>
        </w:rPr>
        <w:t xml:space="preserve">Dažniausiai naudojamas tarp Europos šalių bei JAV </w:t>
      </w:r>
      <w:r w:rsidR="000E7818">
        <w:rPr>
          <w:rFonts w:ascii="Times New Roman" w:hAnsi="Times New Roman" w:cs="Times New Roman"/>
        </w:rPr>
        <w:t xml:space="preserve">(Deo, 2008). </w:t>
      </w:r>
    </w:p>
    <w:p w:rsidR="00CA486D" w:rsidRDefault="00CA486D" w:rsidP="003C4A22">
      <w:pPr>
        <w:tabs>
          <w:tab w:val="left" w:pos="567"/>
        </w:tabs>
        <w:spacing w:line="360" w:lineRule="auto"/>
        <w:jc w:val="both"/>
        <w:rPr>
          <w:rFonts w:ascii="Times New Roman" w:hAnsi="Times New Roman" w:cs="Times New Roman"/>
        </w:rPr>
      </w:pPr>
    </w:p>
    <w:p w:rsidR="00CA486D" w:rsidRDefault="00CA486D" w:rsidP="003C4A22">
      <w:pPr>
        <w:tabs>
          <w:tab w:val="left" w:pos="567"/>
        </w:tabs>
        <w:spacing w:line="360" w:lineRule="auto"/>
        <w:jc w:val="both"/>
        <w:rPr>
          <w:rFonts w:ascii="Times New Roman" w:hAnsi="Times New Roman" w:cs="Times New Roman"/>
        </w:rPr>
      </w:pPr>
    </w:p>
    <w:p w:rsidR="00CA486D" w:rsidRPr="00CA486D" w:rsidRDefault="00CA486D" w:rsidP="003C4A22">
      <w:pPr>
        <w:tabs>
          <w:tab w:val="left" w:pos="567"/>
        </w:tabs>
        <w:spacing w:line="360" w:lineRule="auto"/>
        <w:jc w:val="both"/>
        <w:rPr>
          <w:rFonts w:ascii="Times New Roman" w:hAnsi="Times New Roman" w:cs="Times New Roman"/>
          <w:b/>
        </w:rPr>
      </w:pPr>
      <w:r>
        <w:rPr>
          <w:rFonts w:ascii="Times New Roman" w:hAnsi="Times New Roman" w:cs="Times New Roman"/>
        </w:rPr>
        <w:lastRenderedPageBreak/>
        <w:tab/>
      </w:r>
      <w:r>
        <w:rPr>
          <w:rFonts w:ascii="Times New Roman" w:hAnsi="Times New Roman" w:cs="Times New Roman"/>
          <w:b/>
        </w:rPr>
        <w:t>Tiesioginis lizingas</w:t>
      </w:r>
    </w:p>
    <w:p w:rsidR="00F81EAD" w:rsidRDefault="00F81EAD" w:rsidP="003C4A22">
      <w:pPr>
        <w:tabs>
          <w:tab w:val="left" w:pos="567"/>
        </w:tabs>
        <w:spacing w:line="360" w:lineRule="auto"/>
        <w:jc w:val="both"/>
        <w:rPr>
          <w:rFonts w:ascii="Times New Roman" w:hAnsi="Times New Roman" w:cs="Times New Roman"/>
        </w:rPr>
      </w:pPr>
      <w:r>
        <w:rPr>
          <w:rFonts w:ascii="Times New Roman" w:hAnsi="Times New Roman" w:cs="Times New Roman"/>
        </w:rPr>
        <w:tab/>
        <w:t xml:space="preserve">Kitas lizingo tipas – tiesioginis lizingas. Šio tipo lizingas yra dažniausiai naudojamas kaip pagalbinė pardavimų priemonė. Tiesioginis lizingas suteikiamas </w:t>
      </w:r>
      <w:r w:rsidR="00924888">
        <w:rPr>
          <w:rFonts w:ascii="Times New Roman" w:hAnsi="Times New Roman" w:cs="Times New Roman"/>
        </w:rPr>
        <w:t>gamintojams</w:t>
      </w:r>
      <w:r>
        <w:rPr>
          <w:rFonts w:ascii="Times New Roman" w:hAnsi="Times New Roman" w:cs="Times New Roman"/>
        </w:rPr>
        <w:t xml:space="preserve"> </w:t>
      </w:r>
      <w:r w:rsidR="00924888">
        <w:rPr>
          <w:rFonts w:ascii="Times New Roman" w:hAnsi="Times New Roman" w:cs="Times New Roman"/>
        </w:rPr>
        <w:t>ar tam tikrų prekių pardavėjams bendradarbiaujant su lizingo bendrovėmis. Pasirašomos bendradarbiavimo sutartys sudarančios sąlygas lizingo gavėjui įsigyti turtą nemokant palūkanų ar suteikian</w:t>
      </w:r>
      <w:r w:rsidR="00AD3DF3">
        <w:rPr>
          <w:rFonts w:ascii="Times New Roman" w:hAnsi="Times New Roman" w:cs="Times New Roman"/>
        </w:rPr>
        <w:t>t kitokių nuolaidų (</w:t>
      </w:r>
      <w:r w:rsidR="003A65A4">
        <w:rPr>
          <w:rFonts w:ascii="Times New Roman" w:hAnsi="Times New Roman" w:cs="Times New Roman"/>
        </w:rPr>
        <w:t>Nemati</w:t>
      </w:r>
      <w:r w:rsidR="00924888">
        <w:rPr>
          <w:rFonts w:ascii="Times New Roman" w:hAnsi="Times New Roman" w:cs="Times New Roman"/>
        </w:rPr>
        <w:t xml:space="preserve">, </w:t>
      </w:r>
      <w:r w:rsidR="003A65A4">
        <w:rPr>
          <w:rFonts w:ascii="Times New Roman" w:hAnsi="Times New Roman" w:cs="Times New Roman"/>
        </w:rPr>
        <w:t>2012</w:t>
      </w:r>
      <w:r w:rsidR="00924888">
        <w:rPr>
          <w:rFonts w:ascii="Times New Roman" w:hAnsi="Times New Roman" w:cs="Times New Roman"/>
        </w:rPr>
        <w:t xml:space="preserve">). Geras pavyzdys būtų </w:t>
      </w:r>
      <w:r w:rsidR="00924888" w:rsidRPr="00924888">
        <w:rPr>
          <w:rFonts w:ascii="Times New Roman" w:hAnsi="Times New Roman" w:cs="Times New Roman"/>
        </w:rPr>
        <w:t>2012-06-08 – 2012-</w:t>
      </w:r>
      <w:r w:rsidR="00924888">
        <w:rPr>
          <w:rFonts w:ascii="Times New Roman" w:hAnsi="Times New Roman" w:cs="Times New Roman"/>
        </w:rPr>
        <w:t xml:space="preserve">07-01 UAB „Šiaulių banko lizingas“ kartu su UAB „Mediashop“ siūloma akcija įsigyti televizorių su galimybe jį per mėnesį grąžinti be jokių papildomų mokesčių ir atgauti visą turto kainą. Be to, tokiam pirkimui galioja specialios lizingo sąlygos, kai už lizingą </w:t>
      </w:r>
      <w:r w:rsidR="00D55F2C">
        <w:rPr>
          <w:rFonts w:ascii="Times New Roman" w:hAnsi="Times New Roman" w:cs="Times New Roman"/>
        </w:rPr>
        <w:t xml:space="preserve">lizingo gavėjui </w:t>
      </w:r>
      <w:r w:rsidR="00924888">
        <w:rPr>
          <w:rFonts w:ascii="Times New Roman" w:hAnsi="Times New Roman" w:cs="Times New Roman"/>
        </w:rPr>
        <w:t xml:space="preserve">nereikėtų mokėti nei palūkanų, nei avanso. </w:t>
      </w:r>
      <w:r w:rsidR="00D55F2C">
        <w:rPr>
          <w:rFonts w:ascii="Times New Roman" w:hAnsi="Times New Roman" w:cs="Times New Roman"/>
        </w:rPr>
        <w:tab/>
        <w:t>Tiesioginis lizingas taip pat gali būti siūlomas didžiausių gamintojų, tiekėjų arba prekių pardavėjų tiesiogiai. Suteikiama galimybė nesikreipiant į lizingo kompaniją gauti lizingą tiesiai iš gamintojų ar tam tikro turto platintojo. Tokiu atveju įmokos taip</w:t>
      </w:r>
      <w:r w:rsidR="00FD74B0">
        <w:rPr>
          <w:rFonts w:ascii="Times New Roman" w:hAnsi="Times New Roman" w:cs="Times New Roman"/>
        </w:rPr>
        <w:t xml:space="preserve"> pat mokamos tiesiai pardavėjui.</w:t>
      </w:r>
      <w:r w:rsidR="00D55F2C">
        <w:rPr>
          <w:rFonts w:ascii="Times New Roman" w:hAnsi="Times New Roman" w:cs="Times New Roman"/>
        </w:rPr>
        <w:t xml:space="preserve"> Tokią paslaugą dažnai siūlo didžiausi automobilių gamintojų </w:t>
      </w:r>
      <w:r w:rsidR="004E5FAD">
        <w:rPr>
          <w:rFonts w:ascii="Times New Roman" w:hAnsi="Times New Roman" w:cs="Times New Roman"/>
        </w:rPr>
        <w:t>atstovai</w:t>
      </w:r>
      <w:r w:rsidR="00D55F2C">
        <w:rPr>
          <w:rFonts w:ascii="Times New Roman" w:hAnsi="Times New Roman" w:cs="Times New Roman"/>
        </w:rPr>
        <w:t>.</w:t>
      </w:r>
    </w:p>
    <w:p w:rsidR="00CA486D" w:rsidRDefault="00CA486D" w:rsidP="003C4A22">
      <w:pPr>
        <w:tabs>
          <w:tab w:val="left" w:pos="567"/>
        </w:tabs>
        <w:spacing w:line="360" w:lineRule="auto"/>
        <w:jc w:val="both"/>
        <w:rPr>
          <w:rFonts w:ascii="Times New Roman" w:hAnsi="Times New Roman" w:cs="Times New Roman"/>
        </w:rPr>
      </w:pPr>
    </w:p>
    <w:p w:rsidR="00CA486D" w:rsidRPr="00CA486D" w:rsidRDefault="00CA486D" w:rsidP="003C4A22">
      <w:pPr>
        <w:tabs>
          <w:tab w:val="left" w:pos="567"/>
        </w:tabs>
        <w:spacing w:line="360" w:lineRule="auto"/>
        <w:jc w:val="both"/>
        <w:rPr>
          <w:rFonts w:ascii="Times New Roman" w:hAnsi="Times New Roman" w:cs="Times New Roman"/>
          <w:b/>
        </w:rPr>
      </w:pPr>
      <w:r>
        <w:rPr>
          <w:rFonts w:ascii="Times New Roman" w:hAnsi="Times New Roman" w:cs="Times New Roman"/>
        </w:rPr>
        <w:tab/>
      </w:r>
      <w:r w:rsidRPr="00CA486D">
        <w:rPr>
          <w:rFonts w:ascii="Times New Roman" w:hAnsi="Times New Roman" w:cs="Times New Roman"/>
          <w:b/>
        </w:rPr>
        <w:t>Lizingas su skolintu kapitalu</w:t>
      </w:r>
    </w:p>
    <w:p w:rsidR="00DD74D1" w:rsidRDefault="00D55F2C" w:rsidP="00D435B2">
      <w:pPr>
        <w:tabs>
          <w:tab w:val="left" w:pos="567"/>
        </w:tabs>
        <w:spacing w:line="360" w:lineRule="auto"/>
        <w:jc w:val="both"/>
        <w:rPr>
          <w:rFonts w:ascii="Times New Roman" w:hAnsi="Times New Roman" w:cs="Times New Roman"/>
        </w:rPr>
      </w:pPr>
      <w:r>
        <w:rPr>
          <w:rFonts w:ascii="Times New Roman" w:hAnsi="Times New Roman" w:cs="Times New Roman"/>
        </w:rPr>
        <w:tab/>
      </w:r>
      <w:r w:rsidR="00CA486D">
        <w:rPr>
          <w:rFonts w:ascii="Times New Roman" w:hAnsi="Times New Roman" w:cs="Times New Roman"/>
        </w:rPr>
        <w:t>Dar vienas</w:t>
      </w:r>
      <w:r>
        <w:rPr>
          <w:rFonts w:ascii="Times New Roman" w:hAnsi="Times New Roman" w:cs="Times New Roman"/>
        </w:rPr>
        <w:t xml:space="preserve"> nagrinėjamas lizingo tipas būtų lizingas su skolintu kapitalu. </w:t>
      </w:r>
      <w:r w:rsidR="00010BBC">
        <w:rPr>
          <w:rFonts w:ascii="Times New Roman" w:hAnsi="Times New Roman" w:cs="Times New Roman"/>
        </w:rPr>
        <w:t>Lizingas, kuriam naudojamas skolintas kapitalas, reiškia tai, kad lizingo davėjas investicijoms į įsigyjamą lizingo būdu turtą naudoja ne tik savo lėšas</w:t>
      </w:r>
      <w:r w:rsidR="007D05DB">
        <w:rPr>
          <w:rFonts w:ascii="Times New Roman" w:hAnsi="Times New Roman" w:cs="Times New Roman"/>
        </w:rPr>
        <w:t xml:space="preserve"> (Danys, </w:t>
      </w:r>
      <w:r w:rsidR="003F7A2D">
        <w:rPr>
          <w:rFonts w:ascii="Times New Roman" w:hAnsi="Times New Roman" w:cs="Times New Roman"/>
        </w:rPr>
        <w:t xml:space="preserve">Milašauskas, </w:t>
      </w:r>
      <w:r w:rsidR="007D05DB">
        <w:rPr>
          <w:rFonts w:ascii="Times New Roman" w:hAnsi="Times New Roman" w:cs="Times New Roman"/>
        </w:rPr>
        <w:t>2000).</w:t>
      </w:r>
      <w:r w:rsidR="00010BBC">
        <w:rPr>
          <w:rFonts w:ascii="Times New Roman" w:hAnsi="Times New Roman" w:cs="Times New Roman"/>
        </w:rPr>
        <w:t xml:space="preserve"> Tokiu </w:t>
      </w:r>
      <w:r w:rsidR="007D05DB">
        <w:rPr>
          <w:rFonts w:ascii="Times New Roman" w:hAnsi="Times New Roman" w:cs="Times New Roman"/>
        </w:rPr>
        <w:t xml:space="preserve">lizingo </w:t>
      </w:r>
      <w:r w:rsidR="00010BBC">
        <w:rPr>
          <w:rFonts w:ascii="Times New Roman" w:hAnsi="Times New Roman" w:cs="Times New Roman"/>
        </w:rPr>
        <w:t xml:space="preserve">atveju </w:t>
      </w:r>
      <w:r w:rsidR="007D05DB">
        <w:rPr>
          <w:rFonts w:ascii="Times New Roman" w:hAnsi="Times New Roman" w:cs="Times New Roman"/>
        </w:rPr>
        <w:t xml:space="preserve">bankai, pensijų fondai ar kiti instituciniai investuotojai finansuoja nuo 60 iki 80 </w:t>
      </w:r>
      <w:r w:rsidR="007D05DB">
        <w:rPr>
          <w:rFonts w:ascii="Times New Roman" w:hAnsi="Times New Roman" w:cs="Times New Roman"/>
          <w:lang w:val="en-US"/>
        </w:rPr>
        <w:t>%</w:t>
      </w:r>
      <w:r w:rsidR="007D05DB">
        <w:rPr>
          <w:rFonts w:ascii="Times New Roman" w:hAnsi="Times New Roman" w:cs="Times New Roman"/>
        </w:rPr>
        <w:t xml:space="preserve"> turto kainos. Lizingo kompanijai lieka tik mažoji finansavimo dalis nuo 20 iki 40 </w:t>
      </w:r>
      <w:r w:rsidR="007D05DB">
        <w:rPr>
          <w:rFonts w:ascii="Times New Roman" w:hAnsi="Times New Roman" w:cs="Times New Roman"/>
          <w:lang w:val="en-US"/>
        </w:rPr>
        <w:t>%.</w:t>
      </w:r>
      <w:r w:rsidR="007D05DB">
        <w:rPr>
          <w:rFonts w:ascii="Times New Roman" w:hAnsi="Times New Roman" w:cs="Times New Roman"/>
        </w:rPr>
        <w:t xml:space="preserve"> </w:t>
      </w:r>
      <w:r w:rsidR="006B1C7C">
        <w:rPr>
          <w:rFonts w:ascii="Times New Roman" w:hAnsi="Times New Roman" w:cs="Times New Roman"/>
        </w:rPr>
        <w:t xml:space="preserve">(Contino, 2002). </w:t>
      </w:r>
      <w:r w:rsidR="00541F6C" w:rsidRPr="00541F6C">
        <w:rPr>
          <w:rFonts w:ascii="Times New Roman" w:hAnsi="Times New Roman" w:cs="Times New Roman"/>
        </w:rPr>
        <w:t>Toks finansavimo išskaidymas padeda pasidalinti riziką tarp investuotojų</w:t>
      </w:r>
      <w:r w:rsidR="00541F6C">
        <w:rPr>
          <w:rFonts w:ascii="Times New Roman" w:hAnsi="Times New Roman" w:cs="Times New Roman"/>
        </w:rPr>
        <w:t xml:space="preserve">. </w:t>
      </w:r>
      <w:r w:rsidR="007D05DB">
        <w:rPr>
          <w:rFonts w:ascii="Times New Roman" w:hAnsi="Times New Roman" w:cs="Times New Roman"/>
        </w:rPr>
        <w:t xml:space="preserve">Lizingas su skolintu kapitalu populiarus išsivysčiusiose užsienio šalyse, kai finansuojami pakankamai dideli projektai. </w:t>
      </w:r>
      <w:r w:rsidR="006B1C7C">
        <w:rPr>
          <w:rFonts w:ascii="Times New Roman" w:hAnsi="Times New Roman" w:cs="Times New Roman"/>
        </w:rPr>
        <w:t xml:space="preserve">(Danys, </w:t>
      </w:r>
      <w:r w:rsidR="003F7A2D">
        <w:rPr>
          <w:rFonts w:ascii="Times New Roman" w:hAnsi="Times New Roman" w:cs="Times New Roman"/>
        </w:rPr>
        <w:t xml:space="preserve">Milašauskas, </w:t>
      </w:r>
      <w:r w:rsidR="006B1C7C">
        <w:rPr>
          <w:rFonts w:ascii="Times New Roman" w:hAnsi="Times New Roman" w:cs="Times New Roman"/>
        </w:rPr>
        <w:t>2000).</w:t>
      </w:r>
    </w:p>
    <w:p w:rsidR="006B1C7C" w:rsidRDefault="00F94614" w:rsidP="00D435B2">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Apibendrinant galima teigti, kad egzistuoja tikrai nemažai lizingo </w:t>
      </w:r>
      <w:r w:rsidR="002A68CC">
        <w:rPr>
          <w:rFonts w:ascii="Times New Roman" w:hAnsi="Times New Roman" w:cs="Times New Roman"/>
        </w:rPr>
        <w:t>tipų</w:t>
      </w:r>
      <w:r>
        <w:rPr>
          <w:rFonts w:ascii="Times New Roman" w:hAnsi="Times New Roman" w:cs="Times New Roman"/>
        </w:rPr>
        <w:t xml:space="preserve">. Jų atsiradimą skatino besikeičianti rinka bei lizingo gavėjų poreikiai. Patys populiariausi bei daugiausia mano dėmesio darbe sulauksiantys lizingo tipai – tai finansinis bei veiklos lizingas. </w:t>
      </w:r>
      <w:r w:rsidR="00076FAC">
        <w:rPr>
          <w:rFonts w:ascii="Times New Roman" w:hAnsi="Times New Roman" w:cs="Times New Roman"/>
        </w:rPr>
        <w:t xml:space="preserve">Finansinis lizingas – tai finansavimo forma, jungianti ilgalaikės nuomos ir kreditavimo elementus, kai turtas pereina nuosavybėn per sutartą laiką sumokėjus turto kainą bei palūkanas. Veiklos nuoma – tai pagrinde nuomos sandoris. Pasibaigus nuomos sutarčiai turtas gali būti išperkamas arba grąžinamas lizingo bendrovei. </w:t>
      </w:r>
      <w:r w:rsidR="002A68CC">
        <w:rPr>
          <w:rFonts w:ascii="Times New Roman" w:hAnsi="Times New Roman" w:cs="Times New Roman"/>
        </w:rPr>
        <w:t>Be šių pagrindinių tipų, egzistuoja ir kitų: grįžtamasis, tarptautinis</w:t>
      </w:r>
      <w:r w:rsidR="004251D4">
        <w:rPr>
          <w:rFonts w:ascii="Times New Roman" w:hAnsi="Times New Roman" w:cs="Times New Roman"/>
        </w:rPr>
        <w:t>, tiesioginis lizingas</w:t>
      </w:r>
      <w:r w:rsidR="002A68CC">
        <w:rPr>
          <w:rFonts w:ascii="Times New Roman" w:hAnsi="Times New Roman" w:cs="Times New Roman"/>
        </w:rPr>
        <w:t xml:space="preserve"> bei lizingas su skolintu kapitalu.</w:t>
      </w:r>
    </w:p>
    <w:p w:rsidR="00485B87" w:rsidRDefault="00485B87" w:rsidP="00D435B2">
      <w:pPr>
        <w:tabs>
          <w:tab w:val="left" w:pos="567"/>
        </w:tabs>
        <w:spacing w:line="360" w:lineRule="auto"/>
        <w:jc w:val="both"/>
        <w:rPr>
          <w:rFonts w:ascii="Times New Roman" w:hAnsi="Times New Roman" w:cs="Times New Roman"/>
        </w:rPr>
      </w:pPr>
    </w:p>
    <w:p w:rsidR="00485B87" w:rsidRDefault="00485B87" w:rsidP="00485B87">
      <w:pPr>
        <w:pStyle w:val="Heading2"/>
      </w:pPr>
      <w:bookmarkStart w:id="10" w:name="_Toc343517967"/>
      <w:r>
        <w:t>Lizingo privalumai ir trūkumai</w:t>
      </w:r>
      <w:bookmarkEnd w:id="10"/>
    </w:p>
    <w:p w:rsidR="008A2734" w:rsidRDefault="008A2734" w:rsidP="008A2734">
      <w:pPr>
        <w:rPr>
          <w:rFonts w:ascii="Times New Roman" w:hAnsi="Times New Roman" w:cs="Times New Roman"/>
        </w:rPr>
      </w:pPr>
    </w:p>
    <w:p w:rsidR="005F41B1" w:rsidRDefault="009A749B" w:rsidP="0076048F">
      <w:pPr>
        <w:tabs>
          <w:tab w:val="left" w:pos="0"/>
          <w:tab w:val="left" w:pos="1134"/>
        </w:tabs>
        <w:spacing w:line="360" w:lineRule="auto"/>
        <w:ind w:firstLine="567"/>
        <w:jc w:val="both"/>
        <w:rPr>
          <w:rFonts w:ascii="Times New Roman" w:hAnsi="Times New Roman" w:cs="Times New Roman"/>
        </w:rPr>
      </w:pPr>
      <w:r>
        <w:rPr>
          <w:rFonts w:ascii="Times New Roman" w:hAnsi="Times New Roman" w:cs="Times New Roman"/>
        </w:rPr>
        <w:t>Lizingas ne visada geriausias būdas įsigyti turtui. Esant tam tikroms aplinkybėms lizingas bus teisingas sprendimas, esant kitoms įprastas pirkimas bus teisingas sprendimas. Sp</w:t>
      </w:r>
      <w:r w:rsidR="005F41B1">
        <w:rPr>
          <w:rFonts w:ascii="Times New Roman" w:hAnsi="Times New Roman" w:cs="Times New Roman"/>
        </w:rPr>
        <w:t>rendimas lizinguotis bei kuriuo</w:t>
      </w:r>
      <w:r>
        <w:rPr>
          <w:rFonts w:ascii="Times New Roman" w:hAnsi="Times New Roman" w:cs="Times New Roman"/>
        </w:rPr>
        <w:t xml:space="preserve"> lizingo būdu ar </w:t>
      </w:r>
      <w:r w:rsidR="005F41B1">
        <w:rPr>
          <w:rFonts w:ascii="Times New Roman" w:hAnsi="Times New Roman" w:cs="Times New Roman"/>
        </w:rPr>
        <w:t>pirkti įprastai</w:t>
      </w:r>
      <w:r>
        <w:rPr>
          <w:rFonts w:ascii="Times New Roman" w:hAnsi="Times New Roman" w:cs="Times New Roman"/>
        </w:rPr>
        <w:t xml:space="preserve"> dažniausiai reikalauja tam tikros analizės, įvairių veiksnių </w:t>
      </w:r>
      <w:r>
        <w:rPr>
          <w:rFonts w:ascii="Times New Roman" w:hAnsi="Times New Roman" w:cs="Times New Roman"/>
        </w:rPr>
        <w:lastRenderedPageBreak/>
        <w:t xml:space="preserve">įvertinimo bei „kainuoja“ daug laiko ir pastangų. </w:t>
      </w:r>
      <w:r w:rsidR="005F41B1">
        <w:rPr>
          <w:rFonts w:ascii="Times New Roman" w:hAnsi="Times New Roman" w:cs="Times New Roman"/>
        </w:rPr>
        <w:t>Galiausia bet</w:t>
      </w:r>
      <w:r>
        <w:rPr>
          <w:rFonts w:ascii="Times New Roman" w:hAnsi="Times New Roman" w:cs="Times New Roman"/>
        </w:rPr>
        <w:t xml:space="preserve"> koks sprendimas turės savų pliusų bei minu</w:t>
      </w:r>
      <w:r w:rsidR="00AE3827">
        <w:rPr>
          <w:rFonts w:ascii="Times New Roman" w:hAnsi="Times New Roman" w:cs="Times New Roman"/>
        </w:rPr>
        <w:t xml:space="preserve">sų. </w:t>
      </w:r>
      <w:r w:rsidR="007B45A8">
        <w:rPr>
          <w:rFonts w:ascii="Times New Roman" w:hAnsi="Times New Roman" w:cs="Times New Roman"/>
        </w:rPr>
        <w:t>Tikslinga</w:t>
      </w:r>
      <w:r>
        <w:rPr>
          <w:rFonts w:ascii="Times New Roman" w:hAnsi="Times New Roman" w:cs="Times New Roman"/>
        </w:rPr>
        <w:t xml:space="preserve"> apžvelgti pagrindinius lizingo </w:t>
      </w:r>
      <w:r w:rsidR="005F41B1">
        <w:rPr>
          <w:rFonts w:ascii="Times New Roman" w:hAnsi="Times New Roman" w:cs="Times New Roman"/>
        </w:rPr>
        <w:t>privalumus</w:t>
      </w:r>
      <w:r>
        <w:rPr>
          <w:rFonts w:ascii="Times New Roman" w:hAnsi="Times New Roman" w:cs="Times New Roman"/>
        </w:rPr>
        <w:t xml:space="preserve"> bei </w:t>
      </w:r>
      <w:r w:rsidR="005F41B1">
        <w:rPr>
          <w:rFonts w:ascii="Times New Roman" w:hAnsi="Times New Roman" w:cs="Times New Roman"/>
        </w:rPr>
        <w:t>trūkumus</w:t>
      </w:r>
      <w:r>
        <w:rPr>
          <w:rFonts w:ascii="Times New Roman" w:hAnsi="Times New Roman" w:cs="Times New Roman"/>
        </w:rPr>
        <w:t>, kurie padės vienoje ar kitoje situacijoje apsispręsti: lizinguotis ar ne.</w:t>
      </w:r>
    </w:p>
    <w:p w:rsidR="00B17E3E" w:rsidRDefault="00590343" w:rsidP="00B17E3E">
      <w:pPr>
        <w:tabs>
          <w:tab w:val="left" w:pos="0"/>
        </w:tabs>
        <w:spacing w:line="360" w:lineRule="auto"/>
        <w:ind w:firstLine="567"/>
        <w:jc w:val="both"/>
        <w:rPr>
          <w:rFonts w:ascii="Times New Roman" w:hAnsi="Times New Roman" w:cs="Times New Roman"/>
        </w:rPr>
      </w:pPr>
      <w:r>
        <w:rPr>
          <w:rFonts w:ascii="Times New Roman" w:hAnsi="Times New Roman" w:cs="Times New Roman"/>
        </w:rPr>
        <w:t>Contino (2002) išskiria šiuos p</w:t>
      </w:r>
      <w:r w:rsidR="00CC45CC">
        <w:rPr>
          <w:rFonts w:ascii="Times New Roman" w:hAnsi="Times New Roman" w:cs="Times New Roman"/>
        </w:rPr>
        <w:t>agrindinius lizingo privalumus</w:t>
      </w:r>
      <w:r w:rsidR="00BA0948">
        <w:rPr>
          <w:rFonts w:ascii="Times New Roman" w:hAnsi="Times New Roman" w:cs="Times New Roman"/>
        </w:rPr>
        <w:t xml:space="preserve"> lizingo gavėjui</w:t>
      </w:r>
      <w:r w:rsidR="00CC45CC">
        <w:rPr>
          <w:rFonts w:ascii="Times New Roman" w:hAnsi="Times New Roman" w:cs="Times New Roman"/>
        </w:rPr>
        <w:t>:</w:t>
      </w:r>
    </w:p>
    <w:p w:rsidR="002325C3" w:rsidRDefault="00CC45CC" w:rsidP="002325C3">
      <w:pPr>
        <w:numPr>
          <w:ilvl w:val="0"/>
          <w:numId w:val="5"/>
        </w:numPr>
        <w:tabs>
          <w:tab w:val="left" w:pos="0"/>
        </w:tabs>
        <w:spacing w:line="360" w:lineRule="auto"/>
        <w:ind w:left="0" w:firstLine="567"/>
        <w:jc w:val="both"/>
        <w:rPr>
          <w:rFonts w:ascii="Times New Roman" w:hAnsi="Times New Roman" w:cs="Times New Roman"/>
        </w:rPr>
      </w:pPr>
      <w:r w:rsidRPr="002325C3">
        <w:rPr>
          <w:rFonts w:ascii="Times New Roman" w:hAnsi="Times New Roman" w:cs="Times New Roman"/>
        </w:rPr>
        <w:t xml:space="preserve">Lizingas – puikus įrankis </w:t>
      </w:r>
      <w:r w:rsidR="0076048F" w:rsidRPr="002325C3">
        <w:rPr>
          <w:rFonts w:ascii="Times New Roman" w:hAnsi="Times New Roman" w:cs="Times New Roman"/>
        </w:rPr>
        <w:t xml:space="preserve">trumpalaikiams poreikiams. Jeigu turtas reikalingas tik trumpam </w:t>
      </w:r>
      <w:r w:rsidR="00896EFD" w:rsidRPr="002325C3">
        <w:rPr>
          <w:rFonts w:ascii="Times New Roman" w:hAnsi="Times New Roman" w:cs="Times New Roman"/>
        </w:rPr>
        <w:t>naudojimo laikotarpiui</w:t>
      </w:r>
      <w:r w:rsidR="0076048F" w:rsidRPr="002325C3">
        <w:rPr>
          <w:rFonts w:ascii="Times New Roman" w:hAnsi="Times New Roman" w:cs="Times New Roman"/>
        </w:rPr>
        <w:t xml:space="preserve">, lizingas gali būti labai naudingas tokiam turtui įsigyti. Lizingas pašalina taip vadinamą perpardavimo riziką, kai turto savininkas po trumpo turto naudojimo norėtų parduoti </w:t>
      </w:r>
      <w:r w:rsidR="00896EFD" w:rsidRPr="002325C3">
        <w:rPr>
          <w:rFonts w:ascii="Times New Roman" w:hAnsi="Times New Roman" w:cs="Times New Roman"/>
        </w:rPr>
        <w:t xml:space="preserve">jam priklausantį </w:t>
      </w:r>
      <w:r w:rsidR="0076048F" w:rsidRPr="002325C3">
        <w:rPr>
          <w:rFonts w:ascii="Times New Roman" w:hAnsi="Times New Roman" w:cs="Times New Roman"/>
        </w:rPr>
        <w:t xml:space="preserve">turtą. Pavyzdžiui, įmonė stato tam tikrą sandėlį ir jai reikia specialios statybinės įrangos tokio sandėlio statybai. Kai statyba baigiama įranga įmonei </w:t>
      </w:r>
      <w:r w:rsidR="00896EFD" w:rsidRPr="002325C3">
        <w:rPr>
          <w:rFonts w:ascii="Times New Roman" w:hAnsi="Times New Roman" w:cs="Times New Roman"/>
        </w:rPr>
        <w:t>tampa nebe</w:t>
      </w:r>
      <w:r w:rsidR="0076048F" w:rsidRPr="002325C3">
        <w:rPr>
          <w:rFonts w:ascii="Times New Roman" w:hAnsi="Times New Roman" w:cs="Times New Roman"/>
        </w:rPr>
        <w:t>reikalinga. Jeigu įmonė tą įrangą įsigytų savo lėšomis, tokiu atveju norint ją parduoti pirma reikėtų surasti pirkėją, be to, kadangi įranga</w:t>
      </w:r>
      <w:r w:rsidR="00896EFD" w:rsidRPr="002325C3">
        <w:rPr>
          <w:rFonts w:ascii="Times New Roman" w:hAnsi="Times New Roman" w:cs="Times New Roman"/>
        </w:rPr>
        <w:t xml:space="preserve"> nėra labai likvidi, didelė tikimybė, būtų prarandamos pakankamai didelės lėšos. Pasinaudojus lizingo paslauga įmonė panaudojusi įrangą tiesiog gražina ją lizingo bendrovei, tokios įmonės išlaidos aiškios – įmokos sumokėtos lizingui per lizingo laikotarpį.</w:t>
      </w:r>
    </w:p>
    <w:p w:rsidR="002325C3" w:rsidRPr="002325C3" w:rsidRDefault="002325C3" w:rsidP="002325C3">
      <w:pPr>
        <w:numPr>
          <w:ilvl w:val="0"/>
          <w:numId w:val="5"/>
        </w:numPr>
        <w:tabs>
          <w:tab w:val="left" w:pos="0"/>
        </w:tabs>
        <w:spacing w:line="360" w:lineRule="auto"/>
        <w:ind w:left="0" w:firstLine="567"/>
        <w:jc w:val="both"/>
        <w:rPr>
          <w:rFonts w:ascii="Times New Roman" w:hAnsi="Times New Roman" w:cs="Times New Roman"/>
        </w:rPr>
      </w:pPr>
      <w:r w:rsidRPr="002325C3">
        <w:rPr>
          <w:rFonts w:ascii="Times New Roman" w:hAnsi="Times New Roman" w:cs="Times New Roman"/>
        </w:rPr>
        <w:t>Paprastesnis finansavimo suteikimas. Dažnai naujos įmonės bei įmonės ar asmenys, turintys blogesnę kredito istoriją susiduria su problemomis norint gauti paskolą banke. Be to, paskolos suteikimo procesas dažnai reikalauja daug laiko bei pastangų. Lizingas dažniausiai suteikiamas paprasčiau, greičiau bei prisiimant didesnę riziką. Lizingo kompanijų reikalavimai dažniausiai būna mažesni, nes suteikiant lizingą, lizingo kompanija iš karto turi užstatą – lizinguojamą objektą, kuris lizingo kompan</w:t>
      </w:r>
      <w:r w:rsidR="000C05A9">
        <w:rPr>
          <w:rFonts w:ascii="Times New Roman" w:hAnsi="Times New Roman" w:cs="Times New Roman"/>
        </w:rPr>
        <w:t>ijai priklauso nuosavybės teise (Gallardo, 1997).</w:t>
      </w:r>
    </w:p>
    <w:p w:rsidR="00B17E3E" w:rsidRDefault="00B17E3E" w:rsidP="00B17E3E">
      <w:pPr>
        <w:pStyle w:val="ListParagraph"/>
        <w:numPr>
          <w:ilvl w:val="0"/>
          <w:numId w:val="5"/>
        </w:numPr>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Senėjimo problemos panaikinimas. Technologijos tobulėja milžinišku greičiu. Jeigu nusiperkamas kompiuteris, ar kitas technologinis turtas, dažnai praėjus dviem ar trims metams jis tampa jau pasenęs ir nebepatenkina įmonės poreikių bei mažina gamybos efektyvumą. Be to, toks turtas lizingo pabaigoje tampa dažnai nevertingu. Lizingas padeda panaikinti šitą riziką. Lizingas visada suteikia galimybę išbandyti naujausią turtą  ir taip visada konkurencingu (</w:t>
      </w:r>
      <w:r w:rsidR="00C62674" w:rsidRPr="00C62674">
        <w:rPr>
          <w:rFonts w:ascii="Times New Roman" w:hAnsi="Times New Roman" w:cs="Times New Roman"/>
          <w:bCs/>
        </w:rPr>
        <w:t>Kiplinger Washington Editors</w:t>
      </w:r>
      <w:r>
        <w:rPr>
          <w:rFonts w:ascii="Times New Roman" w:hAnsi="Times New Roman" w:cs="Times New Roman"/>
        </w:rPr>
        <w:t>, 2003).</w:t>
      </w:r>
      <w:r w:rsidR="00950817">
        <w:rPr>
          <w:rFonts w:ascii="Times New Roman" w:hAnsi="Times New Roman" w:cs="Times New Roman"/>
        </w:rPr>
        <w:t xml:space="preserve"> </w:t>
      </w:r>
      <w:r w:rsidR="00956C75">
        <w:rPr>
          <w:rFonts w:ascii="Times New Roman" w:hAnsi="Times New Roman" w:cs="Times New Roman"/>
        </w:rPr>
        <w:t xml:space="preserve">Taip pat svarbu paminėti, kad dažnai lizingo paslauga būtent įvardijama kaip galimybė įmonėms bei žmonėms greičiau pradėti naudoti naujus įrenginius ir užtikrinti technologinę plėtrą. Tuometinio Hewlett Packard direktoriaus Irv Rothman nuomone, būtent lizingas paspartino kompiuterių plėtrą, suteikdamas galimybę juos įsigyti. Jei šios paslaugos būtų nebuvę </w:t>
      </w:r>
      <w:r w:rsidR="00AB1786">
        <w:rPr>
          <w:rFonts w:ascii="Times New Roman" w:hAnsi="Times New Roman" w:cs="Times New Roman"/>
        </w:rPr>
        <w:t>informacinių technologijų</w:t>
      </w:r>
      <w:r w:rsidR="00956C75">
        <w:rPr>
          <w:rFonts w:ascii="Times New Roman" w:hAnsi="Times New Roman" w:cs="Times New Roman"/>
        </w:rPr>
        <w:t xml:space="preserve"> plėtra būtų buvusi žymiai lėtesnė ir sudėtingesnė (Fleming, 2004).</w:t>
      </w:r>
    </w:p>
    <w:p w:rsidR="00896EFD" w:rsidRDefault="00896EFD"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Kapitalo išsaugojimas. Dažniausiai pačiu pagrindiniu privalumu būtent įvardijamas kapitalo išsaugojimas įmonėje. Lizingas padeda įmonei įsigyti įrangą ar kitokį turtą įnešant minimalų įnašą – avansą arba 100 </w:t>
      </w:r>
      <w:r>
        <w:rPr>
          <w:rFonts w:ascii="Times New Roman" w:hAnsi="Times New Roman" w:cs="Times New Roman"/>
          <w:lang w:val="en-US"/>
        </w:rPr>
        <w:t>%</w:t>
      </w:r>
      <w:r>
        <w:rPr>
          <w:rFonts w:ascii="Times New Roman" w:hAnsi="Times New Roman" w:cs="Times New Roman"/>
        </w:rPr>
        <w:t xml:space="preserve"> finansavimo atveju, neįnešant nieko, tik mokant lizingo įmokas. Tokiu atveju kitos piniginės lėšos, kuriuos būtų buvusios panaudotos vienokio ar kitokio turto pirkimui</w:t>
      </w:r>
      <w:r w:rsidR="00343E29">
        <w:rPr>
          <w:rFonts w:ascii="Times New Roman" w:hAnsi="Times New Roman" w:cs="Times New Roman"/>
        </w:rPr>
        <w:t>,</w:t>
      </w:r>
      <w:r>
        <w:rPr>
          <w:rFonts w:ascii="Times New Roman" w:hAnsi="Times New Roman" w:cs="Times New Roman"/>
        </w:rPr>
        <w:t xml:space="preserve"> lieka įmonėje. Taigi įmonei atsiranda galimybė tas lėšas panaudoti tolimesnei įmonės plėtrai, prekių užpirkimui, in</w:t>
      </w:r>
      <w:r w:rsidR="0023110C">
        <w:rPr>
          <w:rFonts w:ascii="Times New Roman" w:hAnsi="Times New Roman" w:cs="Times New Roman"/>
        </w:rPr>
        <w:t>vesticijoms ar kitiems tikslams</w:t>
      </w:r>
      <w:r w:rsidR="002F76D3">
        <w:rPr>
          <w:rFonts w:ascii="Times New Roman" w:hAnsi="Times New Roman" w:cs="Times New Roman"/>
        </w:rPr>
        <w:t xml:space="preserve">. Arba žvelgiant iš kitos pusės įmonė turėdama tik tam </w:t>
      </w:r>
      <w:r w:rsidR="002F76D3">
        <w:rPr>
          <w:rFonts w:ascii="Times New Roman" w:hAnsi="Times New Roman" w:cs="Times New Roman"/>
        </w:rPr>
        <w:lastRenderedPageBreak/>
        <w:t xml:space="preserve">tikrą avanso sumą gali įsigyti reikiamą turtą, ko nebūtų galima padaryti neturint lėšų padengti visai turto kainai </w:t>
      </w:r>
      <w:r w:rsidR="0023110C">
        <w:rPr>
          <w:rFonts w:ascii="Times New Roman" w:hAnsi="Times New Roman" w:cs="Times New Roman"/>
        </w:rPr>
        <w:t>(</w:t>
      </w:r>
      <w:r w:rsidR="00C62674" w:rsidRPr="00C62674">
        <w:rPr>
          <w:rFonts w:ascii="Times New Roman" w:hAnsi="Times New Roman" w:cs="Times New Roman"/>
          <w:bCs/>
        </w:rPr>
        <w:t>Kiplinger Washington Editors</w:t>
      </w:r>
      <w:r w:rsidR="0023110C">
        <w:rPr>
          <w:rFonts w:ascii="Times New Roman" w:hAnsi="Times New Roman" w:cs="Times New Roman"/>
        </w:rPr>
        <w:t>, 2003).</w:t>
      </w:r>
    </w:p>
    <w:p w:rsidR="00343E29" w:rsidRDefault="009E7A8B"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Mokestinės lengvatos</w:t>
      </w:r>
      <w:r w:rsidR="00B31534">
        <w:rPr>
          <w:rFonts w:ascii="Times New Roman" w:hAnsi="Times New Roman" w:cs="Times New Roman"/>
        </w:rPr>
        <w:t xml:space="preserve">. Pasinaudojus lizingo paslauga </w:t>
      </w:r>
      <w:r>
        <w:rPr>
          <w:rFonts w:ascii="Times New Roman" w:hAnsi="Times New Roman" w:cs="Times New Roman"/>
        </w:rPr>
        <w:t xml:space="preserve">apmokestinamas pelnas gali būti sumažinamas </w:t>
      </w:r>
      <w:r w:rsidR="00B31534">
        <w:rPr>
          <w:rFonts w:ascii="Times New Roman" w:hAnsi="Times New Roman" w:cs="Times New Roman"/>
        </w:rPr>
        <w:t xml:space="preserve">sumokėtų palūkanų bei nusidėvėjimo suma. </w:t>
      </w:r>
      <w:r>
        <w:rPr>
          <w:rFonts w:ascii="Times New Roman" w:hAnsi="Times New Roman" w:cs="Times New Roman"/>
        </w:rPr>
        <w:t xml:space="preserve">Tokiu atveju į valstybės biudžetą sumokamas mažesnis pelno mokestis. Toks mažinimas yra naudingas, nes rinkos palūkanos dažnai būna mažesnės už pelno mokesčio tarifą. </w:t>
      </w:r>
      <w:r w:rsidR="00B31534">
        <w:rPr>
          <w:rFonts w:ascii="Times New Roman" w:hAnsi="Times New Roman" w:cs="Times New Roman"/>
        </w:rPr>
        <w:t xml:space="preserve">Be to, kai kuriose šalyse lizingo gavėjas gali </w:t>
      </w:r>
      <w:r>
        <w:rPr>
          <w:rFonts w:ascii="Times New Roman" w:hAnsi="Times New Roman" w:cs="Times New Roman"/>
        </w:rPr>
        <w:t xml:space="preserve">net </w:t>
      </w:r>
      <w:r w:rsidR="00B31534">
        <w:rPr>
          <w:rFonts w:ascii="Times New Roman" w:hAnsi="Times New Roman" w:cs="Times New Roman"/>
        </w:rPr>
        <w:t xml:space="preserve">visa lizingo įmokų suma </w:t>
      </w:r>
      <w:r w:rsidR="0023110C">
        <w:rPr>
          <w:rFonts w:ascii="Times New Roman" w:hAnsi="Times New Roman" w:cs="Times New Roman"/>
        </w:rPr>
        <w:t>mažinti pelno mokestį (</w:t>
      </w:r>
      <w:r w:rsidR="00C62674" w:rsidRPr="00C62674">
        <w:rPr>
          <w:rFonts w:ascii="Times New Roman" w:hAnsi="Times New Roman" w:cs="Times New Roman"/>
          <w:bCs/>
        </w:rPr>
        <w:t>Kiplinger Washington Editors</w:t>
      </w:r>
      <w:r w:rsidR="0023110C">
        <w:rPr>
          <w:rFonts w:ascii="Times New Roman" w:hAnsi="Times New Roman" w:cs="Times New Roman"/>
        </w:rPr>
        <w:t>, 2003).</w:t>
      </w:r>
    </w:p>
    <w:p w:rsidR="00AE5A1B" w:rsidRDefault="009E7A8B"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Apsisaugojimas nuo infliacijos. </w:t>
      </w:r>
      <w:r w:rsidR="00AE5A1B">
        <w:rPr>
          <w:rFonts w:ascii="Times New Roman" w:hAnsi="Times New Roman" w:cs="Times New Roman"/>
        </w:rPr>
        <w:t>Turto lizingas gali suteikti apsaugą nuo infliacijos. Lizingas lizingo gavėjui suteikia galimybę turtu naudotis šiandien, įnešus tik avansą arba visiškai nepadarius jokių investicijų, už šiandienos kainą, o tada atlikti mokėjimus už tą turtą iš ateities pajamų.</w:t>
      </w:r>
    </w:p>
    <w:p w:rsidR="00140FC5" w:rsidRDefault="006C61DD"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Didesni pinigų srautai. Šis privalumas pakankamai susijęs su kitu privalumu – kapitalo išsaugojimu įmonėje. Įrangos lizingas dažniausiai yra ekonomiškai naudingesnis negu įprastas tokios įrangos pirkimas. Kadangi lizingo gavėjas turi </w:t>
      </w:r>
      <w:r w:rsidR="002F76D3">
        <w:rPr>
          <w:rFonts w:ascii="Times New Roman" w:hAnsi="Times New Roman" w:cs="Times New Roman"/>
        </w:rPr>
        <w:t xml:space="preserve">tik avansą o ne visą sumą </w:t>
      </w:r>
      <w:r>
        <w:rPr>
          <w:rFonts w:ascii="Times New Roman" w:hAnsi="Times New Roman" w:cs="Times New Roman"/>
        </w:rPr>
        <w:t>pirkdamas įrangą</w:t>
      </w:r>
      <w:r w:rsidR="002F76D3">
        <w:rPr>
          <w:rFonts w:ascii="Times New Roman" w:hAnsi="Times New Roman" w:cs="Times New Roman"/>
        </w:rPr>
        <w:t xml:space="preserve"> įprastai</w:t>
      </w:r>
      <w:r>
        <w:rPr>
          <w:rFonts w:ascii="Times New Roman" w:hAnsi="Times New Roman" w:cs="Times New Roman"/>
        </w:rPr>
        <w:t xml:space="preserve">, taigi daugiau pinigų jam lieka, kas reiškia, kad </w:t>
      </w:r>
      <w:r w:rsidR="0023110C">
        <w:rPr>
          <w:rFonts w:ascii="Times New Roman" w:hAnsi="Times New Roman" w:cs="Times New Roman"/>
        </w:rPr>
        <w:t>pinigų srautas įmonėje padidėja (</w:t>
      </w:r>
      <w:r w:rsidR="00C62674" w:rsidRPr="00C62674">
        <w:rPr>
          <w:rFonts w:ascii="Times New Roman" w:hAnsi="Times New Roman" w:cs="Times New Roman"/>
          <w:bCs/>
        </w:rPr>
        <w:t>Kiplinger Washington Editors</w:t>
      </w:r>
      <w:r w:rsidR="0023110C">
        <w:rPr>
          <w:rFonts w:ascii="Times New Roman" w:hAnsi="Times New Roman" w:cs="Times New Roman"/>
        </w:rPr>
        <w:t>, 2003).</w:t>
      </w:r>
    </w:p>
    <w:p w:rsidR="009E7A8B" w:rsidRDefault="00B9715F"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Nebalansiniai straipsniai. Lizingo pradžioje</w:t>
      </w:r>
      <w:r w:rsidR="00AE5A1B">
        <w:rPr>
          <w:rFonts w:ascii="Times New Roman" w:hAnsi="Times New Roman" w:cs="Times New Roman"/>
        </w:rPr>
        <w:t xml:space="preserve"> </w:t>
      </w:r>
      <w:r>
        <w:rPr>
          <w:rFonts w:ascii="Times New Roman" w:hAnsi="Times New Roman" w:cs="Times New Roman"/>
        </w:rPr>
        <w:t>turtas buvo lizinguojamas, neįtraukiant jo į įmonės, lizingo gavėjos, balansą. Taigi lizingo nesimatydavo nei įmonės turte, nei įsipareigojimuose. Tai, žin</w:t>
      </w:r>
      <w:r w:rsidR="00140FC5">
        <w:rPr>
          <w:rFonts w:ascii="Times New Roman" w:hAnsi="Times New Roman" w:cs="Times New Roman"/>
        </w:rPr>
        <w:t xml:space="preserve">oma, gerindavo įmonės būklę, kas leisdavo įmonei šalia vieno lizingo pasiimti keletą kitų ar net banko paskolą. Tokiu atveju būdavo iš dalies apgaunamos ne tik finansinės institucijos, bet ir patys įmonės akcininkai. Kas galiausiai įmonę privesdavo prie pakankamai sunkios būklės. Šiuo metu įmonė privalo pasiimtą lizingą traukti tiek į įmonės turtą, tiek į įsipareigojimus. Tai parodo teisingą įmonės būklę ir neleidžia prisiimti įsipareigojimų, kurie galiausiai įmonei galėtų tapti didele našta. </w:t>
      </w:r>
      <w:r>
        <w:rPr>
          <w:rFonts w:ascii="Times New Roman" w:hAnsi="Times New Roman" w:cs="Times New Roman"/>
        </w:rPr>
        <w:t xml:space="preserve"> </w:t>
      </w:r>
      <w:r w:rsidR="00140FC5">
        <w:rPr>
          <w:rFonts w:ascii="Times New Roman" w:hAnsi="Times New Roman" w:cs="Times New Roman"/>
        </w:rPr>
        <w:t>Bet egzistuoja dar viena lizingo rūšis, kurios nesimato balanse – tai praeitame poskyryje aprašytas veiklos lizingas. Lizinguojamas turtas neatsispindi įmonės, lizingo gavėjos, balanse, tik nuomos mokestis (įmokos) nurašomas į įmonės sąnaudas. Tokia lizingo rūšis šiuo metu s</w:t>
      </w:r>
      <w:r w:rsidR="002325C3">
        <w:rPr>
          <w:rFonts w:ascii="Times New Roman" w:hAnsi="Times New Roman" w:cs="Times New Roman"/>
        </w:rPr>
        <w:t>uteikiama tik stiprioms įmonėms (Tolbert, Wood, 2007)</w:t>
      </w:r>
    </w:p>
    <w:p w:rsidR="00140FC5" w:rsidRDefault="006C61DD"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Lankstus finansavimas. Lizingo paslauga dažnai pasirenkama dėl jos lankstumo. Dažnas lizingo įmonių klientas yra priklausomas nuo tam tikrų verslo aplinkybių. Įmonės veiklą gali įtakoti sezoniškumas, atsiskaitymas su tiekėjais bei pirkėjais, kitos sąlygos. Tokiu atveju lizingo kompanija savo klientui pasiūlo lankstų įmokų mokėjimo grafiką. Sudaroma galimybė nemokėti</w:t>
      </w:r>
      <w:r w:rsidR="00FA120D">
        <w:rPr>
          <w:rFonts w:ascii="Times New Roman" w:hAnsi="Times New Roman" w:cs="Times New Roman"/>
        </w:rPr>
        <w:t>,</w:t>
      </w:r>
      <w:r>
        <w:rPr>
          <w:rFonts w:ascii="Times New Roman" w:hAnsi="Times New Roman" w:cs="Times New Roman"/>
        </w:rPr>
        <w:t xml:space="preserve"> mokėti mažesnes</w:t>
      </w:r>
      <w:r w:rsidR="00FA120D">
        <w:rPr>
          <w:rFonts w:ascii="Times New Roman" w:hAnsi="Times New Roman" w:cs="Times New Roman"/>
        </w:rPr>
        <w:t xml:space="preserve"> bei didesnes</w:t>
      </w:r>
      <w:r>
        <w:rPr>
          <w:rFonts w:ascii="Times New Roman" w:hAnsi="Times New Roman" w:cs="Times New Roman"/>
        </w:rPr>
        <w:t xml:space="preserve"> įmokas</w:t>
      </w:r>
      <w:r w:rsidR="00FA120D">
        <w:rPr>
          <w:rFonts w:ascii="Times New Roman" w:hAnsi="Times New Roman" w:cs="Times New Roman"/>
        </w:rPr>
        <w:t xml:space="preserve"> skirtingais įmonės verslo ciklo periodais. Toks lankstumas įmonei užtikrinai stabilią veiklą bei l</w:t>
      </w:r>
      <w:r w:rsidR="002325C3">
        <w:rPr>
          <w:rFonts w:ascii="Times New Roman" w:hAnsi="Times New Roman" w:cs="Times New Roman"/>
        </w:rPr>
        <w:t>eidžia planuotis pinigų srautus (Tolbert, Wood, 2007)</w:t>
      </w:r>
    </w:p>
    <w:p w:rsidR="00B03FE2" w:rsidRDefault="00B03FE2" w:rsidP="00B17E3E">
      <w:pPr>
        <w:pStyle w:val="ListParagraph"/>
        <w:numPr>
          <w:ilvl w:val="0"/>
          <w:numId w:val="5"/>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Finansavimo galimybė. Kai kuriais atvejais lizingas gali būti praktiškai vienintelė finansavimo galimybė. Dažnai atsiranda iš lizingo gavėjų pusės pageidavimų nusipirkti prietaisą, kurio kaina yra labai nedidelė, pavyzdžiui smulkius buitinės technikos daiktus. Paskolos tokiai mažai sumai </w:t>
      </w:r>
      <w:r>
        <w:rPr>
          <w:rFonts w:ascii="Times New Roman" w:hAnsi="Times New Roman" w:cs="Times New Roman"/>
        </w:rPr>
        <w:lastRenderedPageBreak/>
        <w:t xml:space="preserve">bankas nesuteiktų, kreditinių kortelių minimalūs limitai irgi dažniausiai yra didesni. Taigi tokiems daiktams įsigyti lieka vienintelė finansavimo priemonė – lizingas (Gallardo, 1997). </w:t>
      </w:r>
    </w:p>
    <w:p w:rsidR="00FA120D" w:rsidRPr="00A63D7B" w:rsidRDefault="00BA0948" w:rsidP="00A63D7B">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Aptarus pagrindinius privalumus lizingo </w:t>
      </w:r>
      <w:r w:rsidR="001B52DD">
        <w:rPr>
          <w:rFonts w:ascii="Times New Roman" w:hAnsi="Times New Roman" w:cs="Times New Roman"/>
        </w:rPr>
        <w:t xml:space="preserve">gavėjui, svarbu apžvelgti kokią naudą iš lizingo gauna lizingo bendrovės. </w:t>
      </w:r>
      <w:r w:rsidR="00E0125B">
        <w:rPr>
          <w:rFonts w:ascii="Times New Roman" w:hAnsi="Times New Roman" w:cs="Times New Roman"/>
        </w:rPr>
        <w:t>Danys</w:t>
      </w:r>
      <w:r w:rsidR="00E0125B" w:rsidRPr="00A63D7B">
        <w:rPr>
          <w:rFonts w:ascii="Times New Roman" w:hAnsi="Times New Roman" w:cs="Times New Roman"/>
        </w:rPr>
        <w:t xml:space="preserve"> </w:t>
      </w:r>
      <w:r w:rsidR="003F7A2D" w:rsidRPr="00A63D7B">
        <w:rPr>
          <w:rFonts w:ascii="Times New Roman" w:hAnsi="Times New Roman" w:cs="Times New Roman"/>
        </w:rPr>
        <w:t xml:space="preserve">ir Milašauskas </w:t>
      </w:r>
      <w:r w:rsidR="00E0125B" w:rsidRPr="00A63D7B">
        <w:rPr>
          <w:rFonts w:ascii="Times New Roman" w:hAnsi="Times New Roman" w:cs="Times New Roman"/>
        </w:rPr>
        <w:t>(2000) pateikia tokius lizingo privalumus lizingo davėjui:</w:t>
      </w:r>
    </w:p>
    <w:p w:rsidR="00E0125B" w:rsidRDefault="00E0125B" w:rsidP="008C5BA6">
      <w:pPr>
        <w:pStyle w:val="ListParagraph"/>
        <w:numPr>
          <w:ilvl w:val="0"/>
          <w:numId w:val="4"/>
        </w:numPr>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Lizingas – tai papildomas finansinis produktas. Dažniausiai lizingo kompanijos yra bankų dukterinės įmonės. Bankai norėdami sėkmingai konkuruoti rinkoje turi pasiūlyti paslaugas, kurių reikalauja rinka. Lizingas būtent yra viena iš būtinų finansinių paslaugų.</w:t>
      </w:r>
    </w:p>
    <w:p w:rsidR="00E0125B" w:rsidRDefault="00E0125B" w:rsidP="008C5BA6">
      <w:pPr>
        <w:pStyle w:val="ListParagraph"/>
        <w:numPr>
          <w:ilvl w:val="0"/>
          <w:numId w:val="4"/>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Lizingo grąža yra aukštesnė. </w:t>
      </w:r>
      <w:r w:rsidR="00DF4326">
        <w:rPr>
          <w:rFonts w:ascii="Times New Roman" w:hAnsi="Times New Roman" w:cs="Times New Roman"/>
        </w:rPr>
        <w:t>Dažnai lyginant banko ir lizingo siūlomas palūkanas pastebime, kad bankai siūlo mažesnes.</w:t>
      </w:r>
      <w:r w:rsidR="001667DD">
        <w:rPr>
          <w:rFonts w:ascii="Times New Roman" w:hAnsi="Times New Roman" w:cs="Times New Roman"/>
        </w:rPr>
        <w:t xml:space="preserve"> Tai ypač pastebima analizuojant privačių asmenų lizingą. Taip atsitinka, nes dauguma asmenų finansavimo srityje neturi patirties, jiems svarbiausia patenkinti atsiradusį poreikį – įsigyti buitinės, garso ar kitos technikos prietaisą. Dažnai toks asmuo nesirūpina palūkanomis, jam svarbu turėti prekę dabar ir čia. Todėl lizingas gali sau leisti taikyti didesnes palūkanas ir vis tiek išlikti konkurencingu.</w:t>
      </w:r>
    </w:p>
    <w:p w:rsidR="001667DD" w:rsidRDefault="006E6679" w:rsidP="008C5BA6">
      <w:pPr>
        <w:pStyle w:val="ListParagraph"/>
        <w:numPr>
          <w:ilvl w:val="0"/>
          <w:numId w:val="4"/>
        </w:numPr>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Mažesnė rizika. Lizingo bendrovė lizinguoj</w:t>
      </w:r>
      <w:r w:rsidR="00FF6B4B">
        <w:rPr>
          <w:rFonts w:ascii="Times New Roman" w:hAnsi="Times New Roman" w:cs="Times New Roman"/>
        </w:rPr>
        <w:t>amo turto nuosavybę išlaiko viso</w:t>
      </w:r>
      <w:r>
        <w:rPr>
          <w:rFonts w:ascii="Times New Roman" w:hAnsi="Times New Roman" w:cs="Times New Roman"/>
        </w:rPr>
        <w:t xml:space="preserve"> lizingo laikotarpiu. Tai leidžia lengviau valdyti kredito riziką. Jei lizingo bendrovės klientas nevykdys savo įsipareigojimų lizingo kompanijai bus lengviau atsiimti turtą, nes jis kompanijai priklauso nuosavybės teise. Tačiau šiuo atveju reikėtų įvertinti kitą riziką. Kadangi turtu naudojosi lizingo gavėjas, egzistuoja tikimybė, kad turtas nebus p</w:t>
      </w:r>
      <w:r w:rsidR="00FF6B4B">
        <w:rPr>
          <w:rFonts w:ascii="Times New Roman" w:hAnsi="Times New Roman" w:cs="Times New Roman"/>
        </w:rPr>
        <w:t>akankamai prižiūrėtas ir atsiimant turtą, jis gali būti blogos būklės. Tai</w:t>
      </w:r>
      <w:r>
        <w:rPr>
          <w:rFonts w:ascii="Times New Roman" w:hAnsi="Times New Roman" w:cs="Times New Roman"/>
        </w:rPr>
        <w:t xml:space="preserve"> gali sukelti problemų lizingo bendrovei norint jį parduoti.</w:t>
      </w:r>
    </w:p>
    <w:p w:rsidR="006E6679" w:rsidRDefault="009D6DFD" w:rsidP="008C5BA6">
      <w:pPr>
        <w:pStyle w:val="ListParagraph"/>
        <w:numPr>
          <w:ilvl w:val="0"/>
          <w:numId w:val="4"/>
        </w:numPr>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Ryšiai su turto tiekėjais. Lizingo bendrovė perka turtą iš klientų pageidaujamų turto tiekėjų. Pirkdama turtą lizingo bendrovė susipažįsta su turto tiekėju ir dažnai siekia pratęsti tolimesnį bendradarbiavimą. Toks bendradarbiavimas </w:t>
      </w:r>
      <w:r w:rsidR="007A61BD">
        <w:rPr>
          <w:rFonts w:ascii="Times New Roman" w:hAnsi="Times New Roman" w:cs="Times New Roman"/>
        </w:rPr>
        <w:t>atneša naudos abiems pusėms</w:t>
      </w:r>
      <w:r>
        <w:rPr>
          <w:rFonts w:ascii="Times New Roman" w:hAnsi="Times New Roman" w:cs="Times New Roman"/>
        </w:rPr>
        <w:t xml:space="preserve">: konkreti lizingo kompanija gauna klientų iš tiekėjo, </w:t>
      </w:r>
      <w:r w:rsidR="00131845">
        <w:rPr>
          <w:rFonts w:ascii="Times New Roman" w:hAnsi="Times New Roman" w:cs="Times New Roman"/>
        </w:rPr>
        <w:t>tiekėjas didina pardavimus.</w:t>
      </w:r>
    </w:p>
    <w:p w:rsidR="00131845" w:rsidRDefault="007A61BD" w:rsidP="008C5BA6">
      <w:pPr>
        <w:pStyle w:val="ListParagraph"/>
        <w:numPr>
          <w:ilvl w:val="0"/>
          <w:numId w:val="4"/>
        </w:numPr>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Sprendimų priėmimų greitis. Lizingo suteikimo procedūra dažnai yra paprastesnė už bankų </w:t>
      </w:r>
      <w:r w:rsidR="00444B7F">
        <w:rPr>
          <w:rFonts w:ascii="Times New Roman" w:hAnsi="Times New Roman" w:cs="Times New Roman"/>
        </w:rPr>
        <w:t>finansavimo suteikimo procedūrą</w:t>
      </w:r>
      <w:r>
        <w:rPr>
          <w:rFonts w:ascii="Times New Roman" w:hAnsi="Times New Roman" w:cs="Times New Roman"/>
        </w:rPr>
        <w:t xml:space="preserve">. Tai </w:t>
      </w:r>
      <w:r w:rsidR="005856DE">
        <w:rPr>
          <w:rFonts w:ascii="Times New Roman" w:hAnsi="Times New Roman" w:cs="Times New Roman"/>
        </w:rPr>
        <w:t>leidžia</w:t>
      </w:r>
      <w:r>
        <w:rPr>
          <w:rFonts w:ascii="Times New Roman" w:hAnsi="Times New Roman" w:cs="Times New Roman"/>
        </w:rPr>
        <w:t xml:space="preserve"> trumpiau svarstyti finansavimo klausimą, greičiau pateikti atsakymą bei aptarnauti daugiau klientų.</w:t>
      </w:r>
    </w:p>
    <w:p w:rsidR="008C5BA6" w:rsidRDefault="00444B7F" w:rsidP="008C5BA6">
      <w:pPr>
        <w:tabs>
          <w:tab w:val="left" w:pos="0"/>
          <w:tab w:val="left" w:pos="567"/>
        </w:tabs>
        <w:spacing w:line="360" w:lineRule="auto"/>
        <w:jc w:val="both"/>
        <w:rPr>
          <w:rFonts w:ascii="Times New Roman" w:hAnsi="Times New Roman" w:cs="Times New Roman"/>
        </w:rPr>
      </w:pPr>
      <w:r>
        <w:rPr>
          <w:rFonts w:ascii="Times New Roman" w:hAnsi="Times New Roman" w:cs="Times New Roman"/>
        </w:rPr>
        <w:tab/>
        <w:t xml:space="preserve">Apžvelgus pagrindinius lizingo paslaugos pliusus, reikėtų pereiti prie minusų. </w:t>
      </w:r>
      <w:r w:rsidR="008C5BA6">
        <w:rPr>
          <w:rFonts w:ascii="Times New Roman" w:hAnsi="Times New Roman" w:cs="Times New Roman"/>
        </w:rPr>
        <w:t>Jų literatūroje galima rasti žymiai mažiau negu pliusų. Pagrindinius du minusus įvardija Contino (2002):</w:t>
      </w:r>
    </w:p>
    <w:p w:rsidR="00376D0A" w:rsidRDefault="00376D0A" w:rsidP="00A252E5">
      <w:pPr>
        <w:pStyle w:val="ListParagraph"/>
        <w:numPr>
          <w:ilvl w:val="0"/>
          <w:numId w:val="7"/>
        </w:numPr>
        <w:tabs>
          <w:tab w:val="left" w:pos="0"/>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Sumažinam</w:t>
      </w:r>
      <w:r w:rsidR="008C5BA6">
        <w:rPr>
          <w:rFonts w:ascii="Times New Roman" w:hAnsi="Times New Roman" w:cs="Times New Roman"/>
        </w:rPr>
        <w:t>a galimybė uždirbti</w:t>
      </w:r>
      <w:r>
        <w:rPr>
          <w:rFonts w:ascii="Times New Roman" w:hAnsi="Times New Roman" w:cs="Times New Roman"/>
        </w:rPr>
        <w:t xml:space="preserve"> iš turto pardavimo</w:t>
      </w:r>
      <w:r w:rsidR="008C5BA6">
        <w:rPr>
          <w:rFonts w:ascii="Times New Roman" w:hAnsi="Times New Roman" w:cs="Times New Roman"/>
        </w:rPr>
        <w:t xml:space="preserve">. Kai lizingo gavėjas lizinguojasi turtą jis dažniausiai neturi galimybės uždirbti pelno iš turto </w:t>
      </w:r>
      <w:r>
        <w:rPr>
          <w:rFonts w:ascii="Times New Roman" w:hAnsi="Times New Roman" w:cs="Times New Roman"/>
        </w:rPr>
        <w:t xml:space="preserve">pardavimo </w:t>
      </w:r>
      <w:r w:rsidR="008C5BA6">
        <w:rPr>
          <w:rFonts w:ascii="Times New Roman" w:hAnsi="Times New Roman" w:cs="Times New Roman"/>
        </w:rPr>
        <w:t xml:space="preserve">lizingo laikotarpiu, jeigu lizinguojant objektą jo vertė dėl vienos ar kitos priežasties pradeda kilti. Pavyzdžiui, dešimties metų barža gali būti verta daugiau nei </w:t>
      </w:r>
      <w:r>
        <w:rPr>
          <w:rFonts w:ascii="Times New Roman" w:hAnsi="Times New Roman" w:cs="Times New Roman"/>
        </w:rPr>
        <w:t xml:space="preserve">jos pirkimo kaina dėl infliacijos bei išaugusios jos paklausos. Jeigu lizingo gavėjas tokią baržą norėtų parduoti, jis pirma turėtų ją išsipirkti iš lizingo bendrovės ir tik tada atlikti pardavimo operaciją. </w:t>
      </w:r>
    </w:p>
    <w:p w:rsidR="007E2FCC" w:rsidRDefault="00376D0A" w:rsidP="007E2FCC">
      <w:pPr>
        <w:pStyle w:val="ListParagraph"/>
        <w:tabs>
          <w:tab w:val="left" w:pos="0"/>
        </w:tabs>
        <w:spacing w:line="360" w:lineRule="auto"/>
        <w:ind w:left="0" w:firstLine="567"/>
        <w:jc w:val="both"/>
        <w:rPr>
          <w:rFonts w:ascii="Times New Roman" w:hAnsi="Times New Roman" w:cs="Times New Roman"/>
        </w:rPr>
      </w:pPr>
      <w:r>
        <w:rPr>
          <w:rFonts w:ascii="Times New Roman" w:hAnsi="Times New Roman" w:cs="Times New Roman"/>
        </w:rPr>
        <w:lastRenderedPageBreak/>
        <w:t xml:space="preserve">Žinoma, dauguma lizingo bendrovių suteikia galimybę nupirkti lizinguojamą turto lizingo termino pabaigoje už iš anksto nustatytą likutinę vertę. </w:t>
      </w:r>
      <w:r w:rsidR="009B7B8C">
        <w:rPr>
          <w:rFonts w:ascii="Times New Roman" w:hAnsi="Times New Roman" w:cs="Times New Roman"/>
        </w:rPr>
        <w:t>Tačiau p</w:t>
      </w:r>
      <w:r>
        <w:rPr>
          <w:rFonts w:ascii="Times New Roman" w:hAnsi="Times New Roman" w:cs="Times New Roman"/>
        </w:rPr>
        <w:t xml:space="preserve">avyzdžiui, esant tokiai situacijai, kai turto likutinė vertė siekia 25 </w:t>
      </w:r>
      <w:r>
        <w:rPr>
          <w:rFonts w:ascii="Times New Roman" w:hAnsi="Times New Roman" w:cs="Times New Roman"/>
          <w:lang w:val="en-US"/>
        </w:rPr>
        <w:t>%</w:t>
      </w:r>
      <w:r w:rsidR="009B7B8C">
        <w:rPr>
          <w:rFonts w:ascii="Times New Roman" w:hAnsi="Times New Roman" w:cs="Times New Roman"/>
        </w:rPr>
        <w:t xml:space="preserve"> pradinės kainos, o turto rinkos kaina </w:t>
      </w:r>
      <w:r>
        <w:rPr>
          <w:rFonts w:ascii="Times New Roman" w:hAnsi="Times New Roman" w:cs="Times New Roman"/>
        </w:rPr>
        <w:t xml:space="preserve">tuo metu vis dar siekia 75 </w:t>
      </w:r>
      <w:r>
        <w:rPr>
          <w:rFonts w:ascii="Times New Roman" w:hAnsi="Times New Roman" w:cs="Times New Roman"/>
          <w:lang w:val="en-US"/>
        </w:rPr>
        <w:t>%</w:t>
      </w:r>
      <w:r w:rsidR="009B7B8C">
        <w:rPr>
          <w:rFonts w:ascii="Times New Roman" w:hAnsi="Times New Roman" w:cs="Times New Roman"/>
        </w:rPr>
        <w:t xml:space="preserve"> turto vertės </w:t>
      </w:r>
      <w:r>
        <w:rPr>
          <w:rFonts w:ascii="Times New Roman" w:hAnsi="Times New Roman" w:cs="Times New Roman"/>
        </w:rPr>
        <w:t>tokiu atveju lizingo kompanija gali</w:t>
      </w:r>
      <w:r w:rsidR="009B7B8C">
        <w:rPr>
          <w:rFonts w:ascii="Times New Roman" w:hAnsi="Times New Roman" w:cs="Times New Roman"/>
        </w:rPr>
        <w:t xml:space="preserve"> nesutikti parduoti turto ar parduoti jį už papildomą mokestį. Tam, kad išvengti tokios situacijos</w:t>
      </w:r>
      <w:r w:rsidR="009B7B8C" w:rsidRPr="009B7B8C">
        <w:rPr>
          <w:rFonts w:ascii="Times New Roman" w:hAnsi="Times New Roman" w:cs="Times New Roman"/>
        </w:rPr>
        <w:t xml:space="preserve"> </w:t>
      </w:r>
      <w:r w:rsidR="007E2FCC">
        <w:rPr>
          <w:rFonts w:ascii="Times New Roman" w:hAnsi="Times New Roman" w:cs="Times New Roman"/>
        </w:rPr>
        <w:t>siūloma</w:t>
      </w:r>
      <w:r w:rsidR="009B7B8C" w:rsidRPr="009B7B8C">
        <w:rPr>
          <w:rFonts w:ascii="Times New Roman" w:hAnsi="Times New Roman" w:cs="Times New Roman"/>
        </w:rPr>
        <w:t xml:space="preserve"> sutartyje apibrėžti kam atitenka pirmenybė nupirkti turtą už likutinę vertę.</w:t>
      </w:r>
      <w:r w:rsidR="009B7B8C">
        <w:rPr>
          <w:rFonts w:ascii="Times New Roman" w:hAnsi="Times New Roman" w:cs="Times New Roman"/>
        </w:rPr>
        <w:t xml:space="preserve"> </w:t>
      </w:r>
      <w:r w:rsidR="007E2FCC">
        <w:rPr>
          <w:rFonts w:ascii="Times New Roman" w:hAnsi="Times New Roman" w:cs="Times New Roman"/>
        </w:rPr>
        <w:t>Tokiu atveju bus išvengta ginčių tarp lizingo gavėjų ir lizingo bendrovių.</w:t>
      </w:r>
    </w:p>
    <w:p w:rsidR="007E2FCC" w:rsidRDefault="007E2FCC" w:rsidP="00A252E5">
      <w:pPr>
        <w:pStyle w:val="ListParagraph"/>
        <w:numPr>
          <w:ilvl w:val="0"/>
          <w:numId w:val="7"/>
        </w:numPr>
        <w:tabs>
          <w:tab w:val="left" w:pos="0"/>
          <w:tab w:val="left" w:pos="1134"/>
        </w:tabs>
        <w:spacing w:line="360" w:lineRule="auto"/>
        <w:ind w:left="142" w:firstLine="425"/>
        <w:jc w:val="both"/>
        <w:rPr>
          <w:rFonts w:ascii="Times New Roman" w:hAnsi="Times New Roman" w:cs="Times New Roman"/>
        </w:rPr>
      </w:pPr>
      <w:r>
        <w:rPr>
          <w:rFonts w:ascii="Times New Roman" w:hAnsi="Times New Roman" w:cs="Times New Roman"/>
        </w:rPr>
        <w:t xml:space="preserve">Ribota turto kontrolė. Šis trūkumas labai artimai siejasi su prieš tai įvardintu. Kai lizingo terminas baigiasi ir turtas sugrįžta lizingo bendrovei, ji gali nesutikti pratęsti to turto lizingo. Lizingo bendrovė gali būti jau sutarusi su kitu klientu lizinguoti šį turtą arba nusprendusi jį parduoti </w:t>
      </w:r>
      <w:r w:rsidR="002325C3">
        <w:rPr>
          <w:rFonts w:ascii="Times New Roman" w:hAnsi="Times New Roman" w:cs="Times New Roman"/>
        </w:rPr>
        <w:t>pakankamai didelės rinkos vertės, kuri viršija likutinę</w:t>
      </w:r>
      <w:r>
        <w:rPr>
          <w:rFonts w:ascii="Times New Roman" w:hAnsi="Times New Roman" w:cs="Times New Roman"/>
        </w:rPr>
        <w:t xml:space="preserve">. Tokiu atveju buvusiam lizingo gavėjui atsirastų papildomų išlaidų bei problemų greitai surandant turtą, kuris galėtų pakeisti prieš tai lizinguotą </w:t>
      </w:r>
      <w:r w:rsidRPr="00C62674">
        <w:rPr>
          <w:rFonts w:ascii="Times New Roman" w:hAnsi="Times New Roman" w:cs="Times New Roman"/>
        </w:rPr>
        <w:t>(</w:t>
      </w:r>
      <w:r w:rsidR="00C62674" w:rsidRPr="00C62674">
        <w:rPr>
          <w:rFonts w:ascii="Times New Roman" w:hAnsi="Times New Roman" w:cs="Times New Roman"/>
          <w:bCs/>
        </w:rPr>
        <w:t>Kiplinger Washington Editors</w:t>
      </w:r>
      <w:r>
        <w:rPr>
          <w:rFonts w:ascii="Times New Roman" w:hAnsi="Times New Roman" w:cs="Times New Roman"/>
        </w:rPr>
        <w:t xml:space="preserve">, 2003). </w:t>
      </w:r>
    </w:p>
    <w:p w:rsidR="007E2FCC" w:rsidRDefault="002325C3" w:rsidP="00BA2B92">
      <w:pPr>
        <w:pStyle w:val="ListParagraph"/>
        <w:tabs>
          <w:tab w:val="left" w:pos="0"/>
        </w:tabs>
        <w:spacing w:line="360" w:lineRule="auto"/>
        <w:ind w:left="0" w:firstLine="567"/>
        <w:jc w:val="both"/>
        <w:rPr>
          <w:rFonts w:ascii="Times New Roman" w:hAnsi="Times New Roman" w:cs="Times New Roman"/>
        </w:rPr>
      </w:pPr>
      <w:r>
        <w:rPr>
          <w:rFonts w:ascii="Times New Roman" w:hAnsi="Times New Roman" w:cs="Times New Roman"/>
        </w:rPr>
        <w:t xml:space="preserve">Kiti autoriai rašę apie lizingą prie paminėtų pagrindinių dviejų </w:t>
      </w:r>
      <w:r w:rsidR="008E2A8B">
        <w:rPr>
          <w:rFonts w:ascii="Times New Roman" w:hAnsi="Times New Roman" w:cs="Times New Roman"/>
        </w:rPr>
        <w:t xml:space="preserve">trūkumų </w:t>
      </w:r>
      <w:r>
        <w:rPr>
          <w:rFonts w:ascii="Times New Roman" w:hAnsi="Times New Roman" w:cs="Times New Roman"/>
        </w:rPr>
        <w:t xml:space="preserve">dažnai mini </w:t>
      </w:r>
      <w:r w:rsidR="008E2A8B">
        <w:rPr>
          <w:rFonts w:ascii="Times New Roman" w:hAnsi="Times New Roman" w:cs="Times New Roman"/>
        </w:rPr>
        <w:t xml:space="preserve">dar vieną. </w:t>
      </w:r>
      <w:r w:rsidR="00BA2B92">
        <w:rPr>
          <w:rFonts w:ascii="Times New Roman" w:hAnsi="Times New Roman" w:cs="Times New Roman"/>
        </w:rPr>
        <w:t>Tai</w:t>
      </w:r>
      <w:r w:rsidR="008E2A8B">
        <w:rPr>
          <w:rFonts w:ascii="Times New Roman" w:hAnsi="Times New Roman" w:cs="Times New Roman"/>
        </w:rPr>
        <w:t xml:space="preserve"> lizingo paslauga savo esme, t.y. kai perkamas turtas žvelgiant tik į palūkanas bei nevertinant kitų veiksnių perkant lizingu „kainuoja“ brangiau negu įsigyjant įprastai (Tolbert, Wood, 2007).</w:t>
      </w:r>
    </w:p>
    <w:p w:rsidR="008E2A8B" w:rsidRDefault="007B45A8" w:rsidP="00BA2B92">
      <w:pPr>
        <w:pStyle w:val="ListParagraph"/>
        <w:tabs>
          <w:tab w:val="left" w:pos="0"/>
        </w:tabs>
        <w:spacing w:line="360" w:lineRule="auto"/>
        <w:ind w:left="0" w:firstLine="567"/>
        <w:jc w:val="both"/>
        <w:rPr>
          <w:rFonts w:ascii="Times New Roman" w:hAnsi="Times New Roman" w:cs="Times New Roman"/>
        </w:rPr>
      </w:pPr>
      <w:r>
        <w:rPr>
          <w:rFonts w:ascii="Times New Roman" w:hAnsi="Times New Roman" w:cs="Times New Roman"/>
        </w:rPr>
        <w:t>Į</w:t>
      </w:r>
      <w:r w:rsidR="00681E1D">
        <w:rPr>
          <w:rFonts w:ascii="Times New Roman" w:hAnsi="Times New Roman" w:cs="Times New Roman"/>
        </w:rPr>
        <w:t xml:space="preserve">vertinant lizingo privalumus bei trūkumus, galima teigti, kad lizingas yra tikrai patraukli paslauga tiek įmonėms, tiek </w:t>
      </w:r>
      <w:r w:rsidR="00A252E5">
        <w:rPr>
          <w:rFonts w:ascii="Times New Roman" w:hAnsi="Times New Roman" w:cs="Times New Roman"/>
        </w:rPr>
        <w:t>privatiems asmenims bei, žinoma, lizingo teikėjams. Lizingas suteikia galimybę pagrįstai planuoti piniginius srautus įmonėje, išsaugoti kapitalo dalį, taip nestabdant tolimesnių įmonė</w:t>
      </w:r>
      <w:r w:rsidR="00340F7E">
        <w:rPr>
          <w:rFonts w:ascii="Times New Roman" w:hAnsi="Times New Roman" w:cs="Times New Roman"/>
        </w:rPr>
        <w:t>s investicijų bei plėtros planų.</w:t>
      </w:r>
      <w:r w:rsidR="00A252E5">
        <w:rPr>
          <w:rFonts w:ascii="Times New Roman" w:hAnsi="Times New Roman" w:cs="Times New Roman"/>
        </w:rPr>
        <w:t xml:space="preserve"> Lizingas dalinai apsaugo tiek nuo infliacijos, tiek nuo turto senėjimo. Lizinguojantis galima pasinaudoti tam tikromis mokestinėmis lengvatomis bei paprastesne apskaita.</w:t>
      </w:r>
      <w:r w:rsidR="00073080">
        <w:rPr>
          <w:rFonts w:ascii="Times New Roman" w:hAnsi="Times New Roman" w:cs="Times New Roman"/>
        </w:rPr>
        <w:t xml:space="preserve"> Nors lizingo laikotarpiu ir</w:t>
      </w:r>
      <w:r w:rsidR="005B404E">
        <w:rPr>
          <w:rFonts w:ascii="Times New Roman" w:hAnsi="Times New Roman" w:cs="Times New Roman"/>
        </w:rPr>
        <w:t xml:space="preserve"> yra tam tikrų apribojimų turto pardavimui</w:t>
      </w:r>
      <w:r w:rsidR="00073080">
        <w:rPr>
          <w:rFonts w:ascii="Times New Roman" w:hAnsi="Times New Roman" w:cs="Times New Roman"/>
        </w:rPr>
        <w:t>, tačiau reikėtų įvertinti tai, kad lizingo paslauga dažniausiai naud</w:t>
      </w:r>
      <w:r w:rsidR="005B404E">
        <w:rPr>
          <w:rFonts w:ascii="Times New Roman" w:hAnsi="Times New Roman" w:cs="Times New Roman"/>
        </w:rPr>
        <w:t>ojama</w:t>
      </w:r>
      <w:r w:rsidR="00073080">
        <w:rPr>
          <w:rFonts w:ascii="Times New Roman" w:hAnsi="Times New Roman" w:cs="Times New Roman"/>
        </w:rPr>
        <w:t xml:space="preserve"> siekiant turtą naudoti įmonės veikloje, o ne parduoti. </w:t>
      </w:r>
      <w:r w:rsidR="00340F7E">
        <w:rPr>
          <w:rFonts w:ascii="Times New Roman" w:hAnsi="Times New Roman" w:cs="Times New Roman"/>
        </w:rPr>
        <w:t>Lizingas ypatingai naudingas mažoms įmonėms, kurios neturėtų galimybės įsigyti tam tikros įrangos sumokant visą sumą iš karto, o lizingo pagalba įnešus pradinę įmoką, jos gali sau leisti plėsti</w:t>
      </w:r>
      <w:r w:rsidR="000A60B2">
        <w:rPr>
          <w:rFonts w:ascii="Times New Roman" w:hAnsi="Times New Roman" w:cs="Times New Roman"/>
        </w:rPr>
        <w:t>s</w:t>
      </w:r>
      <w:r w:rsidR="00340F7E">
        <w:rPr>
          <w:rFonts w:ascii="Times New Roman" w:hAnsi="Times New Roman" w:cs="Times New Roman"/>
        </w:rPr>
        <w:t xml:space="preserve"> ir išgyventi konkurencinėje kovoje.</w:t>
      </w:r>
    </w:p>
    <w:p w:rsidR="0091696B" w:rsidRDefault="0091696B" w:rsidP="00BA2B92">
      <w:pPr>
        <w:pStyle w:val="ListParagraph"/>
        <w:tabs>
          <w:tab w:val="left" w:pos="0"/>
        </w:tabs>
        <w:spacing w:line="360" w:lineRule="auto"/>
        <w:ind w:left="0" w:firstLine="567"/>
        <w:jc w:val="both"/>
        <w:rPr>
          <w:rFonts w:ascii="Times New Roman" w:hAnsi="Times New Roman" w:cs="Times New Roman"/>
        </w:rPr>
      </w:pPr>
    </w:p>
    <w:p w:rsidR="0091696B" w:rsidRDefault="0091696B" w:rsidP="0091696B">
      <w:pPr>
        <w:pStyle w:val="Heading2"/>
      </w:pPr>
      <w:bookmarkStart w:id="11" w:name="_Toc343517968"/>
      <w:r>
        <w:t xml:space="preserve">Lizingo </w:t>
      </w:r>
      <w:r w:rsidR="007B45A8">
        <w:t>rinkos</w:t>
      </w:r>
      <w:r>
        <w:t xml:space="preserve"> reikšmė ekonomikai</w:t>
      </w:r>
      <w:bookmarkEnd w:id="11"/>
    </w:p>
    <w:p w:rsidR="0091696B" w:rsidRDefault="0091696B" w:rsidP="0091696B">
      <w:pPr>
        <w:rPr>
          <w:rFonts w:ascii="Times New Roman" w:hAnsi="Times New Roman" w:cs="Times New Roman"/>
        </w:rPr>
      </w:pPr>
    </w:p>
    <w:p w:rsidR="0013159E" w:rsidRDefault="00E03A9B" w:rsidP="000278FA">
      <w:pPr>
        <w:spacing w:line="360" w:lineRule="auto"/>
        <w:ind w:firstLine="567"/>
        <w:jc w:val="both"/>
        <w:rPr>
          <w:rFonts w:ascii="Times New Roman" w:hAnsi="Times New Roman" w:cs="Times New Roman"/>
        </w:rPr>
      </w:pPr>
      <w:r>
        <w:rPr>
          <w:rFonts w:ascii="Times New Roman" w:hAnsi="Times New Roman" w:cs="Times New Roman"/>
        </w:rPr>
        <w:t xml:space="preserve">Pradedant nagrinėti lizingo </w:t>
      </w:r>
      <w:r w:rsidR="007B45A8">
        <w:rPr>
          <w:rFonts w:ascii="Times New Roman" w:hAnsi="Times New Roman" w:cs="Times New Roman"/>
        </w:rPr>
        <w:t>rinkos</w:t>
      </w:r>
      <w:r>
        <w:rPr>
          <w:rFonts w:ascii="Times New Roman" w:hAnsi="Times New Roman" w:cs="Times New Roman"/>
        </w:rPr>
        <w:t xml:space="preserve"> reikšmę ekonomikai, svarbu </w:t>
      </w:r>
      <w:r w:rsidR="00F90D8D">
        <w:rPr>
          <w:rFonts w:ascii="Times New Roman" w:hAnsi="Times New Roman" w:cs="Times New Roman"/>
        </w:rPr>
        <w:t xml:space="preserve">pirma apskritai </w:t>
      </w:r>
      <w:r w:rsidR="00E036BB">
        <w:rPr>
          <w:rFonts w:ascii="Times New Roman" w:hAnsi="Times New Roman" w:cs="Times New Roman"/>
        </w:rPr>
        <w:t>nustatyti ar egzistuoja ryšys</w:t>
      </w:r>
      <w:r>
        <w:rPr>
          <w:rFonts w:ascii="Times New Roman" w:hAnsi="Times New Roman" w:cs="Times New Roman"/>
        </w:rPr>
        <w:t xml:space="preserve"> tarp finansinio sektoriaus</w:t>
      </w:r>
      <w:r w:rsidR="00BE7A73">
        <w:rPr>
          <w:rFonts w:ascii="Times New Roman" w:hAnsi="Times New Roman" w:cs="Times New Roman"/>
        </w:rPr>
        <w:t>, jo teikiamų paslaugų</w:t>
      </w:r>
      <w:r>
        <w:rPr>
          <w:rFonts w:ascii="Times New Roman" w:hAnsi="Times New Roman" w:cs="Times New Roman"/>
        </w:rPr>
        <w:t xml:space="preserve"> </w:t>
      </w:r>
      <w:r w:rsidR="00A01E71">
        <w:rPr>
          <w:rFonts w:ascii="Times New Roman" w:hAnsi="Times New Roman" w:cs="Times New Roman"/>
        </w:rPr>
        <w:t xml:space="preserve">plėtros </w:t>
      </w:r>
      <w:r>
        <w:rPr>
          <w:rFonts w:ascii="Times New Roman" w:hAnsi="Times New Roman" w:cs="Times New Roman"/>
        </w:rPr>
        <w:t>ir ekonomikos augimo. Šio ryšio nagrinėjimas</w:t>
      </w:r>
      <w:r w:rsidR="00005048">
        <w:rPr>
          <w:rFonts w:ascii="Times New Roman" w:hAnsi="Times New Roman" w:cs="Times New Roman"/>
        </w:rPr>
        <w:t xml:space="preserve"> pastarajame dešimtmetyje susilaukė didžiulio ekonomistų susidomėjimo ir yra vis plačiau nagrinėjamas ekonominėje literatūroje. Pirmieji empiriniai tyrimai buvo atlikti dar devintajame </w:t>
      </w:r>
      <w:r w:rsidR="00E63FE0">
        <w:rPr>
          <w:rFonts w:ascii="Times New Roman" w:hAnsi="Times New Roman" w:cs="Times New Roman"/>
        </w:rPr>
        <w:t>dešimtmetyje.</w:t>
      </w:r>
      <w:r w:rsidR="00005048">
        <w:rPr>
          <w:rFonts w:ascii="Times New Roman" w:hAnsi="Times New Roman" w:cs="Times New Roman"/>
        </w:rPr>
        <w:t xml:space="preserve"> Jų metu tirtas ryšys tarp bankų išduodamų paskolų</w:t>
      </w:r>
      <w:r w:rsidR="00E63FE0">
        <w:rPr>
          <w:rFonts w:ascii="Times New Roman" w:hAnsi="Times New Roman" w:cs="Times New Roman"/>
        </w:rPr>
        <w:t xml:space="preserve"> </w:t>
      </w:r>
      <w:r w:rsidR="00BE7A73">
        <w:rPr>
          <w:rFonts w:ascii="Times New Roman" w:hAnsi="Times New Roman" w:cs="Times New Roman"/>
        </w:rPr>
        <w:t xml:space="preserve">masto didėjimo </w:t>
      </w:r>
      <w:r w:rsidR="00005048">
        <w:rPr>
          <w:rFonts w:ascii="Times New Roman" w:hAnsi="Times New Roman" w:cs="Times New Roman"/>
        </w:rPr>
        <w:t xml:space="preserve">ir </w:t>
      </w:r>
      <w:r w:rsidR="00E63FE0">
        <w:rPr>
          <w:rFonts w:ascii="Times New Roman" w:hAnsi="Times New Roman" w:cs="Times New Roman"/>
        </w:rPr>
        <w:t xml:space="preserve">ekonominio augimo išsivysčiusiose šalyse. Tarp šių dviejų veiksnių nustatytas pakankamai stiprus </w:t>
      </w:r>
      <w:r w:rsidR="00A17355">
        <w:rPr>
          <w:rFonts w:ascii="Times New Roman" w:hAnsi="Times New Roman" w:cs="Times New Roman"/>
        </w:rPr>
        <w:t xml:space="preserve">teigiamas </w:t>
      </w:r>
      <w:r w:rsidR="00E63FE0">
        <w:rPr>
          <w:rFonts w:ascii="Times New Roman" w:hAnsi="Times New Roman" w:cs="Times New Roman"/>
        </w:rPr>
        <w:t xml:space="preserve">ryšys, taigi tyrimai buvo tęsiami. Pastaraisiais metais nesunku rasti vis daugiau </w:t>
      </w:r>
      <w:r w:rsidR="00BE7A73">
        <w:rPr>
          <w:rFonts w:ascii="Times New Roman" w:hAnsi="Times New Roman" w:cs="Times New Roman"/>
        </w:rPr>
        <w:t xml:space="preserve">mokslinių </w:t>
      </w:r>
      <w:r w:rsidR="00E63FE0">
        <w:rPr>
          <w:rFonts w:ascii="Times New Roman" w:hAnsi="Times New Roman" w:cs="Times New Roman"/>
        </w:rPr>
        <w:t xml:space="preserve">darbų, kurių </w:t>
      </w:r>
      <w:r w:rsidR="00E63FE0">
        <w:rPr>
          <w:rFonts w:ascii="Times New Roman" w:hAnsi="Times New Roman" w:cs="Times New Roman"/>
        </w:rPr>
        <w:lastRenderedPageBreak/>
        <w:t xml:space="preserve">išvados skelbia, kad išsivystęs bankinis sektorius, akcijų </w:t>
      </w:r>
      <w:r w:rsidR="00F90D8D">
        <w:rPr>
          <w:rFonts w:ascii="Times New Roman" w:hAnsi="Times New Roman" w:cs="Times New Roman"/>
        </w:rPr>
        <w:t>rinkos plėtra</w:t>
      </w:r>
      <w:r w:rsidR="00E63FE0">
        <w:rPr>
          <w:rFonts w:ascii="Times New Roman" w:hAnsi="Times New Roman" w:cs="Times New Roman"/>
        </w:rPr>
        <w:t xml:space="preserve"> turi teigiamą poveikį ekonomikos augimui</w:t>
      </w:r>
      <w:r w:rsidR="0078128F">
        <w:rPr>
          <w:rFonts w:ascii="Times New Roman" w:hAnsi="Times New Roman" w:cs="Times New Roman"/>
        </w:rPr>
        <w:t xml:space="preserve"> </w:t>
      </w:r>
      <w:r w:rsidR="00005048">
        <w:rPr>
          <w:rFonts w:ascii="Times New Roman" w:hAnsi="Times New Roman" w:cs="Times New Roman"/>
        </w:rPr>
        <w:t xml:space="preserve">(Kichler, Haiss, 2009). </w:t>
      </w:r>
      <w:r w:rsidR="00896656">
        <w:rPr>
          <w:rFonts w:ascii="Times New Roman" w:hAnsi="Times New Roman" w:cs="Times New Roman"/>
        </w:rPr>
        <w:t xml:space="preserve">Tačiau pradėjus tyrinėti besivystančias arba mažiau išsivysčiusias šalis buvo nustatyta, kad </w:t>
      </w:r>
      <w:r w:rsidR="00A17355">
        <w:rPr>
          <w:rFonts w:ascii="Times New Roman" w:hAnsi="Times New Roman" w:cs="Times New Roman"/>
        </w:rPr>
        <w:t>paminėtas</w:t>
      </w:r>
      <w:r w:rsidR="00ED24AB">
        <w:rPr>
          <w:rFonts w:ascii="Times New Roman" w:hAnsi="Times New Roman" w:cs="Times New Roman"/>
        </w:rPr>
        <w:t xml:space="preserve"> ryšys nebūtinai egzistuoja, jo gali nebūti</w:t>
      </w:r>
      <w:r w:rsidR="00B258C3">
        <w:rPr>
          <w:rFonts w:ascii="Times New Roman" w:hAnsi="Times New Roman" w:cs="Times New Roman"/>
        </w:rPr>
        <w:t xml:space="preserve"> arba jis </w:t>
      </w:r>
      <w:r w:rsidR="00ED24AB">
        <w:rPr>
          <w:rFonts w:ascii="Times New Roman" w:hAnsi="Times New Roman" w:cs="Times New Roman"/>
        </w:rPr>
        <w:t xml:space="preserve">gali būti </w:t>
      </w:r>
      <w:r w:rsidR="00BE7A73">
        <w:rPr>
          <w:rFonts w:ascii="Times New Roman" w:hAnsi="Times New Roman" w:cs="Times New Roman"/>
        </w:rPr>
        <w:t xml:space="preserve">net </w:t>
      </w:r>
      <w:r w:rsidR="00B258C3">
        <w:rPr>
          <w:rFonts w:ascii="Times New Roman" w:hAnsi="Times New Roman" w:cs="Times New Roman"/>
        </w:rPr>
        <w:t>neigiamas</w:t>
      </w:r>
      <w:r w:rsidR="00896656">
        <w:rPr>
          <w:rFonts w:ascii="Times New Roman" w:hAnsi="Times New Roman" w:cs="Times New Roman"/>
        </w:rPr>
        <w:t xml:space="preserve">. </w:t>
      </w:r>
      <w:r w:rsidR="00F90D8D">
        <w:rPr>
          <w:rFonts w:ascii="Times New Roman" w:hAnsi="Times New Roman" w:cs="Times New Roman"/>
        </w:rPr>
        <w:t>Empirinių tyrimų metu b</w:t>
      </w:r>
      <w:r w:rsidR="00896656">
        <w:rPr>
          <w:rFonts w:ascii="Times New Roman" w:hAnsi="Times New Roman" w:cs="Times New Roman"/>
        </w:rPr>
        <w:t>uv</w:t>
      </w:r>
      <w:r w:rsidR="00B258C3">
        <w:rPr>
          <w:rFonts w:ascii="Times New Roman" w:hAnsi="Times New Roman" w:cs="Times New Roman"/>
        </w:rPr>
        <w:t>o nu</w:t>
      </w:r>
      <w:r w:rsidR="00BE7A73">
        <w:rPr>
          <w:rFonts w:ascii="Times New Roman" w:hAnsi="Times New Roman" w:cs="Times New Roman"/>
        </w:rPr>
        <w:t xml:space="preserve">statyta, kad finansų sektoriaus, jo teikiamų paslaugų </w:t>
      </w:r>
      <w:r w:rsidR="00B258C3">
        <w:rPr>
          <w:rFonts w:ascii="Times New Roman" w:hAnsi="Times New Roman" w:cs="Times New Roman"/>
        </w:rPr>
        <w:t xml:space="preserve">vystymasis </w:t>
      </w:r>
      <w:r w:rsidR="008325EE">
        <w:rPr>
          <w:rFonts w:ascii="Times New Roman" w:hAnsi="Times New Roman" w:cs="Times New Roman"/>
        </w:rPr>
        <w:t xml:space="preserve">besivystančių </w:t>
      </w:r>
      <w:r w:rsidR="00F90D8D">
        <w:rPr>
          <w:rFonts w:ascii="Times New Roman" w:hAnsi="Times New Roman" w:cs="Times New Roman"/>
        </w:rPr>
        <w:t xml:space="preserve">pietryčių Europos šalių </w:t>
      </w:r>
      <w:r w:rsidR="00B258C3">
        <w:rPr>
          <w:rFonts w:ascii="Times New Roman" w:hAnsi="Times New Roman" w:cs="Times New Roman"/>
        </w:rPr>
        <w:t>ekonomikose neturi reikšmingo pov</w:t>
      </w:r>
      <w:r w:rsidR="00BE509F">
        <w:rPr>
          <w:rFonts w:ascii="Times New Roman" w:hAnsi="Times New Roman" w:cs="Times New Roman"/>
        </w:rPr>
        <w:t>eikio ekonomikos augimui (Mehl e</w:t>
      </w:r>
      <w:r w:rsidR="00B258C3">
        <w:rPr>
          <w:rFonts w:ascii="Times New Roman" w:hAnsi="Times New Roman" w:cs="Times New Roman"/>
        </w:rPr>
        <w:t xml:space="preserve">t al, 2006). </w:t>
      </w:r>
      <w:r w:rsidR="008325EE">
        <w:rPr>
          <w:rFonts w:ascii="Times New Roman" w:hAnsi="Times New Roman" w:cs="Times New Roman"/>
        </w:rPr>
        <w:t xml:space="preserve">Tokios išvados yra pakankamai netikėtos. Darbo autoriaus nuomone, </w:t>
      </w:r>
      <w:r w:rsidR="00BE7A73">
        <w:rPr>
          <w:rFonts w:ascii="Times New Roman" w:hAnsi="Times New Roman" w:cs="Times New Roman"/>
        </w:rPr>
        <w:t xml:space="preserve">pirma </w:t>
      </w:r>
      <w:r w:rsidR="008325EE">
        <w:rPr>
          <w:rFonts w:ascii="Times New Roman" w:hAnsi="Times New Roman" w:cs="Times New Roman"/>
        </w:rPr>
        <w:t xml:space="preserve">būtų tikslinga panagrinėti mokslininkų atliktus empirinius tyrimus ir įvertinti ar </w:t>
      </w:r>
      <w:r w:rsidR="007B45A8">
        <w:rPr>
          <w:rFonts w:ascii="Times New Roman" w:hAnsi="Times New Roman" w:cs="Times New Roman"/>
        </w:rPr>
        <w:t>besivystančių rinkų</w:t>
      </w:r>
      <w:r w:rsidR="007677C1">
        <w:rPr>
          <w:rFonts w:ascii="Times New Roman" w:hAnsi="Times New Roman" w:cs="Times New Roman"/>
        </w:rPr>
        <w:t xml:space="preserve"> šalims</w:t>
      </w:r>
      <w:r w:rsidR="008325EE">
        <w:rPr>
          <w:rFonts w:ascii="Times New Roman" w:hAnsi="Times New Roman" w:cs="Times New Roman"/>
        </w:rPr>
        <w:t xml:space="preserve"> finansų sektorius, jo plėtra ir priemonės turi tam tikros įtakos ekonomikai. Šitai ypač svarbu išsiaiškinti, nes darbe bus nagrinėjama lizingo </w:t>
      </w:r>
      <w:r w:rsidR="007B45A8">
        <w:rPr>
          <w:rFonts w:ascii="Times New Roman" w:hAnsi="Times New Roman" w:cs="Times New Roman"/>
        </w:rPr>
        <w:t>rinkos</w:t>
      </w:r>
      <w:r w:rsidR="008325EE">
        <w:rPr>
          <w:rFonts w:ascii="Times New Roman" w:hAnsi="Times New Roman" w:cs="Times New Roman"/>
        </w:rPr>
        <w:t xml:space="preserve"> reikšmė ekonomikai Lietuvoje. </w:t>
      </w:r>
      <w:r w:rsidR="00BE7A73">
        <w:rPr>
          <w:rFonts w:ascii="Times New Roman" w:hAnsi="Times New Roman" w:cs="Times New Roman"/>
        </w:rPr>
        <w:t>Lietuva yra priskiriama prie besivystančių</w:t>
      </w:r>
      <w:r w:rsidR="00323AA8">
        <w:rPr>
          <w:rFonts w:ascii="Times New Roman" w:hAnsi="Times New Roman" w:cs="Times New Roman"/>
        </w:rPr>
        <w:t xml:space="preserve"> rinkų</w:t>
      </w:r>
      <w:r w:rsidR="00BE7A73">
        <w:rPr>
          <w:rFonts w:ascii="Times New Roman" w:hAnsi="Times New Roman" w:cs="Times New Roman"/>
        </w:rPr>
        <w:t xml:space="preserve"> </w:t>
      </w:r>
      <w:r w:rsidR="007677C1">
        <w:rPr>
          <w:rFonts w:ascii="Times New Roman" w:hAnsi="Times New Roman" w:cs="Times New Roman"/>
        </w:rPr>
        <w:t xml:space="preserve">Rytų Europos </w:t>
      </w:r>
      <w:r w:rsidR="00BE7A73">
        <w:rPr>
          <w:rFonts w:ascii="Times New Roman" w:hAnsi="Times New Roman" w:cs="Times New Roman"/>
        </w:rPr>
        <w:t>šalių, taigi išsiaiškinus, kad finansinio sektoriaus teikiamų paslaugų plėtra nesuteikia teigiamo efekto</w:t>
      </w:r>
      <w:r w:rsidR="00E036BB">
        <w:rPr>
          <w:rFonts w:ascii="Times New Roman" w:hAnsi="Times New Roman" w:cs="Times New Roman"/>
        </w:rPr>
        <w:t xml:space="preserve"> arba visiškai neįtakoja ekonomikos</w:t>
      </w:r>
      <w:r w:rsidR="00A01E71">
        <w:rPr>
          <w:rFonts w:ascii="Times New Roman" w:hAnsi="Times New Roman" w:cs="Times New Roman"/>
        </w:rPr>
        <w:t>,</w:t>
      </w:r>
      <w:r w:rsidR="00BE7A73">
        <w:rPr>
          <w:rFonts w:ascii="Times New Roman" w:hAnsi="Times New Roman" w:cs="Times New Roman"/>
        </w:rPr>
        <w:t xml:space="preserve"> tokiu atveju ir lizingo </w:t>
      </w:r>
      <w:r w:rsidR="00323AA8">
        <w:rPr>
          <w:rFonts w:ascii="Times New Roman" w:hAnsi="Times New Roman" w:cs="Times New Roman"/>
        </w:rPr>
        <w:t>rinkos</w:t>
      </w:r>
      <w:r w:rsidR="00BE7A73">
        <w:rPr>
          <w:rFonts w:ascii="Times New Roman" w:hAnsi="Times New Roman" w:cs="Times New Roman"/>
        </w:rPr>
        <w:t xml:space="preserve"> įtakos </w:t>
      </w:r>
      <w:r w:rsidR="00A01E71">
        <w:rPr>
          <w:rFonts w:ascii="Times New Roman" w:hAnsi="Times New Roman" w:cs="Times New Roman"/>
        </w:rPr>
        <w:t xml:space="preserve">Lietuvos </w:t>
      </w:r>
      <w:r w:rsidR="00BE7A73">
        <w:rPr>
          <w:rFonts w:ascii="Times New Roman" w:hAnsi="Times New Roman" w:cs="Times New Roman"/>
        </w:rPr>
        <w:t>ekonomikai analiz</w:t>
      </w:r>
      <w:r w:rsidR="00D63D3C">
        <w:rPr>
          <w:rFonts w:ascii="Times New Roman" w:hAnsi="Times New Roman" w:cs="Times New Roman"/>
        </w:rPr>
        <w:t>ė nebūtų prasminga. Pagrindiniai atlikti empiriniai tyrimai</w:t>
      </w:r>
      <w:r w:rsidR="00BE7A73">
        <w:rPr>
          <w:rFonts w:ascii="Times New Roman" w:hAnsi="Times New Roman" w:cs="Times New Roman"/>
        </w:rPr>
        <w:t xml:space="preserve"> </w:t>
      </w:r>
      <w:r w:rsidR="00323AA8">
        <w:rPr>
          <w:rFonts w:ascii="Times New Roman" w:hAnsi="Times New Roman" w:cs="Times New Roman"/>
        </w:rPr>
        <w:t>besivystančių rinkų</w:t>
      </w:r>
      <w:r w:rsidR="003E3712">
        <w:rPr>
          <w:rFonts w:ascii="Times New Roman" w:hAnsi="Times New Roman" w:cs="Times New Roman"/>
        </w:rPr>
        <w:t xml:space="preserve"> ekonomikos šalyse pateikiame</w:t>
      </w:r>
      <w:r w:rsidR="00BE7A73">
        <w:rPr>
          <w:rFonts w:ascii="Times New Roman" w:hAnsi="Times New Roman" w:cs="Times New Roman"/>
        </w:rPr>
        <w:t xml:space="preserve"> 2 lentelėje.</w:t>
      </w:r>
      <w:r w:rsidR="00A01E71">
        <w:rPr>
          <w:rFonts w:ascii="Times New Roman" w:hAnsi="Times New Roman" w:cs="Times New Roman"/>
        </w:rPr>
        <w:t xml:space="preserve"> </w:t>
      </w:r>
      <w:r w:rsidR="00BE509F">
        <w:rPr>
          <w:rFonts w:ascii="Times New Roman" w:hAnsi="Times New Roman" w:cs="Times New Roman"/>
        </w:rPr>
        <w:t xml:space="preserve">Iš šios lentelės matyti, kad tik mano jau minėto </w:t>
      </w:r>
      <w:r w:rsidR="00DE04FB">
        <w:rPr>
          <w:rFonts w:ascii="Times New Roman" w:hAnsi="Times New Roman" w:cs="Times New Roman"/>
        </w:rPr>
        <w:t xml:space="preserve">Mehl et al (2006) ir iš dalies Hagmayr ir Haiss (2007) atliktų empirinių tyrimų metu nustatyta, kad </w:t>
      </w:r>
      <w:r w:rsidR="00E036BB">
        <w:rPr>
          <w:rFonts w:ascii="Times New Roman" w:hAnsi="Times New Roman" w:cs="Times New Roman"/>
        </w:rPr>
        <w:t>finansų sektoriaus ir jo</w:t>
      </w:r>
      <w:r w:rsidR="00DE04FB">
        <w:rPr>
          <w:rFonts w:ascii="Times New Roman" w:hAnsi="Times New Roman" w:cs="Times New Roman"/>
        </w:rPr>
        <w:t xml:space="preserve"> paslaugų plėtra neturėjo reikšmingos įtakos ekonomikos augimui. Autorių nuomone tokia padėtis susiklostė, nes šalyse nagrinėtu laikotarpiu vyravo aukšta infliacija bei pasitaikė bankų krizių</w:t>
      </w:r>
      <w:r w:rsidR="00323AA8">
        <w:rPr>
          <w:rFonts w:ascii="Times New Roman" w:hAnsi="Times New Roman" w:cs="Times New Roman"/>
        </w:rPr>
        <w:t xml:space="preserve"> atvejų</w:t>
      </w:r>
      <w:r w:rsidR="00DE04FB">
        <w:rPr>
          <w:rFonts w:ascii="Times New Roman" w:hAnsi="Times New Roman" w:cs="Times New Roman"/>
        </w:rPr>
        <w:t>, kurios apsunkino bank</w:t>
      </w:r>
      <w:r w:rsidR="00E036BB">
        <w:rPr>
          <w:rFonts w:ascii="Times New Roman" w:hAnsi="Times New Roman" w:cs="Times New Roman"/>
        </w:rPr>
        <w:t>ų sektoriaus įnašą į ekonomiką</w:t>
      </w:r>
      <w:r w:rsidR="00DE04FB">
        <w:rPr>
          <w:rFonts w:ascii="Times New Roman" w:hAnsi="Times New Roman" w:cs="Times New Roman"/>
        </w:rPr>
        <w:t xml:space="preserve">. Įdomu, kad tokia padėtis </w:t>
      </w:r>
      <w:r w:rsidR="00E036BB">
        <w:rPr>
          <w:rFonts w:ascii="Times New Roman" w:hAnsi="Times New Roman" w:cs="Times New Roman"/>
        </w:rPr>
        <w:t xml:space="preserve">pasireiškė tik </w:t>
      </w:r>
      <w:r w:rsidR="00323AA8">
        <w:rPr>
          <w:rFonts w:ascii="Times New Roman" w:hAnsi="Times New Roman" w:cs="Times New Roman"/>
        </w:rPr>
        <w:t>besivystančių rinkų</w:t>
      </w:r>
      <w:r w:rsidR="00E036BB">
        <w:rPr>
          <w:rFonts w:ascii="Times New Roman" w:hAnsi="Times New Roman" w:cs="Times New Roman"/>
        </w:rPr>
        <w:t xml:space="preserve"> P</w:t>
      </w:r>
      <w:r w:rsidR="00DE04FB">
        <w:rPr>
          <w:rFonts w:ascii="Times New Roman" w:hAnsi="Times New Roman" w:cs="Times New Roman"/>
        </w:rPr>
        <w:t>ietryčių Europos šalyse.</w:t>
      </w:r>
      <w:r w:rsidR="00E036BB">
        <w:rPr>
          <w:rFonts w:ascii="Times New Roman" w:hAnsi="Times New Roman" w:cs="Times New Roman"/>
        </w:rPr>
        <w:t xml:space="preserve"> Paminėti autoriai šį fenomeną aiškina tuo, kad šiose šalyse teisinis bei finansų sektoriaus priežiūros lygis buvo</w:t>
      </w:r>
      <w:r w:rsidR="00323AA8">
        <w:rPr>
          <w:rFonts w:ascii="Times New Roman" w:hAnsi="Times New Roman" w:cs="Times New Roman"/>
        </w:rPr>
        <w:t xml:space="preserve"> prastesnis negu besivystančių rinkų</w:t>
      </w:r>
      <w:r w:rsidR="00E036BB">
        <w:rPr>
          <w:rFonts w:ascii="Times New Roman" w:hAnsi="Times New Roman" w:cs="Times New Roman"/>
        </w:rPr>
        <w:t xml:space="preserve"> Rytų bei Centrinės Europos šalyse. Šiose šalyse, kaip parodė 2 lentelėje pateiktų empirinių tyrimų išvados,  finansų sektoriaus, jo teikiamų paslaugų plėtra, ypatingai bankinio sektoriaus vystymasis ir finansavimo produktų pateikimas rinkai turėjo teigiamą poveikį ekonomikos augimui.</w:t>
      </w:r>
      <w:r w:rsidR="007677C1">
        <w:rPr>
          <w:rFonts w:ascii="Times New Roman" w:hAnsi="Times New Roman" w:cs="Times New Roman"/>
        </w:rPr>
        <w:t xml:space="preserve"> Taip pat atliktų empirinių tyrimų analizė parodė, kad finansinio sektoriaus plėtra didesnį teigiamą poveikį turi besivystančioms šalių ekonomikoms </w:t>
      </w:r>
      <w:r w:rsidR="004D19B3">
        <w:rPr>
          <w:rFonts w:ascii="Times New Roman" w:hAnsi="Times New Roman" w:cs="Times New Roman"/>
        </w:rPr>
        <w:t xml:space="preserve">lyginant jas su išsivysčiusioms </w:t>
      </w:r>
      <w:r w:rsidR="007677C1">
        <w:rPr>
          <w:rFonts w:ascii="Times New Roman" w:hAnsi="Times New Roman" w:cs="Times New Roman"/>
        </w:rPr>
        <w:t xml:space="preserve">(Fink et al, 2005). </w:t>
      </w:r>
      <w:r w:rsidR="004D19B3">
        <w:rPr>
          <w:rFonts w:ascii="Times New Roman" w:hAnsi="Times New Roman" w:cs="Times New Roman"/>
        </w:rPr>
        <w:t>Be to, š</w:t>
      </w:r>
      <w:r w:rsidR="007677C1">
        <w:rPr>
          <w:rFonts w:ascii="Times New Roman" w:hAnsi="Times New Roman" w:cs="Times New Roman"/>
        </w:rPr>
        <w:t xml:space="preserve">is poveikis dažniausiai yra stipresnis trumpuoju laikotarpiu. </w:t>
      </w:r>
      <w:r w:rsidR="007677C1" w:rsidRPr="00D81F02">
        <w:rPr>
          <w:rFonts w:ascii="Times New Roman" w:hAnsi="Times New Roman" w:cs="Times New Roman"/>
        </w:rPr>
        <w:t xml:space="preserve">Ilguoju laikotarpiui </w:t>
      </w:r>
      <w:r w:rsidR="004D19B3">
        <w:rPr>
          <w:rFonts w:ascii="Times New Roman" w:hAnsi="Times New Roman" w:cs="Times New Roman"/>
        </w:rPr>
        <w:t xml:space="preserve">pastebimas </w:t>
      </w:r>
      <w:r w:rsidR="007677C1" w:rsidRPr="00D81F02">
        <w:rPr>
          <w:rFonts w:ascii="Times New Roman" w:hAnsi="Times New Roman" w:cs="Times New Roman"/>
        </w:rPr>
        <w:t xml:space="preserve">teigiamas </w:t>
      </w:r>
      <w:r w:rsidR="004D19B3">
        <w:rPr>
          <w:rFonts w:ascii="Times New Roman" w:hAnsi="Times New Roman" w:cs="Times New Roman"/>
        </w:rPr>
        <w:t xml:space="preserve">dvikryptis </w:t>
      </w:r>
      <w:r w:rsidR="007677C1" w:rsidRPr="00D81F02">
        <w:rPr>
          <w:rFonts w:ascii="Times New Roman" w:hAnsi="Times New Roman" w:cs="Times New Roman"/>
        </w:rPr>
        <w:t>poveikis (Ṻnalmis, 2002).</w:t>
      </w:r>
      <w:r w:rsidR="005D76C7" w:rsidRPr="00D81F02">
        <w:rPr>
          <w:rFonts w:ascii="Times New Roman" w:hAnsi="Times New Roman" w:cs="Times New Roman"/>
        </w:rPr>
        <w:t xml:space="preserve"> </w:t>
      </w:r>
      <w:r w:rsidR="00833B3D">
        <w:rPr>
          <w:rFonts w:ascii="Times New Roman" w:hAnsi="Times New Roman" w:cs="Times New Roman"/>
        </w:rPr>
        <w:t xml:space="preserve">Apskritai kalbant apie dvikryptį poveikį </w:t>
      </w:r>
      <w:r w:rsidR="000278FA">
        <w:rPr>
          <w:rFonts w:ascii="Times New Roman" w:hAnsi="Times New Roman" w:cs="Times New Roman"/>
        </w:rPr>
        <w:t xml:space="preserve">„mokslininkai </w:t>
      </w:r>
      <w:r w:rsidR="000278FA" w:rsidRPr="000278FA">
        <w:rPr>
          <w:rFonts w:ascii="Times New Roman" w:hAnsi="Times New Roman" w:cs="Times New Roman"/>
        </w:rPr>
        <w:t>vis dar diskutuoja, ar finans</w:t>
      </w:r>
      <w:r w:rsidR="000278FA" w:rsidRPr="000278FA">
        <w:rPr>
          <w:rFonts w:ascii="Times New Roman" w:hAnsi="Times New Roman" w:cs="Times New Roman" w:hint="eastAsia"/>
        </w:rPr>
        <w:t>ų</w:t>
      </w:r>
      <w:r w:rsidR="000278FA" w:rsidRPr="000278FA">
        <w:rPr>
          <w:rFonts w:ascii="Times New Roman" w:hAnsi="Times New Roman" w:cs="Times New Roman"/>
        </w:rPr>
        <w:t xml:space="preserve"> sektoriaus pl</w:t>
      </w:r>
      <w:r w:rsidR="000278FA" w:rsidRPr="000278FA">
        <w:rPr>
          <w:rFonts w:ascii="Times New Roman" w:hAnsi="Times New Roman" w:cs="Times New Roman" w:hint="eastAsia"/>
        </w:rPr>
        <w:t>ė</w:t>
      </w:r>
      <w:r w:rsidR="000278FA" w:rsidRPr="000278FA">
        <w:rPr>
          <w:rFonts w:ascii="Times New Roman" w:hAnsi="Times New Roman" w:cs="Times New Roman"/>
        </w:rPr>
        <w:t xml:space="preserve">tra veikia </w:t>
      </w:r>
      <w:r w:rsidR="000278FA" w:rsidRPr="000278FA">
        <w:rPr>
          <w:rFonts w:ascii="Times New Roman" w:hAnsi="Times New Roman" w:cs="Times New Roman" w:hint="eastAsia"/>
        </w:rPr>
        <w:t>ū</w:t>
      </w:r>
      <w:r w:rsidR="000278FA" w:rsidRPr="000278FA">
        <w:rPr>
          <w:rFonts w:ascii="Times New Roman" w:hAnsi="Times New Roman" w:cs="Times New Roman"/>
        </w:rPr>
        <w:t>kio augim</w:t>
      </w:r>
      <w:r w:rsidR="000278FA" w:rsidRPr="000278FA">
        <w:rPr>
          <w:rFonts w:ascii="Times New Roman" w:hAnsi="Times New Roman" w:cs="Times New Roman" w:hint="eastAsia"/>
        </w:rPr>
        <w:t>ą</w:t>
      </w:r>
      <w:r w:rsidR="000278FA" w:rsidRPr="000278FA">
        <w:rPr>
          <w:rFonts w:ascii="Times New Roman" w:hAnsi="Times New Roman" w:cs="Times New Roman"/>
        </w:rPr>
        <w:t xml:space="preserve">, ar </w:t>
      </w:r>
      <w:r w:rsidR="000278FA" w:rsidRPr="000278FA">
        <w:rPr>
          <w:rFonts w:ascii="Times New Roman" w:hAnsi="Times New Roman" w:cs="Times New Roman" w:hint="eastAsia"/>
        </w:rPr>
        <w:t>ū</w:t>
      </w:r>
      <w:r w:rsidR="000278FA" w:rsidRPr="000278FA">
        <w:rPr>
          <w:rFonts w:ascii="Times New Roman" w:hAnsi="Times New Roman" w:cs="Times New Roman"/>
        </w:rPr>
        <w:t>kio augimas</w:t>
      </w:r>
      <w:r w:rsidR="000278FA">
        <w:rPr>
          <w:rFonts w:ascii="Times New Roman" w:hAnsi="Times New Roman" w:cs="Times New Roman"/>
        </w:rPr>
        <w:t xml:space="preserve"> </w:t>
      </w:r>
      <w:r w:rsidR="000278FA" w:rsidRPr="000278FA">
        <w:rPr>
          <w:rFonts w:ascii="Times New Roman" w:hAnsi="Times New Roman" w:cs="Times New Roman"/>
        </w:rPr>
        <w:t>veikia finans</w:t>
      </w:r>
      <w:r w:rsidR="000278FA" w:rsidRPr="000278FA">
        <w:rPr>
          <w:rFonts w:ascii="Times New Roman" w:hAnsi="Times New Roman" w:cs="Times New Roman" w:hint="eastAsia"/>
        </w:rPr>
        <w:t>ų</w:t>
      </w:r>
      <w:r w:rsidR="000278FA" w:rsidRPr="000278FA">
        <w:rPr>
          <w:rFonts w:ascii="Times New Roman" w:hAnsi="Times New Roman" w:cs="Times New Roman"/>
        </w:rPr>
        <w:t xml:space="preserve"> sektori</w:t>
      </w:r>
      <w:r w:rsidR="000278FA" w:rsidRPr="000278FA">
        <w:rPr>
          <w:rFonts w:ascii="Times New Roman" w:hAnsi="Times New Roman" w:cs="Times New Roman" w:hint="eastAsia"/>
        </w:rPr>
        <w:t>ų</w:t>
      </w:r>
      <w:r w:rsidR="000278FA">
        <w:rPr>
          <w:rFonts w:ascii="Times New Roman" w:hAnsi="Times New Roman" w:cs="Times New Roman"/>
        </w:rPr>
        <w:t>. Daug</w:t>
      </w:r>
      <w:r w:rsidR="000278FA" w:rsidRPr="000278FA">
        <w:rPr>
          <w:rFonts w:ascii="Times New Roman" w:hAnsi="Times New Roman" w:cs="Times New Roman"/>
        </w:rPr>
        <w:t>elyje tyrim</w:t>
      </w:r>
      <w:r w:rsidR="000278FA" w:rsidRPr="000278FA">
        <w:rPr>
          <w:rFonts w:ascii="Times New Roman" w:hAnsi="Times New Roman" w:cs="Times New Roman" w:hint="eastAsia"/>
        </w:rPr>
        <w:t>ų</w:t>
      </w:r>
      <w:r w:rsidR="000278FA" w:rsidRPr="000278FA">
        <w:rPr>
          <w:rFonts w:ascii="Times New Roman" w:hAnsi="Times New Roman" w:cs="Times New Roman"/>
        </w:rPr>
        <w:t xml:space="preserve"> vyrauja hipotez</w:t>
      </w:r>
      <w:r w:rsidR="000278FA" w:rsidRPr="000278FA">
        <w:rPr>
          <w:rFonts w:ascii="Times New Roman" w:hAnsi="Times New Roman" w:cs="Times New Roman" w:hint="eastAsia"/>
        </w:rPr>
        <w:t>ė</w:t>
      </w:r>
      <w:r w:rsidR="000278FA" w:rsidRPr="000278FA">
        <w:rPr>
          <w:rFonts w:ascii="Times New Roman" w:hAnsi="Times New Roman" w:cs="Times New Roman"/>
        </w:rPr>
        <w:t>, kad fina</w:t>
      </w:r>
      <w:r w:rsidR="000278FA">
        <w:rPr>
          <w:rFonts w:ascii="Times New Roman" w:hAnsi="Times New Roman" w:cs="Times New Roman"/>
        </w:rPr>
        <w:t>n</w:t>
      </w:r>
      <w:r w:rsidR="000278FA" w:rsidRPr="000278FA">
        <w:rPr>
          <w:rFonts w:ascii="Times New Roman" w:hAnsi="Times New Roman" w:cs="Times New Roman"/>
        </w:rPr>
        <w:t>s</w:t>
      </w:r>
      <w:r w:rsidR="000278FA" w:rsidRPr="000278FA">
        <w:rPr>
          <w:rFonts w:ascii="Times New Roman" w:hAnsi="Times New Roman" w:cs="Times New Roman" w:hint="eastAsia"/>
        </w:rPr>
        <w:t>ų</w:t>
      </w:r>
      <w:r w:rsidR="000278FA" w:rsidRPr="000278FA">
        <w:rPr>
          <w:rFonts w:ascii="Times New Roman" w:hAnsi="Times New Roman" w:cs="Times New Roman"/>
        </w:rPr>
        <w:t xml:space="preserve"> sistemos pl</w:t>
      </w:r>
      <w:r w:rsidR="000278FA" w:rsidRPr="000278FA">
        <w:rPr>
          <w:rFonts w:ascii="Times New Roman" w:hAnsi="Times New Roman" w:cs="Times New Roman" w:hint="eastAsia"/>
        </w:rPr>
        <w:t>ė</w:t>
      </w:r>
      <w:r w:rsidR="000278FA" w:rsidRPr="000278FA">
        <w:rPr>
          <w:rFonts w:ascii="Times New Roman" w:hAnsi="Times New Roman" w:cs="Times New Roman"/>
        </w:rPr>
        <w:t>tra</w:t>
      </w:r>
      <w:r w:rsidR="000278FA">
        <w:rPr>
          <w:rFonts w:ascii="Times New Roman" w:hAnsi="Times New Roman" w:cs="Times New Roman"/>
        </w:rPr>
        <w:t xml:space="preserve"> </w:t>
      </w:r>
      <w:r w:rsidR="000278FA" w:rsidRPr="000278FA">
        <w:rPr>
          <w:rFonts w:ascii="Times New Roman" w:hAnsi="Times New Roman" w:cs="Times New Roman"/>
        </w:rPr>
        <w:t xml:space="preserve">skatina </w:t>
      </w:r>
      <w:r w:rsidR="000278FA" w:rsidRPr="000278FA">
        <w:rPr>
          <w:rFonts w:ascii="Times New Roman" w:hAnsi="Times New Roman" w:cs="Times New Roman" w:hint="eastAsia"/>
        </w:rPr>
        <w:t>ū</w:t>
      </w:r>
      <w:r w:rsidR="000278FA" w:rsidRPr="000278FA">
        <w:rPr>
          <w:rFonts w:ascii="Times New Roman" w:hAnsi="Times New Roman" w:cs="Times New Roman"/>
        </w:rPr>
        <w:t>kio augim</w:t>
      </w:r>
      <w:r w:rsidR="000278FA" w:rsidRPr="000278FA">
        <w:rPr>
          <w:rFonts w:ascii="Times New Roman" w:hAnsi="Times New Roman" w:cs="Times New Roman" w:hint="eastAsia"/>
        </w:rPr>
        <w:t>ą</w:t>
      </w:r>
      <w:r w:rsidR="000278FA">
        <w:rPr>
          <w:rFonts w:ascii="Times New Roman" w:hAnsi="Times New Roman" w:cs="Times New Roman"/>
        </w:rPr>
        <w:t xml:space="preserve">. </w:t>
      </w:r>
      <w:r w:rsidR="000278FA" w:rsidRPr="000278FA">
        <w:rPr>
          <w:rFonts w:ascii="Times New Roman" w:hAnsi="Times New Roman" w:cs="Times New Roman"/>
        </w:rPr>
        <w:t>Ta</w:t>
      </w:r>
      <w:r w:rsidR="000278FA" w:rsidRPr="000278FA">
        <w:rPr>
          <w:rFonts w:ascii="Times New Roman" w:hAnsi="Times New Roman" w:cs="Times New Roman" w:hint="eastAsia"/>
        </w:rPr>
        <w:t>č</w:t>
      </w:r>
      <w:r w:rsidR="000278FA" w:rsidRPr="000278FA">
        <w:rPr>
          <w:rFonts w:ascii="Times New Roman" w:hAnsi="Times New Roman" w:cs="Times New Roman"/>
        </w:rPr>
        <w:t>iau yra</w:t>
      </w:r>
      <w:r w:rsidR="000278FA">
        <w:rPr>
          <w:rFonts w:ascii="Times New Roman" w:hAnsi="Times New Roman" w:cs="Times New Roman"/>
        </w:rPr>
        <w:t xml:space="preserve"> </w:t>
      </w:r>
      <w:r w:rsidR="000278FA" w:rsidRPr="000278FA">
        <w:rPr>
          <w:rFonts w:ascii="Times New Roman" w:hAnsi="Times New Roman" w:cs="Times New Roman"/>
        </w:rPr>
        <w:t>ir prie</w:t>
      </w:r>
      <w:r w:rsidR="000278FA" w:rsidRPr="000278FA">
        <w:rPr>
          <w:rFonts w:ascii="Times New Roman" w:hAnsi="Times New Roman" w:cs="Times New Roman" w:hint="eastAsia"/>
        </w:rPr>
        <w:t>š</w:t>
      </w:r>
      <w:r w:rsidR="000278FA" w:rsidRPr="000278FA">
        <w:rPr>
          <w:rFonts w:ascii="Times New Roman" w:hAnsi="Times New Roman" w:cs="Times New Roman"/>
        </w:rPr>
        <w:t>inga hipotez</w:t>
      </w:r>
      <w:r w:rsidR="000278FA" w:rsidRPr="000278FA">
        <w:rPr>
          <w:rFonts w:ascii="Times New Roman" w:hAnsi="Times New Roman" w:cs="Times New Roman" w:hint="eastAsia"/>
        </w:rPr>
        <w:t>ė</w:t>
      </w:r>
      <w:r w:rsidR="000278FA" w:rsidRPr="000278FA">
        <w:rPr>
          <w:rFonts w:ascii="Times New Roman" w:hAnsi="Times New Roman" w:cs="Times New Roman"/>
        </w:rPr>
        <w:t xml:space="preserve">, kad </w:t>
      </w:r>
      <w:r w:rsidR="000278FA" w:rsidRPr="000278FA">
        <w:rPr>
          <w:rFonts w:ascii="Times New Roman" w:hAnsi="Times New Roman" w:cs="Times New Roman" w:hint="eastAsia"/>
        </w:rPr>
        <w:t>ū</w:t>
      </w:r>
      <w:r w:rsidR="000278FA" w:rsidRPr="000278FA">
        <w:rPr>
          <w:rFonts w:ascii="Times New Roman" w:hAnsi="Times New Roman" w:cs="Times New Roman"/>
        </w:rPr>
        <w:t>kio pl</w:t>
      </w:r>
      <w:r w:rsidR="000278FA" w:rsidRPr="000278FA">
        <w:rPr>
          <w:rFonts w:ascii="Times New Roman" w:hAnsi="Times New Roman" w:cs="Times New Roman" w:hint="eastAsia"/>
        </w:rPr>
        <w:t>ė</w:t>
      </w:r>
      <w:r w:rsidR="000278FA" w:rsidRPr="000278FA">
        <w:rPr>
          <w:rFonts w:ascii="Times New Roman" w:hAnsi="Times New Roman" w:cs="Times New Roman"/>
        </w:rPr>
        <w:t>tra sukelia fina</w:t>
      </w:r>
      <w:r w:rsidR="000278FA">
        <w:rPr>
          <w:rFonts w:ascii="Times New Roman" w:hAnsi="Times New Roman" w:cs="Times New Roman"/>
        </w:rPr>
        <w:t>n</w:t>
      </w:r>
      <w:r w:rsidR="000278FA" w:rsidRPr="000278FA">
        <w:rPr>
          <w:rFonts w:ascii="Times New Roman" w:hAnsi="Times New Roman" w:cs="Times New Roman"/>
        </w:rPr>
        <w:t>s</w:t>
      </w:r>
      <w:r w:rsidR="000278FA" w:rsidRPr="000278FA">
        <w:rPr>
          <w:rFonts w:ascii="Times New Roman" w:hAnsi="Times New Roman" w:cs="Times New Roman" w:hint="eastAsia"/>
        </w:rPr>
        <w:t>ų</w:t>
      </w:r>
      <w:r w:rsidR="000278FA" w:rsidRPr="000278FA">
        <w:rPr>
          <w:rFonts w:ascii="Times New Roman" w:hAnsi="Times New Roman" w:cs="Times New Roman"/>
        </w:rPr>
        <w:t xml:space="preserve"> sistemos pl</w:t>
      </w:r>
      <w:r w:rsidR="000278FA" w:rsidRPr="000278FA">
        <w:rPr>
          <w:rFonts w:ascii="Times New Roman" w:hAnsi="Times New Roman" w:cs="Times New Roman" w:hint="eastAsia"/>
        </w:rPr>
        <w:t>ė</w:t>
      </w:r>
      <w:r w:rsidR="000278FA" w:rsidRPr="000278FA">
        <w:rPr>
          <w:rFonts w:ascii="Times New Roman" w:hAnsi="Times New Roman" w:cs="Times New Roman"/>
        </w:rPr>
        <w:t>tr</w:t>
      </w:r>
      <w:r w:rsidR="000278FA" w:rsidRPr="000278FA">
        <w:rPr>
          <w:rFonts w:ascii="Times New Roman" w:hAnsi="Times New Roman" w:cs="Times New Roman" w:hint="eastAsia"/>
        </w:rPr>
        <w:t>ą</w:t>
      </w:r>
      <w:r w:rsidR="000278FA">
        <w:rPr>
          <w:rFonts w:ascii="Times New Roman" w:hAnsi="Times New Roman" w:cs="Times New Roman"/>
        </w:rPr>
        <w:t>.“</w:t>
      </w:r>
      <w:r w:rsidR="0013159E">
        <w:rPr>
          <w:rFonts w:ascii="Times New Roman" w:hAnsi="Times New Roman" w:cs="Times New Roman"/>
        </w:rPr>
        <w:t xml:space="preserve"> (Balkevičius, 2012</w:t>
      </w:r>
      <w:r w:rsidR="000278FA">
        <w:rPr>
          <w:rFonts w:ascii="Times New Roman" w:hAnsi="Times New Roman" w:cs="Times New Roman"/>
        </w:rPr>
        <w:t>, p.87</w:t>
      </w:r>
      <w:r w:rsidR="0013159E">
        <w:rPr>
          <w:rFonts w:ascii="Times New Roman" w:hAnsi="Times New Roman" w:cs="Times New Roman"/>
        </w:rPr>
        <w:t>).</w:t>
      </w:r>
      <w:r w:rsidR="00D059E5">
        <w:rPr>
          <w:rFonts w:ascii="Times New Roman" w:hAnsi="Times New Roman" w:cs="Times New Roman"/>
        </w:rPr>
        <w:t xml:space="preserve"> </w:t>
      </w:r>
      <w:r w:rsidR="006F5434">
        <w:rPr>
          <w:rFonts w:ascii="Times New Roman" w:hAnsi="Times New Roman" w:cs="Times New Roman"/>
        </w:rPr>
        <w:t>Šiame darbe neatmesime hipotezės, kad ekonomikos plėtra sukelia finansų sistemos bei mūsų nagrinėjamos lizingo paslaugos plėtrą ir kai kuriais atvejais analizuosime dvikryptį poveikį, tačiau, kadangi antroji hipotezė dar nėr</w:t>
      </w:r>
      <w:r w:rsidR="000278FA">
        <w:rPr>
          <w:rFonts w:ascii="Times New Roman" w:hAnsi="Times New Roman" w:cs="Times New Roman"/>
        </w:rPr>
        <w:t>a pakankamai patvirtinta pagrindine</w:t>
      </w:r>
      <w:r w:rsidR="006F5434">
        <w:rPr>
          <w:rFonts w:ascii="Times New Roman" w:hAnsi="Times New Roman" w:cs="Times New Roman"/>
        </w:rPr>
        <w:t xml:space="preserve"> </w:t>
      </w:r>
      <w:r w:rsidR="000278FA">
        <w:rPr>
          <w:rFonts w:ascii="Times New Roman" w:hAnsi="Times New Roman" w:cs="Times New Roman"/>
        </w:rPr>
        <w:t xml:space="preserve">remsimės pirmąja hipoteze, kad finansų sistemos </w:t>
      </w:r>
      <w:r w:rsidR="00456C37">
        <w:rPr>
          <w:rFonts w:ascii="Times New Roman" w:hAnsi="Times New Roman" w:cs="Times New Roman"/>
        </w:rPr>
        <w:t>bei</w:t>
      </w:r>
      <w:r w:rsidR="000278FA">
        <w:rPr>
          <w:rFonts w:ascii="Times New Roman" w:hAnsi="Times New Roman" w:cs="Times New Roman"/>
        </w:rPr>
        <w:t xml:space="preserve"> mūsų analizuojamu atveju lizingo rinkos plėtra skatina ūkio vystymąsi. </w:t>
      </w:r>
    </w:p>
    <w:p w:rsidR="00A4548B" w:rsidRDefault="00A4548B" w:rsidP="00DF308B">
      <w:pPr>
        <w:spacing w:line="360" w:lineRule="auto"/>
        <w:rPr>
          <w:rFonts w:ascii="Times New Roman" w:hAnsi="Times New Roman" w:cs="Times New Roman"/>
          <w:b/>
        </w:rPr>
        <w:sectPr w:rsidR="00A4548B" w:rsidSect="008E7D8F">
          <w:type w:val="continuous"/>
          <w:pgSz w:w="11906" w:h="16838"/>
          <w:pgMar w:top="1134" w:right="567" w:bottom="1134" w:left="1418" w:header="567" w:footer="567" w:gutter="0"/>
          <w:cols w:space="1296"/>
          <w:docGrid w:linePitch="360"/>
        </w:sectPr>
      </w:pPr>
    </w:p>
    <w:p w:rsidR="00CE415A" w:rsidRDefault="008F05BC" w:rsidP="00924B1F">
      <w:pPr>
        <w:pStyle w:val="Lentels"/>
      </w:pPr>
      <w:bookmarkStart w:id="12" w:name="_Toc343459639"/>
      <w:r w:rsidRPr="008F05BC">
        <w:lastRenderedPageBreak/>
        <w:t xml:space="preserve">2 lentelė. </w:t>
      </w:r>
      <w:r w:rsidR="00CE415A">
        <w:t>Empiriniai tyrimai atlikti pereinamosios ekonomikos šalyse, siekiant ištirti finansinio sektoriaus įtaką ekonomikos augimui</w:t>
      </w:r>
      <w:bookmarkEnd w:id="12"/>
    </w:p>
    <w:tbl>
      <w:tblPr>
        <w:tblStyle w:val="TableGrid"/>
        <w:tblW w:w="14709" w:type="dxa"/>
        <w:tblLayout w:type="fixed"/>
        <w:tblLook w:val="04A0" w:firstRow="1" w:lastRow="0" w:firstColumn="1" w:lastColumn="0" w:noHBand="0" w:noVBand="1"/>
      </w:tblPr>
      <w:tblGrid>
        <w:gridCol w:w="1242"/>
        <w:gridCol w:w="1418"/>
        <w:gridCol w:w="2126"/>
        <w:gridCol w:w="1843"/>
        <w:gridCol w:w="1417"/>
        <w:gridCol w:w="6663"/>
      </w:tblGrid>
      <w:tr w:rsidR="00A178AF" w:rsidRPr="002E75B9" w:rsidTr="000B7E19">
        <w:tc>
          <w:tcPr>
            <w:tcW w:w="1242" w:type="dxa"/>
            <w:shd w:val="clear" w:color="auto" w:fill="8DB3E2" w:themeFill="text2" w:themeFillTint="66"/>
          </w:tcPr>
          <w:p w:rsidR="00CE415A" w:rsidRPr="00286D75" w:rsidRDefault="00CE415A" w:rsidP="008F05BC">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Autorius (metai)</w:t>
            </w:r>
          </w:p>
        </w:tc>
        <w:tc>
          <w:tcPr>
            <w:tcW w:w="1418" w:type="dxa"/>
            <w:shd w:val="clear" w:color="auto" w:fill="8DB3E2" w:themeFill="text2" w:themeFillTint="66"/>
          </w:tcPr>
          <w:p w:rsidR="00CE415A" w:rsidRPr="00286D75" w:rsidRDefault="00CE415A" w:rsidP="008F05BC">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Kas tirta</w:t>
            </w:r>
          </w:p>
        </w:tc>
        <w:tc>
          <w:tcPr>
            <w:tcW w:w="2126" w:type="dxa"/>
            <w:shd w:val="clear" w:color="auto" w:fill="8DB3E2" w:themeFill="text2" w:themeFillTint="66"/>
          </w:tcPr>
          <w:p w:rsidR="00CE415A" w:rsidRPr="00286D75" w:rsidRDefault="00CE415A" w:rsidP="008F05BC">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Tyrimo metodas</w:t>
            </w:r>
          </w:p>
        </w:tc>
        <w:tc>
          <w:tcPr>
            <w:tcW w:w="1843" w:type="dxa"/>
            <w:shd w:val="clear" w:color="auto" w:fill="8DB3E2" w:themeFill="text2" w:themeFillTint="66"/>
          </w:tcPr>
          <w:p w:rsidR="00CE415A" w:rsidRPr="00286D75" w:rsidRDefault="00CE415A" w:rsidP="00CE415A">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Tirti finansų sektoriai</w:t>
            </w:r>
          </w:p>
        </w:tc>
        <w:tc>
          <w:tcPr>
            <w:tcW w:w="1417" w:type="dxa"/>
            <w:shd w:val="clear" w:color="auto" w:fill="8DB3E2" w:themeFill="text2" w:themeFillTint="66"/>
          </w:tcPr>
          <w:p w:rsidR="00CE415A" w:rsidRPr="00286D75" w:rsidRDefault="00CE415A" w:rsidP="008F05BC">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Įtaka ekonomikos augimui</w:t>
            </w:r>
          </w:p>
        </w:tc>
        <w:tc>
          <w:tcPr>
            <w:tcW w:w="6663" w:type="dxa"/>
            <w:shd w:val="clear" w:color="auto" w:fill="8DB3E2" w:themeFill="text2" w:themeFillTint="66"/>
          </w:tcPr>
          <w:p w:rsidR="00CE415A" w:rsidRPr="00286D75" w:rsidRDefault="00A4548B" w:rsidP="008F05BC">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Pagrindiniai pastebėjimai</w:t>
            </w:r>
          </w:p>
        </w:tc>
      </w:tr>
      <w:tr w:rsidR="00A178AF" w:rsidRPr="002E75B9" w:rsidTr="000B7E19">
        <w:tc>
          <w:tcPr>
            <w:tcW w:w="1242" w:type="dxa"/>
          </w:tcPr>
          <w:p w:rsidR="00CE415A" w:rsidRPr="000B7E19" w:rsidRDefault="00CE415A" w:rsidP="00BE509F">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 xml:space="preserve">Hagmayr </w:t>
            </w:r>
            <w:r w:rsidR="00BE509F" w:rsidRPr="000B7E19">
              <w:rPr>
                <w:rFonts w:ascii="Times New Roman" w:hAnsi="Times New Roman" w:cs="Times New Roman"/>
                <w:b/>
                <w:sz w:val="22"/>
                <w:szCs w:val="22"/>
              </w:rPr>
              <w:t>ir</w:t>
            </w:r>
            <w:r w:rsidRPr="000B7E19">
              <w:rPr>
                <w:rFonts w:ascii="Times New Roman" w:hAnsi="Times New Roman" w:cs="Times New Roman"/>
                <w:b/>
                <w:sz w:val="22"/>
                <w:szCs w:val="22"/>
              </w:rPr>
              <w:t xml:space="preserve"> Haiss (2007)</w:t>
            </w:r>
          </w:p>
        </w:tc>
        <w:tc>
          <w:tcPr>
            <w:tcW w:w="1418" w:type="dxa"/>
          </w:tcPr>
          <w:p w:rsidR="00CE415A" w:rsidRPr="002E75B9" w:rsidRDefault="00CE415A"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4 šalys</w:t>
            </w:r>
            <w:r w:rsidR="00C01D2E" w:rsidRPr="002E75B9">
              <w:rPr>
                <w:rFonts w:ascii="Times New Roman" w:hAnsi="Times New Roman" w:cs="Times New Roman"/>
                <w:sz w:val="22"/>
                <w:szCs w:val="22"/>
              </w:rPr>
              <w:t xml:space="preserve"> (Pietryčių Europa)</w:t>
            </w:r>
          </w:p>
        </w:tc>
        <w:tc>
          <w:tcPr>
            <w:tcW w:w="2126" w:type="dxa"/>
          </w:tcPr>
          <w:p w:rsidR="00CE415A" w:rsidRPr="002E75B9" w:rsidRDefault="00CE415A"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w:t>
            </w:r>
          </w:p>
        </w:tc>
        <w:tc>
          <w:tcPr>
            <w:tcW w:w="1843" w:type="dxa"/>
          </w:tcPr>
          <w:p w:rsidR="00CE415A" w:rsidRPr="002E75B9" w:rsidRDefault="00CE415A"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Bendras sektorius (bankų sektorius, akcijų birža, obligacijų rinka</w:t>
            </w:r>
            <w:r w:rsidR="00A4548B" w:rsidRPr="002E75B9">
              <w:rPr>
                <w:rFonts w:ascii="Times New Roman" w:hAnsi="Times New Roman" w:cs="Times New Roman"/>
                <w:sz w:val="22"/>
                <w:szCs w:val="22"/>
              </w:rPr>
              <w:t>)</w:t>
            </w:r>
          </w:p>
          <w:p w:rsidR="00C63D8C" w:rsidRPr="002E75B9" w:rsidRDefault="00A4548B"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 xml:space="preserve">Bankų sektorius, </w:t>
            </w:r>
          </w:p>
          <w:p w:rsidR="00C63D8C" w:rsidRPr="002E75B9" w:rsidRDefault="00A4548B"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 xml:space="preserve">akcijų </w:t>
            </w:r>
            <w:r w:rsidR="007B72AF" w:rsidRPr="002E75B9">
              <w:rPr>
                <w:rFonts w:ascii="Times New Roman" w:hAnsi="Times New Roman" w:cs="Times New Roman"/>
                <w:sz w:val="22"/>
                <w:szCs w:val="22"/>
              </w:rPr>
              <w:t>rinka</w:t>
            </w:r>
            <w:r w:rsidRPr="002E75B9">
              <w:rPr>
                <w:rFonts w:ascii="Times New Roman" w:hAnsi="Times New Roman" w:cs="Times New Roman"/>
                <w:sz w:val="22"/>
                <w:szCs w:val="22"/>
              </w:rPr>
              <w:t xml:space="preserve">, </w:t>
            </w:r>
          </w:p>
          <w:p w:rsidR="00A4548B" w:rsidRPr="002E75B9" w:rsidRDefault="00A4548B"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obligacijų rinka</w:t>
            </w:r>
          </w:p>
        </w:tc>
        <w:tc>
          <w:tcPr>
            <w:tcW w:w="1417" w:type="dxa"/>
          </w:tcPr>
          <w:p w:rsidR="00CE415A" w:rsidRPr="002E75B9" w:rsidRDefault="00A4548B"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p w:rsidR="00A4548B" w:rsidRPr="002E75B9" w:rsidRDefault="00A4548B" w:rsidP="008F05BC">
            <w:pPr>
              <w:spacing w:line="360" w:lineRule="auto"/>
              <w:jc w:val="center"/>
              <w:rPr>
                <w:rFonts w:ascii="Times New Roman" w:hAnsi="Times New Roman" w:cs="Times New Roman"/>
                <w:sz w:val="22"/>
                <w:szCs w:val="22"/>
              </w:rPr>
            </w:pPr>
          </w:p>
          <w:p w:rsidR="00A178AF" w:rsidRPr="002E75B9" w:rsidRDefault="00A178AF" w:rsidP="008F05BC">
            <w:pPr>
              <w:spacing w:line="360" w:lineRule="auto"/>
              <w:jc w:val="center"/>
              <w:rPr>
                <w:rFonts w:ascii="Times New Roman" w:hAnsi="Times New Roman" w:cs="Times New Roman"/>
                <w:sz w:val="22"/>
                <w:szCs w:val="22"/>
              </w:rPr>
            </w:pPr>
          </w:p>
          <w:p w:rsidR="00A4548B" w:rsidRPr="002E75B9" w:rsidRDefault="00A4548B" w:rsidP="008F05BC">
            <w:pPr>
              <w:spacing w:line="360" w:lineRule="auto"/>
              <w:jc w:val="center"/>
              <w:rPr>
                <w:rFonts w:ascii="Times New Roman" w:hAnsi="Times New Roman" w:cs="Times New Roman"/>
                <w:sz w:val="22"/>
                <w:szCs w:val="22"/>
              </w:rPr>
            </w:pPr>
          </w:p>
          <w:p w:rsidR="00A4548B" w:rsidRPr="002E75B9" w:rsidRDefault="00A4548B"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0/+/-</w:t>
            </w:r>
          </w:p>
          <w:p w:rsidR="00A4548B" w:rsidRPr="002E75B9" w:rsidRDefault="00E45A4F" w:rsidP="008F05BC">
            <w:pPr>
              <w:spacing w:line="360" w:lineRule="auto"/>
              <w:jc w:val="center"/>
              <w:rPr>
                <w:rFonts w:ascii="Times New Roman" w:hAnsi="Times New Roman" w:cs="Times New Roman"/>
                <w:sz w:val="22"/>
                <w:szCs w:val="22"/>
              </w:rPr>
            </w:pPr>
            <w:r>
              <w:rPr>
                <w:rFonts w:ascii="Times New Roman" w:hAnsi="Times New Roman" w:cs="Times New Roman"/>
                <w:sz w:val="22"/>
                <w:szCs w:val="22"/>
              </w:rPr>
              <w:t>+</w:t>
            </w:r>
          </w:p>
          <w:p w:rsidR="00A4548B" w:rsidRPr="002E75B9" w:rsidRDefault="00A4548B"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663" w:type="dxa"/>
          </w:tcPr>
          <w:p w:rsidR="00CE415A" w:rsidRPr="002E75B9" w:rsidRDefault="00A4548B" w:rsidP="00E45A4F">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1995-2005</w:t>
            </w:r>
            <w:r w:rsidR="00ED24AB" w:rsidRPr="002E75B9">
              <w:rPr>
                <w:rFonts w:ascii="Times New Roman" w:hAnsi="Times New Roman" w:cs="Times New Roman"/>
                <w:sz w:val="22"/>
                <w:szCs w:val="22"/>
              </w:rPr>
              <w:t xml:space="preserve"> m. </w:t>
            </w:r>
            <w:r w:rsidR="00C04797" w:rsidRPr="002E75B9">
              <w:rPr>
                <w:rFonts w:ascii="Times New Roman" w:hAnsi="Times New Roman" w:cs="Times New Roman"/>
                <w:sz w:val="22"/>
                <w:szCs w:val="22"/>
              </w:rPr>
              <w:t>laikotarpiu</w:t>
            </w:r>
            <w:r w:rsidR="00ED24AB" w:rsidRPr="002E75B9">
              <w:rPr>
                <w:rFonts w:ascii="Times New Roman" w:hAnsi="Times New Roman" w:cs="Times New Roman"/>
                <w:sz w:val="22"/>
                <w:szCs w:val="22"/>
              </w:rPr>
              <w:t xml:space="preserve"> </w:t>
            </w:r>
            <w:r w:rsidR="00E45A4F">
              <w:rPr>
                <w:rFonts w:ascii="Times New Roman" w:hAnsi="Times New Roman" w:cs="Times New Roman"/>
                <w:sz w:val="22"/>
                <w:szCs w:val="22"/>
              </w:rPr>
              <w:t xml:space="preserve">kapitalo </w:t>
            </w:r>
            <w:r w:rsidR="00A178AF" w:rsidRPr="002E75B9">
              <w:rPr>
                <w:rFonts w:ascii="Times New Roman" w:hAnsi="Times New Roman" w:cs="Times New Roman"/>
                <w:sz w:val="22"/>
                <w:szCs w:val="22"/>
              </w:rPr>
              <w:t>rinkos plėtra</w:t>
            </w:r>
            <w:r w:rsidR="00ED24AB" w:rsidRPr="002E75B9">
              <w:rPr>
                <w:rFonts w:ascii="Times New Roman" w:hAnsi="Times New Roman" w:cs="Times New Roman"/>
                <w:sz w:val="22"/>
                <w:szCs w:val="22"/>
              </w:rPr>
              <w:t xml:space="preserve"> turėjo didžiausią teigiamą efektą ekonomikos augimui. </w:t>
            </w:r>
            <w:r w:rsidR="00E45A4F">
              <w:rPr>
                <w:rFonts w:ascii="Times New Roman" w:hAnsi="Times New Roman" w:cs="Times New Roman"/>
                <w:sz w:val="22"/>
                <w:szCs w:val="22"/>
              </w:rPr>
              <w:t>Teigiamas viso finansų sektoriaus</w:t>
            </w:r>
            <w:r w:rsidR="00BE7A73">
              <w:rPr>
                <w:rFonts w:ascii="Times New Roman" w:hAnsi="Times New Roman" w:cs="Times New Roman"/>
                <w:sz w:val="22"/>
                <w:szCs w:val="22"/>
              </w:rPr>
              <w:t xml:space="preserve"> paslaugų</w:t>
            </w:r>
            <w:r w:rsidR="00E45A4F">
              <w:rPr>
                <w:rFonts w:ascii="Times New Roman" w:hAnsi="Times New Roman" w:cs="Times New Roman"/>
                <w:sz w:val="22"/>
                <w:szCs w:val="22"/>
              </w:rPr>
              <w:t xml:space="preserve"> plėtros efektas ekonomikai pasijaučia su vėlavimu, t.y. po vienų-dviejų metų</w:t>
            </w:r>
            <w:r w:rsidR="00C63D8C" w:rsidRPr="002E75B9">
              <w:rPr>
                <w:rFonts w:ascii="Times New Roman" w:hAnsi="Times New Roman" w:cs="Times New Roman"/>
                <w:sz w:val="22"/>
                <w:szCs w:val="22"/>
              </w:rPr>
              <w:t xml:space="preserve">. </w:t>
            </w:r>
            <w:r w:rsidR="00C01D2E" w:rsidRPr="002E75B9">
              <w:rPr>
                <w:rFonts w:ascii="Times New Roman" w:hAnsi="Times New Roman" w:cs="Times New Roman"/>
                <w:sz w:val="22"/>
                <w:szCs w:val="22"/>
              </w:rPr>
              <w:t xml:space="preserve">Suteikiami </w:t>
            </w:r>
            <w:r w:rsidR="00A178AF" w:rsidRPr="002E75B9">
              <w:rPr>
                <w:rFonts w:ascii="Times New Roman" w:hAnsi="Times New Roman" w:cs="Times New Roman"/>
                <w:sz w:val="22"/>
                <w:szCs w:val="22"/>
              </w:rPr>
              <w:t>vartojimo</w:t>
            </w:r>
            <w:r w:rsidR="00C63D8C" w:rsidRPr="002E75B9">
              <w:rPr>
                <w:rFonts w:ascii="Times New Roman" w:hAnsi="Times New Roman" w:cs="Times New Roman"/>
                <w:sz w:val="22"/>
                <w:szCs w:val="22"/>
              </w:rPr>
              <w:t xml:space="preserve"> kreditai turėjo reikšmi</w:t>
            </w:r>
            <w:r w:rsidR="00C01D2E" w:rsidRPr="002E75B9">
              <w:rPr>
                <w:rFonts w:ascii="Times New Roman" w:hAnsi="Times New Roman" w:cs="Times New Roman"/>
                <w:sz w:val="22"/>
                <w:szCs w:val="22"/>
              </w:rPr>
              <w:t>ngą ne</w:t>
            </w:r>
            <w:r w:rsidR="00C63D8C" w:rsidRPr="002E75B9">
              <w:rPr>
                <w:rFonts w:ascii="Times New Roman" w:hAnsi="Times New Roman" w:cs="Times New Roman"/>
                <w:sz w:val="22"/>
                <w:szCs w:val="22"/>
              </w:rPr>
              <w:t>igiamą poveikį augimui. Autoriai pabrėžia, kad finansų sektorius gali duoti teigiamą efektą ekonomikai tik tokiu atveju,</w:t>
            </w:r>
            <w:r w:rsidR="00C01D2E" w:rsidRPr="002E75B9">
              <w:rPr>
                <w:rFonts w:ascii="Times New Roman" w:hAnsi="Times New Roman" w:cs="Times New Roman"/>
                <w:sz w:val="22"/>
                <w:szCs w:val="22"/>
              </w:rPr>
              <w:t xml:space="preserve"> </w:t>
            </w:r>
            <w:r w:rsidR="0008163E">
              <w:rPr>
                <w:rFonts w:ascii="Times New Roman" w:hAnsi="Times New Roman" w:cs="Times New Roman"/>
                <w:sz w:val="22"/>
                <w:szCs w:val="22"/>
              </w:rPr>
              <w:t xml:space="preserve"> jei teisinė</w:t>
            </w:r>
            <w:r w:rsidR="00C63D8C" w:rsidRPr="002E75B9">
              <w:rPr>
                <w:rFonts w:ascii="Times New Roman" w:hAnsi="Times New Roman" w:cs="Times New Roman"/>
                <w:sz w:val="22"/>
                <w:szCs w:val="22"/>
              </w:rPr>
              <w:t xml:space="preserve"> ir priežiūros sistema veikia tinkamai.</w:t>
            </w:r>
          </w:p>
        </w:tc>
      </w:tr>
      <w:tr w:rsidR="00A178AF" w:rsidRPr="002E75B9" w:rsidTr="000B7E19">
        <w:tc>
          <w:tcPr>
            <w:tcW w:w="1242" w:type="dxa"/>
          </w:tcPr>
          <w:p w:rsidR="00CE415A" w:rsidRPr="000B7E19" w:rsidRDefault="00BE509F"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Akimov et</w:t>
            </w:r>
            <w:r w:rsidR="00C01D2E" w:rsidRPr="000B7E19">
              <w:rPr>
                <w:rFonts w:ascii="Times New Roman" w:hAnsi="Times New Roman" w:cs="Times New Roman"/>
                <w:b/>
                <w:sz w:val="22"/>
                <w:szCs w:val="22"/>
              </w:rPr>
              <w:t xml:space="preserve"> al (2006)</w:t>
            </w:r>
          </w:p>
        </w:tc>
        <w:tc>
          <w:tcPr>
            <w:tcW w:w="1418" w:type="dxa"/>
          </w:tcPr>
          <w:p w:rsidR="00CE415A" w:rsidRPr="002E75B9" w:rsidRDefault="00C01D2E"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27 šalys</w:t>
            </w:r>
          </w:p>
        </w:tc>
        <w:tc>
          <w:tcPr>
            <w:tcW w:w="2126" w:type="dxa"/>
          </w:tcPr>
          <w:p w:rsidR="00CE415A" w:rsidRPr="002E75B9" w:rsidRDefault="00C01D2E"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w:t>
            </w:r>
          </w:p>
        </w:tc>
        <w:tc>
          <w:tcPr>
            <w:tcW w:w="1843" w:type="dxa"/>
          </w:tcPr>
          <w:p w:rsidR="00CE415A" w:rsidRPr="002E75B9" w:rsidRDefault="00C01D2E"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p w:rsidR="00C01D2E" w:rsidRPr="002E75B9" w:rsidRDefault="00C01D2E"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Pinigų pasiūla</w:t>
            </w:r>
          </w:p>
          <w:p w:rsidR="00C01D2E" w:rsidRPr="002E75B9" w:rsidRDefault="00C01D2E" w:rsidP="008F05BC">
            <w:pPr>
              <w:spacing w:line="360" w:lineRule="auto"/>
              <w:jc w:val="center"/>
              <w:rPr>
                <w:rFonts w:ascii="Times New Roman" w:hAnsi="Times New Roman" w:cs="Times New Roman"/>
                <w:sz w:val="22"/>
                <w:szCs w:val="22"/>
              </w:rPr>
            </w:pPr>
          </w:p>
        </w:tc>
        <w:tc>
          <w:tcPr>
            <w:tcW w:w="1417" w:type="dxa"/>
          </w:tcPr>
          <w:p w:rsidR="00CE415A" w:rsidRPr="002E75B9" w:rsidRDefault="00C01D2E"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p w:rsidR="00C01D2E" w:rsidRPr="002E75B9" w:rsidRDefault="00C01D2E"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663" w:type="dxa"/>
          </w:tcPr>
          <w:p w:rsidR="00CE415A" w:rsidRPr="002E75B9" w:rsidRDefault="008845AD" w:rsidP="002533E3">
            <w:pPr>
              <w:spacing w:line="360" w:lineRule="auto"/>
              <w:jc w:val="both"/>
              <w:rPr>
                <w:rFonts w:ascii="Times New Roman" w:hAnsi="Times New Roman" w:cs="Times New Roman"/>
                <w:sz w:val="22"/>
                <w:szCs w:val="22"/>
              </w:rPr>
            </w:pPr>
            <w:r>
              <w:rPr>
                <w:rFonts w:ascii="Times New Roman" w:hAnsi="Times New Roman" w:cs="Times New Roman"/>
                <w:sz w:val="22"/>
                <w:szCs w:val="22"/>
              </w:rPr>
              <w:t>Finansų sektoriaus plėtra</w:t>
            </w:r>
            <w:r w:rsidR="00C01D2E" w:rsidRPr="002E75B9">
              <w:rPr>
                <w:rFonts w:ascii="Times New Roman" w:hAnsi="Times New Roman" w:cs="Times New Roman"/>
                <w:sz w:val="22"/>
                <w:szCs w:val="22"/>
              </w:rPr>
              <w:t xml:space="preserve"> turi teigiamą reikšmingą įtaką ekonomikos augimui pereinamosios ekonomikos šalyse 1989-2004. Labai svarbu pasirinkti teisingą priemonę </w:t>
            </w:r>
            <w:r w:rsidR="002533E3" w:rsidRPr="002E75B9">
              <w:rPr>
                <w:rFonts w:ascii="Times New Roman" w:hAnsi="Times New Roman" w:cs="Times New Roman"/>
                <w:sz w:val="22"/>
                <w:szCs w:val="22"/>
              </w:rPr>
              <w:t>finansų sektoriaus vystymui. Staigus pinigų pasiūlos didinimas pereinamosios ekonomikos šalims netinka</w:t>
            </w:r>
            <w:r w:rsidR="00C04797" w:rsidRPr="002E75B9">
              <w:rPr>
                <w:rFonts w:ascii="Times New Roman" w:hAnsi="Times New Roman" w:cs="Times New Roman"/>
                <w:sz w:val="22"/>
                <w:szCs w:val="22"/>
              </w:rPr>
              <w:t>.</w:t>
            </w:r>
          </w:p>
        </w:tc>
      </w:tr>
      <w:tr w:rsidR="00A178AF" w:rsidRPr="002E75B9" w:rsidTr="000B7E19">
        <w:tc>
          <w:tcPr>
            <w:tcW w:w="1242" w:type="dxa"/>
          </w:tcPr>
          <w:p w:rsidR="00CE415A" w:rsidRPr="000B7E19" w:rsidRDefault="00BE509F"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Mehl e</w:t>
            </w:r>
            <w:r w:rsidR="002533E3" w:rsidRPr="000B7E19">
              <w:rPr>
                <w:rFonts w:ascii="Times New Roman" w:hAnsi="Times New Roman" w:cs="Times New Roman"/>
                <w:b/>
                <w:sz w:val="22"/>
                <w:szCs w:val="22"/>
              </w:rPr>
              <w:t>t al (2006)</w:t>
            </w:r>
          </w:p>
        </w:tc>
        <w:tc>
          <w:tcPr>
            <w:tcW w:w="1418" w:type="dxa"/>
          </w:tcPr>
          <w:p w:rsidR="00CE415A" w:rsidRPr="002E75B9" w:rsidRDefault="002533E3"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7 šalys (pietryčių Europa)</w:t>
            </w:r>
          </w:p>
        </w:tc>
        <w:tc>
          <w:tcPr>
            <w:tcW w:w="2126" w:type="dxa"/>
          </w:tcPr>
          <w:p w:rsidR="00CE415A" w:rsidRPr="002E75B9" w:rsidRDefault="002533E3"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w:t>
            </w:r>
          </w:p>
        </w:tc>
        <w:tc>
          <w:tcPr>
            <w:tcW w:w="1843" w:type="dxa"/>
          </w:tcPr>
          <w:p w:rsidR="00CE415A" w:rsidRPr="002E75B9" w:rsidRDefault="002533E3"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p w:rsidR="002533E3" w:rsidRPr="002E75B9" w:rsidRDefault="002533E3"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Pinigų pasiūla</w:t>
            </w:r>
          </w:p>
        </w:tc>
        <w:tc>
          <w:tcPr>
            <w:tcW w:w="1417" w:type="dxa"/>
          </w:tcPr>
          <w:p w:rsidR="00CE415A" w:rsidRPr="002E75B9" w:rsidRDefault="002533E3"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p w:rsidR="002533E3" w:rsidRPr="002E75B9" w:rsidRDefault="002533E3"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663" w:type="dxa"/>
          </w:tcPr>
          <w:p w:rsidR="00CE415A" w:rsidRPr="002E75B9" w:rsidRDefault="008845AD" w:rsidP="008845AD">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Finansų sektoriaus </w:t>
            </w:r>
            <w:r w:rsidR="00A01E71">
              <w:rPr>
                <w:rFonts w:ascii="Times New Roman" w:hAnsi="Times New Roman" w:cs="Times New Roman"/>
                <w:sz w:val="22"/>
                <w:szCs w:val="22"/>
              </w:rPr>
              <w:t xml:space="preserve">paslaugų </w:t>
            </w:r>
            <w:r>
              <w:rPr>
                <w:rFonts w:ascii="Times New Roman" w:hAnsi="Times New Roman" w:cs="Times New Roman"/>
                <w:sz w:val="22"/>
                <w:szCs w:val="22"/>
              </w:rPr>
              <w:t>plėtra</w:t>
            </w:r>
            <w:r w:rsidR="002533E3" w:rsidRPr="002E75B9">
              <w:rPr>
                <w:rFonts w:ascii="Times New Roman" w:hAnsi="Times New Roman" w:cs="Times New Roman"/>
                <w:sz w:val="22"/>
                <w:szCs w:val="22"/>
              </w:rPr>
              <w:t xml:space="preserve"> neturėjo reikšmingo poveikio ekonomikos augimui 1993-2003 metais</w:t>
            </w:r>
            <w:r w:rsidR="007B72AF" w:rsidRPr="002E75B9">
              <w:rPr>
                <w:rFonts w:ascii="Times New Roman" w:hAnsi="Times New Roman" w:cs="Times New Roman"/>
                <w:sz w:val="22"/>
                <w:szCs w:val="22"/>
              </w:rPr>
              <w:t xml:space="preserve"> pietryčių Europoje</w:t>
            </w:r>
            <w:r w:rsidR="002533E3" w:rsidRPr="002E75B9">
              <w:rPr>
                <w:rFonts w:ascii="Times New Roman" w:hAnsi="Times New Roman" w:cs="Times New Roman"/>
                <w:sz w:val="22"/>
                <w:szCs w:val="22"/>
              </w:rPr>
              <w:t xml:space="preserve">. Autoriai pateikia išvadą, kad </w:t>
            </w:r>
            <w:r w:rsidR="007B72AF" w:rsidRPr="002E75B9">
              <w:rPr>
                <w:rFonts w:ascii="Times New Roman" w:hAnsi="Times New Roman" w:cs="Times New Roman"/>
                <w:sz w:val="22"/>
                <w:szCs w:val="22"/>
              </w:rPr>
              <w:t>finansų sektoriaus vystymas pagreitina ekonomikos augimą tik jei finansų sektorius ir jo priežiūra yra aukšto lygio bei jei šalyje yra užtikrinamas makroekonominių rodiklių stabilumas</w:t>
            </w:r>
            <w:r w:rsidR="00C04797" w:rsidRPr="002E75B9">
              <w:rPr>
                <w:rFonts w:ascii="Times New Roman" w:hAnsi="Times New Roman" w:cs="Times New Roman"/>
                <w:sz w:val="22"/>
                <w:szCs w:val="22"/>
              </w:rPr>
              <w:t xml:space="preserve">. </w:t>
            </w:r>
          </w:p>
        </w:tc>
      </w:tr>
      <w:tr w:rsidR="00A178AF" w:rsidRPr="002E75B9" w:rsidTr="000B7E19">
        <w:tc>
          <w:tcPr>
            <w:tcW w:w="1242" w:type="dxa"/>
          </w:tcPr>
          <w:p w:rsidR="00CE415A" w:rsidRPr="000B7E19" w:rsidRDefault="00BE509F" w:rsidP="00B019B0">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Fink e</w:t>
            </w:r>
            <w:r w:rsidR="007B72AF" w:rsidRPr="000B7E19">
              <w:rPr>
                <w:rFonts w:ascii="Times New Roman" w:hAnsi="Times New Roman" w:cs="Times New Roman"/>
                <w:b/>
                <w:sz w:val="22"/>
                <w:szCs w:val="22"/>
              </w:rPr>
              <w:t>t al (200</w:t>
            </w:r>
            <w:r w:rsidR="00B019B0" w:rsidRPr="000B7E19">
              <w:rPr>
                <w:rFonts w:ascii="Times New Roman" w:hAnsi="Times New Roman" w:cs="Times New Roman"/>
                <w:b/>
                <w:sz w:val="22"/>
                <w:szCs w:val="22"/>
              </w:rPr>
              <w:t>5</w:t>
            </w:r>
            <w:r w:rsidR="007B72AF" w:rsidRPr="000B7E19">
              <w:rPr>
                <w:rFonts w:ascii="Times New Roman" w:hAnsi="Times New Roman" w:cs="Times New Roman"/>
                <w:b/>
                <w:sz w:val="22"/>
                <w:szCs w:val="22"/>
              </w:rPr>
              <w:t>)</w:t>
            </w:r>
          </w:p>
        </w:tc>
        <w:tc>
          <w:tcPr>
            <w:tcW w:w="1418" w:type="dxa"/>
          </w:tcPr>
          <w:p w:rsidR="00CE415A"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9 šalys (pietryčių, rytų, centrinė Europa)</w:t>
            </w:r>
          </w:p>
        </w:tc>
        <w:tc>
          <w:tcPr>
            <w:tcW w:w="2126" w:type="dxa"/>
          </w:tcPr>
          <w:p w:rsidR="00CE415A"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 xml:space="preserve">Koreliacinė regresinė analizė, </w:t>
            </w:r>
            <w:r w:rsidR="005E5A6E" w:rsidRPr="002E75B9">
              <w:rPr>
                <w:rFonts w:ascii="Times New Roman" w:hAnsi="Times New Roman" w:cs="Times New Roman"/>
                <w:sz w:val="22"/>
                <w:szCs w:val="22"/>
              </w:rPr>
              <w:t xml:space="preserve">ekspertinė </w:t>
            </w:r>
            <w:r w:rsidRPr="002E75B9">
              <w:rPr>
                <w:rFonts w:ascii="Times New Roman" w:hAnsi="Times New Roman" w:cs="Times New Roman"/>
                <w:sz w:val="22"/>
                <w:szCs w:val="22"/>
              </w:rPr>
              <w:t>apklausa</w:t>
            </w:r>
          </w:p>
        </w:tc>
        <w:tc>
          <w:tcPr>
            <w:tcW w:w="1843" w:type="dxa"/>
          </w:tcPr>
          <w:p w:rsidR="00CE415A"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Bendras sektorius,</w:t>
            </w:r>
          </w:p>
          <w:p w:rsidR="007B72AF"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p w:rsidR="007B72AF"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Akcijų rinka,</w:t>
            </w:r>
          </w:p>
          <w:p w:rsidR="007B72AF"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Obligacijų rinka</w:t>
            </w:r>
          </w:p>
        </w:tc>
        <w:tc>
          <w:tcPr>
            <w:tcW w:w="1417" w:type="dxa"/>
          </w:tcPr>
          <w:p w:rsidR="00CE415A"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p w:rsidR="007B72AF" w:rsidRPr="002E75B9" w:rsidRDefault="007B72AF"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+/0</w:t>
            </w:r>
          </w:p>
          <w:p w:rsidR="00C04797" w:rsidRPr="002E75B9" w:rsidRDefault="00C04797"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0</w:t>
            </w:r>
          </w:p>
          <w:p w:rsidR="00C04797" w:rsidRPr="002E75B9" w:rsidRDefault="00C04797"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663" w:type="dxa"/>
          </w:tcPr>
          <w:p w:rsidR="00CE415A" w:rsidRPr="002E75B9" w:rsidRDefault="00C04797" w:rsidP="008845AD">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 xml:space="preserve">Vertinant visą </w:t>
            </w:r>
            <w:r w:rsidR="008845AD">
              <w:rPr>
                <w:rFonts w:ascii="Times New Roman" w:hAnsi="Times New Roman" w:cs="Times New Roman"/>
                <w:sz w:val="22"/>
                <w:szCs w:val="22"/>
              </w:rPr>
              <w:t>finansų sektoriaus</w:t>
            </w:r>
            <w:r w:rsidRPr="002E75B9">
              <w:rPr>
                <w:rFonts w:ascii="Times New Roman" w:hAnsi="Times New Roman" w:cs="Times New Roman"/>
                <w:sz w:val="22"/>
                <w:szCs w:val="22"/>
              </w:rPr>
              <w:t>, vidin</w:t>
            </w:r>
            <w:r w:rsidR="008845AD">
              <w:rPr>
                <w:rFonts w:ascii="Times New Roman" w:hAnsi="Times New Roman" w:cs="Times New Roman"/>
                <w:sz w:val="22"/>
                <w:szCs w:val="22"/>
              </w:rPr>
              <w:t>io</w:t>
            </w:r>
            <w:r w:rsidRPr="002E75B9">
              <w:rPr>
                <w:rFonts w:ascii="Times New Roman" w:hAnsi="Times New Roman" w:cs="Times New Roman"/>
                <w:sz w:val="22"/>
                <w:szCs w:val="22"/>
              </w:rPr>
              <w:t xml:space="preserve"> skolinim</w:t>
            </w:r>
            <w:r w:rsidR="008845AD">
              <w:rPr>
                <w:rFonts w:ascii="Times New Roman" w:hAnsi="Times New Roman" w:cs="Times New Roman"/>
                <w:sz w:val="22"/>
                <w:szCs w:val="22"/>
              </w:rPr>
              <w:t>o</w:t>
            </w:r>
            <w:r w:rsidRPr="002E75B9">
              <w:rPr>
                <w:rFonts w:ascii="Times New Roman" w:hAnsi="Times New Roman" w:cs="Times New Roman"/>
                <w:sz w:val="22"/>
                <w:szCs w:val="22"/>
              </w:rPr>
              <w:t xml:space="preserve"> bei obligacijų rink</w:t>
            </w:r>
            <w:r w:rsidR="008845AD">
              <w:rPr>
                <w:rFonts w:ascii="Times New Roman" w:hAnsi="Times New Roman" w:cs="Times New Roman"/>
                <w:sz w:val="22"/>
                <w:szCs w:val="22"/>
              </w:rPr>
              <w:t>os plėtrą</w:t>
            </w:r>
            <w:r w:rsidRPr="002E75B9">
              <w:rPr>
                <w:rFonts w:ascii="Times New Roman" w:hAnsi="Times New Roman" w:cs="Times New Roman"/>
                <w:sz w:val="22"/>
                <w:szCs w:val="22"/>
              </w:rPr>
              <w:t xml:space="preserve">, šie veiksniai teigiamai įtakojo ekonomikos augimą 1996-2000. Asmeniniai kreditai ir akcijų rinkos </w:t>
            </w:r>
            <w:r w:rsidR="008845AD">
              <w:rPr>
                <w:rFonts w:ascii="Times New Roman" w:hAnsi="Times New Roman" w:cs="Times New Roman"/>
                <w:sz w:val="22"/>
                <w:szCs w:val="22"/>
              </w:rPr>
              <w:t xml:space="preserve">plėtra </w:t>
            </w:r>
            <w:r w:rsidRPr="002E75B9">
              <w:rPr>
                <w:rFonts w:ascii="Times New Roman" w:hAnsi="Times New Roman" w:cs="Times New Roman"/>
                <w:sz w:val="22"/>
                <w:szCs w:val="22"/>
              </w:rPr>
              <w:t xml:space="preserve">reikšmingos įtakos augimui neturėjo. </w:t>
            </w:r>
          </w:p>
        </w:tc>
      </w:tr>
    </w:tbl>
    <w:p w:rsidR="008845AD" w:rsidRDefault="008845AD" w:rsidP="008845AD">
      <w:pPr>
        <w:jc w:val="right"/>
        <w:rPr>
          <w:rFonts w:ascii="Times New Roman" w:hAnsi="Times New Roman" w:cs="Times New Roman"/>
        </w:rPr>
      </w:pPr>
      <w:r>
        <w:rPr>
          <w:rFonts w:ascii="Times New Roman" w:hAnsi="Times New Roman" w:cs="Times New Roman"/>
        </w:rPr>
        <w:t>2 lentelės tęsinys kitame puslapyje</w:t>
      </w:r>
    </w:p>
    <w:p w:rsidR="00286D75" w:rsidRPr="008845AD" w:rsidRDefault="00286D75" w:rsidP="008845AD">
      <w:pPr>
        <w:jc w:val="right"/>
        <w:rPr>
          <w:rFonts w:ascii="Times New Roman" w:hAnsi="Times New Roman" w:cs="Times New Roman"/>
        </w:rPr>
      </w:pPr>
      <w:r>
        <w:rPr>
          <w:rFonts w:ascii="Times New Roman" w:hAnsi="Times New Roman" w:cs="Times New Roman"/>
        </w:rPr>
        <w:lastRenderedPageBreak/>
        <w:t>2 lentelės tęsinys</w:t>
      </w:r>
    </w:p>
    <w:tbl>
      <w:tblPr>
        <w:tblStyle w:val="TableGrid"/>
        <w:tblW w:w="14709" w:type="dxa"/>
        <w:tblLayout w:type="fixed"/>
        <w:tblLook w:val="04A0" w:firstRow="1" w:lastRow="0" w:firstColumn="1" w:lastColumn="0" w:noHBand="0" w:noVBand="1"/>
      </w:tblPr>
      <w:tblGrid>
        <w:gridCol w:w="1101"/>
        <w:gridCol w:w="1559"/>
        <w:gridCol w:w="2835"/>
        <w:gridCol w:w="1701"/>
        <w:gridCol w:w="1417"/>
        <w:gridCol w:w="6096"/>
      </w:tblGrid>
      <w:tr w:rsidR="00286D75" w:rsidRPr="002E75B9" w:rsidTr="000B7E19">
        <w:tc>
          <w:tcPr>
            <w:tcW w:w="1101" w:type="dxa"/>
            <w:shd w:val="clear" w:color="auto" w:fill="8DB3E2" w:themeFill="text2" w:themeFillTint="66"/>
          </w:tcPr>
          <w:p w:rsidR="00286D75" w:rsidRPr="00286D75" w:rsidRDefault="00286D75" w:rsidP="00BE7A73">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Autorius (metai)</w:t>
            </w:r>
          </w:p>
        </w:tc>
        <w:tc>
          <w:tcPr>
            <w:tcW w:w="1559" w:type="dxa"/>
            <w:shd w:val="clear" w:color="auto" w:fill="8DB3E2" w:themeFill="text2" w:themeFillTint="66"/>
          </w:tcPr>
          <w:p w:rsidR="00286D75" w:rsidRPr="00286D75" w:rsidRDefault="00286D75" w:rsidP="00BE7A73">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Kas tirta</w:t>
            </w:r>
          </w:p>
        </w:tc>
        <w:tc>
          <w:tcPr>
            <w:tcW w:w="2835" w:type="dxa"/>
            <w:shd w:val="clear" w:color="auto" w:fill="8DB3E2" w:themeFill="text2" w:themeFillTint="66"/>
          </w:tcPr>
          <w:p w:rsidR="00286D75" w:rsidRPr="00286D75" w:rsidRDefault="00286D75" w:rsidP="00BE7A73">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Tyrimo metodas</w:t>
            </w:r>
          </w:p>
        </w:tc>
        <w:tc>
          <w:tcPr>
            <w:tcW w:w="1701" w:type="dxa"/>
            <w:shd w:val="clear" w:color="auto" w:fill="8DB3E2" w:themeFill="text2" w:themeFillTint="66"/>
          </w:tcPr>
          <w:p w:rsidR="00286D75" w:rsidRPr="00286D75" w:rsidRDefault="00286D75" w:rsidP="00BE7A73">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Tirti finansų sektoriai</w:t>
            </w:r>
          </w:p>
        </w:tc>
        <w:tc>
          <w:tcPr>
            <w:tcW w:w="1417" w:type="dxa"/>
            <w:shd w:val="clear" w:color="auto" w:fill="8DB3E2" w:themeFill="text2" w:themeFillTint="66"/>
          </w:tcPr>
          <w:p w:rsidR="00286D75" w:rsidRPr="00286D75" w:rsidRDefault="00286D75" w:rsidP="00BE7A73">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Įtaka ekonomikos augimui</w:t>
            </w:r>
          </w:p>
        </w:tc>
        <w:tc>
          <w:tcPr>
            <w:tcW w:w="6096" w:type="dxa"/>
            <w:shd w:val="clear" w:color="auto" w:fill="8DB3E2" w:themeFill="text2" w:themeFillTint="66"/>
          </w:tcPr>
          <w:p w:rsidR="00286D75" w:rsidRPr="00286D75" w:rsidRDefault="00286D75" w:rsidP="00BE7A73">
            <w:pPr>
              <w:spacing w:line="360" w:lineRule="auto"/>
              <w:jc w:val="center"/>
              <w:rPr>
                <w:rFonts w:ascii="Times New Roman" w:hAnsi="Times New Roman" w:cs="Times New Roman"/>
                <w:b/>
                <w:sz w:val="22"/>
                <w:szCs w:val="22"/>
              </w:rPr>
            </w:pPr>
            <w:r w:rsidRPr="00286D75">
              <w:rPr>
                <w:rFonts w:ascii="Times New Roman" w:hAnsi="Times New Roman" w:cs="Times New Roman"/>
                <w:b/>
                <w:sz w:val="22"/>
                <w:szCs w:val="22"/>
              </w:rPr>
              <w:t>Pagrindiniai pastebėjimai</w:t>
            </w:r>
          </w:p>
        </w:tc>
      </w:tr>
      <w:tr w:rsidR="00286D75" w:rsidRPr="002E75B9" w:rsidTr="00350F48">
        <w:tc>
          <w:tcPr>
            <w:tcW w:w="1101" w:type="dxa"/>
          </w:tcPr>
          <w:p w:rsidR="00286D75" w:rsidRPr="000B7E19" w:rsidRDefault="00286D75"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Fink et al (2005)</w:t>
            </w:r>
          </w:p>
        </w:tc>
        <w:tc>
          <w:tcPr>
            <w:tcW w:w="1559"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22 išsivysčiusios šalys ir 11 šalių (Centrinė ir rytų Europa)</w:t>
            </w:r>
          </w:p>
        </w:tc>
        <w:tc>
          <w:tcPr>
            <w:tcW w:w="2835"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w:t>
            </w:r>
          </w:p>
        </w:tc>
        <w:tc>
          <w:tcPr>
            <w:tcW w:w="1701" w:type="dxa"/>
          </w:tcPr>
          <w:p w:rsidR="00286D75" w:rsidRPr="002E75B9" w:rsidRDefault="00286D75" w:rsidP="00C04797">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p w:rsidR="00286D75" w:rsidRPr="002E75B9" w:rsidRDefault="00286D75" w:rsidP="00C04797">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Akcijų rinka,</w:t>
            </w:r>
          </w:p>
          <w:p w:rsidR="00286D75" w:rsidRPr="002E75B9" w:rsidRDefault="00286D75" w:rsidP="00C04797">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Obligacijų rinka</w:t>
            </w:r>
          </w:p>
          <w:p w:rsidR="00286D75" w:rsidRPr="002E75B9" w:rsidRDefault="00286D75" w:rsidP="00C04797">
            <w:pPr>
              <w:spacing w:line="360" w:lineRule="auto"/>
              <w:jc w:val="center"/>
              <w:rPr>
                <w:rFonts w:ascii="Times New Roman" w:hAnsi="Times New Roman" w:cs="Times New Roman"/>
                <w:sz w:val="22"/>
                <w:szCs w:val="22"/>
              </w:rPr>
            </w:pPr>
          </w:p>
        </w:tc>
        <w:tc>
          <w:tcPr>
            <w:tcW w:w="1417"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096" w:type="dxa"/>
          </w:tcPr>
          <w:p w:rsidR="00286D75" w:rsidRPr="002E75B9" w:rsidRDefault="00286D75" w:rsidP="00896CFE">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Finansų sektoriaus </w:t>
            </w:r>
            <w:r w:rsidR="00A01E71">
              <w:rPr>
                <w:rFonts w:ascii="Times New Roman" w:hAnsi="Times New Roman" w:cs="Times New Roman"/>
                <w:sz w:val="22"/>
                <w:szCs w:val="22"/>
              </w:rPr>
              <w:t xml:space="preserve">paslaugų </w:t>
            </w:r>
            <w:r>
              <w:rPr>
                <w:rFonts w:ascii="Times New Roman" w:hAnsi="Times New Roman" w:cs="Times New Roman"/>
                <w:sz w:val="22"/>
                <w:szCs w:val="22"/>
              </w:rPr>
              <w:t>plėtra</w:t>
            </w:r>
            <w:r w:rsidRPr="002E75B9">
              <w:rPr>
                <w:rFonts w:ascii="Times New Roman" w:hAnsi="Times New Roman" w:cs="Times New Roman"/>
                <w:sz w:val="22"/>
                <w:szCs w:val="22"/>
              </w:rPr>
              <w:t xml:space="preserve"> teigiamai veikia ekonominį augimą, tačiau lyginant išsivysčiusias šalis su besivystančiomis šalimis, besivystančiose šalyse finansų sektoriaus įtaka yra didesnė. Finansų sektoriaus plėtra greitina ekonomikos augimą trumpuoju laikotarpiu, ilguoju didelės įtakos neturi. Labai svarbi tinkama finansų sektoriaus struktūra.</w:t>
            </w:r>
          </w:p>
        </w:tc>
      </w:tr>
      <w:tr w:rsidR="00286D75" w:rsidRPr="002E75B9" w:rsidTr="00350F48">
        <w:tc>
          <w:tcPr>
            <w:tcW w:w="1101" w:type="dxa"/>
          </w:tcPr>
          <w:p w:rsidR="00286D75" w:rsidRPr="000B7E19" w:rsidRDefault="00286D75"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Drakos (2003)</w:t>
            </w:r>
          </w:p>
        </w:tc>
        <w:tc>
          <w:tcPr>
            <w:tcW w:w="1559"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21 šalis</w:t>
            </w:r>
          </w:p>
        </w:tc>
        <w:tc>
          <w:tcPr>
            <w:tcW w:w="2835"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 ekspertinė apklausa</w:t>
            </w:r>
          </w:p>
        </w:tc>
        <w:tc>
          <w:tcPr>
            <w:tcW w:w="1701"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tc>
        <w:tc>
          <w:tcPr>
            <w:tcW w:w="1417"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096" w:type="dxa"/>
          </w:tcPr>
          <w:p w:rsidR="00286D75" w:rsidRPr="002E75B9" w:rsidRDefault="00286D75" w:rsidP="007B72AF">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 xml:space="preserve">Patvirtinama teigiama bankų sektoriaus įtaka ekonomikai. Kuo rinkoje mažiau trūkumų, tuo didesnis BPV augimas. </w:t>
            </w:r>
          </w:p>
        </w:tc>
      </w:tr>
      <w:tr w:rsidR="00286D75" w:rsidRPr="002E75B9" w:rsidTr="00350F48">
        <w:tc>
          <w:tcPr>
            <w:tcW w:w="1101" w:type="dxa"/>
          </w:tcPr>
          <w:p w:rsidR="00286D75" w:rsidRPr="000B7E19" w:rsidRDefault="00286D75"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Ṻnalmis (2002)</w:t>
            </w:r>
          </w:p>
        </w:tc>
        <w:tc>
          <w:tcPr>
            <w:tcW w:w="1559"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Turkija</w:t>
            </w:r>
          </w:p>
        </w:tc>
        <w:tc>
          <w:tcPr>
            <w:tcW w:w="2835"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Vektorinė autoregresija</w:t>
            </w:r>
          </w:p>
        </w:tc>
        <w:tc>
          <w:tcPr>
            <w:tcW w:w="1701"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tc>
        <w:tc>
          <w:tcPr>
            <w:tcW w:w="1417"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096" w:type="dxa"/>
          </w:tcPr>
          <w:p w:rsidR="00286D75" w:rsidRPr="002E75B9" w:rsidRDefault="00286D75" w:rsidP="007B72AF">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Finansų sektoriaus plėtra užtikrina ekonomikos augimą trumpuoju laikotarpiui. Ilguoju laikotarpiui egzistuoja dvikryptis ryšys tarp finansų sektoriaus plėtros ir ekonomikos augimo.</w:t>
            </w:r>
          </w:p>
        </w:tc>
      </w:tr>
      <w:tr w:rsidR="00286D75" w:rsidRPr="002E75B9" w:rsidTr="00350F48">
        <w:tc>
          <w:tcPr>
            <w:tcW w:w="1101" w:type="dxa"/>
          </w:tcPr>
          <w:p w:rsidR="00286D75" w:rsidRPr="000B7E19" w:rsidRDefault="00286D75"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Platek (2002)</w:t>
            </w:r>
          </w:p>
        </w:tc>
        <w:tc>
          <w:tcPr>
            <w:tcW w:w="1559"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26 šalys</w:t>
            </w:r>
          </w:p>
        </w:tc>
        <w:tc>
          <w:tcPr>
            <w:tcW w:w="2835"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Ekspertinė apklausa,</w:t>
            </w:r>
          </w:p>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w:t>
            </w:r>
          </w:p>
        </w:tc>
        <w:tc>
          <w:tcPr>
            <w:tcW w:w="1701"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Akcijų rinka</w:t>
            </w:r>
          </w:p>
        </w:tc>
        <w:tc>
          <w:tcPr>
            <w:tcW w:w="1417"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096" w:type="dxa"/>
          </w:tcPr>
          <w:p w:rsidR="00286D75" w:rsidRPr="002E75B9" w:rsidRDefault="00286D75" w:rsidP="005E5A6E">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Bankų sektoriaus ir akcijų rinkų plėtra turi reikšmingą ir teigiamą ryšį su ekonominiu augimu</w:t>
            </w:r>
            <w:r>
              <w:rPr>
                <w:rFonts w:ascii="Times New Roman" w:hAnsi="Times New Roman" w:cs="Times New Roman"/>
                <w:sz w:val="22"/>
                <w:szCs w:val="22"/>
              </w:rPr>
              <w:t>.</w:t>
            </w:r>
          </w:p>
        </w:tc>
      </w:tr>
      <w:tr w:rsidR="00286D75" w:rsidRPr="002E75B9" w:rsidTr="00350F48">
        <w:trPr>
          <w:trHeight w:val="1393"/>
        </w:trPr>
        <w:tc>
          <w:tcPr>
            <w:tcW w:w="1101" w:type="dxa"/>
          </w:tcPr>
          <w:p w:rsidR="00286D75" w:rsidRPr="000B7E19" w:rsidRDefault="00286D75"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Koivu (2002)</w:t>
            </w:r>
          </w:p>
        </w:tc>
        <w:tc>
          <w:tcPr>
            <w:tcW w:w="1559"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25 šalys (Rytų, pietryčių ir centrinė Europa)</w:t>
            </w:r>
          </w:p>
        </w:tc>
        <w:tc>
          <w:tcPr>
            <w:tcW w:w="2835"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w:t>
            </w:r>
          </w:p>
        </w:tc>
        <w:tc>
          <w:tcPr>
            <w:tcW w:w="1701"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tc>
        <w:tc>
          <w:tcPr>
            <w:tcW w:w="1417"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096" w:type="dxa"/>
          </w:tcPr>
          <w:p w:rsidR="00286D75" w:rsidRPr="002E75B9" w:rsidRDefault="00286D75" w:rsidP="005E5A6E">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 xml:space="preserve">Rezultatai parodė, kad bankų siūloma palūkanų normos marža reikšmingai neigiamai koreliuoja su ekonomikos augimu. Taip pat nustatyta, kad išaugusios kredito apimtys nepagreitina ekonomikos augimo. </w:t>
            </w:r>
          </w:p>
        </w:tc>
      </w:tr>
      <w:tr w:rsidR="00286D75" w:rsidRPr="002E75B9" w:rsidTr="00350F48">
        <w:trPr>
          <w:trHeight w:val="848"/>
        </w:trPr>
        <w:tc>
          <w:tcPr>
            <w:tcW w:w="1101" w:type="dxa"/>
          </w:tcPr>
          <w:p w:rsidR="00286D75" w:rsidRPr="000B7E19" w:rsidRDefault="00286D75" w:rsidP="008F05BC">
            <w:pPr>
              <w:spacing w:line="360" w:lineRule="auto"/>
              <w:jc w:val="center"/>
              <w:rPr>
                <w:rFonts w:ascii="Times New Roman" w:hAnsi="Times New Roman" w:cs="Times New Roman"/>
                <w:b/>
                <w:sz w:val="22"/>
                <w:szCs w:val="22"/>
              </w:rPr>
            </w:pPr>
            <w:r w:rsidRPr="000B7E19">
              <w:rPr>
                <w:rFonts w:ascii="Times New Roman" w:hAnsi="Times New Roman" w:cs="Times New Roman"/>
                <w:b/>
                <w:sz w:val="22"/>
                <w:szCs w:val="22"/>
              </w:rPr>
              <w:t>Jaffee ir Levonian (2000)</w:t>
            </w:r>
          </w:p>
        </w:tc>
        <w:tc>
          <w:tcPr>
            <w:tcW w:w="1559"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23 šalys</w:t>
            </w:r>
          </w:p>
        </w:tc>
        <w:tc>
          <w:tcPr>
            <w:tcW w:w="2835"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Koreliacinė regresinė analizė, ekspertinė apklausa</w:t>
            </w:r>
          </w:p>
        </w:tc>
        <w:tc>
          <w:tcPr>
            <w:tcW w:w="1701"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Bankų sektorius</w:t>
            </w:r>
          </w:p>
        </w:tc>
        <w:tc>
          <w:tcPr>
            <w:tcW w:w="1417" w:type="dxa"/>
          </w:tcPr>
          <w:p w:rsidR="00286D75" w:rsidRPr="002E75B9" w:rsidRDefault="00286D75" w:rsidP="008F05BC">
            <w:pPr>
              <w:spacing w:line="360" w:lineRule="auto"/>
              <w:jc w:val="center"/>
              <w:rPr>
                <w:rFonts w:ascii="Times New Roman" w:hAnsi="Times New Roman" w:cs="Times New Roman"/>
                <w:sz w:val="22"/>
                <w:szCs w:val="22"/>
              </w:rPr>
            </w:pPr>
            <w:r w:rsidRPr="002E75B9">
              <w:rPr>
                <w:rFonts w:ascii="Times New Roman" w:hAnsi="Times New Roman" w:cs="Times New Roman"/>
                <w:sz w:val="22"/>
                <w:szCs w:val="22"/>
              </w:rPr>
              <w:t>+</w:t>
            </w:r>
          </w:p>
        </w:tc>
        <w:tc>
          <w:tcPr>
            <w:tcW w:w="6096" w:type="dxa"/>
          </w:tcPr>
          <w:p w:rsidR="00286D75" w:rsidRPr="002E75B9" w:rsidRDefault="00286D75" w:rsidP="005E5A6E">
            <w:pPr>
              <w:spacing w:line="360" w:lineRule="auto"/>
              <w:jc w:val="both"/>
              <w:rPr>
                <w:rFonts w:ascii="Times New Roman" w:hAnsi="Times New Roman" w:cs="Times New Roman"/>
                <w:sz w:val="22"/>
                <w:szCs w:val="22"/>
              </w:rPr>
            </w:pPr>
            <w:r w:rsidRPr="002E75B9">
              <w:rPr>
                <w:rFonts w:ascii="Times New Roman" w:hAnsi="Times New Roman" w:cs="Times New Roman"/>
                <w:sz w:val="22"/>
                <w:szCs w:val="22"/>
              </w:rPr>
              <w:t>Reikšmingas teigiamas ryšys tarp bankų sektoriaus plėtros, reformų ir ekonomikos augimo.</w:t>
            </w:r>
          </w:p>
        </w:tc>
      </w:tr>
    </w:tbl>
    <w:p w:rsidR="00A4548B" w:rsidRPr="00A16986" w:rsidRDefault="00286D75" w:rsidP="00217F21">
      <w:pPr>
        <w:spacing w:line="360" w:lineRule="auto"/>
        <w:rPr>
          <w:rFonts w:ascii="Times New Roman" w:hAnsi="Times New Roman" w:cs="Times New Roman"/>
          <w:b/>
          <w:sz w:val="19"/>
          <w:szCs w:val="19"/>
        </w:rPr>
        <w:sectPr w:rsidR="00A4548B" w:rsidRPr="00A16986" w:rsidSect="00A4548B">
          <w:pgSz w:w="16838" w:h="11906" w:orient="landscape"/>
          <w:pgMar w:top="1418" w:right="1134" w:bottom="567" w:left="1134" w:header="567" w:footer="567" w:gutter="0"/>
          <w:cols w:space="1296"/>
          <w:docGrid w:linePitch="360"/>
        </w:sectPr>
      </w:pPr>
      <w:r w:rsidRPr="00A16986">
        <w:rPr>
          <w:rFonts w:ascii="Times New Roman" w:hAnsi="Times New Roman" w:cs="Times New Roman"/>
          <w:b/>
          <w:sz w:val="19"/>
          <w:szCs w:val="19"/>
        </w:rPr>
        <w:t xml:space="preserve">Šaltinis: </w:t>
      </w:r>
      <w:r w:rsidRPr="00A16986">
        <w:rPr>
          <w:rFonts w:ascii="Times New Roman" w:hAnsi="Times New Roman" w:cs="Times New Roman"/>
          <w:sz w:val="19"/>
          <w:szCs w:val="19"/>
        </w:rPr>
        <w:t xml:space="preserve">sudaryta </w:t>
      </w:r>
      <w:r w:rsidR="002C5C04">
        <w:rPr>
          <w:rFonts w:ascii="Times New Roman" w:hAnsi="Times New Roman" w:cs="Times New Roman"/>
          <w:sz w:val="19"/>
          <w:szCs w:val="19"/>
        </w:rPr>
        <w:t>pagal</w:t>
      </w:r>
      <w:r w:rsidR="00A16986" w:rsidRPr="00A16986">
        <w:rPr>
          <w:rFonts w:ascii="Times New Roman" w:hAnsi="Times New Roman" w:cs="Times New Roman"/>
          <w:sz w:val="19"/>
          <w:szCs w:val="19"/>
        </w:rPr>
        <w:t xml:space="preserve"> Hagmayr ir Haiss (2007), Akimov et al (2006), Mehl et al (2006), Fink et al (2005, 2006), Drakos (2003), Ṻnalmis (2002), Platek (2002), Koivu (2002), Jaffee ir Levonian (2000)</w:t>
      </w:r>
    </w:p>
    <w:p w:rsidR="000278FA" w:rsidRPr="00833B3D" w:rsidRDefault="00456C37" w:rsidP="000278FA">
      <w:pPr>
        <w:spacing w:line="360" w:lineRule="auto"/>
        <w:ind w:firstLine="567"/>
        <w:jc w:val="both"/>
        <w:rPr>
          <w:rFonts w:ascii="Times New Roman" w:hAnsi="Times New Roman" w:cs="Times New Roman"/>
        </w:rPr>
      </w:pPr>
      <w:r>
        <w:rPr>
          <w:rFonts w:ascii="Times New Roman" w:hAnsi="Times New Roman" w:cs="Times New Roman"/>
        </w:rPr>
        <w:lastRenderedPageBreak/>
        <w:t>Taip pat analizuojant antrą lentelę matome, kad a</w:t>
      </w:r>
      <w:r w:rsidR="000278FA" w:rsidRPr="00D81F02">
        <w:rPr>
          <w:rFonts w:ascii="Times New Roman" w:hAnsi="Times New Roman" w:cs="Times New Roman"/>
        </w:rPr>
        <w:t xml:space="preserve">tliekant </w:t>
      </w:r>
      <w:r w:rsidR="000278FA">
        <w:rPr>
          <w:rFonts w:ascii="Times New Roman" w:hAnsi="Times New Roman" w:cs="Times New Roman"/>
        </w:rPr>
        <w:t xml:space="preserve">empirinius </w:t>
      </w:r>
      <w:r w:rsidR="000278FA" w:rsidRPr="00D81F02">
        <w:rPr>
          <w:rFonts w:ascii="Times New Roman" w:hAnsi="Times New Roman" w:cs="Times New Roman"/>
        </w:rPr>
        <w:t xml:space="preserve">tyrimus populiariausias metodas buvo koreliacinė regresinė analizė, kuri bus panaudota ir šiame darbe tiriant lizingo </w:t>
      </w:r>
      <w:r w:rsidR="00323AA8">
        <w:rPr>
          <w:rFonts w:ascii="Times New Roman" w:hAnsi="Times New Roman" w:cs="Times New Roman"/>
        </w:rPr>
        <w:t>rinkos</w:t>
      </w:r>
      <w:r w:rsidR="000278FA" w:rsidRPr="00D81F02">
        <w:rPr>
          <w:rFonts w:ascii="Times New Roman" w:hAnsi="Times New Roman" w:cs="Times New Roman"/>
        </w:rPr>
        <w:t xml:space="preserve"> poveikį Lietuvos ekonomikai.</w:t>
      </w:r>
      <w:r w:rsidR="000278FA">
        <w:rPr>
          <w:rFonts w:ascii="Times New Roman" w:hAnsi="Times New Roman" w:cs="Times New Roman"/>
          <w:sz w:val="22"/>
          <w:szCs w:val="22"/>
        </w:rPr>
        <w:t xml:space="preserve"> </w:t>
      </w:r>
    </w:p>
    <w:p w:rsidR="000278FA" w:rsidRDefault="000278FA" w:rsidP="000278FA">
      <w:pPr>
        <w:spacing w:line="360" w:lineRule="auto"/>
        <w:ind w:firstLine="567"/>
        <w:jc w:val="both"/>
        <w:rPr>
          <w:rFonts w:ascii="Times New Roman" w:hAnsi="Times New Roman" w:cs="Times New Roman"/>
        </w:rPr>
      </w:pPr>
      <w:r w:rsidRPr="00D81F02">
        <w:rPr>
          <w:rFonts w:ascii="Times New Roman" w:hAnsi="Times New Roman" w:cs="Times New Roman"/>
        </w:rPr>
        <w:t xml:space="preserve">Taigi išsiaiškinus, kad finansinio sektoriaus paslaugos, jų plėtra ir didėjančios apimtys turi teigiamą poveikį ekonomikai, ypač vertinant </w:t>
      </w:r>
      <w:r w:rsidR="00323AA8">
        <w:rPr>
          <w:rFonts w:ascii="Times New Roman" w:hAnsi="Times New Roman" w:cs="Times New Roman"/>
        </w:rPr>
        <w:t>besivystančių rinkų</w:t>
      </w:r>
      <w:r w:rsidRPr="00D81F02">
        <w:rPr>
          <w:rFonts w:ascii="Times New Roman" w:hAnsi="Times New Roman" w:cs="Times New Roman"/>
        </w:rPr>
        <w:t xml:space="preserve"> Rytų ir centrinės Europos šalis, galima teigti, kad lizingo </w:t>
      </w:r>
      <w:r w:rsidR="00323AA8">
        <w:rPr>
          <w:rFonts w:ascii="Times New Roman" w:hAnsi="Times New Roman" w:cs="Times New Roman"/>
        </w:rPr>
        <w:t>rinkos</w:t>
      </w:r>
      <w:r w:rsidRPr="00D81F02">
        <w:rPr>
          <w:rFonts w:ascii="Times New Roman" w:hAnsi="Times New Roman" w:cs="Times New Roman"/>
        </w:rPr>
        <w:t xml:space="preserve"> įtakos Lietuvos ekonomikos vertinimas bus prasmingas. </w:t>
      </w:r>
    </w:p>
    <w:p w:rsidR="00350F48" w:rsidRPr="00350F48" w:rsidRDefault="00350F48" w:rsidP="00350F48">
      <w:pPr>
        <w:spacing w:line="360" w:lineRule="auto"/>
        <w:ind w:firstLine="567"/>
        <w:jc w:val="both"/>
        <w:rPr>
          <w:rFonts w:ascii="Times New Roman" w:hAnsi="Times New Roman" w:cs="Times New Roman"/>
        </w:rPr>
      </w:pPr>
      <w:r w:rsidRPr="00350F48">
        <w:rPr>
          <w:rFonts w:ascii="Times New Roman" w:hAnsi="Times New Roman" w:cs="Times New Roman"/>
        </w:rPr>
        <w:t xml:space="preserve">Žvelgiant apskritai lizingo įtakos šalių ekonomikoms tyrimų pasigendama. Kaip rašo Moutot et al (2007), nors alternatyvūs finansavimo šaltiniai, tokie kaip lizingas, pastaraisiais metais įgijo nemažą įtaką ekonomikoms, tačiau šios įtakos tyrimų ypač besivystančiose šalyse trūksta.  Backe ir Zumer (2005) stebisi, kaip </w:t>
      </w:r>
      <w:r w:rsidR="00323AA8">
        <w:rPr>
          <w:rFonts w:ascii="Times New Roman" w:hAnsi="Times New Roman" w:cs="Times New Roman"/>
        </w:rPr>
        <w:t>besivystančių rinkų</w:t>
      </w:r>
      <w:r w:rsidRPr="00350F48">
        <w:rPr>
          <w:rFonts w:ascii="Times New Roman" w:hAnsi="Times New Roman" w:cs="Times New Roman"/>
        </w:rPr>
        <w:t xml:space="preserve"> šalyse didžiuliais tempais augant skolinimosi apimtims, kurių tyrimams įvairūs mokslininkai skiria didžiulį dėmesį, alternatyvios finansavimo formos, tokias kaip lizingas, yra pamirštamos ir neįtraukiamos į tyrimus. Iš lietuvių autorių, išsamiau lizingo paslaugą nagrinėjo tik Danys, Milašauskas (2000) ir Baršauskas ir kt. (2007). Naujausiais duomenimis paremtų analitinių darbų Lietuvos lizingo rinkos kontekste trūksta, o ekonometriniais skaičiavimais pagrįsti poveikio Lietuvos ekonomikai tyrimai iš viso nebuvo atliekami. Vertinant Europos rekonstrukcijos ir plėtros banko poziciją, kuri išsakyta dar 2006 metais, kad lizingas vaidina labai svarbią rolę pereinamosioms ekonomikos šalims, keista, kad Lietuvos autoriai nesiim</w:t>
      </w:r>
      <w:r w:rsidR="005C2759">
        <w:rPr>
          <w:rFonts w:ascii="Times New Roman" w:hAnsi="Times New Roman" w:cs="Times New Roman"/>
        </w:rPr>
        <w:t>a tyrinėti šios srities. Norint</w:t>
      </w:r>
      <w:r w:rsidRPr="00350F48">
        <w:rPr>
          <w:rFonts w:ascii="Times New Roman" w:hAnsi="Times New Roman" w:cs="Times New Roman"/>
        </w:rPr>
        <w:t xml:space="preserve"> pakeisti tokį požiūrį šiame poskyryje teoriškai apžvelgsiu lizingo </w:t>
      </w:r>
      <w:r w:rsidR="00323AA8">
        <w:rPr>
          <w:rFonts w:ascii="Times New Roman" w:hAnsi="Times New Roman" w:cs="Times New Roman"/>
        </w:rPr>
        <w:t xml:space="preserve">rinkos </w:t>
      </w:r>
      <w:r w:rsidRPr="00350F48">
        <w:rPr>
          <w:rFonts w:ascii="Times New Roman" w:hAnsi="Times New Roman" w:cs="Times New Roman"/>
        </w:rPr>
        <w:t xml:space="preserve">įtaką ekonomikai ir galiausiai darbe atliksiu tyrimą įvertindamas kokią įtaką lizingo </w:t>
      </w:r>
      <w:r w:rsidR="005C2759">
        <w:rPr>
          <w:rFonts w:ascii="Times New Roman" w:hAnsi="Times New Roman" w:cs="Times New Roman"/>
        </w:rPr>
        <w:t>rinka</w:t>
      </w:r>
      <w:r w:rsidRPr="00350F48">
        <w:rPr>
          <w:rFonts w:ascii="Times New Roman" w:hAnsi="Times New Roman" w:cs="Times New Roman"/>
        </w:rPr>
        <w:t xml:space="preserve"> daro Lietuvos ekonomikai.</w:t>
      </w:r>
    </w:p>
    <w:p w:rsidR="00F928DD" w:rsidRDefault="00C15200" w:rsidP="00E55267">
      <w:pPr>
        <w:spacing w:line="360" w:lineRule="auto"/>
        <w:ind w:firstLine="567"/>
        <w:jc w:val="both"/>
        <w:rPr>
          <w:rFonts w:ascii="Times New Roman" w:hAnsi="Times New Roman" w:cs="Times New Roman"/>
        </w:rPr>
      </w:pPr>
      <w:r>
        <w:rPr>
          <w:rFonts w:ascii="Times New Roman" w:hAnsi="Times New Roman" w:cs="Times New Roman"/>
        </w:rPr>
        <w:t xml:space="preserve">Lizingo </w:t>
      </w:r>
      <w:r w:rsidR="001D282D">
        <w:rPr>
          <w:rFonts w:ascii="Times New Roman" w:hAnsi="Times New Roman" w:cs="Times New Roman"/>
        </w:rPr>
        <w:t>reikšmę ekonomikai įvairūs autoriai pagrindžia nagrinėdami lizingo poveikį ekonomikos augimui, investicijoms</w:t>
      </w:r>
      <w:r w:rsidR="00952E62">
        <w:rPr>
          <w:rFonts w:ascii="Times New Roman" w:hAnsi="Times New Roman" w:cs="Times New Roman"/>
        </w:rPr>
        <w:t xml:space="preserve"> ir užimtumui</w:t>
      </w:r>
      <w:r w:rsidR="001D282D">
        <w:rPr>
          <w:rFonts w:ascii="Times New Roman" w:hAnsi="Times New Roman" w:cs="Times New Roman"/>
        </w:rPr>
        <w:t xml:space="preserve"> (</w:t>
      </w:r>
      <w:r w:rsidR="00E55267">
        <w:rPr>
          <w:rFonts w:ascii="Times New Roman" w:hAnsi="Times New Roman" w:cs="Times New Roman"/>
        </w:rPr>
        <w:t>Baršauskas ir kt., 2007</w:t>
      </w:r>
      <w:r w:rsidR="00F928DD">
        <w:rPr>
          <w:rFonts w:ascii="Times New Roman" w:hAnsi="Times New Roman" w:cs="Times New Roman"/>
        </w:rPr>
        <w:t>). Šituo teiginiu remdamasis šiame poskyryje panagrin</w:t>
      </w:r>
      <w:r w:rsidR="00AC20AF">
        <w:rPr>
          <w:rFonts w:ascii="Times New Roman" w:hAnsi="Times New Roman" w:cs="Times New Roman"/>
        </w:rPr>
        <w:t>ėsiu lizingo reikšmę ekonomikai.</w:t>
      </w:r>
    </w:p>
    <w:p w:rsidR="0091696B" w:rsidRDefault="005D6BE4" w:rsidP="00F928DD">
      <w:pPr>
        <w:pStyle w:val="ListParagraph"/>
        <w:numPr>
          <w:ilvl w:val="0"/>
          <w:numId w:val="9"/>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645952" behindDoc="0" locked="0" layoutInCell="1" allowOverlap="1" wp14:anchorId="276AD956" wp14:editId="49206E31">
                <wp:simplePos x="0" y="0"/>
                <wp:positionH relativeFrom="column">
                  <wp:posOffset>432435</wp:posOffset>
                </wp:positionH>
                <wp:positionV relativeFrom="paragraph">
                  <wp:posOffset>960120</wp:posOffset>
                </wp:positionV>
                <wp:extent cx="5381625" cy="1695450"/>
                <wp:effectExtent l="57150" t="38100" r="85725" b="95250"/>
                <wp:wrapTopAndBottom/>
                <wp:docPr id="18" name="Group 18"/>
                <wp:cNvGraphicFramePr/>
                <a:graphic xmlns:a="http://schemas.openxmlformats.org/drawingml/2006/main">
                  <a:graphicData uri="http://schemas.microsoft.com/office/word/2010/wordprocessingGroup">
                    <wpg:wgp>
                      <wpg:cNvGrpSpPr/>
                      <wpg:grpSpPr>
                        <a:xfrm>
                          <a:off x="0" y="0"/>
                          <a:ext cx="5381625" cy="1695450"/>
                          <a:chOff x="0" y="0"/>
                          <a:chExt cx="5410200" cy="1809750"/>
                        </a:xfrm>
                      </wpg:grpSpPr>
                      <wps:wsp>
                        <wps:cNvPr id="7" name="Right Arrow Callout 7"/>
                        <wps:cNvSpPr/>
                        <wps:spPr>
                          <a:xfrm>
                            <a:off x="0" y="0"/>
                            <a:ext cx="1905000" cy="923925"/>
                          </a:xfrm>
                          <a:prstGeom prst="rightArrowCallout">
                            <a:avLst/>
                          </a:prstGeom>
                        </wps:spPr>
                        <wps:style>
                          <a:lnRef idx="1">
                            <a:schemeClr val="accent1"/>
                          </a:lnRef>
                          <a:fillRef idx="2">
                            <a:schemeClr val="accent1"/>
                          </a:fillRef>
                          <a:effectRef idx="1">
                            <a:schemeClr val="accent1"/>
                          </a:effectRef>
                          <a:fontRef idx="minor">
                            <a:schemeClr val="dk1"/>
                          </a:fontRef>
                        </wps:style>
                        <wps:txbx>
                          <w:txbxContent>
                            <w:p w:rsidR="0041099D" w:rsidRPr="00BA2588" w:rsidRDefault="0041099D" w:rsidP="00BA2588">
                              <w:pPr>
                                <w:jc w:val="center"/>
                                <w:rPr>
                                  <w:rFonts w:asciiTheme="minorHAnsi" w:hAnsiTheme="minorHAnsi" w:cstheme="minorHAnsi"/>
                                </w:rPr>
                              </w:pPr>
                              <w:r w:rsidRPr="00BA2588">
                                <w:rPr>
                                  <w:rFonts w:asciiTheme="minorHAnsi" w:hAnsiTheme="minorHAnsi" w:cstheme="minorHAnsi"/>
                                </w:rPr>
                                <w:t>Lizingas, kaip alternatyvi finansavimo forma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 name="Right Arrow Callout 8"/>
                        <wps:cNvSpPr/>
                        <wps:spPr>
                          <a:xfrm>
                            <a:off x="2047875" y="19050"/>
                            <a:ext cx="1905000" cy="923925"/>
                          </a:xfrm>
                          <a:prstGeom prst="rightArrowCallout">
                            <a:avLst/>
                          </a:prstGeom>
                        </wps:spPr>
                        <wps:style>
                          <a:lnRef idx="1">
                            <a:schemeClr val="accent1"/>
                          </a:lnRef>
                          <a:fillRef idx="2">
                            <a:schemeClr val="accent1"/>
                          </a:fillRef>
                          <a:effectRef idx="1">
                            <a:schemeClr val="accent1"/>
                          </a:effectRef>
                          <a:fontRef idx="minor">
                            <a:schemeClr val="dk1"/>
                          </a:fontRef>
                        </wps:style>
                        <wps:txbx>
                          <w:txbxContent>
                            <w:p w:rsidR="0041099D" w:rsidRPr="00BA2588" w:rsidRDefault="0041099D" w:rsidP="00BA2588">
                              <w:pPr>
                                <w:jc w:val="center"/>
                                <w:rPr>
                                  <w:rFonts w:asciiTheme="minorHAnsi" w:hAnsiTheme="minorHAnsi" w:cstheme="minorHAnsi"/>
                                </w:rPr>
                              </w:pPr>
                              <w:r>
                                <w:rPr>
                                  <w:rFonts w:asciiTheme="minorHAnsi" w:hAnsiTheme="minorHAnsi" w:cstheme="minorHAnsi"/>
                                </w:rPr>
                                <w:t>Naujų verslo subjektų kūrimasis ir konkurencijos didėjimas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 name="Rectangle 9"/>
                        <wps:cNvSpPr/>
                        <wps:spPr>
                          <a:xfrm>
                            <a:off x="4162425" y="0"/>
                            <a:ext cx="1247775" cy="92392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41099D" w:rsidRPr="00BA2588" w:rsidRDefault="0041099D" w:rsidP="00BA2588">
                              <w:pPr>
                                <w:jc w:val="center"/>
                                <w:rPr>
                                  <w:rFonts w:asciiTheme="minorHAnsi" w:hAnsiTheme="minorHAnsi" w:cstheme="minorHAnsi"/>
                                </w:rPr>
                              </w:pPr>
                              <w:r>
                                <w:rPr>
                                  <w:rFonts w:asciiTheme="minorHAnsi" w:hAnsiTheme="minorHAnsi" w:cstheme="minorHAnsi"/>
                                </w:rPr>
                                <w:t>Aukštesnis ekonomikos lygis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 name="Straight Connector 12"/>
                        <wps:cNvCnPr/>
                        <wps:spPr>
                          <a:xfrm>
                            <a:off x="4800600" y="942975"/>
                            <a:ext cx="0" cy="5810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flipH="1">
                            <a:off x="4257675" y="1524000"/>
                            <a:ext cx="5429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 name="Rounded Rectangle 14"/>
                        <wps:cNvSpPr/>
                        <wps:spPr>
                          <a:xfrm>
                            <a:off x="1181100" y="1219200"/>
                            <a:ext cx="3076575" cy="5905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41099D" w:rsidRPr="00631C63" w:rsidRDefault="0041099D" w:rsidP="00631C63">
                              <w:pPr>
                                <w:jc w:val="center"/>
                                <w:rPr>
                                  <w:rFonts w:asciiTheme="minorHAnsi" w:hAnsiTheme="minorHAnsi" w:cstheme="minorHAnsi"/>
                                </w:rPr>
                              </w:pPr>
                              <w:r w:rsidRPr="00631C63">
                                <w:rPr>
                                  <w:rFonts w:asciiTheme="minorHAnsi" w:hAnsiTheme="minorHAnsi" w:cstheme="minorHAnsi"/>
                                </w:rPr>
                                <w:t>Tolesniam augimui būtinas lizingo poreikis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Straight Connector 15"/>
                        <wps:cNvCnPr/>
                        <wps:spPr>
                          <a:xfrm flipH="1">
                            <a:off x="590550" y="1524000"/>
                            <a:ext cx="57150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flipV="1">
                            <a:off x="590550" y="933450"/>
                            <a:ext cx="0" cy="6000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18" o:spid="_x0000_s1026" style="position:absolute;left:0;text-align:left;margin-left:34.05pt;margin-top:75.6pt;width:423.75pt;height:133.5pt;z-index:251645952;mso-width-relative:margin;mso-height-relative:margin" coordsize="54102,18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Right Arrow Callout 7" o:spid="_x0000_s1027" type="#_x0000_t78" style="position:absolute;width:19050;height:9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m3I8UA&#10;AADaAAAADwAAAGRycy9kb3ducmV2LnhtbESPQWvCQBSE7wX/w/KEXopu6qGV6BqCIJhDS40ePD6y&#10;z2Qx+zZkt0naX98tFHocZuYbZptNthUD9d44VvC8TEAQV04brhVczofFGoQPyBpbx6Tgizxku9nD&#10;FlPtRj7RUIZaRAj7FBU0IXSplL5qyKJfuo44ejfXWwxR9rXUPY4Rblu5SpIXadFwXGiwo31D1b38&#10;tAoK0yYfT5fbUJhT+W7zN/d9Ha5KPc6nfAMi0BT+w3/to1bwCr9X4g2Q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bcjxQAAANoAAAAPAAAAAAAAAAAAAAAAAJgCAABkcnMv&#10;ZG93bnJldi54bWxQSwUGAAAAAAQABAD1AAAAigMAAAAA&#10;" adj="14035,,18981" fillcolor="#a7bfde [1620]" strokecolor="#4579b8 [3044]">
                  <v:fill color2="#e4ecf5 [500]" rotate="t" angle="180" colors="0 #a3c4ff;22938f #bfd5ff;1 #e5eeff" focus="100%" type="gradient"/>
                  <v:shadow on="t" color="black" opacity="24903f" origin=",.5" offset="0,.55556mm"/>
                  <v:textbox inset="0,0,0,0">
                    <w:txbxContent>
                      <w:p w:rsidR="0041099D" w:rsidRPr="00BA2588" w:rsidRDefault="0041099D" w:rsidP="00BA2588">
                        <w:pPr>
                          <w:jc w:val="center"/>
                          <w:rPr>
                            <w:rFonts w:asciiTheme="minorHAnsi" w:hAnsiTheme="minorHAnsi" w:cstheme="minorHAnsi"/>
                          </w:rPr>
                        </w:pPr>
                        <w:r w:rsidRPr="00BA2588">
                          <w:rPr>
                            <w:rFonts w:asciiTheme="minorHAnsi" w:hAnsiTheme="minorHAnsi" w:cstheme="minorHAnsi"/>
                          </w:rPr>
                          <w:t>Lizingas, kaip alternatyvi finansavimo forma</w:t>
                        </w:r>
                      </w:p>
                    </w:txbxContent>
                  </v:textbox>
                </v:shape>
                <v:shape id="Right Arrow Callout 8" o:spid="_x0000_s1028" type="#_x0000_t78" style="position:absolute;left:20478;top:190;width:19050;height:9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YjUcEA&#10;AADaAAAADwAAAGRycy9kb3ducmV2LnhtbERPz2vCMBS+D/wfwhN2GTOdB5HOKDIQ7EGZtYceH82z&#10;DWteSpO1nX/9chA8fny/N7vJtmKg3hvHCj4WCQjiymnDtYLienhfg/ABWWPrmBT8kYfddvaywVS7&#10;kS805KEWMYR9igqaELpUSl81ZNEvXEccuZvrLYYI+1rqHscYblu5TJKVtGg4NjTY0VdD1U/+axVk&#10;pk2+34rbkJlLfrb7k7uXQ6nU63zaf4IINIWn+OE+agVxa7wSb4D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6GI1HBAAAA2gAAAA8AAAAAAAAAAAAAAAAAmAIAAGRycy9kb3du&#10;cmV2LnhtbFBLBQYAAAAABAAEAPUAAACGAwAAAAA=&#10;" adj="14035,,18981" fillcolor="#a7bfde [1620]" strokecolor="#4579b8 [3044]">
                  <v:fill color2="#e4ecf5 [500]" rotate="t" angle="180" colors="0 #a3c4ff;22938f #bfd5ff;1 #e5eeff" focus="100%" type="gradient"/>
                  <v:shadow on="t" color="black" opacity="24903f" origin=",.5" offset="0,.55556mm"/>
                  <v:textbox inset="0,0,0,0">
                    <w:txbxContent>
                      <w:p w:rsidR="0041099D" w:rsidRPr="00BA2588" w:rsidRDefault="0041099D" w:rsidP="00BA2588">
                        <w:pPr>
                          <w:jc w:val="center"/>
                          <w:rPr>
                            <w:rFonts w:asciiTheme="minorHAnsi" w:hAnsiTheme="minorHAnsi" w:cstheme="minorHAnsi"/>
                          </w:rPr>
                        </w:pPr>
                        <w:r>
                          <w:rPr>
                            <w:rFonts w:asciiTheme="minorHAnsi" w:hAnsiTheme="minorHAnsi" w:cstheme="minorHAnsi"/>
                          </w:rPr>
                          <w:t>Naujų verslo subjektų kūrimasis ir konkurencijos didėjimas</w:t>
                        </w:r>
                      </w:p>
                    </w:txbxContent>
                  </v:textbox>
                </v:shape>
                <v:rect id="Rectangle 9" o:spid="_x0000_s1029" style="position:absolute;left:41624;width:12478;height:9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CFRMQA&#10;AADaAAAADwAAAGRycy9kb3ducmV2LnhtbESPQWvCQBSE7wX/w/IEb3VjpaFGV5FiaKFQiHrQ2yP7&#10;TEKyb0N2TdL++m6h0OMwM98wm91oGtFT5yrLChbzCARxbnXFhYLzKX18AeE8ssbGMin4Ige77eRh&#10;g4m2A2fUH30hAoRdggpK79tESpeXZNDNbUscvJvtDPogu0LqDocAN418iqJYGqw4LJTY0mtJeX28&#10;GwV4NWP7faG3a/bxuXzW8SGt41qp2XTcr0F4Gv1/+K/9rhWs4PdKuAF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whUTEAAAA2gAAAA8AAAAAAAAAAAAAAAAAmAIAAGRycy9k&#10;b3ducmV2LnhtbFBLBQYAAAAABAAEAPUAAACJAwAAAAA=&#10;" fillcolor="#a7bfde [1620]" strokecolor="#4579b8 [3044]">
                  <v:fill color2="#e4ecf5 [500]" rotate="t" angle="180" colors="0 #a3c4ff;22938f #bfd5ff;1 #e5eeff" focus="100%" type="gradient"/>
                  <v:shadow on="t" color="black" opacity="24903f" origin=",.5" offset="0,.55556mm"/>
                  <v:textbox inset="0,0,0,0">
                    <w:txbxContent>
                      <w:p w:rsidR="0041099D" w:rsidRPr="00BA2588" w:rsidRDefault="0041099D" w:rsidP="00BA2588">
                        <w:pPr>
                          <w:jc w:val="center"/>
                          <w:rPr>
                            <w:rFonts w:asciiTheme="minorHAnsi" w:hAnsiTheme="minorHAnsi" w:cstheme="minorHAnsi"/>
                          </w:rPr>
                        </w:pPr>
                        <w:r>
                          <w:rPr>
                            <w:rFonts w:asciiTheme="minorHAnsi" w:hAnsiTheme="minorHAnsi" w:cstheme="minorHAnsi"/>
                          </w:rPr>
                          <w:t>Aukštesnis ekonomikos lygis</w:t>
                        </w:r>
                      </w:p>
                    </w:txbxContent>
                  </v:textbox>
                </v:rect>
                <v:line id="Straight Connector 12" o:spid="_x0000_s1030" style="position:absolute;visibility:visible;mso-wrap-style:square" from="48006,9429" to="48006,15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LGdMEAAADbAAAADwAAAGRycy9kb3ducmV2LnhtbERPzWrCQBC+C32HZQredNMURaOrSKEg&#10;tpfaPsCYHZNgdjbdnWrs07uFgrf5+H5nue5dq84UYuPZwNM4A0VcettwZeDr83U0AxUF2WLrmQxc&#10;KcJ69TBYYmH9hT/ovJdKpRCOBRqoRbpC61jW5DCOfUecuKMPDiXBUGkb8JLCXavzLJtqhw2nhho7&#10;eqmpPO1/nIHvt/dtvB7aXKaT390pbGZzeY7GDB/7zQKUUC938b97a9P8HP5+SQfo1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YsZ0wQAAANsAAAAPAAAAAAAAAAAAAAAA&#10;AKECAABkcnMvZG93bnJldi54bWxQSwUGAAAAAAQABAD5AAAAjwMAAAAA&#10;" strokecolor="#4579b8 [3044]"/>
                <v:shapetype id="_x0000_t32" coordsize="21600,21600" o:spt="32" o:oned="t" path="m,l21600,21600e" filled="f">
                  <v:path arrowok="t" fillok="f" o:connecttype="none"/>
                  <o:lock v:ext="edit" shapetype="t"/>
                </v:shapetype>
                <v:shape id="Straight Arrow Connector 13" o:spid="_x0000_s1031" type="#_x0000_t32" style="position:absolute;left:42576;top:15240;width:543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Trr8YAAADbAAAADwAAAGRycy9kb3ducmV2LnhtbESPQWvCQBCF74L/YRmhN93YqpTUVcRS&#10;aBEqiYXibcyOSTA7G3a3Jv333YLgbYb35n1vluveNOJKzteWFUwnCQjiwuqaSwVfh7fxMwgfkDU2&#10;lknBL3lYr4aDJabadpzRNQ+liCHsU1RQhdCmUvqiIoN+YlviqJ2tMxji6kqpHXYx3DTyMUkW0mDN&#10;kVBhS9uKikv+YyLkdZbNd9+704yyzb47fRw/gzsq9TDqNy8gAvXhbr5dv+tY/wn+f4kD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066/GAAAA2wAAAA8AAAAAAAAA&#10;AAAAAAAAoQIAAGRycy9kb3ducmV2LnhtbFBLBQYAAAAABAAEAPkAAACUAwAAAAA=&#10;" strokecolor="#4579b8 [3044]">
                  <v:stroke endarrow="open"/>
                </v:shape>
                <v:roundrect id="Rounded Rectangle 14" o:spid="_x0000_s1032" style="position:absolute;left:11811;top:12192;width:30765;height:590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2HLcIA&#10;AADbAAAADwAAAGRycy9kb3ducmV2LnhtbERP0WrCQBB8L/gPxwq+NReLWo2eQRIsQp8aBV+X3JoE&#10;c3shd9XYr/cKhb7N7uzM7GzSwbTiRr1rLCuYRjEI4tLqhisFp+P+dQnCeWSNrWVS8CAH6Xb0ssFE&#10;2zt/0a3wlQgm7BJUUHvfJVK6siaDLrIdceAutjfow9hXUvd4D+amlW9xvJAGGw4JNXaU1VRei2+j&#10;YP6zyg+L4Z2aLqcyzrKPz3PYq8l42K1BeBr8//Gf+qDD+zP47RIAyO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nYctwgAAANsAAAAPAAAAAAAAAAAAAAAAAJgCAABkcnMvZG93&#10;bnJldi54bWxQSwUGAAAAAAQABAD1AAAAhwMAAAAA&#10;" fillcolor="#a7bfde [1620]" strokecolor="#4579b8 [3044]">
                  <v:fill color2="#e4ecf5 [500]" rotate="t" angle="180" colors="0 #a3c4ff;22938f #bfd5ff;1 #e5eeff" focus="100%" type="gradient"/>
                  <v:shadow on="t" color="black" opacity="24903f" origin=",.5" offset="0,.55556mm"/>
                  <v:textbox>
                    <w:txbxContent>
                      <w:p w:rsidR="0041099D" w:rsidRPr="00631C63" w:rsidRDefault="0041099D" w:rsidP="00631C63">
                        <w:pPr>
                          <w:jc w:val="center"/>
                          <w:rPr>
                            <w:rFonts w:asciiTheme="minorHAnsi" w:hAnsiTheme="minorHAnsi" w:cstheme="minorHAnsi"/>
                          </w:rPr>
                        </w:pPr>
                        <w:r w:rsidRPr="00631C63">
                          <w:rPr>
                            <w:rFonts w:asciiTheme="minorHAnsi" w:hAnsiTheme="minorHAnsi" w:cstheme="minorHAnsi"/>
                          </w:rPr>
                          <w:t>Tolesniam augimui būtinas lizingo poreikis</w:t>
                        </w:r>
                      </w:p>
                    </w:txbxContent>
                  </v:textbox>
                </v:roundrect>
                <v:line id="Straight Connector 15" o:spid="_x0000_s1033" style="position:absolute;flip:x;visibility:visible;mso-wrap-style:square" from="5905,15240" to="11620,15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5sZsMAAADbAAAADwAAAGRycy9kb3ducmV2LnhtbERPTWvCQBC9C/6HZYTezEZb25K6igjS&#10;oKCt7aHHITtNgtnZNLs10V/vCoK3ebzPmc47U4kjNa60rGAUxSCIM6tLzhV8f62GryCcR9ZYWSYF&#10;J3Iwn/V7U0y0bfmTjnufixDCLkEFhfd1IqXLCjLoIlsTB+7XNgZ9gE0udYNtCDeVHMfxszRYcmgo&#10;sKZlQdlh/28UpCmv12de7X5GH3/v/rHcbJ/aF6UeBt3iDYSnzt/FN3eqw/wJXH8JB8jZ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nObGbDAAAA2wAAAA8AAAAAAAAAAAAA&#10;AAAAoQIAAGRycy9kb3ducmV2LnhtbFBLBQYAAAAABAAEAPkAAACRAwAAAAA=&#10;" strokecolor="#4579b8 [3044]"/>
                <v:shape id="Straight Arrow Connector 16" o:spid="_x0000_s1034" type="#_x0000_t32" style="position:absolute;left:5905;top:9334;width:0;height:600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NIN8UAAADbAAAADwAAAGRycy9kb3ducmV2LnhtbESPQWvCQBCF70L/wzIFb7ppsVJiNiIt&#10;gkWoxBbE25gdk2B2NuyuJv333YLQ2wzvzfveZMvBtOJGzjeWFTxNExDEpdUNVwq+v9aTVxA+IGts&#10;LZOCH/KwzB9GGaba9lzQbR8qEUPYp6igDqFLpfRlTQb91HbEUTtbZzDE1VVSO+xjuGnlc5LMpcGG&#10;I6HGjt5qKi/7q4mQ91nxsj1sTzMqVrv+9HH8DO6o1PhxWC1ABBrCv/l+vdGx/hz+fokDy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8NIN8UAAADbAAAADwAAAAAAAAAA&#10;AAAAAAChAgAAZHJzL2Rvd25yZXYueG1sUEsFBgAAAAAEAAQA+QAAAJMDAAAAAA==&#10;" strokecolor="#4579b8 [3044]">
                  <v:stroke endarrow="open"/>
                </v:shape>
                <w10:wrap type="topAndBottom"/>
              </v:group>
            </w:pict>
          </mc:Fallback>
        </mc:AlternateContent>
      </w:r>
      <w:r w:rsidR="00F928DD" w:rsidRPr="00F928DD">
        <w:rPr>
          <w:rFonts w:ascii="Times New Roman" w:hAnsi="Times New Roman" w:cs="Times New Roman"/>
          <w:b/>
        </w:rPr>
        <w:t xml:space="preserve">Lizingo </w:t>
      </w:r>
      <w:r w:rsidR="00C66321">
        <w:rPr>
          <w:rFonts w:ascii="Times New Roman" w:hAnsi="Times New Roman" w:cs="Times New Roman"/>
          <w:b/>
        </w:rPr>
        <w:t xml:space="preserve">rinkos </w:t>
      </w:r>
      <w:r w:rsidR="00F928DD" w:rsidRPr="00F928DD">
        <w:rPr>
          <w:rFonts w:ascii="Times New Roman" w:hAnsi="Times New Roman" w:cs="Times New Roman"/>
          <w:b/>
        </w:rPr>
        <w:t>poveikis ekonomikos augimui</w:t>
      </w:r>
      <w:r w:rsidR="00F928DD" w:rsidRPr="00F928DD">
        <w:rPr>
          <w:rFonts w:ascii="Times New Roman" w:hAnsi="Times New Roman" w:cs="Times New Roman"/>
        </w:rPr>
        <w:t xml:space="preserve">. </w:t>
      </w:r>
      <w:r w:rsidR="00BA2588" w:rsidRPr="00F928DD">
        <w:rPr>
          <w:rFonts w:ascii="Times New Roman" w:hAnsi="Times New Roman" w:cs="Times New Roman"/>
        </w:rPr>
        <w:t>Lizingo svarbą ekonomikos augimui akcentuoja Gallardo (1997). Jo lizingo ir ekonomikos  augimo sąveikos schema pateikiama trečiame paveiksle.</w:t>
      </w:r>
    </w:p>
    <w:p w:rsidR="002E75B9" w:rsidRPr="00F928DD" w:rsidRDefault="002E75B9" w:rsidP="002E75B9">
      <w:pPr>
        <w:pStyle w:val="ListParagraph"/>
        <w:tabs>
          <w:tab w:val="left" w:pos="1134"/>
        </w:tabs>
        <w:spacing w:line="360" w:lineRule="auto"/>
        <w:ind w:left="567"/>
        <w:jc w:val="both"/>
        <w:rPr>
          <w:rFonts w:ascii="Times New Roman" w:hAnsi="Times New Roman" w:cs="Times New Roman"/>
        </w:rPr>
      </w:pPr>
    </w:p>
    <w:p w:rsidR="00F710A1" w:rsidRDefault="00F710A1" w:rsidP="00F710A1">
      <w:pPr>
        <w:ind w:firstLine="709"/>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J. Gallardo, 1997</w:t>
      </w:r>
    </w:p>
    <w:p w:rsidR="0091696B" w:rsidRDefault="00811DC3" w:rsidP="00924B1F">
      <w:pPr>
        <w:pStyle w:val="Paveikslai"/>
      </w:pPr>
      <w:bookmarkStart w:id="13" w:name="_Toc343459673"/>
      <w:r>
        <w:t xml:space="preserve">3 </w:t>
      </w:r>
      <w:r w:rsidR="007603C0">
        <w:t>pav.</w:t>
      </w:r>
      <w:r w:rsidR="00631C63" w:rsidRPr="00631C63">
        <w:t xml:space="preserve"> Lizingo </w:t>
      </w:r>
      <w:r w:rsidR="00323AA8">
        <w:t xml:space="preserve">rinkos </w:t>
      </w:r>
      <w:r w:rsidR="00631C63" w:rsidRPr="00631C63">
        <w:t>poveik</w:t>
      </w:r>
      <w:r w:rsidR="00924B1F">
        <w:t>is ekonomikos augimui</w:t>
      </w:r>
      <w:bookmarkEnd w:id="13"/>
    </w:p>
    <w:p w:rsidR="00631C63" w:rsidRPr="00631C63" w:rsidRDefault="00631C63" w:rsidP="00631C63">
      <w:pPr>
        <w:jc w:val="center"/>
        <w:rPr>
          <w:rFonts w:ascii="Times New Roman" w:hAnsi="Times New Roman" w:cs="Times New Roman"/>
        </w:rPr>
      </w:pPr>
    </w:p>
    <w:p w:rsidR="00555132" w:rsidRDefault="00631C63" w:rsidP="00310B37">
      <w:pPr>
        <w:tabs>
          <w:tab w:val="left" w:pos="567"/>
        </w:tabs>
        <w:spacing w:line="360" w:lineRule="auto"/>
        <w:jc w:val="both"/>
        <w:rPr>
          <w:rFonts w:ascii="Times New Roman" w:hAnsi="Times New Roman" w:cs="Times New Roman"/>
        </w:rPr>
      </w:pPr>
      <w:r>
        <w:rPr>
          <w:rFonts w:ascii="Times New Roman" w:hAnsi="Times New Roman" w:cs="Times New Roman"/>
        </w:rPr>
        <w:tab/>
      </w:r>
      <w:r w:rsidR="006F55B4">
        <w:rPr>
          <w:rFonts w:ascii="Times New Roman" w:hAnsi="Times New Roman" w:cs="Times New Roman"/>
        </w:rPr>
        <w:t xml:space="preserve">Šioje schemoje lizingas traktuojamas kaip ekonomikos augimą skatinantis veiksnys. </w:t>
      </w:r>
      <w:r w:rsidR="00310B37">
        <w:rPr>
          <w:rFonts w:ascii="Times New Roman" w:hAnsi="Times New Roman" w:cs="Times New Roman"/>
        </w:rPr>
        <w:t>Gallardo (1997) teigia, kad lizingas yra svarbiausias naujoms bei rizikingoms įmonėms, kurios dažniausia</w:t>
      </w:r>
      <w:r w:rsidR="00DF0667">
        <w:rPr>
          <w:rFonts w:ascii="Times New Roman" w:hAnsi="Times New Roman" w:cs="Times New Roman"/>
        </w:rPr>
        <w:t>i</w:t>
      </w:r>
      <w:r w:rsidR="00310B37">
        <w:rPr>
          <w:rFonts w:ascii="Times New Roman" w:hAnsi="Times New Roman" w:cs="Times New Roman"/>
        </w:rPr>
        <w:t xml:space="preserve"> pasižymi pradinių investicijų trūkumu bei dideliu augimo potencialu. Lizingas sudaro galimybę kurti naują verslą su mažais pradiniais ištekliais, o tai skatina naujų įmonių kūrimąsi bei konkurencijos didėjimą. Verslo plėtra savo ruoštu tiesiogiai lemia ekonomikos lygio kilimą, kuris sudaro sąlygas ekonominio uždaro rato formavimuisi – gerėjant ekonominei situacijai, sparčiau kuriasi naujos įmonės, o tai lemia d</w:t>
      </w:r>
      <w:r w:rsidR="00555132">
        <w:rPr>
          <w:rFonts w:ascii="Times New Roman" w:hAnsi="Times New Roman" w:cs="Times New Roman"/>
        </w:rPr>
        <w:t xml:space="preserve">idesnį lizingo paslaugų poreikį. </w:t>
      </w:r>
    </w:p>
    <w:p w:rsidR="0042336D" w:rsidRDefault="00555132" w:rsidP="00310B37">
      <w:pPr>
        <w:tabs>
          <w:tab w:val="left" w:pos="567"/>
        </w:tabs>
        <w:spacing w:line="360" w:lineRule="auto"/>
        <w:jc w:val="both"/>
        <w:rPr>
          <w:rFonts w:ascii="Times New Roman" w:hAnsi="Times New Roman" w:cs="Times New Roman"/>
        </w:rPr>
      </w:pPr>
      <w:r>
        <w:rPr>
          <w:rFonts w:ascii="Times New Roman" w:hAnsi="Times New Roman" w:cs="Times New Roman"/>
        </w:rPr>
        <w:tab/>
      </w:r>
      <w:r w:rsidR="00306551">
        <w:rPr>
          <w:rFonts w:ascii="Times New Roman" w:hAnsi="Times New Roman" w:cs="Times New Roman"/>
        </w:rPr>
        <w:t>Ypatingą lizingo</w:t>
      </w:r>
      <w:r w:rsidR="00066D0A">
        <w:rPr>
          <w:rFonts w:ascii="Times New Roman" w:hAnsi="Times New Roman" w:cs="Times New Roman"/>
        </w:rPr>
        <w:t xml:space="preserve"> </w:t>
      </w:r>
      <w:r w:rsidR="001B1CDA">
        <w:rPr>
          <w:rFonts w:ascii="Times New Roman" w:hAnsi="Times New Roman" w:cs="Times New Roman"/>
        </w:rPr>
        <w:t xml:space="preserve">ekonominę </w:t>
      </w:r>
      <w:r w:rsidR="00306551">
        <w:rPr>
          <w:rFonts w:ascii="Times New Roman" w:hAnsi="Times New Roman" w:cs="Times New Roman"/>
        </w:rPr>
        <w:t xml:space="preserve">naudą </w:t>
      </w:r>
      <w:r w:rsidR="0042336D">
        <w:rPr>
          <w:rFonts w:ascii="Times New Roman" w:hAnsi="Times New Roman" w:cs="Times New Roman"/>
        </w:rPr>
        <w:t>per mažų įmonių prizmę</w:t>
      </w:r>
      <w:r w:rsidR="00306551">
        <w:rPr>
          <w:rFonts w:ascii="Times New Roman" w:hAnsi="Times New Roman" w:cs="Times New Roman"/>
        </w:rPr>
        <w:t xml:space="preserve"> nagrinėjo ir kiti autoriai. </w:t>
      </w:r>
      <w:r w:rsidR="00DF0667">
        <w:rPr>
          <w:rFonts w:ascii="Times New Roman" w:hAnsi="Times New Roman" w:cs="Times New Roman"/>
        </w:rPr>
        <w:t xml:space="preserve">Rusų autorius </w:t>
      </w:r>
      <w:r w:rsidR="00306551">
        <w:rPr>
          <w:rFonts w:ascii="Times New Roman" w:hAnsi="Times New Roman" w:cs="Times New Roman"/>
        </w:rPr>
        <w:t xml:space="preserve">Schevchenko pabrėžė, kad lizingas padeda naujoms </w:t>
      </w:r>
      <w:r w:rsidR="00D95697">
        <w:rPr>
          <w:rFonts w:ascii="Times New Roman" w:hAnsi="Times New Roman" w:cs="Times New Roman"/>
        </w:rPr>
        <w:t xml:space="preserve">rusų </w:t>
      </w:r>
      <w:r w:rsidR="00306551">
        <w:rPr>
          <w:rFonts w:ascii="Times New Roman" w:hAnsi="Times New Roman" w:cs="Times New Roman"/>
        </w:rPr>
        <w:t xml:space="preserve">įmonėms su mažai pajamų ir be didelio pradinio kapitalo poreikio įsigyti modernią įrangą ar technologijas, kas tokioms įmonėms padeda konkuruoti, teigti paslaugas atsižvelgiant į kliento poreikius bei sėkmingai veikti (Pakhtusov, Bay, 2006). </w:t>
      </w:r>
    </w:p>
    <w:p w:rsidR="00C072A6" w:rsidRDefault="00082564" w:rsidP="00310B37">
      <w:pPr>
        <w:tabs>
          <w:tab w:val="left" w:pos="567"/>
        </w:tabs>
        <w:spacing w:line="360" w:lineRule="auto"/>
        <w:jc w:val="both"/>
        <w:rPr>
          <w:rFonts w:ascii="Times New Roman" w:hAnsi="Times New Roman" w:cs="Times New Roman"/>
        </w:rPr>
      </w:pPr>
      <w:r>
        <w:rPr>
          <w:rFonts w:ascii="Times New Roman" w:hAnsi="Times New Roman" w:cs="Times New Roman"/>
        </w:rPr>
        <w:tab/>
        <w:t>Apskritai</w:t>
      </w:r>
      <w:r w:rsidR="00DF0667">
        <w:rPr>
          <w:rFonts w:ascii="Times New Roman" w:hAnsi="Times New Roman" w:cs="Times New Roman"/>
        </w:rPr>
        <w:t>,</w:t>
      </w:r>
      <w:r>
        <w:rPr>
          <w:rFonts w:ascii="Times New Roman" w:hAnsi="Times New Roman" w:cs="Times New Roman"/>
        </w:rPr>
        <w:t xml:space="preserve"> </w:t>
      </w:r>
      <w:r w:rsidR="00BE2B78">
        <w:rPr>
          <w:rFonts w:ascii="Times New Roman" w:hAnsi="Times New Roman" w:cs="Times New Roman"/>
        </w:rPr>
        <w:t>mokslininkai tyrinėję Rusijos rinką</w:t>
      </w:r>
      <w:r w:rsidR="00DE4E23">
        <w:rPr>
          <w:rFonts w:ascii="Times New Roman" w:hAnsi="Times New Roman" w:cs="Times New Roman"/>
        </w:rPr>
        <w:t xml:space="preserve"> pabrėžia didelę lizingo svarbą</w:t>
      </w:r>
      <w:r w:rsidR="00BE2B78">
        <w:rPr>
          <w:rFonts w:ascii="Times New Roman" w:hAnsi="Times New Roman" w:cs="Times New Roman"/>
        </w:rPr>
        <w:t xml:space="preserve"> </w:t>
      </w:r>
      <w:r w:rsidR="00DE4E23">
        <w:rPr>
          <w:rFonts w:ascii="Times New Roman" w:hAnsi="Times New Roman" w:cs="Times New Roman"/>
        </w:rPr>
        <w:t>š</w:t>
      </w:r>
      <w:r w:rsidR="00BE2B78">
        <w:rPr>
          <w:rFonts w:ascii="Times New Roman" w:hAnsi="Times New Roman" w:cs="Times New Roman"/>
        </w:rPr>
        <w:t>ioje šalyje</w:t>
      </w:r>
      <w:r w:rsidR="00DE4E23">
        <w:rPr>
          <w:rFonts w:ascii="Times New Roman" w:hAnsi="Times New Roman" w:cs="Times New Roman"/>
        </w:rPr>
        <w:t>. Ž</w:t>
      </w:r>
      <w:r w:rsidR="00BE2B78">
        <w:rPr>
          <w:rFonts w:ascii="Times New Roman" w:hAnsi="Times New Roman" w:cs="Times New Roman"/>
        </w:rPr>
        <w:t xml:space="preserve">lugus </w:t>
      </w:r>
      <w:r w:rsidR="00AD3DF3">
        <w:rPr>
          <w:rFonts w:ascii="Times New Roman" w:hAnsi="Times New Roman" w:cs="Times New Roman"/>
        </w:rPr>
        <w:t>Sovietų</w:t>
      </w:r>
      <w:r w:rsidR="00BE2B78">
        <w:rPr>
          <w:rFonts w:ascii="Times New Roman" w:hAnsi="Times New Roman" w:cs="Times New Roman"/>
        </w:rPr>
        <w:t xml:space="preserve"> Sąjungai, perėjimas nuo komandinės ekonomikos prie rinkos kėlė tikrai daug problemų ir sunkumų. Lizingas buvo viena iš priemonių palengvinusi </w:t>
      </w:r>
      <w:r w:rsidR="00306551">
        <w:rPr>
          <w:rFonts w:ascii="Times New Roman" w:hAnsi="Times New Roman" w:cs="Times New Roman"/>
        </w:rPr>
        <w:t xml:space="preserve">perėjimą prie rinkos ekonomikos. </w:t>
      </w:r>
      <w:r w:rsidR="00D95697">
        <w:rPr>
          <w:rFonts w:ascii="Times New Roman" w:hAnsi="Times New Roman" w:cs="Times New Roman"/>
        </w:rPr>
        <w:t>Mokslininkai teigia, kad</w:t>
      </w:r>
      <w:r w:rsidR="00306551">
        <w:rPr>
          <w:rFonts w:ascii="Times New Roman" w:hAnsi="Times New Roman" w:cs="Times New Roman"/>
        </w:rPr>
        <w:t xml:space="preserve"> </w:t>
      </w:r>
      <w:r w:rsidR="00DE4E23">
        <w:rPr>
          <w:rFonts w:ascii="Times New Roman" w:hAnsi="Times New Roman" w:cs="Times New Roman"/>
        </w:rPr>
        <w:t>lizingas Rusijos ekonomikai b</w:t>
      </w:r>
      <w:r w:rsidR="00C072A6">
        <w:rPr>
          <w:rFonts w:ascii="Times New Roman" w:hAnsi="Times New Roman" w:cs="Times New Roman"/>
        </w:rPr>
        <w:t>uvo labai svarbus dėl 4 priežasčių:</w:t>
      </w:r>
    </w:p>
    <w:p w:rsidR="00C072A6" w:rsidRDefault="00C072A6" w:rsidP="00C072A6">
      <w:pPr>
        <w:pStyle w:val="ListParagraph"/>
        <w:numPr>
          <w:ilvl w:val="0"/>
          <w:numId w:val="8"/>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Lizingas padidino vidaus ir užsienio investicijų normą Rusijoje, taip padidindamas ekonomikos aktyvumą. Tai savo ruoštu padidino Rusijos biudžeto mokestines pajamas, kas leido stabilizuoti socialinę-ekonominę situaciją</w:t>
      </w:r>
      <w:r w:rsidR="006F42DE">
        <w:rPr>
          <w:rFonts w:ascii="Times New Roman" w:hAnsi="Times New Roman" w:cs="Times New Roman"/>
        </w:rPr>
        <w:t xml:space="preserve"> (Interna</w:t>
      </w:r>
      <w:r w:rsidR="006A3D7B">
        <w:rPr>
          <w:rFonts w:ascii="Times New Roman" w:hAnsi="Times New Roman" w:cs="Times New Roman"/>
        </w:rPr>
        <w:t>tional Finance Corporation [IFC], 2002)</w:t>
      </w:r>
    </w:p>
    <w:p w:rsidR="00C072A6" w:rsidRDefault="00C072A6" w:rsidP="00C072A6">
      <w:pPr>
        <w:pStyle w:val="ListParagraph"/>
        <w:numPr>
          <w:ilvl w:val="0"/>
          <w:numId w:val="8"/>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Lizingas pagerino bei pagreitino naujų technologijų, </w:t>
      </w:r>
      <w:r w:rsidR="006A3D7B">
        <w:rPr>
          <w:rFonts w:ascii="Times New Roman" w:hAnsi="Times New Roman" w:cs="Times New Roman"/>
        </w:rPr>
        <w:t xml:space="preserve">technologinių </w:t>
      </w:r>
      <w:r>
        <w:rPr>
          <w:rFonts w:ascii="Times New Roman" w:hAnsi="Times New Roman" w:cs="Times New Roman"/>
        </w:rPr>
        <w:t>sprendimų įsisavinimą, taip padėdamas įmonėms tapti modernesnėm</w:t>
      </w:r>
      <w:r w:rsidR="006A3D7B">
        <w:rPr>
          <w:rFonts w:ascii="Times New Roman" w:hAnsi="Times New Roman" w:cs="Times New Roman"/>
        </w:rPr>
        <w:t>i</w:t>
      </w:r>
      <w:r>
        <w:rPr>
          <w:rFonts w:ascii="Times New Roman" w:hAnsi="Times New Roman" w:cs="Times New Roman"/>
        </w:rPr>
        <w:t xml:space="preserve">s, </w:t>
      </w:r>
      <w:r w:rsidR="006A3D7B">
        <w:rPr>
          <w:rFonts w:ascii="Times New Roman" w:hAnsi="Times New Roman" w:cs="Times New Roman"/>
        </w:rPr>
        <w:t>technologiškai pažangesnėmis ir turinčioms galimybę konkuruoti su kitų šalių įmonėmis (Kirkby, 1999)</w:t>
      </w:r>
    </w:p>
    <w:p w:rsidR="006A3D7B" w:rsidRDefault="006A3D7B" w:rsidP="006A3D7B">
      <w:pPr>
        <w:pStyle w:val="ListParagraph"/>
        <w:numPr>
          <w:ilvl w:val="0"/>
          <w:numId w:val="8"/>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Lizingas padidino šalies galimybes gauti paramą iš Tarptautinio valiutos fondo, kuris lizingo įsipareigojimų netraukia į bendrą valstybės skolą </w:t>
      </w:r>
      <w:r w:rsidRPr="006A3D7B">
        <w:rPr>
          <w:rFonts w:ascii="Times New Roman" w:hAnsi="Times New Roman" w:cs="Times New Roman"/>
        </w:rPr>
        <w:t>(Paktusov, Bay, 2006)</w:t>
      </w:r>
      <w:r>
        <w:rPr>
          <w:rFonts w:ascii="Times New Roman" w:hAnsi="Times New Roman" w:cs="Times New Roman"/>
        </w:rPr>
        <w:t>.</w:t>
      </w:r>
    </w:p>
    <w:p w:rsidR="006A3D7B" w:rsidRPr="006A3D7B" w:rsidRDefault="00A7615C" w:rsidP="006A3D7B">
      <w:pPr>
        <w:pStyle w:val="ListParagraph"/>
        <w:numPr>
          <w:ilvl w:val="0"/>
          <w:numId w:val="8"/>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Lizingas suteikė, jau aprašytą galimybę, mažoms įmonėms finansuotis reikiamą įrangą neturint didelių sumų pradinėms investicijoms (IFC, 2002).</w:t>
      </w:r>
    </w:p>
    <w:p w:rsidR="00631C63" w:rsidRPr="00A7615C" w:rsidRDefault="00A7615C" w:rsidP="00A7615C">
      <w:pPr>
        <w:tabs>
          <w:tab w:val="left" w:pos="567"/>
        </w:tabs>
        <w:spacing w:line="360" w:lineRule="auto"/>
        <w:jc w:val="both"/>
        <w:rPr>
          <w:rFonts w:ascii="Times New Roman" w:hAnsi="Times New Roman" w:cs="Times New Roman"/>
        </w:rPr>
      </w:pPr>
      <w:r>
        <w:rPr>
          <w:rFonts w:ascii="Times New Roman" w:hAnsi="Times New Roman" w:cs="Times New Roman"/>
        </w:rPr>
        <w:tab/>
        <w:t xml:space="preserve">Taigi lizingas </w:t>
      </w:r>
      <w:r w:rsidR="00306551" w:rsidRPr="00A7615C">
        <w:rPr>
          <w:rFonts w:ascii="Times New Roman" w:hAnsi="Times New Roman" w:cs="Times New Roman"/>
        </w:rPr>
        <w:t xml:space="preserve">Rusijoje </w:t>
      </w:r>
      <w:r w:rsidR="00BE2B78" w:rsidRPr="00A7615C">
        <w:rPr>
          <w:rFonts w:ascii="Times New Roman" w:hAnsi="Times New Roman" w:cs="Times New Roman"/>
        </w:rPr>
        <w:t>padėjo padidinti gamybinius pajėgumus, išplėsti investicijas į naujas technologijas</w:t>
      </w:r>
      <w:r w:rsidR="00DF0667" w:rsidRPr="00A7615C">
        <w:rPr>
          <w:rFonts w:ascii="Times New Roman" w:hAnsi="Times New Roman" w:cs="Times New Roman"/>
        </w:rPr>
        <w:t xml:space="preserve"> bei visą verslo ciklą paversti efektyvesniu ir veiksmingesniu. Tai</w:t>
      </w:r>
      <w:r w:rsidR="00BE2B78" w:rsidRPr="00A7615C">
        <w:rPr>
          <w:rFonts w:ascii="Times New Roman" w:hAnsi="Times New Roman" w:cs="Times New Roman"/>
        </w:rPr>
        <w:t xml:space="preserve"> galų gale </w:t>
      </w:r>
      <w:r w:rsidR="00DF0667" w:rsidRPr="00A7615C">
        <w:rPr>
          <w:rFonts w:ascii="Times New Roman" w:hAnsi="Times New Roman" w:cs="Times New Roman"/>
        </w:rPr>
        <w:t>privedė Rusijos</w:t>
      </w:r>
      <w:r w:rsidR="00BE2B78" w:rsidRPr="00A7615C">
        <w:rPr>
          <w:rFonts w:ascii="Times New Roman" w:hAnsi="Times New Roman" w:cs="Times New Roman"/>
        </w:rPr>
        <w:t xml:space="preserve"> ekono</w:t>
      </w:r>
      <w:r w:rsidR="00082564" w:rsidRPr="00A7615C">
        <w:rPr>
          <w:rFonts w:ascii="Times New Roman" w:hAnsi="Times New Roman" w:cs="Times New Roman"/>
        </w:rPr>
        <w:t xml:space="preserve">miką </w:t>
      </w:r>
      <w:r w:rsidR="00DF0667" w:rsidRPr="00A7615C">
        <w:rPr>
          <w:rFonts w:ascii="Times New Roman" w:hAnsi="Times New Roman" w:cs="Times New Roman"/>
        </w:rPr>
        <w:t xml:space="preserve">prie atsigavimo </w:t>
      </w:r>
      <w:r w:rsidR="00082564" w:rsidRPr="00A7615C">
        <w:rPr>
          <w:rFonts w:ascii="Times New Roman" w:hAnsi="Times New Roman" w:cs="Times New Roman"/>
        </w:rPr>
        <w:t>(Pakhtusov, Bay, 2006)</w:t>
      </w:r>
      <w:r w:rsidR="00DF0667" w:rsidRPr="00A7615C">
        <w:rPr>
          <w:rFonts w:ascii="Times New Roman" w:hAnsi="Times New Roman" w:cs="Times New Roman"/>
        </w:rPr>
        <w:t>.</w:t>
      </w:r>
    </w:p>
    <w:p w:rsidR="001907E6" w:rsidRDefault="00082564" w:rsidP="00310B37">
      <w:pPr>
        <w:tabs>
          <w:tab w:val="left" w:pos="567"/>
        </w:tabs>
        <w:spacing w:line="360" w:lineRule="auto"/>
        <w:jc w:val="both"/>
        <w:rPr>
          <w:rFonts w:ascii="Times New Roman" w:hAnsi="Times New Roman" w:cs="Times New Roman"/>
        </w:rPr>
      </w:pPr>
      <w:r>
        <w:rPr>
          <w:rFonts w:ascii="Times New Roman" w:hAnsi="Times New Roman" w:cs="Times New Roman"/>
        </w:rPr>
        <w:tab/>
        <w:t xml:space="preserve">Lizingo </w:t>
      </w:r>
      <w:r w:rsidR="005C2759">
        <w:rPr>
          <w:rFonts w:ascii="Times New Roman" w:hAnsi="Times New Roman" w:cs="Times New Roman"/>
        </w:rPr>
        <w:t xml:space="preserve">rinkos </w:t>
      </w:r>
      <w:r>
        <w:rPr>
          <w:rFonts w:ascii="Times New Roman" w:hAnsi="Times New Roman" w:cs="Times New Roman"/>
        </w:rPr>
        <w:t xml:space="preserve">įtaka ekonomikos augimui tyrinėta ir daugelyje kitų šalių. </w:t>
      </w:r>
      <w:r w:rsidR="00C0183E">
        <w:rPr>
          <w:rFonts w:ascii="Times New Roman" w:hAnsi="Times New Roman" w:cs="Times New Roman"/>
        </w:rPr>
        <w:t>Galič ir Funarič (2008) lizingą besivystančioms Rytų bei Vidurio Europos šalims</w:t>
      </w:r>
      <w:r w:rsidR="0013093B">
        <w:rPr>
          <w:rFonts w:ascii="Times New Roman" w:hAnsi="Times New Roman" w:cs="Times New Roman"/>
        </w:rPr>
        <w:t xml:space="preserve"> </w:t>
      </w:r>
      <w:r w:rsidR="006F42DE">
        <w:rPr>
          <w:rFonts w:ascii="Times New Roman" w:hAnsi="Times New Roman" w:cs="Times New Roman"/>
        </w:rPr>
        <w:t xml:space="preserve">taip pat </w:t>
      </w:r>
      <w:r w:rsidR="00C0183E">
        <w:rPr>
          <w:rFonts w:ascii="Times New Roman" w:hAnsi="Times New Roman" w:cs="Times New Roman"/>
        </w:rPr>
        <w:t>įvardija kaip vieną</w:t>
      </w:r>
      <w:r w:rsidR="0013093B">
        <w:rPr>
          <w:rFonts w:ascii="Times New Roman" w:hAnsi="Times New Roman" w:cs="Times New Roman"/>
        </w:rPr>
        <w:t xml:space="preserve"> svar</w:t>
      </w:r>
      <w:r w:rsidR="00DB3427">
        <w:rPr>
          <w:rFonts w:ascii="Times New Roman" w:hAnsi="Times New Roman" w:cs="Times New Roman"/>
        </w:rPr>
        <w:t xml:space="preserve">biausių finansinių instrumentų. Šios šalys taip pat buvo susijusios su žlugusia </w:t>
      </w:r>
      <w:r w:rsidR="00AD3DF3">
        <w:rPr>
          <w:rFonts w:ascii="Times New Roman" w:hAnsi="Times New Roman" w:cs="Times New Roman"/>
        </w:rPr>
        <w:t>Sovietų</w:t>
      </w:r>
      <w:r w:rsidR="00DB3427">
        <w:rPr>
          <w:rFonts w:ascii="Times New Roman" w:hAnsi="Times New Roman" w:cs="Times New Roman"/>
        </w:rPr>
        <w:t xml:space="preserve"> Sąjunga – jai priklausė arba glaudžiai su ja bendradarbiavo. Taigi šios sistemos žlugimas, įtakojo </w:t>
      </w:r>
      <w:r w:rsidR="00C0183E">
        <w:rPr>
          <w:rFonts w:ascii="Times New Roman" w:hAnsi="Times New Roman" w:cs="Times New Roman"/>
        </w:rPr>
        <w:t xml:space="preserve">sunkų pereinamąjį laikotarpį. Lizingas padėjo šioms ekonomikoms greičiau „pakilti“. Lizingas kaip ir Rusijos atveju labai </w:t>
      </w:r>
      <w:r w:rsidR="00C0183E">
        <w:rPr>
          <w:rFonts w:ascii="Times New Roman" w:hAnsi="Times New Roman" w:cs="Times New Roman"/>
        </w:rPr>
        <w:lastRenderedPageBreak/>
        <w:t xml:space="preserve">padėjo naujoms bei smulkioms įmonėms </w:t>
      </w:r>
      <w:r w:rsidR="00FF4095">
        <w:rPr>
          <w:rFonts w:ascii="Times New Roman" w:hAnsi="Times New Roman" w:cs="Times New Roman"/>
        </w:rPr>
        <w:t xml:space="preserve">įsigyti reikalingos įrangos. </w:t>
      </w:r>
      <w:r w:rsidR="00676A5F">
        <w:rPr>
          <w:rFonts w:ascii="Times New Roman" w:hAnsi="Times New Roman" w:cs="Times New Roman"/>
        </w:rPr>
        <w:t xml:space="preserve">Didesnėms įmonėms įsigyjant įrangą taip pat reikėjo mažesnių investicijų, kas galiausiai leido nestabdyti plėtros planų ir kitų investicijų. </w:t>
      </w:r>
      <w:r w:rsidR="00676A5F" w:rsidRPr="00676A5F">
        <w:rPr>
          <w:rFonts w:ascii="Times New Roman" w:hAnsi="Times New Roman" w:cs="Times New Roman"/>
        </w:rPr>
        <w:t xml:space="preserve">Be to, steigiantis naujoms </w:t>
      </w:r>
      <w:r w:rsidR="00676A5F">
        <w:rPr>
          <w:rFonts w:ascii="Times New Roman" w:hAnsi="Times New Roman" w:cs="Times New Roman"/>
        </w:rPr>
        <w:t>įmonėms arba joms plečiantis</w:t>
      </w:r>
      <w:r w:rsidR="00676A5F" w:rsidRPr="00676A5F">
        <w:rPr>
          <w:rFonts w:ascii="Times New Roman" w:hAnsi="Times New Roman" w:cs="Times New Roman"/>
        </w:rPr>
        <w:t xml:space="preserve"> didėjo darbuotojų poreikis, kas didino užimtumą.</w:t>
      </w:r>
      <w:r w:rsidR="009407A1">
        <w:rPr>
          <w:rFonts w:ascii="Times New Roman" w:hAnsi="Times New Roman" w:cs="Times New Roman"/>
        </w:rPr>
        <w:t xml:space="preserve"> </w:t>
      </w:r>
    </w:p>
    <w:p w:rsidR="002E2D1A" w:rsidRDefault="00AA1FE9" w:rsidP="00310B37">
      <w:pPr>
        <w:tabs>
          <w:tab w:val="left" w:pos="567"/>
        </w:tabs>
        <w:spacing w:line="360" w:lineRule="auto"/>
        <w:jc w:val="both"/>
        <w:rPr>
          <w:rFonts w:ascii="Times New Roman" w:hAnsi="Times New Roman" w:cs="Times New Roman"/>
        </w:rPr>
      </w:pPr>
      <w:r>
        <w:rPr>
          <w:rFonts w:ascii="Times New Roman" w:hAnsi="Times New Roman" w:cs="Times New Roman"/>
        </w:rPr>
        <w:tab/>
        <w:t xml:space="preserve">Ypatinga lizingo reikšmė </w:t>
      </w:r>
      <w:r w:rsidR="002E2D1A">
        <w:rPr>
          <w:rFonts w:ascii="Times New Roman" w:hAnsi="Times New Roman" w:cs="Times New Roman"/>
        </w:rPr>
        <w:t>Kinijos ekonomikai taip pat buvo nagrinėta per labai mažų ir mažų įmonių prizmę. Mažos ir labai mažos įmonės Kinijos ekonomikai daro didžiulę įtaką. Daugelio kinų ekonomistų nuomone būtent šios įmonės ir jų vystymas padės išlaikyti stabilų Kinijos ekonomikos augimą ateityje. Tačiau tokios įmonės susiduria su didžiulėmis finansavimo problemomis. Bankai nelinkę skolinti mažoms ir labai mažoms įmonėms neturėdami garanto, dažnai suteikiant paskolą prašomos papildomo užtikrinimo priemonės, kurios yra neadekvačios suteikiamo kredito dydžiui. Tokioms įmonėms labai pasitarnauja finansinio lizingo paslauga. Finansinis lizingas dažniausiai suteikiamas žymiai paprasčiau ir greičiau nereikalaujant papildomo užstato, o kaip užstatą laikant finansuojamą objektą. Dėl šios priežasties lizingo rinka Kinijoje auga ir daro vis didesnę įtaką ekonomikai (</w:t>
      </w:r>
      <w:r w:rsidR="000B6BB0">
        <w:rPr>
          <w:rFonts w:ascii="Times New Roman" w:hAnsi="Times New Roman" w:cs="Times New Roman"/>
        </w:rPr>
        <w:t>Yang</w:t>
      </w:r>
      <w:r w:rsidR="002E2D1A">
        <w:rPr>
          <w:rFonts w:ascii="Times New Roman" w:hAnsi="Times New Roman" w:cs="Times New Roman"/>
        </w:rPr>
        <w:t>, 2012).</w:t>
      </w:r>
    </w:p>
    <w:p w:rsidR="001907E6" w:rsidRDefault="001907E6" w:rsidP="00310B37">
      <w:pPr>
        <w:tabs>
          <w:tab w:val="left" w:pos="567"/>
        </w:tabs>
        <w:spacing w:line="360" w:lineRule="auto"/>
        <w:jc w:val="both"/>
        <w:rPr>
          <w:rFonts w:ascii="Times New Roman" w:hAnsi="Times New Roman" w:cs="Times New Roman"/>
        </w:rPr>
      </w:pPr>
      <w:r>
        <w:rPr>
          <w:rFonts w:ascii="Times New Roman" w:hAnsi="Times New Roman" w:cs="Times New Roman"/>
        </w:rPr>
        <w:tab/>
        <w:t>Jungtinėse Amerikos Valstijose lizingo įtaką ekonomikai tyrinėję autoriai net pateikia skaičius, kuriais lizingas padidino JAV bendrąjį vidaus produktą. Jų skaičiavimais lizingo dėka JAV BVP 1997-2002 metais išaugo apie 100-300 milijardų JAV dolerių</w:t>
      </w:r>
      <w:r w:rsidR="002F5FA3">
        <w:rPr>
          <w:rFonts w:ascii="Times New Roman" w:hAnsi="Times New Roman" w:cs="Times New Roman"/>
        </w:rPr>
        <w:t xml:space="preserve"> </w:t>
      </w:r>
      <w:r>
        <w:rPr>
          <w:rFonts w:ascii="Times New Roman" w:hAnsi="Times New Roman" w:cs="Times New Roman"/>
        </w:rPr>
        <w:t>(Fleming, 2004).</w:t>
      </w:r>
    </w:p>
    <w:p w:rsidR="002F5FA3" w:rsidRPr="002F5FA3" w:rsidRDefault="001D282D" w:rsidP="00033532">
      <w:pPr>
        <w:pStyle w:val="ListParagraph"/>
        <w:numPr>
          <w:ilvl w:val="0"/>
          <w:numId w:val="8"/>
        </w:numPr>
        <w:tabs>
          <w:tab w:val="left" w:pos="567"/>
          <w:tab w:val="left" w:pos="1134"/>
        </w:tabs>
        <w:spacing w:line="360" w:lineRule="auto"/>
        <w:ind w:left="0" w:firstLine="567"/>
        <w:jc w:val="both"/>
        <w:rPr>
          <w:rFonts w:ascii="Times New Roman" w:hAnsi="Times New Roman" w:cs="Times New Roman"/>
          <w:b/>
        </w:rPr>
      </w:pPr>
      <w:r w:rsidRPr="00F928DD">
        <w:rPr>
          <w:rFonts w:ascii="Times New Roman" w:hAnsi="Times New Roman" w:cs="Times New Roman"/>
          <w:b/>
        </w:rPr>
        <w:t xml:space="preserve">Lizingo </w:t>
      </w:r>
      <w:r w:rsidR="00323AA8">
        <w:rPr>
          <w:rFonts w:ascii="Times New Roman" w:hAnsi="Times New Roman" w:cs="Times New Roman"/>
          <w:b/>
        </w:rPr>
        <w:t xml:space="preserve">rinkos </w:t>
      </w:r>
      <w:r w:rsidRPr="00F928DD">
        <w:rPr>
          <w:rFonts w:ascii="Times New Roman" w:hAnsi="Times New Roman" w:cs="Times New Roman"/>
          <w:b/>
        </w:rPr>
        <w:t>poveikis investicijoms</w:t>
      </w:r>
      <w:r w:rsidR="00F928DD" w:rsidRPr="00F928DD">
        <w:rPr>
          <w:rFonts w:ascii="Times New Roman" w:hAnsi="Times New Roman" w:cs="Times New Roman"/>
          <w:b/>
        </w:rPr>
        <w:t>.</w:t>
      </w:r>
      <w:r w:rsidR="00541638">
        <w:rPr>
          <w:rFonts w:ascii="Times New Roman" w:hAnsi="Times New Roman" w:cs="Times New Roman"/>
          <w:b/>
        </w:rPr>
        <w:t xml:space="preserve"> </w:t>
      </w:r>
      <w:r w:rsidR="00033532">
        <w:rPr>
          <w:rFonts w:ascii="Times New Roman" w:hAnsi="Times New Roman" w:cs="Times New Roman"/>
        </w:rPr>
        <w:t>Įvairių mokslininkų tyrimai parodė, kad XX amžiaus aštuntajame ir devintajame dešimtmečiuose bendra investicijų apimtis,</w:t>
      </w:r>
      <w:r w:rsidR="005C2759">
        <w:rPr>
          <w:rFonts w:ascii="Times New Roman" w:hAnsi="Times New Roman" w:cs="Times New Roman"/>
        </w:rPr>
        <w:t xml:space="preserve"> įskaitant investavimą į lizingą</w:t>
      </w:r>
      <w:r w:rsidR="00033532">
        <w:rPr>
          <w:rFonts w:ascii="Times New Roman" w:hAnsi="Times New Roman" w:cs="Times New Roman"/>
        </w:rPr>
        <w:t xml:space="preserve">, viršijo išankstines prognozes, atliktas naudojant ekonometrinius modelius. Tokie rezultatai leidžia daryti prielaidą, jog lizingo </w:t>
      </w:r>
      <w:r w:rsidR="003A3310">
        <w:rPr>
          <w:rFonts w:ascii="Times New Roman" w:hAnsi="Times New Roman" w:cs="Times New Roman"/>
        </w:rPr>
        <w:t>rinkos</w:t>
      </w:r>
      <w:r w:rsidR="00033532">
        <w:rPr>
          <w:rFonts w:ascii="Times New Roman" w:hAnsi="Times New Roman" w:cs="Times New Roman"/>
        </w:rPr>
        <w:t xml:space="preserve"> plitimas turi įtakos investuotojo elgsenai (Baršauskas ir kt., 2007). Beu</w:t>
      </w:r>
      <w:r w:rsidR="00952E62">
        <w:rPr>
          <w:rFonts w:ascii="Times New Roman" w:hAnsi="Times New Roman" w:cs="Times New Roman"/>
        </w:rPr>
        <w:t xml:space="preserve">selinck (2000) tokį sąryšį sieja su teigiamu lizingo poveikiu ekonomikai, remdamasis investicijų, kaip vieno iš svarbiausių veiksnių, skatinančių ekonomikos augimą, traktavimu. Autoriaus atlikti tyrimai rodo, jog jo analizuojamu laikotarpiu 1995 – 1998 metais lizingo </w:t>
      </w:r>
      <w:r w:rsidR="005C2759">
        <w:rPr>
          <w:rFonts w:ascii="Times New Roman" w:hAnsi="Times New Roman" w:cs="Times New Roman"/>
        </w:rPr>
        <w:t>rinkos</w:t>
      </w:r>
      <w:r w:rsidR="00952E62">
        <w:rPr>
          <w:rFonts w:ascii="Times New Roman" w:hAnsi="Times New Roman" w:cs="Times New Roman"/>
        </w:rPr>
        <w:t xml:space="preserve"> dalis bendrose investicijose sudarė nuo 13,19 </w:t>
      </w:r>
      <w:r w:rsidR="00952E62">
        <w:rPr>
          <w:rFonts w:ascii="Times New Roman" w:hAnsi="Times New Roman" w:cs="Times New Roman"/>
          <w:lang w:val="en-US"/>
        </w:rPr>
        <w:t>%</w:t>
      </w:r>
      <w:r w:rsidR="00952E62">
        <w:rPr>
          <w:rFonts w:ascii="Times New Roman" w:hAnsi="Times New Roman" w:cs="Times New Roman"/>
        </w:rPr>
        <w:t xml:space="preserve"> iki 14,37 </w:t>
      </w:r>
      <w:r w:rsidR="00952E62">
        <w:rPr>
          <w:rFonts w:ascii="Times New Roman" w:hAnsi="Times New Roman" w:cs="Times New Roman"/>
          <w:lang w:val="en-US"/>
        </w:rPr>
        <w:t>%</w:t>
      </w:r>
      <w:r w:rsidR="00952E62">
        <w:rPr>
          <w:rFonts w:ascii="Times New Roman" w:hAnsi="Times New Roman" w:cs="Times New Roman"/>
        </w:rPr>
        <w:t xml:space="preserve">. Skirtingose šalyje buvo pastebimas svyravimas nuo 3,31 </w:t>
      </w:r>
      <w:r w:rsidR="00952E62">
        <w:rPr>
          <w:rFonts w:ascii="Times New Roman" w:hAnsi="Times New Roman" w:cs="Times New Roman"/>
          <w:lang w:val="en-US"/>
        </w:rPr>
        <w:t>%</w:t>
      </w:r>
      <w:r w:rsidR="00952E62">
        <w:rPr>
          <w:rFonts w:ascii="Times New Roman" w:hAnsi="Times New Roman" w:cs="Times New Roman"/>
        </w:rPr>
        <w:t xml:space="preserve"> Suomijoje iki 48,05 </w:t>
      </w:r>
      <w:r w:rsidR="00952E62">
        <w:rPr>
          <w:rFonts w:ascii="Times New Roman" w:hAnsi="Times New Roman" w:cs="Times New Roman"/>
          <w:lang w:val="en-US"/>
        </w:rPr>
        <w:t>%</w:t>
      </w:r>
      <w:r w:rsidR="00952E62">
        <w:rPr>
          <w:rFonts w:ascii="Times New Roman" w:hAnsi="Times New Roman" w:cs="Times New Roman"/>
        </w:rPr>
        <w:t xml:space="preserve"> Airijoje. Įdomu tai, kad būtent Airija analizuojamu laikotarpiu pasižymėj</w:t>
      </w:r>
      <w:r w:rsidR="004711A3">
        <w:rPr>
          <w:rFonts w:ascii="Times New Roman" w:hAnsi="Times New Roman" w:cs="Times New Roman"/>
        </w:rPr>
        <w:t>o ypač sparčiu ekonomikos augimu</w:t>
      </w:r>
      <w:r w:rsidR="00952E62">
        <w:rPr>
          <w:rFonts w:ascii="Times New Roman" w:hAnsi="Times New Roman" w:cs="Times New Roman"/>
        </w:rPr>
        <w:t>. Kas leidžia patvirtint</w:t>
      </w:r>
      <w:r w:rsidR="005A09C0">
        <w:rPr>
          <w:rFonts w:ascii="Times New Roman" w:hAnsi="Times New Roman" w:cs="Times New Roman"/>
        </w:rPr>
        <w:t>i</w:t>
      </w:r>
      <w:r w:rsidR="00952E62">
        <w:rPr>
          <w:rFonts w:ascii="Times New Roman" w:hAnsi="Times New Roman" w:cs="Times New Roman"/>
        </w:rPr>
        <w:t xml:space="preserve"> prielaidą, kad lizingas gali būti vertinamas kaip bendrąsias </w:t>
      </w:r>
      <w:r w:rsidR="005A09C0">
        <w:rPr>
          <w:rFonts w:ascii="Times New Roman" w:hAnsi="Times New Roman" w:cs="Times New Roman"/>
        </w:rPr>
        <w:t xml:space="preserve">investicijas </w:t>
      </w:r>
      <w:r w:rsidR="00952E62">
        <w:rPr>
          <w:rFonts w:ascii="Times New Roman" w:hAnsi="Times New Roman" w:cs="Times New Roman"/>
        </w:rPr>
        <w:t>skatinantis veiksnys.</w:t>
      </w:r>
      <w:r w:rsidR="00F17ED9">
        <w:rPr>
          <w:rFonts w:ascii="Times New Roman" w:hAnsi="Times New Roman" w:cs="Times New Roman"/>
        </w:rPr>
        <w:t xml:space="preserve"> </w:t>
      </w:r>
      <w:r w:rsidR="002F5FA3">
        <w:rPr>
          <w:rFonts w:ascii="Times New Roman" w:hAnsi="Times New Roman" w:cs="Times New Roman"/>
        </w:rPr>
        <w:t>Tokiai prielaidai pritaria ir JAV autoriai.</w:t>
      </w:r>
      <w:r w:rsidR="002F5FA3">
        <w:rPr>
          <w:rFonts w:ascii="Times New Roman" w:hAnsi="Times New Roman" w:cs="Times New Roman"/>
          <w:b/>
        </w:rPr>
        <w:t xml:space="preserve"> </w:t>
      </w:r>
      <w:r w:rsidR="002F5FA3">
        <w:rPr>
          <w:rFonts w:ascii="Times New Roman" w:hAnsi="Times New Roman" w:cs="Times New Roman"/>
        </w:rPr>
        <w:t>Jų skaičiavimais lizingo rinkos plėtra 1997-2002 metų laikotarpiu pritraukė papildomus 227-229 milijardus JAV dolerių tiesioginių užsienio investicijų į JAV ekonomiką (Fleming, 2004).</w:t>
      </w:r>
    </w:p>
    <w:p w:rsidR="001D282D" w:rsidRPr="002F5FA3" w:rsidRDefault="002F5FA3" w:rsidP="002F5FA3">
      <w:pPr>
        <w:tabs>
          <w:tab w:val="left" w:pos="567"/>
          <w:tab w:val="left" w:pos="1134"/>
        </w:tabs>
        <w:spacing w:line="360" w:lineRule="auto"/>
        <w:jc w:val="both"/>
        <w:rPr>
          <w:rFonts w:ascii="Times New Roman" w:hAnsi="Times New Roman" w:cs="Times New Roman"/>
          <w:b/>
        </w:rPr>
      </w:pPr>
      <w:r>
        <w:rPr>
          <w:rFonts w:ascii="Times New Roman" w:hAnsi="Times New Roman" w:cs="Times New Roman"/>
        </w:rPr>
        <w:tab/>
      </w:r>
      <w:r w:rsidR="00F17ED9" w:rsidRPr="002F5FA3">
        <w:rPr>
          <w:rFonts w:ascii="Times New Roman" w:hAnsi="Times New Roman" w:cs="Times New Roman"/>
        </w:rPr>
        <w:t xml:space="preserve">Žvelgiant į pastaruosius metus Koh (2006) pastebi, kad lizingo rinka ypač Rytų Europoje labai išaugo ir teigia, kad būtent lizingo rinkos plėtra pritraukė papildomų investicijų į šį regioną. </w:t>
      </w:r>
    </w:p>
    <w:p w:rsidR="008B5E49" w:rsidRDefault="00C052E7" w:rsidP="008B5E49">
      <w:pPr>
        <w:pStyle w:val="ListParagraph"/>
        <w:numPr>
          <w:ilvl w:val="0"/>
          <w:numId w:val="8"/>
        </w:numPr>
        <w:tabs>
          <w:tab w:val="left" w:pos="567"/>
          <w:tab w:val="left" w:pos="1134"/>
        </w:tabs>
        <w:spacing w:line="360" w:lineRule="auto"/>
        <w:ind w:left="0" w:firstLine="567"/>
        <w:jc w:val="both"/>
        <w:rPr>
          <w:rFonts w:ascii="Times New Roman" w:hAnsi="Times New Roman" w:cs="Times New Roman"/>
        </w:rPr>
      </w:pPr>
      <w:r w:rsidRPr="00C052E7">
        <w:rPr>
          <w:rFonts w:ascii="Times New Roman" w:hAnsi="Times New Roman" w:cs="Times New Roman"/>
          <w:b/>
        </w:rPr>
        <w:t xml:space="preserve">Lizingo </w:t>
      </w:r>
      <w:r w:rsidR="00323AA8">
        <w:rPr>
          <w:rFonts w:ascii="Times New Roman" w:hAnsi="Times New Roman" w:cs="Times New Roman"/>
          <w:b/>
        </w:rPr>
        <w:t xml:space="preserve">rinkos </w:t>
      </w:r>
      <w:r w:rsidRPr="00C052E7">
        <w:rPr>
          <w:rFonts w:ascii="Times New Roman" w:hAnsi="Times New Roman" w:cs="Times New Roman"/>
          <w:b/>
        </w:rPr>
        <w:t xml:space="preserve">poveikis užimtumui. </w:t>
      </w:r>
      <w:r>
        <w:rPr>
          <w:rFonts w:ascii="Times New Roman" w:hAnsi="Times New Roman" w:cs="Times New Roman"/>
        </w:rPr>
        <w:t xml:space="preserve">Įvertinus teigiamą lizingo poveikį ekonomikos augimui, savaime suprantama, jog turi egzistuoti ir tam tikras poveikis užimtumo lygiui. Lizingo ir užimtumo ryšys yra dvilypis: priklausomai nuo lizingo turimo tikslo, lizingo plėtra gali turėti tiek </w:t>
      </w:r>
      <w:r>
        <w:rPr>
          <w:rFonts w:ascii="Times New Roman" w:hAnsi="Times New Roman" w:cs="Times New Roman"/>
        </w:rPr>
        <w:lastRenderedPageBreak/>
        <w:t xml:space="preserve">neigiamą, tiek teigiamą poveikį užimtumo lygiui šalyje (Baršauskas ir kt., 2007). </w:t>
      </w:r>
      <w:r w:rsidR="00713451">
        <w:rPr>
          <w:rFonts w:ascii="Times New Roman" w:hAnsi="Times New Roman" w:cs="Times New Roman"/>
        </w:rPr>
        <w:t>B</w:t>
      </w:r>
      <w:r w:rsidR="00624626">
        <w:rPr>
          <w:rFonts w:ascii="Times New Roman" w:hAnsi="Times New Roman" w:cs="Times New Roman"/>
        </w:rPr>
        <w:t>iagi (1999) empiriniai tyrimai, atlikti 13 Europos valstybi</w:t>
      </w:r>
      <w:r w:rsidR="008B5E49">
        <w:rPr>
          <w:rFonts w:ascii="Times New Roman" w:hAnsi="Times New Roman" w:cs="Times New Roman"/>
        </w:rPr>
        <w:t>ų analizuojant 1986-1998 m. duomenis parodė,</w:t>
      </w:r>
      <w:r w:rsidR="00624626">
        <w:rPr>
          <w:rFonts w:ascii="Times New Roman" w:hAnsi="Times New Roman" w:cs="Times New Roman"/>
        </w:rPr>
        <w:t xml:space="preserve"> kad tarp lizingo ir užimtumo egzistuoja koreliacinis ryšys. Be to</w:t>
      </w:r>
      <w:r w:rsidR="008B5E49">
        <w:rPr>
          <w:rFonts w:ascii="Times New Roman" w:hAnsi="Times New Roman" w:cs="Times New Roman"/>
        </w:rPr>
        <w:t xml:space="preserve"> autorius nustatė</w:t>
      </w:r>
      <w:r w:rsidR="00624626">
        <w:rPr>
          <w:rFonts w:ascii="Times New Roman" w:hAnsi="Times New Roman" w:cs="Times New Roman"/>
        </w:rPr>
        <w:t>,</w:t>
      </w:r>
      <w:r w:rsidR="008B5E49">
        <w:rPr>
          <w:rFonts w:ascii="Times New Roman" w:hAnsi="Times New Roman" w:cs="Times New Roman"/>
        </w:rPr>
        <w:t xml:space="preserve"> kad</w:t>
      </w:r>
      <w:r w:rsidR="00624626">
        <w:rPr>
          <w:rFonts w:ascii="Times New Roman" w:hAnsi="Times New Roman" w:cs="Times New Roman"/>
        </w:rPr>
        <w:t xml:space="preserve"> lizingo </w:t>
      </w:r>
      <w:r w:rsidR="003A3310">
        <w:rPr>
          <w:rFonts w:ascii="Times New Roman" w:hAnsi="Times New Roman" w:cs="Times New Roman"/>
        </w:rPr>
        <w:t>rinkai</w:t>
      </w:r>
      <w:r w:rsidR="00624626">
        <w:rPr>
          <w:rFonts w:ascii="Times New Roman" w:hAnsi="Times New Roman" w:cs="Times New Roman"/>
        </w:rPr>
        <w:t xml:space="preserve"> ir BVP santykiui padidėjus 1 </w:t>
      </w:r>
      <w:r w:rsidR="00624626">
        <w:rPr>
          <w:rFonts w:ascii="Times New Roman" w:hAnsi="Times New Roman" w:cs="Times New Roman"/>
          <w:lang w:val="en-US"/>
        </w:rPr>
        <w:t>%</w:t>
      </w:r>
      <w:r w:rsidR="00624626">
        <w:rPr>
          <w:rFonts w:ascii="Times New Roman" w:hAnsi="Times New Roman" w:cs="Times New Roman"/>
        </w:rPr>
        <w:t xml:space="preserve">, nedarbas sumažėja 1,4 </w:t>
      </w:r>
      <w:r w:rsidR="00624626">
        <w:rPr>
          <w:rFonts w:ascii="Times New Roman" w:hAnsi="Times New Roman" w:cs="Times New Roman"/>
          <w:lang w:val="en-US"/>
        </w:rPr>
        <w:t xml:space="preserve">%. </w:t>
      </w:r>
      <w:r w:rsidR="008B5E49">
        <w:rPr>
          <w:rFonts w:ascii="Times New Roman" w:hAnsi="Times New Roman" w:cs="Times New Roman"/>
        </w:rPr>
        <w:t xml:space="preserve">Remdamasis šiuo tyrimu Biagi (1999) padarė išvadas, kad lizingo </w:t>
      </w:r>
      <w:r w:rsidR="003A3310">
        <w:rPr>
          <w:rFonts w:ascii="Times New Roman" w:hAnsi="Times New Roman" w:cs="Times New Roman"/>
        </w:rPr>
        <w:t>rinka</w:t>
      </w:r>
      <w:r w:rsidR="008B5E49">
        <w:rPr>
          <w:rFonts w:ascii="Times New Roman" w:hAnsi="Times New Roman" w:cs="Times New Roman"/>
        </w:rPr>
        <w:t xml:space="preserve"> tiesiogiai teigiamai veikia </w:t>
      </w:r>
      <w:r w:rsidR="003A3310">
        <w:rPr>
          <w:rFonts w:ascii="Times New Roman" w:hAnsi="Times New Roman" w:cs="Times New Roman"/>
        </w:rPr>
        <w:t>darbo</w:t>
      </w:r>
      <w:r w:rsidR="008B5E49">
        <w:rPr>
          <w:rFonts w:ascii="Times New Roman" w:hAnsi="Times New Roman" w:cs="Times New Roman"/>
        </w:rPr>
        <w:t xml:space="preserve"> rinką dviem aspektais:</w:t>
      </w:r>
    </w:p>
    <w:p w:rsidR="008B5E49" w:rsidRDefault="008B5E49" w:rsidP="008B5E49">
      <w:pPr>
        <w:pStyle w:val="ListParagraph"/>
        <w:numPr>
          <w:ilvl w:val="0"/>
          <w:numId w:val="10"/>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Didėjan</w:t>
      </w:r>
      <w:r w:rsidR="003A3310">
        <w:rPr>
          <w:rFonts w:ascii="Times New Roman" w:hAnsi="Times New Roman" w:cs="Times New Roman"/>
        </w:rPr>
        <w:t>ti</w:t>
      </w:r>
      <w:r>
        <w:rPr>
          <w:rFonts w:ascii="Times New Roman" w:hAnsi="Times New Roman" w:cs="Times New Roman"/>
        </w:rPr>
        <w:t xml:space="preserve"> </w:t>
      </w:r>
      <w:r w:rsidR="003442E5">
        <w:rPr>
          <w:rFonts w:ascii="Times New Roman" w:hAnsi="Times New Roman" w:cs="Times New Roman"/>
        </w:rPr>
        <w:t xml:space="preserve">lizingo </w:t>
      </w:r>
      <w:r w:rsidR="003A3310">
        <w:rPr>
          <w:rFonts w:ascii="Times New Roman" w:hAnsi="Times New Roman" w:cs="Times New Roman"/>
        </w:rPr>
        <w:t>rinka</w:t>
      </w:r>
      <w:r>
        <w:rPr>
          <w:rFonts w:ascii="Times New Roman" w:hAnsi="Times New Roman" w:cs="Times New Roman"/>
        </w:rPr>
        <w:t xml:space="preserve"> skatina lizingo paslaugas teikiančių įmonių kūrimąsi</w:t>
      </w:r>
      <w:r w:rsidR="003442E5">
        <w:rPr>
          <w:rFonts w:ascii="Times New Roman" w:hAnsi="Times New Roman" w:cs="Times New Roman"/>
        </w:rPr>
        <w:t xml:space="preserve"> bei plėtrą</w:t>
      </w:r>
      <w:r>
        <w:rPr>
          <w:rFonts w:ascii="Times New Roman" w:hAnsi="Times New Roman" w:cs="Times New Roman"/>
        </w:rPr>
        <w:t xml:space="preserve">, kurios kuria naujas darbo vietas finansų sektoriuje. </w:t>
      </w:r>
    </w:p>
    <w:p w:rsidR="008B5E49" w:rsidRDefault="008B5E49" w:rsidP="008B5E49">
      <w:pPr>
        <w:pStyle w:val="ListParagraph"/>
        <w:numPr>
          <w:ilvl w:val="0"/>
          <w:numId w:val="10"/>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Didėjančios investicijos lizingo forma lemia verslo plėtrą, o tai lemia naujų darbo vietų įmonėse kūrimą.</w:t>
      </w:r>
    </w:p>
    <w:p w:rsidR="002F5FA3" w:rsidRDefault="002F5FA3" w:rsidP="002F5FA3">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Fleming (2004) skaičiavimais lizingas taip pat mažina bedarbystę. 1997-2002 metais lizingo rinkos plėtros dėka JAV buvo sukurta 3-5 milijonai naujų darbo vietų.</w:t>
      </w:r>
    </w:p>
    <w:p w:rsidR="005F606C" w:rsidRDefault="005F606C" w:rsidP="005F606C">
      <w:pPr>
        <w:pStyle w:val="ListParagraph"/>
        <w:tabs>
          <w:tab w:val="left" w:pos="709"/>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Tačiau, anot Beuselinck (2000), lizingo plėtra taip pat turi neigiamą poveikį užimtumui. Lizingas suteikia galimybę įmonėms nusipirkti modernią įrangą arba modernizuoti esamą, tokie pokyčiai dažnai lemia darbo jėgos poreikio mažėjimą. Ypač šis poveikis pastebimas stebint aukštųjų technologijų lizingo apimtis – įmonės vietoj labai senų įrenginių pradeda naudoti naujus, žmones gebančius pakeisti įrenginius. </w:t>
      </w:r>
    </w:p>
    <w:p w:rsidR="000F20F3" w:rsidRDefault="00496D50" w:rsidP="000F20F3">
      <w:pPr>
        <w:pStyle w:val="ListParagraph"/>
        <w:tabs>
          <w:tab w:val="left" w:pos="709"/>
          <w:tab w:val="left" w:pos="1134"/>
        </w:tabs>
        <w:spacing w:line="360" w:lineRule="auto"/>
        <w:ind w:left="0" w:firstLine="567"/>
        <w:jc w:val="both"/>
        <w:rPr>
          <w:rFonts w:ascii="Times New Roman" w:hAnsi="Times New Roman" w:cs="Times New Roman"/>
        </w:rPr>
      </w:pPr>
      <w:r>
        <w:rPr>
          <w:rFonts w:ascii="Times New Roman" w:hAnsi="Times New Roman" w:cs="Times New Roman"/>
        </w:rPr>
        <w:t>Darbo autoriaus nuomone</w:t>
      </w:r>
      <w:r w:rsidR="005F606C">
        <w:rPr>
          <w:rFonts w:ascii="Times New Roman" w:hAnsi="Times New Roman" w:cs="Times New Roman"/>
        </w:rPr>
        <w:t>,</w:t>
      </w:r>
      <w:r w:rsidR="00FB1248">
        <w:rPr>
          <w:rFonts w:ascii="Times New Roman" w:hAnsi="Times New Roman" w:cs="Times New Roman"/>
        </w:rPr>
        <w:t xml:space="preserve"> Beuselinck </w:t>
      </w:r>
      <w:r w:rsidR="005F606C">
        <w:rPr>
          <w:rFonts w:ascii="Times New Roman" w:hAnsi="Times New Roman" w:cs="Times New Roman"/>
        </w:rPr>
        <w:t>teiginys, kad lizingo plėtra turi neigiamą poveikį užimtumui per galimybę lizingo būdu įsigyti norimą modernią įrangą</w:t>
      </w:r>
      <w:r w:rsidR="00FB1248">
        <w:rPr>
          <w:rFonts w:ascii="Times New Roman" w:hAnsi="Times New Roman" w:cs="Times New Roman"/>
        </w:rPr>
        <w:t>,</w:t>
      </w:r>
      <w:r w:rsidR="005F606C">
        <w:rPr>
          <w:rFonts w:ascii="Times New Roman" w:hAnsi="Times New Roman" w:cs="Times New Roman"/>
        </w:rPr>
        <w:t xml:space="preserve"> yra labai ginčitinas. Jeigu pritartumėme tokiai nuomonei, būtų galima teigti, kad apskritai, bet kokia aukštųjų technologijų įranga, gebanti pakeisti žmogaus darbą, </w:t>
      </w:r>
      <w:r w:rsidR="00FB1248">
        <w:rPr>
          <w:rFonts w:ascii="Times New Roman" w:hAnsi="Times New Roman" w:cs="Times New Roman"/>
        </w:rPr>
        <w:t>turi neigiamą poveikį darbo rinkai, nes tokiu atveju mažėja dirbančių žmonių poreikis.</w:t>
      </w:r>
      <w:r w:rsidR="00323AA8">
        <w:rPr>
          <w:rFonts w:ascii="Times New Roman" w:hAnsi="Times New Roman" w:cs="Times New Roman"/>
        </w:rPr>
        <w:t xml:space="preserve"> </w:t>
      </w:r>
      <w:r w:rsidR="00323AA8" w:rsidRPr="00323AA8">
        <w:rPr>
          <w:rFonts w:ascii="Times New Roman" w:hAnsi="Times New Roman" w:cs="Times New Roman"/>
        </w:rPr>
        <w:t>Tačiau naujų technologijų dėka atsiranda kitų paslaugų poreikis.</w:t>
      </w:r>
    </w:p>
    <w:p w:rsidR="00F17ED9" w:rsidRDefault="00F17ED9" w:rsidP="000F20F3">
      <w:pPr>
        <w:pStyle w:val="ListParagraph"/>
        <w:tabs>
          <w:tab w:val="left" w:pos="709"/>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Baigiant teorinę lizingo </w:t>
      </w:r>
      <w:r w:rsidR="003A3310">
        <w:rPr>
          <w:rFonts w:ascii="Times New Roman" w:hAnsi="Times New Roman" w:cs="Times New Roman"/>
        </w:rPr>
        <w:t>rinkos</w:t>
      </w:r>
      <w:r>
        <w:rPr>
          <w:rFonts w:ascii="Times New Roman" w:hAnsi="Times New Roman" w:cs="Times New Roman"/>
        </w:rPr>
        <w:t xml:space="preserve"> įtakos ekonomikai apžvalgą, svarbu paanalizuoti, </w:t>
      </w:r>
      <w:r w:rsidR="00D34424">
        <w:rPr>
          <w:rFonts w:ascii="Times New Roman" w:hAnsi="Times New Roman" w:cs="Times New Roman"/>
        </w:rPr>
        <w:t xml:space="preserve">vieną paskutinių ir plačiausių empirinių tyrimų, kuris buvo atliekamas siekiant įvertinti lizingo </w:t>
      </w:r>
      <w:r w:rsidR="00323AA8">
        <w:rPr>
          <w:rFonts w:ascii="Times New Roman" w:hAnsi="Times New Roman" w:cs="Times New Roman"/>
        </w:rPr>
        <w:t xml:space="preserve">rinkos </w:t>
      </w:r>
      <w:r w:rsidR="00D34424">
        <w:rPr>
          <w:rFonts w:ascii="Times New Roman" w:hAnsi="Times New Roman" w:cs="Times New Roman"/>
        </w:rPr>
        <w:t xml:space="preserve">įtaką ekonomikai </w:t>
      </w:r>
      <w:r w:rsidR="00323AA8">
        <w:rPr>
          <w:rFonts w:ascii="Times New Roman" w:hAnsi="Times New Roman" w:cs="Times New Roman"/>
        </w:rPr>
        <w:t>besivystančių rinkų</w:t>
      </w:r>
      <w:r w:rsidR="00D34424">
        <w:rPr>
          <w:rFonts w:ascii="Times New Roman" w:hAnsi="Times New Roman" w:cs="Times New Roman"/>
        </w:rPr>
        <w:t xml:space="preserve"> Rytų bei Pietvakarių Europos šalyse (Čekija, Vengrija, Lenkija, Slovakija, Slovėnija, Estija, Latvija, Lietuva, Bulgarija, Rumunija, Kroatija, Turkija) 1999 – 2006 metais. Tyrimą atliko Kichler ir Haiss (2009). Tyrime buvo remiamasi koreliacine regresine analize bei ekspertiniu vertinimu. </w:t>
      </w:r>
      <w:r w:rsidR="00356310">
        <w:rPr>
          <w:rFonts w:ascii="Times New Roman" w:hAnsi="Times New Roman" w:cs="Times New Roman"/>
        </w:rPr>
        <w:t xml:space="preserve">Tiriami kintamieji, </w:t>
      </w:r>
      <w:r w:rsidR="000E5891">
        <w:rPr>
          <w:rFonts w:ascii="Times New Roman" w:hAnsi="Times New Roman" w:cs="Times New Roman"/>
        </w:rPr>
        <w:t>per kuriuos</w:t>
      </w:r>
      <w:r w:rsidR="00356310">
        <w:rPr>
          <w:rFonts w:ascii="Times New Roman" w:hAnsi="Times New Roman" w:cs="Times New Roman"/>
        </w:rPr>
        <w:t xml:space="preserve"> </w:t>
      </w:r>
      <w:r w:rsidR="000E5891">
        <w:rPr>
          <w:rFonts w:ascii="Times New Roman" w:hAnsi="Times New Roman" w:cs="Times New Roman"/>
        </w:rPr>
        <w:t>lizingas turėtų įtakoti ekonomiką</w:t>
      </w:r>
      <w:r w:rsidR="00356310">
        <w:rPr>
          <w:rFonts w:ascii="Times New Roman" w:hAnsi="Times New Roman" w:cs="Times New Roman"/>
        </w:rPr>
        <w:t>, buvo bendrasis vidaus produktas, nedarbo lygis, tiesioginės užsienio investicijos, vidutinė palūkanų norma</w:t>
      </w:r>
      <w:r w:rsidR="000E5891">
        <w:rPr>
          <w:rFonts w:ascii="Times New Roman" w:hAnsi="Times New Roman" w:cs="Times New Roman"/>
        </w:rPr>
        <w:t>, infliacija</w:t>
      </w:r>
      <w:r w:rsidR="00356310">
        <w:rPr>
          <w:rFonts w:ascii="Times New Roman" w:hAnsi="Times New Roman" w:cs="Times New Roman"/>
        </w:rPr>
        <w:t xml:space="preserve"> ir kai kurie kiti, kurie analizės metu buvo atmesti kaip nereikšmingi. Taip pat buvo sudaromos regresinės lygtis siekiant įvertinti kaip greitai pasireiškia lizingo </w:t>
      </w:r>
      <w:r w:rsidR="00323AA8">
        <w:rPr>
          <w:rFonts w:ascii="Times New Roman" w:hAnsi="Times New Roman" w:cs="Times New Roman"/>
        </w:rPr>
        <w:t xml:space="preserve">rinkos </w:t>
      </w:r>
      <w:r w:rsidR="00356310">
        <w:rPr>
          <w:rFonts w:ascii="Times New Roman" w:hAnsi="Times New Roman" w:cs="Times New Roman"/>
        </w:rPr>
        <w:t xml:space="preserve">poveikis ekonomikai. Atlikę analizę Kichler ir Haiss </w:t>
      </w:r>
      <w:r w:rsidR="000E5891">
        <w:rPr>
          <w:rFonts w:ascii="Times New Roman" w:hAnsi="Times New Roman" w:cs="Times New Roman"/>
        </w:rPr>
        <w:t xml:space="preserve">(2009) </w:t>
      </w:r>
      <w:r w:rsidR="00356310">
        <w:rPr>
          <w:rFonts w:ascii="Times New Roman" w:hAnsi="Times New Roman" w:cs="Times New Roman"/>
        </w:rPr>
        <w:t>gavo tokias išvadas</w:t>
      </w:r>
      <w:r w:rsidR="000E5891">
        <w:rPr>
          <w:rFonts w:ascii="Times New Roman" w:hAnsi="Times New Roman" w:cs="Times New Roman"/>
        </w:rPr>
        <w:t>:</w:t>
      </w:r>
    </w:p>
    <w:p w:rsidR="000E5891" w:rsidRDefault="00BF7CA8" w:rsidP="000E5891">
      <w:pPr>
        <w:pStyle w:val="ListParagraph"/>
        <w:numPr>
          <w:ilvl w:val="0"/>
          <w:numId w:val="8"/>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rPr>
        <w:t>Lizingo</w:t>
      </w:r>
      <w:r w:rsidR="000E5891">
        <w:rPr>
          <w:rFonts w:ascii="Times New Roman" w:hAnsi="Times New Roman" w:cs="Times New Roman"/>
        </w:rPr>
        <w:t xml:space="preserve"> </w:t>
      </w:r>
      <w:r w:rsidR="00E86342">
        <w:rPr>
          <w:rFonts w:ascii="Times New Roman" w:hAnsi="Times New Roman" w:cs="Times New Roman"/>
        </w:rPr>
        <w:t xml:space="preserve">rinkos plėtra </w:t>
      </w:r>
      <w:r w:rsidR="000E5891">
        <w:rPr>
          <w:rFonts w:ascii="Times New Roman" w:hAnsi="Times New Roman" w:cs="Times New Roman"/>
        </w:rPr>
        <w:t>teigiamai įtakoja bendrąjį vidaus produktą. Pirmais metais įtaka yra nereikšminga, bet su dviejų, trijų</w:t>
      </w:r>
      <w:r w:rsidR="00E86342">
        <w:rPr>
          <w:rFonts w:ascii="Times New Roman" w:hAnsi="Times New Roman" w:cs="Times New Roman"/>
        </w:rPr>
        <w:t xml:space="preserve"> metų vėlavimu tampa reikšminga;</w:t>
      </w:r>
    </w:p>
    <w:p w:rsidR="00E86342" w:rsidRDefault="000E5891" w:rsidP="00E86342">
      <w:pPr>
        <w:pStyle w:val="ListParagraph"/>
        <w:numPr>
          <w:ilvl w:val="0"/>
          <w:numId w:val="8"/>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rPr>
        <w:t>Lizingo rinkos plėtra mažina nedarbo lygį</w:t>
      </w:r>
      <w:r w:rsidR="00E86342">
        <w:rPr>
          <w:rFonts w:ascii="Times New Roman" w:hAnsi="Times New Roman" w:cs="Times New Roman"/>
        </w:rPr>
        <w:t>;</w:t>
      </w:r>
    </w:p>
    <w:p w:rsidR="00E86342" w:rsidRPr="00E86342" w:rsidRDefault="00E86342" w:rsidP="00E86342">
      <w:pPr>
        <w:pStyle w:val="ListParagraph"/>
        <w:numPr>
          <w:ilvl w:val="0"/>
          <w:numId w:val="8"/>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rPr>
        <w:t>Lizingo rinkos plėtros įtaka užsienio investicijoms buvo mažai reikšminga;</w:t>
      </w:r>
    </w:p>
    <w:p w:rsidR="00E86342" w:rsidRDefault="000E5891" w:rsidP="00E86342">
      <w:pPr>
        <w:pStyle w:val="ListParagraph"/>
        <w:numPr>
          <w:ilvl w:val="0"/>
          <w:numId w:val="8"/>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rPr>
        <w:lastRenderedPageBreak/>
        <w:t xml:space="preserve">Lizingo rinkos plėtra </w:t>
      </w:r>
      <w:r w:rsidR="00E86342">
        <w:rPr>
          <w:rFonts w:ascii="Times New Roman" w:hAnsi="Times New Roman" w:cs="Times New Roman"/>
        </w:rPr>
        <w:t>neturi reikšmingos įtakos infliacijos lygiui šalyje.</w:t>
      </w:r>
    </w:p>
    <w:p w:rsidR="00E86342" w:rsidRDefault="00E86342" w:rsidP="000F20F3">
      <w:pPr>
        <w:pStyle w:val="ListParagraph"/>
        <w:tabs>
          <w:tab w:val="left" w:pos="709"/>
          <w:tab w:val="left" w:pos="1134"/>
        </w:tabs>
        <w:spacing w:line="360" w:lineRule="auto"/>
        <w:ind w:left="0" w:firstLine="567"/>
        <w:jc w:val="both"/>
        <w:rPr>
          <w:rFonts w:ascii="Times New Roman" w:hAnsi="Times New Roman" w:cs="Times New Roman"/>
        </w:rPr>
      </w:pPr>
      <w:r>
        <w:rPr>
          <w:rFonts w:ascii="Times New Roman" w:hAnsi="Times New Roman" w:cs="Times New Roman"/>
        </w:rPr>
        <w:t>Atlikdamas empirinį tyrimą iš dalies remsiuosi šiuo tyrimu.</w:t>
      </w:r>
    </w:p>
    <w:p w:rsidR="003442E5" w:rsidRDefault="00FB1248" w:rsidP="000F20F3">
      <w:pPr>
        <w:pStyle w:val="ListParagraph"/>
        <w:tabs>
          <w:tab w:val="left" w:pos="709"/>
          <w:tab w:val="left" w:pos="1134"/>
        </w:tabs>
        <w:spacing w:line="360" w:lineRule="auto"/>
        <w:ind w:left="0" w:firstLine="567"/>
        <w:jc w:val="both"/>
        <w:rPr>
          <w:rFonts w:ascii="Times New Roman" w:hAnsi="Times New Roman" w:cs="Times New Roman"/>
        </w:rPr>
      </w:pPr>
      <w:r w:rsidRPr="000F20F3">
        <w:rPr>
          <w:rFonts w:ascii="Times New Roman" w:hAnsi="Times New Roman" w:cs="Times New Roman"/>
        </w:rPr>
        <w:t xml:space="preserve">Apibendrinant galima teigti, kad </w:t>
      </w:r>
      <w:r w:rsidR="00D71481" w:rsidRPr="000F20F3">
        <w:rPr>
          <w:rFonts w:ascii="Times New Roman" w:hAnsi="Times New Roman" w:cs="Times New Roman"/>
        </w:rPr>
        <w:t xml:space="preserve">lizingas </w:t>
      </w:r>
      <w:r w:rsidR="00C347D1" w:rsidRPr="000F20F3">
        <w:rPr>
          <w:rFonts w:ascii="Times New Roman" w:hAnsi="Times New Roman" w:cs="Times New Roman"/>
        </w:rPr>
        <w:t xml:space="preserve">turi didelę reikšmę ekonomikai ir jos augimui. </w:t>
      </w:r>
      <w:r w:rsidR="004711A3" w:rsidRPr="000F20F3">
        <w:rPr>
          <w:rFonts w:ascii="Times New Roman" w:hAnsi="Times New Roman" w:cs="Times New Roman"/>
        </w:rPr>
        <w:t xml:space="preserve">Analizuotų autorių, kurie rašė apie lizingo </w:t>
      </w:r>
      <w:r w:rsidR="00B57166">
        <w:rPr>
          <w:rFonts w:ascii="Times New Roman" w:hAnsi="Times New Roman" w:cs="Times New Roman"/>
        </w:rPr>
        <w:t xml:space="preserve">rinkos </w:t>
      </w:r>
      <w:r w:rsidR="004711A3" w:rsidRPr="000F20F3">
        <w:rPr>
          <w:rFonts w:ascii="Times New Roman" w:hAnsi="Times New Roman" w:cs="Times New Roman"/>
        </w:rPr>
        <w:t>įtaką ekonomikai</w:t>
      </w:r>
      <w:r w:rsidR="00A9583D" w:rsidRPr="000F20F3">
        <w:rPr>
          <w:rFonts w:ascii="Times New Roman" w:hAnsi="Times New Roman" w:cs="Times New Roman"/>
        </w:rPr>
        <w:t xml:space="preserve"> (Gallardo, 1997, Pakhtusov, Bay, 2006, IFC, 2002)</w:t>
      </w:r>
      <w:r w:rsidR="004711A3" w:rsidRPr="000F20F3">
        <w:rPr>
          <w:rFonts w:ascii="Times New Roman" w:hAnsi="Times New Roman" w:cs="Times New Roman"/>
        </w:rPr>
        <w:t>,</w:t>
      </w:r>
      <w:r w:rsidR="00A9583D" w:rsidRPr="000F20F3">
        <w:rPr>
          <w:rFonts w:ascii="Times New Roman" w:hAnsi="Times New Roman" w:cs="Times New Roman"/>
        </w:rPr>
        <w:t xml:space="preserve"> </w:t>
      </w:r>
      <w:r w:rsidR="004711A3" w:rsidRPr="000F20F3">
        <w:rPr>
          <w:rFonts w:ascii="Times New Roman" w:hAnsi="Times New Roman" w:cs="Times New Roman"/>
        </w:rPr>
        <w:t xml:space="preserve">darbuose </w:t>
      </w:r>
      <w:r w:rsidR="00A9583D" w:rsidRPr="000F20F3">
        <w:rPr>
          <w:rFonts w:ascii="Times New Roman" w:hAnsi="Times New Roman" w:cs="Times New Roman"/>
        </w:rPr>
        <w:t>pabrėžia</w:t>
      </w:r>
      <w:r w:rsidR="008158AC" w:rsidRPr="000F20F3">
        <w:rPr>
          <w:rFonts w:ascii="Times New Roman" w:hAnsi="Times New Roman" w:cs="Times New Roman"/>
        </w:rPr>
        <w:t>ma lizingo reikšmė ekonomikos augimui</w:t>
      </w:r>
      <w:r w:rsidR="004711A3" w:rsidRPr="000F20F3">
        <w:rPr>
          <w:rFonts w:ascii="Times New Roman" w:hAnsi="Times New Roman" w:cs="Times New Roman"/>
        </w:rPr>
        <w:t xml:space="preserve"> per naujų bei mažų įmonių prizmę.</w:t>
      </w:r>
      <w:r w:rsidR="00A9583D" w:rsidRPr="000F20F3">
        <w:rPr>
          <w:rFonts w:ascii="Times New Roman" w:hAnsi="Times New Roman" w:cs="Times New Roman"/>
        </w:rPr>
        <w:t xml:space="preserve"> </w:t>
      </w:r>
      <w:r w:rsidR="004711A3" w:rsidRPr="000F20F3">
        <w:rPr>
          <w:rFonts w:ascii="Times New Roman" w:hAnsi="Times New Roman" w:cs="Times New Roman"/>
        </w:rPr>
        <w:t>Šioms įmonėms</w:t>
      </w:r>
      <w:r w:rsidR="00A9583D" w:rsidRPr="000F20F3">
        <w:rPr>
          <w:rFonts w:ascii="Times New Roman" w:hAnsi="Times New Roman" w:cs="Times New Roman"/>
        </w:rPr>
        <w:t xml:space="preserve"> lizingas neturint didelio pradinio kapitalo suteikią galimybę įsigyti modernią įrangą ar technologijas, kas </w:t>
      </w:r>
      <w:r w:rsidR="00317D8B">
        <w:rPr>
          <w:rFonts w:ascii="Times New Roman" w:hAnsi="Times New Roman" w:cs="Times New Roman"/>
        </w:rPr>
        <w:t>padeda konkuruoti, teik</w:t>
      </w:r>
      <w:r w:rsidR="00A9583D" w:rsidRPr="000F20F3">
        <w:rPr>
          <w:rFonts w:ascii="Times New Roman" w:hAnsi="Times New Roman" w:cs="Times New Roman"/>
        </w:rPr>
        <w:t>ti paslaugas atsižvelgiant į kliento poreikius bei sėkmingai veikti.</w:t>
      </w:r>
      <w:r w:rsidR="004711A3" w:rsidRPr="000F20F3">
        <w:rPr>
          <w:rFonts w:ascii="Times New Roman" w:hAnsi="Times New Roman" w:cs="Times New Roman"/>
        </w:rPr>
        <w:t xml:space="preserve"> </w:t>
      </w:r>
      <w:r w:rsidR="005A09C0" w:rsidRPr="000F20F3">
        <w:rPr>
          <w:rFonts w:ascii="Times New Roman" w:hAnsi="Times New Roman" w:cs="Times New Roman"/>
        </w:rPr>
        <w:t>Lizingas taip pat pagerina bei pagreitina</w:t>
      </w:r>
      <w:r w:rsidR="00E223CE" w:rsidRPr="000F20F3">
        <w:rPr>
          <w:rFonts w:ascii="Times New Roman" w:hAnsi="Times New Roman" w:cs="Times New Roman"/>
        </w:rPr>
        <w:t xml:space="preserve"> naujų technologijų, technologinių sprendimų įsisavinimą</w:t>
      </w:r>
      <w:r w:rsidR="005A09C0" w:rsidRPr="000F20F3">
        <w:rPr>
          <w:rFonts w:ascii="Times New Roman" w:hAnsi="Times New Roman" w:cs="Times New Roman"/>
        </w:rPr>
        <w:t xml:space="preserve">. Lizingo sektoriaus plitimas padeda skatinti bendrąsias investicijas, kurios galiausiai padeda ekonomikai augti. </w:t>
      </w:r>
      <w:r w:rsidR="003442E5" w:rsidRPr="000F20F3">
        <w:rPr>
          <w:rFonts w:ascii="Times New Roman" w:hAnsi="Times New Roman" w:cs="Times New Roman"/>
        </w:rPr>
        <w:t>Be to, lizingas turi teigiamą įtaką ir užimtumui. Didėjantis lizingo poreikis skatina lizingo įmonių kūrimąsi bei plėtrą</w:t>
      </w:r>
      <w:r w:rsidR="000F20F3">
        <w:rPr>
          <w:rFonts w:ascii="Times New Roman" w:hAnsi="Times New Roman" w:cs="Times New Roman"/>
        </w:rPr>
        <w:t xml:space="preserve">, </w:t>
      </w:r>
      <w:r w:rsidR="000F20F3" w:rsidRPr="000F20F3">
        <w:rPr>
          <w:rFonts w:ascii="Times New Roman" w:hAnsi="Times New Roman" w:cs="Times New Roman"/>
        </w:rPr>
        <w:t>d</w:t>
      </w:r>
      <w:r w:rsidR="003442E5" w:rsidRPr="000F20F3">
        <w:rPr>
          <w:rFonts w:ascii="Times New Roman" w:hAnsi="Times New Roman" w:cs="Times New Roman"/>
        </w:rPr>
        <w:t>idėjančios investicijos lizingo forma lemia verslo plėtrą</w:t>
      </w:r>
      <w:r w:rsidR="000F20F3">
        <w:rPr>
          <w:rFonts w:ascii="Times New Roman" w:hAnsi="Times New Roman" w:cs="Times New Roman"/>
        </w:rPr>
        <w:t>. Šios priežastys</w:t>
      </w:r>
      <w:r w:rsidR="003442E5" w:rsidRPr="000F20F3">
        <w:rPr>
          <w:rFonts w:ascii="Times New Roman" w:hAnsi="Times New Roman" w:cs="Times New Roman"/>
        </w:rPr>
        <w:t xml:space="preserve"> lemia naujų darbo vietų įmonėse kūrimą.</w:t>
      </w:r>
    </w:p>
    <w:p w:rsidR="00B35E17" w:rsidRDefault="00B35E17" w:rsidP="00B35E17">
      <w:pPr>
        <w:tabs>
          <w:tab w:val="left" w:pos="709"/>
          <w:tab w:val="left" w:pos="1134"/>
        </w:tabs>
        <w:spacing w:line="360" w:lineRule="auto"/>
        <w:jc w:val="both"/>
        <w:rPr>
          <w:rFonts w:ascii="Times New Roman" w:hAnsi="Times New Roman" w:cs="Times New Roman"/>
        </w:rPr>
      </w:pPr>
    </w:p>
    <w:p w:rsidR="00B35E17" w:rsidRDefault="00B35E17" w:rsidP="00B35E17">
      <w:pPr>
        <w:pStyle w:val="Heading2"/>
      </w:pPr>
      <w:bookmarkStart w:id="14" w:name="_Toc343517969"/>
      <w:r>
        <w:t>Lietuvos lizingo rinka</w:t>
      </w:r>
      <w:bookmarkEnd w:id="14"/>
    </w:p>
    <w:p w:rsidR="00B35E17" w:rsidRDefault="00B35E17" w:rsidP="00B35E17">
      <w:pPr>
        <w:rPr>
          <w:rFonts w:ascii="Times New Roman" w:hAnsi="Times New Roman" w:cs="Times New Roman"/>
        </w:rPr>
      </w:pPr>
    </w:p>
    <w:p w:rsidR="004F679E" w:rsidRDefault="004F679E" w:rsidP="00467713">
      <w:pPr>
        <w:spacing w:line="360" w:lineRule="auto"/>
        <w:ind w:firstLine="567"/>
        <w:jc w:val="both"/>
        <w:rPr>
          <w:rFonts w:ascii="Times New Roman" w:hAnsi="Times New Roman" w:cs="Times New Roman"/>
        </w:rPr>
      </w:pPr>
      <w:r>
        <w:rPr>
          <w:rFonts w:ascii="Times New Roman" w:hAnsi="Times New Roman" w:cs="Times New Roman"/>
        </w:rPr>
        <w:t xml:space="preserve">Lietuvoje lizingas savo istoriją pradėjo skaičiuoti tik atkūrus nepriklausomybę. Tuo metu kai Lietuva priklausė Sovietų Sąjungai lizingo plėtoti nebuvo įmanoma. Ilgalaikis turtas arba lėšos jam įsigyti buvo skirstomos tik pagal planą. </w:t>
      </w:r>
    </w:p>
    <w:p w:rsidR="004F679E" w:rsidRDefault="00467713" w:rsidP="00467713">
      <w:pPr>
        <w:spacing w:line="360" w:lineRule="auto"/>
        <w:ind w:firstLine="567"/>
        <w:jc w:val="both"/>
        <w:rPr>
          <w:rFonts w:ascii="Times New Roman" w:hAnsi="Times New Roman" w:cs="Times New Roman"/>
        </w:rPr>
      </w:pPr>
      <w:r w:rsidRPr="00467713">
        <w:rPr>
          <w:rFonts w:ascii="Times New Roman" w:hAnsi="Times New Roman" w:cs="Times New Roman"/>
        </w:rPr>
        <w:t>Pirmasis Lietuvoje lizingo paslaugą dar 1993 metais pradėjo siūl</w:t>
      </w:r>
      <w:r w:rsidR="004F679E">
        <w:rPr>
          <w:rFonts w:ascii="Times New Roman" w:hAnsi="Times New Roman" w:cs="Times New Roman"/>
        </w:rPr>
        <w:t>yti Lietuvos akcinis inovacinis bankas</w:t>
      </w:r>
      <w:r w:rsidR="002A1D03">
        <w:rPr>
          <w:rFonts w:ascii="Times New Roman" w:hAnsi="Times New Roman" w:cs="Times New Roman"/>
        </w:rPr>
        <w:t xml:space="preserve"> [LAIB].</w:t>
      </w:r>
      <w:r w:rsidR="004F679E">
        <w:rPr>
          <w:rFonts w:ascii="Times New Roman" w:hAnsi="Times New Roman" w:cs="Times New Roman"/>
        </w:rPr>
        <w:t xml:space="preserve"> </w:t>
      </w:r>
      <w:r w:rsidR="002A1D03">
        <w:rPr>
          <w:rFonts w:ascii="Times New Roman" w:hAnsi="Times New Roman" w:cs="Times New Roman"/>
        </w:rPr>
        <w:t>Lietuvos Centrinis</w:t>
      </w:r>
      <w:r w:rsidRPr="00467713">
        <w:rPr>
          <w:rFonts w:ascii="Times New Roman" w:hAnsi="Times New Roman" w:cs="Times New Roman"/>
        </w:rPr>
        <w:t xml:space="preserve"> bankas išdavė jam licenciją verstis ši</w:t>
      </w:r>
      <w:r w:rsidR="004F679E">
        <w:rPr>
          <w:rFonts w:ascii="Times New Roman" w:hAnsi="Times New Roman" w:cs="Times New Roman"/>
        </w:rPr>
        <w:t xml:space="preserve">a veikla, tačiau praėjus </w:t>
      </w:r>
      <w:r w:rsidRPr="00467713">
        <w:rPr>
          <w:rFonts w:ascii="Times New Roman" w:hAnsi="Times New Roman" w:cs="Times New Roman"/>
        </w:rPr>
        <w:t>vieneriems metams licencijos nepratęsė motyvuodamas tuo, kad liz</w:t>
      </w:r>
      <w:r w:rsidR="002A1D03">
        <w:rPr>
          <w:rFonts w:ascii="Times New Roman" w:hAnsi="Times New Roman" w:cs="Times New Roman"/>
        </w:rPr>
        <w:t>ingo paslaugos</w:t>
      </w:r>
      <w:r w:rsidR="004F679E">
        <w:rPr>
          <w:rFonts w:ascii="Times New Roman" w:hAnsi="Times New Roman" w:cs="Times New Roman"/>
        </w:rPr>
        <w:t xml:space="preserve"> nėra bankinė veikla. LAIB </w:t>
      </w:r>
      <w:r w:rsidRPr="00467713">
        <w:rPr>
          <w:rFonts w:ascii="Times New Roman" w:hAnsi="Times New Roman" w:cs="Times New Roman"/>
        </w:rPr>
        <w:t xml:space="preserve">lizingo padalinys buvo reorganizuotas į dukterinę LAIB įmonę </w:t>
      </w:r>
      <w:r w:rsidR="004F679E">
        <w:rPr>
          <w:rFonts w:ascii="Times New Roman" w:hAnsi="Times New Roman" w:cs="Times New Roman"/>
        </w:rPr>
        <w:t xml:space="preserve">„Aukstė“. Šios bendrovės veikla </w:t>
      </w:r>
      <w:r w:rsidRPr="00467713">
        <w:rPr>
          <w:rFonts w:ascii="Times New Roman" w:hAnsi="Times New Roman" w:cs="Times New Roman"/>
        </w:rPr>
        <w:t xml:space="preserve">nutrūko nespėjus padaryti didesnės įtakos </w:t>
      </w:r>
      <w:r w:rsidR="002A1D03">
        <w:rPr>
          <w:rFonts w:ascii="Times New Roman" w:hAnsi="Times New Roman" w:cs="Times New Roman"/>
        </w:rPr>
        <w:t xml:space="preserve">Lietuvos finansų rinkai (Danys, </w:t>
      </w:r>
      <w:r w:rsidR="003F7A2D">
        <w:rPr>
          <w:rFonts w:ascii="Times New Roman" w:hAnsi="Times New Roman" w:cs="Times New Roman"/>
        </w:rPr>
        <w:t xml:space="preserve">Milašauskas, </w:t>
      </w:r>
      <w:r w:rsidR="002A1D03">
        <w:rPr>
          <w:rFonts w:ascii="Times New Roman" w:hAnsi="Times New Roman" w:cs="Times New Roman"/>
        </w:rPr>
        <w:t>2000).</w:t>
      </w:r>
    </w:p>
    <w:p w:rsidR="009407A1" w:rsidRDefault="002A1D03" w:rsidP="00310B37">
      <w:pPr>
        <w:tabs>
          <w:tab w:val="left" w:pos="567"/>
        </w:tabs>
        <w:spacing w:line="360" w:lineRule="auto"/>
        <w:jc w:val="both"/>
        <w:rPr>
          <w:rFonts w:ascii="Times New Roman" w:hAnsi="Times New Roman" w:cs="Times New Roman"/>
        </w:rPr>
      </w:pPr>
      <w:r>
        <w:rPr>
          <w:rFonts w:ascii="Times New Roman" w:hAnsi="Times New Roman" w:cs="Times New Roman"/>
        </w:rPr>
        <w:tab/>
      </w:r>
      <w:r w:rsidR="00F575D7">
        <w:rPr>
          <w:rFonts w:ascii="Times New Roman" w:hAnsi="Times New Roman" w:cs="Times New Roman"/>
        </w:rPr>
        <w:t xml:space="preserve">Toliau vystantis Lietuvos lizingo rinkai, </w:t>
      </w:r>
      <w:r w:rsidRPr="002A1D03">
        <w:rPr>
          <w:rFonts w:ascii="Times New Roman" w:hAnsi="Times New Roman" w:cs="Times New Roman"/>
        </w:rPr>
        <w:t xml:space="preserve">1995-1996 metais buvo įkurtos ir pradėjo veikti dabartinės Lietuvos lizingo rinkos dalyvės: UAB „Vilniaus banko lizingas“ ir UAB „Hanza lizingas“. 1997 metais lizingas paplito transporto sektoriuje. Lizingo bendrovės pasiūlė vežėjams lizingo terminą, artimą planuojamam turto eksploatacijos laikui ir galimybę įsigyti transporto priemonių neįkeičiant turto. </w:t>
      </w:r>
      <w:r w:rsidR="001D4018" w:rsidRPr="001D4018">
        <w:rPr>
          <w:rFonts w:ascii="Times New Roman" w:hAnsi="Times New Roman" w:cs="Times New Roman"/>
        </w:rPr>
        <w:t xml:space="preserve">1998 metais buvo įsteigta Lietuvos lizingo asociacija vienijusi 8 narius, kurios tikslas buvo Asociacijos narių  interesų atstovavimas valdžios institucijose bei lizingo veiklos statistinių duomenų kaupimas. </w:t>
      </w:r>
      <w:r w:rsidRPr="002A1D03">
        <w:rPr>
          <w:rFonts w:ascii="Times New Roman" w:hAnsi="Times New Roman" w:cs="Times New Roman"/>
        </w:rPr>
        <w:t>1999 metais lizingo bendrovės, bendradarbiaudamos su mažmenos parduotuvėmis, ėmė siūlyti finans</w:t>
      </w:r>
      <w:r w:rsidR="00E5455B">
        <w:rPr>
          <w:rFonts w:ascii="Times New Roman" w:hAnsi="Times New Roman" w:cs="Times New Roman"/>
        </w:rPr>
        <w:t xml:space="preserve">avimą ir smulkiems vartotojams </w:t>
      </w:r>
      <w:r>
        <w:rPr>
          <w:rFonts w:ascii="Times New Roman" w:hAnsi="Times New Roman" w:cs="Times New Roman"/>
        </w:rPr>
        <w:t>(Lietuvos bankų asociacija).</w:t>
      </w:r>
    </w:p>
    <w:p w:rsidR="003A0D49" w:rsidRDefault="003A0D49" w:rsidP="00310B37">
      <w:pPr>
        <w:tabs>
          <w:tab w:val="left" w:pos="567"/>
        </w:tabs>
        <w:spacing w:line="360" w:lineRule="auto"/>
        <w:jc w:val="both"/>
        <w:rPr>
          <w:rFonts w:ascii="Times New Roman" w:hAnsi="Times New Roman" w:cs="Times New Roman"/>
        </w:rPr>
      </w:pPr>
      <w:r>
        <w:rPr>
          <w:rFonts w:ascii="Times New Roman" w:hAnsi="Times New Roman" w:cs="Times New Roman"/>
        </w:rPr>
        <w:tab/>
      </w:r>
      <w:r w:rsidR="00E5455B">
        <w:rPr>
          <w:rFonts w:ascii="Times New Roman" w:hAnsi="Times New Roman" w:cs="Times New Roman"/>
        </w:rPr>
        <w:t xml:space="preserve">Įdomu tai, kad lizingo bendrovių pirmaisiais veiklos metais nebuvo nė vieno teisės akto, kuris reglamentuotų lizingo veiklą arba apibrėžtų jos specifiką ir nustatytų, kaip esami teisės aktai turėtų būti taikomi tokiai veiklai (Danys, </w:t>
      </w:r>
      <w:r w:rsidR="003F7A2D">
        <w:rPr>
          <w:rFonts w:ascii="Times New Roman" w:hAnsi="Times New Roman" w:cs="Times New Roman"/>
        </w:rPr>
        <w:t xml:space="preserve">Milašauskas, </w:t>
      </w:r>
      <w:r w:rsidR="00E5455B">
        <w:rPr>
          <w:rFonts w:ascii="Times New Roman" w:hAnsi="Times New Roman" w:cs="Times New Roman"/>
        </w:rPr>
        <w:t xml:space="preserve">2000). </w:t>
      </w:r>
      <w:r w:rsidR="00514B38">
        <w:rPr>
          <w:rFonts w:ascii="Times New Roman" w:hAnsi="Times New Roman" w:cs="Times New Roman"/>
        </w:rPr>
        <w:t xml:space="preserve">Šiuo metu lizingo sutartys vis dar </w:t>
      </w:r>
      <w:r w:rsidR="00514B38">
        <w:rPr>
          <w:rFonts w:ascii="Times New Roman" w:hAnsi="Times New Roman" w:cs="Times New Roman"/>
        </w:rPr>
        <w:lastRenderedPageBreak/>
        <w:t>sudarinėjamos pagrinde remiantis Lietuvos civiliniu kodeksu. Lizingo veiklai vienokios ar kitokios įtakos turi finansų įstaigų, pelno bei pridėtinės vertės mokesčių bei apskaitos įstatymai.</w:t>
      </w:r>
    </w:p>
    <w:p w:rsidR="007C72C3" w:rsidRDefault="00514B38" w:rsidP="00310B37">
      <w:pPr>
        <w:tabs>
          <w:tab w:val="left" w:pos="567"/>
        </w:tabs>
        <w:spacing w:line="360" w:lineRule="auto"/>
        <w:jc w:val="both"/>
        <w:rPr>
          <w:rFonts w:ascii="Times New Roman" w:hAnsi="Times New Roman" w:cs="Times New Roman"/>
        </w:rPr>
      </w:pPr>
      <w:r>
        <w:rPr>
          <w:rFonts w:ascii="Times New Roman" w:hAnsi="Times New Roman" w:cs="Times New Roman"/>
        </w:rPr>
        <w:tab/>
      </w:r>
      <w:r w:rsidR="0037091E">
        <w:rPr>
          <w:rFonts w:ascii="Times New Roman" w:hAnsi="Times New Roman" w:cs="Times New Roman"/>
        </w:rPr>
        <w:t xml:space="preserve">Apžvelgus lizingo istoriją Lietuvoje, svarbu panagrinėti dabartinę padėtį rinkoje. Tikslaus </w:t>
      </w:r>
      <w:r w:rsidR="0037091E" w:rsidRPr="0037091E">
        <w:rPr>
          <w:rFonts w:ascii="Times New Roman" w:hAnsi="Times New Roman" w:cs="Times New Roman"/>
        </w:rPr>
        <w:t xml:space="preserve">skaičiaus </w:t>
      </w:r>
      <w:r w:rsidR="0037091E">
        <w:rPr>
          <w:rFonts w:ascii="Times New Roman" w:hAnsi="Times New Roman" w:cs="Times New Roman"/>
        </w:rPr>
        <w:t>Lietuvoje veikiančių lizingo įmonių, deja, įvardinti negalima. K</w:t>
      </w:r>
      <w:r w:rsidR="0037091E" w:rsidRPr="0037091E">
        <w:rPr>
          <w:rFonts w:ascii="Times New Roman" w:hAnsi="Times New Roman" w:cs="Times New Roman"/>
        </w:rPr>
        <w:t xml:space="preserve">ai kurios </w:t>
      </w:r>
      <w:r w:rsidR="0037091E">
        <w:rPr>
          <w:rFonts w:ascii="Times New Roman" w:hAnsi="Times New Roman" w:cs="Times New Roman"/>
        </w:rPr>
        <w:t>įmonės yra tik pasivadinusios</w:t>
      </w:r>
      <w:r w:rsidR="0037091E" w:rsidRPr="0037091E">
        <w:rPr>
          <w:rFonts w:ascii="Times New Roman" w:hAnsi="Times New Roman" w:cs="Times New Roman"/>
        </w:rPr>
        <w:t xml:space="preserve"> lizingo vardu, </w:t>
      </w:r>
      <w:r w:rsidR="0037091E">
        <w:rPr>
          <w:rFonts w:ascii="Times New Roman" w:hAnsi="Times New Roman" w:cs="Times New Roman"/>
        </w:rPr>
        <w:t>bet lizingo veiklos nevykdo, o tik</w:t>
      </w:r>
      <w:r w:rsidR="0037091E" w:rsidRPr="0037091E">
        <w:rPr>
          <w:rFonts w:ascii="Times New Roman" w:hAnsi="Times New Roman" w:cs="Times New Roman"/>
        </w:rPr>
        <w:t xml:space="preserve"> teikia greitųjų kreditų paslaugas </w:t>
      </w:r>
      <w:r w:rsidR="0037091E">
        <w:rPr>
          <w:rFonts w:ascii="Times New Roman" w:hAnsi="Times New Roman" w:cs="Times New Roman"/>
        </w:rPr>
        <w:t>ar užsiima kita panašia veikla</w:t>
      </w:r>
      <w:r w:rsidR="0037091E" w:rsidRPr="0037091E">
        <w:rPr>
          <w:rFonts w:ascii="Times New Roman" w:hAnsi="Times New Roman" w:cs="Times New Roman"/>
        </w:rPr>
        <w:t>.</w:t>
      </w:r>
      <w:r w:rsidR="0037091E">
        <w:rPr>
          <w:rFonts w:ascii="Times New Roman" w:hAnsi="Times New Roman" w:cs="Times New Roman"/>
        </w:rPr>
        <w:t xml:space="preserve"> Savo darbe, </w:t>
      </w:r>
      <w:r w:rsidR="008B308D">
        <w:rPr>
          <w:rFonts w:ascii="Times New Roman" w:hAnsi="Times New Roman" w:cs="Times New Roman"/>
        </w:rPr>
        <w:t xml:space="preserve">remsiuosi didžiausių bei stabiliausių, </w:t>
      </w:r>
      <w:r w:rsidR="001D4018">
        <w:rPr>
          <w:rFonts w:ascii="Times New Roman" w:hAnsi="Times New Roman" w:cs="Times New Roman"/>
        </w:rPr>
        <w:t>Lietuvos bankų</w:t>
      </w:r>
      <w:r w:rsidR="008B308D">
        <w:rPr>
          <w:rFonts w:ascii="Times New Roman" w:hAnsi="Times New Roman" w:cs="Times New Roman"/>
        </w:rPr>
        <w:t xml:space="preserve"> asociacijai priklausančių lizingo įmonių statistika. </w:t>
      </w:r>
      <w:r w:rsidR="008B308D" w:rsidRPr="008B308D">
        <w:rPr>
          <w:rFonts w:ascii="Times New Roman" w:hAnsi="Times New Roman" w:cs="Times New Roman"/>
        </w:rPr>
        <w:t xml:space="preserve">Nuo 2009 metų </w:t>
      </w:r>
      <w:r w:rsidR="008B308D">
        <w:rPr>
          <w:rFonts w:ascii="Times New Roman" w:hAnsi="Times New Roman" w:cs="Times New Roman"/>
        </w:rPr>
        <w:t>ši</w:t>
      </w:r>
      <w:r w:rsidR="00F575D7">
        <w:rPr>
          <w:rFonts w:ascii="Times New Roman" w:hAnsi="Times New Roman" w:cs="Times New Roman"/>
        </w:rPr>
        <w:t xml:space="preserve"> asociacija</w:t>
      </w:r>
      <w:r w:rsidR="008B308D" w:rsidRPr="008B308D">
        <w:rPr>
          <w:rFonts w:ascii="Times New Roman" w:hAnsi="Times New Roman" w:cs="Times New Roman"/>
        </w:rPr>
        <w:t xml:space="preserve"> tęsia Lietuvos lizingo asociacijos veiklą, atstovaudama Asociacijos narių interesus valdžios institucijose bei kaupdama lizingo veiklos statistinius duomenis.</w:t>
      </w:r>
      <w:r w:rsidR="008B308D">
        <w:rPr>
          <w:rFonts w:ascii="Times New Roman" w:hAnsi="Times New Roman" w:cs="Times New Roman"/>
        </w:rPr>
        <w:t xml:space="preserve"> 2012 m. balandžio mėnesio duomenimis Lietuvos bankų asociacijai priklauso</w:t>
      </w:r>
      <w:r w:rsidR="00DC5DD1">
        <w:rPr>
          <w:rFonts w:ascii="Times New Roman" w:hAnsi="Times New Roman" w:cs="Times New Roman"/>
        </w:rPr>
        <w:t xml:space="preserve"> </w:t>
      </w:r>
      <w:r w:rsidR="001D4018">
        <w:rPr>
          <w:rFonts w:ascii="Times New Roman" w:hAnsi="Times New Roman" w:cs="Times New Roman"/>
        </w:rPr>
        <w:t xml:space="preserve">11 </w:t>
      </w:r>
      <w:r w:rsidR="00980492">
        <w:rPr>
          <w:rFonts w:ascii="Times New Roman" w:hAnsi="Times New Roman" w:cs="Times New Roman"/>
        </w:rPr>
        <w:t xml:space="preserve">lizingo </w:t>
      </w:r>
      <w:r w:rsidR="001D4018">
        <w:rPr>
          <w:rFonts w:ascii="Times New Roman" w:hAnsi="Times New Roman" w:cs="Times New Roman"/>
        </w:rPr>
        <w:t>įmonių</w:t>
      </w:r>
      <w:r w:rsidR="003B2341">
        <w:rPr>
          <w:rFonts w:ascii="Times New Roman" w:hAnsi="Times New Roman" w:cs="Times New Roman"/>
        </w:rPr>
        <w:t xml:space="preserve">. Tai </w:t>
      </w:r>
      <w:r w:rsidR="00A864BC" w:rsidRPr="001D4018">
        <w:rPr>
          <w:rFonts w:ascii="Times New Roman" w:hAnsi="Times New Roman" w:cs="Times New Roman"/>
        </w:rPr>
        <w:t>Lietuvos banko licenciją turinčių bankų ar užsienio bankų filialų dukterinės įmonės</w:t>
      </w:r>
      <w:r w:rsidR="0037091E">
        <w:rPr>
          <w:rFonts w:ascii="Times New Roman" w:hAnsi="Times New Roman" w:cs="Times New Roman"/>
        </w:rPr>
        <w:t>: „DnB lizingas“, „Danske lizingas“, „Nordea Finance Lietuva“, „Citadele faktoringas ir lizingas“, „SEB lizingas“, „Snoro lizingas“, „Swedbank autoparko valdymas“, „Swedbank lizingas“, „Šiaulių banko lizingas“, „Ūkio banko lizingas“, bei Unicredit Leasing Lietuvos filialas</w:t>
      </w:r>
      <w:r w:rsidR="003B2341">
        <w:rPr>
          <w:rFonts w:ascii="Times New Roman" w:hAnsi="Times New Roman" w:cs="Times New Roman"/>
        </w:rPr>
        <w:t>.</w:t>
      </w:r>
      <w:r w:rsidR="00A864BC">
        <w:rPr>
          <w:rFonts w:ascii="Times New Roman" w:hAnsi="Times New Roman" w:cs="Times New Roman"/>
        </w:rPr>
        <w:t xml:space="preserve"> </w:t>
      </w:r>
      <w:r w:rsidR="003B2341">
        <w:rPr>
          <w:rFonts w:ascii="Times New Roman" w:hAnsi="Times New Roman" w:cs="Times New Roman"/>
        </w:rPr>
        <w:t>Šios įmonės pasidalija praktišk</w:t>
      </w:r>
      <w:r w:rsidR="00980492">
        <w:rPr>
          <w:rFonts w:ascii="Times New Roman" w:hAnsi="Times New Roman" w:cs="Times New Roman"/>
        </w:rPr>
        <w:t xml:space="preserve">ai visą lizingo rinką Lietuvoje. </w:t>
      </w:r>
      <w:r w:rsidR="00A864BC">
        <w:rPr>
          <w:rFonts w:ascii="Times New Roman" w:hAnsi="Times New Roman" w:cs="Times New Roman"/>
        </w:rPr>
        <w:t>Lietuvos bankų asociacijai nepriklausančių lizingo įmonių rinkos dalis</w:t>
      </w:r>
      <w:r w:rsidR="003B2341">
        <w:rPr>
          <w:rFonts w:ascii="Times New Roman" w:hAnsi="Times New Roman" w:cs="Times New Roman"/>
        </w:rPr>
        <w:t xml:space="preserve"> yra labai maža ir darbe </w:t>
      </w:r>
      <w:r w:rsidR="00A864BC">
        <w:rPr>
          <w:rFonts w:ascii="Times New Roman" w:hAnsi="Times New Roman" w:cs="Times New Roman"/>
        </w:rPr>
        <w:t>pateiktos lizingo statisti</w:t>
      </w:r>
      <w:r w:rsidR="007C72C3">
        <w:rPr>
          <w:rFonts w:ascii="Times New Roman" w:hAnsi="Times New Roman" w:cs="Times New Roman"/>
        </w:rPr>
        <w:t>kos reikšmingai neįtakotų.</w:t>
      </w:r>
    </w:p>
    <w:p w:rsidR="008B0296" w:rsidRDefault="001E53D6" w:rsidP="008B0296">
      <w:pPr>
        <w:tabs>
          <w:tab w:val="left" w:pos="567"/>
        </w:tabs>
        <w:spacing w:line="360" w:lineRule="auto"/>
        <w:jc w:val="both"/>
        <w:rPr>
          <w:rFonts w:ascii="Times New Roman" w:hAnsi="Times New Roman" w:cs="Times New Roman"/>
        </w:rPr>
      </w:pPr>
      <w:r>
        <w:rPr>
          <w:rFonts w:ascii="Times New Roman" w:hAnsi="Times New Roman" w:cs="Times New Roman"/>
        </w:rPr>
        <w:tab/>
      </w:r>
    </w:p>
    <w:p w:rsidR="008B0296" w:rsidRDefault="008B0296">
      <w:pPr>
        <w:spacing w:after="200" w:line="276" w:lineRule="auto"/>
        <w:rPr>
          <w:rFonts w:ascii="Times New Roman" w:hAnsi="Times New Roman" w:cs="Times New Roman"/>
        </w:rPr>
      </w:pPr>
      <w:r>
        <w:rPr>
          <w:rFonts w:ascii="Times New Roman" w:hAnsi="Times New Roman" w:cs="Times New Roman"/>
        </w:rPr>
        <w:br w:type="page"/>
      </w:r>
    </w:p>
    <w:p w:rsidR="0017250C" w:rsidRDefault="0017250C" w:rsidP="008B0296">
      <w:pPr>
        <w:tabs>
          <w:tab w:val="left" w:pos="567"/>
        </w:tabs>
        <w:spacing w:line="360" w:lineRule="auto"/>
        <w:jc w:val="both"/>
        <w:rPr>
          <w:rFonts w:ascii="Times New Roman" w:hAnsi="Times New Roman" w:cs="Times New Roman"/>
        </w:rPr>
      </w:pPr>
    </w:p>
    <w:p w:rsidR="0017250C" w:rsidRDefault="00AC04FB" w:rsidP="008B0296">
      <w:pPr>
        <w:pStyle w:val="Heading1"/>
        <w:spacing w:before="0"/>
      </w:pPr>
      <w:bookmarkStart w:id="15" w:name="_Toc343517970"/>
      <w:r>
        <w:t>LIZINGO RINKOS</w:t>
      </w:r>
      <w:r w:rsidR="0017250C">
        <w:t xml:space="preserve"> </w:t>
      </w:r>
      <w:r w:rsidR="00DC5796">
        <w:t xml:space="preserve">ĮTAKOS </w:t>
      </w:r>
      <w:r w:rsidR="00B57166">
        <w:t xml:space="preserve">ŠALIES </w:t>
      </w:r>
      <w:r w:rsidR="00CB51E9">
        <w:t xml:space="preserve">EKONOMIKAI </w:t>
      </w:r>
      <w:r w:rsidR="0017250C">
        <w:t>VERTINIMO METO</w:t>
      </w:r>
      <w:r>
        <w:t>DOLOGIJA</w:t>
      </w:r>
      <w:bookmarkEnd w:id="15"/>
    </w:p>
    <w:p w:rsidR="0017250C" w:rsidRDefault="0017250C">
      <w:pPr>
        <w:spacing w:after="200" w:line="276" w:lineRule="auto"/>
        <w:rPr>
          <w:rFonts w:ascii="Times New Roman" w:hAnsi="Times New Roman" w:cs="Times New Roman"/>
        </w:rPr>
      </w:pPr>
    </w:p>
    <w:p w:rsidR="0017250C" w:rsidRDefault="00B57166" w:rsidP="0017250C">
      <w:pPr>
        <w:pStyle w:val="Heading2"/>
      </w:pPr>
      <w:bookmarkStart w:id="16" w:name="_Toc343517971"/>
      <w:r>
        <w:t>L</w:t>
      </w:r>
      <w:r w:rsidR="00DC5796">
        <w:t xml:space="preserve">izingo rinkos įtakos </w:t>
      </w:r>
      <w:r>
        <w:t xml:space="preserve">šalies ekonomikai </w:t>
      </w:r>
      <w:r w:rsidR="00DC5796">
        <w:t>vertinimo modelis</w:t>
      </w:r>
      <w:bookmarkEnd w:id="16"/>
    </w:p>
    <w:p w:rsidR="00DC5796" w:rsidRDefault="00DC5796" w:rsidP="00DC5796">
      <w:pPr>
        <w:rPr>
          <w:rFonts w:ascii="Times New Roman" w:hAnsi="Times New Roman" w:cs="Times New Roman"/>
        </w:rPr>
      </w:pPr>
    </w:p>
    <w:p w:rsidR="00A73289" w:rsidRDefault="005A095B" w:rsidP="00D8617A">
      <w:pPr>
        <w:spacing w:line="360" w:lineRule="auto"/>
        <w:ind w:firstLine="567"/>
        <w:jc w:val="both"/>
        <w:rPr>
          <w:rFonts w:ascii="Times New Roman" w:hAnsi="Times New Roman" w:cs="Times New Roman"/>
        </w:rPr>
      </w:pPr>
      <w:r>
        <w:rPr>
          <w:rFonts w:ascii="Times New Roman" w:hAnsi="Times New Roman" w:cs="Times New Roman"/>
        </w:rPr>
        <w:t>Atlikę</w:t>
      </w:r>
      <w:r w:rsidR="009B1368">
        <w:rPr>
          <w:rFonts w:ascii="Times New Roman" w:hAnsi="Times New Roman" w:cs="Times New Roman"/>
        </w:rPr>
        <w:t xml:space="preserve"> teorinę lizingo analizę apžvelgiant lizingo </w:t>
      </w:r>
      <w:r w:rsidR="00B57166">
        <w:rPr>
          <w:rFonts w:ascii="Times New Roman" w:hAnsi="Times New Roman" w:cs="Times New Roman"/>
        </w:rPr>
        <w:t>koncepciją</w:t>
      </w:r>
      <w:r w:rsidR="009B1368">
        <w:rPr>
          <w:rFonts w:ascii="Times New Roman" w:hAnsi="Times New Roman" w:cs="Times New Roman"/>
        </w:rPr>
        <w:t xml:space="preserve">, tipus, privalumus ir trūkumus </w:t>
      </w:r>
      <w:r w:rsidR="00A73289">
        <w:rPr>
          <w:rFonts w:ascii="Times New Roman" w:hAnsi="Times New Roman" w:cs="Times New Roman"/>
        </w:rPr>
        <w:t>bei remdam</w:t>
      </w:r>
      <w:r w:rsidR="00930881">
        <w:rPr>
          <w:rFonts w:ascii="Times New Roman" w:hAnsi="Times New Roman" w:cs="Times New Roman"/>
        </w:rPr>
        <w:t>iesi</w:t>
      </w:r>
      <w:r w:rsidR="00A73289">
        <w:rPr>
          <w:rFonts w:ascii="Times New Roman" w:hAnsi="Times New Roman" w:cs="Times New Roman"/>
        </w:rPr>
        <w:t xml:space="preserve"> užsienio autorių </w:t>
      </w:r>
      <w:r w:rsidR="00D8617A">
        <w:rPr>
          <w:rFonts w:ascii="Times New Roman" w:hAnsi="Times New Roman" w:cs="Times New Roman"/>
        </w:rPr>
        <w:t xml:space="preserve">atliktais </w:t>
      </w:r>
      <w:r w:rsidR="000E50F2">
        <w:rPr>
          <w:rFonts w:ascii="Times New Roman" w:hAnsi="Times New Roman" w:cs="Times New Roman"/>
        </w:rPr>
        <w:t>tyrimais teoriškai įvertinę</w:t>
      </w:r>
      <w:r w:rsidR="00A73289">
        <w:rPr>
          <w:rFonts w:ascii="Times New Roman" w:hAnsi="Times New Roman" w:cs="Times New Roman"/>
        </w:rPr>
        <w:t xml:space="preserve"> lizingo</w:t>
      </w:r>
      <w:r w:rsidR="00DC5796" w:rsidRPr="00DC5796">
        <w:rPr>
          <w:rFonts w:ascii="Times New Roman" w:hAnsi="Times New Roman" w:cs="Times New Roman"/>
        </w:rPr>
        <w:t xml:space="preserve"> įtaką šalies ekonomikai, </w:t>
      </w:r>
      <w:r w:rsidR="000E50F2">
        <w:rPr>
          <w:rFonts w:ascii="Times New Roman" w:hAnsi="Times New Roman" w:cs="Times New Roman"/>
        </w:rPr>
        <w:t>suformuosime</w:t>
      </w:r>
      <w:r w:rsidR="00DC5796" w:rsidRPr="00DC5796">
        <w:rPr>
          <w:rFonts w:ascii="Times New Roman" w:hAnsi="Times New Roman" w:cs="Times New Roman"/>
        </w:rPr>
        <w:t xml:space="preserve"> </w:t>
      </w:r>
      <w:r w:rsidR="00A73289">
        <w:rPr>
          <w:rFonts w:ascii="Times New Roman" w:hAnsi="Times New Roman" w:cs="Times New Roman"/>
        </w:rPr>
        <w:t>lizingo rinkos</w:t>
      </w:r>
      <w:r w:rsidR="00DC5796" w:rsidRPr="00DC5796">
        <w:rPr>
          <w:rFonts w:ascii="Times New Roman" w:hAnsi="Times New Roman" w:cs="Times New Roman"/>
        </w:rPr>
        <w:t xml:space="preserve"> poveikio šalies ekonomikai vertinimo </w:t>
      </w:r>
      <w:r w:rsidR="00B57166">
        <w:rPr>
          <w:rFonts w:ascii="Times New Roman" w:hAnsi="Times New Roman" w:cs="Times New Roman"/>
        </w:rPr>
        <w:t>modelį.</w:t>
      </w:r>
    </w:p>
    <w:p w:rsidR="00D8617A" w:rsidRDefault="00D8617A" w:rsidP="00D8617A">
      <w:pPr>
        <w:spacing w:line="360" w:lineRule="auto"/>
        <w:ind w:firstLine="567"/>
        <w:jc w:val="both"/>
        <w:rPr>
          <w:rFonts w:ascii="Times New Roman" w:hAnsi="Times New Roman" w:cs="Times New Roman"/>
        </w:rPr>
      </w:pPr>
      <w:r>
        <w:rPr>
          <w:rFonts w:ascii="Times New Roman" w:hAnsi="Times New Roman" w:cs="Times New Roman"/>
        </w:rPr>
        <w:t>Lietuvos lizingo rinkos įtakos ekonomikai įvertinimui nau</w:t>
      </w:r>
      <w:r w:rsidR="007C349B">
        <w:rPr>
          <w:rFonts w:ascii="Times New Roman" w:hAnsi="Times New Roman" w:cs="Times New Roman"/>
        </w:rPr>
        <w:t>dojami</w:t>
      </w:r>
      <w:r>
        <w:rPr>
          <w:rFonts w:ascii="Times New Roman" w:hAnsi="Times New Roman" w:cs="Times New Roman"/>
        </w:rPr>
        <w:t xml:space="preserve"> s</w:t>
      </w:r>
      <w:r w:rsidR="007C349B">
        <w:rPr>
          <w:rFonts w:ascii="Times New Roman" w:hAnsi="Times New Roman" w:cs="Times New Roman"/>
        </w:rPr>
        <w:t>urinkti duomeny</w:t>
      </w:r>
      <w:r w:rsidR="00967518">
        <w:rPr>
          <w:rFonts w:ascii="Times New Roman" w:hAnsi="Times New Roman" w:cs="Times New Roman"/>
        </w:rPr>
        <w:t>s iš Lietuvos ir</w:t>
      </w:r>
      <w:r>
        <w:rPr>
          <w:rFonts w:ascii="Times New Roman" w:hAnsi="Times New Roman" w:cs="Times New Roman"/>
        </w:rPr>
        <w:t xml:space="preserve"> užsienio informacinių šaltinių (statistinės duomenų bazės, tinklapiai ir kt.), kurie analizuojami remiantis horizontalios, vertikalios analizės metodais bei matematinės statistikos metodais.</w:t>
      </w:r>
      <w:r w:rsidR="00B21DE7">
        <w:rPr>
          <w:rFonts w:ascii="Times New Roman" w:hAnsi="Times New Roman" w:cs="Times New Roman"/>
        </w:rPr>
        <w:t xml:space="preserve"> Tyrime </w:t>
      </w:r>
      <w:r w:rsidR="007C349B">
        <w:rPr>
          <w:rFonts w:ascii="Times New Roman" w:hAnsi="Times New Roman" w:cs="Times New Roman"/>
        </w:rPr>
        <w:t xml:space="preserve"> </w:t>
      </w:r>
      <w:r w:rsidR="003A4D15">
        <w:rPr>
          <w:rFonts w:ascii="Times New Roman" w:hAnsi="Times New Roman" w:cs="Times New Roman"/>
        </w:rPr>
        <w:t>naudojami</w:t>
      </w:r>
      <w:r w:rsidR="00B21DE7">
        <w:rPr>
          <w:rFonts w:ascii="Times New Roman" w:hAnsi="Times New Roman" w:cs="Times New Roman"/>
        </w:rPr>
        <w:t xml:space="preserve"> 1998 – 2011 metų </w:t>
      </w:r>
      <w:r w:rsidR="003A4D15">
        <w:rPr>
          <w:rFonts w:ascii="Times New Roman" w:hAnsi="Times New Roman" w:cs="Times New Roman"/>
        </w:rPr>
        <w:t>duomeny</w:t>
      </w:r>
      <w:r w:rsidR="00B21DE7">
        <w:rPr>
          <w:rFonts w:ascii="Times New Roman" w:hAnsi="Times New Roman" w:cs="Times New Roman"/>
        </w:rPr>
        <w:t xml:space="preserve">s. Pasirinktas būtent toks laikotarpis, nes, kaip jau ir rašyta teorinėje dalyje, tik </w:t>
      </w:r>
      <w:r w:rsidR="00663205">
        <w:rPr>
          <w:rFonts w:ascii="Times New Roman" w:hAnsi="Times New Roman" w:cs="Times New Roman"/>
        </w:rPr>
        <w:t xml:space="preserve">nuo </w:t>
      </w:r>
      <w:r w:rsidR="00B21DE7">
        <w:rPr>
          <w:rFonts w:ascii="Times New Roman" w:hAnsi="Times New Roman" w:cs="Times New Roman"/>
        </w:rPr>
        <w:t>1998 m. Lietuvos lizingo asociacija p</w:t>
      </w:r>
      <w:r w:rsidR="00663205">
        <w:rPr>
          <w:rFonts w:ascii="Times New Roman" w:hAnsi="Times New Roman" w:cs="Times New Roman"/>
        </w:rPr>
        <w:t>radėjo</w:t>
      </w:r>
      <w:r w:rsidR="00B21DE7">
        <w:rPr>
          <w:rFonts w:ascii="Times New Roman" w:hAnsi="Times New Roman" w:cs="Times New Roman"/>
        </w:rPr>
        <w:t xml:space="preserve"> vesti lizingo statistiką. Be to, analizuojami metiniai duomenys, nes ketvirtiniai pateikiami tik nuo 2009 m. pirmo pusmečio, kuomet </w:t>
      </w:r>
      <w:r w:rsidR="005C3FC5">
        <w:rPr>
          <w:rFonts w:ascii="Times New Roman" w:hAnsi="Times New Roman" w:cs="Times New Roman"/>
        </w:rPr>
        <w:t xml:space="preserve">iš Lietuvos lizingo asociacijos </w:t>
      </w:r>
      <w:r w:rsidR="00B21DE7">
        <w:rPr>
          <w:rFonts w:ascii="Times New Roman" w:hAnsi="Times New Roman" w:cs="Times New Roman"/>
        </w:rPr>
        <w:t xml:space="preserve">lizingo statistikos </w:t>
      </w:r>
      <w:r w:rsidR="005C3FC5">
        <w:rPr>
          <w:rFonts w:ascii="Times New Roman" w:hAnsi="Times New Roman" w:cs="Times New Roman"/>
        </w:rPr>
        <w:t>tvarkymą</w:t>
      </w:r>
      <w:r w:rsidR="00B21DE7">
        <w:rPr>
          <w:rFonts w:ascii="Times New Roman" w:hAnsi="Times New Roman" w:cs="Times New Roman"/>
        </w:rPr>
        <w:t xml:space="preserve"> </w:t>
      </w:r>
      <w:r w:rsidR="005C3FC5">
        <w:rPr>
          <w:rFonts w:ascii="Times New Roman" w:hAnsi="Times New Roman" w:cs="Times New Roman"/>
        </w:rPr>
        <w:t>perėmė</w:t>
      </w:r>
      <w:r w:rsidR="00B21DE7">
        <w:rPr>
          <w:rFonts w:ascii="Times New Roman" w:hAnsi="Times New Roman" w:cs="Times New Roman"/>
        </w:rPr>
        <w:t xml:space="preserve"> Lietuvos bankų asociacija. </w:t>
      </w:r>
      <w:r w:rsidR="00663205">
        <w:rPr>
          <w:rFonts w:ascii="Times New Roman" w:hAnsi="Times New Roman" w:cs="Times New Roman"/>
        </w:rPr>
        <w:t xml:space="preserve">Darbo autorius siekdamas gauti detalesnės statistinės informacijos apie 1998 m. – 2008 m. laikotarpį kreipėsi tiesiogiai į Lietuvos bankų asociaciją </w:t>
      </w:r>
      <w:r w:rsidR="005154CE">
        <w:rPr>
          <w:rFonts w:ascii="Times New Roman" w:hAnsi="Times New Roman" w:cs="Times New Roman"/>
        </w:rPr>
        <w:t>(žr. 1 priedą</w:t>
      </w:r>
      <w:r w:rsidR="00B21DE7">
        <w:rPr>
          <w:rFonts w:ascii="Times New Roman" w:hAnsi="Times New Roman" w:cs="Times New Roman"/>
        </w:rPr>
        <w:t>)</w:t>
      </w:r>
      <w:r w:rsidR="00663205">
        <w:rPr>
          <w:rFonts w:ascii="Times New Roman" w:hAnsi="Times New Roman" w:cs="Times New Roman"/>
        </w:rPr>
        <w:t xml:space="preserve">. Į pirmą elektroninį laišką atsakymo nesulaukta, į antrą elektroninį laišką buvo atsakyta, kad Lietuvos bankų asociacija iki 2009 m. turi tik metinius duomenis. </w:t>
      </w:r>
      <w:r w:rsidR="005C3FC5">
        <w:rPr>
          <w:rFonts w:ascii="Times New Roman" w:hAnsi="Times New Roman" w:cs="Times New Roman"/>
        </w:rPr>
        <w:t xml:space="preserve">Taigi dėl duomenų prieinamumo, </w:t>
      </w:r>
      <w:r w:rsidR="007C349B">
        <w:rPr>
          <w:rFonts w:ascii="Times New Roman" w:hAnsi="Times New Roman" w:cs="Times New Roman"/>
        </w:rPr>
        <w:t xml:space="preserve">darbe </w:t>
      </w:r>
      <w:r w:rsidR="00BD6A24">
        <w:rPr>
          <w:rFonts w:ascii="Times New Roman" w:hAnsi="Times New Roman" w:cs="Times New Roman"/>
        </w:rPr>
        <w:t>remiamasi 1998-2011 metiniais</w:t>
      </w:r>
      <w:r w:rsidR="005C3FC5">
        <w:rPr>
          <w:rFonts w:ascii="Times New Roman" w:hAnsi="Times New Roman" w:cs="Times New Roman"/>
        </w:rPr>
        <w:t xml:space="preserve"> duomenimis. </w:t>
      </w:r>
    </w:p>
    <w:p w:rsidR="00904958" w:rsidRDefault="00967518" w:rsidP="00967518">
      <w:pPr>
        <w:spacing w:line="360" w:lineRule="auto"/>
        <w:ind w:firstLine="567"/>
        <w:jc w:val="both"/>
        <w:rPr>
          <w:rFonts w:ascii="Times New Roman" w:hAnsi="Times New Roman" w:cs="Times New Roman"/>
        </w:rPr>
      </w:pPr>
      <w:r w:rsidRPr="00FD316A">
        <w:rPr>
          <w:rFonts w:ascii="Times New Roman" w:hAnsi="Times New Roman" w:cs="Times New Roman"/>
          <w:color w:val="auto"/>
        </w:rPr>
        <w:t xml:space="preserve">Tyrimas pradedamas nuo Lietuvos lizingo rinkos analizės. </w:t>
      </w:r>
      <w:r w:rsidR="003431BC">
        <w:rPr>
          <w:rFonts w:ascii="Times New Roman" w:hAnsi="Times New Roman" w:cs="Times New Roman"/>
          <w:color w:val="auto"/>
        </w:rPr>
        <w:t>Apskritai u</w:t>
      </w:r>
      <w:r w:rsidR="003431BC" w:rsidRPr="003431BC">
        <w:rPr>
          <w:rFonts w:ascii="Times New Roman" w:hAnsi="Times New Roman" w:cs="Times New Roman"/>
          <w:color w:val="auto"/>
        </w:rPr>
        <w:t xml:space="preserve">žsienio autorių darbuose, įvardijami du pagrindiniai lizingo rinką atspindintys rodikliai – tai lizingo portfelis </w:t>
      </w:r>
      <w:r w:rsidR="008E4D2D">
        <w:rPr>
          <w:rFonts w:ascii="Times New Roman" w:hAnsi="Times New Roman" w:cs="Times New Roman"/>
          <w:color w:val="auto"/>
        </w:rPr>
        <w:t>ir</w:t>
      </w:r>
      <w:r w:rsidR="003431BC" w:rsidRPr="003431BC">
        <w:rPr>
          <w:rFonts w:ascii="Times New Roman" w:hAnsi="Times New Roman" w:cs="Times New Roman"/>
          <w:color w:val="auto"/>
        </w:rPr>
        <w:t xml:space="preserve"> naujai pasirašomų sutarčių vertė. Lizingo portfelis – tai likutinė anksčiau pasirašytų, bet dar aktyvių lizingo sutarčių vertė </w:t>
      </w:r>
      <w:r w:rsidR="00255AB7">
        <w:rPr>
          <w:rFonts w:ascii="Times New Roman" w:hAnsi="Times New Roman" w:cs="Times New Roman"/>
          <w:color w:val="auto"/>
        </w:rPr>
        <w:t>laikotarpio</w:t>
      </w:r>
      <w:r w:rsidR="003431BC" w:rsidRPr="003431BC">
        <w:rPr>
          <w:rFonts w:ascii="Times New Roman" w:hAnsi="Times New Roman" w:cs="Times New Roman"/>
          <w:color w:val="auto"/>
        </w:rPr>
        <w:t xml:space="preserve"> pabaigoje sudėta su naujai pasirašytų sutarčių verte </w:t>
      </w:r>
      <w:r w:rsidR="00697BDD">
        <w:rPr>
          <w:rFonts w:ascii="Times New Roman" w:hAnsi="Times New Roman" w:cs="Times New Roman"/>
          <w:color w:val="auto"/>
        </w:rPr>
        <w:t>per metus;</w:t>
      </w:r>
      <w:r w:rsidR="003431BC" w:rsidRPr="003431BC">
        <w:rPr>
          <w:rFonts w:ascii="Times New Roman" w:hAnsi="Times New Roman" w:cs="Times New Roman"/>
          <w:color w:val="auto"/>
        </w:rPr>
        <w:t xml:space="preserve"> naujai pasirašomų sutarčių vertė – tai naujai pasirašytų sutarčių vertė per metus (Kichler ir Haiss, 2009).</w:t>
      </w:r>
      <w:r w:rsidR="003431BC">
        <w:rPr>
          <w:rFonts w:ascii="Times New Roman" w:hAnsi="Times New Roman" w:cs="Times New Roman"/>
          <w:color w:val="auto"/>
        </w:rPr>
        <w:t xml:space="preserve"> </w:t>
      </w:r>
      <w:r w:rsidR="007C349B">
        <w:rPr>
          <w:rFonts w:ascii="Times New Roman" w:hAnsi="Times New Roman" w:cs="Times New Roman"/>
          <w:color w:val="auto"/>
        </w:rPr>
        <w:t>Darbe</w:t>
      </w:r>
      <w:r w:rsidR="003431BC">
        <w:rPr>
          <w:rFonts w:ascii="Times New Roman" w:hAnsi="Times New Roman" w:cs="Times New Roman"/>
          <w:color w:val="auto"/>
        </w:rPr>
        <w:t xml:space="preserve"> </w:t>
      </w:r>
      <w:r w:rsidR="006413C4">
        <w:rPr>
          <w:rFonts w:ascii="Times New Roman" w:hAnsi="Times New Roman" w:cs="Times New Roman"/>
          <w:color w:val="auto"/>
        </w:rPr>
        <w:t xml:space="preserve">pirmiausia </w:t>
      </w:r>
      <w:r w:rsidR="003431BC">
        <w:rPr>
          <w:rFonts w:ascii="Times New Roman" w:hAnsi="Times New Roman" w:cs="Times New Roman"/>
          <w:color w:val="auto"/>
        </w:rPr>
        <w:t xml:space="preserve">būtent ir </w:t>
      </w:r>
      <w:r w:rsidRPr="00FD316A">
        <w:rPr>
          <w:rFonts w:ascii="Times New Roman" w:hAnsi="Times New Roman" w:cs="Times New Roman"/>
          <w:color w:val="auto"/>
        </w:rPr>
        <w:t>apžvelgiama li</w:t>
      </w:r>
      <w:r w:rsidR="006413C4">
        <w:rPr>
          <w:rFonts w:ascii="Times New Roman" w:hAnsi="Times New Roman" w:cs="Times New Roman"/>
          <w:color w:val="auto"/>
        </w:rPr>
        <w:t>zingo portfelio kitimo dinamika bei</w:t>
      </w:r>
      <w:r w:rsidRPr="00FD316A">
        <w:rPr>
          <w:rFonts w:ascii="Times New Roman" w:hAnsi="Times New Roman" w:cs="Times New Roman"/>
          <w:color w:val="auto"/>
        </w:rPr>
        <w:t xml:space="preserve"> naujai pasirašytų sutarčių vertės kitimas pamečiui. Taip pat analizuojama Lietuvos lizingo portfelio struktūra</w:t>
      </w:r>
      <w:r w:rsidR="000E50F2">
        <w:rPr>
          <w:rFonts w:ascii="Times New Roman" w:hAnsi="Times New Roman" w:cs="Times New Roman"/>
          <w:color w:val="auto"/>
        </w:rPr>
        <w:t xml:space="preserve"> pagal lizingo </w:t>
      </w:r>
      <w:r w:rsidRPr="00FD316A">
        <w:rPr>
          <w:rFonts w:ascii="Times New Roman" w:hAnsi="Times New Roman" w:cs="Times New Roman"/>
          <w:color w:val="auto"/>
        </w:rPr>
        <w:t>tipus</w:t>
      </w:r>
      <w:r w:rsidR="008A4490">
        <w:rPr>
          <w:rFonts w:ascii="Times New Roman" w:hAnsi="Times New Roman" w:cs="Times New Roman"/>
          <w:color w:val="auto"/>
        </w:rPr>
        <w:t>, t</w:t>
      </w:r>
      <w:r w:rsidR="000E50F2">
        <w:rPr>
          <w:rFonts w:ascii="Times New Roman" w:hAnsi="Times New Roman" w:cs="Times New Roman"/>
          <w:color w:val="auto"/>
        </w:rPr>
        <w:t>urto rūšis</w:t>
      </w:r>
      <w:r w:rsidRPr="00FD316A">
        <w:rPr>
          <w:rFonts w:ascii="Times New Roman" w:hAnsi="Times New Roman" w:cs="Times New Roman"/>
          <w:color w:val="auto"/>
        </w:rPr>
        <w:t xml:space="preserve">. </w:t>
      </w:r>
      <w:r w:rsidR="007C349B">
        <w:rPr>
          <w:rFonts w:ascii="Times New Roman" w:hAnsi="Times New Roman" w:cs="Times New Roman"/>
          <w:color w:val="auto"/>
        </w:rPr>
        <w:t>Įvertinamas</w:t>
      </w:r>
      <w:r w:rsidRPr="00FD316A">
        <w:rPr>
          <w:rFonts w:ascii="Times New Roman" w:hAnsi="Times New Roman" w:cs="Times New Roman"/>
          <w:color w:val="auto"/>
        </w:rPr>
        <w:t xml:space="preserve"> Lietuvos lizingo rinkos pasiskirstymas pagal lizin</w:t>
      </w:r>
      <w:r w:rsidR="00FD316A">
        <w:rPr>
          <w:rFonts w:ascii="Times New Roman" w:hAnsi="Times New Roman" w:cs="Times New Roman"/>
          <w:color w:val="auto"/>
        </w:rPr>
        <w:t xml:space="preserve">go įmonių, užimamą rinkos dalį. </w:t>
      </w:r>
      <w:r w:rsidR="00023FF8">
        <w:rPr>
          <w:rFonts w:ascii="Times New Roman" w:hAnsi="Times New Roman" w:cs="Times New Roman"/>
          <w:color w:val="auto"/>
        </w:rPr>
        <w:t>K</w:t>
      </w:r>
      <w:r w:rsidR="001B7AA6">
        <w:rPr>
          <w:rFonts w:ascii="Times New Roman" w:hAnsi="Times New Roman" w:cs="Times New Roman"/>
          <w:color w:val="auto"/>
        </w:rPr>
        <w:t xml:space="preserve">ai </w:t>
      </w:r>
      <w:r w:rsidR="00B41A74">
        <w:rPr>
          <w:rFonts w:ascii="Times New Roman" w:hAnsi="Times New Roman" w:cs="Times New Roman"/>
          <w:color w:val="auto"/>
        </w:rPr>
        <w:t>darbo analitinėje dalyje</w:t>
      </w:r>
      <w:r w:rsidR="00023FF8">
        <w:rPr>
          <w:rFonts w:ascii="Times New Roman" w:hAnsi="Times New Roman" w:cs="Times New Roman"/>
          <w:color w:val="auto"/>
        </w:rPr>
        <w:t xml:space="preserve"> </w:t>
      </w:r>
      <w:r w:rsidR="00CD4225">
        <w:rPr>
          <w:rFonts w:ascii="Times New Roman" w:hAnsi="Times New Roman" w:cs="Times New Roman"/>
          <w:color w:val="auto"/>
        </w:rPr>
        <w:t>minima lizingo rinka</w:t>
      </w:r>
      <w:r w:rsidR="001B7AA6">
        <w:rPr>
          <w:rFonts w:ascii="Times New Roman" w:hAnsi="Times New Roman" w:cs="Times New Roman"/>
          <w:color w:val="auto"/>
        </w:rPr>
        <w:t>, galima suprasti, kad</w:t>
      </w:r>
      <w:r w:rsidR="00CD4225">
        <w:rPr>
          <w:rFonts w:ascii="Times New Roman" w:hAnsi="Times New Roman" w:cs="Times New Roman"/>
          <w:color w:val="auto"/>
        </w:rPr>
        <w:t xml:space="preserve"> kalbama</w:t>
      </w:r>
      <w:r w:rsidR="001B7AA6">
        <w:rPr>
          <w:rFonts w:ascii="Times New Roman" w:hAnsi="Times New Roman" w:cs="Times New Roman"/>
          <w:color w:val="auto"/>
        </w:rPr>
        <w:t xml:space="preserve"> </w:t>
      </w:r>
      <w:r w:rsidR="00CD4225">
        <w:rPr>
          <w:rFonts w:ascii="Times New Roman" w:hAnsi="Times New Roman" w:cs="Times New Roman"/>
          <w:color w:val="auto"/>
        </w:rPr>
        <w:t>apie lizingo portfelį</w:t>
      </w:r>
      <w:r w:rsidR="00023FF8">
        <w:rPr>
          <w:rFonts w:ascii="Times New Roman" w:hAnsi="Times New Roman" w:cs="Times New Roman"/>
          <w:color w:val="auto"/>
        </w:rPr>
        <w:t>, t.</w:t>
      </w:r>
      <w:r w:rsidR="00CB50E4">
        <w:rPr>
          <w:rFonts w:ascii="Times New Roman" w:hAnsi="Times New Roman" w:cs="Times New Roman"/>
          <w:color w:val="auto"/>
        </w:rPr>
        <w:t xml:space="preserve"> </w:t>
      </w:r>
      <w:r w:rsidR="00023FF8">
        <w:rPr>
          <w:rFonts w:ascii="Times New Roman" w:hAnsi="Times New Roman" w:cs="Times New Roman"/>
          <w:color w:val="auto"/>
        </w:rPr>
        <w:t xml:space="preserve">y. įprastai lizingo portfelis bus laikomas lizingo rinka. </w:t>
      </w:r>
      <w:r w:rsidR="001B7AA6">
        <w:rPr>
          <w:rFonts w:ascii="Times New Roman" w:hAnsi="Times New Roman" w:cs="Times New Roman"/>
          <w:color w:val="auto"/>
        </w:rPr>
        <w:t xml:space="preserve">Kaip lizingo rinkos atspindys pasirenkamas būtent lizingo portfelis, </w:t>
      </w:r>
      <w:r w:rsidR="00904958">
        <w:rPr>
          <w:rFonts w:ascii="Times New Roman" w:hAnsi="Times New Roman" w:cs="Times New Roman"/>
          <w:color w:val="auto"/>
        </w:rPr>
        <w:t xml:space="preserve">nes </w:t>
      </w:r>
      <w:r w:rsidR="001B7AA6">
        <w:rPr>
          <w:rFonts w:ascii="Times New Roman" w:hAnsi="Times New Roman" w:cs="Times New Roman"/>
        </w:rPr>
        <w:t>naujai sudaromų sutarčių vertė</w:t>
      </w:r>
      <w:r w:rsidR="001B7AA6" w:rsidRPr="007B77A6">
        <w:rPr>
          <w:rFonts w:ascii="Times New Roman" w:hAnsi="Times New Roman" w:cs="Times New Roman"/>
        </w:rPr>
        <w:t xml:space="preserve"> per</w:t>
      </w:r>
      <w:r w:rsidR="001B7AA6">
        <w:rPr>
          <w:rFonts w:ascii="Times New Roman" w:hAnsi="Times New Roman" w:cs="Times New Roman"/>
        </w:rPr>
        <w:t xml:space="preserve"> metus neparodo tikrojo lizingo rinkos dydž</w:t>
      </w:r>
      <w:r w:rsidR="001B7AA6" w:rsidRPr="007B77A6">
        <w:rPr>
          <w:rFonts w:ascii="Times New Roman" w:hAnsi="Times New Roman" w:cs="Times New Roman"/>
        </w:rPr>
        <w:t xml:space="preserve">io šalies ūkyje, </w:t>
      </w:r>
      <w:r w:rsidR="001B7AA6">
        <w:rPr>
          <w:rFonts w:ascii="Times New Roman" w:hAnsi="Times New Roman" w:cs="Times New Roman"/>
        </w:rPr>
        <w:t xml:space="preserve">o tik </w:t>
      </w:r>
      <w:r w:rsidR="001B7AA6" w:rsidRPr="007B77A6">
        <w:rPr>
          <w:rFonts w:ascii="Times New Roman" w:hAnsi="Times New Roman" w:cs="Times New Roman"/>
        </w:rPr>
        <w:t xml:space="preserve">atspindi tam tikro laikotarpio </w:t>
      </w:r>
      <w:r w:rsidR="001B7AA6">
        <w:rPr>
          <w:rFonts w:ascii="Times New Roman" w:hAnsi="Times New Roman" w:cs="Times New Roman"/>
        </w:rPr>
        <w:t>lizingo sutarčių vertę</w:t>
      </w:r>
      <w:r w:rsidR="00904958">
        <w:rPr>
          <w:rFonts w:ascii="Times New Roman" w:hAnsi="Times New Roman" w:cs="Times New Roman"/>
        </w:rPr>
        <w:t xml:space="preserve"> (Kichler ir Haiss, 2009). Be to, užsienio autorių darbuose (Fleming (2004), Kichler ir Haiss (2009), White (2012))</w:t>
      </w:r>
      <w:r w:rsidR="00904958" w:rsidRPr="00904958">
        <w:rPr>
          <w:rFonts w:ascii="Times New Roman" w:hAnsi="Times New Roman" w:cs="Times New Roman"/>
        </w:rPr>
        <w:t xml:space="preserve"> </w:t>
      </w:r>
      <w:r w:rsidR="00904958">
        <w:rPr>
          <w:rFonts w:ascii="Times New Roman" w:hAnsi="Times New Roman" w:cs="Times New Roman"/>
        </w:rPr>
        <w:t xml:space="preserve">atliekant vienokius ar kitokius skaičiavimus </w:t>
      </w:r>
      <w:r w:rsidR="00904958" w:rsidRPr="00904958">
        <w:rPr>
          <w:rFonts w:ascii="Times New Roman" w:hAnsi="Times New Roman" w:cs="Times New Roman"/>
        </w:rPr>
        <w:t xml:space="preserve">vertinant lizingo rinkos įtaką šalies ekonomikai </w:t>
      </w:r>
      <w:r w:rsidR="00904958">
        <w:rPr>
          <w:rFonts w:ascii="Times New Roman" w:hAnsi="Times New Roman" w:cs="Times New Roman"/>
        </w:rPr>
        <w:t>pasirenkamas būtent lizingo portfelis, o ne naujai pasirašomų sutarčių vertė.</w:t>
      </w:r>
    </w:p>
    <w:p w:rsidR="005C3FC5" w:rsidRPr="00FD316A" w:rsidRDefault="00FD316A" w:rsidP="00967518">
      <w:pPr>
        <w:spacing w:line="360" w:lineRule="auto"/>
        <w:ind w:firstLine="567"/>
        <w:jc w:val="both"/>
        <w:rPr>
          <w:rFonts w:ascii="Times New Roman" w:hAnsi="Times New Roman" w:cs="Times New Roman"/>
          <w:color w:val="auto"/>
        </w:rPr>
      </w:pPr>
      <w:r>
        <w:rPr>
          <w:rFonts w:ascii="Times New Roman" w:hAnsi="Times New Roman" w:cs="Times New Roman"/>
          <w:color w:val="auto"/>
        </w:rPr>
        <w:lastRenderedPageBreak/>
        <w:t xml:space="preserve">Apžvelgus Lietuvos lizingo rinką, ji lyginama su pasauline lizingo rinka. </w:t>
      </w:r>
      <w:r w:rsidR="007C349B">
        <w:rPr>
          <w:rFonts w:ascii="Times New Roman" w:hAnsi="Times New Roman" w:cs="Times New Roman"/>
          <w:color w:val="auto"/>
        </w:rPr>
        <w:t>V</w:t>
      </w:r>
      <w:r>
        <w:rPr>
          <w:rFonts w:ascii="Times New Roman" w:hAnsi="Times New Roman" w:cs="Times New Roman"/>
          <w:color w:val="auto"/>
        </w:rPr>
        <w:t xml:space="preserve">ertinama kaip Lietuvos lizingo rinka atrodo Baltijos šalių kontekste, </w:t>
      </w:r>
      <w:r w:rsidR="007C349B">
        <w:rPr>
          <w:rFonts w:ascii="Times New Roman" w:hAnsi="Times New Roman" w:cs="Times New Roman"/>
          <w:color w:val="auto"/>
        </w:rPr>
        <w:t>po to</w:t>
      </w:r>
      <w:r>
        <w:rPr>
          <w:rFonts w:ascii="Times New Roman" w:hAnsi="Times New Roman" w:cs="Times New Roman"/>
          <w:color w:val="auto"/>
        </w:rPr>
        <w:t xml:space="preserve"> pasirinkus palyginamą rodiklį – lizingo rinkos santykį</w:t>
      </w:r>
      <w:r w:rsidR="0041099D">
        <w:rPr>
          <w:rFonts w:ascii="Times New Roman" w:hAnsi="Times New Roman" w:cs="Times New Roman"/>
          <w:color w:val="auto"/>
        </w:rPr>
        <w:t xml:space="preserve"> su bendruoju vidaus produktu – </w:t>
      </w:r>
      <w:r>
        <w:rPr>
          <w:rFonts w:ascii="Times New Roman" w:hAnsi="Times New Roman" w:cs="Times New Roman"/>
          <w:color w:val="auto"/>
        </w:rPr>
        <w:t>analizuojama kaip Lietuvos lizingo rinka gali būti vertinama pasauliniame lygmenyje.</w:t>
      </w:r>
      <w:r w:rsidR="00D538B0">
        <w:rPr>
          <w:rFonts w:ascii="Times New Roman" w:hAnsi="Times New Roman" w:cs="Times New Roman"/>
          <w:color w:val="auto"/>
        </w:rPr>
        <w:t xml:space="preserve"> </w:t>
      </w:r>
    </w:p>
    <w:p w:rsidR="0093672F" w:rsidRDefault="001E4D7D" w:rsidP="00967518">
      <w:pPr>
        <w:spacing w:line="360" w:lineRule="auto"/>
        <w:ind w:firstLine="567"/>
        <w:jc w:val="both"/>
        <w:rPr>
          <w:rFonts w:ascii="Times New Roman" w:hAnsi="Times New Roman" w:cs="Times New Roman"/>
        </w:rPr>
      </w:pPr>
      <w:r>
        <w:rPr>
          <w:rFonts w:ascii="Times New Roman" w:hAnsi="Times New Roman" w:cs="Times New Roman"/>
        </w:rPr>
        <w:t>Toliau</w:t>
      </w:r>
      <w:r w:rsidR="00617BC6">
        <w:rPr>
          <w:rFonts w:ascii="Times New Roman" w:hAnsi="Times New Roman" w:cs="Times New Roman"/>
        </w:rPr>
        <w:t>,</w:t>
      </w:r>
      <w:r>
        <w:rPr>
          <w:rFonts w:ascii="Times New Roman" w:hAnsi="Times New Roman" w:cs="Times New Roman"/>
        </w:rPr>
        <w:t xml:space="preserve"> </w:t>
      </w:r>
      <w:r w:rsidR="000E50F2">
        <w:rPr>
          <w:rFonts w:ascii="Times New Roman" w:hAnsi="Times New Roman" w:cs="Times New Roman"/>
        </w:rPr>
        <w:t>rem</w:t>
      </w:r>
      <w:r w:rsidR="003431BC">
        <w:rPr>
          <w:rFonts w:ascii="Times New Roman" w:hAnsi="Times New Roman" w:cs="Times New Roman"/>
        </w:rPr>
        <w:t xml:space="preserve">iantis </w:t>
      </w:r>
      <w:r w:rsidR="00617BC6">
        <w:rPr>
          <w:rFonts w:ascii="Times New Roman" w:hAnsi="Times New Roman" w:cs="Times New Roman"/>
        </w:rPr>
        <w:t xml:space="preserve">užsienio autorių atliktais tyrimais </w:t>
      </w:r>
      <w:r w:rsidR="00C66902">
        <w:rPr>
          <w:rFonts w:ascii="Times New Roman" w:hAnsi="Times New Roman" w:cs="Times New Roman"/>
        </w:rPr>
        <w:t xml:space="preserve">ir jų metu naudotais rodikliais </w:t>
      </w:r>
      <w:r w:rsidR="00617BC6">
        <w:rPr>
          <w:rFonts w:ascii="Times New Roman" w:hAnsi="Times New Roman" w:cs="Times New Roman"/>
        </w:rPr>
        <w:t>vertinant</w:t>
      </w:r>
      <w:r>
        <w:rPr>
          <w:rFonts w:ascii="Times New Roman" w:hAnsi="Times New Roman" w:cs="Times New Roman"/>
        </w:rPr>
        <w:t xml:space="preserve"> </w:t>
      </w:r>
      <w:r w:rsidR="00617BC6">
        <w:rPr>
          <w:rFonts w:ascii="Times New Roman" w:hAnsi="Times New Roman" w:cs="Times New Roman"/>
        </w:rPr>
        <w:t xml:space="preserve">lizingo </w:t>
      </w:r>
      <w:r w:rsidR="00B57166">
        <w:rPr>
          <w:rFonts w:ascii="Times New Roman" w:hAnsi="Times New Roman" w:cs="Times New Roman"/>
        </w:rPr>
        <w:t xml:space="preserve">rinkos </w:t>
      </w:r>
      <w:r w:rsidR="00617BC6">
        <w:rPr>
          <w:rFonts w:ascii="Times New Roman" w:hAnsi="Times New Roman" w:cs="Times New Roman"/>
        </w:rPr>
        <w:t xml:space="preserve">įtaką ekonomikai, </w:t>
      </w:r>
      <w:r w:rsidRPr="003A4D15">
        <w:rPr>
          <w:rFonts w:ascii="Times New Roman" w:hAnsi="Times New Roman" w:cs="Times New Roman"/>
        </w:rPr>
        <w:t>investicijoms ir užimtumui</w:t>
      </w:r>
      <w:r w:rsidR="00BD6A24">
        <w:rPr>
          <w:rFonts w:ascii="Times New Roman" w:hAnsi="Times New Roman" w:cs="Times New Roman"/>
        </w:rPr>
        <w:t>,</w:t>
      </w:r>
      <w:r w:rsidR="003431BC">
        <w:rPr>
          <w:rFonts w:ascii="Times New Roman" w:hAnsi="Times New Roman" w:cs="Times New Roman"/>
        </w:rPr>
        <w:t xml:space="preserve"> analizuojama</w:t>
      </w:r>
      <w:r>
        <w:rPr>
          <w:rFonts w:ascii="Times New Roman" w:hAnsi="Times New Roman" w:cs="Times New Roman"/>
        </w:rPr>
        <w:t xml:space="preserve"> lizingo </w:t>
      </w:r>
      <w:r w:rsidR="007C349B">
        <w:rPr>
          <w:rFonts w:ascii="Times New Roman" w:hAnsi="Times New Roman" w:cs="Times New Roman"/>
        </w:rPr>
        <w:t xml:space="preserve">rinkos </w:t>
      </w:r>
      <w:r w:rsidR="003431BC">
        <w:rPr>
          <w:rFonts w:ascii="Times New Roman" w:hAnsi="Times New Roman" w:cs="Times New Roman"/>
        </w:rPr>
        <w:t>įtaka</w:t>
      </w:r>
      <w:r>
        <w:rPr>
          <w:rFonts w:ascii="Times New Roman" w:hAnsi="Times New Roman" w:cs="Times New Roman"/>
        </w:rPr>
        <w:t xml:space="preserve"> bendrajam vidaus produktui, tiesioginėms užsienio investici</w:t>
      </w:r>
      <w:r w:rsidR="00FD316A">
        <w:rPr>
          <w:rFonts w:ascii="Times New Roman" w:hAnsi="Times New Roman" w:cs="Times New Roman"/>
        </w:rPr>
        <w:t xml:space="preserve">joms bei nedarbo lygiui šalyje. </w:t>
      </w:r>
      <w:r w:rsidR="00B64F9B">
        <w:rPr>
          <w:rFonts w:ascii="Times New Roman" w:hAnsi="Times New Roman" w:cs="Times New Roman"/>
        </w:rPr>
        <w:t>Tuo tikslu</w:t>
      </w:r>
      <w:r w:rsidR="003431BC" w:rsidRPr="003431BC">
        <w:rPr>
          <w:rFonts w:ascii="Times New Roman" w:hAnsi="Times New Roman" w:cs="Times New Roman"/>
        </w:rPr>
        <w:t xml:space="preserve"> atli</w:t>
      </w:r>
      <w:r w:rsidR="00D538B0">
        <w:rPr>
          <w:rFonts w:ascii="Times New Roman" w:hAnsi="Times New Roman" w:cs="Times New Roman"/>
        </w:rPr>
        <w:t>ekama</w:t>
      </w:r>
      <w:r w:rsidR="003431BC" w:rsidRPr="003431BC">
        <w:rPr>
          <w:rFonts w:ascii="Times New Roman" w:hAnsi="Times New Roman" w:cs="Times New Roman"/>
        </w:rPr>
        <w:t xml:space="preserve"> koreliacinė regresinė analizė. </w:t>
      </w:r>
      <w:r w:rsidR="001B7AA6">
        <w:rPr>
          <w:rFonts w:ascii="Times New Roman" w:hAnsi="Times New Roman" w:cs="Times New Roman"/>
        </w:rPr>
        <w:t>Ji</w:t>
      </w:r>
      <w:r w:rsidR="000E50F2">
        <w:rPr>
          <w:rFonts w:ascii="Times New Roman" w:hAnsi="Times New Roman" w:cs="Times New Roman"/>
        </w:rPr>
        <w:t xml:space="preserve"> </w:t>
      </w:r>
      <w:r w:rsidR="00FF4D27">
        <w:rPr>
          <w:rFonts w:ascii="Times New Roman" w:hAnsi="Times New Roman" w:cs="Times New Roman"/>
        </w:rPr>
        <w:t>atliekama</w:t>
      </w:r>
      <w:r w:rsidR="0093672F">
        <w:rPr>
          <w:rFonts w:ascii="Times New Roman" w:hAnsi="Times New Roman" w:cs="Times New Roman"/>
        </w:rPr>
        <w:t xml:space="preserve"> </w:t>
      </w:r>
      <w:r w:rsidR="00BD6A24">
        <w:rPr>
          <w:rFonts w:ascii="Times New Roman" w:hAnsi="Times New Roman" w:cs="Times New Roman"/>
        </w:rPr>
        <w:t>vadovaudamasis Pa</w:t>
      </w:r>
      <w:r w:rsidR="00C550E4">
        <w:rPr>
          <w:rFonts w:ascii="Times New Roman" w:hAnsi="Times New Roman" w:cs="Times New Roman"/>
        </w:rPr>
        <w:t>bed</w:t>
      </w:r>
      <w:r w:rsidR="00BD6A24">
        <w:rPr>
          <w:rFonts w:ascii="Times New Roman" w:hAnsi="Times New Roman" w:cs="Times New Roman"/>
        </w:rPr>
        <w:t>inskaitės (2009) nurodytais etapais:</w:t>
      </w:r>
    </w:p>
    <w:p w:rsidR="00C56A37" w:rsidRDefault="00D538B0" w:rsidP="0093672F">
      <w:pPr>
        <w:pStyle w:val="ListParagraph"/>
        <w:numPr>
          <w:ilvl w:val="0"/>
          <w:numId w:val="18"/>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rPr>
        <w:t>A</w:t>
      </w:r>
      <w:r w:rsidR="0093672F">
        <w:rPr>
          <w:rFonts w:ascii="Times New Roman" w:hAnsi="Times New Roman" w:cs="Times New Roman"/>
        </w:rPr>
        <w:t xml:space="preserve">tliekama porinė koreliacinė analizė </w:t>
      </w:r>
      <w:r w:rsidR="003B61AF" w:rsidRPr="0093672F">
        <w:rPr>
          <w:rFonts w:ascii="Times New Roman" w:hAnsi="Times New Roman" w:cs="Times New Roman"/>
        </w:rPr>
        <w:t xml:space="preserve">tarp lizingo </w:t>
      </w:r>
      <w:r w:rsidR="00B57166">
        <w:rPr>
          <w:rFonts w:ascii="Times New Roman" w:hAnsi="Times New Roman" w:cs="Times New Roman"/>
        </w:rPr>
        <w:t xml:space="preserve">rinkos </w:t>
      </w:r>
      <w:r w:rsidR="003B61AF" w:rsidRPr="0093672F">
        <w:rPr>
          <w:rFonts w:ascii="Times New Roman" w:hAnsi="Times New Roman" w:cs="Times New Roman"/>
        </w:rPr>
        <w:t xml:space="preserve">ir paminėtų ekonomikos augimą, investicijas, užimtumą apibūdinančių rodiklių. </w:t>
      </w:r>
      <w:r>
        <w:rPr>
          <w:rFonts w:ascii="Times New Roman" w:hAnsi="Times New Roman" w:cs="Times New Roman"/>
        </w:rPr>
        <w:t>Kitaip tariant</w:t>
      </w:r>
      <w:r w:rsidR="00B73D91" w:rsidRPr="0093672F">
        <w:rPr>
          <w:rFonts w:ascii="Times New Roman" w:hAnsi="Times New Roman" w:cs="Times New Roman"/>
        </w:rPr>
        <w:t xml:space="preserve"> skaičiuojamas Pirsono koreliacijos koeficientas. Jis naudojamas norint nustatyti kiekybinių kintamųjų tarpusavio ryšio stiprumą. Didelės šio koeficiento reikšmės, nežiūrint ar jos teigia</w:t>
      </w:r>
      <w:r w:rsidR="008600F7">
        <w:rPr>
          <w:rFonts w:ascii="Times New Roman" w:hAnsi="Times New Roman" w:cs="Times New Roman"/>
        </w:rPr>
        <w:t>mos, ar neigiamos, atitinka tai</w:t>
      </w:r>
      <w:r w:rsidR="00B73D91" w:rsidRPr="0093672F">
        <w:rPr>
          <w:rFonts w:ascii="Times New Roman" w:hAnsi="Times New Roman" w:cs="Times New Roman"/>
        </w:rPr>
        <w:t xml:space="preserve"> ką vadiname stipria koreliacija, o mažo</w:t>
      </w:r>
      <w:r w:rsidR="00CB50E4">
        <w:rPr>
          <w:rFonts w:ascii="Times New Roman" w:hAnsi="Times New Roman" w:cs="Times New Roman"/>
        </w:rPr>
        <w:t>s reikšmės – silpna koreliacija</w:t>
      </w:r>
      <w:r w:rsidR="00B73D91" w:rsidRPr="0093672F">
        <w:rPr>
          <w:rFonts w:ascii="Times New Roman" w:hAnsi="Times New Roman" w:cs="Times New Roman"/>
        </w:rPr>
        <w:t xml:space="preserve"> (Rudzkienė, 2005).</w:t>
      </w:r>
      <w:r w:rsidR="00D03420" w:rsidRPr="0093672F">
        <w:rPr>
          <w:rFonts w:ascii="Times New Roman" w:hAnsi="Times New Roman" w:cs="Times New Roman"/>
        </w:rPr>
        <w:t xml:space="preserve"> </w:t>
      </w:r>
      <w:r w:rsidR="009959F1">
        <w:rPr>
          <w:rFonts w:ascii="Times New Roman" w:hAnsi="Times New Roman" w:cs="Times New Roman"/>
        </w:rPr>
        <w:t xml:space="preserve">Koreliacijos koeficientas gali turėti reikšmes nuo -1 iki 1. Kai koreliacijos koeficientas teigiamas, tai reiškia, kad didėjant veiksnio X reikšmėms, didėja ir Y reikšmės. Kai koreliacijos koeficientas neigiamas, didėjant vieno veiksnio reikšmėms, kito veiksnio reikšmės juda priešingai, t.y. </w:t>
      </w:r>
      <w:r w:rsidR="00D93D44">
        <w:rPr>
          <w:rFonts w:ascii="Times New Roman" w:hAnsi="Times New Roman" w:cs="Times New Roman"/>
        </w:rPr>
        <w:t xml:space="preserve">mažėja (Pabedinskaitė, 2009). Tyrimo metu apskaičiavę koreliacijos koeficientą nustatysime, ar ryšys tarp lizingo ir kitų analizuojamų rodiklių yra pakankamai stiprus, kad jį būtų galima vertinti kaip patikimą. </w:t>
      </w:r>
      <w:r w:rsidR="00AD2030">
        <w:rPr>
          <w:rFonts w:ascii="Times New Roman" w:hAnsi="Times New Roman" w:cs="Times New Roman"/>
        </w:rPr>
        <w:t>Be to, atliekant koreliacinę analizę dar reikėtų patikrinti ar koreliacijos koeficientas yra statistiškai reikšmin</w:t>
      </w:r>
      <w:r w:rsidR="00C56A37">
        <w:rPr>
          <w:rFonts w:ascii="Times New Roman" w:hAnsi="Times New Roman" w:cs="Times New Roman"/>
        </w:rPr>
        <w:t xml:space="preserve">gas. Norint tai </w:t>
      </w:r>
      <w:r w:rsidR="003B3D3D">
        <w:rPr>
          <w:rFonts w:ascii="Times New Roman" w:hAnsi="Times New Roman" w:cs="Times New Roman"/>
        </w:rPr>
        <w:t>padaryti</w:t>
      </w:r>
      <w:r w:rsidR="00C56A37">
        <w:rPr>
          <w:rFonts w:ascii="Times New Roman" w:hAnsi="Times New Roman" w:cs="Times New Roman"/>
        </w:rPr>
        <w:t xml:space="preserve"> dažniausiai yra formuojamos dvi hipotezės (Rudzkienė, 2005):</w:t>
      </w:r>
    </w:p>
    <w:p w:rsidR="00FC7198" w:rsidRDefault="00FC7198" w:rsidP="00FC7198">
      <w:pPr>
        <w:pStyle w:val="ListParagraph"/>
        <w:tabs>
          <w:tab w:val="left" w:pos="1134"/>
        </w:tabs>
        <w:spacing w:line="360" w:lineRule="auto"/>
        <w:ind w:left="567"/>
        <w:jc w:val="both"/>
        <w:rPr>
          <w:rFonts w:ascii="Times New Roman" w:hAnsi="Times New Roman" w:cs="Times New Roman"/>
        </w:rPr>
      </w:pPr>
    </w:p>
    <w:p w:rsidR="00C56A37" w:rsidRPr="00C56A37" w:rsidRDefault="00C56A37" w:rsidP="00C56A37">
      <w:pPr>
        <w:tabs>
          <w:tab w:val="left" w:pos="567"/>
        </w:tabs>
        <w:spacing w:line="360" w:lineRule="auto"/>
        <w:ind w:left="567"/>
        <w:jc w:val="both"/>
        <w:rPr>
          <w:rFonts w:ascii="Times New Roman" w:hAnsi="Times New Roman" w:cs="Times New Roman"/>
          <w:i/>
        </w:rPr>
      </w:pPr>
      <w:r w:rsidRPr="00136564">
        <w:rPr>
          <w:rFonts w:ascii="Times New Roman" w:hAnsi="Times New Roman" w:cs="Times New Roman"/>
          <w:b/>
          <w:i/>
        </w:rPr>
        <w:t>H</w:t>
      </w:r>
      <w:r w:rsidRPr="00136564">
        <w:rPr>
          <w:rFonts w:ascii="Times New Roman" w:hAnsi="Times New Roman" w:cs="Times New Roman"/>
          <w:b/>
          <w:i/>
          <w:vertAlign w:val="subscript"/>
        </w:rPr>
        <w:t>0</w:t>
      </w:r>
      <w:r w:rsidRPr="00C56A37">
        <w:rPr>
          <w:rFonts w:ascii="Times New Roman" w:hAnsi="Times New Roman" w:cs="Times New Roman"/>
          <w:i/>
        </w:rPr>
        <w:t xml:space="preserve">: </w:t>
      </w:r>
      <w:r>
        <w:rPr>
          <w:rFonts w:ascii="Times New Roman" w:hAnsi="Times New Roman" w:cs="Times New Roman"/>
          <w:i/>
        </w:rPr>
        <w:t>Koreliacijos koeficientas lygus nuliui</w:t>
      </w:r>
      <w:r w:rsidRPr="00C56A37">
        <w:rPr>
          <w:rFonts w:ascii="Times New Roman" w:hAnsi="Times New Roman" w:cs="Times New Roman"/>
          <w:i/>
        </w:rPr>
        <w:t>.</w:t>
      </w:r>
    </w:p>
    <w:p w:rsidR="00C56A37" w:rsidRDefault="00C56A37" w:rsidP="00C56A37">
      <w:pPr>
        <w:tabs>
          <w:tab w:val="left" w:pos="567"/>
        </w:tabs>
        <w:spacing w:line="360" w:lineRule="auto"/>
        <w:ind w:left="567"/>
        <w:jc w:val="both"/>
        <w:rPr>
          <w:rFonts w:ascii="Times New Roman" w:hAnsi="Times New Roman" w:cs="Times New Roman"/>
          <w:i/>
        </w:rPr>
      </w:pPr>
      <w:r w:rsidRPr="00136564">
        <w:rPr>
          <w:rFonts w:ascii="Times New Roman" w:hAnsi="Times New Roman" w:cs="Times New Roman"/>
          <w:b/>
          <w:i/>
        </w:rPr>
        <w:t>H</w:t>
      </w:r>
      <w:r w:rsidRPr="00136564">
        <w:rPr>
          <w:rFonts w:ascii="Times New Roman" w:hAnsi="Times New Roman" w:cs="Times New Roman"/>
          <w:b/>
          <w:i/>
          <w:vertAlign w:val="subscript"/>
        </w:rPr>
        <w:t>1</w:t>
      </w:r>
      <w:r w:rsidRPr="00C56A37">
        <w:rPr>
          <w:rFonts w:ascii="Times New Roman" w:hAnsi="Times New Roman" w:cs="Times New Roman"/>
          <w:i/>
        </w:rPr>
        <w:t xml:space="preserve">: </w:t>
      </w:r>
      <w:r>
        <w:rPr>
          <w:rFonts w:ascii="Times New Roman" w:hAnsi="Times New Roman" w:cs="Times New Roman"/>
          <w:i/>
        </w:rPr>
        <w:t>Koreliacijos koeficientas nelygus nuliui</w:t>
      </w:r>
      <w:r w:rsidRPr="00C56A37">
        <w:rPr>
          <w:rFonts w:ascii="Times New Roman" w:hAnsi="Times New Roman" w:cs="Times New Roman"/>
          <w:i/>
        </w:rPr>
        <w:t>.</w:t>
      </w:r>
    </w:p>
    <w:p w:rsidR="00FC7198" w:rsidRDefault="00FC7198" w:rsidP="00C56A37">
      <w:pPr>
        <w:tabs>
          <w:tab w:val="left" w:pos="567"/>
        </w:tabs>
        <w:spacing w:line="360" w:lineRule="auto"/>
        <w:ind w:left="567"/>
        <w:jc w:val="both"/>
        <w:rPr>
          <w:rFonts w:ascii="Times New Roman" w:hAnsi="Times New Roman" w:cs="Times New Roman"/>
          <w:i/>
        </w:rPr>
      </w:pPr>
    </w:p>
    <w:p w:rsidR="00C56A37" w:rsidRDefault="00C56A37" w:rsidP="00C56A37">
      <w:pPr>
        <w:tabs>
          <w:tab w:val="left" w:pos="567"/>
        </w:tabs>
        <w:spacing w:line="360" w:lineRule="auto"/>
        <w:ind w:left="567"/>
        <w:jc w:val="both"/>
        <w:rPr>
          <w:rFonts w:ascii="Times New Roman" w:hAnsi="Times New Roman" w:cs="Times New Roman"/>
        </w:rPr>
      </w:pPr>
      <w:r>
        <w:rPr>
          <w:rFonts w:ascii="Times New Roman" w:hAnsi="Times New Roman" w:cs="Times New Roman"/>
        </w:rPr>
        <w:t xml:space="preserve">Suformuotos hipotezės tikrinamos pagal </w:t>
      </w:r>
      <w:r w:rsidR="007E254A">
        <w:rPr>
          <w:rFonts w:ascii="Times New Roman" w:hAnsi="Times New Roman" w:cs="Times New Roman"/>
        </w:rPr>
        <w:t xml:space="preserve">t kriterijų </w:t>
      </w:r>
      <w:r w:rsidR="002B53B0">
        <w:rPr>
          <w:rFonts w:ascii="Times New Roman" w:hAnsi="Times New Roman" w:cs="Times New Roman"/>
        </w:rPr>
        <w:t xml:space="preserve">žr. (1) formulę </w:t>
      </w:r>
      <w:r w:rsidR="007E254A">
        <w:rPr>
          <w:rFonts w:ascii="Times New Roman" w:hAnsi="Times New Roman" w:cs="Times New Roman"/>
        </w:rPr>
        <w:t>(Pabedinskaitė, 2009</w:t>
      </w:r>
      <w:r w:rsidR="000E50F2">
        <w:rPr>
          <w:rFonts w:ascii="Times New Roman" w:hAnsi="Times New Roman" w:cs="Times New Roman"/>
        </w:rPr>
        <w:t>, p.18</w:t>
      </w:r>
      <w:r w:rsidR="007E254A">
        <w:rPr>
          <w:rFonts w:ascii="Times New Roman" w:hAnsi="Times New Roman" w:cs="Times New Roman"/>
        </w:rPr>
        <w:t>):</w:t>
      </w:r>
    </w:p>
    <w:p w:rsidR="00357A2A" w:rsidRDefault="00357A2A" w:rsidP="00357A2A">
      <w:pPr>
        <w:tabs>
          <w:tab w:val="left" w:pos="567"/>
        </w:tabs>
        <w:spacing w:line="360" w:lineRule="auto"/>
        <w:jc w:val="both"/>
        <w:rPr>
          <w:rFonts w:ascii="Times New Roman" w:hAnsi="Times New Roman" w:cs="Times New Roman"/>
        </w:rPr>
      </w:pPr>
    </w:p>
    <w:p w:rsidR="007E254A" w:rsidRPr="00357A2A" w:rsidRDefault="00357A2A" w:rsidP="00357A2A">
      <w:pPr>
        <w:tabs>
          <w:tab w:val="left" w:pos="567"/>
        </w:tabs>
        <w:spacing w:line="360" w:lineRule="auto"/>
        <w:jc w:val="both"/>
        <w:rPr>
          <w:rFonts w:ascii="Times New Roman" w:hAnsi="Times New Roman" w:cs="Times New Roman"/>
        </w:rPr>
      </w:pPr>
      <w:r>
        <w:rPr>
          <w:rFonts w:ascii="Times New Roman" w:hAnsi="Times New Roman" w:cs="Times New Roman"/>
        </w:rPr>
        <w:tab/>
      </w:r>
      <m:oMath>
        <m:r>
          <w:rPr>
            <w:rFonts w:ascii="Cambria Math" w:hAnsi="Cambria Math" w:cs="Times New Roman"/>
          </w:rPr>
          <m:t>t=</m:t>
        </m:r>
        <m:d>
          <m:dPr>
            <m:begChr m:val="|"/>
            <m:endChr m:val="|"/>
            <m:ctrlPr>
              <w:rPr>
                <w:rFonts w:ascii="Cambria Math" w:hAnsi="Cambria Math" w:cs="Times New Roman"/>
                <w:i/>
              </w:rPr>
            </m:ctrlPr>
          </m:dPr>
          <m:e>
            <m:r>
              <w:rPr>
                <w:rFonts w:ascii="Cambria Math" w:hAnsi="Cambria Math" w:cs="Times New Roman"/>
              </w:rPr>
              <m:t>r</m:t>
            </m:r>
            <m:rad>
              <m:radPr>
                <m:degHide m:val="1"/>
                <m:ctrlPr>
                  <w:rPr>
                    <w:rFonts w:ascii="Cambria Math" w:hAnsi="Cambria Math" w:cs="Times New Roman"/>
                    <w:i/>
                  </w:rPr>
                </m:ctrlPr>
              </m:radPr>
              <m:deg/>
              <m:e>
                <m:f>
                  <m:fPr>
                    <m:ctrlPr>
                      <w:rPr>
                        <w:rFonts w:ascii="Cambria Math" w:hAnsi="Cambria Math" w:cs="Times New Roman"/>
                        <w:i/>
                      </w:rPr>
                    </m:ctrlPr>
                  </m:fPr>
                  <m:num>
                    <m:r>
                      <w:rPr>
                        <w:rFonts w:ascii="Cambria Math" w:hAnsi="Cambria Math" w:cs="Times New Roman"/>
                      </w:rPr>
                      <m:t>n-2</m:t>
                    </m:r>
                  </m:num>
                  <m:den>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r</m:t>
                        </m:r>
                      </m:e>
                      <m:sup>
                        <m:r>
                          <w:rPr>
                            <w:rFonts w:ascii="Cambria Math" w:hAnsi="Cambria Math" w:cs="Times New Roman"/>
                          </w:rPr>
                          <m:t>2</m:t>
                        </m:r>
                      </m:sup>
                    </m:sSup>
                  </m:den>
                </m:f>
              </m:e>
            </m:rad>
          </m:e>
        </m:d>
        <m:r>
          <w:rPr>
            <w:rFonts w:ascii="Cambria Math" w:hAnsi="Cambria Math" w:cs="Times New Roman"/>
          </w:rPr>
          <m:t>;</m:t>
        </m:r>
      </m:oMath>
      <w:r>
        <w:rPr>
          <w:rFonts w:ascii="Times New Roman" w:hAnsi="Times New Roman" w:cs="Times New Roman"/>
        </w:rPr>
        <w:tab/>
      </w:r>
      <w:r w:rsidR="00000367">
        <w:rPr>
          <w:rFonts w:ascii="Times New Roman" w:hAnsi="Times New Roman" w:cs="Times New Roman"/>
        </w:rPr>
        <w:t>(1)</w:t>
      </w:r>
    </w:p>
    <w:p w:rsidR="00357A2A" w:rsidRDefault="00357A2A" w:rsidP="00357A2A">
      <w:pPr>
        <w:tabs>
          <w:tab w:val="left" w:pos="567"/>
          <w:tab w:val="left" w:pos="993"/>
        </w:tabs>
        <w:spacing w:line="360" w:lineRule="auto"/>
        <w:jc w:val="both"/>
        <w:rPr>
          <w:rFonts w:ascii="Times New Roman" w:hAnsi="Times New Roman" w:cs="Times New Roman"/>
        </w:rPr>
      </w:pPr>
      <w:r>
        <w:rPr>
          <w:rFonts w:ascii="Times New Roman" w:hAnsi="Times New Roman" w:cs="Times New Roman"/>
        </w:rPr>
        <w:tab/>
        <w:t xml:space="preserve">Čia: </w:t>
      </w:r>
      <w:r w:rsidR="00F97719">
        <w:rPr>
          <w:rFonts w:ascii="Times New Roman" w:hAnsi="Times New Roman" w:cs="Times New Roman"/>
        </w:rPr>
        <w:t xml:space="preserve">t – statistika; </w:t>
      </w:r>
    </w:p>
    <w:p w:rsidR="00357A2A" w:rsidRDefault="00357A2A" w:rsidP="00357A2A">
      <w:pPr>
        <w:tabs>
          <w:tab w:val="left" w:pos="567"/>
          <w:tab w:val="left" w:pos="993"/>
        </w:tabs>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 </w:t>
      </w:r>
      <w:r w:rsidR="00F97719">
        <w:rPr>
          <w:rFonts w:ascii="Times New Roman" w:hAnsi="Times New Roman" w:cs="Times New Roman"/>
        </w:rPr>
        <w:t xml:space="preserve">r – koreliacijos koeficientas; </w:t>
      </w:r>
    </w:p>
    <w:p w:rsidR="00C56A37" w:rsidRDefault="00357A2A" w:rsidP="00357A2A">
      <w:pPr>
        <w:tabs>
          <w:tab w:val="left" w:pos="567"/>
          <w:tab w:val="left" w:pos="993"/>
        </w:tabs>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 </w:t>
      </w:r>
      <w:r w:rsidR="00F97719">
        <w:rPr>
          <w:rFonts w:ascii="Times New Roman" w:hAnsi="Times New Roman" w:cs="Times New Roman"/>
        </w:rPr>
        <w:t>n – stebėjimų skaičius.</w:t>
      </w:r>
    </w:p>
    <w:p w:rsidR="0041541C" w:rsidRDefault="0041541C" w:rsidP="00357A2A">
      <w:pPr>
        <w:tabs>
          <w:tab w:val="left" w:pos="567"/>
          <w:tab w:val="left" w:pos="993"/>
        </w:tabs>
        <w:spacing w:line="360" w:lineRule="auto"/>
        <w:jc w:val="both"/>
        <w:rPr>
          <w:rFonts w:ascii="Times New Roman" w:hAnsi="Times New Roman" w:cs="Times New Roman"/>
        </w:rPr>
      </w:pPr>
    </w:p>
    <w:p w:rsidR="00F97719" w:rsidRDefault="00F97719" w:rsidP="00C56A37">
      <w:pPr>
        <w:tabs>
          <w:tab w:val="left" w:pos="567"/>
        </w:tabs>
        <w:spacing w:line="360" w:lineRule="auto"/>
        <w:jc w:val="both"/>
        <w:rPr>
          <w:rFonts w:ascii="Times New Roman" w:hAnsi="Times New Roman" w:cs="Times New Roman"/>
        </w:rPr>
      </w:pPr>
      <w:r>
        <w:rPr>
          <w:rFonts w:ascii="Times New Roman" w:hAnsi="Times New Roman" w:cs="Times New Roman"/>
        </w:rPr>
        <w:tab/>
      </w:r>
      <w:r w:rsidR="008E68F0">
        <w:rPr>
          <w:rFonts w:ascii="Times New Roman" w:hAnsi="Times New Roman" w:cs="Times New Roman"/>
        </w:rPr>
        <w:t xml:space="preserve">Apskaičiuotoji t reikšmė lyginama su kritine reikšme t. Kritinė t reikšmė apskaičiuojama įvertinant </w:t>
      </w:r>
      <w:r>
        <w:rPr>
          <w:rFonts w:ascii="Times New Roman" w:hAnsi="Times New Roman" w:cs="Times New Roman"/>
        </w:rPr>
        <w:t>reikšmingumo lygmenį</w:t>
      </w:r>
      <w:r w:rsidR="008E68F0">
        <w:rPr>
          <w:rFonts w:ascii="Times New Roman" w:hAnsi="Times New Roman" w:cs="Times New Roman"/>
        </w:rPr>
        <w:t xml:space="preserve"> (klaidos padarymo tikimybę), pvz.: α</w:t>
      </w:r>
      <w:r w:rsidR="008E68F0">
        <w:rPr>
          <w:rFonts w:ascii="Times New Roman" w:hAnsi="Times New Roman" w:cs="Times New Roman"/>
          <w:lang w:val="en-US"/>
        </w:rPr>
        <w:t xml:space="preserve">=0,05 </w:t>
      </w:r>
      <w:r w:rsidR="008E68F0">
        <w:rPr>
          <w:rFonts w:ascii="Times New Roman" w:hAnsi="Times New Roman" w:cs="Times New Roman"/>
        </w:rPr>
        <w:t xml:space="preserve">bei laisvės laipsnių </w:t>
      </w:r>
      <w:r w:rsidR="008E68F0">
        <w:rPr>
          <w:rFonts w:ascii="Times New Roman" w:hAnsi="Times New Roman" w:cs="Times New Roman"/>
        </w:rPr>
        <w:lastRenderedPageBreak/>
        <w:t>skaičių. Hipotezė H</w:t>
      </w:r>
      <w:r w:rsidR="008E68F0" w:rsidRPr="008E68F0">
        <w:rPr>
          <w:rFonts w:ascii="Times New Roman" w:hAnsi="Times New Roman" w:cs="Times New Roman"/>
          <w:vertAlign w:val="subscript"/>
        </w:rPr>
        <w:t>0</w:t>
      </w:r>
      <w:r w:rsidR="008E68F0">
        <w:rPr>
          <w:rFonts w:ascii="Times New Roman" w:hAnsi="Times New Roman" w:cs="Times New Roman"/>
        </w:rPr>
        <w:t xml:space="preserve"> atmetama jei </w:t>
      </w:r>
      <w:r w:rsidR="0055106C">
        <w:rPr>
          <w:rFonts w:ascii="Times New Roman" w:hAnsi="Times New Roman" w:cs="Times New Roman"/>
        </w:rPr>
        <w:t xml:space="preserve">apskaičiuotoji </w:t>
      </w:r>
      <w:r w:rsidR="008E68F0">
        <w:rPr>
          <w:rFonts w:ascii="Times New Roman" w:hAnsi="Times New Roman" w:cs="Times New Roman"/>
        </w:rPr>
        <w:t>t reikšmė viršiją kritinę t reikšmę (Pabedinskaitė, 2009; Rudzkienė, 2005).</w:t>
      </w:r>
      <w:r w:rsidR="008600F7">
        <w:rPr>
          <w:rFonts w:ascii="Times New Roman" w:hAnsi="Times New Roman" w:cs="Times New Roman"/>
        </w:rPr>
        <w:t xml:space="preserve"> Tokiu atveju galima sakyti, kad ryšys tarp lizingo ir analizuojamo rodiklio egzistuoja.</w:t>
      </w:r>
      <w:r w:rsidR="0055106C">
        <w:rPr>
          <w:rFonts w:ascii="Times New Roman" w:hAnsi="Times New Roman" w:cs="Times New Roman"/>
        </w:rPr>
        <w:t xml:space="preserve"> </w:t>
      </w:r>
    </w:p>
    <w:p w:rsidR="008600F7" w:rsidRDefault="008600F7" w:rsidP="008600F7">
      <w:pPr>
        <w:pStyle w:val="ListParagraph"/>
        <w:numPr>
          <w:ilvl w:val="0"/>
          <w:numId w:val="18"/>
        </w:numPr>
        <w:tabs>
          <w:tab w:val="left" w:pos="567"/>
        </w:tabs>
        <w:spacing w:line="360" w:lineRule="auto"/>
        <w:ind w:left="0" w:firstLine="567"/>
        <w:jc w:val="both"/>
        <w:rPr>
          <w:rFonts w:ascii="Times New Roman" w:hAnsi="Times New Roman" w:cs="Times New Roman"/>
        </w:rPr>
      </w:pPr>
      <w:r>
        <w:rPr>
          <w:rFonts w:ascii="Times New Roman" w:hAnsi="Times New Roman" w:cs="Times New Roman"/>
        </w:rPr>
        <w:t>Antrame etape atliekama porinė regresinė analizė ir randamos priklausomybės (regresinės</w:t>
      </w:r>
      <w:r w:rsidR="00934FEE">
        <w:rPr>
          <w:rFonts w:ascii="Times New Roman" w:hAnsi="Times New Roman" w:cs="Times New Roman"/>
        </w:rPr>
        <w:t>) lygtys</w:t>
      </w:r>
      <w:r>
        <w:rPr>
          <w:rFonts w:ascii="Times New Roman" w:hAnsi="Times New Roman" w:cs="Times New Roman"/>
        </w:rPr>
        <w:t xml:space="preserve"> nuo kiekvieno iš anksčiau at</w:t>
      </w:r>
      <w:r w:rsidR="004800FB">
        <w:rPr>
          <w:rFonts w:ascii="Times New Roman" w:hAnsi="Times New Roman" w:cs="Times New Roman"/>
        </w:rPr>
        <w:t>rinktų veiksnių (Pabedi</w:t>
      </w:r>
      <w:r w:rsidR="00BD123D">
        <w:rPr>
          <w:rFonts w:ascii="Times New Roman" w:hAnsi="Times New Roman" w:cs="Times New Roman"/>
        </w:rPr>
        <w:t>nskaitė, 2009). Apskaičiavus koreliacijos koeficientą nustatomas tik ryšių egzistavimas, tačiau negalima pasakyti, kaip lizingas įtakoja nagrinėjamus rodiklius</w:t>
      </w:r>
      <w:r w:rsidR="00640502">
        <w:rPr>
          <w:rFonts w:ascii="Times New Roman" w:hAnsi="Times New Roman" w:cs="Times New Roman"/>
        </w:rPr>
        <w:t xml:space="preserve">, t.y. negalima pasakyti pavyzdžiui kaip </w:t>
      </w:r>
      <w:r w:rsidR="00BD123D">
        <w:rPr>
          <w:rFonts w:ascii="Times New Roman" w:hAnsi="Times New Roman" w:cs="Times New Roman"/>
        </w:rPr>
        <w:t xml:space="preserve">lizingo rinkai išsiplėtus, </w:t>
      </w:r>
      <w:r w:rsidR="009E54BF">
        <w:rPr>
          <w:rFonts w:ascii="Times New Roman" w:hAnsi="Times New Roman" w:cs="Times New Roman"/>
        </w:rPr>
        <w:t xml:space="preserve">pakis </w:t>
      </w:r>
      <w:r w:rsidR="00BD123D">
        <w:rPr>
          <w:rFonts w:ascii="Times New Roman" w:hAnsi="Times New Roman" w:cs="Times New Roman"/>
        </w:rPr>
        <w:t>bendrasis vidaus produktas.</w:t>
      </w:r>
      <w:r w:rsidR="009E54BF">
        <w:rPr>
          <w:rFonts w:ascii="Times New Roman" w:hAnsi="Times New Roman" w:cs="Times New Roman"/>
        </w:rPr>
        <w:t xml:space="preserve"> </w:t>
      </w:r>
      <w:r w:rsidR="0055106C">
        <w:rPr>
          <w:rFonts w:ascii="Times New Roman" w:hAnsi="Times New Roman" w:cs="Times New Roman"/>
        </w:rPr>
        <w:t xml:space="preserve">Siekiant įvertinti kokią </w:t>
      </w:r>
      <w:r w:rsidR="00AE748F">
        <w:rPr>
          <w:rFonts w:ascii="Times New Roman" w:hAnsi="Times New Roman" w:cs="Times New Roman"/>
        </w:rPr>
        <w:t xml:space="preserve">įtaką </w:t>
      </w:r>
      <w:r w:rsidR="00027C73">
        <w:rPr>
          <w:rFonts w:ascii="Times New Roman" w:hAnsi="Times New Roman" w:cs="Times New Roman"/>
        </w:rPr>
        <w:t>lizingo rinka daro bendrajam vidaus produktui, tiesioginėms užsienio investicijoms bei nedarbui bus iškeliamos trys hipotezių poros:</w:t>
      </w:r>
    </w:p>
    <w:p w:rsidR="0066468A" w:rsidRPr="0066468A" w:rsidRDefault="0066468A" w:rsidP="0066468A">
      <w:pPr>
        <w:tabs>
          <w:tab w:val="left" w:pos="567"/>
        </w:tabs>
        <w:spacing w:line="360" w:lineRule="auto"/>
        <w:jc w:val="both"/>
        <w:rPr>
          <w:rFonts w:ascii="Times New Roman" w:hAnsi="Times New Roman" w:cs="Times New Roman"/>
        </w:rPr>
      </w:pPr>
    </w:p>
    <w:p w:rsidR="00027C73" w:rsidRPr="00027C73" w:rsidRDefault="00027C73" w:rsidP="00027C73">
      <w:pPr>
        <w:tabs>
          <w:tab w:val="left" w:pos="567"/>
        </w:tabs>
        <w:spacing w:line="360" w:lineRule="auto"/>
        <w:ind w:firstLine="567"/>
        <w:jc w:val="both"/>
        <w:rPr>
          <w:rFonts w:ascii="Times New Roman" w:hAnsi="Times New Roman" w:cs="Times New Roman"/>
          <w:i/>
        </w:rPr>
      </w:pPr>
      <w:r w:rsidRPr="003B3D3D">
        <w:rPr>
          <w:rFonts w:ascii="Times New Roman" w:hAnsi="Times New Roman" w:cs="Times New Roman"/>
          <w:b/>
          <w:i/>
        </w:rPr>
        <w:t>H</w:t>
      </w:r>
      <w:r w:rsidRPr="003B3D3D">
        <w:rPr>
          <w:rFonts w:ascii="Times New Roman" w:hAnsi="Times New Roman" w:cs="Times New Roman"/>
          <w:b/>
          <w:i/>
          <w:vertAlign w:val="subscript"/>
        </w:rPr>
        <w:t>0</w:t>
      </w:r>
      <w:r w:rsidRPr="00027C73">
        <w:rPr>
          <w:rFonts w:ascii="Times New Roman" w:hAnsi="Times New Roman" w:cs="Times New Roman"/>
          <w:i/>
        </w:rPr>
        <w:t xml:space="preserve">: </w:t>
      </w:r>
      <w:r>
        <w:rPr>
          <w:rFonts w:ascii="Times New Roman" w:hAnsi="Times New Roman" w:cs="Times New Roman"/>
          <w:i/>
        </w:rPr>
        <w:t>Lizingo rinkos didėjimas Lietuvoje neturi teigiamos įtakos bendrojo vidaus produkto kiekio didėjimui šalyje</w:t>
      </w:r>
    </w:p>
    <w:p w:rsidR="00027C73" w:rsidRDefault="00027C73" w:rsidP="00027C73">
      <w:pPr>
        <w:tabs>
          <w:tab w:val="left" w:pos="567"/>
        </w:tabs>
        <w:spacing w:line="360" w:lineRule="auto"/>
        <w:ind w:firstLine="567"/>
        <w:jc w:val="both"/>
        <w:rPr>
          <w:rFonts w:ascii="Times New Roman" w:hAnsi="Times New Roman" w:cs="Times New Roman"/>
          <w:i/>
        </w:rPr>
      </w:pPr>
      <w:r w:rsidRPr="003B3D3D">
        <w:rPr>
          <w:rFonts w:ascii="Times New Roman" w:hAnsi="Times New Roman" w:cs="Times New Roman"/>
          <w:b/>
          <w:i/>
        </w:rPr>
        <w:t>H</w:t>
      </w:r>
      <w:r w:rsidRPr="003B3D3D">
        <w:rPr>
          <w:rFonts w:ascii="Times New Roman" w:hAnsi="Times New Roman" w:cs="Times New Roman"/>
          <w:b/>
          <w:i/>
          <w:vertAlign w:val="subscript"/>
        </w:rPr>
        <w:t>1</w:t>
      </w:r>
      <w:r w:rsidRPr="00027C73">
        <w:rPr>
          <w:rFonts w:ascii="Times New Roman" w:hAnsi="Times New Roman" w:cs="Times New Roman"/>
          <w:i/>
        </w:rPr>
        <w:t xml:space="preserve">: </w:t>
      </w:r>
      <w:r>
        <w:rPr>
          <w:rFonts w:ascii="Times New Roman" w:hAnsi="Times New Roman" w:cs="Times New Roman"/>
          <w:i/>
        </w:rPr>
        <w:t xml:space="preserve">Lizingo rinkos didėjimas Lietuvoje teigiamai </w:t>
      </w:r>
      <w:r w:rsidR="00043F73">
        <w:rPr>
          <w:rFonts w:ascii="Times New Roman" w:hAnsi="Times New Roman" w:cs="Times New Roman"/>
          <w:i/>
        </w:rPr>
        <w:t>veikia bendrojo</w:t>
      </w:r>
      <w:r>
        <w:rPr>
          <w:rFonts w:ascii="Times New Roman" w:hAnsi="Times New Roman" w:cs="Times New Roman"/>
          <w:i/>
        </w:rPr>
        <w:t xml:space="preserve"> vidaus produkto kiekį šalyje</w:t>
      </w:r>
    </w:p>
    <w:p w:rsidR="00043F73" w:rsidRDefault="00043F73" w:rsidP="00027C73">
      <w:pPr>
        <w:tabs>
          <w:tab w:val="left" w:pos="567"/>
        </w:tabs>
        <w:spacing w:line="360" w:lineRule="auto"/>
        <w:ind w:firstLine="567"/>
        <w:jc w:val="both"/>
        <w:rPr>
          <w:rFonts w:ascii="Times New Roman" w:hAnsi="Times New Roman" w:cs="Times New Roman"/>
          <w:i/>
        </w:rPr>
      </w:pPr>
    </w:p>
    <w:p w:rsidR="00043F73" w:rsidRPr="00027C73" w:rsidRDefault="00043F73" w:rsidP="00043F73">
      <w:pPr>
        <w:tabs>
          <w:tab w:val="left" w:pos="567"/>
        </w:tabs>
        <w:spacing w:line="360" w:lineRule="auto"/>
        <w:ind w:firstLine="567"/>
        <w:jc w:val="both"/>
        <w:rPr>
          <w:rFonts w:ascii="Times New Roman" w:hAnsi="Times New Roman" w:cs="Times New Roman"/>
          <w:i/>
        </w:rPr>
      </w:pPr>
      <w:r w:rsidRPr="003B3D3D">
        <w:rPr>
          <w:rFonts w:ascii="Times New Roman" w:hAnsi="Times New Roman" w:cs="Times New Roman"/>
          <w:b/>
          <w:i/>
        </w:rPr>
        <w:t>H</w:t>
      </w:r>
      <w:r w:rsidRPr="003B3D3D">
        <w:rPr>
          <w:rFonts w:ascii="Times New Roman" w:hAnsi="Times New Roman" w:cs="Times New Roman"/>
          <w:b/>
          <w:i/>
          <w:vertAlign w:val="subscript"/>
        </w:rPr>
        <w:t>0</w:t>
      </w:r>
      <w:r w:rsidRPr="00027C73">
        <w:rPr>
          <w:rFonts w:ascii="Times New Roman" w:hAnsi="Times New Roman" w:cs="Times New Roman"/>
          <w:i/>
        </w:rPr>
        <w:t xml:space="preserve">: </w:t>
      </w:r>
      <w:r>
        <w:rPr>
          <w:rFonts w:ascii="Times New Roman" w:hAnsi="Times New Roman" w:cs="Times New Roman"/>
          <w:i/>
        </w:rPr>
        <w:t>Lizingo rinkos didėjimas Lietuvoje neturi teigiamos įtakos tiesioginių užsienio investicijų kiekio didėjimui šalyje</w:t>
      </w:r>
    </w:p>
    <w:p w:rsidR="00043F73" w:rsidRDefault="00043F73" w:rsidP="00043F73">
      <w:pPr>
        <w:tabs>
          <w:tab w:val="left" w:pos="567"/>
        </w:tabs>
        <w:spacing w:line="360" w:lineRule="auto"/>
        <w:ind w:firstLine="567"/>
        <w:jc w:val="both"/>
        <w:rPr>
          <w:rFonts w:ascii="Times New Roman" w:hAnsi="Times New Roman" w:cs="Times New Roman"/>
          <w:i/>
        </w:rPr>
      </w:pPr>
      <w:r w:rsidRPr="003B3D3D">
        <w:rPr>
          <w:rFonts w:ascii="Times New Roman" w:hAnsi="Times New Roman" w:cs="Times New Roman"/>
          <w:b/>
          <w:i/>
        </w:rPr>
        <w:t>H</w:t>
      </w:r>
      <w:r w:rsidRPr="003B3D3D">
        <w:rPr>
          <w:rFonts w:ascii="Times New Roman" w:hAnsi="Times New Roman" w:cs="Times New Roman"/>
          <w:b/>
          <w:i/>
          <w:vertAlign w:val="subscript"/>
        </w:rPr>
        <w:t>1</w:t>
      </w:r>
      <w:r w:rsidRPr="00027C73">
        <w:rPr>
          <w:rFonts w:ascii="Times New Roman" w:hAnsi="Times New Roman" w:cs="Times New Roman"/>
          <w:i/>
        </w:rPr>
        <w:t xml:space="preserve">: </w:t>
      </w:r>
      <w:r>
        <w:rPr>
          <w:rFonts w:ascii="Times New Roman" w:hAnsi="Times New Roman" w:cs="Times New Roman"/>
          <w:i/>
        </w:rPr>
        <w:t>Lizingo rinkos didėjimas Lietuvoje teigiamai veikia tiesioginių užsienio investicijų kiekį šalyje</w:t>
      </w:r>
    </w:p>
    <w:p w:rsidR="00043F73" w:rsidRDefault="00043F73" w:rsidP="00043F73">
      <w:pPr>
        <w:tabs>
          <w:tab w:val="left" w:pos="567"/>
        </w:tabs>
        <w:spacing w:line="360" w:lineRule="auto"/>
        <w:ind w:firstLine="567"/>
        <w:jc w:val="both"/>
        <w:rPr>
          <w:rFonts w:ascii="Times New Roman" w:hAnsi="Times New Roman" w:cs="Times New Roman"/>
          <w:i/>
        </w:rPr>
      </w:pPr>
    </w:p>
    <w:p w:rsidR="00043F73" w:rsidRPr="00027C73" w:rsidRDefault="00043F73" w:rsidP="00043F73">
      <w:pPr>
        <w:tabs>
          <w:tab w:val="left" w:pos="567"/>
        </w:tabs>
        <w:spacing w:line="360" w:lineRule="auto"/>
        <w:ind w:firstLine="567"/>
        <w:jc w:val="both"/>
        <w:rPr>
          <w:rFonts w:ascii="Times New Roman" w:hAnsi="Times New Roman" w:cs="Times New Roman"/>
          <w:i/>
        </w:rPr>
      </w:pPr>
      <w:r w:rsidRPr="003B3D3D">
        <w:rPr>
          <w:rFonts w:ascii="Times New Roman" w:hAnsi="Times New Roman" w:cs="Times New Roman"/>
          <w:b/>
          <w:i/>
        </w:rPr>
        <w:t>H</w:t>
      </w:r>
      <w:r w:rsidRPr="003B3D3D">
        <w:rPr>
          <w:rFonts w:ascii="Times New Roman" w:hAnsi="Times New Roman" w:cs="Times New Roman"/>
          <w:b/>
          <w:i/>
          <w:vertAlign w:val="subscript"/>
        </w:rPr>
        <w:t>0</w:t>
      </w:r>
      <w:r w:rsidRPr="00027C73">
        <w:rPr>
          <w:rFonts w:ascii="Times New Roman" w:hAnsi="Times New Roman" w:cs="Times New Roman"/>
          <w:i/>
        </w:rPr>
        <w:t xml:space="preserve">: </w:t>
      </w:r>
      <w:r>
        <w:rPr>
          <w:rFonts w:ascii="Times New Roman" w:hAnsi="Times New Roman" w:cs="Times New Roman"/>
          <w:i/>
        </w:rPr>
        <w:t>Lizingo rinkos didėjimas Lietuvoje neturi teigiamos įtakos nedarbo mažėjimui šalyje</w:t>
      </w:r>
    </w:p>
    <w:p w:rsidR="00043F73" w:rsidRDefault="00043F73" w:rsidP="00043F73">
      <w:pPr>
        <w:tabs>
          <w:tab w:val="left" w:pos="567"/>
        </w:tabs>
        <w:spacing w:line="360" w:lineRule="auto"/>
        <w:ind w:firstLine="567"/>
        <w:jc w:val="both"/>
        <w:rPr>
          <w:rFonts w:ascii="Times New Roman" w:hAnsi="Times New Roman" w:cs="Times New Roman"/>
          <w:i/>
        </w:rPr>
      </w:pPr>
      <w:r w:rsidRPr="003B3D3D">
        <w:rPr>
          <w:rFonts w:ascii="Times New Roman" w:hAnsi="Times New Roman" w:cs="Times New Roman"/>
          <w:b/>
          <w:i/>
        </w:rPr>
        <w:t>H</w:t>
      </w:r>
      <w:r w:rsidRPr="003B3D3D">
        <w:rPr>
          <w:rFonts w:ascii="Times New Roman" w:hAnsi="Times New Roman" w:cs="Times New Roman"/>
          <w:b/>
          <w:i/>
          <w:vertAlign w:val="subscript"/>
        </w:rPr>
        <w:t>1</w:t>
      </w:r>
      <w:r w:rsidRPr="00027C73">
        <w:rPr>
          <w:rFonts w:ascii="Times New Roman" w:hAnsi="Times New Roman" w:cs="Times New Roman"/>
          <w:i/>
        </w:rPr>
        <w:t xml:space="preserve">: </w:t>
      </w:r>
      <w:r>
        <w:rPr>
          <w:rFonts w:ascii="Times New Roman" w:hAnsi="Times New Roman" w:cs="Times New Roman"/>
          <w:i/>
        </w:rPr>
        <w:t xml:space="preserve">Lizingo rinkos didėjimas Lietuvoje </w:t>
      </w:r>
      <w:r w:rsidR="000A247D">
        <w:rPr>
          <w:rFonts w:ascii="Times New Roman" w:hAnsi="Times New Roman" w:cs="Times New Roman"/>
          <w:i/>
        </w:rPr>
        <w:t xml:space="preserve">mažina </w:t>
      </w:r>
      <w:r>
        <w:rPr>
          <w:rFonts w:ascii="Times New Roman" w:hAnsi="Times New Roman" w:cs="Times New Roman"/>
          <w:i/>
        </w:rPr>
        <w:t>nedarbo lygį šalyje</w:t>
      </w:r>
    </w:p>
    <w:p w:rsidR="00043F73" w:rsidRDefault="00043F73" w:rsidP="00043F73">
      <w:pPr>
        <w:tabs>
          <w:tab w:val="left" w:pos="567"/>
        </w:tabs>
        <w:spacing w:line="360" w:lineRule="auto"/>
        <w:ind w:firstLine="567"/>
        <w:jc w:val="both"/>
        <w:rPr>
          <w:rFonts w:ascii="Times New Roman" w:hAnsi="Times New Roman" w:cs="Times New Roman"/>
          <w:i/>
        </w:rPr>
      </w:pPr>
    </w:p>
    <w:p w:rsidR="00AE748F" w:rsidRDefault="00AE748F" w:rsidP="00043F73">
      <w:pPr>
        <w:tabs>
          <w:tab w:val="left" w:pos="567"/>
        </w:tabs>
        <w:spacing w:line="360" w:lineRule="auto"/>
        <w:ind w:firstLine="567"/>
        <w:jc w:val="both"/>
        <w:rPr>
          <w:rFonts w:ascii="Times New Roman" w:hAnsi="Times New Roman" w:cs="Times New Roman"/>
        </w:rPr>
      </w:pPr>
      <w:r>
        <w:rPr>
          <w:rFonts w:ascii="Times New Roman" w:hAnsi="Times New Roman" w:cs="Times New Roman"/>
        </w:rPr>
        <w:t xml:space="preserve">Šioms hipotezėms patvirtinti ar paneigti </w:t>
      </w:r>
      <w:r w:rsidR="002B53B0">
        <w:rPr>
          <w:rFonts w:ascii="Times New Roman" w:hAnsi="Times New Roman" w:cs="Times New Roman"/>
        </w:rPr>
        <w:t xml:space="preserve">sudaromos regresinės lygtys, žr. (2) formulę </w:t>
      </w:r>
      <w:r>
        <w:rPr>
          <w:rFonts w:ascii="Times New Roman" w:hAnsi="Times New Roman" w:cs="Times New Roman"/>
        </w:rPr>
        <w:t>(Pabedinskaitė, 2009</w:t>
      </w:r>
      <w:r w:rsidR="000E50F2">
        <w:rPr>
          <w:rFonts w:ascii="Times New Roman" w:hAnsi="Times New Roman" w:cs="Times New Roman"/>
        </w:rPr>
        <w:t>, p.24</w:t>
      </w:r>
      <w:r>
        <w:rPr>
          <w:rFonts w:ascii="Times New Roman" w:hAnsi="Times New Roman" w:cs="Times New Roman"/>
        </w:rPr>
        <w:t>):</w:t>
      </w:r>
    </w:p>
    <w:p w:rsidR="00AE748F" w:rsidRDefault="00AE748F" w:rsidP="00043F73">
      <w:pPr>
        <w:tabs>
          <w:tab w:val="left" w:pos="567"/>
        </w:tabs>
        <w:spacing w:line="360" w:lineRule="auto"/>
        <w:ind w:firstLine="567"/>
        <w:jc w:val="both"/>
        <w:rPr>
          <w:rFonts w:ascii="Times New Roman" w:hAnsi="Times New Roman" w:cs="Times New Roman"/>
        </w:rPr>
      </w:pPr>
    </w:p>
    <w:p w:rsidR="00043F73" w:rsidRPr="003B3D3D" w:rsidRDefault="00AE748F" w:rsidP="00043F73">
      <w:pPr>
        <w:tabs>
          <w:tab w:val="left" w:pos="567"/>
        </w:tabs>
        <w:spacing w:line="360" w:lineRule="auto"/>
        <w:ind w:firstLine="567"/>
        <w:jc w:val="both"/>
        <w:rPr>
          <w:rFonts w:ascii="Times New Roman" w:hAnsi="Times New Roman" w:cs="Times New Roman"/>
          <w:i/>
          <w:sz w:val="28"/>
          <w:szCs w:val="28"/>
          <w:lang w:val="en-US"/>
        </w:rPr>
      </w:pPr>
      <w:r w:rsidRPr="00DE3408">
        <w:rPr>
          <w:rFonts w:ascii="Times New Roman" w:hAnsi="Times New Roman" w:cs="Times New Roman"/>
          <w:i/>
        </w:rPr>
        <w:t xml:space="preserve"> </w:t>
      </w:r>
      <m:oMath>
        <m:r>
          <w:rPr>
            <w:rFonts w:ascii="Cambria Math" w:hAnsi="Cambria Math" w:cs="Times New Roman"/>
            <w:sz w:val="28"/>
            <w:szCs w:val="28"/>
          </w:rPr>
          <m:t>ŷ</m:t>
        </m:r>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 xml:space="preserve">0 </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 xml:space="preserve">1 </m:t>
            </m:r>
          </m:sub>
        </m:sSub>
        <m:r>
          <w:rPr>
            <w:rFonts w:ascii="Cambria Math" w:hAnsi="Cambria Math" w:cs="Times New Roman"/>
            <w:sz w:val="28"/>
            <w:szCs w:val="28"/>
            <w:lang w:val="en-US"/>
          </w:rPr>
          <m:t>x</m:t>
        </m:r>
      </m:oMath>
      <w:r w:rsidR="002B53B0" w:rsidRPr="002B53B0">
        <w:rPr>
          <w:rFonts w:ascii="Times New Roman" w:hAnsi="Times New Roman" w:cs="Times New Roman"/>
          <w:sz w:val="28"/>
          <w:szCs w:val="28"/>
          <w:lang w:val="en-US"/>
        </w:rPr>
        <w:tab/>
      </w:r>
      <w:r w:rsidR="002B53B0">
        <w:rPr>
          <w:rFonts w:ascii="Times New Roman" w:hAnsi="Times New Roman" w:cs="Times New Roman"/>
          <w:sz w:val="28"/>
          <w:szCs w:val="28"/>
          <w:lang w:val="en-US"/>
        </w:rPr>
        <w:t>(2</w:t>
      </w:r>
      <w:r w:rsidR="002B53B0" w:rsidRPr="002B53B0">
        <w:rPr>
          <w:rFonts w:ascii="Times New Roman" w:hAnsi="Times New Roman" w:cs="Times New Roman"/>
          <w:sz w:val="28"/>
          <w:szCs w:val="28"/>
          <w:lang w:val="en-US"/>
        </w:rPr>
        <w:t>)</w:t>
      </w:r>
    </w:p>
    <w:p w:rsidR="008E5A24" w:rsidRDefault="00DE3408" w:rsidP="00DE3408">
      <w:pPr>
        <w:tabs>
          <w:tab w:val="left" w:pos="567"/>
        </w:tabs>
        <w:spacing w:line="360" w:lineRule="auto"/>
        <w:ind w:left="567"/>
        <w:jc w:val="both"/>
        <w:rPr>
          <w:rFonts w:ascii="Times New Roman" w:hAnsi="Times New Roman" w:cs="Times New Roman"/>
        </w:rPr>
      </w:pPr>
      <w:r w:rsidRPr="00DE3408">
        <w:rPr>
          <w:rFonts w:ascii="Times New Roman" w:hAnsi="Times New Roman" w:cs="Times New Roman"/>
        </w:rPr>
        <w:t>ŷ</w:t>
      </w:r>
      <w:r>
        <w:rPr>
          <w:rFonts w:ascii="Times New Roman" w:hAnsi="Times New Roman" w:cs="Times New Roman"/>
        </w:rPr>
        <w:t xml:space="preserve"> – priklausomas kintamasis (BVP; tiesioginės užsienio investicijos; nedarbo lygis),  </w:t>
      </w:r>
    </w:p>
    <w:p w:rsidR="008E5A24" w:rsidRDefault="00DE3408" w:rsidP="00DE3408">
      <w:pPr>
        <w:tabs>
          <w:tab w:val="left" w:pos="567"/>
        </w:tabs>
        <w:spacing w:line="360" w:lineRule="auto"/>
        <w:ind w:left="567"/>
        <w:jc w:val="both"/>
        <w:rPr>
          <w:rFonts w:ascii="Times New Roman" w:hAnsi="Times New Roman" w:cs="Times New Roman"/>
        </w:rPr>
      </w:pPr>
      <w:r w:rsidRPr="00DE3408">
        <w:rPr>
          <w:rFonts w:ascii="Times New Roman" w:hAnsi="Times New Roman" w:cs="Times New Roman"/>
        </w:rPr>
        <w:t>x</w:t>
      </w:r>
      <w:r>
        <w:rPr>
          <w:rFonts w:ascii="Times New Roman" w:hAnsi="Times New Roman" w:cs="Times New Roman"/>
        </w:rPr>
        <w:t xml:space="preserve"> – nepriklausomas kintamasis (lizingo rinka), </w:t>
      </w:r>
    </w:p>
    <w:p w:rsidR="00043F73" w:rsidRDefault="00DE3408" w:rsidP="00DE3408">
      <w:pPr>
        <w:tabs>
          <w:tab w:val="left" w:pos="567"/>
        </w:tabs>
        <w:spacing w:line="360" w:lineRule="auto"/>
        <w:ind w:left="567"/>
        <w:jc w:val="both"/>
        <w:rPr>
          <w:rFonts w:ascii="Times New Roman" w:hAnsi="Times New Roman" w:cs="Times New Roman"/>
        </w:rPr>
      </w:pPr>
      <w:r>
        <w:rPr>
          <w:rFonts w:ascii="Times New Roman" w:hAnsi="Times New Roman" w:cs="Times New Roman"/>
        </w:rPr>
        <w:t>a</w:t>
      </w:r>
      <w:r w:rsidRPr="00DE3408">
        <w:rPr>
          <w:rFonts w:ascii="Times New Roman" w:hAnsi="Times New Roman" w:cs="Times New Roman"/>
          <w:vertAlign w:val="subscript"/>
        </w:rPr>
        <w:t>0</w:t>
      </w:r>
      <w:r>
        <w:rPr>
          <w:rFonts w:ascii="Times New Roman" w:hAnsi="Times New Roman" w:cs="Times New Roman"/>
        </w:rPr>
        <w:t xml:space="preserve"> ir a</w:t>
      </w:r>
      <w:r w:rsidRPr="00DE3408">
        <w:rPr>
          <w:rFonts w:ascii="Times New Roman" w:hAnsi="Times New Roman" w:cs="Times New Roman"/>
          <w:vertAlign w:val="subscript"/>
        </w:rPr>
        <w:t>1</w:t>
      </w:r>
      <w:r>
        <w:rPr>
          <w:rFonts w:ascii="Times New Roman" w:hAnsi="Times New Roman" w:cs="Times New Roman"/>
        </w:rPr>
        <w:t xml:space="preserve"> – tiesinės priklausomybės koeficientai</w:t>
      </w:r>
    </w:p>
    <w:p w:rsidR="003B3D3D" w:rsidRDefault="003B3D3D" w:rsidP="00DE3408">
      <w:pPr>
        <w:tabs>
          <w:tab w:val="left" w:pos="567"/>
        </w:tabs>
        <w:spacing w:line="360" w:lineRule="auto"/>
        <w:ind w:left="567"/>
        <w:jc w:val="both"/>
        <w:rPr>
          <w:rFonts w:ascii="Times New Roman" w:hAnsi="Times New Roman" w:cs="Times New Roman"/>
        </w:rPr>
      </w:pPr>
    </w:p>
    <w:p w:rsidR="003B3D3D" w:rsidRDefault="003A2189" w:rsidP="003A2189">
      <w:pPr>
        <w:tabs>
          <w:tab w:val="left" w:pos="567"/>
        </w:tabs>
        <w:spacing w:line="360" w:lineRule="auto"/>
        <w:jc w:val="both"/>
        <w:rPr>
          <w:rFonts w:ascii="Times New Roman" w:hAnsi="Times New Roman" w:cs="Times New Roman"/>
        </w:rPr>
      </w:pPr>
      <w:r>
        <w:rPr>
          <w:rFonts w:ascii="Times New Roman" w:hAnsi="Times New Roman" w:cs="Times New Roman"/>
        </w:rPr>
        <w:tab/>
        <w:t xml:space="preserve">Sudarius regresijos lygtį, pereinama prie tos lygties adekvatumo vertinimo. Jis atliekamas </w:t>
      </w:r>
      <w:r w:rsidR="00916E10">
        <w:rPr>
          <w:rFonts w:ascii="Times New Roman" w:hAnsi="Times New Roman" w:cs="Times New Roman"/>
        </w:rPr>
        <w:t xml:space="preserve">apskaičiuojant Fišerio (F) kriterijų. Apskaičiuotas F kriterijus lyginamas su kritine reikšme. Jeigu apskaičiuotas Fišerio kriterijus yra didesnis už kritinę F reikšmę, tokiu atveju daroma išvada, kad lygtis yra adekvati realiai padėčiai ir ją galima taikyti planavimui ir praktiniams skaičiavimams (Pabedinskaitė, 2009). </w:t>
      </w:r>
      <w:r w:rsidR="004046BF">
        <w:rPr>
          <w:rFonts w:ascii="Times New Roman" w:hAnsi="Times New Roman" w:cs="Times New Roman"/>
        </w:rPr>
        <w:t xml:space="preserve">Įvertinus, kad lygtis yra teisinga, galiausiai tikrinamos 3 hipotezių poros </w:t>
      </w:r>
      <w:r w:rsidR="004046BF">
        <w:rPr>
          <w:rFonts w:ascii="Times New Roman" w:hAnsi="Times New Roman" w:cs="Times New Roman"/>
        </w:rPr>
        <w:lastRenderedPageBreak/>
        <w:t>lyginant pasirinktą reikšmingumo lygmenį su stebimuoju (</w:t>
      </w:r>
      <w:r w:rsidR="004046BF" w:rsidRPr="004046BF">
        <w:rPr>
          <w:rFonts w:ascii="Times New Roman" w:hAnsi="Times New Roman" w:cs="Times New Roman"/>
          <w:i/>
        </w:rPr>
        <w:t>p</w:t>
      </w:r>
      <w:r w:rsidR="004046BF">
        <w:rPr>
          <w:rFonts w:ascii="Times New Roman" w:hAnsi="Times New Roman" w:cs="Times New Roman"/>
          <w:i/>
        </w:rPr>
        <w:t>-level)</w:t>
      </w:r>
      <w:r w:rsidR="004046BF">
        <w:rPr>
          <w:rFonts w:ascii="Times New Roman" w:hAnsi="Times New Roman" w:cs="Times New Roman"/>
        </w:rPr>
        <w:t>. Jei stebimasis lygmuo mažesnis už pasirinktą reikšmingumo lygmenį, tokiu atveju nulinę hipotezę atmesime ir priimsime alternatyvią (Rudzkienė, 2008).</w:t>
      </w:r>
    </w:p>
    <w:p w:rsidR="00916E10" w:rsidRDefault="00E14CC2" w:rsidP="00916E10">
      <w:pPr>
        <w:pStyle w:val="ListParagraph"/>
        <w:numPr>
          <w:ilvl w:val="0"/>
          <w:numId w:val="18"/>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Šalia porinės regresinės analizės</w:t>
      </w:r>
      <w:r w:rsidR="00916E10">
        <w:rPr>
          <w:rFonts w:ascii="Times New Roman" w:hAnsi="Times New Roman" w:cs="Times New Roman"/>
        </w:rPr>
        <w:t xml:space="preserve"> </w:t>
      </w:r>
      <w:r w:rsidR="00D538B0">
        <w:rPr>
          <w:rFonts w:ascii="Times New Roman" w:hAnsi="Times New Roman" w:cs="Times New Roman"/>
        </w:rPr>
        <w:t>yra</w:t>
      </w:r>
      <w:r w:rsidR="004D6788">
        <w:rPr>
          <w:rFonts w:ascii="Times New Roman" w:hAnsi="Times New Roman" w:cs="Times New Roman"/>
        </w:rPr>
        <w:t xml:space="preserve"> </w:t>
      </w:r>
      <w:r w:rsidR="00916E10">
        <w:rPr>
          <w:rFonts w:ascii="Times New Roman" w:hAnsi="Times New Roman" w:cs="Times New Roman"/>
        </w:rPr>
        <w:t xml:space="preserve">atliekama daugianarė koreliacinė regresinė analizė ir nustatoma regresinė lygtis, kurioje dalyvauja visi 1 etape atrinkti veiksniai. </w:t>
      </w:r>
      <w:r w:rsidR="004D6788">
        <w:rPr>
          <w:rFonts w:ascii="Times New Roman" w:hAnsi="Times New Roman" w:cs="Times New Roman"/>
        </w:rPr>
        <w:t xml:space="preserve">Mūsų nagrinėjamu atveju daugianarė koreliacinė regresinė analizė atliekama kaip priklausomą kintamąjį pasirinkus BVP, o kaip nepriklausomus kintamuosius – lizingo rinką, tiesiogines užsienio investicijas ir nedarbą. Priklausomu kintamuoju pasirinktas būtent BVP, nes šis rodiklis dažnai ekonomistų įvardijamas kaip svarbiausias ekonomikos padėtį rodantis rodiklis. Todėl svarbu tiksliau įvertinti </w:t>
      </w:r>
      <w:r w:rsidR="00387D0D">
        <w:rPr>
          <w:rFonts w:ascii="Times New Roman" w:hAnsi="Times New Roman" w:cs="Times New Roman"/>
        </w:rPr>
        <w:t xml:space="preserve">lizingo rinkos kitimo įtaką BVP pokyčiams. </w:t>
      </w:r>
      <w:r w:rsidR="00CB50E4">
        <w:rPr>
          <w:rFonts w:ascii="Times New Roman" w:hAnsi="Times New Roman" w:cs="Times New Roman"/>
        </w:rPr>
        <w:t>V</w:t>
      </w:r>
      <w:r w:rsidR="00AE01FC" w:rsidRPr="00AE01FC">
        <w:rPr>
          <w:rFonts w:ascii="Times New Roman" w:hAnsi="Times New Roman" w:cs="Times New Roman"/>
        </w:rPr>
        <w:t>ertinama ar visi veiksniai tinka modeliui.</w:t>
      </w:r>
      <w:r w:rsidR="00AE01FC">
        <w:rPr>
          <w:rFonts w:ascii="Times New Roman" w:hAnsi="Times New Roman" w:cs="Times New Roman"/>
        </w:rPr>
        <w:t xml:space="preserve"> Tai atliekama lyginant pasirinktą reikšmingumo lygmenį α</w:t>
      </w:r>
      <w:r w:rsidR="00AE01FC">
        <w:rPr>
          <w:rFonts w:ascii="Times New Roman" w:hAnsi="Times New Roman" w:cs="Times New Roman"/>
          <w:lang w:val="en-US"/>
        </w:rPr>
        <w:t xml:space="preserve">=0,05 </w:t>
      </w:r>
      <w:r w:rsidR="00AE01FC">
        <w:rPr>
          <w:rFonts w:ascii="Times New Roman" w:hAnsi="Times New Roman" w:cs="Times New Roman"/>
        </w:rPr>
        <w:t xml:space="preserve">su klaidos padarymo tikimybe </w:t>
      </w:r>
      <w:r w:rsidR="00AE01FC" w:rsidRPr="00AE01FC">
        <w:rPr>
          <w:rFonts w:ascii="Times New Roman" w:hAnsi="Times New Roman" w:cs="Times New Roman"/>
          <w:i/>
        </w:rPr>
        <w:t>p</w:t>
      </w:r>
      <w:r w:rsidR="00AE01FC">
        <w:rPr>
          <w:rFonts w:ascii="Times New Roman" w:hAnsi="Times New Roman" w:cs="Times New Roman"/>
        </w:rPr>
        <w:t xml:space="preserve">. Jei p&lt;α, tokiu atveju laikoma, kad </w:t>
      </w:r>
      <w:r w:rsidR="006C7D04">
        <w:rPr>
          <w:rFonts w:ascii="Times New Roman" w:hAnsi="Times New Roman" w:cs="Times New Roman"/>
        </w:rPr>
        <w:t>veiks</w:t>
      </w:r>
      <w:r w:rsidR="00AE01FC">
        <w:rPr>
          <w:rFonts w:ascii="Times New Roman" w:hAnsi="Times New Roman" w:cs="Times New Roman"/>
        </w:rPr>
        <w:t>nys lygčiai tinkamas (Pukėnas, 2004). Po to s</w:t>
      </w:r>
      <w:r w:rsidR="00387D0D">
        <w:rPr>
          <w:rFonts w:ascii="Times New Roman" w:hAnsi="Times New Roman" w:cs="Times New Roman"/>
        </w:rPr>
        <w:t xml:space="preserve">iekiant įvertinti </w:t>
      </w:r>
      <w:r w:rsidR="00AE01FC">
        <w:rPr>
          <w:rFonts w:ascii="Times New Roman" w:hAnsi="Times New Roman" w:cs="Times New Roman"/>
        </w:rPr>
        <w:t>pačios</w:t>
      </w:r>
      <w:r w:rsidR="00387D0D">
        <w:rPr>
          <w:rFonts w:ascii="Times New Roman" w:hAnsi="Times New Roman" w:cs="Times New Roman"/>
        </w:rPr>
        <w:t xml:space="preserve"> lygties tinkamumą skaičiuojamas determinacijos koeficientas (R</w:t>
      </w:r>
      <w:r w:rsidR="00387D0D" w:rsidRPr="00387D0D">
        <w:rPr>
          <w:rFonts w:ascii="Times New Roman" w:hAnsi="Times New Roman" w:cs="Times New Roman"/>
          <w:vertAlign w:val="superscript"/>
        </w:rPr>
        <w:t>2</w:t>
      </w:r>
      <w:r w:rsidR="00387D0D">
        <w:rPr>
          <w:rFonts w:ascii="Times New Roman" w:hAnsi="Times New Roman" w:cs="Times New Roman"/>
        </w:rPr>
        <w:t xml:space="preserve">) (Rudzkienė, 2005). Šis koeficientas </w:t>
      </w:r>
      <w:r w:rsidR="00BD6A24">
        <w:rPr>
          <w:rFonts w:ascii="Times New Roman" w:hAnsi="Times New Roman" w:cs="Times New Roman"/>
        </w:rPr>
        <w:t xml:space="preserve">parodo ryšio stiprumą tarp nagrinėjamo veiksnio ir nepriklausomų veiksnių visumos bei </w:t>
      </w:r>
      <w:r w:rsidR="00387D0D">
        <w:rPr>
          <w:rFonts w:ascii="Times New Roman" w:hAnsi="Times New Roman" w:cs="Times New Roman"/>
        </w:rPr>
        <w:t xml:space="preserve">leidžia tyrinėtojui įvertinti, ar visi svarbūs veiksniai buvo </w:t>
      </w:r>
      <w:r w:rsidR="00BD6A24">
        <w:rPr>
          <w:rFonts w:ascii="Times New Roman" w:hAnsi="Times New Roman" w:cs="Times New Roman"/>
        </w:rPr>
        <w:t>įjungti į tyrimą (Pabedinskaitė, 2009).</w:t>
      </w:r>
      <w:r w:rsidR="00387D0D">
        <w:rPr>
          <w:rFonts w:ascii="Times New Roman" w:hAnsi="Times New Roman" w:cs="Times New Roman"/>
        </w:rPr>
        <w:t xml:space="preserve"> Praktiškai taikant regresinę analizę dažniausiai reikalaujama, kad determinacijos koeficientas būtų didesnis už 0,25</w:t>
      </w:r>
      <w:r w:rsidR="00BD6A24">
        <w:rPr>
          <w:rFonts w:ascii="Times New Roman" w:hAnsi="Times New Roman" w:cs="Times New Roman"/>
        </w:rPr>
        <w:t>. Jei R</w:t>
      </w:r>
      <w:r w:rsidR="00BD6A24" w:rsidRPr="00BD6A24">
        <w:rPr>
          <w:rFonts w:ascii="Times New Roman" w:hAnsi="Times New Roman" w:cs="Times New Roman"/>
          <w:vertAlign w:val="superscript"/>
        </w:rPr>
        <w:t>2</w:t>
      </w:r>
      <w:r w:rsidR="00BD6A24">
        <w:rPr>
          <w:rFonts w:ascii="Times New Roman" w:hAnsi="Times New Roman" w:cs="Times New Roman"/>
        </w:rPr>
        <w:t xml:space="preserve"> &lt; 0,25 regresijos modelio taikymas labai abejotinas (Rudzkienė, 2005).</w:t>
      </w:r>
    </w:p>
    <w:p w:rsidR="009B3424" w:rsidRDefault="009B3424" w:rsidP="009B3424">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Koreliacinė regresinė analizė atliekama naudojantis SPSS 18 bei Excel 2010 programiniais paketais.</w:t>
      </w:r>
    </w:p>
    <w:p w:rsidR="008B0296" w:rsidRDefault="001F0740" w:rsidP="001F0740">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Atlikus </w:t>
      </w:r>
      <w:r w:rsidR="00D1118D">
        <w:rPr>
          <w:rFonts w:ascii="Times New Roman" w:hAnsi="Times New Roman" w:cs="Times New Roman"/>
        </w:rPr>
        <w:t xml:space="preserve">statistinę Lietuvos lizingo rinkos analizę, koreliacinės regresinės analizės pagalba išsiaiškinus lizingo įtaką Lietuvos ekonomikai, </w:t>
      </w:r>
      <w:r w:rsidR="00D1118D" w:rsidRPr="003A4D15">
        <w:rPr>
          <w:rFonts w:ascii="Times New Roman" w:hAnsi="Times New Roman" w:cs="Times New Roman"/>
        </w:rPr>
        <w:t>investicijoms</w:t>
      </w:r>
      <w:r w:rsidR="001B2F18">
        <w:rPr>
          <w:rFonts w:ascii="Times New Roman" w:hAnsi="Times New Roman" w:cs="Times New Roman"/>
        </w:rPr>
        <w:t xml:space="preserve"> bei užimtumui,</w:t>
      </w:r>
      <w:r w:rsidR="00D1118D" w:rsidRPr="003A4D15">
        <w:rPr>
          <w:rFonts w:ascii="Times New Roman" w:hAnsi="Times New Roman" w:cs="Times New Roman"/>
        </w:rPr>
        <w:t xml:space="preserve"> </w:t>
      </w:r>
      <w:r>
        <w:rPr>
          <w:rFonts w:ascii="Times New Roman" w:hAnsi="Times New Roman" w:cs="Times New Roman"/>
        </w:rPr>
        <w:t xml:space="preserve">bus pereinama prie paskutiniojo etapo – ekspertinio vertinimo. </w:t>
      </w:r>
    </w:p>
    <w:p w:rsidR="00EC3206" w:rsidRDefault="00A06AA3" w:rsidP="00EC3206">
      <w:pPr>
        <w:pStyle w:val="ListParagraph"/>
        <w:tabs>
          <w:tab w:val="left" w:pos="0"/>
          <w:tab w:val="left" w:pos="1134"/>
        </w:tabs>
        <w:spacing w:line="360" w:lineRule="auto"/>
        <w:ind w:left="0" w:firstLine="567"/>
        <w:jc w:val="both"/>
        <w:rPr>
          <w:rFonts w:ascii="Times New Roman" w:hAnsi="Times New Roman" w:cs="Times New Roman"/>
        </w:rPr>
      </w:pPr>
      <w:r w:rsidRPr="00A06AA3">
        <w:rPr>
          <w:rFonts w:ascii="Times New Roman" w:hAnsi="Times New Roman" w:cs="Times New Roman"/>
          <w:i/>
        </w:rPr>
        <w:t>E</w:t>
      </w:r>
      <w:r w:rsidR="001549CE" w:rsidRPr="00A06AA3">
        <w:rPr>
          <w:rFonts w:ascii="Times New Roman" w:hAnsi="Times New Roman" w:cs="Times New Roman"/>
          <w:i/>
        </w:rPr>
        <w:t xml:space="preserve">kspertinis vertinimas </w:t>
      </w:r>
      <w:r w:rsidRPr="00A06AA3">
        <w:rPr>
          <w:rFonts w:ascii="Times New Roman" w:hAnsi="Times New Roman" w:cs="Times New Roman"/>
          <w:i/>
        </w:rPr>
        <w:t>suprantamas, kaip</w:t>
      </w:r>
      <w:r w:rsidR="001549CE" w:rsidRPr="00A06AA3">
        <w:rPr>
          <w:rFonts w:ascii="Times New Roman" w:hAnsi="Times New Roman" w:cs="Times New Roman"/>
          <w:i/>
        </w:rPr>
        <w:t xml:space="preserve"> apibendrinta ekspertų grupės nuomonė, kurios gavimui pritaikomos specialistų-ekspertų žinios, patirtis ir intuicija. Ekspertinio vertinimo metodas – tai procedūra, leidžianti suderinti atskirų ekspertų nuomones ir suformuoti bendrą sprendimą. Ekspertinis vertinimas dažniausiai taikomas kokios tai problemos, proceso ar reiškinio, tyrimui, reikalaujančiam specialių žinių ir gebėjimų, tyrimo rezultatus pateikiant motyvuot</w:t>
      </w:r>
      <w:r>
        <w:rPr>
          <w:rFonts w:ascii="Times New Roman" w:hAnsi="Times New Roman" w:cs="Times New Roman"/>
          <w:i/>
        </w:rPr>
        <w:t xml:space="preserve">ose išvadose ar rekomendacijose (Rudzkienė, 2008, p. 57). </w:t>
      </w:r>
      <w:r w:rsidRPr="00A06AA3">
        <w:rPr>
          <w:rFonts w:ascii="Times New Roman" w:hAnsi="Times New Roman" w:cs="Times New Roman"/>
        </w:rPr>
        <w:t xml:space="preserve">Atliekant ekspertinį tyrimą pagrinde </w:t>
      </w:r>
      <w:r>
        <w:rPr>
          <w:rFonts w:ascii="Times New Roman" w:hAnsi="Times New Roman" w:cs="Times New Roman"/>
        </w:rPr>
        <w:t xml:space="preserve">būtent ir </w:t>
      </w:r>
      <w:r w:rsidRPr="00A06AA3">
        <w:rPr>
          <w:rFonts w:ascii="Times New Roman" w:hAnsi="Times New Roman" w:cs="Times New Roman"/>
        </w:rPr>
        <w:t xml:space="preserve">bus remiamasi prof. dr. V. Rudzkienės (2008) ekspertinio vertinimo metodika, aprašyta </w:t>
      </w:r>
      <w:r>
        <w:rPr>
          <w:rFonts w:ascii="Times New Roman" w:hAnsi="Times New Roman" w:cs="Times New Roman"/>
        </w:rPr>
        <w:t xml:space="preserve">metinėje </w:t>
      </w:r>
      <w:r w:rsidRPr="00A06AA3">
        <w:rPr>
          <w:rFonts w:ascii="Times New Roman" w:hAnsi="Times New Roman" w:cs="Times New Roman"/>
        </w:rPr>
        <w:t>ataskaitoje</w:t>
      </w:r>
      <w:r>
        <w:rPr>
          <w:rFonts w:ascii="Times New Roman" w:hAnsi="Times New Roman" w:cs="Times New Roman"/>
        </w:rPr>
        <w:t xml:space="preserve"> Lietuvos valstybiniam studijų ir mokslo fondui</w:t>
      </w:r>
      <w:r w:rsidRPr="00A06AA3">
        <w:rPr>
          <w:rFonts w:ascii="Times New Roman" w:hAnsi="Times New Roman" w:cs="Times New Roman"/>
        </w:rPr>
        <w:t>.</w:t>
      </w:r>
      <w:r w:rsidR="00EC3206">
        <w:rPr>
          <w:rFonts w:ascii="Times New Roman" w:hAnsi="Times New Roman" w:cs="Times New Roman"/>
        </w:rPr>
        <w:t xml:space="preserve"> Joje nurodyta, kad taikant ekspertinio vertinimo metodą, atliekami 4 paveiksle pateikiami žingsniai.</w:t>
      </w:r>
    </w:p>
    <w:p w:rsidR="00240B68" w:rsidRDefault="00240B68" w:rsidP="00EC3206">
      <w:pPr>
        <w:pStyle w:val="ListParagraph"/>
        <w:tabs>
          <w:tab w:val="left" w:pos="0"/>
          <w:tab w:val="left" w:pos="1134"/>
        </w:tabs>
        <w:spacing w:line="360" w:lineRule="auto"/>
        <w:ind w:left="0" w:firstLine="567"/>
        <w:jc w:val="both"/>
        <w:rPr>
          <w:rFonts w:ascii="Times New Roman" w:hAnsi="Times New Roman" w:cs="Times New Roman"/>
        </w:rPr>
      </w:pPr>
    </w:p>
    <w:p w:rsidR="00EC3206" w:rsidRPr="00240B68" w:rsidRDefault="00240B68" w:rsidP="00240B68">
      <w:pPr>
        <w:tabs>
          <w:tab w:val="left" w:pos="0"/>
          <w:tab w:val="left" w:pos="1134"/>
        </w:tabs>
        <w:spacing w:line="360" w:lineRule="auto"/>
        <w:jc w:val="center"/>
        <w:rPr>
          <w:rFonts w:ascii="Times New Roman" w:hAnsi="Times New Roman" w:cs="Times New Roman"/>
        </w:rPr>
      </w:pPr>
      <w:r>
        <w:rPr>
          <w:noProof/>
        </w:rPr>
        <w:lastRenderedPageBreak/>
        <w:drawing>
          <wp:inline distT="0" distB="0" distL="0" distR="0" wp14:anchorId="5E034BA4" wp14:editId="3F79C37F">
            <wp:extent cx="5800725" cy="2238375"/>
            <wp:effectExtent l="0" t="19050" r="28575" b="28575"/>
            <wp:docPr id="27" name="Diagram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B714EC" w:rsidRPr="00E31E2E" w:rsidRDefault="00B714EC" w:rsidP="00B714EC">
      <w:pPr>
        <w:tabs>
          <w:tab w:val="left" w:pos="0"/>
          <w:tab w:val="left" w:pos="284"/>
          <w:tab w:val="left" w:pos="426"/>
          <w:tab w:val="left" w:pos="1134"/>
        </w:tabs>
        <w:spacing w:line="360" w:lineRule="auto"/>
        <w:ind w:firstLine="426"/>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V. Rudzkienė, 2008, p. 72</w:t>
      </w:r>
    </w:p>
    <w:p w:rsidR="00EC3206" w:rsidRDefault="00811DC3" w:rsidP="00924B1F">
      <w:pPr>
        <w:pStyle w:val="Paveikslai"/>
      </w:pPr>
      <w:bookmarkStart w:id="17" w:name="_Toc343459674"/>
      <w:r>
        <w:t xml:space="preserve">4 </w:t>
      </w:r>
      <w:r w:rsidR="007603C0">
        <w:t>pav</w:t>
      </w:r>
      <w:r>
        <w:t>.</w:t>
      </w:r>
      <w:r w:rsidR="00240B68" w:rsidRPr="00240B68">
        <w:t xml:space="preserve"> Ekspertinio tyrimo stadijos</w:t>
      </w:r>
      <w:bookmarkEnd w:id="17"/>
    </w:p>
    <w:p w:rsidR="00EC3206" w:rsidRDefault="00EC3206" w:rsidP="00C85F0F">
      <w:pPr>
        <w:tabs>
          <w:tab w:val="left" w:pos="0"/>
          <w:tab w:val="left" w:pos="1134"/>
        </w:tabs>
        <w:spacing w:line="360" w:lineRule="auto"/>
        <w:rPr>
          <w:rFonts w:ascii="Times New Roman" w:hAnsi="Times New Roman" w:cs="Times New Roman"/>
        </w:rPr>
      </w:pPr>
    </w:p>
    <w:p w:rsidR="00C85F0F" w:rsidRDefault="00C85F0F" w:rsidP="00C85F0F">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t>Remiantis šia schema bus atliekamas ekspertinis vertinimas ir šiame darbe. Taigi pirmuoju žingsniu sudaromas ekspertinio tyrimo planas. J</w:t>
      </w:r>
      <w:r w:rsidR="007D3F4E">
        <w:rPr>
          <w:rFonts w:ascii="Times New Roman" w:hAnsi="Times New Roman" w:cs="Times New Roman"/>
        </w:rPr>
        <w:t xml:space="preserve">is sudaromas suformuojant tyrimo problemą, </w:t>
      </w:r>
      <w:r w:rsidR="00B155C9">
        <w:rPr>
          <w:rFonts w:ascii="Times New Roman" w:hAnsi="Times New Roman" w:cs="Times New Roman"/>
        </w:rPr>
        <w:t xml:space="preserve">tikslą, </w:t>
      </w:r>
      <w:r w:rsidR="00D66934">
        <w:rPr>
          <w:rFonts w:ascii="Times New Roman" w:hAnsi="Times New Roman" w:cs="Times New Roman"/>
        </w:rPr>
        <w:t>uždavinius, pagrindžiant ekspertinio vertinimo būtinumą bei įvar</w:t>
      </w:r>
      <w:r w:rsidR="00B155C9">
        <w:rPr>
          <w:rFonts w:ascii="Times New Roman" w:hAnsi="Times New Roman" w:cs="Times New Roman"/>
        </w:rPr>
        <w:t xml:space="preserve">dijant tyrimo atlikimo terminus. </w:t>
      </w:r>
    </w:p>
    <w:p w:rsidR="00B155C9" w:rsidRDefault="00B155C9" w:rsidP="00C85F0F">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Pr="00B155C9">
        <w:rPr>
          <w:rFonts w:ascii="Times New Roman" w:hAnsi="Times New Roman" w:cs="Times New Roman"/>
          <w:b/>
        </w:rPr>
        <w:t xml:space="preserve">Tyrimo problema. </w:t>
      </w:r>
      <w:r w:rsidR="00FE3988">
        <w:rPr>
          <w:rFonts w:ascii="Times New Roman" w:hAnsi="Times New Roman" w:cs="Times New Roman"/>
        </w:rPr>
        <w:t xml:space="preserve">Kaip lizingo rinka įtakoja Lietuvos ekonomiką? </w:t>
      </w:r>
    </w:p>
    <w:p w:rsidR="00FE3988" w:rsidRDefault="00FE3988" w:rsidP="00FE3988">
      <w:pPr>
        <w:pStyle w:val="ListParagraph"/>
        <w:tabs>
          <w:tab w:val="left" w:pos="0"/>
          <w:tab w:val="left" w:pos="1134"/>
        </w:tabs>
        <w:spacing w:line="360" w:lineRule="auto"/>
        <w:ind w:left="0" w:firstLine="567"/>
        <w:jc w:val="both"/>
        <w:rPr>
          <w:rFonts w:ascii="Times New Roman" w:hAnsi="Times New Roman" w:cs="Times New Roman"/>
        </w:rPr>
      </w:pPr>
      <w:r w:rsidRPr="00FE3988">
        <w:rPr>
          <w:rFonts w:ascii="Times New Roman" w:hAnsi="Times New Roman" w:cs="Times New Roman"/>
          <w:b/>
        </w:rPr>
        <w:t>Ekspertinio vertinimo būtinumo pagrindimas.</w:t>
      </w:r>
      <w:r>
        <w:rPr>
          <w:rFonts w:ascii="Times New Roman" w:hAnsi="Times New Roman" w:cs="Times New Roman"/>
        </w:rPr>
        <w:t xml:space="preserve"> Darbe stengiamasi atlikti kuo tikslesnį ir išsamesnį lizingo rinkos įtakos Lietuvos ekonomikai tyrimą. Todėl remiamasi ne tik atliktų skaičiavimų rezultatais, bet ir pakankamai ilgą laikotarpį lizingo rinkoje dirbančių ekspertų nuomone. Ekspertinis vertinimas padės patvirtinti arba paneigs gautus po atliktos koreliacinės regresinės analizės rezultatus, taip pat bus siekiama išsiaiškinti apie pagrindinius trukdžius Lietuvos </w:t>
      </w:r>
      <w:r w:rsidR="00C21AFE">
        <w:rPr>
          <w:rFonts w:ascii="Times New Roman" w:hAnsi="Times New Roman" w:cs="Times New Roman"/>
        </w:rPr>
        <w:t>lizingo rinkos</w:t>
      </w:r>
      <w:r>
        <w:rPr>
          <w:rFonts w:ascii="Times New Roman" w:hAnsi="Times New Roman" w:cs="Times New Roman"/>
        </w:rPr>
        <w:t xml:space="preserve"> vystymuisi bei Lietuvos lizingo portfelio augimo perspektyvas.</w:t>
      </w:r>
    </w:p>
    <w:p w:rsidR="00FE3988" w:rsidRDefault="00B57166" w:rsidP="00FE3988">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b/>
        </w:rPr>
        <w:t>Empirinio t</w:t>
      </w:r>
      <w:r w:rsidR="00FE3988" w:rsidRPr="00FE3988">
        <w:rPr>
          <w:rFonts w:ascii="Times New Roman" w:hAnsi="Times New Roman" w:cs="Times New Roman"/>
          <w:b/>
        </w:rPr>
        <w:t>yrimo tikslas.</w:t>
      </w:r>
      <w:r w:rsidR="00FE3988">
        <w:rPr>
          <w:rFonts w:ascii="Times New Roman" w:hAnsi="Times New Roman" w:cs="Times New Roman"/>
          <w:b/>
        </w:rPr>
        <w:t xml:space="preserve"> </w:t>
      </w:r>
      <w:r w:rsidR="00FE3988">
        <w:rPr>
          <w:rFonts w:ascii="Times New Roman" w:hAnsi="Times New Roman" w:cs="Times New Roman"/>
        </w:rPr>
        <w:t xml:space="preserve">Įvertinti lizingo rinkos įtaką </w:t>
      </w:r>
      <w:r>
        <w:rPr>
          <w:rFonts w:ascii="Times New Roman" w:hAnsi="Times New Roman" w:cs="Times New Roman"/>
        </w:rPr>
        <w:t xml:space="preserve">šalies </w:t>
      </w:r>
      <w:r w:rsidR="00FE3988">
        <w:rPr>
          <w:rFonts w:ascii="Times New Roman" w:hAnsi="Times New Roman" w:cs="Times New Roman"/>
        </w:rPr>
        <w:t>ekonomikai.</w:t>
      </w:r>
    </w:p>
    <w:p w:rsidR="00FE3988" w:rsidRDefault="00B57166" w:rsidP="00FC015B">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b/>
        </w:rPr>
        <w:t>Empirinio t</w:t>
      </w:r>
      <w:r w:rsidR="00FE3988" w:rsidRPr="00FE3988">
        <w:rPr>
          <w:rFonts w:ascii="Times New Roman" w:hAnsi="Times New Roman" w:cs="Times New Roman"/>
          <w:b/>
        </w:rPr>
        <w:t>yrimo uždaviniai</w:t>
      </w:r>
      <w:r w:rsidR="00FC015B">
        <w:rPr>
          <w:rFonts w:ascii="Times New Roman" w:hAnsi="Times New Roman" w:cs="Times New Roman"/>
          <w:b/>
        </w:rPr>
        <w:t xml:space="preserve">: </w:t>
      </w:r>
    </w:p>
    <w:p w:rsidR="00FC015B" w:rsidRDefault="00FC015B" w:rsidP="00FC015B">
      <w:pPr>
        <w:pStyle w:val="ListParagraph"/>
        <w:numPr>
          <w:ilvl w:val="0"/>
          <w:numId w:val="20"/>
        </w:numPr>
        <w:tabs>
          <w:tab w:val="left" w:pos="0"/>
          <w:tab w:val="left" w:pos="1134"/>
        </w:tabs>
        <w:spacing w:line="360" w:lineRule="auto"/>
        <w:jc w:val="both"/>
        <w:rPr>
          <w:rFonts w:ascii="Times New Roman" w:hAnsi="Times New Roman" w:cs="Times New Roman"/>
        </w:rPr>
      </w:pPr>
      <w:r>
        <w:rPr>
          <w:rFonts w:ascii="Times New Roman" w:hAnsi="Times New Roman" w:cs="Times New Roman"/>
        </w:rPr>
        <w:t xml:space="preserve">Sužinoti ekspertų nuomonę apie lizingo rinkos įtaką </w:t>
      </w:r>
      <w:r w:rsidR="00B57166">
        <w:rPr>
          <w:rFonts w:ascii="Times New Roman" w:hAnsi="Times New Roman" w:cs="Times New Roman"/>
        </w:rPr>
        <w:t>šalies</w:t>
      </w:r>
      <w:r>
        <w:rPr>
          <w:rFonts w:ascii="Times New Roman" w:hAnsi="Times New Roman" w:cs="Times New Roman"/>
        </w:rPr>
        <w:t xml:space="preserve"> ekonomikai.</w:t>
      </w:r>
    </w:p>
    <w:p w:rsidR="00FC015B" w:rsidRDefault="008F0CC7" w:rsidP="00FC015B">
      <w:pPr>
        <w:pStyle w:val="ListParagraph"/>
        <w:numPr>
          <w:ilvl w:val="0"/>
          <w:numId w:val="20"/>
        </w:numPr>
        <w:tabs>
          <w:tab w:val="left" w:pos="0"/>
          <w:tab w:val="left" w:pos="1134"/>
        </w:tabs>
        <w:spacing w:line="360" w:lineRule="auto"/>
        <w:jc w:val="both"/>
        <w:rPr>
          <w:rFonts w:ascii="Times New Roman" w:hAnsi="Times New Roman" w:cs="Times New Roman"/>
        </w:rPr>
      </w:pPr>
      <w:r>
        <w:rPr>
          <w:rFonts w:ascii="Times New Roman" w:hAnsi="Times New Roman" w:cs="Times New Roman"/>
        </w:rPr>
        <w:t>Nustatyti</w:t>
      </w:r>
      <w:r w:rsidR="00FC015B">
        <w:rPr>
          <w:rFonts w:ascii="Times New Roman" w:hAnsi="Times New Roman" w:cs="Times New Roman"/>
        </w:rPr>
        <w:t xml:space="preserve"> pagrindines </w:t>
      </w:r>
      <w:r>
        <w:rPr>
          <w:rFonts w:ascii="Times New Roman" w:hAnsi="Times New Roman" w:cs="Times New Roman"/>
        </w:rPr>
        <w:t>priežastis</w:t>
      </w:r>
      <w:r w:rsidR="00FC015B">
        <w:rPr>
          <w:rFonts w:ascii="Times New Roman" w:hAnsi="Times New Roman" w:cs="Times New Roman"/>
        </w:rPr>
        <w:t>, trukdančias lizingo rinkai plėstis.</w:t>
      </w:r>
    </w:p>
    <w:p w:rsidR="00FC015B" w:rsidRDefault="00FC015B" w:rsidP="00FC015B">
      <w:pPr>
        <w:pStyle w:val="ListParagraph"/>
        <w:numPr>
          <w:ilvl w:val="0"/>
          <w:numId w:val="20"/>
        </w:numPr>
        <w:tabs>
          <w:tab w:val="left" w:pos="0"/>
          <w:tab w:val="left" w:pos="1134"/>
        </w:tabs>
        <w:spacing w:line="360" w:lineRule="auto"/>
        <w:jc w:val="both"/>
        <w:rPr>
          <w:rFonts w:ascii="Times New Roman" w:hAnsi="Times New Roman" w:cs="Times New Roman"/>
        </w:rPr>
      </w:pPr>
      <w:r>
        <w:rPr>
          <w:rFonts w:ascii="Times New Roman" w:hAnsi="Times New Roman" w:cs="Times New Roman"/>
        </w:rPr>
        <w:t xml:space="preserve">Įvertinti </w:t>
      </w:r>
      <w:r w:rsidR="00B57166">
        <w:rPr>
          <w:rFonts w:ascii="Times New Roman" w:hAnsi="Times New Roman" w:cs="Times New Roman"/>
        </w:rPr>
        <w:t>šalies</w:t>
      </w:r>
      <w:r>
        <w:rPr>
          <w:rFonts w:ascii="Times New Roman" w:hAnsi="Times New Roman" w:cs="Times New Roman"/>
        </w:rPr>
        <w:t xml:space="preserve"> lizingo rinkos plėtros galimybes.</w:t>
      </w:r>
    </w:p>
    <w:p w:rsidR="00FC015B" w:rsidRDefault="00AB1EA6" w:rsidP="00AB1EA6">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B57166">
        <w:rPr>
          <w:rFonts w:ascii="Times New Roman" w:hAnsi="Times New Roman" w:cs="Times New Roman"/>
          <w:b/>
        </w:rPr>
        <w:t>Empirinio t</w:t>
      </w:r>
      <w:r w:rsidRPr="00AB1EA6">
        <w:rPr>
          <w:rFonts w:ascii="Times New Roman" w:hAnsi="Times New Roman" w:cs="Times New Roman"/>
          <w:b/>
        </w:rPr>
        <w:t xml:space="preserve">yrimo laikas. </w:t>
      </w:r>
      <w:r>
        <w:rPr>
          <w:rFonts w:ascii="Times New Roman" w:hAnsi="Times New Roman" w:cs="Times New Roman"/>
        </w:rPr>
        <w:t>2012 m. lapkričio 8 d. – 2012 m. lapkričio 30 d.</w:t>
      </w:r>
    </w:p>
    <w:p w:rsidR="00126D93" w:rsidRDefault="00AB1EA6" w:rsidP="00AB1EA6">
      <w:pPr>
        <w:tabs>
          <w:tab w:val="left" w:pos="0"/>
          <w:tab w:val="left" w:pos="567"/>
          <w:tab w:val="left" w:pos="1134"/>
        </w:tabs>
        <w:spacing w:line="360" w:lineRule="auto"/>
        <w:jc w:val="both"/>
        <w:rPr>
          <w:rFonts w:ascii="Times New Roman" w:eastAsia="Times New Roman" w:hAnsi="Times New Roman" w:cs="Times New Roman"/>
          <w:color w:val="auto"/>
          <w:lang w:eastAsia="en-US"/>
        </w:rPr>
      </w:pPr>
      <w:r>
        <w:rPr>
          <w:rFonts w:ascii="Times New Roman" w:hAnsi="Times New Roman" w:cs="Times New Roman"/>
        </w:rPr>
        <w:tab/>
      </w:r>
      <w:r w:rsidR="00B57166" w:rsidRPr="00B57166">
        <w:rPr>
          <w:rFonts w:ascii="Times New Roman" w:hAnsi="Times New Roman" w:cs="Times New Roman"/>
          <w:b/>
        </w:rPr>
        <w:t>Empirinio</w:t>
      </w:r>
      <w:r w:rsidR="00B57166">
        <w:rPr>
          <w:rFonts w:ascii="Times New Roman" w:hAnsi="Times New Roman" w:cs="Times New Roman"/>
        </w:rPr>
        <w:t xml:space="preserve"> </w:t>
      </w:r>
      <w:r w:rsidR="00B57166">
        <w:rPr>
          <w:rFonts w:ascii="Times New Roman" w:hAnsi="Times New Roman" w:cs="Times New Roman"/>
          <w:b/>
        </w:rPr>
        <w:t>t</w:t>
      </w:r>
      <w:r w:rsidR="0041501C" w:rsidRPr="0041501C">
        <w:rPr>
          <w:rFonts w:ascii="Times New Roman" w:hAnsi="Times New Roman" w:cs="Times New Roman"/>
          <w:b/>
        </w:rPr>
        <w:t>yrimo metodas.</w:t>
      </w:r>
      <w:r w:rsidR="0041501C">
        <w:rPr>
          <w:rFonts w:ascii="Times New Roman" w:hAnsi="Times New Roman" w:cs="Times New Roman"/>
        </w:rPr>
        <w:t xml:space="preserve"> </w:t>
      </w:r>
      <w:r>
        <w:rPr>
          <w:rFonts w:ascii="Times New Roman" w:hAnsi="Times New Roman" w:cs="Times New Roman"/>
        </w:rPr>
        <w:t xml:space="preserve">Sudarius tyrimo planą, pereinama prie tyrimo metodo pasirinkimo. </w:t>
      </w:r>
      <w:r w:rsidR="001A5B92">
        <w:rPr>
          <w:rFonts w:ascii="Times New Roman" w:hAnsi="Times New Roman" w:cs="Times New Roman"/>
        </w:rPr>
        <w:t xml:space="preserve">Ekspertų nuomonių gavimui yra taikomi </w:t>
      </w:r>
      <w:r w:rsidR="00CA686C">
        <w:rPr>
          <w:rFonts w:ascii="Times New Roman" w:hAnsi="Times New Roman" w:cs="Times New Roman"/>
        </w:rPr>
        <w:t xml:space="preserve">įvairūs metodai. </w:t>
      </w:r>
      <w:r w:rsidR="00CA686C" w:rsidRPr="00CA686C">
        <w:rPr>
          <w:rFonts w:ascii="Times New Roman" w:hAnsi="Times New Roman" w:cs="Times New Roman"/>
        </w:rPr>
        <w:t>Priklausomai nuo reikalavimų, keliamų gaunamai</w:t>
      </w:r>
      <w:r w:rsidR="00CA686C">
        <w:rPr>
          <w:rFonts w:ascii="Times New Roman" w:hAnsi="Times New Roman" w:cs="Times New Roman"/>
        </w:rPr>
        <w:t xml:space="preserve"> </w:t>
      </w:r>
      <w:r w:rsidR="00CA686C" w:rsidRPr="00CA686C">
        <w:rPr>
          <w:rFonts w:ascii="Times New Roman" w:hAnsi="Times New Roman" w:cs="Times New Roman"/>
        </w:rPr>
        <w:t xml:space="preserve">informacijai, </w:t>
      </w:r>
      <w:r w:rsidR="00CA686C">
        <w:rPr>
          <w:rFonts w:ascii="Times New Roman" w:hAnsi="Times New Roman" w:cs="Times New Roman"/>
        </w:rPr>
        <w:t xml:space="preserve">gali būti atliekamas profesionalus interviu, </w:t>
      </w:r>
      <w:r w:rsidR="00CB3186">
        <w:rPr>
          <w:rFonts w:ascii="Times New Roman" w:hAnsi="Times New Roman" w:cs="Times New Roman"/>
        </w:rPr>
        <w:t xml:space="preserve">formos gali kisti nuo </w:t>
      </w:r>
      <w:r w:rsidR="00CA686C" w:rsidRPr="00CA686C">
        <w:rPr>
          <w:rFonts w:ascii="Times New Roman" w:hAnsi="Times New Roman" w:cs="Times New Roman"/>
        </w:rPr>
        <w:t>neakivaizdinės individualios apklausos anonimine anketa</w:t>
      </w:r>
      <w:r w:rsidR="00CA686C">
        <w:rPr>
          <w:rFonts w:ascii="Times New Roman" w:hAnsi="Times New Roman" w:cs="Times New Roman"/>
        </w:rPr>
        <w:t xml:space="preserve"> </w:t>
      </w:r>
      <w:r w:rsidR="00CA686C" w:rsidRPr="00CA686C">
        <w:rPr>
          <w:rFonts w:ascii="Times New Roman" w:hAnsi="Times New Roman" w:cs="Times New Roman"/>
        </w:rPr>
        <w:t>iki atviros grupinės šių asmenų diskusijos tyrimo problemą nagrinėjamais</w:t>
      </w:r>
      <w:r w:rsidR="00CA686C">
        <w:rPr>
          <w:rFonts w:ascii="Times New Roman" w:hAnsi="Times New Roman" w:cs="Times New Roman"/>
        </w:rPr>
        <w:t xml:space="preserve"> klausimais (Tidikis, 2003).</w:t>
      </w:r>
      <w:r w:rsidR="00CB3186">
        <w:rPr>
          <w:rFonts w:ascii="Times New Roman" w:hAnsi="Times New Roman" w:cs="Times New Roman"/>
        </w:rPr>
        <w:t xml:space="preserve"> </w:t>
      </w:r>
      <w:r w:rsidR="007B6C1D">
        <w:rPr>
          <w:rFonts w:ascii="Times New Roman" w:hAnsi="Times New Roman" w:cs="Times New Roman"/>
        </w:rPr>
        <w:t>Rudzkienė (2008) metodus klasifikuoja į aktyvius ir pasyvius</w:t>
      </w:r>
      <w:r w:rsidR="00096786">
        <w:rPr>
          <w:rFonts w:ascii="Times New Roman" w:hAnsi="Times New Roman" w:cs="Times New Roman"/>
        </w:rPr>
        <w:t xml:space="preserve">, prie pasyvių priskirdama mąstymo balsu analizę, stebėjimus ir paskaitas. O prie aktyvių – interviu, porinio sulyginimo, tiesioginio prioritetų vertinimo, tikimybinius metodus </w:t>
      </w:r>
      <w:r w:rsidR="00096786">
        <w:rPr>
          <w:rFonts w:ascii="Times New Roman" w:hAnsi="Times New Roman" w:cs="Times New Roman"/>
        </w:rPr>
        <w:lastRenderedPageBreak/>
        <w:t>(apklausos) bei diskusijų, smegenų šturmo, delfi, scenarijų metodus. Šiame darbe bus naudojamas tikimybi</w:t>
      </w:r>
      <w:r w:rsidR="00AD0F1E">
        <w:rPr>
          <w:rFonts w:ascii="Times New Roman" w:hAnsi="Times New Roman" w:cs="Times New Roman"/>
        </w:rPr>
        <w:t>nis metodas (apklausos) ir pasirenkama populiariausia šio metodo forma – apklausa anketavimo būdu. Ekspertams bus pateikiama anketa</w:t>
      </w:r>
      <w:r w:rsidR="005154CE">
        <w:rPr>
          <w:rFonts w:ascii="Times New Roman" w:hAnsi="Times New Roman" w:cs="Times New Roman"/>
        </w:rPr>
        <w:t xml:space="preserve"> (žr. 2 priedą)</w:t>
      </w:r>
      <w:r w:rsidR="00AD0F1E">
        <w:rPr>
          <w:rFonts w:ascii="Times New Roman" w:eastAsia="Times New Roman" w:hAnsi="Times New Roman" w:cs="Times New Roman"/>
          <w:color w:val="auto"/>
          <w:lang w:eastAsia="en-US"/>
        </w:rPr>
        <w:t xml:space="preserve">, </w:t>
      </w:r>
      <w:r w:rsidR="00BF0D7E">
        <w:rPr>
          <w:rFonts w:ascii="Times New Roman" w:eastAsia="Times New Roman" w:hAnsi="Times New Roman" w:cs="Times New Roman"/>
          <w:color w:val="auto"/>
          <w:lang w:eastAsia="en-US"/>
        </w:rPr>
        <w:t>kurią remiantis literatūros analize ir iškeltais tyrimo problema, tikslu ir uždaviniais parengė darbo autorius</w:t>
      </w:r>
      <w:r w:rsidR="00AD0F1E">
        <w:rPr>
          <w:rFonts w:ascii="Times New Roman" w:eastAsia="Times New Roman" w:hAnsi="Times New Roman" w:cs="Times New Roman"/>
          <w:color w:val="auto"/>
          <w:lang w:eastAsia="en-US"/>
        </w:rPr>
        <w:t xml:space="preserve">. </w:t>
      </w:r>
      <w:r w:rsidR="00126D93">
        <w:rPr>
          <w:rFonts w:ascii="Times New Roman" w:eastAsia="Times New Roman" w:hAnsi="Times New Roman" w:cs="Times New Roman"/>
          <w:color w:val="auto"/>
          <w:lang w:eastAsia="en-US"/>
        </w:rPr>
        <w:t xml:space="preserve">Anketą sudaro 13 </w:t>
      </w:r>
      <w:r w:rsidR="00FD0963">
        <w:rPr>
          <w:rFonts w:ascii="Times New Roman" w:eastAsia="Times New Roman" w:hAnsi="Times New Roman" w:cs="Times New Roman"/>
          <w:color w:val="auto"/>
          <w:lang w:eastAsia="en-US"/>
        </w:rPr>
        <w:t>atvir</w:t>
      </w:r>
      <w:r w:rsidR="002947E8">
        <w:rPr>
          <w:rFonts w:ascii="Times New Roman" w:eastAsia="Times New Roman" w:hAnsi="Times New Roman" w:cs="Times New Roman"/>
          <w:color w:val="auto"/>
          <w:lang w:eastAsia="en-US"/>
        </w:rPr>
        <w:t xml:space="preserve">ų, pusiau atvirų ir uždarų </w:t>
      </w:r>
      <w:r w:rsidR="00126D93">
        <w:rPr>
          <w:rFonts w:ascii="Times New Roman" w:eastAsia="Times New Roman" w:hAnsi="Times New Roman" w:cs="Times New Roman"/>
          <w:color w:val="auto"/>
          <w:lang w:eastAsia="en-US"/>
        </w:rPr>
        <w:t>klausimų:</w:t>
      </w:r>
    </w:p>
    <w:p w:rsidR="00126D93" w:rsidRDefault="00126D93" w:rsidP="00126D93">
      <w:pPr>
        <w:pStyle w:val="ListParagraph"/>
        <w:numPr>
          <w:ilvl w:val="0"/>
          <w:numId w:val="21"/>
        </w:numPr>
        <w:tabs>
          <w:tab w:val="left" w:pos="0"/>
          <w:tab w:val="left" w:pos="567"/>
          <w:tab w:val="left" w:pos="1134"/>
        </w:tabs>
        <w:spacing w:line="360" w:lineRule="auto"/>
        <w:jc w:val="both"/>
        <w:rPr>
          <w:rFonts w:ascii="Times New Roman" w:eastAsia="Times New Roman" w:hAnsi="Times New Roman" w:cs="Times New Roman"/>
          <w:color w:val="auto"/>
          <w:lang w:eastAsia="en-US"/>
        </w:rPr>
      </w:pPr>
      <w:r w:rsidRPr="00126D93">
        <w:rPr>
          <w:rFonts w:ascii="Times New Roman" w:eastAsia="Times New Roman" w:hAnsi="Times New Roman" w:cs="Times New Roman"/>
          <w:color w:val="auto"/>
          <w:lang w:eastAsia="en-US"/>
        </w:rPr>
        <w:t>Klausimai (</w:t>
      </w:r>
      <w:r w:rsidR="00FD0963">
        <w:rPr>
          <w:rFonts w:ascii="Times New Roman" w:eastAsia="Times New Roman" w:hAnsi="Times New Roman" w:cs="Times New Roman"/>
          <w:color w:val="auto"/>
          <w:lang w:eastAsia="en-US"/>
        </w:rPr>
        <w:t>1-4</w:t>
      </w:r>
      <w:r w:rsidRPr="00126D93">
        <w:rPr>
          <w:rFonts w:ascii="Times New Roman" w:eastAsia="Times New Roman" w:hAnsi="Times New Roman" w:cs="Times New Roman"/>
          <w:color w:val="auto"/>
          <w:lang w:eastAsia="en-US"/>
        </w:rPr>
        <w:t>) skirti išsiaiškinti ekspertų nuomonę apie lizingo rinkos įtaką Lietuvos ekonomikai.</w:t>
      </w:r>
    </w:p>
    <w:p w:rsidR="00126D93" w:rsidRDefault="00126D93" w:rsidP="00126D93">
      <w:pPr>
        <w:pStyle w:val="ListParagraph"/>
        <w:numPr>
          <w:ilvl w:val="0"/>
          <w:numId w:val="21"/>
        </w:numPr>
        <w:tabs>
          <w:tab w:val="left" w:pos="0"/>
          <w:tab w:val="left" w:pos="567"/>
          <w:tab w:val="left" w:pos="1134"/>
        </w:tabs>
        <w:spacing w:line="360" w:lineRule="auto"/>
        <w:jc w:val="both"/>
        <w:rPr>
          <w:rFonts w:ascii="Times New Roman" w:eastAsia="Times New Roman" w:hAnsi="Times New Roman" w:cs="Times New Roman"/>
          <w:color w:val="auto"/>
          <w:lang w:eastAsia="en-US"/>
        </w:rPr>
      </w:pPr>
      <w:r w:rsidRPr="00126D93">
        <w:rPr>
          <w:rFonts w:ascii="Times New Roman" w:eastAsia="Times New Roman" w:hAnsi="Times New Roman" w:cs="Times New Roman"/>
          <w:color w:val="auto"/>
          <w:lang w:eastAsia="en-US"/>
        </w:rPr>
        <w:t>Klausimai (</w:t>
      </w:r>
      <w:r w:rsidR="00FD0963">
        <w:rPr>
          <w:rFonts w:ascii="Times New Roman" w:eastAsia="Times New Roman" w:hAnsi="Times New Roman" w:cs="Times New Roman"/>
          <w:color w:val="auto"/>
          <w:lang w:eastAsia="en-US"/>
        </w:rPr>
        <w:t>5-9</w:t>
      </w:r>
      <w:r w:rsidRPr="00126D93">
        <w:rPr>
          <w:rFonts w:ascii="Times New Roman" w:eastAsia="Times New Roman" w:hAnsi="Times New Roman" w:cs="Times New Roman"/>
          <w:color w:val="auto"/>
          <w:lang w:eastAsia="en-US"/>
        </w:rPr>
        <w:t>) skirti išsiaiškinti ekspertų nuomonę apie Lietuvos lizingo rinką, jos plėtros galimybes.</w:t>
      </w:r>
    </w:p>
    <w:p w:rsidR="00FD0963" w:rsidRPr="00FD0963" w:rsidRDefault="00FD0963" w:rsidP="00FD0963">
      <w:pPr>
        <w:pStyle w:val="ListParagraph"/>
        <w:numPr>
          <w:ilvl w:val="0"/>
          <w:numId w:val="21"/>
        </w:numPr>
        <w:tabs>
          <w:tab w:val="left" w:pos="0"/>
          <w:tab w:val="left" w:pos="567"/>
          <w:tab w:val="left" w:pos="1134"/>
        </w:tabs>
        <w:spacing w:line="360" w:lineRule="auto"/>
        <w:jc w:val="both"/>
        <w:rPr>
          <w:rFonts w:ascii="Times New Roman" w:eastAsia="Times New Roman" w:hAnsi="Times New Roman" w:cs="Times New Roman"/>
          <w:color w:val="auto"/>
          <w:lang w:eastAsia="en-US"/>
        </w:rPr>
      </w:pPr>
      <w:r>
        <w:rPr>
          <w:rFonts w:ascii="Times New Roman" w:eastAsia="Times New Roman" w:hAnsi="Times New Roman" w:cs="Times New Roman"/>
          <w:color w:val="auto"/>
          <w:lang w:eastAsia="en-US"/>
        </w:rPr>
        <w:t>Klausimai (10-13) skirti išsiaiškinti bendrą informaciją apie ekspertą.</w:t>
      </w:r>
    </w:p>
    <w:p w:rsidR="00096786" w:rsidRPr="00AB1EA6" w:rsidRDefault="00126D93" w:rsidP="00AB1EA6">
      <w:pPr>
        <w:tabs>
          <w:tab w:val="left" w:pos="0"/>
          <w:tab w:val="left" w:pos="567"/>
          <w:tab w:val="left" w:pos="1134"/>
        </w:tabs>
        <w:spacing w:line="360" w:lineRule="auto"/>
        <w:jc w:val="both"/>
        <w:rPr>
          <w:rFonts w:ascii="Times New Roman" w:hAnsi="Times New Roman" w:cs="Times New Roman"/>
        </w:rPr>
      </w:pPr>
      <w:r>
        <w:rPr>
          <w:rFonts w:ascii="Times New Roman" w:eastAsia="Times New Roman" w:hAnsi="Times New Roman" w:cs="Times New Roman"/>
          <w:color w:val="auto"/>
          <w:lang w:eastAsia="en-US"/>
        </w:rPr>
        <w:tab/>
      </w:r>
      <w:r w:rsidR="00AD0F1E">
        <w:rPr>
          <w:rFonts w:ascii="Times New Roman" w:eastAsia="Times New Roman" w:hAnsi="Times New Roman" w:cs="Times New Roman"/>
          <w:color w:val="auto"/>
          <w:lang w:eastAsia="en-US"/>
        </w:rPr>
        <w:t>Respondentai anketą pildo savarankiškai, kad galėtų savo išreiškiamą nuomonę gerai apgalvoti bei tinkamai suformuluoti.</w:t>
      </w:r>
      <w:r w:rsidR="00FB18B5">
        <w:rPr>
          <w:rFonts w:ascii="Times New Roman" w:eastAsia="Times New Roman" w:hAnsi="Times New Roman" w:cs="Times New Roman"/>
          <w:color w:val="auto"/>
          <w:lang w:eastAsia="en-US"/>
        </w:rPr>
        <w:t xml:space="preserve"> </w:t>
      </w:r>
    </w:p>
    <w:p w:rsidR="00AD0F1E" w:rsidRDefault="00CF3C09" w:rsidP="00AD0F1E">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b/>
        </w:rPr>
        <w:t xml:space="preserve">Ekspertų atranka. </w:t>
      </w:r>
      <w:r w:rsidR="0037739D">
        <w:rPr>
          <w:rFonts w:ascii="Times New Roman" w:hAnsi="Times New Roman" w:cs="Times New Roman"/>
        </w:rPr>
        <w:t xml:space="preserve">Vienas iš sunkiausių uždavinių atliekant ekspertinę apklausą yra teisingas ekspertų parinkimas. Nuo jo, priklausys ekspertinio vertinimo patikimumas. Ekspertai privalo būti kompetentingi asmenys, turintys specialios patirties bei išmanantys su ekspertizės objektu pateiktą sritį. Ekspertų kompetentingumo lygį padeda nustatyti pareiginė padėtis, mokslinis laipsnis, tam tikras mokslinio ir praktinio darbo stažas. Taip pat didelę reikšmę turi ekspertų sugebėjimas analizuoti problemą nepasiduodant vyraujančioms tendencijoms bei tokie bruožai kaip objektyvumas, principingumas (Tidikis, 2003). Šiame </w:t>
      </w:r>
      <w:r w:rsidR="00053F83">
        <w:rPr>
          <w:rFonts w:ascii="Times New Roman" w:hAnsi="Times New Roman" w:cs="Times New Roman"/>
        </w:rPr>
        <w:t>darbe bus apklausiami lizingo rinkos atstovai: lizingo ko</w:t>
      </w:r>
      <w:r w:rsidR="00307A7D">
        <w:rPr>
          <w:rFonts w:ascii="Times New Roman" w:hAnsi="Times New Roman" w:cs="Times New Roman"/>
        </w:rPr>
        <w:t>mpanijų vadovai ir darbuotojai. Siekiant atrinkti tikrus lizingo rinkos ekspertus bus keliami reikalavimai: ne mažesnis nei aukštasis išsilavinimas, ne trumpesnė nei penkerių metų patirtis lizingo rinkoje bei pareigos turės būti ne žemesnės nei „vadybininkas“ arba kitos tokiai pareigybei prilyginamos pareigos.</w:t>
      </w:r>
      <w:r w:rsidR="00EA2F73">
        <w:rPr>
          <w:rFonts w:ascii="Times New Roman" w:hAnsi="Times New Roman" w:cs="Times New Roman"/>
        </w:rPr>
        <w:t xml:space="preserve"> </w:t>
      </w:r>
    </w:p>
    <w:p w:rsidR="009B4AC0" w:rsidRDefault="009B4AC0" w:rsidP="009B4AC0">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t>Nustačius tyrime apklausiamus ekspertus, svarbu pasirinkti tinkamą ekspertų kiekį. „</w:t>
      </w:r>
      <w:r w:rsidRPr="009B4AC0">
        <w:rPr>
          <w:rFonts w:ascii="Times New Roman" w:hAnsi="Times New Roman" w:cs="Times New Roman"/>
        </w:rPr>
        <w:t>Nustatant priimtiną ekspertų skaičių reikia vadovautis metodologinėmis prielaidomis, suformuluotomis klasikinėje testų teorijoje. Teorija teigia, kad agreguotų sprendimų patikimumą ir priimančių sprendimą (šiuo atveju ekspertų) skaičių sieja gre</w:t>
      </w:r>
      <w:r>
        <w:rPr>
          <w:rFonts w:ascii="Times New Roman" w:hAnsi="Times New Roman" w:cs="Times New Roman"/>
        </w:rPr>
        <w:t xml:space="preserve">itai gęstantis netiesinis ryšys.“ (Rudzkienė, 2008, p. 75). </w:t>
      </w:r>
      <w:r w:rsidR="007E7425">
        <w:rPr>
          <w:rFonts w:ascii="Times New Roman" w:hAnsi="Times New Roman" w:cs="Times New Roman"/>
        </w:rPr>
        <w:t>Šis ryšys pateikiamas 5 paveiksle.</w:t>
      </w:r>
    </w:p>
    <w:p w:rsidR="007E7425" w:rsidRDefault="007E7425" w:rsidP="009B4AC0">
      <w:pPr>
        <w:tabs>
          <w:tab w:val="left" w:pos="0"/>
          <w:tab w:val="left" w:pos="567"/>
          <w:tab w:val="left" w:pos="1134"/>
        </w:tabs>
        <w:spacing w:line="360" w:lineRule="auto"/>
        <w:jc w:val="both"/>
        <w:rPr>
          <w:rFonts w:ascii="Times New Roman" w:hAnsi="Times New Roman" w:cs="Times New Roman"/>
        </w:rPr>
      </w:pPr>
    </w:p>
    <w:p w:rsidR="007E7425" w:rsidRDefault="00DA297C" w:rsidP="007E7425">
      <w:pPr>
        <w:tabs>
          <w:tab w:val="left" w:pos="0"/>
          <w:tab w:val="left" w:pos="567"/>
          <w:tab w:val="left" w:pos="1134"/>
        </w:tabs>
        <w:spacing w:line="360" w:lineRule="auto"/>
        <w:jc w:val="center"/>
        <w:rPr>
          <w:rFonts w:ascii="Times New Roman" w:hAnsi="Times New Roman" w:cs="Times New Roman"/>
        </w:rPr>
      </w:pPr>
      <w:r w:rsidRPr="00DA297C">
        <w:rPr>
          <w:rFonts w:ascii="Times New Roman" w:hAnsi="Times New Roman" w:cs="Times New Roman"/>
          <w:noProof/>
        </w:rPr>
        <w:lastRenderedPageBreak/>
        <mc:AlternateContent>
          <mc:Choice Requires="wpc">
            <w:drawing>
              <wp:inline distT="0" distB="0" distL="0" distR="0" wp14:anchorId="3D4DAEB6" wp14:editId="68345235">
                <wp:extent cx="4905375" cy="2447925"/>
                <wp:effectExtent l="0" t="0" r="9525" b="9525"/>
                <wp:docPr id="777" name="Canvas 7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8" name="Line 4"/>
                        <wps:cNvCnPr/>
                        <wps:spPr bwMode="auto">
                          <a:xfrm>
                            <a:off x="504825" y="464624"/>
                            <a:ext cx="0" cy="1552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Line 5"/>
                        <wps:cNvCnPr/>
                        <wps:spPr bwMode="auto">
                          <a:xfrm>
                            <a:off x="476250" y="2017199"/>
                            <a:ext cx="28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 name="Line 6"/>
                        <wps:cNvCnPr/>
                        <wps:spPr bwMode="auto">
                          <a:xfrm>
                            <a:off x="476250" y="1626674"/>
                            <a:ext cx="28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3" name="Line 7"/>
                        <wps:cNvCnPr/>
                        <wps:spPr bwMode="auto">
                          <a:xfrm>
                            <a:off x="476250" y="1245674"/>
                            <a:ext cx="28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4" name="Line 8"/>
                        <wps:cNvCnPr/>
                        <wps:spPr bwMode="auto">
                          <a:xfrm>
                            <a:off x="476250" y="855149"/>
                            <a:ext cx="28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5" name="Line 9"/>
                        <wps:cNvCnPr/>
                        <wps:spPr bwMode="auto">
                          <a:xfrm>
                            <a:off x="476250" y="464624"/>
                            <a:ext cx="28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6" name="Line 10"/>
                        <wps:cNvCnPr/>
                        <wps:spPr bwMode="auto">
                          <a:xfrm>
                            <a:off x="504825" y="2017199"/>
                            <a:ext cx="42005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7" name="Line 11"/>
                        <wps:cNvCnPr/>
                        <wps:spPr bwMode="auto">
                          <a:xfrm flipV="1">
                            <a:off x="5048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8" name="Line 12"/>
                        <wps:cNvCnPr/>
                        <wps:spPr bwMode="auto">
                          <a:xfrm flipV="1">
                            <a:off x="67627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9" name="Line 13"/>
                        <wps:cNvCnPr/>
                        <wps:spPr bwMode="auto">
                          <a:xfrm flipV="1">
                            <a:off x="8572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0" name="Line 14"/>
                        <wps:cNvCnPr/>
                        <wps:spPr bwMode="auto">
                          <a:xfrm flipV="1">
                            <a:off x="102870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1" name="Line 15"/>
                        <wps:cNvCnPr/>
                        <wps:spPr bwMode="auto">
                          <a:xfrm flipV="1">
                            <a:off x="120967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2" name="Line 16"/>
                        <wps:cNvCnPr/>
                        <wps:spPr bwMode="auto">
                          <a:xfrm flipV="1">
                            <a:off x="13811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3" name="Line 17"/>
                        <wps:cNvCnPr/>
                        <wps:spPr bwMode="auto">
                          <a:xfrm flipV="1">
                            <a:off x="155257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4" name="Line 18"/>
                        <wps:cNvCnPr/>
                        <wps:spPr bwMode="auto">
                          <a:xfrm flipV="1">
                            <a:off x="17335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5" name="Line 19"/>
                        <wps:cNvCnPr/>
                        <wps:spPr bwMode="auto">
                          <a:xfrm flipV="1">
                            <a:off x="190500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6" name="Line 20"/>
                        <wps:cNvCnPr/>
                        <wps:spPr bwMode="auto">
                          <a:xfrm flipV="1">
                            <a:off x="20764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7" name="Line 21"/>
                        <wps:cNvCnPr/>
                        <wps:spPr bwMode="auto">
                          <a:xfrm flipV="1">
                            <a:off x="22574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8" name="Line 22"/>
                        <wps:cNvCnPr/>
                        <wps:spPr bwMode="auto">
                          <a:xfrm flipV="1">
                            <a:off x="242887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9" name="Line 23"/>
                        <wps:cNvCnPr/>
                        <wps:spPr bwMode="auto">
                          <a:xfrm flipV="1">
                            <a:off x="26098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0" name="Line 24"/>
                        <wps:cNvCnPr/>
                        <wps:spPr bwMode="auto">
                          <a:xfrm flipV="1">
                            <a:off x="278130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1" name="Line 25"/>
                        <wps:cNvCnPr/>
                        <wps:spPr bwMode="auto">
                          <a:xfrm flipV="1">
                            <a:off x="29527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2" name="Line 26"/>
                        <wps:cNvCnPr/>
                        <wps:spPr bwMode="auto">
                          <a:xfrm flipV="1">
                            <a:off x="31337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3" name="Line 27"/>
                        <wps:cNvCnPr/>
                        <wps:spPr bwMode="auto">
                          <a:xfrm flipV="1">
                            <a:off x="330517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4" name="Line 28"/>
                        <wps:cNvCnPr/>
                        <wps:spPr bwMode="auto">
                          <a:xfrm flipV="1">
                            <a:off x="34766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5" name="Line 29"/>
                        <wps:cNvCnPr/>
                        <wps:spPr bwMode="auto">
                          <a:xfrm flipV="1">
                            <a:off x="365760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6" name="Line 30"/>
                        <wps:cNvCnPr/>
                        <wps:spPr bwMode="auto">
                          <a:xfrm flipV="1">
                            <a:off x="38290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7" name="Line 31"/>
                        <wps:cNvCnPr/>
                        <wps:spPr bwMode="auto">
                          <a:xfrm flipV="1">
                            <a:off x="40100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8" name="Line 32"/>
                        <wps:cNvCnPr/>
                        <wps:spPr bwMode="auto">
                          <a:xfrm flipV="1">
                            <a:off x="418147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9" name="Line 33"/>
                        <wps:cNvCnPr/>
                        <wps:spPr bwMode="auto">
                          <a:xfrm flipV="1">
                            <a:off x="4352925"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0" name="Line 34"/>
                        <wps:cNvCnPr/>
                        <wps:spPr bwMode="auto">
                          <a:xfrm flipV="1">
                            <a:off x="453390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1" name="Line 35"/>
                        <wps:cNvCnPr/>
                        <wps:spPr bwMode="auto">
                          <a:xfrm flipV="1">
                            <a:off x="4705350" y="2017199"/>
                            <a:ext cx="0" cy="2857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2" name="Freeform 36"/>
                        <wps:cNvSpPr>
                          <a:spLocks/>
                        </wps:cNvSpPr>
                        <wps:spPr bwMode="auto">
                          <a:xfrm>
                            <a:off x="676275" y="1159949"/>
                            <a:ext cx="180975" cy="390525"/>
                          </a:xfrm>
                          <a:custGeom>
                            <a:avLst/>
                            <a:gdLst>
                              <a:gd name="T0" fmla="*/ 0 w 285"/>
                              <a:gd name="T1" fmla="*/ 615 h 615"/>
                              <a:gd name="T2" fmla="*/ 75 w 285"/>
                              <a:gd name="T3" fmla="*/ 450 h 615"/>
                              <a:gd name="T4" fmla="*/ 150 w 285"/>
                              <a:gd name="T5" fmla="*/ 285 h 615"/>
                              <a:gd name="T6" fmla="*/ 210 w 285"/>
                              <a:gd name="T7" fmla="*/ 135 h 615"/>
                              <a:gd name="T8" fmla="*/ 285 w 285"/>
                              <a:gd name="T9" fmla="*/ 0 h 615"/>
                            </a:gdLst>
                            <a:ahLst/>
                            <a:cxnLst>
                              <a:cxn ang="0">
                                <a:pos x="T0" y="T1"/>
                              </a:cxn>
                              <a:cxn ang="0">
                                <a:pos x="T2" y="T3"/>
                              </a:cxn>
                              <a:cxn ang="0">
                                <a:pos x="T4" y="T5"/>
                              </a:cxn>
                              <a:cxn ang="0">
                                <a:pos x="T6" y="T7"/>
                              </a:cxn>
                              <a:cxn ang="0">
                                <a:pos x="T8" y="T9"/>
                              </a:cxn>
                            </a:cxnLst>
                            <a:rect l="0" t="0" r="r" b="b"/>
                            <a:pathLst>
                              <a:path w="285" h="615">
                                <a:moveTo>
                                  <a:pt x="0" y="615"/>
                                </a:moveTo>
                                <a:lnTo>
                                  <a:pt x="75" y="450"/>
                                </a:lnTo>
                                <a:lnTo>
                                  <a:pt x="150" y="285"/>
                                </a:lnTo>
                                <a:lnTo>
                                  <a:pt x="210" y="135"/>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3" name="Freeform 37"/>
                        <wps:cNvSpPr>
                          <a:spLocks/>
                        </wps:cNvSpPr>
                        <wps:spPr bwMode="auto">
                          <a:xfrm>
                            <a:off x="857250" y="978974"/>
                            <a:ext cx="171450" cy="180975"/>
                          </a:xfrm>
                          <a:custGeom>
                            <a:avLst/>
                            <a:gdLst>
                              <a:gd name="T0" fmla="*/ 0 w 270"/>
                              <a:gd name="T1" fmla="*/ 285 h 285"/>
                              <a:gd name="T2" fmla="*/ 75 w 270"/>
                              <a:gd name="T3" fmla="*/ 195 h 285"/>
                              <a:gd name="T4" fmla="*/ 135 w 270"/>
                              <a:gd name="T5" fmla="*/ 120 h 285"/>
                              <a:gd name="T6" fmla="*/ 195 w 270"/>
                              <a:gd name="T7" fmla="*/ 60 h 285"/>
                              <a:gd name="T8" fmla="*/ 270 w 270"/>
                              <a:gd name="T9" fmla="*/ 0 h 285"/>
                            </a:gdLst>
                            <a:ahLst/>
                            <a:cxnLst>
                              <a:cxn ang="0">
                                <a:pos x="T0" y="T1"/>
                              </a:cxn>
                              <a:cxn ang="0">
                                <a:pos x="T2" y="T3"/>
                              </a:cxn>
                              <a:cxn ang="0">
                                <a:pos x="T4" y="T5"/>
                              </a:cxn>
                              <a:cxn ang="0">
                                <a:pos x="T6" y="T7"/>
                              </a:cxn>
                              <a:cxn ang="0">
                                <a:pos x="T8" y="T9"/>
                              </a:cxn>
                            </a:cxnLst>
                            <a:rect l="0" t="0" r="r" b="b"/>
                            <a:pathLst>
                              <a:path w="270" h="285">
                                <a:moveTo>
                                  <a:pt x="0" y="285"/>
                                </a:moveTo>
                                <a:lnTo>
                                  <a:pt x="75" y="195"/>
                                </a:lnTo>
                                <a:lnTo>
                                  <a:pt x="135" y="120"/>
                                </a:lnTo>
                                <a:lnTo>
                                  <a:pt x="195" y="60"/>
                                </a:lnTo>
                                <a:lnTo>
                                  <a:pt x="270"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 name="Freeform 38"/>
                        <wps:cNvSpPr>
                          <a:spLocks/>
                        </wps:cNvSpPr>
                        <wps:spPr bwMode="auto">
                          <a:xfrm>
                            <a:off x="1028700" y="855149"/>
                            <a:ext cx="180975" cy="123825"/>
                          </a:xfrm>
                          <a:custGeom>
                            <a:avLst/>
                            <a:gdLst>
                              <a:gd name="T0" fmla="*/ 0 w 285"/>
                              <a:gd name="T1" fmla="*/ 195 h 195"/>
                              <a:gd name="T2" fmla="*/ 135 w 285"/>
                              <a:gd name="T3" fmla="*/ 90 h 195"/>
                              <a:gd name="T4" fmla="*/ 285 w 285"/>
                              <a:gd name="T5" fmla="*/ 0 h 195"/>
                            </a:gdLst>
                            <a:ahLst/>
                            <a:cxnLst>
                              <a:cxn ang="0">
                                <a:pos x="T0" y="T1"/>
                              </a:cxn>
                              <a:cxn ang="0">
                                <a:pos x="T2" y="T3"/>
                              </a:cxn>
                              <a:cxn ang="0">
                                <a:pos x="T4" y="T5"/>
                              </a:cxn>
                            </a:cxnLst>
                            <a:rect l="0" t="0" r="r" b="b"/>
                            <a:pathLst>
                              <a:path w="285" h="195">
                                <a:moveTo>
                                  <a:pt x="0" y="195"/>
                                </a:moveTo>
                                <a:lnTo>
                                  <a:pt x="135" y="90"/>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5" name="Freeform 39"/>
                        <wps:cNvSpPr>
                          <a:spLocks/>
                        </wps:cNvSpPr>
                        <wps:spPr bwMode="auto">
                          <a:xfrm>
                            <a:off x="1209675" y="778949"/>
                            <a:ext cx="171450" cy="76200"/>
                          </a:xfrm>
                          <a:custGeom>
                            <a:avLst/>
                            <a:gdLst>
                              <a:gd name="T0" fmla="*/ 0 w 270"/>
                              <a:gd name="T1" fmla="*/ 120 h 120"/>
                              <a:gd name="T2" fmla="*/ 135 w 270"/>
                              <a:gd name="T3" fmla="*/ 60 h 120"/>
                              <a:gd name="T4" fmla="*/ 270 w 270"/>
                              <a:gd name="T5" fmla="*/ 0 h 120"/>
                            </a:gdLst>
                            <a:ahLst/>
                            <a:cxnLst>
                              <a:cxn ang="0">
                                <a:pos x="T0" y="T1"/>
                              </a:cxn>
                              <a:cxn ang="0">
                                <a:pos x="T2" y="T3"/>
                              </a:cxn>
                              <a:cxn ang="0">
                                <a:pos x="T4" y="T5"/>
                              </a:cxn>
                            </a:cxnLst>
                            <a:rect l="0" t="0" r="r" b="b"/>
                            <a:pathLst>
                              <a:path w="270" h="120">
                                <a:moveTo>
                                  <a:pt x="0" y="120"/>
                                </a:moveTo>
                                <a:lnTo>
                                  <a:pt x="135" y="60"/>
                                </a:lnTo>
                                <a:lnTo>
                                  <a:pt x="270"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Line 40"/>
                        <wps:cNvCnPr/>
                        <wps:spPr bwMode="auto">
                          <a:xfrm flipV="1">
                            <a:off x="1381125" y="721799"/>
                            <a:ext cx="171450" cy="57150"/>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07" name="Freeform 41"/>
                        <wps:cNvSpPr>
                          <a:spLocks/>
                        </wps:cNvSpPr>
                        <wps:spPr bwMode="auto">
                          <a:xfrm>
                            <a:off x="1552575" y="683699"/>
                            <a:ext cx="180975" cy="38100"/>
                          </a:xfrm>
                          <a:custGeom>
                            <a:avLst/>
                            <a:gdLst>
                              <a:gd name="T0" fmla="*/ 0 w 285"/>
                              <a:gd name="T1" fmla="*/ 60 h 60"/>
                              <a:gd name="T2" fmla="*/ 135 w 285"/>
                              <a:gd name="T3" fmla="*/ 30 h 60"/>
                              <a:gd name="T4" fmla="*/ 285 w 285"/>
                              <a:gd name="T5" fmla="*/ 0 h 60"/>
                            </a:gdLst>
                            <a:ahLst/>
                            <a:cxnLst>
                              <a:cxn ang="0">
                                <a:pos x="T0" y="T1"/>
                              </a:cxn>
                              <a:cxn ang="0">
                                <a:pos x="T2" y="T3"/>
                              </a:cxn>
                              <a:cxn ang="0">
                                <a:pos x="T4" y="T5"/>
                              </a:cxn>
                            </a:cxnLst>
                            <a:rect l="0" t="0" r="r" b="b"/>
                            <a:pathLst>
                              <a:path w="285" h="60">
                                <a:moveTo>
                                  <a:pt x="0" y="60"/>
                                </a:moveTo>
                                <a:lnTo>
                                  <a:pt x="135" y="30"/>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 name="Line 42"/>
                        <wps:cNvCnPr/>
                        <wps:spPr bwMode="auto">
                          <a:xfrm flipV="1">
                            <a:off x="1733550" y="655124"/>
                            <a:ext cx="171450" cy="28575"/>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09" name="Line 43"/>
                        <wps:cNvCnPr/>
                        <wps:spPr bwMode="auto">
                          <a:xfrm flipV="1">
                            <a:off x="1905000" y="636074"/>
                            <a:ext cx="171450" cy="19050"/>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10" name="Freeform 44"/>
                        <wps:cNvSpPr>
                          <a:spLocks/>
                        </wps:cNvSpPr>
                        <wps:spPr bwMode="auto">
                          <a:xfrm>
                            <a:off x="2076450" y="617024"/>
                            <a:ext cx="180975" cy="19050"/>
                          </a:xfrm>
                          <a:custGeom>
                            <a:avLst/>
                            <a:gdLst>
                              <a:gd name="T0" fmla="*/ 0 w 285"/>
                              <a:gd name="T1" fmla="*/ 30 h 30"/>
                              <a:gd name="T2" fmla="*/ 135 w 285"/>
                              <a:gd name="T3" fmla="*/ 15 h 30"/>
                              <a:gd name="T4" fmla="*/ 285 w 285"/>
                              <a:gd name="T5" fmla="*/ 0 h 30"/>
                            </a:gdLst>
                            <a:ahLst/>
                            <a:cxnLst>
                              <a:cxn ang="0">
                                <a:pos x="T0" y="T1"/>
                              </a:cxn>
                              <a:cxn ang="0">
                                <a:pos x="T2" y="T3"/>
                              </a:cxn>
                              <a:cxn ang="0">
                                <a:pos x="T4" y="T5"/>
                              </a:cxn>
                            </a:cxnLst>
                            <a:rect l="0" t="0" r="r" b="b"/>
                            <a:pathLst>
                              <a:path w="285" h="30">
                                <a:moveTo>
                                  <a:pt x="0" y="30"/>
                                </a:moveTo>
                                <a:lnTo>
                                  <a:pt x="135" y="15"/>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1" name="Line 45"/>
                        <wps:cNvCnPr/>
                        <wps:spPr bwMode="auto">
                          <a:xfrm flipV="1">
                            <a:off x="2257425" y="607499"/>
                            <a:ext cx="171450" cy="9525"/>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12" name="Freeform 46"/>
                        <wps:cNvSpPr>
                          <a:spLocks/>
                        </wps:cNvSpPr>
                        <wps:spPr bwMode="auto">
                          <a:xfrm>
                            <a:off x="2428875" y="597974"/>
                            <a:ext cx="180975" cy="9525"/>
                          </a:xfrm>
                          <a:custGeom>
                            <a:avLst/>
                            <a:gdLst>
                              <a:gd name="T0" fmla="*/ 0 w 285"/>
                              <a:gd name="T1" fmla="*/ 15 h 15"/>
                              <a:gd name="T2" fmla="*/ 135 w 285"/>
                              <a:gd name="T3" fmla="*/ 0 h 15"/>
                              <a:gd name="T4" fmla="*/ 285 w 285"/>
                              <a:gd name="T5" fmla="*/ 0 h 15"/>
                            </a:gdLst>
                            <a:ahLst/>
                            <a:cxnLst>
                              <a:cxn ang="0">
                                <a:pos x="T0" y="T1"/>
                              </a:cxn>
                              <a:cxn ang="0">
                                <a:pos x="T2" y="T3"/>
                              </a:cxn>
                              <a:cxn ang="0">
                                <a:pos x="T4" y="T5"/>
                              </a:cxn>
                            </a:cxnLst>
                            <a:rect l="0" t="0" r="r" b="b"/>
                            <a:pathLst>
                              <a:path w="285" h="15">
                                <a:moveTo>
                                  <a:pt x="0" y="15"/>
                                </a:moveTo>
                                <a:lnTo>
                                  <a:pt x="135" y="0"/>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3" name="Line 47"/>
                        <wps:cNvCnPr/>
                        <wps:spPr bwMode="auto">
                          <a:xfrm flipV="1">
                            <a:off x="2609850" y="588449"/>
                            <a:ext cx="171450" cy="9525"/>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14" name="Line 48"/>
                        <wps:cNvCnPr/>
                        <wps:spPr bwMode="auto">
                          <a:xfrm flipV="1">
                            <a:off x="2781300" y="578924"/>
                            <a:ext cx="171450" cy="9525"/>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15" name="Freeform 49"/>
                        <wps:cNvSpPr>
                          <a:spLocks/>
                        </wps:cNvSpPr>
                        <wps:spPr bwMode="auto">
                          <a:xfrm>
                            <a:off x="2952750" y="569399"/>
                            <a:ext cx="180975" cy="9525"/>
                          </a:xfrm>
                          <a:custGeom>
                            <a:avLst/>
                            <a:gdLst>
                              <a:gd name="T0" fmla="*/ 0 w 285"/>
                              <a:gd name="T1" fmla="*/ 15 h 15"/>
                              <a:gd name="T2" fmla="*/ 135 w 285"/>
                              <a:gd name="T3" fmla="*/ 0 h 15"/>
                              <a:gd name="T4" fmla="*/ 285 w 285"/>
                              <a:gd name="T5" fmla="*/ 0 h 15"/>
                            </a:gdLst>
                            <a:ahLst/>
                            <a:cxnLst>
                              <a:cxn ang="0">
                                <a:pos x="T0" y="T1"/>
                              </a:cxn>
                              <a:cxn ang="0">
                                <a:pos x="T2" y="T3"/>
                              </a:cxn>
                              <a:cxn ang="0">
                                <a:pos x="T4" y="T5"/>
                              </a:cxn>
                            </a:cxnLst>
                            <a:rect l="0" t="0" r="r" b="b"/>
                            <a:pathLst>
                              <a:path w="285" h="15">
                                <a:moveTo>
                                  <a:pt x="0" y="15"/>
                                </a:moveTo>
                                <a:lnTo>
                                  <a:pt x="135" y="0"/>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6" name="Line 50"/>
                        <wps:cNvCnPr/>
                        <wps:spPr bwMode="auto">
                          <a:xfrm flipV="1">
                            <a:off x="3133725" y="559874"/>
                            <a:ext cx="171450" cy="9525"/>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17" name="Line 51"/>
                        <wps:cNvCnPr/>
                        <wps:spPr bwMode="auto">
                          <a:xfrm>
                            <a:off x="3305175" y="559874"/>
                            <a:ext cx="171450" cy="0"/>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18" name="Freeform 52"/>
                        <wps:cNvSpPr>
                          <a:spLocks/>
                        </wps:cNvSpPr>
                        <wps:spPr bwMode="auto">
                          <a:xfrm>
                            <a:off x="3476625" y="550349"/>
                            <a:ext cx="180975" cy="9525"/>
                          </a:xfrm>
                          <a:custGeom>
                            <a:avLst/>
                            <a:gdLst>
                              <a:gd name="T0" fmla="*/ 0 w 285"/>
                              <a:gd name="T1" fmla="*/ 15 h 15"/>
                              <a:gd name="T2" fmla="*/ 135 w 285"/>
                              <a:gd name="T3" fmla="*/ 0 h 15"/>
                              <a:gd name="T4" fmla="*/ 285 w 285"/>
                              <a:gd name="T5" fmla="*/ 0 h 15"/>
                            </a:gdLst>
                            <a:ahLst/>
                            <a:cxnLst>
                              <a:cxn ang="0">
                                <a:pos x="T0" y="T1"/>
                              </a:cxn>
                              <a:cxn ang="0">
                                <a:pos x="T2" y="T3"/>
                              </a:cxn>
                              <a:cxn ang="0">
                                <a:pos x="T4" y="T5"/>
                              </a:cxn>
                            </a:cxnLst>
                            <a:rect l="0" t="0" r="r" b="b"/>
                            <a:pathLst>
                              <a:path w="285" h="15">
                                <a:moveTo>
                                  <a:pt x="0" y="15"/>
                                </a:moveTo>
                                <a:lnTo>
                                  <a:pt x="135" y="0"/>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9" name="Line 53"/>
                        <wps:cNvCnPr/>
                        <wps:spPr bwMode="auto">
                          <a:xfrm>
                            <a:off x="3657600" y="550349"/>
                            <a:ext cx="171450" cy="0"/>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20" name="Freeform 54"/>
                        <wps:cNvSpPr>
                          <a:spLocks/>
                        </wps:cNvSpPr>
                        <wps:spPr bwMode="auto">
                          <a:xfrm>
                            <a:off x="3829050" y="540824"/>
                            <a:ext cx="180975" cy="9525"/>
                          </a:xfrm>
                          <a:custGeom>
                            <a:avLst/>
                            <a:gdLst>
                              <a:gd name="T0" fmla="*/ 0 w 285"/>
                              <a:gd name="T1" fmla="*/ 15 h 15"/>
                              <a:gd name="T2" fmla="*/ 135 w 285"/>
                              <a:gd name="T3" fmla="*/ 0 h 15"/>
                              <a:gd name="T4" fmla="*/ 285 w 285"/>
                              <a:gd name="T5" fmla="*/ 0 h 15"/>
                            </a:gdLst>
                            <a:ahLst/>
                            <a:cxnLst>
                              <a:cxn ang="0">
                                <a:pos x="T0" y="T1"/>
                              </a:cxn>
                              <a:cxn ang="0">
                                <a:pos x="T2" y="T3"/>
                              </a:cxn>
                              <a:cxn ang="0">
                                <a:pos x="T4" y="T5"/>
                              </a:cxn>
                            </a:cxnLst>
                            <a:rect l="0" t="0" r="r" b="b"/>
                            <a:pathLst>
                              <a:path w="285" h="15">
                                <a:moveTo>
                                  <a:pt x="0" y="15"/>
                                </a:moveTo>
                                <a:lnTo>
                                  <a:pt x="135" y="0"/>
                                </a:lnTo>
                                <a:lnTo>
                                  <a:pt x="285" y="0"/>
                                </a:lnTo>
                              </a:path>
                            </a:pathLst>
                          </a:custGeom>
                          <a:noFill/>
                          <a:ln w="3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1" name="Line 55"/>
                        <wps:cNvCnPr/>
                        <wps:spPr bwMode="auto">
                          <a:xfrm>
                            <a:off x="4010025" y="540824"/>
                            <a:ext cx="171450" cy="0"/>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22" name="Line 56"/>
                        <wps:cNvCnPr/>
                        <wps:spPr bwMode="auto">
                          <a:xfrm flipV="1">
                            <a:off x="4181475" y="531299"/>
                            <a:ext cx="171450" cy="9525"/>
                          </a:xfrm>
                          <a:prstGeom prst="line">
                            <a:avLst/>
                          </a:prstGeom>
                          <a:noFill/>
                          <a:ln w="3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723" name="Freeform 57"/>
                        <wps:cNvSpPr>
                          <a:spLocks/>
                        </wps:cNvSpPr>
                        <wps:spPr bwMode="auto">
                          <a:xfrm>
                            <a:off x="647700" y="15218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24" name="Freeform 58"/>
                        <wps:cNvSpPr>
                          <a:spLocks/>
                        </wps:cNvSpPr>
                        <wps:spPr bwMode="auto">
                          <a:xfrm>
                            <a:off x="828675" y="113137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25" name="Freeform 59"/>
                        <wps:cNvSpPr>
                          <a:spLocks/>
                        </wps:cNvSpPr>
                        <wps:spPr bwMode="auto">
                          <a:xfrm>
                            <a:off x="1000125" y="9503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26" name="Freeform 60"/>
                        <wps:cNvSpPr>
                          <a:spLocks/>
                        </wps:cNvSpPr>
                        <wps:spPr bwMode="auto">
                          <a:xfrm>
                            <a:off x="1181100" y="82657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27" name="Freeform 61"/>
                        <wps:cNvSpPr>
                          <a:spLocks/>
                        </wps:cNvSpPr>
                        <wps:spPr bwMode="auto">
                          <a:xfrm>
                            <a:off x="1352550" y="75037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28" name="Freeform 62"/>
                        <wps:cNvSpPr>
                          <a:spLocks/>
                        </wps:cNvSpPr>
                        <wps:spPr bwMode="auto">
                          <a:xfrm>
                            <a:off x="1524000" y="69322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29" name="Freeform 63"/>
                        <wps:cNvSpPr>
                          <a:spLocks/>
                        </wps:cNvSpPr>
                        <wps:spPr bwMode="auto">
                          <a:xfrm>
                            <a:off x="1704975" y="65512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0" name="Freeform 64"/>
                        <wps:cNvSpPr>
                          <a:spLocks/>
                        </wps:cNvSpPr>
                        <wps:spPr bwMode="auto">
                          <a:xfrm>
                            <a:off x="1876425" y="62654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1" name="Freeform 65"/>
                        <wps:cNvSpPr>
                          <a:spLocks/>
                        </wps:cNvSpPr>
                        <wps:spPr bwMode="auto">
                          <a:xfrm>
                            <a:off x="2047875" y="6074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2" name="Freeform 66"/>
                        <wps:cNvSpPr>
                          <a:spLocks/>
                        </wps:cNvSpPr>
                        <wps:spPr bwMode="auto">
                          <a:xfrm>
                            <a:off x="2228850" y="58844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3" name="Freeform 67"/>
                        <wps:cNvSpPr>
                          <a:spLocks/>
                        </wps:cNvSpPr>
                        <wps:spPr bwMode="auto">
                          <a:xfrm>
                            <a:off x="2400300" y="57892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4" name="Freeform 68"/>
                        <wps:cNvSpPr>
                          <a:spLocks/>
                        </wps:cNvSpPr>
                        <wps:spPr bwMode="auto">
                          <a:xfrm>
                            <a:off x="2581275" y="5693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5" name="Freeform 69"/>
                        <wps:cNvSpPr>
                          <a:spLocks/>
                        </wps:cNvSpPr>
                        <wps:spPr bwMode="auto">
                          <a:xfrm>
                            <a:off x="2781300" y="5693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6" name="Freeform 70"/>
                        <wps:cNvSpPr>
                          <a:spLocks/>
                        </wps:cNvSpPr>
                        <wps:spPr bwMode="auto">
                          <a:xfrm>
                            <a:off x="2924175" y="55034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7" name="Freeform 71"/>
                        <wps:cNvSpPr>
                          <a:spLocks/>
                        </wps:cNvSpPr>
                        <wps:spPr bwMode="auto">
                          <a:xfrm>
                            <a:off x="3105150" y="54082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8" name="Freeform 72"/>
                        <wps:cNvSpPr>
                          <a:spLocks/>
                        </wps:cNvSpPr>
                        <wps:spPr bwMode="auto">
                          <a:xfrm>
                            <a:off x="3276600" y="5312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39" name="Freeform 73"/>
                        <wps:cNvSpPr>
                          <a:spLocks/>
                        </wps:cNvSpPr>
                        <wps:spPr bwMode="auto">
                          <a:xfrm>
                            <a:off x="3448050" y="53129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40" name="Freeform 74"/>
                        <wps:cNvSpPr>
                          <a:spLocks/>
                        </wps:cNvSpPr>
                        <wps:spPr bwMode="auto">
                          <a:xfrm>
                            <a:off x="3629025" y="52177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41" name="Freeform 75"/>
                        <wps:cNvSpPr>
                          <a:spLocks/>
                        </wps:cNvSpPr>
                        <wps:spPr bwMode="auto">
                          <a:xfrm>
                            <a:off x="3800475" y="52177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42" name="Freeform 76"/>
                        <wps:cNvSpPr>
                          <a:spLocks/>
                        </wps:cNvSpPr>
                        <wps:spPr bwMode="auto">
                          <a:xfrm>
                            <a:off x="3981450" y="51224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43" name="Freeform 77"/>
                        <wps:cNvSpPr>
                          <a:spLocks/>
                        </wps:cNvSpPr>
                        <wps:spPr bwMode="auto">
                          <a:xfrm>
                            <a:off x="4152900" y="512249"/>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44" name="Freeform 78"/>
                        <wps:cNvSpPr>
                          <a:spLocks/>
                        </wps:cNvSpPr>
                        <wps:spPr bwMode="auto">
                          <a:xfrm>
                            <a:off x="4324350" y="502724"/>
                            <a:ext cx="57150" cy="57150"/>
                          </a:xfrm>
                          <a:custGeom>
                            <a:avLst/>
                            <a:gdLst>
                              <a:gd name="T0" fmla="*/ 45 w 90"/>
                              <a:gd name="T1" fmla="*/ 0 h 90"/>
                              <a:gd name="T2" fmla="*/ 90 w 90"/>
                              <a:gd name="T3" fmla="*/ 45 h 90"/>
                              <a:gd name="T4" fmla="*/ 45 w 90"/>
                              <a:gd name="T5" fmla="*/ 90 h 90"/>
                              <a:gd name="T6" fmla="*/ 0 w 90"/>
                              <a:gd name="T7" fmla="*/ 45 h 90"/>
                              <a:gd name="T8" fmla="*/ 45 w 90"/>
                              <a:gd name="T9" fmla="*/ 0 h 90"/>
                            </a:gdLst>
                            <a:ahLst/>
                            <a:cxnLst>
                              <a:cxn ang="0">
                                <a:pos x="T0" y="T1"/>
                              </a:cxn>
                              <a:cxn ang="0">
                                <a:pos x="T2" y="T3"/>
                              </a:cxn>
                              <a:cxn ang="0">
                                <a:pos x="T4" y="T5"/>
                              </a:cxn>
                              <a:cxn ang="0">
                                <a:pos x="T6" y="T7"/>
                              </a:cxn>
                              <a:cxn ang="0">
                                <a:pos x="T8" y="T9"/>
                              </a:cxn>
                            </a:cxnLst>
                            <a:rect l="0" t="0" r="r" b="b"/>
                            <a:pathLst>
                              <a:path w="90" h="90">
                                <a:moveTo>
                                  <a:pt x="45" y="0"/>
                                </a:moveTo>
                                <a:lnTo>
                                  <a:pt x="90" y="45"/>
                                </a:lnTo>
                                <a:lnTo>
                                  <a:pt x="45" y="90"/>
                                </a:lnTo>
                                <a:lnTo>
                                  <a:pt x="0" y="45"/>
                                </a:lnTo>
                                <a:lnTo>
                                  <a:pt x="45" y="0"/>
                                </a:lnTo>
                                <a:close/>
                              </a:path>
                            </a:pathLst>
                          </a:custGeom>
                          <a:solidFill>
                            <a:srgbClr val="000080"/>
                          </a:solidFill>
                          <a:ln w="15">
                            <a:solidFill>
                              <a:srgbClr val="000080"/>
                            </a:solidFill>
                            <a:prstDash val="solid"/>
                            <a:round/>
                            <a:headEnd/>
                            <a:tailEnd/>
                          </a:ln>
                        </wps:spPr>
                        <wps:bodyPr rot="0" vert="horz" wrap="square" lIns="91440" tIns="45720" rIns="91440" bIns="45720" anchor="t" anchorCtr="0" upright="1">
                          <a:noAutofit/>
                        </wps:bodyPr>
                      </wps:wsp>
                      <wps:wsp>
                        <wps:cNvPr id="745" name="Rectangle 79"/>
                        <wps:cNvSpPr>
                          <a:spLocks noChangeArrowheads="1"/>
                        </wps:cNvSpPr>
                        <wps:spPr bwMode="auto">
                          <a:xfrm>
                            <a:off x="95250" y="35999"/>
                            <a:ext cx="128778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Pr="000C00B5" w:rsidRDefault="0041099D" w:rsidP="00DA297C">
                              <w:pPr>
                                <w:rPr>
                                  <w:rFonts w:asciiTheme="minorHAnsi" w:hAnsiTheme="minorHAnsi" w:cstheme="minorHAnsi"/>
                                  <w:sz w:val="20"/>
                                  <w:szCs w:val="20"/>
                                </w:rPr>
                              </w:pPr>
                              <w:r w:rsidRPr="000C00B5">
                                <w:rPr>
                                  <w:rFonts w:asciiTheme="minorHAnsi" w:hAnsiTheme="minorHAnsi" w:cstheme="minorHAnsi"/>
                                  <w:b/>
                                  <w:bCs/>
                                  <w:sz w:val="20"/>
                                  <w:szCs w:val="20"/>
                                  <w:lang w:val="en-US"/>
                                </w:rPr>
                                <w:t>Sprendinio patikimumas</w:t>
                              </w:r>
                            </w:p>
                          </w:txbxContent>
                        </wps:txbx>
                        <wps:bodyPr rot="0" vert="horz" wrap="none" lIns="0" tIns="0" rIns="0" bIns="0" anchor="t" anchorCtr="0">
                          <a:spAutoFit/>
                        </wps:bodyPr>
                      </wps:wsp>
                      <wps:wsp>
                        <wps:cNvPr id="746" name="Rectangle 80"/>
                        <wps:cNvSpPr>
                          <a:spLocks noChangeArrowheads="1"/>
                        </wps:cNvSpPr>
                        <wps:spPr bwMode="auto">
                          <a:xfrm>
                            <a:off x="276225" y="1950524"/>
                            <a:ext cx="14732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0%</w:t>
                              </w:r>
                            </w:p>
                          </w:txbxContent>
                        </wps:txbx>
                        <wps:bodyPr rot="0" vert="horz" wrap="none" lIns="0" tIns="0" rIns="0" bIns="0" anchor="t" anchorCtr="0">
                          <a:spAutoFit/>
                        </wps:bodyPr>
                      </wps:wsp>
                      <wps:wsp>
                        <wps:cNvPr id="747" name="Rectangle 81"/>
                        <wps:cNvSpPr>
                          <a:spLocks noChangeArrowheads="1"/>
                        </wps:cNvSpPr>
                        <wps:spPr bwMode="auto">
                          <a:xfrm>
                            <a:off x="219075" y="1559999"/>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25%</w:t>
                              </w:r>
                            </w:p>
                          </w:txbxContent>
                        </wps:txbx>
                        <wps:bodyPr rot="0" vert="horz" wrap="none" lIns="0" tIns="0" rIns="0" bIns="0" anchor="t" anchorCtr="0">
                          <a:spAutoFit/>
                        </wps:bodyPr>
                      </wps:wsp>
                      <wps:wsp>
                        <wps:cNvPr id="748" name="Rectangle 82"/>
                        <wps:cNvSpPr>
                          <a:spLocks noChangeArrowheads="1"/>
                        </wps:cNvSpPr>
                        <wps:spPr bwMode="auto">
                          <a:xfrm>
                            <a:off x="219075" y="1178999"/>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50%</w:t>
                              </w:r>
                            </w:p>
                          </w:txbxContent>
                        </wps:txbx>
                        <wps:bodyPr rot="0" vert="horz" wrap="none" lIns="0" tIns="0" rIns="0" bIns="0" anchor="t" anchorCtr="0">
                          <a:spAutoFit/>
                        </wps:bodyPr>
                      </wps:wsp>
                      <wps:wsp>
                        <wps:cNvPr id="749" name="Rectangle 83"/>
                        <wps:cNvSpPr>
                          <a:spLocks noChangeArrowheads="1"/>
                        </wps:cNvSpPr>
                        <wps:spPr bwMode="auto">
                          <a:xfrm>
                            <a:off x="219075" y="788474"/>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75%</w:t>
                              </w:r>
                            </w:p>
                          </w:txbxContent>
                        </wps:txbx>
                        <wps:bodyPr rot="0" vert="horz" wrap="none" lIns="0" tIns="0" rIns="0" bIns="0" anchor="t" anchorCtr="0">
                          <a:spAutoFit/>
                        </wps:bodyPr>
                      </wps:wsp>
                      <wps:wsp>
                        <wps:cNvPr id="750" name="Rectangle 84"/>
                        <wps:cNvSpPr>
                          <a:spLocks noChangeArrowheads="1"/>
                        </wps:cNvSpPr>
                        <wps:spPr bwMode="auto">
                          <a:xfrm>
                            <a:off x="161925" y="397949"/>
                            <a:ext cx="2603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100%</w:t>
                              </w:r>
                            </w:p>
                          </w:txbxContent>
                        </wps:txbx>
                        <wps:bodyPr rot="0" vert="horz" wrap="none" lIns="0" tIns="0" rIns="0" bIns="0" anchor="t" anchorCtr="0">
                          <a:spAutoFit/>
                        </wps:bodyPr>
                      </wps:wsp>
                      <wps:wsp>
                        <wps:cNvPr id="751" name="Rectangle 85"/>
                        <wps:cNvSpPr>
                          <a:spLocks noChangeArrowheads="1"/>
                        </wps:cNvSpPr>
                        <wps:spPr bwMode="auto">
                          <a:xfrm>
                            <a:off x="476250"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0</w:t>
                              </w:r>
                            </w:p>
                          </w:txbxContent>
                        </wps:txbx>
                        <wps:bodyPr rot="0" vert="horz" wrap="none" lIns="0" tIns="0" rIns="0" bIns="0" anchor="t" anchorCtr="0">
                          <a:spAutoFit/>
                        </wps:bodyPr>
                      </wps:wsp>
                      <wps:wsp>
                        <wps:cNvPr id="752" name="Rectangle 86"/>
                        <wps:cNvSpPr>
                          <a:spLocks noChangeArrowheads="1"/>
                        </wps:cNvSpPr>
                        <wps:spPr bwMode="auto">
                          <a:xfrm>
                            <a:off x="647700"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w:t>
                              </w:r>
                            </w:p>
                          </w:txbxContent>
                        </wps:txbx>
                        <wps:bodyPr rot="0" vert="horz" wrap="none" lIns="0" tIns="0" rIns="0" bIns="0" anchor="t" anchorCtr="0">
                          <a:spAutoFit/>
                        </wps:bodyPr>
                      </wps:wsp>
                      <wps:wsp>
                        <wps:cNvPr id="753" name="Rectangle 87"/>
                        <wps:cNvSpPr>
                          <a:spLocks noChangeArrowheads="1"/>
                        </wps:cNvSpPr>
                        <wps:spPr bwMode="auto">
                          <a:xfrm>
                            <a:off x="828675"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w:t>
                              </w:r>
                            </w:p>
                          </w:txbxContent>
                        </wps:txbx>
                        <wps:bodyPr rot="0" vert="horz" wrap="none" lIns="0" tIns="0" rIns="0" bIns="0" anchor="t" anchorCtr="0">
                          <a:spAutoFit/>
                        </wps:bodyPr>
                      </wps:wsp>
                      <wps:wsp>
                        <wps:cNvPr id="754" name="Rectangle 88"/>
                        <wps:cNvSpPr>
                          <a:spLocks noChangeArrowheads="1"/>
                        </wps:cNvSpPr>
                        <wps:spPr bwMode="auto">
                          <a:xfrm>
                            <a:off x="1000125"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3</w:t>
                              </w:r>
                            </w:p>
                          </w:txbxContent>
                        </wps:txbx>
                        <wps:bodyPr rot="0" vert="horz" wrap="none" lIns="0" tIns="0" rIns="0" bIns="0" anchor="t" anchorCtr="0">
                          <a:spAutoFit/>
                        </wps:bodyPr>
                      </wps:wsp>
                      <wps:wsp>
                        <wps:cNvPr id="755" name="Rectangle 89"/>
                        <wps:cNvSpPr>
                          <a:spLocks noChangeArrowheads="1"/>
                        </wps:cNvSpPr>
                        <wps:spPr bwMode="auto">
                          <a:xfrm>
                            <a:off x="1181100"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4</w:t>
                              </w:r>
                            </w:p>
                          </w:txbxContent>
                        </wps:txbx>
                        <wps:bodyPr rot="0" vert="horz" wrap="none" lIns="0" tIns="0" rIns="0" bIns="0" anchor="t" anchorCtr="0">
                          <a:spAutoFit/>
                        </wps:bodyPr>
                      </wps:wsp>
                      <wps:wsp>
                        <wps:cNvPr id="756" name="Rectangle 90"/>
                        <wps:cNvSpPr>
                          <a:spLocks noChangeArrowheads="1"/>
                        </wps:cNvSpPr>
                        <wps:spPr bwMode="auto">
                          <a:xfrm>
                            <a:off x="1352550"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5</w:t>
                              </w:r>
                            </w:p>
                          </w:txbxContent>
                        </wps:txbx>
                        <wps:bodyPr rot="0" vert="horz" wrap="none" lIns="0" tIns="0" rIns="0" bIns="0" anchor="t" anchorCtr="0">
                          <a:spAutoFit/>
                        </wps:bodyPr>
                      </wps:wsp>
                      <wps:wsp>
                        <wps:cNvPr id="757" name="Rectangle 91"/>
                        <wps:cNvSpPr>
                          <a:spLocks noChangeArrowheads="1"/>
                        </wps:cNvSpPr>
                        <wps:spPr bwMode="auto">
                          <a:xfrm>
                            <a:off x="1524000"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6</w:t>
                              </w:r>
                            </w:p>
                          </w:txbxContent>
                        </wps:txbx>
                        <wps:bodyPr rot="0" vert="horz" wrap="none" lIns="0" tIns="0" rIns="0" bIns="0" anchor="t" anchorCtr="0">
                          <a:spAutoFit/>
                        </wps:bodyPr>
                      </wps:wsp>
                      <wps:wsp>
                        <wps:cNvPr id="758" name="Rectangle 92"/>
                        <wps:cNvSpPr>
                          <a:spLocks noChangeArrowheads="1"/>
                        </wps:cNvSpPr>
                        <wps:spPr bwMode="auto">
                          <a:xfrm>
                            <a:off x="1704975"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7</w:t>
                              </w:r>
                            </w:p>
                          </w:txbxContent>
                        </wps:txbx>
                        <wps:bodyPr rot="0" vert="horz" wrap="none" lIns="0" tIns="0" rIns="0" bIns="0" anchor="t" anchorCtr="0">
                          <a:spAutoFit/>
                        </wps:bodyPr>
                      </wps:wsp>
                      <wps:wsp>
                        <wps:cNvPr id="759" name="Rectangle 93"/>
                        <wps:cNvSpPr>
                          <a:spLocks noChangeArrowheads="1"/>
                        </wps:cNvSpPr>
                        <wps:spPr bwMode="auto">
                          <a:xfrm>
                            <a:off x="1876425"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8</w:t>
                              </w:r>
                            </w:p>
                          </w:txbxContent>
                        </wps:txbx>
                        <wps:bodyPr rot="0" vert="horz" wrap="none" lIns="0" tIns="0" rIns="0" bIns="0" anchor="t" anchorCtr="0">
                          <a:spAutoFit/>
                        </wps:bodyPr>
                      </wps:wsp>
                      <wps:wsp>
                        <wps:cNvPr id="760" name="Rectangle 94"/>
                        <wps:cNvSpPr>
                          <a:spLocks noChangeArrowheads="1"/>
                        </wps:cNvSpPr>
                        <wps:spPr bwMode="auto">
                          <a:xfrm>
                            <a:off x="2047875" y="2102924"/>
                            <a:ext cx="565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9</w:t>
                              </w:r>
                            </w:p>
                          </w:txbxContent>
                        </wps:txbx>
                        <wps:bodyPr rot="0" vert="horz" wrap="none" lIns="0" tIns="0" rIns="0" bIns="0" anchor="t" anchorCtr="0">
                          <a:spAutoFit/>
                        </wps:bodyPr>
                      </wps:wsp>
                      <wps:wsp>
                        <wps:cNvPr id="761" name="Rectangle 95"/>
                        <wps:cNvSpPr>
                          <a:spLocks noChangeArrowheads="1"/>
                        </wps:cNvSpPr>
                        <wps:spPr bwMode="auto">
                          <a:xfrm>
                            <a:off x="220027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10</w:t>
                              </w:r>
                            </w:p>
                          </w:txbxContent>
                        </wps:txbx>
                        <wps:bodyPr rot="0" vert="horz" wrap="none" lIns="0" tIns="0" rIns="0" bIns="0" anchor="t" anchorCtr="0">
                          <a:spAutoFit/>
                        </wps:bodyPr>
                      </wps:wsp>
                      <wps:wsp>
                        <wps:cNvPr id="762" name="Rectangle 96"/>
                        <wps:cNvSpPr>
                          <a:spLocks noChangeArrowheads="1"/>
                        </wps:cNvSpPr>
                        <wps:spPr bwMode="auto">
                          <a:xfrm>
                            <a:off x="237172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11</w:t>
                              </w:r>
                            </w:p>
                          </w:txbxContent>
                        </wps:txbx>
                        <wps:bodyPr rot="0" vert="horz" wrap="none" lIns="0" tIns="0" rIns="0" bIns="0" anchor="t" anchorCtr="0">
                          <a:spAutoFit/>
                        </wps:bodyPr>
                      </wps:wsp>
                      <wps:wsp>
                        <wps:cNvPr id="763" name="Rectangle 97"/>
                        <wps:cNvSpPr>
                          <a:spLocks noChangeArrowheads="1"/>
                        </wps:cNvSpPr>
                        <wps:spPr bwMode="auto">
                          <a:xfrm>
                            <a:off x="255270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12</w:t>
                              </w:r>
                            </w:p>
                          </w:txbxContent>
                        </wps:txbx>
                        <wps:bodyPr rot="0" vert="horz" wrap="none" lIns="0" tIns="0" rIns="0" bIns="0" anchor="t" anchorCtr="0">
                          <a:spAutoFit/>
                        </wps:bodyPr>
                      </wps:wsp>
                      <wps:wsp>
                        <wps:cNvPr id="764" name="Rectangle 98"/>
                        <wps:cNvSpPr>
                          <a:spLocks noChangeArrowheads="1"/>
                        </wps:cNvSpPr>
                        <wps:spPr bwMode="auto">
                          <a:xfrm>
                            <a:off x="272415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13</w:t>
                              </w:r>
                            </w:p>
                          </w:txbxContent>
                        </wps:txbx>
                        <wps:bodyPr rot="0" vert="horz" wrap="none" lIns="0" tIns="0" rIns="0" bIns="0" anchor="t" anchorCtr="0">
                          <a:spAutoFit/>
                        </wps:bodyPr>
                      </wps:wsp>
                      <wps:wsp>
                        <wps:cNvPr id="765" name="Rectangle 99"/>
                        <wps:cNvSpPr>
                          <a:spLocks noChangeArrowheads="1"/>
                        </wps:cNvSpPr>
                        <wps:spPr bwMode="auto">
                          <a:xfrm>
                            <a:off x="289560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14</w:t>
                              </w:r>
                            </w:p>
                          </w:txbxContent>
                        </wps:txbx>
                        <wps:bodyPr rot="0" vert="horz" wrap="none" lIns="0" tIns="0" rIns="0" bIns="0" anchor="t" anchorCtr="0">
                          <a:spAutoFit/>
                        </wps:bodyPr>
                      </wps:wsp>
                      <wps:wsp>
                        <wps:cNvPr id="766" name="Rectangle 100"/>
                        <wps:cNvSpPr>
                          <a:spLocks noChangeArrowheads="1"/>
                        </wps:cNvSpPr>
                        <wps:spPr bwMode="auto">
                          <a:xfrm>
                            <a:off x="307657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15</w:t>
                              </w:r>
                            </w:p>
                          </w:txbxContent>
                        </wps:txbx>
                        <wps:bodyPr rot="0" vert="horz" wrap="none" lIns="0" tIns="0" rIns="0" bIns="0" anchor="t" anchorCtr="0">
                          <a:spAutoFit/>
                        </wps:bodyPr>
                      </wps:wsp>
                      <wps:wsp>
                        <wps:cNvPr id="767" name="Rectangle 101"/>
                        <wps:cNvSpPr>
                          <a:spLocks noChangeArrowheads="1"/>
                        </wps:cNvSpPr>
                        <wps:spPr bwMode="auto">
                          <a:xfrm>
                            <a:off x="324802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16</w:t>
                              </w:r>
                            </w:p>
                          </w:txbxContent>
                        </wps:txbx>
                        <wps:bodyPr rot="0" vert="horz" wrap="none" lIns="0" tIns="0" rIns="0" bIns="0" anchor="t" anchorCtr="0">
                          <a:spAutoFit/>
                        </wps:bodyPr>
                      </wps:wsp>
                      <wps:wsp>
                        <wps:cNvPr id="768" name="Rectangle 102"/>
                        <wps:cNvSpPr>
                          <a:spLocks noChangeArrowheads="1"/>
                        </wps:cNvSpPr>
                        <wps:spPr bwMode="auto">
                          <a:xfrm>
                            <a:off x="341947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17</w:t>
                              </w:r>
                            </w:p>
                          </w:txbxContent>
                        </wps:txbx>
                        <wps:bodyPr rot="0" vert="horz" wrap="none" lIns="0" tIns="0" rIns="0" bIns="0" anchor="t" anchorCtr="0">
                          <a:spAutoFit/>
                        </wps:bodyPr>
                      </wps:wsp>
                      <wps:wsp>
                        <wps:cNvPr id="769" name="Rectangle 103"/>
                        <wps:cNvSpPr>
                          <a:spLocks noChangeArrowheads="1"/>
                        </wps:cNvSpPr>
                        <wps:spPr bwMode="auto">
                          <a:xfrm>
                            <a:off x="360045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18</w:t>
                              </w:r>
                            </w:p>
                          </w:txbxContent>
                        </wps:txbx>
                        <wps:bodyPr rot="0" vert="horz" wrap="none" lIns="0" tIns="0" rIns="0" bIns="0" anchor="t" anchorCtr="0">
                          <a:spAutoFit/>
                        </wps:bodyPr>
                      </wps:wsp>
                      <wps:wsp>
                        <wps:cNvPr id="770" name="Rectangle 104"/>
                        <wps:cNvSpPr>
                          <a:spLocks noChangeArrowheads="1"/>
                        </wps:cNvSpPr>
                        <wps:spPr bwMode="auto">
                          <a:xfrm>
                            <a:off x="377190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19</w:t>
                              </w:r>
                            </w:p>
                          </w:txbxContent>
                        </wps:txbx>
                        <wps:bodyPr rot="0" vert="horz" wrap="none" lIns="0" tIns="0" rIns="0" bIns="0" anchor="t" anchorCtr="0">
                          <a:spAutoFit/>
                        </wps:bodyPr>
                      </wps:wsp>
                      <wps:wsp>
                        <wps:cNvPr id="771" name="Rectangle 105"/>
                        <wps:cNvSpPr>
                          <a:spLocks noChangeArrowheads="1"/>
                        </wps:cNvSpPr>
                        <wps:spPr bwMode="auto">
                          <a:xfrm>
                            <a:off x="395287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20</w:t>
                              </w:r>
                            </w:p>
                          </w:txbxContent>
                        </wps:txbx>
                        <wps:bodyPr rot="0" vert="horz" wrap="none" lIns="0" tIns="0" rIns="0" bIns="0" anchor="t" anchorCtr="0">
                          <a:spAutoFit/>
                        </wps:bodyPr>
                      </wps:wsp>
                      <wps:wsp>
                        <wps:cNvPr id="772" name="Rectangle 106"/>
                        <wps:cNvSpPr>
                          <a:spLocks noChangeArrowheads="1"/>
                        </wps:cNvSpPr>
                        <wps:spPr bwMode="auto">
                          <a:xfrm>
                            <a:off x="412432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21</w:t>
                              </w:r>
                            </w:p>
                          </w:txbxContent>
                        </wps:txbx>
                        <wps:bodyPr rot="0" vert="horz" wrap="none" lIns="0" tIns="0" rIns="0" bIns="0" anchor="t" anchorCtr="0">
                          <a:spAutoFit/>
                        </wps:bodyPr>
                      </wps:wsp>
                      <wps:wsp>
                        <wps:cNvPr id="773" name="Rectangle 107"/>
                        <wps:cNvSpPr>
                          <a:spLocks noChangeArrowheads="1"/>
                        </wps:cNvSpPr>
                        <wps:spPr bwMode="auto">
                          <a:xfrm>
                            <a:off x="4295775"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22</w:t>
                              </w:r>
                            </w:p>
                          </w:txbxContent>
                        </wps:txbx>
                        <wps:bodyPr rot="0" vert="horz" wrap="none" lIns="0" tIns="0" rIns="0" bIns="0" anchor="t" anchorCtr="0">
                          <a:spAutoFit/>
                        </wps:bodyPr>
                      </wps:wsp>
                      <wps:wsp>
                        <wps:cNvPr id="774" name="Rectangle 108"/>
                        <wps:cNvSpPr>
                          <a:spLocks noChangeArrowheads="1"/>
                        </wps:cNvSpPr>
                        <wps:spPr bwMode="auto">
                          <a:xfrm>
                            <a:off x="447675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23</w:t>
                              </w:r>
                            </w:p>
                          </w:txbxContent>
                        </wps:txbx>
                        <wps:bodyPr rot="0" vert="horz" wrap="none" lIns="0" tIns="0" rIns="0" bIns="0" anchor="t" anchorCtr="0">
                          <a:spAutoFit/>
                        </wps:bodyPr>
                      </wps:wsp>
                      <wps:wsp>
                        <wps:cNvPr id="775" name="Rectangle 109"/>
                        <wps:cNvSpPr>
                          <a:spLocks noChangeArrowheads="1"/>
                        </wps:cNvSpPr>
                        <wps:spPr bwMode="auto">
                          <a:xfrm>
                            <a:off x="4648200" y="2102924"/>
                            <a:ext cx="1130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Default="0041099D" w:rsidP="00DA297C">
                              <w:r>
                                <w:rPr>
                                  <w:rFonts w:ascii="Arial" w:hAnsi="Arial" w:cs="Arial"/>
                                  <w:sz w:val="16"/>
                                  <w:szCs w:val="16"/>
                                  <w:lang w:val="en-US"/>
                                </w:rPr>
                                <w:t>24</w:t>
                              </w:r>
                            </w:p>
                          </w:txbxContent>
                        </wps:txbx>
                        <wps:bodyPr rot="0" vert="horz" wrap="none" lIns="0" tIns="0" rIns="0" bIns="0" anchor="t" anchorCtr="0">
                          <a:spAutoFit/>
                        </wps:bodyPr>
                      </wps:wsp>
                      <wps:wsp>
                        <wps:cNvPr id="776" name="Rectangle 110"/>
                        <wps:cNvSpPr>
                          <a:spLocks noChangeArrowheads="1"/>
                        </wps:cNvSpPr>
                        <wps:spPr bwMode="auto">
                          <a:xfrm>
                            <a:off x="3952875" y="2293424"/>
                            <a:ext cx="9429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99D" w:rsidRPr="000C00B5" w:rsidRDefault="0041099D" w:rsidP="00DA297C">
                              <w:pPr>
                                <w:rPr>
                                  <w:rFonts w:asciiTheme="minorHAnsi" w:hAnsiTheme="minorHAnsi" w:cstheme="minorHAnsi"/>
                                  <w:sz w:val="20"/>
                                  <w:szCs w:val="20"/>
                                </w:rPr>
                              </w:pPr>
                              <w:r w:rsidRPr="000C00B5">
                                <w:rPr>
                                  <w:rFonts w:asciiTheme="minorHAnsi" w:hAnsiTheme="minorHAnsi" w:cstheme="minorHAnsi"/>
                                  <w:b/>
                                  <w:bCs/>
                                  <w:sz w:val="20"/>
                                  <w:szCs w:val="20"/>
                                  <w:lang w:val="en-US"/>
                                </w:rPr>
                                <w:t>Ekspertų skaičius</w:t>
                              </w:r>
                            </w:p>
                          </w:txbxContent>
                        </wps:txbx>
                        <wps:bodyPr rot="0" vert="horz" wrap="square" lIns="0" tIns="0" rIns="0" bIns="0" anchor="t" anchorCtr="0">
                          <a:spAutoFit/>
                        </wps:bodyPr>
                      </wps:wsp>
                    </wpc:wpc>
                  </a:graphicData>
                </a:graphic>
              </wp:inline>
            </w:drawing>
          </mc:Choice>
          <mc:Fallback>
            <w:pict>
              <v:group id="Canvas 777" o:spid="_x0000_s1035" editas="canvas" style="width:386.25pt;height:192.75pt;mso-position-horizontal-relative:char;mso-position-vertical-relative:line" coordsize="49053,24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width:49053;height:24479;visibility:visible;mso-wrap-style:square">
                  <v:fill o:detectmouseclick="t"/>
                  <v:path o:connecttype="none"/>
                </v:shape>
                <v:line id="Line 4" o:spid="_x0000_s1037" style="position:absolute;visibility:visible;mso-wrap-style:square" from="5048,4646" to="5048,20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1Lk78AAADbAAAADwAAAGRycy9kb3ducmV2LnhtbERPy4rCMBTdD/gP4QruxlRBrdUoIg6O&#10;O5/g8tJc22BzU5qMdv7eLASXh/OeL1tbiQc13jhWMOgnIIhzpw0XCs6nn+8UhA/IGivHpOCfPCwX&#10;na85Zto9+UCPYyhEDGGfoYIyhDqT0uclWfR9VxNH7uYaiyHCppC6wWcMt5UcJslYWjQcG0qsaV1S&#10;fj/+WQVmP96OdpPL9CI32zC4pvfU2LNSvW67moEI1IaP+O3+1QqGcWz8En+AXL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51Lk78AAADbAAAADwAAAAAAAAAAAAAAAACh&#10;AgAAZHJzL2Rvd25yZXYueG1sUEsFBgAAAAAEAAQA+QAAAI0DAAAAAA==&#10;" strokeweight="0"/>
                <v:line id="Line 5" o:spid="_x0000_s1038" style="position:absolute;visibility:visible;mso-wrap-style:square" from="4762,20171" to="5048,20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line id="Line 6" o:spid="_x0000_s1039" style="position:absolute;visibility:visible;mso-wrap-style:square" from="4762,16266" to="5048,162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LRSMAAAADbAAAADwAAAGRycy9kb3ducmV2LnhtbERPy4rCMBTdD/gP4QruxtQRtVajyKDo&#10;7HyCy0tzbYPNTWmidv5+shBmeTjv+bK1lXhS441jBYN+AoI4d9pwoeB82nymIHxA1lg5JgW/5GG5&#10;6HzMMdPuxQd6HkMhYgj7DBWUIdSZlD4vyaLvu5o4cjfXWAwRNoXUDb5iuK3kV5KMpUXDsaHEmr5L&#10;yu/Hh1Vg9uPt6GdymV7kehsG1/SeGntWqtdtVzMQgdrwL367d1rBMK6PX+IPkI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gy0UjAAAAA2wAAAA8AAAAAAAAAAAAAAAAA&#10;oQIAAGRycy9kb3ducmV2LnhtbFBLBQYAAAAABAAEAPkAAACOAwAAAAA=&#10;" strokeweight="0"/>
                <v:line id="Line 7" o:spid="_x0000_s1040" style="position:absolute;visibility:visible;mso-wrap-style:square" from="4762,12456" to="5048,12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he78QAAADcAAAADwAAAGRycy9kb3ducmV2LnhtbESPT2vCQBTE7wW/w/KE3nRjizGNrlJK&#10;RXvzL/T4yD6TxezbkF01fnu3IPQ4zMxvmNmis7W4UuuNYwWjYQKCuHDacKngsF8OMhA+IGusHZOC&#10;O3lYzHsvM8y1u/GWrrtQighhn6OCKoQml9IXFVn0Q9cQR+/kWoshyraUusVbhNtaviVJKi0ajgsV&#10;NvRVUXHeXawCs0lX45/J8eMov1dh9JudM2MPSr32u88piEBd+A8/22utIJ28w9+ZeAT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F7vxAAAANwAAAAPAAAAAAAAAAAA&#10;AAAAAKECAABkcnMvZG93bnJldi54bWxQSwUGAAAAAAQABAD5AAAAkgMAAAAA&#10;" strokeweight="0"/>
                <v:line id="Line 8" o:spid="_x0000_s1041" style="position:absolute;visibility:visible;mso-wrap-style:square" from="4762,8551" to="5048,8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HGm8QAAADcAAAADwAAAGRycy9kb3ducmV2LnhtbESPT2vCQBTE7wW/w/KE3nRjqTGNrlJK&#10;RXvzL/T4yD6TxezbkF01fnu3IPQ4zMxvmNmis7W4UuuNYwWjYQKCuHDacKngsF8OMhA+IGusHZOC&#10;O3lYzHsvM8y1u/GWrrtQighhn6OCKoQml9IXFVn0Q9cQR+/kWoshyraUusVbhNtaviVJKi0ajgsV&#10;NvRVUXHeXawCs0lX45/J8eMov1dh9JudM2MPSr32u88piEBd+A8/22utIJ28w9+ZeAT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EcabxAAAANwAAAAPAAAAAAAAAAAA&#10;AAAAAKECAABkcnMvZG93bnJldi54bWxQSwUGAAAAAAQABAD5AAAAkgMAAAAA&#10;" strokeweight="0"/>
                <v:line id="Line 9" o:spid="_x0000_s1042" style="position:absolute;visibility:visible;mso-wrap-style:square" from="4762,4646" to="5048,4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1jAMQAAADcAAAADwAAAGRycy9kb3ducmV2LnhtbESPT4vCMBTE7wv7HcJb8LamLlhrNcqy&#10;rKi39R94fDTPNti8lCZq/fZGWPA4zMxvmOm8s7W4UuuNYwWDfgKCuHDacKlgv1t8ZiB8QNZYOyYF&#10;d/Iwn72/TTHX7sYbum5DKSKEfY4KqhCaXEpfVGTR911DHL2Tay2GKNtS6hZvEW5r+ZUkqbRoOC5U&#10;2NBPRcV5e7EKzF+6HK5Hh/FB/i7D4JidM2P3SvU+uu8JiEBdeIX/2yutIB0N4XkmHgE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XWMAxAAAANwAAAAPAAAAAAAAAAAA&#10;AAAAAKECAABkcnMvZG93bnJldi54bWxQSwUGAAAAAAQABAD5AAAAkgMAAAAA&#10;" strokeweight="0"/>
                <v:line id="Line 10" o:spid="_x0000_s1043" style="position:absolute;visibility:visible;mso-wrap-style:square" from="5048,20171" to="47053,20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9d8QAAADcAAAADwAAAGRycy9kb3ducmV2LnhtbESPQWvCQBSE70L/w/KE3nRjoTGNbqSU&#10;FvVWrYLHR/aZLMm+Ddmtpv/eFQoeh5n5hlmuBtuKC/XeOFYwmyYgiEunDVcKDj9fkwyED8gaW8ek&#10;4I88rIqn0RJz7a68o8s+VCJC2OeooA6hy6X0ZU0W/dR1xNE7u95iiLKvpO7xGuG2lS9JkkqLhuNC&#10;jR191FQ2+1+rwHyn69ft/Ph2lJ/rMDtlTWbsQann8fC+ABFoCI/wf3ujFaTzFO5n4hGQ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13xAAAANwAAAAPAAAAAAAAAAAA&#10;AAAAAKECAABkcnMvZG93bnJldi54bWxQSwUGAAAAAAQABAD5AAAAkgMAAAAA&#10;" strokeweight="0"/>
                <v:line id="Line 11" o:spid="_x0000_s1044" style="position:absolute;flip:y;visibility:visible;mso-wrap-style:square" from="5048,20171" to="5048,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drKcYAAADcAAAADwAAAGRycy9kb3ducmV2LnhtbESPQWsCMRSE7wX/Q3hCbzVrD25ZjSKK&#10;pRTaotWDt+fmubu4eVmS6Kb/vikIPQ4z8w0zW0TTihs531hWMB5lIIhLqxuuFOy/N08vIHxA1tha&#10;JgU/5GExHzzMsNC25y3ddqESCcK+QAV1CF0hpS9rMuhHtiNO3tk6gyFJV0ntsE9w08rnLJtIgw2n&#10;hRo7WtVUXnZXo2D7mfPJvV7jJZ76j6/joXo/rJdKPQ7jcgoiUAz/4Xv7TSuY5Dn8nU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naynGAAAA3AAAAA8AAAAAAAAA&#10;AAAAAAAAoQIAAGRycy9kb3ducmV2LnhtbFBLBQYAAAAABAAEAPkAAACUAwAAAAA=&#10;" strokeweight="0"/>
                <v:line id="Line 12" o:spid="_x0000_s1045" style="position:absolute;flip:y;visibility:visible;mso-wrap-style:square" from="6762,20171" to="6762,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j/W8MAAADcAAAADwAAAGRycy9kb3ducmV2LnhtbERPTWsCMRC9F/wPYYTearYetGyNIhWl&#10;CFrUevA2bsbdxc1kSaKb/vvmIHh8vO/JLJpG3Mn52rKC90EGgriwuuZSwe9h+fYBwgdkjY1lUvBH&#10;HmbT3ssEc2073tF9H0qRQtjnqKAKoc2l9EVFBv3AtsSJu1hnMCToSqkddincNHKYZSNpsObUUGFL&#10;XxUV1/3NKNhtx3x2q1u8xnO3+Tkdy/VxMVfqtR/nnyACxfAUP9zfWsFonNamM+kIyO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4/1vDAAAA3AAAAA8AAAAAAAAAAAAA&#10;AAAAoQIAAGRycy9kb3ducmV2LnhtbFBLBQYAAAAABAAEAPkAAACRAwAAAAA=&#10;" strokeweight="0"/>
                <v:line id="Line 13" o:spid="_x0000_s1046" style="position:absolute;flip:y;visibility:visible;mso-wrap-style:square" from="8572,20171" to="8572,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RawMYAAADcAAAADwAAAGRycy9kb3ducmV2LnhtbESPQWsCMRSE74L/ITyhN83ag9atUcTS&#10;UgRb1Hro7bl53V3cvCxJdOO/N4VCj8PMfMPMl9E04krO15YVjEcZCOLC6ppLBV+H1+ETCB+QNTaW&#10;ScGNPCwX/d4cc2073tF1H0qRIOxzVFCF0OZS+qIig35kW+Lk/VhnMCTpSqkddgluGvmYZRNpsOa0&#10;UGFL64qK8/5iFOw+pnxyb5d4jqdu+/l9LDfHl5VSD4O4egYRKIb/8F/7XSuYTGfweyYdAbm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0WsDGAAAA3AAAAA8AAAAAAAAA&#10;AAAAAAAAoQIAAGRycy9kb3ducmV2LnhtbFBLBQYAAAAABAAEAPkAAACUAwAAAAA=&#10;" strokeweight="0"/>
                <v:line id="Line 14" o:spid="_x0000_s1047" style="position:absolute;flip:y;visibility:visible;mso-wrap-style:square" from="10287,20171" to="10287,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uDesMAAADcAAAADwAAAGRycy9kb3ducmV2LnhtbERPTWsCMRC9F/wPYQRvNWsPVlajiGIR&#10;wRatHryNm3F3cTNZkuim/745FHp8vO/ZIppGPMn52rKC0TADQVxYXXOp4PS9eZ2A8AFZY2OZFPyQ&#10;h8W89zLDXNuOD/Q8hlKkEPY5KqhCaHMpfVGRQT+0LXHibtYZDAm6UmqHXQo3jXzLsrE0WHNqqLCl&#10;VUXF/fgwCg6f73x1H494j9du/3U5l7vzeqnUoB+XUxCBYvgX/7m3WsF4kuanM+kIyP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0bg3rDAAAA3AAAAA8AAAAAAAAAAAAA&#10;AAAAoQIAAGRycy9kb3ducmV2LnhtbFBLBQYAAAAABAAEAPkAAACRAwAAAAA=&#10;" strokeweight="0"/>
                <v:line id="Line 15" o:spid="_x0000_s1048" style="position:absolute;flip:y;visibility:visible;mso-wrap-style:square" from="12096,20171" to="12096,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cm4cYAAADcAAAADwAAAGRycy9kb3ducmV2LnhtbESPQWsCMRSE7wX/Q3hCbzWrB5WtUaSi&#10;FMEWbT309ty87i5uXpYkuvHfNwXB4zAz3zCzRTSNuJLztWUFw0EGgriwuuZSwffX+mUKwgdkjY1l&#10;UnAjD4t572mGubYd7+l6CKVIEPY5KqhCaHMpfVGRQT+wLXHyfq0zGJJ0pdQOuwQ3jRxl2VgarDkt&#10;VNjSW0XF+XAxCvYfEz65zSWe46nbff4cy+1xtVTquR+XryACxfAI39vvWsF4OoT/M+kI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XJuHGAAAA3AAAAA8AAAAAAAAA&#10;AAAAAAAAoQIAAGRycy9kb3ducmV2LnhtbFBLBQYAAAAABAAEAPkAAACUAwAAAAA=&#10;" strokeweight="0"/>
                <v:line id="Line 16" o:spid="_x0000_s1049" style="position:absolute;flip:y;visibility:visible;mso-wrap-style:square" from="13811,20171" to="13811,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W4lsYAAADcAAAADwAAAGRycy9kb3ducmV2LnhtbESPQWsCMRSE7wX/Q3hCbzWrB5WtUaTS&#10;UgQr2nro7bl53V3cvCxJdOO/bwTB4zAz3zCzRTSNuJDztWUFw0EGgriwuuZSwc/3+8sUhA/IGhvL&#10;pOBKHhbz3tMMc2073tFlH0qRIOxzVFCF0OZS+qIig35gW+Lk/VlnMCTpSqkddgluGjnKsrE0WHNa&#10;qLClt4qK0/5sFOy+Jnx0H+d4isdus/09lOvDaqnUcz8uX0EEiuERvrc/tYLxdAS3M+kIyP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KFuJbGAAAA3AAAAA8AAAAAAAAA&#10;AAAAAAAAoQIAAGRycy9kb3ducmV2LnhtbFBLBQYAAAAABAAEAPkAAACUAwAAAAA=&#10;" strokeweight="0"/>
                <v:line id="Line 17" o:spid="_x0000_s1050" style="position:absolute;flip:y;visibility:visible;mso-wrap-style:square" from="15525,20171" to="15525,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kdDcYAAADcAAAADwAAAGRycy9kb3ducmV2LnhtbESPQWsCMRSE70L/Q3iF3jSrBStbo4hi&#10;KQUr2nro7bl57i5uXpYkuum/N4WCx2FmvmGm82gacSXna8sKhoMMBHFhdc2lgu+vdX8CwgdkjY1l&#10;UvBLHuazh94Uc2073tF1H0qRIOxzVFCF0OZS+qIig35gW+LknawzGJJ0pdQOuwQ3jRxl2VgarDkt&#10;VNjSsqLivL8YBbvPFz66t0s8x2O32f4cyo/DaqHU02NcvIIIFMM9/N9+1wrGk2f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3JHQ3GAAAA3AAAAA8AAAAAAAAA&#10;AAAAAAAAoQIAAGRycy9kb3ducmV2LnhtbFBLBQYAAAAABAAEAPkAAACUAwAAAAA=&#10;" strokeweight="0"/>
                <v:line id="Line 18" o:spid="_x0000_s1051" style="position:absolute;flip:y;visibility:visible;mso-wrap-style:square" from="17335,20171" to="17335,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CFecYAAADcAAAADwAAAGRycy9kb3ducmV2LnhtbESPQWsCMRSE70L/Q3iF3jSrFCtbo4hi&#10;KQUr2nro7bl57i5uXpYkuum/N4WCx2FmvmGm82gacSXna8sKhoMMBHFhdc2lgu+vdX8CwgdkjY1l&#10;UvBLHuazh94Uc2073tF1H0qRIOxzVFCF0OZS+qIig35gW+LknawzGJJ0pdQOuwQ3jRxl2VgarDkt&#10;VNjSsqLivL8YBbvPFz66t0s8x2O32f4cyo/DaqHU02NcvIIIFMM9/N9+1wrGk2f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ghXnGAAAA3AAAAA8AAAAAAAAA&#10;AAAAAAAAoQIAAGRycy9kb3ducmV2LnhtbFBLBQYAAAAABAAEAPkAAACUAwAAAAA=&#10;" strokeweight="0"/>
                <v:line id="Line 19" o:spid="_x0000_s1052" style="position:absolute;flip:y;visibility:visible;mso-wrap-style:square" from="19050,20171" to="19050,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wg4sYAAADcAAAADwAAAGRycy9kb3ducmV2LnhtbESPQWsCMRSE70L/Q3iF3jSrUCtbo4hi&#10;KQUr2nro7bl57i5uXpYkuum/N4WCx2FmvmGm82gacSXna8sKhoMMBHFhdc2lgu+vdX8CwgdkjY1l&#10;UvBLHuazh94Uc2073tF1H0qRIOxzVFCF0OZS+qIig35gW+LknawzGJJ0pdQOuwQ3jRxl2VgarDkt&#10;VNjSsqLivL8YBbvPFz66t0s8x2O32f4cyo/DaqHU02NcvIIIFMM9/N9+1wrGk2f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1sIOLGAAAA3AAAAA8AAAAAAAAA&#10;AAAAAAAAoQIAAGRycy9kb3ducmV2LnhtbFBLBQYAAAAABAAEAPkAAACUAwAAAAA=&#10;" strokeweight="0"/>
                <v:line id="Line 20" o:spid="_x0000_s1053" style="position:absolute;flip:y;visibility:visible;mso-wrap-style:square" from="20764,20171" to="20764,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6+lcYAAADcAAAADwAAAGRycy9kb3ducmV2LnhtbESPQWsCMRSE70L/Q3gFb5ptD1vZGkVa&#10;WqRQi1oP3p6b5+7i5mVJopv+e1MQPA4z8w0znUfTigs531hW8DTOQBCXVjdcKfjdfowmIHxA1tha&#10;JgV/5GE+exhMsdC25zVdNqESCcK+QAV1CF0hpS9rMujHtiNO3tE6gyFJV0ntsE9w08rnLMulwYbT&#10;Qo0dvdVUnjZno2C9euGD+zzHUzz03z/7XfW1e18oNXyMi1cQgWK4h2/tpVaQT3L4P5OOgJx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2+vpXGAAAA3AAAAA8AAAAAAAAA&#10;AAAAAAAAoQIAAGRycy9kb3ducmV2LnhtbFBLBQYAAAAABAAEAPkAAACUAwAAAAA=&#10;" strokeweight="0"/>
                <v:line id="Line 21" o:spid="_x0000_s1054" style="position:absolute;flip:y;visibility:visible;mso-wrap-style:square" from="22574,20171" to="22574,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IbDsYAAADcAAAADwAAAGRycy9kb3ducmV2LnhtbESPT2sCMRTE7wW/Q3iCt5q1B5WtUaTS&#10;UoRa/Hfo7bl53V3cvCxJdNNvbwqCx2FmfsPMFtE04krO15YVjIYZCOLC6ppLBYf9+/MUhA/IGhvL&#10;pOCPPCzmvacZ5tp2vKXrLpQiQdjnqKAKoc2l9EVFBv3QtsTJ+7XOYEjSlVI77BLcNPIly8bSYM1p&#10;ocKW3ioqzruLUbDdTPjkPi7xHE/d1/fPsVwfV0ulBv24fAURKIZH+N7+1ArG0wn8n0lHQM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yGw7GAAAA3AAAAA8AAAAAAAAA&#10;AAAAAAAAoQIAAGRycy9kb3ducmV2LnhtbFBLBQYAAAAABAAEAPkAAACUAwAAAAA=&#10;" strokeweight="0"/>
                <v:line id="Line 22" o:spid="_x0000_s1055" style="position:absolute;flip:y;visibility:visible;mso-wrap-style:square" from="24288,20171" to="24288,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2PfMMAAADcAAAADwAAAGRycy9kb3ducmV2LnhtbERPTWsCMRC9F/wPYQRvNWsPVlajiGIR&#10;wRatHryNm3F3cTNZkuim/745FHp8vO/ZIppGPMn52rKC0TADQVxYXXOp4PS9eZ2A8AFZY2OZFPyQ&#10;h8W89zLDXNuOD/Q8hlKkEPY5KqhCaHMpfVGRQT+0LXHibtYZDAm6UmqHXQo3jXzLsrE0WHNqqLCl&#10;VUXF/fgwCg6f73x1H494j9du/3U5l7vzeqnUoB+XUxCBYvgX/7m3WsF4ktamM+kIyP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tj3zDAAAA3AAAAA8AAAAAAAAAAAAA&#10;AAAAoQIAAGRycy9kb3ducmV2LnhtbFBLBQYAAAAABAAEAPkAAACRAwAAAAA=&#10;" strokeweight="0"/>
                <v:line id="Line 23" o:spid="_x0000_s1056" style="position:absolute;flip:y;visibility:visible;mso-wrap-style:square" from="26098,20171" to="26098,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CEq58YAAADcAAAADwAAAGRycy9kb3ducmV2LnhtbESPQWsCMRSE70L/Q3iCN83ag9WtUaRF&#10;kYItaj309ty87i5uXpYkuvHfN4VCj8PMfMPMl9E04kbO15YVjEcZCOLC6ppLBZ/H9XAKwgdkjY1l&#10;UnAnD8vFQ2+OubYd7+l2CKVIEPY5KqhCaHMpfVGRQT+yLXHyvq0zGJJ0pdQOuwQ3jXzMsok0WHNa&#10;qLCll4qKy+FqFOzfn/jsNtd4iedu9/F1Kt9OryulBv24egYRKIb/8F97qxVMpjP4PZOOgF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hKufGAAAA3AAAAA8AAAAAAAAA&#10;AAAAAAAAoQIAAGRycy9kb3ducmV2LnhtbFBLBQYAAAAABAAEAPkAAACUAwAAAAA=&#10;" strokeweight="0"/>
                <v:line id="Line 24" o:spid="_x0000_s1057" style="position:absolute;flip:y;visibility:visible;mso-wrap-style:square" from="27813,20171" to="27813,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Vp8MAAADcAAAADwAAAGRycy9kb3ducmV2LnhtbERPz2vCMBS+C/4P4Qm7zXQ7OK1GEWVj&#10;DKbUzYO3Z/PWFpuXkkSb/ffLYeDx4/u9WEXTihs531hW8DTOQBCXVjdcKfj+en2cgvABWWNrmRT8&#10;kofVcjhYYK5tzwXdDqESKYR9jgrqELpcSl/WZNCPbUecuB/rDIYEXSW1wz6Fm1Y+Z9lEGmw4NdTY&#10;0aam8nK4GgXF7oXP7u0aL/Hcf+5Px+rjuF0r9TCK6zmIQDHcxf/ud61gMkvz05l0BO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CFafDAAAA3AAAAA8AAAAAAAAAAAAA&#10;AAAAoQIAAGRycy9kb3ducmV2LnhtbFBLBQYAAAAABAAEAPkAAACRAwAAAAA=&#10;" strokeweight="0"/>
                <v:line id="Line 25" o:spid="_x0000_s1058" style="position:absolute;flip:y;visibility:visible;mso-wrap-style:square" from="29527,20171" to="29527,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6wPMYAAADcAAAADwAAAGRycy9kb3ducmV2LnhtbESPQWsCMRSE7wX/Q3iCt5rVg61bo4ii&#10;lIItaj309ty87i5uXpYkuum/N4VCj8PMfMPMFtE04kbO15YVjIYZCOLC6ppLBZ/HzeMzCB+QNTaW&#10;ScEPeVjMew8zzLXteE+3QyhFgrDPUUEVQptL6YuKDPqhbYmT922dwZCkK6V22CW4aeQ4yybSYM1p&#10;ocKWVhUVl8PVKNi/P/HZba/xEs/d7uPrVL6d1kulBv24fAERKIb/8F/7VSuYTEfweyYd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eOsDzGAAAA3AAAAA8AAAAAAAAA&#10;AAAAAAAAoQIAAGRycy9kb3ducmV2LnhtbFBLBQYAAAAABAAEAPkAAACUAwAAAAA=&#10;" strokeweight="0"/>
                <v:line id="Line 26" o:spid="_x0000_s1059" style="position:absolute;flip:y;visibility:visible;mso-wrap-style:square" from="31337,20171" to="31337,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wuS8YAAADcAAAADwAAAGRycy9kb3ducmV2LnhtbESPT2sCMRTE74V+h/CE3mpWD1ZXo0hL&#10;Sym04r+Dt+fmubu4eVmS6KbfvikIHoeZ+Q0zW0TTiCs5X1tWMOhnIIgLq2suFey2789jED4ga2ws&#10;k4Jf8rCYPz7MMNe24zVdN6EUCcI+RwVVCG0upS8qMuj7tiVO3sk6gyFJV0rtsEtw08hhlo2kwZrT&#10;QoUtvVZUnDcXo2D988JH93GJ53jsvleHffm1f1sq9dSLyymIQDHcw7f2p1Ywmgzh/0w6AnL+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cLkvGAAAA3AAAAA8AAAAAAAAA&#10;AAAAAAAAoQIAAGRycy9kb3ducmV2LnhtbFBLBQYAAAAABAAEAPkAAACUAwAAAAA=&#10;" strokeweight="0"/>
                <v:line id="Line 27" o:spid="_x0000_s1060" style="position:absolute;flip:y;visibility:visible;mso-wrap-style:square" from="33051,20171" to="33051,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CL0MYAAADcAAAADwAAAGRycy9kb3ducmV2LnhtbESPQWsCMRSE7wX/Q3hCbzVbC7bdGkUs&#10;FRFUtPXQ23Pzuru4eVmS6MZ/bwqFHoeZ+YYZT6NpxIWcry0reBxkIIgLq2suFXx9fjy8gPABWWNj&#10;mRRcycN00rsbY65txzu67EMpEoR9jgqqENpcSl9UZNAPbEucvB/rDIYkXSm1wy7BTSOHWTaSBmtO&#10;CxW2NK+oOO3PRsFu88xHtzjHUzx26+33oVwd3mdK3ffj7A1EoBj+w3/tpVYwen2C3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gQi9DGAAAA3AAAAA8AAAAAAAAA&#10;AAAAAAAAoQIAAGRycy9kb3ducmV2LnhtbFBLBQYAAAAABAAEAPkAAACUAwAAAAA=&#10;" strokeweight="0"/>
                <v:line id="Line 28" o:spid="_x0000_s1061" style="position:absolute;flip:y;visibility:visible;mso-wrap-style:square" from="34766,20171" to="34766,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TpMYAAADcAAAADwAAAGRycy9kb3ducmV2LnhtbESPQWsCMRSE7wX/Q3hCbzVbKbbdGkUs&#10;FRFUtPXQ23Pzuru4eVmS6MZ/bwqFHoeZ+YYZT6NpxIWcry0reBxkIIgLq2suFXx9fjy8gPABWWNj&#10;mRRcycN00rsbY65txzu67EMpEoR9jgqqENpcSl9UZNAPbEucvB/rDIYkXSm1wy7BTSOHWTaSBmtO&#10;CxW2NK+oOO3PRsFu88xHtzjHUzx26+33oVwd3mdK3ffj7A1EoBj+w3/tpVYwen2C3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f5E6TGAAAA3AAAAA8AAAAAAAAA&#10;AAAAAAAAoQIAAGRycy9kb3ducmV2LnhtbFBLBQYAAAAABAAEAPkAAACUAwAAAAA=&#10;" strokeweight="0"/>
                <v:line id="Line 29" o:spid="_x0000_s1062" style="position:absolute;flip:y;visibility:visible;mso-wrap-style:square" from="36576,20171" to="36576,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W2P8YAAADcAAAADwAAAGRycy9kb3ducmV2LnhtbESPQWsCMRSE7wX/Q3hCbzVbobbdGkUs&#10;FRFUtPXQ23Pzuru4eVmS6MZ/bwqFHoeZ+YYZT6NpxIWcry0reBxkIIgLq2suFXx9fjy8gPABWWNj&#10;mRRcycN00rsbY65txzu67EMpEoR9jgqqENpcSl9UZNAPbEucvB/rDIYkXSm1wy7BTSOHWTaSBmtO&#10;CxW2NK+oOO3PRsFu88xHtzjHUzx26+33oVwd3mdK3ffj7A1EoBj+w3/tpVYwen2C3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1tj/GAAAA3AAAAA8AAAAAAAAA&#10;AAAAAAAAoQIAAGRycy9kb3ducmV2LnhtbFBLBQYAAAAABAAEAPkAAACUAwAAAAA=&#10;" strokeweight="0"/>
                <v:line id="Line 30" o:spid="_x0000_s1063" style="position:absolute;flip:y;visibility:visible;mso-wrap-style:square" from="38290,20171" to="38290,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coSMcAAADcAAAADwAAAGRycy9kb3ducmV2LnhtbESPT2sCMRTE74V+h/AKvdWsPWzb1SjS&#10;0iKCFf8dvD03z93FzcuSRDf99qZQ6HGYmd8w42k0rbiS841lBcNBBoK4tLrhSsFu+/n0CsIHZI2t&#10;ZVLwQx6mk/u7MRba9rym6yZUIkHYF6igDqErpPRlTQb9wHbEyTtZZzAk6SqpHfYJblr5nGW5NNhw&#10;Wqixo/eayvPmYhSsv1/46L4u8RyP/XJ12FeL/cdMqceHOBuBCBTDf/ivPdcK8rccfs+kIyA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ZyhIxwAAANwAAAAPAAAAAAAA&#10;AAAAAAAAAKECAABkcnMvZG93bnJldi54bWxQSwUGAAAAAAQABAD5AAAAlQMAAAAA&#10;" strokeweight="0"/>
                <v:line id="Line 31" o:spid="_x0000_s1064" style="position:absolute;flip:y;visibility:visible;mso-wrap-style:square" from="40100,20171" to="40100,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uN08YAAADcAAAADwAAAGRycy9kb3ducmV2LnhtbESPQWsCMRSE74L/ITyhN83ag9atUcTS&#10;UgRb1Hro7bl53V3cvCxJdOO/N4VCj8PMfMPMl9E04krO15YVjEcZCOLC6ppLBV+H1+ETCB+QNTaW&#10;ScGNPCwX/d4cc2073tF1H0qRIOxzVFCF0OZS+qIig35kW+Lk/VhnMCTpSqkddgluGvmYZRNpsOa0&#10;UGFL64qK8/5iFOw+pnxyb5d4jqdu+/l9LDfHl5VSD4O4egYRKIb/8F/7XSuYzKbweyYdAbm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rjdPGAAAA3AAAAA8AAAAAAAAA&#10;AAAAAAAAoQIAAGRycy9kb3ducmV2LnhtbFBLBQYAAAAABAAEAPkAAACUAwAAAAA=&#10;" strokeweight="0"/>
                <v:line id="Line 32" o:spid="_x0000_s1065" style="position:absolute;flip:y;visibility:visible;mso-wrap-style:square" from="41814,20171" to="41814,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QZocMAAADcAAAADwAAAGRycy9kb3ducmV2LnhtbERPz2vCMBS+C/4P4Qm7zXQ7OK1GEWVj&#10;DKbUzYO3Z/PWFpuXkkSb/ffLYeDx4/u9WEXTihs531hW8DTOQBCXVjdcKfj+en2cgvABWWNrmRT8&#10;kofVcjhYYK5tzwXdDqESKYR9jgrqELpcSl/WZNCPbUecuB/rDIYEXSW1wz6Fm1Y+Z9lEGmw4NdTY&#10;0aam8nK4GgXF7oXP7u0aL/Hcf+5Px+rjuF0r9TCK6zmIQDHcxf/ud61gMktr05l0BO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0GaHDAAAA3AAAAA8AAAAAAAAAAAAA&#10;AAAAoQIAAGRycy9kb3ducmV2LnhtbFBLBQYAAAAABAAEAPkAAACRAwAAAAA=&#10;" strokeweight="0"/>
                <v:line id="Line 33" o:spid="_x0000_s1066" style="position:absolute;flip:y;visibility:visible;mso-wrap-style:square" from="43529,20171" to="43529,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i8OsYAAADcAAAADwAAAGRycy9kb3ducmV2LnhtbESPQWsCMRSE7wX/Q3iCt5rVg61bo4ii&#10;lIIt2nro7bl57i5uXpYkuum/N4VCj8PMfMPMFtE04kbO15YVjIYZCOLC6ppLBV+fm8dnED4ga2ws&#10;k4If8rCY9x5mmGvb8Z5uh1CKBGGfo4IqhDaX0hcVGfRD2xIn72ydwZCkK6V22CW4aeQ4yybSYM1p&#10;ocKWVhUVl8PVKNi/P/HJba/xEk/d7uP7WL4d10ulBv24fAERKIb/8F/7VSuYTKfweyYd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4vDrGAAAA3AAAAA8AAAAAAAAA&#10;AAAAAAAAoQIAAGRycy9kb3ducmV2LnhtbFBLBQYAAAAABAAEAPkAAACUAwAAAAA=&#10;" strokeweight="0"/>
                <v:line id="Line 34" o:spid="_x0000_s1067" style="position:absolute;flip:y;visibility:visible;mso-wrap-style:square" from="45339,20171" to="45339,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mPvcIAAADcAAAADwAAAGRycy9kb3ducmV2LnhtbERPTWsCMRC9C/6HMIXeNFsPVbZGEcVS&#10;ClW09dDbuBl3FzeTJYlu/PfmIHh8vO/pPJpGXMn52rKCt2EGgriwuuZSwd/vejAB4QOyxsYyKbiR&#10;h/ms35tirm3HO7ruQylSCPscFVQhtLmUvqjIoB/aljhxJ+sMhgRdKbXDLoWbRo6y7F0arDk1VNjS&#10;sqLivL8YBbvNmI/u8xLP8dj9bP8P5fdhtVDq9SUuPkAEiuEpfri/tIJxluanM+kI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imPvcIAAADcAAAADwAAAAAAAAAAAAAA&#10;AAChAgAAZHJzL2Rvd25yZXYueG1sUEsFBgAAAAAEAAQA+QAAAJADAAAAAA==&#10;" strokeweight="0"/>
                <v:line id="Line 35" o:spid="_x0000_s1068" style="position:absolute;flip:y;visibility:visible;mso-wrap-style:square" from="47053,20171" to="47053,20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UqJsYAAADcAAAADwAAAGRycy9kb3ducmV2LnhtbESPQWsCMRSE70L/Q3iF3jRrD1W2RpGW&#10;llKo4loPvT03r7uLm5cliW7890YQPA4z8w0zW0TTihM531hWMB5lIIhLqxuuFPxuP4ZTED4ga2wt&#10;k4IzeVjMHwYzzLXteUOnIlQiQdjnqKAOocul9GVNBv3IdsTJ+7fOYEjSVVI77BPctPI5y16kwYbT&#10;Qo0dvdVUHoqjUbBZTXjvPo/xEPf9z/pvV33v3pdKPT3G5SuIQDHcw7f2l1YwycZwPZOOgJx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lKibGAAAA3AAAAA8AAAAAAAAA&#10;AAAAAAAAoQIAAGRycy9kb3ducmV2LnhtbFBLBQYAAAAABAAEAPkAAACUAwAAAAA=&#10;" strokeweight="0"/>
                <v:shape id="Freeform 36" o:spid="_x0000_s1069" style="position:absolute;left:6762;top:11599;width:1810;height:3905;visibility:visible;mso-wrap-style:square;v-text-anchor:top" coordsize="285,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kxOMYA&#10;AADcAAAADwAAAGRycy9kb3ducmV2LnhtbESPQWvCQBSE74X+h+UVvDWbelCJrqK1hXpRakXx9sg+&#10;s8Hs25jdxuiv7xYKPQ4z8w0zmXW2Ei01vnSs4CVJQRDnTpdcKNh9vT+PQPiArLFyTApu5GE2fXyY&#10;YKbdlT+p3YZCRAj7DBWYEOpMSp8bsugTVxNH7+QaiyHKppC6wWuE20r203QgLZYcFwzW9GooP2+/&#10;rYK342FlNljcwn5Zntvd+jJf3FGp3lM3H4MI1IX/8F/7QysYpn34PROP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VkxOMYAAADcAAAADwAAAAAAAAAAAAAAAACYAgAAZHJz&#10;L2Rvd25yZXYueG1sUEsFBgAAAAAEAAQA9QAAAIsDAAAAAA==&#10;" path="m,615l75,450,150,285,210,135,285,e" filled="f" strokecolor="navy" strokeweight="83e-5mm">
                  <v:path arrowok="t" o:connecttype="custom" o:connectlocs="0,390525;47625,285750;95250,180975;133350,85725;180975,0" o:connectangles="0,0,0,0,0"/>
                </v:shape>
                <v:shape id="Freeform 37" o:spid="_x0000_s1070" style="position:absolute;left:8572;top:9789;width:1715;height:1810;visibility:visible;mso-wrap-style:square;v-text-anchor:top" coordsize="270,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XmP8UA&#10;AADcAAAADwAAAGRycy9kb3ducmV2LnhtbESPQWsCMRSE7wX/Q3iCF6lJW6plNYou2HoS1F56e2ye&#10;m8XNy7KJu9t/3xQKPQ4z8w2z2gyuFh21ofKs4WmmQBAX3lRcavi87B/fQISIbLD2TBq+KcBmPXpY&#10;YWZ8zyfqzrEUCcIhQw02xiaTMhSWHIaZb4iTd/Wtw5hkW0rTYp/grpbPSs2lw4rTgsWGckvF7Xx3&#10;GuK0uPeHvMt3ahpMf/zafby/Wq0n42G7BBFpiP/hv/bBaFioF/g9k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teY/xQAAANwAAAAPAAAAAAAAAAAAAAAAAJgCAABkcnMv&#10;ZG93bnJldi54bWxQSwUGAAAAAAQABAD1AAAAigMAAAAA&#10;" path="m,285l75,195r60,-75l195,60,270,e" filled="f" strokecolor="navy" strokeweight="83e-5mm">
                  <v:path arrowok="t" o:connecttype="custom" o:connectlocs="0,180975;47625,123825;85725,76200;123825,38100;171450,0" o:connectangles="0,0,0,0,0"/>
                </v:shape>
                <v:shape id="Freeform 38" o:spid="_x0000_s1071" style="position:absolute;left:10287;top:8551;width:1809;height:1238;visibility:visible;mso-wrap-style:square;v-text-anchor:top" coordsize="285,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gK3sMA&#10;AADcAAAADwAAAGRycy9kb3ducmV2LnhtbESPwWrDMBBE74H+g9hCb7HcYNLEiRKKQ6A5JgqF3hZr&#10;a5laK2PJifv3VaHQ4zAzb5jtfnKduNEQWs8KnrMcBHHtTcuNgqs+zlcgQkQ22HkmBd8UYL97mG2x&#10;NP7OZ7pdYiMShEOJCmyMfSllqC05DJnviZP36QeHMcmhkWbAe4K7Ti7yfCkdtpwWLPZUWaq/LqNT&#10;gIeDNuO7PZ2LSuuPYu1kqJxST4/T6wZEpCn+h//ab0bBS17A75l0BOTu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gK3sMAAADcAAAADwAAAAAAAAAAAAAAAACYAgAAZHJzL2Rv&#10;d25yZXYueG1sUEsFBgAAAAAEAAQA9QAAAIgDAAAAAA==&#10;" path="m,195l135,90,285,e" filled="f" strokecolor="navy" strokeweight="83e-5mm">
                  <v:path arrowok="t" o:connecttype="custom" o:connectlocs="0,123825;85725,57150;180975,0" o:connectangles="0,0,0"/>
                </v:shape>
                <v:shape id="Freeform 39" o:spid="_x0000_s1072" style="position:absolute;left:12096;top:7789;width:1715;height:762;visibility:visible;mso-wrap-style:square;v-text-anchor:top" coordsize="27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l0s8UA&#10;AADcAAAADwAAAGRycy9kb3ducmV2LnhtbESPT2vCQBTE7wW/w/KE3nRjwNZGVxHFPzc1LT0/s88k&#10;mH0bslsT++ndgtDjMDO/YWaLzlTiRo0rLSsYDSMQxJnVJecKvj43gwkI55E1VpZJwZ0cLOa9lxkm&#10;2rZ8olvqcxEg7BJUUHhfJ1K6rCCDbmhr4uBdbGPQB9nkUjfYBripZBxFb9JgyWGhwJpWBWXX9Mco&#10;2N2P8a8ZxdXZ4+H7Y3tpD+uuVeq13y2nIDx1/j/8bO+1gvdoDH9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WXSzxQAAANwAAAAPAAAAAAAAAAAAAAAAAJgCAABkcnMv&#10;ZG93bnJldi54bWxQSwUGAAAAAAQABAD1AAAAigMAAAAA&#10;" path="m,120l135,60,270,e" filled="f" strokecolor="navy" strokeweight="83e-5mm">
                  <v:path arrowok="t" o:connecttype="custom" o:connectlocs="0,76200;85725,38100;171450,0" o:connectangles="0,0,0"/>
                </v:shape>
                <v:line id="Line 40" o:spid="_x0000_s1073" style="position:absolute;flip:y;visibility:visible;mso-wrap-style:square" from="13811,7217" to="15525,7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7+msUAAADcAAAADwAAAGRycy9kb3ducmV2LnhtbESPQWsCMRSE74X+h/AKvdVsRbayNYoU&#10;FHuo4FoEb4/kuVlMXpZN1O2/bwpCj8PMfMPMFoN34kp9bAMreB0VIIh1MC03Cr73q5cpiJiQDbrA&#10;pOCHIizmjw8zrEy48Y6udWpEhnCsUIFNqaukjNqSxzgKHXH2TqH3mLLsG2l6vGW4d3JcFKX02HJe&#10;sNjRhyV9ri9ewdq6VTlZ7z4PR3ccn7abL60PRqnnp2H5DiLRkP7D9/bGKHgrSvg7k4+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7+msUAAADcAAAADwAAAAAAAAAA&#10;AAAAAAChAgAAZHJzL2Rvd25yZXYueG1sUEsFBgAAAAAEAAQA+QAAAJMDAAAAAA==&#10;" strokecolor="navy" strokeweight="83e-5mm"/>
                <v:shape id="Freeform 41" o:spid="_x0000_s1074" style="position:absolute;left:15525;top:6836;width:1810;height:381;visibility:visible;mso-wrap-style:square;v-text-anchor:top" coordsize="28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mYK8MA&#10;AADcAAAADwAAAGRycy9kb3ducmV2LnhtbESPQWsCMRSE74L/ITzBmyYWqboaZSkUvBSprffH5rm7&#10;uHlZN+lu+u8bQehxmJlvmN0h2kb01PnasYbFXIEgLpypudTw/fU+W4PwAdlg45g0/JKHw3482mFm&#10;3MCf1J9DKRKEfYYaqhDaTEpfVGTRz11LnLyr6yyGJLtSmg6HBLeNfFHqVVqsOS1U2NJbRcXt/GM1&#10;HNf3j0u89MtBtZtTc8LIeR61nk5ivgURKIb/8LN9NBpWagWPM+kI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WmYK8MAAADcAAAADwAAAAAAAAAAAAAAAACYAgAAZHJzL2Rv&#10;d25yZXYueG1sUEsFBgAAAAAEAAQA9QAAAIgDAAAAAA==&#10;" path="m,60l135,30,285,e" filled="f" strokecolor="navy" strokeweight="83e-5mm">
                  <v:path arrowok="t" o:connecttype="custom" o:connectlocs="0,38100;85725,19050;180975,0" o:connectangles="0,0,0"/>
                </v:shape>
                <v:line id="Line 42" o:spid="_x0000_s1075" style="position:absolute;flip:y;visibility:visible;mso-wrap-style:square" from="17335,6551" to="19050,68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3Pc8EAAADcAAAADwAAAGRycy9kb3ducmV2LnhtbERPy2oCMRTdF/yHcAV3NVMRK1OjFEHR&#10;RQUfCO4uyXUyNLkZJlHHv28WQpeH854tOu/EndpYB1bwMSxAEOtgaq4UnI6r9ymImJANusCk4EkR&#10;FvPe2wxLEx68p/shVSKHcCxRgU2pKaWM2pLHOAwNceauofWYMmwraVp85HDv5KgoJtJjzbnBYkNL&#10;S/r3cPMK1tatJuP1fnu+uMvoutv8aH02Sg363fcXiERd+he/3Buj4LPIa/OZfATk/A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rc9zwQAAANwAAAAPAAAAAAAAAAAAAAAA&#10;AKECAABkcnMvZG93bnJldi54bWxQSwUGAAAAAAQABAD5AAAAjwMAAAAA&#10;" strokecolor="navy" strokeweight="83e-5mm"/>
                <v:line id="Line 43" o:spid="_x0000_s1076" style="position:absolute;flip:y;visibility:visible;mso-wrap-style:square" from="19050,6360" to="20764,6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q6MUAAADcAAAADwAAAGRycy9kb3ducmV2LnhtbESPQWsCMRSE70L/Q3hCb5pVitbVKKWg&#10;2EMFrQjeHslzs5i8LJtUt/++KRQ8DjPzDbNYdd6JG7WxDqxgNCxAEOtgaq4UHL/Wg1cQMSEbdIFJ&#10;wQ9FWC2fegssTbjznm6HVIkM4ViiAptSU0oZtSWPcRga4uxdQusxZdlW0rR4z3Dv5LgoJtJjzXnB&#10;YkPvlvT18O0VbKxbT142+4/T2Z3Hl932U+uTUeq5373NQSTq0iP8394aBdNiBn9n8hG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q6MUAAADcAAAADwAAAAAAAAAA&#10;AAAAAAChAgAAZHJzL2Rvd25yZXYueG1sUEsFBgAAAAAEAAQA+QAAAJMDAAAAAA==&#10;" strokecolor="navy" strokeweight="83e-5mm"/>
                <v:shape id="Freeform 44" o:spid="_x0000_s1077" style="position:absolute;left:20764;top:6170;width:1810;height:190;visibility:visible;mso-wrap-style:square;v-text-anchor:top" coordsize="28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w3TsMA&#10;AADcAAAADwAAAGRycy9kb3ducmV2LnhtbERPz2vCMBS+D/Y/hCfsMta0O6h0xuIERbyIzrEdH81b&#10;2615KUla639vDsKOH9/vRTGaVgzkfGNZQZakIIhLqxuuFJw/Ni9zED4ga2wtk4IreSiWjw8LzLW9&#10;8JGGU6hEDGGfo4I6hC6X0pc1GfSJ7Ygj92OdwRChq6R2eInhppWvaTqVBhuODTV2tK6p/Dv1RsFX&#10;vz3QczX07veTvt83bn8tW1TqaTKu3kAEGsO/+O7eaQWzLM6PZ+IR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w3TsMAAADcAAAADwAAAAAAAAAAAAAAAACYAgAAZHJzL2Rv&#10;d25yZXYueG1sUEsFBgAAAAAEAAQA9QAAAIgDAAAAAA==&#10;" path="m,30l135,15,285,e" filled="f" strokecolor="navy" strokeweight="83e-5mm">
                  <v:path arrowok="t" o:connecttype="custom" o:connectlocs="0,19050;85725,9525;180975,0" o:connectangles="0,0,0"/>
                </v:shape>
                <v:line id="Line 45" o:spid="_x0000_s1078" style="position:absolute;flip:y;visibility:visible;mso-wrap-style:square" from="22574,6074" to="24288,6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7wM8UAAADcAAAADwAAAGRycy9kb3ducmV2LnhtbESPQWsCMRSE74X+h/CE3mp2RWxZjSIF&#10;xR4sqEXw9kiem8XkZdlE3f77Rij0OMzMN8xs0XsnbtTFJrCCcliAINbBNFwr+D6sXt9BxIRs0AUm&#10;BT8UYTF/fpphZcKdd3Tbp1pkCMcKFdiU2krKqC15jMPQEmfvHDqPKcuulqbDe4Z7J0dFMZEeG84L&#10;Flv6sKQv+6tXsLZuNRmvd5/HkzuNzl+brdZHo9TLoF9OQSTq03/4r70xCt7KEh5n8h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E7wM8UAAADcAAAADwAAAAAAAAAA&#10;AAAAAAChAgAAZHJzL2Rvd25yZXYueG1sUEsFBgAAAAAEAAQA+QAAAJMDAAAAAA==&#10;" strokecolor="navy" strokeweight="83e-5mm"/>
                <v:shape id="Freeform 46" o:spid="_x0000_s1079" style="position:absolute;left:24288;top:5979;width:1810;height:95;visibility:visible;mso-wrap-style:square;v-text-anchor:top" coordsize="28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Ov7MUA&#10;AADcAAAADwAAAGRycy9kb3ducmV2LnhtbESPQWsCMRSE74X+h/AKvdWssrRlNUoriFs8tLXq+bF5&#10;bhaTl2WTruu/N0Khx2FmvmFmi8FZ0VMXGs8KxqMMBHHldcO1gt3P6ukVRIjIGq1nUnChAIv5/d0M&#10;C+3P/E39NtYiQTgUqMDE2BZShsqQwzDyLXHyjr5zGJPsaqk7PCe4s3KSZc/SYcNpwWBLS0PVafvr&#10;FNBhk69tvv98t/2H+Vpleblcl0o9PgxvUxCRhvgf/muXWsHLeAK3M+kIy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o6/sxQAAANwAAAAPAAAAAAAAAAAAAAAAAJgCAABkcnMv&#10;ZG93bnJldi54bWxQSwUGAAAAAAQABAD1AAAAigMAAAAA&#10;" path="m,15l135,,285,e" filled="f" strokecolor="navy" strokeweight="83e-5mm">
                  <v:path arrowok="t" o:connecttype="custom" o:connectlocs="0,9525;85725,0;180975,0" o:connectangles="0,0,0"/>
                </v:shape>
                <v:line id="Line 47" o:spid="_x0000_s1080" style="position:absolute;flip:y;visibility:visible;mso-wrap-style:square" from="26098,5884" to="27813,5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DL38UAAADcAAAADwAAAGRycy9kb3ducmV2LnhtbESPQWsCMRSE70L/Q3hCb5rVFpXVKKWg&#10;2IMFbRG8PZLnZjF5WTapbv99IxQ8DjPzDbNYdd6JK7WxDqxgNCxAEOtgaq4UfH+tBzMQMSEbdIFJ&#10;wS9FWC2fegssTbjxnq6HVIkM4ViiAptSU0oZtSWPcRga4uydQ+sxZdlW0rR4y3Dv5LgoJtJjzXnB&#10;YkPvlvTl8OMVbKxbT143+4/jyZ3G58/tTuujUeq5373NQSTq0iP8394aBdPRC9zP5CM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9DL38UAAADcAAAADwAAAAAAAAAA&#10;AAAAAAChAgAAZHJzL2Rvd25yZXYueG1sUEsFBgAAAAAEAAQA+QAAAJMDAAAAAA==&#10;" strokecolor="navy" strokeweight="83e-5mm"/>
                <v:line id="Line 48" o:spid="_x0000_s1081" style="position:absolute;flip:y;visibility:visible;mso-wrap-style:square" from="27813,5789" to="29527,5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lTq8QAAADcAAAADwAAAGRycy9kb3ducmV2LnhtbESPQWsCMRSE74X+h/AK3mpWES1bo0hB&#10;0UMFbRG8PZLnZjF5WTaprv/eFASPw8x8w0znnXfiQm2sAysY9AsQxDqYmisFvz/L9w8QMSEbdIFJ&#10;wY0izGevL1MsTbjyji77VIkM4ViiAptSU0oZtSWPsR8a4uydQusxZdlW0rR4zXDv5LAoxtJjzXnB&#10;YkNflvR5/+cVrKxbjker3eZwdMfhabv+1vpglOq9dYtPEIm69Aw/2mujYDIYwf+ZfATk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OVOrxAAAANwAAAAPAAAAAAAAAAAA&#10;AAAAAKECAABkcnMvZG93bnJldi54bWxQSwUGAAAAAAQABAD5AAAAkgMAAAAA&#10;" strokecolor="navy" strokeweight="83e-5mm"/>
                <v:shape id="Freeform 49" o:spid="_x0000_s1082" style="position:absolute;left:29527;top:5693;width:1810;height:96;visibility:visible;mso-wrap-style:square;v-text-anchor:top" coordsize="28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o3mMYA&#10;AADcAAAADwAAAGRycy9kb3ducmV2LnhtbESPQUsDMRSE74L/ITyhN5ttWausTUtbKN3iQa2t58fm&#10;uVlMXpZN3G7/vSkIHoeZ+YaZLwdnRU9daDwrmIwzEMSV1w3XCo4f2/snECEia7SeScGFAiwXtzdz&#10;LLQ/8zv1h1iLBOFQoAITY1tIGSpDDsPYt8TJ+/Kdw5hkV0vd4TnBnZXTLJtJhw2nBYMtbQxV34cf&#10;p4A+X/KdzU+va9vvzds2y8vNrlRqdDesnkFEGuJ/+K9dagWPkwe4nk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o3mMYAAADcAAAADwAAAAAAAAAAAAAAAACYAgAAZHJz&#10;L2Rvd25yZXYueG1sUEsFBgAAAAAEAAQA9QAAAIsDAAAAAA==&#10;" path="m,15l135,,285,e" filled="f" strokecolor="navy" strokeweight="83e-5mm">
                  <v:path arrowok="t" o:connecttype="custom" o:connectlocs="0,9525;85725,0;180975,0" o:connectangles="0,0,0"/>
                </v:shape>
                <v:line id="Line 50" o:spid="_x0000_s1083" style="position:absolute;flip:y;visibility:visible;mso-wrap-style:square" from="31337,5598" to="33051,5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doR8UAAADcAAAADwAAAGRycy9kb3ducmV2LnhtbESPQWsCMRSE74X+h/CE3mpWKduyGkUK&#10;ij0oqEXw9kiem8XkZdmkuv33jSD0OMzMN8x03nsnrtTFJrCC0bAAQayDabhW8H1Yvn6AiAnZoAtM&#10;Cn4pwnz2/DTFyoQb7+i6T7XIEI4VKrAptZWUUVvyGIehJc7eOXQeU5ZdLU2Htwz3To6LopQeG84L&#10;Flv6tKQv+x+vYGXdsnxb7b6OJ3can7frjdZHo9TLoF9MQCTq03/40V4bBe+jEu5n8hGQs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6doR8UAAADcAAAADwAAAAAAAAAA&#10;AAAAAAChAgAAZHJzL2Rvd25yZXYueG1sUEsFBgAAAAAEAAQA+QAAAJMDAAAAAA==&#10;" strokecolor="navy" strokeweight="83e-5mm"/>
                <v:line id="Line 51" o:spid="_x0000_s1084" style="position:absolute;visibility:visible;mso-wrap-style:square" from="33051,5598" to="34766,55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Q9gcMAAADcAAAADwAAAGRycy9kb3ducmV2LnhtbESPQYvCMBSE7wv+h/AEb2taD7ZUo6gg&#10;7F5kter50TzbYvNSmli7/36zIHgcZuYbZrkeTCN66lxtWUE8jUAQF1bXXCo45/vPFITzyBoby6Tg&#10;lxysV6OPJWbaPvlI/cmXIkDYZaig8r7NpHRFRQbd1LbEwbvZzqAPsiul7vAZ4KaRsyiaS4M1h4UK&#10;W9pVVNxPD6Mg/b7G5UFvfw51kR8vaRK5R39XajIeNgsQngb/Dr/aX1pBEifwfyYc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EPYHDAAAA3AAAAA8AAAAAAAAAAAAA&#10;AAAAoQIAAGRycy9kb3ducmV2LnhtbFBLBQYAAAAABAAEAPkAAACRAwAAAAA=&#10;" strokecolor="navy" strokeweight="83e-5mm"/>
                <v:shape id="Freeform 52" o:spid="_x0000_s1085" style="position:absolute;left:34766;top:5503;width:1810;height:95;visibility:visible;mso-wrap-style:square;v-text-anchor:top" coordsize="28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uYBsMA&#10;AADcAAAADwAAAGRycy9kb3ducmV2LnhtbERPW2vCMBR+H/gfwhH2NlNH2aQzigpiZQ/zsu350Byb&#10;YnJSmli7f788DPb48d3ny8FZ0VMXGs8KppMMBHHldcO1gs/z9mkGIkRkjdYzKfihAMvF6GGOhfZ3&#10;PlJ/irVIIRwKVGBibAspQ2XIYZj4ljhxF985jAl2tdQd3lO4s/I5y16kw4ZTg8GWNoaq6+nmFND3&#10;e76z+dfH2vZ7c9hmebnZlUo9jofVG4hIQ/wX/7lLreB1mtamM+kIy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uYBsMAAADcAAAADwAAAAAAAAAAAAAAAACYAgAAZHJzL2Rv&#10;d25yZXYueG1sUEsFBgAAAAAEAAQA9QAAAIgDAAAAAA==&#10;" path="m,15l135,,285,e" filled="f" strokecolor="navy" strokeweight="83e-5mm">
                  <v:path arrowok="t" o:connecttype="custom" o:connectlocs="0,9525;85725,0;180975,0" o:connectangles="0,0,0"/>
                </v:shape>
                <v:line id="Line 53" o:spid="_x0000_s1086" style="position:absolute;visibility:visible;mso-wrap-style:square" from="36576,5503" to="38290,55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cMaMUAAADcAAAADwAAAGRycy9kb3ducmV2LnhtbESPzWrDMBCE74G+g9hCb7HsHhrHjRLS&#10;QqG9hMRue16sjW1irYwl//Ttq0Agx2FmvmE2u9m0YqTeNZYVJFEMgri0uuFKwXfxsUxBOI+ssbVM&#10;Cv7IwW77sNhgpu3EJxpzX4kAYZehgtr7LpPSlTUZdJHtiIN3tr1BH2RfSd3jFOCmlc9x/CINNhwW&#10;auzovabykg9GQfr1m1QH/XY8NGVx+klXsRvGi1JPj/P+FYSn2d/Dt/anVrBK1nA9E46A3P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9cMaMUAAADcAAAADwAAAAAAAAAA&#10;AAAAAAChAgAAZHJzL2Rvd25yZXYueG1sUEsFBgAAAAAEAAQA+QAAAJMDAAAAAA==&#10;" strokecolor="navy" strokeweight="83e-5mm"/>
                <v:shape id="Freeform 54" o:spid="_x0000_s1087" style="position:absolute;left:38290;top:5408;width:1810;height:95;visibility:visible;mso-wrap-style:square;v-text-anchor:top" coordsize="28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FevcIA&#10;AADcAAAADwAAAGRycy9kb3ducmV2LnhtbERPW2vCMBR+F/wP4Qi+aTopOjqjTEHs2IObuzwfmrOm&#10;LDkpTVbrv18eBB8/vvt6OzgreupC41nBwzwDQVx53XCt4PPjMHsEESKyRuuZFFwpwHYzHq2x0P7C&#10;79SfYy1SCIcCFZgY20LKUBlyGOa+JU7cj+8cxgS7WuoOLyncWbnIsqV02HBqMNjS3lD1e/5zCuj7&#10;NT/a/Ou0s/2LeTtkebk/lkpNJ8PzE4hIQ7yLb+5SK1gt0vx0Jh0Buf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UV69wgAAANwAAAAPAAAAAAAAAAAAAAAAAJgCAABkcnMvZG93&#10;bnJldi54bWxQSwUGAAAAAAQABAD1AAAAhwMAAAAA&#10;" path="m,15l135,,285,e" filled="f" strokecolor="navy" strokeweight="83e-5mm">
                  <v:path arrowok="t" o:connecttype="custom" o:connectlocs="0,9525;85725,0;180975,0" o:connectangles="0,0,0"/>
                </v:shape>
                <v:line id="Line 55" o:spid="_x0000_s1088" style="position:absolute;visibility:visible;mso-wrap-style:square" from="40100,5408" to="41814,54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83K08UAAADcAAAADwAAAGRycy9kb3ducmV2LnhtbESPS2vDMBCE74X+B7GF3hrZPjTGjWLa&#10;QiG5mObRnhdraxtbK2PJj/z7qBDIcZiZb5hNvphOTDS4xrKCeBWBIC6tbrhScD59vaQgnEfW2Fkm&#10;BRdykG8fHzaYaTvzgaajr0SAsMtQQe19n0npypoMupXtiYP3ZweDPsihknrAOcBNJ5MoepUGGw4L&#10;Nfb0WVPZHkejIN3/xlWhP76LpjwdftJ15MapVer5aXl/A+Fp8ffwrb3TCtZJDP9nwhGQ2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83K08UAAADcAAAADwAAAAAAAAAA&#10;AAAAAAChAgAAZHJzL2Rvd25yZXYueG1sUEsFBgAAAAAEAAQA+QAAAJMDAAAAAA==&#10;" strokecolor="navy" strokeweight="83e-5mm"/>
                <v:line id="Line 56" o:spid="_x0000_s1089" style="position:absolute;flip:y;visibility:visible;mso-wrap-style:square" from="41814,5312" to="43529,54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Ck+cUAAADcAAAADwAAAGRycy9kb3ducmV2LnhtbESPQWsCMRSE70L/Q3iF3jTbpWjZGkUK&#10;ij1UcFsEb4/kuVlMXpZNqtt/3xQEj8PMfMPMl4N34kJ9bAMreJ4UIIh1MC03Cr6/1uNXEDEhG3SB&#10;ScEvRVguHkZzrEy48p4udWpEhnCsUIFNqaukjNqSxzgJHXH2TqH3mLLsG2l6vGa4d7Isiqn02HJe&#10;sNjRuyV9rn+8go116+nLZv9xOLpjedptP7U+GKWeHofVG4hEQ7qHb+2tUTArS/g/k4+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vCk+cUAAADcAAAADwAAAAAAAAAA&#10;AAAAAAChAgAAZHJzL2Rvd25yZXYueG1sUEsFBgAAAAAEAAQA+QAAAJMDAAAAAA==&#10;" strokecolor="navy" strokeweight="83e-5mm"/>
                <v:shape id="Freeform 57" o:spid="_x0000_s1090" style="position:absolute;left:6477;top:15218;width:571;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YU+sYA&#10;AADcAAAADwAAAGRycy9kb3ducmV2LnhtbESP0WrCQBRE3wX/YblCX6RuGsGW1FXaQqUPKk30Ay7Z&#10;2ySavZtmNxr79V1B8HGYmTPMfNmbWpyodZVlBU+TCARxbnXFhYL97vPxBYTzyBpry6TgQg6Wi+Fg&#10;jom2Z07plPlCBAi7BBWU3jeJlC4vyaCb2IY4eD+2NeiDbAupWzwHuKllHEUzabDisFBiQx8l5ces&#10;Mwo6+715T1d9jtOD3/yZFY7X21+lHkb92ysIT72/h2/tL63gOZ7C9Uw4AnLx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YU+s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58" o:spid="_x0000_s1091" style="position:absolute;left:8286;top:11313;width:572;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MjsYA&#10;AADcAAAADwAAAGRycy9kb3ducmV2LnhtbESP0WrCQBRE3wX/YbmFvohutGJLzCq2UOmDStV+wCV7&#10;TVKzd9PsRlO/3hUEH4eZOcMk89aU4kS1KywrGA4iEMSp1QVnCn72n/03EM4jaywtk4J/cjCfdTsJ&#10;xtqeeUunnc9EgLCLUUHufRVL6dKcDLqBrYiDd7C1QR9knUld4znATSlHUTSRBgsOCzlW9JFTetw1&#10;RkFjv9fv22Wb4suvX1/MEnurzZ9Sz0/tYgrCU+sf4Xv7Syt4HY3hdiYc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Mjs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59" o:spid="_x0000_s1092" style="position:absolute;left:10001;top:9503;width:571;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MpFcYA&#10;AADcAAAADwAAAGRycy9kb3ducmV2LnhtbESP0WrCQBRE3wX/YbmFvohutGhLzCq2UOmDStV+wCV7&#10;TVKzd9PsRlO/3hUEH4eZOcMk89aU4kS1KywrGA4iEMSp1QVnCn72n/03EM4jaywtk4J/cjCfdTsJ&#10;xtqeeUunnc9EgLCLUUHufRVL6dKcDLqBrYiDd7C1QR9knUld4znATSlHUTSRBgsOCzlW9JFTetw1&#10;RkFjv9fv22Wb4suvX1/MEnurzZ9Sz0/tYgrCU+sf4Xv7Syt4HY3hdiYc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MpFc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60" o:spid="_x0000_s1093" style="position:absolute;left:11811;top:8265;width:571;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G3YsUA&#10;AADcAAAADwAAAGRycy9kb3ducmV2LnhtbESP3YrCMBSE7xd8h3AEbxZNdUGlGkUFxQsV/x7g0Bzb&#10;anNSm6hdn36zsLCXw8x8w4yntSnEkyqXW1bQ7UQgiBOrc04VnE/L9hCE88gaC8uk4JscTCeNjzHG&#10;2r74QM+jT0WAsItRQeZ9GUvpkowMuo4tiYN3sZVBH2SVSl3hK8BNIXtR1JcGcw4LGZa0yCi5HR9G&#10;wcPut/PDqk7w6+q3b7PCz83urlSrWc9GIDzV/j/8115rBYNeH37PhCMgJ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Mbdi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61" o:spid="_x0000_s1094" style="position:absolute;left:13525;top:7503;width:572;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S+cUA&#10;AADcAAAADwAAAGRycy9kb3ducmV2LnhtbESP3YrCMBSE7xd8h3AEbxZNdWGVahQVFC9U/HuAQ3Ns&#10;q81JbaJ2ffrNwoKXw8x8w4wmtSnEgyqXW1bQ7UQgiBOrc04VnI6L9gCE88gaC8uk4IccTMaNjxHG&#10;2j55T4+DT0WAsItRQeZ9GUvpkowMuo4tiYN3tpVBH2SVSl3hM8BNIXtR9C0N5hwWMixpnlFyPdyN&#10;grvdbWb7ZZ3g18VvXmaJn+vtTalWs54OQXiq/Tv8315pBf1eH/7OhCMgx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RL5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62" o:spid="_x0000_s1095" style="position:absolute;left:15240;top:6932;width:571;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KGi8MA&#10;AADcAAAADwAAAGRycy9kb3ducmV2LnhtbERPzWrCQBC+F3yHZYReitnUQpXoKiooPVTR6AMM2TGJ&#10;ZmfT7JqkffruodDjx/c/X/amEi01rrSs4DWKQRBnVpecK7ict6MpCOeRNVaWScE3OVguBk9zTLTt&#10;+ERt6nMRQtglqKDwvk6kdFlBBl1ka+LAXW1j0AfY5FI32IVwU8lxHL9LgyWHhgJr2hSU3dOHUfCw&#10;x/36tOszfLv5/Y/Z4cvn4Uup52G/moHw1Pt/8Z/7QyuYjMPacCYcAb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KGi8MAAADcAAAADwAAAAAAAAAAAAAAAACYAgAAZHJzL2Rv&#10;d25yZXYueG1sUEsFBgAAAAAEAAQA9QAAAIgDAAAAAA==&#10;" path="m45,l90,45,45,90,,45,45,xe" fillcolor="navy" strokecolor="navy" strokeweight="42e-5mm">
                  <v:path arrowok="t" o:connecttype="custom" o:connectlocs="28575,0;57150,28575;28575,57150;0,28575;28575,0" o:connectangles="0,0,0,0,0"/>
                </v:shape>
                <v:shape id="Freeform 63" o:spid="_x0000_s1096" style="position:absolute;left:17049;top:6551;width:572;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4jEMYA&#10;AADcAAAADwAAAGRycy9kb3ducmV2LnhtbESP0WrCQBRE3wX/YbmFvohutKBtzCq2UOmDStV+wCV7&#10;TVKzd9PsRlO/3hUEH4eZOcMk89aU4kS1KywrGA4iEMSp1QVnCn72n/1XEM4jaywtk4J/cjCfdTsJ&#10;xtqeeUunnc9EgLCLUUHufRVL6dKcDLqBrYiDd7C1QR9knUld4znATSlHUTSWBgsOCzlW9JFTetw1&#10;RkFjv9fv22Wb4suvX1/MEnurzZ9Sz0/tYgrCU+sf4Xv7SyuYjN7gdiYc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a4jEM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64" o:spid="_x0000_s1097" style="position:absolute;left:18764;top:6265;width:571;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0cUMEA&#10;AADcAAAADwAAAGRycy9kb3ducmV2LnhtbERPy4rCMBTdD/gP4QpuRFMVVKpRVFBmMYqvD7g017ba&#10;3NQmame+3iyEWR7OezqvTSGeVLncsoJeNwJBnFidc6rgfFp3xiCcR9ZYWCYFv+RgPmt8TTHW9sUH&#10;eh59KkIIuxgVZN6XsZQuycig69qSOHAXWxn0AVap1BW+QrgpZD+KhtJgzqEhw5JWGSW348MoeNj9&#10;dnnY1AkOrn77ZzbY/tndlWo168UEhKfa/4s/7m+tYDQI88OZc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NHFDBAAAA3AAAAA8AAAAAAAAAAAAAAAAAmAIAAGRycy9kb3du&#10;cmV2LnhtbFBLBQYAAAAABAAEAPUAAACGAwAAAAA=&#10;" path="m45,l90,45,45,90,,45,45,xe" fillcolor="navy" strokecolor="navy" strokeweight="42e-5mm">
                  <v:path arrowok="t" o:connecttype="custom" o:connectlocs="28575,0;57150,28575;28575,57150;0,28575;28575,0" o:connectangles="0,0,0,0,0"/>
                </v:shape>
                <v:shape id="Freeform 65" o:spid="_x0000_s1098" style="position:absolute;left:20478;top:6074;width:572;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G5y8YA&#10;AADcAAAADwAAAGRycy9kb3ducmV2LnhtbESP0WrCQBRE3wX/YbmCL6VuUsGW1FVaoeJDlSb6AZfs&#10;bRLN3o3Zjab9+q5Q8HGYmTPMfNmbWlyodZVlBfEkAkGcW11xoeCw/3h8AeE8ssbaMin4IQfLxXAw&#10;x0TbK6d0yXwhAoRdggpK75tESpeXZNBNbEMcvG/bGvRBtoXULV4D3NTyKYpm0mDFYaHEhlYl5aes&#10;Mwo6+7V9T9d9jtOj3/6aNT587s5KjUf92ysIT72/h//bG63geRrD7Uw4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G5y8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66" o:spid="_x0000_s1099" style="position:absolute;left:22288;top:5884;width:572;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MnvMYA&#10;AADcAAAADwAAAGRycy9kb3ducmV2LnhtbESP0WrCQBRE3wX/YblCX6RuGsGW1FXaQqUPKk30Ay7Z&#10;2ySavZtmNxr79V1B8HGYmTPMfNmbWpyodZVlBU+TCARxbnXFhYL97vPxBYTzyBpry6TgQg6Wi+Fg&#10;jom2Z07plPlCBAi7BBWU3jeJlC4vyaCb2IY4eD+2NeiDbAupWzwHuKllHEUzabDisFBiQx8l5ces&#10;Mwo6+715T1d9jtOD3/yZFY7X21+lHkb92ysIT72/h2/tL63geRrD9Uw4AnLx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MnvM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67" o:spid="_x0000_s1100" style="position:absolute;left:24003;top:5789;width:571;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CJ8YA&#10;AADcAAAADwAAAGRycy9kb3ducmV2LnhtbESP0WrCQBRE34X+w3IFX0rd2IBKzCq1UPFBS2P9gEv2&#10;NknN3k2zG439+q5Q8HGYmTNMuupNLc7Uusqygsk4AkGcW11xoeD4+fY0B+E8ssbaMim4koPV8mGQ&#10;YqLthTM6H3whAoRdggpK75tESpeXZNCNbUMcvC/bGvRBtoXULV4C3NTyOYqm0mDFYaHEhl5Lyk+H&#10;zijo7Md+nW36HONvv/81G3zcvf8oNRr2LwsQnnp/D/+3t1rBLI7hdiYc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Z+CJ8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68" o:spid="_x0000_s1101" style="position:absolute;left:25812;top:5693;width:572;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YaU8UA&#10;AADcAAAADwAAAGRycy9kb3ducmV2LnhtbESP3WrCQBSE7wXfYTlCb0Q3rVIlukotVLyoxb8HOGSP&#10;STR7NmZXjX16VxC8HGbmG2Y8rU0hLlS53LKC924EgjixOudUwW770xmCcB5ZY2GZFNzIwXTSbIwx&#10;1vbKa7psfCoChF2MCjLvy1hKl2Rk0HVtSRy8va0M+iCrVOoKrwFuCvkRRZ/SYM5hIcOSvjNKjpuz&#10;UXC2q+VsPa8T7B388t/Msf37d1LqrVV/jUB4qv0r/GwvtIJBrw+PM+EI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dhpT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69" o:spid="_x0000_s1102" style="position:absolute;left:27813;top:5693;width:571;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q/yMUA&#10;AADcAAAADwAAAGRycy9kb3ducmV2LnhtbESP3WrCQBSE7wXfYTlCb0Q3rVglukotVLyoxb8HOGSP&#10;STR7NmZXjX16VxC8HGbmG2Y8rU0hLlS53LKC924EgjixOudUwW770xmCcB5ZY2GZFNzIwXTSbIwx&#10;1vbKa7psfCoChF2MCjLvy1hKl2Rk0HVtSRy8va0M+iCrVOoKrwFuCvkRRZ/SYM5hIcOSvjNKjpuz&#10;UXC2q+VsPa8T7B388t/Msf37d1LqrVV/jUB4qv0r/GwvtIJBrw+PM+EI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Or/I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70" o:spid="_x0000_s1103" style="position:absolute;left:29241;top:5503;width:572;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ghv8cA&#10;AADcAAAADwAAAGRycy9kb3ducmV2LnhtbESP3WrCQBSE74W+w3IKvZG6aQVbUldpCw1eqNSfBzhk&#10;T5No9mya3fzo07uC4OUwM98w03lvStFS7QrLCl5GEQji1OqCMwX73c/zOwjnkTWWlknBiRzMZw+D&#10;KcbadryhduszESDsYlSQe1/FUro0J4NuZCvi4P3Z2qAPss6krrELcFPK1yiaSIMFh4UcK/rOKT1u&#10;G6Ogsb+rr03Spzg++NXZJDhcrv+VenrsPz9AeOr9PXxrL7SCt/EErmfCEZC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oIb/HAAAA3AAAAA8AAAAAAAAAAAAAAAAAmAIAAGRy&#10;cy9kb3ducmV2LnhtbFBLBQYAAAAABAAEAPUAAACMAwAAAAA=&#10;" path="m45,l90,45,45,90,,45,45,xe" fillcolor="navy" strokecolor="navy" strokeweight="42e-5mm">
                  <v:path arrowok="t" o:connecttype="custom" o:connectlocs="28575,0;57150,28575;28575,57150;0,28575;28575,0" o:connectangles="0,0,0,0,0"/>
                </v:shape>
                <v:shape id="Freeform 71" o:spid="_x0000_s1104" style="position:absolute;left:31051;top:5408;width:572;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SEJMUA&#10;AADcAAAADwAAAGRycy9kb3ducmV2LnhtbESP3YrCMBSE7wXfIRzBG9FUhVWqUVRQ9mIV/x7g0Bzb&#10;anNSm6jdffrNwoKXw8x8w0zntSnEkyqXW1bQ70UgiBOrc04VnE/r7hiE88gaC8uk4JsczGfNxhRj&#10;bV98oOfRpyJA2MWoIPO+jKV0SUYGXc+WxMG72MqgD7JKpa7wFeCmkIMo+pAGcw4LGZa0yii5HR9G&#10;wcPut8vDpk5wePXbH7PBztfurlS7VS8mIDzV/h3+b39qBaPhCP7OhCMg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pIQk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72" o:spid="_x0000_s1105" style="position:absolute;left:32766;top:5312;width:571;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sQVsEA&#10;AADcAAAADwAAAGRycy9kb3ducmV2LnhtbERPy4rCMBTdD/gP4QpuRFMVVKpRVFBmMYqvD7g017ba&#10;3NQmame+3iyEWR7OezqvTSGeVLncsoJeNwJBnFidc6rgfFp3xiCcR9ZYWCYFv+RgPmt8TTHW9sUH&#10;eh59KkIIuxgVZN6XsZQuycig69qSOHAXWxn0AVap1BW+QrgpZD+KhtJgzqEhw5JWGSW348MoeNj9&#10;dnnY1AkOrn77ZzbY/tndlWo168UEhKfa/4s/7m+tYDQIa8OZc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s7EFbBAAAA3AAAAA8AAAAAAAAAAAAAAAAAmAIAAGRycy9kb3du&#10;cmV2LnhtbFBLBQYAAAAABAAEAPUAAACGAwAAAAA=&#10;" path="m45,l90,45,45,90,,45,45,xe" fillcolor="navy" strokecolor="navy" strokeweight="42e-5mm">
                  <v:path arrowok="t" o:connecttype="custom" o:connectlocs="28575,0;57150,28575;28575,57150;0,28575;28575,0" o:connectangles="0,0,0,0,0"/>
                </v:shape>
                <v:shape id="Freeform 73" o:spid="_x0000_s1106" style="position:absolute;left:34480;top:5312;width:572;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e1zcUA&#10;AADcAAAADwAAAGRycy9kb3ducmV2LnhtbESP3WrCQBSE7wXfYTlCb0Q3rWA1ukotVLyoxb8HOGSP&#10;STR7NmZXjX16VxC8HGbmG2Y8rU0hLlS53LKC924EgjixOudUwW770xmAcB5ZY2GZFNzIwXTSbIwx&#10;1vbKa7psfCoChF2MCjLvy1hKl2Rk0HVtSRy8va0M+iCrVOoKrwFuCvkRRX1pMOewkGFJ3xklx83Z&#10;KDjb1XK2ntcJ9g5++W/m2P79Oyn11qq/RiA81f4VfrYXWsFnbwiPM+EI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d7XN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74" o:spid="_x0000_s1107" style="position:absolute;left:36290;top:5217;width:571;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tvLcQA&#10;AADcAAAADwAAAGRycy9kb3ducmV2LnhtbERPzWrCQBC+C32HZYRepG6sUkt0FVto8GCK2j7AkB2T&#10;2Oxsmt3EtE/vHgSPH9//ct2bSnTUuNKygsk4AkGcWV1yruD76+PpFYTzyBory6TgjxysVw+DJcba&#10;XvhA3dHnIoSwi1FB4X0dS+myggy6sa2JA3eyjUEfYJNL3eAlhJtKPkfRizRYcmgosKb3grKfY2sU&#10;tHafvh2SPsPp2af/JsHR7vNXqcdhv1mA8NT7u/jm3moF81mYH86EI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Lby3EAAAA3AAAAA8AAAAAAAAAAAAAAAAAmAIAAGRycy9k&#10;b3ducmV2LnhtbFBLBQYAAAAABAAEAPUAAACJAwAAAAA=&#10;" path="m45,l90,45,45,90,,45,45,xe" fillcolor="navy" strokecolor="navy" strokeweight="42e-5mm">
                  <v:path arrowok="t" o:connecttype="custom" o:connectlocs="28575,0;57150,28575;28575,57150;0,28575;28575,0" o:connectangles="0,0,0,0,0"/>
                </v:shape>
                <v:shape id="Freeform 75" o:spid="_x0000_s1108" style="position:absolute;left:38004;top:5217;width:572;height:572;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fKtsYA&#10;AADcAAAADwAAAGRycy9kb3ducmV2LnhtbESP3WrCQBSE7wXfYTkFb0Q3/tCW6CptQfFCS6N9gEP2&#10;mKRmz6bZVaNP7wqCl8PMfMNM540pxYlqV1hWMOhHIIhTqwvOFPzuFr13EM4jaywtk4ILOZjP2q0p&#10;xtqeOaHT1mciQNjFqCD3voqldGlOBl3fVsTB29vaoA+yzqSu8RzgppTDKHqVBgsOCzlW9JVTetge&#10;jYKj/dl8JssmxdGf31zNErvr73+lOi/NxwSEp8Y/w4/2Sit4Gw/gfiYc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fKts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76" o:spid="_x0000_s1109" style="position:absolute;left:39814;top:5122;width:572;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VUwcYA&#10;AADcAAAADwAAAGRycy9kb3ducmV2LnhtbESP0WrCQBRE3wX/YbmFvohutGJLzCq2UOmDStV+wCV7&#10;TVKzd9PsRlO/3hUEH4eZOcMk89aU4kS1KywrGA4iEMSp1QVnCn72n/03EM4jaywtk4J/cjCfdTsJ&#10;xtqeeUunnc9EgLCLUUHufRVL6dKcDLqBrYiDd7C1QR9knUld4znATSlHUTSRBgsOCzlW9JFTetw1&#10;RkFjv9fv22Wb4suvX1/MEnurzZ9Sz0/tYgrCU+sf4Xv7Syt4HY/gdiYc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VUwcYAAADcAAAADwAAAAAAAAAAAAAAAACYAgAAZHJz&#10;L2Rvd25yZXYueG1sUEsFBgAAAAAEAAQA9QAAAIsDAAAAAA==&#10;" path="m45,l90,45,45,90,,45,45,xe" fillcolor="navy" strokecolor="navy" strokeweight="42e-5mm">
                  <v:path arrowok="t" o:connecttype="custom" o:connectlocs="28575,0;57150,28575;28575,57150;0,28575;28575,0" o:connectangles="0,0,0,0,0"/>
                </v:shape>
                <v:shape id="Freeform 77" o:spid="_x0000_s1110" style="position:absolute;left:41529;top:5122;width:571;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nxWsUA&#10;AADcAAAADwAAAGRycy9kb3ducmV2LnhtbESP3WrCQBSE7wXfYTlCb0Q3rVIlukotVLyoxb8HOGSP&#10;STR7NmZXjX16VxC8HGbmG2Y8rU0hLlS53LKC924EgjixOudUwW770xmCcB5ZY2GZFNzIwXTSbIwx&#10;1vbKa7psfCoChF2MCjLvy1hKl2Rk0HVtSRy8va0M+iCrVOoKrwFuCvkRRZ/SYM5hIcOSvjNKjpuz&#10;UXC2q+VsPa8T7B388t/Msf37d1LqrVV/jUB4qv0r/GwvtIJBvwePM+EI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mfFaxQAAANwAAAAPAAAAAAAAAAAAAAAAAJgCAABkcnMv&#10;ZG93bnJldi54bWxQSwUGAAAAAAQABAD1AAAAigMAAAAA&#10;" path="m45,l90,45,45,90,,45,45,xe" fillcolor="navy" strokecolor="navy" strokeweight="42e-5mm">
                  <v:path arrowok="t" o:connecttype="custom" o:connectlocs="28575,0;57150,28575;28575,57150;0,28575;28575,0" o:connectangles="0,0,0,0,0"/>
                </v:shape>
                <v:shape id="Freeform 78" o:spid="_x0000_s1111" style="position:absolute;left:43243;top:5027;width:572;height:571;visibility:visible;mso-wrap-style:square;v-text-anchor:top" coordsize="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BpLsUA&#10;AADcAAAADwAAAGRycy9kb3ducmV2LnhtbESP3WrCQBSE7wXfYTmCN0U3VqkSXUULihe1+PcAh+wx&#10;iWbPxuyqaZ/eLRS8HGbmG2Yyq00h7lS53LKCXjcCQZxYnXOq4HhYdkYgnEfWWFgmBT/kYDZtNiYY&#10;a/vgHd33PhUBwi5GBZn3ZSylSzIy6Lq2JA7eyVYGfZBVKnWFjwA3hXyPog9pMOewkGFJnxkll/3N&#10;KLjZ7WaxW9UJ9s9+82tW+Pb1fVWq3arnYxCeav8K/7fXWsFwMIC/M+EIyO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cGkuxQAAANwAAAAPAAAAAAAAAAAAAAAAAJgCAABkcnMv&#10;ZG93bnJldi54bWxQSwUGAAAAAAQABAD1AAAAigMAAAAA&#10;" path="m45,l90,45,45,90,,45,45,xe" fillcolor="navy" strokecolor="navy" strokeweight="42e-5mm">
                  <v:path arrowok="t" o:connecttype="custom" o:connectlocs="28575,0;57150,28575;28575,57150;0,28575;28575,0" o:connectangles="0,0,0,0,0"/>
                </v:shape>
                <v:rect id="Rectangle 79" o:spid="_x0000_s1112" style="position:absolute;left:952;top:359;width:12878;height:15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1nTsIA&#10;AADcAAAADwAAAGRycy9kb3ducmV2LnhtbESP3WoCMRSE7wu+QziCdzWrWJ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TWdOwgAAANwAAAAPAAAAAAAAAAAAAAAAAJgCAABkcnMvZG93&#10;bnJldi54bWxQSwUGAAAAAAQABAD1AAAAhwMAAAAA&#10;" filled="f" stroked="f">
                  <v:textbox style="mso-fit-shape-to-text:t" inset="0,0,0,0">
                    <w:txbxContent>
                      <w:p w:rsidR="0041099D" w:rsidRPr="000C00B5" w:rsidRDefault="0041099D" w:rsidP="00DA297C">
                        <w:pPr>
                          <w:rPr>
                            <w:rFonts w:asciiTheme="minorHAnsi" w:hAnsiTheme="minorHAnsi" w:cstheme="minorHAnsi"/>
                            <w:sz w:val="20"/>
                            <w:szCs w:val="20"/>
                          </w:rPr>
                        </w:pPr>
                        <w:r w:rsidRPr="000C00B5">
                          <w:rPr>
                            <w:rFonts w:asciiTheme="minorHAnsi" w:hAnsiTheme="minorHAnsi" w:cstheme="minorHAnsi"/>
                            <w:b/>
                            <w:bCs/>
                            <w:sz w:val="20"/>
                            <w:szCs w:val="20"/>
                            <w:lang w:val="en-US"/>
                          </w:rPr>
                          <w:t>Sprendinio patikimumas</w:t>
                        </w:r>
                      </w:p>
                    </w:txbxContent>
                  </v:textbox>
                </v:rect>
                <v:rect id="Rectangle 80" o:spid="_x0000_s1113" style="position:absolute;left:2762;top:19505;width:147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5OcIA&#10;AADcAAAADwAAAGRycy9kb3ducmV2LnhtbESPzYoCMRCE74LvEFrYm2YUcWXWKCIIKl4c9wGaSc8P&#10;Jp0hyTqzb78RhD0WVfUVtdkN1ogn+dA6VjCfZSCIS6dbrhV834/TNYgQkTUax6TglwLstuPRBnPt&#10;er7Rs4i1SBAOOSpoYuxyKUPZkMUwcx1x8irnLcYkfS21xz7BrZGLLFtJiy2nhQY7OjRUPoofq0De&#10;i2O/LozP3GVRXc35dKvIKfUxGfZfICIN8T/8bp+0gs/l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k5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0%</w:t>
                        </w:r>
                      </w:p>
                    </w:txbxContent>
                  </v:textbox>
                </v:rect>
                <v:rect id="Rectangle 81" o:spid="_x0000_s1114" style="position:absolute;left:2190;top:15599;width:2039;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NcosIA&#10;AADcAAAADwAAAGRycy9kb3ducmV2LnhtbESPzYoCMRCE74LvEFrwphlFVpk1igiCLl4c9wGaSc8P&#10;Jp0hyTqzb28WhD0WVfUVtd0P1ogn+dA6VrCYZyCIS6dbrhV830+zDYgQkTUax6TglwLsd+PRFnPt&#10;er7Rs4i1SBAOOSpoYuxyKUPZkMUwdx1x8irnLcYkfS21xz7BrZHLLPuQFltOCw12dGyofBQ/VoG8&#10;F6d+Uxifua9ldTWX860ip9R0Mhw+QUQa4n/43T5rBevV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01yi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25%</w:t>
                        </w:r>
                      </w:p>
                    </w:txbxContent>
                  </v:textbox>
                </v:rect>
                <v:rect id="Rectangle 82" o:spid="_x0000_s1115" style="position:absolute;left:2190;top:11789;width:2039;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zI0L8A&#10;AADcAAAADwAAAGRycy9kb3ducmV2LnhtbERPy4rCMBTdC/MP4Q7MTtMRUalGkQFBBze2fsCluX1g&#10;clOSaOvfTxYDLg/nvd2P1ogn+dA5VvA9y0AQV0533Ci4lcfpGkSIyBqNY1LwogD73cdki7l2A1/p&#10;WcRGpBAOOSpoY+xzKUPVksUwcz1x4mrnLcYEfSO1xyGFWyPnWbaUFjtODS329NNSdS8eVoEsi+Ow&#10;LozP3O+8vpjz6VqTU+rrczxsQEQa41v87z5pBatF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TMjQvwAAANwAAAAPAAAAAAAAAAAAAAAAAJgCAABkcnMvZG93bnJl&#10;di54bWxQSwUGAAAAAAQABAD1AAAAhAMAAAAA&#10;" filled="f" stroked="f">
                  <v:textbox style="mso-fit-shape-to-text:t" inset="0,0,0,0">
                    <w:txbxContent>
                      <w:p w:rsidR="0041099D" w:rsidRDefault="0041099D" w:rsidP="00DA297C">
                        <w:r>
                          <w:rPr>
                            <w:rFonts w:ascii="Arial" w:hAnsi="Arial" w:cs="Arial"/>
                            <w:sz w:val="16"/>
                            <w:szCs w:val="16"/>
                            <w:lang w:val="en-US"/>
                          </w:rPr>
                          <w:t>50%</w:t>
                        </w:r>
                      </w:p>
                    </w:txbxContent>
                  </v:textbox>
                </v:rect>
                <v:rect id="Rectangle 83" o:spid="_x0000_s1116" style="position:absolute;left:2190;top:7884;width:2039;height:11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BtS8IA&#10;AADcAAAADwAAAGRycy9kb3ducmV2LnhtbESP3WoCMRSE7wu+QziCdzWrSNXVKFIQbPHG1Qc4bM7+&#10;YHKyJKm7ffumIHg5zMw3zHY/WCMe5EPrWMFsmoEgLp1uuVZwux7fVyBCRNZoHJOCXwqw343etphr&#10;1/OFHkWsRYJwyFFBE2OXSxnKhiyGqeuIk1c5bzEm6WupPfYJbo2cZ9mHtNhyWmiwo8+GynvxYxXI&#10;a3HsV4XxmfueV2fzdbpU5JSajIfDBkSkIb7Cz/ZJK1gu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AG1L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75%</w:t>
                        </w:r>
                      </w:p>
                    </w:txbxContent>
                  </v:textbox>
                </v:rect>
                <v:rect id="Rectangle 84" o:spid="_x0000_s1117" style="position:absolute;left:1619;top:3979;width:2603;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NSC78A&#10;AADcAAAADwAAAGRycy9kb3ducmV2LnhtbERPy4rCMBTdC/MP4Q7MTtMRfFCNIgOCDm5s/YBLc/vA&#10;5KYk0da/nywGXB7Oe7sfrRFP8qFzrOB7loEgrpzuuFFwK4/TNYgQkTUax6TgRQH2u4/JFnPtBr7S&#10;s4iNSCEcclTQxtjnUoaqJYth5nrixNXOW4wJ+kZqj0MKt0bOs2wpLXacGlrs6ael6l48rAJZFsdh&#10;XRifud95fTHn07Ump9TX53jYgIg0xrf4333SClaLND+dSUd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41ILvwAAANwAAAAPAAAAAAAAAAAAAAAAAJgCAABkcnMvZG93bnJl&#10;di54bWxQSwUGAAAAAAQABAD1AAAAhAMAAAAA&#10;" filled="f" stroked="f">
                  <v:textbox style="mso-fit-shape-to-text:t" inset="0,0,0,0">
                    <w:txbxContent>
                      <w:p w:rsidR="0041099D" w:rsidRDefault="0041099D" w:rsidP="00DA297C">
                        <w:r>
                          <w:rPr>
                            <w:rFonts w:ascii="Arial" w:hAnsi="Arial" w:cs="Arial"/>
                            <w:sz w:val="16"/>
                            <w:szCs w:val="16"/>
                            <w:lang w:val="en-US"/>
                          </w:rPr>
                          <w:t>100%</w:t>
                        </w:r>
                      </w:p>
                    </w:txbxContent>
                  </v:textbox>
                </v:rect>
                <v:rect id="Rectangle 85" o:spid="_x0000_s1118" style="position:absolute;left:4762;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3kMIA&#10;AADcAAAADwAAAGRycy9kb3ducmV2LnhtbESPzYoCMRCE74LvEFrwphkFXRmNIoLgLl4cfYBm0vOD&#10;SWdIojP79puFhT0WVfUVtTsM1og3+dA6VrCYZyCIS6dbrhU87ufZBkSIyBqNY1LwTQEO+/Foh7l2&#10;Pd/oXcRaJAiHHBU0MXa5lKFsyGKYu444eZXzFmOSvpbaY5/g1shllq2lxZbTQoMdnRoqn8XLKpD3&#10;4txvCuMz97WsrubzcqvIKTWdDMctiEhD/A//tS9awcdq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r/eQ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0</w:t>
                        </w:r>
                      </w:p>
                    </w:txbxContent>
                  </v:textbox>
                </v:rect>
                <v:rect id="Rectangle 86" o:spid="_x0000_s1119" style="position:absolute;left:6477;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1p58IA&#10;AADcAAAADwAAAGRycy9kb3ducmV2LnhtbESP3WoCMRSE7wXfIRzBO826YCurUUQQbOmNqw9w2Jz9&#10;weRkSaK7ffumUOjlMDPfMLvDaI14kQ+dYwWrZQaCuHK640bB/XZebECEiKzROCYF3xTgsJ9Odlho&#10;N/CVXmVsRIJwKFBBG2NfSBmqliyGpeuJk1c7bzEm6RupPQ4Jbo3Ms+xNWuw4LbTY06ml6lE+rQJ5&#10;K8/DpjQ+c595/WU+LteanFLz2Xjcgog0xv/wX/uiFbyv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fWnn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w:t>
                        </w:r>
                      </w:p>
                    </w:txbxContent>
                  </v:textbox>
                </v:rect>
                <v:rect id="Rectangle 87" o:spid="_x0000_s1120" style="position:absolute;left:8286;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HMfMIA&#10;AADcAAAADwAAAGRycy9kb3ducmV2LnhtbESP3WoCMRSE7wu+QziCdzWrUpXVKFIQbPHG1Qc4bM7+&#10;YHKyJKm7ffumIHg5zMw3zHY/WCMe5EPrWMFsmoEgLp1uuVZwux7f1yBCRNZoHJOCXwqw343etphr&#10;1/OFHkWsRYJwyFFBE2OXSxnKhiyGqeuIk1c5bzEm6WupPfYJbo2cZ9lSWmw5LTTY0WdD5b34sQrk&#10;tTj268L4zH3Pq7P5Ol0qckpNxsNhAyLSEF/hZ/ukFaw+F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Mcx8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2</w:t>
                        </w:r>
                      </w:p>
                    </w:txbxContent>
                  </v:textbox>
                </v:rect>
                <v:rect id="Rectangle 88" o:spid="_x0000_s1121" style="position:absolute;left:10001;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hUCMIA&#10;AADcAAAADwAAAGRycy9kb3ducmV2LnhtbESP3WoCMRSE7wu+QziCdzWrWJXVKFIQbPHG1Qc4bM7+&#10;YHKyJKm7ffumIHg5zMw3zHY/WCMe5EPrWMFsmoEgLp1uuVZwux7f1yBCRNZoHJOCXwqw343etphr&#10;1/OFHkWsRYJwyFFBE2OXSxnKhiyGqeuIk1c5bzEm6WupPfYJbo2cZ9lSWmw5LTTY0WdD5b34sQrk&#10;tTj268L4zH3Pq7P5Ol0qckpNxsNhAyLSEF/hZ/ukFaw+F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2FQI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3</w:t>
                        </w:r>
                      </w:p>
                    </w:txbxContent>
                  </v:textbox>
                </v:rect>
                <v:rect id="Rectangle 89" o:spid="_x0000_s1122" style="position:absolute;left:11811;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Txk8IA&#10;AADcAAAADwAAAGRycy9kb3ducmV2LnhtbESPzYoCMRCE74LvEFrwphkFf5g1igiCLl4c9wGaSc8P&#10;Jp0hyTqzb79ZWPBYVNVX1O4wWCNe5EPrWMFinoEgLp1uuVbw9TjPtiBCRNZoHJOCHwpw2I9HO8y1&#10;6/lOryLWIkE45KigibHLpQxlQxbD3HXEyauctxiT9LXUHvsEt0Yus2wtLbacFhrs6NRQ+Sy+rQL5&#10;KM79tjA+c5/L6maul3tFTqnpZDh+gIg0xHf4v33RCjarFfydS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lPGT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4</w:t>
                        </w:r>
                      </w:p>
                    </w:txbxContent>
                  </v:textbox>
                </v:rect>
                <v:rect id="Rectangle 90" o:spid="_x0000_s1123" style="position:absolute;left:13525;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Zv5MIA&#10;AADcAAAADwAAAGRycy9kb3ducmV2LnhtbESPzYoCMRCE74LvEFrYm2YUdGXWKCIIKl4c9wGaSc8P&#10;Jp0hyTqzb78RhD0WVfUVtdkN1ogn+dA6VjCfZSCIS6dbrhV834/TNYgQkTUax6TglwLstuPRBnPt&#10;er7Rs4i1SBAOOSpoYuxyKUPZkMUwcx1x8irnLcYkfS21xz7BrZGLLFtJiy2nhQY7OjRUPoofq0De&#10;i2O/LozP3GVRXc35dKvIKfUxGfZfICIN8T/8bp+0gs/l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m/k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5</w:t>
                        </w:r>
                      </w:p>
                    </w:txbxContent>
                  </v:textbox>
                </v:rect>
                <v:rect id="Rectangle 91" o:spid="_x0000_s1124" style="position:absolute;left:15240;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rKf8IA&#10;AADcAAAADwAAAGRycy9kb3ducmV2LnhtbESPzYoCMRCE74LvEFrwphkFV5k1igiCLl4c9wGaSc8P&#10;Jp0hyTqzb28WhD0WVfUVtd0P1ogn+dA6VrCYZyCIS6dbrhV830+zDYgQkTUax6TglwLsd+PRFnPt&#10;er7Rs4i1SBAOOSpoYuxyKUPZkMUwdx1x8irnLcYkfS21xz7BrZHLLPuQFltOCw12dGyofBQ/VoG8&#10;F6d+Uxifua9ldTWX860ip9R0Mhw+QUQa4n/43T5rBevV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sp/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6</w:t>
                        </w:r>
                      </w:p>
                    </w:txbxContent>
                  </v:textbox>
                </v:rect>
                <v:rect id="Rectangle 92" o:spid="_x0000_s1125" style="position:absolute;left:17049;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VeDb8A&#10;AADcAAAADwAAAGRycy9kb3ducmV2LnhtbERPy4rCMBTdC/MP4Q7MTtMRfFCNIgOCDm5s/YBLc/vA&#10;5KYk0da/nywGXB7Oe7sfrRFP8qFzrOB7loEgrpzuuFFwK4/TNYgQkTUax6TgRQH2u4/JFnPtBr7S&#10;s4iNSCEcclTQxtjnUoaqJYth5nrixNXOW4wJ+kZqj0MKt0bOs2wpLXacGlrs6ael6l48rAJZFsdh&#10;XRifud95fTHn07Ump9TX53jYgIg0xrf4333SClaLtDadSUd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lV4NvwAAANwAAAAPAAAAAAAAAAAAAAAAAJgCAABkcnMvZG93bnJl&#10;di54bWxQSwUGAAAAAAQABAD1AAAAhAMAAAAA&#10;" filled="f" stroked="f">
                  <v:textbox style="mso-fit-shape-to-text:t" inset="0,0,0,0">
                    <w:txbxContent>
                      <w:p w:rsidR="0041099D" w:rsidRDefault="0041099D" w:rsidP="00DA297C">
                        <w:r>
                          <w:rPr>
                            <w:rFonts w:ascii="Arial" w:hAnsi="Arial" w:cs="Arial"/>
                            <w:sz w:val="16"/>
                            <w:szCs w:val="16"/>
                            <w:lang w:val="en-US"/>
                          </w:rPr>
                          <w:t>7</w:t>
                        </w:r>
                      </w:p>
                    </w:txbxContent>
                  </v:textbox>
                </v:rect>
                <v:rect id="Rectangle 93" o:spid="_x0000_s1126" style="position:absolute;left:18764;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n7lsIA&#10;AADcAAAADwAAAGRycy9kb3ducmV2LnhtbESP3WoCMRSE7wu+QziCdzWrYNXVKFIQbPHG1Qc4bM7+&#10;YHKyJKm7ffumIHg5zMw3zHY/WCMe5EPrWMFsmoEgLp1uuVZwux7fVyBCRNZoHJOCXwqw343etphr&#10;1/OFHkWsRYJwyFFBE2OXSxnKhiyGqeuIk1c5bzEm6WupPfYJbo2cZ9mHtNhyWmiwo8+GynvxYxXI&#10;a3HsV4XxmfueV2fzdbpU5JSajIfDBkSkIb7Cz/ZJK1gu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2fuW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8</w:t>
                        </w:r>
                      </w:p>
                    </w:txbxContent>
                  </v:textbox>
                </v:rect>
                <v:rect id="Rectangle 94" o:spid="_x0000_s1127" style="position:absolute;left:20478;top:21029;width:565;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YtsAA&#10;AADcAAAADwAAAGRycy9kb3ducmV2LnhtbERPS2rDMBDdF3IHMYHsGrlZpMa1HEohkIRsYvcAgzX+&#10;UGlkJCV2b18tAl0+3r88LNaIB/kwOlbwts1AELdOj9wr+G6OrzmIEJE1Gsek4JcCHKrVS4mFdjPf&#10;6FHHXqQQDgUqGGKcCilDO5DFsHUTceI65y3GBH0vtcc5hVsjd1m2lxZHTg0DTvQ1UPtT360C2dTH&#10;Oa+Nz9xl113N+XTryCm1WS+fHyAiLfFf/HSftIL3fZ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4+YtsAAAADcAAAADwAAAAAAAAAAAAAAAACYAgAAZHJzL2Rvd25y&#10;ZXYueG1sUEsFBgAAAAAEAAQA9QAAAIUDAAAAAA==&#10;" filled="f" stroked="f">
                  <v:textbox style="mso-fit-shape-to-text:t" inset="0,0,0,0">
                    <w:txbxContent>
                      <w:p w:rsidR="0041099D" w:rsidRDefault="0041099D" w:rsidP="00DA297C">
                        <w:r>
                          <w:rPr>
                            <w:rFonts w:ascii="Arial" w:hAnsi="Arial" w:cs="Arial"/>
                            <w:sz w:val="16"/>
                            <w:szCs w:val="16"/>
                            <w:lang w:val="en-US"/>
                          </w:rPr>
                          <w:t>9</w:t>
                        </w:r>
                      </w:p>
                    </w:txbxContent>
                  </v:textbox>
                </v:rect>
                <v:rect id="Rectangle 95" o:spid="_x0000_s1128" style="position:absolute;left:22002;top:21029;width:1131;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M9LcIA&#10;AADcAAAADwAAAGRycy9kb3ducmV2LnhtbESPzYoCMRCE78K+Q2jBm5PRgyuzRlkEQcWL4z5AM+n5&#10;YZPOkGSd8e2NIOyxqKqvqM1utEbcyYfOsYJFloMgrpzuuFHwczvM1yBCRNZoHJOCBwXYbT8mGyy0&#10;G/hK9zI2IkE4FKigjbEvpAxVSxZD5nri5NXOW4xJ+kZqj0OCWyOXeb6SFjtOCy32tG+p+i3/rAJ5&#10;Kw/DujQ+d+dlfTGn47Ump9RsOn5/gYg0xv/wu33UCj5XC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wz0t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10</w:t>
                        </w:r>
                      </w:p>
                    </w:txbxContent>
                  </v:textbox>
                </v:rect>
                <v:rect id="Rectangle 96" o:spid="_x0000_s1129" style="position:absolute;left:23717;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GjWsIA&#10;AADcAAAADwAAAGRycy9kb3ducmV2LnhtbESPzYoCMRCE78K+Q2hhb5pxDq6MRhFBcMWLow/QTHp+&#10;MOkMSdaZfXuzIOyxqKqvqM1utEY8yYfOsYLFPANBXDndcaPgfjvOViBCRNZoHJOCXwqw235MNlho&#10;N/CVnmVsRIJwKFBBG2NfSBmqliyGueuJk1c7bzEm6RupPQ4Jbo3Ms2wpLXacFlrs6dBS9Sh/rAJ5&#10;K4/DqjQ+c+e8vpjv07Ump9TndNyvQUQa43/43T5pBV/L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EaNa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11</w:t>
                        </w:r>
                      </w:p>
                    </w:txbxContent>
                  </v:textbox>
                </v:rect>
                <v:rect id="Rectangle 97" o:spid="_x0000_s1130" style="position:absolute;left:25527;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0GwcIA&#10;AADcAAAADwAAAGRycy9kb3ducmV2LnhtbESPzYoCMRCE74LvEFrYm2ZUcGXWKCIIKl4c9wGaSc8P&#10;Jp0hyTqzb78RhD0WVfUVtdkN1ogn+dA6VjCfZSCIS6dbrhV834/TNYgQkTUax6TglwLstuPRBnPt&#10;er7Rs4i1SBAOOSpoYuxyKUPZkMUwcx1x8irnLcYkfS21xz7BrZGLLFtJiy2nhQY7OjRUPoofq0De&#10;i2O/LozP3GVRXc35dKvIKfUxGfZfICIN8T/8bp+0gs/V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XQbB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12</w:t>
                        </w:r>
                      </w:p>
                    </w:txbxContent>
                  </v:textbox>
                </v:rect>
                <v:rect id="Rectangle 98" o:spid="_x0000_s1131" style="position:absolute;left:27241;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SetcIA&#10;AADcAAAADwAAAGRycy9kb3ducmV2LnhtbESPzYoCMRCE74LvEFrYm2YUcWXWKCIIKl4c9wGaSc8P&#10;Jp0hyTqzb78RhD0WVfUVtdkN1ogn+dA6VjCfZSCIS6dbrhV834/TNYgQkTUax6TglwLstuPRBnPt&#10;er7Rs4i1SBAOOSpoYuxyKUPZkMUwcx1x8irnLcYkfS21xz7BrZGLLFtJiy2nhQY7OjRUPoofq0De&#10;i2O/LozP3GVRXc35dKvIKfUxGfZfICIN8T/8bp+0gs/V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tJ61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13</w:t>
                        </w:r>
                      </w:p>
                    </w:txbxContent>
                  </v:textbox>
                </v:rect>
                <v:rect id="Rectangle 99" o:spid="_x0000_s1132" style="position:absolute;left:28956;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7LsIA&#10;AADcAAAADwAAAGRycy9kb3ducmV2LnhtbESPzYoCMRCE74LvEFrYm2YUdGXWKCIIKl4c9wGaSc8P&#10;Jp0hyTqzb78RhD0WVfUVtdkN1ogn+dA6VjCfZSCIS6dbrhV834/TNYgQkTUax6TglwLstuPRBnPt&#10;er7Rs4i1SBAOOSpoYuxyKUPZkMUwcx1x8irnLcYkfS21xz7BrZGLLFtJiy2nhQY7OjRUPoofq0De&#10;i2O/LozP3GVRXc35dKvIKfUxGfZfICIN8T/8bp+0gs/V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Dsu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14</w:t>
                        </w:r>
                      </w:p>
                    </w:txbxContent>
                  </v:textbox>
                </v:rect>
                <v:rect id="Rectangle 100" o:spid="_x0000_s1133" style="position:absolute;left:30765;top:21029;width:1131;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qlWcIA&#10;AADcAAAADwAAAGRycy9kb3ducmV2LnhtbESPzYoCMRCE78K+Q2hhb5rRw6yMRhFBcMWLow/QTHp+&#10;MOkMSdaZfXuzIOyxqKqvqM1utEY8yYfOsYLFPANBXDndcaPgfjvOViBCRNZoHJOCXwqw235MNlho&#10;N/CVnmVsRIJwKFBBG2NfSBmqliyGueuJk1c7bzEm6RupPQ4Jbo1cZlkuLXacFlrs6dBS9Sh/rAJ5&#10;K4/DqjQ+c+dlfTHfp2tNTqnP6bhfg4g0xv/wu33SCr7y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KqVZ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15</w:t>
                        </w:r>
                      </w:p>
                    </w:txbxContent>
                  </v:textbox>
                </v:rect>
                <v:rect id="Rectangle 101" o:spid="_x0000_s1134" style="position:absolute;left:32480;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YAwsEA&#10;AADcAAAADwAAAGRycy9kb3ducmV2LnhtbESPzYoCMRCE7wu+Q2jB25rRg8qsUUQQVLw47gM0k54f&#10;TDpDEp3x7Y2wsMeiqr6i1tvBGvEkH1rHCmbTDARx6XTLtYLf2+F7BSJEZI3GMSl4UYDtZvS1xly7&#10;nq/0LGItEoRDjgqaGLtcylA2ZDFMXUecvMp5izFJX0vtsU9wa+Q8yxbSYstpocGO9g2V9+JhFchb&#10;cehXhfGZO8+rizkdrxU5pSbjYfcDItIQ/8N/7aNWsFws4X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mAMLBAAAA3AAAAA8AAAAAAAAAAAAAAAAAmAIAAGRycy9kb3du&#10;cmV2LnhtbFBLBQYAAAAABAAEAPUAAACGAwAAAAA=&#10;" filled="f" stroked="f">
                  <v:textbox style="mso-fit-shape-to-text:t" inset="0,0,0,0">
                    <w:txbxContent>
                      <w:p w:rsidR="0041099D" w:rsidRDefault="0041099D" w:rsidP="00DA297C">
                        <w:r>
                          <w:rPr>
                            <w:rFonts w:ascii="Arial" w:hAnsi="Arial" w:cs="Arial"/>
                            <w:sz w:val="16"/>
                            <w:szCs w:val="16"/>
                            <w:lang w:val="en-US"/>
                          </w:rPr>
                          <w:t>16</w:t>
                        </w:r>
                      </w:p>
                    </w:txbxContent>
                  </v:textbox>
                </v:rect>
                <v:rect id="Rectangle 102" o:spid="_x0000_s1135" style="position:absolute;left:34194;top:21029;width:1131;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UsMAA&#10;AADcAAAADwAAAGRycy9kb3ducmV2LnhtbERPS2rDMBDdF3IHMYHsGrlZpMa1HEohkIRsYvcAgzX+&#10;UGlkJCV2b18tAl0+3r88LNaIB/kwOlbwts1AELdOj9wr+G6OrzmIEJE1Gsek4JcCHKrVS4mFdjPf&#10;6FHHXqQQDgUqGGKcCilDO5DFsHUTceI65y3GBH0vtcc5hVsjd1m2lxZHTg0DTvQ1UPtT360C2dTH&#10;Oa+Nz9xl113N+XTryCm1WS+fHyAiLfFf/HSftIL3fVqb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UsMAAAADcAAAADwAAAAAAAAAAAAAAAACYAgAAZHJzL2Rvd25y&#10;ZXYueG1sUEsFBgAAAAAEAAQA9QAAAIUDAAAAAA==&#10;" filled="f" stroked="f">
                  <v:textbox style="mso-fit-shape-to-text:t" inset="0,0,0,0">
                    <w:txbxContent>
                      <w:p w:rsidR="0041099D" w:rsidRDefault="0041099D" w:rsidP="00DA297C">
                        <w:r>
                          <w:rPr>
                            <w:rFonts w:ascii="Arial" w:hAnsi="Arial" w:cs="Arial"/>
                            <w:sz w:val="16"/>
                            <w:szCs w:val="16"/>
                            <w:lang w:val="en-US"/>
                          </w:rPr>
                          <w:t>17</w:t>
                        </w:r>
                      </w:p>
                    </w:txbxContent>
                  </v:textbox>
                </v:rect>
                <v:rect id="Rectangle 103" o:spid="_x0000_s1136" style="position:absolute;left:36004;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UxK8IA&#10;AADcAAAADwAAAGRycy9kb3ducmV2LnhtbESPzYoCMRCE7wu+Q2jB25rRg+uORhFBUNmL4z5AM+n5&#10;waQzJNEZ394IC3ssquorar0drBEP8qF1rGA2zUAQl063XCv4vR4+lyBCRNZoHJOCJwXYbkYfa8y1&#10;6/lCjyLWIkE45KigibHLpQxlQxbD1HXEyauctxiT9LXUHvsEt0bOs2whLbacFhrsaN9QeSvuVoG8&#10;Fod+WRifufO8+jGn46Uip9RkPOxWICIN8T/81z5qBV+Lb3ifS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TEr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18</w:t>
                        </w:r>
                      </w:p>
                    </w:txbxContent>
                  </v:textbox>
                </v:rect>
                <v:rect id="Rectangle 104" o:spid="_x0000_s1137" style="position:absolute;left:37719;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YOa8AA&#10;AADcAAAADwAAAGRycy9kb3ducmV2LnhtbERPS2rDMBDdF3IHMYHuGjleNMaNEkogkJRsYvcAgzX+&#10;UGlkJMV2b18tClk+3n9/XKwRE/kwOFaw3WQgiBunB+4UfNfntwJEiMgajWNS8EsBjofVyx5L7Wa+&#10;01TFTqQQDiUq6GMcSylD05PFsHEjceJa5y3GBH0ntcc5hVsj8yx7lxYHTg09jnTqqfmpHlaBrKvz&#10;XFTGZ+4rb2/merm35JR6XS+fHyAiLfEp/ndftILdLs1PZ9IRkI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lYOa8AAAADcAAAADwAAAAAAAAAAAAAAAACYAgAAZHJzL2Rvd25y&#10;ZXYueG1sUEsFBgAAAAAEAAQA9QAAAIUDAAAAAA==&#10;" filled="f" stroked="f">
                  <v:textbox style="mso-fit-shape-to-text:t" inset="0,0,0,0">
                    <w:txbxContent>
                      <w:p w:rsidR="0041099D" w:rsidRDefault="0041099D" w:rsidP="00DA297C">
                        <w:r>
                          <w:rPr>
                            <w:rFonts w:ascii="Arial" w:hAnsi="Arial" w:cs="Arial"/>
                            <w:sz w:val="16"/>
                            <w:szCs w:val="16"/>
                            <w:lang w:val="en-US"/>
                          </w:rPr>
                          <w:t>19</w:t>
                        </w:r>
                      </w:p>
                    </w:txbxContent>
                  </v:textbox>
                </v:rect>
                <v:rect id="Rectangle 105" o:spid="_x0000_s1138" style="position:absolute;left:39528;top:21029;width:1131;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qr8MEA&#10;AADcAAAADwAAAGRycy9kb3ducmV2LnhtbESPzYoCMRCE7wu+Q2jB25rRg8poFBEEV/bi6AM0k54f&#10;TDpDEp3ZtzcLgseiqr6iNrvBGvEkH1rHCmbTDARx6XTLtYLb9fi9AhEiskbjmBT8UYDddvS1wVy7&#10;ni/0LGItEoRDjgqaGLtcylA2ZDFMXUecvMp5izFJX0vtsU9wa+Q8yxbSYstpocGODg2V9+JhFchr&#10;cexXhfGZO8+rX/NzulTklJqMh/0aRKQhfsLv9kkrWC5n8H8mHQG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aq/DBAAAA3AAAAA8AAAAAAAAAAAAAAAAAmAIAAGRycy9kb3du&#10;cmV2LnhtbFBLBQYAAAAABAAEAPUAAACGAwAAAAA=&#10;" filled="f" stroked="f">
                  <v:textbox style="mso-fit-shape-to-text:t" inset="0,0,0,0">
                    <w:txbxContent>
                      <w:p w:rsidR="0041099D" w:rsidRDefault="0041099D" w:rsidP="00DA297C">
                        <w:r>
                          <w:rPr>
                            <w:rFonts w:ascii="Arial" w:hAnsi="Arial" w:cs="Arial"/>
                            <w:sz w:val="16"/>
                            <w:szCs w:val="16"/>
                            <w:lang w:val="en-US"/>
                          </w:rPr>
                          <w:t>20</w:t>
                        </w:r>
                      </w:p>
                    </w:txbxContent>
                  </v:textbox>
                </v:rect>
                <v:rect id="Rectangle 106" o:spid="_x0000_s1139" style="position:absolute;left:41243;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g1h8IA&#10;AADcAAAADwAAAGRycy9kb3ducmV2LnhtbESPzYoCMRCE7wu+Q+gFb2tm56AyGmVZEFT24ugDNJOe&#10;H0w6QxKd8e3NguCxqKqvqPV2tEbcyYfOsYLvWQaCuHK640bB5bz7WoIIEVmjcUwKHhRgu5l8rLHQ&#10;buAT3cvYiAThUKCCNsa+kDJULVkMM9cTJ6923mJM0jdSexwS3BqZZ9lcWuw4LbTY029L1bW8WQXy&#10;XO6GZWl85o55/WcO+1NNTqnp5/izAhFpjO/wq73XChaLHP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yDWH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21</w:t>
                        </w:r>
                      </w:p>
                    </w:txbxContent>
                  </v:textbox>
                </v:rect>
                <v:rect id="Rectangle 107" o:spid="_x0000_s1140" style="position:absolute;left:42957;top:21029;width:1131;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SQHMIA&#10;AADcAAAADwAAAGRycy9kb3ducmV2LnhtbESPzYoCMRCE74LvEFrwphkVVpk1igiCLl4c9wGaSc8P&#10;Jp0hyTqzb28WhD0WVfUVtd0P1ogn+dA6VrCYZyCIS6dbrhV830+zDYgQkTUax6TglwLsd+PRFnPt&#10;er7Rs4i1SBAOOSpoYuxyKUPZkMUwdx1x8irnLcYkfS21xz7BrZHLLPuQFltOCw12dGyofBQ/VoG8&#10;F6d+Uxifua9ldTWX860ip9R0Mhw+QUQa4n/43T5rBev1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hJAc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22</w:t>
                        </w:r>
                      </w:p>
                    </w:txbxContent>
                  </v:textbox>
                </v:rect>
                <v:rect id="Rectangle 108" o:spid="_x0000_s1141" style="position:absolute;left:44767;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IaMIA&#10;AADcAAAADwAAAGRycy9kb3ducmV2LnhtbESPzYoCMRCE74LvEFrwphlFVpk1igiCLl4c9wGaSc8P&#10;Jp0hyTqzb28WhD0WVfUVtd0P1ogn+dA6VrCYZyCIS6dbrhV830+zDYgQkTUax6TglwLsd+PRFnPt&#10;er7Rs4i1SBAOOSpoYuxyKUPZkMUwdx1x8irnLcYkfS21xz7BrZHLLPuQFltOCw12dGyofBQ/VoG8&#10;F6d+Uxifua9ldTWX860ip9R0Mhw+QUQa4n/43T5rBev1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bQho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23</w:t>
                        </w:r>
                      </w:p>
                    </w:txbxContent>
                  </v:textbox>
                </v:rect>
                <v:rect id="Rectangle 109" o:spid="_x0000_s1142" style="position:absolute;left:46482;top:21029;width:1130;height:11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Gt88IA&#10;AADcAAAADwAAAGRycy9kb3ducmV2LnhtbESPzYoCMRCE74LvEFrwphkFV5k1igiCLl4c9wGaSc8P&#10;Jp0hyTqzb28WhD0WVfUVtd0P1ogn+dA6VrCYZyCIS6dbrhV830+zDYgQkTUax6TglwLsd+PRFnPt&#10;er7Rs4i1SBAOOSpoYuxyKUPZkMUwdx1x8irnLcYkfS21xz7BrZHLLPuQFltOCw12dGyofBQ/VoG8&#10;F6d+Uxifua9ldTWX860ip9R0Mhw+QUQa4n/43T5rBev1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Ia3zwgAAANwAAAAPAAAAAAAAAAAAAAAAAJgCAABkcnMvZG93&#10;bnJldi54bWxQSwUGAAAAAAQABAD1AAAAhwMAAAAA&#10;" filled="f" stroked="f">
                  <v:textbox style="mso-fit-shape-to-text:t" inset="0,0,0,0">
                    <w:txbxContent>
                      <w:p w:rsidR="0041099D" w:rsidRDefault="0041099D" w:rsidP="00DA297C">
                        <w:r>
                          <w:rPr>
                            <w:rFonts w:ascii="Arial" w:hAnsi="Arial" w:cs="Arial"/>
                            <w:sz w:val="16"/>
                            <w:szCs w:val="16"/>
                            <w:lang w:val="en-US"/>
                          </w:rPr>
                          <w:t>24</w:t>
                        </w:r>
                      </w:p>
                    </w:txbxContent>
                  </v:textbox>
                </v:rect>
                <v:rect id="Rectangle 110" o:spid="_x0000_s1143" style="position:absolute;left:39528;top:22934;width:9430;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N+88UA&#10;AADcAAAADwAAAGRycy9kb3ducmV2LnhtbESPQWvCQBSE7wX/w/KEXkQ39aAxdRURhB4EMXpob4/s&#10;azaafRuyWxP99d2C0OMwM98wy3Vva3Gj1leOFbxNEhDEhdMVlwrOp904BeEDssbaMSm4k4f1avCy&#10;xEy7jo90y0MpIoR9hgpMCE0mpS8MWfQT1xBH79u1FkOUbSl1i12E21pOk2QmLVYcFww2tDVUXPMf&#10;q2B3+KyIH/I4WqSduxTTr9zsG6Veh/3mHUSgPvyHn+0PrWA+n8HfmXg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c37zxQAAANwAAAAPAAAAAAAAAAAAAAAAAJgCAABkcnMv&#10;ZG93bnJldi54bWxQSwUGAAAAAAQABAD1AAAAigMAAAAA&#10;" filled="f" stroked="f">
                  <v:textbox style="mso-fit-shape-to-text:t" inset="0,0,0,0">
                    <w:txbxContent>
                      <w:p w:rsidR="0041099D" w:rsidRPr="000C00B5" w:rsidRDefault="0041099D" w:rsidP="00DA297C">
                        <w:pPr>
                          <w:rPr>
                            <w:rFonts w:asciiTheme="minorHAnsi" w:hAnsiTheme="minorHAnsi" w:cstheme="minorHAnsi"/>
                            <w:sz w:val="20"/>
                            <w:szCs w:val="20"/>
                          </w:rPr>
                        </w:pPr>
                        <w:r w:rsidRPr="000C00B5">
                          <w:rPr>
                            <w:rFonts w:asciiTheme="minorHAnsi" w:hAnsiTheme="minorHAnsi" w:cstheme="minorHAnsi"/>
                            <w:b/>
                            <w:bCs/>
                            <w:sz w:val="20"/>
                            <w:szCs w:val="20"/>
                            <w:lang w:val="en-US"/>
                          </w:rPr>
                          <w:t>Ekspertų skaičius</w:t>
                        </w:r>
                      </w:p>
                    </w:txbxContent>
                  </v:textbox>
                </v:rect>
                <w10:anchorlock/>
              </v:group>
            </w:pict>
          </mc:Fallback>
        </mc:AlternateContent>
      </w:r>
    </w:p>
    <w:p w:rsidR="00B714EC" w:rsidRPr="007E7425" w:rsidRDefault="00B714EC" w:rsidP="00B714EC">
      <w:pPr>
        <w:tabs>
          <w:tab w:val="left" w:pos="0"/>
          <w:tab w:val="left" w:pos="567"/>
          <w:tab w:val="left" w:pos="1134"/>
        </w:tabs>
        <w:spacing w:line="360" w:lineRule="auto"/>
        <w:ind w:firstLine="1276"/>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adaptuota pagal Rudzkienė, 2008, p.75</w:t>
      </w:r>
    </w:p>
    <w:p w:rsidR="007E7425" w:rsidRDefault="00835883" w:rsidP="00924B1F">
      <w:pPr>
        <w:pStyle w:val="Paveikslai"/>
      </w:pPr>
      <w:bookmarkStart w:id="18" w:name="_Toc343459675"/>
      <w:r>
        <w:t xml:space="preserve">5 </w:t>
      </w:r>
      <w:r w:rsidR="007603C0">
        <w:t>pav</w:t>
      </w:r>
      <w:r>
        <w:t>.</w:t>
      </w:r>
      <w:r w:rsidR="007E7425">
        <w:t xml:space="preserve"> </w:t>
      </w:r>
      <w:r w:rsidR="007E7425" w:rsidRPr="007E7425">
        <w:t>Ekspertų skaičiaus įtaka vertinimo patikimumui</w:t>
      </w:r>
      <w:bookmarkEnd w:id="18"/>
    </w:p>
    <w:p w:rsidR="009B4AC0" w:rsidRPr="007E7425" w:rsidRDefault="009B4AC0" w:rsidP="009B4AC0">
      <w:pPr>
        <w:tabs>
          <w:tab w:val="left" w:pos="0"/>
          <w:tab w:val="left" w:pos="567"/>
          <w:tab w:val="left" w:pos="1134"/>
        </w:tabs>
        <w:spacing w:line="360" w:lineRule="auto"/>
        <w:jc w:val="both"/>
        <w:rPr>
          <w:rFonts w:ascii="Times New Roman" w:hAnsi="Times New Roman" w:cs="Times New Roman"/>
          <w:b/>
        </w:rPr>
      </w:pPr>
    </w:p>
    <w:p w:rsidR="009B4AC0" w:rsidRDefault="00E47F94" w:rsidP="009B4AC0">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940D39">
        <w:rPr>
          <w:rFonts w:ascii="Times New Roman" w:hAnsi="Times New Roman" w:cs="Times New Roman"/>
        </w:rPr>
        <w:t xml:space="preserve">Kaip iš pateiktos diagramos matome, apklausus daugiau nei 8 – 10 ekspertų, ekspertinio tyrimo patikimumas kinta minimaliai. Todėl </w:t>
      </w:r>
      <w:r w:rsidR="00AA6BED">
        <w:rPr>
          <w:rFonts w:ascii="Times New Roman" w:hAnsi="Times New Roman" w:cs="Times New Roman"/>
        </w:rPr>
        <w:t>daugelis mokslininkų teigia</w:t>
      </w:r>
      <w:r w:rsidR="009B4AC0" w:rsidRPr="009B4AC0">
        <w:rPr>
          <w:rFonts w:ascii="Times New Roman" w:hAnsi="Times New Roman" w:cs="Times New Roman"/>
        </w:rPr>
        <w:t xml:space="preserve">, </w:t>
      </w:r>
      <w:r w:rsidR="00AA6BED">
        <w:rPr>
          <w:rFonts w:ascii="Times New Roman" w:hAnsi="Times New Roman" w:cs="Times New Roman"/>
        </w:rPr>
        <w:t xml:space="preserve">kad būtent </w:t>
      </w:r>
      <w:r w:rsidR="009B4AC0" w:rsidRPr="009B4AC0">
        <w:rPr>
          <w:rFonts w:ascii="Times New Roman" w:hAnsi="Times New Roman" w:cs="Times New Roman"/>
        </w:rPr>
        <w:t xml:space="preserve">optimalus grupės </w:t>
      </w:r>
      <w:r w:rsidR="00AA6BED">
        <w:rPr>
          <w:rFonts w:ascii="Times New Roman" w:hAnsi="Times New Roman" w:cs="Times New Roman"/>
        </w:rPr>
        <w:t>dydis siekia</w:t>
      </w:r>
      <w:r w:rsidR="009B4AC0">
        <w:rPr>
          <w:rFonts w:ascii="Times New Roman" w:hAnsi="Times New Roman" w:cs="Times New Roman"/>
        </w:rPr>
        <w:t xml:space="preserve"> nuo 8 iki 10 ekspertų. </w:t>
      </w:r>
      <w:r w:rsidR="00AA6BED">
        <w:rPr>
          <w:rFonts w:ascii="Times New Roman" w:hAnsi="Times New Roman" w:cs="Times New Roman"/>
        </w:rPr>
        <w:t>Dažnai įvardijama, kad l</w:t>
      </w:r>
      <w:r w:rsidR="009B4AC0" w:rsidRPr="009B4AC0">
        <w:rPr>
          <w:rFonts w:ascii="Times New Roman" w:hAnsi="Times New Roman" w:cs="Times New Roman"/>
        </w:rPr>
        <w:t>abai didelis ekspertų skaičius apsunki</w:t>
      </w:r>
      <w:r w:rsidR="00AA6BED">
        <w:rPr>
          <w:rFonts w:ascii="Times New Roman" w:hAnsi="Times New Roman" w:cs="Times New Roman"/>
        </w:rPr>
        <w:t xml:space="preserve">na bendros nuomonės suformavimą (Rudzkienė, 2008). Šiame darbe prie konkretaus ekspertų skaičiaus bus stengiamasi neprisirišti. Kaip ir minėta anketos </w:t>
      </w:r>
      <w:r w:rsidR="00EC61F1">
        <w:rPr>
          <w:rFonts w:ascii="Times New Roman" w:hAnsi="Times New Roman" w:cs="Times New Roman"/>
        </w:rPr>
        <w:t xml:space="preserve">bus </w:t>
      </w:r>
      <w:r w:rsidR="00AA6BED">
        <w:rPr>
          <w:rFonts w:ascii="Times New Roman" w:hAnsi="Times New Roman" w:cs="Times New Roman"/>
        </w:rPr>
        <w:t xml:space="preserve">pateikiamos lizingo bendrovių atstovams, siekiamas grįžtamas ryšys ne mažiau nei 8 ekspertų vertinimai. Pagrindinis dėmesys bus skirtas skirtingų lizingo bendrovių anketoms vertinti. Kadangi lizingo bendrovių Lietuvos rinkoje nėra labai daug, taigi labai didelio anketų kiekio nesitikima. </w:t>
      </w:r>
    </w:p>
    <w:p w:rsidR="00BB1E60" w:rsidRDefault="00AA6BED" w:rsidP="009B4AC0">
      <w:pPr>
        <w:tabs>
          <w:tab w:val="left" w:pos="0"/>
          <w:tab w:val="left" w:pos="567"/>
          <w:tab w:val="left" w:pos="1134"/>
        </w:tabs>
        <w:spacing w:line="360" w:lineRule="auto"/>
        <w:jc w:val="both"/>
        <w:rPr>
          <w:rFonts w:ascii="Times New Roman" w:eastAsia="Times New Roman" w:hAnsi="Times New Roman" w:cs="Times New Roman"/>
          <w:color w:val="auto"/>
          <w:lang w:eastAsia="en-US"/>
        </w:rPr>
      </w:pPr>
      <w:r>
        <w:rPr>
          <w:rFonts w:ascii="Times New Roman" w:hAnsi="Times New Roman" w:cs="Times New Roman"/>
        </w:rPr>
        <w:tab/>
      </w:r>
      <w:r w:rsidR="005E1606">
        <w:rPr>
          <w:rFonts w:ascii="Times New Roman" w:hAnsi="Times New Roman" w:cs="Times New Roman"/>
        </w:rPr>
        <w:t xml:space="preserve">Taigi atlikus visą pasiruošimą, </w:t>
      </w:r>
      <w:r w:rsidR="005E1606">
        <w:rPr>
          <w:rFonts w:ascii="Times New Roman" w:eastAsia="Times New Roman" w:hAnsi="Times New Roman" w:cs="Times New Roman"/>
          <w:color w:val="auto"/>
          <w:lang w:eastAsia="en-US"/>
        </w:rPr>
        <w:t xml:space="preserve">anketos bus pateikiamos jas siunčiant </w:t>
      </w:r>
      <w:r w:rsidR="00886C94">
        <w:rPr>
          <w:rFonts w:ascii="Times New Roman" w:eastAsia="Times New Roman" w:hAnsi="Times New Roman" w:cs="Times New Roman"/>
          <w:color w:val="auto"/>
          <w:lang w:eastAsia="en-US"/>
        </w:rPr>
        <w:t xml:space="preserve">tiesiogiai ekspertui </w:t>
      </w:r>
      <w:r w:rsidR="005E1606">
        <w:rPr>
          <w:rFonts w:ascii="Times New Roman" w:eastAsia="Times New Roman" w:hAnsi="Times New Roman" w:cs="Times New Roman"/>
          <w:color w:val="auto"/>
          <w:lang w:eastAsia="en-US"/>
        </w:rPr>
        <w:t xml:space="preserve">elektroniniu paštu arba </w:t>
      </w:r>
      <w:r w:rsidR="00886C94">
        <w:rPr>
          <w:rFonts w:ascii="Times New Roman" w:eastAsia="Times New Roman" w:hAnsi="Times New Roman" w:cs="Times New Roman"/>
          <w:color w:val="auto"/>
          <w:lang w:eastAsia="en-US"/>
        </w:rPr>
        <w:t>bendru lizingo bendrovės elektroniniu paštu su prašymu anketą pateikti ekspertui</w:t>
      </w:r>
      <w:r w:rsidR="005E1606">
        <w:rPr>
          <w:rFonts w:ascii="Times New Roman" w:eastAsia="Times New Roman" w:hAnsi="Times New Roman" w:cs="Times New Roman"/>
          <w:color w:val="auto"/>
          <w:lang w:eastAsia="en-US"/>
        </w:rPr>
        <w:t>. Gavus visas anketas, bus analizuojami gauti ekspertinio vertinimo duomenys, pašalinamos klaidos iš prieštaravimai. Kaip jau minėta, pirma bus atrenkamos anketos, kurios atitinka ekspertams keliamus reikalavimus</w:t>
      </w:r>
      <w:r w:rsidR="00F10DDE">
        <w:rPr>
          <w:rFonts w:ascii="Times New Roman" w:eastAsia="Times New Roman" w:hAnsi="Times New Roman" w:cs="Times New Roman"/>
          <w:color w:val="auto"/>
          <w:lang w:eastAsia="en-US"/>
        </w:rPr>
        <w:t xml:space="preserve">, aprašytus pastraipoje „ekspertų atranka“. Toliau bus tiriamas ekspertų nuomonių suderinamumas. Ekspertinis vertinimas būtent ir remiasi prielaida, kad sprendimas galimas tik esant ekspertų nuomonių suderinamumui. Suderinamumo įvertinimui skaičiuojami koreliacijos koeficientai. Kai ekspertų yra tik du, skaičiuojamas ranginės koreliacijos koeficientas, kai daugiau negu du, Kendall konkordancijos </w:t>
      </w:r>
      <w:r w:rsidR="00A84F2E">
        <w:rPr>
          <w:rFonts w:ascii="Times New Roman" w:eastAsia="Times New Roman" w:hAnsi="Times New Roman" w:cs="Times New Roman"/>
          <w:color w:val="auto"/>
          <w:lang w:eastAsia="en-US"/>
        </w:rPr>
        <w:t>koeficientas (Rudzkienė, 2008).</w:t>
      </w:r>
    </w:p>
    <w:p w:rsidR="00A024E8" w:rsidRDefault="00BB1E60" w:rsidP="009B4AC0">
      <w:pPr>
        <w:tabs>
          <w:tab w:val="left" w:pos="0"/>
          <w:tab w:val="left" w:pos="567"/>
          <w:tab w:val="left" w:pos="1134"/>
        </w:tabs>
        <w:spacing w:line="360" w:lineRule="auto"/>
        <w:jc w:val="both"/>
        <w:rPr>
          <w:rFonts w:ascii="Times New Roman" w:eastAsia="Times New Roman" w:hAnsi="Times New Roman" w:cs="Times New Roman"/>
          <w:color w:val="auto"/>
          <w:lang w:eastAsia="en-US"/>
        </w:rPr>
      </w:pPr>
      <w:r>
        <w:rPr>
          <w:rFonts w:ascii="Times New Roman" w:eastAsia="Times New Roman" w:hAnsi="Times New Roman" w:cs="Times New Roman"/>
          <w:color w:val="auto"/>
          <w:lang w:eastAsia="en-US"/>
        </w:rPr>
        <w:tab/>
      </w:r>
      <w:r w:rsidR="00A024E8">
        <w:rPr>
          <w:rFonts w:ascii="Times New Roman" w:eastAsia="Times New Roman" w:hAnsi="Times New Roman" w:cs="Times New Roman"/>
          <w:color w:val="auto"/>
          <w:lang w:eastAsia="en-US"/>
        </w:rPr>
        <w:t>Suderinamumo įvertinimas</w:t>
      </w:r>
      <w:r w:rsidR="008E5A24">
        <w:rPr>
          <w:rFonts w:ascii="Times New Roman" w:eastAsia="Times New Roman" w:hAnsi="Times New Roman" w:cs="Times New Roman"/>
          <w:color w:val="auto"/>
          <w:lang w:eastAsia="en-US"/>
        </w:rPr>
        <w:t xml:space="preserve"> </w:t>
      </w:r>
      <w:r w:rsidR="00A024E8">
        <w:rPr>
          <w:rFonts w:ascii="Times New Roman" w:eastAsia="Times New Roman" w:hAnsi="Times New Roman" w:cs="Times New Roman"/>
          <w:color w:val="auto"/>
          <w:lang w:eastAsia="en-US"/>
        </w:rPr>
        <w:t>pradedama</w:t>
      </w:r>
      <w:r w:rsidR="008E5A24">
        <w:rPr>
          <w:rFonts w:ascii="Times New Roman" w:eastAsia="Times New Roman" w:hAnsi="Times New Roman" w:cs="Times New Roman"/>
          <w:color w:val="auto"/>
          <w:lang w:eastAsia="en-US"/>
        </w:rPr>
        <w:t xml:space="preserve">s </w:t>
      </w:r>
      <w:r w:rsidR="00A024E8">
        <w:rPr>
          <w:rFonts w:ascii="Times New Roman" w:eastAsia="Times New Roman" w:hAnsi="Times New Roman" w:cs="Times New Roman"/>
          <w:color w:val="auto"/>
          <w:lang w:eastAsia="en-US"/>
        </w:rPr>
        <w:t>iškeliant dvi hipotezes:</w:t>
      </w:r>
    </w:p>
    <w:p w:rsidR="00255473" w:rsidRPr="007C20B3" w:rsidRDefault="00255473" w:rsidP="009B4AC0">
      <w:pPr>
        <w:tabs>
          <w:tab w:val="left" w:pos="0"/>
          <w:tab w:val="left" w:pos="567"/>
          <w:tab w:val="left" w:pos="1134"/>
        </w:tabs>
        <w:spacing w:line="360" w:lineRule="auto"/>
        <w:jc w:val="both"/>
        <w:rPr>
          <w:rFonts w:ascii="Times New Roman" w:eastAsia="Times New Roman" w:hAnsi="Times New Roman" w:cs="Times New Roman"/>
          <w:color w:val="auto"/>
          <w:sz w:val="16"/>
          <w:szCs w:val="16"/>
          <w:lang w:eastAsia="en-US"/>
        </w:rPr>
      </w:pPr>
    </w:p>
    <w:p w:rsidR="00A024E8" w:rsidRPr="00A84F2E" w:rsidRDefault="00A024E8" w:rsidP="00A024E8">
      <w:pPr>
        <w:tabs>
          <w:tab w:val="left" w:pos="0"/>
          <w:tab w:val="left" w:pos="567"/>
          <w:tab w:val="left" w:pos="1134"/>
        </w:tabs>
        <w:spacing w:line="360" w:lineRule="auto"/>
        <w:jc w:val="both"/>
        <w:rPr>
          <w:rFonts w:ascii="Times New Roman" w:hAnsi="Times New Roman" w:cs="Times New Roman"/>
          <w:i/>
        </w:rPr>
      </w:pPr>
      <w:r>
        <w:rPr>
          <w:rFonts w:ascii="Times New Roman" w:hAnsi="Times New Roman" w:cs="Times New Roman"/>
          <w:i/>
        </w:rPr>
        <w:tab/>
      </w:r>
      <w:r w:rsidRPr="00A84F2E">
        <w:rPr>
          <w:rFonts w:ascii="Times New Roman" w:hAnsi="Times New Roman" w:cs="Times New Roman"/>
          <w:i/>
        </w:rPr>
        <w:t>H</w:t>
      </w:r>
      <w:r w:rsidRPr="00A84F2E">
        <w:rPr>
          <w:rFonts w:ascii="Times New Roman" w:hAnsi="Times New Roman" w:cs="Times New Roman"/>
          <w:i/>
          <w:vertAlign w:val="subscript"/>
        </w:rPr>
        <w:t>0</w:t>
      </w:r>
      <w:r w:rsidRPr="00A84F2E">
        <w:rPr>
          <w:rFonts w:ascii="Times New Roman" w:hAnsi="Times New Roman" w:cs="Times New Roman"/>
          <w:i/>
        </w:rPr>
        <w:t>: ekspertų vertinimai prieštaringi (t.y. konkordacijos koeficientas lygus 0);</w:t>
      </w:r>
    </w:p>
    <w:p w:rsidR="00A024E8" w:rsidRPr="00A84F2E" w:rsidRDefault="00A024E8" w:rsidP="00A024E8">
      <w:pPr>
        <w:tabs>
          <w:tab w:val="left" w:pos="0"/>
          <w:tab w:val="left" w:pos="567"/>
          <w:tab w:val="left" w:pos="1134"/>
        </w:tabs>
        <w:spacing w:line="360" w:lineRule="auto"/>
        <w:jc w:val="both"/>
        <w:rPr>
          <w:rFonts w:ascii="Times New Roman" w:hAnsi="Times New Roman" w:cs="Times New Roman"/>
          <w:i/>
        </w:rPr>
      </w:pPr>
      <w:r>
        <w:rPr>
          <w:rFonts w:ascii="Times New Roman" w:hAnsi="Times New Roman" w:cs="Times New Roman"/>
          <w:i/>
        </w:rPr>
        <w:tab/>
      </w:r>
      <w:r w:rsidRPr="00A84F2E">
        <w:rPr>
          <w:rFonts w:ascii="Times New Roman" w:hAnsi="Times New Roman" w:cs="Times New Roman"/>
          <w:i/>
        </w:rPr>
        <w:t>H</w:t>
      </w:r>
      <w:r w:rsidRPr="00A84F2E">
        <w:rPr>
          <w:rFonts w:ascii="Times New Roman" w:hAnsi="Times New Roman" w:cs="Times New Roman"/>
          <w:i/>
          <w:vertAlign w:val="subscript"/>
        </w:rPr>
        <w:t>1</w:t>
      </w:r>
      <w:r w:rsidRPr="00A84F2E">
        <w:rPr>
          <w:rFonts w:ascii="Times New Roman" w:hAnsi="Times New Roman" w:cs="Times New Roman"/>
          <w:i/>
        </w:rPr>
        <w:t>: ekspertų vertinimai panašūs (t.y. konkordacijos koeficientas nelygus 0).</w:t>
      </w:r>
    </w:p>
    <w:p w:rsidR="00AA6BED" w:rsidRDefault="00A024E8" w:rsidP="009B4AC0">
      <w:pPr>
        <w:tabs>
          <w:tab w:val="left" w:pos="0"/>
          <w:tab w:val="left" w:pos="567"/>
          <w:tab w:val="left" w:pos="1134"/>
        </w:tabs>
        <w:spacing w:line="360" w:lineRule="auto"/>
        <w:jc w:val="both"/>
        <w:rPr>
          <w:rFonts w:ascii="Times New Roman" w:eastAsia="Times New Roman" w:hAnsi="Times New Roman" w:cs="Times New Roman"/>
          <w:color w:val="auto"/>
          <w:lang w:eastAsia="en-US"/>
        </w:rPr>
      </w:pPr>
      <w:r>
        <w:rPr>
          <w:rFonts w:ascii="Times New Roman" w:eastAsia="Times New Roman" w:hAnsi="Times New Roman" w:cs="Times New Roman"/>
          <w:color w:val="auto"/>
          <w:lang w:eastAsia="en-US"/>
        </w:rPr>
        <w:lastRenderedPageBreak/>
        <w:tab/>
        <w:t>Tada sudaroma</w:t>
      </w:r>
      <w:r w:rsidR="008E5A24">
        <w:rPr>
          <w:rFonts w:ascii="Times New Roman" w:eastAsia="Times New Roman" w:hAnsi="Times New Roman" w:cs="Times New Roman"/>
          <w:color w:val="auto"/>
          <w:lang w:eastAsia="en-US"/>
        </w:rPr>
        <w:t xml:space="preserve"> </w:t>
      </w:r>
      <w:r>
        <w:rPr>
          <w:rFonts w:ascii="Times New Roman" w:eastAsia="Times New Roman" w:hAnsi="Times New Roman" w:cs="Times New Roman"/>
          <w:color w:val="auto"/>
          <w:lang w:eastAsia="en-US"/>
        </w:rPr>
        <w:t>lentelė</w:t>
      </w:r>
      <w:r w:rsidR="008E5A24">
        <w:rPr>
          <w:rFonts w:ascii="Times New Roman" w:eastAsia="Times New Roman" w:hAnsi="Times New Roman" w:cs="Times New Roman"/>
          <w:color w:val="auto"/>
          <w:lang w:eastAsia="en-US"/>
        </w:rPr>
        <w:t xml:space="preserve">, kurioje suranguojamos alternatyvos pagal ekspertų išsakytą nuomonę. </w:t>
      </w:r>
      <w:r w:rsidR="00BB1E60">
        <w:rPr>
          <w:rFonts w:ascii="Times New Roman" w:eastAsia="Times New Roman" w:hAnsi="Times New Roman" w:cs="Times New Roman"/>
          <w:color w:val="auto"/>
          <w:lang w:eastAsia="en-US"/>
        </w:rPr>
        <w:t>Darbe n</w:t>
      </w:r>
      <w:r w:rsidR="008E5A24">
        <w:rPr>
          <w:rFonts w:ascii="Times New Roman" w:eastAsia="Times New Roman" w:hAnsi="Times New Roman" w:cs="Times New Roman"/>
          <w:color w:val="auto"/>
          <w:lang w:eastAsia="en-US"/>
        </w:rPr>
        <w:t xml:space="preserve">orint atlikti rangavimą remiamasi </w:t>
      </w:r>
      <w:r w:rsidR="00811DC3">
        <w:rPr>
          <w:rFonts w:ascii="Times New Roman" w:eastAsia="Times New Roman" w:hAnsi="Times New Roman" w:cs="Times New Roman"/>
          <w:color w:val="auto"/>
          <w:lang w:eastAsia="en-US"/>
        </w:rPr>
        <w:t>antru</w:t>
      </w:r>
      <w:r w:rsidR="008E5A24">
        <w:rPr>
          <w:rFonts w:ascii="Times New Roman" w:eastAsia="Times New Roman" w:hAnsi="Times New Roman" w:cs="Times New Roman"/>
          <w:color w:val="auto"/>
          <w:lang w:eastAsia="en-US"/>
        </w:rPr>
        <w:t xml:space="preserve"> ar </w:t>
      </w:r>
      <w:r w:rsidR="00811DC3">
        <w:rPr>
          <w:rFonts w:ascii="Times New Roman" w:eastAsia="Times New Roman" w:hAnsi="Times New Roman" w:cs="Times New Roman"/>
          <w:color w:val="auto"/>
          <w:lang w:eastAsia="en-US"/>
        </w:rPr>
        <w:t>trečiu</w:t>
      </w:r>
      <w:r w:rsidR="008E5A24">
        <w:rPr>
          <w:rFonts w:ascii="Times New Roman" w:eastAsia="Times New Roman" w:hAnsi="Times New Roman" w:cs="Times New Roman"/>
          <w:color w:val="auto"/>
          <w:lang w:eastAsia="en-US"/>
        </w:rPr>
        <w:t xml:space="preserve"> klausimu, priklausomai nuo </w:t>
      </w:r>
      <w:r w:rsidR="00811DC3">
        <w:rPr>
          <w:rFonts w:ascii="Times New Roman" w:eastAsia="Times New Roman" w:hAnsi="Times New Roman" w:cs="Times New Roman"/>
          <w:color w:val="auto"/>
          <w:lang w:eastAsia="en-US"/>
        </w:rPr>
        <w:t>pirmo</w:t>
      </w:r>
      <w:r w:rsidR="008E5A24">
        <w:rPr>
          <w:rFonts w:ascii="Times New Roman" w:eastAsia="Times New Roman" w:hAnsi="Times New Roman" w:cs="Times New Roman"/>
          <w:color w:val="auto"/>
          <w:lang w:eastAsia="en-US"/>
        </w:rPr>
        <w:t xml:space="preserve"> klausimo rezultatų. Sudarius lentelę, skaičiuojami rangų sumų vidurkiai</w:t>
      </w:r>
      <w:r w:rsidR="002B53B0">
        <w:rPr>
          <w:rFonts w:ascii="Times New Roman" w:eastAsia="Times New Roman" w:hAnsi="Times New Roman" w:cs="Times New Roman"/>
          <w:color w:val="auto"/>
          <w:lang w:eastAsia="en-US"/>
        </w:rPr>
        <w:t xml:space="preserve"> žr. (3</w:t>
      </w:r>
      <w:r w:rsidR="00000367">
        <w:rPr>
          <w:rFonts w:ascii="Times New Roman" w:eastAsia="Times New Roman" w:hAnsi="Times New Roman" w:cs="Times New Roman"/>
          <w:color w:val="auto"/>
          <w:lang w:eastAsia="en-US"/>
        </w:rPr>
        <w:t>) formulę</w:t>
      </w:r>
      <w:r w:rsidR="00A84F2E">
        <w:rPr>
          <w:rFonts w:ascii="Times New Roman" w:eastAsia="Times New Roman" w:hAnsi="Times New Roman" w:cs="Times New Roman"/>
          <w:color w:val="auto"/>
          <w:lang w:eastAsia="en-US"/>
        </w:rPr>
        <w:t xml:space="preserve"> (Rudzkienė, 2008, p.77)</w:t>
      </w:r>
      <w:r w:rsidR="008E5A24">
        <w:rPr>
          <w:rFonts w:ascii="Times New Roman" w:eastAsia="Times New Roman" w:hAnsi="Times New Roman" w:cs="Times New Roman"/>
          <w:color w:val="auto"/>
          <w:lang w:eastAsia="en-US"/>
        </w:rPr>
        <w:t>:</w:t>
      </w:r>
    </w:p>
    <w:p w:rsidR="0062704A" w:rsidRPr="007C20B3" w:rsidRDefault="0062704A" w:rsidP="009B4AC0">
      <w:pPr>
        <w:tabs>
          <w:tab w:val="left" w:pos="0"/>
          <w:tab w:val="left" w:pos="567"/>
          <w:tab w:val="left" w:pos="1134"/>
        </w:tabs>
        <w:spacing w:line="360" w:lineRule="auto"/>
        <w:jc w:val="both"/>
        <w:rPr>
          <w:rFonts w:ascii="Times New Roman" w:eastAsia="Times New Roman" w:hAnsi="Times New Roman" w:cs="Times New Roman"/>
          <w:color w:val="auto"/>
          <w:sz w:val="16"/>
          <w:szCs w:val="16"/>
          <w:lang w:eastAsia="en-US"/>
        </w:rPr>
      </w:pPr>
    </w:p>
    <w:p w:rsidR="008E5A24" w:rsidRPr="008E5A24" w:rsidRDefault="008E5A24" w:rsidP="008E5A24">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Pr="008E5A24">
        <w:rPr>
          <w:rFonts w:ascii="Times New Roman" w:hAnsi="Times New Roman" w:cs="Times New Roman"/>
        </w:rPr>
        <w:t xml:space="preserve">a = </w:t>
      </w:r>
      <w:smartTag w:uri="schemas-tilde-lv/tildestengine" w:element="metric2">
        <w:smartTagPr>
          <w:attr w:name="metric_text" w:val="m"/>
          <w:attr w:name="metric_value" w:val="0.5"/>
        </w:smartTagPr>
        <w:r w:rsidRPr="008E5A24">
          <w:rPr>
            <w:rFonts w:ascii="Times New Roman" w:hAnsi="Times New Roman" w:cs="Times New Roman"/>
          </w:rPr>
          <w:t>0,5m</w:t>
        </w:r>
      </w:smartTag>
      <w:r w:rsidRPr="008E5A24">
        <w:rPr>
          <w:rFonts w:ascii="Times New Roman" w:hAnsi="Times New Roman" w:cs="Times New Roman"/>
        </w:rPr>
        <w:t>(k+1);</w:t>
      </w:r>
      <w:r w:rsidR="00000367">
        <w:rPr>
          <w:rFonts w:ascii="Times New Roman" w:hAnsi="Times New Roman" w:cs="Times New Roman"/>
        </w:rPr>
        <w:tab/>
      </w:r>
      <w:r w:rsidR="002B53B0">
        <w:rPr>
          <w:rFonts w:ascii="Times New Roman" w:hAnsi="Times New Roman" w:cs="Times New Roman"/>
        </w:rPr>
        <w:t>(3</w:t>
      </w:r>
      <w:r w:rsidR="00000367">
        <w:rPr>
          <w:rFonts w:ascii="Times New Roman" w:hAnsi="Times New Roman" w:cs="Times New Roman"/>
        </w:rPr>
        <w:t>)</w:t>
      </w:r>
    </w:p>
    <w:p w:rsidR="008E5A24" w:rsidRPr="008E5A24" w:rsidRDefault="008E5A24" w:rsidP="008E5A24">
      <w:pPr>
        <w:tabs>
          <w:tab w:val="left" w:pos="0"/>
          <w:tab w:val="left" w:pos="567"/>
          <w:tab w:val="left" w:pos="1134"/>
        </w:tabs>
        <w:spacing w:line="360" w:lineRule="auto"/>
        <w:jc w:val="both"/>
        <w:rPr>
          <w:rFonts w:ascii="Times New Roman" w:hAnsi="Times New Roman" w:cs="Times New Roman"/>
        </w:rPr>
      </w:pPr>
      <w:r w:rsidRPr="008E5A24">
        <w:rPr>
          <w:rFonts w:ascii="Times New Roman" w:hAnsi="Times New Roman" w:cs="Times New Roman"/>
        </w:rPr>
        <w:tab/>
        <w:t xml:space="preserve">Čia: </w:t>
      </w:r>
      <w:r w:rsidRPr="008E5A24">
        <w:rPr>
          <w:rFonts w:ascii="Times New Roman" w:hAnsi="Times New Roman" w:cs="Times New Roman"/>
        </w:rPr>
        <w:tab/>
        <w:t>a – rangų sumų vidurkis;</w:t>
      </w:r>
    </w:p>
    <w:p w:rsidR="008E5A24" w:rsidRPr="008E5A24" w:rsidRDefault="008E5A24" w:rsidP="008E5A24">
      <w:pPr>
        <w:tabs>
          <w:tab w:val="left" w:pos="0"/>
          <w:tab w:val="left" w:pos="567"/>
          <w:tab w:val="left" w:pos="1134"/>
        </w:tabs>
        <w:spacing w:line="360" w:lineRule="auto"/>
        <w:jc w:val="both"/>
        <w:rPr>
          <w:rFonts w:ascii="Times New Roman" w:hAnsi="Times New Roman" w:cs="Times New Roman"/>
        </w:rPr>
      </w:pPr>
      <w:r w:rsidRPr="008E5A24">
        <w:rPr>
          <w:rFonts w:ascii="Times New Roman" w:hAnsi="Times New Roman" w:cs="Times New Roman"/>
        </w:rPr>
        <w:tab/>
      </w:r>
      <w:r w:rsidRPr="008E5A24">
        <w:rPr>
          <w:rFonts w:ascii="Times New Roman" w:hAnsi="Times New Roman" w:cs="Times New Roman"/>
        </w:rPr>
        <w:tab/>
        <w:t>m – ekspertų skaičius;</w:t>
      </w:r>
    </w:p>
    <w:p w:rsidR="008E5A24" w:rsidRDefault="008E5A24" w:rsidP="008E5A24">
      <w:pPr>
        <w:tabs>
          <w:tab w:val="left" w:pos="0"/>
          <w:tab w:val="left" w:pos="567"/>
          <w:tab w:val="left" w:pos="1134"/>
        </w:tabs>
        <w:spacing w:line="360" w:lineRule="auto"/>
        <w:jc w:val="both"/>
        <w:rPr>
          <w:rFonts w:ascii="Times New Roman" w:hAnsi="Times New Roman" w:cs="Times New Roman"/>
        </w:rPr>
      </w:pPr>
      <w:r w:rsidRPr="008E5A24">
        <w:rPr>
          <w:rFonts w:ascii="Times New Roman" w:hAnsi="Times New Roman" w:cs="Times New Roman"/>
        </w:rPr>
        <w:tab/>
      </w:r>
      <w:r w:rsidRPr="008E5A24">
        <w:rPr>
          <w:rFonts w:ascii="Times New Roman" w:hAnsi="Times New Roman" w:cs="Times New Roman"/>
        </w:rPr>
        <w:tab/>
        <w:t>k – alternatyvų skaičius.</w:t>
      </w:r>
    </w:p>
    <w:p w:rsidR="001B74D9" w:rsidRPr="007C20B3" w:rsidRDefault="001B74D9" w:rsidP="008E5A24">
      <w:pPr>
        <w:tabs>
          <w:tab w:val="left" w:pos="0"/>
          <w:tab w:val="left" w:pos="567"/>
          <w:tab w:val="left" w:pos="1134"/>
        </w:tabs>
        <w:spacing w:line="360" w:lineRule="auto"/>
        <w:jc w:val="both"/>
        <w:rPr>
          <w:rFonts w:ascii="Times New Roman" w:hAnsi="Times New Roman" w:cs="Times New Roman"/>
          <w:sz w:val="16"/>
          <w:szCs w:val="16"/>
        </w:rPr>
      </w:pPr>
    </w:p>
    <w:p w:rsidR="00B22365" w:rsidRDefault="001B74D9" w:rsidP="00CA686C">
      <w:pPr>
        <w:pStyle w:val="ListParagraph"/>
        <w:tabs>
          <w:tab w:val="left" w:pos="0"/>
          <w:tab w:val="left" w:pos="1134"/>
        </w:tabs>
        <w:spacing w:line="360" w:lineRule="auto"/>
        <w:ind w:left="0" w:firstLine="567"/>
        <w:jc w:val="both"/>
        <w:rPr>
          <w:rFonts w:ascii="Times New Roman" w:hAnsi="Times New Roman" w:cs="Times New Roman"/>
        </w:rPr>
      </w:pPr>
      <w:r>
        <w:rPr>
          <w:rFonts w:ascii="Times New Roman" w:hAnsi="Times New Roman" w:cs="Times New Roman"/>
        </w:rPr>
        <w:t>Bei nuokrypio kvadratai, pagal žemiau pateiktą formulę</w:t>
      </w:r>
      <w:r w:rsidR="00A84F2E">
        <w:rPr>
          <w:rFonts w:ascii="Times New Roman" w:hAnsi="Times New Roman" w:cs="Times New Roman"/>
        </w:rPr>
        <w:t xml:space="preserve"> (Rudzkienė, 2008, p.77)</w:t>
      </w:r>
      <w:r>
        <w:rPr>
          <w:rFonts w:ascii="Times New Roman" w:hAnsi="Times New Roman" w:cs="Times New Roman"/>
        </w:rPr>
        <w:t>:</w:t>
      </w:r>
    </w:p>
    <w:p w:rsidR="001B74D9" w:rsidRPr="007C20B3" w:rsidRDefault="001B74D9" w:rsidP="00CA686C">
      <w:pPr>
        <w:pStyle w:val="ListParagraph"/>
        <w:tabs>
          <w:tab w:val="left" w:pos="0"/>
          <w:tab w:val="left" w:pos="1134"/>
        </w:tabs>
        <w:spacing w:line="360" w:lineRule="auto"/>
        <w:ind w:left="0" w:firstLine="567"/>
        <w:jc w:val="both"/>
        <w:rPr>
          <w:rFonts w:ascii="Times New Roman" w:hAnsi="Times New Roman" w:cs="Times New Roman"/>
          <w:sz w:val="16"/>
          <w:szCs w:val="16"/>
        </w:rPr>
      </w:pPr>
    </w:p>
    <w:p w:rsidR="001B74D9" w:rsidRPr="00357A2A" w:rsidRDefault="00357A2A" w:rsidP="007C20B3">
      <w:pPr>
        <w:tabs>
          <w:tab w:val="left" w:pos="0"/>
          <w:tab w:val="left" w:pos="567"/>
          <w:tab w:val="left" w:pos="1134"/>
        </w:tabs>
        <w:rPr>
          <w:rFonts w:ascii="Times New Roman" w:hAnsi="Times New Roman" w:cs="Times New Roman"/>
          <w:lang w:val="pt-BR"/>
        </w:rPr>
      </w:pPr>
      <w:r>
        <w:rPr>
          <w:rFonts w:ascii="Times New Roman" w:hAnsi="Times New Roman" w:cs="Times New Roman"/>
          <w:lang w:val="pt-BR"/>
        </w:rPr>
        <w:tab/>
      </w:r>
      <w:r w:rsidR="00BB1E60" w:rsidRPr="00000367">
        <w:rPr>
          <w:position w:val="-30"/>
          <w:lang w:val="pt-BR"/>
        </w:rPr>
        <w:object w:dxaOrig="18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75pt;height:35.25pt" o:ole="">
            <v:imagedata r:id="rId29" o:title=""/>
          </v:shape>
          <o:OLEObject Type="Embed" ProgID="Equation.3" ShapeID="_x0000_i1025" DrawAspect="Content" ObjectID="_1419603316" r:id="rId30"/>
        </w:object>
      </w:r>
      <w:r w:rsidR="00000367">
        <w:rPr>
          <w:rFonts w:ascii="Times New Roman" w:hAnsi="Times New Roman" w:cs="Times New Roman"/>
        </w:rPr>
        <w:tab/>
      </w:r>
      <w:r w:rsidR="002B53B0">
        <w:rPr>
          <w:rFonts w:ascii="Times New Roman" w:hAnsi="Times New Roman" w:cs="Times New Roman"/>
        </w:rPr>
        <w:t>(4</w:t>
      </w:r>
      <w:r w:rsidR="00000367">
        <w:rPr>
          <w:rFonts w:ascii="Times New Roman" w:hAnsi="Times New Roman" w:cs="Times New Roman"/>
        </w:rPr>
        <w:t>)</w:t>
      </w:r>
    </w:p>
    <w:p w:rsidR="001B74D9" w:rsidRPr="00357A2A" w:rsidRDefault="00357A2A" w:rsidP="00357A2A">
      <w:pPr>
        <w:tabs>
          <w:tab w:val="left" w:pos="0"/>
          <w:tab w:val="left" w:pos="567"/>
          <w:tab w:val="left" w:pos="1134"/>
        </w:tabs>
        <w:spacing w:line="360" w:lineRule="auto"/>
        <w:rPr>
          <w:rFonts w:ascii="Times New Roman" w:hAnsi="Times New Roman" w:cs="Times New Roman"/>
        </w:rPr>
      </w:pPr>
      <w:r>
        <w:rPr>
          <w:rFonts w:ascii="Times New Roman" w:hAnsi="Times New Roman" w:cs="Times New Roman"/>
        </w:rPr>
        <w:tab/>
      </w:r>
      <w:r w:rsidR="001B74D9" w:rsidRPr="00357A2A">
        <w:rPr>
          <w:rFonts w:ascii="Times New Roman" w:hAnsi="Times New Roman" w:cs="Times New Roman"/>
        </w:rPr>
        <w:t>Čia: S</w:t>
      </w:r>
      <w:r w:rsidR="001B74D9" w:rsidRPr="00357A2A">
        <w:rPr>
          <w:rFonts w:ascii="Times New Roman" w:hAnsi="Times New Roman" w:cs="Times New Roman"/>
          <w:vertAlign w:val="superscript"/>
        </w:rPr>
        <w:t>2</w:t>
      </w:r>
      <w:r w:rsidR="001B74D9" w:rsidRPr="00357A2A">
        <w:rPr>
          <w:rFonts w:ascii="Times New Roman" w:hAnsi="Times New Roman" w:cs="Times New Roman"/>
        </w:rPr>
        <w:t xml:space="preserve"> – nuokrypio kvadratas;</w:t>
      </w:r>
    </w:p>
    <w:p w:rsidR="001B74D9" w:rsidRPr="001B74D9" w:rsidRDefault="00357A2A" w:rsidP="00357A2A">
      <w:pPr>
        <w:pStyle w:val="ListParagraph"/>
        <w:tabs>
          <w:tab w:val="left" w:pos="567"/>
          <w:tab w:val="left" w:pos="1134"/>
        </w:tabs>
        <w:spacing w:line="360" w:lineRule="auto"/>
        <w:ind w:left="0" w:firstLine="567"/>
        <w:rPr>
          <w:rFonts w:ascii="Times New Roman" w:hAnsi="Times New Roman" w:cs="Times New Roman"/>
        </w:rPr>
      </w:pPr>
      <w:r>
        <w:rPr>
          <w:rFonts w:ascii="Times New Roman" w:hAnsi="Times New Roman" w:cs="Times New Roman"/>
        </w:rPr>
        <w:tab/>
      </w:r>
      <w:r w:rsidR="001B74D9" w:rsidRPr="001B74D9">
        <w:rPr>
          <w:rFonts w:ascii="Times New Roman" w:hAnsi="Times New Roman" w:cs="Times New Roman"/>
        </w:rPr>
        <w:t>m – ekspertų skaičius;</w:t>
      </w:r>
    </w:p>
    <w:p w:rsidR="001B74D9" w:rsidRPr="001B74D9" w:rsidRDefault="00357A2A" w:rsidP="00357A2A">
      <w:pPr>
        <w:pStyle w:val="ListParagraph"/>
        <w:tabs>
          <w:tab w:val="left" w:pos="567"/>
          <w:tab w:val="left" w:pos="1134"/>
        </w:tabs>
        <w:spacing w:line="360" w:lineRule="auto"/>
        <w:ind w:left="0" w:firstLine="567"/>
        <w:rPr>
          <w:rFonts w:ascii="Times New Roman" w:hAnsi="Times New Roman" w:cs="Times New Roman"/>
        </w:rPr>
      </w:pPr>
      <w:r>
        <w:rPr>
          <w:rFonts w:ascii="Times New Roman" w:hAnsi="Times New Roman" w:cs="Times New Roman"/>
        </w:rPr>
        <w:tab/>
      </w:r>
      <w:r w:rsidR="001B74D9" w:rsidRPr="001B74D9">
        <w:rPr>
          <w:rFonts w:ascii="Times New Roman" w:hAnsi="Times New Roman" w:cs="Times New Roman"/>
        </w:rPr>
        <w:t>a – rangų sumų vidurkis;</w:t>
      </w:r>
    </w:p>
    <w:p w:rsidR="001B74D9" w:rsidRPr="001B74D9" w:rsidRDefault="00357A2A" w:rsidP="00357A2A">
      <w:pPr>
        <w:pStyle w:val="ListParagraph"/>
        <w:tabs>
          <w:tab w:val="left" w:pos="567"/>
          <w:tab w:val="left" w:pos="1134"/>
        </w:tabs>
        <w:spacing w:line="360" w:lineRule="auto"/>
        <w:ind w:left="0" w:firstLine="567"/>
        <w:rPr>
          <w:rFonts w:ascii="Times New Roman" w:hAnsi="Times New Roman" w:cs="Times New Roman"/>
        </w:rPr>
      </w:pPr>
      <w:r>
        <w:rPr>
          <w:rFonts w:ascii="Times New Roman" w:hAnsi="Times New Roman" w:cs="Times New Roman"/>
        </w:rPr>
        <w:tab/>
      </w:r>
      <w:r w:rsidR="001B74D9" w:rsidRPr="001B74D9">
        <w:rPr>
          <w:rFonts w:ascii="Times New Roman" w:hAnsi="Times New Roman" w:cs="Times New Roman"/>
        </w:rPr>
        <w:t xml:space="preserve">x – rangų suma. </w:t>
      </w:r>
    </w:p>
    <w:p w:rsidR="00A024E8" w:rsidRPr="007C20B3" w:rsidRDefault="00A024E8" w:rsidP="00A84F2E">
      <w:pPr>
        <w:tabs>
          <w:tab w:val="left" w:pos="0"/>
          <w:tab w:val="left" w:pos="567"/>
          <w:tab w:val="left" w:pos="1134"/>
        </w:tabs>
        <w:spacing w:line="360" w:lineRule="auto"/>
        <w:jc w:val="both"/>
        <w:rPr>
          <w:rFonts w:ascii="Times New Roman" w:hAnsi="Times New Roman" w:cs="Times New Roman"/>
          <w:sz w:val="16"/>
          <w:szCs w:val="16"/>
        </w:rPr>
      </w:pPr>
    </w:p>
    <w:p w:rsidR="00A84F2E" w:rsidRDefault="00A84F2E" w:rsidP="00A84F2E">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A024E8">
        <w:rPr>
          <w:rFonts w:ascii="Times New Roman" w:hAnsi="Times New Roman" w:cs="Times New Roman"/>
        </w:rPr>
        <w:t>Galiausiai,</w:t>
      </w:r>
      <w:r w:rsidR="00A45553">
        <w:rPr>
          <w:rFonts w:ascii="Times New Roman" w:hAnsi="Times New Roman" w:cs="Times New Roman"/>
        </w:rPr>
        <w:t xml:space="preserve"> jeigu nėra sutampančių rangų</w:t>
      </w:r>
      <w:r w:rsidR="00A024E8">
        <w:rPr>
          <w:rFonts w:ascii="Times New Roman" w:hAnsi="Times New Roman" w:cs="Times New Roman"/>
        </w:rPr>
        <w:t>,</w:t>
      </w:r>
      <w:r>
        <w:rPr>
          <w:rFonts w:ascii="Times New Roman" w:hAnsi="Times New Roman" w:cs="Times New Roman"/>
        </w:rPr>
        <w:t xml:space="preserve"> apskaičiuojamas Kendall konkordancijos koeficientas pagal </w:t>
      </w:r>
      <w:r w:rsidR="002B53B0">
        <w:rPr>
          <w:rFonts w:ascii="Times New Roman" w:hAnsi="Times New Roman" w:cs="Times New Roman"/>
        </w:rPr>
        <w:t>(5</w:t>
      </w:r>
      <w:r>
        <w:rPr>
          <w:rFonts w:ascii="Times New Roman" w:hAnsi="Times New Roman" w:cs="Times New Roman"/>
        </w:rPr>
        <w:t>) formulę (Rudzkienė, 2008, p.77):</w:t>
      </w:r>
    </w:p>
    <w:p w:rsidR="00A84F2E" w:rsidRPr="007C20B3" w:rsidRDefault="00A84F2E" w:rsidP="00A84F2E">
      <w:pPr>
        <w:tabs>
          <w:tab w:val="left" w:pos="0"/>
          <w:tab w:val="left" w:pos="567"/>
          <w:tab w:val="left" w:pos="1134"/>
        </w:tabs>
        <w:spacing w:line="360" w:lineRule="auto"/>
        <w:jc w:val="both"/>
        <w:rPr>
          <w:rFonts w:ascii="Times New Roman" w:hAnsi="Times New Roman" w:cs="Times New Roman"/>
          <w:sz w:val="12"/>
          <w:szCs w:val="12"/>
        </w:rPr>
      </w:pPr>
    </w:p>
    <w:p w:rsidR="00A84F2E" w:rsidRDefault="00A45553" w:rsidP="00A84F2E">
      <w:pPr>
        <w:tabs>
          <w:tab w:val="left" w:pos="0"/>
          <w:tab w:val="left" w:pos="567"/>
          <w:tab w:val="left" w:pos="1134"/>
        </w:tabs>
        <w:spacing w:line="360" w:lineRule="auto"/>
        <w:jc w:val="both"/>
        <w:rPr>
          <w:rFonts w:ascii="Times New Roman" w:hAnsi="Times New Roman" w:cs="Times New Roman"/>
        </w:rPr>
      </w:pPr>
      <w:r>
        <w:rPr>
          <w:rFonts w:ascii="Times New Roman" w:hAnsi="Times New Roman"/>
        </w:rPr>
        <w:tab/>
      </w:r>
      <w:r w:rsidRPr="00780956">
        <w:rPr>
          <w:rFonts w:ascii="Times New Roman" w:hAnsi="Times New Roman"/>
          <w:position w:val="-30"/>
        </w:rPr>
        <w:object w:dxaOrig="1680" w:dyaOrig="720">
          <v:shape id="_x0000_i1026" type="#_x0000_t75" style="width:84pt;height:36pt" o:ole="">
            <v:imagedata r:id="rId31" o:title=""/>
          </v:shape>
          <o:OLEObject Type="Embed" ProgID="Equation.3" ShapeID="_x0000_i1026" DrawAspect="Content" ObjectID="_1419603317" r:id="rId32"/>
        </w:object>
      </w:r>
      <w:r w:rsidR="002B53B0">
        <w:rPr>
          <w:rFonts w:ascii="Times New Roman" w:hAnsi="Times New Roman"/>
        </w:rPr>
        <w:tab/>
        <w:t>(5</w:t>
      </w:r>
      <w:r>
        <w:rPr>
          <w:rFonts w:ascii="Times New Roman" w:hAnsi="Times New Roman"/>
        </w:rPr>
        <w:t>)</w:t>
      </w:r>
    </w:p>
    <w:p w:rsidR="00A45553" w:rsidRPr="00A45553" w:rsidRDefault="00A45553" w:rsidP="00A570F2">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Pr="00A45553">
        <w:rPr>
          <w:rFonts w:ascii="Times New Roman" w:hAnsi="Times New Roman" w:cs="Times New Roman"/>
        </w:rPr>
        <w:t xml:space="preserve">Čia: </w:t>
      </w:r>
      <w:r w:rsidR="00A570F2">
        <w:rPr>
          <w:rFonts w:ascii="Times New Roman" w:hAnsi="Times New Roman" w:cs="Times New Roman"/>
        </w:rPr>
        <w:t xml:space="preserve"> </w:t>
      </w:r>
      <w:r w:rsidRPr="00A45553">
        <w:rPr>
          <w:rFonts w:ascii="Times New Roman" w:hAnsi="Times New Roman" w:cs="Times New Roman"/>
        </w:rPr>
        <w:t xml:space="preserve">m – ekspertų skaičius; </w:t>
      </w:r>
    </w:p>
    <w:p w:rsidR="00A45553" w:rsidRPr="00A45553" w:rsidRDefault="00A45553" w:rsidP="00A570F2">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A45553">
        <w:rPr>
          <w:rFonts w:ascii="Times New Roman" w:hAnsi="Times New Roman" w:cs="Times New Roman"/>
        </w:rPr>
        <w:t xml:space="preserve">k – alternatyvų skaičius; </w:t>
      </w:r>
    </w:p>
    <w:p w:rsidR="00A45553" w:rsidRPr="00A45553" w:rsidRDefault="00A570F2" w:rsidP="00A570F2">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i/>
        </w:rPr>
        <w:tab/>
      </w:r>
      <w:r>
        <w:rPr>
          <w:rFonts w:ascii="Times New Roman" w:hAnsi="Times New Roman" w:cs="Times New Roman"/>
          <w:i/>
        </w:rPr>
        <w:tab/>
      </w:r>
      <w:r w:rsidR="00A45553" w:rsidRPr="00A45553">
        <w:rPr>
          <w:rFonts w:ascii="Times New Roman" w:hAnsi="Times New Roman" w:cs="Times New Roman"/>
          <w:i/>
        </w:rPr>
        <w:t xml:space="preserve">W – </w:t>
      </w:r>
      <w:r w:rsidR="00A45553" w:rsidRPr="00A45553">
        <w:rPr>
          <w:rFonts w:ascii="Times New Roman" w:hAnsi="Times New Roman" w:cs="Times New Roman"/>
        </w:rPr>
        <w:t>konkordancijos koeficientas.</w:t>
      </w:r>
    </w:p>
    <w:p w:rsidR="00A84F2E" w:rsidRDefault="008B6A14" w:rsidP="00A84F2E">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t>S</w:t>
      </w:r>
      <w:r w:rsidRPr="00FC0863">
        <w:rPr>
          <w:rFonts w:ascii="Times New Roman" w:hAnsi="Times New Roman" w:cs="Times New Roman"/>
          <w:vertAlign w:val="superscript"/>
        </w:rPr>
        <w:t>2</w:t>
      </w:r>
      <w:r>
        <w:rPr>
          <w:rFonts w:ascii="Times New Roman" w:hAnsi="Times New Roman" w:cs="Times New Roman"/>
        </w:rPr>
        <w:t xml:space="preserve"> – nuokrypių kvadratų suma, kuri apskaičiuojama sudedant visas nuokrypio kvadratų sumas</w:t>
      </w:r>
      <w:r w:rsidR="00C14CBC">
        <w:rPr>
          <w:rFonts w:ascii="Times New Roman" w:hAnsi="Times New Roman" w:cs="Times New Roman"/>
        </w:rPr>
        <w:t>.</w:t>
      </w:r>
    </w:p>
    <w:p w:rsidR="00FC0863" w:rsidRPr="007C20B3" w:rsidRDefault="00FC0863" w:rsidP="00A84F2E">
      <w:pPr>
        <w:tabs>
          <w:tab w:val="left" w:pos="0"/>
          <w:tab w:val="left" w:pos="567"/>
          <w:tab w:val="left" w:pos="1134"/>
        </w:tabs>
        <w:spacing w:line="360" w:lineRule="auto"/>
        <w:jc w:val="both"/>
        <w:rPr>
          <w:rFonts w:ascii="Times New Roman" w:hAnsi="Times New Roman" w:cs="Times New Roman"/>
          <w:sz w:val="12"/>
          <w:szCs w:val="12"/>
        </w:rPr>
      </w:pPr>
    </w:p>
    <w:p w:rsidR="00FC0863" w:rsidRPr="00C14CBC" w:rsidRDefault="00FC0863" w:rsidP="00C14CBC">
      <w:pPr>
        <w:spacing w:line="360" w:lineRule="auto"/>
        <w:ind w:firstLine="567"/>
        <w:jc w:val="both"/>
        <w:rPr>
          <w:rFonts w:ascii="Times New Roman" w:eastAsia="Times New Roman" w:hAnsi="Times New Roman" w:cs="Times New Roman"/>
          <w:color w:val="auto"/>
          <w:lang w:eastAsia="en-US"/>
        </w:rPr>
      </w:pPr>
      <w:r>
        <w:rPr>
          <w:rFonts w:ascii="Times New Roman" w:hAnsi="Times New Roman" w:cs="Times New Roman"/>
        </w:rPr>
        <w:t xml:space="preserve">Konkordacijos koeficientas gali kisti nuo 0 iki 1; 1 reiškia pilną suderinamumą, tuo tarpu 0 visišką nesuderinamumą. Toliau pasirenkame </w:t>
      </w:r>
      <w:r w:rsidRPr="00FC0863">
        <w:rPr>
          <w:rFonts w:ascii="Times New Roman" w:hAnsi="Times New Roman" w:cs="Times New Roman"/>
        </w:rPr>
        <w:t xml:space="preserve">reikšmingumo lygmenį </w:t>
      </w:r>
      <w:r w:rsidRPr="00FC0863">
        <w:rPr>
          <w:rFonts w:ascii="Times New Roman" w:hAnsi="Times New Roman" w:cs="Times New Roman"/>
          <w:i/>
          <w:iCs/>
        </w:rPr>
        <w:t>α</w:t>
      </w:r>
      <w:r w:rsidRPr="00FC0863">
        <w:rPr>
          <w:rFonts w:ascii="Times New Roman" w:hAnsi="Times New Roman" w:cs="Times New Roman"/>
        </w:rPr>
        <w:t xml:space="preserve">. </w:t>
      </w:r>
      <w:r>
        <w:rPr>
          <w:rFonts w:ascii="Times New Roman" w:hAnsi="Times New Roman" w:cs="Times New Roman"/>
        </w:rPr>
        <w:t>Darbe bus dažniausiai statistiniuose tyrimuose naudojama</w:t>
      </w:r>
      <w:r w:rsidR="002A35D7">
        <w:rPr>
          <w:rFonts w:ascii="Times New Roman" w:hAnsi="Times New Roman" w:cs="Times New Roman"/>
        </w:rPr>
        <w:t>s lygmuo</w:t>
      </w:r>
      <w:r>
        <w:rPr>
          <w:rFonts w:ascii="Times New Roman" w:hAnsi="Times New Roman" w:cs="Times New Roman"/>
        </w:rPr>
        <w:t xml:space="preserve"> </w:t>
      </w:r>
      <w:r w:rsidRPr="00FC0863">
        <w:rPr>
          <w:rFonts w:ascii="Times New Roman" w:hAnsi="Times New Roman" w:cs="Times New Roman"/>
          <w:i/>
          <w:iCs/>
        </w:rPr>
        <w:t>α</w:t>
      </w:r>
      <w:r>
        <w:rPr>
          <w:rFonts w:ascii="Times New Roman" w:hAnsi="Times New Roman" w:cs="Times New Roman"/>
          <w:lang w:val="en-US"/>
        </w:rPr>
        <w:t>=</w:t>
      </w:r>
      <w:r>
        <w:rPr>
          <w:rFonts w:ascii="Times New Roman" w:hAnsi="Times New Roman" w:cs="Times New Roman"/>
        </w:rPr>
        <w:t xml:space="preserve">0,05. </w:t>
      </w:r>
      <w:r w:rsidR="00C14CBC" w:rsidRPr="00C14CBC">
        <w:rPr>
          <w:rFonts w:ascii="Times New Roman" w:eastAsia="Times New Roman" w:hAnsi="Times New Roman" w:cs="Times New Roman"/>
          <w:i/>
          <w:color w:val="auto"/>
          <w:lang w:eastAsia="en-US"/>
        </w:rPr>
        <w:t>Konkordacijos koeficiento reikšmingumui tikrinti naudojamas χ</w:t>
      </w:r>
      <w:r w:rsidR="00C14CBC" w:rsidRPr="00C14CBC">
        <w:rPr>
          <w:rFonts w:ascii="Times New Roman" w:eastAsia="Times New Roman" w:hAnsi="Times New Roman" w:cs="Times New Roman"/>
          <w:i/>
          <w:color w:val="auto"/>
          <w:vertAlign w:val="superscript"/>
          <w:lang w:eastAsia="en-US"/>
        </w:rPr>
        <w:t>2</w:t>
      </w:r>
      <w:r w:rsidR="00C14CBC" w:rsidRPr="00C14CBC">
        <w:rPr>
          <w:rFonts w:ascii="Times New Roman" w:eastAsia="Times New Roman" w:hAnsi="Times New Roman" w:cs="Times New Roman"/>
          <w:i/>
          <w:color w:val="auto"/>
          <w:lang w:eastAsia="en-US"/>
        </w:rPr>
        <w:t xml:space="preserve"> kriterijus. Dydis W x m (k-1) turi χ </w:t>
      </w:r>
      <w:r w:rsidR="00C14CBC" w:rsidRPr="00C14CBC">
        <w:rPr>
          <w:rFonts w:ascii="Times New Roman" w:eastAsia="Times New Roman" w:hAnsi="Times New Roman" w:cs="Times New Roman"/>
          <w:i/>
          <w:color w:val="auto"/>
          <w:vertAlign w:val="superscript"/>
          <w:lang w:eastAsia="en-US"/>
        </w:rPr>
        <w:t xml:space="preserve">2 </w:t>
      </w:r>
      <w:r w:rsidR="00C14CBC" w:rsidRPr="00C14CBC">
        <w:rPr>
          <w:rFonts w:ascii="Times New Roman" w:eastAsia="Times New Roman" w:hAnsi="Times New Roman" w:cs="Times New Roman"/>
          <w:i/>
          <w:color w:val="auto"/>
          <w:lang w:eastAsia="en-US"/>
        </w:rPr>
        <w:t xml:space="preserve">skirstinį su f = k - 1 laisvės laipsniu (m-ekspertų skaičius; k – ekspertizės objektų skaičius). Jeigu apskaičiuotos statistikos W x m x (k-1) reikšmė prie pasirinkto reikšmingumo lygmenio α ir laisvės laipsnių skaičius f  viršija kritinę reikšmę </w:t>
      </w:r>
      <w:r w:rsidR="00C14CBC" w:rsidRPr="00C14CBC">
        <w:rPr>
          <w:rFonts w:ascii="Times New Roman" w:eastAsia="Times New Roman" w:hAnsi="Times New Roman" w:cs="Times New Roman"/>
          <w:i/>
          <w:color w:val="auto"/>
          <w:position w:val="-12"/>
          <w:lang w:eastAsia="en-US"/>
        </w:rPr>
        <w:object w:dxaOrig="440" w:dyaOrig="380">
          <v:shape id="_x0000_i1027" type="#_x0000_t75" style="width:21.75pt;height:18.75pt" o:ole="">
            <v:imagedata r:id="rId33" o:title=""/>
          </v:shape>
          <o:OLEObject Type="Embed" ProgID="Equation.3" ShapeID="_x0000_i1027" DrawAspect="Content" ObjectID="_1419603318" r:id="rId34"/>
        </w:object>
      </w:r>
      <w:r w:rsidR="00C14CBC" w:rsidRPr="00C14CBC">
        <w:rPr>
          <w:rFonts w:ascii="Times New Roman" w:eastAsia="Times New Roman" w:hAnsi="Times New Roman" w:cs="Times New Roman"/>
          <w:i/>
          <w:color w:val="auto"/>
          <w:lang w:eastAsia="en-US"/>
        </w:rPr>
        <w:t xml:space="preserve">, t.y. </w:t>
      </w:r>
      <w:r w:rsidR="00C14CBC" w:rsidRPr="00C14CBC">
        <w:rPr>
          <w:rFonts w:ascii="Times New Roman" w:eastAsia="Times New Roman" w:hAnsi="Times New Roman" w:cs="Times New Roman"/>
          <w:i/>
          <w:color w:val="auto"/>
          <w:position w:val="-14"/>
          <w:lang w:eastAsia="en-US"/>
        </w:rPr>
        <w:object w:dxaOrig="2900" w:dyaOrig="400">
          <v:shape id="_x0000_i1028" type="#_x0000_t75" style="width:144.75pt;height:20.25pt" o:ole="">
            <v:imagedata r:id="rId35" o:title=""/>
          </v:shape>
          <o:OLEObject Type="Embed" ProgID="Equation.3" ShapeID="_x0000_i1028" DrawAspect="Content" ObjectID="_1419603319" r:id="rId36"/>
        </w:object>
      </w:r>
      <w:r w:rsidR="00C14CBC" w:rsidRPr="00C14CBC">
        <w:rPr>
          <w:rFonts w:ascii="Times New Roman" w:eastAsia="Times New Roman" w:hAnsi="Times New Roman" w:cs="Times New Roman"/>
          <w:i/>
          <w:color w:val="auto"/>
          <w:lang w:eastAsia="en-US"/>
        </w:rPr>
        <w:t>, tai hipotezė H</w:t>
      </w:r>
      <w:r w:rsidR="00C14CBC" w:rsidRPr="00C14CBC">
        <w:rPr>
          <w:rFonts w:ascii="Times New Roman" w:eastAsia="Times New Roman" w:hAnsi="Times New Roman" w:cs="Times New Roman"/>
          <w:i/>
          <w:color w:val="auto"/>
          <w:vertAlign w:val="subscript"/>
          <w:lang w:eastAsia="en-US"/>
        </w:rPr>
        <w:t>0</w:t>
      </w:r>
      <w:r w:rsidR="00C14CBC" w:rsidRPr="00C14CBC">
        <w:rPr>
          <w:rFonts w:ascii="Times New Roman" w:eastAsia="Times New Roman" w:hAnsi="Times New Roman" w:cs="Times New Roman"/>
          <w:i/>
          <w:color w:val="auto"/>
          <w:lang w:eastAsia="en-US"/>
        </w:rPr>
        <w:t>, kad ekspertų vertinimai prieštaringi atmetama</w:t>
      </w:r>
      <w:r w:rsidR="002A35D7">
        <w:rPr>
          <w:rFonts w:ascii="Times New Roman" w:hAnsi="Times New Roman" w:cs="Times New Roman"/>
        </w:rPr>
        <w:t xml:space="preserve"> </w:t>
      </w:r>
      <w:r w:rsidR="002A35D7" w:rsidRPr="00C14CBC">
        <w:rPr>
          <w:rFonts w:ascii="Times New Roman" w:hAnsi="Times New Roman" w:cs="Times New Roman"/>
          <w:i/>
        </w:rPr>
        <w:t>(Rudzkienė, 2008</w:t>
      </w:r>
      <w:r w:rsidR="00C14CBC">
        <w:rPr>
          <w:rFonts w:ascii="Times New Roman" w:hAnsi="Times New Roman" w:cs="Times New Roman"/>
          <w:i/>
        </w:rPr>
        <w:t>, p.78</w:t>
      </w:r>
      <w:r w:rsidR="002A35D7" w:rsidRPr="00C14CBC">
        <w:rPr>
          <w:rFonts w:ascii="Times New Roman" w:hAnsi="Times New Roman" w:cs="Times New Roman"/>
          <w:i/>
        </w:rPr>
        <w:t>).</w:t>
      </w:r>
      <w:r w:rsidR="002A35D7">
        <w:rPr>
          <w:rFonts w:ascii="Times New Roman" w:hAnsi="Times New Roman" w:cs="Times New Roman"/>
        </w:rPr>
        <w:t xml:space="preserve"> </w:t>
      </w:r>
    </w:p>
    <w:p w:rsidR="00B44DD2" w:rsidRDefault="005A0E88" w:rsidP="00004FD6">
      <w:pPr>
        <w:tabs>
          <w:tab w:val="left" w:pos="0"/>
          <w:tab w:val="left" w:pos="567"/>
          <w:tab w:val="left" w:pos="1134"/>
        </w:tabs>
        <w:spacing w:line="360" w:lineRule="auto"/>
        <w:jc w:val="both"/>
        <w:rPr>
          <w:rFonts w:ascii="Times New Roman" w:eastAsia="Times New Roman" w:hAnsi="Times New Roman" w:cs="Times New Roman"/>
          <w:color w:val="auto"/>
          <w:lang w:eastAsia="en-US"/>
        </w:rPr>
      </w:pPr>
      <w:r>
        <w:rPr>
          <w:rFonts w:ascii="Times New Roman" w:hAnsi="Times New Roman" w:cs="Times New Roman"/>
        </w:rPr>
        <w:lastRenderedPageBreak/>
        <w:tab/>
        <w:t xml:space="preserve">Tačiau konkordacijos koeficientas </w:t>
      </w:r>
      <w:r w:rsidR="004E1EC9">
        <w:rPr>
          <w:rFonts w:ascii="Times New Roman" w:hAnsi="Times New Roman" w:cs="Times New Roman"/>
        </w:rPr>
        <w:t xml:space="preserve">neparodo </w:t>
      </w:r>
      <w:r w:rsidR="004E1EC9" w:rsidRPr="004E1EC9">
        <w:rPr>
          <w:rFonts w:ascii="Times New Roman" w:hAnsi="Times New Roman" w:cs="Times New Roman"/>
        </w:rPr>
        <w:t xml:space="preserve">ar yra ekspertų, kurių vertinimas skiriasi nuo daugumos ir kokie tai ekspertai. </w:t>
      </w:r>
      <w:r w:rsidR="004E1EC9">
        <w:rPr>
          <w:rFonts w:ascii="Times New Roman" w:hAnsi="Times New Roman" w:cs="Times New Roman"/>
        </w:rPr>
        <w:t>Kaip jau buvo minėta, remiamasi prielaida, kad ekspertinio vertinimo sprendimas gali būti gautas</w:t>
      </w:r>
      <w:r w:rsidR="004E1EC9" w:rsidRPr="004E1EC9">
        <w:rPr>
          <w:rFonts w:ascii="Times New Roman" w:hAnsi="Times New Roman" w:cs="Times New Roman"/>
        </w:rPr>
        <w:t xml:space="preserve"> tik esant </w:t>
      </w:r>
      <w:r w:rsidR="00381CA4">
        <w:rPr>
          <w:rFonts w:ascii="Times New Roman" w:hAnsi="Times New Roman" w:cs="Times New Roman"/>
        </w:rPr>
        <w:t>ekspertų nuomonių suderinamumui.</w:t>
      </w:r>
      <w:r w:rsidR="004E1EC9" w:rsidRPr="004E1EC9">
        <w:rPr>
          <w:rFonts w:ascii="Times New Roman" w:hAnsi="Times New Roman" w:cs="Times New Roman"/>
        </w:rPr>
        <w:t xml:space="preserve"> </w:t>
      </w:r>
      <w:r w:rsidR="00381CA4">
        <w:rPr>
          <w:rFonts w:ascii="Times New Roman" w:hAnsi="Times New Roman" w:cs="Times New Roman"/>
        </w:rPr>
        <w:t>Taigi</w:t>
      </w:r>
      <w:r w:rsidR="004E1EC9" w:rsidRPr="004E1EC9">
        <w:rPr>
          <w:rFonts w:ascii="Times New Roman" w:hAnsi="Times New Roman" w:cs="Times New Roman"/>
        </w:rPr>
        <w:t xml:space="preserve"> </w:t>
      </w:r>
      <w:r w:rsidR="004E1EC9">
        <w:rPr>
          <w:rFonts w:ascii="Times New Roman" w:hAnsi="Times New Roman" w:cs="Times New Roman"/>
        </w:rPr>
        <w:t>būtina pašalinti ekspertus, kurių nuomonė skiriasi nuo kitų</w:t>
      </w:r>
      <w:r w:rsidR="004E1EC9" w:rsidRPr="004E1EC9">
        <w:rPr>
          <w:rFonts w:ascii="Times New Roman" w:hAnsi="Times New Roman" w:cs="Times New Roman"/>
        </w:rPr>
        <w:t>. Norint nustatyti tokius ekspertus, rekomenduojama į</w:t>
      </w:r>
      <w:r w:rsidR="009B545F">
        <w:rPr>
          <w:rFonts w:ascii="Times New Roman" w:hAnsi="Times New Roman" w:cs="Times New Roman"/>
        </w:rPr>
        <w:t>verti</w:t>
      </w:r>
      <w:r w:rsidR="0066468A">
        <w:rPr>
          <w:rFonts w:ascii="Times New Roman" w:hAnsi="Times New Roman" w:cs="Times New Roman"/>
        </w:rPr>
        <w:t>nti ekspertų kompetenciją, kuri</w:t>
      </w:r>
      <w:r w:rsidR="009B545F">
        <w:rPr>
          <w:rFonts w:ascii="Times New Roman" w:hAnsi="Times New Roman" w:cs="Times New Roman"/>
        </w:rPr>
        <w:t xml:space="preserve"> </w:t>
      </w:r>
      <w:r w:rsidR="004E1EC9" w:rsidRPr="004E1EC9">
        <w:rPr>
          <w:rFonts w:ascii="Times New Roman" w:hAnsi="Times New Roman" w:cs="Times New Roman"/>
        </w:rPr>
        <w:t>apskaičiuojamas pagal alte</w:t>
      </w:r>
      <w:r w:rsidR="00004FD6">
        <w:rPr>
          <w:rFonts w:ascii="Times New Roman" w:hAnsi="Times New Roman" w:cs="Times New Roman"/>
        </w:rPr>
        <w:t xml:space="preserve">rnatyvų įvertinimo rezultatus. </w:t>
      </w:r>
      <w:r w:rsidR="00004FD6" w:rsidRPr="00004FD6">
        <w:rPr>
          <w:rFonts w:ascii="Times New Roman" w:eastAsia="Times New Roman" w:hAnsi="Times New Roman" w:cs="Times New Roman"/>
          <w:color w:val="auto"/>
          <w:lang w:eastAsia="en-US"/>
        </w:rPr>
        <w:t xml:space="preserve">Literatūroje </w:t>
      </w:r>
      <w:r w:rsidR="009B545F">
        <w:rPr>
          <w:rFonts w:ascii="Times New Roman" w:eastAsia="Times New Roman" w:hAnsi="Times New Roman" w:cs="Times New Roman"/>
          <w:color w:val="auto"/>
          <w:lang w:eastAsia="en-US"/>
        </w:rPr>
        <w:t>pateikiami skirtingi kompetencijos koeficiento skaičiavimo būdai.</w:t>
      </w:r>
      <w:r w:rsidR="00004FD6" w:rsidRPr="00004FD6">
        <w:rPr>
          <w:rFonts w:ascii="Times New Roman" w:eastAsia="Times New Roman" w:hAnsi="Times New Roman" w:cs="Times New Roman"/>
          <w:color w:val="auto"/>
          <w:lang w:eastAsia="en-US"/>
        </w:rPr>
        <w:t xml:space="preserve"> Darbe naudojamas kompetencijos koeficientas vertinamas iteraciniu būdu</w:t>
      </w:r>
      <w:r w:rsidR="00825F70">
        <w:rPr>
          <w:rFonts w:ascii="Times New Roman" w:eastAsia="Times New Roman" w:hAnsi="Times New Roman" w:cs="Times New Roman"/>
          <w:color w:val="auto"/>
          <w:lang w:eastAsia="en-US"/>
        </w:rPr>
        <w:t>.</w:t>
      </w:r>
      <w:r w:rsidR="0068473E">
        <w:rPr>
          <w:rFonts w:ascii="Times New Roman" w:eastAsia="Times New Roman" w:hAnsi="Times New Roman" w:cs="Times New Roman"/>
          <w:color w:val="auto"/>
          <w:lang w:eastAsia="en-US"/>
        </w:rPr>
        <w:t xml:space="preserve"> </w:t>
      </w:r>
    </w:p>
    <w:p w:rsidR="004E1EC9" w:rsidRDefault="00B44DD2" w:rsidP="004E1EC9">
      <w:pPr>
        <w:tabs>
          <w:tab w:val="left" w:pos="0"/>
          <w:tab w:val="left" w:pos="567"/>
          <w:tab w:val="left" w:pos="1134"/>
        </w:tabs>
        <w:spacing w:line="360" w:lineRule="auto"/>
        <w:jc w:val="both"/>
        <w:rPr>
          <w:rFonts w:ascii="Times New Roman" w:hAnsi="Times New Roman" w:cs="Times New Roman"/>
        </w:rPr>
      </w:pPr>
      <w:r>
        <w:rPr>
          <w:rFonts w:ascii="Times New Roman" w:eastAsia="Times New Roman" w:hAnsi="Times New Roman" w:cs="Times New Roman"/>
          <w:color w:val="auto"/>
          <w:lang w:eastAsia="en-US"/>
        </w:rPr>
        <w:tab/>
      </w:r>
      <w:r w:rsidR="0068473E">
        <w:rPr>
          <w:rFonts w:ascii="Times New Roman" w:eastAsia="Times New Roman" w:hAnsi="Times New Roman" w:cs="Times New Roman"/>
          <w:color w:val="auto"/>
          <w:lang w:eastAsia="en-US"/>
        </w:rPr>
        <w:t>P</w:t>
      </w:r>
      <w:r w:rsidR="00004FD6" w:rsidRPr="00004FD6">
        <w:rPr>
          <w:rFonts w:ascii="Times New Roman" w:eastAsia="Times New Roman" w:hAnsi="Times New Roman" w:cs="Times New Roman"/>
          <w:color w:val="auto"/>
          <w:lang w:eastAsia="en-US"/>
        </w:rPr>
        <w:t xml:space="preserve">irmuoju žingsniu t = 0 </w:t>
      </w:r>
      <w:r w:rsidR="00825F70">
        <w:rPr>
          <w:rFonts w:ascii="Times New Roman" w:eastAsia="Times New Roman" w:hAnsi="Times New Roman" w:cs="Times New Roman"/>
          <w:color w:val="auto"/>
          <w:lang w:eastAsia="en-US"/>
        </w:rPr>
        <w:t>visiems ekspertams suteikiamas vienodas kompetencijos koeficientas</w:t>
      </w:r>
      <w:r w:rsidR="009B545F">
        <w:rPr>
          <w:rFonts w:ascii="Times New Roman" w:eastAsia="Times New Roman" w:hAnsi="Times New Roman" w:cs="Times New Roman"/>
          <w:color w:val="auto"/>
          <w:lang w:eastAsia="en-US"/>
        </w:rPr>
        <w:t xml:space="preserve"> (Rudzkienė, 2008)</w:t>
      </w:r>
      <w:r w:rsidR="00004FD6" w:rsidRPr="00004FD6">
        <w:rPr>
          <w:rFonts w:ascii="Times New Roman" w:eastAsia="Times New Roman" w:hAnsi="Times New Roman" w:cs="Times New Roman"/>
          <w:color w:val="auto"/>
          <w:lang w:eastAsia="en-US"/>
        </w:rPr>
        <w:t>:</w:t>
      </w:r>
      <w:r>
        <w:rPr>
          <w:rFonts w:ascii="Times New Roman" w:hAnsi="Times New Roman" w:cs="Times New Roman"/>
        </w:rPr>
        <w:t xml:space="preserve"> </w:t>
      </w:r>
      <w:r w:rsidR="00D9317B" w:rsidRPr="00D9317B">
        <w:rPr>
          <w:rFonts w:ascii="Times New Roman" w:hAnsi="Times New Roman" w:cs="Times New Roman"/>
          <w:position w:val="-12"/>
        </w:rPr>
        <w:object w:dxaOrig="980" w:dyaOrig="380">
          <v:shape id="_x0000_i1029" type="#_x0000_t75" style="width:48.75pt;height:18.75pt" o:ole="">
            <v:imagedata r:id="rId37" o:title=""/>
          </v:shape>
          <o:OLEObject Type="Embed" ProgID="Equation.3" ShapeID="_x0000_i1029" DrawAspect="Content" ObjectID="_1419603320" r:id="rId38"/>
        </w:object>
      </w:r>
      <w:r w:rsidR="004E1EC9" w:rsidRPr="00D9317B">
        <w:rPr>
          <w:rFonts w:ascii="Times New Roman" w:hAnsi="Times New Roman" w:cs="Times New Roman"/>
        </w:rPr>
        <w:t>, j=1,…,m.</w:t>
      </w:r>
    </w:p>
    <w:p w:rsidR="004E1EC9" w:rsidRDefault="00B44DD2" w:rsidP="004E1EC9">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4E1EC9" w:rsidRPr="004E1EC9">
        <w:rPr>
          <w:rFonts w:ascii="Times New Roman" w:hAnsi="Times New Roman" w:cs="Times New Roman"/>
        </w:rPr>
        <w:t xml:space="preserve">Tolesniais žingsniais </w:t>
      </w:r>
      <w:r w:rsidR="004E1EC9" w:rsidRPr="004E1EC9">
        <w:rPr>
          <w:rFonts w:ascii="Times New Roman" w:hAnsi="Times New Roman" w:cs="Times New Roman"/>
          <w:i/>
        </w:rPr>
        <w:t>t</w:t>
      </w:r>
      <w:r w:rsidR="004E1EC9" w:rsidRPr="004E1EC9">
        <w:rPr>
          <w:rFonts w:ascii="Times New Roman" w:hAnsi="Times New Roman" w:cs="Times New Roman"/>
        </w:rPr>
        <w:t>=1,2,... kompetencijos koeficientai koreguojami pagal formules</w:t>
      </w:r>
      <w:r w:rsidR="009B545F">
        <w:rPr>
          <w:rFonts w:ascii="Times New Roman" w:hAnsi="Times New Roman" w:cs="Times New Roman"/>
        </w:rPr>
        <w:t xml:space="preserve"> (Rudzkienė, p.81)</w:t>
      </w:r>
      <w:r w:rsidR="004E1EC9" w:rsidRPr="004E1EC9">
        <w:rPr>
          <w:rFonts w:ascii="Times New Roman" w:hAnsi="Times New Roman" w:cs="Times New Roman"/>
        </w:rPr>
        <w:t>:</w:t>
      </w:r>
    </w:p>
    <w:p w:rsidR="00653312" w:rsidRPr="007C20B3" w:rsidRDefault="00653312" w:rsidP="004E1EC9">
      <w:pPr>
        <w:tabs>
          <w:tab w:val="left" w:pos="0"/>
          <w:tab w:val="left" w:pos="567"/>
          <w:tab w:val="left" w:pos="1134"/>
        </w:tabs>
        <w:spacing w:line="360" w:lineRule="auto"/>
        <w:jc w:val="both"/>
        <w:rPr>
          <w:rFonts w:ascii="Times New Roman" w:hAnsi="Times New Roman" w:cs="Times New Roman"/>
          <w:sz w:val="12"/>
          <w:szCs w:val="12"/>
        </w:rPr>
      </w:pPr>
    </w:p>
    <w:p w:rsidR="004E1EC9" w:rsidRPr="004E1EC9" w:rsidRDefault="004E1EC9" w:rsidP="004E1EC9">
      <w:pPr>
        <w:tabs>
          <w:tab w:val="left" w:pos="0"/>
          <w:tab w:val="left" w:pos="567"/>
          <w:tab w:val="left" w:pos="1134"/>
        </w:tabs>
        <w:spacing w:line="360" w:lineRule="auto"/>
        <w:jc w:val="both"/>
        <w:rPr>
          <w:rFonts w:ascii="Times New Roman" w:hAnsi="Times New Roman" w:cs="Times New Roman"/>
        </w:rPr>
      </w:pPr>
      <w:r w:rsidRPr="004E1EC9">
        <w:rPr>
          <w:rFonts w:ascii="Times New Roman" w:hAnsi="Times New Roman" w:cs="Times New Roman"/>
        </w:rPr>
        <w:tab/>
      </w:r>
      <w:r w:rsidRPr="004E1EC9">
        <w:rPr>
          <w:rFonts w:ascii="Times New Roman" w:hAnsi="Times New Roman" w:cs="Times New Roman"/>
        </w:rPr>
        <w:object w:dxaOrig="1660" w:dyaOrig="680">
          <v:shape id="_x0000_i1030" type="#_x0000_t75" style="width:96.75pt;height:39.75pt" o:ole="">
            <v:imagedata r:id="rId39" o:title=""/>
          </v:shape>
          <o:OLEObject Type="Embed" ProgID="Equation.3" ShapeID="_x0000_i1030" DrawAspect="Content" ObjectID="_1419603321" r:id="rId40"/>
        </w:object>
      </w:r>
      <w:r w:rsidRPr="004E1EC9">
        <w:rPr>
          <w:rFonts w:ascii="Times New Roman" w:hAnsi="Times New Roman" w:cs="Times New Roman"/>
        </w:rPr>
        <w:t xml:space="preserve"> </w:t>
      </w:r>
      <w:r w:rsidRPr="004E1EC9">
        <w:rPr>
          <w:rFonts w:ascii="Times New Roman" w:hAnsi="Times New Roman" w:cs="Times New Roman"/>
          <w:i/>
        </w:rPr>
        <w:t>j</w:t>
      </w:r>
      <w:r w:rsidRPr="004E1EC9">
        <w:rPr>
          <w:rFonts w:ascii="Times New Roman" w:hAnsi="Times New Roman" w:cs="Times New Roman"/>
        </w:rPr>
        <w:t>=1,…,</w:t>
      </w:r>
      <w:r w:rsidRPr="004E1EC9">
        <w:rPr>
          <w:rFonts w:ascii="Times New Roman" w:hAnsi="Times New Roman" w:cs="Times New Roman"/>
          <w:i/>
        </w:rPr>
        <w:t xml:space="preserve">n </w:t>
      </w:r>
      <w:r w:rsidRPr="004E1EC9">
        <w:rPr>
          <w:rFonts w:ascii="Times New Roman" w:hAnsi="Times New Roman" w:cs="Times New Roman"/>
          <w:i/>
        </w:rPr>
        <w:tab/>
      </w:r>
      <w:r w:rsidR="00004FD6">
        <w:rPr>
          <w:rFonts w:ascii="Times New Roman" w:hAnsi="Times New Roman" w:cs="Times New Roman"/>
          <w:i/>
        </w:rPr>
        <w:tab/>
      </w:r>
      <w:r w:rsidR="00004FD6">
        <w:rPr>
          <w:rFonts w:ascii="Times New Roman" w:hAnsi="Times New Roman" w:cs="Times New Roman"/>
        </w:rPr>
        <w:t>(6</w:t>
      </w:r>
      <w:r w:rsidRPr="004E1EC9">
        <w:rPr>
          <w:rFonts w:ascii="Times New Roman" w:hAnsi="Times New Roman" w:cs="Times New Roman"/>
        </w:rPr>
        <w:t>)</w:t>
      </w:r>
    </w:p>
    <w:p w:rsidR="004E1EC9" w:rsidRPr="004E1EC9" w:rsidRDefault="004E1EC9" w:rsidP="004E1EC9">
      <w:pPr>
        <w:tabs>
          <w:tab w:val="left" w:pos="0"/>
          <w:tab w:val="left" w:pos="567"/>
          <w:tab w:val="left" w:pos="1134"/>
        </w:tabs>
        <w:spacing w:line="360" w:lineRule="auto"/>
        <w:jc w:val="both"/>
        <w:rPr>
          <w:rFonts w:ascii="Times New Roman" w:hAnsi="Times New Roman" w:cs="Times New Roman"/>
        </w:rPr>
      </w:pPr>
      <w:r w:rsidRPr="004E1EC9">
        <w:rPr>
          <w:rFonts w:ascii="Times New Roman" w:hAnsi="Times New Roman" w:cs="Times New Roman"/>
        </w:rPr>
        <w:tab/>
      </w:r>
      <w:r w:rsidRPr="004E1EC9">
        <w:rPr>
          <w:rFonts w:ascii="Times New Roman" w:hAnsi="Times New Roman" w:cs="Times New Roman"/>
        </w:rPr>
        <w:object w:dxaOrig="1680" w:dyaOrig="700">
          <v:shape id="_x0000_i1031" type="#_x0000_t75" style="width:108.75pt;height:45.75pt" o:ole="">
            <v:imagedata r:id="rId41" o:title=""/>
          </v:shape>
          <o:OLEObject Type="Embed" ProgID="Equation.3" ShapeID="_x0000_i1031" DrawAspect="Content" ObjectID="_1419603322" r:id="rId42"/>
        </w:object>
      </w:r>
      <w:r w:rsidR="00004FD6">
        <w:rPr>
          <w:rFonts w:ascii="Times New Roman" w:hAnsi="Times New Roman" w:cs="Times New Roman"/>
        </w:rPr>
        <w:tab/>
      </w:r>
      <w:r w:rsidR="00004FD6">
        <w:rPr>
          <w:rFonts w:ascii="Times New Roman" w:hAnsi="Times New Roman" w:cs="Times New Roman"/>
        </w:rPr>
        <w:tab/>
        <w:t>(7</w:t>
      </w:r>
      <w:r w:rsidRPr="004E1EC9">
        <w:rPr>
          <w:rFonts w:ascii="Times New Roman" w:hAnsi="Times New Roman" w:cs="Times New Roman"/>
        </w:rPr>
        <w:t>)</w:t>
      </w:r>
    </w:p>
    <w:p w:rsidR="005A0E88" w:rsidRPr="00FC0863" w:rsidRDefault="004E1EC9" w:rsidP="004E1EC9">
      <w:pPr>
        <w:tabs>
          <w:tab w:val="left" w:pos="0"/>
          <w:tab w:val="left" w:pos="567"/>
          <w:tab w:val="left" w:pos="1134"/>
        </w:tabs>
        <w:spacing w:line="360" w:lineRule="auto"/>
        <w:jc w:val="both"/>
        <w:rPr>
          <w:rFonts w:ascii="Times New Roman" w:hAnsi="Times New Roman" w:cs="Times New Roman"/>
        </w:rPr>
      </w:pPr>
      <w:r w:rsidRPr="004E1EC9">
        <w:rPr>
          <w:rFonts w:ascii="Times New Roman" w:hAnsi="Times New Roman" w:cs="Times New Roman"/>
        </w:rPr>
        <w:tab/>
      </w:r>
      <w:r w:rsidR="007303BE" w:rsidRPr="007303BE">
        <w:rPr>
          <w:rFonts w:ascii="Times New Roman" w:hAnsi="Times New Roman" w:cs="Times New Roman"/>
          <w:position w:val="-30"/>
        </w:rPr>
        <w:object w:dxaOrig="1860" w:dyaOrig="700">
          <v:shape id="_x0000_i1032" type="#_x0000_t75" style="width:104.25pt;height:39.75pt" o:ole="">
            <v:imagedata r:id="rId43" o:title=""/>
          </v:shape>
          <o:OLEObject Type="Embed" ProgID="Equation.3" ShapeID="_x0000_i1032" DrawAspect="Content" ObjectID="_1419603323" r:id="rId44"/>
        </w:object>
      </w:r>
      <w:r w:rsidR="00004FD6">
        <w:rPr>
          <w:rFonts w:ascii="Times New Roman" w:hAnsi="Times New Roman" w:cs="Times New Roman"/>
        </w:rPr>
        <w:tab/>
      </w:r>
      <w:r w:rsidR="00004FD6">
        <w:rPr>
          <w:rFonts w:ascii="Times New Roman" w:hAnsi="Times New Roman" w:cs="Times New Roman"/>
        </w:rPr>
        <w:tab/>
        <w:t>(8)</w:t>
      </w:r>
    </w:p>
    <w:p w:rsidR="00653312" w:rsidRPr="007C20B3" w:rsidRDefault="003A6BF2" w:rsidP="00A84F2E">
      <w:pPr>
        <w:tabs>
          <w:tab w:val="left" w:pos="0"/>
          <w:tab w:val="left" w:pos="567"/>
          <w:tab w:val="left" w:pos="1134"/>
        </w:tabs>
        <w:spacing w:line="360" w:lineRule="auto"/>
        <w:jc w:val="both"/>
        <w:rPr>
          <w:rFonts w:ascii="Times New Roman" w:hAnsi="Times New Roman" w:cs="Times New Roman"/>
          <w:sz w:val="12"/>
          <w:szCs w:val="12"/>
        </w:rPr>
      </w:pPr>
      <w:r>
        <w:rPr>
          <w:rFonts w:ascii="Times New Roman" w:hAnsi="Times New Roman" w:cs="Times New Roman"/>
        </w:rPr>
        <w:tab/>
      </w:r>
    </w:p>
    <w:p w:rsidR="00154513" w:rsidRDefault="00653312" w:rsidP="00A84F2E">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3A6BF2">
        <w:rPr>
          <w:rFonts w:ascii="Times New Roman" w:hAnsi="Times New Roman" w:cs="Times New Roman"/>
        </w:rPr>
        <w:t xml:space="preserve">Darbo autoriaus nuomone, šių formulių detalizavimas nėra prasmingas. </w:t>
      </w:r>
      <w:r w:rsidR="006D5DF9">
        <w:rPr>
          <w:rFonts w:ascii="Times New Roman" w:hAnsi="Times New Roman" w:cs="Times New Roman"/>
        </w:rPr>
        <w:t>Norint atlikti skaičiavimus bus sudaromos papildomos lentelės</w:t>
      </w:r>
      <w:r w:rsidR="007526DA">
        <w:rPr>
          <w:rFonts w:ascii="Times New Roman" w:hAnsi="Times New Roman" w:cs="Times New Roman"/>
        </w:rPr>
        <w:t>, kuriose bus įvertinami grupiniai įverčiai bei gaunami kompetencijos įverčiai. Iteracinio būdo esmė, kad kompetencijų įverčių suma turi būti lygi vienetui. Jeigu visų kompetencijos įverčių suma lygi vienetui, tokiu atveju galima teigti, kad visų ekspertų nuomonė, atitinka grupės nuomonę</w:t>
      </w:r>
      <w:r w:rsidR="00154513">
        <w:rPr>
          <w:rFonts w:ascii="Times New Roman" w:hAnsi="Times New Roman" w:cs="Times New Roman"/>
        </w:rPr>
        <w:t>.</w:t>
      </w:r>
    </w:p>
    <w:p w:rsidR="005A1DBE" w:rsidRDefault="00154513" w:rsidP="005A1DBE">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t xml:space="preserve">Jeigu </w:t>
      </w:r>
      <w:r w:rsidR="00E92814">
        <w:rPr>
          <w:rFonts w:ascii="Times New Roman" w:hAnsi="Times New Roman" w:cs="Times New Roman"/>
        </w:rPr>
        <w:t>ekspertų nuomonės yra suderinamos, taigi jų pagalba galima priimti sprendimus.</w:t>
      </w:r>
      <w:r w:rsidR="007526DA">
        <w:rPr>
          <w:rFonts w:ascii="Times New Roman" w:hAnsi="Times New Roman" w:cs="Times New Roman"/>
        </w:rPr>
        <w:t xml:space="preserve"> </w:t>
      </w:r>
      <w:r>
        <w:rPr>
          <w:rFonts w:ascii="Times New Roman" w:hAnsi="Times New Roman" w:cs="Times New Roman"/>
        </w:rPr>
        <w:t>Po rezultatų interpretavimo, pateikiami ekspertinio vertinimo rezultatai bei išvados.</w:t>
      </w:r>
      <w:r w:rsidR="005A1DBE">
        <w:rPr>
          <w:rFonts w:ascii="Times New Roman" w:hAnsi="Times New Roman" w:cs="Times New Roman"/>
        </w:rPr>
        <w:t xml:space="preserve"> </w:t>
      </w:r>
    </w:p>
    <w:p w:rsidR="00A06AA3" w:rsidRDefault="005A1DBE" w:rsidP="005A1DBE">
      <w:pPr>
        <w:tabs>
          <w:tab w:val="left" w:pos="0"/>
          <w:tab w:val="left" w:pos="567"/>
          <w:tab w:val="left" w:pos="1134"/>
        </w:tabs>
        <w:spacing w:line="360" w:lineRule="auto"/>
        <w:jc w:val="both"/>
        <w:rPr>
          <w:rFonts w:ascii="Times New Roman" w:hAnsi="Times New Roman" w:cs="Times New Roman"/>
        </w:rPr>
      </w:pPr>
      <w:r>
        <w:rPr>
          <w:rFonts w:ascii="Times New Roman" w:hAnsi="Times New Roman" w:cs="Times New Roman"/>
        </w:rPr>
        <w:tab/>
        <w:t xml:space="preserve">Galiausiai, </w:t>
      </w:r>
      <w:r w:rsidRPr="005A1DBE">
        <w:rPr>
          <w:rFonts w:ascii="Times New Roman" w:hAnsi="Times New Roman" w:cs="Times New Roman"/>
        </w:rPr>
        <w:t xml:space="preserve">atlikus teorinę </w:t>
      </w:r>
      <w:r>
        <w:rPr>
          <w:rFonts w:ascii="Times New Roman" w:hAnsi="Times New Roman" w:cs="Times New Roman"/>
        </w:rPr>
        <w:t xml:space="preserve">lizingo rinkos </w:t>
      </w:r>
      <w:r w:rsidRPr="005A1DBE">
        <w:rPr>
          <w:rFonts w:ascii="Times New Roman" w:hAnsi="Times New Roman" w:cs="Times New Roman"/>
        </w:rPr>
        <w:t>įtakos šalies ekonomikai analizę,</w:t>
      </w:r>
      <w:r>
        <w:rPr>
          <w:rFonts w:ascii="Times New Roman" w:hAnsi="Times New Roman" w:cs="Times New Roman"/>
        </w:rPr>
        <w:t xml:space="preserve"> </w:t>
      </w:r>
      <w:r w:rsidR="00CC4662">
        <w:rPr>
          <w:rFonts w:ascii="Times New Roman" w:hAnsi="Times New Roman" w:cs="Times New Roman"/>
        </w:rPr>
        <w:t>remiantis</w:t>
      </w:r>
      <w:r>
        <w:rPr>
          <w:rFonts w:ascii="Times New Roman" w:hAnsi="Times New Roman" w:cs="Times New Roman"/>
        </w:rPr>
        <w:t xml:space="preserve"> autorių atliktais tyrimais, </w:t>
      </w:r>
      <w:r w:rsidR="00CC4662">
        <w:rPr>
          <w:rFonts w:ascii="Times New Roman" w:hAnsi="Times New Roman" w:cs="Times New Roman"/>
        </w:rPr>
        <w:t>jų naudotais metodais, gautais rezultatais</w:t>
      </w:r>
      <w:r>
        <w:rPr>
          <w:rFonts w:ascii="Times New Roman" w:hAnsi="Times New Roman" w:cs="Times New Roman"/>
        </w:rPr>
        <w:t xml:space="preserve"> bei tolimesnių tyrimų pasiūlymais</w:t>
      </w:r>
      <w:r w:rsidR="00CC4662">
        <w:rPr>
          <w:rFonts w:ascii="Times New Roman" w:hAnsi="Times New Roman" w:cs="Times New Roman"/>
        </w:rPr>
        <w:t xml:space="preserve">, </w:t>
      </w:r>
      <w:r w:rsidRPr="005A1DBE">
        <w:rPr>
          <w:rFonts w:ascii="Times New Roman" w:hAnsi="Times New Roman" w:cs="Times New Roman"/>
        </w:rPr>
        <w:t xml:space="preserve">suformuotas teorinis </w:t>
      </w:r>
      <w:r w:rsidR="00CC4662">
        <w:rPr>
          <w:rFonts w:ascii="Times New Roman" w:hAnsi="Times New Roman" w:cs="Times New Roman"/>
          <w:iCs/>
        </w:rPr>
        <w:t>lizingo rinkos įtakos ekonomikai</w:t>
      </w:r>
      <w:r w:rsidRPr="005A1DBE">
        <w:rPr>
          <w:rFonts w:ascii="Times New Roman" w:hAnsi="Times New Roman" w:cs="Times New Roman"/>
          <w:iCs/>
        </w:rPr>
        <w:t xml:space="preserve"> įvertinimo modelis (žr. 5 pav.)</w:t>
      </w:r>
      <w:r w:rsidRPr="005A1DBE">
        <w:rPr>
          <w:rFonts w:ascii="Times New Roman" w:hAnsi="Times New Roman" w:cs="Times New Roman"/>
        </w:rPr>
        <w:t xml:space="preserve">. </w:t>
      </w:r>
      <w:r w:rsidR="00CC4662">
        <w:rPr>
          <w:rFonts w:ascii="Times New Roman" w:hAnsi="Times New Roman" w:cs="Times New Roman"/>
        </w:rPr>
        <w:t>Pagal sudarytą modelį</w:t>
      </w:r>
      <w:r w:rsidRPr="005A1DBE">
        <w:rPr>
          <w:rFonts w:ascii="Times New Roman" w:hAnsi="Times New Roman" w:cs="Times New Roman"/>
        </w:rPr>
        <w:t xml:space="preserve">, </w:t>
      </w:r>
      <w:r w:rsidR="006A1B27">
        <w:rPr>
          <w:rFonts w:ascii="Times New Roman" w:hAnsi="Times New Roman" w:cs="Times New Roman"/>
        </w:rPr>
        <w:t>bus</w:t>
      </w:r>
      <w:r w:rsidRPr="005A1DBE">
        <w:rPr>
          <w:rFonts w:ascii="Times New Roman" w:hAnsi="Times New Roman" w:cs="Times New Roman"/>
        </w:rPr>
        <w:t xml:space="preserve"> atliekamas tyrimas</w:t>
      </w:r>
      <w:r w:rsidR="00CC4662">
        <w:rPr>
          <w:rFonts w:ascii="Times New Roman" w:hAnsi="Times New Roman" w:cs="Times New Roman"/>
        </w:rPr>
        <w:t xml:space="preserve">, kuris remiantis šiame poskyryje aprašytais metodais </w:t>
      </w:r>
      <w:r w:rsidR="000815B2">
        <w:rPr>
          <w:rFonts w:ascii="Times New Roman" w:hAnsi="Times New Roman" w:cs="Times New Roman"/>
        </w:rPr>
        <w:t>padės</w:t>
      </w:r>
      <w:r w:rsidR="00CC4662">
        <w:rPr>
          <w:rFonts w:ascii="Times New Roman" w:hAnsi="Times New Roman" w:cs="Times New Roman"/>
        </w:rPr>
        <w:t xml:space="preserve"> patvirtinti arba paneig</w:t>
      </w:r>
      <w:r w:rsidR="000815B2">
        <w:rPr>
          <w:rFonts w:ascii="Times New Roman" w:hAnsi="Times New Roman" w:cs="Times New Roman"/>
        </w:rPr>
        <w:t>ti</w:t>
      </w:r>
      <w:r w:rsidR="00CC4662">
        <w:rPr>
          <w:rFonts w:ascii="Times New Roman" w:hAnsi="Times New Roman" w:cs="Times New Roman"/>
        </w:rPr>
        <w:t xml:space="preserve"> suformuotame modelyje iškeltas hipotezes</w:t>
      </w:r>
      <w:r w:rsidR="003B2EDE">
        <w:rPr>
          <w:rFonts w:ascii="Times New Roman" w:hAnsi="Times New Roman" w:cs="Times New Roman"/>
        </w:rPr>
        <w:t>,</w:t>
      </w:r>
      <w:r w:rsidR="000815B2">
        <w:rPr>
          <w:rFonts w:ascii="Times New Roman" w:hAnsi="Times New Roman" w:cs="Times New Roman"/>
        </w:rPr>
        <w:t xml:space="preserve"> įgyvendinti išsikeltus uždavinius</w:t>
      </w:r>
      <w:r w:rsidRPr="005A1DBE">
        <w:rPr>
          <w:rFonts w:ascii="Times New Roman" w:hAnsi="Times New Roman" w:cs="Times New Roman"/>
        </w:rPr>
        <w:t xml:space="preserve"> </w:t>
      </w:r>
      <w:r w:rsidR="00CC4662">
        <w:rPr>
          <w:rFonts w:ascii="Times New Roman" w:hAnsi="Times New Roman" w:cs="Times New Roman"/>
        </w:rPr>
        <w:t xml:space="preserve">bei pasiekti </w:t>
      </w:r>
      <w:r w:rsidR="000815B2">
        <w:rPr>
          <w:rFonts w:ascii="Times New Roman" w:hAnsi="Times New Roman" w:cs="Times New Roman"/>
        </w:rPr>
        <w:t xml:space="preserve">galutinį </w:t>
      </w:r>
      <w:r w:rsidR="00CC4662">
        <w:rPr>
          <w:rFonts w:ascii="Times New Roman" w:hAnsi="Times New Roman" w:cs="Times New Roman"/>
        </w:rPr>
        <w:t>darbo tikslą – įvertinti lizingo rinkos įtaką Lietuvos ekonomikai.</w:t>
      </w:r>
      <w:r w:rsidR="00790F71">
        <w:rPr>
          <w:rFonts w:ascii="Times New Roman" w:hAnsi="Times New Roman" w:cs="Times New Roman"/>
        </w:rPr>
        <w:t xml:space="preserve"> Pats modelis sudaromas</w:t>
      </w:r>
      <w:r w:rsidR="00F710A1">
        <w:rPr>
          <w:rFonts w:ascii="Times New Roman" w:hAnsi="Times New Roman" w:cs="Times New Roman"/>
        </w:rPr>
        <w:t xml:space="preserve"> taip, kad jį būtų galima būtų pritaikyti tiriant ne tik Lietuvos, bet ir kitų šalių lizingo rinkos įtaką šalies ekonomikai.</w:t>
      </w:r>
    </w:p>
    <w:p w:rsidR="005D1814" w:rsidRDefault="00326B1A" w:rsidP="005D1814">
      <w:pPr>
        <w:spacing w:after="200" w:line="276" w:lineRule="auto"/>
        <w:jc w:val="center"/>
        <w:rPr>
          <w:rFonts w:ascii="Times New Roman" w:hAnsi="Times New Roman" w:cs="Times New Roman"/>
        </w:rPr>
      </w:pPr>
      <w:r>
        <w:rPr>
          <w:rFonts w:ascii="Times New Roman" w:hAnsi="Times New Roman" w:cs="Times New Roman"/>
          <w:noProof/>
        </w:rPr>
        <w:lastRenderedPageBreak/>
        <mc:AlternateContent>
          <mc:Choice Requires="wps">
            <w:drawing>
              <wp:anchor distT="0" distB="0" distL="114300" distR="114300" simplePos="0" relativeHeight="251718656" behindDoc="0" locked="0" layoutInCell="1" allowOverlap="1" wp14:anchorId="5B28CEB0" wp14:editId="478E1B2A">
                <wp:simplePos x="0" y="0"/>
                <wp:positionH relativeFrom="column">
                  <wp:posOffset>118745</wp:posOffset>
                </wp:positionH>
                <wp:positionV relativeFrom="paragraph">
                  <wp:posOffset>266065</wp:posOffset>
                </wp:positionV>
                <wp:extent cx="6260465" cy="617220"/>
                <wp:effectExtent l="76200" t="38100" r="102235" b="106680"/>
                <wp:wrapNone/>
                <wp:docPr id="25" name="Flowchart: Alternate Process 25"/>
                <wp:cNvGraphicFramePr/>
                <a:graphic xmlns:a="http://schemas.openxmlformats.org/drawingml/2006/main">
                  <a:graphicData uri="http://schemas.microsoft.com/office/word/2010/wordprocessingShape">
                    <wps:wsp>
                      <wps:cNvSpPr/>
                      <wps:spPr>
                        <a:xfrm>
                          <a:off x="0" y="0"/>
                          <a:ext cx="6260465" cy="617220"/>
                        </a:xfrm>
                        <a:prstGeom prst="flowChartAlternateProcess">
                          <a:avLst/>
                        </a:prstGeom>
                      </wps:spPr>
                      <wps:style>
                        <a:lnRef idx="0">
                          <a:schemeClr val="accent6"/>
                        </a:lnRef>
                        <a:fillRef idx="3">
                          <a:schemeClr val="accent6"/>
                        </a:fillRef>
                        <a:effectRef idx="3">
                          <a:schemeClr val="accent6"/>
                        </a:effectRef>
                        <a:fontRef idx="minor">
                          <a:schemeClr val="lt1"/>
                        </a:fontRef>
                      </wps:style>
                      <wps:txbx>
                        <w:txbxContent>
                          <w:p w:rsidR="0041099D" w:rsidRPr="00D22C10" w:rsidRDefault="0041099D" w:rsidP="00D965D3">
                            <w:pPr>
                              <w:jc w:val="center"/>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Lizingo rinkos įtakos šalies</w:t>
                            </w:r>
                            <w:r w:rsidRPr="00D22C10">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 ekonomikai</w:t>
                            </w:r>
                            <w:r>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 </w:t>
                            </w:r>
                            <w:r w:rsidRPr="00402B67">
                              <w:rPr>
                                <w:rFonts w:asciiTheme="minorHAnsi" w:hAnsiTheme="minorHAnsi" w:cstheme="minorHAnsi"/>
                                <w:b/>
                                <w:caps/>
                                <w:sz w:val="32"/>
                                <w:szCs w:val="32"/>
                                <w:u w:val="single"/>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vertinimas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5" o:spid="_x0000_s1144" type="#_x0000_t176" style="position:absolute;left:0;text-align:left;margin-left:9.35pt;margin-top:20.95pt;width:492.95pt;height:48.6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" fillcolor="#9a4906 [1641]" stroked="f">
                <v:fill color2="#f68a32 [3017]" rotate="t" angle="180" colors="0 #cb6c1d;52429f #ff8f2a;1 #ff8f26" focus="100%" type="gradient">
                  <o:fill v:ext="view" type="gradientUnscaled"/>
                </v:fill>
                <v:shadow on="t" color="black" opacity="22937f" origin=",.5" offset="0,.63889mm"/>
                <v:textbox>
                  <w:txbxContent>
                    <w:p w:rsidR="0041099D" w:rsidRPr="00D22C10" w:rsidRDefault="0041099D" w:rsidP="00D965D3">
                      <w:pPr>
                        <w:jc w:val="center"/>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Lizingo rinkos įtakos šalies</w:t>
                      </w:r>
                      <w:r w:rsidRPr="00D22C10">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 ekonomikai</w:t>
                      </w:r>
                      <w:r>
                        <w:rPr>
                          <w:rFonts w:asciiTheme="minorHAnsi" w:hAnsiTheme="minorHAnsi" w:cstheme="minorHAnsi"/>
                          <w:b/>
                          <w:caps/>
                          <w:sz w:val="32"/>
                          <w:szCs w:val="3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 </w:t>
                      </w:r>
                      <w:r w:rsidRPr="00402B67">
                        <w:rPr>
                          <w:rFonts w:asciiTheme="minorHAnsi" w:hAnsiTheme="minorHAnsi" w:cstheme="minorHAnsi"/>
                          <w:b/>
                          <w:caps/>
                          <w:sz w:val="32"/>
                          <w:szCs w:val="32"/>
                          <w:u w:val="single"/>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vertinimas</w:t>
                      </w:r>
                    </w:p>
                  </w:txbxContent>
                </v:textbox>
              </v:shape>
            </w:pict>
          </mc:Fallback>
        </mc:AlternateContent>
      </w:r>
      <w:r w:rsidR="005D1814">
        <w:rPr>
          <w:rFonts w:ascii="Times New Roman" w:hAnsi="Times New Roman" w:cs="Times New Roman"/>
          <w:noProof/>
        </w:rPr>
        <mc:AlternateContent>
          <mc:Choice Requires="wps">
            <w:drawing>
              <wp:anchor distT="0" distB="0" distL="114300" distR="114300" simplePos="0" relativeHeight="251644927" behindDoc="0" locked="0" layoutInCell="1" allowOverlap="1" wp14:anchorId="31B5034F" wp14:editId="084CBA81">
                <wp:simplePos x="0" y="0"/>
                <wp:positionH relativeFrom="column">
                  <wp:posOffset>6069965</wp:posOffset>
                </wp:positionH>
                <wp:positionV relativeFrom="paragraph">
                  <wp:posOffset>1299845</wp:posOffset>
                </wp:positionV>
                <wp:extent cx="308610" cy="569595"/>
                <wp:effectExtent l="0" t="0" r="15240" b="20955"/>
                <wp:wrapNone/>
                <wp:docPr id="835" name="Rounded Rectangle 835"/>
                <wp:cNvGraphicFramePr/>
                <a:graphic xmlns:a="http://schemas.openxmlformats.org/drawingml/2006/main">
                  <a:graphicData uri="http://schemas.microsoft.com/office/word/2010/wordprocessingShape">
                    <wps:wsp>
                      <wps:cNvSpPr/>
                      <wps:spPr>
                        <a:xfrm>
                          <a:off x="0" y="0"/>
                          <a:ext cx="308610" cy="569595"/>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099D" w:rsidRPr="00D965D3" w:rsidRDefault="0041099D" w:rsidP="00D965D3">
                            <w:pPr>
                              <w:jc w:val="cente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sidRPr="00D965D3">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835" o:spid="_x0000_s1145" style="position:absolute;left:0;text-align:left;margin-left:477.95pt;margin-top:102.35pt;width:24.3pt;height:44.85pt;z-index:25164492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" fillcolor="white [3212]" strokecolor="white [3212]" strokeweight="2pt">
                <v:textbox inset="0,0,0,0">
                  <w:txbxContent>
                    <w:p w:rsidR="0041099D" w:rsidRPr="00D965D3" w:rsidRDefault="0041099D" w:rsidP="00D965D3">
                      <w:pPr>
                        <w:jc w:val="cente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sidRPr="00D965D3">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3</w:t>
                      </w:r>
                    </w:p>
                  </w:txbxContent>
                </v:textbox>
              </v:roundrect>
            </w:pict>
          </mc:Fallback>
        </mc:AlternateContent>
      </w:r>
    </w:p>
    <w:p w:rsidR="001858BC" w:rsidRDefault="001858BC" w:rsidP="005D1814">
      <w:pPr>
        <w:spacing w:after="200" w:line="276" w:lineRule="auto"/>
        <w:rPr>
          <w:rFonts w:ascii="Times New Roman" w:hAnsi="Times New Roman" w:cs="Times New Roman"/>
        </w:rPr>
      </w:pPr>
    </w:p>
    <w:p w:rsidR="001858BC" w:rsidRDefault="00D60299"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32992" behindDoc="0" locked="0" layoutInCell="1" allowOverlap="1" wp14:anchorId="427C6393" wp14:editId="3904D552">
                <wp:simplePos x="0" y="0"/>
                <wp:positionH relativeFrom="column">
                  <wp:posOffset>263352</wp:posOffset>
                </wp:positionH>
                <wp:positionV relativeFrom="paragraph">
                  <wp:posOffset>299589</wp:posOffset>
                </wp:positionV>
                <wp:extent cx="23750" cy="4286991"/>
                <wp:effectExtent l="114300" t="38100" r="71755" b="75565"/>
                <wp:wrapNone/>
                <wp:docPr id="848" name="Straight Arrow Connector 848"/>
                <wp:cNvGraphicFramePr/>
                <a:graphic xmlns:a="http://schemas.openxmlformats.org/drawingml/2006/main">
                  <a:graphicData uri="http://schemas.microsoft.com/office/word/2010/wordprocessingShape">
                    <wps:wsp>
                      <wps:cNvCnPr/>
                      <wps:spPr>
                        <a:xfrm flipH="1" flipV="1">
                          <a:off x="0" y="0"/>
                          <a:ext cx="23750" cy="4286991"/>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48" o:spid="_x0000_s1026" type="#_x0000_t32" style="position:absolute;margin-left:20.75pt;margin-top:23.6pt;width:1.85pt;height:337.55pt;flip:x 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" strokecolor="#4f81bd [3204]" strokeweight="2pt">
                <v:stroke endarrow="open"/>
                <v:shadow on="t" color="black" opacity="24903f" origin=",.5" offset="0,.55556mm"/>
              </v:shape>
            </w:pict>
          </mc:Fallback>
        </mc:AlternateContent>
      </w:r>
      <w:r w:rsidR="00326B1A">
        <w:rPr>
          <w:rFonts w:ascii="Times New Roman" w:hAnsi="Times New Roman" w:cs="Times New Roman"/>
          <w:noProof/>
        </w:rPr>
        <mc:AlternateContent>
          <mc:Choice Requires="wps">
            <w:drawing>
              <wp:anchor distT="0" distB="0" distL="114300" distR="114300" simplePos="0" relativeHeight="251728896" behindDoc="0" locked="0" layoutInCell="1" allowOverlap="1" wp14:anchorId="0978793E" wp14:editId="6DCFF9D1">
                <wp:simplePos x="0" y="0"/>
                <wp:positionH relativeFrom="column">
                  <wp:posOffset>3207978</wp:posOffset>
                </wp:positionH>
                <wp:positionV relativeFrom="paragraph">
                  <wp:posOffset>299588</wp:posOffset>
                </wp:positionV>
                <wp:extent cx="689223" cy="260986"/>
                <wp:effectExtent l="19050" t="76200" r="53975" b="81915"/>
                <wp:wrapNone/>
                <wp:docPr id="843" name="Straight Arrow Connector 843"/>
                <wp:cNvGraphicFramePr/>
                <a:graphic xmlns:a="http://schemas.openxmlformats.org/drawingml/2006/main">
                  <a:graphicData uri="http://schemas.microsoft.com/office/word/2010/wordprocessingShape">
                    <wps:wsp>
                      <wps:cNvCnPr/>
                      <wps:spPr>
                        <a:xfrm flipH="1" flipV="1">
                          <a:off x="0" y="0"/>
                          <a:ext cx="689223" cy="260986"/>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43" o:spid="_x0000_s1026" type="#_x0000_t32" style="position:absolute;margin-left:252.6pt;margin-top:23.6pt;width:54.25pt;height:20.55pt;flip:x y;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" strokecolor="#4f81bd [3204]" strokeweight="3pt">
                <v:stroke endarrow="open"/>
                <v:shadow on="t" color="black" opacity="22937f" origin=",.5" offset="0,.63889mm"/>
              </v:shape>
            </w:pict>
          </mc:Fallback>
        </mc:AlternateContent>
      </w:r>
      <w:r w:rsidR="00326B1A">
        <w:rPr>
          <w:rFonts w:ascii="Times New Roman" w:hAnsi="Times New Roman" w:cs="Times New Roman"/>
          <w:noProof/>
        </w:rPr>
        <mc:AlternateContent>
          <mc:Choice Requires="wps">
            <w:drawing>
              <wp:anchor distT="0" distB="0" distL="114300" distR="114300" simplePos="0" relativeHeight="251724800" behindDoc="0" locked="0" layoutInCell="1" allowOverlap="1" wp14:anchorId="5EAFACE7" wp14:editId="1488FC01">
                <wp:simplePos x="0" y="0"/>
                <wp:positionH relativeFrom="column">
                  <wp:posOffset>1816668</wp:posOffset>
                </wp:positionH>
                <wp:positionV relativeFrom="paragraph">
                  <wp:posOffset>299589</wp:posOffset>
                </wp:positionV>
                <wp:extent cx="465456" cy="261256"/>
                <wp:effectExtent l="38100" t="38100" r="48895" b="81915"/>
                <wp:wrapNone/>
                <wp:docPr id="841" name="Straight Arrow Connector 841"/>
                <wp:cNvGraphicFramePr/>
                <a:graphic xmlns:a="http://schemas.openxmlformats.org/drawingml/2006/main">
                  <a:graphicData uri="http://schemas.microsoft.com/office/word/2010/wordprocessingShape">
                    <wps:wsp>
                      <wps:cNvCnPr/>
                      <wps:spPr>
                        <a:xfrm flipV="1">
                          <a:off x="0" y="0"/>
                          <a:ext cx="465456" cy="261256"/>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41" o:spid="_x0000_s1026" type="#_x0000_t32" style="position:absolute;margin-left:143.05pt;margin-top:23.6pt;width:36.65pt;height:20.55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" strokecolor="#4f81bd [3204]" strokeweight="2pt">
                <v:stroke endarrow="open"/>
                <v:shadow on="t" color="black" opacity="24903f" origin=",.5" offset="0,.55556mm"/>
              </v:shape>
            </w:pict>
          </mc:Fallback>
        </mc:AlternateContent>
      </w:r>
    </w:p>
    <w:p w:rsidR="001858BC" w:rsidRDefault="00326B1A"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721728" behindDoc="0" locked="0" layoutInCell="1" allowOverlap="1" wp14:anchorId="66385CEC" wp14:editId="1B51AA2B">
                <wp:simplePos x="0" y="0"/>
                <wp:positionH relativeFrom="column">
                  <wp:posOffset>3778918</wp:posOffset>
                </wp:positionH>
                <wp:positionV relativeFrom="paragraph">
                  <wp:posOffset>99448</wp:posOffset>
                </wp:positionV>
                <wp:extent cx="2291715" cy="2743200"/>
                <wp:effectExtent l="57150" t="19050" r="70485" b="95250"/>
                <wp:wrapNone/>
                <wp:docPr id="834" name="Group 834"/>
                <wp:cNvGraphicFramePr/>
                <a:graphic xmlns:a="http://schemas.openxmlformats.org/drawingml/2006/main">
                  <a:graphicData uri="http://schemas.microsoft.com/office/word/2010/wordprocessingGroup">
                    <wpg:wgp>
                      <wpg:cNvGrpSpPr/>
                      <wpg:grpSpPr>
                        <a:xfrm>
                          <a:off x="0" y="0"/>
                          <a:ext cx="2291715" cy="2743200"/>
                          <a:chOff x="213755" y="0"/>
                          <a:chExt cx="2292155" cy="2743200"/>
                        </a:xfrm>
                      </wpg:grpSpPr>
                      <wps:wsp>
                        <wps:cNvPr id="778" name="Rounded Rectangle 778"/>
                        <wps:cNvSpPr/>
                        <wps:spPr>
                          <a:xfrm>
                            <a:off x="213755" y="0"/>
                            <a:ext cx="2292155" cy="2743200"/>
                          </a:xfrm>
                          <a:prstGeom prst="roundRect">
                            <a:avLst>
                              <a:gd name="adj" fmla="val 19264"/>
                            </a:avLst>
                          </a:prstGeom>
                        </wps:spPr>
                        <wps:style>
                          <a:lnRef idx="1">
                            <a:schemeClr val="accent5"/>
                          </a:lnRef>
                          <a:fillRef idx="3">
                            <a:schemeClr val="accent5"/>
                          </a:fillRef>
                          <a:effectRef idx="2">
                            <a:schemeClr val="accent5"/>
                          </a:effectRef>
                          <a:fontRef idx="minor">
                            <a:schemeClr val="lt1"/>
                          </a:fontRef>
                        </wps:style>
                        <wps:txbx>
                          <w:txbxContent>
                            <w:p w:rsidR="0041099D" w:rsidRPr="00AD5D62" w:rsidRDefault="0041099D" w:rsidP="00D22C10">
                              <w:pPr>
                                <w:jc w:val="cente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sidRPr="00AD5D62">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Ekspertinis vertinimas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cene3d>
                            <a:camera prst="orthographicFront"/>
                            <a:lightRig rig="glow" dir="tl">
                              <a:rot lat="0" lon="0" rev="5400000"/>
                            </a:lightRig>
                          </a:scene3d>
                          <a:sp3d contourW="12700">
                            <a:bevelT w="25400" h="25400"/>
                            <a:contourClr>
                              <a:schemeClr val="accent6">
                                <a:shade val="73000"/>
                              </a:schemeClr>
                            </a:contourClr>
                          </a:sp3d>
                        </wps:bodyPr>
                      </wps:wsp>
                      <wps:wsp>
                        <wps:cNvPr id="826" name="Rounded Rectangle 826"/>
                        <wps:cNvSpPr/>
                        <wps:spPr>
                          <a:xfrm>
                            <a:off x="475013" y="439387"/>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402B67" w:rsidRDefault="0041099D" w:rsidP="00402B67">
                              <w:pPr>
                                <w:tabs>
                                  <w:tab w:val="left" w:pos="0"/>
                                  <w:tab w:val="left" w:pos="1134"/>
                                </w:tabs>
                                <w:jc w:val="center"/>
                                <w:rPr>
                                  <w:rFonts w:asciiTheme="minorHAnsi" w:hAnsiTheme="minorHAnsi" w:cstheme="minorHAnsi"/>
                                </w:rPr>
                              </w:pPr>
                              <w:r>
                                <w:rPr>
                                  <w:rFonts w:asciiTheme="minorHAnsi" w:hAnsiTheme="minorHAnsi" w:cstheme="minorHAnsi"/>
                                </w:rPr>
                                <w:t>Ekspertų nuomonės</w:t>
                              </w:r>
                              <w:r w:rsidRPr="00402B67">
                                <w:rPr>
                                  <w:rFonts w:asciiTheme="minorHAnsi" w:hAnsiTheme="minorHAnsi" w:cstheme="minorHAnsi"/>
                                </w:rPr>
                                <w:t xml:space="preserve"> apie lizingo r</w:t>
                              </w:r>
                              <w:r>
                                <w:rPr>
                                  <w:rFonts w:asciiTheme="minorHAnsi" w:hAnsiTheme="minorHAnsi" w:cstheme="minorHAnsi"/>
                                </w:rPr>
                                <w:t>inkos įtaką šalies ekonomikai išsiaiškinimas</w:t>
                              </w:r>
                            </w:p>
                            <w:p w:rsidR="0041099D" w:rsidRPr="00A210CA" w:rsidRDefault="0041099D" w:rsidP="00E14C67">
                              <w:pPr>
                                <w:jc w:val="center"/>
                                <w:rPr>
                                  <w:rFonts w:asciiTheme="minorHAnsi" w:hAnsiTheme="minorHAnsi" w:cstheme="minorHAnsi"/>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27" name="Rounded Rectangle 827"/>
                        <wps:cNvSpPr/>
                        <wps:spPr>
                          <a:xfrm>
                            <a:off x="475013" y="1187532"/>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402B67" w:rsidRDefault="0041099D" w:rsidP="00402B67">
                              <w:pPr>
                                <w:tabs>
                                  <w:tab w:val="left" w:pos="0"/>
                                  <w:tab w:val="left" w:pos="1134"/>
                                </w:tabs>
                                <w:jc w:val="center"/>
                                <w:rPr>
                                  <w:rFonts w:asciiTheme="minorHAnsi" w:hAnsiTheme="minorHAnsi" w:cstheme="minorHAnsi"/>
                                </w:rPr>
                              </w:pPr>
                              <w:r>
                                <w:rPr>
                                  <w:rFonts w:asciiTheme="minorHAnsi" w:hAnsiTheme="minorHAnsi" w:cstheme="minorHAnsi"/>
                                </w:rPr>
                                <w:t>Pagrindinių</w:t>
                              </w:r>
                              <w:r w:rsidRPr="00402B67">
                                <w:rPr>
                                  <w:rFonts w:asciiTheme="minorHAnsi" w:hAnsiTheme="minorHAnsi" w:cstheme="minorHAnsi"/>
                                </w:rPr>
                                <w:t xml:space="preserve"> </w:t>
                              </w:r>
                              <w:r>
                                <w:rPr>
                                  <w:rFonts w:asciiTheme="minorHAnsi" w:hAnsiTheme="minorHAnsi" w:cstheme="minorHAnsi"/>
                                </w:rPr>
                                <w:t>priežasčių, trukdančių lizingo rinkai plėstis nustatymas</w:t>
                              </w:r>
                            </w:p>
                            <w:p w:rsidR="0041099D" w:rsidRPr="00A210CA" w:rsidRDefault="0041099D" w:rsidP="00E14C67">
                              <w:pPr>
                                <w:jc w:val="center"/>
                                <w:rPr>
                                  <w:rFonts w:asciiTheme="minorHAnsi" w:hAnsiTheme="minorHAnsi" w:cstheme="minorHAnsi"/>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29" name="Rounded Rectangle 829"/>
                        <wps:cNvSpPr/>
                        <wps:spPr>
                          <a:xfrm>
                            <a:off x="475013" y="1971304"/>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49629E" w:rsidRDefault="0041099D" w:rsidP="0049629E">
                              <w:pPr>
                                <w:tabs>
                                  <w:tab w:val="left" w:pos="0"/>
                                  <w:tab w:val="left" w:pos="1134"/>
                                </w:tabs>
                                <w:spacing w:line="276" w:lineRule="auto"/>
                                <w:jc w:val="center"/>
                                <w:rPr>
                                  <w:rFonts w:asciiTheme="minorHAnsi" w:hAnsiTheme="minorHAnsi" w:cs="Times New Roman"/>
                                </w:rPr>
                              </w:pPr>
                              <w:r>
                                <w:rPr>
                                  <w:rFonts w:asciiTheme="minorHAnsi" w:hAnsiTheme="minorHAnsi" w:cs="Times New Roman"/>
                                </w:rPr>
                                <w:t>L</w:t>
                              </w:r>
                              <w:r w:rsidRPr="0049629E">
                                <w:rPr>
                                  <w:rFonts w:asciiTheme="minorHAnsi" w:hAnsiTheme="minorHAnsi" w:cs="Times New Roman"/>
                                </w:rPr>
                                <w:t xml:space="preserve">izingo rinkos plėtros galimybių </w:t>
                              </w:r>
                              <w:r>
                                <w:rPr>
                                  <w:rFonts w:asciiTheme="minorHAnsi" w:hAnsiTheme="minorHAnsi" w:cs="Times New Roman"/>
                                </w:rPr>
                                <w:t>įvertinimas</w:t>
                              </w:r>
                            </w:p>
                            <w:p w:rsidR="0041099D" w:rsidRPr="00A210CA" w:rsidRDefault="0041099D" w:rsidP="00E14C67">
                              <w:pPr>
                                <w:jc w:val="center"/>
                                <w:rPr>
                                  <w:rFonts w:asciiTheme="minorHAnsi" w:hAnsiTheme="minorHAnsi" w:cstheme="minorHAnsi"/>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oup 834" o:spid="_x0000_s1146" style="position:absolute;margin-left:297.55pt;margin-top:7.85pt;width:180.45pt;height:3in;z-index:251721728;mso-position-horizontal-relative:text;mso-position-vertical-relative:text" coordorigin="2137" coordsize="22921,27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">
                <v:roundrect id="Rounded Rectangle 778" o:spid="_x0000_s1147" style="position:absolute;left:2137;width:22922;height:27432;visibility:visible;mso-wrap-style:square;v-text-anchor:top" arcsize="1262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wFTMIA&#10;AADcAAAADwAAAGRycy9kb3ducmV2LnhtbESPTW/CMAyG75P4D5GRdhspHFboCIgPIcFxwO5W4rXV&#10;GqdqAhR+PT4g7Wi9fh8/ni9736grdbEObGA8ykAR2+BqLg2cT7uPKaiYkB02gcnAnSIsF4O3ORYu&#10;3PibrsdUKoFwLNBAlVJbaB1tRR7jKLTEkv2GzmOSsSu16/AmcN/oSZZ9ao81y4UKW9pUZP+OFy8a&#10;PriwnflNM5murevzg338tMa8D/vVF6hEffpffrX3zkCei608IwT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zAVMwgAAANwAAAAPAAAAAAAAAAAAAAAAAJgCAABkcnMvZG93&#10;bnJldi54bWxQSwUGAAAAAAQABAD1AAAAhwMAAAAA&#10;" fillcolor="#215a69 [1640]" strokecolor="#40a7c2 [3048]">
                  <v:fill color2="#3da5c1 [3016]" rotate="t" angle="180" colors="0 #2787a0;52429f #36b1d2;1 #34b3d6" focus="100%" type="gradient">
                    <o:fill v:ext="view" type="gradientUnscaled"/>
                  </v:fill>
                  <v:shadow on="t" color="black" opacity="22937f" origin=",.5" offset="0,.63889mm"/>
                  <v:textbox inset="0,0,0,0">
                    <w:txbxContent>
                      <w:p w:rsidR="0041099D" w:rsidRPr="00AD5D62" w:rsidRDefault="0041099D" w:rsidP="00D22C10">
                        <w:pPr>
                          <w:jc w:val="cente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sidRPr="00AD5D62">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Ekspertinis vertinimas</w:t>
                        </w:r>
                      </w:p>
                    </w:txbxContent>
                  </v:textbox>
                </v:roundrect>
                <v:roundrect id="Rounded Rectangle 826" o:spid="_x0000_s1148" style="position:absolute;left:4750;top:4393;width:18465;height:694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c7sQA&#10;AADcAAAADwAAAGRycy9kb3ducmV2LnhtbESPUWvCMBSF3wf7D+EO9iIzmYiUrlFUUMQ9ze0HXJpr&#10;U9rclCZr679fBGGPh3POdzjFZnKtGKgPtWcN73MFgrj0puZKw8/34S0DESKywdYzabhRgM36+anA&#10;3PiRv2i4xEokCIccNdgYu1zKUFpyGOa+I07e1fcOY5J9JU2PY4K7Vi6UWkmHNacFix3tLZXN5ddp&#10;+My2aqRZc7za3U0OmVqeZyev9evLtP0AEWmK/+FH+2Q0ZIsV3M+kI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5nO7EAAAA3AAAAA8AAAAAAAAAAAAAAAAAmAIAAGRycy9k&#10;b3ducmV2LnhtbFBLBQYAAAAABAAEAPUAAACJAwAAAAA=&#10;" fillcolor="white [3201]" strokecolor="#f79646 [3209]" strokeweight="2pt">
                  <v:textbox inset="0,0,0,0">
                    <w:txbxContent>
                      <w:p w:rsidR="0041099D" w:rsidRPr="00402B67" w:rsidRDefault="0041099D" w:rsidP="00402B67">
                        <w:pPr>
                          <w:tabs>
                            <w:tab w:val="left" w:pos="0"/>
                            <w:tab w:val="left" w:pos="1134"/>
                          </w:tabs>
                          <w:jc w:val="center"/>
                          <w:rPr>
                            <w:rFonts w:asciiTheme="minorHAnsi" w:hAnsiTheme="minorHAnsi" w:cstheme="minorHAnsi"/>
                          </w:rPr>
                        </w:pPr>
                        <w:r>
                          <w:rPr>
                            <w:rFonts w:asciiTheme="minorHAnsi" w:hAnsiTheme="minorHAnsi" w:cstheme="minorHAnsi"/>
                          </w:rPr>
                          <w:t>Ekspertų nuomonės</w:t>
                        </w:r>
                        <w:r w:rsidRPr="00402B67">
                          <w:rPr>
                            <w:rFonts w:asciiTheme="minorHAnsi" w:hAnsiTheme="minorHAnsi" w:cstheme="minorHAnsi"/>
                          </w:rPr>
                          <w:t xml:space="preserve"> apie lizingo r</w:t>
                        </w:r>
                        <w:r>
                          <w:rPr>
                            <w:rFonts w:asciiTheme="minorHAnsi" w:hAnsiTheme="minorHAnsi" w:cstheme="minorHAnsi"/>
                          </w:rPr>
                          <w:t>inkos įtaką šalies ekonomikai išsiaiškinimas</w:t>
                        </w:r>
                      </w:p>
                      <w:p w:rsidR="0041099D" w:rsidRPr="00A210CA" w:rsidRDefault="0041099D" w:rsidP="00E14C67">
                        <w:pPr>
                          <w:jc w:val="center"/>
                          <w:rPr>
                            <w:rFonts w:asciiTheme="minorHAnsi" w:hAnsiTheme="minorHAnsi" w:cstheme="minorHAnsi"/>
                          </w:rPr>
                        </w:pPr>
                      </w:p>
                    </w:txbxContent>
                  </v:textbox>
                </v:roundrect>
                <v:roundrect id="Rounded Rectangle 827" o:spid="_x0000_s1149" style="position:absolute;left:4750;top:11875;width:18465;height:694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U5dcQA&#10;AADcAAAADwAAAGRycy9kb3ducmV2LnhtbESPUWvCMBSF3wf+h3AFX0QTZWylGkUHimxPU3/Apbk2&#10;xeamNFlb/70ZDPZ4OOd8h7PeDq4WHbWh8qxhMVcgiAtvKi41XC+HWQYiRGSDtWfS8KAA283oZY25&#10;8T1/U3eOpUgQDjlqsDE2uZShsOQwzH1DnLybbx3GJNtSmhb7BHe1XCr1Jh1WnBYsNvRhqbiff5yG&#10;r2yneprejze7f8guU6+f05PXejIedisQkYb4H/5rn4yGbPkOv2fSEZ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1OXXEAAAA3AAAAA8AAAAAAAAAAAAAAAAAmAIAAGRycy9k&#10;b3ducmV2LnhtbFBLBQYAAAAABAAEAPUAAACJAwAAAAA=&#10;" fillcolor="white [3201]" strokecolor="#f79646 [3209]" strokeweight="2pt">
                  <v:textbox inset="0,0,0,0">
                    <w:txbxContent>
                      <w:p w:rsidR="0041099D" w:rsidRPr="00402B67" w:rsidRDefault="0041099D" w:rsidP="00402B67">
                        <w:pPr>
                          <w:tabs>
                            <w:tab w:val="left" w:pos="0"/>
                            <w:tab w:val="left" w:pos="1134"/>
                          </w:tabs>
                          <w:jc w:val="center"/>
                          <w:rPr>
                            <w:rFonts w:asciiTheme="minorHAnsi" w:hAnsiTheme="minorHAnsi" w:cstheme="minorHAnsi"/>
                          </w:rPr>
                        </w:pPr>
                        <w:r>
                          <w:rPr>
                            <w:rFonts w:asciiTheme="minorHAnsi" w:hAnsiTheme="minorHAnsi" w:cstheme="minorHAnsi"/>
                          </w:rPr>
                          <w:t>Pagrindinių</w:t>
                        </w:r>
                        <w:r w:rsidRPr="00402B67">
                          <w:rPr>
                            <w:rFonts w:asciiTheme="minorHAnsi" w:hAnsiTheme="minorHAnsi" w:cstheme="minorHAnsi"/>
                          </w:rPr>
                          <w:t xml:space="preserve"> </w:t>
                        </w:r>
                        <w:r>
                          <w:rPr>
                            <w:rFonts w:asciiTheme="minorHAnsi" w:hAnsiTheme="minorHAnsi" w:cstheme="minorHAnsi"/>
                          </w:rPr>
                          <w:t>priežasčių, trukdančių lizingo rinkai plėstis nustatymas</w:t>
                        </w:r>
                      </w:p>
                      <w:p w:rsidR="0041099D" w:rsidRPr="00A210CA" w:rsidRDefault="0041099D" w:rsidP="00E14C67">
                        <w:pPr>
                          <w:jc w:val="center"/>
                          <w:rPr>
                            <w:rFonts w:asciiTheme="minorHAnsi" w:hAnsiTheme="minorHAnsi" w:cstheme="minorHAnsi"/>
                          </w:rPr>
                        </w:pPr>
                      </w:p>
                    </w:txbxContent>
                  </v:textbox>
                </v:roundrect>
                <v:roundrect id="Rounded Rectangle 829" o:spid="_x0000_s1150" style="position:absolute;left:4750;top:19713;width:18465;height:694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YInMQA&#10;AADcAAAADwAAAGRycy9kb3ducmV2LnhtbESPUWvCMBSF3wf+h3AFX0QTZYxajaIDRbanOX/Apbk2&#10;xeamNFlb/70ZDPZ4OOd8h7PZDa4WHbWh8qxhMVcgiAtvKi41XL+PswxEiMgGa8+k4UEBdtvRywZz&#10;43v+ou4SS5EgHHLUYGNscilDYclhmPuGOHk33zqMSbalNC32Ce5quVTqTTqsOC1YbOjdUnG//DgN&#10;n9le9TS9n2728JBdpl4/pmev9WQ87NcgIg3xP/zXPhsN2XIFv2fSEZD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mCJzEAAAA3AAAAA8AAAAAAAAAAAAAAAAAmAIAAGRycy9k&#10;b3ducmV2LnhtbFBLBQYAAAAABAAEAPUAAACJAwAAAAA=&#10;" fillcolor="white [3201]" strokecolor="#f79646 [3209]" strokeweight="2pt">
                  <v:textbox inset="0,0,0,0">
                    <w:txbxContent>
                      <w:p w:rsidR="0041099D" w:rsidRPr="0049629E" w:rsidRDefault="0041099D" w:rsidP="0049629E">
                        <w:pPr>
                          <w:tabs>
                            <w:tab w:val="left" w:pos="0"/>
                            <w:tab w:val="left" w:pos="1134"/>
                          </w:tabs>
                          <w:spacing w:line="276" w:lineRule="auto"/>
                          <w:jc w:val="center"/>
                          <w:rPr>
                            <w:rFonts w:asciiTheme="minorHAnsi" w:hAnsiTheme="minorHAnsi" w:cs="Times New Roman"/>
                          </w:rPr>
                        </w:pPr>
                        <w:r>
                          <w:rPr>
                            <w:rFonts w:asciiTheme="minorHAnsi" w:hAnsiTheme="minorHAnsi" w:cs="Times New Roman"/>
                          </w:rPr>
                          <w:t>L</w:t>
                        </w:r>
                        <w:r w:rsidRPr="0049629E">
                          <w:rPr>
                            <w:rFonts w:asciiTheme="minorHAnsi" w:hAnsiTheme="minorHAnsi" w:cs="Times New Roman"/>
                          </w:rPr>
                          <w:t xml:space="preserve">izingo rinkos plėtros galimybių </w:t>
                        </w:r>
                        <w:r>
                          <w:rPr>
                            <w:rFonts w:asciiTheme="minorHAnsi" w:hAnsiTheme="minorHAnsi" w:cs="Times New Roman"/>
                          </w:rPr>
                          <w:t>įvertinimas</w:t>
                        </w:r>
                      </w:p>
                      <w:p w:rsidR="0041099D" w:rsidRPr="00A210CA" w:rsidRDefault="0041099D" w:rsidP="00E14C67">
                        <w:pPr>
                          <w:jc w:val="center"/>
                          <w:rPr>
                            <w:rFonts w:asciiTheme="minorHAnsi" w:hAnsiTheme="minorHAnsi" w:cstheme="minorHAnsi"/>
                          </w:rPr>
                        </w:pPr>
                      </w:p>
                    </w:txbxContent>
                  </v:textbox>
                </v:roundrect>
              </v:group>
            </w:pict>
          </mc:Fallback>
        </mc:AlternateContent>
      </w:r>
      <w:r>
        <w:rPr>
          <w:rFonts w:ascii="Times New Roman" w:hAnsi="Times New Roman" w:cs="Times New Roman"/>
          <w:noProof/>
        </w:rPr>
        <mc:AlternateContent>
          <mc:Choice Requires="wpg">
            <w:drawing>
              <wp:anchor distT="0" distB="0" distL="114300" distR="114300" simplePos="0" relativeHeight="251720704" behindDoc="0" locked="0" layoutInCell="1" allowOverlap="1" wp14:anchorId="26FA04B2" wp14:editId="6092E8AB">
                <wp:simplePos x="0" y="0"/>
                <wp:positionH relativeFrom="column">
                  <wp:posOffset>385445</wp:posOffset>
                </wp:positionH>
                <wp:positionV relativeFrom="paragraph">
                  <wp:posOffset>290195</wp:posOffset>
                </wp:positionV>
                <wp:extent cx="2790825" cy="2309495"/>
                <wp:effectExtent l="57150" t="19050" r="85725" b="90805"/>
                <wp:wrapNone/>
                <wp:docPr id="833" name="Group 833"/>
                <wp:cNvGraphicFramePr/>
                <a:graphic xmlns:a="http://schemas.openxmlformats.org/drawingml/2006/main">
                  <a:graphicData uri="http://schemas.microsoft.com/office/word/2010/wordprocessingGroup">
                    <wpg:wgp>
                      <wpg:cNvGrpSpPr/>
                      <wpg:grpSpPr>
                        <a:xfrm>
                          <a:off x="0" y="0"/>
                          <a:ext cx="2790825" cy="2309495"/>
                          <a:chOff x="0" y="0"/>
                          <a:chExt cx="2790825" cy="2309495"/>
                        </a:xfrm>
                      </wpg:grpSpPr>
                      <wps:wsp>
                        <wps:cNvPr id="787" name="Rounded Rectangle 787"/>
                        <wps:cNvSpPr/>
                        <wps:spPr>
                          <a:xfrm>
                            <a:off x="0" y="0"/>
                            <a:ext cx="2790825" cy="2309495"/>
                          </a:xfrm>
                          <a:prstGeom prst="roundRect">
                            <a:avLst>
                              <a:gd name="adj" fmla="val 20267"/>
                            </a:avLst>
                          </a:prstGeom>
                        </wps:spPr>
                        <wps:style>
                          <a:lnRef idx="1">
                            <a:schemeClr val="accent5"/>
                          </a:lnRef>
                          <a:fillRef idx="3">
                            <a:schemeClr val="accent5"/>
                          </a:fillRef>
                          <a:effectRef idx="2">
                            <a:schemeClr val="accent5"/>
                          </a:effectRef>
                          <a:fontRef idx="minor">
                            <a:schemeClr val="lt1"/>
                          </a:fontRef>
                        </wps:style>
                        <wps:txbx>
                          <w:txbxContent>
                            <w:p w:rsidR="0041099D" w:rsidRPr="00A22827" w:rsidRDefault="0041099D" w:rsidP="00B57166">
                              <w:pPr>
                                <w:jc w:val="cente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L</w:t>
                              </w:r>
                              <w:r w:rsidRPr="00A22827">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izingo rinkos analizė</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a:scene3d>
                            <a:camera prst="orthographicFront"/>
                            <a:lightRig rig="glow" dir="tl">
                              <a:rot lat="0" lon="0" rev="5400000"/>
                            </a:lightRig>
                          </a:scene3d>
                          <a:sp3d contourW="12700">
                            <a:bevelT w="25400" h="25400"/>
                            <a:contourClr>
                              <a:schemeClr val="accent6">
                                <a:shade val="73000"/>
                              </a:schemeClr>
                            </a:contourClr>
                          </a:sp3d>
                        </wps:bodyPr>
                      </wps:wsp>
                      <wps:wsp>
                        <wps:cNvPr id="788" name="Rounded Rectangle 788"/>
                        <wps:cNvSpPr/>
                        <wps:spPr>
                          <a:xfrm>
                            <a:off x="534389" y="486889"/>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A210CA" w:rsidRDefault="0041099D" w:rsidP="001547D9">
                              <w:pPr>
                                <w:jc w:val="center"/>
                                <w:rPr>
                                  <w:rFonts w:asciiTheme="minorHAnsi" w:hAnsiTheme="minorHAnsi" w:cstheme="minorHAnsi"/>
                                </w:rPr>
                              </w:pPr>
                              <w:r>
                                <w:rPr>
                                  <w:rFonts w:asciiTheme="minorHAnsi" w:hAnsiTheme="minorHAnsi" w:cstheme="minorHAnsi"/>
                                </w:rPr>
                                <w:t xml:space="preserve">Lizingo rinkos </w:t>
                              </w:r>
                              <w:r w:rsidRPr="00A210CA">
                                <w:rPr>
                                  <w:rFonts w:asciiTheme="minorHAnsi" w:hAnsiTheme="minorHAnsi" w:cstheme="minorHAnsi"/>
                                </w:rPr>
                                <w:t>kitimo tendencijos</w:t>
                              </w:r>
                              <w:r>
                                <w:rPr>
                                  <w:rFonts w:asciiTheme="minorHAnsi" w:hAnsiTheme="minorHAnsi" w:cstheme="minorHAnsi"/>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89" name="Rounded Rectangle 789"/>
                        <wps:cNvSpPr/>
                        <wps:spPr>
                          <a:xfrm>
                            <a:off x="534389" y="1508167"/>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A210CA" w:rsidRDefault="0041099D" w:rsidP="00E14C67">
                              <w:pPr>
                                <w:jc w:val="center"/>
                                <w:rPr>
                                  <w:rFonts w:asciiTheme="minorHAnsi" w:hAnsiTheme="minorHAnsi" w:cstheme="minorHAnsi"/>
                                </w:rPr>
                              </w:pPr>
                              <w:r>
                                <w:rPr>
                                  <w:rFonts w:asciiTheme="minorHAnsi" w:hAnsiTheme="minorHAnsi" w:cstheme="minorHAnsi"/>
                                </w:rPr>
                                <w:t>Lizingo</w:t>
                              </w:r>
                              <w:r w:rsidRPr="00A210CA">
                                <w:rPr>
                                  <w:rFonts w:asciiTheme="minorHAnsi" w:hAnsiTheme="minorHAnsi" w:cstheme="minorHAnsi"/>
                                </w:rPr>
                                <w:t xml:space="preserve"> rinkos palyginimas su užsienio rinkomis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20" name="Straight Arrow Connector 820"/>
                        <wps:cNvCnPr/>
                        <wps:spPr>
                          <a:xfrm flipH="1">
                            <a:off x="1425038" y="1175658"/>
                            <a:ext cx="9525" cy="334010"/>
                          </a:xfrm>
                          <a:prstGeom prst="straightConnector1">
                            <a:avLst/>
                          </a:prstGeom>
                          <a:ln>
                            <a:headEnd type="arrow"/>
                            <a:tailEnd type="arrow"/>
                          </a:ln>
                        </wps:spPr>
                        <wps:style>
                          <a:lnRef idx="2">
                            <a:schemeClr val="accent6"/>
                          </a:lnRef>
                          <a:fillRef idx="0">
                            <a:schemeClr val="accent6"/>
                          </a:fillRef>
                          <a:effectRef idx="1">
                            <a:schemeClr val="accent6"/>
                          </a:effectRef>
                          <a:fontRef idx="minor">
                            <a:schemeClr val="tx1"/>
                          </a:fontRef>
                        </wps:style>
                        <wps:bodyPr/>
                      </wps:wsp>
                    </wpg:wgp>
                  </a:graphicData>
                </a:graphic>
              </wp:anchor>
            </w:drawing>
          </mc:Choice>
          <mc:Fallback>
            <w:pict>
              <v:group id="Group 833" o:spid="_x0000_s1151" style="position:absolute;margin-left:30.35pt;margin-top:22.85pt;width:219.75pt;height:181.85pt;z-index:251720704;mso-position-horizontal-relative:text;mso-position-vertical-relative:text" coordsize="27908,230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">
                <v:roundrect id="Rounded Rectangle 787" o:spid="_x0000_s1152" style="position:absolute;width:27908;height:23094;visibility:visible;mso-wrap-style:square;v-text-anchor:top" arcsize="1328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ZvcIA&#10;AADcAAAADwAAAGRycy9kb3ducmV2LnhtbESPT4vCMBTE7wt+h/CEva2pCrVUo4iyi1f/XLw9mmdb&#10;TF5qk9X47c3CgsdhZn7DLFbRGnGn3reOFYxHGQjiyumWawWn4/dXAcIHZI3GMSl4kofVcvCxwFK7&#10;B+/pfgi1SBD2JSpoQuhKKX3VkEU/ch1x8i6utxiS7Gupe3wkuDVykmW5tNhyWmiwo01D1fXwaxWE&#10;LE6L886Z6SY3t23OMZ/87JX6HMb1HESgGN7h//ZOK5gVM/g7k46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KNm9wgAAANwAAAAPAAAAAAAAAAAAAAAAAJgCAABkcnMvZG93&#10;bnJldi54bWxQSwUGAAAAAAQABAD1AAAAhwMAAAAA&#10;" fillcolor="#215a69 [1640]" strokecolor="#40a7c2 [3048]">
                  <v:fill color2="#3da5c1 [3016]" rotate="t" angle="180" colors="0 #2787a0;52429f #36b1d2;1 #34b3d6" focus="100%" type="gradient">
                    <o:fill v:ext="view" type="gradientUnscaled"/>
                  </v:fill>
                  <v:shadow on="t" color="black" opacity="22937f" origin=",.5" offset="0,.63889mm"/>
                  <v:textbox inset="0,0,0,0">
                    <w:txbxContent>
                      <w:p w:rsidR="0041099D" w:rsidRPr="00A22827" w:rsidRDefault="0041099D" w:rsidP="00B57166">
                        <w:pPr>
                          <w:jc w:val="cente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L</w:t>
                        </w:r>
                        <w:r w:rsidRPr="00A22827">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izingo rinkos analizė</w:t>
                        </w:r>
                      </w:p>
                    </w:txbxContent>
                  </v:textbox>
                </v:roundrect>
                <v:roundrect id="Rounded Rectangle 788" o:spid="_x0000_s1153" style="position:absolute;left:5343;top:4868;width:18466;height:694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hma8AA&#10;AADcAAAADwAAAGRycy9kb3ducmV2LnhtbERP3WrCMBS+H/gO4Qi7EU0U2Uo1ig4csl1NfYBDc2yK&#10;zUlpsra+vbkQvPz4/tfbwdWiozZUnjXMZwoEceFNxaWGy/kwzUCEiGyw9kwa7hRguxm9rTE3vuc/&#10;6k6xFCmEQ44abIxNLmUoLDkMM98QJ+7qW4cxwbaUpsU+hbtaLpT6kA4rTg0WG/qyVNxO/07Db7ZT&#10;PU1u31e7v8suU8ufydFr/T4edisQkYb4Ej/dR6PhM0tr05l0BO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fhma8AAAADcAAAADwAAAAAAAAAAAAAAAACYAgAAZHJzL2Rvd25y&#10;ZXYueG1sUEsFBgAAAAAEAAQA9QAAAIUDAAAAAA==&#10;" fillcolor="white [3201]" strokecolor="#f79646 [3209]" strokeweight="2pt">
                  <v:textbox inset="0,0,0,0">
                    <w:txbxContent>
                      <w:p w:rsidR="0041099D" w:rsidRPr="00A210CA" w:rsidRDefault="0041099D" w:rsidP="001547D9">
                        <w:pPr>
                          <w:jc w:val="center"/>
                          <w:rPr>
                            <w:rFonts w:asciiTheme="minorHAnsi" w:hAnsiTheme="minorHAnsi" w:cstheme="minorHAnsi"/>
                          </w:rPr>
                        </w:pPr>
                        <w:r>
                          <w:rPr>
                            <w:rFonts w:asciiTheme="minorHAnsi" w:hAnsiTheme="minorHAnsi" w:cstheme="minorHAnsi"/>
                          </w:rPr>
                          <w:t xml:space="preserve">Lizingo rinkos </w:t>
                        </w:r>
                        <w:r w:rsidRPr="00A210CA">
                          <w:rPr>
                            <w:rFonts w:asciiTheme="minorHAnsi" w:hAnsiTheme="minorHAnsi" w:cstheme="minorHAnsi"/>
                          </w:rPr>
                          <w:t>kitimo tendencijos</w:t>
                        </w:r>
                        <w:r>
                          <w:rPr>
                            <w:rFonts w:asciiTheme="minorHAnsi" w:hAnsiTheme="minorHAnsi" w:cstheme="minorHAnsi"/>
                          </w:rPr>
                          <w:t xml:space="preserve"> </w:t>
                        </w:r>
                      </w:p>
                    </w:txbxContent>
                  </v:textbox>
                </v:roundrect>
                <v:roundrect id="Rounded Rectangle 789" o:spid="_x0000_s1154" style="position:absolute;left:5343;top:15081;width:18466;height:694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D8MQA&#10;AADcAAAADwAAAGRycy9kb3ducmV2LnhtbESPUWvCMBSF3wf7D+EO9iIzccjWdUZRYSL6ZLcfcGmu&#10;TbG5KU1s679fBgMfD+ec73AWq9E1oqcu1J41zKYKBHHpTc2Vhp/vr5cMRIjIBhvPpOFGAVbLx4cF&#10;5sYPfKK+iJVIEA45arAxtrmUobTkMEx9S5y8s+8cxiS7SpoOhwR3jXxV6k06rDktWGxpa6m8FFen&#10;4Zit1UCTy+5sNzfZZ2p+mOy91s9P4/oTRKQx3sP/7b3R8J59wN+ZdAT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0w/DEAAAA3AAAAA8AAAAAAAAAAAAAAAAAmAIAAGRycy9k&#10;b3ducmV2LnhtbFBLBQYAAAAABAAEAPUAAACJAwAAAAA=&#10;" fillcolor="white [3201]" strokecolor="#f79646 [3209]" strokeweight="2pt">
                  <v:textbox inset="0,0,0,0">
                    <w:txbxContent>
                      <w:p w:rsidR="0041099D" w:rsidRPr="00A210CA" w:rsidRDefault="0041099D" w:rsidP="00E14C67">
                        <w:pPr>
                          <w:jc w:val="center"/>
                          <w:rPr>
                            <w:rFonts w:asciiTheme="minorHAnsi" w:hAnsiTheme="minorHAnsi" w:cstheme="minorHAnsi"/>
                          </w:rPr>
                        </w:pPr>
                        <w:r>
                          <w:rPr>
                            <w:rFonts w:asciiTheme="minorHAnsi" w:hAnsiTheme="minorHAnsi" w:cstheme="minorHAnsi"/>
                          </w:rPr>
                          <w:t>Lizingo</w:t>
                        </w:r>
                        <w:r w:rsidRPr="00A210CA">
                          <w:rPr>
                            <w:rFonts w:asciiTheme="minorHAnsi" w:hAnsiTheme="minorHAnsi" w:cstheme="minorHAnsi"/>
                          </w:rPr>
                          <w:t xml:space="preserve"> rinkos palyginimas su užsienio rinkomis</w:t>
                        </w:r>
                      </w:p>
                    </w:txbxContent>
                  </v:textbox>
                </v:roundrect>
                <v:shape id="Straight Arrow Connector 820" o:spid="_x0000_s1155" type="#_x0000_t32" style="position:absolute;left:14250;top:11756;width:95;height:3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Gk0MAAAADcAAAADwAAAGRycy9kb3ducmV2LnhtbERPTWvCQBC9C/6HZYReRDd6EI2uUkoF&#10;6ckmeh+y0yTt7mzIrpr++85B6PHxvneHwTt1pz62gQ0s5hko4irYlmsDl/I4W4OKCdmiC0wGfinC&#10;YT8e7TC34cGfdC9SrSSEY44GmpS6XOtYNeQxzkNHLNxX6D0mgX2tbY8PCfdOL7NspT22LA0NdvTW&#10;UPVT3Lz0bo6RpoW7fH/Y8/uiKt35dLsa8zIZXregEg3pX/x0n6yB9VLmyxk5Anr/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ZhpNDAAAAA3AAAAA8AAAAAAAAAAAAAAAAA&#10;oQIAAGRycy9kb3ducmV2LnhtbFBLBQYAAAAABAAEAPkAAACOAwAAAAA=&#10;" strokecolor="#f79646 [3209]" strokeweight="2pt">
                  <v:stroke startarrow="open" endarrow="open"/>
                  <v:shadow on="t" color="black" opacity="24903f" origin=",.5" offset="0,.55556mm"/>
                </v:shape>
              </v:group>
            </w:pict>
          </mc:Fallback>
        </mc:AlternateContent>
      </w:r>
    </w:p>
    <w:p w:rsidR="001858BC" w:rsidRDefault="001858BC" w:rsidP="005D1814">
      <w:pPr>
        <w:spacing w:after="200" w:line="276" w:lineRule="auto"/>
        <w:rPr>
          <w:rFonts w:ascii="Times New Roman" w:hAnsi="Times New Roman" w:cs="Times New Roman"/>
        </w:rPr>
      </w:pPr>
    </w:p>
    <w:p w:rsidR="001858BC" w:rsidRDefault="001858BC" w:rsidP="005D1814">
      <w:pPr>
        <w:spacing w:after="200" w:line="276" w:lineRule="auto"/>
        <w:rPr>
          <w:rFonts w:ascii="Times New Roman" w:hAnsi="Times New Roman" w:cs="Times New Roman"/>
        </w:rPr>
      </w:pPr>
    </w:p>
    <w:p w:rsidR="001858BC" w:rsidRDefault="001858BC" w:rsidP="005D1814">
      <w:pPr>
        <w:spacing w:after="200" w:line="276" w:lineRule="auto"/>
        <w:rPr>
          <w:rFonts w:ascii="Times New Roman" w:hAnsi="Times New Roman" w:cs="Times New Roman"/>
        </w:rPr>
      </w:pPr>
    </w:p>
    <w:p w:rsidR="001858BC" w:rsidRDefault="00326B1A"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6848" behindDoc="0" locked="0" layoutInCell="1" allowOverlap="1" wp14:anchorId="7EF4D750" wp14:editId="11F5072F">
                <wp:simplePos x="0" y="0"/>
                <wp:positionH relativeFrom="column">
                  <wp:posOffset>3172806</wp:posOffset>
                </wp:positionH>
                <wp:positionV relativeFrom="paragraph">
                  <wp:posOffset>153135</wp:posOffset>
                </wp:positionV>
                <wp:extent cx="605155" cy="11874"/>
                <wp:effectExtent l="0" t="114300" r="0" b="160020"/>
                <wp:wrapNone/>
                <wp:docPr id="842" name="Straight Arrow Connector 842"/>
                <wp:cNvGraphicFramePr/>
                <a:graphic xmlns:a="http://schemas.openxmlformats.org/drawingml/2006/main">
                  <a:graphicData uri="http://schemas.microsoft.com/office/word/2010/wordprocessingShape">
                    <wps:wsp>
                      <wps:cNvCnPr/>
                      <wps:spPr>
                        <a:xfrm flipV="1">
                          <a:off x="0" y="0"/>
                          <a:ext cx="605155" cy="11874"/>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42" o:spid="_x0000_s1026" type="#_x0000_t32" style="position:absolute;margin-left:249.85pt;margin-top:12.05pt;width:47.65pt;height:.95p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" strokecolor="#4f81bd [3204]" strokeweight="3pt">
                <v:stroke endarrow="open"/>
                <v:shadow on="t" color="black" opacity="22937f" origin=",.5" offset="0,.63889mm"/>
              </v:shape>
            </w:pict>
          </mc:Fallback>
        </mc:AlternateContent>
      </w:r>
    </w:p>
    <w:p w:rsidR="001858BC" w:rsidRDefault="001858BC" w:rsidP="005D1814">
      <w:pPr>
        <w:spacing w:after="200" w:line="276" w:lineRule="auto"/>
        <w:rPr>
          <w:rFonts w:ascii="Times New Roman" w:hAnsi="Times New Roman" w:cs="Times New Roman"/>
        </w:rPr>
      </w:pPr>
    </w:p>
    <w:p w:rsidR="001858BC" w:rsidRDefault="001858BC" w:rsidP="005D1814">
      <w:pPr>
        <w:spacing w:after="200" w:line="276" w:lineRule="auto"/>
        <w:rPr>
          <w:rFonts w:ascii="Times New Roman" w:hAnsi="Times New Roman" w:cs="Times New Roman"/>
        </w:rPr>
      </w:pPr>
    </w:p>
    <w:p w:rsidR="001858BC" w:rsidRDefault="00D60299"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43902" behindDoc="0" locked="0" layoutInCell="1" allowOverlap="1" wp14:anchorId="002157F1" wp14:editId="1A375F11">
                <wp:simplePos x="0" y="0"/>
                <wp:positionH relativeFrom="column">
                  <wp:posOffset>424180</wp:posOffset>
                </wp:positionH>
                <wp:positionV relativeFrom="paragraph">
                  <wp:posOffset>247650</wp:posOffset>
                </wp:positionV>
                <wp:extent cx="308610" cy="485775"/>
                <wp:effectExtent l="6667" t="0" r="21908" b="21907"/>
                <wp:wrapNone/>
                <wp:docPr id="837" name="Rounded Rectangle 837"/>
                <wp:cNvGraphicFramePr/>
                <a:graphic xmlns:a="http://schemas.openxmlformats.org/drawingml/2006/main">
                  <a:graphicData uri="http://schemas.microsoft.com/office/word/2010/wordprocessingShape">
                    <wps:wsp>
                      <wps:cNvSpPr/>
                      <wps:spPr>
                        <a:xfrm rot="16200000">
                          <a:off x="0" y="0"/>
                          <a:ext cx="308610" cy="485775"/>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099D" w:rsidRPr="00D965D3" w:rsidRDefault="0041099D" w:rsidP="00D965D3">
                            <w:pPr>
                              <w:jc w:val="cente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1</w:t>
                            </w:r>
                          </w:p>
                        </w:txbxContent>
                      </wps:txbx>
                      <wps:bodyPr rot="0" spcFirstLastPara="0" vertOverflow="overflow" horzOverflow="overflow" vert="vert"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837" o:spid="_x0000_s1156" style="position:absolute;margin-left:33.4pt;margin-top:19.5pt;width:24.3pt;height:38.25pt;rotation:-90;z-index:25164390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" fillcolor="white [3212]" strokecolor="white [3212]" strokeweight="2pt">
                <v:textbox style="layout-flow:vertical" inset="0,0,0,0">
                  <w:txbxContent>
                    <w:p w:rsidR="0041099D" w:rsidRPr="00D965D3" w:rsidRDefault="0041099D" w:rsidP="00D965D3">
                      <w:pPr>
                        <w:jc w:val="cente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1</w:t>
                      </w:r>
                    </w:p>
                  </w:txbxContent>
                </v:textbox>
              </v:roundrect>
            </w:pict>
          </mc:Fallback>
        </mc:AlternateContent>
      </w:r>
    </w:p>
    <w:p w:rsidR="001858BC" w:rsidRDefault="00D60299"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37088" behindDoc="0" locked="0" layoutInCell="1" allowOverlap="1" wp14:anchorId="5946D097" wp14:editId="0CBD08A8">
                <wp:simplePos x="0" y="0"/>
                <wp:positionH relativeFrom="column">
                  <wp:posOffset>5975235</wp:posOffset>
                </wp:positionH>
                <wp:positionV relativeFrom="paragraph">
                  <wp:posOffset>133729</wp:posOffset>
                </wp:positionV>
                <wp:extent cx="148" cy="1377316"/>
                <wp:effectExtent l="152400" t="38100" r="76200" b="70485"/>
                <wp:wrapNone/>
                <wp:docPr id="850" name="Straight Arrow Connector 850"/>
                <wp:cNvGraphicFramePr/>
                <a:graphic xmlns:a="http://schemas.openxmlformats.org/drawingml/2006/main">
                  <a:graphicData uri="http://schemas.microsoft.com/office/word/2010/wordprocessingShape">
                    <wps:wsp>
                      <wps:cNvCnPr/>
                      <wps:spPr>
                        <a:xfrm flipH="1" flipV="1">
                          <a:off x="0" y="0"/>
                          <a:ext cx="148" cy="1377316"/>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50" o:spid="_x0000_s1026" type="#_x0000_t32" style="position:absolute;margin-left:470.5pt;margin-top:10.55pt;width:0;height:108.45pt;flip:x y;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" strokecolor="#4f81bd [3204]" strokeweight="3pt">
                <v:stroke endarrow="open"/>
                <v:shadow on="t" color="black" opacity="22937f" origin=",.5" offset="0,.63889mm"/>
              </v:shape>
            </w:pict>
          </mc:Fallback>
        </mc:AlternateContent>
      </w:r>
      <w:r w:rsidR="00326B1A">
        <w:rPr>
          <w:rFonts w:ascii="Times New Roman" w:hAnsi="Times New Roman" w:cs="Times New Roman"/>
          <w:noProof/>
        </w:rPr>
        <mc:AlternateContent>
          <mc:Choice Requires="wps">
            <w:drawing>
              <wp:anchor distT="0" distB="0" distL="114300" distR="114300" simplePos="0" relativeHeight="251722752" behindDoc="0" locked="0" layoutInCell="1" allowOverlap="1" wp14:anchorId="4B01CBE1" wp14:editId="1EF74F15">
                <wp:simplePos x="0" y="0"/>
                <wp:positionH relativeFrom="column">
                  <wp:posOffset>1996712</wp:posOffset>
                </wp:positionH>
                <wp:positionV relativeFrom="paragraph">
                  <wp:posOffset>12510</wp:posOffset>
                </wp:positionV>
                <wp:extent cx="397510" cy="397510"/>
                <wp:effectExtent l="38100" t="19050" r="59690" b="97790"/>
                <wp:wrapNone/>
                <wp:docPr id="840" name="Straight Arrow Connector 840"/>
                <wp:cNvGraphicFramePr/>
                <a:graphic xmlns:a="http://schemas.openxmlformats.org/drawingml/2006/main">
                  <a:graphicData uri="http://schemas.microsoft.com/office/word/2010/wordprocessingShape">
                    <wps:wsp>
                      <wps:cNvCnPr/>
                      <wps:spPr>
                        <a:xfrm>
                          <a:off x="0" y="0"/>
                          <a:ext cx="397510" cy="39751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840" o:spid="_x0000_s1026" type="#_x0000_t32" style="position:absolute;margin-left:157.2pt;margin-top:1pt;width:31.3pt;height:31.3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" strokecolor="#4f81bd [3204]" strokeweight="2pt">
                <v:stroke endarrow="open"/>
                <v:shadow on="t" color="black" opacity="24903f" origin=",.5" offset="0,.55556mm"/>
              </v:shape>
            </w:pict>
          </mc:Fallback>
        </mc:AlternateContent>
      </w:r>
    </w:p>
    <w:p w:rsidR="001858BC" w:rsidRDefault="00326B1A"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719680" behindDoc="0" locked="0" layoutInCell="1" allowOverlap="1" wp14:anchorId="10A19207" wp14:editId="216BCF44">
                <wp:simplePos x="0" y="0"/>
                <wp:positionH relativeFrom="column">
                  <wp:posOffset>909320</wp:posOffset>
                </wp:positionH>
                <wp:positionV relativeFrom="paragraph">
                  <wp:posOffset>114300</wp:posOffset>
                </wp:positionV>
                <wp:extent cx="4752975" cy="4610100"/>
                <wp:effectExtent l="57150" t="19050" r="85725" b="95250"/>
                <wp:wrapNone/>
                <wp:docPr id="830" name="Group 830"/>
                <wp:cNvGraphicFramePr/>
                <a:graphic xmlns:a="http://schemas.openxmlformats.org/drawingml/2006/main">
                  <a:graphicData uri="http://schemas.microsoft.com/office/word/2010/wordprocessingGroup">
                    <wpg:wgp>
                      <wpg:cNvGrpSpPr/>
                      <wpg:grpSpPr>
                        <a:xfrm>
                          <a:off x="0" y="0"/>
                          <a:ext cx="4752975" cy="4610100"/>
                          <a:chOff x="23603" y="75070"/>
                          <a:chExt cx="4752975" cy="4610100"/>
                        </a:xfrm>
                      </wpg:grpSpPr>
                      <wps:wsp>
                        <wps:cNvPr id="816" name="Rounded Rectangle 816"/>
                        <wps:cNvSpPr/>
                        <wps:spPr>
                          <a:xfrm>
                            <a:off x="23603" y="75070"/>
                            <a:ext cx="4752975" cy="4610100"/>
                          </a:xfrm>
                          <a:custGeom>
                            <a:avLst/>
                            <a:gdLst>
                              <a:gd name="connsiteX0" fmla="*/ 0 w 4752975"/>
                              <a:gd name="connsiteY0" fmla="*/ 320967 h 4333875"/>
                              <a:gd name="connsiteX1" fmla="*/ 320967 w 4752975"/>
                              <a:gd name="connsiteY1" fmla="*/ 0 h 4333875"/>
                              <a:gd name="connsiteX2" fmla="*/ 4432008 w 4752975"/>
                              <a:gd name="connsiteY2" fmla="*/ 0 h 4333875"/>
                              <a:gd name="connsiteX3" fmla="*/ 4752975 w 4752975"/>
                              <a:gd name="connsiteY3" fmla="*/ 320967 h 4333875"/>
                              <a:gd name="connsiteX4" fmla="*/ 4752975 w 4752975"/>
                              <a:gd name="connsiteY4" fmla="*/ 4012908 h 4333875"/>
                              <a:gd name="connsiteX5" fmla="*/ 4432008 w 4752975"/>
                              <a:gd name="connsiteY5" fmla="*/ 4333875 h 4333875"/>
                              <a:gd name="connsiteX6" fmla="*/ 320967 w 4752975"/>
                              <a:gd name="connsiteY6" fmla="*/ 4333875 h 4333875"/>
                              <a:gd name="connsiteX7" fmla="*/ 0 w 4752975"/>
                              <a:gd name="connsiteY7" fmla="*/ 4012908 h 4333875"/>
                              <a:gd name="connsiteX8" fmla="*/ 0 w 4752975"/>
                              <a:gd name="connsiteY8" fmla="*/ 320967 h 4333875"/>
                              <a:gd name="connsiteX0" fmla="*/ 0 w 4752975"/>
                              <a:gd name="connsiteY0" fmla="*/ 320967 h 4333875"/>
                              <a:gd name="connsiteX1" fmla="*/ 320967 w 4752975"/>
                              <a:gd name="connsiteY1" fmla="*/ 0 h 4333875"/>
                              <a:gd name="connsiteX2" fmla="*/ 4432008 w 4752975"/>
                              <a:gd name="connsiteY2" fmla="*/ 0 h 4333875"/>
                              <a:gd name="connsiteX3" fmla="*/ 4752975 w 4752975"/>
                              <a:gd name="connsiteY3" fmla="*/ 320967 h 4333875"/>
                              <a:gd name="connsiteX4" fmla="*/ 4752975 w 4752975"/>
                              <a:gd name="connsiteY4" fmla="*/ 4022433 h 4333875"/>
                              <a:gd name="connsiteX5" fmla="*/ 4432008 w 4752975"/>
                              <a:gd name="connsiteY5" fmla="*/ 4333875 h 4333875"/>
                              <a:gd name="connsiteX6" fmla="*/ 320967 w 4752975"/>
                              <a:gd name="connsiteY6" fmla="*/ 4333875 h 4333875"/>
                              <a:gd name="connsiteX7" fmla="*/ 0 w 4752975"/>
                              <a:gd name="connsiteY7" fmla="*/ 4012908 h 4333875"/>
                              <a:gd name="connsiteX8" fmla="*/ 0 w 4752975"/>
                              <a:gd name="connsiteY8" fmla="*/ 320967 h 43338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4752975" h="4333875">
                                <a:moveTo>
                                  <a:pt x="0" y="320967"/>
                                </a:moveTo>
                                <a:cubicBezTo>
                                  <a:pt x="0" y="143702"/>
                                  <a:pt x="143702" y="0"/>
                                  <a:pt x="320967" y="0"/>
                                </a:cubicBezTo>
                                <a:lnTo>
                                  <a:pt x="4432008" y="0"/>
                                </a:lnTo>
                                <a:cubicBezTo>
                                  <a:pt x="4609273" y="0"/>
                                  <a:pt x="4752975" y="143702"/>
                                  <a:pt x="4752975" y="320967"/>
                                </a:cubicBezTo>
                                <a:lnTo>
                                  <a:pt x="4752975" y="4022433"/>
                                </a:lnTo>
                                <a:cubicBezTo>
                                  <a:pt x="4752975" y="4199698"/>
                                  <a:pt x="4609273" y="4333875"/>
                                  <a:pt x="4432008" y="4333875"/>
                                </a:cubicBezTo>
                                <a:lnTo>
                                  <a:pt x="320967" y="4333875"/>
                                </a:lnTo>
                                <a:cubicBezTo>
                                  <a:pt x="143702" y="4333875"/>
                                  <a:pt x="0" y="4190173"/>
                                  <a:pt x="0" y="4012908"/>
                                </a:cubicBezTo>
                                <a:lnTo>
                                  <a:pt x="0" y="320967"/>
                                </a:lnTo>
                                <a:close/>
                              </a:path>
                            </a:pathLst>
                          </a:custGeom>
                        </wps:spPr>
                        <wps:style>
                          <a:lnRef idx="1">
                            <a:schemeClr val="accent5"/>
                          </a:lnRef>
                          <a:fillRef idx="3">
                            <a:schemeClr val="accent5"/>
                          </a:fillRef>
                          <a:effectRef idx="2">
                            <a:schemeClr val="accent5"/>
                          </a:effectRef>
                          <a:fontRef idx="minor">
                            <a:schemeClr val="lt1"/>
                          </a:fontRef>
                        </wps:style>
                        <wps:txbx>
                          <w:txbxContent>
                            <w:p w:rsidR="0041099D" w:rsidRPr="00A22827" w:rsidRDefault="0041099D" w:rsidP="00C3345F">
                              <w:pPr>
                                <w:jc w:val="cente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sidRPr="00A22827">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Regresinė koreliacinė analizė</w:t>
                              </w:r>
                            </w:p>
                          </w:txbxContent>
                        </wps:txbx>
                        <wps:bodyPr rot="0" spcFirstLastPara="0" vertOverflow="overflow" horzOverflow="overflow" vert="horz" wrap="square" lIns="0" tIns="0" rIns="0" bIns="45720" numCol="1" spcCol="0" rtlCol="0" fromWordArt="0" anchor="t" anchorCtr="0" forceAA="0" compatLnSpc="1">
                          <a:prstTxWarp prst="textNoShape">
                            <a:avLst/>
                          </a:prstTxWarp>
                          <a:noAutofit/>
                        </wps:bodyPr>
                      </wps:wsp>
                      <wps:wsp>
                        <wps:cNvPr id="779" name="Rounded Rectangle 779"/>
                        <wps:cNvSpPr/>
                        <wps:spPr>
                          <a:xfrm>
                            <a:off x="2422566" y="1413164"/>
                            <a:ext cx="2266950" cy="10287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0A247D" w:rsidRDefault="0041099D" w:rsidP="00B72DE4">
                              <w:pPr>
                                <w:tabs>
                                  <w:tab w:val="left" w:pos="567"/>
                                </w:tabs>
                                <w:spacing w:line="360" w:lineRule="auto"/>
                                <w:jc w:val="center"/>
                                <w:rPr>
                                  <w:rFonts w:asciiTheme="minorHAnsi" w:hAnsiTheme="minorHAnsi" w:cstheme="minorHAnsi"/>
                                  <w:b/>
                                  <w:i/>
                                </w:rPr>
                              </w:pPr>
                              <w:r w:rsidRPr="000A247D">
                                <w:rPr>
                                  <w:rFonts w:asciiTheme="minorHAnsi" w:hAnsiTheme="minorHAnsi" w:cstheme="minorHAnsi"/>
                                  <w:b/>
                                  <w:i/>
                                </w:rPr>
                                <w:t>Tikrinama hipotezė</w:t>
                              </w:r>
                            </w:p>
                            <w:p w:rsidR="0041099D" w:rsidRPr="000A247D" w:rsidRDefault="0041099D" w:rsidP="00B72DE4">
                              <w:pPr>
                                <w:tabs>
                                  <w:tab w:val="left" w:pos="567"/>
                                </w:tabs>
                                <w:jc w:val="center"/>
                                <w:rPr>
                                  <w:rFonts w:asciiTheme="minorHAnsi" w:hAnsiTheme="minorHAnsi" w:cstheme="minorHAnsi"/>
                                  <w:i/>
                                </w:rPr>
                              </w:pPr>
                              <w:r>
                                <w:rPr>
                                  <w:rFonts w:asciiTheme="minorHAnsi" w:hAnsiTheme="minorHAnsi" w:cstheme="minorHAnsi"/>
                                  <w:i/>
                                </w:rPr>
                                <w:t>„</w:t>
                              </w:r>
                              <w:r w:rsidRPr="000A247D">
                                <w:rPr>
                                  <w:rFonts w:asciiTheme="minorHAnsi" w:hAnsiTheme="minorHAnsi" w:cstheme="minorHAnsi"/>
                                  <w:i/>
                                </w:rPr>
                                <w:t xml:space="preserve">Lizingo rinkos didėjimas </w:t>
                              </w:r>
                              <w:r>
                                <w:rPr>
                                  <w:rFonts w:asciiTheme="minorHAnsi" w:hAnsiTheme="minorHAnsi" w:cstheme="minorHAnsi"/>
                                  <w:i/>
                                </w:rPr>
                                <w:t>šalyje</w:t>
                              </w:r>
                              <w:r w:rsidRPr="000A247D">
                                <w:rPr>
                                  <w:rFonts w:asciiTheme="minorHAnsi" w:hAnsiTheme="minorHAnsi" w:cstheme="minorHAnsi"/>
                                  <w:i/>
                                </w:rPr>
                                <w:t xml:space="preserve"> teigiamai veikia bendrojo vidaus produkto kiekį</w:t>
                              </w:r>
                              <w:r>
                                <w:rPr>
                                  <w:rFonts w:asciiTheme="minorHAnsi" w:hAnsiTheme="minorHAnsi" w:cstheme="minorHAnsi"/>
                                  <w:i/>
                                </w:rPr>
                                <w:t>“</w:t>
                              </w:r>
                            </w:p>
                            <w:p w:rsidR="0041099D" w:rsidRPr="000A247D" w:rsidRDefault="0041099D" w:rsidP="00B72DE4">
                              <w:pPr>
                                <w:jc w:val="center"/>
                                <w:rPr>
                                  <w:rFonts w:asciiTheme="minorHAnsi" w:hAnsiTheme="minorHAnsi" w:cstheme="minorHAnsi"/>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80" name="Rounded Rectangle 780"/>
                        <wps:cNvSpPr/>
                        <wps:spPr>
                          <a:xfrm>
                            <a:off x="47501" y="1413164"/>
                            <a:ext cx="2267585" cy="10287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0A247D" w:rsidRDefault="0041099D" w:rsidP="000A247D">
                              <w:pPr>
                                <w:tabs>
                                  <w:tab w:val="left" w:pos="567"/>
                                </w:tabs>
                                <w:spacing w:line="360" w:lineRule="auto"/>
                                <w:jc w:val="center"/>
                                <w:rPr>
                                  <w:rFonts w:asciiTheme="minorHAnsi" w:hAnsiTheme="minorHAnsi" w:cstheme="minorHAnsi"/>
                                  <w:b/>
                                  <w:i/>
                                </w:rPr>
                              </w:pPr>
                              <w:r w:rsidRPr="000A247D">
                                <w:rPr>
                                  <w:rFonts w:asciiTheme="minorHAnsi" w:hAnsiTheme="minorHAnsi" w:cstheme="minorHAnsi"/>
                                  <w:b/>
                                  <w:i/>
                                </w:rPr>
                                <w:t>Tikrinama hipotezė</w:t>
                              </w:r>
                            </w:p>
                            <w:p w:rsidR="0041099D" w:rsidRPr="000A247D" w:rsidRDefault="0041099D" w:rsidP="00B72DE4">
                              <w:pPr>
                                <w:jc w:val="center"/>
                                <w:rPr>
                                  <w:rFonts w:asciiTheme="minorHAnsi" w:hAnsiTheme="minorHAnsi" w:cstheme="minorHAnsi"/>
                                </w:rPr>
                              </w:pPr>
                              <w:r>
                                <w:rPr>
                                  <w:rFonts w:asciiTheme="minorHAnsi" w:hAnsiTheme="minorHAnsi" w:cstheme="minorHAnsi"/>
                                  <w:i/>
                                </w:rPr>
                                <w:t>„</w:t>
                              </w:r>
                              <w:r w:rsidRPr="000A247D">
                                <w:rPr>
                                  <w:rFonts w:asciiTheme="minorHAnsi" w:hAnsiTheme="minorHAnsi" w:cstheme="minorHAnsi"/>
                                  <w:i/>
                                </w:rPr>
                                <w:t xml:space="preserve">Lizingo rinkos didėjimas </w:t>
                              </w:r>
                              <w:r>
                                <w:rPr>
                                  <w:rFonts w:asciiTheme="minorHAnsi" w:hAnsiTheme="minorHAnsi" w:cstheme="minorHAnsi"/>
                                  <w:i/>
                                </w:rPr>
                                <w:t>šalyje</w:t>
                              </w:r>
                              <w:r w:rsidRPr="000A247D">
                                <w:rPr>
                                  <w:rFonts w:asciiTheme="minorHAnsi" w:hAnsiTheme="minorHAnsi" w:cstheme="minorHAnsi"/>
                                  <w:i/>
                                </w:rPr>
                                <w:t xml:space="preserve"> teigiamai veikia tiesioginių užsienio investicijų kiekį</w:t>
                              </w:r>
                              <w:r>
                                <w:rPr>
                                  <w:rFonts w:asciiTheme="minorHAnsi" w:hAnsiTheme="minorHAnsi" w:cstheme="minorHAnsi"/>
                                  <w:i/>
                                </w:rPr>
                                <w:t>“</w:t>
                              </w:r>
                              <w:r w:rsidRPr="000A247D">
                                <w:rPr>
                                  <w:rFonts w:asciiTheme="minorHAnsi" w:hAnsiTheme="minorHAnsi" w:cstheme="minorHAnsi"/>
                                  <w:i/>
                                </w:rPr>
                                <w:t xml:space="preserve">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81" name="Rounded Rectangle 781"/>
                        <wps:cNvSpPr/>
                        <wps:spPr>
                          <a:xfrm>
                            <a:off x="1211283" y="2517569"/>
                            <a:ext cx="2267585" cy="10293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0A247D" w:rsidRDefault="0041099D" w:rsidP="00B72DE4">
                              <w:pPr>
                                <w:tabs>
                                  <w:tab w:val="left" w:pos="567"/>
                                </w:tabs>
                                <w:spacing w:line="360" w:lineRule="auto"/>
                                <w:jc w:val="center"/>
                                <w:rPr>
                                  <w:rFonts w:asciiTheme="minorHAnsi" w:hAnsiTheme="minorHAnsi" w:cstheme="minorHAnsi"/>
                                  <w:b/>
                                  <w:i/>
                                </w:rPr>
                              </w:pPr>
                              <w:r w:rsidRPr="000A247D">
                                <w:rPr>
                                  <w:rFonts w:asciiTheme="minorHAnsi" w:hAnsiTheme="minorHAnsi" w:cstheme="minorHAnsi"/>
                                  <w:b/>
                                  <w:i/>
                                </w:rPr>
                                <w:t>Tikrinama hipotezė</w:t>
                              </w:r>
                            </w:p>
                            <w:p w:rsidR="0041099D" w:rsidRPr="000A247D" w:rsidRDefault="0041099D" w:rsidP="00B72DE4">
                              <w:pPr>
                                <w:jc w:val="center"/>
                                <w:rPr>
                                  <w:rFonts w:asciiTheme="minorHAnsi" w:hAnsiTheme="minorHAnsi" w:cstheme="minorHAnsi"/>
                                </w:rPr>
                              </w:pPr>
                              <w:r>
                                <w:rPr>
                                  <w:rFonts w:asciiTheme="minorHAnsi" w:hAnsiTheme="minorHAnsi" w:cstheme="minorHAnsi"/>
                                  <w:i/>
                                </w:rPr>
                                <w:t>„</w:t>
                              </w:r>
                              <w:r w:rsidRPr="000A247D">
                                <w:rPr>
                                  <w:rFonts w:asciiTheme="minorHAnsi" w:hAnsiTheme="minorHAnsi" w:cstheme="minorHAnsi"/>
                                  <w:i/>
                                </w:rPr>
                                <w:t xml:space="preserve">Lizingo rinkos didėjimas </w:t>
                              </w:r>
                              <w:r>
                                <w:rPr>
                                  <w:rFonts w:asciiTheme="minorHAnsi" w:hAnsiTheme="minorHAnsi" w:cstheme="minorHAnsi"/>
                                  <w:i/>
                                </w:rPr>
                                <w:t>šalyje</w:t>
                              </w:r>
                              <w:r w:rsidRPr="000A247D">
                                <w:rPr>
                                  <w:rFonts w:asciiTheme="minorHAnsi" w:hAnsiTheme="minorHAnsi" w:cstheme="minorHAnsi"/>
                                  <w:i/>
                                </w:rPr>
                                <w:t xml:space="preserve"> mažina nedarbo lygį</w:t>
                              </w:r>
                              <w:r>
                                <w:rPr>
                                  <w:rFonts w:asciiTheme="minorHAnsi" w:hAnsiTheme="minorHAnsi" w:cstheme="minorHAnsi"/>
                                  <w:i/>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93" name="Rounded Rectangle 793"/>
                        <wps:cNvSpPr/>
                        <wps:spPr>
                          <a:xfrm>
                            <a:off x="2838202" y="415636"/>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A210CA" w:rsidRDefault="0041099D" w:rsidP="00E14C67">
                              <w:pPr>
                                <w:jc w:val="center"/>
                                <w:rPr>
                                  <w:rFonts w:asciiTheme="minorHAnsi" w:hAnsiTheme="minorHAnsi" w:cstheme="minorHAnsi"/>
                                </w:rPr>
                              </w:pPr>
                              <w:r>
                                <w:rPr>
                                  <w:rFonts w:asciiTheme="minorHAnsi" w:hAnsiTheme="minorHAnsi" w:cstheme="minorHAnsi"/>
                                </w:rPr>
                                <w:t>Lizingo rinkos ir BVP ryšio bei priklausomybės nustatymas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97" name="Rounded Rectangle 797"/>
                        <wps:cNvSpPr/>
                        <wps:spPr>
                          <a:xfrm>
                            <a:off x="47501" y="391886"/>
                            <a:ext cx="1847850" cy="6953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A210CA" w:rsidRDefault="0041099D" w:rsidP="00E14C67">
                              <w:pPr>
                                <w:jc w:val="center"/>
                                <w:rPr>
                                  <w:rFonts w:asciiTheme="minorHAnsi" w:hAnsiTheme="minorHAnsi" w:cstheme="minorHAnsi"/>
                                </w:rPr>
                              </w:pPr>
                              <w:r>
                                <w:rPr>
                                  <w:rFonts w:asciiTheme="minorHAnsi" w:hAnsiTheme="minorHAnsi" w:cstheme="minorHAnsi"/>
                                </w:rPr>
                                <w:t>Lizingo rinkos ir tiesioginių užsienio investicijų ryšio bei priklausomybės nustatymas</w:t>
                              </w:r>
                            </w:p>
                          </w:txbxContent>
                        </wps:txbx>
                        <wps:bodyPr rot="0" spcFirstLastPara="0" vertOverflow="overflow" horzOverflow="overflow" vert="horz" wrap="square" lIns="0" tIns="0" rIns="0" bIns="45720" numCol="1" spcCol="0" rtlCol="0" fromWordArt="0" anchor="ctr" anchorCtr="0" forceAA="0" compatLnSpc="1">
                          <a:prstTxWarp prst="textNoShape">
                            <a:avLst/>
                          </a:prstTxWarp>
                          <a:noAutofit/>
                        </wps:bodyPr>
                      </wps:wsp>
                      <wps:wsp>
                        <wps:cNvPr id="801" name="Rounded Rectangle 801"/>
                        <wps:cNvSpPr/>
                        <wps:spPr>
                          <a:xfrm>
                            <a:off x="1448789" y="3847605"/>
                            <a:ext cx="1846580" cy="6946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1099D" w:rsidRPr="00A210CA" w:rsidRDefault="0041099D" w:rsidP="00B72DE4">
                              <w:pPr>
                                <w:jc w:val="center"/>
                                <w:rPr>
                                  <w:rFonts w:asciiTheme="minorHAnsi" w:hAnsiTheme="minorHAnsi" w:cstheme="minorHAnsi"/>
                                </w:rPr>
                              </w:pPr>
                              <w:r>
                                <w:rPr>
                                  <w:rFonts w:asciiTheme="minorHAnsi" w:hAnsiTheme="minorHAnsi" w:cstheme="minorHAnsi"/>
                                </w:rPr>
                                <w:t>Lizingo rinkos ir nedarbo lygio ryšio bei priklausomybės nustatymas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02" name="Straight Arrow Connector 802"/>
                        <wps:cNvCnPr/>
                        <wps:spPr>
                          <a:xfrm flipV="1">
                            <a:off x="2375065" y="3550722"/>
                            <a:ext cx="0" cy="294640"/>
                          </a:xfrm>
                          <a:prstGeom prst="straightConnector1">
                            <a:avLst/>
                          </a:prstGeom>
                          <a:ln>
                            <a:tailEnd type="arrow"/>
                          </a:ln>
                        </wps:spPr>
                        <wps:style>
                          <a:lnRef idx="2">
                            <a:schemeClr val="accent6"/>
                          </a:lnRef>
                          <a:fillRef idx="0">
                            <a:schemeClr val="accent6"/>
                          </a:fillRef>
                          <a:effectRef idx="1">
                            <a:schemeClr val="accent6"/>
                          </a:effectRef>
                          <a:fontRef idx="minor">
                            <a:schemeClr val="tx1"/>
                          </a:fontRef>
                        </wps:style>
                        <wps:bodyPr/>
                      </wps:wsp>
                      <wps:wsp>
                        <wps:cNvPr id="810" name="Straight Arrow Connector 810"/>
                        <wps:cNvCnPr/>
                        <wps:spPr>
                          <a:xfrm flipH="1">
                            <a:off x="2707574" y="1092530"/>
                            <a:ext cx="208280" cy="294640"/>
                          </a:xfrm>
                          <a:prstGeom prst="straightConnector1">
                            <a:avLst/>
                          </a:prstGeom>
                          <a:ln>
                            <a:tailEnd type="arrow"/>
                          </a:ln>
                        </wps:spPr>
                        <wps:style>
                          <a:lnRef idx="2">
                            <a:schemeClr val="accent6"/>
                          </a:lnRef>
                          <a:fillRef idx="0">
                            <a:schemeClr val="accent6"/>
                          </a:fillRef>
                          <a:effectRef idx="1">
                            <a:schemeClr val="accent6"/>
                          </a:effectRef>
                          <a:fontRef idx="minor">
                            <a:schemeClr val="tx1"/>
                          </a:fontRef>
                        </wps:style>
                        <wps:bodyPr/>
                      </wps:wsp>
                      <wps:wsp>
                        <wps:cNvPr id="812" name="Straight Arrow Connector 812"/>
                        <wps:cNvCnPr/>
                        <wps:spPr>
                          <a:xfrm>
                            <a:off x="1840675" y="1092530"/>
                            <a:ext cx="209550" cy="295275"/>
                          </a:xfrm>
                          <a:prstGeom prst="straightConnector1">
                            <a:avLst/>
                          </a:prstGeom>
                          <a:ln>
                            <a:tailEnd type="arrow"/>
                          </a:ln>
                        </wps:spPr>
                        <wps:style>
                          <a:lnRef idx="2">
                            <a:schemeClr val="accent6"/>
                          </a:lnRef>
                          <a:fillRef idx="0">
                            <a:schemeClr val="accent6"/>
                          </a:fillRef>
                          <a:effectRef idx="1">
                            <a:schemeClr val="accent6"/>
                          </a:effectRef>
                          <a:fontRef idx="minor">
                            <a:schemeClr val="tx1"/>
                          </a:fontRef>
                        </wps:style>
                        <wps:bodyPr/>
                      </wps:wsp>
                    </wpg:wgp>
                  </a:graphicData>
                </a:graphic>
              </wp:anchor>
            </w:drawing>
          </mc:Choice>
          <mc:Fallback>
            <w:pict>
              <v:group id="Group 830" o:spid="_x0000_s1157" style="position:absolute;margin-left:71.6pt;margin-top:9pt;width:374.25pt;height:363pt;z-index:251719680;mso-position-horizontal-relative:text;mso-position-vertical-relative:text" coordorigin="236,750" coordsize="47529,46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">
                <v:shape id="Rounded Rectangle 816" o:spid="_x0000_s1158" style="position:absolute;left:236;top:750;width:47529;height:46101;visibility:visible;mso-wrap-style:square;v-text-anchor:top" coordsize="4752975,43338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WPRcYA&#10;AADcAAAADwAAAGRycy9kb3ducmV2LnhtbESPQWsCMRSE74L/ITzBm2a1ILI1ioh2PXhorRZ6e2xe&#10;d1eTl3UTdf33TUHocZiZb5jZorVG3KjxlWMFo2ECgjh3uuJCweFzM5iC8AFZo3FMCh7kYTHvdmaY&#10;anfnD7rtQyEihH2KCsoQ6lRKn5dk0Q9dTRy9H9dYDFE2hdQN3iPcGjlOkom0WHFcKLGmVUn5eX+1&#10;Ct5NtcpOxc68uOwyttnxbf34/lKq32uXryACteE//GxvtYLpaAJ/Z+IR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8WPRcYAAADcAAAADwAAAAAAAAAAAAAAAACYAgAAZHJz&#10;L2Rvd25yZXYueG1sUEsFBgAAAAAEAAQA9QAAAIsDAAAAAA==&#10;" adj="-11796480,,5400" path="m,320967c,143702,143702,,320967,l4432008,v177265,,320967,143702,320967,320967l4752975,4022433v,177265,-143702,311442,-320967,311442l320967,4333875c143702,4333875,,4190173,,4012908l,320967xe" fillcolor="#215a69 [1640]" strokecolor="#40a7c2 [3048]">
                  <v:fill color2="#3da5c1 [3016]" rotate="t" angle="180" colors="0 #2787a0;52429f #36b1d2;1 #34b3d6" focus="100%" type="gradient">
                    <o:fill v:ext="view" type="gradientUnscaled"/>
                  </v:fill>
                  <v:stroke joinstyle="miter"/>
                  <v:shadow on="t" color="black" opacity="22937f" origin=",.5" offset="0,.63889mm"/>
                  <v:formulas/>
                  <v:path arrowok="t" o:connecttype="custom" o:connectlocs="0,341424;320967,0;4432008,0;4752975,341424;4752975,4278808;4432008,4610100;320967,4610100;0,4268676;0,341424" o:connectangles="0,0,0,0,0,0,0,0,0" textboxrect="0,0,4752975,4333875"/>
                  <v:textbox inset="0,0,0">
                    <w:txbxContent>
                      <w:p w:rsidR="0041099D" w:rsidRPr="00A22827" w:rsidRDefault="0041099D" w:rsidP="00C3345F">
                        <w:pPr>
                          <w:jc w:val="center"/>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sidRPr="00A22827">
                          <w:rPr>
                            <w:rFonts w:asciiTheme="minorHAnsi" w:hAnsiTheme="minorHAnsi" w:cstheme="minorHAnsi"/>
                            <w:b/>
                            <w:sz w:val="32"/>
                            <w:szCs w:val="3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Regresinė koreliacinė analizė</w:t>
                        </w:r>
                      </w:p>
                    </w:txbxContent>
                  </v:textbox>
                </v:shape>
                <v:roundrect id="Rounded Rectangle 779" o:spid="_x0000_s1159" style="position:absolute;left:24225;top:14131;width:22670;height:1028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2R78cA&#10;AADcAAAADwAAAGRycy9kb3ducmV2LnhtbESPT2vCQBTE74V+h+UVeim6qdRGo6sUrdCDPfjn4u2R&#10;fSZps29D9lWTb98VCj0OM/MbZr7sXK0u1IbKs4HnYQKKOPe24sLA8bAZTEAFQbZYeyYDPQVYLu7v&#10;5phZf+UdXfZSqAjhkKGBUqTJtA55SQ7D0DfE0Tv71qFE2RbatniNcFfrUZK8aocVx4USG1qVlH/v&#10;f5wBsbY/jI9punnf9Vt5efpanz7Xxjw+dG8zUEKd/If/2h/WQJpO4XYmHgG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Nke/HAAAA3AAAAA8AAAAAAAAAAAAAAAAAmAIAAGRy&#10;cy9kb3ducmV2LnhtbFBLBQYAAAAABAAEAPUAAACMAwAAAAA=&#10;" fillcolor="white [3201]" strokecolor="#f79646 [3209]" strokeweight="2pt">
                  <v:textbox inset="0,0,0,0">
                    <w:txbxContent>
                      <w:p w:rsidR="0041099D" w:rsidRPr="000A247D" w:rsidRDefault="0041099D" w:rsidP="00B72DE4">
                        <w:pPr>
                          <w:tabs>
                            <w:tab w:val="left" w:pos="567"/>
                          </w:tabs>
                          <w:spacing w:line="360" w:lineRule="auto"/>
                          <w:jc w:val="center"/>
                          <w:rPr>
                            <w:rFonts w:asciiTheme="minorHAnsi" w:hAnsiTheme="minorHAnsi" w:cstheme="minorHAnsi"/>
                            <w:b/>
                            <w:i/>
                          </w:rPr>
                        </w:pPr>
                        <w:r w:rsidRPr="000A247D">
                          <w:rPr>
                            <w:rFonts w:asciiTheme="minorHAnsi" w:hAnsiTheme="minorHAnsi" w:cstheme="minorHAnsi"/>
                            <w:b/>
                            <w:i/>
                          </w:rPr>
                          <w:t>Tikrinama hipotezė</w:t>
                        </w:r>
                      </w:p>
                      <w:p w:rsidR="0041099D" w:rsidRPr="000A247D" w:rsidRDefault="0041099D" w:rsidP="00B72DE4">
                        <w:pPr>
                          <w:tabs>
                            <w:tab w:val="left" w:pos="567"/>
                          </w:tabs>
                          <w:jc w:val="center"/>
                          <w:rPr>
                            <w:rFonts w:asciiTheme="minorHAnsi" w:hAnsiTheme="minorHAnsi" w:cstheme="minorHAnsi"/>
                            <w:i/>
                          </w:rPr>
                        </w:pPr>
                        <w:r>
                          <w:rPr>
                            <w:rFonts w:asciiTheme="minorHAnsi" w:hAnsiTheme="minorHAnsi" w:cstheme="minorHAnsi"/>
                            <w:i/>
                          </w:rPr>
                          <w:t>„</w:t>
                        </w:r>
                        <w:r w:rsidRPr="000A247D">
                          <w:rPr>
                            <w:rFonts w:asciiTheme="minorHAnsi" w:hAnsiTheme="minorHAnsi" w:cstheme="minorHAnsi"/>
                            <w:i/>
                          </w:rPr>
                          <w:t xml:space="preserve">Lizingo rinkos didėjimas </w:t>
                        </w:r>
                        <w:r>
                          <w:rPr>
                            <w:rFonts w:asciiTheme="minorHAnsi" w:hAnsiTheme="minorHAnsi" w:cstheme="minorHAnsi"/>
                            <w:i/>
                          </w:rPr>
                          <w:t>šalyje</w:t>
                        </w:r>
                        <w:r w:rsidRPr="000A247D">
                          <w:rPr>
                            <w:rFonts w:asciiTheme="minorHAnsi" w:hAnsiTheme="minorHAnsi" w:cstheme="minorHAnsi"/>
                            <w:i/>
                          </w:rPr>
                          <w:t xml:space="preserve"> teigiamai veikia bendrojo vidaus produkto kiekį</w:t>
                        </w:r>
                        <w:r>
                          <w:rPr>
                            <w:rFonts w:asciiTheme="minorHAnsi" w:hAnsiTheme="minorHAnsi" w:cstheme="minorHAnsi"/>
                            <w:i/>
                          </w:rPr>
                          <w:t>“</w:t>
                        </w:r>
                      </w:p>
                      <w:p w:rsidR="0041099D" w:rsidRPr="000A247D" w:rsidRDefault="0041099D" w:rsidP="00B72DE4">
                        <w:pPr>
                          <w:jc w:val="center"/>
                          <w:rPr>
                            <w:rFonts w:asciiTheme="minorHAnsi" w:hAnsiTheme="minorHAnsi" w:cstheme="minorHAnsi"/>
                          </w:rPr>
                        </w:pPr>
                      </w:p>
                    </w:txbxContent>
                  </v:textbox>
                </v:roundrect>
                <v:roundrect id="Rounded Rectangle 780" o:spid="_x0000_s1160" style="position:absolute;left:475;top:14131;width:22675;height:1028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JIVcMA&#10;AADcAAAADwAAAGRycy9kb3ducmV2LnhtbERPS2vCQBC+F/wPywheSt1Y2kZSV5FawYM9+Lj0NmSn&#10;STQ7G7KjJv/ePQg9fnzv2aJztbpSGyrPBibjBBRx7m3FhYHjYf0yBRUE2WLtmQz0FGAxHzzNMLP+&#10;xju67qVQMYRDhgZKkSbTOuQlOQxj3xBH7s+3DiXCttC2xVsMd7V+TZIP7bDi2FBiQ18l5ef9xRkQ&#10;a/vD+zFN19+7fitvz6fV78/KmNGwW36CEurkX/xwb6yBdBrnxzPxCO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JIVcMAAADcAAAADwAAAAAAAAAAAAAAAACYAgAAZHJzL2Rv&#10;d25yZXYueG1sUEsFBgAAAAAEAAQA9QAAAIgDAAAAAA==&#10;" fillcolor="white [3201]" strokecolor="#f79646 [3209]" strokeweight="2pt">
                  <v:textbox inset="0,0,0,0">
                    <w:txbxContent>
                      <w:p w:rsidR="0041099D" w:rsidRPr="000A247D" w:rsidRDefault="0041099D" w:rsidP="000A247D">
                        <w:pPr>
                          <w:tabs>
                            <w:tab w:val="left" w:pos="567"/>
                          </w:tabs>
                          <w:spacing w:line="360" w:lineRule="auto"/>
                          <w:jc w:val="center"/>
                          <w:rPr>
                            <w:rFonts w:asciiTheme="minorHAnsi" w:hAnsiTheme="minorHAnsi" w:cstheme="minorHAnsi"/>
                            <w:b/>
                            <w:i/>
                          </w:rPr>
                        </w:pPr>
                        <w:r w:rsidRPr="000A247D">
                          <w:rPr>
                            <w:rFonts w:asciiTheme="minorHAnsi" w:hAnsiTheme="minorHAnsi" w:cstheme="minorHAnsi"/>
                            <w:b/>
                            <w:i/>
                          </w:rPr>
                          <w:t>Tikrinama hipotezė</w:t>
                        </w:r>
                      </w:p>
                      <w:p w:rsidR="0041099D" w:rsidRPr="000A247D" w:rsidRDefault="0041099D" w:rsidP="00B72DE4">
                        <w:pPr>
                          <w:jc w:val="center"/>
                          <w:rPr>
                            <w:rFonts w:asciiTheme="minorHAnsi" w:hAnsiTheme="minorHAnsi" w:cstheme="minorHAnsi"/>
                          </w:rPr>
                        </w:pPr>
                        <w:r>
                          <w:rPr>
                            <w:rFonts w:asciiTheme="minorHAnsi" w:hAnsiTheme="minorHAnsi" w:cstheme="minorHAnsi"/>
                            <w:i/>
                          </w:rPr>
                          <w:t>„</w:t>
                        </w:r>
                        <w:r w:rsidRPr="000A247D">
                          <w:rPr>
                            <w:rFonts w:asciiTheme="minorHAnsi" w:hAnsiTheme="minorHAnsi" w:cstheme="minorHAnsi"/>
                            <w:i/>
                          </w:rPr>
                          <w:t xml:space="preserve">Lizingo rinkos didėjimas </w:t>
                        </w:r>
                        <w:r>
                          <w:rPr>
                            <w:rFonts w:asciiTheme="minorHAnsi" w:hAnsiTheme="minorHAnsi" w:cstheme="minorHAnsi"/>
                            <w:i/>
                          </w:rPr>
                          <w:t>šalyje</w:t>
                        </w:r>
                        <w:r w:rsidRPr="000A247D">
                          <w:rPr>
                            <w:rFonts w:asciiTheme="minorHAnsi" w:hAnsiTheme="minorHAnsi" w:cstheme="minorHAnsi"/>
                            <w:i/>
                          </w:rPr>
                          <w:t xml:space="preserve"> teigiamai veikia tiesioginių užsienio investicijų kiekį</w:t>
                        </w:r>
                        <w:r>
                          <w:rPr>
                            <w:rFonts w:asciiTheme="minorHAnsi" w:hAnsiTheme="minorHAnsi" w:cstheme="minorHAnsi"/>
                            <w:i/>
                          </w:rPr>
                          <w:t>“</w:t>
                        </w:r>
                        <w:r w:rsidRPr="000A247D">
                          <w:rPr>
                            <w:rFonts w:asciiTheme="minorHAnsi" w:hAnsiTheme="minorHAnsi" w:cstheme="minorHAnsi"/>
                            <w:i/>
                          </w:rPr>
                          <w:t xml:space="preserve"> </w:t>
                        </w:r>
                      </w:p>
                    </w:txbxContent>
                  </v:textbox>
                </v:roundrect>
                <v:roundrect id="Rounded Rectangle 781" o:spid="_x0000_s1161" style="position:absolute;left:12112;top:25175;width:22676;height:1029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7tzscA&#10;AADcAAAADwAAAGRycy9kb3ducmV2LnhtbESPT2vCQBTE7wW/w/KEXopuLLaR6CqlVvDQHvxz8fbI&#10;PpO02bch+6rJt3eFQo/DzPyGWaw6V6sLtaHybGAyTkAR595WXBg4HjajGaggyBZrz2SgpwCr5eBh&#10;gZn1V97RZS+FihAOGRooRZpM65CX5DCMfUMcvbNvHUqUbaFti9cId7V+TpJX7bDiuFBiQ+8l5T/7&#10;X2dArO0PL8c03Xzs+k+ZPn2vT19rYx6H3dsclFAn/+G/9tYaSGcTuJ+JR0Av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7c7HAAAA3AAAAA8AAAAAAAAAAAAAAAAAmAIAAGRy&#10;cy9kb3ducmV2LnhtbFBLBQYAAAAABAAEAPUAAACMAwAAAAA=&#10;" fillcolor="white [3201]" strokecolor="#f79646 [3209]" strokeweight="2pt">
                  <v:textbox inset="0,0,0,0">
                    <w:txbxContent>
                      <w:p w:rsidR="0041099D" w:rsidRPr="000A247D" w:rsidRDefault="0041099D" w:rsidP="00B72DE4">
                        <w:pPr>
                          <w:tabs>
                            <w:tab w:val="left" w:pos="567"/>
                          </w:tabs>
                          <w:spacing w:line="360" w:lineRule="auto"/>
                          <w:jc w:val="center"/>
                          <w:rPr>
                            <w:rFonts w:asciiTheme="minorHAnsi" w:hAnsiTheme="minorHAnsi" w:cstheme="minorHAnsi"/>
                            <w:b/>
                            <w:i/>
                          </w:rPr>
                        </w:pPr>
                        <w:r w:rsidRPr="000A247D">
                          <w:rPr>
                            <w:rFonts w:asciiTheme="minorHAnsi" w:hAnsiTheme="minorHAnsi" w:cstheme="minorHAnsi"/>
                            <w:b/>
                            <w:i/>
                          </w:rPr>
                          <w:t>Tikrinama hipotezė</w:t>
                        </w:r>
                      </w:p>
                      <w:p w:rsidR="0041099D" w:rsidRPr="000A247D" w:rsidRDefault="0041099D" w:rsidP="00B72DE4">
                        <w:pPr>
                          <w:jc w:val="center"/>
                          <w:rPr>
                            <w:rFonts w:asciiTheme="minorHAnsi" w:hAnsiTheme="minorHAnsi" w:cstheme="minorHAnsi"/>
                          </w:rPr>
                        </w:pPr>
                        <w:r>
                          <w:rPr>
                            <w:rFonts w:asciiTheme="minorHAnsi" w:hAnsiTheme="minorHAnsi" w:cstheme="minorHAnsi"/>
                            <w:i/>
                          </w:rPr>
                          <w:t>„</w:t>
                        </w:r>
                        <w:r w:rsidRPr="000A247D">
                          <w:rPr>
                            <w:rFonts w:asciiTheme="minorHAnsi" w:hAnsiTheme="minorHAnsi" w:cstheme="minorHAnsi"/>
                            <w:i/>
                          </w:rPr>
                          <w:t xml:space="preserve">Lizingo rinkos didėjimas </w:t>
                        </w:r>
                        <w:r>
                          <w:rPr>
                            <w:rFonts w:asciiTheme="minorHAnsi" w:hAnsiTheme="minorHAnsi" w:cstheme="minorHAnsi"/>
                            <w:i/>
                          </w:rPr>
                          <w:t>šalyje</w:t>
                        </w:r>
                        <w:r w:rsidRPr="000A247D">
                          <w:rPr>
                            <w:rFonts w:asciiTheme="minorHAnsi" w:hAnsiTheme="minorHAnsi" w:cstheme="minorHAnsi"/>
                            <w:i/>
                          </w:rPr>
                          <w:t xml:space="preserve"> mažina nedarbo lygį</w:t>
                        </w:r>
                        <w:r>
                          <w:rPr>
                            <w:rFonts w:asciiTheme="minorHAnsi" w:hAnsiTheme="minorHAnsi" w:cstheme="minorHAnsi"/>
                            <w:i/>
                          </w:rPr>
                          <w:t>“</w:t>
                        </w:r>
                      </w:p>
                    </w:txbxContent>
                  </v:textbox>
                </v:roundrect>
                <v:roundrect id="Rounded Rectangle 793" o:spid="_x0000_s1162" style="position:absolute;left:28382;top:4156;width:18465;height:694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A/8cA&#10;AADcAAAADwAAAGRycy9kb3ducmV2LnhtbESPS2/CMBCE75X6H6xF4lKB0xeBgEEVFKmH9sDjwm0V&#10;L0naeB3FW0j+fV2pUo+jmflGs1h1rlYXakPl2cD9OAFFnHtbcWHgeNiOpqCCIFusPZOBngKslrc3&#10;C8ysv/KOLnspVIRwyNBAKdJkWoe8JIdh7Bvi6J1961CibAttW7xGuKv1Q5JMtMOK40KJDa1Lyr/2&#10;386AWNsfno9pun3d9e/ydPe5OX1sjBkOupc5KKFO/sN/7TdrIJ09wu+ZeAT0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pQP/HAAAA3AAAAA8AAAAAAAAAAAAAAAAAmAIAAGRy&#10;cy9kb3ducmV2LnhtbFBLBQYAAAAABAAEAPUAAACMAwAAAAA=&#10;" fillcolor="white [3201]" strokecolor="#f79646 [3209]" strokeweight="2pt">
                  <v:textbox inset="0,0,0,0">
                    <w:txbxContent>
                      <w:p w:rsidR="0041099D" w:rsidRPr="00A210CA" w:rsidRDefault="0041099D" w:rsidP="00E14C67">
                        <w:pPr>
                          <w:jc w:val="center"/>
                          <w:rPr>
                            <w:rFonts w:asciiTheme="minorHAnsi" w:hAnsiTheme="minorHAnsi" w:cstheme="minorHAnsi"/>
                          </w:rPr>
                        </w:pPr>
                        <w:r>
                          <w:rPr>
                            <w:rFonts w:asciiTheme="minorHAnsi" w:hAnsiTheme="minorHAnsi" w:cstheme="minorHAnsi"/>
                          </w:rPr>
                          <w:t>Lizingo rinkos ir BVP ryšio bei priklausomybės nustatymas</w:t>
                        </w:r>
                      </w:p>
                    </w:txbxContent>
                  </v:textbox>
                </v:roundrect>
                <v:roundrect id="Rounded Rectangle 797" o:spid="_x0000_s1163" style="position:absolute;left:475;top:3918;width:18478;height:6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W/lccA&#10;AADcAAAADwAAAGRycy9kb3ducmV2LnhtbESP3WoCMRSE7wu+QzgFb4pmLW3V1ShSrBSpF/48wGFz&#10;3GzdnKybuG779KZQ8HKYmW+Y6by1pWio9oVjBYN+AoI4c7rgXMFh/9EbgfABWWPpmBT8kIf5rPMw&#10;xVS7K2+p2YVcRAj7FBWYEKpUSp8Zsuj7riKO3tHVFkOUdS51jdcIt6V8TpI3abHguGCwondD2Wl3&#10;sQrWm8N5KV9+t80q+Xo6fw9ORr4uleo+tosJiEBtuIf/259awXA8hL8z8QjI2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Fv5XHAAAA3AAAAA8AAAAAAAAAAAAAAAAAmAIAAGRy&#10;cy9kb3ducmV2LnhtbFBLBQYAAAAABAAEAPUAAACMAwAAAAA=&#10;" fillcolor="white [3201]" strokecolor="#f79646 [3209]" strokeweight="2pt">
                  <v:textbox inset="0,0,0">
                    <w:txbxContent>
                      <w:p w:rsidR="0041099D" w:rsidRPr="00A210CA" w:rsidRDefault="0041099D" w:rsidP="00E14C67">
                        <w:pPr>
                          <w:jc w:val="center"/>
                          <w:rPr>
                            <w:rFonts w:asciiTheme="minorHAnsi" w:hAnsiTheme="minorHAnsi" w:cstheme="minorHAnsi"/>
                          </w:rPr>
                        </w:pPr>
                        <w:r>
                          <w:rPr>
                            <w:rFonts w:asciiTheme="minorHAnsi" w:hAnsiTheme="minorHAnsi" w:cstheme="minorHAnsi"/>
                          </w:rPr>
                          <w:t>Lizingo rinkos ir tiesioginių užsienio investicijų ryšio bei priklausomybės nustatymas</w:t>
                        </w:r>
                      </w:p>
                    </w:txbxContent>
                  </v:textbox>
                </v:roundrect>
                <v:roundrect id="Rounded Rectangle 801" o:spid="_x0000_s1164" style="position:absolute;left:14487;top:38476;width:18466;height:694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l6wsYA&#10;AADcAAAADwAAAGRycy9kb3ducmV2LnhtbESPQWvCQBSE7wX/w/IEL6VulFoldRXRCh7sIeqlt0f2&#10;NUmbfRuyr5r8+65Q6HGYmW+Y5bpztbpSGyrPBibjBBRx7m3FhYHLef+0ABUE2WLtmQz0FGC9Gjws&#10;MbX+xhldT1KoCOGQooFSpEm1DnlJDsPYN8TR+/StQ4myLbRt8RbhrtbTJHnRDiuOCyU2tC0p/z79&#10;OANibX+eXebz/VvWH+X58Wv38b4zZjTsNq+ghDr5D/+1D9bAIpnA/Uw8Anr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l6wsYAAADcAAAADwAAAAAAAAAAAAAAAACYAgAAZHJz&#10;L2Rvd25yZXYueG1sUEsFBgAAAAAEAAQA9QAAAIsDAAAAAA==&#10;" fillcolor="white [3201]" strokecolor="#f79646 [3209]" strokeweight="2pt">
                  <v:textbox inset="0,0,0,0">
                    <w:txbxContent>
                      <w:p w:rsidR="0041099D" w:rsidRPr="00A210CA" w:rsidRDefault="0041099D" w:rsidP="00B72DE4">
                        <w:pPr>
                          <w:jc w:val="center"/>
                          <w:rPr>
                            <w:rFonts w:asciiTheme="minorHAnsi" w:hAnsiTheme="minorHAnsi" w:cstheme="minorHAnsi"/>
                          </w:rPr>
                        </w:pPr>
                        <w:r>
                          <w:rPr>
                            <w:rFonts w:asciiTheme="minorHAnsi" w:hAnsiTheme="minorHAnsi" w:cstheme="minorHAnsi"/>
                          </w:rPr>
                          <w:t>Lizingo rinkos ir nedarbo lygio ryšio bei priklausomybės nustatymas</w:t>
                        </w:r>
                      </w:p>
                    </w:txbxContent>
                  </v:textbox>
                </v:roundrect>
                <v:shape id="Straight Arrow Connector 802" o:spid="_x0000_s1165" type="#_x0000_t32" style="position:absolute;left:23750;top:35507;width:0;height:29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AT98YAAADcAAAADwAAAGRycy9kb3ducmV2LnhtbESPT2sCMRTE74LfIbyCN81WqcrWKHap&#10;0B4K/sX29ti87i5uXpYk6vbbN4LgcZiZ3zCzRWtqcSHnK8sKngcJCOLc6ooLBfvdqj8F4QOyxtoy&#10;KfgjD4t5tzPDVNsrb+iyDYWIEPYpKihDaFIpfV6SQT+wDXH0fq0zGKJ0hdQOrxFuajlMkrE0WHFc&#10;KLGhrKT8tD0bBd+HTL8c3cS8Zee1+Vl9nqqv0btSvad2+QoiUBse4Xv7QyuYJkO4nYlHQM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AE/fGAAAA3AAAAA8AAAAAAAAA&#10;AAAAAAAAoQIAAGRycy9kb3ducmV2LnhtbFBLBQYAAAAABAAEAPkAAACUAwAAAAA=&#10;" strokecolor="#f79646 [3209]" strokeweight="2pt">
                  <v:stroke endarrow="open"/>
                  <v:shadow on="t" color="black" opacity="24903f" origin=",.5" offset="0,.55556mm"/>
                </v:shape>
                <v:shape id="Straight Arrow Connector 810" o:spid="_x0000_s1166" type="#_x0000_t32" style="position:absolute;left:27075;top:10925;width:2083;height:294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e+xsQAAADcAAAADwAAAGRycy9kb3ducmV2LnhtbERPy2rCQBTdF/yH4Qrd1YktrRIdgw0V&#10;2kWh9YG6u2SuSUjmTpgZNf69syh0eTjvedabVlzI+dqygvEoAUFcWF1zqWC7WT1NQfiArLG1TApu&#10;5CFbDB7mmGp75V+6rEMpYgj7FBVUIXSplL6oyKAf2Y44cifrDIYIXSm1w2sMN618TpI3abDm2FBh&#10;R3lFRbM+GwWHXa5f925i3vPzjzmuvpr6++VDqcdhv5yBCNSHf/Gf+1MrmI7j/HgmHgG5u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x77GxAAAANwAAAAPAAAAAAAAAAAA&#10;AAAAAKECAABkcnMvZG93bnJldi54bWxQSwUGAAAAAAQABAD5AAAAkgMAAAAA&#10;" strokecolor="#f79646 [3209]" strokeweight="2pt">
                  <v:stroke endarrow="open"/>
                  <v:shadow on="t" color="black" opacity="24903f" origin=",.5" offset="0,.55556mm"/>
                </v:shape>
                <v:shape id="Straight Arrow Connector 812" o:spid="_x0000_s1167" type="#_x0000_t32" style="position:absolute;left:18406;top:10925;width:2096;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58f8UAAADcAAAADwAAAGRycy9kb3ducmV2LnhtbESPQWvCQBSE70L/w/IKvemuHkTSrCIF&#10;Q6Et1Fjvz+wzG8y+jdmNpv++Wyj0OMzMN0y+GV0rbtSHxrOG+UyBIK68abjW8HXYTVcgQkQ22Hom&#10;Dd8UYLN+mOSYGX/nPd3KWIsE4ZChBhtjl0kZKksOw8x3xMk7+95hTLKvpenxnuCulQulltJhw2nB&#10;YkcvlqpLOTgNnx+quB6L4W1vi/fzVe3K4bQstX56HLfPICKN8T/81341GlbzBfyeSUd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J58f8UAAADcAAAADwAAAAAAAAAA&#10;AAAAAAChAgAAZHJzL2Rvd25yZXYueG1sUEsFBgAAAAAEAAQA+QAAAJMDAAAAAA==&#10;" strokecolor="#f79646 [3209]" strokeweight="2pt">
                  <v:stroke endarrow="open"/>
                  <v:shadow on="t" color="black" opacity="24903f" origin=",.5" offset="0,.55556mm"/>
                </v:shape>
              </v:group>
            </w:pict>
          </mc:Fallback>
        </mc:AlternateContent>
      </w: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850DFB"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42877" behindDoc="0" locked="0" layoutInCell="1" allowOverlap="1" wp14:anchorId="3FFB2A70" wp14:editId="2197D026">
                <wp:simplePos x="0" y="0"/>
                <wp:positionH relativeFrom="column">
                  <wp:posOffset>541655</wp:posOffset>
                </wp:positionH>
                <wp:positionV relativeFrom="paragraph">
                  <wp:posOffset>142875</wp:posOffset>
                </wp:positionV>
                <wp:extent cx="308610" cy="2522855"/>
                <wp:effectExtent l="0" t="0" r="15240" b="10795"/>
                <wp:wrapNone/>
                <wp:docPr id="836" name="Rounded Rectangle 836"/>
                <wp:cNvGraphicFramePr/>
                <a:graphic xmlns:a="http://schemas.openxmlformats.org/drawingml/2006/main">
                  <a:graphicData uri="http://schemas.microsoft.com/office/word/2010/wordprocessingShape">
                    <wps:wsp>
                      <wps:cNvSpPr/>
                      <wps:spPr>
                        <a:xfrm>
                          <a:off x="0" y="0"/>
                          <a:ext cx="308610" cy="2522855"/>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099D" w:rsidRPr="00D965D3" w:rsidRDefault="0041099D" w:rsidP="00D965D3">
                            <w:pPr>
                              <w:jc w:val="cente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roundrect id="Rounded Rectangle 836" o:spid="_x0000_s1168" style="position:absolute;margin-left:42.65pt;margin-top:11.25pt;width:24.3pt;height:198.65pt;z-index:251642877;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" fillcolor="white [3212]" strokecolor="white [3212]" strokeweight="2pt">
                <v:textbox inset="0,0,0,0">
                  <w:txbxContent>
                    <w:p w:rsidR="0041099D" w:rsidRPr="00D965D3" w:rsidRDefault="0041099D" w:rsidP="00D965D3">
                      <w:pPr>
                        <w:jc w:val="cente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pPr>
                      <w:r>
                        <w:rPr>
                          <w:rFonts w:asciiTheme="minorHAnsi" w:hAnsiTheme="minorHAnsi" w:cstheme="minorHAnsi"/>
                          <w:b/>
                          <w:sz w:val="72"/>
                          <w:szCs w:val="72"/>
                          <w14:shadow w14:blurRad="79997" w14:dist="40005" w14:dir="5040000" w14:sx="100000" w14:sy="100000" w14:kx="0" w14:ky="0" w14:algn="tl">
                            <w14:srgbClr w14:val="000000">
                              <w14:alpha w14:val="70000"/>
                            </w14:srgbClr>
                          </w14:shadow>
                          <w14:textOutline w14:w="11430" w14:cap="flat" w14:cmpd="sng" w14:algn="ctr">
                            <w14:noFill/>
                            <w14:prstDash w14:val="solid"/>
                            <w14:round/>
                          </w14:textOutline>
                          <w14:textFill>
                            <w14:gradFill>
                              <w14:gsLst>
                                <w14:gs w14:pos="0">
                                  <w14:schemeClr w14:val="accent6">
                                    <w14:tint w14:val="90000"/>
                                    <w14:satMod w14:val="120000"/>
                                  </w14:schemeClr>
                                </w14:gs>
                                <w14:gs w14:pos="25000">
                                  <w14:schemeClr w14:val="accent6">
                                    <w14:tint w14:val="93000"/>
                                    <w14:satMod w14:val="120000"/>
                                  </w14:schemeClr>
                                </w14:gs>
                                <w14:gs w14:pos="50000">
                                  <w14:schemeClr w14:val="accent6">
                                    <w14:shade w14:val="89000"/>
                                    <w14:satMod w14:val="110000"/>
                                  </w14:schemeClr>
                                </w14:gs>
                                <w14:gs w14:pos="75000">
                                  <w14:schemeClr w14:val="accent6">
                                    <w14:tint w14:val="93000"/>
                                    <w14:satMod w14:val="120000"/>
                                  </w14:schemeClr>
                                </w14:gs>
                                <w14:gs w14:pos="100000">
                                  <w14:schemeClr w14:val="accent6">
                                    <w14:tint w14:val="90000"/>
                                    <w14:satMod w14:val="120000"/>
                                  </w14:schemeClr>
                                </w14:gs>
                              </w14:gsLst>
                              <w14:lin w14:ang="5400000" w14:scaled="0"/>
                            </w14:gradFill>
                          </w14:textFill>
                          <w14:props3d w14:extrusionH="0" w14:contourW="12700" w14:prstMaterial="warmMatte">
                            <w14:bevelT w14:w="25400" w14:h="25400" w14:prst="circle"/>
                            <w14:contourClr>
                              <w14:schemeClr w14:val="accent6">
                                <w14:shade w14:val="73000"/>
                              </w14:schemeClr>
                            </w14:contourClr>
                          </w14:props3d>
                        </w:rPr>
                        <w:t>2</w:t>
                      </w:r>
                    </w:p>
                  </w:txbxContent>
                </v:textbox>
              </v:roundrect>
            </w:pict>
          </mc:Fallback>
        </mc:AlternateContent>
      </w:r>
      <w:r w:rsidR="00D60299">
        <w:rPr>
          <w:rFonts w:ascii="Times New Roman" w:hAnsi="Times New Roman" w:cs="Times New Roman"/>
          <w:noProof/>
        </w:rPr>
        <mc:AlternateContent>
          <mc:Choice Requires="wps">
            <w:drawing>
              <wp:anchor distT="0" distB="0" distL="114300" distR="114300" simplePos="0" relativeHeight="251735040" behindDoc="0" locked="0" layoutInCell="1" allowOverlap="1" wp14:anchorId="581903E4" wp14:editId="52B7239C">
                <wp:simplePos x="0" y="0"/>
                <wp:positionH relativeFrom="column">
                  <wp:posOffset>5666625</wp:posOffset>
                </wp:positionH>
                <wp:positionV relativeFrom="paragraph">
                  <wp:posOffset>196817</wp:posOffset>
                </wp:positionV>
                <wp:extent cx="308758" cy="0"/>
                <wp:effectExtent l="57150" t="38100" r="53340" b="95250"/>
                <wp:wrapNone/>
                <wp:docPr id="849" name="Straight Connector 849"/>
                <wp:cNvGraphicFramePr/>
                <a:graphic xmlns:a="http://schemas.openxmlformats.org/drawingml/2006/main">
                  <a:graphicData uri="http://schemas.microsoft.com/office/word/2010/wordprocessingShape">
                    <wps:wsp>
                      <wps:cNvCnPr/>
                      <wps:spPr>
                        <a:xfrm flipH="1">
                          <a:off x="0" y="0"/>
                          <a:ext cx="308758"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anchor>
            </w:drawing>
          </mc:Choice>
          <mc:Fallback>
            <w:pict>
              <v:line id="Straight Connector 849" o:spid="_x0000_s1026" style="position:absolute;flip:x;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6.2pt,15.5pt" to="470.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" strokecolor="#4f81bd [3204]" strokeweight="3pt">
                <v:shadow on="t" color="black" opacity="22937f" origin=",.5" offset="0,.63889mm"/>
              </v:line>
            </w:pict>
          </mc:Fallback>
        </mc:AlternateContent>
      </w:r>
    </w:p>
    <w:p w:rsidR="00326B1A" w:rsidRDefault="00D60299" w:rsidP="005D1814">
      <w:pPr>
        <w:spacing w:after="200"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31968" behindDoc="0" locked="0" layoutInCell="1" allowOverlap="1" wp14:anchorId="56DDF315" wp14:editId="1BC35D8C">
                <wp:simplePos x="0" y="0"/>
                <wp:positionH relativeFrom="column">
                  <wp:posOffset>287020</wp:posOffset>
                </wp:positionH>
                <wp:positionV relativeFrom="paragraph">
                  <wp:posOffset>-5715</wp:posOffset>
                </wp:positionV>
                <wp:extent cx="652780" cy="0"/>
                <wp:effectExtent l="38100" t="38100" r="52070" b="95250"/>
                <wp:wrapNone/>
                <wp:docPr id="847" name="Straight Connector 847"/>
                <wp:cNvGraphicFramePr/>
                <a:graphic xmlns:a="http://schemas.openxmlformats.org/drawingml/2006/main">
                  <a:graphicData uri="http://schemas.microsoft.com/office/word/2010/wordprocessingShape">
                    <wps:wsp>
                      <wps:cNvCnPr/>
                      <wps:spPr>
                        <a:xfrm flipH="1">
                          <a:off x="0" y="0"/>
                          <a:ext cx="65278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Straight Connector 847" o:spid="_x0000_s1026" style="position:absolute;flip:x;z-index:251731968;visibility:visible;mso-wrap-style:square;mso-wrap-distance-left:9pt;mso-wrap-distance-top:0;mso-wrap-distance-right:9pt;mso-wrap-distance-bottom:0;mso-position-horizontal:absolute;mso-position-horizontal-relative:text;mso-position-vertical:absolute;mso-position-vertical-relative:text" from="22.6pt,-.45pt" to="74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" strokecolor="#4f81bd [3204]" strokeweight="2pt">
                <v:shadow on="t" color="black" opacity="24903f" origin=",.5" offset="0,.55556mm"/>
              </v:line>
            </w:pict>
          </mc:Fallback>
        </mc:AlternateContent>
      </w: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p>
    <w:p w:rsidR="00326B1A" w:rsidRDefault="00326B1A" w:rsidP="005D1814">
      <w:pPr>
        <w:spacing w:after="200" w:line="276"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326B1A" w:rsidRDefault="00326B1A" w:rsidP="00F315EC">
      <w:pPr>
        <w:spacing w:line="276" w:lineRule="auto"/>
        <w:jc w:val="center"/>
        <w:rPr>
          <w:rFonts w:ascii="Times New Roman" w:hAnsi="Times New Roman" w:cs="Times New Roman"/>
          <w:b/>
        </w:rPr>
      </w:pPr>
    </w:p>
    <w:p w:rsidR="00B714EC" w:rsidRPr="00F315EC" w:rsidRDefault="00F315EC" w:rsidP="00F315EC">
      <w:pPr>
        <w:spacing w:after="120" w:line="276" w:lineRule="auto"/>
        <w:ind w:firstLine="426"/>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autoriaus</w:t>
      </w:r>
    </w:p>
    <w:bookmarkStart w:id="19" w:name="_Toc343459676"/>
    <w:p w:rsidR="00326B1A" w:rsidRDefault="005D1814" w:rsidP="00924B1F">
      <w:pPr>
        <w:pStyle w:val="Paveikslai"/>
      </w:pPr>
      <w:r w:rsidRPr="00326B1A">
        <w:rPr>
          <w:noProof/>
        </w:rPr>
        <mc:AlternateContent>
          <mc:Choice Requires="wps">
            <w:drawing>
              <wp:anchor distT="0" distB="0" distL="114300" distR="114300" simplePos="0" relativeHeight="251641852" behindDoc="0" locked="0" layoutInCell="1" allowOverlap="1" wp14:anchorId="55EFC937" wp14:editId="6B073851">
                <wp:simplePos x="0" y="0"/>
                <wp:positionH relativeFrom="column">
                  <wp:posOffset>175895</wp:posOffset>
                </wp:positionH>
                <wp:positionV relativeFrom="paragraph">
                  <wp:posOffset>7919720</wp:posOffset>
                </wp:positionV>
                <wp:extent cx="5882640" cy="476250"/>
                <wp:effectExtent l="0" t="0" r="22860" b="19050"/>
                <wp:wrapNone/>
                <wp:docPr id="838" name="Rectangle 838"/>
                <wp:cNvGraphicFramePr/>
                <a:graphic xmlns:a="http://schemas.openxmlformats.org/drawingml/2006/main">
                  <a:graphicData uri="http://schemas.microsoft.com/office/word/2010/wordprocessingShape">
                    <wps:wsp>
                      <wps:cNvSpPr/>
                      <wps:spPr>
                        <a:xfrm>
                          <a:off x="0" y="0"/>
                          <a:ext cx="5882640" cy="47625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41099D" w:rsidRPr="005D1814" w:rsidRDefault="0041099D" w:rsidP="005D1814">
                            <w:pPr>
                              <w:jc w:val="center"/>
                              <w:rPr>
                                <w:rFonts w:ascii="Times New Roman" w:hAnsi="Times New Roman" w:cs="Times New Roman"/>
                              </w:rPr>
                            </w:pPr>
                            <w:r w:rsidRPr="005D1814">
                              <w:rPr>
                                <w:rFonts w:ascii="Times New Roman" w:hAnsi="Times New Roman" w:cs="Times New Roman"/>
                                <w:b/>
                              </w:rPr>
                              <w:t>6 pav.</w:t>
                            </w:r>
                            <w:r w:rsidRPr="005D1814">
                              <w:rPr>
                                <w:rFonts w:ascii="Times New Roman" w:hAnsi="Times New Roman" w:cs="Times New Roman"/>
                              </w:rPr>
                              <w:t xml:space="preserve"> </w:t>
                            </w:r>
                            <w:r w:rsidRPr="005D1814">
                              <w:rPr>
                                <w:rFonts w:ascii="Times New Roman" w:hAnsi="Times New Roman" w:cs="Times New Roman"/>
                                <w:b/>
                              </w:rPr>
                              <w:t>Lizingo rinkos įtakos Lietuvos ekonomikai įvertinimas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838" o:spid="_x0000_s1169" style="position:absolute;left:0;text-align:left;margin-left:13.85pt;margin-top:623.6pt;width:463.2pt;height:37.5pt;z-index:2516418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" fillcolor="white [3212]" strokecolor="white [3212]" strokeweight="2pt">
                <v:textbox>
                  <w:txbxContent>
                    <w:p w:rsidR="0041099D" w:rsidRPr="005D1814" w:rsidRDefault="0041099D" w:rsidP="005D1814">
                      <w:pPr>
                        <w:jc w:val="center"/>
                        <w:rPr>
                          <w:rFonts w:ascii="Times New Roman" w:hAnsi="Times New Roman" w:cs="Times New Roman"/>
                        </w:rPr>
                      </w:pPr>
                      <w:r w:rsidRPr="005D1814">
                        <w:rPr>
                          <w:rFonts w:ascii="Times New Roman" w:hAnsi="Times New Roman" w:cs="Times New Roman"/>
                          <w:b/>
                        </w:rPr>
                        <w:t>6 pav.</w:t>
                      </w:r>
                      <w:r w:rsidRPr="005D1814">
                        <w:rPr>
                          <w:rFonts w:ascii="Times New Roman" w:hAnsi="Times New Roman" w:cs="Times New Roman"/>
                        </w:rPr>
                        <w:t xml:space="preserve"> </w:t>
                      </w:r>
                      <w:r w:rsidRPr="005D1814">
                        <w:rPr>
                          <w:rFonts w:ascii="Times New Roman" w:hAnsi="Times New Roman" w:cs="Times New Roman"/>
                          <w:b/>
                        </w:rPr>
                        <w:t>Lizingo rinkos įtakos Lietuvos ekonomikai įvertinimas</w:t>
                      </w:r>
                    </w:p>
                  </w:txbxContent>
                </v:textbox>
              </v:rect>
            </w:pict>
          </mc:Fallback>
        </mc:AlternateContent>
      </w:r>
      <w:r w:rsidR="00326B1A" w:rsidRPr="00326B1A">
        <w:t xml:space="preserve">6 </w:t>
      </w:r>
      <w:r w:rsidR="007603C0">
        <w:t>pav</w:t>
      </w:r>
      <w:r w:rsidR="00326B1A" w:rsidRPr="00326B1A">
        <w:t xml:space="preserve">. Lizingo rinkos įtakos </w:t>
      </w:r>
      <w:r w:rsidR="003D0859">
        <w:t>šalies</w:t>
      </w:r>
      <w:r w:rsidR="00326B1A" w:rsidRPr="00326B1A">
        <w:t xml:space="preserve"> ekonomikai įvertinimo modelis</w:t>
      </w:r>
      <w:bookmarkEnd w:id="19"/>
    </w:p>
    <w:p w:rsidR="00CC4662" w:rsidRPr="00326B1A" w:rsidRDefault="00CC4662" w:rsidP="00326B1A">
      <w:pPr>
        <w:spacing w:after="200" w:line="276" w:lineRule="auto"/>
        <w:jc w:val="center"/>
        <w:rPr>
          <w:rFonts w:ascii="Times New Roman" w:hAnsi="Times New Roman" w:cs="Times New Roman"/>
          <w:b/>
        </w:rPr>
      </w:pPr>
    </w:p>
    <w:p w:rsidR="003B3D3D" w:rsidRDefault="008B0296" w:rsidP="008B0296">
      <w:pPr>
        <w:pStyle w:val="Heading2"/>
      </w:pPr>
      <w:bookmarkStart w:id="20" w:name="_Toc343517972"/>
      <w:r>
        <w:t>Lietuvos lizingo rinkos kitimo tendencijos</w:t>
      </w:r>
      <w:r w:rsidR="001547D9">
        <w:t xml:space="preserve"> 1998-2011 m.</w:t>
      </w:r>
      <w:bookmarkEnd w:id="20"/>
    </w:p>
    <w:p w:rsidR="008B0296" w:rsidRDefault="008B0296" w:rsidP="008B0296">
      <w:pPr>
        <w:rPr>
          <w:rFonts w:ascii="Times New Roman" w:hAnsi="Times New Roman" w:cs="Times New Roman"/>
        </w:rPr>
      </w:pP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Lietuvos lizingo rinkos apžvalgą </w:t>
      </w:r>
      <w:r w:rsidR="007C20B3">
        <w:rPr>
          <w:rFonts w:ascii="Times New Roman" w:hAnsi="Times New Roman" w:cs="Times New Roman"/>
        </w:rPr>
        <w:t>pradedamas</w:t>
      </w:r>
      <w:r>
        <w:rPr>
          <w:rFonts w:ascii="Times New Roman" w:hAnsi="Times New Roman" w:cs="Times New Roman"/>
        </w:rPr>
        <w:t xml:space="preserve"> nuo lizingo por</w:t>
      </w:r>
      <w:r w:rsidR="00971BE3">
        <w:rPr>
          <w:rFonts w:ascii="Times New Roman" w:hAnsi="Times New Roman" w:cs="Times New Roman"/>
        </w:rPr>
        <w:t>tfelio dydžio kitimo. Analiz</w:t>
      </w:r>
      <w:r w:rsidR="007C20B3">
        <w:rPr>
          <w:rFonts w:ascii="Times New Roman" w:hAnsi="Times New Roman" w:cs="Times New Roman"/>
        </w:rPr>
        <w:t xml:space="preserve">uojami </w:t>
      </w:r>
      <w:r>
        <w:rPr>
          <w:rFonts w:ascii="Times New Roman" w:hAnsi="Times New Roman" w:cs="Times New Roman"/>
        </w:rPr>
        <w:t>1998 – 2011 metų duomenis. Lietuvos l</w:t>
      </w:r>
      <w:r w:rsidR="00315407">
        <w:rPr>
          <w:rFonts w:ascii="Times New Roman" w:hAnsi="Times New Roman" w:cs="Times New Roman"/>
        </w:rPr>
        <w:t>izingo portf</w:t>
      </w:r>
      <w:r w:rsidR="00971BE3">
        <w:rPr>
          <w:rFonts w:ascii="Times New Roman" w:hAnsi="Times New Roman" w:cs="Times New Roman"/>
        </w:rPr>
        <w:t>elio kitimo dinamika pateikiama</w:t>
      </w:r>
      <w:r w:rsidR="00B253B8">
        <w:rPr>
          <w:rFonts w:ascii="Times New Roman" w:hAnsi="Times New Roman" w:cs="Times New Roman"/>
        </w:rPr>
        <w:t xml:space="preserve"> 7</w:t>
      </w:r>
      <w:r>
        <w:rPr>
          <w:rFonts w:ascii="Times New Roman" w:hAnsi="Times New Roman" w:cs="Times New Roman"/>
        </w:rPr>
        <w:t xml:space="preserve"> paveiksle.</w:t>
      </w:r>
    </w:p>
    <w:p w:rsidR="00A3598D" w:rsidRDefault="00A3598D" w:rsidP="008B0296">
      <w:pPr>
        <w:tabs>
          <w:tab w:val="left" w:pos="567"/>
        </w:tabs>
        <w:spacing w:line="360" w:lineRule="auto"/>
        <w:jc w:val="both"/>
        <w:rPr>
          <w:rFonts w:ascii="Times New Roman" w:hAnsi="Times New Roman" w:cs="Times New Roman"/>
        </w:rPr>
      </w:pPr>
    </w:p>
    <w:p w:rsidR="008B0296" w:rsidRDefault="000D3985" w:rsidP="008B0296">
      <w:pPr>
        <w:tabs>
          <w:tab w:val="left" w:pos="567"/>
        </w:tabs>
        <w:spacing w:line="360" w:lineRule="auto"/>
        <w:jc w:val="center"/>
        <w:rPr>
          <w:rFonts w:ascii="Times New Roman" w:hAnsi="Times New Roman" w:cs="Times New Roman"/>
        </w:rPr>
      </w:pPr>
      <w:r w:rsidRPr="00E819D0">
        <w:rPr>
          <w:noProof/>
        </w:rPr>
        <mc:AlternateContent>
          <mc:Choice Requires="wps">
            <w:drawing>
              <wp:anchor distT="0" distB="0" distL="114300" distR="114300" simplePos="0" relativeHeight="251651072" behindDoc="0" locked="0" layoutInCell="1" allowOverlap="1" wp14:anchorId="1CC3DA66" wp14:editId="209E3C52">
                <wp:simplePos x="0" y="0"/>
                <wp:positionH relativeFrom="column">
                  <wp:posOffset>5576570</wp:posOffset>
                </wp:positionH>
                <wp:positionV relativeFrom="paragraph">
                  <wp:posOffset>59055</wp:posOffset>
                </wp:positionV>
                <wp:extent cx="685800" cy="2009775"/>
                <wp:effectExtent l="0" t="0" r="0" b="0"/>
                <wp:wrapNone/>
                <wp:docPr id="10"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 cy="2009775"/>
                        </a:xfrm>
                        <a:prstGeom prst="rect">
                          <a:avLst/>
                        </a:prstGeom>
                        <a:noFill/>
                        <a:ln w="9525" cmpd="sng">
                          <a:noFill/>
                        </a:ln>
                        <a:effectLst/>
                      </wps:spPr>
                      <wps:txbx>
                        <w:txbxContent>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Pokytis  </w:t>
                            </w:r>
                            <w:r w:rsidRPr="000D3985">
                              <w:rPr>
                                <w:rFonts w:ascii="Calibri" w:eastAsia="+mn-ea" w:hAnsi="Calibri" w:cs="+mn-cs"/>
                                <w:b/>
                                <w:color w:val="000000"/>
                                <w:sz w:val="20"/>
                                <w:szCs w:val="20"/>
                                <w:lang w:val="de-DE"/>
                              </w:rPr>
                              <w:t>%</w:t>
                            </w:r>
                            <w:r w:rsidRPr="000D3985">
                              <w:rPr>
                                <w:rFonts w:ascii="Calibri" w:eastAsia="+mn-ea" w:hAnsi="Calibri" w:cs="+mn-cs"/>
                                <w:b/>
                                <w:color w:val="000000"/>
                                <w:sz w:val="20"/>
                                <w:szCs w:val="20"/>
                              </w:rPr>
                              <w:t>,</w:t>
                            </w:r>
                          </w:p>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lyginant su </w:t>
                            </w:r>
                          </w:p>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praėjusiais metais</w:t>
                            </w:r>
                          </w:p>
                        </w:txbxContent>
                      </wps:txbx>
                      <wps:bodyPr vertOverflow="clip" horzOverflow="clip" vert="vert" wrap="square" rtlCol="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Box 4" o:spid="_x0000_s1170" type="#_x0000_t202" style="position:absolute;left:0;text-align:left;margin-left:439.1pt;margin-top:4.65pt;width:54pt;height:158.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" filled="f" stroked="f">
                <v:path arrowok="t"/>
                <v:textbox style="layout-flow:vertical">
                  <w:txbxContent>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Pokytis  </w:t>
                      </w:r>
                      <w:r w:rsidRPr="000D3985">
                        <w:rPr>
                          <w:rFonts w:ascii="Calibri" w:eastAsia="+mn-ea" w:hAnsi="Calibri" w:cs="+mn-cs"/>
                          <w:b/>
                          <w:color w:val="000000"/>
                          <w:sz w:val="20"/>
                          <w:szCs w:val="20"/>
                          <w:lang w:val="de-DE"/>
                        </w:rPr>
                        <w:t>%</w:t>
                      </w:r>
                      <w:r w:rsidRPr="000D3985">
                        <w:rPr>
                          <w:rFonts w:ascii="Calibri" w:eastAsia="+mn-ea" w:hAnsi="Calibri" w:cs="+mn-cs"/>
                          <w:b/>
                          <w:color w:val="000000"/>
                          <w:sz w:val="20"/>
                          <w:szCs w:val="20"/>
                        </w:rPr>
                        <w:t>,</w:t>
                      </w:r>
                    </w:p>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lyginant su </w:t>
                      </w:r>
                    </w:p>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praėjusiais metais</w:t>
                      </w:r>
                    </w:p>
                  </w:txbxContent>
                </v:textbox>
              </v:shape>
            </w:pict>
          </mc:Fallback>
        </mc:AlternateContent>
      </w:r>
      <w:r w:rsidRPr="00E819D0">
        <w:rPr>
          <w:noProof/>
        </w:rPr>
        <mc:AlternateContent>
          <mc:Choice Requires="wps">
            <w:drawing>
              <wp:anchor distT="0" distB="0" distL="114300" distR="114300" simplePos="0" relativeHeight="251650048" behindDoc="0" locked="0" layoutInCell="1" allowOverlap="1" wp14:anchorId="717CD148" wp14:editId="5C759989">
                <wp:simplePos x="0" y="0"/>
                <wp:positionH relativeFrom="column">
                  <wp:posOffset>261620</wp:posOffset>
                </wp:positionH>
                <wp:positionV relativeFrom="paragraph">
                  <wp:posOffset>297180</wp:posOffset>
                </wp:positionV>
                <wp:extent cx="533400" cy="164782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647825"/>
                        </a:xfrm>
                        <a:prstGeom prst="rect">
                          <a:avLst/>
                        </a:prstGeom>
                        <a:noFill/>
                        <a:ln w="9525" cmpd="sng">
                          <a:noFill/>
                        </a:ln>
                        <a:effectLst/>
                      </wps:spPr>
                      <wps:txbx>
                        <w:txbxContent>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Lizingo portfelis, mlrd. litų</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TextBox 3" o:spid="_x0000_s1171" type="#_x0000_t202" style="position:absolute;left:0;text-align:left;margin-left:20.6pt;margin-top:23.4pt;width:42pt;height:129.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" filled="f" stroked="f">
                <v:path arrowok="t"/>
                <v:textbox style="layout-flow:vertical;mso-layout-flow-alt:bottom-to-top">
                  <w:txbxContent>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Lizingo portfelis, mlrd. litų</w:t>
                      </w:r>
                    </w:p>
                  </w:txbxContent>
                </v:textbox>
              </v:shape>
            </w:pict>
          </mc:Fallback>
        </mc:AlternateContent>
      </w:r>
      <w:r w:rsidR="008B0296">
        <w:rPr>
          <w:noProof/>
        </w:rPr>
        <w:drawing>
          <wp:inline distT="0" distB="0" distL="0" distR="0" wp14:anchorId="269009A4" wp14:editId="7ECEAF7E">
            <wp:extent cx="5067300" cy="238125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C74AD" w:rsidRDefault="007C74AD" w:rsidP="007C74AD">
      <w:pPr>
        <w:tabs>
          <w:tab w:val="left" w:pos="567"/>
        </w:tabs>
        <w:spacing w:line="360" w:lineRule="auto"/>
        <w:ind w:firstLine="709"/>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bankų asociacijos internetinės svetainės duomenis</w:t>
      </w:r>
    </w:p>
    <w:p w:rsidR="008B0296" w:rsidRDefault="00B253B8" w:rsidP="00924B1F">
      <w:pPr>
        <w:pStyle w:val="Paveikslai"/>
      </w:pPr>
      <w:bookmarkStart w:id="21" w:name="_Toc343459677"/>
      <w:r>
        <w:t>7</w:t>
      </w:r>
      <w:r w:rsidR="008B0296" w:rsidRPr="007C4FD5">
        <w:t xml:space="preserve"> </w:t>
      </w:r>
      <w:r w:rsidR="007603C0">
        <w:t>pav</w:t>
      </w:r>
      <w:r w:rsidR="008B0296" w:rsidRPr="007C4FD5">
        <w:t>. Lietuvos lizingo portfelis 1998-2011 metais</w:t>
      </w:r>
      <w:bookmarkEnd w:id="21"/>
    </w:p>
    <w:p w:rsidR="008B0296" w:rsidRPr="007C4FD5" w:rsidRDefault="008B0296" w:rsidP="008B0296">
      <w:pPr>
        <w:tabs>
          <w:tab w:val="left" w:pos="567"/>
        </w:tabs>
        <w:spacing w:line="360" w:lineRule="auto"/>
        <w:jc w:val="center"/>
        <w:rPr>
          <w:rFonts w:ascii="Times New Roman" w:hAnsi="Times New Roman" w:cs="Times New Roman"/>
          <w:sz w:val="20"/>
          <w:szCs w:val="20"/>
        </w:rPr>
      </w:pP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Kaip iš pateiktos diagramos matome, lizingo rinka nuo statistikos vedimo pradžios 1998 metais iki 2011 metų išaugo daugiau negu 8 kartus. Tačiau stebint paskutiniuosius metus, lizingo rinka tikrai išgyvena ne pačius geriausius laikus. Jeigu nuo 2000 iki 2008 metų rinka kasmet augo vidutiniškai net po 40 </w:t>
      </w:r>
      <w:r>
        <w:rPr>
          <w:rFonts w:ascii="Times New Roman" w:hAnsi="Times New Roman" w:cs="Times New Roman"/>
          <w:lang w:val="en-US"/>
        </w:rPr>
        <w:t>%</w:t>
      </w:r>
      <w:r>
        <w:rPr>
          <w:rFonts w:ascii="Times New Roman" w:hAnsi="Times New Roman" w:cs="Times New Roman"/>
        </w:rPr>
        <w:t xml:space="preserve"> ir 2008 m. pasiekė 11 milijardų litų ribą. Tai 2011 m. lizingo portfelis susitraukė daugiau negu dvigubai, iki 5,3 mlrd. Lt. Tokiame lygyje lizingo rinka buvo 2005 metais. Jeigu remtumėmės SEB banko prezidento patarėjo G. Nausėdos (Fuks, 2012) išsakyta mintimi, kad Lietuvos ekonomika grįžo į 2005 – 2008 metus. Tokiu atveju, lizingo rinka būtent ir atspindėtų tokias pačias ekonomikos tendencijas. Lizingo rinkos smukimą lėmė </w:t>
      </w:r>
      <w:r w:rsidR="00A3598D">
        <w:rPr>
          <w:rFonts w:ascii="Times New Roman" w:hAnsi="Times New Roman" w:cs="Times New Roman"/>
        </w:rPr>
        <w:t>v</w:t>
      </w:r>
      <w:r>
        <w:rPr>
          <w:rFonts w:ascii="Times New Roman" w:hAnsi="Times New Roman" w:cs="Times New Roman"/>
        </w:rPr>
        <w:t>ieno didžiausių investicinių JAV bankų Lehmann Brothers bankrotas</w:t>
      </w:r>
      <w:r w:rsidR="00A3598D">
        <w:rPr>
          <w:rFonts w:ascii="Times New Roman" w:hAnsi="Times New Roman" w:cs="Times New Roman"/>
        </w:rPr>
        <w:t>, kuris</w:t>
      </w:r>
      <w:r>
        <w:rPr>
          <w:rFonts w:ascii="Times New Roman" w:hAnsi="Times New Roman" w:cs="Times New Roman"/>
        </w:rPr>
        <w:t xml:space="preserve"> buvo vienas pagrindi</w:t>
      </w:r>
      <w:r w:rsidR="00315407">
        <w:rPr>
          <w:rFonts w:ascii="Times New Roman" w:hAnsi="Times New Roman" w:cs="Times New Roman"/>
        </w:rPr>
        <w:t>nių veiksnių sukėlusių pasaulinius finansinius</w:t>
      </w:r>
      <w:r>
        <w:rPr>
          <w:rFonts w:ascii="Times New Roman" w:hAnsi="Times New Roman" w:cs="Times New Roman"/>
        </w:rPr>
        <w:t xml:space="preserve"> </w:t>
      </w:r>
      <w:r w:rsidR="00315407">
        <w:rPr>
          <w:rFonts w:ascii="Times New Roman" w:hAnsi="Times New Roman" w:cs="Times New Roman"/>
        </w:rPr>
        <w:t>neramumus</w:t>
      </w:r>
      <w:r>
        <w:rPr>
          <w:rFonts w:ascii="Times New Roman" w:hAnsi="Times New Roman" w:cs="Times New Roman"/>
        </w:rPr>
        <w:t>, kuri</w:t>
      </w:r>
      <w:r w:rsidR="00315407">
        <w:rPr>
          <w:rFonts w:ascii="Times New Roman" w:hAnsi="Times New Roman" w:cs="Times New Roman"/>
        </w:rPr>
        <w:t>e</w:t>
      </w:r>
      <w:r>
        <w:rPr>
          <w:rFonts w:ascii="Times New Roman" w:hAnsi="Times New Roman" w:cs="Times New Roman"/>
        </w:rPr>
        <w:t xml:space="preserve"> lėmė visuotinę paniką pasaulinėje ekonomikoje, nepasitikėjimą bankų sektoriumi, bankus tai skatino mažinti finansavimo apimtis, vartot</w:t>
      </w:r>
      <w:r w:rsidR="00971BE3">
        <w:rPr>
          <w:rFonts w:ascii="Times New Roman" w:hAnsi="Times New Roman" w:cs="Times New Roman"/>
        </w:rPr>
        <w:t>ojus mažiau skolintis. Norėdami</w:t>
      </w:r>
      <w:r w:rsidR="00315407">
        <w:rPr>
          <w:rFonts w:ascii="Times New Roman" w:hAnsi="Times New Roman" w:cs="Times New Roman"/>
        </w:rPr>
        <w:t xml:space="preserve"> įvertinti kaip stipriai finansiniai</w:t>
      </w:r>
      <w:r>
        <w:rPr>
          <w:rFonts w:ascii="Times New Roman" w:hAnsi="Times New Roman" w:cs="Times New Roman"/>
        </w:rPr>
        <w:t xml:space="preserve"> </w:t>
      </w:r>
      <w:r w:rsidR="00315407">
        <w:rPr>
          <w:rFonts w:ascii="Times New Roman" w:hAnsi="Times New Roman" w:cs="Times New Roman"/>
        </w:rPr>
        <w:t>neramumai</w:t>
      </w:r>
      <w:r>
        <w:rPr>
          <w:rFonts w:ascii="Times New Roman" w:hAnsi="Times New Roman" w:cs="Times New Roman"/>
        </w:rPr>
        <w:t xml:space="preserve"> įtakojo skolinimosi mastus lizingo forma bei pateikti aiškesnes įžvalgas apie lizin</w:t>
      </w:r>
      <w:r w:rsidR="00971BE3">
        <w:rPr>
          <w:rFonts w:ascii="Times New Roman" w:hAnsi="Times New Roman" w:cs="Times New Roman"/>
        </w:rPr>
        <w:t xml:space="preserve">go rinką Lietuvoje, panagrinėjome </w:t>
      </w:r>
      <w:r>
        <w:rPr>
          <w:rFonts w:ascii="Times New Roman" w:hAnsi="Times New Roman" w:cs="Times New Roman"/>
        </w:rPr>
        <w:t>naujai pasirašytų lizing</w:t>
      </w:r>
      <w:r w:rsidR="00B253B8">
        <w:rPr>
          <w:rFonts w:ascii="Times New Roman" w:hAnsi="Times New Roman" w:cs="Times New Roman"/>
        </w:rPr>
        <w:t>o sutarčių vertę pamečiui (žr. 8</w:t>
      </w:r>
      <w:r>
        <w:rPr>
          <w:rFonts w:ascii="Times New Roman" w:hAnsi="Times New Roman" w:cs="Times New Roman"/>
        </w:rPr>
        <w:t xml:space="preserve"> pav.).</w:t>
      </w: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r>
    </w:p>
    <w:p w:rsidR="008B0296" w:rsidRDefault="000D3985" w:rsidP="008B0296">
      <w:pPr>
        <w:tabs>
          <w:tab w:val="left" w:pos="567"/>
        </w:tabs>
        <w:spacing w:line="360" w:lineRule="auto"/>
        <w:jc w:val="center"/>
        <w:rPr>
          <w:rFonts w:ascii="Times New Roman" w:hAnsi="Times New Roman" w:cs="Times New Roman"/>
        </w:rPr>
      </w:pPr>
      <w:r>
        <w:rPr>
          <w:noProof/>
        </w:rPr>
        <w:lastRenderedPageBreak/>
        <mc:AlternateContent>
          <mc:Choice Requires="wps">
            <w:drawing>
              <wp:anchor distT="0" distB="0" distL="114300" distR="114300" simplePos="0" relativeHeight="251648000" behindDoc="0" locked="0" layoutInCell="1" allowOverlap="1" wp14:anchorId="5A2F6996" wp14:editId="67F28039">
                <wp:simplePos x="0" y="0"/>
                <wp:positionH relativeFrom="column">
                  <wp:posOffset>261620</wp:posOffset>
                </wp:positionH>
                <wp:positionV relativeFrom="paragraph">
                  <wp:posOffset>389890</wp:posOffset>
                </wp:positionV>
                <wp:extent cx="533400" cy="1419225"/>
                <wp:effectExtent l="0" t="0" r="0" b="0"/>
                <wp:wrapNone/>
                <wp:docPr id="672"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419225"/>
                        </a:xfrm>
                        <a:prstGeom prst="rect">
                          <a:avLst/>
                        </a:prstGeom>
                        <a:noFill/>
                        <a:ln w="9525" cmpd="sng">
                          <a:noFill/>
                        </a:ln>
                        <a:effectLst/>
                      </wps:spPr>
                      <wps:txbx>
                        <w:txbxContent>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Naujų lizingo sutarčių vertė, mlrd. litų</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_x0000_s1172" type="#_x0000_t202" style="position:absolute;left:0;text-align:left;margin-left:20.6pt;margin-top:30.7pt;width:42pt;height:111.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" filled="f" stroked="f">
                <v:path arrowok="t"/>
                <v:textbox style="layout-flow:vertical;mso-layout-flow-alt:bottom-to-top">
                  <w:txbxContent>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Naujų lizingo sutarčių vertė, mlrd. litų</w:t>
                      </w:r>
                    </w:p>
                  </w:txbxContent>
                </v:textbox>
              </v:shape>
            </w:pict>
          </mc:Fallback>
        </mc:AlternateContent>
      </w:r>
      <w:r>
        <w:rPr>
          <w:noProof/>
        </w:rPr>
        <mc:AlternateContent>
          <mc:Choice Requires="wps">
            <w:drawing>
              <wp:anchor distT="0" distB="0" distL="114300" distR="114300" simplePos="0" relativeHeight="251649024" behindDoc="0" locked="0" layoutInCell="1" allowOverlap="1" wp14:anchorId="5D2DF7A7" wp14:editId="47829F8E">
                <wp:simplePos x="0" y="0"/>
                <wp:positionH relativeFrom="column">
                  <wp:posOffset>5471795</wp:posOffset>
                </wp:positionH>
                <wp:positionV relativeFrom="paragraph">
                  <wp:posOffset>237490</wp:posOffset>
                </wp:positionV>
                <wp:extent cx="685800" cy="1619250"/>
                <wp:effectExtent l="0" t="0" r="0" b="0"/>
                <wp:wrapNone/>
                <wp:docPr id="31"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 cy="1619250"/>
                        </a:xfrm>
                        <a:prstGeom prst="rect">
                          <a:avLst/>
                        </a:prstGeom>
                        <a:noFill/>
                        <a:ln w="9525" cmpd="sng">
                          <a:noFill/>
                        </a:ln>
                        <a:effectLst/>
                      </wps:spPr>
                      <wps:txbx>
                        <w:txbxContent>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Pokytis  </w:t>
                            </w:r>
                            <w:r w:rsidRPr="000D3985">
                              <w:rPr>
                                <w:rFonts w:ascii="Calibri" w:eastAsia="+mn-ea" w:hAnsi="Calibri" w:cs="+mn-cs"/>
                                <w:b/>
                                <w:color w:val="000000"/>
                                <w:sz w:val="20"/>
                                <w:szCs w:val="20"/>
                                <w:lang w:val="de-DE"/>
                              </w:rPr>
                              <w:t>%</w:t>
                            </w:r>
                            <w:r w:rsidRPr="000D3985">
                              <w:rPr>
                                <w:rFonts w:ascii="Calibri" w:eastAsia="+mn-ea" w:hAnsi="Calibri" w:cs="+mn-cs"/>
                                <w:b/>
                                <w:color w:val="000000"/>
                                <w:sz w:val="20"/>
                                <w:szCs w:val="20"/>
                              </w:rPr>
                              <w:t>,</w:t>
                            </w:r>
                          </w:p>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lyginant su </w:t>
                            </w:r>
                          </w:p>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praėjusiais metais</w:t>
                            </w:r>
                          </w:p>
                        </w:txbxContent>
                      </wps:txbx>
                      <wps:bodyPr vertOverflow="clip" horzOverflow="clip" vert="vert" wrap="square" rtlCol="0" anchor="t">
                        <a:noAutofit/>
                      </wps:bodyPr>
                    </wps:wsp>
                  </a:graphicData>
                </a:graphic>
                <wp14:sizeRelH relativeFrom="page">
                  <wp14:pctWidth>0</wp14:pctWidth>
                </wp14:sizeRelH>
                <wp14:sizeRelV relativeFrom="page">
                  <wp14:pctHeight>0</wp14:pctHeight>
                </wp14:sizeRelV>
              </wp:anchor>
            </w:drawing>
          </mc:Choice>
          <mc:Fallback>
            <w:pict>
              <v:shape id="_x0000_s1173" type="#_x0000_t202" style="position:absolute;left:0;text-align:left;margin-left:430.85pt;margin-top:18.7pt;width:54pt;height:12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" filled="f" stroked="f">
                <v:path arrowok="t"/>
                <v:textbox style="layout-flow:vertical">
                  <w:txbxContent>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Pokytis  </w:t>
                      </w:r>
                      <w:r w:rsidRPr="000D3985">
                        <w:rPr>
                          <w:rFonts w:ascii="Calibri" w:eastAsia="+mn-ea" w:hAnsi="Calibri" w:cs="+mn-cs"/>
                          <w:b/>
                          <w:color w:val="000000"/>
                          <w:sz w:val="20"/>
                          <w:szCs w:val="20"/>
                          <w:lang w:val="de-DE"/>
                        </w:rPr>
                        <w:t>%</w:t>
                      </w:r>
                      <w:r w:rsidRPr="000D3985">
                        <w:rPr>
                          <w:rFonts w:ascii="Calibri" w:eastAsia="+mn-ea" w:hAnsi="Calibri" w:cs="+mn-cs"/>
                          <w:b/>
                          <w:color w:val="000000"/>
                          <w:sz w:val="20"/>
                          <w:szCs w:val="20"/>
                        </w:rPr>
                        <w:t>,</w:t>
                      </w:r>
                    </w:p>
                    <w:p w:rsidR="0041099D" w:rsidRPr="000D3985" w:rsidRDefault="0041099D" w:rsidP="008B0296">
                      <w:pPr>
                        <w:pStyle w:val="NormalWeb"/>
                        <w:spacing w:before="0" w:beforeAutospacing="0" w:after="0" w:afterAutospacing="0"/>
                        <w:jc w:val="center"/>
                        <w:rPr>
                          <w:rFonts w:ascii="Calibri" w:eastAsia="+mn-ea" w:hAnsi="Calibri" w:cs="+mn-cs"/>
                          <w:b/>
                          <w:color w:val="000000"/>
                          <w:sz w:val="20"/>
                          <w:szCs w:val="20"/>
                        </w:rPr>
                      </w:pPr>
                      <w:r w:rsidRPr="000D3985">
                        <w:rPr>
                          <w:rFonts w:ascii="Calibri" w:eastAsia="+mn-ea" w:hAnsi="Calibri" w:cs="+mn-cs"/>
                          <w:b/>
                          <w:color w:val="000000"/>
                          <w:sz w:val="20"/>
                          <w:szCs w:val="20"/>
                        </w:rPr>
                        <w:t xml:space="preserve">lyginant su </w:t>
                      </w:r>
                    </w:p>
                    <w:p w:rsidR="0041099D" w:rsidRPr="000D3985" w:rsidRDefault="0041099D" w:rsidP="008B0296">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praėjusiais metais</w:t>
                      </w:r>
                    </w:p>
                  </w:txbxContent>
                </v:textbox>
              </v:shape>
            </w:pict>
          </mc:Fallback>
        </mc:AlternateContent>
      </w:r>
      <w:r w:rsidR="008B0296">
        <w:rPr>
          <w:noProof/>
        </w:rPr>
        <w:drawing>
          <wp:inline distT="0" distB="0" distL="0" distR="0" wp14:anchorId="792FD4E9" wp14:editId="3B07F60A">
            <wp:extent cx="4972050" cy="2390775"/>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C74AD" w:rsidRPr="00CA4B5B" w:rsidRDefault="007C74AD" w:rsidP="007C74AD">
      <w:pPr>
        <w:tabs>
          <w:tab w:val="left" w:pos="709"/>
          <w:tab w:val="left" w:pos="1134"/>
        </w:tabs>
        <w:spacing w:line="360" w:lineRule="auto"/>
        <w:ind w:firstLine="709"/>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bankų asociacijos internetinės svetainės duomenis</w:t>
      </w:r>
    </w:p>
    <w:p w:rsidR="008B0296" w:rsidRDefault="00B253B8" w:rsidP="00924B1F">
      <w:pPr>
        <w:pStyle w:val="Paveikslai"/>
      </w:pPr>
      <w:bookmarkStart w:id="22" w:name="_Toc343459678"/>
      <w:r>
        <w:t>8</w:t>
      </w:r>
      <w:r w:rsidR="008B0296">
        <w:t xml:space="preserve"> </w:t>
      </w:r>
      <w:r w:rsidR="007603C0">
        <w:t>pav</w:t>
      </w:r>
      <w:r w:rsidR="008B0296">
        <w:t>. Naujai pasirašytų</w:t>
      </w:r>
      <w:r w:rsidR="008B0296" w:rsidRPr="00CA4B5B">
        <w:t xml:space="preserve"> </w:t>
      </w:r>
      <w:r w:rsidR="008B0296">
        <w:t xml:space="preserve">lizingo </w:t>
      </w:r>
      <w:r w:rsidR="008B0296" w:rsidRPr="00CA4B5B">
        <w:t xml:space="preserve">sutarčių vertė </w:t>
      </w:r>
      <w:r w:rsidR="008B0296">
        <w:t>Lietuvoje</w:t>
      </w:r>
      <w:r w:rsidR="00820A8D">
        <w:t xml:space="preserve"> 2000 – 2011 metais</w:t>
      </w:r>
      <w:bookmarkEnd w:id="22"/>
    </w:p>
    <w:p w:rsidR="008B0296" w:rsidRPr="000547CA" w:rsidRDefault="008B0296" w:rsidP="008B0296">
      <w:pPr>
        <w:tabs>
          <w:tab w:val="left" w:pos="567"/>
        </w:tabs>
        <w:spacing w:line="360" w:lineRule="auto"/>
        <w:jc w:val="center"/>
        <w:rPr>
          <w:rFonts w:ascii="Times New Roman" w:hAnsi="Times New Roman" w:cs="Times New Roman"/>
        </w:rPr>
      </w:pP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Analizuojant naujai pasirašytų sutarčių vertės kitimo grafiką, tendencijos yra pakankamai panašios su visu lizingo portfeliu. Vidutinis naujai pasirašytų sutarčių vertės augimas iki 2008 metų taip pat siekia apie 40 </w:t>
      </w:r>
      <w:r>
        <w:rPr>
          <w:rFonts w:ascii="Times New Roman" w:hAnsi="Times New Roman" w:cs="Times New Roman"/>
          <w:lang w:val="en-US"/>
        </w:rPr>
        <w:t>%</w:t>
      </w:r>
      <w:r>
        <w:rPr>
          <w:rFonts w:ascii="Times New Roman" w:hAnsi="Times New Roman" w:cs="Times New Roman"/>
        </w:rPr>
        <w:t xml:space="preserve">. Tačiau šis grafikas dar geriau atspindi finansinės depresijos įtaką lizingo rinkai. Jeigu bendras lizingo portfelis 2009 m. lyginant su 2008 m. smuko apie 30 </w:t>
      </w:r>
      <w:r>
        <w:rPr>
          <w:rFonts w:ascii="Times New Roman" w:hAnsi="Times New Roman" w:cs="Times New Roman"/>
          <w:lang w:val="en-US"/>
        </w:rPr>
        <w:t>%</w:t>
      </w:r>
      <w:r>
        <w:rPr>
          <w:rFonts w:ascii="Times New Roman" w:hAnsi="Times New Roman" w:cs="Times New Roman"/>
        </w:rPr>
        <w:t xml:space="preserve">, tai naujai pasirašomų sutarčių vertė sumažėjo daugiau nei 5 kartus. Finansinis neužtikrintumas, baimė, kad ateityje bus dar blogesnė situacija skatino lizingo kompanijas mažiau skolinti, o vartotojus mažiau skolintis. Tačiau po drastiško smukimo 2009 m., dabartinė situacija nuteikia optimistiškai. Naujai pasirašomų sutarčių vertė pradėjo stabiliai didėti ir 2011 m. pabaigoje siekė 2,34 mlrd. litų. Žinoma lyginant su praeities statistika, tai galima pastebėti, kad tokia suma buvo pasiekta dar 2003 m. Tačiau lyginant su 2009 m. naujai pasirašomų sutarčių kiekis padidėjo daugiau negu dvigubai. Padidėjusį susidomėjimą lizingo paslaugomis galima nesunkiai pastebėti ir dirbant UAB „Šiaulių banko lizingas“. Klientų besikreipiančių dėl lizingo padaugėjo pastebimai. </w:t>
      </w:r>
    </w:p>
    <w:p w:rsidR="00E9253E"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Taigi pakankamai stabilus naujų sutarčių vertės augimas nuteikia pozityviai. Akivaizdžiai matoma, kad lizingo rinkai Lietuvoje tikrai yra kur augti. Tokią išvadą galima daryti tiek atsižvelgiant į istorinius lizingo rezultatus bei užimtą rinką, tiek į vis gerėjančias ekonominės prognozes.</w:t>
      </w: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r>
      <w:r w:rsidR="00E9253E">
        <w:rPr>
          <w:rFonts w:ascii="Times New Roman" w:hAnsi="Times New Roman" w:cs="Times New Roman"/>
        </w:rPr>
        <w:t xml:space="preserve">Apžvelgus Lietuvos lizingo portfelį, reikėtų panagrinėti, koks lizingo tipas yra </w:t>
      </w:r>
      <w:r w:rsidR="00B253B8">
        <w:rPr>
          <w:rFonts w:ascii="Times New Roman" w:hAnsi="Times New Roman" w:cs="Times New Roman"/>
        </w:rPr>
        <w:t>populiariausias Lietuvoje (žr. 9</w:t>
      </w:r>
      <w:r w:rsidR="00E9253E">
        <w:rPr>
          <w:rFonts w:ascii="Times New Roman" w:hAnsi="Times New Roman" w:cs="Times New Roman"/>
        </w:rPr>
        <w:t xml:space="preserve"> pav.).</w:t>
      </w:r>
    </w:p>
    <w:p w:rsidR="00633C23" w:rsidRDefault="00633C23" w:rsidP="00633C23">
      <w:pPr>
        <w:tabs>
          <w:tab w:val="left" w:pos="567"/>
        </w:tabs>
        <w:spacing w:line="360" w:lineRule="auto"/>
        <w:jc w:val="center"/>
        <w:rPr>
          <w:rFonts w:ascii="Times New Roman" w:hAnsi="Times New Roman" w:cs="Times New Roman"/>
        </w:rPr>
      </w:pPr>
      <w:r>
        <w:rPr>
          <w:noProof/>
        </w:rPr>
        <w:lastRenderedPageBreak/>
        <w:drawing>
          <wp:inline distT="0" distB="0" distL="0" distR="0" wp14:anchorId="3B76C02A" wp14:editId="55B6DFA0">
            <wp:extent cx="5276850" cy="28956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C74AD" w:rsidRDefault="007C74AD" w:rsidP="007C74AD">
      <w:pPr>
        <w:tabs>
          <w:tab w:val="left" w:pos="567"/>
        </w:tabs>
        <w:spacing w:line="360" w:lineRule="auto"/>
        <w:ind w:firstLine="993"/>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bankų asociacijos internetinės svetainės duomenis</w:t>
      </w:r>
    </w:p>
    <w:p w:rsidR="001B6DF5" w:rsidRDefault="00B253B8" w:rsidP="00924B1F">
      <w:pPr>
        <w:pStyle w:val="Paveikslai"/>
      </w:pPr>
      <w:bookmarkStart w:id="23" w:name="_Toc343459679"/>
      <w:r>
        <w:t>9</w:t>
      </w:r>
      <w:r w:rsidR="001B6DF5" w:rsidRPr="001B6DF5">
        <w:t xml:space="preserve"> </w:t>
      </w:r>
      <w:r w:rsidR="007603C0">
        <w:t>pav</w:t>
      </w:r>
      <w:r w:rsidR="001B6DF5" w:rsidRPr="001B6DF5">
        <w:t xml:space="preserve">. </w:t>
      </w:r>
      <w:r w:rsidR="00820A8D">
        <w:t>Lietuvos l</w:t>
      </w:r>
      <w:r w:rsidR="001B6DF5" w:rsidRPr="001B6DF5">
        <w:t>izingo portfelio struktūra pagal lizingo tipą</w:t>
      </w:r>
      <w:r w:rsidR="00820A8D">
        <w:t xml:space="preserve"> 1998 – 2011 metais</w:t>
      </w:r>
      <w:bookmarkEnd w:id="23"/>
    </w:p>
    <w:p w:rsidR="001B6DF5" w:rsidRDefault="001B6DF5" w:rsidP="001B6DF5">
      <w:pPr>
        <w:tabs>
          <w:tab w:val="left" w:pos="567"/>
        </w:tabs>
        <w:spacing w:line="360" w:lineRule="auto"/>
        <w:jc w:val="center"/>
        <w:rPr>
          <w:rFonts w:ascii="Times New Roman" w:hAnsi="Times New Roman" w:cs="Times New Roman"/>
        </w:rPr>
      </w:pPr>
    </w:p>
    <w:p w:rsidR="001B6DF5" w:rsidRDefault="001B6DF5" w:rsidP="001B6DF5">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Analizuojant lizingo portfelio struktūrą pagal lizingo tipą, matome, kad visais laikotarpiais nuo pat lizingo istorijos pradžios Lietuvoje neginčijamai vyrauja finansinis lizingas, portfelyje sudarydamas ne mažiau 92 </w:t>
      </w:r>
      <w:r>
        <w:rPr>
          <w:rFonts w:ascii="Times New Roman" w:hAnsi="Times New Roman" w:cs="Times New Roman"/>
          <w:lang w:val="en-US"/>
        </w:rPr>
        <w:t>%</w:t>
      </w:r>
      <w:r>
        <w:rPr>
          <w:rFonts w:ascii="Times New Roman" w:hAnsi="Times New Roman" w:cs="Times New Roman"/>
        </w:rPr>
        <w:t xml:space="preserve">. </w:t>
      </w:r>
      <w:r w:rsidR="00EE4816">
        <w:rPr>
          <w:rFonts w:ascii="Times New Roman" w:hAnsi="Times New Roman" w:cs="Times New Roman"/>
        </w:rPr>
        <w:t xml:space="preserve">Nors nuo 1998 m. veiklos lizingo dalis portfelyje ir didėja, tačiau šis didėjimas yra labai nežymus ir dažniausiai stebint pamečiui nesiekia net 1 </w:t>
      </w:r>
      <w:r w:rsidR="00EE4816">
        <w:rPr>
          <w:rFonts w:ascii="Times New Roman" w:hAnsi="Times New Roman" w:cs="Times New Roman"/>
          <w:lang w:val="en-US"/>
        </w:rPr>
        <w:t>%.</w:t>
      </w:r>
      <w:r w:rsidR="00EE4816">
        <w:rPr>
          <w:rFonts w:ascii="Times New Roman" w:hAnsi="Times New Roman" w:cs="Times New Roman"/>
        </w:rPr>
        <w:t xml:space="preserve"> </w:t>
      </w:r>
      <w:r>
        <w:rPr>
          <w:rFonts w:ascii="Times New Roman" w:hAnsi="Times New Roman" w:cs="Times New Roman"/>
        </w:rPr>
        <w:t>Iš vienos pusės toks finansinio lizingo vyravimas Lietuvoje galėtų atrodyti pakankamai keistas, lyginant kaip veiklos lizingas populiarėja pasaulyje</w:t>
      </w:r>
      <w:r w:rsidR="00EE4816">
        <w:rPr>
          <w:rFonts w:ascii="Times New Roman" w:hAnsi="Times New Roman" w:cs="Times New Roman"/>
        </w:rPr>
        <w:t xml:space="preserve"> ir vis didesnę dalį užima bendrame lizingo portfelyje. Tačiau Lietuvos atveju tokią padėtį paaiškinti pakankamai nesunku. </w:t>
      </w:r>
      <w:r w:rsidR="003A2FE3">
        <w:rPr>
          <w:rFonts w:ascii="Times New Roman" w:hAnsi="Times New Roman" w:cs="Times New Roman"/>
        </w:rPr>
        <w:t>Lietuvos lizingo kompanijos vengia</w:t>
      </w:r>
      <w:r w:rsidR="00EE4816">
        <w:rPr>
          <w:rFonts w:ascii="Times New Roman" w:hAnsi="Times New Roman" w:cs="Times New Roman"/>
        </w:rPr>
        <w:t xml:space="preserve"> suteikti veiklos lizingą dėl lizingo pabaigoje dažniausiai lizingo kompanijai liekančio turto. Jeigu veiklos lizingas vyrautų lizingo portfelyje, tikėtina, kad lizingo kompanijoms lizingo laikotarpio pabaigoje grįžtų pakankamai nemažas kiekis turto, kuris </w:t>
      </w:r>
      <w:r w:rsidR="00793946">
        <w:rPr>
          <w:rFonts w:ascii="Times New Roman" w:hAnsi="Times New Roman" w:cs="Times New Roman"/>
        </w:rPr>
        <w:t>ne visada būtų geros būklės</w:t>
      </w:r>
      <w:r w:rsidR="00EE4816">
        <w:rPr>
          <w:rFonts w:ascii="Times New Roman" w:hAnsi="Times New Roman" w:cs="Times New Roman"/>
        </w:rPr>
        <w:t xml:space="preserve">, taigi lizingo kompanijos turėtų steigti papildomus padalinius ar netgi tam tikras dukterines kompanijas, kurios rūpintųsi tokio turto realizavimu. </w:t>
      </w:r>
      <w:r w:rsidR="003A2FE3">
        <w:rPr>
          <w:rFonts w:ascii="Times New Roman" w:hAnsi="Times New Roman" w:cs="Times New Roman"/>
        </w:rPr>
        <w:t>Todėl l</w:t>
      </w:r>
      <w:r w:rsidR="003A2FE3" w:rsidRPr="003A2FE3">
        <w:rPr>
          <w:rFonts w:ascii="Times New Roman" w:hAnsi="Times New Roman" w:cs="Times New Roman"/>
        </w:rPr>
        <w:t>izingo kompanijos Lietuvoje veiklos lizingą suteikia tik pakankamai didelė</w:t>
      </w:r>
      <w:r w:rsidR="00793946">
        <w:rPr>
          <w:rFonts w:ascii="Times New Roman" w:hAnsi="Times New Roman" w:cs="Times New Roman"/>
        </w:rPr>
        <w:t>ms arba labai stambioms įmonėms norint išlaikyti jas savo klientėmis.</w:t>
      </w:r>
      <w:r w:rsidR="003A2FE3" w:rsidRPr="003A2FE3">
        <w:rPr>
          <w:rFonts w:ascii="Times New Roman" w:hAnsi="Times New Roman" w:cs="Times New Roman"/>
        </w:rPr>
        <w:t xml:space="preserve"> Kadangi Lietuvos rinka yra pakankamai nedidelė, taigi tokių įmonių Lietuvoje yra nedaug.</w:t>
      </w:r>
      <w:r w:rsidR="00793946">
        <w:rPr>
          <w:rFonts w:ascii="Times New Roman" w:hAnsi="Times New Roman" w:cs="Times New Roman"/>
        </w:rPr>
        <w:t xml:space="preserve"> Dirbant UAB „Šiaulių banko lizingas“ teko pastebėti, kad susidomėjimas ir pageidavimas lizinguotis veiklos lizingu vis didėja, tačiau, kaip ir minėta, tokia lizingo forma suteikiama tik stiprios įmonėms. </w:t>
      </w:r>
      <w:r w:rsidR="00971BE3">
        <w:rPr>
          <w:rFonts w:ascii="Times New Roman" w:hAnsi="Times New Roman" w:cs="Times New Roman"/>
        </w:rPr>
        <w:t>Darbo autoriaus</w:t>
      </w:r>
      <w:r w:rsidR="00793946">
        <w:rPr>
          <w:rFonts w:ascii="Times New Roman" w:hAnsi="Times New Roman" w:cs="Times New Roman"/>
        </w:rPr>
        <w:t xml:space="preserve"> nuomone, bent artimiausiais metais finansinio lizingo forma vyraus suteikiant lizingą.</w:t>
      </w:r>
    </w:p>
    <w:p w:rsidR="00793946" w:rsidRDefault="00793946" w:rsidP="0079394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Apžvelgus Lietuvos lizingo portfelio struktūrą pagal tipą, reikėtų panagrinėti, jo struktūrą pagal turto rūšį ir išsiaiškinti kurios turto rūšies lizingas Lietuvoje yra paklausiausias (žr. </w:t>
      </w:r>
      <w:r w:rsidR="00B253B8">
        <w:rPr>
          <w:rFonts w:ascii="Times New Roman" w:hAnsi="Times New Roman" w:cs="Times New Roman"/>
        </w:rPr>
        <w:t>10</w:t>
      </w:r>
      <w:r>
        <w:rPr>
          <w:rFonts w:ascii="Times New Roman" w:hAnsi="Times New Roman" w:cs="Times New Roman"/>
        </w:rPr>
        <w:t xml:space="preserve"> pav.). </w:t>
      </w:r>
    </w:p>
    <w:p w:rsidR="00793946" w:rsidRDefault="00793946" w:rsidP="001B6DF5">
      <w:pPr>
        <w:tabs>
          <w:tab w:val="left" w:pos="567"/>
        </w:tabs>
        <w:spacing w:line="360" w:lineRule="auto"/>
        <w:jc w:val="both"/>
        <w:rPr>
          <w:rFonts w:ascii="Times New Roman" w:hAnsi="Times New Roman" w:cs="Times New Roman"/>
        </w:rPr>
      </w:pPr>
    </w:p>
    <w:p w:rsidR="00793946" w:rsidRPr="001B6DF5" w:rsidRDefault="00793946" w:rsidP="001B6DF5">
      <w:pPr>
        <w:tabs>
          <w:tab w:val="left" w:pos="567"/>
        </w:tabs>
        <w:spacing w:line="360" w:lineRule="auto"/>
        <w:jc w:val="both"/>
        <w:rPr>
          <w:rFonts w:ascii="Times New Roman" w:hAnsi="Times New Roman" w:cs="Times New Roman"/>
        </w:rPr>
      </w:pPr>
      <w:r>
        <w:rPr>
          <w:rFonts w:ascii="Times New Roman" w:hAnsi="Times New Roman" w:cs="Times New Roman"/>
        </w:rPr>
        <w:tab/>
      </w:r>
    </w:p>
    <w:p w:rsidR="008B0296" w:rsidRPr="0086425B"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lastRenderedPageBreak/>
        <w:t xml:space="preserve"> </w:t>
      </w:r>
      <w:r>
        <w:rPr>
          <w:noProof/>
        </w:rPr>
        <w:drawing>
          <wp:inline distT="0" distB="0" distL="0" distR="0" wp14:anchorId="63ADEB31" wp14:editId="2224B07D">
            <wp:extent cx="6162675" cy="2962275"/>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C74AD" w:rsidRPr="006400E2" w:rsidRDefault="007C74AD" w:rsidP="007C74AD">
      <w:pPr>
        <w:spacing w:line="276" w:lineRule="auto"/>
        <w:ind w:firstLine="142"/>
        <w:rPr>
          <w:rFonts w:ascii="Times New Roman" w:hAnsi="Times New Roman" w:cs="Times New Roman"/>
          <w:sz w:val="20"/>
          <w:szCs w:val="20"/>
        </w:rPr>
      </w:pPr>
      <w:r w:rsidRPr="006400E2">
        <w:rPr>
          <w:rFonts w:ascii="Times New Roman" w:hAnsi="Times New Roman" w:cs="Times New Roman"/>
          <w:b/>
          <w:sz w:val="20"/>
          <w:szCs w:val="20"/>
        </w:rPr>
        <w:t>Šaltinis:</w:t>
      </w:r>
      <w:r w:rsidRPr="006400E2">
        <w:rPr>
          <w:rFonts w:ascii="Times New Roman" w:hAnsi="Times New Roman" w:cs="Times New Roman"/>
          <w:sz w:val="20"/>
          <w:szCs w:val="20"/>
        </w:rPr>
        <w:t xml:space="preserve"> Sudaryta pagal Lietuvos bankų asociacijos internetinės svetainės duomenis</w:t>
      </w:r>
    </w:p>
    <w:p w:rsidR="008B0296" w:rsidRPr="006400E2" w:rsidRDefault="00B253B8" w:rsidP="00924B1F">
      <w:pPr>
        <w:pStyle w:val="Paveikslai"/>
      </w:pPr>
      <w:bookmarkStart w:id="24" w:name="_Toc343459680"/>
      <w:r>
        <w:t>10</w:t>
      </w:r>
      <w:r w:rsidR="008B0296" w:rsidRPr="006400E2">
        <w:t xml:space="preserve"> </w:t>
      </w:r>
      <w:r w:rsidR="007603C0">
        <w:t>pav</w:t>
      </w:r>
      <w:r w:rsidR="008B0296" w:rsidRPr="006400E2">
        <w:t xml:space="preserve">. </w:t>
      </w:r>
      <w:r w:rsidR="00820A8D">
        <w:t>Lietuvos l</w:t>
      </w:r>
      <w:r w:rsidR="008B0296" w:rsidRPr="006400E2">
        <w:t>izingo portfelio struktūra pagal turto rūšį</w:t>
      </w:r>
      <w:r w:rsidR="00820A8D">
        <w:t xml:space="preserve"> 1998 – 2011 metais</w:t>
      </w:r>
      <w:bookmarkEnd w:id="24"/>
    </w:p>
    <w:p w:rsidR="008B0296" w:rsidRDefault="008B0296" w:rsidP="008B0296">
      <w:pPr>
        <w:spacing w:after="200" w:line="276" w:lineRule="auto"/>
        <w:rPr>
          <w:rFonts w:ascii="Times New Roman" w:hAnsi="Times New Roman" w:cs="Times New Roman"/>
        </w:rPr>
      </w:pP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Kaip iš pateiktos diagramos matome, lizingo portfelio struktūra visu analizuojamu laikotarpiu pasikeitė pakankamai nedaug. Didžiausius pokyčius būtų galima įžvelgti kelių transporto priemonių (sunkvežimiai, vilkikai, priekabos, autobusai) lizingo rinkoje. Kaip </w:t>
      </w:r>
      <w:r w:rsidR="00315407">
        <w:rPr>
          <w:rFonts w:ascii="Times New Roman" w:hAnsi="Times New Roman" w:cs="Times New Roman"/>
        </w:rPr>
        <w:t>poskyryj</w:t>
      </w:r>
      <w:r>
        <w:rPr>
          <w:rFonts w:ascii="Times New Roman" w:hAnsi="Times New Roman" w:cs="Times New Roman"/>
        </w:rPr>
        <w:t xml:space="preserve">e </w:t>
      </w:r>
      <w:r w:rsidR="00315407">
        <w:rPr>
          <w:rFonts w:ascii="Times New Roman" w:hAnsi="Times New Roman" w:cs="Times New Roman"/>
        </w:rPr>
        <w:t xml:space="preserve">„Lietuvos lizingo rinka“ </w:t>
      </w:r>
      <w:r>
        <w:rPr>
          <w:rFonts w:ascii="Times New Roman" w:hAnsi="Times New Roman" w:cs="Times New Roman"/>
        </w:rPr>
        <w:t xml:space="preserve">ir buvo rašyta, lizingas Lietuvos rinką pirmiausiai sudomino per sunkiasvorių transporto priemonių lizingą, taigi, natūralu, kad pirmaisiais metais ši lizingo rūšis portfelyje buvo svariausia ir sudarė virš 40 </w:t>
      </w:r>
      <w:r>
        <w:rPr>
          <w:rFonts w:ascii="Times New Roman" w:hAnsi="Times New Roman" w:cs="Times New Roman"/>
          <w:lang w:val="en-US"/>
        </w:rPr>
        <w:t>%</w:t>
      </w:r>
      <w:r>
        <w:rPr>
          <w:rFonts w:ascii="Times New Roman" w:hAnsi="Times New Roman" w:cs="Times New Roman"/>
        </w:rPr>
        <w:t xml:space="preserve">. Pastaraisiais metais šios turto rūšies lizingas nebeturi tokio svorio visame portfelyje, tačiau išlieka didžiausiu ir visu laikotarpiu viršija 25 </w:t>
      </w:r>
      <w:r>
        <w:rPr>
          <w:rFonts w:ascii="Times New Roman" w:hAnsi="Times New Roman" w:cs="Times New Roman"/>
          <w:lang w:val="en-US"/>
        </w:rPr>
        <w:t>%</w:t>
      </w:r>
      <w:r>
        <w:rPr>
          <w:rFonts w:ascii="Times New Roman" w:hAnsi="Times New Roman" w:cs="Times New Roman"/>
        </w:rPr>
        <w:t xml:space="preserve"> ribą. Taip pat galima pastebėti ganėtinai stabilų nekilnojamo turto lizingo augimą. Įmonėms šio turto lizingas yra pakankamai patrauklus, ypač kalbant apie grįžtamąjį turto lizingą, kuris gali užtikrinti ilgalaikį įmonės apyvartinių lėšų finansavimą. Stabiliausiai lizingo portfelyje atrodo lengvųjų automobilių bei pramonės įrangos ir įrengimų dalis lizingo portfelyje, siekdama apie 20 – 25 %. Visų aprašytų turto rūšių lizingas portfelyje sudaro virš 90 </w:t>
      </w:r>
      <w:r>
        <w:rPr>
          <w:rFonts w:ascii="Times New Roman" w:hAnsi="Times New Roman" w:cs="Times New Roman"/>
          <w:lang w:val="en-US"/>
        </w:rPr>
        <w:t>%</w:t>
      </w:r>
      <w:r>
        <w:rPr>
          <w:rFonts w:ascii="Times New Roman" w:hAnsi="Times New Roman" w:cs="Times New Roman"/>
        </w:rPr>
        <w:t>. Kito turto lizingas nėra labai populiarus ir neturi svarios dalies visame lizingo portfelyje.</w:t>
      </w:r>
      <w:r w:rsidR="00793946">
        <w:rPr>
          <w:rFonts w:ascii="Times New Roman" w:hAnsi="Times New Roman" w:cs="Times New Roman"/>
        </w:rPr>
        <w:t xml:space="preserve"> </w:t>
      </w:r>
    </w:p>
    <w:p w:rsidR="008B0296"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Galiausiai panagrinėsiu </w:t>
      </w:r>
      <w:r w:rsidR="00851C24">
        <w:rPr>
          <w:rFonts w:ascii="Times New Roman" w:hAnsi="Times New Roman" w:cs="Times New Roman"/>
        </w:rPr>
        <w:t xml:space="preserve">Lietuvos </w:t>
      </w:r>
      <w:r>
        <w:rPr>
          <w:rFonts w:ascii="Times New Roman" w:hAnsi="Times New Roman" w:cs="Times New Roman"/>
        </w:rPr>
        <w:t xml:space="preserve">lizingo rinkos pasidalijimą pagal veikiančias lizingo įmones (žr. </w:t>
      </w:r>
      <w:r w:rsidR="00B253B8">
        <w:rPr>
          <w:rFonts w:ascii="Times New Roman" w:hAnsi="Times New Roman" w:cs="Times New Roman"/>
        </w:rPr>
        <w:t>11</w:t>
      </w:r>
      <w:r>
        <w:rPr>
          <w:rFonts w:ascii="Times New Roman" w:hAnsi="Times New Roman" w:cs="Times New Roman"/>
        </w:rPr>
        <w:t xml:space="preserve"> pav.).</w:t>
      </w:r>
    </w:p>
    <w:p w:rsidR="00F04CA0" w:rsidRDefault="00F04CA0">
      <w:pPr>
        <w:spacing w:after="200" w:line="276" w:lineRule="auto"/>
        <w:rPr>
          <w:rFonts w:ascii="Times New Roman" w:hAnsi="Times New Roman" w:cs="Times New Roman"/>
        </w:rPr>
      </w:pPr>
      <w:r>
        <w:rPr>
          <w:rFonts w:ascii="Times New Roman" w:hAnsi="Times New Roman" w:cs="Times New Roman"/>
        </w:rPr>
        <w:br w:type="page"/>
      </w:r>
    </w:p>
    <w:p w:rsidR="008B0296" w:rsidRDefault="008B0296" w:rsidP="008B0296">
      <w:pPr>
        <w:tabs>
          <w:tab w:val="left" w:pos="567"/>
        </w:tabs>
        <w:spacing w:line="360" w:lineRule="auto"/>
        <w:jc w:val="center"/>
        <w:rPr>
          <w:noProof/>
        </w:rPr>
      </w:pPr>
      <w:r>
        <w:rPr>
          <w:noProof/>
        </w:rPr>
        <w:lastRenderedPageBreak/>
        <w:drawing>
          <wp:inline distT="0" distB="0" distL="0" distR="0" wp14:anchorId="74935E49" wp14:editId="5494FD2C">
            <wp:extent cx="5476875" cy="3224213"/>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Pr>
          <w:noProof/>
        </w:rPr>
        <w:t xml:space="preserve"> </w:t>
      </w:r>
    </w:p>
    <w:p w:rsidR="007C74AD" w:rsidRPr="006400E2" w:rsidRDefault="007C74AD" w:rsidP="007C74AD">
      <w:pPr>
        <w:spacing w:line="276" w:lineRule="auto"/>
        <w:ind w:firstLine="1843"/>
        <w:rPr>
          <w:rFonts w:ascii="Times New Roman" w:hAnsi="Times New Roman" w:cs="Times New Roman"/>
          <w:sz w:val="20"/>
          <w:szCs w:val="20"/>
        </w:rPr>
      </w:pPr>
      <w:r w:rsidRPr="006400E2">
        <w:rPr>
          <w:rFonts w:ascii="Times New Roman" w:hAnsi="Times New Roman" w:cs="Times New Roman"/>
          <w:b/>
          <w:sz w:val="20"/>
          <w:szCs w:val="20"/>
        </w:rPr>
        <w:t>Šaltinis:</w:t>
      </w:r>
      <w:r w:rsidRPr="006400E2">
        <w:rPr>
          <w:rFonts w:ascii="Times New Roman" w:hAnsi="Times New Roman" w:cs="Times New Roman"/>
          <w:sz w:val="20"/>
          <w:szCs w:val="20"/>
        </w:rPr>
        <w:t xml:space="preserve"> Sudaryta pagal Lietuvos bankų asociacijos internetinės svetainės duomenis</w:t>
      </w:r>
    </w:p>
    <w:p w:rsidR="008B0296" w:rsidRPr="00B92F19" w:rsidRDefault="00B253B8" w:rsidP="00924B1F">
      <w:pPr>
        <w:pStyle w:val="Paveikslai"/>
      </w:pPr>
      <w:bookmarkStart w:id="25" w:name="_Toc343459681"/>
      <w:r>
        <w:rPr>
          <w:noProof/>
        </w:rPr>
        <w:t>11</w:t>
      </w:r>
      <w:r w:rsidR="008B0296" w:rsidRPr="00B92F19">
        <w:rPr>
          <w:noProof/>
        </w:rPr>
        <w:t xml:space="preserve"> </w:t>
      </w:r>
      <w:r w:rsidR="007603C0">
        <w:rPr>
          <w:noProof/>
        </w:rPr>
        <w:t>pav</w:t>
      </w:r>
      <w:r w:rsidR="008B0296" w:rsidRPr="00B92F19">
        <w:rPr>
          <w:noProof/>
        </w:rPr>
        <w:t>. Lietuvos lizingo rinkos pasiskirstymas pagal lizingo įmonių, užimamą rinkos dalį 2012 m. I ketv.</w:t>
      </w:r>
      <w:bookmarkEnd w:id="25"/>
    </w:p>
    <w:p w:rsidR="008B0296" w:rsidRDefault="008B0296" w:rsidP="008B0296">
      <w:pPr>
        <w:tabs>
          <w:tab w:val="left" w:pos="567"/>
        </w:tabs>
        <w:spacing w:after="200" w:line="276" w:lineRule="auto"/>
        <w:rPr>
          <w:rFonts w:ascii="Times New Roman" w:hAnsi="Times New Roman" w:cs="Times New Roman"/>
        </w:rPr>
      </w:pPr>
    </w:p>
    <w:p w:rsidR="008B0296" w:rsidRPr="00503FE9"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Kaip iš skritulinės diagramos matome, du trečdalius Lietuvos lizingo rinkos užima didžiausių Lietuvos bankų dukterinės lizingo įmonės – tai „SEB lizingas“ ir „Swedbank“ grupės lizingo įmonės Lietuvoje, atitinkamai pasidalijusios 33,9 </w:t>
      </w:r>
      <w:r>
        <w:rPr>
          <w:rFonts w:ascii="Times New Roman" w:hAnsi="Times New Roman" w:cs="Times New Roman"/>
          <w:lang w:val="en-US"/>
        </w:rPr>
        <w:t>% ir 30,</w:t>
      </w:r>
      <w:r>
        <w:rPr>
          <w:rFonts w:ascii="Times New Roman" w:hAnsi="Times New Roman" w:cs="Times New Roman"/>
        </w:rPr>
        <w:t xml:space="preserve">5 </w:t>
      </w:r>
      <w:r>
        <w:rPr>
          <w:rFonts w:ascii="Times New Roman" w:hAnsi="Times New Roman" w:cs="Times New Roman"/>
          <w:lang w:val="en-US"/>
        </w:rPr>
        <w:t>% rinkos</w:t>
      </w:r>
      <w:r>
        <w:rPr>
          <w:rFonts w:ascii="Times New Roman" w:hAnsi="Times New Roman" w:cs="Times New Roman"/>
        </w:rPr>
        <w:t xml:space="preserve">. Stiprią trečią vietą užima pastaraisiais metais vis labiau besiplečiantis „Nordea Finance Lithuania“ lizingas. Netoli atsilikę „DnB lizingas“ ir „Ūkio banko lizingas“, užimantys po daugiau nei 6 </w:t>
      </w:r>
      <w:r>
        <w:rPr>
          <w:rFonts w:ascii="Times New Roman" w:hAnsi="Times New Roman" w:cs="Times New Roman"/>
          <w:lang w:val="en-US"/>
        </w:rPr>
        <w:t>%</w:t>
      </w:r>
      <w:r>
        <w:rPr>
          <w:rFonts w:ascii="Times New Roman" w:hAnsi="Times New Roman" w:cs="Times New Roman"/>
        </w:rPr>
        <w:t xml:space="preserve"> rinkos. Likusius 10 </w:t>
      </w:r>
      <w:r>
        <w:rPr>
          <w:rFonts w:ascii="Times New Roman" w:hAnsi="Times New Roman" w:cs="Times New Roman"/>
          <w:lang w:val="en-US"/>
        </w:rPr>
        <w:t>%</w:t>
      </w:r>
      <w:r>
        <w:rPr>
          <w:rFonts w:ascii="Times New Roman" w:hAnsi="Times New Roman" w:cs="Times New Roman"/>
        </w:rPr>
        <w:t xml:space="preserve"> rinkos dalijasi „Šiaulių banko lizingas“, „Danske lizingas“, „Snoro lizingas“, „Citadele lizingas ir faktoringas“ ir „Unicredit Leasing Lietuvos filialas“.</w:t>
      </w:r>
    </w:p>
    <w:p w:rsidR="007C120B" w:rsidRDefault="008B0296" w:rsidP="008B0296">
      <w:pPr>
        <w:tabs>
          <w:tab w:val="left" w:pos="567"/>
        </w:tabs>
        <w:spacing w:line="360" w:lineRule="auto"/>
        <w:jc w:val="both"/>
        <w:rPr>
          <w:rFonts w:ascii="Times New Roman" w:hAnsi="Times New Roman" w:cs="Times New Roman"/>
        </w:rPr>
      </w:pPr>
      <w:r>
        <w:rPr>
          <w:rFonts w:ascii="Times New Roman" w:hAnsi="Times New Roman" w:cs="Times New Roman"/>
        </w:rPr>
        <w:tab/>
        <w:t>Apibendrinant galima teigti, kad lizingo rinka šiuo metu turi dideles galimybes plėstis.</w:t>
      </w:r>
      <w:r w:rsidRPr="004330E6">
        <w:rPr>
          <w:rFonts w:ascii="Times New Roman" w:hAnsi="Times New Roman" w:cs="Times New Roman"/>
        </w:rPr>
        <w:t xml:space="preserve"> </w:t>
      </w:r>
      <w:r>
        <w:rPr>
          <w:rFonts w:ascii="Times New Roman" w:hAnsi="Times New Roman" w:cs="Times New Roman"/>
        </w:rPr>
        <w:t xml:space="preserve">Tokią išvadą galima daryti atsižvelgiant į istorinę lizingo rinkos apimtį, pakankamai stabilų naujų sutarčių vertės  augimą pastaraisiais metais bei vis gerėjančias ekonomines prognozes. Žinoma, tokia būsena yra pakankamai trapi ir pablogėjus ekonominiam klimatui situacija gali pasikeisti. Žvelgiant apskritai, Lietuvos lizingo rinkai ypatingai skaudų smūgį sudavė finansinė </w:t>
      </w:r>
      <w:r w:rsidR="007E3F31">
        <w:rPr>
          <w:rFonts w:ascii="Times New Roman" w:hAnsi="Times New Roman" w:cs="Times New Roman"/>
        </w:rPr>
        <w:t>depresija</w:t>
      </w:r>
      <w:r>
        <w:rPr>
          <w:rFonts w:ascii="Times New Roman" w:hAnsi="Times New Roman" w:cs="Times New Roman"/>
        </w:rPr>
        <w:t xml:space="preserve">: 2009 m. lizingo portfelis sumažėjo 30 </w:t>
      </w:r>
      <w:r>
        <w:rPr>
          <w:rFonts w:ascii="Times New Roman" w:hAnsi="Times New Roman" w:cs="Times New Roman"/>
          <w:lang w:val="en-US"/>
        </w:rPr>
        <w:t>%</w:t>
      </w:r>
      <w:r>
        <w:rPr>
          <w:rFonts w:ascii="Times New Roman" w:hAnsi="Times New Roman" w:cs="Times New Roman"/>
        </w:rPr>
        <w:t>, o naujai pasirašomų sutarčių vertė smuko net 5 kartus. Tačiau po tokio smukimo lizingo rinka atsigauna ir pradeda rodyti augimo tendencijas, jaučiamas vis didesnis lizingo poreikis. Analizuojant lizingo portfelio struktūrą, pastebėta, kad didžiausią dalį jame sudaro kelių transporto priemonių lizingas, nedaug atsilieka lengvųjų automobilių, pramoninės įrangos ir įrengimų lizingas. Žvelgiant į lizingo rinkos pasiskirstymą, pagal lizingo įmonių užimamą dalį, aiškus lyderiai „SEB lizingas“ ir „Swedbank“ grupės lizingo įmonės Lietuvoje.</w:t>
      </w:r>
    </w:p>
    <w:p w:rsidR="00851C24" w:rsidRDefault="00851C24" w:rsidP="008B0296">
      <w:pPr>
        <w:tabs>
          <w:tab w:val="left" w:pos="567"/>
        </w:tabs>
        <w:spacing w:line="360" w:lineRule="auto"/>
        <w:jc w:val="both"/>
        <w:rPr>
          <w:rFonts w:ascii="Times New Roman" w:hAnsi="Times New Roman" w:cs="Times New Roman"/>
        </w:rPr>
      </w:pPr>
    </w:p>
    <w:p w:rsidR="00851C24" w:rsidRDefault="004D0AAD" w:rsidP="004D0AAD">
      <w:pPr>
        <w:pStyle w:val="Heading2"/>
      </w:pPr>
      <w:bookmarkStart w:id="26" w:name="_Toc343517973"/>
      <w:r>
        <w:t>Lietuvos lizingo rinkos palyginimas su užsienio lizingo rinkomis</w:t>
      </w:r>
      <w:bookmarkEnd w:id="26"/>
    </w:p>
    <w:p w:rsidR="00851C24" w:rsidRDefault="00851C24" w:rsidP="00851C24">
      <w:pPr>
        <w:tabs>
          <w:tab w:val="left" w:pos="567"/>
        </w:tabs>
        <w:spacing w:line="360" w:lineRule="auto"/>
        <w:rPr>
          <w:rFonts w:ascii="Times New Roman" w:hAnsi="Times New Roman" w:cs="Times New Roman"/>
        </w:rPr>
      </w:pPr>
    </w:p>
    <w:p w:rsidR="00090F98" w:rsidRDefault="00140EC1" w:rsidP="00090F98">
      <w:pPr>
        <w:pStyle w:val="ListParagraph"/>
        <w:tabs>
          <w:tab w:val="left" w:pos="709"/>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Prieš atliekant </w:t>
      </w:r>
      <w:r w:rsidR="00090F98">
        <w:rPr>
          <w:rFonts w:ascii="Times New Roman" w:hAnsi="Times New Roman" w:cs="Times New Roman"/>
        </w:rPr>
        <w:t xml:space="preserve">Lietuvos lizingo rinkos palyginimą su užsienio lizingo rinkomis, pirma būtų tikslinga trumpai apžvelgti </w:t>
      </w:r>
      <w:r w:rsidR="006440FF">
        <w:rPr>
          <w:rFonts w:ascii="Times New Roman" w:hAnsi="Times New Roman" w:cs="Times New Roman"/>
        </w:rPr>
        <w:t xml:space="preserve">pasaulinę </w:t>
      </w:r>
      <w:r w:rsidR="00090F98">
        <w:rPr>
          <w:rFonts w:ascii="Times New Roman" w:hAnsi="Times New Roman" w:cs="Times New Roman"/>
        </w:rPr>
        <w:t xml:space="preserve">lizingo rinką. </w:t>
      </w:r>
      <w:r w:rsidR="00E04199">
        <w:rPr>
          <w:rFonts w:ascii="Times New Roman" w:hAnsi="Times New Roman" w:cs="Times New Roman"/>
        </w:rPr>
        <w:t xml:space="preserve">Remiantis Pasauline lizingo ataskaita, </w:t>
      </w:r>
      <w:r w:rsidR="002C5C04">
        <w:rPr>
          <w:rFonts w:ascii="Times New Roman" w:hAnsi="Times New Roman" w:cs="Times New Roman"/>
        </w:rPr>
        <w:t xml:space="preserve">White </w:t>
      </w:r>
      <w:r w:rsidR="00E04199">
        <w:rPr>
          <w:rFonts w:ascii="Times New Roman" w:hAnsi="Times New Roman" w:cs="Times New Roman"/>
        </w:rPr>
        <w:t>išleista 2012 metais</w:t>
      </w:r>
      <w:r w:rsidR="007C20B3">
        <w:rPr>
          <w:rFonts w:ascii="Times New Roman" w:hAnsi="Times New Roman" w:cs="Times New Roman"/>
        </w:rPr>
        <w:t>, 3 lentelėje pateikiamas šalių pasiskirstymas</w:t>
      </w:r>
      <w:r w:rsidR="00E04199">
        <w:rPr>
          <w:rFonts w:ascii="Times New Roman" w:hAnsi="Times New Roman" w:cs="Times New Roman"/>
        </w:rPr>
        <w:t xml:space="preserve">, pagal </w:t>
      </w:r>
      <w:r w:rsidR="00666A71">
        <w:rPr>
          <w:rFonts w:ascii="Times New Roman" w:hAnsi="Times New Roman" w:cs="Times New Roman"/>
        </w:rPr>
        <w:t xml:space="preserve">naujai pasirašomų </w:t>
      </w:r>
      <w:r w:rsidR="00017620">
        <w:rPr>
          <w:rFonts w:ascii="Times New Roman" w:hAnsi="Times New Roman" w:cs="Times New Roman"/>
        </w:rPr>
        <w:t xml:space="preserve">lizingo </w:t>
      </w:r>
      <w:r w:rsidR="00666A71">
        <w:rPr>
          <w:rFonts w:ascii="Times New Roman" w:hAnsi="Times New Roman" w:cs="Times New Roman"/>
        </w:rPr>
        <w:t>sutarčių vertę</w:t>
      </w:r>
      <w:r w:rsidR="00E04199">
        <w:rPr>
          <w:rFonts w:ascii="Times New Roman" w:hAnsi="Times New Roman" w:cs="Times New Roman"/>
        </w:rPr>
        <w:t xml:space="preserve"> pasaulyje</w:t>
      </w:r>
      <w:r w:rsidR="007C20B3">
        <w:rPr>
          <w:rFonts w:ascii="Times New Roman" w:hAnsi="Times New Roman" w:cs="Times New Roman"/>
        </w:rPr>
        <w:t>.</w:t>
      </w:r>
      <w:r>
        <w:rPr>
          <w:rFonts w:ascii="Times New Roman" w:hAnsi="Times New Roman" w:cs="Times New Roman"/>
        </w:rPr>
        <w:t xml:space="preserve"> </w:t>
      </w:r>
    </w:p>
    <w:p w:rsidR="000D1BDD" w:rsidRDefault="000D1BDD" w:rsidP="000D1BDD">
      <w:pPr>
        <w:pStyle w:val="ListParagraph"/>
        <w:tabs>
          <w:tab w:val="left" w:pos="709"/>
          <w:tab w:val="left" w:pos="1134"/>
        </w:tabs>
        <w:spacing w:line="360" w:lineRule="auto"/>
        <w:ind w:left="0" w:firstLine="567"/>
        <w:jc w:val="center"/>
        <w:rPr>
          <w:rFonts w:ascii="Times New Roman" w:hAnsi="Times New Roman" w:cs="Times New Roman"/>
        </w:rPr>
      </w:pPr>
    </w:p>
    <w:p w:rsidR="00090F98" w:rsidRPr="00142D17" w:rsidRDefault="000D1BDD" w:rsidP="00924B1F">
      <w:pPr>
        <w:pStyle w:val="Lentels"/>
      </w:pPr>
      <w:bookmarkStart w:id="27" w:name="_Toc343459640"/>
      <w:r w:rsidRPr="00142D17">
        <w:t xml:space="preserve">3 lentelė. </w:t>
      </w:r>
      <w:r w:rsidR="002C5C04" w:rsidRPr="00142D17">
        <w:t>10 Didžiausių</w:t>
      </w:r>
      <w:r w:rsidRPr="00142D17">
        <w:t xml:space="preserve"> </w:t>
      </w:r>
      <w:r w:rsidR="002C5C04" w:rsidRPr="00142D17">
        <w:t>lizingo rinkų</w:t>
      </w:r>
      <w:r w:rsidRPr="00142D17">
        <w:t xml:space="preserve"> pasaulyje</w:t>
      </w:r>
      <w:r w:rsidR="00666A71">
        <w:t xml:space="preserve"> pagal naujai pasirašomų sutarčių vertę 2010 m.</w:t>
      </w:r>
      <w:bookmarkEnd w:id="27"/>
    </w:p>
    <w:tbl>
      <w:tblPr>
        <w:tblStyle w:val="LightGrid-Accent5"/>
        <w:tblW w:w="0" w:type="auto"/>
        <w:jc w:val="center"/>
        <w:tblInd w:w="-330" w:type="dxa"/>
        <w:tblLook w:val="04A0" w:firstRow="1" w:lastRow="0" w:firstColumn="1" w:lastColumn="0" w:noHBand="0" w:noVBand="1"/>
      </w:tblPr>
      <w:tblGrid>
        <w:gridCol w:w="2387"/>
        <w:gridCol w:w="3685"/>
        <w:gridCol w:w="3518"/>
      </w:tblGrid>
      <w:tr w:rsidR="000D1BDD" w:rsidTr="00140EC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Default="000D1BDD" w:rsidP="000D1BDD">
            <w:pPr>
              <w:pStyle w:val="ListParagraph"/>
              <w:tabs>
                <w:tab w:val="left" w:pos="709"/>
                <w:tab w:val="left" w:pos="1134"/>
              </w:tabs>
              <w:spacing w:line="360" w:lineRule="auto"/>
              <w:ind w:left="0"/>
              <w:jc w:val="center"/>
              <w:rPr>
                <w:rFonts w:ascii="Times New Roman" w:hAnsi="Times New Roman" w:cs="Times New Roman"/>
                <w:b w:val="0"/>
              </w:rPr>
            </w:pPr>
            <w:r>
              <w:rPr>
                <w:rFonts w:ascii="Times New Roman" w:hAnsi="Times New Roman" w:cs="Times New Roman"/>
                <w:b w:val="0"/>
              </w:rPr>
              <w:t>Šalis</w:t>
            </w:r>
          </w:p>
        </w:tc>
        <w:tc>
          <w:tcPr>
            <w:tcW w:w="3685" w:type="dxa"/>
          </w:tcPr>
          <w:p w:rsidR="000D1BDD" w:rsidRDefault="00140EC1" w:rsidP="000D1BDD">
            <w:pPr>
              <w:pStyle w:val="ListParagraph"/>
              <w:tabs>
                <w:tab w:val="left" w:pos="709"/>
                <w:tab w:val="left" w:pos="1134"/>
              </w:tabs>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Pr>
                <w:rFonts w:ascii="Times New Roman" w:hAnsi="Times New Roman" w:cs="Times New Roman"/>
                <w:b w:val="0"/>
              </w:rPr>
              <w:t>Naujai pasirašomų sutarčių vertė</w:t>
            </w:r>
            <w:r w:rsidR="000D1BDD">
              <w:rPr>
                <w:rFonts w:ascii="Times New Roman" w:hAnsi="Times New Roman" w:cs="Times New Roman"/>
                <w:b w:val="0"/>
              </w:rPr>
              <w:t>, mlrd</w:t>
            </w:r>
            <w:r w:rsidR="00BE4C56">
              <w:rPr>
                <w:rFonts w:ascii="Times New Roman" w:hAnsi="Times New Roman" w:cs="Times New Roman"/>
                <w:b w:val="0"/>
              </w:rPr>
              <w:t>.</w:t>
            </w:r>
            <w:r w:rsidR="000D1BDD">
              <w:rPr>
                <w:rFonts w:ascii="Times New Roman" w:hAnsi="Times New Roman" w:cs="Times New Roman"/>
                <w:b w:val="0"/>
              </w:rPr>
              <w:t xml:space="preserve"> JAV dolerių</w:t>
            </w:r>
          </w:p>
        </w:tc>
        <w:tc>
          <w:tcPr>
            <w:tcW w:w="3518" w:type="dxa"/>
          </w:tcPr>
          <w:p w:rsidR="000D1BDD" w:rsidRPr="000D1BDD" w:rsidRDefault="000D1BDD" w:rsidP="000D1BDD">
            <w:pPr>
              <w:pStyle w:val="ListParagraph"/>
              <w:tabs>
                <w:tab w:val="left" w:pos="709"/>
                <w:tab w:val="left" w:pos="1134"/>
              </w:tabs>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Pr>
                <w:rFonts w:ascii="Times New Roman" w:hAnsi="Times New Roman" w:cs="Times New Roman"/>
                <w:b w:val="0"/>
              </w:rPr>
              <w:t xml:space="preserve">Pokytis </w:t>
            </w:r>
            <w:r>
              <w:rPr>
                <w:rFonts w:ascii="Times New Roman" w:hAnsi="Times New Roman" w:cs="Times New Roman"/>
                <w:b w:val="0"/>
                <w:lang w:val="en-US"/>
              </w:rPr>
              <w:t>%</w:t>
            </w:r>
            <w:r>
              <w:rPr>
                <w:rFonts w:ascii="Times New Roman" w:hAnsi="Times New Roman" w:cs="Times New Roman"/>
                <w:b w:val="0"/>
              </w:rPr>
              <w:t xml:space="preserve"> lyginant su 2009 m.</w:t>
            </w:r>
          </w:p>
        </w:tc>
      </w:tr>
      <w:tr w:rsidR="000D1BDD" w:rsidTr="00140EC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8A05C2" w:rsidP="000D1BDD">
            <w:pPr>
              <w:pStyle w:val="ListParagraph"/>
              <w:tabs>
                <w:tab w:val="left" w:pos="709"/>
                <w:tab w:val="left" w:pos="1134"/>
              </w:tabs>
              <w:spacing w:line="360" w:lineRule="auto"/>
              <w:ind w:left="0"/>
              <w:jc w:val="center"/>
              <w:rPr>
                <w:rFonts w:ascii="Times New Roman" w:hAnsi="Times New Roman" w:cs="Times New Roman"/>
              </w:rPr>
            </w:pPr>
            <w:r w:rsidRPr="008A05C2">
              <w:rPr>
                <w:rFonts w:ascii="Times New Roman" w:hAnsi="Times New Roman" w:cs="Times New Roman"/>
              </w:rPr>
              <w:t>JAV</w:t>
            </w:r>
          </w:p>
        </w:tc>
        <w:tc>
          <w:tcPr>
            <w:tcW w:w="3685" w:type="dxa"/>
          </w:tcPr>
          <w:p w:rsidR="000D1BDD" w:rsidRPr="008A05C2" w:rsidRDefault="008A05C2"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05C2">
              <w:rPr>
                <w:rFonts w:ascii="Times New Roman" w:hAnsi="Times New Roman" w:cs="Times New Roman"/>
              </w:rPr>
              <w:t>193,9</w:t>
            </w:r>
          </w:p>
        </w:tc>
        <w:tc>
          <w:tcPr>
            <w:tcW w:w="3518" w:type="dxa"/>
          </w:tcPr>
          <w:p w:rsidR="000D1BDD" w:rsidRPr="008A05C2" w:rsidRDefault="008A05C2"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A05C2">
              <w:rPr>
                <w:rFonts w:ascii="Times New Roman" w:hAnsi="Times New Roman" w:cs="Times New Roman"/>
              </w:rPr>
              <w:t>12</w:t>
            </w:r>
            <w:r w:rsidR="00E04199">
              <w:rPr>
                <w:rFonts w:ascii="Times New Roman" w:hAnsi="Times New Roman" w:cs="Times New Roman"/>
              </w:rPr>
              <w:t>,0</w:t>
            </w:r>
          </w:p>
        </w:tc>
      </w:tr>
      <w:tr w:rsidR="000D1BDD" w:rsidTr="00140EC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8A05C2" w:rsidP="000D1BDD">
            <w:pPr>
              <w:pStyle w:val="ListParagraph"/>
              <w:tabs>
                <w:tab w:val="left" w:pos="709"/>
                <w:tab w:val="left" w:pos="1134"/>
              </w:tabs>
              <w:spacing w:line="360" w:lineRule="auto"/>
              <w:ind w:left="0"/>
              <w:jc w:val="center"/>
              <w:rPr>
                <w:rFonts w:ascii="Times New Roman" w:hAnsi="Times New Roman" w:cs="Times New Roman"/>
              </w:rPr>
            </w:pPr>
            <w:r w:rsidRPr="008A05C2">
              <w:rPr>
                <w:rFonts w:ascii="Times New Roman" w:hAnsi="Times New Roman" w:cs="Times New Roman"/>
              </w:rPr>
              <w:t>Kinija</w:t>
            </w:r>
          </w:p>
        </w:tc>
        <w:tc>
          <w:tcPr>
            <w:tcW w:w="3685" w:type="dxa"/>
          </w:tcPr>
          <w:p w:rsidR="000D1BDD" w:rsidRPr="008A05C2" w:rsidRDefault="008A05C2"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8A05C2">
              <w:rPr>
                <w:rFonts w:ascii="Times New Roman" w:hAnsi="Times New Roman" w:cs="Times New Roman"/>
              </w:rPr>
              <w:t>63,7</w:t>
            </w:r>
          </w:p>
        </w:tc>
        <w:tc>
          <w:tcPr>
            <w:tcW w:w="3518" w:type="dxa"/>
          </w:tcPr>
          <w:p w:rsidR="000D1BDD" w:rsidRPr="008A05C2" w:rsidRDefault="008A05C2"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8A05C2">
              <w:rPr>
                <w:rFonts w:ascii="Times New Roman" w:hAnsi="Times New Roman" w:cs="Times New Roman"/>
              </w:rPr>
              <w:t>50</w:t>
            </w:r>
            <w:r w:rsidR="00E04199">
              <w:rPr>
                <w:rFonts w:ascii="Times New Roman" w:hAnsi="Times New Roman" w:cs="Times New Roman"/>
              </w:rPr>
              <w:t>,0</w:t>
            </w:r>
          </w:p>
        </w:tc>
      </w:tr>
      <w:tr w:rsidR="000D1BDD" w:rsidTr="00140EC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8A05C2" w:rsidP="000D1BDD">
            <w:pPr>
              <w:pStyle w:val="ListParagraph"/>
              <w:tabs>
                <w:tab w:val="left" w:pos="709"/>
                <w:tab w:val="left" w:pos="1134"/>
              </w:tabs>
              <w:spacing w:line="360" w:lineRule="auto"/>
              <w:ind w:left="0"/>
              <w:jc w:val="center"/>
              <w:rPr>
                <w:rFonts w:ascii="Times New Roman" w:hAnsi="Times New Roman" w:cs="Times New Roman"/>
              </w:rPr>
            </w:pPr>
            <w:r w:rsidRPr="008A05C2">
              <w:rPr>
                <w:rFonts w:ascii="Times New Roman" w:hAnsi="Times New Roman" w:cs="Times New Roman"/>
              </w:rPr>
              <w:t>Vokietija</w:t>
            </w:r>
          </w:p>
        </w:tc>
        <w:tc>
          <w:tcPr>
            <w:tcW w:w="3685" w:type="dxa"/>
          </w:tcPr>
          <w:p w:rsidR="000D1BDD" w:rsidRPr="008A05C2" w:rsidRDefault="008A05C2"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52,49</w:t>
            </w:r>
          </w:p>
        </w:tc>
        <w:tc>
          <w:tcPr>
            <w:tcW w:w="3518" w:type="dxa"/>
          </w:tcPr>
          <w:p w:rsidR="000D1BDD" w:rsidRPr="008A05C2" w:rsidRDefault="008A05C2"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6,3</w:t>
            </w:r>
          </w:p>
        </w:tc>
      </w:tr>
      <w:tr w:rsidR="000D1BDD" w:rsidTr="00140EC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8A05C2"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Japonija</w:t>
            </w:r>
          </w:p>
        </w:tc>
        <w:tc>
          <w:tcPr>
            <w:tcW w:w="3685" w:type="dxa"/>
          </w:tcPr>
          <w:p w:rsidR="000D1BDD" w:rsidRPr="008A05C2" w:rsidRDefault="008A05C2"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50,75</w:t>
            </w:r>
          </w:p>
        </w:tc>
        <w:tc>
          <w:tcPr>
            <w:tcW w:w="3518" w:type="dxa"/>
          </w:tcPr>
          <w:p w:rsidR="000D1BDD" w:rsidRPr="008A05C2" w:rsidRDefault="008A05C2"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-6,6</w:t>
            </w:r>
          </w:p>
        </w:tc>
      </w:tr>
      <w:tr w:rsidR="000D1BDD" w:rsidTr="00140EC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8A05C2"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Prancūzija</w:t>
            </w:r>
          </w:p>
        </w:tc>
        <w:tc>
          <w:tcPr>
            <w:tcW w:w="3685" w:type="dxa"/>
          </w:tcPr>
          <w:p w:rsidR="000D1BDD" w:rsidRPr="008A05C2" w:rsidRDefault="008A05C2" w:rsidP="00340498">
            <w:pPr>
              <w:pStyle w:val="ListParagraph"/>
              <w:tabs>
                <w:tab w:val="left" w:pos="709"/>
                <w:tab w:val="left" w:pos="1134"/>
                <w:tab w:val="center" w:pos="1779"/>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30,89</w:t>
            </w:r>
          </w:p>
        </w:tc>
        <w:tc>
          <w:tcPr>
            <w:tcW w:w="3518" w:type="dxa"/>
          </w:tcPr>
          <w:p w:rsidR="000D1BDD" w:rsidRPr="008A05C2" w:rsidRDefault="008A05C2"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7,3</w:t>
            </w:r>
          </w:p>
        </w:tc>
      </w:tr>
      <w:tr w:rsidR="000D1BDD" w:rsidTr="00140EC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8A05C2"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Italija</w:t>
            </w:r>
          </w:p>
        </w:tc>
        <w:tc>
          <w:tcPr>
            <w:tcW w:w="3685" w:type="dxa"/>
          </w:tcPr>
          <w:p w:rsidR="000D1BDD" w:rsidRPr="008A05C2" w:rsidRDefault="008A05C2"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25,46</w:t>
            </w:r>
          </w:p>
        </w:tc>
        <w:tc>
          <w:tcPr>
            <w:tcW w:w="3518" w:type="dxa"/>
          </w:tcPr>
          <w:p w:rsidR="000D1BDD" w:rsidRPr="008A05C2" w:rsidRDefault="008A05C2"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5,4</w:t>
            </w:r>
          </w:p>
        </w:tc>
      </w:tr>
      <w:tr w:rsidR="000D1BDD" w:rsidTr="00140EC1">
        <w:trPr>
          <w:cnfStyle w:val="000000100000" w:firstRow="0" w:lastRow="0" w:firstColumn="0" w:lastColumn="0" w:oddVBand="0" w:evenVBand="0" w:oddHBand="1" w:evenHBand="0" w:firstRowFirstColumn="0" w:firstRowLastColumn="0" w:lastRowFirstColumn="0" w:lastRowLastColumn="0"/>
          <w:trHeight w:val="353"/>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E04199"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Rusija</w:t>
            </w:r>
          </w:p>
        </w:tc>
        <w:tc>
          <w:tcPr>
            <w:tcW w:w="3685" w:type="dxa"/>
          </w:tcPr>
          <w:p w:rsidR="000D1BDD" w:rsidRPr="008A05C2" w:rsidRDefault="00E04199"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20,54</w:t>
            </w:r>
          </w:p>
        </w:tc>
        <w:tc>
          <w:tcPr>
            <w:tcW w:w="3518" w:type="dxa"/>
          </w:tcPr>
          <w:p w:rsidR="000D1BDD" w:rsidRPr="008A05C2" w:rsidRDefault="00E04199"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131,0</w:t>
            </w:r>
          </w:p>
        </w:tc>
      </w:tr>
      <w:tr w:rsidR="000D1BDD" w:rsidTr="00140EC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E04199"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Kanada</w:t>
            </w:r>
          </w:p>
        </w:tc>
        <w:tc>
          <w:tcPr>
            <w:tcW w:w="3685" w:type="dxa"/>
          </w:tcPr>
          <w:p w:rsidR="000D1BDD" w:rsidRPr="008A05C2" w:rsidRDefault="00E04199"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16,09</w:t>
            </w:r>
          </w:p>
        </w:tc>
        <w:tc>
          <w:tcPr>
            <w:tcW w:w="3518" w:type="dxa"/>
          </w:tcPr>
          <w:p w:rsidR="000D1BDD" w:rsidRPr="008A05C2" w:rsidRDefault="00E04199"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19,0</w:t>
            </w:r>
          </w:p>
        </w:tc>
      </w:tr>
      <w:tr w:rsidR="000D1BDD" w:rsidTr="00140EC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E04199"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Brazilija</w:t>
            </w:r>
          </w:p>
        </w:tc>
        <w:tc>
          <w:tcPr>
            <w:tcW w:w="3685" w:type="dxa"/>
          </w:tcPr>
          <w:p w:rsidR="000D1BDD" w:rsidRPr="008A05C2" w:rsidRDefault="00E04199"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14,99</w:t>
            </w:r>
          </w:p>
        </w:tc>
        <w:tc>
          <w:tcPr>
            <w:tcW w:w="3518" w:type="dxa"/>
          </w:tcPr>
          <w:p w:rsidR="000D1BDD" w:rsidRPr="008A05C2" w:rsidRDefault="00E04199" w:rsidP="000D1BDD">
            <w:pPr>
              <w:pStyle w:val="ListParagraph"/>
              <w:tabs>
                <w:tab w:val="left" w:pos="709"/>
                <w:tab w:val="left" w:pos="1134"/>
              </w:tabs>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-42,6</w:t>
            </w:r>
          </w:p>
        </w:tc>
      </w:tr>
      <w:tr w:rsidR="000D1BDD" w:rsidTr="00140EC1">
        <w:trPr>
          <w:cnfStyle w:val="000000010000" w:firstRow="0" w:lastRow="0" w:firstColumn="0" w:lastColumn="0" w:oddVBand="0" w:evenVBand="0" w:oddHBand="0" w:evenHBand="1"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2387" w:type="dxa"/>
          </w:tcPr>
          <w:p w:rsidR="000D1BDD" w:rsidRPr="008A05C2" w:rsidRDefault="00E04199" w:rsidP="000D1BDD">
            <w:pPr>
              <w:pStyle w:val="ListParagraph"/>
              <w:tabs>
                <w:tab w:val="left" w:pos="709"/>
                <w:tab w:val="left" w:pos="1134"/>
              </w:tabs>
              <w:spacing w:line="360" w:lineRule="auto"/>
              <w:ind w:left="0"/>
              <w:jc w:val="center"/>
              <w:rPr>
                <w:rFonts w:ascii="Times New Roman" w:hAnsi="Times New Roman" w:cs="Times New Roman"/>
              </w:rPr>
            </w:pPr>
            <w:r>
              <w:rPr>
                <w:rFonts w:ascii="Times New Roman" w:hAnsi="Times New Roman" w:cs="Times New Roman"/>
              </w:rPr>
              <w:t>Didžioji Britanija</w:t>
            </w:r>
          </w:p>
        </w:tc>
        <w:tc>
          <w:tcPr>
            <w:tcW w:w="3685" w:type="dxa"/>
          </w:tcPr>
          <w:p w:rsidR="000D1BDD" w:rsidRPr="008A05C2" w:rsidRDefault="00E04199"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13,38</w:t>
            </w:r>
          </w:p>
        </w:tc>
        <w:tc>
          <w:tcPr>
            <w:tcW w:w="3518" w:type="dxa"/>
          </w:tcPr>
          <w:p w:rsidR="000D1BDD" w:rsidRPr="008A05C2" w:rsidRDefault="00E04199" w:rsidP="000D1BDD">
            <w:pPr>
              <w:pStyle w:val="ListParagraph"/>
              <w:tabs>
                <w:tab w:val="left" w:pos="709"/>
                <w:tab w:val="left" w:pos="1134"/>
              </w:tabs>
              <w:spacing w:line="360" w:lineRule="auto"/>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-13,9</w:t>
            </w:r>
          </w:p>
        </w:tc>
      </w:tr>
    </w:tbl>
    <w:p w:rsidR="000D1BDD" w:rsidRPr="003B1E73" w:rsidRDefault="002C5C04" w:rsidP="00217F21">
      <w:pPr>
        <w:tabs>
          <w:tab w:val="left" w:pos="709"/>
          <w:tab w:val="left" w:pos="1134"/>
        </w:tabs>
        <w:spacing w:line="360" w:lineRule="auto"/>
        <w:ind w:firstLine="426"/>
        <w:rPr>
          <w:rFonts w:ascii="Times New Roman" w:hAnsi="Times New Roman" w:cs="Times New Roman"/>
          <w:b/>
          <w:sz w:val="20"/>
          <w:szCs w:val="20"/>
        </w:rPr>
      </w:pPr>
      <w:r w:rsidRPr="003B1E73">
        <w:rPr>
          <w:rFonts w:ascii="Times New Roman" w:hAnsi="Times New Roman" w:cs="Times New Roman"/>
          <w:b/>
          <w:sz w:val="20"/>
          <w:szCs w:val="20"/>
        </w:rPr>
        <w:t xml:space="preserve">Šaltinis: </w:t>
      </w:r>
      <w:r w:rsidRPr="003B1E73">
        <w:rPr>
          <w:rFonts w:ascii="Times New Roman" w:hAnsi="Times New Roman" w:cs="Times New Roman"/>
          <w:sz w:val="20"/>
          <w:szCs w:val="20"/>
        </w:rPr>
        <w:t>Sudaryta pagal White (2012)</w:t>
      </w:r>
    </w:p>
    <w:p w:rsidR="0008676D" w:rsidRDefault="0008676D" w:rsidP="0008676D">
      <w:pPr>
        <w:pStyle w:val="ListParagraph"/>
        <w:tabs>
          <w:tab w:val="left" w:pos="709"/>
          <w:tab w:val="left" w:pos="1134"/>
        </w:tabs>
        <w:spacing w:line="360" w:lineRule="auto"/>
        <w:ind w:left="0" w:firstLine="567"/>
        <w:rPr>
          <w:rFonts w:ascii="Times New Roman" w:hAnsi="Times New Roman" w:cs="Times New Roman"/>
          <w:b/>
        </w:rPr>
      </w:pPr>
    </w:p>
    <w:p w:rsidR="0008676D" w:rsidRDefault="0008676D" w:rsidP="001D5B32">
      <w:pPr>
        <w:pStyle w:val="ListParagraph"/>
        <w:tabs>
          <w:tab w:val="left" w:pos="709"/>
          <w:tab w:val="left" w:pos="1134"/>
        </w:tabs>
        <w:spacing w:line="360" w:lineRule="auto"/>
        <w:ind w:left="0" w:firstLine="567"/>
        <w:jc w:val="both"/>
        <w:rPr>
          <w:rFonts w:ascii="Times New Roman" w:hAnsi="Times New Roman" w:cs="Times New Roman"/>
        </w:rPr>
      </w:pPr>
      <w:r>
        <w:rPr>
          <w:rFonts w:ascii="Times New Roman" w:hAnsi="Times New Roman" w:cs="Times New Roman"/>
        </w:rPr>
        <w:t>Kaip iš pateiktos lentelės matome</w:t>
      </w:r>
      <w:r w:rsidR="001D5B32">
        <w:rPr>
          <w:rFonts w:ascii="Times New Roman" w:hAnsi="Times New Roman" w:cs="Times New Roman"/>
        </w:rPr>
        <w:t xml:space="preserve">, aiški lizingo rinkos lyderė </w:t>
      </w:r>
      <w:r w:rsidR="00017620">
        <w:rPr>
          <w:rFonts w:ascii="Times New Roman" w:hAnsi="Times New Roman" w:cs="Times New Roman"/>
        </w:rPr>
        <w:t xml:space="preserve">pagal naujai pasirašomų sutarčių vertę </w:t>
      </w:r>
      <w:r w:rsidR="001D5B32">
        <w:rPr>
          <w:rFonts w:ascii="Times New Roman" w:hAnsi="Times New Roman" w:cs="Times New Roman"/>
        </w:rPr>
        <w:t xml:space="preserve">pasaulyje </w:t>
      </w:r>
      <w:r w:rsidR="00017620">
        <w:rPr>
          <w:rFonts w:ascii="Times New Roman" w:hAnsi="Times New Roman" w:cs="Times New Roman"/>
        </w:rPr>
        <w:t>2010 metais buvo</w:t>
      </w:r>
      <w:r w:rsidR="001D5B32">
        <w:rPr>
          <w:rFonts w:ascii="Times New Roman" w:hAnsi="Times New Roman" w:cs="Times New Roman"/>
        </w:rPr>
        <w:t xml:space="preserve"> JAV. Antroje vietoje žengiančią Kiniją ji </w:t>
      </w:r>
      <w:r w:rsidR="00017620">
        <w:rPr>
          <w:rFonts w:ascii="Times New Roman" w:hAnsi="Times New Roman" w:cs="Times New Roman"/>
        </w:rPr>
        <w:t>lenkė</w:t>
      </w:r>
      <w:r w:rsidR="001D5B32">
        <w:rPr>
          <w:rFonts w:ascii="Times New Roman" w:hAnsi="Times New Roman" w:cs="Times New Roman"/>
        </w:rPr>
        <w:t xml:space="preserve"> net daugiau negu 3 kartus. Tačiau žvelgiant į Kiniją, augimas per 2010 m. siekė net 50 </w:t>
      </w:r>
      <w:r w:rsidR="001D5B32">
        <w:rPr>
          <w:rFonts w:ascii="Times New Roman" w:hAnsi="Times New Roman" w:cs="Times New Roman"/>
          <w:lang w:val="en-US"/>
        </w:rPr>
        <w:t>%</w:t>
      </w:r>
      <w:r w:rsidR="001D5B32">
        <w:rPr>
          <w:rFonts w:ascii="Times New Roman" w:hAnsi="Times New Roman" w:cs="Times New Roman"/>
        </w:rPr>
        <w:t xml:space="preserve">. Tai Kinijai leido aplenkti Vokietiją ir Japoniją, kurios ilgą laikotarpį prieš tai dalindavosi antrą </w:t>
      </w:r>
      <w:r w:rsidR="001662F5">
        <w:rPr>
          <w:rFonts w:ascii="Times New Roman" w:hAnsi="Times New Roman" w:cs="Times New Roman"/>
        </w:rPr>
        <w:t>poziciją</w:t>
      </w:r>
      <w:r w:rsidR="001D5B32">
        <w:rPr>
          <w:rFonts w:ascii="Times New Roman" w:hAnsi="Times New Roman" w:cs="Times New Roman"/>
        </w:rPr>
        <w:t xml:space="preserve"> po JAV. Toliau analiz</w:t>
      </w:r>
      <w:r w:rsidR="00017620">
        <w:rPr>
          <w:rFonts w:ascii="Times New Roman" w:hAnsi="Times New Roman" w:cs="Times New Roman"/>
        </w:rPr>
        <w:t xml:space="preserve">uojant didžiulį Kinijos naujų lizingo sutarčių vertės augimą </w:t>
      </w:r>
      <w:r w:rsidR="001D5B32">
        <w:rPr>
          <w:rFonts w:ascii="Times New Roman" w:hAnsi="Times New Roman" w:cs="Times New Roman"/>
        </w:rPr>
        <w:t xml:space="preserve">reikėtų pastebėti, kad 2009 metais šis augimas buvo dar didesnis ir siekė 188,4 % (White, 2012). Dar neseniai </w:t>
      </w:r>
      <w:r w:rsidR="001662F5">
        <w:rPr>
          <w:rFonts w:ascii="Times New Roman" w:hAnsi="Times New Roman" w:cs="Times New Roman"/>
        </w:rPr>
        <w:t>sunkiai patekdavusi į penketuką</w:t>
      </w:r>
      <w:r w:rsidR="003B1E73">
        <w:rPr>
          <w:rFonts w:ascii="Times New Roman" w:hAnsi="Times New Roman" w:cs="Times New Roman"/>
        </w:rPr>
        <w:t>,</w:t>
      </w:r>
      <w:r w:rsidR="001662F5">
        <w:rPr>
          <w:rFonts w:ascii="Times New Roman" w:hAnsi="Times New Roman" w:cs="Times New Roman"/>
        </w:rPr>
        <w:t xml:space="preserve"> </w:t>
      </w:r>
      <w:r w:rsidR="001D5B32">
        <w:rPr>
          <w:rFonts w:ascii="Times New Roman" w:hAnsi="Times New Roman" w:cs="Times New Roman"/>
        </w:rPr>
        <w:t>Kinija pastaruoju metu vis labiau taikosi į lyderius. Kaip jau buvo minėta ir teorinėje lizingo apžvalgoje, Kinijos ekonomistai ir valdžios institucijos mato, kad lizingo paslauga jos ekonomikai per mažų ir labai mažų įmonių prizmę yra labai svarbi ir tikėtina ateityje bus viena iš priemonių padės</w:t>
      </w:r>
      <w:r w:rsidR="001662F5">
        <w:rPr>
          <w:rFonts w:ascii="Times New Roman" w:hAnsi="Times New Roman" w:cs="Times New Roman"/>
        </w:rPr>
        <w:t>iančių</w:t>
      </w:r>
      <w:r w:rsidR="001D5B32">
        <w:rPr>
          <w:rFonts w:ascii="Times New Roman" w:hAnsi="Times New Roman" w:cs="Times New Roman"/>
        </w:rPr>
        <w:t xml:space="preserve"> išlaikyti stabilų ekonomikos augimą.</w:t>
      </w:r>
      <w:r w:rsidR="001662F5">
        <w:rPr>
          <w:rFonts w:ascii="Times New Roman" w:hAnsi="Times New Roman" w:cs="Times New Roman"/>
        </w:rPr>
        <w:t xml:space="preserve"> </w:t>
      </w:r>
    </w:p>
    <w:p w:rsidR="001662F5" w:rsidRDefault="001662F5" w:rsidP="001662F5">
      <w:pPr>
        <w:tabs>
          <w:tab w:val="left" w:pos="709"/>
          <w:tab w:val="left" w:pos="1134"/>
        </w:tabs>
        <w:spacing w:line="360" w:lineRule="auto"/>
        <w:jc w:val="both"/>
        <w:rPr>
          <w:rFonts w:ascii="Times New Roman" w:hAnsi="Times New Roman" w:cs="Times New Roman"/>
        </w:rPr>
      </w:pPr>
      <w:r>
        <w:rPr>
          <w:rFonts w:ascii="Times New Roman" w:hAnsi="Times New Roman" w:cs="Times New Roman"/>
        </w:rPr>
        <w:lastRenderedPageBreak/>
        <w:tab/>
        <w:t>Didžiausią procentinį augimą</w:t>
      </w:r>
      <w:r w:rsidRPr="001662F5">
        <w:rPr>
          <w:rFonts w:ascii="Times New Roman" w:hAnsi="Times New Roman" w:cs="Times New Roman"/>
        </w:rPr>
        <w:t xml:space="preserve"> pirmajame dešimtuke parodė Rusija.</w:t>
      </w:r>
      <w:r>
        <w:rPr>
          <w:rFonts w:ascii="Times New Roman" w:hAnsi="Times New Roman" w:cs="Times New Roman"/>
        </w:rPr>
        <w:t xml:space="preserve"> Šios šalies </w:t>
      </w:r>
      <w:r w:rsidR="00017620">
        <w:rPr>
          <w:rFonts w:ascii="Times New Roman" w:hAnsi="Times New Roman" w:cs="Times New Roman"/>
        </w:rPr>
        <w:t>naujai pasirašomų lizingo sutarčių vertė</w:t>
      </w:r>
      <w:r>
        <w:rPr>
          <w:rFonts w:ascii="Times New Roman" w:hAnsi="Times New Roman" w:cs="Times New Roman"/>
        </w:rPr>
        <w:t xml:space="preserve"> išaugo net 131 procentu. Tačiau Rusijai kol kas neprognozuojamas patekimas tarp penkių šalių, užimančių didžiausią lizingo rinką pasaulyje. Taip yra todėl, kad Rusijos lizingo sektorius yra labai priklausomas nuo valdžios sprendimų. Daugiau negu 60 % visų lizingo sandorių Rusijoje sudaromi nusprendus, kad finansavimo projektas bus finansuojamas lizingo kompanijų ir </w:t>
      </w:r>
      <w:r w:rsidR="00C1687A">
        <w:rPr>
          <w:rFonts w:ascii="Times New Roman" w:hAnsi="Times New Roman" w:cs="Times New Roman"/>
        </w:rPr>
        <w:t xml:space="preserve">tokie </w:t>
      </w:r>
      <w:r>
        <w:rPr>
          <w:rFonts w:ascii="Times New Roman" w:hAnsi="Times New Roman" w:cs="Times New Roman"/>
        </w:rPr>
        <w:t>sandoriai sudaromi su valstybės įmonėmis (White, 2012).</w:t>
      </w:r>
      <w:r w:rsidR="00C1687A">
        <w:rPr>
          <w:rFonts w:ascii="Times New Roman" w:hAnsi="Times New Roman" w:cs="Times New Roman"/>
        </w:rPr>
        <w:t xml:space="preserve"> </w:t>
      </w:r>
    </w:p>
    <w:p w:rsidR="00C1687A" w:rsidRDefault="00C1687A" w:rsidP="001662F5">
      <w:pPr>
        <w:tabs>
          <w:tab w:val="left" w:pos="709"/>
          <w:tab w:val="left" w:pos="1134"/>
        </w:tabs>
        <w:spacing w:line="360" w:lineRule="auto"/>
        <w:jc w:val="both"/>
        <w:rPr>
          <w:rFonts w:ascii="Times New Roman" w:hAnsi="Times New Roman" w:cs="Times New Roman"/>
        </w:rPr>
      </w:pPr>
      <w:r>
        <w:rPr>
          <w:rFonts w:ascii="Times New Roman" w:hAnsi="Times New Roman" w:cs="Times New Roman"/>
        </w:rPr>
        <w:tab/>
        <w:t xml:space="preserve">Didžiausią lizingo rinkos smukimą iš pirmojo dešimtuko patyrė Brazilija. Jos </w:t>
      </w:r>
      <w:r w:rsidR="00017620">
        <w:rPr>
          <w:rFonts w:ascii="Times New Roman" w:hAnsi="Times New Roman" w:cs="Times New Roman"/>
        </w:rPr>
        <w:t>naujai pasirašomų lizingo sutarčių</w:t>
      </w:r>
      <w:r>
        <w:rPr>
          <w:rFonts w:ascii="Times New Roman" w:hAnsi="Times New Roman" w:cs="Times New Roman"/>
        </w:rPr>
        <w:t xml:space="preserve"> </w:t>
      </w:r>
      <w:r w:rsidR="00017620">
        <w:rPr>
          <w:rFonts w:ascii="Times New Roman" w:hAnsi="Times New Roman" w:cs="Times New Roman"/>
        </w:rPr>
        <w:t xml:space="preserve">vertė lyginant su praėjusias metais </w:t>
      </w:r>
      <w:r>
        <w:rPr>
          <w:rFonts w:ascii="Times New Roman" w:hAnsi="Times New Roman" w:cs="Times New Roman"/>
        </w:rPr>
        <w:t>susitraukė daugiau negu 40 procentų, kas įtakojo, kad Brazilija iš septintos vietos smuko į devintą. Anot White (2012) toks susitraukimas pagrinde buvo įtakotas pasikeitusios mokesčių politikos</w:t>
      </w:r>
      <w:r w:rsidR="002D4A93">
        <w:rPr>
          <w:rFonts w:ascii="Times New Roman" w:hAnsi="Times New Roman" w:cs="Times New Roman"/>
        </w:rPr>
        <w:t xml:space="preserve">, kuri </w:t>
      </w:r>
      <w:r w:rsidR="003B1E73">
        <w:rPr>
          <w:rFonts w:ascii="Times New Roman" w:hAnsi="Times New Roman" w:cs="Times New Roman"/>
        </w:rPr>
        <w:t>labai nusmukdė automobilių lizingo rinką.</w:t>
      </w:r>
    </w:p>
    <w:p w:rsidR="00380F4F" w:rsidRDefault="00380F4F" w:rsidP="001662F5">
      <w:pPr>
        <w:tabs>
          <w:tab w:val="left" w:pos="709"/>
          <w:tab w:val="left" w:pos="1134"/>
        </w:tabs>
        <w:spacing w:line="360" w:lineRule="auto"/>
        <w:jc w:val="both"/>
        <w:rPr>
          <w:rFonts w:ascii="Times New Roman" w:hAnsi="Times New Roman" w:cs="Times New Roman"/>
        </w:rPr>
      </w:pPr>
      <w:r>
        <w:rPr>
          <w:rFonts w:ascii="Times New Roman" w:hAnsi="Times New Roman" w:cs="Times New Roman"/>
        </w:rPr>
        <w:tab/>
      </w:r>
      <w:r w:rsidR="00A61FCB">
        <w:rPr>
          <w:rFonts w:ascii="Times New Roman" w:hAnsi="Times New Roman" w:cs="Times New Roman"/>
        </w:rPr>
        <w:t>Apžvelgę šalis, užimančias didžiausią pasaulinę lizingo rinkos dalį</w:t>
      </w:r>
      <w:r w:rsidR="00017620">
        <w:rPr>
          <w:rFonts w:ascii="Times New Roman" w:hAnsi="Times New Roman" w:cs="Times New Roman"/>
        </w:rPr>
        <w:t xml:space="preserve"> pagal naujai sudaromas lizingo sutartis</w:t>
      </w:r>
      <w:r w:rsidR="00A61FCB">
        <w:rPr>
          <w:rFonts w:ascii="Times New Roman" w:hAnsi="Times New Roman" w:cs="Times New Roman"/>
        </w:rPr>
        <w:t xml:space="preserve">, pereikime prie regionų apžvalgos. </w:t>
      </w:r>
      <w:r w:rsidR="006E58E1">
        <w:rPr>
          <w:rFonts w:ascii="Times New Roman" w:hAnsi="Times New Roman" w:cs="Times New Roman"/>
        </w:rPr>
        <w:t xml:space="preserve">Pasaulinė lizingo rinka pagal </w:t>
      </w:r>
      <w:r w:rsidR="00017620">
        <w:rPr>
          <w:rFonts w:ascii="Times New Roman" w:hAnsi="Times New Roman" w:cs="Times New Roman"/>
        </w:rPr>
        <w:t>naujai sudaromų lizingo sutarčių vertę skirtinguose regionuose</w:t>
      </w:r>
      <w:r w:rsidR="006E58E1">
        <w:rPr>
          <w:rFonts w:ascii="Times New Roman" w:hAnsi="Times New Roman" w:cs="Times New Roman"/>
        </w:rPr>
        <w:t xml:space="preserve"> pateikiama </w:t>
      </w:r>
      <w:r w:rsidR="00B253B8">
        <w:rPr>
          <w:rFonts w:ascii="Times New Roman" w:hAnsi="Times New Roman" w:cs="Times New Roman"/>
        </w:rPr>
        <w:t>12</w:t>
      </w:r>
      <w:r w:rsidR="006E58E1">
        <w:rPr>
          <w:rFonts w:ascii="Times New Roman" w:hAnsi="Times New Roman" w:cs="Times New Roman"/>
        </w:rPr>
        <w:t xml:space="preserve"> paveiksle:</w:t>
      </w:r>
    </w:p>
    <w:p w:rsidR="006E58E1" w:rsidRDefault="000262EF" w:rsidP="000262EF">
      <w:pPr>
        <w:tabs>
          <w:tab w:val="left" w:pos="709"/>
          <w:tab w:val="left" w:pos="1134"/>
        </w:tabs>
        <w:spacing w:line="360" w:lineRule="auto"/>
        <w:jc w:val="center"/>
        <w:rPr>
          <w:rFonts w:ascii="Times New Roman" w:hAnsi="Times New Roman" w:cs="Times New Roman"/>
        </w:rPr>
      </w:pPr>
      <w:r w:rsidRPr="00E819D0">
        <w:rPr>
          <w:noProof/>
        </w:rPr>
        <mc:AlternateContent>
          <mc:Choice Requires="wps">
            <w:drawing>
              <wp:anchor distT="0" distB="0" distL="114300" distR="114300" simplePos="0" relativeHeight="251653120" behindDoc="0" locked="0" layoutInCell="1" allowOverlap="1" wp14:anchorId="72C154FA" wp14:editId="7DE5EC68">
                <wp:simplePos x="0" y="0"/>
                <wp:positionH relativeFrom="column">
                  <wp:posOffset>13970</wp:posOffset>
                </wp:positionH>
                <wp:positionV relativeFrom="paragraph">
                  <wp:posOffset>295910</wp:posOffset>
                </wp:positionV>
                <wp:extent cx="533400" cy="1590675"/>
                <wp:effectExtent l="0" t="0" r="0" b="0"/>
                <wp:wrapNone/>
                <wp:docPr id="2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590675"/>
                        </a:xfrm>
                        <a:prstGeom prst="rect">
                          <a:avLst/>
                        </a:prstGeom>
                        <a:noFill/>
                        <a:ln w="9525" cmpd="sng">
                          <a:noFill/>
                        </a:ln>
                        <a:effectLst/>
                      </wps:spPr>
                      <wps:txbx>
                        <w:txbxContent>
                          <w:p w:rsidR="0041099D" w:rsidRPr="000D3985" w:rsidRDefault="0041099D" w:rsidP="000262EF">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Lizingo rinka mlrd. dolerių</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_x0000_s1174" type="#_x0000_t202" style="position:absolute;left:0;text-align:left;margin-left:1.1pt;margin-top:23.3pt;width:42pt;height:125.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" filled="f" stroked="f">
                <v:path arrowok="t"/>
                <v:textbox style="layout-flow:vertical;mso-layout-flow-alt:bottom-to-top">
                  <w:txbxContent>
                    <w:p w:rsidR="0041099D" w:rsidRPr="000D3985" w:rsidRDefault="0041099D" w:rsidP="000262EF">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Lizingo rinka mlrd. dolerių</w:t>
                      </w:r>
                    </w:p>
                  </w:txbxContent>
                </v:textbox>
              </v:shape>
            </w:pict>
          </mc:Fallback>
        </mc:AlternateContent>
      </w:r>
      <w:r>
        <w:rPr>
          <w:noProof/>
        </w:rPr>
        <w:drawing>
          <wp:inline distT="0" distB="0" distL="0" distR="0" wp14:anchorId="78AB6011" wp14:editId="619169FB">
            <wp:extent cx="5553075" cy="28575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C74AD" w:rsidRDefault="007C74AD" w:rsidP="007C74AD">
      <w:pPr>
        <w:pStyle w:val="Paveikslai"/>
        <w:ind w:firstLine="426"/>
        <w:jc w:val="left"/>
      </w:pPr>
      <w:bookmarkStart w:id="28" w:name="_Toc343459682"/>
      <w:r w:rsidRPr="007C74AD">
        <w:rPr>
          <w:sz w:val="20"/>
          <w:szCs w:val="20"/>
        </w:rPr>
        <w:t>Šaltinis:</w:t>
      </w:r>
      <w:r>
        <w:rPr>
          <w:b w:val="0"/>
          <w:sz w:val="20"/>
          <w:szCs w:val="20"/>
        </w:rPr>
        <w:t xml:space="preserve"> </w:t>
      </w:r>
      <w:r w:rsidRPr="007C74AD">
        <w:rPr>
          <w:b w:val="0"/>
          <w:sz w:val="20"/>
          <w:szCs w:val="20"/>
        </w:rPr>
        <w:t>Sudaryta pagal White (2012), Leaseurope internetinės svetainės duomenis</w:t>
      </w:r>
      <w:bookmarkEnd w:id="28"/>
    </w:p>
    <w:p w:rsidR="000262EF" w:rsidRDefault="00B253B8" w:rsidP="00924B1F">
      <w:pPr>
        <w:pStyle w:val="Paveikslai"/>
      </w:pPr>
      <w:bookmarkStart w:id="29" w:name="_Toc343459683"/>
      <w:r>
        <w:t>12</w:t>
      </w:r>
      <w:r w:rsidR="000262EF" w:rsidRPr="000262EF">
        <w:t xml:space="preserve"> </w:t>
      </w:r>
      <w:r w:rsidR="007603C0">
        <w:t>pav</w:t>
      </w:r>
      <w:r w:rsidR="000262EF" w:rsidRPr="000262EF">
        <w:t xml:space="preserve">. </w:t>
      </w:r>
      <w:r w:rsidR="00017620">
        <w:t>Naujai sudaromų l</w:t>
      </w:r>
      <w:r w:rsidR="000262EF" w:rsidRPr="000262EF">
        <w:t xml:space="preserve">izingo </w:t>
      </w:r>
      <w:r w:rsidR="00017620">
        <w:t xml:space="preserve">sutarčių vertė </w:t>
      </w:r>
      <w:r w:rsidR="000262EF" w:rsidRPr="000262EF">
        <w:t>pagal regionus</w:t>
      </w:r>
      <w:r w:rsidR="00590D9B">
        <w:t xml:space="preserve"> 1991 – 2010 metais</w:t>
      </w:r>
      <w:bookmarkEnd w:id="29"/>
    </w:p>
    <w:p w:rsidR="000262EF" w:rsidRDefault="000262EF" w:rsidP="000262EF">
      <w:pPr>
        <w:tabs>
          <w:tab w:val="left" w:pos="709"/>
          <w:tab w:val="left" w:pos="1134"/>
        </w:tabs>
        <w:spacing w:line="360" w:lineRule="auto"/>
        <w:jc w:val="center"/>
        <w:rPr>
          <w:rFonts w:ascii="Times New Roman" w:hAnsi="Times New Roman" w:cs="Times New Roman"/>
          <w:sz w:val="20"/>
          <w:szCs w:val="20"/>
        </w:rPr>
      </w:pPr>
    </w:p>
    <w:p w:rsidR="003F4B7B" w:rsidRDefault="000262EF" w:rsidP="003F4B7B">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t>Kaip iš pateiktos diagramos matome</w:t>
      </w:r>
      <w:r w:rsidR="006440FF">
        <w:rPr>
          <w:rFonts w:ascii="Times New Roman" w:hAnsi="Times New Roman" w:cs="Times New Roman"/>
        </w:rPr>
        <w:t>,</w:t>
      </w:r>
      <w:r>
        <w:rPr>
          <w:rFonts w:ascii="Times New Roman" w:hAnsi="Times New Roman" w:cs="Times New Roman"/>
        </w:rPr>
        <w:t xml:space="preserve"> </w:t>
      </w:r>
      <w:r w:rsidR="006440FF">
        <w:rPr>
          <w:rFonts w:ascii="Times New Roman" w:hAnsi="Times New Roman" w:cs="Times New Roman"/>
        </w:rPr>
        <w:t xml:space="preserve">2010 m. Europos ir Šiaurės Amerikos </w:t>
      </w:r>
      <w:r w:rsidR="00590D9B">
        <w:rPr>
          <w:rFonts w:ascii="Times New Roman" w:hAnsi="Times New Roman" w:cs="Times New Roman"/>
        </w:rPr>
        <w:t>naujai sudaromų lizingo sutarčių vertė buvo apylygė</w:t>
      </w:r>
      <w:r>
        <w:rPr>
          <w:rFonts w:ascii="Times New Roman" w:hAnsi="Times New Roman" w:cs="Times New Roman"/>
        </w:rPr>
        <w:t xml:space="preserve"> </w:t>
      </w:r>
      <w:r w:rsidR="00590D9B">
        <w:rPr>
          <w:rFonts w:ascii="Times New Roman" w:hAnsi="Times New Roman" w:cs="Times New Roman"/>
        </w:rPr>
        <w:t>bei didžiausia</w:t>
      </w:r>
      <w:r w:rsidR="006440FF">
        <w:rPr>
          <w:rFonts w:ascii="Times New Roman" w:hAnsi="Times New Roman" w:cs="Times New Roman"/>
        </w:rPr>
        <w:t xml:space="preserve"> pasaulyje</w:t>
      </w:r>
      <w:r w:rsidR="00590D9B">
        <w:rPr>
          <w:rFonts w:ascii="Times New Roman" w:hAnsi="Times New Roman" w:cs="Times New Roman"/>
        </w:rPr>
        <w:t xml:space="preserve">. </w:t>
      </w:r>
      <w:r w:rsidR="003F4B7B">
        <w:rPr>
          <w:rFonts w:ascii="Times New Roman" w:hAnsi="Times New Roman" w:cs="Times New Roman"/>
        </w:rPr>
        <w:t xml:space="preserve">Įdomu tai, kad tiek analizės pradžioje, tiek dabartiniu laikotarpiu šių kontinentų </w:t>
      </w:r>
      <w:r w:rsidR="00590D9B">
        <w:rPr>
          <w:rFonts w:ascii="Times New Roman" w:hAnsi="Times New Roman" w:cs="Times New Roman"/>
        </w:rPr>
        <w:t>naujai sudaromų lizingo sutarčių vertė yra beveik vienoda, tačiau jos</w:t>
      </w:r>
      <w:r w:rsidR="003F4B7B">
        <w:rPr>
          <w:rFonts w:ascii="Times New Roman" w:hAnsi="Times New Roman" w:cs="Times New Roman"/>
        </w:rPr>
        <w:t xml:space="preserve"> </w:t>
      </w:r>
      <w:r w:rsidR="00590D9B">
        <w:rPr>
          <w:rFonts w:ascii="Times New Roman" w:hAnsi="Times New Roman" w:cs="Times New Roman"/>
        </w:rPr>
        <w:t>kitimas</w:t>
      </w:r>
      <w:r w:rsidR="003F4B7B">
        <w:rPr>
          <w:rFonts w:ascii="Times New Roman" w:hAnsi="Times New Roman" w:cs="Times New Roman"/>
        </w:rPr>
        <w:t xml:space="preserve"> buvo pakankamai skirtingas.  </w:t>
      </w:r>
      <w:r w:rsidR="00043039">
        <w:rPr>
          <w:rFonts w:ascii="Times New Roman" w:hAnsi="Times New Roman" w:cs="Times New Roman"/>
        </w:rPr>
        <w:t xml:space="preserve">Europos </w:t>
      </w:r>
      <w:r w:rsidR="00590D9B">
        <w:rPr>
          <w:rFonts w:ascii="Times New Roman" w:hAnsi="Times New Roman" w:cs="Times New Roman"/>
        </w:rPr>
        <w:t>naujų sutarčių vertė</w:t>
      </w:r>
      <w:r w:rsidR="00043039">
        <w:rPr>
          <w:rFonts w:ascii="Times New Roman" w:hAnsi="Times New Roman" w:cs="Times New Roman"/>
        </w:rPr>
        <w:t xml:space="preserve"> </w:t>
      </w:r>
      <w:r w:rsidR="0089030F">
        <w:rPr>
          <w:rFonts w:ascii="Times New Roman" w:hAnsi="Times New Roman" w:cs="Times New Roman"/>
        </w:rPr>
        <w:t xml:space="preserve">nuo 1993 m. </w:t>
      </w:r>
      <w:r w:rsidR="003F4B7B" w:rsidRPr="003F4B7B">
        <w:rPr>
          <w:rFonts w:ascii="Times New Roman" w:hAnsi="Times New Roman" w:cs="Times New Roman"/>
        </w:rPr>
        <w:t xml:space="preserve">iki </w:t>
      </w:r>
      <w:r w:rsidR="0089030F">
        <w:rPr>
          <w:rFonts w:ascii="Times New Roman" w:hAnsi="Times New Roman" w:cs="Times New Roman"/>
        </w:rPr>
        <w:t>2006</w:t>
      </w:r>
      <w:r w:rsidR="003F4B7B" w:rsidRPr="003F4B7B">
        <w:rPr>
          <w:rFonts w:ascii="Times New Roman" w:hAnsi="Times New Roman" w:cs="Times New Roman"/>
        </w:rPr>
        <w:t xml:space="preserve"> m. </w:t>
      </w:r>
      <w:r w:rsidR="0089030F">
        <w:rPr>
          <w:rFonts w:ascii="Times New Roman" w:hAnsi="Times New Roman" w:cs="Times New Roman"/>
        </w:rPr>
        <w:t>augo pakankamai stabiliai</w:t>
      </w:r>
      <w:r w:rsidR="003F4B7B" w:rsidRPr="003F4B7B">
        <w:rPr>
          <w:rFonts w:ascii="Times New Roman" w:hAnsi="Times New Roman" w:cs="Times New Roman"/>
        </w:rPr>
        <w:t xml:space="preserve">, per metus siekęs </w:t>
      </w:r>
      <w:r w:rsidR="0089030F">
        <w:rPr>
          <w:rFonts w:ascii="Times New Roman" w:hAnsi="Times New Roman" w:cs="Times New Roman"/>
        </w:rPr>
        <w:t>augimas</w:t>
      </w:r>
      <w:r w:rsidR="003F4B7B" w:rsidRPr="003F4B7B">
        <w:rPr>
          <w:rFonts w:ascii="Times New Roman" w:hAnsi="Times New Roman" w:cs="Times New Roman"/>
        </w:rPr>
        <w:t xml:space="preserve"> vidutiniškai </w:t>
      </w:r>
      <w:r w:rsidR="0089030F">
        <w:rPr>
          <w:rFonts w:ascii="Times New Roman" w:hAnsi="Times New Roman" w:cs="Times New Roman"/>
        </w:rPr>
        <w:t>buvo apie</w:t>
      </w:r>
      <w:r w:rsidR="003F4B7B" w:rsidRPr="003F4B7B">
        <w:rPr>
          <w:rFonts w:ascii="Times New Roman" w:hAnsi="Times New Roman" w:cs="Times New Roman"/>
        </w:rPr>
        <w:t xml:space="preserve"> 10 </w:t>
      </w:r>
      <w:r w:rsidR="003F4B7B" w:rsidRPr="003F4B7B">
        <w:rPr>
          <w:rFonts w:ascii="Times New Roman" w:hAnsi="Times New Roman" w:cs="Times New Roman"/>
          <w:lang w:val="en-US"/>
        </w:rPr>
        <w:t xml:space="preserve">%. </w:t>
      </w:r>
      <w:r w:rsidR="0021421C">
        <w:rPr>
          <w:rFonts w:ascii="Times New Roman" w:hAnsi="Times New Roman" w:cs="Times New Roman"/>
          <w:lang w:val="en-US"/>
        </w:rPr>
        <w:t xml:space="preserve">2007 </w:t>
      </w:r>
      <w:r w:rsidR="004924F6">
        <w:rPr>
          <w:rFonts w:ascii="Times New Roman" w:hAnsi="Times New Roman" w:cs="Times New Roman"/>
        </w:rPr>
        <w:t>m. pastebim</w:t>
      </w:r>
      <w:r w:rsidR="00043039">
        <w:rPr>
          <w:rFonts w:ascii="Times New Roman" w:hAnsi="Times New Roman" w:cs="Times New Roman"/>
        </w:rPr>
        <w:t xml:space="preserve">as staigus </w:t>
      </w:r>
      <w:r w:rsidR="00590D9B">
        <w:rPr>
          <w:rFonts w:ascii="Times New Roman" w:hAnsi="Times New Roman" w:cs="Times New Roman"/>
        </w:rPr>
        <w:t>naujai sudaromų lizingo sutarčių vertės</w:t>
      </w:r>
      <w:r w:rsidR="0080768A">
        <w:rPr>
          <w:rFonts w:ascii="Times New Roman" w:hAnsi="Times New Roman" w:cs="Times New Roman"/>
        </w:rPr>
        <w:t xml:space="preserve"> </w:t>
      </w:r>
      <w:r w:rsidR="00590D9B">
        <w:rPr>
          <w:rFonts w:ascii="Times New Roman" w:hAnsi="Times New Roman" w:cs="Times New Roman"/>
        </w:rPr>
        <w:t>padidėjimas</w:t>
      </w:r>
      <w:r w:rsidR="00043039">
        <w:rPr>
          <w:rFonts w:ascii="Times New Roman" w:hAnsi="Times New Roman" w:cs="Times New Roman"/>
        </w:rPr>
        <w:t xml:space="preserve">, kuris </w:t>
      </w:r>
      <w:r w:rsidR="00590D9B">
        <w:rPr>
          <w:rFonts w:ascii="Times New Roman" w:hAnsi="Times New Roman" w:cs="Times New Roman"/>
        </w:rPr>
        <w:t>siekė</w:t>
      </w:r>
      <w:r w:rsidR="00043039">
        <w:rPr>
          <w:rFonts w:ascii="Times New Roman" w:hAnsi="Times New Roman" w:cs="Times New Roman"/>
        </w:rPr>
        <w:t xml:space="preserve"> daugiau nei 100 mlrd. dolerių </w:t>
      </w:r>
      <w:r w:rsidR="00E34C5F">
        <w:rPr>
          <w:rFonts w:ascii="Times New Roman" w:hAnsi="Times New Roman" w:cs="Times New Roman"/>
        </w:rPr>
        <w:t xml:space="preserve">per metus </w:t>
      </w:r>
      <w:r w:rsidR="00043039">
        <w:rPr>
          <w:rFonts w:ascii="Times New Roman" w:hAnsi="Times New Roman" w:cs="Times New Roman"/>
        </w:rPr>
        <w:t xml:space="preserve">arba 40 </w:t>
      </w:r>
      <w:r w:rsidR="00043039">
        <w:rPr>
          <w:rFonts w:ascii="Times New Roman" w:hAnsi="Times New Roman" w:cs="Times New Roman"/>
          <w:lang w:val="en-US"/>
        </w:rPr>
        <w:t xml:space="preserve">% </w:t>
      </w:r>
      <w:r w:rsidR="009D396B">
        <w:rPr>
          <w:rFonts w:ascii="Times New Roman" w:hAnsi="Times New Roman" w:cs="Times New Roman"/>
        </w:rPr>
        <w:t>lyginant su praėjusiais metais</w:t>
      </w:r>
      <w:r w:rsidR="00043039">
        <w:rPr>
          <w:rFonts w:ascii="Times New Roman" w:hAnsi="Times New Roman" w:cs="Times New Roman"/>
        </w:rPr>
        <w:t xml:space="preserve">. Tačiau per sekančius du metus dėl masinės </w:t>
      </w:r>
      <w:r w:rsidR="00043039">
        <w:rPr>
          <w:rFonts w:ascii="Times New Roman" w:hAnsi="Times New Roman" w:cs="Times New Roman"/>
        </w:rPr>
        <w:lastRenderedPageBreak/>
        <w:t xml:space="preserve">finansinės </w:t>
      </w:r>
      <w:r w:rsidR="00144F15">
        <w:rPr>
          <w:rFonts w:ascii="Times New Roman" w:hAnsi="Times New Roman" w:cs="Times New Roman"/>
        </w:rPr>
        <w:t>panikos</w:t>
      </w:r>
      <w:r w:rsidR="00043039">
        <w:rPr>
          <w:rFonts w:ascii="Times New Roman" w:hAnsi="Times New Roman" w:cs="Times New Roman"/>
        </w:rPr>
        <w:t xml:space="preserve"> </w:t>
      </w:r>
      <w:r w:rsidR="00590D9B">
        <w:rPr>
          <w:rFonts w:ascii="Times New Roman" w:hAnsi="Times New Roman" w:cs="Times New Roman"/>
        </w:rPr>
        <w:t>naujai sudaromų lizingo sutarčių vertė</w:t>
      </w:r>
      <w:r w:rsidR="00043039">
        <w:rPr>
          <w:rFonts w:ascii="Times New Roman" w:hAnsi="Times New Roman" w:cs="Times New Roman"/>
        </w:rPr>
        <w:t xml:space="preserve"> nuo aukščiausio taško </w:t>
      </w:r>
      <w:r w:rsidR="00940300">
        <w:rPr>
          <w:rFonts w:ascii="Times New Roman" w:hAnsi="Times New Roman" w:cs="Times New Roman"/>
        </w:rPr>
        <w:t xml:space="preserve">susitraukė </w:t>
      </w:r>
      <w:r w:rsidR="00043039">
        <w:rPr>
          <w:rFonts w:ascii="Times New Roman" w:hAnsi="Times New Roman" w:cs="Times New Roman"/>
        </w:rPr>
        <w:t>net 70 %</w:t>
      </w:r>
      <w:r w:rsidR="00144F15">
        <w:rPr>
          <w:rFonts w:ascii="Times New Roman" w:hAnsi="Times New Roman" w:cs="Times New Roman"/>
        </w:rPr>
        <w:t xml:space="preserve"> ir praktiškai grįžo į 2004-2005 metų lygmenį. </w:t>
      </w:r>
      <w:r w:rsidR="00940300">
        <w:rPr>
          <w:rFonts w:ascii="Times New Roman" w:hAnsi="Times New Roman" w:cs="Times New Roman"/>
        </w:rPr>
        <w:t xml:space="preserve">Tuo tarpu </w:t>
      </w:r>
      <w:r w:rsidR="00162915">
        <w:rPr>
          <w:rFonts w:ascii="Times New Roman" w:hAnsi="Times New Roman" w:cs="Times New Roman"/>
        </w:rPr>
        <w:t>Šiaurės Amerikos</w:t>
      </w:r>
      <w:r w:rsidR="00144F15">
        <w:rPr>
          <w:rFonts w:ascii="Times New Roman" w:hAnsi="Times New Roman" w:cs="Times New Roman"/>
        </w:rPr>
        <w:t xml:space="preserve"> </w:t>
      </w:r>
      <w:r w:rsidR="00590D9B">
        <w:rPr>
          <w:rFonts w:ascii="Times New Roman" w:hAnsi="Times New Roman" w:cs="Times New Roman"/>
        </w:rPr>
        <w:t>naujai sudaromų sutarčių vertė tokių</w:t>
      </w:r>
      <w:r w:rsidR="00144F15">
        <w:rPr>
          <w:rFonts w:ascii="Times New Roman" w:hAnsi="Times New Roman" w:cs="Times New Roman"/>
        </w:rPr>
        <w:t xml:space="preserve"> drasti</w:t>
      </w:r>
      <w:r w:rsidR="0080768A">
        <w:rPr>
          <w:rFonts w:ascii="Times New Roman" w:hAnsi="Times New Roman" w:cs="Times New Roman"/>
        </w:rPr>
        <w:t>škų pokyčių neišgyveno</w:t>
      </w:r>
      <w:r w:rsidR="00E34C5F">
        <w:rPr>
          <w:rFonts w:ascii="Times New Roman" w:hAnsi="Times New Roman" w:cs="Times New Roman"/>
        </w:rPr>
        <w:t xml:space="preserve">, per 20 metų laikotarpį </w:t>
      </w:r>
      <w:r w:rsidR="00940300">
        <w:rPr>
          <w:rFonts w:ascii="Times New Roman" w:hAnsi="Times New Roman" w:cs="Times New Roman"/>
        </w:rPr>
        <w:t xml:space="preserve">ji </w:t>
      </w:r>
      <w:r w:rsidR="00E34C5F">
        <w:rPr>
          <w:rFonts w:ascii="Times New Roman" w:hAnsi="Times New Roman" w:cs="Times New Roman"/>
        </w:rPr>
        <w:t>išaugo apie 83 mlrd. JAV dolerių.</w:t>
      </w:r>
    </w:p>
    <w:p w:rsidR="00940300" w:rsidRDefault="00E34C5F" w:rsidP="003F4B7B">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t xml:space="preserve">Azijos </w:t>
      </w:r>
      <w:r w:rsidR="00590D9B">
        <w:rPr>
          <w:rFonts w:ascii="Times New Roman" w:hAnsi="Times New Roman" w:cs="Times New Roman"/>
        </w:rPr>
        <w:t>naujai sudaromų sutarčių vertė</w:t>
      </w:r>
      <w:r>
        <w:rPr>
          <w:rFonts w:ascii="Times New Roman" w:hAnsi="Times New Roman" w:cs="Times New Roman"/>
        </w:rPr>
        <w:t xml:space="preserve"> skirtingai nei </w:t>
      </w:r>
      <w:r w:rsidR="00162915">
        <w:rPr>
          <w:rFonts w:ascii="Times New Roman" w:hAnsi="Times New Roman" w:cs="Times New Roman"/>
        </w:rPr>
        <w:t>Šiaurės Amerikos</w:t>
      </w:r>
      <w:r>
        <w:rPr>
          <w:rFonts w:ascii="Times New Roman" w:hAnsi="Times New Roman" w:cs="Times New Roman"/>
        </w:rPr>
        <w:t xml:space="preserve"> ar Europos pastaraisiais m</w:t>
      </w:r>
      <w:r w:rsidR="00940300">
        <w:rPr>
          <w:rFonts w:ascii="Times New Roman" w:hAnsi="Times New Roman" w:cs="Times New Roman"/>
        </w:rPr>
        <w:t>etais pakankamai sparčiai kyla</w:t>
      </w:r>
      <w:r w:rsidR="00590D9B">
        <w:rPr>
          <w:rFonts w:ascii="Times New Roman" w:hAnsi="Times New Roman" w:cs="Times New Roman"/>
        </w:rPr>
        <w:t xml:space="preserve">. </w:t>
      </w:r>
      <w:r w:rsidR="00DF115B">
        <w:rPr>
          <w:rFonts w:ascii="Times New Roman" w:hAnsi="Times New Roman" w:cs="Times New Roman"/>
        </w:rPr>
        <w:t>Kaip matėme iš prieš tai nagrinėtos lentelės trys Azijos šalys: Kinija, Japonija bei Rusija patenka</w:t>
      </w:r>
      <w:r w:rsidR="00940300">
        <w:rPr>
          <w:rFonts w:ascii="Times New Roman" w:hAnsi="Times New Roman" w:cs="Times New Roman"/>
        </w:rPr>
        <w:t xml:space="preserve"> į šalių, </w:t>
      </w:r>
      <w:r w:rsidR="00590D9B">
        <w:rPr>
          <w:rFonts w:ascii="Times New Roman" w:hAnsi="Times New Roman" w:cs="Times New Roman"/>
        </w:rPr>
        <w:t>2010 m. sudariusių daugiausiai naujų lizingo sutarčių dešimtuką</w:t>
      </w:r>
      <w:r w:rsidR="00940300">
        <w:rPr>
          <w:rFonts w:ascii="Times New Roman" w:hAnsi="Times New Roman" w:cs="Times New Roman"/>
        </w:rPr>
        <w:t>. Dvi iš jų: Kinija ir Rusija rodė sparčiausią augimą 2010 m.  T</w:t>
      </w:r>
      <w:r w:rsidR="008535B3">
        <w:rPr>
          <w:rFonts w:ascii="Times New Roman" w:hAnsi="Times New Roman" w:cs="Times New Roman"/>
        </w:rPr>
        <w:t xml:space="preserve">aigi Azijos </w:t>
      </w:r>
      <w:r w:rsidR="00590D9B">
        <w:rPr>
          <w:rFonts w:ascii="Times New Roman" w:hAnsi="Times New Roman" w:cs="Times New Roman"/>
        </w:rPr>
        <w:t>naujai sudarytų lizingo sutarčių</w:t>
      </w:r>
      <w:r w:rsidR="008535B3">
        <w:rPr>
          <w:rFonts w:ascii="Times New Roman" w:hAnsi="Times New Roman" w:cs="Times New Roman"/>
        </w:rPr>
        <w:t xml:space="preserve"> augimas neturėtų stebinti.</w:t>
      </w:r>
    </w:p>
    <w:p w:rsidR="00162915" w:rsidRDefault="00552E10" w:rsidP="00552E10">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8535B3">
        <w:rPr>
          <w:rFonts w:ascii="Times New Roman" w:hAnsi="Times New Roman" w:cs="Times New Roman"/>
        </w:rPr>
        <w:t xml:space="preserve">Pietų Amerikos, Australijos bei Afrikos </w:t>
      </w:r>
      <w:r w:rsidR="00590D9B">
        <w:rPr>
          <w:rFonts w:ascii="Times New Roman" w:hAnsi="Times New Roman" w:cs="Times New Roman"/>
        </w:rPr>
        <w:t>naujai sudaromų sutarčių vertė</w:t>
      </w:r>
      <w:r w:rsidR="008535B3">
        <w:rPr>
          <w:rFonts w:ascii="Times New Roman" w:hAnsi="Times New Roman" w:cs="Times New Roman"/>
        </w:rPr>
        <w:t xml:space="preserve"> pasauli</w:t>
      </w:r>
      <w:r w:rsidR="00590D9B">
        <w:rPr>
          <w:rFonts w:ascii="Times New Roman" w:hAnsi="Times New Roman" w:cs="Times New Roman"/>
        </w:rPr>
        <w:t>niame kontekste nėra reikšminga</w:t>
      </w:r>
      <w:r w:rsidR="008535B3">
        <w:rPr>
          <w:rFonts w:ascii="Times New Roman" w:hAnsi="Times New Roman" w:cs="Times New Roman"/>
        </w:rPr>
        <w:t xml:space="preserve">, šių </w:t>
      </w:r>
      <w:r w:rsidR="00590D9B">
        <w:rPr>
          <w:rFonts w:ascii="Times New Roman" w:hAnsi="Times New Roman" w:cs="Times New Roman"/>
        </w:rPr>
        <w:t>kontinentų</w:t>
      </w:r>
      <w:r w:rsidR="008535B3">
        <w:rPr>
          <w:rFonts w:ascii="Times New Roman" w:hAnsi="Times New Roman" w:cs="Times New Roman"/>
        </w:rPr>
        <w:t xml:space="preserve"> dydis kartu sudėjus būtų mažesnis negu </w:t>
      </w:r>
      <w:r w:rsidR="005A6DC7">
        <w:rPr>
          <w:rFonts w:ascii="Times New Roman" w:hAnsi="Times New Roman" w:cs="Times New Roman"/>
        </w:rPr>
        <w:t xml:space="preserve">vienos šalies - </w:t>
      </w:r>
      <w:r w:rsidR="008535B3">
        <w:rPr>
          <w:rFonts w:ascii="Times New Roman" w:hAnsi="Times New Roman" w:cs="Times New Roman"/>
        </w:rPr>
        <w:t xml:space="preserve">Vokietijos </w:t>
      </w:r>
      <w:r w:rsidR="00590D9B">
        <w:rPr>
          <w:rFonts w:ascii="Times New Roman" w:hAnsi="Times New Roman" w:cs="Times New Roman"/>
        </w:rPr>
        <w:t>–</w:t>
      </w:r>
      <w:r w:rsidR="005A6DC7">
        <w:rPr>
          <w:rFonts w:ascii="Times New Roman" w:hAnsi="Times New Roman" w:cs="Times New Roman"/>
        </w:rPr>
        <w:t xml:space="preserve"> </w:t>
      </w:r>
      <w:r w:rsidR="00590D9B">
        <w:rPr>
          <w:rFonts w:ascii="Times New Roman" w:hAnsi="Times New Roman" w:cs="Times New Roman"/>
        </w:rPr>
        <w:t>naujai pasirašomų sutarčių vertė</w:t>
      </w:r>
      <w:r w:rsidR="008535B3">
        <w:rPr>
          <w:rFonts w:ascii="Times New Roman" w:hAnsi="Times New Roman" w:cs="Times New Roman"/>
        </w:rPr>
        <w:t xml:space="preserve">. Per visą </w:t>
      </w:r>
      <w:r w:rsidR="005A6DC7">
        <w:rPr>
          <w:rFonts w:ascii="Times New Roman" w:hAnsi="Times New Roman" w:cs="Times New Roman"/>
        </w:rPr>
        <w:t xml:space="preserve"> </w:t>
      </w:r>
      <w:r w:rsidR="008535B3">
        <w:rPr>
          <w:rFonts w:ascii="Times New Roman" w:hAnsi="Times New Roman" w:cs="Times New Roman"/>
        </w:rPr>
        <w:t xml:space="preserve">analizuojamą laikotarpį Pietų Amerikos, Australijos bei Afrikos lizingo </w:t>
      </w:r>
      <w:r w:rsidR="00590D9B">
        <w:rPr>
          <w:rFonts w:ascii="Times New Roman" w:hAnsi="Times New Roman" w:cs="Times New Roman"/>
        </w:rPr>
        <w:t>naujai pasirašomų sutarčių vertė kito labai nežymiai</w:t>
      </w:r>
      <w:r w:rsidR="008535B3">
        <w:rPr>
          <w:rFonts w:ascii="Times New Roman" w:hAnsi="Times New Roman" w:cs="Times New Roman"/>
        </w:rPr>
        <w:t>.</w:t>
      </w:r>
    </w:p>
    <w:p w:rsidR="00226F81" w:rsidRDefault="00162915" w:rsidP="00162915">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t xml:space="preserve">Panagrinėję </w:t>
      </w:r>
      <w:r w:rsidR="000D5607">
        <w:rPr>
          <w:rFonts w:ascii="Times New Roman" w:hAnsi="Times New Roman" w:cs="Times New Roman"/>
        </w:rPr>
        <w:t xml:space="preserve">pasaulinį </w:t>
      </w:r>
      <w:r>
        <w:rPr>
          <w:rFonts w:ascii="Times New Roman" w:hAnsi="Times New Roman" w:cs="Times New Roman"/>
        </w:rPr>
        <w:t>lizingo rinkos pasiskirstymą</w:t>
      </w:r>
      <w:r w:rsidR="00590D9B">
        <w:rPr>
          <w:rFonts w:ascii="Times New Roman" w:hAnsi="Times New Roman" w:cs="Times New Roman"/>
        </w:rPr>
        <w:t xml:space="preserve"> pagal naujai sudaromų sutarčių vertę</w:t>
      </w:r>
      <w:r>
        <w:rPr>
          <w:rFonts w:ascii="Times New Roman" w:hAnsi="Times New Roman" w:cs="Times New Roman"/>
        </w:rPr>
        <w:t>, pereikime prie to</w:t>
      </w:r>
      <w:r w:rsidR="00971BE3">
        <w:rPr>
          <w:rFonts w:ascii="Times New Roman" w:hAnsi="Times New Roman" w:cs="Times New Roman"/>
        </w:rPr>
        <w:t>,</w:t>
      </w:r>
      <w:r>
        <w:rPr>
          <w:rFonts w:ascii="Times New Roman" w:hAnsi="Times New Roman" w:cs="Times New Roman"/>
        </w:rPr>
        <w:t xml:space="preserve"> kaip Lietuvos lizingo rinka atrodo šiame kontekste. Analizę pradėkite Lietuvos lizingo rinką lygindami </w:t>
      </w:r>
      <w:r w:rsidR="002F385C">
        <w:rPr>
          <w:rFonts w:ascii="Times New Roman" w:hAnsi="Times New Roman" w:cs="Times New Roman"/>
        </w:rPr>
        <w:t>su artimiausių kaimynių,</w:t>
      </w:r>
      <w:r>
        <w:rPr>
          <w:rFonts w:ascii="Times New Roman" w:hAnsi="Times New Roman" w:cs="Times New Roman"/>
        </w:rPr>
        <w:t xml:space="preserve"> kitų </w:t>
      </w:r>
      <w:r w:rsidR="00226F81">
        <w:rPr>
          <w:rFonts w:ascii="Times New Roman" w:hAnsi="Times New Roman" w:cs="Times New Roman"/>
        </w:rPr>
        <w:t>Baltijos šalių</w:t>
      </w:r>
      <w:r w:rsidR="002F385C">
        <w:rPr>
          <w:rFonts w:ascii="Times New Roman" w:hAnsi="Times New Roman" w:cs="Times New Roman"/>
        </w:rPr>
        <w:t>,</w:t>
      </w:r>
      <w:r w:rsidR="00226F81">
        <w:rPr>
          <w:rFonts w:ascii="Times New Roman" w:hAnsi="Times New Roman" w:cs="Times New Roman"/>
        </w:rPr>
        <w:t xml:space="preserve"> lizingo rinkomis (žr. </w:t>
      </w:r>
      <w:r w:rsidR="00B253B8">
        <w:rPr>
          <w:rFonts w:ascii="Times New Roman" w:hAnsi="Times New Roman" w:cs="Times New Roman"/>
        </w:rPr>
        <w:t>13</w:t>
      </w:r>
      <w:r w:rsidR="00226F81">
        <w:rPr>
          <w:rFonts w:ascii="Times New Roman" w:hAnsi="Times New Roman" w:cs="Times New Roman"/>
        </w:rPr>
        <w:t xml:space="preserve"> pav.).</w:t>
      </w:r>
    </w:p>
    <w:p w:rsidR="00C578D4" w:rsidRDefault="009A6427" w:rsidP="00162915">
      <w:pPr>
        <w:tabs>
          <w:tab w:val="left" w:pos="567"/>
          <w:tab w:val="left" w:pos="1134"/>
        </w:tabs>
        <w:spacing w:line="360" w:lineRule="auto"/>
        <w:jc w:val="both"/>
        <w:rPr>
          <w:rFonts w:ascii="Times New Roman" w:hAnsi="Times New Roman" w:cs="Times New Roman"/>
        </w:rPr>
      </w:pPr>
      <w:r>
        <w:rPr>
          <w:noProof/>
        </w:rPr>
        <w:drawing>
          <wp:anchor distT="0" distB="0" distL="114300" distR="114300" simplePos="0" relativeHeight="251654144" behindDoc="0" locked="0" layoutInCell="1" allowOverlap="1" wp14:anchorId="229B9B20" wp14:editId="469AE567">
            <wp:simplePos x="0" y="0"/>
            <wp:positionH relativeFrom="column">
              <wp:posOffset>899795</wp:posOffset>
            </wp:positionH>
            <wp:positionV relativeFrom="paragraph">
              <wp:posOffset>252730</wp:posOffset>
            </wp:positionV>
            <wp:extent cx="5124450" cy="2200275"/>
            <wp:effectExtent l="0" t="0" r="0" b="0"/>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p>
    <w:p w:rsidR="002F385C" w:rsidRDefault="002F385C" w:rsidP="00552E10">
      <w:pPr>
        <w:tabs>
          <w:tab w:val="left" w:pos="567"/>
          <w:tab w:val="left" w:pos="1134"/>
        </w:tabs>
        <w:spacing w:line="360" w:lineRule="auto"/>
        <w:rPr>
          <w:rFonts w:ascii="Times New Roman" w:hAnsi="Times New Roman" w:cs="Times New Roman"/>
        </w:rPr>
      </w:pPr>
    </w:p>
    <w:p w:rsidR="007C74AD" w:rsidRDefault="00916BB5" w:rsidP="003B20D6">
      <w:pPr>
        <w:tabs>
          <w:tab w:val="left" w:pos="709"/>
          <w:tab w:val="left" w:pos="1134"/>
          <w:tab w:val="left" w:pos="1701"/>
        </w:tabs>
        <w:spacing w:line="360" w:lineRule="auto"/>
        <w:ind w:left="1701" w:right="423"/>
        <w:rPr>
          <w:rFonts w:ascii="Times New Roman" w:hAnsi="Times New Roman" w:cs="Times New Roman"/>
          <w:sz w:val="20"/>
          <w:szCs w:val="20"/>
        </w:rPr>
      </w:pPr>
      <w:r>
        <w:br w:type="textWrapping" w:clear="all"/>
      </w:r>
      <w:r w:rsidR="007C74AD">
        <w:rPr>
          <w:rFonts w:ascii="Times New Roman" w:hAnsi="Times New Roman" w:cs="Times New Roman"/>
          <w:b/>
          <w:sz w:val="20"/>
          <w:szCs w:val="20"/>
        </w:rPr>
        <w:t xml:space="preserve">Šaltinis: </w:t>
      </w:r>
      <w:r w:rsidR="007C74AD">
        <w:rPr>
          <w:rFonts w:ascii="Times New Roman" w:hAnsi="Times New Roman" w:cs="Times New Roman"/>
          <w:sz w:val="20"/>
          <w:szCs w:val="20"/>
        </w:rPr>
        <w:t xml:space="preserve">Sudaryta pagal Lietuvos bankų asociacijos, Leaseurope 2011, 2010, 2009, 2008, 2007, </w:t>
      </w:r>
      <w:r w:rsidR="00ED5364">
        <w:rPr>
          <w:rFonts w:ascii="Times New Roman" w:hAnsi="Times New Roman" w:cs="Times New Roman"/>
          <w:sz w:val="20"/>
          <w:szCs w:val="20"/>
        </w:rPr>
        <w:t xml:space="preserve">Estonian Leasing </w:t>
      </w:r>
      <w:r w:rsidR="007C74AD">
        <w:rPr>
          <w:rFonts w:ascii="Times New Roman" w:hAnsi="Times New Roman" w:cs="Times New Roman"/>
          <w:sz w:val="20"/>
          <w:szCs w:val="20"/>
        </w:rPr>
        <w:t>Association, Latvijas statistika internetinių svetainių duomenis</w:t>
      </w:r>
    </w:p>
    <w:p w:rsidR="004A2C8E" w:rsidRDefault="00B253B8" w:rsidP="00ED5364">
      <w:pPr>
        <w:pStyle w:val="Paveikslai"/>
      </w:pPr>
      <w:bookmarkStart w:id="30" w:name="_Toc343459684"/>
      <w:r>
        <w:t>13</w:t>
      </w:r>
      <w:r w:rsidR="00C53EEC" w:rsidRPr="00C53EEC">
        <w:t xml:space="preserve"> </w:t>
      </w:r>
      <w:r w:rsidR="007603C0">
        <w:t>pav</w:t>
      </w:r>
      <w:r w:rsidR="00C53EEC" w:rsidRPr="00C53EEC">
        <w:t xml:space="preserve">. </w:t>
      </w:r>
      <w:r w:rsidR="004A2C8E">
        <w:t>Baltijos šalių</w:t>
      </w:r>
      <w:r w:rsidR="00CE6F3C" w:rsidRPr="00CE6F3C">
        <w:t xml:space="preserve"> lizingo portfeli</w:t>
      </w:r>
      <w:r w:rsidR="004A2C8E">
        <w:t>s 2006</w:t>
      </w:r>
      <w:r w:rsidR="00CE6F3C" w:rsidRPr="00CE6F3C">
        <w:t>-2011 metais</w:t>
      </w:r>
      <w:bookmarkEnd w:id="30"/>
    </w:p>
    <w:p w:rsidR="004A2C8E" w:rsidRDefault="004A2C8E" w:rsidP="004A2C8E">
      <w:pPr>
        <w:tabs>
          <w:tab w:val="left" w:pos="567"/>
          <w:tab w:val="left" w:pos="1134"/>
        </w:tabs>
        <w:spacing w:line="360" w:lineRule="auto"/>
        <w:rPr>
          <w:rFonts w:ascii="Times New Roman" w:hAnsi="Times New Roman" w:cs="Times New Roman"/>
        </w:rPr>
      </w:pPr>
    </w:p>
    <w:p w:rsidR="004A2C8E" w:rsidRDefault="004A2C8E" w:rsidP="004A2C8E">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9B2E88">
        <w:rPr>
          <w:rFonts w:ascii="Times New Roman" w:hAnsi="Times New Roman" w:cs="Times New Roman"/>
        </w:rPr>
        <w:t xml:space="preserve">Diagramoje pateikiamas Baltijos šalių lizingo portfelio kitimas. </w:t>
      </w:r>
      <w:r w:rsidR="004372DC">
        <w:rPr>
          <w:rFonts w:ascii="Times New Roman" w:hAnsi="Times New Roman" w:cs="Times New Roman"/>
        </w:rPr>
        <w:t>Kaip iš pa</w:t>
      </w:r>
      <w:r>
        <w:rPr>
          <w:rFonts w:ascii="Times New Roman" w:hAnsi="Times New Roman" w:cs="Times New Roman"/>
        </w:rPr>
        <w:t>teiktos diagramos matome, šiuo metu iš Baltijos šalių didži</w:t>
      </w:r>
      <w:r w:rsidR="006B0F68">
        <w:rPr>
          <w:rFonts w:ascii="Times New Roman" w:hAnsi="Times New Roman" w:cs="Times New Roman"/>
        </w:rPr>
        <w:t>ausią lizingo rinką turi Estija, jos portfelis siekia 1,68 mlrd. eurų.</w:t>
      </w:r>
      <w:r>
        <w:rPr>
          <w:rFonts w:ascii="Times New Roman" w:hAnsi="Times New Roman" w:cs="Times New Roman"/>
        </w:rPr>
        <w:t xml:space="preserve"> Ji 2011 m. </w:t>
      </w:r>
      <w:r w:rsidR="004372DC">
        <w:rPr>
          <w:rFonts w:ascii="Times New Roman" w:hAnsi="Times New Roman" w:cs="Times New Roman"/>
        </w:rPr>
        <w:t xml:space="preserve">nežymiai </w:t>
      </w:r>
      <w:r>
        <w:rPr>
          <w:rFonts w:ascii="Times New Roman" w:hAnsi="Times New Roman" w:cs="Times New Roman"/>
        </w:rPr>
        <w:t>lizingo rinkos dydžiu aplenkė Liet</w:t>
      </w:r>
      <w:r w:rsidR="006D6658">
        <w:rPr>
          <w:rFonts w:ascii="Times New Roman" w:hAnsi="Times New Roman" w:cs="Times New Roman"/>
        </w:rPr>
        <w:t xml:space="preserve">uvą. </w:t>
      </w:r>
      <w:r w:rsidR="00916BB5">
        <w:rPr>
          <w:rFonts w:ascii="Times New Roman" w:hAnsi="Times New Roman" w:cs="Times New Roman"/>
        </w:rPr>
        <w:t xml:space="preserve">Iki tol </w:t>
      </w:r>
      <w:r w:rsidR="009B2E88">
        <w:rPr>
          <w:rFonts w:ascii="Times New Roman" w:hAnsi="Times New Roman" w:cs="Times New Roman"/>
        </w:rPr>
        <w:t xml:space="preserve">visais analizuojamais laikotarpiais </w:t>
      </w:r>
      <w:r w:rsidR="00916BB5">
        <w:rPr>
          <w:rFonts w:ascii="Times New Roman" w:hAnsi="Times New Roman" w:cs="Times New Roman"/>
        </w:rPr>
        <w:t xml:space="preserve">Lietuvos lizingo portfelis buvo didžiausias. Lietuvos lizingo portfelis </w:t>
      </w:r>
      <w:r w:rsidR="004372DC">
        <w:rPr>
          <w:rFonts w:ascii="Times New Roman" w:hAnsi="Times New Roman" w:cs="Times New Roman"/>
        </w:rPr>
        <w:t xml:space="preserve">žiūrint absoliučiais skaičiais </w:t>
      </w:r>
      <w:r w:rsidR="00960D6E">
        <w:rPr>
          <w:rFonts w:ascii="Times New Roman" w:hAnsi="Times New Roman" w:cs="Times New Roman"/>
        </w:rPr>
        <w:t xml:space="preserve">(apie 1 mlrd. eurų) </w:t>
      </w:r>
      <w:r w:rsidR="00916BB5">
        <w:rPr>
          <w:rFonts w:ascii="Times New Roman" w:hAnsi="Times New Roman" w:cs="Times New Roman"/>
        </w:rPr>
        <w:t xml:space="preserve">2006-2007 m. metais augo sparčiausiai, bet po to sekančiais metais ir krito greičiausiai, kas lėmė, kad 2010 m. Lietuva lizingo rinkos dydžiu susilygino su Estija. </w:t>
      </w:r>
      <w:r w:rsidR="006B0F68">
        <w:rPr>
          <w:rFonts w:ascii="Times New Roman" w:hAnsi="Times New Roman" w:cs="Times New Roman"/>
        </w:rPr>
        <w:t>Latvijos lizingo portfelis analizuoj</w:t>
      </w:r>
      <w:r w:rsidR="009D5996">
        <w:rPr>
          <w:rFonts w:ascii="Times New Roman" w:hAnsi="Times New Roman" w:cs="Times New Roman"/>
        </w:rPr>
        <w:t xml:space="preserve">amu laikotarpiu buvo mažiausias. Svarbu pažymėti, kad nors lizingo portfelio dydžiu </w:t>
      </w:r>
      <w:r w:rsidR="009D5996">
        <w:rPr>
          <w:rFonts w:ascii="Times New Roman" w:hAnsi="Times New Roman" w:cs="Times New Roman"/>
        </w:rPr>
        <w:lastRenderedPageBreak/>
        <w:t xml:space="preserve">šalys ir skiriasi, tačiau pats lizingo portfelio kitimas </w:t>
      </w:r>
      <w:r w:rsidR="00960D6E">
        <w:rPr>
          <w:rFonts w:ascii="Times New Roman" w:hAnsi="Times New Roman" w:cs="Times New Roman"/>
        </w:rPr>
        <w:t xml:space="preserve">analizuojamu laikotarpiu </w:t>
      </w:r>
      <w:r w:rsidR="009D5996">
        <w:rPr>
          <w:rFonts w:ascii="Times New Roman" w:hAnsi="Times New Roman" w:cs="Times New Roman"/>
        </w:rPr>
        <w:t>yra pakankamai panašus. 2011 metų pabaigoje visų Baltijos šalių lizingo portfeliai vis dar rodė traukimosi tendenciją.</w:t>
      </w:r>
      <w:r w:rsidR="00552E10">
        <w:rPr>
          <w:rFonts w:ascii="Times New Roman" w:hAnsi="Times New Roman" w:cs="Times New Roman"/>
        </w:rPr>
        <w:t xml:space="preserve"> </w:t>
      </w:r>
      <w:r w:rsidR="009D5996">
        <w:rPr>
          <w:rFonts w:ascii="Times New Roman" w:hAnsi="Times New Roman" w:cs="Times New Roman"/>
        </w:rPr>
        <w:t xml:space="preserve">Bet bendram lizingo portfeliui mažėjant naujai sudaromų sutarčių </w:t>
      </w:r>
      <w:r w:rsidR="004372DC">
        <w:rPr>
          <w:rFonts w:ascii="Times New Roman" w:hAnsi="Times New Roman" w:cs="Times New Roman"/>
        </w:rPr>
        <w:t xml:space="preserve">kiekis gali rodyti ir kitokią kryptį. Būtina paanalizuoti naujai sudaromų sutarčių vertę ir nustatyti ar lizingo rinka Baltijos šalyse rodo atsigavimo ženklus </w:t>
      </w:r>
      <w:r w:rsidR="00960D6E">
        <w:rPr>
          <w:rFonts w:ascii="Times New Roman" w:hAnsi="Times New Roman" w:cs="Times New Roman"/>
        </w:rPr>
        <w:t>ar</w:t>
      </w:r>
      <w:r w:rsidR="004372DC">
        <w:rPr>
          <w:rFonts w:ascii="Times New Roman" w:hAnsi="Times New Roman" w:cs="Times New Roman"/>
        </w:rPr>
        <w:t xml:space="preserve"> ateityje tikėtinas </w:t>
      </w:r>
      <w:r w:rsidR="00960D6E">
        <w:rPr>
          <w:rFonts w:ascii="Times New Roman" w:hAnsi="Times New Roman" w:cs="Times New Roman"/>
        </w:rPr>
        <w:t xml:space="preserve">tolimesnis </w:t>
      </w:r>
      <w:r w:rsidR="004372DC">
        <w:rPr>
          <w:rFonts w:ascii="Times New Roman" w:hAnsi="Times New Roman" w:cs="Times New Roman"/>
        </w:rPr>
        <w:t xml:space="preserve">lizingo portfelio </w:t>
      </w:r>
      <w:r w:rsidR="00960D6E">
        <w:rPr>
          <w:rFonts w:ascii="Times New Roman" w:hAnsi="Times New Roman" w:cs="Times New Roman"/>
        </w:rPr>
        <w:t>traukimasis</w:t>
      </w:r>
      <w:r w:rsidR="004372DC">
        <w:rPr>
          <w:rFonts w:ascii="Times New Roman" w:hAnsi="Times New Roman" w:cs="Times New Roman"/>
        </w:rPr>
        <w:t xml:space="preserve"> </w:t>
      </w:r>
      <w:r w:rsidR="00B253B8">
        <w:rPr>
          <w:rFonts w:ascii="Times New Roman" w:hAnsi="Times New Roman" w:cs="Times New Roman"/>
        </w:rPr>
        <w:t>(žr. 14</w:t>
      </w:r>
      <w:r w:rsidR="00552E10">
        <w:rPr>
          <w:rFonts w:ascii="Times New Roman" w:hAnsi="Times New Roman" w:cs="Times New Roman"/>
        </w:rPr>
        <w:t xml:space="preserve"> pav.).</w:t>
      </w:r>
      <w:r w:rsidR="009D5996">
        <w:rPr>
          <w:rFonts w:ascii="Times New Roman" w:hAnsi="Times New Roman" w:cs="Times New Roman"/>
        </w:rPr>
        <w:t xml:space="preserve"> </w:t>
      </w:r>
    </w:p>
    <w:p w:rsidR="00C578D4" w:rsidRDefault="00C578D4" w:rsidP="004A2C8E">
      <w:pPr>
        <w:tabs>
          <w:tab w:val="left" w:pos="567"/>
          <w:tab w:val="left" w:pos="1134"/>
        </w:tabs>
        <w:spacing w:line="360" w:lineRule="auto"/>
        <w:jc w:val="both"/>
        <w:rPr>
          <w:rFonts w:ascii="Times New Roman" w:hAnsi="Times New Roman" w:cs="Times New Roman"/>
        </w:rPr>
      </w:pPr>
    </w:p>
    <w:p w:rsidR="00552E10" w:rsidRDefault="00552E10" w:rsidP="00C578D4">
      <w:pPr>
        <w:tabs>
          <w:tab w:val="left" w:pos="567"/>
          <w:tab w:val="left" w:pos="1134"/>
        </w:tabs>
        <w:spacing w:line="360" w:lineRule="auto"/>
        <w:jc w:val="center"/>
        <w:rPr>
          <w:rFonts w:ascii="Times New Roman" w:hAnsi="Times New Roman" w:cs="Times New Roman"/>
        </w:rPr>
      </w:pPr>
      <w:r>
        <w:rPr>
          <w:noProof/>
        </w:rPr>
        <w:drawing>
          <wp:inline distT="0" distB="0" distL="0" distR="0" wp14:anchorId="3F5F84E6" wp14:editId="4E7A3549">
            <wp:extent cx="5591175" cy="195262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D5364" w:rsidRDefault="00ED5364" w:rsidP="003B20D6">
      <w:pPr>
        <w:tabs>
          <w:tab w:val="left" w:pos="709"/>
          <w:tab w:val="left" w:pos="851"/>
          <w:tab w:val="left" w:pos="9356"/>
        </w:tabs>
        <w:spacing w:line="360" w:lineRule="auto"/>
        <w:ind w:left="851" w:right="707"/>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bankų asociacijos, Leaseurope, 2011, 2010, 2009, 2008, 2007, Estonian Leasing Association, Latvijas statistika internetinių svetainių duomenis</w:t>
      </w:r>
    </w:p>
    <w:p w:rsidR="00C578D4" w:rsidRDefault="00B253B8" w:rsidP="00ED5364">
      <w:pPr>
        <w:pStyle w:val="Paveikslai"/>
        <w:ind w:left="851"/>
        <w:jc w:val="left"/>
      </w:pPr>
      <w:bookmarkStart w:id="31" w:name="_Toc343459685"/>
      <w:r w:rsidRPr="00B253B8">
        <w:t>14</w:t>
      </w:r>
      <w:r w:rsidR="00C578D4" w:rsidRPr="00B253B8">
        <w:t xml:space="preserve"> </w:t>
      </w:r>
      <w:r w:rsidR="007603C0">
        <w:t>pav</w:t>
      </w:r>
      <w:r w:rsidR="00C578D4" w:rsidRPr="00B253B8">
        <w:t>.</w:t>
      </w:r>
      <w:r w:rsidR="00C578D4">
        <w:t xml:space="preserve"> Naujai pasirašytų</w:t>
      </w:r>
      <w:r w:rsidR="00C578D4" w:rsidRPr="00CA4B5B">
        <w:t xml:space="preserve"> </w:t>
      </w:r>
      <w:r w:rsidR="00C578D4">
        <w:t xml:space="preserve">lizingo </w:t>
      </w:r>
      <w:r w:rsidR="00C578D4" w:rsidRPr="00CA4B5B">
        <w:t xml:space="preserve">sutarčių vertė </w:t>
      </w:r>
      <w:r w:rsidR="00C578D4">
        <w:t>Baltijos šalyse</w:t>
      </w:r>
      <w:bookmarkEnd w:id="31"/>
    </w:p>
    <w:p w:rsidR="00C578D4" w:rsidRPr="004A2C8E" w:rsidRDefault="00C578D4" w:rsidP="00C578D4">
      <w:pPr>
        <w:tabs>
          <w:tab w:val="left" w:pos="567"/>
          <w:tab w:val="left" w:pos="1134"/>
        </w:tabs>
        <w:spacing w:line="360" w:lineRule="auto"/>
        <w:jc w:val="center"/>
        <w:rPr>
          <w:rFonts w:ascii="Times New Roman" w:hAnsi="Times New Roman" w:cs="Times New Roman"/>
        </w:rPr>
      </w:pPr>
    </w:p>
    <w:p w:rsidR="004A2C8E" w:rsidRDefault="004A2C8E" w:rsidP="00735AF5">
      <w:pPr>
        <w:tabs>
          <w:tab w:val="left" w:pos="567"/>
          <w:tab w:val="left" w:pos="1134"/>
        </w:tabs>
        <w:spacing w:line="360" w:lineRule="auto"/>
        <w:jc w:val="both"/>
        <w:rPr>
          <w:rFonts w:ascii="Times New Roman" w:hAnsi="Times New Roman" w:cs="Times New Roman"/>
        </w:rPr>
      </w:pPr>
      <w:r>
        <w:rPr>
          <w:rFonts w:ascii="Times New Roman" w:hAnsi="Times New Roman" w:cs="Times New Roman"/>
          <w:b/>
        </w:rPr>
        <w:tab/>
      </w:r>
      <w:r w:rsidR="00735AF5">
        <w:rPr>
          <w:rFonts w:ascii="Times New Roman" w:hAnsi="Times New Roman" w:cs="Times New Roman"/>
        </w:rPr>
        <w:t xml:space="preserve">Analizuojant naujai pasirašomų sutarčių vertę Baltijos šalyse, matomos kiek kitokios tendencijos negu stebint lizingo portfelį. Jeigu lizingo portfelis vis dar traukiasi, tai naujai pasirašomų lizingo sutarčių vertė nuo </w:t>
      </w:r>
      <w:r w:rsidR="00A75755">
        <w:rPr>
          <w:rFonts w:ascii="Times New Roman" w:hAnsi="Times New Roman" w:cs="Times New Roman"/>
        </w:rPr>
        <w:t>2010</w:t>
      </w:r>
      <w:r w:rsidR="00735AF5">
        <w:rPr>
          <w:rFonts w:ascii="Times New Roman" w:hAnsi="Times New Roman" w:cs="Times New Roman"/>
        </w:rPr>
        <w:t xml:space="preserve"> m. rodo augimą visose šalyse. </w:t>
      </w:r>
      <w:r w:rsidR="00A75755">
        <w:rPr>
          <w:rFonts w:ascii="Times New Roman" w:hAnsi="Times New Roman" w:cs="Times New Roman"/>
        </w:rPr>
        <w:t xml:space="preserve">Žinoma, šis augimas artimiausiais metais lizingo portfelio didėjimo </w:t>
      </w:r>
      <w:r w:rsidR="0055508D">
        <w:rPr>
          <w:rFonts w:ascii="Times New Roman" w:hAnsi="Times New Roman" w:cs="Times New Roman"/>
        </w:rPr>
        <w:t xml:space="preserve">gali ir </w:t>
      </w:r>
      <w:r w:rsidR="00A75755">
        <w:rPr>
          <w:rFonts w:ascii="Times New Roman" w:hAnsi="Times New Roman" w:cs="Times New Roman"/>
        </w:rPr>
        <w:t xml:space="preserve">neįtakoti, nes per metus priklausomai nuo šalies naujų sutarčių pasirašoma tik už 0,5-0,7 mlrd. eurų. </w:t>
      </w:r>
      <w:r w:rsidR="00F774FF">
        <w:rPr>
          <w:rFonts w:ascii="Times New Roman" w:hAnsi="Times New Roman" w:cs="Times New Roman"/>
        </w:rPr>
        <w:t>Dar 2006 m. naujai pasirašomų sutarčių vertė buvo daugiau negu du kartus didesnė.</w:t>
      </w:r>
      <w:r w:rsidR="00A75755">
        <w:rPr>
          <w:rFonts w:ascii="Times New Roman" w:hAnsi="Times New Roman" w:cs="Times New Roman"/>
        </w:rPr>
        <w:t xml:space="preserve"> </w:t>
      </w:r>
      <w:r w:rsidR="00F774FF">
        <w:rPr>
          <w:rFonts w:ascii="Times New Roman" w:hAnsi="Times New Roman" w:cs="Times New Roman"/>
        </w:rPr>
        <w:t xml:space="preserve">Taip pat galima pastebėti, kad </w:t>
      </w:r>
      <w:r w:rsidR="00C1775B">
        <w:rPr>
          <w:rFonts w:ascii="Times New Roman" w:hAnsi="Times New Roman" w:cs="Times New Roman"/>
        </w:rPr>
        <w:t xml:space="preserve">kaip ir lizingo portfelio atveju, Lietuva ir naujai pasirašytų sutarčių verte </w:t>
      </w:r>
      <w:r w:rsidR="00266D01">
        <w:rPr>
          <w:rFonts w:ascii="Times New Roman" w:hAnsi="Times New Roman" w:cs="Times New Roman"/>
        </w:rPr>
        <w:t xml:space="preserve">buvo lydere tarp Baltijos šalių 2006-2008 m. laikotarpiu. 2007 m. Lietuvos naujai pasirašytų sutarčių vertė buvo net 0,8 mlrd. eurų didesnė negu Latvijoje ir 1,2 mlrd. eurų negu Estijoje. Tačiau finansiniai neramumai pasaulyje Lietuvai smogė skaudžiausiai: naujai pasirašomų sutarčių vertė nuo aukščiausio taško sumažėjo 2,32 mlrd. eurų, kai atitinkamai Latvijoje 1,55 mlrd. eurų, o Estijoje tik 1,1 mlrd. eurų. </w:t>
      </w:r>
      <w:r w:rsidR="003D14A6">
        <w:rPr>
          <w:rFonts w:ascii="Times New Roman" w:hAnsi="Times New Roman" w:cs="Times New Roman"/>
        </w:rPr>
        <w:t>Toks smukimas lėmė, kad šiuo metu Estija pirmauja pagal n</w:t>
      </w:r>
      <w:r w:rsidR="00CD7067">
        <w:rPr>
          <w:rFonts w:ascii="Times New Roman" w:hAnsi="Times New Roman" w:cs="Times New Roman"/>
        </w:rPr>
        <w:t xml:space="preserve">aujai pasirašytų sutarčių vertę, </w:t>
      </w:r>
      <w:r w:rsidR="003D14A6">
        <w:rPr>
          <w:rFonts w:ascii="Times New Roman" w:hAnsi="Times New Roman" w:cs="Times New Roman"/>
        </w:rPr>
        <w:t xml:space="preserve">Lietuva žengia antra, Latvija labai netoli trečia. </w:t>
      </w:r>
      <w:r w:rsidR="00417631">
        <w:rPr>
          <w:rFonts w:ascii="Times New Roman" w:hAnsi="Times New Roman" w:cs="Times New Roman"/>
        </w:rPr>
        <w:t>Svarbu pažymėti, kad po nuosmukio naujai pasirašomų sutarčių vertė Baltijos šalyse yra labai panaši, kai iki tol skirtumas buvo pakankamai ženklus.</w:t>
      </w:r>
    </w:p>
    <w:p w:rsidR="00226F81" w:rsidRDefault="004B7512" w:rsidP="00162915">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EF5EA3">
        <w:rPr>
          <w:rFonts w:ascii="Times New Roman" w:hAnsi="Times New Roman" w:cs="Times New Roman"/>
        </w:rPr>
        <w:t xml:space="preserve">Palyginus Lietuvos lizingo rinką su Baltijos kaimynėmis, galiausiai apžvelgsiu kaip Lietuvos lizingo rinka atrodo pasauliniame kontekste. Žinoma, Lietuvos lizingo rinkos lyginimas absoliučiais skaičiais nebūtų tikslingas įvertinant skirtingus ekonomikų pajėgumus ir dydžius. Savaime </w:t>
      </w:r>
      <w:r w:rsidR="00EF5EA3">
        <w:rPr>
          <w:rFonts w:ascii="Times New Roman" w:hAnsi="Times New Roman" w:cs="Times New Roman"/>
        </w:rPr>
        <w:lastRenderedPageBreak/>
        <w:t xml:space="preserve">suprantama, kad JAV, Vokietijos ar kurios kitos ekonomikos milžinės lizingo rinka bus didesnė. Todėl Lietuvos </w:t>
      </w:r>
      <w:r w:rsidR="00D23093">
        <w:rPr>
          <w:rFonts w:ascii="Times New Roman" w:hAnsi="Times New Roman" w:cs="Times New Roman"/>
        </w:rPr>
        <w:t xml:space="preserve">palyginimą </w:t>
      </w:r>
      <w:r w:rsidR="00EF5EA3">
        <w:rPr>
          <w:rFonts w:ascii="Times New Roman" w:hAnsi="Times New Roman" w:cs="Times New Roman"/>
        </w:rPr>
        <w:t xml:space="preserve">su kitomis pasaulio šalimis atliksiu vertindamas lizingo rinkos paplitimą ekonomikoje. </w:t>
      </w:r>
      <w:r w:rsidR="008A2094">
        <w:rPr>
          <w:rFonts w:ascii="Times New Roman" w:hAnsi="Times New Roman" w:cs="Times New Roman"/>
        </w:rPr>
        <w:t>Anot Kichler ir Haiss (2009</w:t>
      </w:r>
      <w:r w:rsidR="00D23093">
        <w:rPr>
          <w:rFonts w:ascii="Times New Roman" w:hAnsi="Times New Roman" w:cs="Times New Roman"/>
        </w:rPr>
        <w:t>) lizingo rinkos paplitimo rodiklis parodo kiek lizingas yra svarbus ekonomikai</w:t>
      </w:r>
      <w:r w:rsidR="00E6507B">
        <w:rPr>
          <w:rFonts w:ascii="Times New Roman" w:hAnsi="Times New Roman" w:cs="Times New Roman"/>
        </w:rPr>
        <w:t xml:space="preserve"> bei kokią dalį joje sudaro. Šis rodiklis apskaičiuojamas šalies lizingo portfelį dalijant iš b</w:t>
      </w:r>
      <w:r w:rsidR="00953E4B">
        <w:rPr>
          <w:rFonts w:ascii="Times New Roman" w:hAnsi="Times New Roman" w:cs="Times New Roman"/>
        </w:rPr>
        <w:t>endrojo vidaus produkto ir dažniausiai pateikiamas procentine išraiška.</w:t>
      </w:r>
      <w:r w:rsidR="00B0426A">
        <w:rPr>
          <w:rFonts w:ascii="Times New Roman" w:hAnsi="Times New Roman" w:cs="Times New Roman"/>
        </w:rPr>
        <w:t xml:space="preserve"> </w:t>
      </w:r>
      <w:r w:rsidR="006D30AE">
        <w:rPr>
          <w:rFonts w:ascii="Times New Roman" w:hAnsi="Times New Roman" w:cs="Times New Roman"/>
        </w:rPr>
        <w:t xml:space="preserve">Pagal šį rodiklį Lietuvos lizingo rinka lyginama su dešimt didžiausių lizingo rinkų </w:t>
      </w:r>
      <w:r w:rsidR="00290E8D">
        <w:rPr>
          <w:rFonts w:ascii="Times New Roman" w:hAnsi="Times New Roman" w:cs="Times New Roman"/>
        </w:rPr>
        <w:t xml:space="preserve">pagal naujai sudaromų sutarčių vertę </w:t>
      </w:r>
      <w:r w:rsidR="006D30AE">
        <w:rPr>
          <w:rFonts w:ascii="Times New Roman" w:hAnsi="Times New Roman" w:cs="Times New Roman"/>
        </w:rPr>
        <w:t xml:space="preserve">pasaulyje, taip pat Baltijos kaimynėmis, neseniai Europos Sąjungą papildžiusiomis Rumunija bei Bulgarija bei su Europos vidurkiu. </w:t>
      </w:r>
      <w:r w:rsidR="00B0426A">
        <w:rPr>
          <w:rFonts w:ascii="Times New Roman" w:hAnsi="Times New Roman" w:cs="Times New Roman"/>
        </w:rPr>
        <w:t>At</w:t>
      </w:r>
      <w:r w:rsidR="00834A33">
        <w:rPr>
          <w:rFonts w:ascii="Times New Roman" w:hAnsi="Times New Roman" w:cs="Times New Roman"/>
        </w:rPr>
        <w:t>likti skaičiavimai pateikiami 15</w:t>
      </w:r>
      <w:r w:rsidR="00B0426A">
        <w:rPr>
          <w:rFonts w:ascii="Times New Roman" w:hAnsi="Times New Roman" w:cs="Times New Roman"/>
        </w:rPr>
        <w:t xml:space="preserve"> paveiksle.</w:t>
      </w:r>
    </w:p>
    <w:p w:rsidR="006D30AE" w:rsidRDefault="006D30AE" w:rsidP="00162915">
      <w:pPr>
        <w:tabs>
          <w:tab w:val="left" w:pos="567"/>
          <w:tab w:val="left" w:pos="1134"/>
        </w:tabs>
        <w:spacing w:line="360" w:lineRule="auto"/>
        <w:jc w:val="both"/>
        <w:rPr>
          <w:rFonts w:ascii="Times New Roman" w:hAnsi="Times New Roman" w:cs="Times New Roman"/>
        </w:rPr>
      </w:pPr>
      <w:r w:rsidRPr="00E819D0">
        <w:rPr>
          <w:noProof/>
        </w:rPr>
        <mc:AlternateContent>
          <mc:Choice Requires="wps">
            <w:drawing>
              <wp:anchor distT="0" distB="0" distL="114300" distR="114300" simplePos="0" relativeHeight="251657216" behindDoc="0" locked="0" layoutInCell="1" allowOverlap="1" wp14:anchorId="415B012B" wp14:editId="5B48ABAE">
                <wp:simplePos x="0" y="0"/>
                <wp:positionH relativeFrom="column">
                  <wp:posOffset>299720</wp:posOffset>
                </wp:positionH>
                <wp:positionV relativeFrom="paragraph">
                  <wp:posOffset>461645</wp:posOffset>
                </wp:positionV>
                <wp:extent cx="533400" cy="1962150"/>
                <wp:effectExtent l="0" t="0" r="0" b="0"/>
                <wp:wrapNone/>
                <wp:docPr id="24"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962150"/>
                        </a:xfrm>
                        <a:prstGeom prst="rect">
                          <a:avLst/>
                        </a:prstGeom>
                        <a:noFill/>
                        <a:ln w="9525" cmpd="sng">
                          <a:noFill/>
                        </a:ln>
                        <a:effectLst/>
                      </wps:spPr>
                      <wps:txbx>
                        <w:txbxContent>
                          <w:p w:rsidR="0041099D" w:rsidRPr="000D3985" w:rsidRDefault="0041099D" w:rsidP="003816B4">
                            <w:pPr>
                              <w:pStyle w:val="NormalWeb"/>
                              <w:spacing w:before="0" w:beforeAutospacing="0" w:after="0" w:afterAutospacing="0"/>
                              <w:jc w:val="center"/>
                              <w:rPr>
                                <w:b/>
                                <w:sz w:val="20"/>
                                <w:szCs w:val="20"/>
                                <w:lang w:val="en-US"/>
                              </w:rPr>
                            </w:pPr>
                            <w:r w:rsidRPr="000D3985">
                              <w:rPr>
                                <w:rFonts w:ascii="Calibri" w:eastAsia="+mn-ea" w:hAnsi="Calibri" w:cs="+mn-cs"/>
                                <w:b/>
                                <w:color w:val="000000"/>
                                <w:sz w:val="20"/>
                                <w:szCs w:val="20"/>
                              </w:rPr>
                              <w:t xml:space="preserve">Lizingo rinkos ir bendrojo vidaus produkto santykis, </w:t>
                            </w:r>
                            <w:r w:rsidRPr="000D3985">
                              <w:rPr>
                                <w:rFonts w:ascii="Calibri" w:eastAsia="+mn-ea" w:hAnsi="Calibri" w:cs="+mn-cs"/>
                                <w:b/>
                                <w:color w:val="000000"/>
                                <w:sz w:val="20"/>
                                <w:szCs w:val="20"/>
                                <w:lang w:val="en-US"/>
                              </w:rPr>
                              <w:t>%</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_x0000_s1175" type="#_x0000_t202" style="position:absolute;left:0;text-align:left;margin-left:23.6pt;margin-top:36.35pt;width:42pt;height:1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" filled="f" stroked="f">
                <v:path arrowok="t"/>
                <v:textbox style="layout-flow:vertical;mso-layout-flow-alt:bottom-to-top">
                  <w:txbxContent>
                    <w:p w:rsidR="0041099D" w:rsidRPr="000D3985" w:rsidRDefault="0041099D" w:rsidP="003816B4">
                      <w:pPr>
                        <w:pStyle w:val="NormalWeb"/>
                        <w:spacing w:before="0" w:beforeAutospacing="0" w:after="0" w:afterAutospacing="0"/>
                        <w:jc w:val="center"/>
                        <w:rPr>
                          <w:b/>
                          <w:sz w:val="20"/>
                          <w:szCs w:val="20"/>
                          <w:lang w:val="en-US"/>
                        </w:rPr>
                      </w:pPr>
                      <w:r w:rsidRPr="000D3985">
                        <w:rPr>
                          <w:rFonts w:ascii="Calibri" w:eastAsia="+mn-ea" w:hAnsi="Calibri" w:cs="+mn-cs"/>
                          <w:b/>
                          <w:color w:val="000000"/>
                          <w:sz w:val="20"/>
                          <w:szCs w:val="20"/>
                        </w:rPr>
                        <w:t xml:space="preserve">Lizingo rinkos ir bendrojo vidaus produkto santykis, </w:t>
                      </w:r>
                      <w:r w:rsidRPr="000D3985">
                        <w:rPr>
                          <w:rFonts w:ascii="Calibri" w:eastAsia="+mn-ea" w:hAnsi="Calibri" w:cs="+mn-cs"/>
                          <w:b/>
                          <w:color w:val="000000"/>
                          <w:sz w:val="20"/>
                          <w:szCs w:val="20"/>
                          <w:lang w:val="en-US"/>
                        </w:rPr>
                        <w:t>%</w:t>
                      </w:r>
                    </w:p>
                  </w:txbxContent>
                </v:textbox>
              </v:shape>
            </w:pict>
          </mc:Fallback>
        </mc:AlternateContent>
      </w:r>
    </w:p>
    <w:p w:rsidR="00ED5364" w:rsidRDefault="001768DD" w:rsidP="003B20D6">
      <w:pPr>
        <w:pStyle w:val="Paveikslai"/>
        <w:ind w:left="709" w:right="707"/>
        <w:jc w:val="both"/>
        <w:rPr>
          <w:sz w:val="20"/>
          <w:szCs w:val="20"/>
        </w:rPr>
      </w:pPr>
      <w:bookmarkStart w:id="32" w:name="_Toc343459686"/>
      <w:r w:rsidRPr="00ED5364">
        <w:rPr>
          <w:noProof/>
        </w:rPr>
        <w:drawing>
          <wp:anchor distT="0" distB="0" distL="114300" distR="114300" simplePos="0" relativeHeight="251655168" behindDoc="0" locked="0" layoutInCell="1" allowOverlap="1" wp14:anchorId="61D93F6C" wp14:editId="6662F643">
            <wp:simplePos x="0" y="0"/>
            <wp:positionH relativeFrom="column">
              <wp:posOffset>690245</wp:posOffset>
            </wp:positionH>
            <wp:positionV relativeFrom="paragraph">
              <wp:posOffset>25400</wp:posOffset>
            </wp:positionV>
            <wp:extent cx="4924425" cy="2976563"/>
            <wp:effectExtent l="0" t="0" r="0" b="0"/>
            <wp:wrapTopAndBottom/>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r w:rsidR="00ED5364" w:rsidRPr="00ED5364">
        <w:rPr>
          <w:sz w:val="20"/>
          <w:szCs w:val="20"/>
        </w:rPr>
        <w:t>Šaltinis:</w:t>
      </w:r>
      <w:r w:rsidR="00ED5364" w:rsidRPr="00ED5364">
        <w:rPr>
          <w:b w:val="0"/>
          <w:sz w:val="20"/>
          <w:szCs w:val="20"/>
        </w:rPr>
        <w:t xml:space="preserve"> Sudaryta pagal Lietuvos bankų asociacijos, Leaseurope 2011, 2010, 2009, 2008, 2007, Estonian Leasing Association, Latvijas statistika, Datosmacro internetinių svetainių duomenis, White (2012</w:t>
      </w:r>
      <w:r w:rsidR="00ED5364">
        <w:rPr>
          <w:sz w:val="20"/>
          <w:szCs w:val="20"/>
        </w:rPr>
        <w:t>)</w:t>
      </w:r>
      <w:bookmarkEnd w:id="32"/>
    </w:p>
    <w:p w:rsidR="00CC584F" w:rsidRDefault="00834A33" w:rsidP="00924B1F">
      <w:pPr>
        <w:pStyle w:val="Paveikslai"/>
      </w:pPr>
      <w:bookmarkStart w:id="33" w:name="_Toc343459687"/>
      <w:r>
        <w:t>15</w:t>
      </w:r>
      <w:r w:rsidR="001768DD" w:rsidRPr="001768DD">
        <w:t xml:space="preserve"> </w:t>
      </w:r>
      <w:r w:rsidR="007603C0">
        <w:t>pav</w:t>
      </w:r>
      <w:r w:rsidR="001768DD" w:rsidRPr="001768DD">
        <w:t>.</w:t>
      </w:r>
      <w:r w:rsidR="001768DD">
        <w:t xml:space="preserve"> </w:t>
      </w:r>
      <w:r w:rsidR="001768DD" w:rsidRPr="001768DD">
        <w:t>Lizingo rinkos ir bendrojo vidaus produkto santykis pasaulyje 2010 m.</w:t>
      </w:r>
      <w:bookmarkEnd w:id="33"/>
    </w:p>
    <w:p w:rsidR="00952E13" w:rsidRDefault="00952E13" w:rsidP="00952E13">
      <w:pPr>
        <w:tabs>
          <w:tab w:val="left" w:pos="709"/>
          <w:tab w:val="left" w:pos="1134"/>
        </w:tabs>
        <w:spacing w:line="360" w:lineRule="auto"/>
        <w:rPr>
          <w:rFonts w:ascii="Times New Roman" w:hAnsi="Times New Roman" w:cs="Times New Roman"/>
        </w:rPr>
      </w:pPr>
    </w:p>
    <w:p w:rsidR="00ED2750" w:rsidRDefault="00952E13" w:rsidP="006D30AE">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6D30AE">
        <w:rPr>
          <w:rFonts w:ascii="Times New Roman" w:hAnsi="Times New Roman" w:cs="Times New Roman"/>
        </w:rPr>
        <w:t xml:space="preserve">Kaip iš pateiktos diagramos matome, Lietuvoje lizingo portfelio ir BVP santykis siekia 6,38 </w:t>
      </w:r>
      <w:r w:rsidR="006D30AE">
        <w:rPr>
          <w:rFonts w:ascii="Times New Roman" w:hAnsi="Times New Roman" w:cs="Times New Roman"/>
          <w:lang w:val="en-US"/>
        </w:rPr>
        <w:t>%</w:t>
      </w:r>
      <w:r w:rsidR="009C7302">
        <w:rPr>
          <w:rFonts w:ascii="Times New Roman" w:hAnsi="Times New Roman" w:cs="Times New Roman"/>
        </w:rPr>
        <w:t xml:space="preserve">. Lyginant su valstybėmis, kurios 2010 m. pirmavo pasaulyje pagal </w:t>
      </w:r>
      <w:r w:rsidR="00B445D2">
        <w:rPr>
          <w:rFonts w:ascii="Times New Roman" w:hAnsi="Times New Roman" w:cs="Times New Roman"/>
        </w:rPr>
        <w:t>naujai pasirašomų sutarčių vertę</w:t>
      </w:r>
      <w:r w:rsidR="009C7302">
        <w:rPr>
          <w:rFonts w:ascii="Times New Roman" w:hAnsi="Times New Roman" w:cs="Times New Roman"/>
        </w:rPr>
        <w:t>, tai antras didžiausias lizingo rinkos paplitimo rodiklis po Italijos</w:t>
      </w:r>
      <w:r w:rsidR="000E54F5">
        <w:rPr>
          <w:rFonts w:ascii="Times New Roman" w:hAnsi="Times New Roman" w:cs="Times New Roman"/>
        </w:rPr>
        <w:t>.</w:t>
      </w:r>
      <w:r w:rsidR="009C7302">
        <w:rPr>
          <w:rFonts w:ascii="Times New Roman" w:hAnsi="Times New Roman" w:cs="Times New Roman"/>
        </w:rPr>
        <w:t xml:space="preserve"> P</w:t>
      </w:r>
      <w:r w:rsidR="006D30AE">
        <w:rPr>
          <w:rFonts w:ascii="Times New Roman" w:hAnsi="Times New Roman" w:cs="Times New Roman"/>
        </w:rPr>
        <w:t>akankamai didelis santykis parodo, kad lizingo paslauga yra svarbi Lietuvos ekonomikai ir būtina atli</w:t>
      </w:r>
      <w:r w:rsidR="003A0889">
        <w:rPr>
          <w:rFonts w:ascii="Times New Roman" w:hAnsi="Times New Roman" w:cs="Times New Roman"/>
        </w:rPr>
        <w:t>kti analizę kokią įtaką lizingo rinka</w:t>
      </w:r>
      <w:r w:rsidR="006D30AE">
        <w:rPr>
          <w:rFonts w:ascii="Times New Roman" w:hAnsi="Times New Roman" w:cs="Times New Roman"/>
        </w:rPr>
        <w:t xml:space="preserve"> daro Lietuvos e</w:t>
      </w:r>
      <w:r w:rsidR="000E54F5">
        <w:rPr>
          <w:rFonts w:ascii="Times New Roman" w:hAnsi="Times New Roman" w:cs="Times New Roman"/>
        </w:rPr>
        <w:t xml:space="preserve">konomikai. </w:t>
      </w:r>
    </w:p>
    <w:p w:rsidR="00D63E37" w:rsidRDefault="00ED2750" w:rsidP="006D30AE">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t xml:space="preserve">Aiški lyderė iš nagrinėjamų šalių pagal BVP ir lizingo portfelio santykį yra Estija. Joje šis santykis siekia virš 12 procentų. Estija jau keletą metų yra viena lyderių pagal šį rodiklį. Kichler ir Haiss (2009) </w:t>
      </w:r>
      <w:r w:rsidR="00B60872">
        <w:rPr>
          <w:rFonts w:ascii="Times New Roman" w:hAnsi="Times New Roman" w:cs="Times New Roman"/>
        </w:rPr>
        <w:t xml:space="preserve">tokias tendencijas aiškina didesniu nei kitose šalyse užsienio kapitalo bankų paplitimu, kurie siekia šiai rinkai pateikti kuo įvairesnius finansavimo sprendimus bei, siekiant pagerinti bankų likvidumo rodiklius, aktyviai siūlo lizingo paslaugą. </w:t>
      </w:r>
    </w:p>
    <w:p w:rsidR="00BF2B84" w:rsidRDefault="00B60872" w:rsidP="006D30AE">
      <w:pPr>
        <w:tabs>
          <w:tab w:val="left" w:pos="567"/>
          <w:tab w:val="left" w:pos="1134"/>
        </w:tabs>
        <w:spacing w:line="360" w:lineRule="auto"/>
        <w:jc w:val="both"/>
        <w:rPr>
          <w:rFonts w:ascii="Times New Roman" w:hAnsi="Times New Roman" w:cs="Times New Roman"/>
        </w:rPr>
      </w:pPr>
      <w:r>
        <w:rPr>
          <w:rFonts w:ascii="Times New Roman" w:hAnsi="Times New Roman" w:cs="Times New Roman"/>
        </w:rPr>
        <w:lastRenderedPageBreak/>
        <w:tab/>
        <w:t xml:space="preserve">Taip pat pastebima aiški tendencija, kad </w:t>
      </w:r>
      <w:r w:rsidR="00B42EFB">
        <w:rPr>
          <w:rFonts w:ascii="Times New Roman" w:hAnsi="Times New Roman" w:cs="Times New Roman"/>
        </w:rPr>
        <w:t>daugumoje šalių</w:t>
      </w:r>
      <w:r>
        <w:rPr>
          <w:rFonts w:ascii="Times New Roman" w:hAnsi="Times New Roman" w:cs="Times New Roman"/>
        </w:rPr>
        <w:t>, kurios užima didžiausią lizingo rinką pasaulyje</w:t>
      </w:r>
      <w:r w:rsidR="00F83D1E">
        <w:rPr>
          <w:rFonts w:ascii="Times New Roman" w:hAnsi="Times New Roman" w:cs="Times New Roman"/>
        </w:rPr>
        <w:t xml:space="preserve"> pagal naujai sudaromų sutarčių vertę</w:t>
      </w:r>
      <w:r w:rsidR="00BF2B84">
        <w:rPr>
          <w:rFonts w:ascii="Times New Roman" w:hAnsi="Times New Roman" w:cs="Times New Roman"/>
        </w:rPr>
        <w:t>,</w:t>
      </w:r>
      <w:r>
        <w:rPr>
          <w:rFonts w:ascii="Times New Roman" w:hAnsi="Times New Roman" w:cs="Times New Roman"/>
        </w:rPr>
        <w:t xml:space="preserve"> lizingo ir </w:t>
      </w:r>
      <w:r w:rsidR="00666462">
        <w:rPr>
          <w:rFonts w:ascii="Times New Roman" w:hAnsi="Times New Roman" w:cs="Times New Roman"/>
        </w:rPr>
        <w:t xml:space="preserve">valstybės </w:t>
      </w:r>
      <w:r>
        <w:rPr>
          <w:rFonts w:ascii="Times New Roman" w:hAnsi="Times New Roman" w:cs="Times New Roman"/>
        </w:rPr>
        <w:t xml:space="preserve">bendrojo vidaus produkto santykis yra pakankamai žemas. Taigi šioms ekonomikoms, nors lizingo rinkos pasauliniu mastu didžiausios, lizingas didelės įtakos neturi. </w:t>
      </w:r>
    </w:p>
    <w:p w:rsidR="00BF2B84" w:rsidRDefault="00BF2B84" w:rsidP="006D30AE">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t xml:space="preserve">Galiausiai lyginant Europos lizingo rinkos paplitimą su JAV, matome, </w:t>
      </w:r>
      <w:r w:rsidR="003225FD">
        <w:rPr>
          <w:rFonts w:ascii="Times New Roman" w:hAnsi="Times New Roman" w:cs="Times New Roman"/>
        </w:rPr>
        <w:t xml:space="preserve">kad </w:t>
      </w:r>
      <w:r w:rsidR="00117A61">
        <w:rPr>
          <w:rFonts w:ascii="Times New Roman" w:hAnsi="Times New Roman" w:cs="Times New Roman"/>
        </w:rPr>
        <w:t>Europos rodiklis aukštesnis</w:t>
      </w:r>
      <w:r>
        <w:rPr>
          <w:rFonts w:ascii="Times New Roman" w:hAnsi="Times New Roman" w:cs="Times New Roman"/>
        </w:rPr>
        <w:t xml:space="preserve">. Taigi galime teigti, kad Europos šalių ekonomikoms lizingo </w:t>
      </w:r>
      <w:r w:rsidR="00F83D1E">
        <w:rPr>
          <w:rFonts w:ascii="Times New Roman" w:hAnsi="Times New Roman" w:cs="Times New Roman"/>
        </w:rPr>
        <w:t>rinka</w:t>
      </w:r>
      <w:r>
        <w:rPr>
          <w:rFonts w:ascii="Times New Roman" w:hAnsi="Times New Roman" w:cs="Times New Roman"/>
        </w:rPr>
        <w:t xml:space="preserve"> turi didesnę reikšmę nei Jungtinėms Amerikos Valstijoms.</w:t>
      </w:r>
    </w:p>
    <w:p w:rsidR="00DE3977" w:rsidRDefault="000D3985" w:rsidP="006202EB">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224875">
        <w:rPr>
          <w:rFonts w:ascii="Times New Roman" w:hAnsi="Times New Roman" w:cs="Times New Roman"/>
        </w:rPr>
        <w:t>Apibendrinant</w:t>
      </w:r>
      <w:r w:rsidR="00137624">
        <w:rPr>
          <w:rFonts w:ascii="Times New Roman" w:hAnsi="Times New Roman" w:cs="Times New Roman"/>
        </w:rPr>
        <w:t xml:space="preserve"> galima teigti, kad </w:t>
      </w:r>
      <w:r w:rsidR="006202EB">
        <w:rPr>
          <w:rFonts w:ascii="Times New Roman" w:hAnsi="Times New Roman" w:cs="Times New Roman"/>
        </w:rPr>
        <w:t xml:space="preserve">tiek Europa, tiek ir Lietuva </w:t>
      </w:r>
      <w:r w:rsidR="00E52BD9">
        <w:rPr>
          <w:rFonts w:ascii="Times New Roman" w:hAnsi="Times New Roman" w:cs="Times New Roman"/>
        </w:rPr>
        <w:t xml:space="preserve">dėl </w:t>
      </w:r>
      <w:r w:rsidR="00027451">
        <w:rPr>
          <w:rFonts w:ascii="Times New Roman" w:hAnsi="Times New Roman" w:cs="Times New Roman"/>
        </w:rPr>
        <w:t xml:space="preserve">neigiamų </w:t>
      </w:r>
      <w:r w:rsidR="00E52BD9">
        <w:rPr>
          <w:rFonts w:ascii="Times New Roman" w:hAnsi="Times New Roman" w:cs="Times New Roman"/>
        </w:rPr>
        <w:t>pasaulinių finansinių tendencijų</w:t>
      </w:r>
      <w:r w:rsidR="006202EB">
        <w:rPr>
          <w:rFonts w:ascii="Times New Roman" w:hAnsi="Times New Roman" w:cs="Times New Roman"/>
        </w:rPr>
        <w:t xml:space="preserve"> prarado tikrai nemažai. Iki 2010 m. Europos lizingo rinka </w:t>
      </w:r>
      <w:r w:rsidR="003A0889">
        <w:rPr>
          <w:rFonts w:ascii="Times New Roman" w:hAnsi="Times New Roman" w:cs="Times New Roman"/>
        </w:rPr>
        <w:t xml:space="preserve">pagal naujai sudaromų sutarčių vertę </w:t>
      </w:r>
      <w:r w:rsidR="006202EB">
        <w:rPr>
          <w:rFonts w:ascii="Times New Roman" w:hAnsi="Times New Roman" w:cs="Times New Roman"/>
        </w:rPr>
        <w:t>buvo didžiausia pasaulyje ir buvo gerokai didesnė už antroje vietoje žengusią Šiaurės Amerikos rinką. Lietuva iki 2009 m. turėjusi didžiausią lizingo portfelį bei pasirašydavusi daugiausiai naujų sutarčių per metus lyginant su kitomis Baltijos šalimis, šią poziciją prarado. Europą finansinių neramumų laikotarpiu pasivijo ir net aplenkė Šiau</w:t>
      </w:r>
      <w:r w:rsidR="003225FD">
        <w:rPr>
          <w:rFonts w:ascii="Times New Roman" w:hAnsi="Times New Roman" w:cs="Times New Roman"/>
        </w:rPr>
        <w:t>rės Ameriką</w:t>
      </w:r>
      <w:r w:rsidR="006202EB">
        <w:rPr>
          <w:rFonts w:ascii="Times New Roman" w:hAnsi="Times New Roman" w:cs="Times New Roman"/>
        </w:rPr>
        <w:t>, Lietuvą ištiko toks pats likimas, ji buvo aplenkta Estijos, su Latvija skirtumas</w:t>
      </w:r>
      <w:r w:rsidR="00781A43">
        <w:rPr>
          <w:rFonts w:ascii="Times New Roman" w:hAnsi="Times New Roman" w:cs="Times New Roman"/>
        </w:rPr>
        <w:t xml:space="preserve"> šiuo metu yra labai nedidelis. Visų Baltijos šalių lizingo portfelis traukiasi, bet teigiamai nuteikiantis veiksnys yra didėjanti naujai pasirašomų sutarčių vertė per metus. </w:t>
      </w:r>
      <w:r w:rsidR="00321DBF">
        <w:rPr>
          <w:rFonts w:ascii="Times New Roman" w:hAnsi="Times New Roman" w:cs="Times New Roman"/>
        </w:rPr>
        <w:t xml:space="preserve">Lyginant Lietuvos lizingo rinkos santykį su bendruoju šalies bendruoju vidaus </w:t>
      </w:r>
      <w:r w:rsidR="008137D2">
        <w:rPr>
          <w:rFonts w:ascii="Times New Roman" w:hAnsi="Times New Roman" w:cs="Times New Roman"/>
        </w:rPr>
        <w:t>produktu, pastabėta, kad Lietuvoje šis santykis yra aukštas</w:t>
      </w:r>
      <w:r w:rsidR="00742182">
        <w:rPr>
          <w:rFonts w:ascii="Times New Roman" w:hAnsi="Times New Roman" w:cs="Times New Roman"/>
        </w:rPr>
        <w:t>.</w:t>
      </w:r>
      <w:r w:rsidR="008137D2">
        <w:rPr>
          <w:rFonts w:ascii="Times New Roman" w:hAnsi="Times New Roman" w:cs="Times New Roman"/>
        </w:rPr>
        <w:t xml:space="preserve"> </w:t>
      </w:r>
      <w:r w:rsidR="00742182">
        <w:rPr>
          <w:rFonts w:ascii="Times New Roman" w:hAnsi="Times New Roman" w:cs="Times New Roman"/>
        </w:rPr>
        <w:t>Lyginant su valstybėmis, kurios 2010 m. pirmavo pasaulyje pagal naujai pasirašomų sutarčių vertę, tai antras didžiausias lizingo rinkos paplitimo rodiklis</w:t>
      </w:r>
      <w:r w:rsidR="008137D2">
        <w:rPr>
          <w:rFonts w:ascii="Times New Roman" w:hAnsi="Times New Roman" w:cs="Times New Roman"/>
        </w:rPr>
        <w:t xml:space="preserve">. </w:t>
      </w:r>
      <w:r w:rsidR="00742182">
        <w:rPr>
          <w:rFonts w:ascii="Times New Roman" w:hAnsi="Times New Roman" w:cs="Times New Roman"/>
        </w:rPr>
        <w:t>Šis</w:t>
      </w:r>
      <w:r w:rsidR="008137D2">
        <w:rPr>
          <w:rFonts w:ascii="Times New Roman" w:hAnsi="Times New Roman" w:cs="Times New Roman"/>
        </w:rPr>
        <w:t xml:space="preserve"> santykis rodo pakankamai didelę lizingo </w:t>
      </w:r>
      <w:r w:rsidR="009F1012">
        <w:rPr>
          <w:rFonts w:ascii="Times New Roman" w:hAnsi="Times New Roman" w:cs="Times New Roman"/>
        </w:rPr>
        <w:t xml:space="preserve">paslaugos </w:t>
      </w:r>
      <w:r w:rsidR="008137D2">
        <w:rPr>
          <w:rFonts w:ascii="Times New Roman" w:hAnsi="Times New Roman" w:cs="Times New Roman"/>
        </w:rPr>
        <w:t>reikšmę Lietuvos ekonomikai.</w:t>
      </w:r>
      <w:r w:rsidR="009F1012">
        <w:rPr>
          <w:rFonts w:ascii="Times New Roman" w:hAnsi="Times New Roman" w:cs="Times New Roman"/>
        </w:rPr>
        <w:t xml:space="preserve"> Latvijoje ir Estijoje lizingo paslauga yra dar svarbesnė, šios šalys Lietuvą lenkia pagal lizingo paplitimo ekonomikoje rodiklį.</w:t>
      </w:r>
    </w:p>
    <w:p w:rsidR="00DE3977" w:rsidRDefault="00DE3977">
      <w:pPr>
        <w:spacing w:after="200" w:line="276" w:lineRule="auto"/>
        <w:rPr>
          <w:rFonts w:ascii="Times New Roman" w:hAnsi="Times New Roman" w:cs="Times New Roman"/>
        </w:rPr>
      </w:pPr>
      <w:r>
        <w:rPr>
          <w:rFonts w:ascii="Times New Roman" w:hAnsi="Times New Roman" w:cs="Times New Roman"/>
        </w:rPr>
        <w:br w:type="page"/>
      </w:r>
    </w:p>
    <w:p w:rsidR="00DE3977" w:rsidRDefault="00DE3977" w:rsidP="00DE3977">
      <w:pPr>
        <w:spacing w:line="276" w:lineRule="auto"/>
        <w:rPr>
          <w:rFonts w:ascii="Times New Roman" w:hAnsi="Times New Roman" w:cs="Times New Roman"/>
        </w:rPr>
      </w:pPr>
    </w:p>
    <w:p w:rsidR="000D3985" w:rsidRDefault="00DE3977" w:rsidP="00DE3977">
      <w:pPr>
        <w:pStyle w:val="Heading1"/>
        <w:spacing w:before="0"/>
      </w:pPr>
      <w:bookmarkStart w:id="34" w:name="_Toc343517974"/>
      <w:r>
        <w:t>LIZINGO RINKOS ĮTAKOS LIETUVOS EKONOMIKAI ĮVERTINIMAS</w:t>
      </w:r>
      <w:bookmarkEnd w:id="34"/>
    </w:p>
    <w:p w:rsidR="00DE3977" w:rsidRDefault="00DE3977" w:rsidP="00DE3977">
      <w:pPr>
        <w:rPr>
          <w:rFonts w:ascii="Times New Roman" w:hAnsi="Times New Roman" w:cs="Times New Roman"/>
        </w:rPr>
      </w:pPr>
    </w:p>
    <w:p w:rsidR="00DE3977" w:rsidRDefault="00DE3977" w:rsidP="00DE3977">
      <w:pPr>
        <w:pStyle w:val="Heading2"/>
      </w:pPr>
      <w:bookmarkStart w:id="35" w:name="_Toc343517975"/>
      <w:r>
        <w:t>Lizingo rinkos įtakos Lietuvos bendrajam vidaus produktui įvertinimas</w:t>
      </w:r>
      <w:bookmarkEnd w:id="35"/>
    </w:p>
    <w:p w:rsidR="00DE3977" w:rsidRDefault="00DE3977" w:rsidP="00DE3977">
      <w:pPr>
        <w:rPr>
          <w:rFonts w:ascii="Times New Roman" w:hAnsi="Times New Roman" w:cs="Times New Roman"/>
        </w:rPr>
      </w:pPr>
    </w:p>
    <w:p w:rsidR="00DE3977" w:rsidRDefault="00DE3977" w:rsidP="00DE3977">
      <w:pPr>
        <w:spacing w:line="360" w:lineRule="auto"/>
        <w:ind w:firstLine="567"/>
        <w:jc w:val="both"/>
        <w:rPr>
          <w:rFonts w:ascii="Times New Roman" w:hAnsi="Times New Roman" w:cs="Times New Roman"/>
        </w:rPr>
      </w:pPr>
      <w:r>
        <w:rPr>
          <w:rFonts w:ascii="Times New Roman" w:hAnsi="Times New Roman" w:cs="Times New Roman"/>
        </w:rPr>
        <w:t xml:space="preserve">Remiantis antrame skyriuje sudarytu modeliu, pereiname prie antrojo </w:t>
      </w:r>
      <w:r w:rsidR="00B253B8" w:rsidRPr="00B253B8">
        <w:rPr>
          <w:rFonts w:ascii="Times New Roman" w:hAnsi="Times New Roman" w:cs="Times New Roman"/>
        </w:rPr>
        <w:t xml:space="preserve">siekiant įvertinti lizingo rinkos įtaką Lietuvos ekonomikai </w:t>
      </w:r>
      <w:r>
        <w:rPr>
          <w:rFonts w:ascii="Times New Roman" w:hAnsi="Times New Roman" w:cs="Times New Roman"/>
        </w:rPr>
        <w:t>etapo – k</w:t>
      </w:r>
      <w:r w:rsidR="00B253B8">
        <w:rPr>
          <w:rFonts w:ascii="Times New Roman" w:hAnsi="Times New Roman" w:cs="Times New Roman"/>
        </w:rPr>
        <w:t>oreliacinės regresinės analizės.</w:t>
      </w:r>
      <w:r>
        <w:rPr>
          <w:rFonts w:ascii="Times New Roman" w:hAnsi="Times New Roman" w:cs="Times New Roman"/>
        </w:rPr>
        <w:t xml:space="preserve"> </w:t>
      </w:r>
      <w:r w:rsidR="00B253B8">
        <w:rPr>
          <w:rFonts w:ascii="Times New Roman" w:hAnsi="Times New Roman" w:cs="Times New Roman"/>
        </w:rPr>
        <w:t xml:space="preserve">Pirmame šio skyriaus poskyryje analizuojama lizingo rinkos įtaka Lietuvos bendrajam vidaus produktui, kuris kaip jau buvo rašyta, daugelio ekonomistų įvardijamas kaip vienas svarbiausių ekonomiką ir jos būklę atspindinčių veiksnių. Prieš atliekant koreliacinę regresinę analizę, apžvelgiama, kaip analizuojamu laikotarpiui kito Lietuvos lizingo </w:t>
      </w:r>
      <w:r w:rsidR="00277FD0">
        <w:rPr>
          <w:rFonts w:ascii="Times New Roman" w:hAnsi="Times New Roman" w:cs="Times New Roman"/>
        </w:rPr>
        <w:t>por</w:t>
      </w:r>
      <w:r w:rsidR="005376C7">
        <w:rPr>
          <w:rFonts w:ascii="Times New Roman" w:hAnsi="Times New Roman" w:cs="Times New Roman"/>
        </w:rPr>
        <w:t>t</w:t>
      </w:r>
      <w:r w:rsidR="00277FD0">
        <w:rPr>
          <w:rFonts w:ascii="Times New Roman" w:hAnsi="Times New Roman" w:cs="Times New Roman"/>
        </w:rPr>
        <w:t>felis</w:t>
      </w:r>
      <w:r w:rsidR="00B253B8">
        <w:rPr>
          <w:rFonts w:ascii="Times New Roman" w:hAnsi="Times New Roman" w:cs="Times New Roman"/>
        </w:rPr>
        <w:t xml:space="preserve"> bei bendrojo vidaus produkto apimtys, taip pat pateikiama kaip kito santykis tarp lizingo </w:t>
      </w:r>
      <w:r w:rsidR="00277FD0">
        <w:rPr>
          <w:rFonts w:ascii="Times New Roman" w:hAnsi="Times New Roman" w:cs="Times New Roman"/>
        </w:rPr>
        <w:t>portfelio</w:t>
      </w:r>
      <w:r w:rsidR="00B253B8">
        <w:rPr>
          <w:rFonts w:ascii="Times New Roman" w:hAnsi="Times New Roman" w:cs="Times New Roman"/>
        </w:rPr>
        <w:t xml:space="preserve"> bei BVP</w:t>
      </w:r>
      <w:r w:rsidR="00245F81">
        <w:rPr>
          <w:rFonts w:ascii="Times New Roman" w:hAnsi="Times New Roman" w:cs="Times New Roman"/>
        </w:rPr>
        <w:t>, kuris</w:t>
      </w:r>
      <w:r w:rsidR="00B253B8">
        <w:rPr>
          <w:rFonts w:ascii="Times New Roman" w:hAnsi="Times New Roman" w:cs="Times New Roman"/>
        </w:rPr>
        <w:t xml:space="preserve"> </w:t>
      </w:r>
      <w:r w:rsidR="00834A33">
        <w:rPr>
          <w:rFonts w:ascii="Times New Roman" w:hAnsi="Times New Roman" w:cs="Times New Roman"/>
        </w:rPr>
        <w:t xml:space="preserve">kitaip dar vadinamas lizingo rinkos paplitimo ekonomikoje rodikliu </w:t>
      </w:r>
      <w:r w:rsidR="00B253B8">
        <w:rPr>
          <w:rFonts w:ascii="Times New Roman" w:hAnsi="Times New Roman" w:cs="Times New Roman"/>
        </w:rPr>
        <w:t xml:space="preserve">(žr. </w:t>
      </w:r>
      <w:r w:rsidR="00834A33">
        <w:rPr>
          <w:rFonts w:ascii="Times New Roman" w:hAnsi="Times New Roman" w:cs="Times New Roman"/>
        </w:rPr>
        <w:t>16 pav.).</w:t>
      </w:r>
    </w:p>
    <w:p w:rsidR="00277FD0" w:rsidRDefault="00277FD0" w:rsidP="00DE3977">
      <w:pPr>
        <w:spacing w:line="360" w:lineRule="auto"/>
        <w:ind w:firstLine="567"/>
        <w:jc w:val="both"/>
        <w:rPr>
          <w:rFonts w:ascii="Times New Roman" w:hAnsi="Times New Roman" w:cs="Times New Roman"/>
        </w:rPr>
      </w:pPr>
    </w:p>
    <w:p w:rsidR="00277FD0" w:rsidRDefault="00277FD0" w:rsidP="00EF02C0">
      <w:pPr>
        <w:spacing w:line="360" w:lineRule="auto"/>
        <w:ind w:left="2596" w:hanging="2596"/>
        <w:jc w:val="center"/>
        <w:rPr>
          <w:rFonts w:ascii="Times New Roman" w:hAnsi="Times New Roman" w:cs="Times New Roman"/>
        </w:rPr>
      </w:pPr>
      <w:r>
        <w:rPr>
          <w:noProof/>
        </w:rPr>
        <w:drawing>
          <wp:inline distT="0" distB="0" distL="0" distR="0" wp14:anchorId="51482EA0" wp14:editId="59317DE6">
            <wp:extent cx="5762625" cy="268605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E84547" w:rsidRDefault="00E84547" w:rsidP="00217F21">
      <w:pPr>
        <w:spacing w:line="360" w:lineRule="auto"/>
        <w:ind w:left="567" w:right="565"/>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statistikos departamento prie Lietuvos Vyriausybės, Lietuvos bankų asociacijos svetainių duomenis</w:t>
      </w:r>
    </w:p>
    <w:p w:rsidR="00277FD0" w:rsidRDefault="00277FD0" w:rsidP="00217F21">
      <w:pPr>
        <w:pStyle w:val="Paveikslai"/>
      </w:pPr>
      <w:bookmarkStart w:id="36" w:name="_Toc343459688"/>
      <w:r w:rsidRPr="00277FD0">
        <w:t xml:space="preserve">16 </w:t>
      </w:r>
      <w:r w:rsidR="007603C0">
        <w:t>pav</w:t>
      </w:r>
      <w:r w:rsidRPr="00277FD0">
        <w:t>.</w:t>
      </w:r>
      <w:r>
        <w:t xml:space="preserve"> </w:t>
      </w:r>
      <w:r w:rsidR="00224875">
        <w:t>Lietuvos l</w:t>
      </w:r>
      <w:r w:rsidRPr="00277FD0">
        <w:t xml:space="preserve">izingo portfelio, </w:t>
      </w:r>
      <w:r>
        <w:t>bendrojo vidaus produkto</w:t>
      </w:r>
      <w:r w:rsidRPr="00277FD0">
        <w:t xml:space="preserve">, lizingo rinkos paplitimo ekonomikoje rodiklio pokytis 1998-2011 </w:t>
      </w:r>
      <w:r>
        <w:t>m.</w:t>
      </w:r>
      <w:bookmarkEnd w:id="36"/>
    </w:p>
    <w:p w:rsidR="00277FD0" w:rsidRDefault="00277FD0" w:rsidP="00277FD0">
      <w:pPr>
        <w:spacing w:line="360" w:lineRule="auto"/>
        <w:jc w:val="center"/>
        <w:rPr>
          <w:rFonts w:ascii="Times New Roman" w:hAnsi="Times New Roman" w:cs="Times New Roman"/>
        </w:rPr>
      </w:pPr>
    </w:p>
    <w:p w:rsidR="009B3424" w:rsidRDefault="00277FD0" w:rsidP="00BE1D11">
      <w:pPr>
        <w:tabs>
          <w:tab w:val="left" w:pos="567"/>
        </w:tabs>
        <w:spacing w:line="360" w:lineRule="auto"/>
        <w:jc w:val="both"/>
        <w:rPr>
          <w:rFonts w:ascii="Times New Roman" w:hAnsi="Times New Roman" w:cs="Times New Roman"/>
        </w:rPr>
      </w:pPr>
      <w:r>
        <w:rPr>
          <w:rFonts w:ascii="Times New Roman" w:hAnsi="Times New Roman" w:cs="Times New Roman"/>
        </w:rPr>
        <w:tab/>
        <w:t xml:space="preserve">Kaip iš pateiktos diagramos matome, </w:t>
      </w:r>
      <w:r w:rsidR="00BE1D11">
        <w:rPr>
          <w:rFonts w:ascii="Times New Roman" w:hAnsi="Times New Roman" w:cs="Times New Roman"/>
        </w:rPr>
        <w:t xml:space="preserve">tiek lizingo portfelis, tiek šalies BVP 1999 – 2008 m. rodė pakankamai stabilų didėjimą. Lizingo portfelis kasmet augo vidutiniškai po 40 procentų, tuo tarpu BVP kiekvienas metais </w:t>
      </w:r>
      <w:r w:rsidR="00B50468">
        <w:rPr>
          <w:rFonts w:ascii="Times New Roman" w:hAnsi="Times New Roman" w:cs="Times New Roman"/>
        </w:rPr>
        <w:t>didėjo</w:t>
      </w:r>
      <w:r w:rsidR="00BE1D11">
        <w:rPr>
          <w:rFonts w:ascii="Times New Roman" w:hAnsi="Times New Roman" w:cs="Times New Roman"/>
        </w:rPr>
        <w:t xml:space="preserve"> apie 12 procentų. 2009</w:t>
      </w:r>
      <w:r w:rsidR="00B50468">
        <w:rPr>
          <w:rFonts w:ascii="Times New Roman" w:hAnsi="Times New Roman" w:cs="Times New Roman"/>
        </w:rPr>
        <w:t xml:space="preserve"> m. tiek lizingo portfelis, tiek Lietuvos BVP susitraukė atitinkamai 31 ir 18 procentų. Pastaraisiais dviem metais lizingo portfelio ir BVP kryptys išsiskyrė, jeigu BVP 2010 – 2011 m. pradėjo augti, tai Lietuvos lizingo portfelis vis dar traukiasi. Toks pasikeitimas iš dalies verčia suabejoti lizingo rinkos įtaka šalies ekonomikai. Tačiau interpretuojant tokią situ</w:t>
      </w:r>
      <w:r w:rsidR="00C343F6">
        <w:rPr>
          <w:rFonts w:ascii="Times New Roman" w:hAnsi="Times New Roman" w:cs="Times New Roman"/>
        </w:rPr>
        <w:t>aciją įmanoma</w:t>
      </w:r>
      <w:r w:rsidR="00334B70">
        <w:rPr>
          <w:rFonts w:ascii="Times New Roman" w:hAnsi="Times New Roman" w:cs="Times New Roman"/>
        </w:rPr>
        <w:t>s</w:t>
      </w:r>
      <w:r w:rsidR="00C343F6">
        <w:rPr>
          <w:rFonts w:ascii="Times New Roman" w:hAnsi="Times New Roman" w:cs="Times New Roman"/>
        </w:rPr>
        <w:t xml:space="preserve"> ir </w:t>
      </w:r>
      <w:r w:rsidR="008008C4">
        <w:rPr>
          <w:rFonts w:ascii="Times New Roman" w:hAnsi="Times New Roman" w:cs="Times New Roman"/>
        </w:rPr>
        <w:t>toks variantas</w:t>
      </w:r>
      <w:r w:rsidR="00C343F6">
        <w:rPr>
          <w:rFonts w:ascii="Times New Roman" w:hAnsi="Times New Roman" w:cs="Times New Roman"/>
        </w:rPr>
        <w:t xml:space="preserve">, kad </w:t>
      </w:r>
      <w:r w:rsidR="009B3424">
        <w:rPr>
          <w:rFonts w:ascii="Times New Roman" w:hAnsi="Times New Roman" w:cs="Times New Roman"/>
        </w:rPr>
        <w:t xml:space="preserve">tiesiog </w:t>
      </w:r>
      <w:r w:rsidR="00C343F6">
        <w:rPr>
          <w:rFonts w:ascii="Times New Roman" w:hAnsi="Times New Roman" w:cs="Times New Roman"/>
        </w:rPr>
        <w:t xml:space="preserve">lizingo paslaugos reikšmė Lietuvos ekonomikai </w:t>
      </w:r>
      <w:r w:rsidR="00C343F6">
        <w:rPr>
          <w:rFonts w:ascii="Times New Roman" w:hAnsi="Times New Roman" w:cs="Times New Roman"/>
        </w:rPr>
        <w:lastRenderedPageBreak/>
        <w:t xml:space="preserve">sumažėjo. Tokią poziciją iš dalies patvirtintų ir lizingo rinkos paplitimo rodiklis. Iki 2007 metų jis didėjo ir pasiekė savo aukščiausią tašką. Tuo metu jis siekė beveik 11 procentų. Nuo tada lizingo rinkos santykis su BVP stabiliai mažėja ir 2011 m. pabaigoje siekia truputį daugiau nei 5 </w:t>
      </w:r>
      <w:r w:rsidR="00C343F6">
        <w:rPr>
          <w:rFonts w:ascii="Times New Roman" w:hAnsi="Times New Roman" w:cs="Times New Roman"/>
          <w:lang w:val="en-US"/>
        </w:rPr>
        <w:t>%</w:t>
      </w:r>
      <w:r w:rsidR="00C343F6">
        <w:rPr>
          <w:rFonts w:ascii="Times New Roman" w:hAnsi="Times New Roman" w:cs="Times New Roman"/>
        </w:rPr>
        <w:t xml:space="preserve">. </w:t>
      </w:r>
    </w:p>
    <w:p w:rsidR="00863B4E" w:rsidRDefault="009B3424" w:rsidP="00F778A8">
      <w:pPr>
        <w:tabs>
          <w:tab w:val="left" w:pos="567"/>
        </w:tabs>
        <w:spacing w:line="360" w:lineRule="auto"/>
        <w:jc w:val="both"/>
        <w:rPr>
          <w:rFonts w:ascii="Times New Roman" w:hAnsi="Times New Roman" w:cs="Times New Roman"/>
        </w:rPr>
      </w:pPr>
      <w:r>
        <w:rPr>
          <w:rFonts w:ascii="Times New Roman" w:hAnsi="Times New Roman" w:cs="Times New Roman"/>
        </w:rPr>
        <w:tab/>
      </w:r>
      <w:r w:rsidR="005041E2">
        <w:rPr>
          <w:rFonts w:ascii="Times New Roman" w:hAnsi="Times New Roman" w:cs="Times New Roman"/>
        </w:rPr>
        <w:t>Ta</w:t>
      </w:r>
      <w:r w:rsidR="00571FE5">
        <w:rPr>
          <w:rFonts w:ascii="Times New Roman" w:hAnsi="Times New Roman" w:cs="Times New Roman"/>
        </w:rPr>
        <w:t>igi vertinant diagramą tikslesne</w:t>
      </w:r>
      <w:r w:rsidR="005041E2">
        <w:rPr>
          <w:rFonts w:ascii="Times New Roman" w:hAnsi="Times New Roman" w:cs="Times New Roman"/>
        </w:rPr>
        <w:t xml:space="preserve">s išvadas apie lizingo rinkos daromą įtaką </w:t>
      </w:r>
      <w:r w:rsidR="009446E9">
        <w:rPr>
          <w:rFonts w:ascii="Times New Roman" w:hAnsi="Times New Roman" w:cs="Times New Roman"/>
        </w:rPr>
        <w:t>bendrajam vidaus produktui ir visai Lietuvos ekonomikai</w:t>
      </w:r>
      <w:r w:rsidR="005041E2">
        <w:rPr>
          <w:rFonts w:ascii="Times New Roman" w:hAnsi="Times New Roman" w:cs="Times New Roman"/>
        </w:rPr>
        <w:t xml:space="preserve"> pateikti būtų labai sudėtinga. Todėl, kaip ir minėta anksčiau, bus atliekama koreliacinė regresinė </w:t>
      </w:r>
      <w:r w:rsidR="00E34DD5">
        <w:rPr>
          <w:rFonts w:ascii="Times New Roman" w:hAnsi="Times New Roman" w:cs="Times New Roman"/>
        </w:rPr>
        <w:t xml:space="preserve">lizingo rinkos ir BVP </w:t>
      </w:r>
      <w:r w:rsidR="00B728DF">
        <w:rPr>
          <w:rFonts w:ascii="Times New Roman" w:hAnsi="Times New Roman" w:cs="Times New Roman"/>
        </w:rPr>
        <w:t xml:space="preserve">analizė. </w:t>
      </w:r>
      <w:r w:rsidR="007B7B01">
        <w:rPr>
          <w:rFonts w:ascii="Times New Roman" w:hAnsi="Times New Roman" w:cs="Times New Roman"/>
        </w:rPr>
        <w:t>Kaip ir rašyta darbo metodikoje a</w:t>
      </w:r>
      <w:r w:rsidR="001512B0">
        <w:rPr>
          <w:rFonts w:ascii="Times New Roman" w:hAnsi="Times New Roman" w:cs="Times New Roman"/>
        </w:rPr>
        <w:t>ps</w:t>
      </w:r>
      <w:r w:rsidR="00B728DF">
        <w:rPr>
          <w:rFonts w:ascii="Times New Roman" w:hAnsi="Times New Roman" w:cs="Times New Roman"/>
        </w:rPr>
        <w:t>kaičiuoja</w:t>
      </w:r>
      <w:r w:rsidR="00F778A8">
        <w:rPr>
          <w:rFonts w:ascii="Times New Roman" w:hAnsi="Times New Roman" w:cs="Times New Roman"/>
        </w:rPr>
        <w:t xml:space="preserve">mas koreliacijos koeficientas, t kriterijus, t kritinė reikšmė, F kriterijus, F kritinė reikšmė, determinacijos koeficientas bei gaunami regresinės lygties </w:t>
      </w:r>
      <w:r w:rsidR="00D06B36">
        <w:rPr>
          <w:rFonts w:ascii="Times New Roman" w:hAnsi="Times New Roman" w:cs="Times New Roman"/>
        </w:rPr>
        <w:t>kintamieji</w:t>
      </w:r>
      <w:r w:rsidR="00F778A8">
        <w:rPr>
          <w:rFonts w:ascii="Times New Roman" w:hAnsi="Times New Roman" w:cs="Times New Roman"/>
        </w:rPr>
        <w:t xml:space="preserve"> (žr. 4 lent</w:t>
      </w:r>
      <w:r w:rsidR="00E172B5">
        <w:rPr>
          <w:rFonts w:ascii="Times New Roman" w:hAnsi="Times New Roman" w:cs="Times New Roman"/>
        </w:rPr>
        <w:t>.</w:t>
      </w:r>
      <w:r w:rsidR="00F778A8">
        <w:rPr>
          <w:rFonts w:ascii="Times New Roman" w:hAnsi="Times New Roman" w:cs="Times New Roman"/>
        </w:rPr>
        <w:t>).</w:t>
      </w:r>
    </w:p>
    <w:p w:rsidR="00F778A8" w:rsidRDefault="00F778A8" w:rsidP="00F778A8">
      <w:pPr>
        <w:tabs>
          <w:tab w:val="left" w:pos="567"/>
        </w:tabs>
        <w:spacing w:line="360" w:lineRule="auto"/>
        <w:jc w:val="both"/>
        <w:rPr>
          <w:rFonts w:ascii="Times New Roman" w:hAnsi="Times New Roman" w:cs="Times New Roman"/>
        </w:rPr>
      </w:pPr>
    </w:p>
    <w:p w:rsidR="00F778A8" w:rsidRPr="00863B4E" w:rsidRDefault="00F778A8" w:rsidP="00924B1F">
      <w:pPr>
        <w:pStyle w:val="Lentels"/>
      </w:pPr>
      <w:bookmarkStart w:id="37" w:name="_Toc343459641"/>
      <w:r w:rsidRPr="00F778A8">
        <w:t>4 lentelė</w:t>
      </w:r>
      <w:r>
        <w:t>. Koreliacinė</w:t>
      </w:r>
      <w:r w:rsidR="00E4256B">
        <w:t>s</w:t>
      </w:r>
      <w:r>
        <w:t xml:space="preserve"> regresinės analizės tarp lizingo rinkos ir BVP atlikimui reikalingi kintamieji</w:t>
      </w:r>
      <w:bookmarkEnd w:id="37"/>
    </w:p>
    <w:tbl>
      <w:tblPr>
        <w:tblStyle w:val="LightGrid-Accent5"/>
        <w:tblW w:w="0" w:type="auto"/>
        <w:tblLook w:val="04A0" w:firstRow="1" w:lastRow="0" w:firstColumn="1" w:lastColumn="0" w:noHBand="0" w:noVBand="1"/>
      </w:tblPr>
      <w:tblGrid>
        <w:gridCol w:w="1406"/>
        <w:gridCol w:w="1193"/>
        <w:gridCol w:w="1119"/>
        <w:gridCol w:w="1194"/>
        <w:gridCol w:w="1119"/>
        <w:gridCol w:w="1683"/>
        <w:gridCol w:w="791"/>
        <w:gridCol w:w="876"/>
        <w:gridCol w:w="756"/>
      </w:tblGrid>
      <w:tr w:rsidR="00F56705" w:rsidTr="000B7E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9" w:type="dxa"/>
          </w:tcPr>
          <w:p w:rsidR="00F56705" w:rsidRPr="000B7E19" w:rsidRDefault="00F56705" w:rsidP="00D06B36">
            <w:pPr>
              <w:spacing w:line="360" w:lineRule="auto"/>
              <w:jc w:val="center"/>
              <w:rPr>
                <w:rFonts w:ascii="Times New Roman" w:hAnsi="Times New Roman" w:cs="Times New Roman"/>
                <w:b w:val="0"/>
              </w:rPr>
            </w:pPr>
            <w:r w:rsidRPr="000B7E19">
              <w:rPr>
                <w:rFonts w:ascii="Times New Roman" w:hAnsi="Times New Roman" w:cs="Times New Roman"/>
                <w:b w:val="0"/>
              </w:rPr>
              <w:t>Koreliacijos koeficientas</w:t>
            </w:r>
          </w:p>
        </w:tc>
        <w:tc>
          <w:tcPr>
            <w:tcW w:w="1212" w:type="dxa"/>
          </w:tcPr>
          <w:p w:rsidR="00F56705" w:rsidRPr="000B7E19" w:rsidRDefault="00F5670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t kriterijus</w:t>
            </w:r>
          </w:p>
        </w:tc>
        <w:tc>
          <w:tcPr>
            <w:tcW w:w="1143" w:type="dxa"/>
          </w:tcPr>
          <w:p w:rsidR="00F56705" w:rsidRPr="000B7E19" w:rsidRDefault="00F5670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t kritinė reikšmė</w:t>
            </w:r>
          </w:p>
        </w:tc>
        <w:tc>
          <w:tcPr>
            <w:tcW w:w="1213" w:type="dxa"/>
          </w:tcPr>
          <w:p w:rsidR="00F56705" w:rsidRPr="000B7E19" w:rsidRDefault="00E172B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F</w:t>
            </w:r>
            <w:r w:rsidR="00F56705" w:rsidRPr="000B7E19">
              <w:rPr>
                <w:rFonts w:ascii="Times New Roman" w:hAnsi="Times New Roman" w:cs="Times New Roman"/>
                <w:b w:val="0"/>
              </w:rPr>
              <w:t xml:space="preserve"> kriterijus</w:t>
            </w:r>
          </w:p>
        </w:tc>
        <w:tc>
          <w:tcPr>
            <w:tcW w:w="1143" w:type="dxa"/>
          </w:tcPr>
          <w:p w:rsidR="00F56705" w:rsidRPr="000B7E19" w:rsidRDefault="00E172B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F</w:t>
            </w:r>
            <w:r w:rsidR="00F56705" w:rsidRPr="000B7E19">
              <w:rPr>
                <w:rFonts w:ascii="Times New Roman" w:hAnsi="Times New Roman" w:cs="Times New Roman"/>
                <w:b w:val="0"/>
              </w:rPr>
              <w:t xml:space="preserve"> kritinė reikšmė</w:t>
            </w:r>
          </w:p>
        </w:tc>
        <w:tc>
          <w:tcPr>
            <w:tcW w:w="1683" w:type="dxa"/>
          </w:tcPr>
          <w:p w:rsidR="00F56705" w:rsidRPr="000B7E19" w:rsidRDefault="00F5670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Determinacijos koeficientas</w:t>
            </w:r>
          </w:p>
        </w:tc>
        <w:tc>
          <w:tcPr>
            <w:tcW w:w="797" w:type="dxa"/>
          </w:tcPr>
          <w:p w:rsidR="00F56705" w:rsidRPr="000B7E19" w:rsidRDefault="00F5670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p</w:t>
            </w:r>
          </w:p>
        </w:tc>
        <w:tc>
          <w:tcPr>
            <w:tcW w:w="803" w:type="dxa"/>
          </w:tcPr>
          <w:p w:rsidR="00F56705" w:rsidRPr="000B7E19" w:rsidRDefault="00F5670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a</w:t>
            </w:r>
            <w:r w:rsidRPr="000B7E19">
              <w:rPr>
                <w:rFonts w:ascii="Times New Roman" w:hAnsi="Times New Roman" w:cs="Times New Roman"/>
                <w:b w:val="0"/>
                <w:vertAlign w:val="subscript"/>
              </w:rPr>
              <w:t>0</w:t>
            </w:r>
          </w:p>
        </w:tc>
        <w:tc>
          <w:tcPr>
            <w:tcW w:w="734" w:type="dxa"/>
          </w:tcPr>
          <w:p w:rsidR="00F56705" w:rsidRPr="000B7E19" w:rsidRDefault="00F56705" w:rsidP="00D06B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a</w:t>
            </w:r>
            <w:r w:rsidRPr="000B7E19">
              <w:rPr>
                <w:rFonts w:ascii="Times New Roman" w:hAnsi="Times New Roman" w:cs="Times New Roman"/>
                <w:b w:val="0"/>
                <w:vertAlign w:val="subscript"/>
              </w:rPr>
              <w:t>1</w:t>
            </w:r>
          </w:p>
        </w:tc>
      </w:tr>
      <w:tr w:rsidR="00F56705" w:rsidTr="000B7E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9" w:type="dxa"/>
          </w:tcPr>
          <w:p w:rsidR="00F56705" w:rsidRPr="000B7E19" w:rsidRDefault="00F56705" w:rsidP="00D06B36">
            <w:pPr>
              <w:spacing w:line="360" w:lineRule="auto"/>
              <w:jc w:val="center"/>
              <w:rPr>
                <w:rFonts w:ascii="Times New Roman" w:hAnsi="Times New Roman" w:cs="Times New Roman"/>
                <w:b w:val="0"/>
              </w:rPr>
            </w:pPr>
            <w:r w:rsidRPr="000B7E19">
              <w:rPr>
                <w:rFonts w:ascii="Times New Roman" w:hAnsi="Times New Roman" w:cs="Times New Roman"/>
                <w:b w:val="0"/>
              </w:rPr>
              <w:t>0,912</w:t>
            </w:r>
          </w:p>
        </w:tc>
        <w:tc>
          <w:tcPr>
            <w:tcW w:w="1212" w:type="dxa"/>
          </w:tcPr>
          <w:p w:rsidR="00F56705" w:rsidRDefault="00F56705" w:rsidP="00D06B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7,717</w:t>
            </w:r>
          </w:p>
        </w:tc>
        <w:tc>
          <w:tcPr>
            <w:tcW w:w="1143" w:type="dxa"/>
          </w:tcPr>
          <w:p w:rsidR="00F56705" w:rsidRDefault="00F56705" w:rsidP="00D06B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1,761</w:t>
            </w:r>
          </w:p>
        </w:tc>
        <w:tc>
          <w:tcPr>
            <w:tcW w:w="1213" w:type="dxa"/>
          </w:tcPr>
          <w:p w:rsidR="00F56705" w:rsidRDefault="00F56705" w:rsidP="00D06B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59,553</w:t>
            </w:r>
          </w:p>
        </w:tc>
        <w:tc>
          <w:tcPr>
            <w:tcW w:w="1143" w:type="dxa"/>
          </w:tcPr>
          <w:p w:rsidR="00F56705" w:rsidRDefault="00E172B5" w:rsidP="00D06B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4,7472</w:t>
            </w:r>
          </w:p>
        </w:tc>
        <w:tc>
          <w:tcPr>
            <w:tcW w:w="1683" w:type="dxa"/>
          </w:tcPr>
          <w:p w:rsidR="00F56705" w:rsidRDefault="00F56705" w:rsidP="00D06B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0,832</w:t>
            </w:r>
          </w:p>
        </w:tc>
        <w:tc>
          <w:tcPr>
            <w:tcW w:w="797" w:type="dxa"/>
          </w:tcPr>
          <w:p w:rsidR="00F56705" w:rsidRDefault="00F56705" w:rsidP="00834A3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0,000</w:t>
            </w:r>
          </w:p>
        </w:tc>
        <w:tc>
          <w:tcPr>
            <w:tcW w:w="803" w:type="dxa"/>
          </w:tcPr>
          <w:p w:rsidR="00F56705" w:rsidRDefault="00F54BA8" w:rsidP="00834A3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43,902</w:t>
            </w:r>
          </w:p>
        </w:tc>
        <w:tc>
          <w:tcPr>
            <w:tcW w:w="734" w:type="dxa"/>
          </w:tcPr>
          <w:p w:rsidR="00F56705" w:rsidRDefault="00F54BA8" w:rsidP="00F5670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6,129</w:t>
            </w:r>
          </w:p>
        </w:tc>
      </w:tr>
    </w:tbl>
    <w:p w:rsidR="00F54BA8" w:rsidRDefault="00217F21" w:rsidP="00162915">
      <w:pPr>
        <w:tabs>
          <w:tab w:val="left" w:pos="567"/>
          <w:tab w:val="left" w:pos="1134"/>
        </w:tabs>
        <w:spacing w:line="360" w:lineRule="auto"/>
        <w:jc w:val="both"/>
        <w:rPr>
          <w:rFonts w:ascii="Times New Roman" w:hAnsi="Times New Roman" w:cs="Times New Roman"/>
          <w:sz w:val="20"/>
          <w:szCs w:val="20"/>
        </w:rPr>
      </w:pPr>
      <w:r w:rsidRPr="00217F21">
        <w:rPr>
          <w:rFonts w:ascii="Times New Roman" w:hAnsi="Times New Roman" w:cs="Times New Roman"/>
          <w:b/>
          <w:sz w:val="20"/>
          <w:szCs w:val="20"/>
        </w:rPr>
        <w:t>Šaltinis</w:t>
      </w:r>
      <w:r>
        <w:rPr>
          <w:rFonts w:ascii="Times New Roman" w:hAnsi="Times New Roman" w:cs="Times New Roman"/>
          <w:b/>
          <w:sz w:val="20"/>
          <w:szCs w:val="20"/>
        </w:rPr>
        <w:t xml:space="preserve">: </w:t>
      </w:r>
      <w:r w:rsidR="003B20D6">
        <w:rPr>
          <w:rFonts w:ascii="Times New Roman" w:hAnsi="Times New Roman" w:cs="Times New Roman"/>
          <w:sz w:val="20"/>
          <w:szCs w:val="20"/>
        </w:rPr>
        <w:t>sudaryta</w:t>
      </w:r>
      <w:r>
        <w:rPr>
          <w:rFonts w:ascii="Times New Roman" w:hAnsi="Times New Roman" w:cs="Times New Roman"/>
          <w:sz w:val="20"/>
          <w:szCs w:val="20"/>
        </w:rPr>
        <w:t xml:space="preserve"> autoriaus</w:t>
      </w:r>
    </w:p>
    <w:p w:rsidR="00217F21" w:rsidRPr="00217F21" w:rsidRDefault="00217F21" w:rsidP="00162915">
      <w:pPr>
        <w:tabs>
          <w:tab w:val="left" w:pos="567"/>
          <w:tab w:val="left" w:pos="1134"/>
        </w:tabs>
        <w:spacing w:line="360" w:lineRule="auto"/>
        <w:jc w:val="both"/>
        <w:rPr>
          <w:rFonts w:ascii="Times New Roman" w:hAnsi="Times New Roman" w:cs="Times New Roman"/>
        </w:rPr>
      </w:pPr>
    </w:p>
    <w:p w:rsidR="00863E8F" w:rsidRDefault="00F54BA8" w:rsidP="00863E8F">
      <w:pPr>
        <w:tabs>
          <w:tab w:val="left" w:pos="567"/>
        </w:tabs>
        <w:spacing w:line="360" w:lineRule="auto"/>
        <w:ind w:firstLine="567"/>
        <w:jc w:val="both"/>
        <w:rPr>
          <w:rFonts w:ascii="Times New Roman" w:hAnsi="Times New Roman" w:cs="Times New Roman"/>
        </w:rPr>
      </w:pPr>
      <w:r>
        <w:rPr>
          <w:rFonts w:ascii="Times New Roman" w:hAnsi="Times New Roman" w:cs="Times New Roman"/>
        </w:rPr>
        <w:t>Iš pateiktos lentelės matome, kad tarp lizingo rinkos ir BVP egzistuoja labai stiprus teigiamas ryšys – koreliacijos koeficientas r</w:t>
      </w:r>
      <w:r>
        <w:rPr>
          <w:rFonts w:ascii="Times New Roman" w:hAnsi="Times New Roman" w:cs="Times New Roman"/>
          <w:lang w:val="en-US"/>
        </w:rPr>
        <w:t>=</w:t>
      </w:r>
      <w:r>
        <w:rPr>
          <w:rFonts w:ascii="Times New Roman" w:hAnsi="Times New Roman" w:cs="Times New Roman"/>
        </w:rPr>
        <w:t xml:space="preserve">0,912. Nulinę hipotezę, kad </w:t>
      </w:r>
      <w:r>
        <w:rPr>
          <w:rFonts w:ascii="Times New Roman" w:hAnsi="Times New Roman" w:cs="Times New Roman"/>
          <w:i/>
        </w:rPr>
        <w:t>koreliacijos koeficientas lygus nuliui</w:t>
      </w:r>
      <w:r>
        <w:rPr>
          <w:rFonts w:ascii="Times New Roman" w:hAnsi="Times New Roman" w:cs="Times New Roman"/>
        </w:rPr>
        <w:t xml:space="preserve"> atmetame, nes apskaičiuota t kriterijaus reikšmė viršija t kritinę reikšmę. Taigi ryšys tarp lizingo rinkos ir BVP yra ir jį galima vadinti statistiškai rei</w:t>
      </w:r>
      <w:r w:rsidR="00E172B5">
        <w:rPr>
          <w:rFonts w:ascii="Times New Roman" w:hAnsi="Times New Roman" w:cs="Times New Roman"/>
        </w:rPr>
        <w:t xml:space="preserve">kšmingu, kitaip tariant didėjant lizingo rinkai BVP taip pat didėja. Toliau lyginant apskaičiuotą </w:t>
      </w:r>
      <w:r w:rsidR="00717C9E">
        <w:rPr>
          <w:rFonts w:ascii="Times New Roman" w:hAnsi="Times New Roman" w:cs="Times New Roman"/>
        </w:rPr>
        <w:t>F kriterijų su F kritine reikšme</w:t>
      </w:r>
      <w:r w:rsidR="00E172B5">
        <w:rPr>
          <w:rFonts w:ascii="Times New Roman" w:hAnsi="Times New Roman" w:cs="Times New Roman"/>
        </w:rPr>
        <w:t xml:space="preserve"> matome, kad apskaičiuotoji reikšmė yra didesnė, tai reiškia, kad lygtį galime sudarinėti ir ji yra adekvati realiai padėčiai</w:t>
      </w:r>
      <w:r w:rsidR="00717C9E">
        <w:rPr>
          <w:rFonts w:ascii="Times New Roman" w:hAnsi="Times New Roman" w:cs="Times New Roman"/>
        </w:rPr>
        <w:t xml:space="preserve">. </w:t>
      </w:r>
      <w:r w:rsidR="00863E8F">
        <w:rPr>
          <w:rFonts w:ascii="Times New Roman" w:hAnsi="Times New Roman" w:cs="Times New Roman"/>
        </w:rPr>
        <w:t xml:space="preserve">Tą patvirtina ir determinacijos koeficientas siekiantis 0,832. Tokia reikšmė parodo, kad 83,2 </w:t>
      </w:r>
      <w:r w:rsidR="00863E8F">
        <w:rPr>
          <w:rFonts w:ascii="Times New Roman" w:hAnsi="Times New Roman" w:cs="Times New Roman"/>
          <w:lang w:val="en-US"/>
        </w:rPr>
        <w:t>%</w:t>
      </w:r>
      <w:r w:rsidR="00863E8F">
        <w:rPr>
          <w:rFonts w:ascii="Times New Roman" w:hAnsi="Times New Roman" w:cs="Times New Roman"/>
        </w:rPr>
        <w:t xml:space="preserve"> BVP kitimo galime paaiškinti lizingo rinkos kitimu. Taigi įvertinus, kad lygtis tinkama ją sudarome</w:t>
      </w:r>
      <w:r w:rsidR="007B7B01">
        <w:rPr>
          <w:rFonts w:ascii="Times New Roman" w:hAnsi="Times New Roman" w:cs="Times New Roman"/>
        </w:rPr>
        <w:t xml:space="preserve"> žr. (9) formulę ir nubraižome diagramą (žr. 17 pav.)</w:t>
      </w:r>
      <w:r w:rsidR="00863E8F">
        <w:rPr>
          <w:rFonts w:ascii="Times New Roman" w:hAnsi="Times New Roman" w:cs="Times New Roman"/>
        </w:rPr>
        <w:t>:</w:t>
      </w:r>
    </w:p>
    <w:p w:rsidR="00863E8F" w:rsidRDefault="00863E8F" w:rsidP="00863E8F">
      <w:pPr>
        <w:tabs>
          <w:tab w:val="left" w:pos="567"/>
        </w:tabs>
        <w:spacing w:line="360" w:lineRule="auto"/>
        <w:ind w:firstLine="567"/>
        <w:jc w:val="both"/>
        <w:rPr>
          <w:rFonts w:ascii="Times New Roman" w:hAnsi="Times New Roman" w:cs="Times New Roman"/>
        </w:rPr>
      </w:pPr>
    </w:p>
    <w:p w:rsidR="00863E8F" w:rsidRDefault="00333216" w:rsidP="00863E8F">
      <w:pPr>
        <w:tabs>
          <w:tab w:val="left" w:pos="567"/>
        </w:tabs>
        <w:spacing w:line="360" w:lineRule="auto"/>
        <w:ind w:firstLine="567"/>
        <w:jc w:val="both"/>
        <w:rPr>
          <w:rFonts w:ascii="Times New Roman" w:hAnsi="Times New Roman" w:cs="Times New Roman"/>
          <w:lang w:val="en-US"/>
        </w:rPr>
      </w:pPr>
      <m:oMath>
        <m:r>
          <m:rPr>
            <m:sty m:val="bi"/>
          </m:rPr>
          <w:rPr>
            <w:rFonts w:ascii="Cambria Math" w:hAnsi="Cambria Math" w:cs="Times New Roman"/>
          </w:rPr>
          <m:t>ŷ</m:t>
        </m:r>
        <m:r>
          <m:rPr>
            <m:sty m:val="bi"/>
          </m:rPr>
          <w:rPr>
            <w:rFonts w:ascii="Cambria Math" w:hAnsi="Cambria Math" w:cs="Times New Roman"/>
            <w:lang w:val="en-US"/>
          </w:rPr>
          <m:t>=43,902+6,129</m:t>
        </m:r>
        <m:r>
          <m:rPr>
            <m:sty m:val="bi"/>
          </m:rPr>
          <w:rPr>
            <w:rFonts w:ascii="Cambria Math" w:hAnsi="Cambria Math" w:cs="Times New Roman"/>
            <w:lang w:val="en-US"/>
          </w:rPr>
          <m:t>x</m:t>
        </m:r>
      </m:oMath>
      <w:r w:rsidR="00863E8F">
        <w:rPr>
          <w:rFonts w:ascii="Times New Roman" w:hAnsi="Times New Roman" w:cs="Times New Roman"/>
          <w:lang w:val="en-US"/>
        </w:rPr>
        <w:tab/>
        <w:t>(9)</w:t>
      </w:r>
    </w:p>
    <w:p w:rsidR="00863E8F" w:rsidRDefault="00863E8F" w:rsidP="00863E8F">
      <w:pPr>
        <w:tabs>
          <w:tab w:val="left" w:pos="567"/>
        </w:tabs>
        <w:spacing w:line="360" w:lineRule="auto"/>
        <w:ind w:firstLine="567"/>
        <w:jc w:val="both"/>
        <w:rPr>
          <w:rFonts w:ascii="Times New Roman" w:hAnsi="Times New Roman" w:cs="Times New Roman"/>
        </w:rPr>
      </w:pPr>
      <w:r>
        <w:rPr>
          <w:rFonts w:ascii="Times New Roman" w:hAnsi="Times New Roman" w:cs="Times New Roman"/>
        </w:rPr>
        <w:t>Čia: ŷ – BVP,</w:t>
      </w:r>
    </w:p>
    <w:p w:rsidR="00863E8F" w:rsidRDefault="00333216" w:rsidP="00333216">
      <w:pPr>
        <w:tabs>
          <w:tab w:val="left" w:pos="567"/>
          <w:tab w:val="left" w:pos="993"/>
        </w:tabs>
        <w:spacing w:line="360" w:lineRule="auto"/>
        <w:ind w:firstLine="567"/>
        <w:jc w:val="both"/>
        <w:rPr>
          <w:rFonts w:ascii="Times New Roman" w:hAnsi="Times New Roman" w:cs="Times New Roman"/>
        </w:rPr>
      </w:pPr>
      <w:r>
        <w:rPr>
          <w:rFonts w:ascii="Times New Roman" w:hAnsi="Times New Roman" w:cs="Times New Roman"/>
          <w:i/>
        </w:rPr>
        <w:tab/>
        <w:t xml:space="preserve"> </w:t>
      </w:r>
      <w:r w:rsidRPr="00333216">
        <w:rPr>
          <w:rFonts w:ascii="Times New Roman" w:hAnsi="Times New Roman" w:cs="Times New Roman"/>
          <w:i/>
        </w:rPr>
        <w:t>x</w:t>
      </w:r>
      <w:r>
        <w:rPr>
          <w:rFonts w:ascii="Times New Roman" w:hAnsi="Times New Roman" w:cs="Times New Roman"/>
          <w:i/>
        </w:rPr>
        <w:t xml:space="preserve"> </w:t>
      </w:r>
      <w:r>
        <w:rPr>
          <w:rFonts w:ascii="Times New Roman" w:hAnsi="Times New Roman" w:cs="Times New Roman"/>
          <w:lang w:val="en-US"/>
        </w:rPr>
        <w:t xml:space="preserve">- </w:t>
      </w:r>
      <w:r>
        <w:rPr>
          <w:rFonts w:ascii="Times New Roman" w:hAnsi="Times New Roman" w:cs="Times New Roman"/>
        </w:rPr>
        <w:t>lizingo portfelio dydis.</w:t>
      </w:r>
    </w:p>
    <w:p w:rsidR="00333216" w:rsidRDefault="00333216" w:rsidP="00333216">
      <w:pPr>
        <w:tabs>
          <w:tab w:val="left" w:pos="567"/>
          <w:tab w:val="left" w:pos="993"/>
        </w:tabs>
        <w:spacing w:line="360" w:lineRule="auto"/>
        <w:ind w:firstLine="567"/>
        <w:jc w:val="both"/>
        <w:rPr>
          <w:rFonts w:ascii="Times New Roman" w:hAnsi="Times New Roman" w:cs="Times New Roman"/>
        </w:rPr>
      </w:pPr>
    </w:p>
    <w:p w:rsidR="00333216" w:rsidRPr="00333216" w:rsidRDefault="00333216" w:rsidP="00333216">
      <w:pPr>
        <w:tabs>
          <w:tab w:val="left" w:pos="567"/>
          <w:tab w:val="left" w:pos="993"/>
        </w:tabs>
        <w:spacing w:line="360" w:lineRule="auto"/>
        <w:ind w:firstLine="567"/>
        <w:jc w:val="both"/>
        <w:rPr>
          <w:rFonts w:ascii="Times New Roman" w:hAnsi="Times New Roman" w:cs="Times New Roman"/>
        </w:rPr>
      </w:pPr>
      <w:r>
        <w:rPr>
          <w:rFonts w:ascii="Times New Roman" w:hAnsi="Times New Roman" w:cs="Times New Roman"/>
        </w:rPr>
        <w:t xml:space="preserve">Gauta lygtis parodo kaip Lietuvos lizingo portfelio dydis įtakoja BVP. Lizingo rinkai išaugus </w:t>
      </w:r>
      <w:r w:rsidR="002E22DF">
        <w:rPr>
          <w:rFonts w:ascii="Times New Roman" w:hAnsi="Times New Roman" w:cs="Times New Roman"/>
        </w:rPr>
        <w:t>1</w:t>
      </w:r>
      <w:r>
        <w:rPr>
          <w:rFonts w:ascii="Times New Roman" w:hAnsi="Times New Roman" w:cs="Times New Roman"/>
        </w:rPr>
        <w:t xml:space="preserve"> </w:t>
      </w:r>
      <w:r w:rsidR="002E22DF">
        <w:rPr>
          <w:rFonts w:ascii="Times New Roman" w:hAnsi="Times New Roman" w:cs="Times New Roman"/>
        </w:rPr>
        <w:t>mlrd</w:t>
      </w:r>
      <w:r>
        <w:rPr>
          <w:rFonts w:ascii="Times New Roman" w:hAnsi="Times New Roman" w:cs="Times New Roman"/>
        </w:rPr>
        <w:t xml:space="preserve">. Lt, Lietuvos BVP padidėtų </w:t>
      </w:r>
      <w:r w:rsidR="002E22DF">
        <w:rPr>
          <w:rFonts w:ascii="Times New Roman" w:hAnsi="Times New Roman" w:cs="Times New Roman"/>
        </w:rPr>
        <w:t>6,129</w:t>
      </w:r>
      <w:r>
        <w:rPr>
          <w:rFonts w:ascii="Times New Roman" w:hAnsi="Times New Roman" w:cs="Times New Roman"/>
        </w:rPr>
        <w:t xml:space="preserve"> </w:t>
      </w:r>
      <w:r w:rsidR="002E22DF">
        <w:rPr>
          <w:rFonts w:ascii="Times New Roman" w:hAnsi="Times New Roman" w:cs="Times New Roman"/>
        </w:rPr>
        <w:t>mlrd</w:t>
      </w:r>
      <w:r>
        <w:rPr>
          <w:rFonts w:ascii="Times New Roman" w:hAnsi="Times New Roman" w:cs="Times New Roman"/>
        </w:rPr>
        <w:t>. Lt. Kaip iš pateiktos lygti</w:t>
      </w:r>
      <w:r w:rsidR="007B7B01">
        <w:rPr>
          <w:rFonts w:ascii="Times New Roman" w:hAnsi="Times New Roman" w:cs="Times New Roman"/>
        </w:rPr>
        <w:t xml:space="preserve">es matome, įtaka yra </w:t>
      </w:r>
      <w:r w:rsidR="00932990">
        <w:rPr>
          <w:rFonts w:ascii="Times New Roman" w:hAnsi="Times New Roman" w:cs="Times New Roman"/>
        </w:rPr>
        <w:t xml:space="preserve">labai </w:t>
      </w:r>
      <w:r w:rsidR="007B7B01">
        <w:rPr>
          <w:rFonts w:ascii="Times New Roman" w:hAnsi="Times New Roman" w:cs="Times New Roman"/>
        </w:rPr>
        <w:t xml:space="preserve">ženkli, lizingo rinkos pokytis svariai nulemia ir BVP didėjimą. </w:t>
      </w:r>
    </w:p>
    <w:p w:rsidR="00863E8F" w:rsidRDefault="007B7B01" w:rsidP="007B7B01">
      <w:pPr>
        <w:tabs>
          <w:tab w:val="left" w:pos="567"/>
        </w:tabs>
        <w:spacing w:line="360" w:lineRule="auto"/>
        <w:jc w:val="center"/>
        <w:rPr>
          <w:rFonts w:ascii="Times New Roman" w:hAnsi="Times New Roman" w:cs="Times New Roman"/>
        </w:rPr>
      </w:pPr>
      <w:r>
        <w:rPr>
          <w:noProof/>
        </w:rPr>
        <w:lastRenderedPageBreak/>
        <w:drawing>
          <wp:inline distT="0" distB="0" distL="0" distR="0" wp14:anchorId="5AB7CF39" wp14:editId="5895A269">
            <wp:extent cx="4686300" cy="2295525"/>
            <wp:effectExtent l="0" t="0" r="0" b="0"/>
            <wp:docPr id="785" name="Chart 78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B20D6" w:rsidRPr="003B20D6" w:rsidRDefault="003B20D6" w:rsidP="003B20D6">
      <w:pPr>
        <w:pStyle w:val="Paveikslai"/>
        <w:ind w:firstLine="1560"/>
        <w:jc w:val="left"/>
        <w:rPr>
          <w:b w:val="0"/>
          <w:sz w:val="20"/>
          <w:szCs w:val="20"/>
        </w:rPr>
      </w:pPr>
      <w:bookmarkStart w:id="38" w:name="_Toc343459689"/>
      <w:r>
        <w:rPr>
          <w:sz w:val="20"/>
          <w:szCs w:val="20"/>
        </w:rPr>
        <w:t xml:space="preserve">Šaltinis: </w:t>
      </w:r>
      <w:r>
        <w:rPr>
          <w:b w:val="0"/>
          <w:sz w:val="20"/>
          <w:szCs w:val="20"/>
        </w:rPr>
        <w:t>sudaryta autoriaus</w:t>
      </w:r>
      <w:bookmarkEnd w:id="38"/>
    </w:p>
    <w:p w:rsidR="007B7B01" w:rsidRPr="007B7B01" w:rsidRDefault="007B7B01" w:rsidP="00924B1F">
      <w:pPr>
        <w:pStyle w:val="Paveikslai"/>
      </w:pPr>
      <w:bookmarkStart w:id="39" w:name="_Toc343459690"/>
      <w:r w:rsidRPr="007B7B01">
        <w:t xml:space="preserve">17 </w:t>
      </w:r>
      <w:r w:rsidR="007603C0">
        <w:t>pav</w:t>
      </w:r>
      <w:r w:rsidRPr="007B7B01">
        <w:t>. Lizingo portfelio ir BVP priklausomybė</w:t>
      </w:r>
      <w:bookmarkEnd w:id="39"/>
    </w:p>
    <w:p w:rsidR="007B7B01" w:rsidRDefault="007B7B01" w:rsidP="00863E8F">
      <w:pPr>
        <w:tabs>
          <w:tab w:val="left" w:pos="567"/>
        </w:tabs>
        <w:spacing w:line="360" w:lineRule="auto"/>
        <w:ind w:firstLine="567"/>
        <w:jc w:val="both"/>
        <w:rPr>
          <w:rFonts w:ascii="Times New Roman" w:hAnsi="Times New Roman" w:cs="Times New Roman"/>
        </w:rPr>
      </w:pPr>
    </w:p>
    <w:p w:rsidR="00863E8F" w:rsidRDefault="00932990" w:rsidP="00863E8F">
      <w:pPr>
        <w:tabs>
          <w:tab w:val="left" w:pos="567"/>
        </w:tabs>
        <w:spacing w:line="360" w:lineRule="auto"/>
        <w:ind w:firstLine="567"/>
        <w:jc w:val="both"/>
        <w:rPr>
          <w:rFonts w:ascii="Times New Roman" w:hAnsi="Times New Roman" w:cs="Times New Roman"/>
        </w:rPr>
      </w:pPr>
      <w:r>
        <w:rPr>
          <w:rFonts w:ascii="Times New Roman" w:hAnsi="Times New Roman" w:cs="Times New Roman"/>
        </w:rPr>
        <w:t>Gavę lygt</w:t>
      </w:r>
      <w:r w:rsidR="009B1C58">
        <w:rPr>
          <w:rFonts w:ascii="Times New Roman" w:hAnsi="Times New Roman" w:cs="Times New Roman"/>
        </w:rPr>
        <w:t>į ir įsitikinę jos reikšmingumu</w:t>
      </w:r>
      <w:r>
        <w:rPr>
          <w:rFonts w:ascii="Times New Roman" w:hAnsi="Times New Roman" w:cs="Times New Roman"/>
        </w:rPr>
        <w:t xml:space="preserve">, </w:t>
      </w:r>
      <w:r w:rsidR="00717C9E">
        <w:rPr>
          <w:rFonts w:ascii="Times New Roman" w:hAnsi="Times New Roman" w:cs="Times New Roman"/>
        </w:rPr>
        <w:t>palyginame pasirinktą reikšmingumo lygmenį (α</w:t>
      </w:r>
      <w:r w:rsidR="00863E8F">
        <w:rPr>
          <w:rFonts w:ascii="Times New Roman" w:hAnsi="Times New Roman" w:cs="Times New Roman"/>
          <w:lang w:val="en-US"/>
        </w:rPr>
        <w:t xml:space="preserve">=0,05) </w:t>
      </w:r>
      <w:r w:rsidR="00863E8F">
        <w:rPr>
          <w:rFonts w:ascii="Times New Roman" w:hAnsi="Times New Roman" w:cs="Times New Roman"/>
        </w:rPr>
        <w:t>su stebimuoju. Kaip matome, stebimasis reikšmingumo lygmuo yra mažesnis. Taigi nulinę hipotezę atmetame, o priimame alternatyvią</w:t>
      </w:r>
      <w:r w:rsidR="007B7B01">
        <w:rPr>
          <w:rFonts w:ascii="Times New Roman" w:hAnsi="Times New Roman" w:cs="Times New Roman"/>
        </w:rPr>
        <w:t xml:space="preserve">. </w:t>
      </w:r>
      <w:r>
        <w:rPr>
          <w:rFonts w:ascii="Times New Roman" w:hAnsi="Times New Roman" w:cs="Times New Roman"/>
        </w:rPr>
        <w:t>Tokie koreliacinė</w:t>
      </w:r>
      <w:r w:rsidR="00FC3F99">
        <w:rPr>
          <w:rFonts w:ascii="Times New Roman" w:hAnsi="Times New Roman" w:cs="Times New Roman"/>
        </w:rPr>
        <w:t>s</w:t>
      </w:r>
      <w:r>
        <w:rPr>
          <w:rFonts w:ascii="Times New Roman" w:hAnsi="Times New Roman" w:cs="Times New Roman"/>
        </w:rPr>
        <w:t xml:space="preserve"> regresinės analizės rezultatai leidžia teigti, kad l</w:t>
      </w:r>
      <w:r w:rsidRPr="00932990">
        <w:rPr>
          <w:rFonts w:ascii="Times New Roman" w:hAnsi="Times New Roman" w:cs="Times New Roman"/>
        </w:rPr>
        <w:t>izingo rinkos didėjimas Lietuvoje teigiamai veikia bendrojo vidaus produkto kiekį šalyje</w:t>
      </w:r>
      <w:r>
        <w:rPr>
          <w:rFonts w:ascii="Times New Roman" w:hAnsi="Times New Roman" w:cs="Times New Roman"/>
        </w:rPr>
        <w:t>.</w:t>
      </w:r>
    </w:p>
    <w:p w:rsidR="00932990" w:rsidRDefault="002B7311" w:rsidP="00863E8F">
      <w:pPr>
        <w:tabs>
          <w:tab w:val="left" w:pos="567"/>
        </w:tabs>
        <w:spacing w:line="360" w:lineRule="auto"/>
        <w:ind w:firstLine="567"/>
        <w:jc w:val="both"/>
        <w:rPr>
          <w:rFonts w:ascii="Times New Roman" w:hAnsi="Times New Roman" w:cs="Times New Roman"/>
        </w:rPr>
      </w:pPr>
      <w:r>
        <w:rPr>
          <w:rFonts w:ascii="Times New Roman" w:hAnsi="Times New Roman" w:cs="Times New Roman"/>
        </w:rPr>
        <w:t xml:space="preserve">Tačiau, kaip ir buvo rašyta metodinėje darbo dalyje, žinodami BVP rodiklio svarbą ir reikšmę ekonomikai bei siekdami </w:t>
      </w:r>
      <w:r w:rsidR="00EC306C">
        <w:rPr>
          <w:rFonts w:ascii="Times New Roman" w:hAnsi="Times New Roman" w:cs="Times New Roman"/>
        </w:rPr>
        <w:t xml:space="preserve">kuo </w:t>
      </w:r>
      <w:r>
        <w:rPr>
          <w:rFonts w:ascii="Times New Roman" w:hAnsi="Times New Roman" w:cs="Times New Roman"/>
        </w:rPr>
        <w:t xml:space="preserve">tiksliau įvertinti lizingo rinkos </w:t>
      </w:r>
      <w:r w:rsidR="009B1C58">
        <w:rPr>
          <w:rFonts w:ascii="Times New Roman" w:hAnsi="Times New Roman" w:cs="Times New Roman"/>
        </w:rPr>
        <w:t xml:space="preserve">daromą </w:t>
      </w:r>
      <w:r>
        <w:rPr>
          <w:rFonts w:ascii="Times New Roman" w:hAnsi="Times New Roman" w:cs="Times New Roman"/>
        </w:rPr>
        <w:t xml:space="preserve">įtaką Lietuvos ekonomikai </w:t>
      </w:r>
      <w:r w:rsidR="009B1C58">
        <w:rPr>
          <w:rFonts w:ascii="Times New Roman" w:hAnsi="Times New Roman" w:cs="Times New Roman"/>
        </w:rPr>
        <w:t>atliksime daugia</w:t>
      </w:r>
      <w:r w:rsidR="001512B0">
        <w:rPr>
          <w:rFonts w:ascii="Times New Roman" w:hAnsi="Times New Roman" w:cs="Times New Roman"/>
        </w:rPr>
        <w:t>mat</w:t>
      </w:r>
      <w:r>
        <w:rPr>
          <w:rFonts w:ascii="Times New Roman" w:hAnsi="Times New Roman" w:cs="Times New Roman"/>
        </w:rPr>
        <w:t xml:space="preserve">ę koreliacinę regresinę analizę. </w:t>
      </w:r>
      <w:r w:rsidR="009B1C58">
        <w:rPr>
          <w:rFonts w:ascii="Times New Roman" w:hAnsi="Times New Roman" w:cs="Times New Roman"/>
        </w:rPr>
        <w:t xml:space="preserve">Šios analizės tikslas išsiaiškinti kaip Lietuvos lizingo rinka įtakoja BVP atsižvelgiant į kitus – nedarbo lygį, tiesiogines užsienio investicijas – BVP veikiančius rodiklius. </w:t>
      </w:r>
      <w:r w:rsidR="005E2CCE">
        <w:rPr>
          <w:rFonts w:ascii="Times New Roman" w:hAnsi="Times New Roman" w:cs="Times New Roman"/>
        </w:rPr>
        <w:t xml:space="preserve">Šį kartą pirma apsiskaičiuosime kintamuosius ir </w:t>
      </w:r>
      <w:r w:rsidR="00C47F4C">
        <w:rPr>
          <w:rFonts w:ascii="Times New Roman" w:hAnsi="Times New Roman" w:cs="Times New Roman"/>
        </w:rPr>
        <w:t xml:space="preserve">įvertinsime ar jie tinka lygčiai ir </w:t>
      </w:r>
      <w:r w:rsidR="005E2CCE">
        <w:rPr>
          <w:rFonts w:ascii="Times New Roman" w:hAnsi="Times New Roman" w:cs="Times New Roman"/>
        </w:rPr>
        <w:t xml:space="preserve">tik tada tikrinsime </w:t>
      </w:r>
      <w:r w:rsidR="00C47F4C">
        <w:rPr>
          <w:rFonts w:ascii="Times New Roman" w:hAnsi="Times New Roman" w:cs="Times New Roman"/>
        </w:rPr>
        <w:t>pačios lygties</w:t>
      </w:r>
      <w:r w:rsidR="005E2CCE">
        <w:rPr>
          <w:rFonts w:ascii="Times New Roman" w:hAnsi="Times New Roman" w:cs="Times New Roman"/>
        </w:rPr>
        <w:t xml:space="preserve"> teisingumą. Tai atliekama siekiant </w:t>
      </w:r>
      <w:r w:rsidR="00C47F4C">
        <w:rPr>
          <w:rFonts w:ascii="Times New Roman" w:hAnsi="Times New Roman" w:cs="Times New Roman"/>
        </w:rPr>
        <w:t>išvengti nereikalingų koeficientų skaičiavimų</w:t>
      </w:r>
      <w:r w:rsidR="005E2CCE">
        <w:rPr>
          <w:rFonts w:ascii="Times New Roman" w:hAnsi="Times New Roman" w:cs="Times New Roman"/>
        </w:rPr>
        <w:t xml:space="preserve">, </w:t>
      </w:r>
      <w:r w:rsidR="00C47F4C">
        <w:rPr>
          <w:rFonts w:ascii="Times New Roman" w:hAnsi="Times New Roman" w:cs="Times New Roman"/>
        </w:rPr>
        <w:t>jei rasime, kad tam tikri veiksniai lygčiai netinka ko pasėkoje turėsime sudaryti naują lygtį.</w:t>
      </w:r>
      <w:r w:rsidR="005E2CCE">
        <w:rPr>
          <w:rFonts w:ascii="Times New Roman" w:hAnsi="Times New Roman" w:cs="Times New Roman"/>
        </w:rPr>
        <w:t xml:space="preserve"> </w:t>
      </w:r>
      <w:r w:rsidR="001512B0">
        <w:rPr>
          <w:rFonts w:ascii="Times New Roman" w:hAnsi="Times New Roman" w:cs="Times New Roman"/>
        </w:rPr>
        <w:t xml:space="preserve">SPSS pagalba </w:t>
      </w:r>
      <w:r w:rsidR="005E2CCE">
        <w:rPr>
          <w:rFonts w:ascii="Times New Roman" w:hAnsi="Times New Roman" w:cs="Times New Roman"/>
        </w:rPr>
        <w:t>apskaičiuojame daugiamatės regresijos koeficientus.</w:t>
      </w:r>
      <w:r w:rsidR="001512B0">
        <w:rPr>
          <w:rFonts w:ascii="Times New Roman" w:hAnsi="Times New Roman" w:cs="Times New Roman"/>
        </w:rPr>
        <w:t xml:space="preserve"> (žr. 5 lent.).</w:t>
      </w:r>
    </w:p>
    <w:p w:rsidR="001512B0" w:rsidRDefault="001512B0" w:rsidP="001512B0">
      <w:pPr>
        <w:tabs>
          <w:tab w:val="left" w:pos="567"/>
        </w:tabs>
        <w:spacing w:line="360" w:lineRule="auto"/>
        <w:jc w:val="both"/>
        <w:rPr>
          <w:rFonts w:ascii="Times New Roman" w:hAnsi="Times New Roman" w:cs="Times New Roman"/>
        </w:rPr>
      </w:pPr>
    </w:p>
    <w:p w:rsidR="001512B0" w:rsidRDefault="001512B0" w:rsidP="00924B1F">
      <w:pPr>
        <w:pStyle w:val="Lentels"/>
      </w:pPr>
      <w:bookmarkStart w:id="40" w:name="_Toc343459642"/>
      <w:r>
        <w:t xml:space="preserve">5 lentelė. Daugiamatės regresijos </w:t>
      </w:r>
      <w:r w:rsidR="00C47F4C">
        <w:t>koeficientų lentelė</w:t>
      </w:r>
      <w:r w:rsidR="005C4AA9">
        <w:t>, priklausomas kintamasis - BVP, nepriklausomi – lizingo portfelis, tiesioginės užsienio investicijos, nedarbo lygis</w:t>
      </w:r>
      <w:bookmarkEnd w:id="40"/>
    </w:p>
    <w:tbl>
      <w:tblPr>
        <w:tblStyle w:val="LightList-Accent5"/>
        <w:tblW w:w="8486" w:type="dxa"/>
        <w:jc w:val="center"/>
        <w:tblLayout w:type="fixed"/>
        <w:tblLook w:val="0000" w:firstRow="0" w:lastRow="0" w:firstColumn="0" w:lastColumn="0" w:noHBand="0" w:noVBand="0"/>
      </w:tblPr>
      <w:tblGrid>
        <w:gridCol w:w="727"/>
        <w:gridCol w:w="1958"/>
        <w:gridCol w:w="1013"/>
        <w:gridCol w:w="1319"/>
        <w:gridCol w:w="1496"/>
        <w:gridCol w:w="965"/>
        <w:gridCol w:w="1008"/>
      </w:tblGrid>
      <w:tr w:rsidR="00C47F4C" w:rsidRPr="007A6210" w:rsidTr="007A6210">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685" w:type="dxa"/>
            <w:gridSpan w:val="2"/>
            <w:vMerge w:val="restart"/>
          </w:tcPr>
          <w:p w:rsidR="00C47F4C" w:rsidRPr="007A6210" w:rsidRDefault="00C47F4C" w:rsidP="00C47F4C">
            <w:pPr>
              <w:autoSpaceDE w:val="0"/>
              <w:autoSpaceDN w:val="0"/>
              <w:adjustRightInd w:val="0"/>
              <w:spacing w:line="320" w:lineRule="atLeast"/>
              <w:ind w:left="60" w:right="6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Model</w:t>
            </w:r>
          </w:p>
        </w:tc>
        <w:tc>
          <w:tcPr>
            <w:tcW w:w="2332" w:type="dxa"/>
            <w:gridSpan w:val="2"/>
          </w:tcPr>
          <w:p w:rsidR="00C47F4C" w:rsidRPr="007A6210" w:rsidRDefault="00C47F4C" w:rsidP="00C47F4C">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Unstandardized Coefficients</w:t>
            </w:r>
          </w:p>
        </w:tc>
        <w:tc>
          <w:tcPr>
            <w:cnfStyle w:val="000010000000" w:firstRow="0" w:lastRow="0" w:firstColumn="0" w:lastColumn="0" w:oddVBand="1" w:evenVBand="0" w:oddHBand="0" w:evenHBand="0" w:firstRowFirstColumn="0" w:firstRowLastColumn="0" w:lastRowFirstColumn="0" w:lastRowLastColumn="0"/>
            <w:tcW w:w="1496" w:type="dxa"/>
          </w:tcPr>
          <w:p w:rsidR="00C47F4C" w:rsidRPr="007A6210" w:rsidRDefault="00C47F4C" w:rsidP="00C47F4C">
            <w:pPr>
              <w:autoSpaceDE w:val="0"/>
              <w:autoSpaceDN w:val="0"/>
              <w:adjustRightInd w:val="0"/>
              <w:spacing w:line="320" w:lineRule="atLeast"/>
              <w:ind w:left="60" w:right="60"/>
              <w:jc w:val="center"/>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Standardized Coefficients</w:t>
            </w:r>
          </w:p>
        </w:tc>
        <w:tc>
          <w:tcPr>
            <w:tcW w:w="965" w:type="dxa"/>
            <w:vMerge w:val="restart"/>
          </w:tcPr>
          <w:p w:rsidR="00C47F4C" w:rsidRPr="007A6210" w:rsidRDefault="00C47F4C" w:rsidP="00C47F4C">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t</w:t>
            </w:r>
          </w:p>
        </w:tc>
        <w:tc>
          <w:tcPr>
            <w:cnfStyle w:val="000010000000" w:firstRow="0" w:lastRow="0" w:firstColumn="0" w:lastColumn="0" w:oddVBand="1" w:evenVBand="0" w:oddHBand="0" w:evenHBand="0" w:firstRowFirstColumn="0" w:firstRowLastColumn="0" w:lastRowFirstColumn="0" w:lastRowLastColumn="0"/>
            <w:tcW w:w="1008" w:type="dxa"/>
            <w:vMerge w:val="restart"/>
          </w:tcPr>
          <w:p w:rsidR="00C47F4C" w:rsidRPr="007A6210" w:rsidRDefault="00C47F4C" w:rsidP="00C47F4C">
            <w:pPr>
              <w:autoSpaceDE w:val="0"/>
              <w:autoSpaceDN w:val="0"/>
              <w:adjustRightInd w:val="0"/>
              <w:spacing w:line="320" w:lineRule="atLeast"/>
              <w:ind w:left="60" w:right="60"/>
              <w:jc w:val="center"/>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Sig.</w:t>
            </w:r>
          </w:p>
        </w:tc>
      </w:tr>
      <w:tr w:rsidR="00C47F4C" w:rsidRPr="007A6210" w:rsidTr="007A6210">
        <w:trPr>
          <w:jc w:val="center"/>
        </w:trPr>
        <w:tc>
          <w:tcPr>
            <w:cnfStyle w:val="000010000000" w:firstRow="0" w:lastRow="0" w:firstColumn="0" w:lastColumn="0" w:oddVBand="1" w:evenVBand="0" w:oddHBand="0" w:evenHBand="0" w:firstRowFirstColumn="0" w:firstRowLastColumn="0" w:lastRowFirstColumn="0" w:lastRowLastColumn="0"/>
            <w:tcW w:w="2685" w:type="dxa"/>
            <w:gridSpan w:val="2"/>
            <w:vMerge/>
          </w:tcPr>
          <w:p w:rsidR="00C47F4C" w:rsidRPr="007A6210" w:rsidRDefault="00C47F4C" w:rsidP="00C47F4C">
            <w:pPr>
              <w:autoSpaceDE w:val="0"/>
              <w:autoSpaceDN w:val="0"/>
              <w:adjustRightInd w:val="0"/>
              <w:rPr>
                <w:rFonts w:ascii="Times New Roman" w:eastAsiaTheme="minorHAnsi" w:hAnsi="Times New Roman" w:cs="Times New Roman"/>
                <w:sz w:val="22"/>
                <w:szCs w:val="22"/>
                <w:lang w:eastAsia="en-US"/>
              </w:rPr>
            </w:pPr>
          </w:p>
        </w:tc>
        <w:tc>
          <w:tcPr>
            <w:tcW w:w="1013" w:type="dxa"/>
          </w:tcPr>
          <w:p w:rsidR="00C47F4C" w:rsidRPr="007A6210" w:rsidRDefault="00C47F4C" w:rsidP="00C47F4C">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B</w:t>
            </w:r>
          </w:p>
        </w:tc>
        <w:tc>
          <w:tcPr>
            <w:cnfStyle w:val="000010000000" w:firstRow="0" w:lastRow="0" w:firstColumn="0" w:lastColumn="0" w:oddVBand="1" w:evenVBand="0" w:oddHBand="0" w:evenHBand="0" w:firstRowFirstColumn="0" w:firstRowLastColumn="0" w:lastRowFirstColumn="0" w:lastRowLastColumn="0"/>
            <w:tcW w:w="1319" w:type="dxa"/>
          </w:tcPr>
          <w:p w:rsidR="00C47F4C" w:rsidRPr="007A6210" w:rsidRDefault="00C47F4C" w:rsidP="00C47F4C">
            <w:pPr>
              <w:autoSpaceDE w:val="0"/>
              <w:autoSpaceDN w:val="0"/>
              <w:adjustRightInd w:val="0"/>
              <w:spacing w:line="320" w:lineRule="atLeast"/>
              <w:ind w:left="60" w:right="60"/>
              <w:jc w:val="center"/>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Std. Error</w:t>
            </w:r>
          </w:p>
        </w:tc>
        <w:tc>
          <w:tcPr>
            <w:tcW w:w="1496" w:type="dxa"/>
          </w:tcPr>
          <w:p w:rsidR="00C47F4C" w:rsidRPr="007A6210" w:rsidRDefault="00C47F4C" w:rsidP="00C47F4C">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Beta</w:t>
            </w:r>
          </w:p>
        </w:tc>
        <w:tc>
          <w:tcPr>
            <w:cnfStyle w:val="000010000000" w:firstRow="0" w:lastRow="0" w:firstColumn="0" w:lastColumn="0" w:oddVBand="1" w:evenVBand="0" w:oddHBand="0" w:evenHBand="0" w:firstRowFirstColumn="0" w:firstRowLastColumn="0" w:lastRowFirstColumn="0" w:lastRowLastColumn="0"/>
            <w:tcW w:w="965" w:type="dxa"/>
            <w:vMerge/>
          </w:tcPr>
          <w:p w:rsidR="00C47F4C" w:rsidRPr="007A6210" w:rsidRDefault="00C47F4C" w:rsidP="00C47F4C">
            <w:pPr>
              <w:autoSpaceDE w:val="0"/>
              <w:autoSpaceDN w:val="0"/>
              <w:adjustRightInd w:val="0"/>
              <w:rPr>
                <w:rFonts w:ascii="Times New Roman" w:eastAsiaTheme="minorHAnsi" w:hAnsi="Times New Roman" w:cs="Times New Roman"/>
                <w:sz w:val="22"/>
                <w:szCs w:val="22"/>
                <w:lang w:eastAsia="en-US"/>
              </w:rPr>
            </w:pPr>
          </w:p>
        </w:tc>
        <w:tc>
          <w:tcPr>
            <w:tcW w:w="1008" w:type="dxa"/>
            <w:vMerge/>
          </w:tcPr>
          <w:p w:rsidR="00C47F4C" w:rsidRPr="007A6210" w:rsidRDefault="00C47F4C" w:rsidP="00C47F4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p>
        </w:tc>
      </w:tr>
      <w:tr w:rsidR="00C47F4C" w:rsidRPr="007A6210" w:rsidTr="007A6210">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27" w:type="dxa"/>
            <w:vMerge w:val="restart"/>
          </w:tcPr>
          <w:p w:rsidR="00C47F4C" w:rsidRPr="007A6210" w:rsidRDefault="00C47F4C" w:rsidP="00C47F4C">
            <w:pPr>
              <w:autoSpaceDE w:val="0"/>
              <w:autoSpaceDN w:val="0"/>
              <w:adjustRightInd w:val="0"/>
              <w:spacing w:line="320" w:lineRule="atLeast"/>
              <w:ind w:left="60" w:right="6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w:t>
            </w:r>
          </w:p>
        </w:tc>
        <w:tc>
          <w:tcPr>
            <w:tcW w:w="1958" w:type="dxa"/>
          </w:tcPr>
          <w:p w:rsidR="00C47F4C" w:rsidRPr="007A6210" w:rsidRDefault="00C47F4C" w:rsidP="00C47F4C">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(Constant)</w:t>
            </w:r>
          </w:p>
        </w:tc>
        <w:tc>
          <w:tcPr>
            <w:cnfStyle w:val="000010000000" w:firstRow="0" w:lastRow="0" w:firstColumn="0" w:lastColumn="0" w:oddVBand="1" w:evenVBand="0" w:oddHBand="0" w:evenHBand="0" w:firstRowFirstColumn="0" w:firstRowLastColumn="0" w:lastRowFirstColumn="0" w:lastRowLastColumn="0"/>
            <w:tcW w:w="1013"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20,441</w:t>
            </w:r>
          </w:p>
        </w:tc>
        <w:tc>
          <w:tcPr>
            <w:tcW w:w="1319" w:type="dxa"/>
          </w:tcPr>
          <w:p w:rsidR="00C47F4C" w:rsidRPr="007A6210" w:rsidRDefault="00C47F4C" w:rsidP="00C47F4C">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8,201</w:t>
            </w:r>
          </w:p>
        </w:tc>
        <w:tc>
          <w:tcPr>
            <w:cnfStyle w:val="000010000000" w:firstRow="0" w:lastRow="0" w:firstColumn="0" w:lastColumn="0" w:oddVBand="1" w:evenVBand="0" w:oddHBand="0" w:evenHBand="0" w:firstRowFirstColumn="0" w:firstRowLastColumn="0" w:lastRowFirstColumn="0" w:lastRowLastColumn="0"/>
            <w:tcW w:w="1496" w:type="dxa"/>
          </w:tcPr>
          <w:p w:rsidR="00C47F4C" w:rsidRPr="007A6210" w:rsidRDefault="00C47F4C" w:rsidP="00C47F4C">
            <w:pPr>
              <w:autoSpaceDE w:val="0"/>
              <w:autoSpaceDN w:val="0"/>
              <w:adjustRightInd w:val="0"/>
              <w:jc w:val="center"/>
              <w:rPr>
                <w:rFonts w:ascii="Times New Roman" w:eastAsiaTheme="minorHAnsi" w:hAnsi="Times New Roman" w:cs="Times New Roman"/>
                <w:color w:val="auto"/>
                <w:sz w:val="22"/>
                <w:szCs w:val="22"/>
                <w:lang w:eastAsia="en-US"/>
              </w:rPr>
            </w:pPr>
          </w:p>
        </w:tc>
        <w:tc>
          <w:tcPr>
            <w:tcW w:w="965" w:type="dxa"/>
          </w:tcPr>
          <w:p w:rsidR="00C47F4C" w:rsidRPr="007A6210" w:rsidRDefault="00C47F4C" w:rsidP="00C47F4C">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2,493</w:t>
            </w:r>
          </w:p>
        </w:tc>
        <w:tc>
          <w:tcPr>
            <w:cnfStyle w:val="000010000000" w:firstRow="0" w:lastRow="0" w:firstColumn="0" w:lastColumn="0" w:oddVBand="1" w:evenVBand="0" w:oddHBand="0" w:evenHBand="0" w:firstRowFirstColumn="0" w:firstRowLastColumn="0" w:lastRowFirstColumn="0" w:lastRowLastColumn="0"/>
            <w:tcW w:w="1008"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,032</w:t>
            </w:r>
          </w:p>
        </w:tc>
      </w:tr>
      <w:tr w:rsidR="00C47F4C" w:rsidRPr="007A6210" w:rsidTr="007A6210">
        <w:trPr>
          <w:jc w:val="center"/>
        </w:trPr>
        <w:tc>
          <w:tcPr>
            <w:cnfStyle w:val="000010000000" w:firstRow="0" w:lastRow="0" w:firstColumn="0" w:lastColumn="0" w:oddVBand="1" w:evenVBand="0" w:oddHBand="0" w:evenHBand="0" w:firstRowFirstColumn="0" w:firstRowLastColumn="0" w:lastRowFirstColumn="0" w:lastRowLastColumn="0"/>
            <w:tcW w:w="727" w:type="dxa"/>
            <w:vMerge/>
          </w:tcPr>
          <w:p w:rsidR="00C47F4C" w:rsidRPr="007A6210" w:rsidRDefault="00C47F4C" w:rsidP="00C47F4C">
            <w:pPr>
              <w:autoSpaceDE w:val="0"/>
              <w:autoSpaceDN w:val="0"/>
              <w:adjustRightInd w:val="0"/>
              <w:rPr>
                <w:rFonts w:ascii="Times New Roman" w:eastAsiaTheme="minorHAnsi" w:hAnsi="Times New Roman" w:cs="Times New Roman"/>
                <w:color w:val="auto"/>
                <w:sz w:val="22"/>
                <w:szCs w:val="22"/>
                <w:lang w:eastAsia="en-US"/>
              </w:rPr>
            </w:pPr>
          </w:p>
        </w:tc>
        <w:tc>
          <w:tcPr>
            <w:tcW w:w="1958" w:type="dxa"/>
          </w:tcPr>
          <w:p w:rsidR="00C47F4C" w:rsidRPr="007A6210" w:rsidRDefault="00C47F4C" w:rsidP="00C47F4C">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Lizingo_portfelis</w:t>
            </w:r>
          </w:p>
        </w:tc>
        <w:tc>
          <w:tcPr>
            <w:cnfStyle w:val="000010000000" w:firstRow="0" w:lastRow="0" w:firstColumn="0" w:lastColumn="0" w:oddVBand="1" w:evenVBand="0" w:oddHBand="0" w:evenHBand="0" w:firstRowFirstColumn="0" w:firstRowLastColumn="0" w:lastRowFirstColumn="0" w:lastRowLastColumn="0"/>
            <w:tcW w:w="1013"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3,209</w:t>
            </w:r>
          </w:p>
        </w:tc>
        <w:tc>
          <w:tcPr>
            <w:tcW w:w="1319" w:type="dxa"/>
          </w:tcPr>
          <w:p w:rsidR="00C47F4C" w:rsidRPr="007A6210" w:rsidRDefault="00C47F4C" w:rsidP="00C47F4C">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1,344</w:t>
            </w:r>
          </w:p>
        </w:tc>
        <w:tc>
          <w:tcPr>
            <w:cnfStyle w:val="000010000000" w:firstRow="0" w:lastRow="0" w:firstColumn="0" w:lastColumn="0" w:oddVBand="1" w:evenVBand="0" w:oddHBand="0" w:evenHBand="0" w:firstRowFirstColumn="0" w:firstRowLastColumn="0" w:lastRowFirstColumn="0" w:lastRowLastColumn="0"/>
            <w:tcW w:w="1496"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,478</w:t>
            </w:r>
          </w:p>
        </w:tc>
        <w:tc>
          <w:tcPr>
            <w:tcW w:w="965" w:type="dxa"/>
          </w:tcPr>
          <w:p w:rsidR="00C47F4C" w:rsidRPr="007A6210" w:rsidRDefault="00C47F4C" w:rsidP="00C47F4C">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2,388</w:t>
            </w:r>
          </w:p>
        </w:tc>
        <w:tc>
          <w:tcPr>
            <w:cnfStyle w:val="000010000000" w:firstRow="0" w:lastRow="0" w:firstColumn="0" w:lastColumn="0" w:oddVBand="1" w:evenVBand="0" w:oddHBand="0" w:evenHBand="0" w:firstRowFirstColumn="0" w:firstRowLastColumn="0" w:lastRowFirstColumn="0" w:lastRowLastColumn="0"/>
            <w:tcW w:w="1008"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,038</w:t>
            </w:r>
          </w:p>
        </w:tc>
      </w:tr>
      <w:tr w:rsidR="00C47F4C" w:rsidRPr="007A6210" w:rsidTr="007A6210">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27" w:type="dxa"/>
            <w:vMerge/>
          </w:tcPr>
          <w:p w:rsidR="00C47F4C" w:rsidRPr="007A6210" w:rsidRDefault="00C47F4C" w:rsidP="00C47F4C">
            <w:pPr>
              <w:autoSpaceDE w:val="0"/>
              <w:autoSpaceDN w:val="0"/>
              <w:adjustRightInd w:val="0"/>
              <w:rPr>
                <w:rFonts w:ascii="Times New Roman" w:eastAsiaTheme="minorHAnsi" w:hAnsi="Times New Roman" w:cs="Times New Roman"/>
                <w:sz w:val="22"/>
                <w:szCs w:val="22"/>
                <w:lang w:eastAsia="en-US"/>
              </w:rPr>
            </w:pPr>
          </w:p>
        </w:tc>
        <w:tc>
          <w:tcPr>
            <w:tcW w:w="1958" w:type="dxa"/>
          </w:tcPr>
          <w:p w:rsidR="00C47F4C" w:rsidRPr="007A6210" w:rsidRDefault="00C47F4C" w:rsidP="00C47F4C">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TUI</w:t>
            </w:r>
          </w:p>
        </w:tc>
        <w:tc>
          <w:tcPr>
            <w:cnfStyle w:val="000010000000" w:firstRow="0" w:lastRow="0" w:firstColumn="0" w:lastColumn="0" w:oddVBand="1" w:evenVBand="0" w:oddHBand="0" w:evenHBand="0" w:firstRowFirstColumn="0" w:firstRowLastColumn="0" w:lastRowFirstColumn="0" w:lastRowLastColumn="0"/>
            <w:tcW w:w="1013"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1,302</w:t>
            </w:r>
          </w:p>
        </w:tc>
        <w:tc>
          <w:tcPr>
            <w:tcW w:w="1319" w:type="dxa"/>
          </w:tcPr>
          <w:p w:rsidR="00C47F4C" w:rsidRPr="007A6210" w:rsidRDefault="00C47F4C" w:rsidP="00C47F4C">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,329</w:t>
            </w:r>
          </w:p>
        </w:tc>
        <w:tc>
          <w:tcPr>
            <w:cnfStyle w:val="000010000000" w:firstRow="0" w:lastRow="0" w:firstColumn="0" w:lastColumn="0" w:oddVBand="1" w:evenVBand="0" w:oddHBand="0" w:evenHBand="0" w:firstRowFirstColumn="0" w:firstRowLastColumn="0" w:lastRowFirstColumn="0" w:lastRowLastColumn="0"/>
            <w:tcW w:w="1496"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,607</w:t>
            </w:r>
          </w:p>
        </w:tc>
        <w:tc>
          <w:tcPr>
            <w:tcW w:w="965" w:type="dxa"/>
          </w:tcPr>
          <w:p w:rsidR="00C47F4C" w:rsidRPr="007A6210" w:rsidRDefault="00C47F4C" w:rsidP="00C47F4C">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3,953</w:t>
            </w:r>
          </w:p>
        </w:tc>
        <w:tc>
          <w:tcPr>
            <w:cnfStyle w:val="000010000000" w:firstRow="0" w:lastRow="0" w:firstColumn="0" w:lastColumn="0" w:oddVBand="1" w:evenVBand="0" w:oddHBand="0" w:evenHBand="0" w:firstRowFirstColumn="0" w:firstRowLastColumn="0" w:lastRowFirstColumn="0" w:lastRowLastColumn="0"/>
            <w:tcW w:w="1008"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,003</w:t>
            </w:r>
          </w:p>
        </w:tc>
      </w:tr>
      <w:tr w:rsidR="00C47F4C" w:rsidRPr="007A6210" w:rsidTr="007A6210">
        <w:trPr>
          <w:jc w:val="center"/>
        </w:trPr>
        <w:tc>
          <w:tcPr>
            <w:cnfStyle w:val="000010000000" w:firstRow="0" w:lastRow="0" w:firstColumn="0" w:lastColumn="0" w:oddVBand="1" w:evenVBand="0" w:oddHBand="0" w:evenHBand="0" w:firstRowFirstColumn="0" w:firstRowLastColumn="0" w:lastRowFirstColumn="0" w:lastRowLastColumn="0"/>
            <w:tcW w:w="727" w:type="dxa"/>
            <w:vMerge/>
          </w:tcPr>
          <w:p w:rsidR="00C47F4C" w:rsidRPr="007A6210" w:rsidRDefault="00C47F4C" w:rsidP="00C47F4C">
            <w:pPr>
              <w:autoSpaceDE w:val="0"/>
              <w:autoSpaceDN w:val="0"/>
              <w:adjustRightInd w:val="0"/>
              <w:rPr>
                <w:rFonts w:ascii="Times New Roman" w:eastAsiaTheme="minorHAnsi" w:hAnsi="Times New Roman" w:cs="Times New Roman"/>
                <w:sz w:val="22"/>
                <w:szCs w:val="22"/>
                <w:lang w:eastAsia="en-US"/>
              </w:rPr>
            </w:pPr>
          </w:p>
        </w:tc>
        <w:tc>
          <w:tcPr>
            <w:tcW w:w="1958" w:type="dxa"/>
          </w:tcPr>
          <w:p w:rsidR="00C47F4C" w:rsidRPr="007A6210" w:rsidRDefault="00C47F4C" w:rsidP="00C47F4C">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Nedarbo_lygis</w:t>
            </w:r>
          </w:p>
        </w:tc>
        <w:tc>
          <w:tcPr>
            <w:cnfStyle w:val="000010000000" w:firstRow="0" w:lastRow="0" w:firstColumn="0" w:lastColumn="0" w:oddVBand="1" w:evenVBand="0" w:oddHBand="0" w:evenHBand="0" w:firstRowFirstColumn="0" w:firstRowLastColumn="0" w:lastRowFirstColumn="0" w:lastRowLastColumn="0"/>
            <w:tcW w:w="1013"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,743</w:t>
            </w:r>
          </w:p>
        </w:tc>
        <w:tc>
          <w:tcPr>
            <w:tcW w:w="1319" w:type="dxa"/>
          </w:tcPr>
          <w:p w:rsidR="00C47F4C" w:rsidRPr="007A6210" w:rsidRDefault="00C47F4C" w:rsidP="00C47F4C">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,589</w:t>
            </w:r>
          </w:p>
        </w:tc>
        <w:tc>
          <w:tcPr>
            <w:cnfStyle w:val="000010000000" w:firstRow="0" w:lastRow="0" w:firstColumn="0" w:lastColumn="0" w:oddVBand="1" w:evenVBand="0" w:oddHBand="0" w:evenHBand="0" w:firstRowFirstColumn="0" w:firstRowLastColumn="0" w:lastRowFirstColumn="0" w:lastRowLastColumn="0"/>
            <w:tcW w:w="1496"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,134</w:t>
            </w:r>
          </w:p>
        </w:tc>
        <w:tc>
          <w:tcPr>
            <w:tcW w:w="965" w:type="dxa"/>
          </w:tcPr>
          <w:p w:rsidR="00C47F4C" w:rsidRPr="007A6210" w:rsidRDefault="00C47F4C" w:rsidP="00C47F4C">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1,262</w:t>
            </w:r>
          </w:p>
        </w:tc>
        <w:tc>
          <w:tcPr>
            <w:cnfStyle w:val="000010000000" w:firstRow="0" w:lastRow="0" w:firstColumn="0" w:lastColumn="0" w:oddVBand="1" w:evenVBand="0" w:oddHBand="0" w:evenHBand="0" w:firstRowFirstColumn="0" w:firstRowLastColumn="0" w:lastRowFirstColumn="0" w:lastRowLastColumn="0"/>
            <w:tcW w:w="1008" w:type="dxa"/>
          </w:tcPr>
          <w:p w:rsidR="00C47F4C" w:rsidRPr="007A6210" w:rsidRDefault="00C47F4C" w:rsidP="00C47F4C">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,236</w:t>
            </w:r>
          </w:p>
        </w:tc>
      </w:tr>
    </w:tbl>
    <w:p w:rsidR="00C47F4C" w:rsidRPr="003B20D6" w:rsidRDefault="003B20D6" w:rsidP="003B20D6">
      <w:pPr>
        <w:autoSpaceDE w:val="0"/>
        <w:autoSpaceDN w:val="0"/>
        <w:adjustRightInd w:val="0"/>
        <w:spacing w:line="400" w:lineRule="atLeast"/>
        <w:ind w:firstLine="851"/>
        <w:rPr>
          <w:rFonts w:ascii="Times New Roman" w:eastAsiaTheme="minorHAnsi" w:hAnsi="Times New Roman" w:cs="Times New Roman"/>
          <w:color w:val="auto"/>
          <w:sz w:val="20"/>
          <w:szCs w:val="20"/>
          <w:lang w:eastAsia="en-US"/>
        </w:rPr>
      </w:pPr>
      <w:r w:rsidRPr="003B20D6">
        <w:rPr>
          <w:rFonts w:ascii="Times New Roman" w:eastAsiaTheme="minorHAnsi" w:hAnsi="Times New Roman" w:cs="Times New Roman"/>
          <w:b/>
          <w:color w:val="auto"/>
          <w:sz w:val="20"/>
          <w:szCs w:val="20"/>
          <w:lang w:eastAsia="en-US"/>
        </w:rPr>
        <w:t>Šaltinis:</w:t>
      </w:r>
      <w:r>
        <w:rPr>
          <w:rFonts w:ascii="Times New Roman" w:eastAsiaTheme="minorHAnsi" w:hAnsi="Times New Roman" w:cs="Times New Roman"/>
          <w:color w:val="auto"/>
          <w:sz w:val="20"/>
          <w:szCs w:val="20"/>
          <w:lang w:eastAsia="en-US"/>
        </w:rPr>
        <w:t xml:space="preserve"> sudaryta autoriaus</w:t>
      </w:r>
    </w:p>
    <w:p w:rsidR="00C47F4C" w:rsidRPr="00C47F4C" w:rsidRDefault="00C47F4C" w:rsidP="00972CB4">
      <w:pPr>
        <w:tabs>
          <w:tab w:val="left" w:pos="567"/>
        </w:tabs>
        <w:autoSpaceDE w:val="0"/>
        <w:autoSpaceDN w:val="0"/>
        <w:adjustRightInd w:val="0"/>
        <w:spacing w:line="400" w:lineRule="atLeast"/>
        <w:jc w:val="both"/>
        <w:rPr>
          <w:rFonts w:ascii="Times New Roman" w:eastAsiaTheme="minorHAnsi" w:hAnsi="Times New Roman" w:cs="Times New Roman"/>
          <w:color w:val="auto"/>
          <w:lang w:eastAsia="en-US"/>
        </w:rPr>
      </w:pPr>
      <w:r>
        <w:rPr>
          <w:rFonts w:ascii="Times New Roman" w:eastAsiaTheme="minorHAnsi" w:hAnsi="Times New Roman" w:cs="Times New Roman"/>
          <w:color w:val="auto"/>
          <w:lang w:eastAsia="en-US"/>
        </w:rPr>
        <w:lastRenderedPageBreak/>
        <w:tab/>
        <w:t>Ka</w:t>
      </w:r>
      <w:r w:rsidR="00F3683E">
        <w:rPr>
          <w:rFonts w:ascii="Times New Roman" w:eastAsiaTheme="minorHAnsi" w:hAnsi="Times New Roman" w:cs="Times New Roman"/>
          <w:color w:val="auto"/>
          <w:lang w:eastAsia="en-US"/>
        </w:rPr>
        <w:t xml:space="preserve">ip iš pateiktos lentelės matome, </w:t>
      </w:r>
      <w:r w:rsidR="00972CB4">
        <w:rPr>
          <w:rFonts w:ascii="Times New Roman" w:eastAsiaTheme="minorHAnsi" w:hAnsi="Times New Roman" w:cs="Times New Roman"/>
          <w:color w:val="auto"/>
          <w:lang w:eastAsia="en-US"/>
        </w:rPr>
        <w:t xml:space="preserve">nedarbo lygio veiksnys </w:t>
      </w:r>
      <w:r w:rsidR="002653DB">
        <w:rPr>
          <w:rFonts w:ascii="Times New Roman" w:eastAsiaTheme="minorHAnsi" w:hAnsi="Times New Roman" w:cs="Times New Roman"/>
          <w:color w:val="auto"/>
          <w:lang w:eastAsia="en-US"/>
        </w:rPr>
        <w:t xml:space="preserve">sudaromai lygčiai </w:t>
      </w:r>
      <w:r w:rsidR="00972CB4">
        <w:rPr>
          <w:rFonts w:ascii="Times New Roman" w:eastAsiaTheme="minorHAnsi" w:hAnsi="Times New Roman" w:cs="Times New Roman"/>
          <w:color w:val="auto"/>
          <w:lang w:eastAsia="en-US"/>
        </w:rPr>
        <w:t>netinka</w:t>
      </w:r>
      <w:r w:rsidR="009958E0">
        <w:rPr>
          <w:rFonts w:ascii="Times New Roman" w:eastAsiaTheme="minorHAnsi" w:hAnsi="Times New Roman" w:cs="Times New Roman"/>
          <w:color w:val="auto"/>
          <w:lang w:eastAsia="en-US"/>
        </w:rPr>
        <w:t>. Sudarant modelį buvo nustatytas reikšmingumo lygmuo α</w:t>
      </w:r>
      <w:r w:rsidR="009958E0">
        <w:rPr>
          <w:rFonts w:ascii="Times New Roman" w:eastAsiaTheme="minorHAnsi" w:hAnsi="Times New Roman" w:cs="Times New Roman"/>
          <w:color w:val="auto"/>
          <w:lang w:val="en-US" w:eastAsia="en-US"/>
        </w:rPr>
        <w:t>=0,05</w:t>
      </w:r>
      <w:r w:rsidR="009958E0">
        <w:rPr>
          <w:rFonts w:ascii="Times New Roman" w:eastAsiaTheme="minorHAnsi" w:hAnsi="Times New Roman" w:cs="Times New Roman"/>
          <w:color w:val="auto"/>
          <w:lang w:eastAsia="en-US"/>
        </w:rPr>
        <w:t xml:space="preserve">, </w:t>
      </w:r>
      <w:r w:rsidR="002653DB">
        <w:rPr>
          <w:rFonts w:ascii="Times New Roman" w:eastAsiaTheme="minorHAnsi" w:hAnsi="Times New Roman" w:cs="Times New Roman"/>
          <w:color w:val="auto"/>
          <w:lang w:eastAsia="en-US"/>
        </w:rPr>
        <w:t>šiuo atveju nustatytas</w:t>
      </w:r>
      <w:r w:rsidR="009958E0">
        <w:rPr>
          <w:rFonts w:ascii="Times New Roman" w:eastAsiaTheme="minorHAnsi" w:hAnsi="Times New Roman" w:cs="Times New Roman"/>
          <w:color w:val="auto"/>
          <w:lang w:eastAsia="en-US"/>
        </w:rPr>
        <w:t xml:space="preserve"> reikšmingumo lygmuo yra viršijamas, klaidos padarymo tikimybė 0,236.</w:t>
      </w:r>
      <w:r w:rsidR="00972CB4">
        <w:rPr>
          <w:rFonts w:ascii="Times New Roman" w:eastAsiaTheme="minorHAnsi" w:hAnsi="Times New Roman" w:cs="Times New Roman"/>
          <w:color w:val="auto"/>
          <w:lang w:eastAsia="en-US"/>
        </w:rPr>
        <w:t xml:space="preserve"> Taigi</w:t>
      </w:r>
      <w:r w:rsidR="00C12AB6">
        <w:rPr>
          <w:rFonts w:ascii="Times New Roman" w:eastAsiaTheme="minorHAnsi" w:hAnsi="Times New Roman" w:cs="Times New Roman"/>
          <w:color w:val="auto"/>
          <w:lang w:eastAsia="en-US"/>
        </w:rPr>
        <w:t xml:space="preserve"> </w:t>
      </w:r>
      <w:r w:rsidR="002653DB">
        <w:rPr>
          <w:rFonts w:ascii="Times New Roman" w:eastAsiaTheme="minorHAnsi" w:hAnsi="Times New Roman" w:cs="Times New Roman"/>
          <w:color w:val="auto"/>
          <w:lang w:eastAsia="en-US"/>
        </w:rPr>
        <w:t>nedarbo lygio</w:t>
      </w:r>
      <w:r w:rsidR="00C12AB6">
        <w:rPr>
          <w:rFonts w:ascii="Times New Roman" w:eastAsiaTheme="minorHAnsi" w:hAnsi="Times New Roman" w:cs="Times New Roman"/>
          <w:color w:val="auto"/>
          <w:lang w:eastAsia="en-US"/>
        </w:rPr>
        <w:t xml:space="preserve"> veiksnį iš lygties reikia pašalinti, nes nedarbo lygio rodiklis tarp </w:t>
      </w:r>
      <w:r w:rsidR="002653DB">
        <w:rPr>
          <w:rFonts w:ascii="Times New Roman" w:eastAsiaTheme="minorHAnsi" w:hAnsi="Times New Roman" w:cs="Times New Roman"/>
          <w:color w:val="auto"/>
          <w:lang w:eastAsia="en-US"/>
        </w:rPr>
        <w:t>analizuojamų</w:t>
      </w:r>
      <w:r w:rsidR="00C12AB6">
        <w:rPr>
          <w:rFonts w:ascii="Times New Roman" w:eastAsiaTheme="minorHAnsi" w:hAnsi="Times New Roman" w:cs="Times New Roman"/>
          <w:color w:val="auto"/>
          <w:lang w:eastAsia="en-US"/>
        </w:rPr>
        <w:t xml:space="preserve"> veiksnių yra nereikšmingas </w:t>
      </w:r>
      <w:r w:rsidR="00AE183A">
        <w:rPr>
          <w:rFonts w:ascii="Times New Roman" w:eastAsiaTheme="minorHAnsi" w:hAnsi="Times New Roman" w:cs="Times New Roman"/>
          <w:color w:val="auto"/>
          <w:lang w:eastAsia="en-US"/>
        </w:rPr>
        <w:t>vertinant</w:t>
      </w:r>
      <w:r w:rsidR="002653DB">
        <w:rPr>
          <w:rFonts w:ascii="Times New Roman" w:eastAsiaTheme="minorHAnsi" w:hAnsi="Times New Roman" w:cs="Times New Roman"/>
          <w:color w:val="auto"/>
          <w:lang w:eastAsia="en-US"/>
        </w:rPr>
        <w:t xml:space="preserve"> įtaką BVP pokyčiams Lietuvoje. Pašalinę nedarbo lygio veiksnį iš lygties bandysime sudarinėti naują lygtį priklausomu veiksniu laikant BVP, o nepriklausomais – lizingo rinką ir tiesiogines užsienio investicijas. </w:t>
      </w:r>
      <w:r w:rsidR="00872FDC">
        <w:rPr>
          <w:rFonts w:ascii="Times New Roman" w:eastAsiaTheme="minorHAnsi" w:hAnsi="Times New Roman" w:cs="Times New Roman"/>
          <w:color w:val="auto"/>
          <w:lang w:eastAsia="en-US"/>
        </w:rPr>
        <w:t xml:space="preserve">Naujai gauti daugiamatės regresijos koeficientai pateikiami </w:t>
      </w:r>
      <w:r w:rsidR="002653DB">
        <w:rPr>
          <w:rFonts w:ascii="Times New Roman" w:eastAsiaTheme="minorHAnsi" w:hAnsi="Times New Roman" w:cs="Times New Roman"/>
          <w:color w:val="auto"/>
          <w:lang w:eastAsia="en-US"/>
        </w:rPr>
        <w:t>6 lentelėje.</w:t>
      </w:r>
    </w:p>
    <w:p w:rsidR="00940300" w:rsidRDefault="00940300" w:rsidP="00162915">
      <w:pPr>
        <w:tabs>
          <w:tab w:val="left" w:pos="567"/>
          <w:tab w:val="left" w:pos="1134"/>
        </w:tabs>
        <w:spacing w:line="360" w:lineRule="auto"/>
        <w:jc w:val="both"/>
        <w:rPr>
          <w:rFonts w:ascii="Times New Roman" w:hAnsi="Times New Roman" w:cs="Times New Roman"/>
        </w:rPr>
      </w:pPr>
    </w:p>
    <w:p w:rsidR="00120867" w:rsidRDefault="00120867" w:rsidP="00924B1F">
      <w:pPr>
        <w:pStyle w:val="Lentels"/>
      </w:pPr>
      <w:bookmarkStart w:id="41" w:name="_Toc343459643"/>
      <w:r>
        <w:t>6 lentelė. Daugiamatės regresijos koeficientų lentelė, priklausomas kintamasis - BVP, nepriklausomi – lizingo portfelis, tiesioginės užsienio investicijos</w:t>
      </w:r>
      <w:bookmarkEnd w:id="41"/>
    </w:p>
    <w:tbl>
      <w:tblPr>
        <w:tblStyle w:val="LightList-Accent5"/>
        <w:tblW w:w="8486" w:type="dxa"/>
        <w:jc w:val="center"/>
        <w:tblLayout w:type="fixed"/>
        <w:tblLook w:val="0000" w:firstRow="0" w:lastRow="0" w:firstColumn="0" w:lastColumn="0" w:noHBand="0" w:noVBand="0"/>
      </w:tblPr>
      <w:tblGrid>
        <w:gridCol w:w="727"/>
        <w:gridCol w:w="1958"/>
        <w:gridCol w:w="1013"/>
        <w:gridCol w:w="1319"/>
        <w:gridCol w:w="1496"/>
        <w:gridCol w:w="965"/>
        <w:gridCol w:w="1008"/>
      </w:tblGrid>
      <w:tr w:rsidR="00120867" w:rsidRPr="007A6210" w:rsidTr="007A6210">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685" w:type="dxa"/>
            <w:gridSpan w:val="2"/>
            <w:vMerge w:val="restart"/>
          </w:tcPr>
          <w:p w:rsidR="00120867" w:rsidRPr="007A6210" w:rsidRDefault="00120867" w:rsidP="00120867">
            <w:pPr>
              <w:autoSpaceDE w:val="0"/>
              <w:autoSpaceDN w:val="0"/>
              <w:adjustRightInd w:val="0"/>
              <w:spacing w:line="320" w:lineRule="atLeast"/>
              <w:ind w:left="60" w:right="6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Model</w:t>
            </w:r>
          </w:p>
        </w:tc>
        <w:tc>
          <w:tcPr>
            <w:tcW w:w="2332" w:type="dxa"/>
            <w:gridSpan w:val="2"/>
          </w:tcPr>
          <w:p w:rsidR="00120867" w:rsidRPr="007A6210" w:rsidRDefault="00120867" w:rsidP="00120867">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Unstandardized Coefficients</w:t>
            </w:r>
          </w:p>
        </w:tc>
        <w:tc>
          <w:tcPr>
            <w:cnfStyle w:val="000010000000" w:firstRow="0" w:lastRow="0" w:firstColumn="0" w:lastColumn="0" w:oddVBand="1" w:evenVBand="0" w:oddHBand="0" w:evenHBand="0" w:firstRowFirstColumn="0" w:firstRowLastColumn="0" w:lastRowFirstColumn="0" w:lastRowLastColumn="0"/>
            <w:tcW w:w="1496" w:type="dxa"/>
          </w:tcPr>
          <w:p w:rsidR="00120867" w:rsidRPr="007A6210" w:rsidRDefault="00120867" w:rsidP="00120867">
            <w:pPr>
              <w:autoSpaceDE w:val="0"/>
              <w:autoSpaceDN w:val="0"/>
              <w:adjustRightInd w:val="0"/>
              <w:spacing w:line="320" w:lineRule="atLeast"/>
              <w:ind w:left="60" w:right="60"/>
              <w:jc w:val="center"/>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Standardized Coefficients</w:t>
            </w:r>
          </w:p>
        </w:tc>
        <w:tc>
          <w:tcPr>
            <w:tcW w:w="965" w:type="dxa"/>
            <w:vMerge w:val="restart"/>
          </w:tcPr>
          <w:p w:rsidR="00120867" w:rsidRPr="007A6210" w:rsidRDefault="00120867" w:rsidP="00120867">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t</w:t>
            </w:r>
          </w:p>
        </w:tc>
        <w:tc>
          <w:tcPr>
            <w:cnfStyle w:val="000010000000" w:firstRow="0" w:lastRow="0" w:firstColumn="0" w:lastColumn="0" w:oddVBand="1" w:evenVBand="0" w:oddHBand="0" w:evenHBand="0" w:firstRowFirstColumn="0" w:firstRowLastColumn="0" w:lastRowFirstColumn="0" w:lastRowLastColumn="0"/>
            <w:tcW w:w="1008" w:type="dxa"/>
            <w:vMerge w:val="restart"/>
          </w:tcPr>
          <w:p w:rsidR="00120867" w:rsidRPr="007A6210" w:rsidRDefault="00120867" w:rsidP="00120867">
            <w:pPr>
              <w:autoSpaceDE w:val="0"/>
              <w:autoSpaceDN w:val="0"/>
              <w:adjustRightInd w:val="0"/>
              <w:spacing w:line="320" w:lineRule="atLeast"/>
              <w:ind w:left="60" w:right="60"/>
              <w:jc w:val="center"/>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Sig.</w:t>
            </w:r>
          </w:p>
        </w:tc>
      </w:tr>
      <w:tr w:rsidR="00120867" w:rsidRPr="007A6210" w:rsidTr="007A6210">
        <w:trPr>
          <w:jc w:val="center"/>
        </w:trPr>
        <w:tc>
          <w:tcPr>
            <w:cnfStyle w:val="000010000000" w:firstRow="0" w:lastRow="0" w:firstColumn="0" w:lastColumn="0" w:oddVBand="1" w:evenVBand="0" w:oddHBand="0" w:evenHBand="0" w:firstRowFirstColumn="0" w:firstRowLastColumn="0" w:lastRowFirstColumn="0" w:lastRowLastColumn="0"/>
            <w:tcW w:w="2685" w:type="dxa"/>
            <w:gridSpan w:val="2"/>
            <w:vMerge/>
          </w:tcPr>
          <w:p w:rsidR="00120867" w:rsidRPr="007A6210" w:rsidRDefault="00120867" w:rsidP="00120867">
            <w:pPr>
              <w:autoSpaceDE w:val="0"/>
              <w:autoSpaceDN w:val="0"/>
              <w:adjustRightInd w:val="0"/>
              <w:rPr>
                <w:rFonts w:ascii="Times New Roman" w:eastAsiaTheme="minorHAnsi" w:hAnsi="Times New Roman" w:cs="Times New Roman"/>
                <w:sz w:val="22"/>
                <w:szCs w:val="22"/>
                <w:lang w:eastAsia="en-US"/>
              </w:rPr>
            </w:pPr>
          </w:p>
        </w:tc>
        <w:tc>
          <w:tcPr>
            <w:tcW w:w="1013" w:type="dxa"/>
          </w:tcPr>
          <w:p w:rsidR="00120867" w:rsidRPr="007A6210" w:rsidRDefault="00120867" w:rsidP="0012086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B</w:t>
            </w:r>
          </w:p>
        </w:tc>
        <w:tc>
          <w:tcPr>
            <w:cnfStyle w:val="000010000000" w:firstRow="0" w:lastRow="0" w:firstColumn="0" w:lastColumn="0" w:oddVBand="1" w:evenVBand="0" w:oddHBand="0" w:evenHBand="0" w:firstRowFirstColumn="0" w:firstRowLastColumn="0" w:lastRowFirstColumn="0" w:lastRowLastColumn="0"/>
            <w:tcW w:w="1319" w:type="dxa"/>
          </w:tcPr>
          <w:p w:rsidR="00120867" w:rsidRPr="007A6210" w:rsidRDefault="00120867" w:rsidP="00120867">
            <w:pPr>
              <w:autoSpaceDE w:val="0"/>
              <w:autoSpaceDN w:val="0"/>
              <w:adjustRightInd w:val="0"/>
              <w:spacing w:line="320" w:lineRule="atLeast"/>
              <w:ind w:left="60" w:right="60"/>
              <w:jc w:val="center"/>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Std. Error</w:t>
            </w:r>
          </w:p>
        </w:tc>
        <w:tc>
          <w:tcPr>
            <w:tcW w:w="1496" w:type="dxa"/>
          </w:tcPr>
          <w:p w:rsidR="00120867" w:rsidRPr="007A6210" w:rsidRDefault="00120867" w:rsidP="00120867">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Beta</w:t>
            </w:r>
          </w:p>
        </w:tc>
        <w:tc>
          <w:tcPr>
            <w:cnfStyle w:val="000010000000" w:firstRow="0" w:lastRow="0" w:firstColumn="0" w:lastColumn="0" w:oddVBand="1" w:evenVBand="0" w:oddHBand="0" w:evenHBand="0" w:firstRowFirstColumn="0" w:firstRowLastColumn="0" w:lastRowFirstColumn="0" w:lastRowLastColumn="0"/>
            <w:tcW w:w="965" w:type="dxa"/>
            <w:vMerge/>
          </w:tcPr>
          <w:p w:rsidR="00120867" w:rsidRPr="007A6210" w:rsidRDefault="00120867" w:rsidP="00120867">
            <w:pPr>
              <w:autoSpaceDE w:val="0"/>
              <w:autoSpaceDN w:val="0"/>
              <w:adjustRightInd w:val="0"/>
              <w:rPr>
                <w:rFonts w:ascii="Times New Roman" w:eastAsiaTheme="minorHAnsi" w:hAnsi="Times New Roman" w:cs="Times New Roman"/>
                <w:sz w:val="22"/>
                <w:szCs w:val="22"/>
                <w:lang w:eastAsia="en-US"/>
              </w:rPr>
            </w:pPr>
          </w:p>
        </w:tc>
        <w:tc>
          <w:tcPr>
            <w:tcW w:w="1008" w:type="dxa"/>
            <w:vMerge/>
          </w:tcPr>
          <w:p w:rsidR="00120867" w:rsidRPr="007A6210" w:rsidRDefault="00120867" w:rsidP="0012086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p>
        </w:tc>
      </w:tr>
      <w:tr w:rsidR="00120867" w:rsidRPr="007A6210" w:rsidTr="007A6210">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27" w:type="dxa"/>
            <w:vMerge w:val="restart"/>
          </w:tcPr>
          <w:p w:rsidR="00120867" w:rsidRPr="007A6210" w:rsidRDefault="00120867" w:rsidP="00120867">
            <w:pPr>
              <w:autoSpaceDE w:val="0"/>
              <w:autoSpaceDN w:val="0"/>
              <w:adjustRightInd w:val="0"/>
              <w:spacing w:line="320" w:lineRule="atLeast"/>
              <w:ind w:left="60" w:right="6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w:t>
            </w:r>
          </w:p>
        </w:tc>
        <w:tc>
          <w:tcPr>
            <w:tcW w:w="1958" w:type="dxa"/>
          </w:tcPr>
          <w:p w:rsidR="00120867" w:rsidRPr="007A6210" w:rsidRDefault="00120867" w:rsidP="00120867">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(Constant)</w:t>
            </w:r>
          </w:p>
        </w:tc>
        <w:tc>
          <w:tcPr>
            <w:cnfStyle w:val="000010000000" w:firstRow="0" w:lastRow="0" w:firstColumn="0" w:lastColumn="0" w:oddVBand="1" w:evenVBand="0" w:oddHBand="0" w:evenHBand="0" w:firstRowFirstColumn="0" w:firstRowLastColumn="0" w:lastRowFirstColumn="0" w:lastRowLastColumn="0"/>
            <w:tcW w:w="1013"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30,015</w:t>
            </w:r>
          </w:p>
        </w:tc>
        <w:tc>
          <w:tcPr>
            <w:tcW w:w="1319" w:type="dxa"/>
          </w:tcPr>
          <w:p w:rsidR="00120867" w:rsidRPr="007A6210" w:rsidRDefault="00120867" w:rsidP="00120867">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3,194</w:t>
            </w:r>
          </w:p>
        </w:tc>
        <w:tc>
          <w:tcPr>
            <w:cnfStyle w:val="000010000000" w:firstRow="0" w:lastRow="0" w:firstColumn="0" w:lastColumn="0" w:oddVBand="1" w:evenVBand="0" w:oddHBand="0" w:evenHBand="0" w:firstRowFirstColumn="0" w:firstRowLastColumn="0" w:lastRowFirstColumn="0" w:lastRowLastColumn="0"/>
            <w:tcW w:w="1496" w:type="dxa"/>
          </w:tcPr>
          <w:p w:rsidR="00120867" w:rsidRPr="007A6210" w:rsidRDefault="00120867" w:rsidP="00120867">
            <w:pPr>
              <w:autoSpaceDE w:val="0"/>
              <w:autoSpaceDN w:val="0"/>
              <w:adjustRightInd w:val="0"/>
              <w:jc w:val="center"/>
              <w:rPr>
                <w:rFonts w:ascii="Times New Roman" w:eastAsiaTheme="minorHAnsi" w:hAnsi="Times New Roman" w:cs="Times New Roman"/>
                <w:color w:val="auto"/>
                <w:sz w:val="22"/>
                <w:szCs w:val="22"/>
                <w:lang w:eastAsia="en-US"/>
              </w:rPr>
            </w:pPr>
          </w:p>
        </w:tc>
        <w:tc>
          <w:tcPr>
            <w:tcW w:w="965" w:type="dxa"/>
          </w:tcPr>
          <w:p w:rsidR="00120867" w:rsidRPr="007A6210" w:rsidRDefault="00120867" w:rsidP="00120867">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9,397</w:t>
            </w:r>
          </w:p>
        </w:tc>
        <w:tc>
          <w:tcPr>
            <w:cnfStyle w:val="000010000000" w:firstRow="0" w:lastRow="0" w:firstColumn="0" w:lastColumn="0" w:oddVBand="1" w:evenVBand="0" w:oddHBand="0" w:evenHBand="0" w:firstRowFirstColumn="0" w:firstRowLastColumn="0" w:lastRowFirstColumn="0" w:lastRowLastColumn="0"/>
            <w:tcW w:w="1008"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,000</w:t>
            </w:r>
          </w:p>
        </w:tc>
      </w:tr>
      <w:tr w:rsidR="00120867" w:rsidRPr="007A6210" w:rsidTr="007A6210">
        <w:trPr>
          <w:jc w:val="center"/>
        </w:trPr>
        <w:tc>
          <w:tcPr>
            <w:cnfStyle w:val="000010000000" w:firstRow="0" w:lastRow="0" w:firstColumn="0" w:lastColumn="0" w:oddVBand="1" w:evenVBand="0" w:oddHBand="0" w:evenHBand="0" w:firstRowFirstColumn="0" w:firstRowLastColumn="0" w:lastRowFirstColumn="0" w:lastRowLastColumn="0"/>
            <w:tcW w:w="727" w:type="dxa"/>
            <w:vMerge/>
          </w:tcPr>
          <w:p w:rsidR="00120867" w:rsidRPr="007A6210" w:rsidRDefault="00120867" w:rsidP="00120867">
            <w:pPr>
              <w:autoSpaceDE w:val="0"/>
              <w:autoSpaceDN w:val="0"/>
              <w:adjustRightInd w:val="0"/>
              <w:rPr>
                <w:rFonts w:ascii="Times New Roman" w:eastAsiaTheme="minorHAnsi" w:hAnsi="Times New Roman" w:cs="Times New Roman"/>
                <w:color w:val="auto"/>
                <w:sz w:val="22"/>
                <w:szCs w:val="22"/>
                <w:lang w:eastAsia="en-US"/>
              </w:rPr>
            </w:pPr>
          </w:p>
        </w:tc>
        <w:tc>
          <w:tcPr>
            <w:tcW w:w="1958" w:type="dxa"/>
          </w:tcPr>
          <w:p w:rsidR="00120867" w:rsidRPr="007A6210" w:rsidRDefault="00120867" w:rsidP="00120867">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Lizingo_portfelis</w:t>
            </w:r>
          </w:p>
        </w:tc>
        <w:tc>
          <w:tcPr>
            <w:cnfStyle w:val="000010000000" w:firstRow="0" w:lastRow="0" w:firstColumn="0" w:lastColumn="0" w:oddVBand="1" w:evenVBand="0" w:oddHBand="0" w:evenHBand="0" w:firstRowFirstColumn="0" w:firstRowLastColumn="0" w:lastRowFirstColumn="0" w:lastRowLastColumn="0"/>
            <w:tcW w:w="1013"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1,821</w:t>
            </w:r>
          </w:p>
        </w:tc>
        <w:tc>
          <w:tcPr>
            <w:tcW w:w="1319" w:type="dxa"/>
          </w:tcPr>
          <w:p w:rsidR="00120867" w:rsidRPr="007A6210" w:rsidRDefault="00120867" w:rsidP="00120867">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,793</w:t>
            </w:r>
          </w:p>
        </w:tc>
        <w:tc>
          <w:tcPr>
            <w:cnfStyle w:val="000010000000" w:firstRow="0" w:lastRow="0" w:firstColumn="0" w:lastColumn="0" w:oddVBand="1" w:evenVBand="0" w:oddHBand="0" w:evenHBand="0" w:firstRowFirstColumn="0" w:firstRowLastColumn="0" w:lastRowFirstColumn="0" w:lastRowLastColumn="0"/>
            <w:tcW w:w="1496"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,271</w:t>
            </w:r>
          </w:p>
        </w:tc>
        <w:tc>
          <w:tcPr>
            <w:tcW w:w="965" w:type="dxa"/>
          </w:tcPr>
          <w:p w:rsidR="00120867" w:rsidRPr="007A6210" w:rsidRDefault="00120867" w:rsidP="00120867">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2,297</w:t>
            </w:r>
          </w:p>
        </w:tc>
        <w:tc>
          <w:tcPr>
            <w:cnfStyle w:val="000010000000" w:firstRow="0" w:lastRow="0" w:firstColumn="0" w:lastColumn="0" w:oddVBand="1" w:evenVBand="0" w:oddHBand="0" w:evenHBand="0" w:firstRowFirstColumn="0" w:firstRowLastColumn="0" w:lastRowFirstColumn="0" w:lastRowLastColumn="0"/>
            <w:tcW w:w="1008"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,042</w:t>
            </w:r>
          </w:p>
        </w:tc>
      </w:tr>
      <w:tr w:rsidR="00120867" w:rsidRPr="007A6210" w:rsidTr="007A6210">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27" w:type="dxa"/>
            <w:vMerge/>
          </w:tcPr>
          <w:p w:rsidR="00120867" w:rsidRPr="007A6210" w:rsidRDefault="00120867" w:rsidP="00120867">
            <w:pPr>
              <w:autoSpaceDE w:val="0"/>
              <w:autoSpaceDN w:val="0"/>
              <w:adjustRightInd w:val="0"/>
              <w:rPr>
                <w:rFonts w:ascii="Times New Roman" w:eastAsiaTheme="minorHAnsi" w:hAnsi="Times New Roman" w:cs="Times New Roman"/>
                <w:sz w:val="22"/>
                <w:szCs w:val="22"/>
                <w:lang w:eastAsia="en-US"/>
              </w:rPr>
            </w:pPr>
          </w:p>
        </w:tc>
        <w:tc>
          <w:tcPr>
            <w:tcW w:w="1958" w:type="dxa"/>
          </w:tcPr>
          <w:p w:rsidR="00120867" w:rsidRPr="007A6210" w:rsidRDefault="00120867" w:rsidP="00120867">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TUI</w:t>
            </w:r>
          </w:p>
        </w:tc>
        <w:tc>
          <w:tcPr>
            <w:cnfStyle w:val="000010000000" w:firstRow="0" w:lastRow="0" w:firstColumn="0" w:lastColumn="0" w:oddVBand="1" w:evenVBand="0" w:oddHBand="0" w:evenHBand="0" w:firstRowFirstColumn="0" w:firstRowLastColumn="0" w:lastRowFirstColumn="0" w:lastRowLastColumn="0"/>
            <w:tcW w:w="1013"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1,578</w:t>
            </w:r>
          </w:p>
        </w:tc>
        <w:tc>
          <w:tcPr>
            <w:tcW w:w="1319" w:type="dxa"/>
          </w:tcPr>
          <w:p w:rsidR="00120867" w:rsidRPr="007A6210" w:rsidRDefault="00120867" w:rsidP="00120867">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,253</w:t>
            </w:r>
          </w:p>
        </w:tc>
        <w:tc>
          <w:tcPr>
            <w:cnfStyle w:val="000010000000" w:firstRow="0" w:lastRow="0" w:firstColumn="0" w:lastColumn="0" w:oddVBand="1" w:evenVBand="0" w:oddHBand="0" w:evenHBand="0" w:firstRowFirstColumn="0" w:firstRowLastColumn="0" w:lastRowFirstColumn="0" w:lastRowLastColumn="0"/>
            <w:tcW w:w="1496"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,736</w:t>
            </w:r>
          </w:p>
        </w:tc>
        <w:tc>
          <w:tcPr>
            <w:tcW w:w="965" w:type="dxa"/>
          </w:tcPr>
          <w:p w:rsidR="00120867" w:rsidRPr="007A6210" w:rsidRDefault="00120867" w:rsidP="00120867">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6,240</w:t>
            </w:r>
          </w:p>
        </w:tc>
        <w:tc>
          <w:tcPr>
            <w:cnfStyle w:val="000010000000" w:firstRow="0" w:lastRow="0" w:firstColumn="0" w:lastColumn="0" w:oddVBand="1" w:evenVBand="0" w:oddHBand="0" w:evenHBand="0" w:firstRowFirstColumn="0" w:firstRowLastColumn="0" w:lastRowFirstColumn="0" w:lastRowLastColumn="0"/>
            <w:tcW w:w="1008" w:type="dxa"/>
          </w:tcPr>
          <w:p w:rsidR="00120867" w:rsidRPr="007A6210" w:rsidRDefault="00120867" w:rsidP="00120867">
            <w:pPr>
              <w:autoSpaceDE w:val="0"/>
              <w:autoSpaceDN w:val="0"/>
              <w:adjustRightInd w:val="0"/>
              <w:spacing w:line="320" w:lineRule="atLeast"/>
              <w:ind w:left="60" w:right="60"/>
              <w:jc w:val="right"/>
              <w:rPr>
                <w:rFonts w:ascii="Times New Roman" w:eastAsiaTheme="minorHAnsi" w:hAnsi="Times New Roman" w:cs="Times New Roman"/>
                <w:sz w:val="22"/>
                <w:szCs w:val="22"/>
                <w:lang w:eastAsia="en-US"/>
              </w:rPr>
            </w:pPr>
            <w:r w:rsidRPr="007A6210">
              <w:rPr>
                <w:rFonts w:ascii="Times New Roman" w:eastAsiaTheme="minorHAnsi" w:hAnsi="Times New Roman" w:cs="Times New Roman"/>
                <w:sz w:val="22"/>
                <w:szCs w:val="22"/>
                <w:lang w:eastAsia="en-US"/>
              </w:rPr>
              <w:t>,000</w:t>
            </w:r>
          </w:p>
        </w:tc>
      </w:tr>
    </w:tbl>
    <w:p w:rsidR="00120867" w:rsidRDefault="003B20D6" w:rsidP="003B20D6">
      <w:pPr>
        <w:autoSpaceDE w:val="0"/>
        <w:autoSpaceDN w:val="0"/>
        <w:adjustRightInd w:val="0"/>
        <w:spacing w:line="400" w:lineRule="atLeast"/>
        <w:ind w:firstLine="851"/>
        <w:rPr>
          <w:rFonts w:ascii="Times New Roman" w:eastAsiaTheme="minorHAnsi" w:hAnsi="Times New Roman" w:cs="Times New Roman"/>
          <w:color w:val="auto"/>
          <w:sz w:val="20"/>
          <w:szCs w:val="20"/>
          <w:lang w:eastAsia="en-US"/>
        </w:rPr>
      </w:pPr>
      <w:r w:rsidRPr="003B20D6">
        <w:rPr>
          <w:rFonts w:ascii="Times New Roman" w:eastAsiaTheme="minorHAnsi" w:hAnsi="Times New Roman" w:cs="Times New Roman"/>
          <w:b/>
          <w:color w:val="auto"/>
          <w:sz w:val="20"/>
          <w:szCs w:val="20"/>
          <w:lang w:eastAsia="en-US"/>
        </w:rPr>
        <w:t>Šaltinis:</w:t>
      </w:r>
      <w:r>
        <w:rPr>
          <w:rFonts w:ascii="Times New Roman" w:eastAsiaTheme="minorHAnsi" w:hAnsi="Times New Roman" w:cs="Times New Roman"/>
          <w:color w:val="auto"/>
          <w:sz w:val="20"/>
          <w:szCs w:val="20"/>
          <w:lang w:eastAsia="en-US"/>
        </w:rPr>
        <w:t xml:space="preserve"> sudaryta autoriaus</w:t>
      </w:r>
    </w:p>
    <w:p w:rsidR="003B20D6" w:rsidRPr="003B20D6" w:rsidRDefault="003B20D6" w:rsidP="00120867">
      <w:pPr>
        <w:autoSpaceDE w:val="0"/>
        <w:autoSpaceDN w:val="0"/>
        <w:adjustRightInd w:val="0"/>
        <w:spacing w:line="400" w:lineRule="atLeast"/>
        <w:rPr>
          <w:rFonts w:ascii="Times New Roman" w:eastAsiaTheme="minorHAnsi" w:hAnsi="Times New Roman" w:cs="Times New Roman"/>
          <w:color w:val="auto"/>
          <w:lang w:eastAsia="en-US"/>
        </w:rPr>
      </w:pPr>
    </w:p>
    <w:p w:rsidR="00120867" w:rsidRDefault="00120867" w:rsidP="008A4438">
      <w:pPr>
        <w:tabs>
          <w:tab w:val="left" w:pos="567"/>
        </w:tabs>
        <w:autoSpaceDE w:val="0"/>
        <w:autoSpaceDN w:val="0"/>
        <w:adjustRightInd w:val="0"/>
        <w:spacing w:line="400" w:lineRule="atLeast"/>
        <w:jc w:val="both"/>
        <w:rPr>
          <w:rFonts w:ascii="Times New Roman" w:eastAsiaTheme="minorHAnsi" w:hAnsi="Times New Roman" w:cs="Times New Roman"/>
          <w:color w:val="auto"/>
          <w:lang w:eastAsia="en-US"/>
        </w:rPr>
      </w:pPr>
      <w:r>
        <w:rPr>
          <w:rFonts w:ascii="Times New Roman" w:eastAsiaTheme="minorHAnsi" w:hAnsi="Times New Roman" w:cs="Times New Roman"/>
          <w:color w:val="auto"/>
          <w:lang w:eastAsia="en-US"/>
        </w:rPr>
        <w:tab/>
      </w:r>
      <w:r w:rsidR="008A4438">
        <w:rPr>
          <w:rFonts w:ascii="Times New Roman" w:eastAsiaTheme="minorHAnsi" w:hAnsi="Times New Roman" w:cs="Times New Roman"/>
          <w:color w:val="auto"/>
          <w:lang w:eastAsia="en-US"/>
        </w:rPr>
        <w:t xml:space="preserve">Kaip iš pateiktos lentelės matome, šiuo atveju abu nagrinėjami veiksniai lygčiai yra tinkami. </w:t>
      </w:r>
      <w:r w:rsidR="00E4256B">
        <w:rPr>
          <w:rFonts w:ascii="Times New Roman" w:eastAsiaTheme="minorHAnsi" w:hAnsi="Times New Roman" w:cs="Times New Roman"/>
          <w:color w:val="auto"/>
          <w:lang w:eastAsia="en-US"/>
        </w:rPr>
        <w:t xml:space="preserve">Tiek lizingo rinkos, tiek tiesioginių užsienių investicijų klaidos padarymo tikimybė yra mažesnė už nustatytą. Reikšmingiau BVP įtakoja tiesioginės užsienio investicijos. Įtakos reikšmingumą galima nustatyti pagal „beta“ koeficientą. Tiesioginių užsienio investicijų atveju jis siekia 0,793, lizingo rinkos 0,253. Tačiau gavus regresijos lygties koeficientus reikia įvertinti ar apskritai ši lygtis </w:t>
      </w:r>
      <w:r w:rsidR="005376C7">
        <w:rPr>
          <w:rFonts w:ascii="Times New Roman" w:eastAsiaTheme="minorHAnsi" w:hAnsi="Times New Roman" w:cs="Times New Roman"/>
          <w:color w:val="auto"/>
          <w:lang w:eastAsia="en-US"/>
        </w:rPr>
        <w:t>yra tinkama. Apskaičiuoti</w:t>
      </w:r>
      <w:r w:rsidR="00E4256B">
        <w:rPr>
          <w:rFonts w:ascii="Times New Roman" w:eastAsiaTheme="minorHAnsi" w:hAnsi="Times New Roman" w:cs="Times New Roman"/>
          <w:color w:val="auto"/>
          <w:lang w:eastAsia="en-US"/>
        </w:rPr>
        <w:t xml:space="preserve"> kintamieji, padedantys nustatyti lygties teisingumą pateikti 7 lentelėje:</w:t>
      </w:r>
    </w:p>
    <w:p w:rsidR="00E4256B" w:rsidRDefault="00E4256B" w:rsidP="008A4438">
      <w:pPr>
        <w:tabs>
          <w:tab w:val="left" w:pos="567"/>
        </w:tabs>
        <w:autoSpaceDE w:val="0"/>
        <w:autoSpaceDN w:val="0"/>
        <w:adjustRightInd w:val="0"/>
        <w:spacing w:line="400" w:lineRule="atLeast"/>
        <w:jc w:val="both"/>
        <w:rPr>
          <w:rFonts w:ascii="Times New Roman" w:eastAsiaTheme="minorHAnsi" w:hAnsi="Times New Roman" w:cs="Times New Roman"/>
          <w:color w:val="auto"/>
          <w:lang w:eastAsia="en-US"/>
        </w:rPr>
      </w:pPr>
      <w:r>
        <w:rPr>
          <w:rFonts w:ascii="Times New Roman" w:eastAsiaTheme="minorHAnsi" w:hAnsi="Times New Roman" w:cs="Times New Roman"/>
          <w:color w:val="auto"/>
          <w:lang w:eastAsia="en-US"/>
        </w:rPr>
        <w:tab/>
      </w:r>
    </w:p>
    <w:p w:rsidR="00E4256B" w:rsidRPr="00E4256B" w:rsidRDefault="00E4256B" w:rsidP="00924B1F">
      <w:pPr>
        <w:pStyle w:val="Lentels"/>
        <w:rPr>
          <w:lang w:eastAsia="en-US"/>
        </w:rPr>
      </w:pPr>
      <w:bookmarkStart w:id="42" w:name="_Toc343459644"/>
      <w:r w:rsidRPr="00E4256B">
        <w:rPr>
          <w:lang w:eastAsia="en-US"/>
        </w:rPr>
        <w:t>7 lentelė</w:t>
      </w:r>
      <w:r w:rsidR="00C14005">
        <w:rPr>
          <w:lang w:eastAsia="en-US"/>
        </w:rPr>
        <w:t>. Daugiamatės regresinės analizės kintamieji</w:t>
      </w:r>
      <w:bookmarkEnd w:id="42"/>
    </w:p>
    <w:tbl>
      <w:tblPr>
        <w:tblStyle w:val="LightGrid-Accent5"/>
        <w:tblW w:w="0" w:type="auto"/>
        <w:jc w:val="center"/>
        <w:tblLook w:val="04A0" w:firstRow="1" w:lastRow="0" w:firstColumn="1" w:lastColumn="0" w:noHBand="0" w:noVBand="1"/>
      </w:tblPr>
      <w:tblGrid>
        <w:gridCol w:w="1406"/>
        <w:gridCol w:w="1193"/>
        <w:gridCol w:w="1119"/>
        <w:gridCol w:w="1194"/>
        <w:gridCol w:w="1119"/>
        <w:gridCol w:w="1683"/>
        <w:gridCol w:w="791"/>
      </w:tblGrid>
      <w:tr w:rsidR="00E4256B" w:rsidRPr="000B7E19" w:rsidTr="000B7E1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06" w:type="dxa"/>
          </w:tcPr>
          <w:p w:rsidR="00E4256B" w:rsidRPr="000B7E19" w:rsidRDefault="00E4256B" w:rsidP="0069405A">
            <w:pPr>
              <w:spacing w:line="360" w:lineRule="auto"/>
              <w:jc w:val="center"/>
              <w:rPr>
                <w:rFonts w:ascii="Times New Roman" w:hAnsi="Times New Roman" w:cs="Times New Roman"/>
                <w:b w:val="0"/>
              </w:rPr>
            </w:pPr>
            <w:r w:rsidRPr="000B7E19">
              <w:rPr>
                <w:rFonts w:ascii="Times New Roman" w:hAnsi="Times New Roman" w:cs="Times New Roman"/>
                <w:b w:val="0"/>
              </w:rPr>
              <w:t>Koreliacijos koeficientas</w:t>
            </w:r>
          </w:p>
        </w:tc>
        <w:tc>
          <w:tcPr>
            <w:tcW w:w="1193" w:type="dxa"/>
          </w:tcPr>
          <w:p w:rsidR="00E4256B" w:rsidRPr="000B7E19" w:rsidRDefault="00E4256B" w:rsidP="0069405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t kriterijus</w:t>
            </w:r>
          </w:p>
        </w:tc>
        <w:tc>
          <w:tcPr>
            <w:tcW w:w="1119" w:type="dxa"/>
          </w:tcPr>
          <w:p w:rsidR="00E4256B" w:rsidRPr="000B7E19" w:rsidRDefault="00E4256B" w:rsidP="0069405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t kritinė reikšmė</w:t>
            </w:r>
          </w:p>
        </w:tc>
        <w:tc>
          <w:tcPr>
            <w:tcW w:w="1194" w:type="dxa"/>
          </w:tcPr>
          <w:p w:rsidR="00E4256B" w:rsidRPr="000B7E19" w:rsidRDefault="00E4256B" w:rsidP="0069405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F kriterijus</w:t>
            </w:r>
          </w:p>
        </w:tc>
        <w:tc>
          <w:tcPr>
            <w:tcW w:w="1119" w:type="dxa"/>
          </w:tcPr>
          <w:p w:rsidR="00E4256B" w:rsidRPr="000B7E19" w:rsidRDefault="00E4256B" w:rsidP="0069405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F kritinė reikšmė</w:t>
            </w:r>
          </w:p>
        </w:tc>
        <w:tc>
          <w:tcPr>
            <w:tcW w:w="1683" w:type="dxa"/>
          </w:tcPr>
          <w:p w:rsidR="00E4256B" w:rsidRPr="000B7E19" w:rsidRDefault="00E4256B" w:rsidP="0069405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Determinacijos koeficientas</w:t>
            </w:r>
          </w:p>
        </w:tc>
        <w:tc>
          <w:tcPr>
            <w:tcW w:w="791" w:type="dxa"/>
          </w:tcPr>
          <w:p w:rsidR="00E4256B" w:rsidRPr="000B7E19" w:rsidRDefault="00E4256B" w:rsidP="0069405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B7E19">
              <w:rPr>
                <w:rFonts w:ascii="Times New Roman" w:hAnsi="Times New Roman" w:cs="Times New Roman"/>
                <w:b w:val="0"/>
              </w:rPr>
              <w:t>p</w:t>
            </w:r>
          </w:p>
        </w:tc>
      </w:tr>
      <w:tr w:rsidR="00E4256B" w:rsidRPr="000B7E19" w:rsidTr="000B7E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06" w:type="dxa"/>
          </w:tcPr>
          <w:p w:rsidR="00E4256B" w:rsidRPr="000B7E19" w:rsidRDefault="00C14005" w:rsidP="0069405A">
            <w:pPr>
              <w:spacing w:line="360" w:lineRule="auto"/>
              <w:jc w:val="center"/>
              <w:rPr>
                <w:rFonts w:ascii="Times New Roman" w:hAnsi="Times New Roman" w:cs="Times New Roman"/>
                <w:b w:val="0"/>
              </w:rPr>
            </w:pPr>
            <w:r w:rsidRPr="000B7E19">
              <w:rPr>
                <w:rFonts w:ascii="Times New Roman" w:hAnsi="Times New Roman" w:cs="Times New Roman"/>
                <w:b w:val="0"/>
              </w:rPr>
              <w:t>0,984</w:t>
            </w:r>
          </w:p>
        </w:tc>
        <w:tc>
          <w:tcPr>
            <w:tcW w:w="1193" w:type="dxa"/>
          </w:tcPr>
          <w:p w:rsidR="00E4256B" w:rsidRPr="000B7E19" w:rsidRDefault="00C14005" w:rsidP="006940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B7E19">
              <w:rPr>
                <w:rFonts w:ascii="Times New Roman" w:hAnsi="Times New Roman" w:cs="Times New Roman"/>
              </w:rPr>
              <w:t>19,13</w:t>
            </w:r>
          </w:p>
        </w:tc>
        <w:tc>
          <w:tcPr>
            <w:tcW w:w="1119" w:type="dxa"/>
          </w:tcPr>
          <w:p w:rsidR="00E4256B" w:rsidRPr="000B7E19" w:rsidRDefault="00E4256B" w:rsidP="006940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B7E19">
              <w:rPr>
                <w:rFonts w:ascii="Times New Roman" w:hAnsi="Times New Roman" w:cs="Times New Roman"/>
              </w:rPr>
              <w:t>1,761</w:t>
            </w:r>
          </w:p>
        </w:tc>
        <w:tc>
          <w:tcPr>
            <w:tcW w:w="1194" w:type="dxa"/>
          </w:tcPr>
          <w:p w:rsidR="00E4256B" w:rsidRPr="000B7E19" w:rsidRDefault="00C14005" w:rsidP="006940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B7E19">
              <w:rPr>
                <w:rFonts w:ascii="Times New Roman" w:hAnsi="Times New Roman" w:cs="Times New Roman"/>
              </w:rPr>
              <w:t>101,26</w:t>
            </w:r>
          </w:p>
        </w:tc>
        <w:tc>
          <w:tcPr>
            <w:tcW w:w="1119" w:type="dxa"/>
          </w:tcPr>
          <w:p w:rsidR="00E4256B" w:rsidRPr="000B7E19" w:rsidRDefault="00C14005" w:rsidP="006940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B7E19">
              <w:rPr>
                <w:rFonts w:ascii="Times New Roman" w:hAnsi="Times New Roman" w:cs="Times New Roman"/>
              </w:rPr>
              <w:t>3,982</w:t>
            </w:r>
          </w:p>
        </w:tc>
        <w:tc>
          <w:tcPr>
            <w:tcW w:w="1683" w:type="dxa"/>
          </w:tcPr>
          <w:p w:rsidR="00E4256B" w:rsidRPr="000B7E19" w:rsidRDefault="00C14005" w:rsidP="0069405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B7E19">
              <w:rPr>
                <w:rFonts w:ascii="Times New Roman" w:hAnsi="Times New Roman" w:cs="Times New Roman"/>
              </w:rPr>
              <w:t>0,968</w:t>
            </w:r>
          </w:p>
        </w:tc>
        <w:tc>
          <w:tcPr>
            <w:tcW w:w="791" w:type="dxa"/>
          </w:tcPr>
          <w:p w:rsidR="00E4256B" w:rsidRPr="000B7E19" w:rsidRDefault="00E4256B" w:rsidP="0069405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B7E19">
              <w:rPr>
                <w:rFonts w:ascii="Times New Roman" w:hAnsi="Times New Roman" w:cs="Times New Roman"/>
              </w:rPr>
              <w:t>0,000</w:t>
            </w:r>
          </w:p>
        </w:tc>
      </w:tr>
    </w:tbl>
    <w:p w:rsidR="00C14005" w:rsidRDefault="003B20D6" w:rsidP="003B20D6">
      <w:pPr>
        <w:tabs>
          <w:tab w:val="left" w:pos="567"/>
        </w:tabs>
        <w:autoSpaceDE w:val="0"/>
        <w:autoSpaceDN w:val="0"/>
        <w:adjustRightInd w:val="0"/>
        <w:spacing w:line="400" w:lineRule="atLeast"/>
        <w:ind w:firstLine="851"/>
        <w:rPr>
          <w:rFonts w:ascii="Times New Roman" w:eastAsiaTheme="minorHAnsi" w:hAnsi="Times New Roman" w:cs="Times New Roman"/>
          <w:color w:val="auto"/>
          <w:sz w:val="20"/>
          <w:szCs w:val="20"/>
          <w:lang w:eastAsia="en-US"/>
        </w:rPr>
      </w:pPr>
      <w:r w:rsidRPr="003B20D6">
        <w:rPr>
          <w:rFonts w:ascii="Times New Roman" w:eastAsiaTheme="minorHAnsi" w:hAnsi="Times New Roman" w:cs="Times New Roman"/>
          <w:b/>
          <w:color w:val="auto"/>
          <w:sz w:val="20"/>
          <w:szCs w:val="20"/>
          <w:lang w:eastAsia="en-US"/>
        </w:rPr>
        <w:t>Šaltinis:</w:t>
      </w:r>
      <w:r>
        <w:rPr>
          <w:rFonts w:ascii="Times New Roman" w:eastAsiaTheme="minorHAnsi" w:hAnsi="Times New Roman" w:cs="Times New Roman"/>
          <w:color w:val="auto"/>
          <w:sz w:val="20"/>
          <w:szCs w:val="20"/>
          <w:lang w:eastAsia="en-US"/>
        </w:rPr>
        <w:t xml:space="preserve"> sudaryta autoriaus</w:t>
      </w:r>
    </w:p>
    <w:p w:rsidR="003B20D6" w:rsidRPr="003B20D6" w:rsidRDefault="003B20D6" w:rsidP="003B20D6">
      <w:pPr>
        <w:tabs>
          <w:tab w:val="left" w:pos="567"/>
        </w:tabs>
        <w:autoSpaceDE w:val="0"/>
        <w:autoSpaceDN w:val="0"/>
        <w:adjustRightInd w:val="0"/>
        <w:spacing w:line="400" w:lineRule="atLeast"/>
        <w:ind w:firstLine="851"/>
        <w:rPr>
          <w:rFonts w:ascii="Times New Roman" w:eastAsiaTheme="minorHAnsi" w:hAnsi="Times New Roman" w:cs="Times New Roman"/>
          <w:color w:val="auto"/>
          <w:lang w:eastAsia="en-US"/>
        </w:rPr>
      </w:pPr>
    </w:p>
    <w:p w:rsidR="008F66AA" w:rsidRDefault="00C14005" w:rsidP="008A4438">
      <w:pPr>
        <w:tabs>
          <w:tab w:val="left" w:pos="567"/>
        </w:tabs>
        <w:autoSpaceDE w:val="0"/>
        <w:autoSpaceDN w:val="0"/>
        <w:adjustRightInd w:val="0"/>
        <w:spacing w:line="400" w:lineRule="atLeast"/>
        <w:jc w:val="both"/>
        <w:rPr>
          <w:rFonts w:ascii="Times New Roman" w:eastAsiaTheme="minorHAnsi" w:hAnsi="Times New Roman" w:cs="Times New Roman"/>
          <w:color w:val="auto"/>
          <w:lang w:eastAsia="en-US"/>
        </w:rPr>
      </w:pPr>
      <w:r>
        <w:rPr>
          <w:rFonts w:ascii="Times New Roman" w:eastAsiaTheme="minorHAnsi" w:hAnsi="Times New Roman" w:cs="Times New Roman"/>
          <w:color w:val="auto"/>
          <w:lang w:eastAsia="en-US"/>
        </w:rPr>
        <w:tab/>
        <w:t xml:space="preserve">Gauti duomenys rodo, kad </w:t>
      </w:r>
      <w:r w:rsidR="00CB38D1">
        <w:rPr>
          <w:rFonts w:ascii="Times New Roman" w:eastAsiaTheme="minorHAnsi" w:hAnsi="Times New Roman" w:cs="Times New Roman"/>
          <w:color w:val="auto"/>
          <w:lang w:eastAsia="en-US"/>
        </w:rPr>
        <w:t xml:space="preserve">tarp bendrojo vidaus produkto ir jį įtakojančių veiksnių egzistuoja labai stiprus ryšys, </w:t>
      </w:r>
      <w:r w:rsidR="006A6188">
        <w:rPr>
          <w:rFonts w:ascii="Times New Roman" w:eastAsiaTheme="minorHAnsi" w:hAnsi="Times New Roman" w:cs="Times New Roman"/>
          <w:color w:val="auto"/>
          <w:lang w:eastAsia="en-US"/>
        </w:rPr>
        <w:t>statistiškai reikšmingas (t&gt;t</w:t>
      </w:r>
      <w:r w:rsidR="006A6188" w:rsidRPr="006A6188">
        <w:rPr>
          <w:rFonts w:ascii="Times New Roman" w:eastAsiaTheme="minorHAnsi" w:hAnsi="Times New Roman" w:cs="Times New Roman"/>
          <w:color w:val="auto"/>
          <w:vertAlign w:val="subscript"/>
          <w:lang w:eastAsia="en-US"/>
        </w:rPr>
        <w:t>krit</w:t>
      </w:r>
      <w:r w:rsidR="006A6188">
        <w:rPr>
          <w:rFonts w:ascii="Times New Roman" w:eastAsiaTheme="minorHAnsi" w:hAnsi="Times New Roman" w:cs="Times New Roman"/>
          <w:color w:val="auto"/>
          <w:lang w:eastAsia="en-US"/>
        </w:rPr>
        <w:t xml:space="preserve">) </w:t>
      </w:r>
      <w:r w:rsidR="00CB38D1">
        <w:rPr>
          <w:rFonts w:ascii="Times New Roman" w:eastAsiaTheme="minorHAnsi" w:hAnsi="Times New Roman" w:cs="Times New Roman"/>
          <w:color w:val="auto"/>
          <w:lang w:eastAsia="en-US"/>
        </w:rPr>
        <w:t xml:space="preserve">koreliacijos koeficientas siekia 0,984 ir yra labai artimas vienetui. </w:t>
      </w:r>
      <w:r w:rsidR="006A6188">
        <w:rPr>
          <w:rFonts w:ascii="Times New Roman" w:eastAsiaTheme="minorHAnsi" w:hAnsi="Times New Roman" w:cs="Times New Roman"/>
          <w:color w:val="auto"/>
          <w:lang w:eastAsia="en-US"/>
        </w:rPr>
        <w:t xml:space="preserve">Apskaičiuotas F kriterijus viršija kritinę reikšmę, kas leidžia daryti išvadą, kad lygtis yra adekvati, o determinacijos koeficientas siekiantis net 0,968 tai patvirtina. Taigi net 96,8 </w:t>
      </w:r>
      <w:r w:rsidR="006A6188">
        <w:rPr>
          <w:rFonts w:ascii="Times New Roman" w:eastAsiaTheme="minorHAnsi" w:hAnsi="Times New Roman" w:cs="Times New Roman"/>
          <w:color w:val="auto"/>
          <w:lang w:val="en-US" w:eastAsia="en-US"/>
        </w:rPr>
        <w:t>%</w:t>
      </w:r>
      <w:r w:rsidR="006A6188">
        <w:rPr>
          <w:rFonts w:ascii="Times New Roman" w:eastAsiaTheme="minorHAnsi" w:hAnsi="Times New Roman" w:cs="Times New Roman"/>
          <w:color w:val="auto"/>
          <w:lang w:eastAsia="en-US"/>
        </w:rPr>
        <w:t xml:space="preserve"> BVP kitimo paaiškina pasirinktų nepriklausomų veiksnių kitimas. </w:t>
      </w:r>
      <w:r w:rsidR="006F348A">
        <w:rPr>
          <w:rFonts w:ascii="Times New Roman" w:eastAsiaTheme="minorHAnsi" w:hAnsi="Times New Roman" w:cs="Times New Roman"/>
          <w:color w:val="auto"/>
          <w:lang w:eastAsia="en-US"/>
        </w:rPr>
        <w:t xml:space="preserve">Gauta daugiamatė regresinė lygtis žr (10) </w:t>
      </w:r>
      <w:r w:rsidR="006F348A">
        <w:rPr>
          <w:rFonts w:ascii="Times New Roman" w:eastAsiaTheme="minorHAnsi" w:hAnsi="Times New Roman" w:cs="Times New Roman"/>
          <w:color w:val="auto"/>
          <w:lang w:eastAsia="en-US"/>
        </w:rPr>
        <w:lastRenderedPageBreak/>
        <w:t>formulę, parodo, kad pavyzdžiui lizingo portfeliui ir tiesioginėms užsi</w:t>
      </w:r>
      <w:r w:rsidR="002E22DF">
        <w:rPr>
          <w:rFonts w:ascii="Times New Roman" w:eastAsiaTheme="minorHAnsi" w:hAnsi="Times New Roman" w:cs="Times New Roman"/>
          <w:color w:val="auto"/>
          <w:lang w:eastAsia="en-US"/>
        </w:rPr>
        <w:t>enio investicijoms išaugus po 1</w:t>
      </w:r>
      <w:r w:rsidR="006F348A">
        <w:rPr>
          <w:rFonts w:ascii="Times New Roman" w:eastAsiaTheme="minorHAnsi" w:hAnsi="Times New Roman" w:cs="Times New Roman"/>
          <w:color w:val="auto"/>
          <w:lang w:eastAsia="en-US"/>
        </w:rPr>
        <w:t xml:space="preserve"> </w:t>
      </w:r>
      <w:r w:rsidR="002E22DF">
        <w:rPr>
          <w:rFonts w:ascii="Times New Roman" w:eastAsiaTheme="minorHAnsi" w:hAnsi="Times New Roman" w:cs="Times New Roman"/>
          <w:color w:val="auto"/>
          <w:lang w:eastAsia="en-US"/>
        </w:rPr>
        <w:t>mlrd</w:t>
      </w:r>
      <w:r w:rsidR="006F348A">
        <w:rPr>
          <w:rFonts w:ascii="Times New Roman" w:eastAsiaTheme="minorHAnsi" w:hAnsi="Times New Roman" w:cs="Times New Roman"/>
          <w:color w:val="auto"/>
          <w:lang w:eastAsia="en-US"/>
        </w:rPr>
        <w:t xml:space="preserve">. Lt, BVP padidėtų </w:t>
      </w:r>
      <w:r w:rsidR="002E22DF">
        <w:rPr>
          <w:rFonts w:ascii="Times New Roman" w:eastAsiaTheme="minorHAnsi" w:hAnsi="Times New Roman" w:cs="Times New Roman"/>
          <w:color w:val="auto"/>
          <w:lang w:eastAsia="en-US"/>
        </w:rPr>
        <w:t>3,399</w:t>
      </w:r>
      <w:r w:rsidR="008F66AA">
        <w:rPr>
          <w:rFonts w:ascii="Times New Roman" w:eastAsiaTheme="minorHAnsi" w:hAnsi="Times New Roman" w:cs="Times New Roman"/>
          <w:color w:val="auto"/>
          <w:lang w:eastAsia="en-US"/>
        </w:rPr>
        <w:t xml:space="preserve"> </w:t>
      </w:r>
      <w:r w:rsidR="002E22DF">
        <w:rPr>
          <w:rFonts w:ascii="Times New Roman" w:eastAsiaTheme="minorHAnsi" w:hAnsi="Times New Roman" w:cs="Times New Roman"/>
          <w:color w:val="auto"/>
          <w:lang w:eastAsia="en-US"/>
        </w:rPr>
        <w:t>mlrd</w:t>
      </w:r>
      <w:r w:rsidR="008F66AA">
        <w:rPr>
          <w:rFonts w:ascii="Times New Roman" w:eastAsiaTheme="minorHAnsi" w:hAnsi="Times New Roman" w:cs="Times New Roman"/>
          <w:color w:val="auto"/>
          <w:lang w:eastAsia="en-US"/>
        </w:rPr>
        <w:t xml:space="preserve">. Lt. </w:t>
      </w:r>
    </w:p>
    <w:p w:rsidR="00A66ABA" w:rsidRDefault="00A66ABA" w:rsidP="008A4438">
      <w:pPr>
        <w:tabs>
          <w:tab w:val="left" w:pos="567"/>
        </w:tabs>
        <w:autoSpaceDE w:val="0"/>
        <w:autoSpaceDN w:val="0"/>
        <w:adjustRightInd w:val="0"/>
        <w:spacing w:line="400" w:lineRule="atLeast"/>
        <w:jc w:val="both"/>
        <w:rPr>
          <w:rFonts w:ascii="Times New Roman" w:eastAsiaTheme="minorHAnsi" w:hAnsi="Times New Roman" w:cs="Times New Roman"/>
          <w:color w:val="auto"/>
          <w:lang w:eastAsia="en-US"/>
        </w:rPr>
      </w:pPr>
    </w:p>
    <w:p w:rsidR="00E4256B" w:rsidRPr="006F348A" w:rsidRDefault="00E07141" w:rsidP="006F348A">
      <w:pPr>
        <w:tabs>
          <w:tab w:val="left" w:pos="567"/>
        </w:tabs>
        <w:autoSpaceDE w:val="0"/>
        <w:autoSpaceDN w:val="0"/>
        <w:adjustRightInd w:val="0"/>
        <w:spacing w:line="400" w:lineRule="atLeast"/>
        <w:ind w:left="567"/>
        <w:jc w:val="both"/>
        <w:rPr>
          <w:rFonts w:ascii="Times New Roman" w:eastAsiaTheme="minorHAnsi" w:hAnsi="Times New Roman" w:cs="Times New Roman"/>
          <w:color w:val="auto"/>
          <w:lang w:eastAsia="en-US"/>
        </w:rPr>
      </w:pPr>
      <m:oMath>
        <m:sSub>
          <m:sSubPr>
            <m:ctrlPr>
              <w:rPr>
                <w:rFonts w:ascii="Cambria Math" w:hAnsi="Cambria Math" w:cs="Times New Roman"/>
                <w:b/>
                <w:i/>
              </w:rPr>
            </m:ctrlPr>
          </m:sSubPr>
          <m:e>
            <m:r>
              <m:rPr>
                <m:sty m:val="bi"/>
              </m:rPr>
              <w:rPr>
                <w:rFonts w:ascii="Cambria Math" w:hAnsi="Cambria Math" w:cs="Times New Roman"/>
              </w:rPr>
              <m:t>ŷ</m:t>
            </m:r>
            <m:r>
              <m:rPr>
                <m:sty m:val="bi"/>
              </m:rPr>
              <w:rPr>
                <w:rFonts w:ascii="Cambria Math" w:hAnsi="Cambria Math" w:cs="Times New Roman"/>
                <w:lang w:val="en-US"/>
              </w:rPr>
              <m:t>=30,015+1,821</m:t>
            </m:r>
            <m:r>
              <m:rPr>
                <m:sty m:val="bi"/>
              </m:rPr>
              <w:rPr>
                <w:rFonts w:ascii="Cambria Math" w:hAnsi="Cambria Math" w:cs="Times New Roman"/>
                <w:lang w:val="en-US"/>
              </w:rPr>
              <m:t>x</m:t>
            </m:r>
          </m:e>
          <m:sub>
            <m:r>
              <m:rPr>
                <m:sty m:val="bi"/>
              </m:rPr>
              <w:rPr>
                <w:rFonts w:ascii="Cambria Math" w:hAnsi="Cambria Math" w:cs="Times New Roman"/>
              </w:rPr>
              <m:t>1</m:t>
            </m:r>
          </m:sub>
        </m:sSub>
        <m:r>
          <m:rPr>
            <m:sty m:val="bi"/>
          </m:rPr>
          <w:rPr>
            <w:rFonts w:ascii="Cambria Math" w:hAnsi="Cambria Math" w:cs="Times New Roman"/>
          </w:rPr>
          <m:t>+1,578</m:t>
        </m:r>
        <m:sSub>
          <m:sSubPr>
            <m:ctrlPr>
              <w:rPr>
                <w:rFonts w:ascii="Cambria Math" w:hAnsi="Cambria Math" w:cs="Times New Roman"/>
                <w:b/>
                <w:i/>
              </w:rPr>
            </m:ctrlPr>
          </m:sSubPr>
          <m:e>
            <m:r>
              <m:rPr>
                <m:sty m:val="bi"/>
              </m:rPr>
              <w:rPr>
                <w:rFonts w:ascii="Cambria Math" w:hAnsi="Cambria Math" w:cs="Times New Roman"/>
              </w:rPr>
              <m:t>x</m:t>
            </m:r>
          </m:e>
          <m:sub>
            <m:r>
              <m:rPr>
                <m:sty m:val="bi"/>
              </m:rPr>
              <w:rPr>
                <w:rFonts w:ascii="Cambria Math" w:hAnsi="Cambria Math" w:cs="Times New Roman"/>
              </w:rPr>
              <m:t>2</m:t>
            </m:r>
          </m:sub>
        </m:sSub>
      </m:oMath>
      <w:r w:rsidR="00E436F3">
        <w:rPr>
          <w:rFonts w:ascii="Times New Roman" w:eastAsiaTheme="minorEastAsia" w:hAnsi="Times New Roman" w:cs="Times New Roman"/>
          <w:b/>
        </w:rPr>
        <w:t xml:space="preserve"> </w:t>
      </w:r>
      <w:r w:rsidR="00E436F3">
        <w:rPr>
          <w:rFonts w:ascii="Times New Roman" w:eastAsiaTheme="minorEastAsia" w:hAnsi="Times New Roman" w:cs="Times New Roman"/>
          <w:b/>
        </w:rPr>
        <w:tab/>
      </w:r>
      <w:r w:rsidR="00E436F3" w:rsidRPr="00E436F3">
        <w:rPr>
          <w:rFonts w:ascii="Times New Roman" w:eastAsiaTheme="minorEastAsia" w:hAnsi="Times New Roman" w:cs="Times New Roman"/>
        </w:rPr>
        <w:t>(10)</w:t>
      </w:r>
    </w:p>
    <w:p w:rsidR="008F66AA" w:rsidRDefault="008F66AA" w:rsidP="008F66AA">
      <w:pPr>
        <w:tabs>
          <w:tab w:val="left" w:pos="567"/>
        </w:tabs>
        <w:spacing w:line="360" w:lineRule="auto"/>
        <w:ind w:firstLine="567"/>
        <w:jc w:val="both"/>
        <w:rPr>
          <w:rFonts w:ascii="Times New Roman" w:hAnsi="Times New Roman" w:cs="Times New Roman"/>
        </w:rPr>
      </w:pPr>
      <w:r>
        <w:rPr>
          <w:rFonts w:ascii="Times New Roman" w:hAnsi="Times New Roman" w:cs="Times New Roman"/>
        </w:rPr>
        <w:t>Čia: ŷ – BVP,</w:t>
      </w:r>
    </w:p>
    <w:p w:rsidR="008F66AA" w:rsidRDefault="008F66AA" w:rsidP="008F66AA">
      <w:pPr>
        <w:tabs>
          <w:tab w:val="left" w:pos="567"/>
          <w:tab w:val="left" w:pos="993"/>
        </w:tabs>
        <w:spacing w:line="360" w:lineRule="auto"/>
        <w:ind w:firstLine="567"/>
        <w:jc w:val="both"/>
        <w:rPr>
          <w:rFonts w:ascii="Times New Roman" w:hAnsi="Times New Roman" w:cs="Times New Roman"/>
        </w:rPr>
      </w:pPr>
      <w:r>
        <w:rPr>
          <w:rFonts w:ascii="Times New Roman" w:hAnsi="Times New Roman" w:cs="Times New Roman"/>
          <w:i/>
        </w:rPr>
        <w:tab/>
        <w:t xml:space="preserve"> </w:t>
      </w:r>
      <w:r w:rsidRPr="00333216">
        <w:rPr>
          <w:rFonts w:ascii="Times New Roman" w:hAnsi="Times New Roman" w:cs="Times New Roman"/>
          <w:i/>
        </w:rPr>
        <w:t>x</w:t>
      </w:r>
      <w:r w:rsidRPr="008F66AA">
        <w:rPr>
          <w:rFonts w:ascii="Times New Roman" w:hAnsi="Times New Roman" w:cs="Times New Roman"/>
          <w:vertAlign w:val="subscript"/>
        </w:rPr>
        <w:t>1</w:t>
      </w:r>
      <w:r>
        <w:rPr>
          <w:rFonts w:ascii="Times New Roman" w:hAnsi="Times New Roman" w:cs="Times New Roman"/>
          <w:i/>
        </w:rPr>
        <w:t xml:space="preserve"> </w:t>
      </w:r>
      <w:r>
        <w:rPr>
          <w:rFonts w:ascii="Times New Roman" w:hAnsi="Times New Roman" w:cs="Times New Roman"/>
          <w:lang w:val="en-US"/>
        </w:rPr>
        <w:t xml:space="preserve">- </w:t>
      </w:r>
      <w:r>
        <w:rPr>
          <w:rFonts w:ascii="Times New Roman" w:hAnsi="Times New Roman" w:cs="Times New Roman"/>
        </w:rPr>
        <w:t>lizingo portfelio dydis;</w:t>
      </w:r>
    </w:p>
    <w:p w:rsidR="008F66AA" w:rsidRDefault="008F66AA" w:rsidP="008F66AA">
      <w:pPr>
        <w:tabs>
          <w:tab w:val="left" w:pos="567"/>
          <w:tab w:val="left" w:pos="993"/>
        </w:tabs>
        <w:spacing w:line="360" w:lineRule="auto"/>
        <w:ind w:firstLine="567"/>
        <w:jc w:val="both"/>
        <w:rPr>
          <w:rFonts w:ascii="Times New Roman" w:hAnsi="Times New Roman" w:cs="Times New Roman"/>
        </w:rPr>
      </w:pPr>
      <w:r>
        <w:rPr>
          <w:rFonts w:ascii="Times New Roman" w:hAnsi="Times New Roman" w:cs="Times New Roman"/>
        </w:rPr>
        <w:tab/>
      </w:r>
      <w:r w:rsidRPr="008F66AA">
        <w:rPr>
          <w:rFonts w:ascii="Times New Roman" w:hAnsi="Times New Roman" w:cs="Times New Roman"/>
          <w:i/>
          <w:vertAlign w:val="subscript"/>
        </w:rPr>
        <w:t>X</w:t>
      </w:r>
      <w:r w:rsidRPr="008F66AA">
        <w:rPr>
          <w:rFonts w:ascii="Times New Roman" w:hAnsi="Times New Roman" w:cs="Times New Roman"/>
          <w:vertAlign w:val="subscript"/>
        </w:rPr>
        <w:t>2</w:t>
      </w:r>
      <w:r>
        <w:rPr>
          <w:rFonts w:ascii="Times New Roman" w:hAnsi="Times New Roman" w:cs="Times New Roman"/>
        </w:rPr>
        <w:t xml:space="preserve"> – tiesioginės užsienio investicijos</w:t>
      </w:r>
    </w:p>
    <w:p w:rsidR="00E4256B" w:rsidRPr="00120867" w:rsidRDefault="00E4256B" w:rsidP="008F66AA">
      <w:pPr>
        <w:tabs>
          <w:tab w:val="left" w:pos="567"/>
          <w:tab w:val="left" w:pos="851"/>
          <w:tab w:val="left" w:pos="993"/>
        </w:tabs>
        <w:autoSpaceDE w:val="0"/>
        <w:autoSpaceDN w:val="0"/>
        <w:adjustRightInd w:val="0"/>
        <w:spacing w:line="400" w:lineRule="atLeast"/>
        <w:jc w:val="both"/>
        <w:rPr>
          <w:rFonts w:ascii="Times New Roman" w:eastAsiaTheme="minorHAnsi" w:hAnsi="Times New Roman" w:cs="Times New Roman"/>
          <w:color w:val="auto"/>
          <w:lang w:eastAsia="en-US"/>
        </w:rPr>
      </w:pPr>
    </w:p>
    <w:p w:rsidR="00DE1791" w:rsidRDefault="00FF2C5F" w:rsidP="00162915">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r w:rsidR="00EF6650">
        <w:rPr>
          <w:rFonts w:ascii="Times New Roman" w:hAnsi="Times New Roman" w:cs="Times New Roman"/>
        </w:rPr>
        <w:t xml:space="preserve">Sudarę lygtį, galiausiai išsiaiškinkime kuri hipotezė dėl lizingo rinkos įtakos Lietuvos bendrajam vidaus produktui </w:t>
      </w:r>
      <w:r w:rsidR="00300848">
        <w:rPr>
          <w:rFonts w:ascii="Times New Roman" w:hAnsi="Times New Roman" w:cs="Times New Roman"/>
        </w:rPr>
        <w:t>yra</w:t>
      </w:r>
      <w:r w:rsidR="00EF6650">
        <w:rPr>
          <w:rFonts w:ascii="Times New Roman" w:hAnsi="Times New Roman" w:cs="Times New Roman"/>
        </w:rPr>
        <w:t xml:space="preserve"> teisinga. Klaidos padarymo tikimybė siekia 0, taigi pagrįstai galima teigti, kad nulinę hipotezę atmetame, o priimame alternatyvią, kuri teigia, kad </w:t>
      </w:r>
      <w:r w:rsidR="00EF6650">
        <w:rPr>
          <w:rFonts w:ascii="Times New Roman" w:hAnsi="Times New Roman" w:cs="Times New Roman"/>
          <w:i/>
        </w:rPr>
        <w:t>Lizingo rinkos didėjimas Lietuvoje teigiamai veikia bendrojo vidaus produkto kiekį šalyje.</w:t>
      </w:r>
    </w:p>
    <w:p w:rsidR="00DE1791" w:rsidRPr="000E1C5D" w:rsidRDefault="00DE1791" w:rsidP="00162915">
      <w:pPr>
        <w:tabs>
          <w:tab w:val="left" w:pos="567"/>
          <w:tab w:val="left" w:pos="1134"/>
        </w:tabs>
        <w:spacing w:line="360" w:lineRule="auto"/>
        <w:jc w:val="both"/>
        <w:rPr>
          <w:rFonts w:ascii="Times New Roman" w:hAnsi="Times New Roman" w:cs="Times New Roman"/>
          <w:i/>
        </w:rPr>
      </w:pPr>
      <w:r>
        <w:rPr>
          <w:rFonts w:ascii="Times New Roman" w:hAnsi="Times New Roman" w:cs="Times New Roman"/>
        </w:rPr>
        <w:tab/>
        <w:t xml:space="preserve">Taigi atlikus vienmatę ir daugiamatę regresines analizes įvertinome lizingo rinkos įtaką Lietuvos bendrajam vidaus produktui. </w:t>
      </w:r>
      <w:r w:rsidR="000E1C5D">
        <w:rPr>
          <w:rFonts w:ascii="Times New Roman" w:hAnsi="Times New Roman" w:cs="Times New Roman"/>
        </w:rPr>
        <w:t xml:space="preserve">Lyginant vienmatės ir daugiamatės lygties rezultatus, matome, kad vienmatės lygties atveju </w:t>
      </w:r>
      <w:r w:rsidR="00700F28">
        <w:rPr>
          <w:rFonts w:ascii="Times New Roman" w:hAnsi="Times New Roman" w:cs="Times New Roman"/>
        </w:rPr>
        <w:t>lizingo rinkos įtaka</w:t>
      </w:r>
      <w:r w:rsidR="000E1C5D">
        <w:rPr>
          <w:rFonts w:ascii="Times New Roman" w:hAnsi="Times New Roman" w:cs="Times New Roman"/>
        </w:rPr>
        <w:t xml:space="preserve"> </w:t>
      </w:r>
      <w:r w:rsidR="00700F28">
        <w:rPr>
          <w:rFonts w:ascii="Times New Roman" w:hAnsi="Times New Roman" w:cs="Times New Roman"/>
        </w:rPr>
        <w:t>yra stipresnė</w:t>
      </w:r>
      <w:r w:rsidR="000E1C5D">
        <w:rPr>
          <w:rFonts w:ascii="Times New Roman" w:hAnsi="Times New Roman" w:cs="Times New Roman"/>
        </w:rPr>
        <w:t xml:space="preserve">, tačiau daugiamatė lygtis yra tikslesnė ir jos atveju lizingo rinkos įtaka Lietuvos BVP yra mažesnė. </w:t>
      </w:r>
      <w:r w:rsidR="00700F28">
        <w:rPr>
          <w:rFonts w:ascii="Times New Roman" w:hAnsi="Times New Roman" w:cs="Times New Roman"/>
        </w:rPr>
        <w:t>Abi lygtys</w:t>
      </w:r>
      <w:r w:rsidR="00592168" w:rsidRPr="00592168">
        <w:rPr>
          <w:rFonts w:ascii="Times New Roman" w:hAnsi="Times New Roman" w:cs="Times New Roman"/>
        </w:rPr>
        <w:t xml:space="preserve"> parodė, kad lizingo rinka teigiamai įtakoja šalies BVP kitimą</w:t>
      </w:r>
      <w:r w:rsidR="00700F28">
        <w:rPr>
          <w:rFonts w:ascii="Times New Roman" w:hAnsi="Times New Roman" w:cs="Times New Roman"/>
        </w:rPr>
        <w:t xml:space="preserve"> ir taip leido atmesti nulinę hipotezę ir pagrįstai patvirtinti, kad lizingo rinkos didėjimas Lietuvoje teigiamai veikia bendrojo vidaus produkto kiekį šalyje.</w:t>
      </w:r>
      <w:r w:rsidR="00A95E81">
        <w:rPr>
          <w:rFonts w:ascii="Times New Roman" w:hAnsi="Times New Roman" w:cs="Times New Roman"/>
        </w:rPr>
        <w:t xml:space="preserve"> </w:t>
      </w:r>
    </w:p>
    <w:p w:rsidR="008748EE" w:rsidRPr="008748EE" w:rsidRDefault="008748EE" w:rsidP="008748EE">
      <w:pPr>
        <w:spacing w:line="276" w:lineRule="auto"/>
        <w:rPr>
          <w:rFonts w:ascii="Times New Roman" w:hAnsi="Times New Roman" w:cs="Times New Roman"/>
        </w:rPr>
      </w:pPr>
    </w:p>
    <w:p w:rsidR="0069405A" w:rsidRDefault="008748EE" w:rsidP="0069405A">
      <w:pPr>
        <w:pStyle w:val="Heading2"/>
      </w:pPr>
      <w:bookmarkStart w:id="43" w:name="_Toc343517976"/>
      <w:r>
        <w:t>Lizingo rinkos įtakos tiesioginėms užsienio investicijoms įvertinimas</w:t>
      </w:r>
      <w:bookmarkEnd w:id="43"/>
    </w:p>
    <w:p w:rsidR="0069405A" w:rsidRDefault="0069405A" w:rsidP="0069405A">
      <w:pPr>
        <w:rPr>
          <w:rFonts w:ascii="Times New Roman" w:hAnsi="Times New Roman" w:cs="Times New Roman"/>
        </w:rPr>
      </w:pPr>
    </w:p>
    <w:p w:rsidR="00120867" w:rsidRDefault="0069405A" w:rsidP="00D65492">
      <w:pPr>
        <w:tabs>
          <w:tab w:val="left" w:pos="0"/>
        </w:tabs>
        <w:spacing w:line="360" w:lineRule="auto"/>
        <w:ind w:firstLine="567"/>
        <w:jc w:val="both"/>
        <w:rPr>
          <w:rFonts w:ascii="Times New Roman" w:hAnsi="Times New Roman" w:cs="Times New Roman"/>
        </w:rPr>
      </w:pPr>
      <w:r>
        <w:rPr>
          <w:rFonts w:ascii="Times New Roman" w:hAnsi="Times New Roman" w:cs="Times New Roman"/>
        </w:rPr>
        <w:t>Atlikus lizingo rinkos įtakos Lietuvos bendrojo vidaus produkto kitimui analizę ir išsiaiškin</w:t>
      </w:r>
      <w:r w:rsidR="00D65492">
        <w:rPr>
          <w:rFonts w:ascii="Times New Roman" w:hAnsi="Times New Roman" w:cs="Times New Roman"/>
        </w:rPr>
        <w:t>us, kad lizingo</w:t>
      </w:r>
      <w:r>
        <w:rPr>
          <w:rFonts w:ascii="Times New Roman" w:hAnsi="Times New Roman" w:cs="Times New Roman"/>
        </w:rPr>
        <w:t xml:space="preserve"> rinkos padidėjimas pakankamai ženkliai </w:t>
      </w:r>
      <w:r w:rsidR="00D249B9">
        <w:rPr>
          <w:rFonts w:ascii="Times New Roman" w:hAnsi="Times New Roman" w:cs="Times New Roman"/>
        </w:rPr>
        <w:t xml:space="preserve">teigiamai </w:t>
      </w:r>
      <w:r>
        <w:rPr>
          <w:rFonts w:ascii="Times New Roman" w:hAnsi="Times New Roman" w:cs="Times New Roman"/>
        </w:rPr>
        <w:t xml:space="preserve">įtakoja Lietuvos BVP pokyčius, pereikime prie tolimesnio lizingo rinkos įtakos ekonomikai tyrimo. </w:t>
      </w:r>
      <w:r w:rsidR="00262CD1" w:rsidRPr="00262CD1">
        <w:rPr>
          <w:rFonts w:ascii="Times New Roman" w:hAnsi="Times New Roman" w:cs="Times New Roman"/>
        </w:rPr>
        <w:t>Kaip buvo rašyta darbo teorinėje dalyje</w:t>
      </w:r>
      <w:r w:rsidR="00262CD1">
        <w:rPr>
          <w:rFonts w:ascii="Times New Roman" w:hAnsi="Times New Roman" w:cs="Times New Roman"/>
        </w:rPr>
        <w:t xml:space="preserve"> be bendrojo vidaus produkto lizingo rinka ekonomiką įtakoja per investicijas. M</w:t>
      </w:r>
      <w:r w:rsidR="00262CD1" w:rsidRPr="00262CD1">
        <w:rPr>
          <w:rFonts w:ascii="Times New Roman" w:hAnsi="Times New Roman" w:cs="Times New Roman"/>
        </w:rPr>
        <w:t>okslininkų nuomone, lizingas yra investicijas skatinantis veiksnys.</w:t>
      </w:r>
      <w:r w:rsidR="00262CD1">
        <w:rPr>
          <w:rFonts w:ascii="Times New Roman" w:hAnsi="Times New Roman" w:cs="Times New Roman"/>
        </w:rPr>
        <w:t xml:space="preserve"> Taigi t</w:t>
      </w:r>
      <w:r>
        <w:rPr>
          <w:rFonts w:ascii="Times New Roman" w:hAnsi="Times New Roman" w:cs="Times New Roman"/>
        </w:rPr>
        <w:t xml:space="preserve">oliau tirsime </w:t>
      </w:r>
      <w:r w:rsidR="00D65492">
        <w:rPr>
          <w:rFonts w:ascii="Times New Roman" w:hAnsi="Times New Roman" w:cs="Times New Roman"/>
        </w:rPr>
        <w:t xml:space="preserve">ar lizingas </w:t>
      </w:r>
      <w:r w:rsidR="00D249B9">
        <w:rPr>
          <w:rFonts w:ascii="Times New Roman" w:hAnsi="Times New Roman" w:cs="Times New Roman"/>
        </w:rPr>
        <w:t xml:space="preserve">Lietuvoje </w:t>
      </w:r>
      <w:r w:rsidR="00D65492">
        <w:rPr>
          <w:rFonts w:ascii="Times New Roman" w:hAnsi="Times New Roman" w:cs="Times New Roman"/>
        </w:rPr>
        <w:t xml:space="preserve">įtakoja ir jeigu įtakoja tai kaip kitą makroekonominį rodiklį – tiesiogines užsienio investicijas. Pasirinktos būtent tiesioginės investicijos, nes </w:t>
      </w:r>
      <w:r w:rsidR="00262CD1">
        <w:rPr>
          <w:rFonts w:ascii="Times New Roman" w:hAnsi="Times New Roman" w:cs="Times New Roman"/>
        </w:rPr>
        <w:t>šis rodiklis parodo</w:t>
      </w:r>
      <w:r w:rsidR="00D65492">
        <w:rPr>
          <w:rFonts w:ascii="Times New Roman" w:hAnsi="Times New Roman" w:cs="Times New Roman"/>
        </w:rPr>
        <w:t xml:space="preserve"> investicijas, kai investuotojas investuodamas turi tam tikrą konkretų dažniausiai ilgalaikį tikslą. Prieš atliekant koreliacinę regresinę </w:t>
      </w:r>
      <w:r w:rsidR="00D249B9">
        <w:rPr>
          <w:rFonts w:ascii="Times New Roman" w:hAnsi="Times New Roman" w:cs="Times New Roman"/>
        </w:rPr>
        <w:t>analizę</w:t>
      </w:r>
      <w:r w:rsidR="00D65492">
        <w:rPr>
          <w:rFonts w:ascii="Times New Roman" w:hAnsi="Times New Roman" w:cs="Times New Roman"/>
        </w:rPr>
        <w:t xml:space="preserve">, apžvelgsime kaip 1998-2011 metų laikotarpiu kito tiesioginės užsienio investicijos ir tą kitimą palyginsime su lizingo </w:t>
      </w:r>
      <w:r w:rsidR="00D009BE">
        <w:rPr>
          <w:rFonts w:ascii="Times New Roman" w:hAnsi="Times New Roman" w:cs="Times New Roman"/>
        </w:rPr>
        <w:t>portfelio</w:t>
      </w:r>
      <w:r w:rsidR="00D65492">
        <w:rPr>
          <w:rFonts w:ascii="Times New Roman" w:hAnsi="Times New Roman" w:cs="Times New Roman"/>
        </w:rPr>
        <w:t xml:space="preserve"> kitimu (žr. 18 pav.).</w:t>
      </w:r>
    </w:p>
    <w:p w:rsidR="00D65492" w:rsidRDefault="003868C0" w:rsidP="003868C0">
      <w:pPr>
        <w:tabs>
          <w:tab w:val="left" w:pos="0"/>
          <w:tab w:val="left" w:pos="567"/>
        </w:tabs>
        <w:spacing w:line="360" w:lineRule="auto"/>
        <w:jc w:val="both"/>
        <w:rPr>
          <w:rFonts w:ascii="Times New Roman" w:hAnsi="Times New Roman" w:cs="Times New Roman"/>
        </w:rPr>
      </w:pPr>
      <w:r>
        <w:rPr>
          <w:rFonts w:ascii="Times New Roman" w:hAnsi="Times New Roman" w:cs="Times New Roman"/>
        </w:rPr>
        <w:tab/>
      </w:r>
      <w:r w:rsidR="00167FCB">
        <w:rPr>
          <w:rFonts w:ascii="Times New Roman" w:hAnsi="Times New Roman" w:cs="Times New Roman"/>
        </w:rPr>
        <w:t xml:space="preserve">Lyginant tiesioginių užsienio investicijų ir lizingo portfelio kitimą pastebime pakankamai panašias tendencijas, kurios matėsi lizingo rinkos kitimą lyginant su BVP kitimu. Tiesioginės užsienio investicijos auga iki 2007 m., sekančius </w:t>
      </w:r>
      <w:r w:rsidR="0048208A">
        <w:rPr>
          <w:rFonts w:ascii="Times New Roman" w:hAnsi="Times New Roman" w:cs="Times New Roman"/>
        </w:rPr>
        <w:t>vienerius</w:t>
      </w:r>
      <w:r w:rsidR="00167FCB">
        <w:rPr>
          <w:rFonts w:ascii="Times New Roman" w:hAnsi="Times New Roman" w:cs="Times New Roman"/>
        </w:rPr>
        <w:t xml:space="preserve"> metus matomas smukimas, po to, nuo 2010 m. vėl fiksuojamas augimas, </w:t>
      </w:r>
      <w:r w:rsidR="008D17DC">
        <w:rPr>
          <w:rFonts w:ascii="Times New Roman" w:hAnsi="Times New Roman" w:cs="Times New Roman"/>
        </w:rPr>
        <w:t xml:space="preserve">kuris padėjo investicijoms </w:t>
      </w:r>
      <w:r w:rsidR="00177AA3">
        <w:rPr>
          <w:rFonts w:ascii="Times New Roman" w:hAnsi="Times New Roman" w:cs="Times New Roman"/>
        </w:rPr>
        <w:t xml:space="preserve">2011 m. </w:t>
      </w:r>
      <w:r w:rsidR="008D17DC">
        <w:rPr>
          <w:rFonts w:ascii="Times New Roman" w:hAnsi="Times New Roman" w:cs="Times New Roman"/>
        </w:rPr>
        <w:t xml:space="preserve">pasiekti aukščiausią tašką analizuojamu </w:t>
      </w:r>
      <w:r w:rsidR="008D17DC">
        <w:rPr>
          <w:rFonts w:ascii="Times New Roman" w:hAnsi="Times New Roman" w:cs="Times New Roman"/>
        </w:rPr>
        <w:lastRenderedPageBreak/>
        <w:t>laikotarpiu.</w:t>
      </w:r>
      <w:r w:rsidR="00167FCB">
        <w:rPr>
          <w:rFonts w:ascii="Times New Roman" w:hAnsi="Times New Roman" w:cs="Times New Roman"/>
        </w:rPr>
        <w:t xml:space="preserve">  Lizingo rinka auga metus ilgesnį laiką – iki 2008 m., tačiau nuo </w:t>
      </w:r>
      <w:r w:rsidR="008D17DC">
        <w:rPr>
          <w:rFonts w:ascii="Times New Roman" w:hAnsi="Times New Roman" w:cs="Times New Roman"/>
        </w:rPr>
        <w:t xml:space="preserve">2009 m. lizingo </w:t>
      </w:r>
      <w:r w:rsidR="00177AA3">
        <w:rPr>
          <w:rFonts w:ascii="Times New Roman" w:hAnsi="Times New Roman" w:cs="Times New Roman"/>
        </w:rPr>
        <w:t>portfelis pradeda trauktis ir priešingai negu tiesioginės investicijos, mažėja iki pat 2011 metų pabaigos.</w:t>
      </w:r>
    </w:p>
    <w:p w:rsidR="00D65492" w:rsidRDefault="00775E0B" w:rsidP="00D65492">
      <w:pPr>
        <w:tabs>
          <w:tab w:val="left" w:pos="0"/>
        </w:tabs>
        <w:spacing w:line="360" w:lineRule="auto"/>
        <w:jc w:val="center"/>
      </w:pPr>
      <w:r w:rsidRPr="00E819D0">
        <w:rPr>
          <w:noProof/>
        </w:rPr>
        <mc:AlternateContent>
          <mc:Choice Requires="wps">
            <w:drawing>
              <wp:anchor distT="0" distB="0" distL="114300" distR="114300" simplePos="0" relativeHeight="251739136" behindDoc="0" locked="0" layoutInCell="1" allowOverlap="1" wp14:anchorId="794E012E" wp14:editId="40904B81">
                <wp:simplePos x="0" y="0"/>
                <wp:positionH relativeFrom="column">
                  <wp:posOffset>4445</wp:posOffset>
                </wp:positionH>
                <wp:positionV relativeFrom="paragraph">
                  <wp:posOffset>55880</wp:posOffset>
                </wp:positionV>
                <wp:extent cx="533400" cy="1590675"/>
                <wp:effectExtent l="0" t="0" r="0" b="0"/>
                <wp:wrapNone/>
                <wp:docPr id="78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590675"/>
                        </a:xfrm>
                        <a:prstGeom prst="rect">
                          <a:avLst/>
                        </a:prstGeom>
                        <a:noFill/>
                        <a:ln w="9525" cmpd="sng">
                          <a:noFill/>
                        </a:ln>
                        <a:effectLst/>
                      </wps:spPr>
                      <wps:txbx>
                        <w:txbxContent>
                          <w:p w:rsidR="0041099D" w:rsidRPr="000D3985" w:rsidRDefault="0041099D" w:rsidP="00775E0B">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 xml:space="preserve">mlrd. </w:t>
                            </w:r>
                            <w:r>
                              <w:rPr>
                                <w:rFonts w:ascii="Calibri" w:eastAsia="+mn-ea" w:hAnsi="Calibri" w:cs="+mn-cs"/>
                                <w:b/>
                                <w:color w:val="000000"/>
                                <w:sz w:val="20"/>
                                <w:szCs w:val="20"/>
                              </w:rPr>
                              <w:t>Lt</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_x0000_s1176" type="#_x0000_t202" style="position:absolute;left:0;text-align:left;margin-left:.35pt;margin-top:4.4pt;width:42pt;height:125.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" filled="f" stroked="f">
                <v:path arrowok="t"/>
                <v:textbox style="layout-flow:vertical;mso-layout-flow-alt:bottom-to-top">
                  <w:txbxContent>
                    <w:p w:rsidR="0041099D" w:rsidRPr="000D3985" w:rsidRDefault="0041099D" w:rsidP="00775E0B">
                      <w:pPr>
                        <w:pStyle w:val="NormalWeb"/>
                        <w:spacing w:before="0" w:beforeAutospacing="0" w:after="0" w:afterAutospacing="0"/>
                        <w:jc w:val="center"/>
                        <w:rPr>
                          <w:b/>
                          <w:sz w:val="20"/>
                          <w:szCs w:val="20"/>
                        </w:rPr>
                      </w:pPr>
                      <w:r w:rsidRPr="000D3985">
                        <w:rPr>
                          <w:rFonts w:ascii="Calibri" w:eastAsia="+mn-ea" w:hAnsi="Calibri" w:cs="+mn-cs"/>
                          <w:b/>
                          <w:color w:val="000000"/>
                          <w:sz w:val="20"/>
                          <w:szCs w:val="20"/>
                        </w:rPr>
                        <w:t xml:space="preserve">mlrd. </w:t>
                      </w:r>
                      <w:r>
                        <w:rPr>
                          <w:rFonts w:ascii="Calibri" w:eastAsia="+mn-ea" w:hAnsi="Calibri" w:cs="+mn-cs"/>
                          <w:b/>
                          <w:color w:val="000000"/>
                          <w:sz w:val="20"/>
                          <w:szCs w:val="20"/>
                        </w:rPr>
                        <w:t>Lt</w:t>
                      </w:r>
                    </w:p>
                  </w:txbxContent>
                </v:textbox>
              </v:shape>
            </w:pict>
          </mc:Fallback>
        </mc:AlternateContent>
      </w:r>
      <w:r w:rsidR="00D65492">
        <w:rPr>
          <w:noProof/>
        </w:rPr>
        <w:drawing>
          <wp:inline distT="0" distB="0" distL="0" distR="0" wp14:anchorId="7AAD6F33" wp14:editId="6A8FE179">
            <wp:extent cx="5562600" cy="2124075"/>
            <wp:effectExtent l="0" t="0" r="0" b="0"/>
            <wp:docPr id="782" name="Chart 78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3B20D6" w:rsidRDefault="003B20D6" w:rsidP="003B20D6">
      <w:pPr>
        <w:spacing w:line="360" w:lineRule="auto"/>
        <w:ind w:left="426"/>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statistikos departamento prie Lietuvos Vyriausybės, Lietuvos bankų asociacijos svetainių duomenis</w:t>
      </w:r>
    </w:p>
    <w:p w:rsidR="00D65492" w:rsidRDefault="00583E1A" w:rsidP="00A66ABA">
      <w:pPr>
        <w:pStyle w:val="Paveikslai"/>
      </w:pPr>
      <w:bookmarkStart w:id="44" w:name="_Toc343459691"/>
      <w:r w:rsidRPr="00583E1A">
        <w:t xml:space="preserve">18 </w:t>
      </w:r>
      <w:r w:rsidR="007603C0">
        <w:t>pav</w:t>
      </w:r>
      <w:r w:rsidRPr="00583E1A">
        <w:t xml:space="preserve">. </w:t>
      </w:r>
      <w:r w:rsidR="003B20D6">
        <w:t>Lietuvos l</w:t>
      </w:r>
      <w:r w:rsidRPr="00583E1A">
        <w:t xml:space="preserve">izingo portfelio, </w:t>
      </w:r>
      <w:r>
        <w:t>tiesioginių užsienio investicijų</w:t>
      </w:r>
      <w:r w:rsidRPr="00583E1A">
        <w:t xml:space="preserve"> pokytis 1998-2011 m.</w:t>
      </w:r>
      <w:bookmarkEnd w:id="44"/>
    </w:p>
    <w:p w:rsidR="00583E1A" w:rsidRPr="00583E1A" w:rsidRDefault="00583E1A" w:rsidP="00583E1A">
      <w:pPr>
        <w:tabs>
          <w:tab w:val="left" w:pos="0"/>
        </w:tabs>
        <w:spacing w:line="360" w:lineRule="auto"/>
        <w:jc w:val="center"/>
        <w:rPr>
          <w:rFonts w:ascii="Times New Roman" w:hAnsi="Times New Roman" w:cs="Times New Roman"/>
          <w:b/>
        </w:rPr>
      </w:pPr>
    </w:p>
    <w:p w:rsidR="00177AA3" w:rsidRDefault="00177AA3" w:rsidP="00177AA3">
      <w:pPr>
        <w:tabs>
          <w:tab w:val="left" w:pos="567"/>
        </w:tabs>
        <w:spacing w:line="360" w:lineRule="auto"/>
        <w:jc w:val="both"/>
        <w:rPr>
          <w:rFonts w:ascii="Times New Roman" w:hAnsi="Times New Roman" w:cs="Times New Roman"/>
        </w:rPr>
      </w:pPr>
      <w:r>
        <w:rPr>
          <w:rFonts w:ascii="Times New Roman" w:hAnsi="Times New Roman" w:cs="Times New Roman"/>
        </w:rPr>
        <w:tab/>
        <w:t>Palyginus lizingo rinkos ir tiesioginių užsienio investicijų kitimo tendencijas, pereikime prie lizingo rinkos ir tiesioginių užsienio investicijų ryšio ir priklausomybės tyrimo. Siekiant sudaryti lygtį pirma apskaičiuojami reikalingi kintamieji, kurie padės sudaryti atlikti koreliacinę regresinę lygtį ir nustatyti jos teisingumą (žr. 8 lent.).</w:t>
      </w:r>
    </w:p>
    <w:p w:rsidR="00177AA3" w:rsidRDefault="00177AA3" w:rsidP="00177AA3">
      <w:pPr>
        <w:tabs>
          <w:tab w:val="left" w:pos="567"/>
        </w:tabs>
        <w:spacing w:line="360" w:lineRule="auto"/>
        <w:jc w:val="both"/>
        <w:rPr>
          <w:rFonts w:ascii="Times New Roman" w:hAnsi="Times New Roman" w:cs="Times New Roman"/>
        </w:rPr>
      </w:pPr>
    </w:p>
    <w:p w:rsidR="00177AA3" w:rsidRPr="00177AA3" w:rsidRDefault="00D3423E" w:rsidP="00A66ABA">
      <w:pPr>
        <w:pStyle w:val="Lentels"/>
      </w:pPr>
      <w:bookmarkStart w:id="45" w:name="_Toc343459645"/>
      <w:r>
        <w:t>8</w:t>
      </w:r>
      <w:r w:rsidR="00177AA3" w:rsidRPr="00177AA3">
        <w:t xml:space="preserve"> lentelė. Koreliacinės regresinės analizės tarp lizingo rinkos ir </w:t>
      </w:r>
      <w:r>
        <w:t>tiesioginių užsienio investicijų</w:t>
      </w:r>
      <w:r w:rsidR="00177AA3" w:rsidRPr="00177AA3">
        <w:t xml:space="preserve"> atlikimui reikalingi kintamieji</w:t>
      </w:r>
      <w:bookmarkEnd w:id="45"/>
    </w:p>
    <w:tbl>
      <w:tblPr>
        <w:tblStyle w:val="LightGrid-Accent5"/>
        <w:tblW w:w="0" w:type="auto"/>
        <w:tblLook w:val="04A0" w:firstRow="1" w:lastRow="0" w:firstColumn="1" w:lastColumn="0" w:noHBand="0" w:noVBand="1"/>
      </w:tblPr>
      <w:tblGrid>
        <w:gridCol w:w="1407"/>
        <w:gridCol w:w="1208"/>
        <w:gridCol w:w="1138"/>
        <w:gridCol w:w="1209"/>
        <w:gridCol w:w="1138"/>
        <w:gridCol w:w="1683"/>
        <w:gridCol w:w="796"/>
        <w:gridCol w:w="802"/>
        <w:gridCol w:w="756"/>
      </w:tblGrid>
      <w:tr w:rsidR="00177AA3" w:rsidRPr="007A6210" w:rsidTr="007A62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9" w:type="dxa"/>
          </w:tcPr>
          <w:p w:rsidR="00177AA3" w:rsidRPr="007A6210" w:rsidRDefault="00177AA3" w:rsidP="003B778F">
            <w:pPr>
              <w:tabs>
                <w:tab w:val="left" w:pos="567"/>
              </w:tabs>
              <w:spacing w:line="360" w:lineRule="auto"/>
              <w:jc w:val="center"/>
              <w:rPr>
                <w:rFonts w:ascii="Times New Roman" w:hAnsi="Times New Roman" w:cs="Times New Roman"/>
                <w:b w:val="0"/>
              </w:rPr>
            </w:pPr>
            <w:r w:rsidRPr="007A6210">
              <w:rPr>
                <w:rFonts w:ascii="Times New Roman" w:hAnsi="Times New Roman" w:cs="Times New Roman"/>
                <w:b w:val="0"/>
              </w:rPr>
              <w:t>Koreliacijos koeficientas</w:t>
            </w:r>
          </w:p>
        </w:tc>
        <w:tc>
          <w:tcPr>
            <w:tcW w:w="1212"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t kriterijus</w:t>
            </w:r>
          </w:p>
        </w:tc>
        <w:tc>
          <w:tcPr>
            <w:tcW w:w="1143"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t kritinė reikšmė</w:t>
            </w:r>
          </w:p>
        </w:tc>
        <w:tc>
          <w:tcPr>
            <w:tcW w:w="1213"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F kriterijus</w:t>
            </w:r>
          </w:p>
        </w:tc>
        <w:tc>
          <w:tcPr>
            <w:tcW w:w="1143"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F kritinė reikšmė</w:t>
            </w:r>
          </w:p>
        </w:tc>
        <w:tc>
          <w:tcPr>
            <w:tcW w:w="1683"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Determinacijos koeficientas</w:t>
            </w:r>
          </w:p>
        </w:tc>
        <w:tc>
          <w:tcPr>
            <w:tcW w:w="797"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p</w:t>
            </w:r>
          </w:p>
        </w:tc>
        <w:tc>
          <w:tcPr>
            <w:tcW w:w="803"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a</w:t>
            </w:r>
            <w:r w:rsidRPr="007A6210">
              <w:rPr>
                <w:rFonts w:ascii="Times New Roman" w:hAnsi="Times New Roman" w:cs="Times New Roman"/>
                <w:b w:val="0"/>
                <w:vertAlign w:val="subscript"/>
              </w:rPr>
              <w:t>0</w:t>
            </w:r>
          </w:p>
        </w:tc>
        <w:tc>
          <w:tcPr>
            <w:tcW w:w="734" w:type="dxa"/>
          </w:tcPr>
          <w:p w:rsidR="00177AA3" w:rsidRPr="007A6210" w:rsidRDefault="00177AA3" w:rsidP="003B778F">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A6210">
              <w:rPr>
                <w:rFonts w:ascii="Times New Roman" w:hAnsi="Times New Roman" w:cs="Times New Roman"/>
                <w:b w:val="0"/>
              </w:rPr>
              <w:t>a</w:t>
            </w:r>
            <w:r w:rsidRPr="007A6210">
              <w:rPr>
                <w:rFonts w:ascii="Times New Roman" w:hAnsi="Times New Roman" w:cs="Times New Roman"/>
                <w:b w:val="0"/>
                <w:vertAlign w:val="subscript"/>
              </w:rPr>
              <w:t>1</w:t>
            </w:r>
          </w:p>
        </w:tc>
      </w:tr>
      <w:tr w:rsidR="007A6210" w:rsidRPr="007A6210" w:rsidTr="007A62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9" w:type="dxa"/>
          </w:tcPr>
          <w:p w:rsidR="00177AA3" w:rsidRPr="007A6210" w:rsidRDefault="003B778F" w:rsidP="003B778F">
            <w:pPr>
              <w:tabs>
                <w:tab w:val="left" w:pos="567"/>
              </w:tabs>
              <w:spacing w:line="360" w:lineRule="auto"/>
              <w:jc w:val="center"/>
              <w:rPr>
                <w:rFonts w:ascii="Times New Roman" w:hAnsi="Times New Roman" w:cs="Times New Roman"/>
                <w:b w:val="0"/>
              </w:rPr>
            </w:pPr>
            <w:r w:rsidRPr="007A6210">
              <w:rPr>
                <w:rFonts w:ascii="Times New Roman" w:hAnsi="Times New Roman" w:cs="Times New Roman"/>
                <w:b w:val="0"/>
              </w:rPr>
              <w:t>0,871</w:t>
            </w:r>
          </w:p>
        </w:tc>
        <w:tc>
          <w:tcPr>
            <w:tcW w:w="1212" w:type="dxa"/>
          </w:tcPr>
          <w:p w:rsidR="00177AA3" w:rsidRPr="007A6210" w:rsidRDefault="003B778F"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6,143</w:t>
            </w:r>
          </w:p>
        </w:tc>
        <w:tc>
          <w:tcPr>
            <w:tcW w:w="1143" w:type="dxa"/>
          </w:tcPr>
          <w:p w:rsidR="00177AA3" w:rsidRPr="007A6210" w:rsidRDefault="00177AA3"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1,761</w:t>
            </w:r>
          </w:p>
        </w:tc>
        <w:tc>
          <w:tcPr>
            <w:tcW w:w="1213" w:type="dxa"/>
          </w:tcPr>
          <w:p w:rsidR="00177AA3" w:rsidRPr="007A6210" w:rsidRDefault="003B778F"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37,735</w:t>
            </w:r>
          </w:p>
        </w:tc>
        <w:tc>
          <w:tcPr>
            <w:tcW w:w="1143" w:type="dxa"/>
          </w:tcPr>
          <w:p w:rsidR="00177AA3" w:rsidRPr="007A6210" w:rsidRDefault="00177AA3"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4,7472</w:t>
            </w:r>
          </w:p>
        </w:tc>
        <w:tc>
          <w:tcPr>
            <w:tcW w:w="1683" w:type="dxa"/>
          </w:tcPr>
          <w:p w:rsidR="00177AA3" w:rsidRPr="007A6210" w:rsidRDefault="003B778F"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0,759</w:t>
            </w:r>
          </w:p>
        </w:tc>
        <w:tc>
          <w:tcPr>
            <w:tcW w:w="797" w:type="dxa"/>
          </w:tcPr>
          <w:p w:rsidR="00177AA3" w:rsidRPr="007A6210" w:rsidRDefault="00177AA3"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0,000</w:t>
            </w:r>
          </w:p>
        </w:tc>
        <w:tc>
          <w:tcPr>
            <w:tcW w:w="803" w:type="dxa"/>
          </w:tcPr>
          <w:p w:rsidR="00177AA3" w:rsidRPr="007A6210" w:rsidRDefault="003B778F"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8,801</w:t>
            </w:r>
          </w:p>
        </w:tc>
        <w:tc>
          <w:tcPr>
            <w:tcW w:w="734" w:type="dxa"/>
          </w:tcPr>
          <w:p w:rsidR="00177AA3" w:rsidRPr="007A6210" w:rsidRDefault="003B778F" w:rsidP="003B778F">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A6210">
              <w:rPr>
                <w:rFonts w:ascii="Times New Roman" w:hAnsi="Times New Roman" w:cs="Times New Roman"/>
              </w:rPr>
              <w:t>2,730</w:t>
            </w:r>
          </w:p>
        </w:tc>
      </w:tr>
    </w:tbl>
    <w:p w:rsidR="003B778F" w:rsidRPr="003B20D6" w:rsidRDefault="003B20D6" w:rsidP="00177AA3">
      <w:pPr>
        <w:tabs>
          <w:tab w:val="left" w:pos="567"/>
        </w:tabs>
        <w:spacing w:line="360" w:lineRule="auto"/>
        <w:jc w:val="both"/>
        <w:rPr>
          <w:rFonts w:ascii="Times New Roman" w:hAnsi="Times New Roman" w:cs="Times New Roman"/>
          <w:sz w:val="20"/>
          <w:szCs w:val="20"/>
        </w:rPr>
      </w:pPr>
      <w:r w:rsidRPr="003B20D6">
        <w:rPr>
          <w:rFonts w:ascii="Times New Roman" w:hAnsi="Times New Roman" w:cs="Times New Roman"/>
          <w:b/>
          <w:sz w:val="20"/>
          <w:szCs w:val="20"/>
        </w:rPr>
        <w:t xml:space="preserve">Šaltinis: </w:t>
      </w:r>
      <w:r>
        <w:rPr>
          <w:rFonts w:ascii="Times New Roman" w:hAnsi="Times New Roman" w:cs="Times New Roman"/>
          <w:sz w:val="20"/>
          <w:szCs w:val="20"/>
        </w:rPr>
        <w:t>sudaryta autoriaus</w:t>
      </w:r>
    </w:p>
    <w:p w:rsidR="003B20D6" w:rsidRPr="003B20D6" w:rsidRDefault="003B20D6" w:rsidP="00177AA3">
      <w:pPr>
        <w:tabs>
          <w:tab w:val="left" w:pos="567"/>
        </w:tabs>
        <w:spacing w:line="360" w:lineRule="auto"/>
        <w:jc w:val="both"/>
        <w:rPr>
          <w:rFonts w:ascii="Times New Roman" w:hAnsi="Times New Roman" w:cs="Times New Roman"/>
        </w:rPr>
      </w:pPr>
    </w:p>
    <w:p w:rsidR="003B778F" w:rsidRDefault="003B778F" w:rsidP="00177AA3">
      <w:pPr>
        <w:tabs>
          <w:tab w:val="left" w:pos="567"/>
        </w:tabs>
        <w:spacing w:line="360" w:lineRule="auto"/>
        <w:jc w:val="both"/>
        <w:rPr>
          <w:rFonts w:ascii="Times New Roman" w:hAnsi="Times New Roman" w:cs="Times New Roman"/>
        </w:rPr>
      </w:pPr>
      <w:r>
        <w:rPr>
          <w:rFonts w:ascii="Times New Roman" w:hAnsi="Times New Roman" w:cs="Times New Roman"/>
        </w:rPr>
        <w:tab/>
      </w:r>
      <w:r w:rsidR="00E436F3">
        <w:rPr>
          <w:rFonts w:ascii="Times New Roman" w:hAnsi="Times New Roman" w:cs="Times New Roman"/>
        </w:rPr>
        <w:t xml:space="preserve">Iš pateiktos lentelės matome, kad tarp lizingo rinkos ir tiesioginių užsienio investicijų egzistuoja stiprus teigiamas ryšys (koreliacijos koeficientas 0,871). Lyginant apskaičiuotą t kriterijaus reikšmę su kritine, matome, kad apskaičiuota reikšmė yra didesnė, taigi koreliacijos koeficientas yra statistiškai reikšmingas. Stebint pačios lygties adekvatumą matome, kad apskaičiuota F kriterijaus reikšmė viršija kritinę reikšmę (37,735&gt;4,7472), kas patvirtina lygties tinkamumą tarp analizuojamų veiksnių. Determinacijos koeficientas siekia 0,759, pakankamai aukšta determinacijos koeficiento reikšmė patvirtina lygties tinkamumą ir leidžia teigti, kad 75,9 </w:t>
      </w:r>
      <w:r w:rsidR="00E436F3">
        <w:rPr>
          <w:rFonts w:ascii="Times New Roman" w:hAnsi="Times New Roman" w:cs="Times New Roman"/>
          <w:lang w:val="en-US"/>
        </w:rPr>
        <w:t>%</w:t>
      </w:r>
      <w:r w:rsidR="00E436F3">
        <w:rPr>
          <w:rFonts w:ascii="Times New Roman" w:hAnsi="Times New Roman" w:cs="Times New Roman"/>
        </w:rPr>
        <w:t xml:space="preserve"> tiesioginių užsienio investicijų kitimo galime paaiškinti lizingo portfelio dydžio kitimu. Įsitikinę lygties teisingumu ją sudarome žr. (11) </w:t>
      </w:r>
      <w:r w:rsidR="00B05480">
        <w:rPr>
          <w:rFonts w:ascii="Times New Roman" w:hAnsi="Times New Roman" w:cs="Times New Roman"/>
        </w:rPr>
        <w:t xml:space="preserve">formulę </w:t>
      </w:r>
      <w:r w:rsidR="00E436F3">
        <w:rPr>
          <w:rFonts w:ascii="Times New Roman" w:hAnsi="Times New Roman" w:cs="Times New Roman"/>
        </w:rPr>
        <w:t xml:space="preserve">ir </w:t>
      </w:r>
      <w:r w:rsidR="00E436F3">
        <w:rPr>
          <w:rFonts w:ascii="Times New Roman" w:hAnsi="Times New Roman" w:cs="Times New Roman"/>
        </w:rPr>
        <w:lastRenderedPageBreak/>
        <w:t>nubraižome tiesioginių užsienio investicijų ir lizingo rinkos sklaidos diagramą ir krypties liniją (žr. 19 pav.).</w:t>
      </w:r>
    </w:p>
    <w:p w:rsidR="00E436F3" w:rsidRDefault="00E436F3" w:rsidP="00177AA3">
      <w:pPr>
        <w:tabs>
          <w:tab w:val="left" w:pos="567"/>
        </w:tabs>
        <w:spacing w:line="360" w:lineRule="auto"/>
        <w:jc w:val="both"/>
        <w:rPr>
          <w:rFonts w:ascii="Times New Roman" w:hAnsi="Times New Roman" w:cs="Times New Roman"/>
        </w:rPr>
      </w:pPr>
    </w:p>
    <w:p w:rsidR="00E436F3" w:rsidRPr="00E436F3" w:rsidRDefault="00E436F3" w:rsidP="00E436F3">
      <w:pPr>
        <w:tabs>
          <w:tab w:val="left" w:pos="567"/>
        </w:tabs>
        <w:spacing w:line="360" w:lineRule="auto"/>
        <w:jc w:val="both"/>
        <w:rPr>
          <w:rFonts w:ascii="Times New Roman" w:hAnsi="Times New Roman" w:cs="Times New Roman"/>
          <w:lang w:val="en-US"/>
        </w:rPr>
      </w:pPr>
      <w:r>
        <w:rPr>
          <w:rFonts w:ascii="Times New Roman" w:hAnsi="Times New Roman" w:cs="Times New Roman"/>
          <w:b/>
        </w:rPr>
        <w:tab/>
      </w:r>
      <m:oMath>
        <m:r>
          <m:rPr>
            <m:sty m:val="bi"/>
          </m:rPr>
          <w:rPr>
            <w:rFonts w:ascii="Cambria Math" w:hAnsi="Cambria Math" w:cs="Times New Roman"/>
          </w:rPr>
          <m:t>ŷ</m:t>
        </m:r>
        <m:r>
          <m:rPr>
            <m:sty m:val="bi"/>
          </m:rPr>
          <w:rPr>
            <w:rFonts w:ascii="Cambria Math" w:hAnsi="Cambria Math" w:cs="Times New Roman"/>
            <w:lang w:val="en-US"/>
          </w:rPr>
          <m:t>=8,801+2,730</m:t>
        </m:r>
        <m:r>
          <m:rPr>
            <m:sty m:val="bi"/>
          </m:rPr>
          <w:rPr>
            <w:rFonts w:ascii="Cambria Math" w:hAnsi="Cambria Math" w:cs="Times New Roman"/>
            <w:lang w:val="en-US"/>
          </w:rPr>
          <m:t>x</m:t>
        </m:r>
      </m:oMath>
      <w:r w:rsidRPr="00E436F3">
        <w:rPr>
          <w:rFonts w:ascii="Times New Roman" w:hAnsi="Times New Roman" w:cs="Times New Roman"/>
          <w:lang w:val="en-US"/>
        </w:rPr>
        <w:tab/>
      </w:r>
      <w:r w:rsidR="00EC443F">
        <w:rPr>
          <w:rFonts w:ascii="Times New Roman" w:hAnsi="Times New Roman" w:cs="Times New Roman"/>
          <w:lang w:val="en-US"/>
        </w:rPr>
        <w:tab/>
      </w:r>
      <w:r w:rsidRPr="00E436F3">
        <w:rPr>
          <w:rFonts w:ascii="Times New Roman" w:hAnsi="Times New Roman" w:cs="Times New Roman"/>
          <w:lang w:val="en-US"/>
        </w:rPr>
        <w:t>(</w:t>
      </w:r>
      <w:r w:rsidR="00EC443F">
        <w:rPr>
          <w:rFonts w:ascii="Times New Roman" w:hAnsi="Times New Roman" w:cs="Times New Roman"/>
          <w:lang w:val="en-US"/>
        </w:rPr>
        <w:t>11</w:t>
      </w:r>
      <w:r w:rsidRPr="00E436F3">
        <w:rPr>
          <w:rFonts w:ascii="Times New Roman" w:hAnsi="Times New Roman" w:cs="Times New Roman"/>
          <w:lang w:val="en-US"/>
        </w:rPr>
        <w:t>)</w:t>
      </w:r>
    </w:p>
    <w:p w:rsidR="00E436F3" w:rsidRPr="00E436F3" w:rsidRDefault="00E436F3" w:rsidP="00E436F3">
      <w:pPr>
        <w:tabs>
          <w:tab w:val="left" w:pos="567"/>
        </w:tabs>
        <w:spacing w:line="360" w:lineRule="auto"/>
        <w:jc w:val="both"/>
        <w:rPr>
          <w:rFonts w:ascii="Times New Roman" w:hAnsi="Times New Roman" w:cs="Times New Roman"/>
        </w:rPr>
      </w:pPr>
      <w:r>
        <w:rPr>
          <w:rFonts w:ascii="Times New Roman" w:hAnsi="Times New Roman" w:cs="Times New Roman"/>
        </w:rPr>
        <w:tab/>
      </w:r>
      <w:r w:rsidRPr="00E436F3">
        <w:rPr>
          <w:rFonts w:ascii="Times New Roman" w:hAnsi="Times New Roman" w:cs="Times New Roman"/>
        </w:rPr>
        <w:t xml:space="preserve">Čia: ŷ – </w:t>
      </w:r>
      <w:r w:rsidR="00775E0B">
        <w:rPr>
          <w:rFonts w:ascii="Times New Roman" w:hAnsi="Times New Roman" w:cs="Times New Roman"/>
        </w:rPr>
        <w:t>tiesioginės užsienio investicijos</w:t>
      </w:r>
      <w:r w:rsidRPr="00E436F3">
        <w:rPr>
          <w:rFonts w:ascii="Times New Roman" w:hAnsi="Times New Roman" w:cs="Times New Roman"/>
        </w:rPr>
        <w:t>,</w:t>
      </w:r>
    </w:p>
    <w:p w:rsidR="00E436F3" w:rsidRDefault="00E436F3" w:rsidP="00EC443F">
      <w:pPr>
        <w:tabs>
          <w:tab w:val="left" w:pos="567"/>
          <w:tab w:val="left" w:pos="993"/>
        </w:tabs>
        <w:spacing w:line="360" w:lineRule="auto"/>
        <w:jc w:val="both"/>
        <w:rPr>
          <w:rFonts w:ascii="Times New Roman" w:hAnsi="Times New Roman" w:cs="Times New Roman"/>
        </w:rPr>
      </w:pPr>
      <w:r w:rsidRPr="00E436F3">
        <w:rPr>
          <w:rFonts w:ascii="Times New Roman" w:hAnsi="Times New Roman" w:cs="Times New Roman"/>
          <w:i/>
        </w:rPr>
        <w:tab/>
      </w:r>
      <w:r w:rsidR="00EC443F">
        <w:rPr>
          <w:rFonts w:ascii="Times New Roman" w:hAnsi="Times New Roman" w:cs="Times New Roman"/>
          <w:i/>
        </w:rPr>
        <w:tab/>
      </w:r>
      <w:r w:rsidR="00775E0B">
        <w:rPr>
          <w:rFonts w:ascii="Times New Roman" w:hAnsi="Times New Roman" w:cs="Times New Roman"/>
          <w:i/>
        </w:rPr>
        <w:t xml:space="preserve"> </w:t>
      </w:r>
      <w:r w:rsidRPr="00E436F3">
        <w:rPr>
          <w:rFonts w:ascii="Times New Roman" w:hAnsi="Times New Roman" w:cs="Times New Roman"/>
          <w:i/>
        </w:rPr>
        <w:t xml:space="preserve">x </w:t>
      </w:r>
      <w:r w:rsidRPr="00E436F3">
        <w:rPr>
          <w:rFonts w:ascii="Times New Roman" w:hAnsi="Times New Roman" w:cs="Times New Roman"/>
          <w:lang w:val="en-US"/>
        </w:rPr>
        <w:t xml:space="preserve">- </w:t>
      </w:r>
      <w:r w:rsidRPr="00E436F3">
        <w:rPr>
          <w:rFonts w:ascii="Times New Roman" w:hAnsi="Times New Roman" w:cs="Times New Roman"/>
        </w:rPr>
        <w:t>lizingo portfelio dydis.</w:t>
      </w:r>
    </w:p>
    <w:p w:rsidR="00EC443F" w:rsidRPr="00E436F3" w:rsidRDefault="00EC443F" w:rsidP="00EC443F">
      <w:pPr>
        <w:tabs>
          <w:tab w:val="left" w:pos="567"/>
          <w:tab w:val="left" w:pos="993"/>
        </w:tabs>
        <w:spacing w:line="360" w:lineRule="auto"/>
        <w:jc w:val="both"/>
        <w:rPr>
          <w:rFonts w:ascii="Times New Roman" w:hAnsi="Times New Roman" w:cs="Times New Roman"/>
        </w:rPr>
      </w:pPr>
    </w:p>
    <w:p w:rsidR="00EC443F" w:rsidRDefault="00EC443F" w:rsidP="00177AA3">
      <w:pPr>
        <w:tabs>
          <w:tab w:val="left" w:pos="567"/>
        </w:tabs>
        <w:spacing w:line="360" w:lineRule="auto"/>
        <w:jc w:val="both"/>
        <w:rPr>
          <w:rFonts w:ascii="Times New Roman" w:hAnsi="Times New Roman" w:cs="Times New Roman"/>
        </w:rPr>
      </w:pPr>
      <w:r>
        <w:rPr>
          <w:rFonts w:ascii="Times New Roman" w:hAnsi="Times New Roman" w:cs="Times New Roman"/>
        </w:rPr>
        <w:tab/>
        <w:t>Kaip iš pateiktos formulės matome Lietuvos</w:t>
      </w:r>
      <w:r w:rsidR="002E22DF">
        <w:rPr>
          <w:rFonts w:ascii="Times New Roman" w:hAnsi="Times New Roman" w:cs="Times New Roman"/>
        </w:rPr>
        <w:t xml:space="preserve"> lizingo portfeliui padidėjus 1</w:t>
      </w:r>
      <w:r>
        <w:rPr>
          <w:rFonts w:ascii="Times New Roman" w:hAnsi="Times New Roman" w:cs="Times New Roman"/>
        </w:rPr>
        <w:t xml:space="preserve"> </w:t>
      </w:r>
      <w:r w:rsidR="002E22DF">
        <w:rPr>
          <w:rFonts w:ascii="Times New Roman" w:hAnsi="Times New Roman" w:cs="Times New Roman"/>
        </w:rPr>
        <w:t>mlrd</w:t>
      </w:r>
      <w:r>
        <w:rPr>
          <w:rFonts w:ascii="Times New Roman" w:hAnsi="Times New Roman" w:cs="Times New Roman"/>
        </w:rPr>
        <w:t xml:space="preserve">. Lt, tiesioginės užsienio investicijos išaugtų </w:t>
      </w:r>
      <w:r w:rsidR="002E22DF">
        <w:rPr>
          <w:rFonts w:ascii="Times New Roman" w:hAnsi="Times New Roman" w:cs="Times New Roman"/>
        </w:rPr>
        <w:t>2,73</w:t>
      </w:r>
      <w:r>
        <w:rPr>
          <w:rFonts w:ascii="Times New Roman" w:hAnsi="Times New Roman" w:cs="Times New Roman"/>
        </w:rPr>
        <w:t xml:space="preserve"> </w:t>
      </w:r>
      <w:r w:rsidR="002E22DF">
        <w:rPr>
          <w:rFonts w:ascii="Times New Roman" w:hAnsi="Times New Roman" w:cs="Times New Roman"/>
        </w:rPr>
        <w:t>mlrd</w:t>
      </w:r>
      <w:r>
        <w:rPr>
          <w:rFonts w:ascii="Times New Roman" w:hAnsi="Times New Roman" w:cs="Times New Roman"/>
        </w:rPr>
        <w:t xml:space="preserve">. Lt. </w:t>
      </w:r>
    </w:p>
    <w:p w:rsidR="00775E0B" w:rsidRDefault="00775E0B" w:rsidP="00177AA3">
      <w:pPr>
        <w:tabs>
          <w:tab w:val="left" w:pos="567"/>
        </w:tabs>
        <w:spacing w:line="360" w:lineRule="auto"/>
        <w:jc w:val="both"/>
        <w:rPr>
          <w:rFonts w:ascii="Times New Roman" w:hAnsi="Times New Roman" w:cs="Times New Roman"/>
        </w:rPr>
      </w:pPr>
    </w:p>
    <w:p w:rsidR="00896A71" w:rsidRDefault="00896A71" w:rsidP="00896A71">
      <w:pPr>
        <w:tabs>
          <w:tab w:val="left" w:pos="567"/>
        </w:tabs>
        <w:spacing w:line="360" w:lineRule="auto"/>
        <w:jc w:val="center"/>
        <w:rPr>
          <w:rFonts w:ascii="Times New Roman" w:hAnsi="Times New Roman" w:cs="Times New Roman"/>
        </w:rPr>
      </w:pPr>
      <w:r>
        <w:rPr>
          <w:noProof/>
        </w:rPr>
        <w:drawing>
          <wp:inline distT="0" distB="0" distL="0" distR="0" wp14:anchorId="2CC9D904" wp14:editId="5697442C">
            <wp:extent cx="4848225" cy="2343150"/>
            <wp:effectExtent l="0" t="0" r="0" b="0"/>
            <wp:docPr id="784" name="Chart 78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3B20D6" w:rsidRPr="003B20D6" w:rsidRDefault="003B20D6" w:rsidP="003B20D6">
      <w:pPr>
        <w:pStyle w:val="Paveikslai"/>
        <w:ind w:left="1560"/>
        <w:jc w:val="left"/>
        <w:rPr>
          <w:sz w:val="20"/>
          <w:szCs w:val="20"/>
        </w:rPr>
      </w:pPr>
      <w:bookmarkStart w:id="46" w:name="_Toc343459692"/>
      <w:r>
        <w:rPr>
          <w:sz w:val="20"/>
          <w:szCs w:val="20"/>
        </w:rPr>
        <w:t xml:space="preserve">Šaltinis: </w:t>
      </w:r>
      <w:r w:rsidRPr="003B20D6">
        <w:rPr>
          <w:b w:val="0"/>
          <w:sz w:val="20"/>
          <w:szCs w:val="20"/>
        </w:rPr>
        <w:t>sudaryta autoriaus</w:t>
      </w:r>
      <w:bookmarkEnd w:id="46"/>
    </w:p>
    <w:p w:rsidR="00775E0B" w:rsidRDefault="009B66EF" w:rsidP="00A66ABA">
      <w:pPr>
        <w:pStyle w:val="Paveikslai"/>
      </w:pPr>
      <w:bookmarkStart w:id="47" w:name="_Toc343459693"/>
      <w:r w:rsidRPr="009B66EF">
        <w:t xml:space="preserve">19 </w:t>
      </w:r>
      <w:r w:rsidR="007603C0">
        <w:t>pav</w:t>
      </w:r>
      <w:r w:rsidRPr="009B66EF">
        <w:t>.</w:t>
      </w:r>
      <w:r>
        <w:t xml:space="preserve"> </w:t>
      </w:r>
      <w:r w:rsidRPr="007B7B01">
        <w:t xml:space="preserve">Lizingo portfelio ir </w:t>
      </w:r>
      <w:r>
        <w:t>tiesioginių užsienio investi</w:t>
      </w:r>
      <w:r w:rsidR="006A63C3">
        <w:t>ci</w:t>
      </w:r>
      <w:r>
        <w:t>jų</w:t>
      </w:r>
      <w:r w:rsidRPr="007B7B01">
        <w:t xml:space="preserve"> priklausomybė</w:t>
      </w:r>
      <w:bookmarkEnd w:id="47"/>
    </w:p>
    <w:p w:rsidR="009B66EF" w:rsidRDefault="009B66EF" w:rsidP="009B66EF">
      <w:pPr>
        <w:tabs>
          <w:tab w:val="left" w:pos="567"/>
        </w:tabs>
        <w:spacing w:line="360" w:lineRule="auto"/>
        <w:rPr>
          <w:rFonts w:ascii="Times New Roman" w:hAnsi="Times New Roman" w:cs="Times New Roman"/>
          <w:b/>
        </w:rPr>
      </w:pPr>
    </w:p>
    <w:p w:rsidR="009B66EF" w:rsidRDefault="009B66EF" w:rsidP="009C07BB">
      <w:pPr>
        <w:tabs>
          <w:tab w:val="left" w:pos="567"/>
        </w:tabs>
        <w:spacing w:line="360" w:lineRule="auto"/>
        <w:jc w:val="both"/>
        <w:rPr>
          <w:rFonts w:ascii="Times New Roman" w:hAnsi="Times New Roman" w:cs="Times New Roman"/>
        </w:rPr>
      </w:pPr>
      <w:r>
        <w:rPr>
          <w:rFonts w:ascii="Times New Roman" w:hAnsi="Times New Roman" w:cs="Times New Roman"/>
          <w:b/>
        </w:rPr>
        <w:tab/>
      </w:r>
      <w:r w:rsidR="009C07BB">
        <w:rPr>
          <w:rFonts w:ascii="Times New Roman" w:hAnsi="Times New Roman" w:cs="Times New Roman"/>
        </w:rPr>
        <w:t>Gavę regresinę lygtį ir nubraižę diagramą atsakykime į mus labiausiai dominantį klausimą ar Lietuvoje lizingo rinka yra investicijas skatinantis veikinys ar ne. Kadangi klaidos padarymo tikimybė yra mažesnė už pasirinktą reikšmingumo lygmenį nulinę hipotezę atmetame ir priimame alternatyvią. Taigi galime drąsiai teigti, kad lizingo rinka Lietuvoje investicijas skatinantis veiksnys.</w:t>
      </w:r>
    </w:p>
    <w:p w:rsidR="00904A99" w:rsidRDefault="00904A99" w:rsidP="009C07BB">
      <w:pPr>
        <w:tabs>
          <w:tab w:val="left" w:pos="567"/>
        </w:tabs>
        <w:spacing w:line="360" w:lineRule="auto"/>
        <w:jc w:val="both"/>
        <w:rPr>
          <w:rFonts w:ascii="Times New Roman" w:hAnsi="Times New Roman" w:cs="Times New Roman"/>
        </w:rPr>
      </w:pPr>
    </w:p>
    <w:p w:rsidR="00904A99" w:rsidRDefault="00904A99" w:rsidP="00904A99">
      <w:pPr>
        <w:pStyle w:val="Heading2"/>
      </w:pPr>
      <w:bookmarkStart w:id="48" w:name="_Toc343517977"/>
      <w:r>
        <w:t>Lizingo rinkos įtakos nedarbo lygiui įvertinimas</w:t>
      </w:r>
      <w:bookmarkEnd w:id="48"/>
    </w:p>
    <w:p w:rsidR="00904A99" w:rsidRDefault="00904A99" w:rsidP="00904A99">
      <w:pPr>
        <w:rPr>
          <w:rFonts w:ascii="Times New Roman" w:hAnsi="Times New Roman" w:cs="Times New Roman"/>
        </w:rPr>
      </w:pPr>
    </w:p>
    <w:p w:rsidR="000D42C3" w:rsidRDefault="006A63C3" w:rsidP="000D42C3">
      <w:pPr>
        <w:spacing w:line="360" w:lineRule="auto"/>
        <w:ind w:firstLine="567"/>
        <w:jc w:val="both"/>
        <w:rPr>
          <w:rFonts w:ascii="Times New Roman" w:hAnsi="Times New Roman" w:cs="Times New Roman"/>
        </w:rPr>
      </w:pPr>
      <w:r>
        <w:rPr>
          <w:rFonts w:ascii="Times New Roman" w:hAnsi="Times New Roman" w:cs="Times New Roman"/>
        </w:rPr>
        <w:t>Išsiaiškinę, kad lizingo rinka teigiamai</w:t>
      </w:r>
      <w:r w:rsidR="000D42C3">
        <w:rPr>
          <w:rFonts w:ascii="Times New Roman" w:hAnsi="Times New Roman" w:cs="Times New Roman"/>
        </w:rPr>
        <w:t xml:space="preserve"> įtakoja tiek Lietuvos bendrąjį vidaus produktą, tiek tiesiogines užsienio investicijas, pereikime prie paskutinio koreliacinės regresinės analizės etapo. Sieksime įvertinti kaip lizingo rinka įtakoja nedarbo lygio kitimą šalyje. Kaip iš teorinės apžvalgos matėme, egzistuoja įvairių nuomonių </w:t>
      </w:r>
      <w:r w:rsidR="003A4D0F">
        <w:rPr>
          <w:rFonts w:ascii="Times New Roman" w:hAnsi="Times New Roman" w:cs="Times New Roman"/>
        </w:rPr>
        <w:t>dėl analizuojamos įtakos</w:t>
      </w:r>
      <w:r w:rsidR="000D42C3">
        <w:rPr>
          <w:rFonts w:ascii="Times New Roman" w:hAnsi="Times New Roman" w:cs="Times New Roman"/>
        </w:rPr>
        <w:t xml:space="preserve">, tačiau atlikti empiriniai tyrimai parodė, kad užsienio šalyse nedarbo lygis didėjant lizingo rinkai mažėja. Taigi išsiaiškinkime kokią įtaką lizingo rinka daro nedarbo lygiui Lietuvoje. Kaip ir analizuojant lizingo rinkos įtaką kitiems </w:t>
      </w:r>
      <w:r w:rsidR="000D42C3">
        <w:rPr>
          <w:rFonts w:ascii="Times New Roman" w:hAnsi="Times New Roman" w:cs="Times New Roman"/>
        </w:rPr>
        <w:lastRenderedPageBreak/>
        <w:t>pasirinktiems rodikliams, pirma pažiūrėkime kaip keičiantis lizingo rinkai, kito nedaro lygis (žr. 20 pav.).</w:t>
      </w:r>
    </w:p>
    <w:p w:rsidR="007B123A" w:rsidRDefault="007B123A" w:rsidP="000D42C3">
      <w:pPr>
        <w:spacing w:line="360" w:lineRule="auto"/>
        <w:ind w:firstLine="567"/>
        <w:jc w:val="both"/>
        <w:rPr>
          <w:rFonts w:ascii="Times New Roman" w:hAnsi="Times New Roman" w:cs="Times New Roman"/>
        </w:rPr>
      </w:pPr>
    </w:p>
    <w:p w:rsidR="004F3F8C" w:rsidRDefault="007A6210" w:rsidP="004F3F8C">
      <w:pPr>
        <w:spacing w:line="360" w:lineRule="auto"/>
        <w:jc w:val="center"/>
        <w:rPr>
          <w:rFonts w:ascii="Times New Roman" w:hAnsi="Times New Roman" w:cs="Times New Roman"/>
        </w:rPr>
      </w:pPr>
      <w:r w:rsidRPr="00E819D0">
        <w:rPr>
          <w:noProof/>
        </w:rPr>
        <mc:AlternateContent>
          <mc:Choice Requires="wps">
            <w:drawing>
              <wp:anchor distT="0" distB="0" distL="114300" distR="114300" simplePos="0" relativeHeight="251743232" behindDoc="0" locked="0" layoutInCell="1" allowOverlap="1" wp14:anchorId="2A919FE8" wp14:editId="2FB0561B">
                <wp:simplePos x="0" y="0"/>
                <wp:positionH relativeFrom="column">
                  <wp:posOffset>5471795</wp:posOffset>
                </wp:positionH>
                <wp:positionV relativeFrom="paragraph">
                  <wp:posOffset>513080</wp:posOffset>
                </wp:positionV>
                <wp:extent cx="533400" cy="1590675"/>
                <wp:effectExtent l="0" t="0" r="0" b="0"/>
                <wp:wrapNone/>
                <wp:docPr id="791"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0">
                          <a:off x="0" y="0"/>
                          <a:ext cx="533400" cy="1590675"/>
                        </a:xfrm>
                        <a:prstGeom prst="rect">
                          <a:avLst/>
                        </a:prstGeom>
                        <a:noFill/>
                        <a:ln w="9525" cmpd="sng">
                          <a:noFill/>
                        </a:ln>
                        <a:effectLst/>
                      </wps:spPr>
                      <wps:txbx>
                        <w:txbxContent>
                          <w:p w:rsidR="0041099D" w:rsidRPr="00507622" w:rsidRDefault="0041099D" w:rsidP="00507622">
                            <w:pPr>
                              <w:rPr>
                                <w:b/>
                                <w:sz w:val="20"/>
                                <w:szCs w:val="20"/>
                                <w:lang w:val="en-US"/>
                              </w:rPr>
                            </w:pPr>
                            <w:r>
                              <w:rPr>
                                <w:rFonts w:ascii="Calibri" w:eastAsia="+mn-ea" w:hAnsi="Calibri" w:cs="+mn-cs"/>
                                <w:b/>
                                <w:sz w:val="20"/>
                                <w:szCs w:val="20"/>
                              </w:rPr>
                              <w:t xml:space="preserve">Nedarbo lygis, </w:t>
                            </w:r>
                            <w:r>
                              <w:rPr>
                                <w:rFonts w:ascii="Calibri" w:eastAsia="+mn-ea" w:hAnsi="Calibri" w:cs="+mn-cs"/>
                                <w:b/>
                                <w:sz w:val="20"/>
                                <w:szCs w:val="20"/>
                                <w:lang w:val="en-US"/>
                              </w:rPr>
                              <w:t>%</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_x0000_s1177" type="#_x0000_t202" style="position:absolute;left:0;text-align:left;margin-left:430.85pt;margin-top:40.4pt;width:42pt;height:125.25pt;rotation:18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" filled="f" stroked="f">
                <v:path arrowok="t"/>
                <v:textbox style="layout-flow:vertical;mso-layout-flow-alt:bottom-to-top">
                  <w:txbxContent>
                    <w:p w:rsidR="0041099D" w:rsidRPr="00507622" w:rsidRDefault="0041099D" w:rsidP="00507622">
                      <w:pPr>
                        <w:rPr>
                          <w:b/>
                          <w:sz w:val="20"/>
                          <w:szCs w:val="20"/>
                          <w:lang w:val="en-US"/>
                        </w:rPr>
                      </w:pPr>
                      <w:r>
                        <w:rPr>
                          <w:rFonts w:ascii="Calibri" w:eastAsia="+mn-ea" w:hAnsi="Calibri" w:cs="+mn-cs"/>
                          <w:b/>
                          <w:sz w:val="20"/>
                          <w:szCs w:val="20"/>
                        </w:rPr>
                        <w:t xml:space="preserve">Nedarbo lygis, </w:t>
                      </w:r>
                      <w:r>
                        <w:rPr>
                          <w:rFonts w:ascii="Calibri" w:eastAsia="+mn-ea" w:hAnsi="Calibri" w:cs="+mn-cs"/>
                          <w:b/>
                          <w:sz w:val="20"/>
                          <w:szCs w:val="20"/>
                          <w:lang w:val="en-US"/>
                        </w:rPr>
                        <w:t>%</w:t>
                      </w:r>
                    </w:p>
                  </w:txbxContent>
                </v:textbox>
              </v:shape>
            </w:pict>
          </mc:Fallback>
        </mc:AlternateContent>
      </w:r>
      <w:r w:rsidRPr="00E819D0">
        <w:rPr>
          <w:noProof/>
        </w:rPr>
        <mc:AlternateContent>
          <mc:Choice Requires="wps">
            <w:drawing>
              <wp:anchor distT="0" distB="0" distL="114300" distR="114300" simplePos="0" relativeHeight="251741184" behindDoc="0" locked="0" layoutInCell="1" allowOverlap="1" wp14:anchorId="44D5CA7A" wp14:editId="58C577CC">
                <wp:simplePos x="0" y="0"/>
                <wp:positionH relativeFrom="column">
                  <wp:posOffset>318770</wp:posOffset>
                </wp:positionH>
                <wp:positionV relativeFrom="paragraph">
                  <wp:posOffset>170180</wp:posOffset>
                </wp:positionV>
                <wp:extent cx="533400" cy="1590675"/>
                <wp:effectExtent l="0" t="0" r="0" b="0"/>
                <wp:wrapNone/>
                <wp:docPr id="790"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1590675"/>
                        </a:xfrm>
                        <a:prstGeom prst="rect">
                          <a:avLst/>
                        </a:prstGeom>
                        <a:noFill/>
                        <a:ln w="9525" cmpd="sng">
                          <a:noFill/>
                        </a:ln>
                        <a:effectLst/>
                      </wps:spPr>
                      <wps:txbx>
                        <w:txbxContent>
                          <w:p w:rsidR="0041099D" w:rsidRPr="000D3985" w:rsidRDefault="0041099D" w:rsidP="00507622">
                            <w:pPr>
                              <w:pStyle w:val="NormalWeb"/>
                              <w:spacing w:before="0" w:beforeAutospacing="0" w:after="0" w:afterAutospacing="0"/>
                              <w:jc w:val="center"/>
                              <w:rPr>
                                <w:b/>
                                <w:sz w:val="20"/>
                                <w:szCs w:val="20"/>
                              </w:rPr>
                            </w:pPr>
                            <w:r>
                              <w:rPr>
                                <w:rFonts w:ascii="Calibri" w:eastAsia="+mn-ea" w:hAnsi="Calibri" w:cs="+mn-cs"/>
                                <w:b/>
                                <w:color w:val="000000"/>
                                <w:sz w:val="20"/>
                                <w:szCs w:val="20"/>
                              </w:rPr>
                              <w:t xml:space="preserve">Lizingo portfelis, </w:t>
                            </w:r>
                            <w:r w:rsidRPr="000D3985">
                              <w:rPr>
                                <w:rFonts w:ascii="Calibri" w:eastAsia="+mn-ea" w:hAnsi="Calibri" w:cs="+mn-cs"/>
                                <w:b/>
                                <w:color w:val="000000"/>
                                <w:sz w:val="20"/>
                                <w:szCs w:val="20"/>
                              </w:rPr>
                              <w:t xml:space="preserve">mlrd. </w:t>
                            </w:r>
                            <w:r>
                              <w:rPr>
                                <w:rFonts w:ascii="Calibri" w:eastAsia="+mn-ea" w:hAnsi="Calibri" w:cs="+mn-cs"/>
                                <w:b/>
                                <w:color w:val="000000"/>
                                <w:sz w:val="20"/>
                                <w:szCs w:val="20"/>
                              </w:rPr>
                              <w:t>Lt</w:t>
                            </w:r>
                          </w:p>
                        </w:txbxContent>
                      </wps:txbx>
                      <wps:bodyPr vertOverflow="clip" horzOverflow="clip" vert="vert270" wrap="square" rtlCol="0" anchor="ctr" anchorCtr="0"/>
                    </wps:wsp>
                  </a:graphicData>
                </a:graphic>
                <wp14:sizeRelH relativeFrom="page">
                  <wp14:pctWidth>0</wp14:pctWidth>
                </wp14:sizeRelH>
                <wp14:sizeRelV relativeFrom="page">
                  <wp14:pctHeight>0</wp14:pctHeight>
                </wp14:sizeRelV>
              </wp:anchor>
            </w:drawing>
          </mc:Choice>
          <mc:Fallback>
            <w:pict>
              <v:shape id="_x0000_s1178" type="#_x0000_t202" style="position:absolute;left:0;text-align:left;margin-left:25.1pt;margin-top:13.4pt;width:42pt;height:125.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" filled="f" stroked="f">
                <v:path arrowok="t"/>
                <v:textbox style="layout-flow:vertical;mso-layout-flow-alt:bottom-to-top">
                  <w:txbxContent>
                    <w:p w:rsidR="0041099D" w:rsidRPr="000D3985" w:rsidRDefault="0041099D" w:rsidP="00507622">
                      <w:pPr>
                        <w:pStyle w:val="NormalWeb"/>
                        <w:spacing w:before="0" w:beforeAutospacing="0" w:after="0" w:afterAutospacing="0"/>
                        <w:jc w:val="center"/>
                        <w:rPr>
                          <w:b/>
                          <w:sz w:val="20"/>
                          <w:szCs w:val="20"/>
                        </w:rPr>
                      </w:pPr>
                      <w:r>
                        <w:rPr>
                          <w:rFonts w:ascii="Calibri" w:eastAsia="+mn-ea" w:hAnsi="Calibri" w:cs="+mn-cs"/>
                          <w:b/>
                          <w:color w:val="000000"/>
                          <w:sz w:val="20"/>
                          <w:szCs w:val="20"/>
                        </w:rPr>
                        <w:t xml:space="preserve">Lizingo portfelis, </w:t>
                      </w:r>
                      <w:r w:rsidRPr="000D3985">
                        <w:rPr>
                          <w:rFonts w:ascii="Calibri" w:eastAsia="+mn-ea" w:hAnsi="Calibri" w:cs="+mn-cs"/>
                          <w:b/>
                          <w:color w:val="000000"/>
                          <w:sz w:val="20"/>
                          <w:szCs w:val="20"/>
                        </w:rPr>
                        <w:t xml:space="preserve">mlrd. </w:t>
                      </w:r>
                      <w:r>
                        <w:rPr>
                          <w:rFonts w:ascii="Calibri" w:eastAsia="+mn-ea" w:hAnsi="Calibri" w:cs="+mn-cs"/>
                          <w:b/>
                          <w:color w:val="000000"/>
                          <w:sz w:val="20"/>
                          <w:szCs w:val="20"/>
                        </w:rPr>
                        <w:t>Lt</w:t>
                      </w:r>
                    </w:p>
                  </w:txbxContent>
                </v:textbox>
              </v:shape>
            </w:pict>
          </mc:Fallback>
        </mc:AlternateContent>
      </w:r>
      <w:r w:rsidR="004F3F8C">
        <w:rPr>
          <w:noProof/>
        </w:rPr>
        <w:drawing>
          <wp:inline distT="0" distB="0" distL="0" distR="0" wp14:anchorId="40829696" wp14:editId="6CD7BF26">
            <wp:extent cx="4876800" cy="2543175"/>
            <wp:effectExtent l="0" t="0" r="0" b="0"/>
            <wp:docPr id="786" name="Chart 786"/>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3B20D6" w:rsidRDefault="003B20D6" w:rsidP="003B20D6">
      <w:pPr>
        <w:spacing w:line="360" w:lineRule="auto"/>
        <w:ind w:left="851"/>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pagal Lietuvos statistikos departamento prie Lietuvos Vyriausybės, Lietuvos bankų asociacijos svetainių duomenis</w:t>
      </w:r>
    </w:p>
    <w:p w:rsidR="004F3F8C" w:rsidRPr="004F3F8C" w:rsidRDefault="004F3F8C" w:rsidP="00A66ABA">
      <w:pPr>
        <w:pStyle w:val="Paveikslai"/>
      </w:pPr>
      <w:bookmarkStart w:id="49" w:name="_Toc343459694"/>
      <w:r>
        <w:t>20</w:t>
      </w:r>
      <w:r w:rsidRPr="004F3F8C">
        <w:t xml:space="preserve"> </w:t>
      </w:r>
      <w:r w:rsidR="007603C0">
        <w:t>pav</w:t>
      </w:r>
      <w:r w:rsidRPr="004F3F8C">
        <w:t xml:space="preserve">. </w:t>
      </w:r>
      <w:r w:rsidR="003B20D6">
        <w:t>Lietuvos l</w:t>
      </w:r>
      <w:r w:rsidRPr="004F3F8C">
        <w:t xml:space="preserve">izingo portfelio, </w:t>
      </w:r>
      <w:r>
        <w:t xml:space="preserve">nedarbo lygio </w:t>
      </w:r>
      <w:r w:rsidRPr="004F3F8C">
        <w:t>pokytis 1998-2011 m.</w:t>
      </w:r>
      <w:bookmarkEnd w:id="49"/>
    </w:p>
    <w:p w:rsidR="00904A99" w:rsidRDefault="00904A99" w:rsidP="00F960EF">
      <w:pPr>
        <w:spacing w:line="360" w:lineRule="auto"/>
        <w:rPr>
          <w:rFonts w:ascii="Times New Roman" w:hAnsi="Times New Roman" w:cs="Times New Roman"/>
        </w:rPr>
      </w:pPr>
    </w:p>
    <w:p w:rsidR="00D9749C" w:rsidRDefault="00D9749C" w:rsidP="003B20D6">
      <w:pPr>
        <w:tabs>
          <w:tab w:val="left" w:pos="567"/>
        </w:tabs>
        <w:spacing w:line="360" w:lineRule="auto"/>
        <w:jc w:val="both"/>
        <w:rPr>
          <w:rFonts w:ascii="Times New Roman" w:hAnsi="Times New Roman" w:cs="Times New Roman"/>
        </w:rPr>
      </w:pPr>
      <w:r>
        <w:rPr>
          <w:rFonts w:ascii="Times New Roman" w:hAnsi="Times New Roman" w:cs="Times New Roman"/>
        </w:rPr>
        <w:tab/>
      </w:r>
      <w:r w:rsidR="00601DBF">
        <w:rPr>
          <w:rFonts w:ascii="Times New Roman" w:hAnsi="Times New Roman" w:cs="Times New Roman"/>
        </w:rPr>
        <w:t xml:space="preserve">Kaip iš pateiktos diagramos matome, </w:t>
      </w:r>
      <w:r w:rsidR="00D95A0E">
        <w:rPr>
          <w:rFonts w:ascii="Times New Roman" w:hAnsi="Times New Roman" w:cs="Times New Roman"/>
        </w:rPr>
        <w:t xml:space="preserve">nedarbo lygis analizuojamu laikotarpiu kito pakankamai ženkliai. Krypties pasikeitimai buvo net keturi: 1998 – 2001 metais nedarbo lygis kilo, 2002-2007 m. mažėjo, 2008 – 2010 metų laikotarpiu vėl kilo, 2011 metais mažėja. 2001 – 2007 metų laikotarpiui, kuomet lizingo rinka augo sparčiausiai - vidutiniškai po 40 </w:t>
      </w:r>
      <w:r w:rsidR="00D95A0E">
        <w:rPr>
          <w:rFonts w:ascii="Times New Roman" w:hAnsi="Times New Roman" w:cs="Times New Roman"/>
          <w:lang w:val="en-US"/>
        </w:rPr>
        <w:t xml:space="preserve">%, </w:t>
      </w:r>
      <w:r w:rsidR="00D95A0E">
        <w:rPr>
          <w:rFonts w:ascii="Times New Roman" w:hAnsi="Times New Roman" w:cs="Times New Roman"/>
        </w:rPr>
        <w:t xml:space="preserve">nedarbo lygis kasmet </w:t>
      </w:r>
      <w:r w:rsidR="008D1CC6">
        <w:rPr>
          <w:rFonts w:ascii="Times New Roman" w:hAnsi="Times New Roman" w:cs="Times New Roman"/>
        </w:rPr>
        <w:t xml:space="preserve">vidutiniškai </w:t>
      </w:r>
      <w:r w:rsidR="00D95A0E">
        <w:rPr>
          <w:rFonts w:ascii="Times New Roman" w:hAnsi="Times New Roman" w:cs="Times New Roman"/>
        </w:rPr>
        <w:t xml:space="preserve">mažėjo apie 2,2 </w:t>
      </w:r>
      <w:r w:rsidR="00D95A0E">
        <w:rPr>
          <w:rFonts w:ascii="Times New Roman" w:hAnsi="Times New Roman" w:cs="Times New Roman"/>
          <w:lang w:val="en-US"/>
        </w:rPr>
        <w:t>%</w:t>
      </w:r>
      <w:r w:rsidR="00D95A0E">
        <w:rPr>
          <w:rFonts w:ascii="Times New Roman" w:hAnsi="Times New Roman" w:cs="Times New Roman"/>
        </w:rPr>
        <w:t>. Lizin</w:t>
      </w:r>
      <w:r w:rsidR="00D75A00">
        <w:rPr>
          <w:rFonts w:ascii="Times New Roman" w:hAnsi="Times New Roman" w:cs="Times New Roman"/>
        </w:rPr>
        <w:t xml:space="preserve">go rinkos mažėjimo laikotarpiui, kuomet nuo 2008 metais pasiekto aukščiausio taško lizingo rinka 2009-2010 m. traukėsi vidutiniškai po apie 27 </w:t>
      </w:r>
      <w:r w:rsidR="00D75A00">
        <w:rPr>
          <w:rFonts w:ascii="Times New Roman" w:hAnsi="Times New Roman" w:cs="Times New Roman"/>
          <w:lang w:val="en-US"/>
        </w:rPr>
        <w:t>%</w:t>
      </w:r>
      <w:r w:rsidR="00D75A00">
        <w:rPr>
          <w:rFonts w:ascii="Times New Roman" w:hAnsi="Times New Roman" w:cs="Times New Roman"/>
        </w:rPr>
        <w:t>, nedarbo lygis tuo metu augo vidutiniškai po 6</w:t>
      </w:r>
      <w:r w:rsidR="00D75A00">
        <w:rPr>
          <w:rFonts w:ascii="Times New Roman" w:hAnsi="Times New Roman" w:cs="Times New Roman"/>
          <w:lang w:val="en-US"/>
        </w:rPr>
        <w:t xml:space="preserve"> %</w:t>
      </w:r>
      <w:r w:rsidR="00D75A00">
        <w:rPr>
          <w:rFonts w:ascii="Times New Roman" w:hAnsi="Times New Roman" w:cs="Times New Roman"/>
        </w:rPr>
        <w:t xml:space="preserve">. Kitais laikotarpiais lizingo rinkai reikšmingai nesikoreguojant, nedarbo lygis judėdavo </w:t>
      </w:r>
      <w:r w:rsidR="00917E33">
        <w:rPr>
          <w:rFonts w:ascii="Times New Roman" w:hAnsi="Times New Roman" w:cs="Times New Roman"/>
        </w:rPr>
        <w:t xml:space="preserve">kita linkme: 1998 – 2001 metų laikotarpiu lizingo rinkai kylant, nedarbo lygis augo, 2011 metais lizingo rinkai traukiantis, nedarbo lygis mažėja. </w:t>
      </w:r>
      <w:r w:rsidR="00384229">
        <w:rPr>
          <w:rFonts w:ascii="Times New Roman" w:hAnsi="Times New Roman" w:cs="Times New Roman"/>
        </w:rPr>
        <w:t xml:space="preserve">Taigi iš dalies matoma tendencija, kad lizingo rinkai sparčiai plečiantis, nedarbo lygis mažėja, o lizingo rinkai </w:t>
      </w:r>
      <w:r w:rsidR="008D1CC6">
        <w:rPr>
          <w:rFonts w:ascii="Times New Roman" w:hAnsi="Times New Roman" w:cs="Times New Roman"/>
        </w:rPr>
        <w:t xml:space="preserve">sparčiai </w:t>
      </w:r>
      <w:r w:rsidR="00384229">
        <w:rPr>
          <w:rFonts w:ascii="Times New Roman" w:hAnsi="Times New Roman" w:cs="Times New Roman"/>
        </w:rPr>
        <w:t>traukiantis nedarbo lygis augo. Tačiau kaip ir buvo minėta, lizingo rinkai koreguojantis minimaliai, nedarbo lygis juda kita linkme. Taigi diagrama neleidžia pateikti jokių konkretesnių išvadų. Todėl atliksime koreliacinę regresinę analizę. Pirma apsiskaičiuosime reikalingus kintamuosius (žr. 9 lent.)</w:t>
      </w:r>
    </w:p>
    <w:p w:rsidR="007B123A" w:rsidRDefault="007B123A">
      <w:pPr>
        <w:spacing w:after="200" w:line="276" w:lineRule="auto"/>
        <w:rPr>
          <w:rFonts w:ascii="Times New Roman" w:hAnsi="Times New Roman" w:cs="Times New Roman"/>
          <w:sz w:val="16"/>
          <w:szCs w:val="16"/>
        </w:rPr>
      </w:pPr>
      <w:r>
        <w:rPr>
          <w:rFonts w:ascii="Times New Roman" w:hAnsi="Times New Roman" w:cs="Times New Roman"/>
          <w:sz w:val="16"/>
          <w:szCs w:val="16"/>
        </w:rPr>
        <w:br w:type="page"/>
      </w:r>
    </w:p>
    <w:p w:rsidR="00384229" w:rsidRPr="00863B4E" w:rsidRDefault="00384229" w:rsidP="003B20D6">
      <w:pPr>
        <w:pStyle w:val="Lentels"/>
      </w:pPr>
      <w:bookmarkStart w:id="50" w:name="_Toc343459646"/>
      <w:r>
        <w:lastRenderedPageBreak/>
        <w:t>9</w:t>
      </w:r>
      <w:r w:rsidRPr="00F778A8">
        <w:t xml:space="preserve"> lentelė</w:t>
      </w:r>
      <w:r>
        <w:t>. Koreliacinės regresinės analizės tarp lizingo rinkos ir nedarbo lygio atlikimui reikalingi kintamieji</w:t>
      </w:r>
      <w:bookmarkEnd w:id="50"/>
    </w:p>
    <w:tbl>
      <w:tblPr>
        <w:tblStyle w:val="LightGrid-Accent5"/>
        <w:tblW w:w="10173" w:type="dxa"/>
        <w:tblLayout w:type="fixed"/>
        <w:tblLook w:val="04A0" w:firstRow="1" w:lastRow="0" w:firstColumn="1" w:lastColumn="0" w:noHBand="0" w:noVBand="1"/>
      </w:tblPr>
      <w:tblGrid>
        <w:gridCol w:w="1406"/>
        <w:gridCol w:w="1112"/>
        <w:gridCol w:w="992"/>
        <w:gridCol w:w="1134"/>
        <w:gridCol w:w="1134"/>
        <w:gridCol w:w="1701"/>
        <w:gridCol w:w="851"/>
        <w:gridCol w:w="992"/>
        <w:gridCol w:w="851"/>
      </w:tblGrid>
      <w:tr w:rsidR="005057BE" w:rsidRPr="00F85ED2" w:rsidTr="003B20D6">
        <w:trPr>
          <w:cnfStyle w:val="100000000000" w:firstRow="1" w:lastRow="0" w:firstColumn="0" w:lastColumn="0" w:oddVBand="0" w:evenVBand="0" w:oddHBand="0" w:evenHBand="0" w:firstRowFirstColumn="0" w:firstRowLastColumn="0" w:lastRowFirstColumn="0" w:lastRowLastColumn="0"/>
          <w:trHeight w:val="635"/>
        </w:trPr>
        <w:tc>
          <w:tcPr>
            <w:cnfStyle w:val="001000000000" w:firstRow="0" w:lastRow="0" w:firstColumn="1" w:lastColumn="0" w:oddVBand="0" w:evenVBand="0" w:oddHBand="0" w:evenHBand="0" w:firstRowFirstColumn="0" w:firstRowLastColumn="0" w:lastRowFirstColumn="0" w:lastRowLastColumn="0"/>
            <w:tcW w:w="1406" w:type="dxa"/>
          </w:tcPr>
          <w:p w:rsidR="00384229" w:rsidRPr="00F85ED2" w:rsidRDefault="00384229" w:rsidP="008312CF">
            <w:pPr>
              <w:spacing w:line="360" w:lineRule="auto"/>
              <w:jc w:val="center"/>
              <w:rPr>
                <w:rFonts w:ascii="Times New Roman" w:hAnsi="Times New Roman" w:cs="Times New Roman"/>
                <w:b w:val="0"/>
              </w:rPr>
            </w:pPr>
            <w:r w:rsidRPr="00F85ED2">
              <w:rPr>
                <w:rFonts w:ascii="Times New Roman" w:hAnsi="Times New Roman" w:cs="Times New Roman"/>
                <w:b w:val="0"/>
              </w:rPr>
              <w:t>Koreliacijos koeficientas</w:t>
            </w:r>
          </w:p>
        </w:tc>
        <w:tc>
          <w:tcPr>
            <w:tcW w:w="1112"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t kriterijus</w:t>
            </w:r>
          </w:p>
        </w:tc>
        <w:tc>
          <w:tcPr>
            <w:tcW w:w="992"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t kritinė reikšmė</w:t>
            </w:r>
          </w:p>
        </w:tc>
        <w:tc>
          <w:tcPr>
            <w:tcW w:w="1134"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F kriterijus</w:t>
            </w:r>
          </w:p>
        </w:tc>
        <w:tc>
          <w:tcPr>
            <w:tcW w:w="1134"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F kritinė reikšmė</w:t>
            </w:r>
          </w:p>
        </w:tc>
        <w:tc>
          <w:tcPr>
            <w:tcW w:w="1701"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Determinacijos koeficientas</w:t>
            </w:r>
          </w:p>
        </w:tc>
        <w:tc>
          <w:tcPr>
            <w:tcW w:w="851"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p</w:t>
            </w:r>
          </w:p>
        </w:tc>
        <w:tc>
          <w:tcPr>
            <w:tcW w:w="992"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a</w:t>
            </w:r>
            <w:r w:rsidRPr="00F85ED2">
              <w:rPr>
                <w:rFonts w:ascii="Times New Roman" w:hAnsi="Times New Roman" w:cs="Times New Roman"/>
                <w:b w:val="0"/>
                <w:vertAlign w:val="subscript"/>
              </w:rPr>
              <w:t>0</w:t>
            </w:r>
          </w:p>
        </w:tc>
        <w:tc>
          <w:tcPr>
            <w:tcW w:w="851" w:type="dxa"/>
          </w:tcPr>
          <w:p w:rsidR="00384229" w:rsidRPr="00F85ED2" w:rsidRDefault="00384229" w:rsidP="00831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F85ED2">
              <w:rPr>
                <w:rFonts w:ascii="Times New Roman" w:hAnsi="Times New Roman" w:cs="Times New Roman"/>
                <w:b w:val="0"/>
              </w:rPr>
              <w:t>a</w:t>
            </w:r>
            <w:r w:rsidRPr="00F85ED2">
              <w:rPr>
                <w:rFonts w:ascii="Times New Roman" w:hAnsi="Times New Roman" w:cs="Times New Roman"/>
                <w:b w:val="0"/>
                <w:vertAlign w:val="subscript"/>
              </w:rPr>
              <w:t>1</w:t>
            </w:r>
          </w:p>
        </w:tc>
      </w:tr>
      <w:tr w:rsidR="005057BE" w:rsidRPr="003B20D6" w:rsidTr="003B20D6">
        <w:trPr>
          <w:cnfStyle w:val="000000100000" w:firstRow="0" w:lastRow="0" w:firstColumn="0" w:lastColumn="0" w:oddVBand="0" w:evenVBand="0" w:oddHBand="1" w:evenHBand="0" w:firstRowFirstColumn="0" w:firstRowLastColumn="0" w:lastRowFirstColumn="0" w:lastRowLastColumn="0"/>
          <w:trHeight w:val="182"/>
        </w:trPr>
        <w:tc>
          <w:tcPr>
            <w:cnfStyle w:val="001000000000" w:firstRow="0" w:lastRow="0" w:firstColumn="1" w:lastColumn="0" w:oddVBand="0" w:evenVBand="0" w:oddHBand="0" w:evenHBand="0" w:firstRowFirstColumn="0" w:firstRowLastColumn="0" w:lastRowFirstColumn="0" w:lastRowLastColumn="0"/>
            <w:tcW w:w="1406" w:type="dxa"/>
          </w:tcPr>
          <w:p w:rsidR="00384229" w:rsidRPr="00F85ED2" w:rsidRDefault="005057BE" w:rsidP="008312CF">
            <w:pPr>
              <w:spacing w:line="360" w:lineRule="auto"/>
              <w:jc w:val="center"/>
              <w:rPr>
                <w:rFonts w:ascii="Times New Roman" w:hAnsi="Times New Roman" w:cs="Times New Roman"/>
                <w:b w:val="0"/>
              </w:rPr>
            </w:pPr>
            <w:r w:rsidRPr="00F85ED2">
              <w:rPr>
                <w:rFonts w:ascii="Times New Roman" w:hAnsi="Times New Roman" w:cs="Times New Roman"/>
                <w:b w:val="0"/>
              </w:rPr>
              <w:t>-</w:t>
            </w:r>
            <w:r w:rsidR="001A36E1" w:rsidRPr="00F85ED2">
              <w:rPr>
                <w:rFonts w:ascii="Times New Roman" w:hAnsi="Times New Roman" w:cs="Times New Roman"/>
                <w:b w:val="0"/>
              </w:rPr>
              <w:t>0,704</w:t>
            </w:r>
          </w:p>
        </w:tc>
        <w:tc>
          <w:tcPr>
            <w:tcW w:w="1112" w:type="dxa"/>
          </w:tcPr>
          <w:p w:rsidR="00384229" w:rsidRPr="00F85ED2" w:rsidRDefault="001A36E1" w:rsidP="008312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3,433</w:t>
            </w:r>
          </w:p>
        </w:tc>
        <w:tc>
          <w:tcPr>
            <w:tcW w:w="992" w:type="dxa"/>
          </w:tcPr>
          <w:p w:rsidR="00384229" w:rsidRPr="00F85ED2" w:rsidRDefault="00384229" w:rsidP="008312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1,761</w:t>
            </w:r>
          </w:p>
        </w:tc>
        <w:tc>
          <w:tcPr>
            <w:tcW w:w="1134" w:type="dxa"/>
          </w:tcPr>
          <w:p w:rsidR="00384229" w:rsidRPr="00F85ED2" w:rsidRDefault="005057BE" w:rsidP="008312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11,814</w:t>
            </w:r>
          </w:p>
        </w:tc>
        <w:tc>
          <w:tcPr>
            <w:tcW w:w="1134" w:type="dxa"/>
          </w:tcPr>
          <w:p w:rsidR="00384229" w:rsidRPr="00F85ED2" w:rsidRDefault="00384229" w:rsidP="008312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4,7472</w:t>
            </w:r>
          </w:p>
        </w:tc>
        <w:tc>
          <w:tcPr>
            <w:tcW w:w="1701" w:type="dxa"/>
          </w:tcPr>
          <w:p w:rsidR="00384229" w:rsidRPr="00F85ED2" w:rsidRDefault="005057BE" w:rsidP="008312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0,496</w:t>
            </w:r>
          </w:p>
        </w:tc>
        <w:tc>
          <w:tcPr>
            <w:tcW w:w="851" w:type="dxa"/>
          </w:tcPr>
          <w:p w:rsidR="00384229" w:rsidRPr="00F85ED2" w:rsidRDefault="005057BE" w:rsidP="008312C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0,005</w:t>
            </w:r>
          </w:p>
        </w:tc>
        <w:tc>
          <w:tcPr>
            <w:tcW w:w="992" w:type="dxa"/>
          </w:tcPr>
          <w:p w:rsidR="00384229" w:rsidRPr="00F85ED2" w:rsidRDefault="005057BE" w:rsidP="008312C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16,156</w:t>
            </w:r>
          </w:p>
        </w:tc>
        <w:tc>
          <w:tcPr>
            <w:tcW w:w="851" w:type="dxa"/>
          </w:tcPr>
          <w:p w:rsidR="00384229" w:rsidRPr="00F85ED2" w:rsidRDefault="005057BE" w:rsidP="008312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85ED2">
              <w:rPr>
                <w:rFonts w:ascii="Times New Roman" w:hAnsi="Times New Roman" w:cs="Times New Roman"/>
              </w:rPr>
              <w:t>-0,855</w:t>
            </w:r>
          </w:p>
        </w:tc>
      </w:tr>
    </w:tbl>
    <w:p w:rsidR="003B20D6" w:rsidRDefault="003B20D6" w:rsidP="00C4545F">
      <w:pPr>
        <w:tabs>
          <w:tab w:val="left" w:pos="567"/>
        </w:tabs>
        <w:spacing w:line="360" w:lineRule="auto"/>
        <w:jc w:val="both"/>
        <w:rPr>
          <w:rFonts w:ascii="Times New Roman" w:hAnsi="Times New Roman" w:cs="Times New Roman"/>
        </w:rPr>
      </w:pPr>
      <w:r w:rsidRPr="003B20D6">
        <w:rPr>
          <w:rFonts w:ascii="Times New Roman" w:hAnsi="Times New Roman" w:cs="Times New Roman"/>
          <w:b/>
          <w:sz w:val="20"/>
          <w:szCs w:val="20"/>
        </w:rPr>
        <w:t>Šaltinis:</w:t>
      </w:r>
      <w:r>
        <w:rPr>
          <w:rFonts w:ascii="Times New Roman" w:hAnsi="Times New Roman" w:cs="Times New Roman"/>
          <w:sz w:val="20"/>
          <w:szCs w:val="20"/>
        </w:rPr>
        <w:t xml:space="preserve"> sudaryta autoriaus</w:t>
      </w:r>
      <w:r w:rsidR="002147ED">
        <w:rPr>
          <w:rFonts w:ascii="Times New Roman" w:hAnsi="Times New Roman" w:cs="Times New Roman"/>
        </w:rPr>
        <w:tab/>
      </w:r>
    </w:p>
    <w:p w:rsidR="007B123A" w:rsidRDefault="007B123A" w:rsidP="00C4545F">
      <w:pPr>
        <w:tabs>
          <w:tab w:val="left" w:pos="567"/>
        </w:tabs>
        <w:spacing w:line="360" w:lineRule="auto"/>
        <w:jc w:val="both"/>
        <w:rPr>
          <w:rFonts w:ascii="Times New Roman" w:hAnsi="Times New Roman" w:cs="Times New Roman"/>
        </w:rPr>
      </w:pPr>
    </w:p>
    <w:p w:rsidR="00F960EF" w:rsidRDefault="007B123A" w:rsidP="00C4545F">
      <w:pPr>
        <w:tabs>
          <w:tab w:val="left" w:pos="567"/>
        </w:tabs>
        <w:spacing w:line="360" w:lineRule="auto"/>
        <w:jc w:val="both"/>
        <w:rPr>
          <w:rFonts w:ascii="Times New Roman" w:hAnsi="Times New Roman" w:cs="Times New Roman"/>
        </w:rPr>
      </w:pPr>
      <w:r>
        <w:rPr>
          <w:rFonts w:ascii="Times New Roman" w:hAnsi="Times New Roman" w:cs="Times New Roman"/>
        </w:rPr>
        <w:tab/>
      </w:r>
      <w:r w:rsidR="002147ED">
        <w:rPr>
          <w:rFonts w:ascii="Times New Roman" w:hAnsi="Times New Roman" w:cs="Times New Roman"/>
        </w:rPr>
        <w:t>Kaip iš pateiktos lentelės</w:t>
      </w:r>
      <w:r w:rsidR="00C4545F">
        <w:rPr>
          <w:rFonts w:ascii="Times New Roman" w:hAnsi="Times New Roman" w:cs="Times New Roman"/>
        </w:rPr>
        <w:t xml:space="preserve"> matome</w:t>
      </w:r>
      <w:r w:rsidR="002147ED">
        <w:rPr>
          <w:rFonts w:ascii="Times New Roman" w:hAnsi="Times New Roman" w:cs="Times New Roman"/>
        </w:rPr>
        <w:t xml:space="preserve">, koreliacijos koeficientas neigiamas 0,704. </w:t>
      </w:r>
      <w:r w:rsidR="00C4545F">
        <w:rPr>
          <w:rFonts w:ascii="Times New Roman" w:hAnsi="Times New Roman" w:cs="Times New Roman"/>
        </w:rPr>
        <w:t xml:space="preserve">Tai reiškia, kad didėjant lizingo portfeliui nedarbo lygis mažėja ir atvirkščiai. Koreliacijos koeficientas yra statistiškai reikšmingas, nes apskaičiuota t reikšmė yra didesnė t kritinę. Tikrinant lygties adekvatumą lyginame apskaičiuotą F reikšmę su kritine. Kadangi 11,814 yra </w:t>
      </w:r>
      <w:r w:rsidR="00D1794D">
        <w:rPr>
          <w:rFonts w:ascii="Times New Roman" w:hAnsi="Times New Roman" w:cs="Times New Roman"/>
        </w:rPr>
        <w:t>daugiau už 4,7472, lygtis laikoma</w:t>
      </w:r>
      <w:r w:rsidR="00C4545F">
        <w:rPr>
          <w:rFonts w:ascii="Times New Roman" w:hAnsi="Times New Roman" w:cs="Times New Roman"/>
        </w:rPr>
        <w:t xml:space="preserve"> adekvačia. Determinacijos koeficientas siekia 0,496. </w:t>
      </w:r>
      <w:r w:rsidR="00D1794D">
        <w:rPr>
          <w:rFonts w:ascii="Times New Roman" w:hAnsi="Times New Roman" w:cs="Times New Roman"/>
        </w:rPr>
        <w:t xml:space="preserve">Reikšmė yra pakankamai nedidelė, bet kaip rašyta metodinėje medžiagoje, pakankama norint patvirtinti lygtį. </w:t>
      </w:r>
      <w:r w:rsidR="00B05480">
        <w:rPr>
          <w:rFonts w:ascii="Times New Roman" w:hAnsi="Times New Roman" w:cs="Times New Roman"/>
        </w:rPr>
        <w:t>Taigi galime sudaryti lygtį žr. (12) formulę ir nubraižyti lizingo rinkos ir nedarbo lygio sklaidos diagramą ir krypties liniją (žr. 21 pav.).</w:t>
      </w:r>
    </w:p>
    <w:p w:rsidR="00B05480" w:rsidRDefault="00B05480" w:rsidP="00C4545F">
      <w:pPr>
        <w:tabs>
          <w:tab w:val="left" w:pos="567"/>
        </w:tabs>
        <w:spacing w:line="360" w:lineRule="auto"/>
        <w:jc w:val="both"/>
        <w:rPr>
          <w:rFonts w:ascii="Times New Roman" w:hAnsi="Times New Roman" w:cs="Times New Roman"/>
        </w:rPr>
      </w:pPr>
    </w:p>
    <w:p w:rsidR="00B05480" w:rsidRPr="00E436F3" w:rsidRDefault="00B05480" w:rsidP="00B05480">
      <w:pPr>
        <w:tabs>
          <w:tab w:val="left" w:pos="567"/>
        </w:tabs>
        <w:spacing w:line="360" w:lineRule="auto"/>
        <w:jc w:val="both"/>
        <w:rPr>
          <w:rFonts w:ascii="Times New Roman" w:hAnsi="Times New Roman" w:cs="Times New Roman"/>
          <w:lang w:val="en-US"/>
        </w:rPr>
      </w:pPr>
      <m:oMath>
        <m:r>
          <m:rPr>
            <m:sty m:val="bi"/>
          </m:rPr>
          <w:rPr>
            <w:rFonts w:ascii="Cambria Math" w:hAnsi="Cambria Math" w:cs="Times New Roman"/>
          </w:rPr>
          <m:t>ŷ</m:t>
        </m:r>
        <m:r>
          <m:rPr>
            <m:sty m:val="bi"/>
          </m:rPr>
          <w:rPr>
            <w:rFonts w:ascii="Cambria Math" w:hAnsi="Cambria Math" w:cs="Times New Roman"/>
            <w:lang w:val="en-US"/>
          </w:rPr>
          <m:t>=16,156-0,855</m:t>
        </m:r>
        <m:r>
          <m:rPr>
            <m:sty m:val="bi"/>
          </m:rPr>
          <w:rPr>
            <w:rFonts w:ascii="Cambria Math" w:hAnsi="Cambria Math" w:cs="Times New Roman"/>
            <w:lang w:val="en-US"/>
          </w:rPr>
          <m:t>x</m:t>
        </m:r>
      </m:oMath>
      <w:r w:rsidRPr="00E436F3">
        <w:rPr>
          <w:rFonts w:ascii="Times New Roman" w:hAnsi="Times New Roman" w:cs="Times New Roman"/>
          <w:lang w:val="en-US"/>
        </w:rPr>
        <w:tab/>
      </w:r>
      <w:r>
        <w:rPr>
          <w:rFonts w:ascii="Times New Roman" w:hAnsi="Times New Roman" w:cs="Times New Roman"/>
          <w:lang w:val="en-US"/>
        </w:rPr>
        <w:tab/>
      </w:r>
      <w:r w:rsidRPr="00E436F3">
        <w:rPr>
          <w:rFonts w:ascii="Times New Roman" w:hAnsi="Times New Roman" w:cs="Times New Roman"/>
          <w:lang w:val="en-US"/>
        </w:rPr>
        <w:t>(</w:t>
      </w:r>
      <w:r>
        <w:rPr>
          <w:rFonts w:ascii="Times New Roman" w:hAnsi="Times New Roman" w:cs="Times New Roman"/>
          <w:lang w:val="en-US"/>
        </w:rPr>
        <w:t>12</w:t>
      </w:r>
      <w:r w:rsidRPr="00E436F3">
        <w:rPr>
          <w:rFonts w:ascii="Times New Roman" w:hAnsi="Times New Roman" w:cs="Times New Roman"/>
          <w:lang w:val="en-US"/>
        </w:rPr>
        <w:t>)</w:t>
      </w:r>
    </w:p>
    <w:p w:rsidR="00B05480" w:rsidRPr="00E436F3" w:rsidRDefault="00B05480" w:rsidP="00B05480">
      <w:pPr>
        <w:tabs>
          <w:tab w:val="left" w:pos="567"/>
        </w:tabs>
        <w:spacing w:line="360" w:lineRule="auto"/>
        <w:jc w:val="both"/>
        <w:rPr>
          <w:rFonts w:ascii="Times New Roman" w:hAnsi="Times New Roman" w:cs="Times New Roman"/>
        </w:rPr>
      </w:pPr>
      <w:r>
        <w:rPr>
          <w:rFonts w:ascii="Times New Roman" w:hAnsi="Times New Roman" w:cs="Times New Roman"/>
        </w:rPr>
        <w:tab/>
      </w:r>
      <w:r w:rsidRPr="00E436F3">
        <w:rPr>
          <w:rFonts w:ascii="Times New Roman" w:hAnsi="Times New Roman" w:cs="Times New Roman"/>
        </w:rPr>
        <w:t xml:space="preserve">Čia: ŷ – </w:t>
      </w:r>
      <w:r>
        <w:rPr>
          <w:rFonts w:ascii="Times New Roman" w:hAnsi="Times New Roman" w:cs="Times New Roman"/>
        </w:rPr>
        <w:t>nedarbo lygis</w:t>
      </w:r>
      <w:r w:rsidRPr="00E436F3">
        <w:rPr>
          <w:rFonts w:ascii="Times New Roman" w:hAnsi="Times New Roman" w:cs="Times New Roman"/>
        </w:rPr>
        <w:t>,</w:t>
      </w:r>
    </w:p>
    <w:p w:rsidR="00B05480" w:rsidRDefault="00B05480" w:rsidP="00B05480">
      <w:pPr>
        <w:tabs>
          <w:tab w:val="left" w:pos="567"/>
          <w:tab w:val="left" w:pos="993"/>
        </w:tabs>
        <w:spacing w:line="360" w:lineRule="auto"/>
        <w:jc w:val="both"/>
        <w:rPr>
          <w:rFonts w:ascii="Times New Roman" w:hAnsi="Times New Roman" w:cs="Times New Roman"/>
        </w:rPr>
      </w:pPr>
      <w:r w:rsidRPr="00E436F3">
        <w:rPr>
          <w:rFonts w:ascii="Times New Roman" w:hAnsi="Times New Roman" w:cs="Times New Roman"/>
          <w:i/>
        </w:rPr>
        <w:tab/>
      </w:r>
      <w:r>
        <w:rPr>
          <w:rFonts w:ascii="Times New Roman" w:hAnsi="Times New Roman" w:cs="Times New Roman"/>
          <w:i/>
        </w:rPr>
        <w:tab/>
        <w:t xml:space="preserve"> </w:t>
      </w:r>
      <w:r w:rsidRPr="00E436F3">
        <w:rPr>
          <w:rFonts w:ascii="Times New Roman" w:hAnsi="Times New Roman" w:cs="Times New Roman"/>
          <w:i/>
        </w:rPr>
        <w:t xml:space="preserve">x </w:t>
      </w:r>
      <w:r w:rsidRPr="00E436F3">
        <w:rPr>
          <w:rFonts w:ascii="Times New Roman" w:hAnsi="Times New Roman" w:cs="Times New Roman"/>
          <w:lang w:val="en-US"/>
        </w:rPr>
        <w:t xml:space="preserve">- </w:t>
      </w:r>
      <w:r w:rsidRPr="00E436F3">
        <w:rPr>
          <w:rFonts w:ascii="Times New Roman" w:hAnsi="Times New Roman" w:cs="Times New Roman"/>
        </w:rPr>
        <w:t>lizingo portfelio dydis.</w:t>
      </w:r>
    </w:p>
    <w:p w:rsidR="00B05480" w:rsidRDefault="00B05480" w:rsidP="00C4545F">
      <w:pPr>
        <w:tabs>
          <w:tab w:val="left" w:pos="567"/>
        </w:tabs>
        <w:spacing w:line="360" w:lineRule="auto"/>
        <w:jc w:val="both"/>
        <w:rPr>
          <w:rFonts w:ascii="Times New Roman" w:hAnsi="Times New Roman" w:cs="Times New Roman"/>
        </w:rPr>
      </w:pPr>
    </w:p>
    <w:p w:rsidR="00B05480" w:rsidRDefault="00B05480" w:rsidP="00C4545F">
      <w:pPr>
        <w:tabs>
          <w:tab w:val="left" w:pos="567"/>
        </w:tabs>
        <w:spacing w:line="360" w:lineRule="auto"/>
        <w:jc w:val="both"/>
        <w:rPr>
          <w:rFonts w:ascii="Times New Roman" w:hAnsi="Times New Roman" w:cs="Times New Roman"/>
        </w:rPr>
      </w:pPr>
      <w:r>
        <w:rPr>
          <w:rFonts w:ascii="Times New Roman" w:hAnsi="Times New Roman" w:cs="Times New Roman"/>
        </w:rPr>
        <w:tab/>
        <w:t xml:space="preserve">Kaip iš pateiktos lygties matome, lizingo rinkai išaugus 1 mlrd. litų, nedarbo lygis šalyje sumažėtų 0,855 </w:t>
      </w:r>
      <w:r>
        <w:rPr>
          <w:rFonts w:ascii="Times New Roman" w:hAnsi="Times New Roman" w:cs="Times New Roman"/>
          <w:lang w:val="en-US"/>
        </w:rPr>
        <w:t>%</w:t>
      </w:r>
      <w:r>
        <w:rPr>
          <w:rFonts w:ascii="Times New Roman" w:hAnsi="Times New Roman" w:cs="Times New Roman"/>
        </w:rPr>
        <w:t>.</w:t>
      </w:r>
    </w:p>
    <w:p w:rsidR="008549AE" w:rsidRPr="00B05480" w:rsidRDefault="008549AE" w:rsidP="00C4545F">
      <w:pPr>
        <w:tabs>
          <w:tab w:val="left" w:pos="567"/>
        </w:tabs>
        <w:spacing w:line="360" w:lineRule="auto"/>
        <w:jc w:val="both"/>
        <w:rPr>
          <w:rFonts w:ascii="Times New Roman" w:hAnsi="Times New Roman" w:cs="Times New Roman"/>
        </w:rPr>
      </w:pPr>
    </w:p>
    <w:p w:rsidR="00B05480" w:rsidRDefault="00B05480" w:rsidP="008549AE">
      <w:pPr>
        <w:tabs>
          <w:tab w:val="left" w:pos="567"/>
        </w:tabs>
        <w:spacing w:line="360" w:lineRule="auto"/>
        <w:jc w:val="center"/>
        <w:rPr>
          <w:rFonts w:ascii="Times New Roman" w:hAnsi="Times New Roman" w:cs="Times New Roman"/>
        </w:rPr>
      </w:pPr>
      <w:r>
        <w:rPr>
          <w:noProof/>
        </w:rPr>
        <w:drawing>
          <wp:inline distT="0" distB="0" distL="0" distR="0" wp14:anchorId="2BCCF9A9" wp14:editId="71928E9A">
            <wp:extent cx="4572000" cy="2743200"/>
            <wp:effectExtent l="0" t="0" r="0" b="0"/>
            <wp:docPr id="792" name="Chart 79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7B123A" w:rsidRPr="007B123A" w:rsidRDefault="007B123A" w:rsidP="007B123A">
      <w:pPr>
        <w:pStyle w:val="Paveikslai"/>
        <w:ind w:left="1701"/>
        <w:jc w:val="left"/>
        <w:rPr>
          <w:b w:val="0"/>
          <w:sz w:val="20"/>
          <w:szCs w:val="20"/>
        </w:rPr>
      </w:pPr>
      <w:bookmarkStart w:id="51" w:name="_Toc343459695"/>
      <w:r>
        <w:rPr>
          <w:sz w:val="20"/>
          <w:szCs w:val="20"/>
        </w:rPr>
        <w:t xml:space="preserve">Šaltinis: </w:t>
      </w:r>
      <w:r>
        <w:rPr>
          <w:b w:val="0"/>
          <w:sz w:val="20"/>
          <w:szCs w:val="20"/>
        </w:rPr>
        <w:t>sudaryta autoriaus</w:t>
      </w:r>
      <w:bookmarkEnd w:id="51"/>
    </w:p>
    <w:p w:rsidR="008549AE" w:rsidRDefault="008549AE" w:rsidP="00A66ABA">
      <w:pPr>
        <w:pStyle w:val="Paveikslai"/>
      </w:pPr>
      <w:bookmarkStart w:id="52" w:name="_Toc343459696"/>
      <w:r>
        <w:t>21</w:t>
      </w:r>
      <w:r w:rsidRPr="009B66EF">
        <w:t xml:space="preserve"> </w:t>
      </w:r>
      <w:r w:rsidR="007603C0">
        <w:t>pav</w:t>
      </w:r>
      <w:r w:rsidRPr="009B66EF">
        <w:t>.</w:t>
      </w:r>
      <w:r>
        <w:t xml:space="preserve"> </w:t>
      </w:r>
      <w:r w:rsidRPr="007B7B01">
        <w:t xml:space="preserve">Lizingo portfelio ir </w:t>
      </w:r>
      <w:r>
        <w:t>nedarbo lygio</w:t>
      </w:r>
      <w:r w:rsidRPr="007B7B01">
        <w:t xml:space="preserve"> priklausomybė</w:t>
      </w:r>
      <w:bookmarkEnd w:id="52"/>
    </w:p>
    <w:p w:rsidR="00300848" w:rsidRDefault="00300848" w:rsidP="00300848">
      <w:pPr>
        <w:tabs>
          <w:tab w:val="left" w:pos="567"/>
        </w:tabs>
        <w:spacing w:line="360" w:lineRule="auto"/>
        <w:rPr>
          <w:rFonts w:ascii="Times New Roman" w:hAnsi="Times New Roman" w:cs="Times New Roman"/>
          <w:b/>
        </w:rPr>
      </w:pPr>
    </w:p>
    <w:p w:rsidR="00300848" w:rsidRPr="00300848" w:rsidRDefault="00300848" w:rsidP="00300848">
      <w:pPr>
        <w:tabs>
          <w:tab w:val="left" w:pos="567"/>
        </w:tabs>
        <w:spacing w:line="360" w:lineRule="auto"/>
        <w:jc w:val="both"/>
        <w:rPr>
          <w:rFonts w:ascii="Times New Roman" w:hAnsi="Times New Roman" w:cs="Times New Roman"/>
        </w:rPr>
      </w:pPr>
      <w:r>
        <w:rPr>
          <w:rFonts w:ascii="Times New Roman" w:hAnsi="Times New Roman" w:cs="Times New Roman"/>
          <w:b/>
        </w:rPr>
        <w:tab/>
      </w:r>
      <w:r w:rsidRPr="00300848">
        <w:rPr>
          <w:rFonts w:ascii="Times New Roman" w:hAnsi="Times New Roman" w:cs="Times New Roman"/>
        </w:rPr>
        <w:t xml:space="preserve">Sudarę lygtį, galiausiai išsiaiškinkime kuri hipotezė dėl </w:t>
      </w:r>
      <w:r>
        <w:rPr>
          <w:rFonts w:ascii="Times New Roman" w:hAnsi="Times New Roman" w:cs="Times New Roman"/>
        </w:rPr>
        <w:t xml:space="preserve">Lietuvos </w:t>
      </w:r>
      <w:r w:rsidRPr="00300848">
        <w:rPr>
          <w:rFonts w:ascii="Times New Roman" w:hAnsi="Times New Roman" w:cs="Times New Roman"/>
        </w:rPr>
        <w:t xml:space="preserve">lizingo rinkos įtakos </w:t>
      </w:r>
      <w:r>
        <w:rPr>
          <w:rFonts w:ascii="Times New Roman" w:hAnsi="Times New Roman" w:cs="Times New Roman"/>
        </w:rPr>
        <w:t>nedarbo lygiui</w:t>
      </w:r>
      <w:r w:rsidRPr="00300848">
        <w:rPr>
          <w:rFonts w:ascii="Times New Roman" w:hAnsi="Times New Roman" w:cs="Times New Roman"/>
        </w:rPr>
        <w:t xml:space="preserve"> yra teisinga. Klaidos padarymo tikimybė siekia 0</w:t>
      </w:r>
      <w:r>
        <w:rPr>
          <w:rFonts w:ascii="Times New Roman" w:hAnsi="Times New Roman" w:cs="Times New Roman"/>
        </w:rPr>
        <w:t>,005 ir yra mažesnė už pasirinktą reikšmingumo lygmenį α</w:t>
      </w:r>
      <w:r w:rsidRPr="00300848">
        <w:rPr>
          <w:rFonts w:ascii="Times New Roman" w:hAnsi="Times New Roman" w:cs="Times New Roman"/>
        </w:rPr>
        <w:t xml:space="preserve">, taigi </w:t>
      </w:r>
      <w:r>
        <w:rPr>
          <w:rFonts w:ascii="Times New Roman" w:hAnsi="Times New Roman" w:cs="Times New Roman"/>
        </w:rPr>
        <w:t>drąsiai</w:t>
      </w:r>
      <w:r w:rsidRPr="00300848">
        <w:rPr>
          <w:rFonts w:ascii="Times New Roman" w:hAnsi="Times New Roman" w:cs="Times New Roman"/>
        </w:rPr>
        <w:t xml:space="preserve"> galima teigti, kad nulinę hipotezę atmetame, o priimame alternatyvią, kuri teigia, kad </w:t>
      </w:r>
      <w:r>
        <w:rPr>
          <w:rFonts w:ascii="Times New Roman" w:hAnsi="Times New Roman" w:cs="Times New Roman"/>
          <w:i/>
        </w:rPr>
        <w:t>Lizingo rinkos didėjimas Lietuvoje mažina nedarbo lygį šalyje.</w:t>
      </w:r>
    </w:p>
    <w:p w:rsidR="00835883" w:rsidRDefault="00835883" w:rsidP="00300848">
      <w:pPr>
        <w:tabs>
          <w:tab w:val="left" w:pos="567"/>
        </w:tabs>
        <w:spacing w:line="360" w:lineRule="auto"/>
        <w:rPr>
          <w:rFonts w:ascii="Times New Roman" w:hAnsi="Times New Roman" w:cs="Times New Roman"/>
          <w:b/>
        </w:rPr>
      </w:pPr>
    </w:p>
    <w:p w:rsidR="0001153A" w:rsidRDefault="0001153A" w:rsidP="00835883">
      <w:pPr>
        <w:pStyle w:val="Heading2"/>
        <w:spacing w:line="360" w:lineRule="auto"/>
        <w:ind w:left="0" w:firstLine="567"/>
        <w:jc w:val="both"/>
      </w:pPr>
      <w:bookmarkStart w:id="53" w:name="_Toc343517978"/>
      <w:r>
        <w:t>Lizingo rinkos įtakos Lietuvos ekonomikai nustatymas, remiantis ekspertinio vertinimo metodu</w:t>
      </w:r>
      <w:bookmarkEnd w:id="53"/>
    </w:p>
    <w:p w:rsidR="00300848" w:rsidRDefault="00300848" w:rsidP="00300848">
      <w:pPr>
        <w:tabs>
          <w:tab w:val="left" w:pos="567"/>
        </w:tabs>
        <w:spacing w:line="360" w:lineRule="auto"/>
        <w:rPr>
          <w:rFonts w:ascii="Times New Roman" w:hAnsi="Times New Roman" w:cs="Times New Roman"/>
          <w:b/>
        </w:rPr>
      </w:pPr>
      <w:r>
        <w:rPr>
          <w:rFonts w:ascii="Times New Roman" w:hAnsi="Times New Roman" w:cs="Times New Roman"/>
          <w:b/>
        </w:rPr>
        <w:tab/>
      </w:r>
    </w:p>
    <w:p w:rsidR="0001153A" w:rsidRDefault="0001153A" w:rsidP="0001153A">
      <w:pPr>
        <w:tabs>
          <w:tab w:val="left" w:pos="567"/>
        </w:tabs>
        <w:spacing w:line="360" w:lineRule="auto"/>
        <w:jc w:val="both"/>
        <w:rPr>
          <w:rFonts w:ascii="Times New Roman" w:hAnsi="Times New Roman" w:cs="Times New Roman"/>
        </w:rPr>
      </w:pPr>
      <w:r>
        <w:rPr>
          <w:rFonts w:ascii="Times New Roman" w:hAnsi="Times New Roman" w:cs="Times New Roman"/>
          <w:b/>
        </w:rPr>
        <w:tab/>
      </w:r>
      <w:r>
        <w:rPr>
          <w:rFonts w:ascii="Times New Roman" w:hAnsi="Times New Roman" w:cs="Times New Roman"/>
        </w:rPr>
        <w:t>Atlikę Lietuvos lizingo rinkos analizę, įvertinę kitimo tendencijas bei gavę koreliacinės regresinės analizės rezultatus, pereiname prie paskutinio etapo, skirto lizingo rinkos įtakos Lietuvos ekonomikai įvertinimui – ekspertinio vertinimo. Kaip buvo aprašyta metodinėje dalyje, ekspertinis vertinimas padės patvirtinti arba paneigs pirmojo ir antrojo etapo rezultatus.</w:t>
      </w:r>
    </w:p>
    <w:p w:rsidR="004C1D0B" w:rsidRDefault="0001153A" w:rsidP="0001153A">
      <w:pPr>
        <w:tabs>
          <w:tab w:val="left" w:pos="567"/>
        </w:tabs>
        <w:spacing w:line="360" w:lineRule="auto"/>
        <w:jc w:val="both"/>
        <w:rPr>
          <w:rFonts w:ascii="Times New Roman" w:hAnsi="Times New Roman" w:cs="Times New Roman"/>
        </w:rPr>
      </w:pPr>
      <w:r>
        <w:rPr>
          <w:rFonts w:ascii="Times New Roman" w:hAnsi="Times New Roman" w:cs="Times New Roman"/>
        </w:rPr>
        <w:tab/>
      </w:r>
      <w:r w:rsidR="0061215D">
        <w:rPr>
          <w:rFonts w:ascii="Times New Roman" w:hAnsi="Times New Roman" w:cs="Times New Roman"/>
        </w:rPr>
        <w:t xml:space="preserve">Ekspertinio vertinimo anketa buvo pateikta dvylikos lizingo bendrovių ekspertams: aštuonios anketos buvo pateiktos tiesiogiai ekspertams, jas nusiunčiant į eksperto elektroninio pašto dėžutę, likusios keturios neturint tiesioginių ekspertų kontaktų išsiųstos bendru lizingo bendrovių elektroniniu paštu.  </w:t>
      </w:r>
      <w:r w:rsidR="00D6495D">
        <w:rPr>
          <w:rFonts w:ascii="Times New Roman" w:hAnsi="Times New Roman" w:cs="Times New Roman"/>
        </w:rPr>
        <w:t>Iki nustatytos ekspertinio tyrimo laikotarpio pabaigos gauto</w:t>
      </w:r>
      <w:r w:rsidR="00047802">
        <w:rPr>
          <w:rFonts w:ascii="Times New Roman" w:hAnsi="Times New Roman" w:cs="Times New Roman"/>
        </w:rPr>
        <w:t>s aštuonios užpildytos anketos:</w:t>
      </w:r>
      <w:r w:rsidR="00D6495D">
        <w:rPr>
          <w:rFonts w:ascii="Times New Roman" w:hAnsi="Times New Roman" w:cs="Times New Roman"/>
        </w:rPr>
        <w:t xml:space="preserve"> b</w:t>
      </w:r>
      <w:r w:rsidR="00047802">
        <w:rPr>
          <w:rFonts w:ascii="Times New Roman" w:hAnsi="Times New Roman" w:cs="Times New Roman"/>
        </w:rPr>
        <w:t>ūtent tos</w:t>
      </w:r>
      <w:r w:rsidR="00D6495D">
        <w:rPr>
          <w:rFonts w:ascii="Times New Roman" w:hAnsi="Times New Roman" w:cs="Times New Roman"/>
        </w:rPr>
        <w:t xml:space="preserve"> kurios buvo siųstos tiesiogiai ekspertams</w:t>
      </w:r>
      <w:r w:rsidR="00047802">
        <w:rPr>
          <w:rFonts w:ascii="Times New Roman" w:hAnsi="Times New Roman" w:cs="Times New Roman"/>
        </w:rPr>
        <w:t xml:space="preserve">. Dėl likusių keturių anketų jokio grįžtamojo ryšio, deja, nesulaukta. </w:t>
      </w:r>
    </w:p>
    <w:p w:rsidR="00047802" w:rsidRDefault="004C1D0B" w:rsidP="0001153A">
      <w:pPr>
        <w:tabs>
          <w:tab w:val="left" w:pos="567"/>
        </w:tabs>
        <w:spacing w:line="360" w:lineRule="auto"/>
        <w:jc w:val="both"/>
        <w:rPr>
          <w:rFonts w:ascii="Times New Roman" w:hAnsi="Times New Roman" w:cs="Times New Roman"/>
        </w:rPr>
      </w:pPr>
      <w:r>
        <w:rPr>
          <w:rFonts w:ascii="Times New Roman" w:hAnsi="Times New Roman" w:cs="Times New Roman"/>
        </w:rPr>
        <w:tab/>
      </w:r>
      <w:r w:rsidR="00047802">
        <w:rPr>
          <w:rFonts w:ascii="Times New Roman" w:hAnsi="Times New Roman" w:cs="Times New Roman"/>
        </w:rPr>
        <w:t xml:space="preserve">Vertinant ekspertų anketų atitikimą iškeltiems kriterijams – ekspertas lizingo rinkoje turi dirbti </w:t>
      </w:r>
      <w:r>
        <w:rPr>
          <w:rFonts w:ascii="Times New Roman" w:hAnsi="Times New Roman" w:cs="Times New Roman"/>
        </w:rPr>
        <w:t xml:space="preserve">ne trumpiau nei penkerius metus, </w:t>
      </w:r>
      <w:r w:rsidR="00047802">
        <w:rPr>
          <w:rFonts w:ascii="Times New Roman" w:hAnsi="Times New Roman" w:cs="Times New Roman"/>
        </w:rPr>
        <w:t xml:space="preserve">jo pareigybė turi būti ne žemesnė nei vadybininkas </w:t>
      </w:r>
      <w:r>
        <w:rPr>
          <w:rFonts w:ascii="Times New Roman" w:hAnsi="Times New Roman" w:cs="Times New Roman"/>
        </w:rPr>
        <w:t xml:space="preserve">bei išsilavinimas ne žemesnis nei aukštasis, </w:t>
      </w:r>
      <w:r w:rsidR="00047802">
        <w:rPr>
          <w:rFonts w:ascii="Times New Roman" w:hAnsi="Times New Roman" w:cs="Times New Roman"/>
        </w:rPr>
        <w:t xml:space="preserve">nustatyta, kad </w:t>
      </w:r>
      <w:r>
        <w:rPr>
          <w:rFonts w:ascii="Times New Roman" w:hAnsi="Times New Roman" w:cs="Times New Roman"/>
        </w:rPr>
        <w:t xml:space="preserve">visos gautos anketos atitiko iškeltus reikalavimus. </w:t>
      </w:r>
      <w:r w:rsidR="00BD341A">
        <w:rPr>
          <w:rFonts w:ascii="Times New Roman" w:hAnsi="Times New Roman" w:cs="Times New Roman"/>
        </w:rPr>
        <w:t>Penkių ekspertų išsilavinimas buvo aukštasis, trys jau yra įgiję magistro laipsnį. Darbuotojų skaičius ekspertų įmonėse svyravo nuo 30 iki 350. Dviejų ekspertų darbo stažas siekė 5 metus, vienas ekspertas lizingo srityje dirba jau 16 metų, darbo stažo vidurkis siekė apie 8 metus. Ekspertinėje apklausoje dalyvavo du padalinių vadovai, penki projektų vadovai bei vienas vadybininkas.</w:t>
      </w:r>
    </w:p>
    <w:p w:rsidR="00811DC3" w:rsidRDefault="00BD341A" w:rsidP="0001153A">
      <w:pPr>
        <w:tabs>
          <w:tab w:val="left" w:pos="567"/>
        </w:tabs>
        <w:spacing w:line="360" w:lineRule="auto"/>
        <w:jc w:val="both"/>
        <w:rPr>
          <w:rFonts w:ascii="Times New Roman" w:hAnsi="Times New Roman" w:cs="Times New Roman"/>
        </w:rPr>
      </w:pPr>
      <w:r>
        <w:rPr>
          <w:rFonts w:ascii="Times New Roman" w:hAnsi="Times New Roman" w:cs="Times New Roman"/>
        </w:rPr>
        <w:tab/>
      </w:r>
      <w:r w:rsidR="00811DC3">
        <w:rPr>
          <w:rFonts w:ascii="Times New Roman" w:hAnsi="Times New Roman" w:cs="Times New Roman"/>
        </w:rPr>
        <w:t xml:space="preserve">Kaip apibrėžta metodinėje dalyje, pirma turime išsiaiškinti ekspertų nuomonę pirmu klausimu, tam kad galėtumėme vienam iš sekančių anketos klausimų atlikti rangavimą ir nustatyti ar anketa yra tinkama ir ar ekspertų nuomonės yra suderinamos. Pirmas klausimas buvo pateiktas norint išsiaiškinti ekspertų nuomonę apie lizingo </w:t>
      </w:r>
      <w:r w:rsidR="00C07EE5">
        <w:rPr>
          <w:rFonts w:ascii="Times New Roman" w:hAnsi="Times New Roman" w:cs="Times New Roman"/>
        </w:rPr>
        <w:t>rinkos</w:t>
      </w:r>
      <w:r w:rsidR="00811DC3">
        <w:rPr>
          <w:rFonts w:ascii="Times New Roman" w:hAnsi="Times New Roman" w:cs="Times New Roman"/>
        </w:rPr>
        <w:t xml:space="preserve"> taką Lietuvos ekonomikai (žr. 22 pav.).</w:t>
      </w:r>
    </w:p>
    <w:p w:rsidR="00811DC3" w:rsidRDefault="00811DC3" w:rsidP="0001153A">
      <w:pPr>
        <w:tabs>
          <w:tab w:val="left" w:pos="567"/>
        </w:tabs>
        <w:spacing w:line="360" w:lineRule="auto"/>
        <w:jc w:val="both"/>
        <w:rPr>
          <w:rFonts w:ascii="Times New Roman" w:hAnsi="Times New Roman" w:cs="Times New Roman"/>
        </w:rPr>
      </w:pPr>
    </w:p>
    <w:p w:rsidR="00BD341A" w:rsidRDefault="00811DC3" w:rsidP="00811DC3">
      <w:pPr>
        <w:tabs>
          <w:tab w:val="left" w:pos="567"/>
        </w:tabs>
        <w:spacing w:line="36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1E758B5B" wp14:editId="1E6FDAA2">
            <wp:extent cx="3514725" cy="1847850"/>
            <wp:effectExtent l="0" t="0" r="0" b="0"/>
            <wp:docPr id="794" name="Chart 79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7B123A" w:rsidRPr="007B123A" w:rsidRDefault="007B123A" w:rsidP="007B123A">
      <w:pPr>
        <w:tabs>
          <w:tab w:val="left" w:pos="567"/>
        </w:tabs>
        <w:spacing w:line="360" w:lineRule="auto"/>
        <w:ind w:firstLine="3686"/>
        <w:rPr>
          <w:rFonts w:ascii="Times New Roman" w:hAnsi="Times New Roman" w:cs="Times New Roman"/>
          <w:sz w:val="20"/>
          <w:szCs w:val="20"/>
        </w:rPr>
      </w:pPr>
      <w:r>
        <w:rPr>
          <w:rFonts w:ascii="Times New Roman" w:hAnsi="Times New Roman" w:cs="Times New Roman"/>
          <w:b/>
          <w:sz w:val="20"/>
          <w:szCs w:val="20"/>
        </w:rPr>
        <w:t>Šaltinis</w:t>
      </w:r>
      <w:r>
        <w:rPr>
          <w:rFonts w:ascii="Times New Roman" w:hAnsi="Times New Roman" w:cs="Times New Roman"/>
          <w:sz w:val="20"/>
          <w:szCs w:val="20"/>
        </w:rPr>
        <w:t>: sudaryta autoriaus</w:t>
      </w:r>
    </w:p>
    <w:p w:rsidR="008549AE" w:rsidRDefault="00835883" w:rsidP="00A66ABA">
      <w:pPr>
        <w:pStyle w:val="Paveikslai"/>
      </w:pPr>
      <w:bookmarkStart w:id="54" w:name="_Toc343459697"/>
      <w:r w:rsidRPr="00835883">
        <w:t xml:space="preserve">22 </w:t>
      </w:r>
      <w:r w:rsidR="007603C0">
        <w:t>pav</w:t>
      </w:r>
      <w:r w:rsidRPr="00835883">
        <w:t xml:space="preserve">. Klausimas „Kokią įtaką, Jūsų nuomone, lizingo </w:t>
      </w:r>
      <w:r w:rsidR="000C444E">
        <w:t>rinka</w:t>
      </w:r>
      <w:r w:rsidRPr="00835883">
        <w:t xml:space="preserve"> daro Lietuvos ekonomikai</w:t>
      </w:r>
      <w:bookmarkEnd w:id="54"/>
    </w:p>
    <w:p w:rsidR="00145597" w:rsidRPr="00835883" w:rsidRDefault="00145597" w:rsidP="00A66ABA">
      <w:pPr>
        <w:pStyle w:val="Paveikslai"/>
      </w:pPr>
    </w:p>
    <w:p w:rsidR="00835883" w:rsidRDefault="00835883" w:rsidP="007F0971">
      <w:pPr>
        <w:tabs>
          <w:tab w:val="left" w:pos="567"/>
        </w:tabs>
        <w:spacing w:line="360" w:lineRule="auto"/>
        <w:jc w:val="both"/>
        <w:rPr>
          <w:rFonts w:ascii="Times New Roman" w:hAnsi="Times New Roman" w:cs="Times New Roman"/>
        </w:rPr>
      </w:pPr>
      <w:r>
        <w:rPr>
          <w:rFonts w:ascii="Times New Roman" w:hAnsi="Times New Roman" w:cs="Times New Roman"/>
        </w:rPr>
        <w:tab/>
        <w:t>Kaip iš pateiktos diagramos matome, ekspertai dėl teigiamos lizingo rinkos įtakos Lietuvos ekonomikai neabejoja. Penkių ekspertų nuomone, lizingo</w:t>
      </w:r>
      <w:r w:rsidR="000C444E">
        <w:rPr>
          <w:rFonts w:ascii="Times New Roman" w:hAnsi="Times New Roman" w:cs="Times New Roman"/>
        </w:rPr>
        <w:t xml:space="preserve"> rinka</w:t>
      </w:r>
      <w:r>
        <w:rPr>
          <w:rFonts w:ascii="Times New Roman" w:hAnsi="Times New Roman" w:cs="Times New Roman"/>
        </w:rPr>
        <w:t xml:space="preserve"> daro „labai teigiamą“, tr</w:t>
      </w:r>
      <w:r w:rsidR="00254D8D">
        <w:rPr>
          <w:rFonts w:ascii="Times New Roman" w:hAnsi="Times New Roman" w:cs="Times New Roman"/>
        </w:rPr>
        <w:t xml:space="preserve">ijų - </w:t>
      </w:r>
      <w:r>
        <w:rPr>
          <w:rFonts w:ascii="Times New Roman" w:hAnsi="Times New Roman" w:cs="Times New Roman"/>
        </w:rPr>
        <w:t xml:space="preserve"> „teigiamą“ įtaką Lietuvos ekonomikai. </w:t>
      </w:r>
      <w:r w:rsidR="007F0971">
        <w:rPr>
          <w:rFonts w:ascii="Times New Roman" w:hAnsi="Times New Roman" w:cs="Times New Roman"/>
        </w:rPr>
        <w:t xml:space="preserve">Ekspertų, manančių, kad lizingo </w:t>
      </w:r>
      <w:r w:rsidR="000C444E">
        <w:rPr>
          <w:rFonts w:ascii="Times New Roman" w:hAnsi="Times New Roman" w:cs="Times New Roman"/>
        </w:rPr>
        <w:t>rinka</w:t>
      </w:r>
      <w:r w:rsidR="007F0971">
        <w:rPr>
          <w:rFonts w:ascii="Times New Roman" w:hAnsi="Times New Roman" w:cs="Times New Roman"/>
        </w:rPr>
        <w:t xml:space="preserve"> nedaro įtakos arba turi neigiamą įtaką šalies ekonomikai nebuvo.</w:t>
      </w:r>
    </w:p>
    <w:p w:rsidR="007F0971" w:rsidRDefault="007F0971" w:rsidP="007F0971">
      <w:pPr>
        <w:tabs>
          <w:tab w:val="left" w:pos="567"/>
        </w:tabs>
        <w:spacing w:line="360" w:lineRule="auto"/>
        <w:jc w:val="both"/>
        <w:rPr>
          <w:rFonts w:ascii="Times New Roman" w:eastAsia="Times New Roman" w:hAnsi="Times New Roman" w:cs="Times New Roman"/>
          <w:color w:val="auto"/>
          <w:lang w:eastAsia="en-US"/>
        </w:rPr>
      </w:pPr>
      <w:r>
        <w:rPr>
          <w:rFonts w:ascii="Times New Roman" w:hAnsi="Times New Roman" w:cs="Times New Roman"/>
        </w:rPr>
        <w:tab/>
        <w:t xml:space="preserve">Taigi </w:t>
      </w:r>
      <w:r w:rsidR="00936344">
        <w:rPr>
          <w:rFonts w:ascii="Times New Roman" w:hAnsi="Times New Roman" w:cs="Times New Roman"/>
        </w:rPr>
        <w:t>nustatę</w:t>
      </w:r>
      <w:r>
        <w:rPr>
          <w:rFonts w:ascii="Times New Roman" w:hAnsi="Times New Roman" w:cs="Times New Roman"/>
        </w:rPr>
        <w:t xml:space="preserve">, kad, ekspertų nuomone, lizingo </w:t>
      </w:r>
      <w:r w:rsidR="000C444E">
        <w:rPr>
          <w:rFonts w:ascii="Times New Roman" w:hAnsi="Times New Roman" w:cs="Times New Roman"/>
        </w:rPr>
        <w:t>rinka</w:t>
      </w:r>
      <w:r>
        <w:rPr>
          <w:rFonts w:ascii="Times New Roman" w:hAnsi="Times New Roman" w:cs="Times New Roman"/>
        </w:rPr>
        <w:t xml:space="preserve"> daro teigiamą įtaką Lietuvos ekonomikai, pereikime prie antro klausimo ir išsiaiškinkime per kuriuos teorinėje dalyje nustatytus veiksnius lizingo rinka turi </w:t>
      </w:r>
      <w:r w:rsidR="00784365">
        <w:rPr>
          <w:rFonts w:ascii="Times New Roman" w:hAnsi="Times New Roman" w:cs="Times New Roman"/>
        </w:rPr>
        <w:t xml:space="preserve">didžiausią </w:t>
      </w:r>
      <w:r>
        <w:rPr>
          <w:rFonts w:ascii="Times New Roman" w:hAnsi="Times New Roman" w:cs="Times New Roman"/>
        </w:rPr>
        <w:t xml:space="preserve">teigiamą įtaką Lietuvos ekonomikai. Šis klausimas ne tik padės nustatyti </w:t>
      </w:r>
      <w:r w:rsidR="009A3947">
        <w:rPr>
          <w:rFonts w:ascii="Times New Roman" w:hAnsi="Times New Roman" w:cs="Times New Roman"/>
        </w:rPr>
        <w:t>svarbiausius</w:t>
      </w:r>
      <w:r>
        <w:rPr>
          <w:rFonts w:ascii="Times New Roman" w:hAnsi="Times New Roman" w:cs="Times New Roman"/>
        </w:rPr>
        <w:t xml:space="preserve"> </w:t>
      </w:r>
      <w:r w:rsidR="009A3947">
        <w:rPr>
          <w:rFonts w:ascii="Times New Roman" w:hAnsi="Times New Roman" w:cs="Times New Roman"/>
        </w:rPr>
        <w:t>veiksnius</w:t>
      </w:r>
      <w:r>
        <w:rPr>
          <w:rFonts w:ascii="Times New Roman" w:hAnsi="Times New Roman" w:cs="Times New Roman"/>
        </w:rPr>
        <w:t xml:space="preserve">, bet ir šios anketos tinkamumą ir ekspertų nuomonių panašumą. </w:t>
      </w:r>
      <w:r w:rsidR="000C5CEB">
        <w:rPr>
          <w:rFonts w:ascii="Times New Roman" w:hAnsi="Times New Roman" w:cs="Times New Roman"/>
        </w:rPr>
        <w:t xml:space="preserve">Kaip aprašyta darbo metodinėje dalyje, vertinimą pradėsime iškeliant dvi hipotezes, kurios padės nustatyti ar ekspertų vertinimai panašūs ar skiriasi. Siekiant </w:t>
      </w:r>
      <w:r w:rsidR="00923393">
        <w:rPr>
          <w:rFonts w:ascii="Times New Roman" w:hAnsi="Times New Roman" w:cs="Times New Roman"/>
        </w:rPr>
        <w:t xml:space="preserve">patvirtinti arba paneigti šias hipotezes iš pradžių </w:t>
      </w:r>
      <w:r w:rsidR="000C5CEB">
        <w:rPr>
          <w:rFonts w:ascii="Times New Roman" w:hAnsi="Times New Roman" w:cs="Times New Roman"/>
        </w:rPr>
        <w:t xml:space="preserve">sudarome </w:t>
      </w:r>
      <w:r w:rsidR="003D19D1">
        <w:rPr>
          <w:rFonts w:ascii="Times New Roman" w:hAnsi="Times New Roman" w:cs="Times New Roman"/>
        </w:rPr>
        <w:t>dešimtą</w:t>
      </w:r>
      <w:r w:rsidR="000C5CEB">
        <w:rPr>
          <w:rFonts w:ascii="Times New Roman" w:hAnsi="Times New Roman" w:cs="Times New Roman"/>
        </w:rPr>
        <w:t xml:space="preserve"> lentelę, kurioje </w:t>
      </w:r>
      <w:r w:rsidR="000C5CEB">
        <w:rPr>
          <w:rFonts w:ascii="Times New Roman" w:eastAsia="Times New Roman" w:hAnsi="Times New Roman" w:cs="Times New Roman"/>
          <w:color w:val="auto"/>
          <w:lang w:eastAsia="en-US"/>
        </w:rPr>
        <w:t xml:space="preserve">bus suranguojamos alternatyvos pagal ekspertų išsakytą nuomonę, taip pat remiantis metodinėje dalyje pateiktomis </w:t>
      </w:r>
      <w:r w:rsidR="000B74AE">
        <w:rPr>
          <w:rFonts w:ascii="Times New Roman" w:eastAsia="Times New Roman" w:hAnsi="Times New Roman" w:cs="Times New Roman"/>
          <w:color w:val="auto"/>
          <w:lang w:eastAsia="en-US"/>
        </w:rPr>
        <w:t xml:space="preserve">(3) ir (4) </w:t>
      </w:r>
      <w:r w:rsidR="00923393">
        <w:rPr>
          <w:rFonts w:ascii="Times New Roman" w:eastAsia="Times New Roman" w:hAnsi="Times New Roman" w:cs="Times New Roman"/>
          <w:color w:val="auto"/>
          <w:lang w:eastAsia="en-US"/>
        </w:rPr>
        <w:t>formulėmis apskaičiuojamos</w:t>
      </w:r>
      <w:r w:rsidR="000C5CEB">
        <w:rPr>
          <w:rFonts w:ascii="Times New Roman" w:eastAsia="Times New Roman" w:hAnsi="Times New Roman" w:cs="Times New Roman"/>
          <w:color w:val="auto"/>
          <w:lang w:eastAsia="en-US"/>
        </w:rPr>
        <w:t xml:space="preserve"> </w:t>
      </w:r>
      <w:r w:rsidR="00923393">
        <w:rPr>
          <w:rFonts w:ascii="Times New Roman" w:eastAsia="Times New Roman" w:hAnsi="Times New Roman" w:cs="Times New Roman"/>
          <w:color w:val="auto"/>
          <w:lang w:eastAsia="en-US"/>
        </w:rPr>
        <w:t>kintamųjų reikšmės reikalingos</w:t>
      </w:r>
      <w:r w:rsidR="000C5CEB">
        <w:rPr>
          <w:rFonts w:ascii="Times New Roman" w:eastAsia="Times New Roman" w:hAnsi="Times New Roman" w:cs="Times New Roman"/>
          <w:color w:val="auto"/>
          <w:lang w:eastAsia="en-US"/>
        </w:rPr>
        <w:t xml:space="preserve"> konkordacijos koeficientui gauti.</w:t>
      </w:r>
    </w:p>
    <w:p w:rsidR="007303BE" w:rsidRDefault="007303BE" w:rsidP="007F0971">
      <w:pPr>
        <w:tabs>
          <w:tab w:val="left" w:pos="567"/>
        </w:tabs>
        <w:spacing w:line="360" w:lineRule="auto"/>
        <w:jc w:val="both"/>
        <w:rPr>
          <w:rFonts w:ascii="Times New Roman" w:eastAsia="Times New Roman" w:hAnsi="Times New Roman" w:cs="Times New Roman"/>
          <w:color w:val="auto"/>
          <w:lang w:eastAsia="en-US"/>
        </w:rPr>
      </w:pPr>
    </w:p>
    <w:p w:rsidR="00923393" w:rsidRPr="007303BE" w:rsidRDefault="007303BE" w:rsidP="00A66ABA">
      <w:pPr>
        <w:pStyle w:val="Lentels"/>
        <w:rPr>
          <w:lang w:eastAsia="en-US"/>
        </w:rPr>
      </w:pPr>
      <w:bookmarkStart w:id="55" w:name="_Toc343459647"/>
      <w:r w:rsidRPr="007303BE">
        <w:rPr>
          <w:lang w:eastAsia="en-US"/>
        </w:rPr>
        <w:t>10 lentelė. Ekspertų vertinimo duomenys ir rezultatai</w:t>
      </w:r>
      <w:bookmarkEnd w:id="55"/>
    </w:p>
    <w:tbl>
      <w:tblPr>
        <w:tblStyle w:val="LightGrid-Accent5"/>
        <w:tblW w:w="0" w:type="auto"/>
        <w:jc w:val="center"/>
        <w:tblLayout w:type="fixed"/>
        <w:tblLook w:val="04A0" w:firstRow="1" w:lastRow="0" w:firstColumn="1" w:lastColumn="0" w:noHBand="0" w:noVBand="1"/>
      </w:tblPr>
      <w:tblGrid>
        <w:gridCol w:w="2436"/>
        <w:gridCol w:w="2057"/>
        <w:gridCol w:w="1234"/>
        <w:gridCol w:w="1234"/>
        <w:gridCol w:w="1646"/>
        <w:gridCol w:w="1200"/>
      </w:tblGrid>
      <w:tr w:rsidR="00923393" w:rsidTr="000C444E">
        <w:trPr>
          <w:cnfStyle w:val="100000000000" w:firstRow="1" w:lastRow="0" w:firstColumn="0" w:lastColumn="0" w:oddVBand="0" w:evenVBand="0" w:oddHBand="0" w:evenHBand="0"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2436" w:type="dxa"/>
            <w:vMerge w:val="restart"/>
          </w:tcPr>
          <w:p w:rsidR="00923393" w:rsidRPr="00923393" w:rsidRDefault="00923393" w:rsidP="00923393">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Eksperto Nr.</w:t>
            </w:r>
          </w:p>
        </w:tc>
        <w:tc>
          <w:tcPr>
            <w:tcW w:w="7371" w:type="dxa"/>
            <w:gridSpan w:val="5"/>
          </w:tcPr>
          <w:p w:rsidR="00923393" w:rsidRPr="00923393" w:rsidRDefault="00923393" w:rsidP="00923393">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Alternatyvos Nr.</w:t>
            </w:r>
          </w:p>
        </w:tc>
      </w:tr>
      <w:tr w:rsidR="00F3058C" w:rsidTr="000C444E">
        <w:trPr>
          <w:cnfStyle w:val="000000100000" w:firstRow="0" w:lastRow="0" w:firstColumn="0" w:lastColumn="0" w:oddVBand="0" w:evenVBand="0" w:oddHBand="1" w:evenHBand="0" w:firstRowFirstColumn="0" w:firstRowLastColumn="0" w:lastRowFirstColumn="0" w:lastRowLastColumn="0"/>
          <w:trHeight w:val="137"/>
          <w:jc w:val="center"/>
        </w:trPr>
        <w:tc>
          <w:tcPr>
            <w:cnfStyle w:val="001000000000" w:firstRow="0" w:lastRow="0" w:firstColumn="1" w:lastColumn="0" w:oddVBand="0" w:evenVBand="0" w:oddHBand="0" w:evenHBand="0" w:firstRowFirstColumn="0" w:firstRowLastColumn="0" w:lastRowFirstColumn="0" w:lastRowLastColumn="0"/>
            <w:tcW w:w="2436" w:type="dxa"/>
            <w:vMerge/>
          </w:tcPr>
          <w:p w:rsidR="00923393" w:rsidRPr="00923393" w:rsidRDefault="00923393" w:rsidP="00923393">
            <w:pPr>
              <w:tabs>
                <w:tab w:val="left" w:pos="567"/>
              </w:tabs>
              <w:spacing w:line="360" w:lineRule="auto"/>
              <w:jc w:val="center"/>
              <w:rPr>
                <w:rFonts w:ascii="Times New Roman" w:eastAsia="Times New Roman" w:hAnsi="Times New Roman" w:cs="Times New Roman"/>
                <w:color w:val="auto"/>
                <w:sz w:val="22"/>
                <w:szCs w:val="22"/>
                <w:lang w:eastAsia="en-US"/>
              </w:rPr>
            </w:pPr>
          </w:p>
        </w:tc>
        <w:tc>
          <w:tcPr>
            <w:tcW w:w="2057" w:type="dxa"/>
          </w:tcPr>
          <w:p w:rsidR="00923393" w:rsidRPr="00923393" w:rsidRDefault="00923393" w:rsidP="00923393">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Paprastesnis finansavimo suteikimas mažoms, naujoms įmonėms</w:t>
            </w:r>
          </w:p>
        </w:tc>
        <w:tc>
          <w:tcPr>
            <w:tcW w:w="1234" w:type="dxa"/>
          </w:tcPr>
          <w:p w:rsidR="00923393" w:rsidRPr="00923393" w:rsidRDefault="00923393" w:rsidP="00923393">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Naujų darbo vietų sukūrimas</w:t>
            </w:r>
          </w:p>
        </w:tc>
        <w:tc>
          <w:tcPr>
            <w:tcW w:w="1234" w:type="dxa"/>
          </w:tcPr>
          <w:p w:rsidR="00923393" w:rsidRPr="00923393" w:rsidRDefault="00923393" w:rsidP="00923393">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Tolimesnių investicijų skatinimas</w:t>
            </w:r>
          </w:p>
        </w:tc>
        <w:tc>
          <w:tcPr>
            <w:tcW w:w="1646" w:type="dxa"/>
          </w:tcPr>
          <w:p w:rsidR="00923393" w:rsidRPr="00923393" w:rsidRDefault="00923393" w:rsidP="00923393">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Greitesnis naujų technologijų įsisavinimas</w:t>
            </w:r>
          </w:p>
        </w:tc>
        <w:tc>
          <w:tcPr>
            <w:tcW w:w="1200" w:type="dxa"/>
          </w:tcPr>
          <w:p w:rsidR="00923393" w:rsidRPr="00923393" w:rsidRDefault="00923393" w:rsidP="00923393">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Pardavimų apimties didinimas</w:t>
            </w:r>
          </w:p>
        </w:tc>
      </w:tr>
      <w:tr w:rsidR="00171341" w:rsidTr="000C444E">
        <w:trPr>
          <w:cnfStyle w:val="000000010000" w:firstRow="0" w:lastRow="0" w:firstColumn="0" w:lastColumn="0" w:oddVBand="0" w:evenVBand="0" w:oddHBand="0" w:evenHBand="1"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171341" w:rsidRPr="00923393" w:rsidRDefault="00171341" w:rsidP="00923393">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1</w:t>
            </w:r>
          </w:p>
        </w:tc>
        <w:tc>
          <w:tcPr>
            <w:tcW w:w="2057"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34"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00"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340498" w:rsidTr="000C444E">
        <w:trPr>
          <w:cnfStyle w:val="000000100000" w:firstRow="0" w:lastRow="0" w:firstColumn="0" w:lastColumn="0" w:oddVBand="0" w:evenVBand="0" w:oddHBand="1" w:evenHBand="0"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171341" w:rsidRPr="00923393" w:rsidRDefault="00171341" w:rsidP="00923393">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2</w:t>
            </w:r>
          </w:p>
        </w:tc>
        <w:tc>
          <w:tcPr>
            <w:tcW w:w="2057"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34"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00"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171341" w:rsidTr="000C444E">
        <w:trPr>
          <w:cnfStyle w:val="000000010000" w:firstRow="0" w:lastRow="0" w:firstColumn="0" w:lastColumn="0" w:oddVBand="0" w:evenVBand="0" w:oddHBand="0" w:evenHBand="1"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2436" w:type="dxa"/>
          </w:tcPr>
          <w:p w:rsidR="00171341" w:rsidRPr="00923393" w:rsidRDefault="00171341" w:rsidP="00923393">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3</w:t>
            </w:r>
          </w:p>
        </w:tc>
        <w:tc>
          <w:tcPr>
            <w:tcW w:w="2057"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34"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00" w:type="dxa"/>
          </w:tcPr>
          <w:p w:rsidR="00171341" w:rsidRPr="00171341" w:rsidRDefault="00171341" w:rsidP="00171341">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340498" w:rsidTr="000C444E">
        <w:trPr>
          <w:cnfStyle w:val="000000100000" w:firstRow="0" w:lastRow="0" w:firstColumn="0" w:lastColumn="0" w:oddVBand="0" w:evenVBand="0" w:oddHBand="1" w:evenHBand="0"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171341" w:rsidRPr="00923393" w:rsidRDefault="00171341" w:rsidP="00923393">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4</w:t>
            </w:r>
          </w:p>
        </w:tc>
        <w:tc>
          <w:tcPr>
            <w:tcW w:w="2057"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34"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c>
          <w:tcPr>
            <w:tcW w:w="1200" w:type="dxa"/>
          </w:tcPr>
          <w:p w:rsidR="00171341" w:rsidRPr="00171341" w:rsidRDefault="00171341" w:rsidP="0017134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r>
    </w:tbl>
    <w:p w:rsidR="00145597" w:rsidRDefault="000C444E" w:rsidP="000C444E">
      <w:pPr>
        <w:tabs>
          <w:tab w:val="left" w:pos="567"/>
        </w:tabs>
        <w:spacing w:line="360" w:lineRule="auto"/>
        <w:jc w:val="right"/>
        <w:rPr>
          <w:rFonts w:ascii="Times New Roman" w:hAnsi="Times New Roman" w:cs="Times New Roman"/>
        </w:rPr>
      </w:pPr>
      <w:r>
        <w:rPr>
          <w:rFonts w:ascii="Times New Roman" w:hAnsi="Times New Roman" w:cs="Times New Roman"/>
        </w:rPr>
        <w:t>10 lentelės tęsinys kitame puslapyje</w:t>
      </w:r>
    </w:p>
    <w:p w:rsidR="000C444E" w:rsidRDefault="000C444E" w:rsidP="000C444E">
      <w:pPr>
        <w:tabs>
          <w:tab w:val="left" w:pos="567"/>
        </w:tabs>
        <w:spacing w:line="360" w:lineRule="auto"/>
        <w:jc w:val="right"/>
        <w:rPr>
          <w:rFonts w:ascii="Times New Roman" w:hAnsi="Times New Roman" w:cs="Times New Roman"/>
        </w:rPr>
      </w:pPr>
      <w:r>
        <w:rPr>
          <w:rFonts w:ascii="Times New Roman" w:hAnsi="Times New Roman" w:cs="Times New Roman"/>
        </w:rPr>
        <w:lastRenderedPageBreak/>
        <w:t>10 lentelės tęsinys</w:t>
      </w:r>
    </w:p>
    <w:tbl>
      <w:tblPr>
        <w:tblStyle w:val="LightGrid-Accent5"/>
        <w:tblW w:w="0" w:type="auto"/>
        <w:jc w:val="center"/>
        <w:tblLayout w:type="fixed"/>
        <w:tblLook w:val="04A0" w:firstRow="1" w:lastRow="0" w:firstColumn="1" w:lastColumn="0" w:noHBand="0" w:noVBand="1"/>
      </w:tblPr>
      <w:tblGrid>
        <w:gridCol w:w="2436"/>
        <w:gridCol w:w="2057"/>
        <w:gridCol w:w="1234"/>
        <w:gridCol w:w="1234"/>
        <w:gridCol w:w="1646"/>
        <w:gridCol w:w="1200"/>
      </w:tblGrid>
      <w:tr w:rsidR="000C444E" w:rsidRPr="00923393" w:rsidTr="00334B70">
        <w:trPr>
          <w:cnfStyle w:val="100000000000" w:firstRow="1" w:lastRow="0" w:firstColumn="0" w:lastColumn="0" w:oddVBand="0" w:evenVBand="0" w:oddHBand="0" w:evenHBand="0"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2436" w:type="dxa"/>
            <w:vMerge w:val="restart"/>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Eksperto Nr.</w:t>
            </w:r>
          </w:p>
        </w:tc>
        <w:tc>
          <w:tcPr>
            <w:tcW w:w="7371" w:type="dxa"/>
            <w:gridSpan w:val="5"/>
          </w:tcPr>
          <w:p w:rsidR="000C444E" w:rsidRPr="00923393" w:rsidRDefault="000C444E" w:rsidP="00334B70">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Alternatyvos Nr.</w:t>
            </w:r>
          </w:p>
        </w:tc>
      </w:tr>
      <w:tr w:rsidR="000C444E" w:rsidRPr="00923393" w:rsidTr="00334B70">
        <w:trPr>
          <w:cnfStyle w:val="000000100000" w:firstRow="0" w:lastRow="0" w:firstColumn="0" w:lastColumn="0" w:oddVBand="0" w:evenVBand="0" w:oddHBand="1" w:evenHBand="0" w:firstRowFirstColumn="0" w:firstRowLastColumn="0" w:lastRowFirstColumn="0" w:lastRowLastColumn="0"/>
          <w:trHeight w:val="137"/>
          <w:jc w:val="center"/>
        </w:trPr>
        <w:tc>
          <w:tcPr>
            <w:cnfStyle w:val="001000000000" w:firstRow="0" w:lastRow="0" w:firstColumn="1" w:lastColumn="0" w:oddVBand="0" w:evenVBand="0" w:oddHBand="0" w:evenHBand="0" w:firstRowFirstColumn="0" w:firstRowLastColumn="0" w:lastRowFirstColumn="0" w:lastRowLastColumn="0"/>
            <w:tcW w:w="2436" w:type="dxa"/>
            <w:vMerge/>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p>
        </w:tc>
        <w:tc>
          <w:tcPr>
            <w:tcW w:w="2057" w:type="dxa"/>
          </w:tcPr>
          <w:p w:rsidR="000C444E" w:rsidRPr="00923393" w:rsidRDefault="000C444E" w:rsidP="00334B70">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Paprastesnis finansavimo suteikimas mažoms, naujoms įmonėms</w:t>
            </w:r>
          </w:p>
        </w:tc>
        <w:tc>
          <w:tcPr>
            <w:tcW w:w="1234" w:type="dxa"/>
          </w:tcPr>
          <w:p w:rsidR="000C444E" w:rsidRPr="00923393" w:rsidRDefault="000C444E" w:rsidP="00334B70">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Naujų darbo vietų sukūrimas</w:t>
            </w:r>
          </w:p>
        </w:tc>
        <w:tc>
          <w:tcPr>
            <w:tcW w:w="1234" w:type="dxa"/>
          </w:tcPr>
          <w:p w:rsidR="000C444E" w:rsidRPr="00923393" w:rsidRDefault="000C444E" w:rsidP="00334B70">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Tolimesnių investicijų skatinimas</w:t>
            </w:r>
          </w:p>
        </w:tc>
        <w:tc>
          <w:tcPr>
            <w:tcW w:w="1646" w:type="dxa"/>
          </w:tcPr>
          <w:p w:rsidR="000C444E" w:rsidRPr="00923393" w:rsidRDefault="000C444E" w:rsidP="00334B70">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Greitesnis naujų technologijų įsisavinimas</w:t>
            </w:r>
          </w:p>
        </w:tc>
        <w:tc>
          <w:tcPr>
            <w:tcW w:w="1200" w:type="dxa"/>
          </w:tcPr>
          <w:p w:rsidR="000C444E" w:rsidRPr="00923393" w:rsidRDefault="000C444E" w:rsidP="00334B70">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Pardavimų apimties didinimas</w:t>
            </w:r>
          </w:p>
        </w:tc>
      </w:tr>
      <w:tr w:rsidR="000C444E" w:rsidRPr="00171341" w:rsidTr="000C444E">
        <w:trPr>
          <w:cnfStyle w:val="000000010000" w:firstRow="0" w:lastRow="0" w:firstColumn="0" w:lastColumn="0" w:oddVBand="0" w:evenVBand="0" w:oddHBand="0" w:evenHBand="1"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5</w:t>
            </w:r>
          </w:p>
        </w:tc>
        <w:tc>
          <w:tcPr>
            <w:tcW w:w="2057"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00"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0C444E" w:rsidRPr="00171341" w:rsidTr="000C444E">
        <w:trPr>
          <w:cnfStyle w:val="000000100000" w:firstRow="0" w:lastRow="0" w:firstColumn="0" w:lastColumn="0" w:oddVBand="0" w:evenVBand="0" w:oddHBand="1" w:evenHBand="0"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6</w:t>
            </w:r>
          </w:p>
        </w:tc>
        <w:tc>
          <w:tcPr>
            <w:tcW w:w="2057"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234"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34"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646"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00"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0C444E" w:rsidRPr="00171341" w:rsidTr="000C444E">
        <w:trPr>
          <w:cnfStyle w:val="000000010000" w:firstRow="0" w:lastRow="0" w:firstColumn="0" w:lastColumn="0" w:oddVBand="0" w:evenVBand="0" w:oddHBand="0" w:evenHBand="1"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7</w:t>
            </w:r>
          </w:p>
        </w:tc>
        <w:tc>
          <w:tcPr>
            <w:tcW w:w="2057"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00"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0C444E" w:rsidRPr="00171341" w:rsidTr="000C444E">
        <w:trPr>
          <w:cnfStyle w:val="000000100000" w:firstRow="0" w:lastRow="0" w:firstColumn="0" w:lastColumn="0" w:oddVBand="0" w:evenVBand="0" w:oddHBand="1" w:evenHBand="0"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8</w:t>
            </w:r>
          </w:p>
        </w:tc>
        <w:tc>
          <w:tcPr>
            <w:tcW w:w="2057"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4</w:t>
            </w:r>
          </w:p>
        </w:tc>
        <w:tc>
          <w:tcPr>
            <w:tcW w:w="1234"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5</w:t>
            </w:r>
          </w:p>
        </w:tc>
        <w:tc>
          <w:tcPr>
            <w:tcW w:w="1234"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c>
          <w:tcPr>
            <w:tcW w:w="1646"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w:t>
            </w:r>
          </w:p>
        </w:tc>
        <w:tc>
          <w:tcPr>
            <w:tcW w:w="1200"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w:t>
            </w:r>
          </w:p>
        </w:tc>
      </w:tr>
      <w:tr w:rsidR="000C444E" w:rsidRPr="00171341" w:rsidTr="000C444E">
        <w:trPr>
          <w:cnfStyle w:val="000000010000" w:firstRow="0" w:lastRow="0" w:firstColumn="0" w:lastColumn="0" w:oddVBand="0" w:evenVBand="0" w:oddHBand="0" w:evenHBand="1"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Rangų suma</w:t>
            </w:r>
          </w:p>
        </w:tc>
        <w:tc>
          <w:tcPr>
            <w:tcW w:w="2057"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28</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36</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12</w:t>
            </w:r>
          </w:p>
        </w:tc>
        <w:tc>
          <w:tcPr>
            <w:tcW w:w="1646"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19</w:t>
            </w:r>
          </w:p>
        </w:tc>
        <w:tc>
          <w:tcPr>
            <w:tcW w:w="1200"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25</w:t>
            </w:r>
          </w:p>
        </w:tc>
      </w:tr>
      <w:tr w:rsidR="000C444E" w:rsidRPr="00171341" w:rsidTr="000C444E">
        <w:trPr>
          <w:cnfStyle w:val="000000100000" w:firstRow="0" w:lastRow="0" w:firstColumn="0" w:lastColumn="0" w:oddVBand="0" w:evenVBand="0" w:oddHBand="1" w:evenHBand="0" w:firstRowFirstColumn="0" w:firstRowLastColumn="0" w:lastRowFirstColumn="0" w:lastRowLastColumn="0"/>
          <w:trHeight w:val="371"/>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 xml:space="preserve">Rangų sumų vidurkis </w:t>
            </w:r>
            <w:r w:rsidRPr="00923393">
              <w:rPr>
                <w:rFonts w:ascii="Times New Roman" w:eastAsia="Times New Roman" w:hAnsi="Times New Roman" w:cs="Times New Roman"/>
                <w:i/>
                <w:color w:val="auto"/>
                <w:sz w:val="22"/>
                <w:szCs w:val="22"/>
                <w:lang w:eastAsia="en-US"/>
              </w:rPr>
              <w:t>a</w:t>
            </w:r>
          </w:p>
        </w:tc>
        <w:tc>
          <w:tcPr>
            <w:tcW w:w="2057"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24</w:t>
            </w:r>
          </w:p>
        </w:tc>
        <w:tc>
          <w:tcPr>
            <w:tcW w:w="1234"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24</w:t>
            </w:r>
          </w:p>
        </w:tc>
        <w:tc>
          <w:tcPr>
            <w:tcW w:w="1234"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24</w:t>
            </w:r>
          </w:p>
        </w:tc>
        <w:tc>
          <w:tcPr>
            <w:tcW w:w="1646"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24</w:t>
            </w:r>
          </w:p>
        </w:tc>
        <w:tc>
          <w:tcPr>
            <w:tcW w:w="1200" w:type="dxa"/>
          </w:tcPr>
          <w:p w:rsidR="000C444E" w:rsidRPr="00171341"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24</w:t>
            </w:r>
          </w:p>
        </w:tc>
      </w:tr>
      <w:tr w:rsidR="000C444E" w:rsidRPr="00171341" w:rsidTr="000C444E">
        <w:trPr>
          <w:cnfStyle w:val="000000010000" w:firstRow="0" w:lastRow="0" w:firstColumn="0" w:lastColumn="0" w:oddVBand="0" w:evenVBand="0" w:oddHBand="0" w:evenHBand="1"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2436" w:type="dxa"/>
          </w:tcPr>
          <w:p w:rsidR="000C444E" w:rsidRPr="00923393" w:rsidRDefault="000C444E" w:rsidP="00334B70">
            <w:pPr>
              <w:tabs>
                <w:tab w:val="left" w:pos="567"/>
              </w:tabs>
              <w:spacing w:line="360" w:lineRule="auto"/>
              <w:jc w:val="center"/>
              <w:rPr>
                <w:rFonts w:ascii="Times New Roman" w:eastAsia="Times New Roman" w:hAnsi="Times New Roman" w:cs="Times New Roman"/>
                <w:color w:val="auto"/>
                <w:sz w:val="22"/>
                <w:szCs w:val="22"/>
                <w:lang w:eastAsia="en-US"/>
              </w:rPr>
            </w:pPr>
            <w:r w:rsidRPr="00923393">
              <w:rPr>
                <w:rFonts w:ascii="Times New Roman" w:eastAsia="Times New Roman" w:hAnsi="Times New Roman" w:cs="Times New Roman"/>
                <w:color w:val="auto"/>
                <w:sz w:val="22"/>
                <w:szCs w:val="22"/>
                <w:lang w:eastAsia="en-US"/>
              </w:rPr>
              <w:t>Nuokrypio kvadratas</w:t>
            </w:r>
          </w:p>
        </w:tc>
        <w:tc>
          <w:tcPr>
            <w:tcW w:w="2057"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16</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144</w:t>
            </w:r>
          </w:p>
        </w:tc>
        <w:tc>
          <w:tcPr>
            <w:tcW w:w="1234"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144</w:t>
            </w:r>
          </w:p>
        </w:tc>
        <w:tc>
          <w:tcPr>
            <w:tcW w:w="1646"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25</w:t>
            </w:r>
          </w:p>
        </w:tc>
        <w:tc>
          <w:tcPr>
            <w:tcW w:w="1200" w:type="dxa"/>
          </w:tcPr>
          <w:p w:rsidR="000C444E" w:rsidRPr="00171341" w:rsidRDefault="000C444E" w:rsidP="00334B70">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2"/>
                <w:szCs w:val="22"/>
              </w:rPr>
            </w:pPr>
            <w:r w:rsidRPr="00171341">
              <w:rPr>
                <w:rFonts w:ascii="Times New Roman" w:hAnsi="Times New Roman" w:cs="Times New Roman"/>
                <w:sz w:val="22"/>
                <w:szCs w:val="22"/>
              </w:rPr>
              <w:t>1</w:t>
            </w:r>
          </w:p>
        </w:tc>
      </w:tr>
      <w:tr w:rsidR="000C444E" w:rsidRPr="00201214" w:rsidTr="00334B7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8607" w:type="dxa"/>
            <w:gridSpan w:val="5"/>
          </w:tcPr>
          <w:p w:rsidR="000C444E" w:rsidRPr="00171341" w:rsidRDefault="000C444E" w:rsidP="00334B70">
            <w:pPr>
              <w:jc w:val="right"/>
              <w:rPr>
                <w:rFonts w:ascii="Times New Roman" w:hAnsi="Times New Roman" w:cs="Times New Roman"/>
                <w:sz w:val="22"/>
                <w:szCs w:val="22"/>
                <w:lang w:val="en-US"/>
              </w:rPr>
            </w:pPr>
            <w:r>
              <w:rPr>
                <w:rFonts w:ascii="Times New Roman" w:hAnsi="Times New Roman" w:cs="Times New Roman"/>
                <w:sz w:val="22"/>
                <w:szCs w:val="22"/>
              </w:rPr>
              <w:t>Suma S</w:t>
            </w:r>
            <w:r w:rsidRPr="00171341">
              <w:rPr>
                <w:rFonts w:ascii="Times New Roman" w:hAnsi="Times New Roman" w:cs="Times New Roman"/>
                <w:sz w:val="22"/>
                <w:szCs w:val="22"/>
                <w:vertAlign w:val="superscript"/>
              </w:rPr>
              <w:t>2</w:t>
            </w:r>
            <w:r>
              <w:rPr>
                <w:rFonts w:ascii="Times New Roman" w:hAnsi="Times New Roman" w:cs="Times New Roman"/>
                <w:sz w:val="22"/>
                <w:szCs w:val="22"/>
                <w:lang w:val="en-US"/>
              </w:rPr>
              <w:t>=</w:t>
            </w:r>
          </w:p>
        </w:tc>
        <w:tc>
          <w:tcPr>
            <w:tcW w:w="1200" w:type="dxa"/>
          </w:tcPr>
          <w:p w:rsidR="000C444E" w:rsidRPr="00201214" w:rsidRDefault="000C444E" w:rsidP="00334B7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2"/>
                <w:szCs w:val="22"/>
              </w:rPr>
            </w:pPr>
            <w:r w:rsidRPr="00201214">
              <w:rPr>
                <w:rFonts w:ascii="Times New Roman" w:hAnsi="Times New Roman" w:cs="Times New Roman"/>
                <w:b/>
                <w:sz w:val="22"/>
                <w:szCs w:val="22"/>
              </w:rPr>
              <w:t>330</w:t>
            </w:r>
          </w:p>
        </w:tc>
      </w:tr>
    </w:tbl>
    <w:p w:rsidR="000C444E" w:rsidRPr="00145597" w:rsidRDefault="000C444E" w:rsidP="000C444E">
      <w:pPr>
        <w:tabs>
          <w:tab w:val="left" w:pos="567"/>
        </w:tabs>
        <w:spacing w:line="360" w:lineRule="auto"/>
        <w:ind w:firstLine="142"/>
        <w:jc w:val="both"/>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sudaryta autoriaus</w:t>
      </w:r>
    </w:p>
    <w:p w:rsidR="000C444E" w:rsidRDefault="000C444E" w:rsidP="007F0971">
      <w:pPr>
        <w:tabs>
          <w:tab w:val="left" w:pos="567"/>
        </w:tabs>
        <w:spacing w:line="360" w:lineRule="auto"/>
        <w:jc w:val="both"/>
        <w:rPr>
          <w:rFonts w:ascii="Times New Roman" w:hAnsi="Times New Roman" w:cs="Times New Roman"/>
        </w:rPr>
      </w:pPr>
    </w:p>
    <w:p w:rsidR="000B74AE" w:rsidRDefault="000B74AE" w:rsidP="007F0971">
      <w:pPr>
        <w:tabs>
          <w:tab w:val="left" w:pos="567"/>
        </w:tabs>
        <w:spacing w:line="360" w:lineRule="auto"/>
        <w:jc w:val="both"/>
        <w:rPr>
          <w:rFonts w:ascii="Times New Roman" w:hAnsi="Times New Roman" w:cs="Times New Roman"/>
        </w:rPr>
      </w:pPr>
      <w:r>
        <w:rPr>
          <w:rFonts w:ascii="Times New Roman" w:hAnsi="Times New Roman" w:cs="Times New Roman"/>
        </w:rPr>
        <w:tab/>
        <w:t xml:space="preserve">Remiantis lentelėje pateiktais duomenimis galime apskaičiuoti </w:t>
      </w:r>
      <w:r w:rsidR="003D19D1">
        <w:rPr>
          <w:rFonts w:ascii="Times New Roman" w:hAnsi="Times New Roman" w:cs="Times New Roman"/>
        </w:rPr>
        <w:t xml:space="preserve">konkordacijos koeficientą pagal </w:t>
      </w:r>
      <w:r w:rsidR="00C43C01">
        <w:rPr>
          <w:rFonts w:ascii="Times New Roman" w:hAnsi="Times New Roman" w:cs="Times New Roman"/>
        </w:rPr>
        <w:t xml:space="preserve">metodologinėje dalyje pateiktą </w:t>
      </w:r>
      <w:r w:rsidR="003D19D1">
        <w:rPr>
          <w:rFonts w:ascii="Times New Roman" w:hAnsi="Times New Roman" w:cs="Times New Roman"/>
        </w:rPr>
        <w:t>(5) formulę:</w:t>
      </w:r>
    </w:p>
    <w:p w:rsidR="00C4716C" w:rsidRDefault="00C4716C" w:rsidP="007F0971">
      <w:pPr>
        <w:tabs>
          <w:tab w:val="left" w:pos="567"/>
        </w:tabs>
        <w:spacing w:line="360" w:lineRule="auto"/>
        <w:jc w:val="both"/>
        <w:rPr>
          <w:rFonts w:ascii="Times New Roman" w:hAnsi="Times New Roman" w:cs="Times New Roman"/>
        </w:rPr>
      </w:pPr>
    </w:p>
    <w:p w:rsidR="003D19D1" w:rsidRDefault="00C43C01" w:rsidP="007F0971">
      <w:pPr>
        <w:tabs>
          <w:tab w:val="left" w:pos="567"/>
        </w:tabs>
        <w:spacing w:line="360" w:lineRule="auto"/>
        <w:jc w:val="both"/>
        <w:rPr>
          <w:rFonts w:ascii="Times New Roman" w:hAnsi="Times New Roman" w:cs="Times New Roman"/>
        </w:rPr>
      </w:pPr>
      <w:r>
        <w:rPr>
          <w:rFonts w:ascii="Times New Roman" w:hAnsi="Times New Roman" w:cs="Times New Roman"/>
        </w:rPr>
        <w:tab/>
      </w:r>
      <w:r w:rsidRPr="003D19D1">
        <w:rPr>
          <w:rFonts w:ascii="Times New Roman" w:hAnsi="Times New Roman" w:cs="Times New Roman"/>
          <w:position w:val="-30"/>
        </w:rPr>
        <w:object w:dxaOrig="3680" w:dyaOrig="720">
          <v:shape id="_x0000_i1033" type="#_x0000_t75" style="width:183.75pt;height:36pt" o:ole="">
            <v:imagedata r:id="rId61" o:title=""/>
          </v:shape>
          <o:OLEObject Type="Embed" ProgID="Equation.3" ShapeID="_x0000_i1033" DrawAspect="Content" ObjectID="_1419603324" r:id="rId62"/>
        </w:object>
      </w:r>
    </w:p>
    <w:p w:rsidR="000B74AE" w:rsidRDefault="000B74AE" w:rsidP="007F0971">
      <w:pPr>
        <w:tabs>
          <w:tab w:val="left" w:pos="567"/>
        </w:tabs>
        <w:spacing w:line="360" w:lineRule="auto"/>
        <w:jc w:val="both"/>
        <w:rPr>
          <w:rFonts w:ascii="Times New Roman" w:hAnsi="Times New Roman" w:cs="Times New Roman"/>
        </w:rPr>
      </w:pPr>
    </w:p>
    <w:p w:rsidR="00835883" w:rsidRDefault="00C43C01" w:rsidP="00C43C01">
      <w:pPr>
        <w:tabs>
          <w:tab w:val="left" w:pos="567"/>
        </w:tabs>
        <w:spacing w:after="200" w:line="360" w:lineRule="auto"/>
        <w:jc w:val="both"/>
        <w:rPr>
          <w:rFonts w:ascii="Times New Roman" w:hAnsi="Times New Roman" w:cs="Times New Roman"/>
        </w:rPr>
      </w:pPr>
      <w:r>
        <w:rPr>
          <w:rFonts w:ascii="Times New Roman" w:hAnsi="Times New Roman" w:cs="Times New Roman"/>
        </w:rPr>
        <w:tab/>
        <w:t xml:space="preserve">Konkordacijos koeficiento reikšmę gavome 0,516. Ši reikšmė nėra labai aukšta, todėl būtina patikrinti ar konkordacijos koeficientas yra statistiškai reikšmingas ir priimti arba atmesti nulinę hipotezę. </w:t>
      </w:r>
      <w:r w:rsidR="00C14CBC">
        <w:rPr>
          <w:rFonts w:ascii="Times New Roman" w:hAnsi="Times New Roman" w:cs="Times New Roman"/>
        </w:rPr>
        <w:t>Norėdami tai pa</w:t>
      </w:r>
      <w:r>
        <w:rPr>
          <w:rFonts w:ascii="Times New Roman" w:hAnsi="Times New Roman" w:cs="Times New Roman"/>
        </w:rPr>
        <w:t xml:space="preserve">daryti apskaičiuojame </w:t>
      </w:r>
      <w:r w:rsidR="008A6DDE" w:rsidRPr="008A6DDE">
        <w:rPr>
          <w:rFonts w:ascii="Times New Roman" w:hAnsi="Times New Roman" w:cs="Times New Roman"/>
        </w:rPr>
        <w:t xml:space="preserve">χ </w:t>
      </w:r>
      <w:r w:rsidR="008A6DDE" w:rsidRPr="008A6DDE">
        <w:rPr>
          <w:rFonts w:ascii="Times New Roman" w:hAnsi="Times New Roman" w:cs="Times New Roman"/>
          <w:vertAlign w:val="superscript"/>
        </w:rPr>
        <w:t>2</w:t>
      </w:r>
      <w:r w:rsidR="008A6DDE">
        <w:rPr>
          <w:rFonts w:ascii="Times New Roman" w:hAnsi="Times New Roman" w:cs="Times New Roman"/>
        </w:rPr>
        <w:t xml:space="preserve"> ir </w:t>
      </w:r>
      <w:r w:rsidR="008A6DDE" w:rsidRPr="008A6DDE">
        <w:rPr>
          <w:rFonts w:ascii="Times New Roman" w:hAnsi="Times New Roman" w:cs="Times New Roman"/>
        </w:rPr>
        <w:t xml:space="preserve">χ </w:t>
      </w:r>
      <w:r w:rsidR="008A6DDE" w:rsidRPr="008A6DDE">
        <w:rPr>
          <w:rFonts w:ascii="Times New Roman" w:hAnsi="Times New Roman" w:cs="Times New Roman"/>
          <w:vertAlign w:val="superscript"/>
        </w:rPr>
        <w:t>2</w:t>
      </w:r>
      <w:r w:rsidR="008A6DDE">
        <w:rPr>
          <w:rFonts w:ascii="Times New Roman" w:hAnsi="Times New Roman" w:cs="Times New Roman"/>
        </w:rPr>
        <w:t xml:space="preserve"> kritines reikšmes:</w:t>
      </w:r>
    </w:p>
    <w:p w:rsidR="008A6DDE" w:rsidRDefault="008A6DDE" w:rsidP="008A6DDE">
      <w:pPr>
        <w:tabs>
          <w:tab w:val="left" w:pos="567"/>
        </w:tabs>
        <w:spacing w:line="360" w:lineRule="auto"/>
        <w:jc w:val="both"/>
        <w:rPr>
          <w:rFonts w:ascii="Times New Roman" w:hAnsi="Times New Roman" w:cs="Times New Roman"/>
          <w:lang w:val="en-US"/>
        </w:rPr>
      </w:pPr>
      <w:r>
        <w:rPr>
          <w:rFonts w:ascii="Times New Roman" w:hAnsi="Times New Roman" w:cs="Times New Roman"/>
        </w:rPr>
        <w:tab/>
      </w:r>
      <w:r w:rsidRPr="008A6DDE">
        <w:rPr>
          <w:rFonts w:ascii="Times New Roman" w:hAnsi="Times New Roman" w:cs="Times New Roman"/>
          <w:i/>
        </w:rPr>
        <w:t xml:space="preserve">χ </w:t>
      </w:r>
      <w:r w:rsidRPr="008A6DDE">
        <w:rPr>
          <w:rFonts w:ascii="Times New Roman" w:hAnsi="Times New Roman" w:cs="Times New Roman"/>
          <w:vertAlign w:val="superscript"/>
        </w:rPr>
        <w:t>2</w:t>
      </w:r>
      <w:r>
        <w:rPr>
          <w:rFonts w:ascii="Times New Roman" w:hAnsi="Times New Roman" w:cs="Times New Roman"/>
        </w:rPr>
        <w:t xml:space="preserve"> </w:t>
      </w:r>
      <w:r>
        <w:rPr>
          <w:rFonts w:ascii="Times New Roman" w:hAnsi="Times New Roman" w:cs="Times New Roman"/>
          <w:lang w:val="en-US"/>
        </w:rPr>
        <w:t>= 8(5-1)*0,516 = 16,5</w:t>
      </w:r>
    </w:p>
    <w:p w:rsidR="00835883" w:rsidRDefault="008A6DDE" w:rsidP="008A6DDE">
      <w:pPr>
        <w:tabs>
          <w:tab w:val="left" w:pos="567"/>
        </w:tabs>
        <w:spacing w:line="360" w:lineRule="auto"/>
        <w:jc w:val="both"/>
        <w:rPr>
          <w:rFonts w:ascii="Times New Roman" w:hAnsi="Times New Roman" w:cs="Times New Roman"/>
        </w:rPr>
      </w:pPr>
      <w:r>
        <w:rPr>
          <w:rFonts w:ascii="Times New Roman" w:hAnsi="Times New Roman" w:cs="Times New Roman"/>
        </w:rPr>
        <w:tab/>
      </w:r>
      <w:r w:rsidRPr="008A6DDE">
        <w:rPr>
          <w:rFonts w:ascii="Times New Roman" w:hAnsi="Times New Roman" w:cs="Times New Roman"/>
          <w:position w:val="-12"/>
        </w:rPr>
        <w:object w:dxaOrig="2120" w:dyaOrig="380">
          <v:shape id="_x0000_i1034" type="#_x0000_t75" style="width:105.75pt;height:18.75pt" o:ole="">
            <v:imagedata r:id="rId63" o:title=""/>
          </v:shape>
          <o:OLEObject Type="Embed" ProgID="Equation.3" ShapeID="_x0000_i1034" DrawAspect="Content" ObjectID="_1419603325" r:id="rId64"/>
        </w:object>
      </w:r>
    </w:p>
    <w:p w:rsidR="00883D4A" w:rsidRDefault="008A6DDE" w:rsidP="008A6DDE">
      <w:pPr>
        <w:tabs>
          <w:tab w:val="left" w:pos="567"/>
        </w:tabs>
        <w:spacing w:line="360" w:lineRule="auto"/>
        <w:jc w:val="both"/>
        <w:rPr>
          <w:rFonts w:ascii="Times New Roman" w:hAnsi="Times New Roman" w:cs="Times New Roman"/>
        </w:rPr>
      </w:pPr>
      <w:r>
        <w:rPr>
          <w:rFonts w:ascii="Times New Roman" w:hAnsi="Times New Roman" w:cs="Times New Roman"/>
        </w:rPr>
        <w:tab/>
        <w:t xml:space="preserve">Taigi 16,5 &gt; 15,507, tai reiškia, kad </w:t>
      </w:r>
      <w:r w:rsidRPr="009D21D1">
        <w:rPr>
          <w:position w:val="-14"/>
        </w:rPr>
        <w:object w:dxaOrig="1280" w:dyaOrig="400">
          <v:shape id="_x0000_i1035" type="#_x0000_t75" style="width:63.75pt;height:20.25pt" o:ole="">
            <v:imagedata r:id="rId65" o:title=""/>
          </v:shape>
          <o:OLEObject Type="Embed" ProgID="Equation.3" ShapeID="_x0000_i1035" DrawAspect="Content" ObjectID="_1419603326" r:id="rId66"/>
        </w:object>
      </w:r>
      <w:r>
        <w:t xml:space="preserve">, </w:t>
      </w:r>
      <w:r>
        <w:rPr>
          <w:rFonts w:ascii="Times New Roman" w:hAnsi="Times New Roman" w:cs="Times New Roman"/>
        </w:rPr>
        <w:t>todėl nulinę hipotezę atmetame ir priimame alternatyvią</w:t>
      </w:r>
      <w:r w:rsidR="00883D4A">
        <w:rPr>
          <w:rFonts w:ascii="Times New Roman" w:hAnsi="Times New Roman" w:cs="Times New Roman"/>
        </w:rPr>
        <w:t>, kuri teigia, kad ekspertų vertinimai panašūs. Tačiau, kaip ir minėta metodologinėje dalyje, net ir apskaičiavus konkordacijos koeficientą ir nustačius, kad jis yra reikšmingas, nesame tikri dėl ekspertų nuomonių panašumo. Todėl apskaičiuojame ekspertų kompetencijos koeficientus. Pirmiausia kiekvienam ekspertui suteikiame vienodas kompetencijos koeficientas:</w:t>
      </w:r>
    </w:p>
    <w:p w:rsidR="00883D4A" w:rsidRDefault="00F549D5" w:rsidP="008A6DDE">
      <w:pPr>
        <w:tabs>
          <w:tab w:val="left" w:pos="567"/>
        </w:tabs>
        <w:spacing w:line="360" w:lineRule="auto"/>
        <w:jc w:val="both"/>
        <w:rPr>
          <w:rFonts w:ascii="Times New Roman" w:hAnsi="Times New Roman" w:cs="Times New Roman"/>
        </w:rPr>
      </w:pPr>
      <w:r>
        <w:tab/>
      </w:r>
      <w:r w:rsidR="00883D4A" w:rsidRPr="00977497">
        <w:rPr>
          <w:position w:val="-12"/>
        </w:rPr>
        <w:object w:dxaOrig="1719" w:dyaOrig="380">
          <v:shape id="_x0000_i1036" type="#_x0000_t75" style="width:86.25pt;height:18.75pt" o:ole="">
            <v:imagedata r:id="rId67" o:title=""/>
          </v:shape>
          <o:OLEObject Type="Embed" ProgID="Equation.3" ShapeID="_x0000_i1036" DrawAspect="Content" ObjectID="_1419603327" r:id="rId68"/>
        </w:object>
      </w:r>
    </w:p>
    <w:p w:rsidR="00093D0C" w:rsidRDefault="00883D4A" w:rsidP="008A6DDE">
      <w:pPr>
        <w:tabs>
          <w:tab w:val="left" w:pos="567"/>
        </w:tabs>
        <w:spacing w:line="360" w:lineRule="auto"/>
        <w:jc w:val="both"/>
        <w:rPr>
          <w:rFonts w:ascii="Times New Roman" w:hAnsi="Times New Roman"/>
        </w:rPr>
      </w:pPr>
      <w:r>
        <w:rPr>
          <w:rFonts w:ascii="Times New Roman" w:hAnsi="Times New Roman" w:cs="Times New Roman"/>
        </w:rPr>
        <w:lastRenderedPageBreak/>
        <w:tab/>
        <w:t xml:space="preserve">Antruoju žingsniu remiantis metodologinėje dalyje pateikta (6) formule </w:t>
      </w:r>
      <w:r w:rsidR="00F549D5">
        <w:rPr>
          <w:rFonts w:ascii="Times New Roman" w:hAnsi="Times New Roman" w:cs="Times New Roman"/>
        </w:rPr>
        <w:t xml:space="preserve">ir Rudzkienės (2008) vertinimo metodika </w:t>
      </w:r>
      <w:r w:rsidR="00093D0C">
        <w:rPr>
          <w:rFonts w:ascii="Times New Roman" w:hAnsi="Times New Roman"/>
        </w:rPr>
        <w:t xml:space="preserve">randami grupiniai </w:t>
      </w:r>
      <w:r w:rsidR="00093D0C" w:rsidRPr="00780956">
        <w:rPr>
          <w:rFonts w:ascii="Times New Roman" w:hAnsi="Times New Roman"/>
        </w:rPr>
        <w:t>įverčiai, t.y. suma kiekvienos iš penkių alternatyvos rango, padauginto iš jį vertinusių eks</w:t>
      </w:r>
      <w:r w:rsidR="00093D0C">
        <w:rPr>
          <w:rFonts w:ascii="Times New Roman" w:hAnsi="Times New Roman"/>
        </w:rPr>
        <w:t>perto kompetencijos koeficiento (žr. 11 lent.).</w:t>
      </w:r>
    </w:p>
    <w:p w:rsidR="00093D0C" w:rsidRDefault="00093D0C" w:rsidP="008A6DDE">
      <w:pPr>
        <w:tabs>
          <w:tab w:val="left" w:pos="567"/>
        </w:tabs>
        <w:spacing w:line="360" w:lineRule="auto"/>
        <w:jc w:val="both"/>
        <w:rPr>
          <w:rFonts w:ascii="Times New Roman" w:hAnsi="Times New Roman"/>
        </w:rPr>
      </w:pPr>
    </w:p>
    <w:p w:rsidR="007303BE" w:rsidRPr="007303BE" w:rsidRDefault="007303BE" w:rsidP="00A66ABA">
      <w:pPr>
        <w:pStyle w:val="Lentels"/>
      </w:pPr>
      <w:bookmarkStart w:id="56" w:name="_Toc343459648"/>
      <w:r w:rsidRPr="007303BE">
        <w:t>11 lentelė.</w:t>
      </w:r>
      <w:r w:rsidR="00A66ABA">
        <w:t xml:space="preserve"> Grupiniai alternatyvų įverčiai</w:t>
      </w:r>
      <w:bookmarkEnd w:id="56"/>
    </w:p>
    <w:tbl>
      <w:tblPr>
        <w:tblStyle w:val="LightGrid-Accent5"/>
        <w:tblW w:w="0" w:type="auto"/>
        <w:jc w:val="center"/>
        <w:tblLook w:val="04A0" w:firstRow="1" w:lastRow="0" w:firstColumn="1" w:lastColumn="0" w:noHBand="0" w:noVBand="1"/>
      </w:tblPr>
      <w:tblGrid>
        <w:gridCol w:w="1178"/>
        <w:gridCol w:w="1178"/>
        <w:gridCol w:w="1178"/>
        <w:gridCol w:w="1178"/>
        <w:gridCol w:w="1178"/>
      </w:tblGrid>
      <w:tr w:rsidR="00093D0C" w:rsidTr="00340498">
        <w:trPr>
          <w:cnfStyle w:val="100000000000" w:firstRow="1" w:lastRow="0" w:firstColumn="0" w:lastColumn="0" w:oddVBand="0" w:evenVBand="0" w:oddHBand="0"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178" w:type="dxa"/>
          </w:tcPr>
          <w:p w:rsidR="00093D0C" w:rsidRPr="004A669F" w:rsidRDefault="00093D0C" w:rsidP="00093D0C">
            <w:pPr>
              <w:tabs>
                <w:tab w:val="left" w:pos="567"/>
              </w:tabs>
              <w:spacing w:line="360" w:lineRule="auto"/>
              <w:jc w:val="center"/>
              <w:rPr>
                <w:rFonts w:ascii="Times New Roman" w:hAnsi="Times New Roman"/>
                <w:sz w:val="22"/>
                <w:szCs w:val="22"/>
              </w:rPr>
            </w:pPr>
            <w:r w:rsidRPr="004A669F">
              <w:rPr>
                <w:rFonts w:ascii="Times New Roman" w:hAnsi="Times New Roman"/>
                <w:sz w:val="22"/>
                <w:szCs w:val="22"/>
              </w:rPr>
              <w:t>V1</w:t>
            </w:r>
          </w:p>
        </w:tc>
        <w:tc>
          <w:tcPr>
            <w:tcW w:w="1178" w:type="dxa"/>
          </w:tcPr>
          <w:p w:rsidR="00093D0C" w:rsidRPr="004A669F" w:rsidRDefault="00093D0C" w:rsidP="00093D0C">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4A669F">
              <w:rPr>
                <w:rFonts w:ascii="Times New Roman" w:hAnsi="Times New Roman"/>
                <w:sz w:val="22"/>
                <w:szCs w:val="22"/>
              </w:rPr>
              <w:t>V2</w:t>
            </w:r>
          </w:p>
        </w:tc>
        <w:tc>
          <w:tcPr>
            <w:tcW w:w="1178" w:type="dxa"/>
          </w:tcPr>
          <w:p w:rsidR="00093D0C" w:rsidRPr="004A669F" w:rsidRDefault="00093D0C" w:rsidP="00093D0C">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4A669F">
              <w:rPr>
                <w:rFonts w:ascii="Times New Roman" w:hAnsi="Times New Roman"/>
                <w:sz w:val="22"/>
                <w:szCs w:val="22"/>
              </w:rPr>
              <w:t>V3</w:t>
            </w:r>
          </w:p>
        </w:tc>
        <w:tc>
          <w:tcPr>
            <w:tcW w:w="1178" w:type="dxa"/>
          </w:tcPr>
          <w:p w:rsidR="00093D0C" w:rsidRPr="004A669F" w:rsidRDefault="00093D0C" w:rsidP="00093D0C">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4A669F">
              <w:rPr>
                <w:rFonts w:ascii="Times New Roman" w:hAnsi="Times New Roman"/>
                <w:sz w:val="22"/>
                <w:szCs w:val="22"/>
              </w:rPr>
              <w:t>V4</w:t>
            </w:r>
          </w:p>
        </w:tc>
        <w:tc>
          <w:tcPr>
            <w:tcW w:w="1178" w:type="dxa"/>
          </w:tcPr>
          <w:p w:rsidR="00093D0C" w:rsidRPr="004A669F" w:rsidRDefault="00093D0C" w:rsidP="00093D0C">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4A669F">
              <w:rPr>
                <w:rFonts w:ascii="Times New Roman" w:hAnsi="Times New Roman"/>
                <w:sz w:val="22"/>
                <w:szCs w:val="22"/>
              </w:rPr>
              <w:t>V5</w:t>
            </w:r>
          </w:p>
        </w:tc>
      </w:tr>
      <w:tr w:rsidR="00093D0C" w:rsidTr="0034049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178" w:type="dxa"/>
          </w:tcPr>
          <w:p w:rsidR="00093D0C" w:rsidRPr="00340498" w:rsidRDefault="00093D0C" w:rsidP="00093D0C">
            <w:pPr>
              <w:jc w:val="center"/>
              <w:rPr>
                <w:rFonts w:ascii="Times New Roman" w:hAnsi="Times New Roman" w:cs="Times New Roman"/>
                <w:b w:val="0"/>
                <w:sz w:val="22"/>
                <w:szCs w:val="22"/>
              </w:rPr>
            </w:pPr>
            <w:r w:rsidRPr="00340498">
              <w:rPr>
                <w:rFonts w:ascii="Times New Roman" w:hAnsi="Times New Roman" w:cs="Times New Roman"/>
                <w:b w:val="0"/>
                <w:sz w:val="22"/>
                <w:szCs w:val="22"/>
              </w:rPr>
              <w:t>3,5</w:t>
            </w:r>
          </w:p>
        </w:tc>
        <w:tc>
          <w:tcPr>
            <w:tcW w:w="1178" w:type="dxa"/>
          </w:tcPr>
          <w:p w:rsidR="00093D0C" w:rsidRPr="004A669F" w:rsidRDefault="00093D0C" w:rsidP="00093D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4,5</w:t>
            </w:r>
          </w:p>
        </w:tc>
        <w:tc>
          <w:tcPr>
            <w:tcW w:w="1178" w:type="dxa"/>
          </w:tcPr>
          <w:p w:rsidR="00093D0C" w:rsidRPr="004A669F" w:rsidRDefault="00093D0C" w:rsidP="00093D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1,5</w:t>
            </w:r>
          </w:p>
        </w:tc>
        <w:tc>
          <w:tcPr>
            <w:tcW w:w="1178" w:type="dxa"/>
          </w:tcPr>
          <w:p w:rsidR="00093D0C" w:rsidRPr="004A669F" w:rsidRDefault="00093D0C" w:rsidP="00093D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2,375</w:t>
            </w:r>
          </w:p>
        </w:tc>
        <w:tc>
          <w:tcPr>
            <w:tcW w:w="1178" w:type="dxa"/>
          </w:tcPr>
          <w:p w:rsidR="00093D0C" w:rsidRPr="004A669F" w:rsidRDefault="00093D0C" w:rsidP="00093D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3,125</w:t>
            </w:r>
          </w:p>
        </w:tc>
      </w:tr>
    </w:tbl>
    <w:p w:rsidR="00883D4A" w:rsidRDefault="00883D4A" w:rsidP="00093D0C">
      <w:pPr>
        <w:tabs>
          <w:tab w:val="left" w:pos="567"/>
        </w:tabs>
        <w:spacing w:line="360" w:lineRule="auto"/>
        <w:rPr>
          <w:rFonts w:ascii="Times New Roman" w:hAnsi="Times New Roman" w:cs="Times New Roman"/>
        </w:rPr>
      </w:pPr>
    </w:p>
    <w:p w:rsidR="00093D0C" w:rsidRDefault="00093D0C" w:rsidP="00093D0C">
      <w:pPr>
        <w:tabs>
          <w:tab w:val="left" w:pos="567"/>
        </w:tabs>
        <w:spacing w:line="360" w:lineRule="auto"/>
        <w:jc w:val="both"/>
        <w:rPr>
          <w:rFonts w:ascii="Times New Roman" w:hAnsi="Times New Roman"/>
        </w:rPr>
      </w:pPr>
      <w:r>
        <w:rPr>
          <w:rFonts w:ascii="Times New Roman" w:hAnsi="Times New Roman" w:cs="Times New Roman"/>
        </w:rPr>
        <w:tab/>
      </w:r>
      <w:r w:rsidR="00F549D5" w:rsidRPr="00F549D5">
        <w:rPr>
          <w:rFonts w:ascii="Times New Roman" w:hAnsi="Times New Roman"/>
        </w:rPr>
        <w:t>Kitu žingsniu</w:t>
      </w:r>
      <w:r w:rsidRPr="00F549D5">
        <w:rPr>
          <w:rFonts w:ascii="Times New Roman" w:hAnsi="Times New Roman"/>
        </w:rPr>
        <w:t xml:space="preserve"> kiekviena alternatyva dauginama iš grupinio įverčio ir apskaičiuojama elementų suma</w:t>
      </w:r>
      <w:r w:rsidR="00F549D5" w:rsidRPr="00F549D5">
        <w:rPr>
          <w:rFonts w:ascii="Times New Roman" w:hAnsi="Times New Roman"/>
        </w:rPr>
        <w:t>. Po to</w:t>
      </w:r>
      <w:r w:rsidRPr="00F549D5">
        <w:rPr>
          <w:rFonts w:ascii="Times New Roman" w:hAnsi="Times New Roman"/>
        </w:rPr>
        <w:t xml:space="preserve"> </w:t>
      </w:r>
      <w:r w:rsidR="00F549D5" w:rsidRPr="00F549D5">
        <w:rPr>
          <w:rFonts w:ascii="Times New Roman" w:hAnsi="Times New Roman" w:cs="Times New Roman"/>
        </w:rPr>
        <w:t>grupiniai įverčiai dauginami iš pradinės matricos eilučių ir susumuojami. Gautas sumas padalinus iš prieš tai gautos elementų sumos gaunami nauji kompetencijos koeficiento įverčiai (Rudzkienė, 2008).</w:t>
      </w:r>
      <w:r w:rsidR="00F549D5">
        <w:rPr>
          <w:rFonts w:ascii="Times New Roman" w:hAnsi="Times New Roman" w:cs="Times New Roman"/>
          <w:i/>
        </w:rPr>
        <w:t xml:space="preserve"> </w:t>
      </w:r>
      <w:r w:rsidR="007303BE">
        <w:rPr>
          <w:rFonts w:ascii="Times New Roman" w:hAnsi="Times New Roman"/>
        </w:rPr>
        <w:t xml:space="preserve">Skaičiavimai atlikti naudojantis (7) </w:t>
      </w:r>
      <w:r w:rsidR="00F549D5">
        <w:rPr>
          <w:rFonts w:ascii="Times New Roman" w:hAnsi="Times New Roman"/>
        </w:rPr>
        <w:t>ir (8) formulėmis. Gauti skaičiavimų rezultatai pateikti 12 lentelėje.</w:t>
      </w:r>
    </w:p>
    <w:p w:rsidR="00A66ABA" w:rsidRDefault="00A66ABA" w:rsidP="007303BE">
      <w:pPr>
        <w:tabs>
          <w:tab w:val="left" w:pos="567"/>
        </w:tabs>
        <w:spacing w:line="360" w:lineRule="auto"/>
        <w:jc w:val="center"/>
        <w:rPr>
          <w:rFonts w:ascii="Times New Roman" w:hAnsi="Times New Roman"/>
          <w:b/>
        </w:rPr>
      </w:pPr>
    </w:p>
    <w:p w:rsidR="007303BE" w:rsidRPr="007303BE" w:rsidRDefault="007303BE" w:rsidP="00A66ABA">
      <w:pPr>
        <w:pStyle w:val="Lentels"/>
      </w:pPr>
      <w:bookmarkStart w:id="57" w:name="_Toc343459649"/>
      <w:r w:rsidRPr="007303BE">
        <w:t>12 lentelė. Apskaičiuota elementų suma</w:t>
      </w:r>
      <w:r w:rsidR="004A669F">
        <w:t>, kompetencijų įverčiai</w:t>
      </w:r>
      <w:bookmarkEnd w:id="57"/>
    </w:p>
    <w:tbl>
      <w:tblPr>
        <w:tblStyle w:val="LightShading-Accent5"/>
        <w:tblW w:w="0" w:type="auto"/>
        <w:jc w:val="center"/>
        <w:tblLook w:val="04A0" w:firstRow="1" w:lastRow="0" w:firstColumn="1" w:lastColumn="0" w:noHBand="0" w:noVBand="1"/>
      </w:tblPr>
      <w:tblGrid>
        <w:gridCol w:w="1068"/>
        <w:gridCol w:w="1068"/>
        <w:gridCol w:w="1033"/>
        <w:gridCol w:w="1102"/>
        <w:gridCol w:w="1136"/>
        <w:gridCol w:w="951"/>
        <w:gridCol w:w="951"/>
      </w:tblGrid>
      <w:tr w:rsidR="004A669F" w:rsidTr="00340498">
        <w:trPr>
          <w:cnfStyle w:val="100000000000" w:firstRow="1" w:lastRow="0" w:firstColumn="0" w:lastColumn="0" w:oddVBand="0" w:evenVBand="0" w:oddHBand="0" w:evenHBand="0" w:firstRowFirstColumn="0" w:firstRowLastColumn="0" w:lastRowFirstColumn="0" w:lastRowLastColumn="0"/>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4A669F" w:rsidRPr="004A669F" w:rsidRDefault="004A669F" w:rsidP="00F549D5">
            <w:pPr>
              <w:tabs>
                <w:tab w:val="left" w:pos="567"/>
              </w:tabs>
              <w:spacing w:line="360" w:lineRule="auto"/>
              <w:jc w:val="center"/>
              <w:rPr>
                <w:rFonts w:ascii="Times New Roman" w:hAnsi="Times New Roman" w:cs="Times New Roman"/>
                <w:sz w:val="22"/>
                <w:szCs w:val="22"/>
              </w:rPr>
            </w:pPr>
            <w:r w:rsidRPr="004A669F">
              <w:rPr>
                <w:rFonts w:ascii="Times New Roman" w:hAnsi="Times New Roman" w:cs="Times New Roman"/>
                <w:sz w:val="22"/>
                <w:szCs w:val="22"/>
              </w:rPr>
              <w:t>V1</w:t>
            </w:r>
          </w:p>
        </w:tc>
        <w:tc>
          <w:tcPr>
            <w:tcW w:w="1068" w:type="dxa"/>
          </w:tcPr>
          <w:p w:rsidR="004A669F" w:rsidRPr="004A669F" w:rsidRDefault="004A669F" w:rsidP="00F549D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V2</w:t>
            </w:r>
          </w:p>
        </w:tc>
        <w:tc>
          <w:tcPr>
            <w:tcW w:w="1033" w:type="dxa"/>
          </w:tcPr>
          <w:p w:rsidR="004A669F" w:rsidRPr="004A669F" w:rsidRDefault="004A669F" w:rsidP="00F549D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V3</w:t>
            </w:r>
          </w:p>
        </w:tc>
        <w:tc>
          <w:tcPr>
            <w:tcW w:w="1102" w:type="dxa"/>
          </w:tcPr>
          <w:p w:rsidR="004A669F" w:rsidRPr="004A669F" w:rsidRDefault="004A669F" w:rsidP="00F549D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V4</w:t>
            </w:r>
          </w:p>
        </w:tc>
        <w:tc>
          <w:tcPr>
            <w:tcW w:w="1136" w:type="dxa"/>
          </w:tcPr>
          <w:p w:rsidR="004A669F" w:rsidRPr="004A669F" w:rsidRDefault="004A669F" w:rsidP="00F549D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V5</w:t>
            </w:r>
          </w:p>
        </w:tc>
        <w:tc>
          <w:tcPr>
            <w:tcW w:w="951" w:type="dxa"/>
          </w:tcPr>
          <w:p w:rsidR="004A669F" w:rsidRPr="004A669F" w:rsidRDefault="004A669F" w:rsidP="00F549D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Suma</w:t>
            </w:r>
          </w:p>
        </w:tc>
        <w:tc>
          <w:tcPr>
            <w:tcW w:w="951" w:type="dxa"/>
          </w:tcPr>
          <w:p w:rsidR="004A669F" w:rsidRPr="004A669F" w:rsidRDefault="004A669F" w:rsidP="00F549D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vertAlign w:val="superscript"/>
              </w:rPr>
            </w:pPr>
            <w:r w:rsidRPr="004A669F">
              <w:rPr>
                <w:rFonts w:ascii="Times New Roman" w:hAnsi="Times New Roman" w:cs="Times New Roman"/>
                <w:sz w:val="22"/>
                <w:szCs w:val="22"/>
              </w:rPr>
              <w:t>K</w:t>
            </w:r>
            <w:r w:rsidRPr="004A669F">
              <w:rPr>
                <w:rFonts w:ascii="Times New Roman" w:hAnsi="Times New Roman" w:cs="Times New Roman"/>
                <w:sz w:val="22"/>
                <w:szCs w:val="22"/>
                <w:vertAlign w:val="superscript"/>
              </w:rPr>
              <w:t>t</w:t>
            </w:r>
          </w:p>
        </w:tc>
      </w:tr>
      <w:tr w:rsidR="004A669F" w:rsidTr="00340498">
        <w:trPr>
          <w:cnfStyle w:val="000000100000" w:firstRow="0" w:lastRow="0" w:firstColumn="0" w:lastColumn="0" w:oddVBand="0" w:evenVBand="0" w:oddHBand="1" w:evenHBand="0" w:firstRowFirstColumn="0" w:firstRowLastColumn="0" w:lastRowFirstColumn="0" w:lastRowLastColumn="0"/>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4A669F" w:rsidRPr="006B207B" w:rsidRDefault="004A669F" w:rsidP="00F549D5">
            <w:pPr>
              <w:spacing w:line="360" w:lineRule="auto"/>
              <w:jc w:val="center"/>
              <w:rPr>
                <w:rFonts w:ascii="Times New Roman" w:hAnsi="Times New Roman" w:cs="Times New Roman"/>
                <w:b w:val="0"/>
                <w:sz w:val="22"/>
                <w:szCs w:val="22"/>
              </w:rPr>
            </w:pPr>
            <w:r w:rsidRPr="006B207B">
              <w:rPr>
                <w:rFonts w:ascii="Times New Roman" w:hAnsi="Times New Roman" w:cs="Times New Roman"/>
                <w:b w:val="0"/>
                <w:sz w:val="22"/>
                <w:szCs w:val="22"/>
              </w:rPr>
              <w:t>14</w:t>
            </w:r>
          </w:p>
        </w:tc>
        <w:tc>
          <w:tcPr>
            <w:tcW w:w="1068" w:type="dxa"/>
          </w:tcPr>
          <w:p w:rsidR="004A669F" w:rsidRPr="004A669F" w:rsidRDefault="004A669F" w:rsidP="00F549D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22,5</w:t>
            </w:r>
          </w:p>
        </w:tc>
        <w:tc>
          <w:tcPr>
            <w:tcW w:w="1033" w:type="dxa"/>
          </w:tcPr>
          <w:p w:rsidR="004A669F" w:rsidRPr="004A669F" w:rsidRDefault="004A669F" w:rsidP="00F549D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1,5</w:t>
            </w:r>
          </w:p>
        </w:tc>
        <w:tc>
          <w:tcPr>
            <w:tcW w:w="1102" w:type="dxa"/>
          </w:tcPr>
          <w:p w:rsidR="004A669F" w:rsidRPr="004A669F" w:rsidRDefault="004A669F" w:rsidP="00F549D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4,75</w:t>
            </w:r>
          </w:p>
        </w:tc>
        <w:tc>
          <w:tcPr>
            <w:tcW w:w="1136" w:type="dxa"/>
          </w:tcPr>
          <w:p w:rsidR="004A669F" w:rsidRPr="004A669F" w:rsidRDefault="004A669F" w:rsidP="00F549D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14</w:t>
            </w:r>
          </w:p>
        </w:tc>
        <w:tc>
          <w:tcPr>
            <w:tcW w:w="951" w:type="dxa"/>
          </w:tcPr>
          <w:p w:rsidR="004A669F" w:rsidRPr="004A669F" w:rsidRDefault="004A669F" w:rsidP="004A66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52,125</w:t>
            </w:r>
          </w:p>
        </w:tc>
        <w:tc>
          <w:tcPr>
            <w:tcW w:w="951" w:type="dxa"/>
          </w:tcPr>
          <w:p w:rsidR="004A669F" w:rsidRPr="004A669F" w:rsidRDefault="004A669F" w:rsidP="004A66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0,130</w:t>
            </w:r>
          </w:p>
        </w:tc>
      </w:tr>
      <w:tr w:rsidR="004A669F" w:rsidTr="00340498">
        <w:trPr>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4A669F" w:rsidRPr="006B207B" w:rsidRDefault="004A669F" w:rsidP="00F549D5">
            <w:pPr>
              <w:spacing w:line="360" w:lineRule="auto"/>
              <w:jc w:val="center"/>
              <w:rPr>
                <w:rFonts w:ascii="Times New Roman" w:hAnsi="Times New Roman" w:cs="Times New Roman"/>
                <w:b w:val="0"/>
                <w:sz w:val="22"/>
                <w:szCs w:val="22"/>
              </w:rPr>
            </w:pPr>
            <w:r w:rsidRPr="006B207B">
              <w:rPr>
                <w:rFonts w:ascii="Times New Roman" w:hAnsi="Times New Roman" w:cs="Times New Roman"/>
                <w:b w:val="0"/>
                <w:sz w:val="22"/>
                <w:szCs w:val="22"/>
              </w:rPr>
              <w:t>17,5</w:t>
            </w:r>
          </w:p>
        </w:tc>
        <w:tc>
          <w:tcPr>
            <w:tcW w:w="1068" w:type="dxa"/>
          </w:tcPr>
          <w:p w:rsidR="004A669F" w:rsidRPr="004A669F" w:rsidRDefault="004A669F" w:rsidP="00F549D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18</w:t>
            </w:r>
          </w:p>
        </w:tc>
        <w:tc>
          <w:tcPr>
            <w:tcW w:w="1033" w:type="dxa"/>
          </w:tcPr>
          <w:p w:rsidR="004A669F" w:rsidRPr="004A669F" w:rsidRDefault="004A669F" w:rsidP="00F549D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1,5</w:t>
            </w:r>
          </w:p>
        </w:tc>
        <w:tc>
          <w:tcPr>
            <w:tcW w:w="1102" w:type="dxa"/>
          </w:tcPr>
          <w:p w:rsidR="004A669F" w:rsidRPr="004A669F" w:rsidRDefault="004A669F" w:rsidP="00F549D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4,75</w:t>
            </w:r>
          </w:p>
        </w:tc>
        <w:tc>
          <w:tcPr>
            <w:tcW w:w="1136" w:type="dxa"/>
          </w:tcPr>
          <w:p w:rsidR="004A669F" w:rsidRPr="004A669F" w:rsidRDefault="004A669F" w:rsidP="00F549D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17,5</w:t>
            </w:r>
          </w:p>
        </w:tc>
        <w:tc>
          <w:tcPr>
            <w:tcW w:w="951" w:type="dxa"/>
          </w:tcPr>
          <w:p w:rsidR="004A669F" w:rsidRPr="004A669F" w:rsidRDefault="004A669F" w:rsidP="004A66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51,125</w:t>
            </w:r>
          </w:p>
        </w:tc>
        <w:tc>
          <w:tcPr>
            <w:tcW w:w="951" w:type="dxa"/>
          </w:tcPr>
          <w:p w:rsidR="004A669F" w:rsidRPr="004A669F" w:rsidRDefault="004A669F" w:rsidP="004A66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4A669F">
              <w:rPr>
                <w:rFonts w:ascii="Times New Roman" w:hAnsi="Times New Roman" w:cs="Times New Roman"/>
                <w:sz w:val="22"/>
                <w:szCs w:val="22"/>
              </w:rPr>
              <w:t>0,127</w:t>
            </w:r>
          </w:p>
        </w:tc>
      </w:tr>
      <w:tr w:rsidR="006B207B" w:rsidRPr="009A7B7C" w:rsidTr="00BA2859">
        <w:trPr>
          <w:cnfStyle w:val="000000100000" w:firstRow="0" w:lastRow="0" w:firstColumn="0" w:lastColumn="0" w:oddVBand="0" w:evenVBand="0" w:oddHBand="1" w:evenHBand="0" w:firstRowFirstColumn="0" w:firstRowLastColumn="0" w:lastRowFirstColumn="0" w:lastRowLastColumn="0"/>
          <w:trHeight w:val="392"/>
          <w:jc w:val="center"/>
        </w:trPr>
        <w:tc>
          <w:tcPr>
            <w:cnfStyle w:val="001000000000" w:firstRow="0" w:lastRow="0" w:firstColumn="1" w:lastColumn="0" w:oddVBand="0" w:evenVBand="0" w:oddHBand="0" w:evenHBand="0" w:firstRowFirstColumn="0" w:firstRowLastColumn="0" w:lastRowFirstColumn="0" w:lastRowLastColumn="0"/>
            <w:tcW w:w="1068" w:type="dxa"/>
          </w:tcPr>
          <w:p w:rsidR="006B207B" w:rsidRPr="000C444E" w:rsidRDefault="006B207B" w:rsidP="00BA2859">
            <w:pPr>
              <w:tabs>
                <w:tab w:val="left" w:pos="567"/>
              </w:tabs>
              <w:spacing w:line="360" w:lineRule="auto"/>
              <w:jc w:val="center"/>
              <w:rPr>
                <w:rFonts w:ascii="Times New Roman" w:hAnsi="Times New Roman" w:cs="Times New Roman"/>
                <w:b w:val="0"/>
              </w:rPr>
            </w:pPr>
            <w:r w:rsidRPr="000C444E">
              <w:rPr>
                <w:rFonts w:ascii="Times New Roman" w:hAnsi="Times New Roman" w:cs="Times New Roman"/>
                <w:b w:val="0"/>
              </w:rPr>
              <w:t>14</w:t>
            </w:r>
          </w:p>
        </w:tc>
        <w:tc>
          <w:tcPr>
            <w:tcW w:w="1068" w:type="dxa"/>
          </w:tcPr>
          <w:p w:rsidR="006B207B" w:rsidRPr="000C444E"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C444E">
              <w:rPr>
                <w:rFonts w:ascii="Times New Roman" w:hAnsi="Times New Roman" w:cs="Times New Roman"/>
              </w:rPr>
              <w:t>22,5</w:t>
            </w:r>
          </w:p>
        </w:tc>
        <w:tc>
          <w:tcPr>
            <w:tcW w:w="1033" w:type="dxa"/>
          </w:tcPr>
          <w:p w:rsidR="006B207B" w:rsidRPr="000C444E"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C444E">
              <w:rPr>
                <w:rFonts w:ascii="Times New Roman" w:hAnsi="Times New Roman" w:cs="Times New Roman"/>
              </w:rPr>
              <w:t>1,5</w:t>
            </w:r>
          </w:p>
        </w:tc>
        <w:tc>
          <w:tcPr>
            <w:tcW w:w="1102" w:type="dxa"/>
          </w:tcPr>
          <w:p w:rsidR="006B207B" w:rsidRPr="000C444E"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C444E">
              <w:rPr>
                <w:rFonts w:ascii="Times New Roman" w:hAnsi="Times New Roman" w:cs="Times New Roman"/>
              </w:rPr>
              <w:t>4,75</w:t>
            </w:r>
          </w:p>
        </w:tc>
        <w:tc>
          <w:tcPr>
            <w:tcW w:w="1136" w:type="dxa"/>
          </w:tcPr>
          <w:p w:rsidR="006B207B" w:rsidRPr="000C444E"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C444E">
              <w:rPr>
                <w:rFonts w:ascii="Times New Roman" w:hAnsi="Times New Roman" w:cs="Times New Roman"/>
              </w:rPr>
              <w:t>14</w:t>
            </w:r>
          </w:p>
        </w:tc>
        <w:tc>
          <w:tcPr>
            <w:tcW w:w="951" w:type="dxa"/>
          </w:tcPr>
          <w:p w:rsidR="006B207B" w:rsidRPr="000C444E"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C444E">
              <w:rPr>
                <w:rFonts w:ascii="Times New Roman" w:hAnsi="Times New Roman" w:cs="Times New Roman"/>
              </w:rPr>
              <w:t>52,125</w:t>
            </w:r>
          </w:p>
        </w:tc>
        <w:tc>
          <w:tcPr>
            <w:tcW w:w="951" w:type="dxa"/>
          </w:tcPr>
          <w:p w:rsidR="006B207B" w:rsidRPr="000C444E"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C444E">
              <w:rPr>
                <w:rFonts w:ascii="Times New Roman" w:hAnsi="Times New Roman" w:cs="Times New Roman"/>
              </w:rPr>
              <w:t>0,130</w:t>
            </w:r>
          </w:p>
        </w:tc>
      </w:tr>
      <w:tr w:rsidR="006B207B" w:rsidRPr="009A7B7C" w:rsidTr="00BA2859">
        <w:trPr>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6B207B" w:rsidRPr="006B207B" w:rsidRDefault="006B207B" w:rsidP="00BA2859">
            <w:pPr>
              <w:tabs>
                <w:tab w:val="left" w:pos="567"/>
              </w:tabs>
              <w:spacing w:line="360" w:lineRule="auto"/>
              <w:jc w:val="center"/>
              <w:rPr>
                <w:rFonts w:ascii="Times New Roman" w:hAnsi="Times New Roman" w:cs="Times New Roman"/>
                <w:b w:val="0"/>
              </w:rPr>
            </w:pPr>
            <w:r w:rsidRPr="006B207B">
              <w:rPr>
                <w:rFonts w:ascii="Times New Roman" w:hAnsi="Times New Roman" w:cs="Times New Roman"/>
                <w:b w:val="0"/>
              </w:rPr>
              <w:t>7</w:t>
            </w:r>
          </w:p>
        </w:tc>
        <w:tc>
          <w:tcPr>
            <w:tcW w:w="1068"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22,5</w:t>
            </w:r>
          </w:p>
        </w:tc>
        <w:tc>
          <w:tcPr>
            <w:tcW w:w="1033"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1,5</w:t>
            </w:r>
          </w:p>
        </w:tc>
        <w:tc>
          <w:tcPr>
            <w:tcW w:w="1102"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7,125</w:t>
            </w:r>
          </w:p>
        </w:tc>
        <w:tc>
          <w:tcPr>
            <w:tcW w:w="1136"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7</w:t>
            </w:r>
          </w:p>
        </w:tc>
        <w:tc>
          <w:tcPr>
            <w:tcW w:w="951"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50,625</w:t>
            </w:r>
          </w:p>
        </w:tc>
        <w:tc>
          <w:tcPr>
            <w:tcW w:w="951"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0,126</w:t>
            </w:r>
          </w:p>
        </w:tc>
      </w:tr>
      <w:tr w:rsidR="006B207B" w:rsidRPr="009A7B7C" w:rsidTr="00BA2859">
        <w:trPr>
          <w:cnfStyle w:val="000000100000" w:firstRow="0" w:lastRow="0" w:firstColumn="0" w:lastColumn="0" w:oddVBand="0" w:evenVBand="0" w:oddHBand="1" w:evenHBand="0" w:firstRowFirstColumn="0" w:firstRowLastColumn="0" w:lastRowFirstColumn="0" w:lastRowLastColumn="0"/>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6B207B" w:rsidRPr="006B207B" w:rsidRDefault="006B207B" w:rsidP="00BA2859">
            <w:pPr>
              <w:tabs>
                <w:tab w:val="left" w:pos="567"/>
              </w:tabs>
              <w:spacing w:line="360" w:lineRule="auto"/>
              <w:jc w:val="center"/>
              <w:rPr>
                <w:rFonts w:ascii="Times New Roman" w:hAnsi="Times New Roman" w:cs="Times New Roman"/>
                <w:b w:val="0"/>
              </w:rPr>
            </w:pPr>
            <w:r w:rsidRPr="006B207B">
              <w:rPr>
                <w:rFonts w:ascii="Times New Roman" w:hAnsi="Times New Roman" w:cs="Times New Roman"/>
                <w:b w:val="0"/>
              </w:rPr>
              <w:t>14</w:t>
            </w:r>
          </w:p>
        </w:tc>
        <w:tc>
          <w:tcPr>
            <w:tcW w:w="1068"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22,5</w:t>
            </w:r>
          </w:p>
        </w:tc>
        <w:tc>
          <w:tcPr>
            <w:tcW w:w="1033"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1,5</w:t>
            </w:r>
          </w:p>
        </w:tc>
        <w:tc>
          <w:tcPr>
            <w:tcW w:w="1102"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4,75</w:t>
            </w:r>
          </w:p>
        </w:tc>
        <w:tc>
          <w:tcPr>
            <w:tcW w:w="1136"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14</w:t>
            </w:r>
          </w:p>
        </w:tc>
        <w:tc>
          <w:tcPr>
            <w:tcW w:w="951"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52,125</w:t>
            </w:r>
          </w:p>
        </w:tc>
        <w:tc>
          <w:tcPr>
            <w:tcW w:w="951"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0,130</w:t>
            </w:r>
          </w:p>
        </w:tc>
      </w:tr>
      <w:tr w:rsidR="006B207B" w:rsidRPr="009A7B7C" w:rsidTr="00BA2859">
        <w:trPr>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6B207B" w:rsidRPr="006B207B" w:rsidRDefault="006B207B" w:rsidP="00BA2859">
            <w:pPr>
              <w:tabs>
                <w:tab w:val="left" w:pos="567"/>
              </w:tabs>
              <w:spacing w:line="360" w:lineRule="auto"/>
              <w:jc w:val="center"/>
              <w:rPr>
                <w:rFonts w:ascii="Times New Roman" w:hAnsi="Times New Roman" w:cs="Times New Roman"/>
                <w:b w:val="0"/>
              </w:rPr>
            </w:pPr>
            <w:r w:rsidRPr="006B207B">
              <w:rPr>
                <w:rFonts w:ascii="Times New Roman" w:hAnsi="Times New Roman" w:cs="Times New Roman"/>
                <w:b w:val="0"/>
              </w:rPr>
              <w:t>3,5</w:t>
            </w:r>
          </w:p>
        </w:tc>
        <w:tc>
          <w:tcPr>
            <w:tcW w:w="1068"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9</w:t>
            </w:r>
          </w:p>
        </w:tc>
        <w:tc>
          <w:tcPr>
            <w:tcW w:w="1033"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7,5</w:t>
            </w:r>
          </w:p>
        </w:tc>
        <w:tc>
          <w:tcPr>
            <w:tcW w:w="1102"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9,5</w:t>
            </w:r>
          </w:p>
        </w:tc>
        <w:tc>
          <w:tcPr>
            <w:tcW w:w="1136"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3,5</w:t>
            </w:r>
          </w:p>
        </w:tc>
        <w:tc>
          <w:tcPr>
            <w:tcW w:w="951"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38,875</w:t>
            </w:r>
          </w:p>
        </w:tc>
        <w:tc>
          <w:tcPr>
            <w:tcW w:w="951"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0,097</w:t>
            </w:r>
          </w:p>
        </w:tc>
      </w:tr>
      <w:tr w:rsidR="006B207B" w:rsidRPr="009A7B7C" w:rsidTr="00BA2859">
        <w:trPr>
          <w:cnfStyle w:val="000000100000" w:firstRow="0" w:lastRow="0" w:firstColumn="0" w:lastColumn="0" w:oddVBand="0" w:evenVBand="0" w:oddHBand="1" w:evenHBand="0" w:firstRowFirstColumn="0" w:firstRowLastColumn="0" w:lastRowFirstColumn="0" w:lastRowLastColumn="0"/>
          <w:trHeight w:val="377"/>
          <w:jc w:val="center"/>
        </w:trPr>
        <w:tc>
          <w:tcPr>
            <w:cnfStyle w:val="001000000000" w:firstRow="0" w:lastRow="0" w:firstColumn="1" w:lastColumn="0" w:oddVBand="0" w:evenVBand="0" w:oddHBand="0" w:evenHBand="0" w:firstRowFirstColumn="0" w:firstRowLastColumn="0" w:lastRowFirstColumn="0" w:lastRowLastColumn="0"/>
            <w:tcW w:w="1068" w:type="dxa"/>
          </w:tcPr>
          <w:p w:rsidR="006B207B" w:rsidRPr="006B207B" w:rsidRDefault="006B207B" w:rsidP="00BA2859">
            <w:pPr>
              <w:tabs>
                <w:tab w:val="left" w:pos="567"/>
              </w:tabs>
              <w:spacing w:line="360" w:lineRule="auto"/>
              <w:jc w:val="center"/>
              <w:rPr>
                <w:rFonts w:ascii="Times New Roman" w:hAnsi="Times New Roman" w:cs="Times New Roman"/>
                <w:b w:val="0"/>
              </w:rPr>
            </w:pPr>
            <w:r w:rsidRPr="006B207B">
              <w:rPr>
                <w:rFonts w:ascii="Times New Roman" w:hAnsi="Times New Roman" w:cs="Times New Roman"/>
                <w:b w:val="0"/>
              </w:rPr>
              <w:t>14</w:t>
            </w:r>
          </w:p>
        </w:tc>
        <w:tc>
          <w:tcPr>
            <w:tcW w:w="1068"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22,5</w:t>
            </w:r>
          </w:p>
        </w:tc>
        <w:tc>
          <w:tcPr>
            <w:tcW w:w="1033"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1,5</w:t>
            </w:r>
          </w:p>
        </w:tc>
        <w:tc>
          <w:tcPr>
            <w:tcW w:w="1102"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4,75</w:t>
            </w:r>
          </w:p>
        </w:tc>
        <w:tc>
          <w:tcPr>
            <w:tcW w:w="1136"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14</w:t>
            </w:r>
          </w:p>
        </w:tc>
        <w:tc>
          <w:tcPr>
            <w:tcW w:w="951"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52,125</w:t>
            </w:r>
          </w:p>
        </w:tc>
        <w:tc>
          <w:tcPr>
            <w:tcW w:w="951" w:type="dxa"/>
          </w:tcPr>
          <w:p w:rsidR="006B207B" w:rsidRPr="009A7B7C" w:rsidRDefault="006B207B" w:rsidP="00BA2859">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0,130</w:t>
            </w:r>
          </w:p>
        </w:tc>
      </w:tr>
      <w:tr w:rsidR="006B207B" w:rsidRPr="009A7B7C" w:rsidTr="00BA2859">
        <w:trPr>
          <w:gridAfter w:val="2"/>
          <w:wAfter w:w="1902" w:type="dxa"/>
          <w:trHeight w:val="392"/>
          <w:jc w:val="center"/>
        </w:trPr>
        <w:tc>
          <w:tcPr>
            <w:cnfStyle w:val="001000000000" w:firstRow="0" w:lastRow="0" w:firstColumn="1" w:lastColumn="0" w:oddVBand="0" w:evenVBand="0" w:oddHBand="0" w:evenHBand="0" w:firstRowFirstColumn="0" w:firstRowLastColumn="0" w:lastRowFirstColumn="0" w:lastRowLastColumn="0"/>
            <w:tcW w:w="4271" w:type="dxa"/>
            <w:gridSpan w:val="4"/>
          </w:tcPr>
          <w:p w:rsidR="006B207B" w:rsidRPr="009A7B7C" w:rsidRDefault="006B207B" w:rsidP="00BA2859">
            <w:pPr>
              <w:tabs>
                <w:tab w:val="left" w:pos="567"/>
              </w:tabs>
              <w:spacing w:line="360" w:lineRule="auto"/>
              <w:jc w:val="right"/>
              <w:rPr>
                <w:rFonts w:ascii="Times New Roman" w:hAnsi="Times New Roman" w:cs="Times New Roman"/>
                <w:lang w:val="en-US"/>
              </w:rPr>
            </w:pPr>
            <w:r w:rsidRPr="009A7B7C">
              <w:rPr>
                <w:rFonts w:ascii="Times New Roman" w:hAnsi="Times New Roman" w:cs="Times New Roman"/>
              </w:rPr>
              <w:t>λ</w:t>
            </w:r>
            <w:r w:rsidRPr="009A7B7C">
              <w:rPr>
                <w:rFonts w:ascii="Times New Roman" w:hAnsi="Times New Roman" w:cs="Times New Roman"/>
                <w:lang w:val="en-US"/>
              </w:rPr>
              <w:t>=</w:t>
            </w:r>
          </w:p>
        </w:tc>
        <w:tc>
          <w:tcPr>
            <w:tcW w:w="1136" w:type="dxa"/>
          </w:tcPr>
          <w:p w:rsidR="006B207B" w:rsidRPr="009A7B7C" w:rsidRDefault="006B207B" w:rsidP="00BA2859">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A7B7C">
              <w:rPr>
                <w:rFonts w:ascii="Times New Roman" w:hAnsi="Times New Roman" w:cs="Times New Roman"/>
              </w:rPr>
              <w:t>401,25</w:t>
            </w:r>
          </w:p>
        </w:tc>
      </w:tr>
    </w:tbl>
    <w:p w:rsidR="006B207B" w:rsidRDefault="000C444E" w:rsidP="000C444E">
      <w:pPr>
        <w:tabs>
          <w:tab w:val="left" w:pos="567"/>
        </w:tabs>
        <w:spacing w:line="360" w:lineRule="auto"/>
        <w:ind w:firstLine="1276"/>
        <w:rPr>
          <w:rFonts w:ascii="Times New Roman" w:hAnsi="Times New Roman" w:cs="Times New Roman"/>
          <w:sz w:val="20"/>
          <w:szCs w:val="20"/>
        </w:rPr>
      </w:pPr>
      <w:r w:rsidRPr="000C444E">
        <w:rPr>
          <w:rFonts w:ascii="Times New Roman" w:hAnsi="Times New Roman" w:cs="Times New Roman"/>
          <w:b/>
          <w:sz w:val="20"/>
          <w:szCs w:val="20"/>
        </w:rPr>
        <w:t>Šaltinis:</w:t>
      </w:r>
      <w:r>
        <w:rPr>
          <w:rFonts w:ascii="Times New Roman" w:hAnsi="Times New Roman" w:cs="Times New Roman"/>
          <w:sz w:val="20"/>
          <w:szCs w:val="20"/>
        </w:rPr>
        <w:t xml:space="preserve"> sudaryta autoriaus</w:t>
      </w:r>
    </w:p>
    <w:p w:rsidR="000C444E" w:rsidRPr="000C444E" w:rsidRDefault="000C444E" w:rsidP="000C444E">
      <w:pPr>
        <w:tabs>
          <w:tab w:val="left" w:pos="567"/>
        </w:tabs>
        <w:spacing w:line="360" w:lineRule="auto"/>
        <w:ind w:firstLine="1276"/>
        <w:rPr>
          <w:rFonts w:ascii="Times New Roman" w:hAnsi="Times New Roman" w:cs="Times New Roman"/>
          <w:sz w:val="20"/>
          <w:szCs w:val="20"/>
        </w:rPr>
      </w:pPr>
    </w:p>
    <w:p w:rsidR="009A7B7C" w:rsidRDefault="006B207B" w:rsidP="001C2326">
      <w:pPr>
        <w:tabs>
          <w:tab w:val="left" w:pos="567"/>
        </w:tabs>
        <w:spacing w:line="360" w:lineRule="auto"/>
        <w:jc w:val="both"/>
        <w:rPr>
          <w:rFonts w:ascii="Times New Roman" w:hAnsi="Times New Roman" w:cs="Times New Roman"/>
        </w:rPr>
      </w:pPr>
      <w:r>
        <w:rPr>
          <w:rFonts w:ascii="Times New Roman" w:hAnsi="Times New Roman" w:cs="Times New Roman"/>
        </w:rPr>
        <w:tab/>
      </w:r>
      <w:r w:rsidR="009A7B7C">
        <w:rPr>
          <w:rFonts w:ascii="Times New Roman" w:hAnsi="Times New Roman" w:cs="Times New Roman"/>
        </w:rPr>
        <w:t xml:space="preserve">Galiausiai </w:t>
      </w:r>
      <w:r w:rsidR="001C2326">
        <w:rPr>
          <w:rFonts w:ascii="Times New Roman" w:hAnsi="Times New Roman" w:cs="Times New Roman"/>
        </w:rPr>
        <w:t>patikriname ar kompetencijos įverčių suma lygi vienetui juos sudėdami ir taip nustatome ar ekspertų nuomonės yra panašios:</w:t>
      </w:r>
    </w:p>
    <w:p w:rsidR="001C2326" w:rsidRDefault="001C2326" w:rsidP="001C2326">
      <w:pPr>
        <w:tabs>
          <w:tab w:val="left" w:pos="567"/>
        </w:tabs>
        <w:spacing w:line="360" w:lineRule="auto"/>
        <w:jc w:val="both"/>
        <w:rPr>
          <w:rFonts w:ascii="Times New Roman" w:hAnsi="Times New Roman" w:cs="Times New Roman"/>
        </w:rPr>
      </w:pPr>
    </w:p>
    <w:p w:rsidR="001C2326" w:rsidRDefault="001C2326" w:rsidP="001C2326">
      <w:pPr>
        <w:tabs>
          <w:tab w:val="left" w:pos="567"/>
        </w:tabs>
        <w:spacing w:line="360" w:lineRule="auto"/>
        <w:jc w:val="both"/>
        <w:rPr>
          <w:rFonts w:ascii="Times New Roman" w:hAnsi="Times New Roman" w:cs="Times New Roman"/>
          <w:lang w:val="en-US"/>
        </w:rPr>
      </w:pPr>
      <w:r>
        <w:rPr>
          <w:rFonts w:ascii="Times New Roman" w:hAnsi="Times New Roman" w:cs="Times New Roman"/>
        </w:rPr>
        <w:tab/>
        <w:t xml:space="preserve">0,130 + 0,127 + </w:t>
      </w:r>
      <w:r w:rsidR="009D768B">
        <w:rPr>
          <w:rFonts w:ascii="Times New Roman" w:hAnsi="Times New Roman" w:cs="Times New Roman"/>
        </w:rPr>
        <w:t>0,</w:t>
      </w:r>
      <w:r>
        <w:rPr>
          <w:rFonts w:ascii="Times New Roman" w:hAnsi="Times New Roman" w:cs="Times New Roman"/>
        </w:rPr>
        <w:t xml:space="preserve">130 + 0,126 + 0,130 + 0,097 + 0,130 </w:t>
      </w:r>
      <w:r>
        <w:rPr>
          <w:rFonts w:ascii="Times New Roman" w:hAnsi="Times New Roman" w:cs="Times New Roman"/>
          <w:lang w:val="en-US"/>
        </w:rPr>
        <w:t>= 1</w:t>
      </w:r>
    </w:p>
    <w:p w:rsidR="001C2326" w:rsidRPr="001C2326" w:rsidRDefault="001C2326" w:rsidP="001C2326">
      <w:pPr>
        <w:tabs>
          <w:tab w:val="left" w:pos="567"/>
        </w:tabs>
        <w:spacing w:line="360" w:lineRule="auto"/>
        <w:jc w:val="both"/>
        <w:rPr>
          <w:rFonts w:ascii="Times New Roman" w:hAnsi="Times New Roman" w:cs="Times New Roman"/>
        </w:rPr>
      </w:pPr>
    </w:p>
    <w:p w:rsidR="00CA1AE8" w:rsidRDefault="00650C6F" w:rsidP="001C2326">
      <w:pPr>
        <w:tabs>
          <w:tab w:val="left" w:pos="567"/>
        </w:tabs>
        <w:spacing w:line="360" w:lineRule="auto"/>
        <w:jc w:val="both"/>
        <w:rPr>
          <w:rFonts w:ascii="Times New Roman" w:hAnsi="Times New Roman" w:cs="Times New Roman"/>
        </w:rPr>
      </w:pPr>
      <w:r>
        <w:rPr>
          <w:rFonts w:ascii="Times New Roman" w:hAnsi="Times New Roman" w:cs="Times New Roman"/>
        </w:rPr>
        <w:tab/>
      </w:r>
      <w:r w:rsidR="00E622A7">
        <w:rPr>
          <w:rFonts w:ascii="Times New Roman" w:hAnsi="Times New Roman" w:cs="Times New Roman"/>
        </w:rPr>
        <w:t>Taigi g</w:t>
      </w:r>
      <w:r>
        <w:rPr>
          <w:rFonts w:ascii="Times New Roman" w:hAnsi="Times New Roman" w:cs="Times New Roman"/>
        </w:rPr>
        <w:t>auta lygybė vienetui parodo, kad nei vieno eksperto išskirti nereikia, visų nuomonė atitinka grupės nuomonę.</w:t>
      </w:r>
      <w:r w:rsidR="00E622A7">
        <w:rPr>
          <w:rFonts w:ascii="Times New Roman" w:hAnsi="Times New Roman" w:cs="Times New Roman"/>
        </w:rPr>
        <w:t xml:space="preserve"> </w:t>
      </w:r>
      <w:r w:rsidR="006F3F60">
        <w:rPr>
          <w:rFonts w:ascii="Times New Roman" w:hAnsi="Times New Roman" w:cs="Times New Roman"/>
        </w:rPr>
        <w:t>Be to, k</w:t>
      </w:r>
      <w:r w:rsidR="00CA1AE8">
        <w:rPr>
          <w:rFonts w:ascii="Times New Roman" w:hAnsi="Times New Roman" w:cs="Times New Roman"/>
        </w:rPr>
        <w:t xml:space="preserve">adangi </w:t>
      </w:r>
      <w:r w:rsidR="00E622A7">
        <w:rPr>
          <w:rFonts w:ascii="Times New Roman" w:hAnsi="Times New Roman" w:cs="Times New Roman"/>
        </w:rPr>
        <w:t xml:space="preserve">apskaičiavus konkordacijos koeficientą bei </w:t>
      </w:r>
      <w:r w:rsidR="006F3F60">
        <w:rPr>
          <w:rFonts w:ascii="Times New Roman" w:hAnsi="Times New Roman" w:cs="Times New Roman"/>
        </w:rPr>
        <w:t>atme</w:t>
      </w:r>
      <w:r w:rsidR="00E622A7">
        <w:rPr>
          <w:rFonts w:ascii="Times New Roman" w:hAnsi="Times New Roman" w:cs="Times New Roman"/>
        </w:rPr>
        <w:t xml:space="preserve">tus nulinę hipotezę buvo nustatyta, kad ekspertų nuomonės reikšmingai nesiskyrė, </w:t>
      </w:r>
      <w:r w:rsidR="006F3F60">
        <w:rPr>
          <w:rFonts w:ascii="Times New Roman" w:hAnsi="Times New Roman" w:cs="Times New Roman"/>
        </w:rPr>
        <w:t>todėl</w:t>
      </w:r>
      <w:r w:rsidR="00E622A7">
        <w:rPr>
          <w:rFonts w:ascii="Times New Roman" w:hAnsi="Times New Roman" w:cs="Times New Roman"/>
        </w:rPr>
        <w:t xml:space="preserve"> galime teigti, kad </w:t>
      </w:r>
      <w:r w:rsidR="00E622A7">
        <w:rPr>
          <w:rFonts w:ascii="Times New Roman" w:hAnsi="Times New Roman" w:cs="Times New Roman"/>
        </w:rPr>
        <w:lastRenderedPageBreak/>
        <w:t>ekspertų nuomonė</w:t>
      </w:r>
      <w:r w:rsidR="006F3F60">
        <w:rPr>
          <w:rFonts w:ascii="Times New Roman" w:hAnsi="Times New Roman" w:cs="Times New Roman"/>
        </w:rPr>
        <w:t>s yra suderinamos,</w:t>
      </w:r>
      <w:r w:rsidR="00CA1AE8">
        <w:rPr>
          <w:rFonts w:ascii="Times New Roman" w:hAnsi="Times New Roman" w:cs="Times New Roman"/>
        </w:rPr>
        <w:t xml:space="preserve"> tolimesnė anketos analizė yra tikslinga ir remiantis jos duomenimis galime pateikti apibendrintą ekspertų nuomonę.</w:t>
      </w:r>
    </w:p>
    <w:p w:rsidR="00CA1AE8" w:rsidRDefault="00CA1AE8" w:rsidP="001C2326">
      <w:pPr>
        <w:tabs>
          <w:tab w:val="left" w:pos="567"/>
        </w:tabs>
        <w:spacing w:line="360" w:lineRule="auto"/>
        <w:jc w:val="both"/>
        <w:rPr>
          <w:rFonts w:ascii="Times New Roman" w:hAnsi="Times New Roman" w:cs="Times New Roman"/>
        </w:rPr>
      </w:pPr>
      <w:r>
        <w:rPr>
          <w:rFonts w:ascii="Times New Roman" w:hAnsi="Times New Roman" w:cs="Times New Roman"/>
        </w:rPr>
        <w:tab/>
      </w:r>
      <w:r w:rsidR="00C21AE2">
        <w:rPr>
          <w:rFonts w:ascii="Times New Roman" w:hAnsi="Times New Roman" w:cs="Times New Roman"/>
        </w:rPr>
        <w:t xml:space="preserve">Vertinant atsakymus į antrą klausimą matome, kad ekspertų nuomone, lizingo </w:t>
      </w:r>
      <w:r w:rsidR="000C444E">
        <w:rPr>
          <w:rFonts w:ascii="Times New Roman" w:hAnsi="Times New Roman" w:cs="Times New Roman"/>
        </w:rPr>
        <w:t xml:space="preserve">rinka </w:t>
      </w:r>
      <w:r w:rsidR="00C21AE2">
        <w:rPr>
          <w:rFonts w:ascii="Times New Roman" w:hAnsi="Times New Roman" w:cs="Times New Roman"/>
        </w:rPr>
        <w:t>didžiausią teigiamą įtaką Lietuvos ekonomikai daro skatindama tolimesnes investicijas. Toks atsakymas patvirtina ir koreliacinės regresinės analizės rezultatus, kurie parodė vien</w:t>
      </w:r>
      <w:r w:rsidR="001C5B4E">
        <w:rPr>
          <w:rFonts w:ascii="Times New Roman" w:hAnsi="Times New Roman" w:cs="Times New Roman"/>
        </w:rPr>
        <w:t>ą iš stipriausių teigiamų ryšių tarp lizingo rinkos ir tiesioginių užsienio investicijų kitų nagrinėtų veiksnių kontekste. Antru svarbiausiu veiksniu liko greitesnis technologijų įsisavinimas, trečiu pardavimų apimties didinimas, tik ketvirtą užėmė daugelio užsienio autorių pabrėžtas kaip svarbiausias veiksnys šalių ekonomikoms – paprastesnis finansavimo suteikimas naujoms, mažoms įmonėms.</w:t>
      </w:r>
      <w:r w:rsidR="00C21AE2">
        <w:rPr>
          <w:rFonts w:ascii="Times New Roman" w:hAnsi="Times New Roman" w:cs="Times New Roman"/>
        </w:rPr>
        <w:t xml:space="preserve"> </w:t>
      </w:r>
      <w:r w:rsidR="001C5B4E">
        <w:rPr>
          <w:rFonts w:ascii="Times New Roman" w:hAnsi="Times New Roman" w:cs="Times New Roman"/>
        </w:rPr>
        <w:t xml:space="preserve">Ekspertų nuomone, Lietuvoje </w:t>
      </w:r>
      <w:r w:rsidR="00717056">
        <w:rPr>
          <w:rFonts w:ascii="Times New Roman" w:hAnsi="Times New Roman" w:cs="Times New Roman"/>
        </w:rPr>
        <w:t xml:space="preserve">naujoms, mažoms įmonėms lizingo </w:t>
      </w:r>
      <w:r w:rsidR="000C444E">
        <w:rPr>
          <w:rFonts w:ascii="Times New Roman" w:hAnsi="Times New Roman" w:cs="Times New Roman"/>
        </w:rPr>
        <w:t>rinka</w:t>
      </w:r>
      <w:r w:rsidR="00717056">
        <w:rPr>
          <w:rFonts w:ascii="Times New Roman" w:hAnsi="Times New Roman" w:cs="Times New Roman"/>
        </w:rPr>
        <w:t xml:space="preserve"> nėra tokia</w:t>
      </w:r>
      <w:r w:rsidR="001C5B4E">
        <w:rPr>
          <w:rFonts w:ascii="Times New Roman" w:hAnsi="Times New Roman" w:cs="Times New Roman"/>
        </w:rPr>
        <w:t xml:space="preserve"> reikšmi</w:t>
      </w:r>
      <w:r w:rsidR="00717056">
        <w:rPr>
          <w:rFonts w:ascii="Times New Roman" w:hAnsi="Times New Roman" w:cs="Times New Roman"/>
        </w:rPr>
        <w:t>nga</w:t>
      </w:r>
      <w:r w:rsidR="001C5B4E">
        <w:rPr>
          <w:rFonts w:ascii="Times New Roman" w:hAnsi="Times New Roman" w:cs="Times New Roman"/>
        </w:rPr>
        <w:t xml:space="preserve">, įmonės gali gauti finansavimą ir iš kitų šaltinių. Kaip mažiausiai svarbų veiksnį ekspertai nurodė naujų darbo vietų sukūrimą. </w:t>
      </w:r>
      <w:r w:rsidR="00817317">
        <w:rPr>
          <w:rFonts w:ascii="Times New Roman" w:hAnsi="Times New Roman" w:cs="Times New Roman"/>
        </w:rPr>
        <w:t xml:space="preserve">Kaip matome, ekspertai abejoja, kad lizingo rinkai plečiantis daugės naujų darbo vietų. Panašias tendencijas parodė ir koreliacinė regresinė analizė – ryšys analizuotų veiksnių kontekste tarp lizingo rinkos ir nedarbo lygio buvo silpniausias. </w:t>
      </w:r>
    </w:p>
    <w:p w:rsidR="00717056" w:rsidRDefault="00F55552" w:rsidP="001C2326">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Atakydami į </w:t>
      </w:r>
      <w:r w:rsidR="004B39D9">
        <w:rPr>
          <w:rFonts w:ascii="Times New Roman" w:hAnsi="Times New Roman" w:cs="Times New Roman"/>
        </w:rPr>
        <w:t>ketvirtą</w:t>
      </w:r>
      <w:r>
        <w:rPr>
          <w:rFonts w:ascii="Times New Roman" w:hAnsi="Times New Roman" w:cs="Times New Roman"/>
        </w:rPr>
        <w:t xml:space="preserve"> klausimą „Kaip Jūs vertinate, kuriam ekonominiam sektoriui Lietuvoje lizingas turi didžiausią įtaką?“ ekspertai buvo vieningi. Absoliučiai v</w:t>
      </w:r>
      <w:r w:rsidR="000C444E">
        <w:rPr>
          <w:rFonts w:ascii="Times New Roman" w:hAnsi="Times New Roman" w:cs="Times New Roman"/>
        </w:rPr>
        <w:t xml:space="preserve">isi mano, kad Lietuvoje lizingas </w:t>
      </w:r>
      <w:r>
        <w:rPr>
          <w:rFonts w:ascii="Times New Roman" w:hAnsi="Times New Roman" w:cs="Times New Roman"/>
        </w:rPr>
        <w:t>yra svarbiausia</w:t>
      </w:r>
      <w:r w:rsidR="000C444E">
        <w:rPr>
          <w:rFonts w:ascii="Times New Roman" w:hAnsi="Times New Roman" w:cs="Times New Roman"/>
        </w:rPr>
        <w:t>s</w:t>
      </w:r>
      <w:r>
        <w:rPr>
          <w:rFonts w:ascii="Times New Roman" w:hAnsi="Times New Roman" w:cs="Times New Roman"/>
        </w:rPr>
        <w:t xml:space="preserve"> transporto sektoriui. Tokie atsakymai dar kartą pabrėžia lizingo svarbą ekonomikai: </w:t>
      </w:r>
      <w:r w:rsidR="00D70A82">
        <w:rPr>
          <w:rFonts w:ascii="Times New Roman" w:hAnsi="Times New Roman" w:cs="Times New Roman"/>
        </w:rPr>
        <w:t xml:space="preserve">dažnai spaudoje įvairūs ekonomistai pabrėžia, kad būtent transporto sektorius yra vienas svarbiausių šalių ekonomikoms. Lietuvos Respublikos Susisiekimo Ministerija (2008) įvardija, kad transporto sektoriaus plėtra – dinamiško ekonominio augimo garantas. </w:t>
      </w:r>
      <w:r w:rsidR="00F77A38">
        <w:rPr>
          <w:rFonts w:ascii="Times New Roman" w:hAnsi="Times New Roman" w:cs="Times New Roman"/>
        </w:rPr>
        <w:t>Taigi l</w:t>
      </w:r>
      <w:r w:rsidR="00D70A82">
        <w:rPr>
          <w:rFonts w:ascii="Times New Roman" w:hAnsi="Times New Roman" w:cs="Times New Roman"/>
        </w:rPr>
        <w:t xml:space="preserve">izingo rinkos plėtra gali </w:t>
      </w:r>
      <w:r w:rsidR="00F77A38">
        <w:rPr>
          <w:rFonts w:ascii="Times New Roman" w:hAnsi="Times New Roman" w:cs="Times New Roman"/>
        </w:rPr>
        <w:t xml:space="preserve">ir netiesiogiai skatinti Lietuvos ekonomikos augimą, </w:t>
      </w:r>
      <w:r w:rsidR="004B39D9">
        <w:rPr>
          <w:rFonts w:ascii="Times New Roman" w:hAnsi="Times New Roman" w:cs="Times New Roman"/>
        </w:rPr>
        <w:t xml:space="preserve">turėdama ypač svarbią rolę transporto sektoriui, </w:t>
      </w:r>
      <w:r w:rsidR="00F77A38">
        <w:rPr>
          <w:rFonts w:ascii="Times New Roman" w:hAnsi="Times New Roman" w:cs="Times New Roman"/>
        </w:rPr>
        <w:t xml:space="preserve">padėdama </w:t>
      </w:r>
      <w:r w:rsidR="004B39D9">
        <w:rPr>
          <w:rFonts w:ascii="Times New Roman" w:hAnsi="Times New Roman" w:cs="Times New Roman"/>
        </w:rPr>
        <w:t>šiam</w:t>
      </w:r>
      <w:r w:rsidR="00F77A38">
        <w:rPr>
          <w:rFonts w:ascii="Times New Roman" w:hAnsi="Times New Roman" w:cs="Times New Roman"/>
        </w:rPr>
        <w:t xml:space="preserve"> sektoriui vystytis ir didėti. </w:t>
      </w:r>
    </w:p>
    <w:p w:rsidR="004B39D9" w:rsidRDefault="004B39D9" w:rsidP="001C2326">
      <w:pPr>
        <w:tabs>
          <w:tab w:val="left" w:pos="567"/>
        </w:tabs>
        <w:spacing w:line="360" w:lineRule="auto"/>
        <w:jc w:val="both"/>
        <w:rPr>
          <w:rFonts w:ascii="Times New Roman" w:hAnsi="Times New Roman" w:cs="Times New Roman"/>
        </w:rPr>
      </w:pPr>
      <w:r>
        <w:rPr>
          <w:rFonts w:ascii="Times New Roman" w:hAnsi="Times New Roman" w:cs="Times New Roman"/>
        </w:rPr>
        <w:tab/>
        <w:t>Šeštu ir septintu klausimu buvo siekiama išsiaiškinti ar</w:t>
      </w:r>
      <w:r w:rsidR="00511F58">
        <w:rPr>
          <w:rFonts w:ascii="Times New Roman" w:hAnsi="Times New Roman" w:cs="Times New Roman"/>
        </w:rPr>
        <w:t>,</w:t>
      </w:r>
      <w:r>
        <w:rPr>
          <w:rFonts w:ascii="Times New Roman" w:hAnsi="Times New Roman" w:cs="Times New Roman"/>
        </w:rPr>
        <w:t xml:space="preserve"> ekspertų nuomone</w:t>
      </w:r>
      <w:r w:rsidR="00511F58">
        <w:rPr>
          <w:rFonts w:ascii="Times New Roman" w:hAnsi="Times New Roman" w:cs="Times New Roman"/>
        </w:rPr>
        <w:t>,</w:t>
      </w:r>
      <w:r>
        <w:rPr>
          <w:rFonts w:ascii="Times New Roman" w:hAnsi="Times New Roman" w:cs="Times New Roman"/>
        </w:rPr>
        <w:t xml:space="preserve"> lizingo rinka Lietuvoje yra pilnai užpildyta</w:t>
      </w:r>
      <w:r w:rsidR="00511F58">
        <w:rPr>
          <w:rFonts w:ascii="Times New Roman" w:hAnsi="Times New Roman" w:cs="Times New Roman"/>
        </w:rPr>
        <w:t xml:space="preserve"> ir kokios galimybės būtų naujai įmonei lizingo bendrovei įžengti į šią rinką, ką reikėtų pasiūlyti </w:t>
      </w:r>
      <w:r w:rsidR="00EF75F6">
        <w:rPr>
          <w:rFonts w:ascii="Times New Roman" w:hAnsi="Times New Roman" w:cs="Times New Roman"/>
        </w:rPr>
        <w:t xml:space="preserve">vartotojams </w:t>
      </w:r>
      <w:r w:rsidR="00511F58">
        <w:rPr>
          <w:rFonts w:ascii="Times New Roman" w:hAnsi="Times New Roman" w:cs="Times New Roman"/>
        </w:rPr>
        <w:t>norint joje įsitvirtinti.</w:t>
      </w:r>
      <w:r>
        <w:rPr>
          <w:rFonts w:ascii="Times New Roman" w:hAnsi="Times New Roman" w:cs="Times New Roman"/>
        </w:rPr>
        <w:t xml:space="preserve"> </w:t>
      </w:r>
      <w:r w:rsidR="00475DE4">
        <w:rPr>
          <w:rFonts w:ascii="Times New Roman" w:hAnsi="Times New Roman" w:cs="Times New Roman"/>
        </w:rPr>
        <w:t xml:space="preserve">Dėl Lietuvos lizingo rinkos pilno užpildymo sunku pateikti aiškesnes išvadas: ekspertų nuomonės pasiskirstė po lygiai, keturi ekspertai mano, kad rinka yra pilnai užpildyta lizingo bendrovių skaičiumi, kiti keturi mano priešingai. Tačiau nepaisant to visi ekspertai pasiūlė priemones ką turi pateikti nauja lizingo bendrovė norėdama įsitvirtinti rinkoje. Nors klausimas buvo atviras, bet pasitaikė ekspertų nuomonių sutapimų. Ekspertų nuomone naujai lizingo bendrovei įsitvirtinti rinkoje padėtų pigūs piniginiai resursai kas savaime įtakotų pigesnį skolinimą klientams, taip pat </w:t>
      </w:r>
      <w:r w:rsidR="005E36C1">
        <w:rPr>
          <w:rFonts w:ascii="Times New Roman" w:hAnsi="Times New Roman" w:cs="Times New Roman"/>
        </w:rPr>
        <w:t>išskirtinių, kompleksinių lizingo produktų pasiūla bei operatyvumas, greitas finansavimo atsakymo pateikimas. Tokias priemones pasiūlė net po tris ekspertus.</w:t>
      </w:r>
      <w:r w:rsidR="00920A39">
        <w:rPr>
          <w:rFonts w:ascii="Times New Roman" w:hAnsi="Times New Roman" w:cs="Times New Roman"/>
        </w:rPr>
        <w:t xml:space="preserve"> Taip pat ekspertai pastebi, kad šiuo metu labai svarbus naujos įmonės patikimumas, jo po AB „Snoras“ bankroto ypač trūksta mažmeniniame lizingo sektoriuje.  Naujas „žaidėjas“ įžengęs į sektorių, parodęs savo patikimumą, galėtų nesunkiai šiame sektoriuje įsitvirtinti. </w:t>
      </w:r>
    </w:p>
    <w:p w:rsidR="00125AEF" w:rsidRDefault="00920A39" w:rsidP="001C2326">
      <w:pPr>
        <w:tabs>
          <w:tab w:val="left" w:pos="567"/>
        </w:tabs>
        <w:spacing w:line="360" w:lineRule="auto"/>
        <w:jc w:val="both"/>
        <w:rPr>
          <w:rFonts w:ascii="Times New Roman" w:hAnsi="Times New Roman" w:cs="Times New Roman"/>
        </w:rPr>
      </w:pPr>
      <w:r>
        <w:rPr>
          <w:rFonts w:ascii="Times New Roman" w:hAnsi="Times New Roman" w:cs="Times New Roman"/>
        </w:rPr>
        <w:lastRenderedPageBreak/>
        <w:tab/>
        <w:t>Aštuntas klausimas „Kokie, Jūsų nuomone, pagrindiniai sunkumai, su kuriais lizingo bendrovės susiduria plės</w:t>
      </w:r>
      <w:r w:rsidR="00C212E5">
        <w:rPr>
          <w:rFonts w:ascii="Times New Roman" w:hAnsi="Times New Roman" w:cs="Times New Roman"/>
        </w:rPr>
        <w:t>damos savo veiklą?“ buvo skirta</w:t>
      </w:r>
      <w:r>
        <w:rPr>
          <w:rFonts w:ascii="Times New Roman" w:hAnsi="Times New Roman" w:cs="Times New Roman"/>
        </w:rPr>
        <w:t xml:space="preserve">s išsiaiškinti </w:t>
      </w:r>
      <w:r w:rsidR="00C212E5">
        <w:rPr>
          <w:rFonts w:ascii="Times New Roman" w:hAnsi="Times New Roman" w:cs="Times New Roman"/>
        </w:rPr>
        <w:t xml:space="preserve">kokius pagrindinius trukdžius ekspertai įvardija kaip stabdančius </w:t>
      </w:r>
      <w:r>
        <w:rPr>
          <w:rFonts w:ascii="Times New Roman" w:hAnsi="Times New Roman" w:cs="Times New Roman"/>
        </w:rPr>
        <w:t xml:space="preserve">lizingo </w:t>
      </w:r>
      <w:r w:rsidR="00C212E5">
        <w:rPr>
          <w:rFonts w:ascii="Times New Roman" w:hAnsi="Times New Roman" w:cs="Times New Roman"/>
        </w:rPr>
        <w:t>bendrovių ir visos lizingo rinkos plėtrą. Net penki ekspertai sutartinai atsakė, kad pagrindinis sunkumas plečiant veiklą yra kitų lizingo bendrovių konkurencija. Ypač kai kalba eina apie konkuravimą „kaina“. Didžiųjų kompanijų lizingo mokesčių ypač palūkanų mažinimas, kartais protingai ne</w:t>
      </w:r>
      <w:r w:rsidR="00294CB0">
        <w:rPr>
          <w:rFonts w:ascii="Times New Roman" w:hAnsi="Times New Roman" w:cs="Times New Roman"/>
        </w:rPr>
        <w:t>įvertinant</w:t>
      </w:r>
      <w:r w:rsidR="00C212E5">
        <w:rPr>
          <w:rFonts w:ascii="Times New Roman" w:hAnsi="Times New Roman" w:cs="Times New Roman"/>
        </w:rPr>
        <w:t xml:space="preserve"> rinkos situacijos, mažesnėms lizingo bendrovėms sukelia sunkumų norint išlikti konkurencinėje kovoje</w:t>
      </w:r>
      <w:r w:rsidR="00125AEF">
        <w:rPr>
          <w:rFonts w:ascii="Times New Roman" w:hAnsi="Times New Roman" w:cs="Times New Roman"/>
        </w:rPr>
        <w:t>,</w:t>
      </w:r>
      <w:r w:rsidR="00C212E5">
        <w:rPr>
          <w:rFonts w:ascii="Times New Roman" w:hAnsi="Times New Roman" w:cs="Times New Roman"/>
        </w:rPr>
        <w:t xml:space="preserve"> norint išlaikyti esamus bei pritraukti naujų klientų.</w:t>
      </w:r>
      <w:r w:rsidR="00125AEF">
        <w:rPr>
          <w:rFonts w:ascii="Times New Roman" w:hAnsi="Times New Roman" w:cs="Times New Roman"/>
        </w:rPr>
        <w:t xml:space="preserve"> Trijų ekspertų nuomone lizingo rinkai plėstis neleidžia pati Lietuvos rinka, kuri yra nedidelė ir pakankamai rizikinga. Vienas iš ekspertų teigė, kad rinkos plėtrą stabdo Lietuvos Banko nustatytos lizingo suteikimo taisyklės, taip pat pasitaikė nuomonių, kad plėtrą stabdo ir prasti ateities lūkesčiai.</w:t>
      </w:r>
    </w:p>
    <w:p w:rsidR="004B39D9" w:rsidRDefault="00125AEF" w:rsidP="00C973AE">
      <w:pPr>
        <w:tabs>
          <w:tab w:val="left" w:pos="567"/>
        </w:tabs>
        <w:spacing w:line="360" w:lineRule="auto"/>
        <w:jc w:val="both"/>
        <w:rPr>
          <w:rFonts w:ascii="Times New Roman" w:hAnsi="Times New Roman" w:cs="Times New Roman"/>
        </w:rPr>
      </w:pPr>
      <w:r>
        <w:rPr>
          <w:rFonts w:ascii="Times New Roman" w:hAnsi="Times New Roman" w:cs="Times New Roman"/>
        </w:rPr>
        <w:tab/>
        <w:t xml:space="preserve">Galiausiai pereikime prie penkto ir devinto klausimų analizės. </w:t>
      </w:r>
      <w:r w:rsidR="00C973AE">
        <w:rPr>
          <w:rFonts w:ascii="Times New Roman" w:hAnsi="Times New Roman" w:cs="Times New Roman"/>
        </w:rPr>
        <w:t>Atsakymai į šiuos klausimus</w:t>
      </w:r>
      <w:r>
        <w:rPr>
          <w:rFonts w:ascii="Times New Roman" w:hAnsi="Times New Roman" w:cs="Times New Roman"/>
        </w:rPr>
        <w:t xml:space="preserve">, padės išsiaiškinti lizingo bendrovių atstovų nuomonę apie lizingo bendrovių plėtrą šiais metais bei lizingo rinkos perspektyvas ateinantiems metams. </w:t>
      </w:r>
      <w:r w:rsidR="00C973AE">
        <w:rPr>
          <w:rFonts w:ascii="Times New Roman" w:hAnsi="Times New Roman" w:cs="Times New Roman"/>
        </w:rPr>
        <w:t xml:space="preserve">Kaip jau išsiaiškinome, tikėtina, jeigu lizingo rinka plėsis, tai sulauksime ir šalies ekonominės būklės gerėjimo. </w:t>
      </w:r>
      <w:r w:rsidR="003E6C09">
        <w:rPr>
          <w:rFonts w:ascii="Times New Roman" w:hAnsi="Times New Roman" w:cs="Times New Roman"/>
        </w:rPr>
        <w:t>Kaip matysime perspektyvos yra pakankamai geros: k</w:t>
      </w:r>
      <w:r w:rsidR="003E6C09" w:rsidRPr="003E6C09">
        <w:rPr>
          <w:rFonts w:ascii="Times New Roman" w:hAnsi="Times New Roman" w:cs="Times New Roman"/>
        </w:rPr>
        <w:t>eturi ekspertai įsitikinę, kad jų įmonių lizingo portfelis auga</w:t>
      </w:r>
      <w:r w:rsidR="003E6C09">
        <w:rPr>
          <w:rFonts w:ascii="Times New Roman" w:hAnsi="Times New Roman" w:cs="Times New Roman"/>
        </w:rPr>
        <w:t xml:space="preserve">, </w:t>
      </w:r>
      <w:r w:rsidR="00C973AE">
        <w:rPr>
          <w:rFonts w:ascii="Times New Roman" w:hAnsi="Times New Roman" w:cs="Times New Roman"/>
        </w:rPr>
        <w:t>trys ekspertai teigia, kad lizingo portfelis nepakito</w:t>
      </w:r>
      <w:r w:rsidR="003E6C09">
        <w:rPr>
          <w:rFonts w:ascii="Times New Roman" w:hAnsi="Times New Roman" w:cs="Times New Roman"/>
        </w:rPr>
        <w:t xml:space="preserve"> ir tik v</w:t>
      </w:r>
      <w:r w:rsidR="003E6C09" w:rsidRPr="003E6C09">
        <w:rPr>
          <w:rFonts w:ascii="Times New Roman" w:hAnsi="Times New Roman" w:cs="Times New Roman"/>
        </w:rPr>
        <w:t>ienas iš ekspertų teigia, kad jo įmonės lizingo portfelis šiais metais ir toliau traukiasi</w:t>
      </w:r>
      <w:r w:rsidR="003E6C09">
        <w:rPr>
          <w:rFonts w:ascii="Times New Roman" w:hAnsi="Times New Roman" w:cs="Times New Roman"/>
        </w:rPr>
        <w:t>.</w:t>
      </w:r>
      <w:r w:rsidR="003E6C09" w:rsidRPr="003E6C09">
        <w:rPr>
          <w:rFonts w:ascii="Times New Roman" w:hAnsi="Times New Roman" w:cs="Times New Roman"/>
        </w:rPr>
        <w:t xml:space="preserve"> </w:t>
      </w:r>
      <w:r w:rsidR="00C973AE">
        <w:rPr>
          <w:rFonts w:ascii="Times New Roman" w:hAnsi="Times New Roman" w:cs="Times New Roman"/>
        </w:rPr>
        <w:t xml:space="preserve">Taip pat </w:t>
      </w:r>
      <w:r w:rsidR="003E6C09">
        <w:rPr>
          <w:rFonts w:ascii="Times New Roman" w:hAnsi="Times New Roman" w:cs="Times New Roman"/>
        </w:rPr>
        <w:t>ekspertų, kurių įmonėms šiais metais pavyko išauginti lizingo portfelį</w:t>
      </w:r>
      <w:r w:rsidR="00C973AE">
        <w:rPr>
          <w:rFonts w:ascii="Times New Roman" w:hAnsi="Times New Roman" w:cs="Times New Roman"/>
        </w:rPr>
        <w:t xml:space="preserve">, </w:t>
      </w:r>
      <w:r w:rsidR="003E6C09">
        <w:rPr>
          <w:rFonts w:ascii="Times New Roman" w:hAnsi="Times New Roman" w:cs="Times New Roman"/>
        </w:rPr>
        <w:t xml:space="preserve">buvo paprašyta </w:t>
      </w:r>
      <w:r w:rsidR="00672F87">
        <w:rPr>
          <w:rFonts w:ascii="Times New Roman" w:hAnsi="Times New Roman" w:cs="Times New Roman"/>
        </w:rPr>
        <w:t>įvardyti priemones, kuriomis</w:t>
      </w:r>
      <w:r w:rsidR="00C973AE">
        <w:rPr>
          <w:rFonts w:ascii="Times New Roman" w:hAnsi="Times New Roman" w:cs="Times New Roman"/>
        </w:rPr>
        <w:t xml:space="preserve"> </w:t>
      </w:r>
      <w:r w:rsidR="00672F87">
        <w:rPr>
          <w:rFonts w:ascii="Times New Roman" w:hAnsi="Times New Roman" w:cs="Times New Roman"/>
        </w:rPr>
        <w:t xml:space="preserve">tai </w:t>
      </w:r>
      <w:r w:rsidR="00C973AE">
        <w:rPr>
          <w:rFonts w:ascii="Times New Roman" w:hAnsi="Times New Roman" w:cs="Times New Roman"/>
        </w:rPr>
        <w:t>pavyko pasiekti.</w:t>
      </w:r>
      <w:r w:rsidR="003E6C09">
        <w:rPr>
          <w:rFonts w:ascii="Times New Roman" w:hAnsi="Times New Roman" w:cs="Times New Roman"/>
        </w:rPr>
        <w:t xml:space="preserve"> Įvardytos priemonės buvo pakankamai skirtingos – tai aktyvus lizingo paslaugų pardavimas, aiški lizingo įmonės plėtros strategija, pagerėjusi įmonių finansinė būklė, kas skatina skolinimąsi ir jų plėtrą bei geresnė pačių bankų situacija. Žvelgiant į perspektyvas ateinantiems metams lizingo bendrovių at</w:t>
      </w:r>
      <w:r w:rsidR="00294CB0">
        <w:rPr>
          <w:rFonts w:ascii="Times New Roman" w:hAnsi="Times New Roman" w:cs="Times New Roman"/>
        </w:rPr>
        <w:t xml:space="preserve">stovai mato </w:t>
      </w:r>
      <w:r w:rsidR="004F4C94">
        <w:rPr>
          <w:rFonts w:ascii="Times New Roman" w:hAnsi="Times New Roman" w:cs="Times New Roman"/>
        </w:rPr>
        <w:t>šviesią ateitį: net septyni ekspertai mano, kad jų atstovaujamų lizingo bendrovių portfelis augs, keturi iš jų yra įsitikinę portfelio didėjimu, jie pažymėjo atsakymą „tikrai taip“. Ir tik vienas ekspertas mano, kad jo įmonės lizingo portfelis trauksis.</w:t>
      </w:r>
      <w:r w:rsidR="00140849">
        <w:rPr>
          <w:rFonts w:ascii="Times New Roman" w:hAnsi="Times New Roman" w:cs="Times New Roman"/>
        </w:rPr>
        <w:t xml:space="preserve"> </w:t>
      </w:r>
      <w:r w:rsidR="00D71AFC">
        <w:rPr>
          <w:rFonts w:ascii="Times New Roman" w:hAnsi="Times New Roman" w:cs="Times New Roman"/>
        </w:rPr>
        <w:t xml:space="preserve">Tokia lizingo bendrovių atstovų nuomonė leidžia tikėtis, kad lizingo rinka augs ir </w:t>
      </w:r>
      <w:r w:rsidR="0044120F">
        <w:rPr>
          <w:rFonts w:ascii="Times New Roman" w:hAnsi="Times New Roman" w:cs="Times New Roman"/>
        </w:rPr>
        <w:t>gerins Lietuvos ekonominę būklę.</w:t>
      </w:r>
    </w:p>
    <w:p w:rsidR="004B5AF2" w:rsidRDefault="004B5AF2" w:rsidP="00C973AE">
      <w:pPr>
        <w:tabs>
          <w:tab w:val="left" w:pos="567"/>
        </w:tabs>
        <w:spacing w:line="360" w:lineRule="auto"/>
        <w:jc w:val="both"/>
        <w:rPr>
          <w:rFonts w:ascii="Times New Roman" w:hAnsi="Times New Roman" w:cs="Times New Roman"/>
        </w:rPr>
      </w:pPr>
    </w:p>
    <w:p w:rsidR="004B5AF2" w:rsidRDefault="004B5AF2" w:rsidP="004B5AF2">
      <w:pPr>
        <w:pStyle w:val="Heading2"/>
      </w:pPr>
      <w:bookmarkStart w:id="58" w:name="_Toc343517979"/>
      <w:r>
        <w:t>Lizingo rin</w:t>
      </w:r>
      <w:r w:rsidR="004B32E8">
        <w:t xml:space="preserve">kos įtakos Lietuvos ekonomikai </w:t>
      </w:r>
      <w:r>
        <w:t>vertinimas</w:t>
      </w:r>
      <w:bookmarkEnd w:id="58"/>
    </w:p>
    <w:p w:rsidR="004B5AF2" w:rsidRPr="004B5AF2" w:rsidRDefault="004B5AF2" w:rsidP="004B5AF2">
      <w:pPr>
        <w:ind w:left="360"/>
        <w:rPr>
          <w:rFonts w:ascii="Times New Roman" w:hAnsi="Times New Roman" w:cs="Times New Roman"/>
        </w:rPr>
      </w:pPr>
    </w:p>
    <w:p w:rsidR="00F549D5" w:rsidRDefault="00B83545" w:rsidP="00B83545">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t>Paskutini</w:t>
      </w:r>
      <w:r w:rsidR="009063C5">
        <w:rPr>
          <w:rFonts w:ascii="Times New Roman" w:hAnsi="Times New Roman" w:cs="Times New Roman"/>
        </w:rPr>
        <w:t>ame darbo</w:t>
      </w:r>
      <w:r>
        <w:rPr>
          <w:rFonts w:ascii="Times New Roman" w:hAnsi="Times New Roman" w:cs="Times New Roman"/>
        </w:rPr>
        <w:t xml:space="preserve"> poskyryje apžvelkime ką išsiaiškinome atlikdami lizingo rinkos įtakos Lietuvos ekonomikai </w:t>
      </w:r>
      <w:r w:rsidR="00104A41">
        <w:rPr>
          <w:rFonts w:ascii="Times New Roman" w:hAnsi="Times New Roman" w:cs="Times New Roman"/>
        </w:rPr>
        <w:t xml:space="preserve">vertinimo </w:t>
      </w:r>
      <w:r>
        <w:rPr>
          <w:rFonts w:ascii="Times New Roman" w:hAnsi="Times New Roman" w:cs="Times New Roman"/>
        </w:rPr>
        <w:t xml:space="preserve">tyrimą. </w:t>
      </w:r>
      <w:r w:rsidR="00DD5E92">
        <w:rPr>
          <w:rFonts w:ascii="Times New Roman" w:hAnsi="Times New Roman" w:cs="Times New Roman"/>
        </w:rPr>
        <w:t>Norint atlikti šį tyrimą antro skyriaus pirmame poskyryje</w:t>
      </w:r>
      <w:r>
        <w:rPr>
          <w:rFonts w:ascii="Times New Roman" w:hAnsi="Times New Roman" w:cs="Times New Roman"/>
        </w:rPr>
        <w:t xml:space="preserve"> buvo suformuotas teorinis modelis, kurio pagalba atlikome </w:t>
      </w:r>
      <w:r w:rsidR="00BD77EB">
        <w:rPr>
          <w:rFonts w:ascii="Times New Roman" w:hAnsi="Times New Roman" w:cs="Times New Roman"/>
        </w:rPr>
        <w:t>lizingo rinkos įtakos Lietuvos ekonomikai įvertinimą. Modelis buvo sudarytas išskiriant 3 etapus:</w:t>
      </w:r>
    </w:p>
    <w:p w:rsidR="00872F53" w:rsidRPr="00872F53" w:rsidRDefault="00104A41" w:rsidP="00872F53">
      <w:pPr>
        <w:pStyle w:val="ListParagraph"/>
        <w:numPr>
          <w:ilvl w:val="0"/>
          <w:numId w:val="35"/>
        </w:numPr>
        <w:tabs>
          <w:tab w:val="left" w:pos="567"/>
          <w:tab w:val="left" w:pos="930"/>
        </w:tabs>
        <w:spacing w:line="360" w:lineRule="auto"/>
        <w:jc w:val="both"/>
        <w:rPr>
          <w:rFonts w:ascii="Times New Roman" w:hAnsi="Times New Roman" w:cs="Times New Roman"/>
        </w:rPr>
      </w:pPr>
      <w:r>
        <w:rPr>
          <w:rFonts w:ascii="Times New Roman" w:hAnsi="Times New Roman" w:cs="Times New Roman"/>
        </w:rPr>
        <w:t>Įvertinamos</w:t>
      </w:r>
      <w:r w:rsidR="00BD77EB">
        <w:rPr>
          <w:rFonts w:ascii="Times New Roman" w:hAnsi="Times New Roman" w:cs="Times New Roman"/>
        </w:rPr>
        <w:t xml:space="preserve"> </w:t>
      </w:r>
      <w:r w:rsidR="00872F53">
        <w:rPr>
          <w:rFonts w:ascii="Times New Roman" w:hAnsi="Times New Roman" w:cs="Times New Roman"/>
        </w:rPr>
        <w:t xml:space="preserve">Lietuvos lizingo rinkos </w:t>
      </w:r>
      <w:r w:rsidR="00872F53" w:rsidRPr="00872F53">
        <w:rPr>
          <w:rFonts w:ascii="Times New Roman" w:hAnsi="Times New Roman" w:cs="Times New Roman"/>
        </w:rPr>
        <w:t>kitimo tendencijos</w:t>
      </w:r>
      <w:r w:rsidR="00872F53">
        <w:rPr>
          <w:rFonts w:ascii="Times New Roman" w:hAnsi="Times New Roman" w:cs="Times New Roman"/>
        </w:rPr>
        <w:t>, Lietuvos lizingo rinka palyginama su užsienio lizingo rinkomis.</w:t>
      </w:r>
    </w:p>
    <w:p w:rsidR="00BD77EB" w:rsidRDefault="00872F53" w:rsidP="00BD77EB">
      <w:pPr>
        <w:pStyle w:val="ListParagraph"/>
        <w:numPr>
          <w:ilvl w:val="0"/>
          <w:numId w:val="35"/>
        </w:numPr>
        <w:tabs>
          <w:tab w:val="left" w:pos="567"/>
          <w:tab w:val="left" w:pos="930"/>
        </w:tabs>
        <w:spacing w:line="360" w:lineRule="auto"/>
        <w:jc w:val="both"/>
        <w:rPr>
          <w:rFonts w:ascii="Times New Roman" w:hAnsi="Times New Roman" w:cs="Times New Roman"/>
        </w:rPr>
      </w:pPr>
      <w:r>
        <w:rPr>
          <w:rFonts w:ascii="Times New Roman" w:hAnsi="Times New Roman" w:cs="Times New Roman"/>
        </w:rPr>
        <w:lastRenderedPageBreak/>
        <w:t>Atliekama koreliacinė regresinė analizė tarp Lietuvos lizingo rinkos ir šalies bendrojo vidaus produkto, tiesioginių užsienio investicijų bei nedarbo lygio.</w:t>
      </w:r>
    </w:p>
    <w:p w:rsidR="00872F53" w:rsidRDefault="00872F53" w:rsidP="00BD77EB">
      <w:pPr>
        <w:pStyle w:val="ListParagraph"/>
        <w:numPr>
          <w:ilvl w:val="0"/>
          <w:numId w:val="35"/>
        </w:numPr>
        <w:tabs>
          <w:tab w:val="left" w:pos="567"/>
          <w:tab w:val="left" w:pos="930"/>
        </w:tabs>
        <w:spacing w:line="360" w:lineRule="auto"/>
        <w:jc w:val="both"/>
        <w:rPr>
          <w:rFonts w:ascii="Times New Roman" w:hAnsi="Times New Roman" w:cs="Times New Roman"/>
        </w:rPr>
      </w:pPr>
      <w:r>
        <w:rPr>
          <w:rFonts w:ascii="Times New Roman" w:hAnsi="Times New Roman" w:cs="Times New Roman"/>
        </w:rPr>
        <w:t xml:space="preserve">Atliekamas ekspertinis vertinimas siekiant išsiaiškinti ekspertų nuomonę apie lizingo rinkos įtaką Lietuvos ekonomikai, nustatyti pagrindines priežastis trukdančias lizingo rinkai plėstis bei </w:t>
      </w:r>
      <w:r w:rsidR="00DD5E92">
        <w:rPr>
          <w:rFonts w:ascii="Times New Roman" w:hAnsi="Times New Roman" w:cs="Times New Roman"/>
        </w:rPr>
        <w:t xml:space="preserve">įvertinti lizingo rinkos </w:t>
      </w:r>
      <w:r>
        <w:rPr>
          <w:rFonts w:ascii="Times New Roman" w:hAnsi="Times New Roman" w:cs="Times New Roman"/>
        </w:rPr>
        <w:t>plėtros galimybes.</w:t>
      </w:r>
    </w:p>
    <w:p w:rsidR="00CC0AB3" w:rsidRDefault="00D921DE" w:rsidP="00CC0AB3">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t xml:space="preserve">Lietuvos lizingo rinkos apžvalga parodė, kad 1998-2011 </w:t>
      </w:r>
      <w:r w:rsidR="00344193">
        <w:rPr>
          <w:rFonts w:ascii="Times New Roman" w:hAnsi="Times New Roman" w:cs="Times New Roman"/>
        </w:rPr>
        <w:t xml:space="preserve">m. </w:t>
      </w:r>
      <w:r>
        <w:rPr>
          <w:rFonts w:ascii="Times New Roman" w:hAnsi="Times New Roman" w:cs="Times New Roman"/>
        </w:rPr>
        <w:t xml:space="preserve">lizingo portfelis išaugo daugiau negu 8 kartus. Tačiau stebint paskutiniuosius metus, lizingo rinka tikrai išgyvena ne pačius geriausius laikus. Jeigu nuo 2000 iki 2008 metų tiek lizingo portfelis tiek naujai pasirašomų sutarčių vertė kasmet augo vidutiniškai net po 40 </w:t>
      </w:r>
      <w:r>
        <w:rPr>
          <w:rFonts w:ascii="Times New Roman" w:hAnsi="Times New Roman" w:cs="Times New Roman"/>
          <w:lang w:val="en-US"/>
        </w:rPr>
        <w:t>%</w:t>
      </w:r>
      <w:r>
        <w:rPr>
          <w:rFonts w:ascii="Times New Roman" w:hAnsi="Times New Roman" w:cs="Times New Roman"/>
        </w:rPr>
        <w:t xml:space="preserve">. </w:t>
      </w:r>
      <w:r w:rsidR="005D325A">
        <w:rPr>
          <w:rFonts w:ascii="Times New Roman" w:hAnsi="Times New Roman" w:cs="Times New Roman"/>
        </w:rPr>
        <w:t>Tai</w:t>
      </w:r>
      <w:r w:rsidR="005D325A" w:rsidRPr="005D325A">
        <w:rPr>
          <w:rFonts w:ascii="Times New Roman" w:hAnsi="Times New Roman" w:cs="Times New Roman"/>
        </w:rPr>
        <w:t xml:space="preserve"> 2009 m. </w:t>
      </w:r>
      <w:r w:rsidR="00CC0AB3" w:rsidRPr="00CC0AB3">
        <w:rPr>
          <w:rFonts w:ascii="Times New Roman" w:hAnsi="Times New Roman" w:cs="Times New Roman"/>
        </w:rPr>
        <w:t xml:space="preserve">bendras lizingo portfelis </w:t>
      </w:r>
      <w:r w:rsidR="005D325A" w:rsidRPr="005D325A">
        <w:rPr>
          <w:rFonts w:ascii="Times New Roman" w:hAnsi="Times New Roman" w:cs="Times New Roman"/>
        </w:rPr>
        <w:t xml:space="preserve">lyginant su 2008 m. smuko apie 30 </w:t>
      </w:r>
      <w:r w:rsidR="005D325A" w:rsidRPr="005D325A">
        <w:rPr>
          <w:rFonts w:ascii="Times New Roman" w:hAnsi="Times New Roman" w:cs="Times New Roman"/>
          <w:lang w:val="en-US"/>
        </w:rPr>
        <w:t>%</w:t>
      </w:r>
      <w:r w:rsidR="005D325A" w:rsidRPr="005D325A">
        <w:rPr>
          <w:rFonts w:ascii="Times New Roman" w:hAnsi="Times New Roman" w:cs="Times New Roman"/>
        </w:rPr>
        <w:t>, naujai pasirašomų sutarčių vertė sumažėjo daugiau nei 5 kartus.</w:t>
      </w:r>
      <w:r w:rsidR="005D325A">
        <w:rPr>
          <w:rFonts w:ascii="Times New Roman" w:hAnsi="Times New Roman" w:cs="Times New Roman"/>
        </w:rPr>
        <w:t xml:space="preserve"> </w:t>
      </w:r>
      <w:r>
        <w:rPr>
          <w:rFonts w:ascii="Times New Roman" w:hAnsi="Times New Roman" w:cs="Times New Roman"/>
        </w:rPr>
        <w:t xml:space="preserve">Tačiau po drastiško smukimo 2009 m., dabartinė situacija nuteikia </w:t>
      </w:r>
      <w:r w:rsidR="00CC0AB3">
        <w:rPr>
          <w:rFonts w:ascii="Times New Roman" w:hAnsi="Times New Roman" w:cs="Times New Roman"/>
        </w:rPr>
        <w:t xml:space="preserve">gana </w:t>
      </w:r>
      <w:r>
        <w:rPr>
          <w:rFonts w:ascii="Times New Roman" w:hAnsi="Times New Roman" w:cs="Times New Roman"/>
        </w:rPr>
        <w:t xml:space="preserve">optimistiškai. </w:t>
      </w:r>
      <w:r w:rsidR="00CC0AB3">
        <w:rPr>
          <w:rFonts w:ascii="Times New Roman" w:hAnsi="Times New Roman" w:cs="Times New Roman"/>
        </w:rPr>
        <w:t>Nors lizingo portfelis toliau traukiasi, bet n</w:t>
      </w:r>
      <w:r>
        <w:rPr>
          <w:rFonts w:ascii="Times New Roman" w:hAnsi="Times New Roman" w:cs="Times New Roman"/>
        </w:rPr>
        <w:t xml:space="preserve">aujai pasirašomų sutarčių vertė </w:t>
      </w:r>
      <w:r w:rsidR="00CC0AB3">
        <w:rPr>
          <w:rFonts w:ascii="Times New Roman" w:hAnsi="Times New Roman" w:cs="Times New Roman"/>
        </w:rPr>
        <w:t>nuo 2010 m. pradėjo stabiliai didėti. Taip pat stebint Lietuvos lizingo rinką galima pastebėti, kad joje vyraujantis lizingo</w:t>
      </w:r>
      <w:r w:rsidR="00344193">
        <w:rPr>
          <w:rFonts w:ascii="Times New Roman" w:hAnsi="Times New Roman" w:cs="Times New Roman"/>
        </w:rPr>
        <w:t xml:space="preserve"> tipas yra finansinis lizingas, a</w:t>
      </w:r>
      <w:r w:rsidR="00CC0AB3" w:rsidRPr="00CC0AB3">
        <w:rPr>
          <w:rFonts w:ascii="Times New Roman" w:hAnsi="Times New Roman" w:cs="Times New Roman"/>
        </w:rPr>
        <w:t>nalizuojant lizingo portfelio struktūrą, pastebėta, kad didžiausią dalį jame sudaro kelių transporto priemonių lizingas, nedaug atsilieka lengvųjų automobilių, pramoninės įrangos ir įrengimų lizingas. Žvelgiant į lizingo rinkos pasiskirstymą, pagal lizingo įmonių užimamą dalį, aiškus lyderiai „SEB lizingas“ ir „Swedbank“ grupės lizingo įmonės Lietuvoje.</w:t>
      </w:r>
      <w:r w:rsidR="00045482">
        <w:rPr>
          <w:rFonts w:ascii="Times New Roman" w:hAnsi="Times New Roman" w:cs="Times New Roman"/>
        </w:rPr>
        <w:t xml:space="preserve"> </w:t>
      </w:r>
    </w:p>
    <w:p w:rsidR="000D3F04" w:rsidRDefault="000D3F04" w:rsidP="000D3F04">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t xml:space="preserve">Lyginant Lietuvos lizingo rinką su užsienio lizingo rinkomis pastebėta, kad </w:t>
      </w:r>
      <w:r w:rsidRPr="000D3F04">
        <w:rPr>
          <w:rFonts w:ascii="Times New Roman" w:hAnsi="Times New Roman" w:cs="Times New Roman"/>
        </w:rPr>
        <w:t>Lietuva iki 2009 m. turėj</w:t>
      </w:r>
      <w:r>
        <w:rPr>
          <w:rFonts w:ascii="Times New Roman" w:hAnsi="Times New Roman" w:cs="Times New Roman"/>
        </w:rPr>
        <w:t xml:space="preserve">o </w:t>
      </w:r>
      <w:r w:rsidRPr="000D3F04">
        <w:rPr>
          <w:rFonts w:ascii="Times New Roman" w:hAnsi="Times New Roman" w:cs="Times New Roman"/>
        </w:rPr>
        <w:t>didžiausią liz</w:t>
      </w:r>
      <w:r>
        <w:rPr>
          <w:rFonts w:ascii="Times New Roman" w:hAnsi="Times New Roman" w:cs="Times New Roman"/>
        </w:rPr>
        <w:t>ingo portfelį bei pasirašydavo</w:t>
      </w:r>
      <w:r w:rsidRPr="000D3F04">
        <w:rPr>
          <w:rFonts w:ascii="Times New Roman" w:hAnsi="Times New Roman" w:cs="Times New Roman"/>
        </w:rPr>
        <w:t xml:space="preserve"> daugiausiai naujų sutarčių per metus lyginant su </w:t>
      </w:r>
      <w:r>
        <w:rPr>
          <w:rFonts w:ascii="Times New Roman" w:hAnsi="Times New Roman" w:cs="Times New Roman"/>
        </w:rPr>
        <w:t>kitomis Baltijos šalimis. Tačiau po 2009 m. lyderės pozicija buvo užleista, Lietuvą aplenkė Estija</w:t>
      </w:r>
      <w:r w:rsidRPr="000D3F04">
        <w:rPr>
          <w:rFonts w:ascii="Times New Roman" w:hAnsi="Times New Roman" w:cs="Times New Roman"/>
        </w:rPr>
        <w:t xml:space="preserve">, su Latvija skirtumas šiuo metu yra labai nedidelis. Visų Baltijos šalių lizingo portfelis traukiasi, bet teigiamai nuteikiantis veiksnys yra didėjanti naujai pasirašomų sutarčių vertė per metus. Lyginant </w:t>
      </w:r>
      <w:r>
        <w:rPr>
          <w:rFonts w:ascii="Times New Roman" w:hAnsi="Times New Roman" w:cs="Times New Roman"/>
        </w:rPr>
        <w:t>l</w:t>
      </w:r>
      <w:r w:rsidR="00D059FE">
        <w:rPr>
          <w:rFonts w:ascii="Times New Roman" w:hAnsi="Times New Roman" w:cs="Times New Roman"/>
        </w:rPr>
        <w:t>izingo rinkos paplitimo rodiklį t.</w:t>
      </w:r>
      <w:r w:rsidR="00742182">
        <w:rPr>
          <w:rFonts w:ascii="Times New Roman" w:hAnsi="Times New Roman" w:cs="Times New Roman"/>
        </w:rPr>
        <w:t xml:space="preserve"> </w:t>
      </w:r>
      <w:r w:rsidR="00D059FE">
        <w:rPr>
          <w:rFonts w:ascii="Times New Roman" w:hAnsi="Times New Roman" w:cs="Times New Roman"/>
        </w:rPr>
        <w:t xml:space="preserve">y. apskaičiuojant </w:t>
      </w:r>
      <w:r w:rsidR="00D059FE" w:rsidRPr="000D3F04">
        <w:rPr>
          <w:rFonts w:ascii="Times New Roman" w:hAnsi="Times New Roman" w:cs="Times New Roman"/>
        </w:rPr>
        <w:t>lizingo rinkos santykį su bendruoju šalies bendruoju vidaus produktu</w:t>
      </w:r>
      <w:r w:rsidRPr="000D3F04">
        <w:rPr>
          <w:rFonts w:ascii="Times New Roman" w:hAnsi="Times New Roman" w:cs="Times New Roman"/>
        </w:rPr>
        <w:t>, pastabėta, kad Lietuvoje šis santykis yra aukštas</w:t>
      </w:r>
      <w:r w:rsidR="00742182">
        <w:rPr>
          <w:rFonts w:ascii="Times New Roman" w:hAnsi="Times New Roman" w:cs="Times New Roman"/>
        </w:rPr>
        <w:t>.</w:t>
      </w:r>
      <w:r w:rsidRPr="000D3F04">
        <w:rPr>
          <w:rFonts w:ascii="Times New Roman" w:hAnsi="Times New Roman" w:cs="Times New Roman"/>
        </w:rPr>
        <w:t xml:space="preserve"> </w:t>
      </w:r>
      <w:r w:rsidR="00742182">
        <w:rPr>
          <w:rFonts w:ascii="Times New Roman" w:hAnsi="Times New Roman" w:cs="Times New Roman"/>
        </w:rPr>
        <w:t>Lyginant su valstybėmis, kurios 2010 m. pirmavo pasaulyje pagal naujai pasirašomų sutarčių vertę, tai antras didžiausias lizingo rinkos paplitimo rodiklis.</w:t>
      </w:r>
      <w:r w:rsidRPr="000D3F04">
        <w:rPr>
          <w:rFonts w:ascii="Times New Roman" w:hAnsi="Times New Roman" w:cs="Times New Roman"/>
        </w:rPr>
        <w:t xml:space="preserve"> </w:t>
      </w:r>
      <w:r w:rsidR="00742182">
        <w:rPr>
          <w:rFonts w:ascii="Times New Roman" w:hAnsi="Times New Roman" w:cs="Times New Roman"/>
        </w:rPr>
        <w:t xml:space="preserve">Šis </w:t>
      </w:r>
      <w:r w:rsidRPr="000D3F04">
        <w:rPr>
          <w:rFonts w:ascii="Times New Roman" w:hAnsi="Times New Roman" w:cs="Times New Roman"/>
        </w:rPr>
        <w:t xml:space="preserve">santykis rodo pakankamai didelę lizingo paslaugos reikšmę Lietuvos ekonomikai. </w:t>
      </w:r>
    </w:p>
    <w:p w:rsidR="00A4280D" w:rsidRDefault="0004005A" w:rsidP="000D3F04">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t xml:space="preserve">Atlikus Lietuvos lizingo rinkos </w:t>
      </w:r>
      <w:r w:rsidR="007B5328">
        <w:rPr>
          <w:rFonts w:ascii="Times New Roman" w:hAnsi="Times New Roman" w:cs="Times New Roman"/>
        </w:rPr>
        <w:t xml:space="preserve">apžvalgą bei palyginamąją </w:t>
      </w:r>
      <w:r>
        <w:rPr>
          <w:rFonts w:ascii="Times New Roman" w:hAnsi="Times New Roman" w:cs="Times New Roman"/>
        </w:rPr>
        <w:t>analizę buvo pereinama prie antro modelio etapo koreliacinės regresinės analizės</w:t>
      </w:r>
      <w:r w:rsidR="000639E1">
        <w:rPr>
          <w:rFonts w:ascii="Times New Roman" w:hAnsi="Times New Roman" w:cs="Times New Roman"/>
        </w:rPr>
        <w:t xml:space="preserve">. Buvo analizuojamas ryšys bei priklausomybė tarp lizingo rinkos ir bendrojo vidaus produkto, tiesioginių užsienio investicijų, nedarbo lygio ir atlikus analizę buvo vertinamos suformuluotos hipotezės. </w:t>
      </w:r>
    </w:p>
    <w:p w:rsidR="00507A36" w:rsidRPr="000D3F04" w:rsidRDefault="00A4280D" w:rsidP="000D3F04">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r>
      <w:r w:rsidR="000639E1">
        <w:rPr>
          <w:rFonts w:ascii="Times New Roman" w:hAnsi="Times New Roman" w:cs="Times New Roman"/>
        </w:rPr>
        <w:t xml:space="preserve">Vertinant lizingo rinkos ir BVP ryšį bei priklausomybę </w:t>
      </w:r>
      <w:r>
        <w:rPr>
          <w:rFonts w:ascii="Times New Roman" w:hAnsi="Times New Roman" w:cs="Times New Roman"/>
        </w:rPr>
        <w:t>apskaičiuoti koreliacijos koeficientai</w:t>
      </w:r>
      <w:r w:rsidR="000639E1">
        <w:rPr>
          <w:rFonts w:ascii="Times New Roman" w:hAnsi="Times New Roman" w:cs="Times New Roman"/>
        </w:rPr>
        <w:t xml:space="preserve"> bei</w:t>
      </w:r>
      <w:r>
        <w:rPr>
          <w:rFonts w:ascii="Times New Roman" w:hAnsi="Times New Roman" w:cs="Times New Roman"/>
        </w:rPr>
        <w:t xml:space="preserve"> determinacijos koeficientai bei sudaromos vienmatė ir daugiamatė regresijos lygtis.</w:t>
      </w:r>
      <w:r w:rsidR="000639E1">
        <w:rPr>
          <w:rFonts w:ascii="Times New Roman" w:hAnsi="Times New Roman" w:cs="Times New Roman"/>
        </w:rPr>
        <w:t xml:space="preserve"> </w:t>
      </w:r>
      <w:r>
        <w:rPr>
          <w:rFonts w:ascii="Times New Roman" w:hAnsi="Times New Roman" w:cs="Times New Roman"/>
        </w:rPr>
        <w:t>Atlikę koreliacinę ir vienmatę regresinę analizę nustatėme, k</w:t>
      </w:r>
      <w:r w:rsidR="000639E1">
        <w:rPr>
          <w:rFonts w:ascii="Times New Roman" w:hAnsi="Times New Roman" w:cs="Times New Roman"/>
        </w:rPr>
        <w:t xml:space="preserve">oreliacijos koeficientas </w:t>
      </w:r>
      <w:r w:rsidR="0050658C">
        <w:rPr>
          <w:rFonts w:ascii="Times New Roman" w:hAnsi="Times New Roman" w:cs="Times New Roman"/>
        </w:rPr>
        <w:t xml:space="preserve">siekia </w:t>
      </w:r>
      <w:r w:rsidR="000639E1">
        <w:rPr>
          <w:rFonts w:ascii="Times New Roman" w:hAnsi="Times New Roman" w:cs="Times New Roman"/>
        </w:rPr>
        <w:t>0,912</w:t>
      </w:r>
      <w:r w:rsidR="00783C59">
        <w:rPr>
          <w:rFonts w:ascii="Times New Roman" w:hAnsi="Times New Roman" w:cs="Times New Roman"/>
        </w:rPr>
        <w:t>,</w:t>
      </w:r>
      <w:r>
        <w:rPr>
          <w:rFonts w:ascii="Times New Roman" w:hAnsi="Times New Roman" w:cs="Times New Roman"/>
        </w:rPr>
        <w:t xml:space="preserve"> determinacijos koeficiento reikšmė - </w:t>
      </w:r>
      <w:r w:rsidR="000639E1">
        <w:rPr>
          <w:rFonts w:ascii="Times New Roman" w:hAnsi="Times New Roman" w:cs="Times New Roman"/>
        </w:rPr>
        <w:t xml:space="preserve">0,832. </w:t>
      </w:r>
      <w:r>
        <w:rPr>
          <w:rFonts w:ascii="Times New Roman" w:hAnsi="Times New Roman" w:cs="Times New Roman"/>
        </w:rPr>
        <w:t>Taigi</w:t>
      </w:r>
      <w:r w:rsidR="000639E1">
        <w:rPr>
          <w:rFonts w:ascii="Times New Roman" w:hAnsi="Times New Roman" w:cs="Times New Roman"/>
        </w:rPr>
        <w:t xml:space="preserve"> </w:t>
      </w:r>
      <w:r w:rsidR="0050658C">
        <w:rPr>
          <w:rFonts w:ascii="Times New Roman" w:hAnsi="Times New Roman" w:cs="Times New Roman"/>
        </w:rPr>
        <w:t>galima teigti, kad egzistuoja labai stiprus ryšys tarp lizingo rinkos</w:t>
      </w:r>
      <w:r w:rsidR="00783C59">
        <w:rPr>
          <w:rFonts w:ascii="Times New Roman" w:hAnsi="Times New Roman" w:cs="Times New Roman"/>
        </w:rPr>
        <w:t xml:space="preserve"> ir </w:t>
      </w:r>
      <w:r w:rsidR="00783C59">
        <w:rPr>
          <w:rFonts w:ascii="Times New Roman" w:hAnsi="Times New Roman" w:cs="Times New Roman"/>
        </w:rPr>
        <w:lastRenderedPageBreak/>
        <w:t>BVP</w:t>
      </w:r>
      <w:r w:rsidR="0050658C">
        <w:rPr>
          <w:rFonts w:ascii="Times New Roman" w:hAnsi="Times New Roman" w:cs="Times New Roman"/>
        </w:rPr>
        <w:t xml:space="preserve">, </w:t>
      </w:r>
      <w:r w:rsidR="000639E1">
        <w:rPr>
          <w:rFonts w:ascii="Times New Roman" w:hAnsi="Times New Roman" w:cs="Times New Roman"/>
        </w:rPr>
        <w:t xml:space="preserve">83,2 </w:t>
      </w:r>
      <w:r w:rsidR="000639E1">
        <w:rPr>
          <w:rFonts w:ascii="Times New Roman" w:hAnsi="Times New Roman" w:cs="Times New Roman"/>
          <w:lang w:val="en-US"/>
        </w:rPr>
        <w:t>%</w:t>
      </w:r>
      <w:r w:rsidR="000639E1">
        <w:rPr>
          <w:rFonts w:ascii="Times New Roman" w:hAnsi="Times New Roman" w:cs="Times New Roman"/>
        </w:rPr>
        <w:t xml:space="preserve"> BVP kitimo galime paaiškinti lizingo rinkos kitimu.</w:t>
      </w:r>
      <w:r w:rsidR="00783C59">
        <w:rPr>
          <w:rFonts w:ascii="Times New Roman" w:hAnsi="Times New Roman" w:cs="Times New Roman"/>
        </w:rPr>
        <w:t xml:space="preserve"> Atliekant daugiamatę regresinę analizę įvertinome kaip lizingo rinka įtakoja BVP atsižvelgiant į kitus – nedarbo lygį, tiesiogines užsienio investicijas – BVP veikiančius rodiklius. Atlikta analizė parodė, kad nedarbo lygis šiam modeliui netinka, jį teko atmesti. Atliekant tolimesnę analizę nustatyta, kad tarp likusių dviejų veiksnių reikšmingiau </w:t>
      </w:r>
      <w:r w:rsidR="00783C59">
        <w:rPr>
          <w:rFonts w:ascii="Times New Roman" w:eastAsiaTheme="minorHAnsi" w:hAnsi="Times New Roman" w:cs="Times New Roman"/>
          <w:color w:val="auto"/>
          <w:lang w:eastAsia="en-US"/>
        </w:rPr>
        <w:t xml:space="preserve">BVP įtakoja tiesioginės užsienio investicijos. </w:t>
      </w:r>
      <w:r w:rsidR="00C422A8">
        <w:rPr>
          <w:rFonts w:ascii="Times New Roman" w:eastAsiaTheme="minorHAnsi" w:hAnsi="Times New Roman" w:cs="Times New Roman"/>
          <w:color w:val="auto"/>
          <w:lang w:eastAsia="en-US"/>
        </w:rPr>
        <w:t>Atlikus tiek</w:t>
      </w:r>
      <w:r w:rsidR="00783C59">
        <w:rPr>
          <w:rFonts w:ascii="Times New Roman" w:eastAsiaTheme="minorHAnsi" w:hAnsi="Times New Roman" w:cs="Times New Roman"/>
          <w:color w:val="auto"/>
          <w:lang w:eastAsia="en-US"/>
        </w:rPr>
        <w:t xml:space="preserve"> vienmatę</w:t>
      </w:r>
      <w:r w:rsidR="00C422A8">
        <w:rPr>
          <w:rFonts w:ascii="Times New Roman" w:eastAsiaTheme="minorHAnsi" w:hAnsi="Times New Roman" w:cs="Times New Roman"/>
          <w:color w:val="auto"/>
          <w:lang w:eastAsia="en-US"/>
        </w:rPr>
        <w:t>,</w:t>
      </w:r>
      <w:r w:rsidR="00783C59">
        <w:rPr>
          <w:rFonts w:ascii="Times New Roman" w:eastAsiaTheme="minorHAnsi" w:hAnsi="Times New Roman" w:cs="Times New Roman"/>
          <w:color w:val="auto"/>
          <w:lang w:eastAsia="en-US"/>
        </w:rPr>
        <w:t xml:space="preserve"> tiek daugiamatę analizę, nustatyta, kad </w:t>
      </w:r>
      <w:r w:rsidR="00783C59">
        <w:rPr>
          <w:rFonts w:ascii="Times New Roman" w:hAnsi="Times New Roman" w:cs="Times New Roman"/>
        </w:rPr>
        <w:t>daugiamatė lygtis yra tikslesnė. Abi lygtys</w:t>
      </w:r>
      <w:r w:rsidR="00783C59" w:rsidRPr="00592168">
        <w:rPr>
          <w:rFonts w:ascii="Times New Roman" w:hAnsi="Times New Roman" w:cs="Times New Roman"/>
        </w:rPr>
        <w:t xml:space="preserve"> parodė, kad lizingo rinka teigiamai įtakoja šalies BVP kitimą</w:t>
      </w:r>
      <w:r w:rsidR="00783C59">
        <w:rPr>
          <w:rFonts w:ascii="Times New Roman" w:hAnsi="Times New Roman" w:cs="Times New Roman"/>
        </w:rPr>
        <w:t xml:space="preserve"> ir taip leido atmesti nulinę hipotezę ir pagrįstai </w:t>
      </w:r>
      <w:r w:rsidR="005E2EB2">
        <w:rPr>
          <w:rFonts w:ascii="Times New Roman" w:hAnsi="Times New Roman" w:cs="Times New Roman"/>
        </w:rPr>
        <w:t xml:space="preserve">priimti alternatyvią hipotezę: </w:t>
      </w:r>
    </w:p>
    <w:p w:rsidR="000D3F04" w:rsidRDefault="005E2EB2" w:rsidP="00CC0AB3">
      <w:pPr>
        <w:tabs>
          <w:tab w:val="left" w:pos="567"/>
          <w:tab w:val="left" w:pos="930"/>
        </w:tabs>
        <w:spacing w:line="360" w:lineRule="auto"/>
        <w:jc w:val="both"/>
        <w:rPr>
          <w:rFonts w:ascii="Times New Roman" w:hAnsi="Times New Roman" w:cs="Times New Roman"/>
          <w:i/>
        </w:rPr>
      </w:pPr>
      <w:r>
        <w:rPr>
          <w:rFonts w:ascii="Times New Roman" w:hAnsi="Times New Roman" w:cs="Times New Roman"/>
          <w:i/>
        </w:rPr>
        <w:t>„Lizingo rinkos didėjimas Lietuvoje teigiamai veikia bendrojo vidaus produkto kiekį šalyje“.</w:t>
      </w:r>
    </w:p>
    <w:p w:rsidR="00C422A8" w:rsidRDefault="00C422A8" w:rsidP="00CC0AB3">
      <w:pPr>
        <w:tabs>
          <w:tab w:val="left" w:pos="567"/>
          <w:tab w:val="left" w:pos="930"/>
        </w:tabs>
        <w:spacing w:line="360" w:lineRule="auto"/>
        <w:jc w:val="both"/>
        <w:rPr>
          <w:rFonts w:ascii="Times New Roman" w:hAnsi="Times New Roman" w:cs="Times New Roman"/>
          <w:i/>
        </w:rPr>
      </w:pPr>
      <w:r>
        <w:rPr>
          <w:rFonts w:ascii="Times New Roman" w:hAnsi="Times New Roman" w:cs="Times New Roman"/>
        </w:rPr>
        <w:tab/>
        <w:t xml:space="preserve">Atlikta lizingo rinkos ir tiesioginių užsienio investicijų ryšio ir priklausomybės analizė parodė, kad tarp šių veiksnių egzistuoja stiprus teigiamas ryšys (koreliacijos koeficientas 0,871). Determinacijos koeficientas siekia 0,759, pakankamai aukšta determinacijos koeficiento reikšmė leidžia teigti, kad 75,9 </w:t>
      </w:r>
      <w:r>
        <w:rPr>
          <w:rFonts w:ascii="Times New Roman" w:hAnsi="Times New Roman" w:cs="Times New Roman"/>
          <w:lang w:val="en-US"/>
        </w:rPr>
        <w:t>%</w:t>
      </w:r>
      <w:r>
        <w:rPr>
          <w:rFonts w:ascii="Times New Roman" w:hAnsi="Times New Roman" w:cs="Times New Roman"/>
        </w:rPr>
        <w:t xml:space="preserve"> tiesioginių užsienio investicijų kitimo galime paaiškinti lizingo portfelio dydžio kitimu. Remiantis gautais rezultatais galime teigti, kad „</w:t>
      </w:r>
      <w:r>
        <w:rPr>
          <w:rFonts w:ascii="Times New Roman" w:hAnsi="Times New Roman" w:cs="Times New Roman"/>
          <w:i/>
        </w:rPr>
        <w:t>Lizingo rinkos didėjimas Lietuvoje teigiamai veikia tiesioginių užsienio investicijų kiekį šalyje“.</w:t>
      </w:r>
    </w:p>
    <w:p w:rsidR="00C422A8" w:rsidRDefault="00C422A8" w:rsidP="00CC0AB3">
      <w:pPr>
        <w:tabs>
          <w:tab w:val="left" w:pos="567"/>
          <w:tab w:val="left" w:pos="930"/>
        </w:tabs>
        <w:spacing w:line="360" w:lineRule="auto"/>
        <w:jc w:val="both"/>
        <w:rPr>
          <w:rFonts w:ascii="Times New Roman" w:hAnsi="Times New Roman" w:cs="Times New Roman"/>
          <w:i/>
        </w:rPr>
      </w:pPr>
      <w:r>
        <w:rPr>
          <w:rFonts w:ascii="Times New Roman" w:hAnsi="Times New Roman" w:cs="Times New Roman"/>
        </w:rPr>
        <w:tab/>
        <w:t xml:space="preserve">Vertinant lizingo rinkos ir nedarbo lygio ryšį ir priklausomybę </w:t>
      </w:r>
      <w:r w:rsidR="002F176C">
        <w:rPr>
          <w:rFonts w:ascii="Times New Roman" w:hAnsi="Times New Roman" w:cs="Times New Roman"/>
        </w:rPr>
        <w:t xml:space="preserve">gautas neigiamas </w:t>
      </w:r>
      <w:r w:rsidR="002F176C" w:rsidRPr="002F176C">
        <w:rPr>
          <w:rFonts w:ascii="Times New Roman" w:hAnsi="Times New Roman" w:cs="Times New Roman"/>
        </w:rPr>
        <w:t xml:space="preserve">koreliacijos koeficientas </w:t>
      </w:r>
      <w:r w:rsidR="002F176C">
        <w:rPr>
          <w:rFonts w:ascii="Times New Roman" w:hAnsi="Times New Roman" w:cs="Times New Roman"/>
        </w:rPr>
        <w:t xml:space="preserve"> - </w:t>
      </w:r>
      <w:r w:rsidR="002F176C" w:rsidRPr="002F176C">
        <w:rPr>
          <w:rFonts w:ascii="Times New Roman" w:hAnsi="Times New Roman" w:cs="Times New Roman"/>
        </w:rPr>
        <w:t>0,704. Tai reiškia, kad didėjant lizingo portfeliui nedarbo lygis mažėja ir atvirkščiai.</w:t>
      </w:r>
      <w:r w:rsidR="002F176C">
        <w:rPr>
          <w:rFonts w:ascii="Times New Roman" w:hAnsi="Times New Roman" w:cs="Times New Roman"/>
        </w:rPr>
        <w:t xml:space="preserve"> Determinacijos koeficientas siekė 0,496. </w:t>
      </w:r>
      <w:r w:rsidR="002F176C" w:rsidRPr="002F176C">
        <w:rPr>
          <w:rFonts w:ascii="Times New Roman" w:hAnsi="Times New Roman" w:cs="Times New Roman"/>
        </w:rPr>
        <w:t>Reikšmė yra pakankamai nedidelė, bet kaip rašyta metodinėje medžiagoje, pakankama norint patvirtinti lygtį.</w:t>
      </w:r>
      <w:r w:rsidR="002F176C">
        <w:rPr>
          <w:rFonts w:ascii="Times New Roman" w:hAnsi="Times New Roman" w:cs="Times New Roman"/>
        </w:rPr>
        <w:t xml:space="preserve"> Svarbu pastabėti, kad tiek koreliacijos, tiek determinacijos koeficientų reikšmės tarp visų analizuotų veiksnių mažiausios. Todėl lizingo rinkos įtaka nagrinėtų veiksnių kontekste nedarbo lygiui yra mažiausia. Nors </w:t>
      </w:r>
      <w:r w:rsidR="006808A7">
        <w:rPr>
          <w:rFonts w:ascii="Times New Roman" w:hAnsi="Times New Roman" w:cs="Times New Roman"/>
        </w:rPr>
        <w:t>įtaka ir mažiausia, tačiau remiantis gautais rezultatais galime patvirtinti alternatyvią hipotezę: „</w:t>
      </w:r>
      <w:r w:rsidR="006808A7">
        <w:rPr>
          <w:rFonts w:ascii="Times New Roman" w:hAnsi="Times New Roman" w:cs="Times New Roman"/>
          <w:i/>
        </w:rPr>
        <w:t>Lizingo rinkos didėjimas Lietuvoje mažina nedarbo lygį šalyje“.</w:t>
      </w:r>
    </w:p>
    <w:p w:rsidR="00EC22EE" w:rsidRDefault="006808A7" w:rsidP="00EC22EE">
      <w:pPr>
        <w:tabs>
          <w:tab w:val="left" w:pos="567"/>
        </w:tabs>
        <w:spacing w:line="360" w:lineRule="auto"/>
        <w:jc w:val="both"/>
        <w:rPr>
          <w:rFonts w:ascii="Times New Roman" w:hAnsi="Times New Roman" w:cs="Times New Roman"/>
        </w:rPr>
      </w:pPr>
      <w:r>
        <w:rPr>
          <w:rFonts w:ascii="Times New Roman" w:hAnsi="Times New Roman" w:cs="Times New Roman"/>
        </w:rPr>
        <w:tab/>
        <w:t xml:space="preserve">Atlikus koreliacinę regresinę analizę </w:t>
      </w:r>
      <w:r w:rsidR="00FC47D4">
        <w:rPr>
          <w:rFonts w:ascii="Times New Roman" w:hAnsi="Times New Roman" w:cs="Times New Roman"/>
        </w:rPr>
        <w:t xml:space="preserve">buvo </w:t>
      </w:r>
      <w:r>
        <w:rPr>
          <w:rFonts w:ascii="Times New Roman" w:hAnsi="Times New Roman" w:cs="Times New Roman"/>
        </w:rPr>
        <w:t xml:space="preserve">pereinama prie paskutinio sudaryto modelio etapo – buvo atliktas ekspertinis vertinimas. Šis etapas buvo skirtas </w:t>
      </w:r>
      <w:r w:rsidR="00FC47D4">
        <w:rPr>
          <w:rFonts w:ascii="Times New Roman" w:hAnsi="Times New Roman" w:cs="Times New Roman"/>
        </w:rPr>
        <w:t>remiantis ekspertų nuomone</w:t>
      </w:r>
      <w:r>
        <w:rPr>
          <w:rFonts w:ascii="Times New Roman" w:hAnsi="Times New Roman" w:cs="Times New Roman"/>
        </w:rPr>
        <w:t xml:space="preserve"> patvirtinti prieš tai gautu</w:t>
      </w:r>
      <w:r w:rsidR="00FC47D4">
        <w:rPr>
          <w:rFonts w:ascii="Times New Roman" w:hAnsi="Times New Roman" w:cs="Times New Roman"/>
        </w:rPr>
        <w:t xml:space="preserve">s rezultatus arba juos paneigti. Taip pat šis metodas turėjo padėti nustatyti pagrindinius trukdžius lizingo rinkai plėstis bei įvertinti ateities perspektyvas. Ekspertinio vertinimo rezultatai parodė, kad, ekspertų nuomone, lizingo </w:t>
      </w:r>
      <w:r w:rsidR="00104A41">
        <w:rPr>
          <w:rFonts w:ascii="Times New Roman" w:hAnsi="Times New Roman" w:cs="Times New Roman"/>
        </w:rPr>
        <w:t>rinka ir jos plėtra</w:t>
      </w:r>
      <w:r w:rsidR="00FC47D4">
        <w:rPr>
          <w:rFonts w:ascii="Times New Roman" w:hAnsi="Times New Roman" w:cs="Times New Roman"/>
        </w:rPr>
        <w:t xml:space="preserve"> daro teigiamą įtaką Lietuvos ekonomikai. Lizingo </w:t>
      </w:r>
      <w:r w:rsidR="00104A41">
        <w:rPr>
          <w:rFonts w:ascii="Times New Roman" w:hAnsi="Times New Roman" w:cs="Times New Roman"/>
        </w:rPr>
        <w:t>rinka</w:t>
      </w:r>
      <w:r w:rsidR="00FC47D4">
        <w:rPr>
          <w:rFonts w:ascii="Times New Roman" w:hAnsi="Times New Roman" w:cs="Times New Roman"/>
        </w:rPr>
        <w:t xml:space="preserve"> didžiausią teigiamą įtaką Lietuvos ekonomikai daro skatindama tolimesnes investicijas bei greitesnį technologijų įsisavinimą, Kaip mažiausiai svarbus veiksnys nurodytas naujų darbo vietų sukūrimas. Tokia ekspertų nuomonė patvirtino ir koreliacinės regresinės analizės išvadas, nustatyta, kad lizingas daro teigiamą įtaką Lietuvos ekonomikai bei silpniausias veiksnys abiejų metodų atveju – naujų darbo vietų sukūrimas arba kitaip nedarbo lygio mažinimas. </w:t>
      </w:r>
      <w:r w:rsidR="00797291">
        <w:rPr>
          <w:rFonts w:ascii="Times New Roman" w:hAnsi="Times New Roman" w:cs="Times New Roman"/>
        </w:rPr>
        <w:t>Ekspertinio tyrimo rezultatai taip pat parodė, ka</w:t>
      </w:r>
      <w:r w:rsidR="003F05A0">
        <w:rPr>
          <w:rFonts w:ascii="Times New Roman" w:hAnsi="Times New Roman" w:cs="Times New Roman"/>
        </w:rPr>
        <w:t>d lizingas</w:t>
      </w:r>
      <w:r w:rsidR="004222DD">
        <w:rPr>
          <w:rFonts w:ascii="Times New Roman" w:hAnsi="Times New Roman" w:cs="Times New Roman"/>
        </w:rPr>
        <w:t xml:space="preserve"> didžiausią įtaką daro transporto sektoriui</w:t>
      </w:r>
      <w:r w:rsidR="00E021B1">
        <w:rPr>
          <w:rFonts w:ascii="Times New Roman" w:hAnsi="Times New Roman" w:cs="Times New Roman"/>
        </w:rPr>
        <w:t>. E</w:t>
      </w:r>
      <w:r w:rsidR="00797291">
        <w:rPr>
          <w:rFonts w:ascii="Times New Roman" w:hAnsi="Times New Roman" w:cs="Times New Roman"/>
        </w:rPr>
        <w:t xml:space="preserve">kspertų nuomone į lizingo rinką įžengiančiai ir joje norinčiai įsitvirtinti bendrovei padėtų pigūs piniginiai resursai taip pat išskirtinių, kompleksinių lizingo produktų pasiūla bei operatyvumas, greitas finansavimo atsakymo pateikimas. </w:t>
      </w:r>
      <w:r w:rsidR="00797291">
        <w:rPr>
          <w:rFonts w:ascii="Times New Roman" w:hAnsi="Times New Roman" w:cs="Times New Roman"/>
        </w:rPr>
        <w:lastRenderedPageBreak/>
        <w:t>Pagrindiniais trukdžiais stabdančiai</w:t>
      </w:r>
      <w:r w:rsidR="007C0CB5">
        <w:rPr>
          <w:rFonts w:ascii="Times New Roman" w:hAnsi="Times New Roman" w:cs="Times New Roman"/>
        </w:rPr>
        <w:t>s</w:t>
      </w:r>
      <w:r w:rsidR="00797291">
        <w:rPr>
          <w:rFonts w:ascii="Times New Roman" w:hAnsi="Times New Roman" w:cs="Times New Roman"/>
        </w:rPr>
        <w:t xml:space="preserve"> Lietuvos</w:t>
      </w:r>
      <w:r w:rsidR="007C0CB5">
        <w:rPr>
          <w:rFonts w:ascii="Times New Roman" w:hAnsi="Times New Roman" w:cs="Times New Roman"/>
        </w:rPr>
        <w:t xml:space="preserve"> lizingo rinkos plėtrą įvardinta</w:t>
      </w:r>
      <w:r w:rsidR="00797291">
        <w:rPr>
          <w:rFonts w:ascii="Times New Roman" w:hAnsi="Times New Roman" w:cs="Times New Roman"/>
        </w:rPr>
        <w:t xml:space="preserve"> lizingo bendrovių konkurencija bei pati Lietuvos rinka, kuri yra nedidelė ir pakankamai rizikinga.</w:t>
      </w:r>
      <w:r w:rsidR="00EC22EE">
        <w:rPr>
          <w:rFonts w:ascii="Times New Roman" w:hAnsi="Times New Roman" w:cs="Times New Roman"/>
        </w:rPr>
        <w:t xml:space="preserve"> Vertinant lizingo rinkos plėtros galimybes, </w:t>
      </w:r>
      <w:r w:rsidR="007C0CB5">
        <w:rPr>
          <w:rFonts w:ascii="Times New Roman" w:hAnsi="Times New Roman" w:cs="Times New Roman"/>
        </w:rPr>
        <w:t>daugumos ekspertų nuomone, tikėtina, kad tiek šiais</w:t>
      </w:r>
      <w:r w:rsidR="004222DD">
        <w:rPr>
          <w:rFonts w:ascii="Times New Roman" w:hAnsi="Times New Roman" w:cs="Times New Roman"/>
        </w:rPr>
        <w:t>,</w:t>
      </w:r>
      <w:r w:rsidR="007C0CB5">
        <w:rPr>
          <w:rFonts w:ascii="Times New Roman" w:hAnsi="Times New Roman" w:cs="Times New Roman"/>
        </w:rPr>
        <w:t xml:space="preserve"> tiek artimiausiais metais Lietuvos lizingo rinka didės. </w:t>
      </w:r>
    </w:p>
    <w:p w:rsidR="000D3F04" w:rsidRPr="00CC0AB3" w:rsidRDefault="004222DD" w:rsidP="00CC0AB3">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t>Taigi r</w:t>
      </w:r>
      <w:r w:rsidRPr="004222DD">
        <w:rPr>
          <w:rFonts w:ascii="Times New Roman" w:hAnsi="Times New Roman" w:cs="Times New Roman"/>
        </w:rPr>
        <w:t xml:space="preserve">emiantis sudarytu </w:t>
      </w:r>
      <w:r>
        <w:rPr>
          <w:rFonts w:ascii="Times New Roman" w:hAnsi="Times New Roman" w:cs="Times New Roman"/>
        </w:rPr>
        <w:t>lizingo rinkos įtakos Lietuvos ekonomikai modeliu</w:t>
      </w:r>
      <w:r w:rsidRPr="004222DD">
        <w:rPr>
          <w:rFonts w:ascii="Times New Roman" w:hAnsi="Times New Roman" w:cs="Times New Roman"/>
        </w:rPr>
        <w:t xml:space="preserve"> ir </w:t>
      </w:r>
      <w:r w:rsidR="004B3990">
        <w:rPr>
          <w:rFonts w:ascii="Times New Roman" w:hAnsi="Times New Roman" w:cs="Times New Roman"/>
        </w:rPr>
        <w:t xml:space="preserve">gautais </w:t>
      </w:r>
      <w:r w:rsidR="00F42F55">
        <w:rPr>
          <w:rFonts w:ascii="Times New Roman" w:hAnsi="Times New Roman" w:cs="Times New Roman"/>
        </w:rPr>
        <w:t xml:space="preserve">atliktų analizių </w:t>
      </w:r>
      <w:r w:rsidR="004B3990">
        <w:rPr>
          <w:rFonts w:ascii="Times New Roman" w:hAnsi="Times New Roman" w:cs="Times New Roman"/>
        </w:rPr>
        <w:t>rezultatais</w:t>
      </w:r>
      <w:r w:rsidRPr="004222DD">
        <w:rPr>
          <w:rFonts w:ascii="Times New Roman" w:hAnsi="Times New Roman" w:cs="Times New Roman"/>
        </w:rPr>
        <w:t xml:space="preserve">, galime tvirtai teigti, kad suformuluota darbo hipotezė, kad </w:t>
      </w:r>
      <w:r w:rsidRPr="004222DD">
        <w:rPr>
          <w:rFonts w:ascii="Times New Roman" w:hAnsi="Times New Roman" w:cs="Times New Roman"/>
          <w:i/>
          <w:iCs/>
        </w:rPr>
        <w:t>„</w:t>
      </w:r>
      <w:r w:rsidR="00F42F55" w:rsidRPr="00F42F55">
        <w:rPr>
          <w:rFonts w:ascii="Times New Roman" w:hAnsi="Times New Roman" w:cs="Times New Roman"/>
          <w:i/>
        </w:rPr>
        <w:t>Lizingo rinkos plėtra daro teigiamą įtaką Lietuvos ekonomikai</w:t>
      </w:r>
      <w:r w:rsidRPr="004222DD">
        <w:rPr>
          <w:rFonts w:ascii="Times New Roman" w:hAnsi="Times New Roman" w:cs="Times New Roman"/>
          <w:i/>
          <w:iCs/>
        </w:rPr>
        <w:t xml:space="preserve">“ </w:t>
      </w:r>
      <w:r w:rsidRPr="004222DD">
        <w:rPr>
          <w:rFonts w:ascii="Times New Roman" w:hAnsi="Times New Roman" w:cs="Times New Roman"/>
        </w:rPr>
        <w:t xml:space="preserve">yra teisinga. </w:t>
      </w:r>
    </w:p>
    <w:p w:rsidR="00893747" w:rsidRDefault="00893747">
      <w:pPr>
        <w:spacing w:after="200" w:line="276" w:lineRule="auto"/>
        <w:rPr>
          <w:rFonts w:ascii="Times New Roman" w:hAnsi="Times New Roman" w:cs="Times New Roman"/>
        </w:rPr>
      </w:pPr>
      <w:r>
        <w:rPr>
          <w:rFonts w:ascii="Times New Roman" w:hAnsi="Times New Roman" w:cs="Times New Roman"/>
        </w:rPr>
        <w:br w:type="page"/>
      </w:r>
    </w:p>
    <w:p w:rsidR="00893747" w:rsidRDefault="00893747" w:rsidP="00893747">
      <w:pPr>
        <w:pStyle w:val="Heading1"/>
        <w:numPr>
          <w:ilvl w:val="0"/>
          <w:numId w:val="0"/>
        </w:numPr>
        <w:spacing w:before="0"/>
        <w:ind w:left="360" w:hanging="360"/>
      </w:pPr>
    </w:p>
    <w:p w:rsidR="00893747" w:rsidRPr="00093D0C" w:rsidRDefault="00893747" w:rsidP="00893747">
      <w:pPr>
        <w:pStyle w:val="Heading1"/>
        <w:numPr>
          <w:ilvl w:val="0"/>
          <w:numId w:val="0"/>
        </w:numPr>
        <w:spacing w:before="0"/>
        <w:ind w:left="360" w:hanging="360"/>
      </w:pPr>
      <w:bookmarkStart w:id="59" w:name="_Toc343517980"/>
      <w:r>
        <w:t>IŠVADOS</w:t>
      </w:r>
      <w:r w:rsidR="00DD0015">
        <w:t xml:space="preserve"> IR SIŪLYMAI</w:t>
      </w:r>
      <w:bookmarkEnd w:id="59"/>
    </w:p>
    <w:p w:rsidR="007303BE" w:rsidRDefault="007303BE">
      <w:pPr>
        <w:spacing w:after="200" w:line="276" w:lineRule="auto"/>
        <w:rPr>
          <w:rFonts w:ascii="Times New Roman" w:hAnsi="Times New Roman" w:cs="Times New Roman"/>
        </w:rPr>
      </w:pPr>
    </w:p>
    <w:p w:rsidR="007D04EB" w:rsidRDefault="007B0D4F" w:rsidP="009B529D">
      <w:pPr>
        <w:pStyle w:val="ListParagraph"/>
        <w:numPr>
          <w:ilvl w:val="0"/>
          <w:numId w:val="37"/>
        </w:numPr>
        <w:tabs>
          <w:tab w:val="left" w:pos="567"/>
          <w:tab w:val="left" w:pos="1134"/>
        </w:tabs>
        <w:spacing w:line="360" w:lineRule="auto"/>
        <w:ind w:left="0" w:firstLine="567"/>
        <w:jc w:val="both"/>
        <w:rPr>
          <w:rFonts w:ascii="Times New Roman" w:hAnsi="Times New Roman" w:cs="Times New Roman"/>
        </w:rPr>
      </w:pPr>
      <w:r w:rsidRPr="00AE13D3">
        <w:rPr>
          <w:rFonts w:ascii="Times New Roman" w:hAnsi="Times New Roman" w:cs="Times New Roman"/>
        </w:rPr>
        <w:t xml:space="preserve">Atlikus mokslinės literatūros analizę nustatyta, </w:t>
      </w:r>
      <w:r w:rsidR="00B8698D">
        <w:rPr>
          <w:rFonts w:ascii="Times New Roman" w:hAnsi="Times New Roman" w:cs="Times New Roman"/>
        </w:rPr>
        <w:t xml:space="preserve">kad </w:t>
      </w:r>
      <w:r w:rsidRPr="00AE13D3">
        <w:rPr>
          <w:rFonts w:ascii="Times New Roman" w:hAnsi="Times New Roman" w:cs="Times New Roman"/>
        </w:rPr>
        <w:t xml:space="preserve">lizingo paslaugą galima apibrėžti </w:t>
      </w:r>
      <w:r w:rsidR="007D04EB">
        <w:rPr>
          <w:rFonts w:ascii="Times New Roman" w:hAnsi="Times New Roman" w:cs="Times New Roman"/>
        </w:rPr>
        <w:t xml:space="preserve">kaip </w:t>
      </w:r>
      <w:r w:rsidRPr="00AE13D3">
        <w:rPr>
          <w:rFonts w:ascii="Times New Roman" w:hAnsi="Times New Roman" w:cs="Times New Roman"/>
        </w:rPr>
        <w:t>galimybę naudoti turtą neturint jo nuosavybės, kai tą turtą nuperka lizingo bendrovė (išorinis finansuotojas), o už nupirktą turtą atsiskaitoma per keletą metų kol galioja lizingo sutartis, mokant tam tikro dydžio įmokas.</w:t>
      </w:r>
      <w:r w:rsidR="00AE13D3" w:rsidRPr="00AE13D3">
        <w:rPr>
          <w:rFonts w:ascii="Times New Roman" w:hAnsi="Times New Roman" w:cs="Times New Roman"/>
        </w:rPr>
        <w:t xml:space="preserve"> </w:t>
      </w:r>
      <w:r w:rsidR="00F24E06">
        <w:rPr>
          <w:rFonts w:ascii="Times New Roman" w:hAnsi="Times New Roman" w:cs="Times New Roman"/>
        </w:rPr>
        <w:t>Lizingo paslaugos tipų analizė</w:t>
      </w:r>
      <w:r w:rsidR="007D04EB">
        <w:rPr>
          <w:rFonts w:ascii="Times New Roman" w:hAnsi="Times New Roman" w:cs="Times New Roman"/>
        </w:rPr>
        <w:t xml:space="preserve"> parodė, kad p</w:t>
      </w:r>
      <w:r w:rsidR="00AE13D3" w:rsidRPr="00AE13D3">
        <w:rPr>
          <w:rFonts w:ascii="Times New Roman" w:hAnsi="Times New Roman" w:cs="Times New Roman"/>
        </w:rPr>
        <w:t xml:space="preserve">atys populiariausi </w:t>
      </w:r>
      <w:r w:rsidR="00AE13D3">
        <w:rPr>
          <w:rFonts w:ascii="Times New Roman" w:hAnsi="Times New Roman" w:cs="Times New Roman"/>
        </w:rPr>
        <w:t xml:space="preserve">tipai </w:t>
      </w:r>
      <w:r w:rsidR="007D04EB">
        <w:rPr>
          <w:rFonts w:ascii="Times New Roman" w:hAnsi="Times New Roman" w:cs="Times New Roman"/>
        </w:rPr>
        <w:t xml:space="preserve">- </w:t>
      </w:r>
      <w:r w:rsidR="00AE13D3">
        <w:rPr>
          <w:rFonts w:ascii="Times New Roman" w:hAnsi="Times New Roman" w:cs="Times New Roman"/>
        </w:rPr>
        <w:t xml:space="preserve">finansinis bei veiklos lizingas, be šių taip pat egzistuoja </w:t>
      </w:r>
      <w:r w:rsidR="00AE13D3" w:rsidRPr="00AE13D3">
        <w:rPr>
          <w:rFonts w:ascii="Times New Roman" w:hAnsi="Times New Roman" w:cs="Times New Roman"/>
        </w:rPr>
        <w:t>grįžtamasis, tarptautinis, tiesioginis lizingas bei lizingas su skolintu kapitalu.</w:t>
      </w:r>
    </w:p>
    <w:p w:rsidR="00D0730E" w:rsidRPr="007D04EB" w:rsidRDefault="00AE13D3" w:rsidP="009B529D">
      <w:pPr>
        <w:pStyle w:val="ListParagraph"/>
        <w:numPr>
          <w:ilvl w:val="0"/>
          <w:numId w:val="37"/>
        </w:numPr>
        <w:tabs>
          <w:tab w:val="left" w:pos="567"/>
          <w:tab w:val="left" w:pos="1134"/>
        </w:tabs>
        <w:spacing w:line="360" w:lineRule="auto"/>
        <w:ind w:left="0" w:firstLine="567"/>
        <w:jc w:val="both"/>
        <w:rPr>
          <w:rFonts w:ascii="Times New Roman" w:hAnsi="Times New Roman" w:cs="Times New Roman"/>
        </w:rPr>
      </w:pPr>
      <w:r w:rsidRPr="007D04EB">
        <w:rPr>
          <w:rFonts w:ascii="Times New Roman" w:hAnsi="Times New Roman" w:cs="Times New Roman"/>
        </w:rPr>
        <w:t>Mokslinės literatūros analizė siekiant nustatyti l</w:t>
      </w:r>
      <w:r w:rsidR="00D0730E" w:rsidRPr="007D04EB">
        <w:rPr>
          <w:rFonts w:ascii="Times New Roman" w:hAnsi="Times New Roman" w:cs="Times New Roman"/>
        </w:rPr>
        <w:t xml:space="preserve">izingo </w:t>
      </w:r>
      <w:r w:rsidRPr="007D04EB">
        <w:rPr>
          <w:rFonts w:ascii="Times New Roman" w:hAnsi="Times New Roman" w:cs="Times New Roman"/>
        </w:rPr>
        <w:t xml:space="preserve">paslaugos </w:t>
      </w:r>
      <w:r w:rsidR="00D0730E" w:rsidRPr="007D04EB">
        <w:rPr>
          <w:rFonts w:ascii="Times New Roman" w:hAnsi="Times New Roman" w:cs="Times New Roman"/>
        </w:rPr>
        <w:t>prival</w:t>
      </w:r>
      <w:r w:rsidRPr="007D04EB">
        <w:rPr>
          <w:rFonts w:ascii="Times New Roman" w:hAnsi="Times New Roman" w:cs="Times New Roman"/>
        </w:rPr>
        <w:t>umus ir trūkumus</w:t>
      </w:r>
      <w:r w:rsidR="00D0730E" w:rsidRPr="007D04EB">
        <w:rPr>
          <w:rFonts w:ascii="Times New Roman" w:hAnsi="Times New Roman" w:cs="Times New Roman"/>
        </w:rPr>
        <w:t xml:space="preserve"> parodė, kad lizingas yra tikrai patraukli paslauga tiek įmonėms, tiek privatiems asmenims bei lizingo teikėjams. Lizingas suteikia galimybę pagrįstai planuoti piniginius srautus įmonėje, išsaugoti kapitalo dalį, taip nestabdant tolimesnių įmonės investicijų bei plėtros planų. Lizingas dalinai apsaugo tiek nuo infliacijos, tiek nuo turto senėjimo. Lizinguojantis galima pasinaudoti tam tikromis mokestinėmis lengvatomis bei paprastesne apskaita. Nors lizingo laikotarpiu ir yra tam tikrų apribojimų turto pardavimui, tačiau reikėtų įvertinti tai, kad lizingo paslauga dažniausiai naudojama siekiant turtą naudoti įmonės veikloje, o ne parduoti. </w:t>
      </w:r>
    </w:p>
    <w:p w:rsidR="009B529D" w:rsidRDefault="008F59B4" w:rsidP="009B529D">
      <w:pPr>
        <w:pStyle w:val="ListParagraph"/>
        <w:numPr>
          <w:ilvl w:val="0"/>
          <w:numId w:val="37"/>
        </w:numPr>
        <w:tabs>
          <w:tab w:val="left" w:pos="1134"/>
        </w:tabs>
        <w:spacing w:line="360" w:lineRule="auto"/>
        <w:ind w:left="0" w:firstLine="567"/>
        <w:jc w:val="both"/>
        <w:rPr>
          <w:rFonts w:ascii="Times New Roman" w:hAnsi="Times New Roman" w:cs="Times New Roman"/>
        </w:rPr>
      </w:pPr>
      <w:r w:rsidRPr="008F59B4">
        <w:rPr>
          <w:rFonts w:ascii="Times New Roman" w:hAnsi="Times New Roman" w:cs="Times New Roman"/>
        </w:rPr>
        <w:t>Teorinis lizingo rinkos įtakos šali</w:t>
      </w:r>
      <w:r>
        <w:rPr>
          <w:rFonts w:ascii="Times New Roman" w:hAnsi="Times New Roman" w:cs="Times New Roman"/>
        </w:rPr>
        <w:t>ų ekonomikoms vertinimas parodė</w:t>
      </w:r>
      <w:r w:rsidRPr="008F59B4">
        <w:rPr>
          <w:rFonts w:ascii="Times New Roman" w:hAnsi="Times New Roman" w:cs="Times New Roman"/>
        </w:rPr>
        <w:t xml:space="preserve">, kad lizingas turi didelę reikšmę ekonomikai ir jos augimui. </w:t>
      </w:r>
      <w:r w:rsidR="00F54DAD">
        <w:rPr>
          <w:rFonts w:ascii="Times New Roman" w:hAnsi="Times New Roman" w:cs="Times New Roman"/>
        </w:rPr>
        <w:t>Mokslininkų</w:t>
      </w:r>
      <w:r w:rsidRPr="008F59B4">
        <w:rPr>
          <w:rFonts w:ascii="Times New Roman" w:hAnsi="Times New Roman" w:cs="Times New Roman"/>
        </w:rPr>
        <w:t xml:space="preserve">, </w:t>
      </w:r>
      <w:r w:rsidR="00F54DAD">
        <w:rPr>
          <w:rFonts w:ascii="Times New Roman" w:hAnsi="Times New Roman" w:cs="Times New Roman"/>
        </w:rPr>
        <w:t>nagrinėjančių</w:t>
      </w:r>
      <w:r w:rsidRPr="008F59B4">
        <w:rPr>
          <w:rFonts w:ascii="Times New Roman" w:hAnsi="Times New Roman" w:cs="Times New Roman"/>
        </w:rPr>
        <w:t xml:space="preserve"> lizingo </w:t>
      </w:r>
      <w:r w:rsidR="00F54DAD">
        <w:rPr>
          <w:rFonts w:ascii="Times New Roman" w:hAnsi="Times New Roman" w:cs="Times New Roman"/>
        </w:rPr>
        <w:t xml:space="preserve">rinkos </w:t>
      </w:r>
      <w:r w:rsidRPr="008F59B4">
        <w:rPr>
          <w:rFonts w:ascii="Times New Roman" w:hAnsi="Times New Roman" w:cs="Times New Roman"/>
        </w:rPr>
        <w:t xml:space="preserve">įtaką ekonomikai, </w:t>
      </w:r>
      <w:r w:rsidR="00C3604F">
        <w:rPr>
          <w:rFonts w:ascii="Times New Roman" w:hAnsi="Times New Roman" w:cs="Times New Roman"/>
        </w:rPr>
        <w:t xml:space="preserve">darbų analizė parodė, kad </w:t>
      </w:r>
      <w:r w:rsidRPr="008F59B4">
        <w:rPr>
          <w:rFonts w:ascii="Times New Roman" w:hAnsi="Times New Roman" w:cs="Times New Roman"/>
        </w:rPr>
        <w:t xml:space="preserve">lizingo </w:t>
      </w:r>
      <w:r w:rsidR="00C3604F">
        <w:rPr>
          <w:rFonts w:ascii="Times New Roman" w:hAnsi="Times New Roman" w:cs="Times New Roman"/>
        </w:rPr>
        <w:t>reikšmė ekonomikai atsiskleidžia</w:t>
      </w:r>
      <w:r w:rsidRPr="008F59B4">
        <w:rPr>
          <w:rFonts w:ascii="Times New Roman" w:hAnsi="Times New Roman" w:cs="Times New Roman"/>
        </w:rPr>
        <w:t xml:space="preserve"> per naujų bei mažų įmonių prizmę. Šioms įmonėms lizingas neturint didelio pradinio kapitalo suteikią galimybę įsigyti modernią įrangą ar technologijas, kas padeda konkuruoti, teikti paslaugas atsižvelgiant į kliento poreikius bei sėkmingai veikti. Lizingas taip pat pagerina bei pagreitina naujų technologijų, technologinių sprendimų įsisavinimą. Lizingo sektoriaus plitimas padeda skatinti bendrąsias investicijas, kurios galiausiai padeda ekonomikai augti. Be to, lizingas turi teigiamą įtaką ir užimtumui. Didėjantis lizingo poreikis skatina lizingo įmonių kūrimąsi bei plėtrą, didėjančios investicijos lizingo forma lemia verslo plėtrą. Šios priežastys lemia naujų darbo vietų įmonėse kūrimą.</w:t>
      </w:r>
    </w:p>
    <w:p w:rsidR="000A69D3" w:rsidRDefault="009B529D" w:rsidP="000A69D3">
      <w:pPr>
        <w:pStyle w:val="ListParagraph"/>
        <w:numPr>
          <w:ilvl w:val="0"/>
          <w:numId w:val="37"/>
        </w:numPr>
        <w:tabs>
          <w:tab w:val="left" w:pos="1134"/>
        </w:tabs>
        <w:spacing w:line="360" w:lineRule="auto"/>
        <w:ind w:left="0" w:firstLine="567"/>
        <w:jc w:val="both"/>
        <w:rPr>
          <w:rFonts w:ascii="Times New Roman" w:hAnsi="Times New Roman" w:cs="Times New Roman"/>
        </w:rPr>
      </w:pPr>
      <w:r w:rsidRPr="009B529D">
        <w:rPr>
          <w:rFonts w:ascii="Times New Roman" w:hAnsi="Times New Roman" w:cs="Times New Roman"/>
        </w:rPr>
        <w:t>Atlikus Lietuvos lizingo rinkos plėtros analizę Lietuvoje, paaiškėjo, kad lizingo rinka šiuo metu turi dideles galimybes plėstis. Tokią išvadą galima daryti atsižvelgiant į istorinę lizingo rinkos apimtį, pakankamai stabilų naujų sutarčių vertės augimą pastaraisiais metais, jaučiamą vis didesnį lizingo poreikį bei gerėjančias ekonomines prognozes. Taip pat stebint Lietuvos lizingo rinką nustatyta</w:t>
      </w:r>
      <w:r>
        <w:rPr>
          <w:rFonts w:ascii="Times New Roman" w:hAnsi="Times New Roman" w:cs="Times New Roman"/>
        </w:rPr>
        <w:t>, kad</w:t>
      </w:r>
      <w:r w:rsidRPr="009B529D">
        <w:rPr>
          <w:rFonts w:ascii="Times New Roman" w:hAnsi="Times New Roman" w:cs="Times New Roman"/>
        </w:rPr>
        <w:t xml:space="preserve"> vyraujantis lizingo tipas yra finansinis lizingas, analizuojant lizingo portfelio struktūrą, pastebėta, kad didžiausią dalį jame sudaro kelių transporto priemonių lizingas, nedaug atsilieka lengvųjų automobilių, pramoninės įrangos ir įrengimų lizingas. Žvelgiant į lizingo rinkos </w:t>
      </w:r>
      <w:r w:rsidRPr="009B529D">
        <w:rPr>
          <w:rFonts w:ascii="Times New Roman" w:hAnsi="Times New Roman" w:cs="Times New Roman"/>
        </w:rPr>
        <w:lastRenderedPageBreak/>
        <w:t xml:space="preserve">pasiskirstymą, pagal lizingo įmonių užimamą dalį, aiškus lyderiai „SEB lizingas“ ir „Swedbank“ grupės lizingo įmonės Lietuvoje. </w:t>
      </w:r>
    </w:p>
    <w:p w:rsidR="000A69D3" w:rsidRPr="000A69D3" w:rsidRDefault="000A69D3" w:rsidP="000A69D3">
      <w:pPr>
        <w:pStyle w:val="ListParagraph"/>
        <w:numPr>
          <w:ilvl w:val="0"/>
          <w:numId w:val="37"/>
        </w:numPr>
        <w:tabs>
          <w:tab w:val="left" w:pos="1134"/>
        </w:tabs>
        <w:spacing w:line="360" w:lineRule="auto"/>
        <w:ind w:left="0" w:firstLine="567"/>
        <w:jc w:val="both"/>
        <w:rPr>
          <w:rFonts w:ascii="Times New Roman" w:hAnsi="Times New Roman" w:cs="Times New Roman"/>
        </w:rPr>
      </w:pPr>
      <w:r>
        <w:rPr>
          <w:rFonts w:ascii="Times New Roman" w:hAnsi="Times New Roman" w:cs="Times New Roman"/>
        </w:rPr>
        <w:t>Lietuvos lizingo rinkos</w:t>
      </w:r>
      <w:r w:rsidRPr="000A69D3">
        <w:rPr>
          <w:rFonts w:ascii="Times New Roman" w:hAnsi="Times New Roman" w:cs="Times New Roman"/>
        </w:rPr>
        <w:t xml:space="preserve"> su užsienio lizingo rinkomis </w:t>
      </w:r>
      <w:r>
        <w:rPr>
          <w:rFonts w:ascii="Times New Roman" w:hAnsi="Times New Roman" w:cs="Times New Roman"/>
        </w:rPr>
        <w:t>lyginamoji analizė parodė</w:t>
      </w:r>
      <w:r w:rsidRPr="000A69D3">
        <w:rPr>
          <w:rFonts w:ascii="Times New Roman" w:hAnsi="Times New Roman" w:cs="Times New Roman"/>
        </w:rPr>
        <w:t xml:space="preserve">, kad Lietuva iki 2009 m. turėjo didžiausią lizingo portfelį bei pasirašydavo daugiausiai naujų sutarčių per metus lyginant su kitomis Baltijos šalimis. Tačiau po 2009 m. lyderės pozicija buvo užleista, Lietuvą aplenkė Estija, su Latvija skirtumas šiuo metu yra labai nedidelis. Visų Baltijos šalių lizingo portfelis traukiasi, bet teigiamai nuteikiantis veiksnys yra didėjanti naujai pasirašomų sutarčių vertė per metus. Lyginant lizingo rinkos paplitimo rodiklį, </w:t>
      </w:r>
      <w:r>
        <w:rPr>
          <w:rFonts w:ascii="Times New Roman" w:hAnsi="Times New Roman" w:cs="Times New Roman"/>
        </w:rPr>
        <w:t>nustatyta</w:t>
      </w:r>
      <w:r w:rsidRPr="000A69D3">
        <w:rPr>
          <w:rFonts w:ascii="Times New Roman" w:hAnsi="Times New Roman" w:cs="Times New Roman"/>
        </w:rPr>
        <w:t>, kad Lietuvoje šis santykis yra aukštas</w:t>
      </w:r>
      <w:r w:rsidR="00742182">
        <w:rPr>
          <w:rFonts w:ascii="Times New Roman" w:hAnsi="Times New Roman" w:cs="Times New Roman"/>
        </w:rPr>
        <w:t>.</w:t>
      </w:r>
      <w:r w:rsidRPr="000A69D3">
        <w:rPr>
          <w:rFonts w:ascii="Times New Roman" w:hAnsi="Times New Roman" w:cs="Times New Roman"/>
        </w:rPr>
        <w:t xml:space="preserve"> </w:t>
      </w:r>
      <w:r w:rsidR="00742182">
        <w:rPr>
          <w:rFonts w:ascii="Times New Roman" w:hAnsi="Times New Roman" w:cs="Times New Roman"/>
        </w:rPr>
        <w:t>Lyginant su valstybėmis, kurios 2010 m. pirmavo pasaulyje pagal naujai pasirašomų sutarčių vertę, tai antras didžiausias lizingo rinkos paplitimo rodiklis</w:t>
      </w:r>
      <w:r w:rsidRPr="000A69D3">
        <w:rPr>
          <w:rFonts w:ascii="Times New Roman" w:hAnsi="Times New Roman" w:cs="Times New Roman"/>
        </w:rPr>
        <w:t xml:space="preserve">. </w:t>
      </w:r>
      <w:r w:rsidR="00742182">
        <w:rPr>
          <w:rFonts w:ascii="Times New Roman" w:hAnsi="Times New Roman" w:cs="Times New Roman"/>
        </w:rPr>
        <w:t>Šis</w:t>
      </w:r>
      <w:r w:rsidRPr="000A69D3">
        <w:rPr>
          <w:rFonts w:ascii="Times New Roman" w:hAnsi="Times New Roman" w:cs="Times New Roman"/>
        </w:rPr>
        <w:t xml:space="preserve"> santykis rodo pakankamai didelę lizingo paslaugos reikšmę Lietuvos ekonomikai. </w:t>
      </w:r>
    </w:p>
    <w:p w:rsidR="005A1276" w:rsidRDefault="00A13CD1" w:rsidP="00A13CD1">
      <w:pPr>
        <w:pStyle w:val="ListParagraph"/>
        <w:numPr>
          <w:ilvl w:val="0"/>
          <w:numId w:val="37"/>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Koreliacinė</w:t>
      </w:r>
      <w:r w:rsidR="007711AC">
        <w:rPr>
          <w:rFonts w:ascii="Times New Roman" w:hAnsi="Times New Roman" w:cs="Times New Roman"/>
        </w:rPr>
        <w:t>s</w:t>
      </w:r>
      <w:r>
        <w:rPr>
          <w:rFonts w:ascii="Times New Roman" w:hAnsi="Times New Roman" w:cs="Times New Roman"/>
        </w:rPr>
        <w:t xml:space="preserve"> </w:t>
      </w:r>
      <w:r w:rsidR="007711AC">
        <w:rPr>
          <w:rFonts w:ascii="Times New Roman" w:hAnsi="Times New Roman" w:cs="Times New Roman"/>
        </w:rPr>
        <w:t xml:space="preserve">bei vienmatės ir daugiamatės </w:t>
      </w:r>
      <w:r>
        <w:rPr>
          <w:rFonts w:ascii="Times New Roman" w:hAnsi="Times New Roman" w:cs="Times New Roman"/>
        </w:rPr>
        <w:t>regresinė</w:t>
      </w:r>
      <w:r w:rsidR="007711AC">
        <w:rPr>
          <w:rFonts w:ascii="Times New Roman" w:hAnsi="Times New Roman" w:cs="Times New Roman"/>
        </w:rPr>
        <w:t>s</w:t>
      </w:r>
      <w:r>
        <w:rPr>
          <w:rFonts w:ascii="Times New Roman" w:hAnsi="Times New Roman" w:cs="Times New Roman"/>
        </w:rPr>
        <w:t xml:space="preserve"> analizė</w:t>
      </w:r>
      <w:r w:rsidR="007711AC">
        <w:rPr>
          <w:rFonts w:ascii="Times New Roman" w:hAnsi="Times New Roman" w:cs="Times New Roman"/>
        </w:rPr>
        <w:t>s</w:t>
      </w:r>
      <w:r>
        <w:rPr>
          <w:rFonts w:ascii="Times New Roman" w:hAnsi="Times New Roman" w:cs="Times New Roman"/>
        </w:rPr>
        <w:t xml:space="preserve"> </w:t>
      </w:r>
      <w:r w:rsidR="007711AC">
        <w:rPr>
          <w:rFonts w:ascii="Times New Roman" w:hAnsi="Times New Roman" w:cs="Times New Roman"/>
        </w:rPr>
        <w:t xml:space="preserve">rezultatai </w:t>
      </w:r>
      <w:r>
        <w:rPr>
          <w:rFonts w:ascii="Times New Roman" w:hAnsi="Times New Roman" w:cs="Times New Roman"/>
        </w:rPr>
        <w:t>parodė, kad lizingo rinka įtakoja tiek Lietuvos bendrąjį vidaus produktą, tiek tiesiogines užsienio investicijas, tiek ned</w:t>
      </w:r>
      <w:r w:rsidR="007711AC">
        <w:rPr>
          <w:rFonts w:ascii="Times New Roman" w:hAnsi="Times New Roman" w:cs="Times New Roman"/>
        </w:rPr>
        <w:t xml:space="preserve">arbo lygį šalyje. </w:t>
      </w:r>
      <w:r w:rsidR="0059470D">
        <w:rPr>
          <w:rFonts w:ascii="Times New Roman" w:hAnsi="Times New Roman" w:cs="Times New Roman"/>
        </w:rPr>
        <w:t xml:space="preserve">Tarp lizingo rinkos ir bendrojo vidaus produkto </w:t>
      </w:r>
      <w:r w:rsidR="007711AC">
        <w:rPr>
          <w:rFonts w:ascii="Times New Roman" w:hAnsi="Times New Roman" w:cs="Times New Roman"/>
        </w:rPr>
        <w:t xml:space="preserve">bei tiesioginių užsienio investicijų </w:t>
      </w:r>
      <w:r w:rsidR="0059470D">
        <w:rPr>
          <w:rFonts w:ascii="Times New Roman" w:hAnsi="Times New Roman" w:cs="Times New Roman"/>
        </w:rPr>
        <w:t>apskaičiuotas teigiamas koreliacijos koeficientas parodė, kad didėjant lizingo rinkai didėja</w:t>
      </w:r>
      <w:r w:rsidR="007711AC">
        <w:rPr>
          <w:rFonts w:ascii="Times New Roman" w:hAnsi="Times New Roman" w:cs="Times New Roman"/>
        </w:rPr>
        <w:t>nt</w:t>
      </w:r>
      <w:r w:rsidR="0059470D">
        <w:rPr>
          <w:rFonts w:ascii="Times New Roman" w:hAnsi="Times New Roman" w:cs="Times New Roman"/>
        </w:rPr>
        <w:t xml:space="preserve"> ir kiti du veiksniai </w:t>
      </w:r>
      <w:r w:rsidR="007711AC">
        <w:rPr>
          <w:rFonts w:ascii="Times New Roman" w:hAnsi="Times New Roman" w:cs="Times New Roman"/>
        </w:rPr>
        <w:t>didėja, lizingo rinkai traukiantis ir kitu du veiksniai traukiasi</w:t>
      </w:r>
      <w:r w:rsidR="0059470D">
        <w:rPr>
          <w:rFonts w:ascii="Times New Roman" w:hAnsi="Times New Roman" w:cs="Times New Roman"/>
        </w:rPr>
        <w:t xml:space="preserve">. Vertinant ryšį tarp lizingo rinkos ir nedarbo lygio gautas </w:t>
      </w:r>
      <w:r w:rsidR="007711AC">
        <w:rPr>
          <w:rFonts w:ascii="Times New Roman" w:hAnsi="Times New Roman" w:cs="Times New Roman"/>
        </w:rPr>
        <w:t>neigiamas koreliacijos koeficientas</w:t>
      </w:r>
      <w:r w:rsidR="0059470D">
        <w:rPr>
          <w:rFonts w:ascii="Times New Roman" w:hAnsi="Times New Roman" w:cs="Times New Roman"/>
        </w:rPr>
        <w:t xml:space="preserve">, </w:t>
      </w:r>
      <w:r w:rsidR="007711AC">
        <w:rPr>
          <w:rFonts w:ascii="Times New Roman" w:hAnsi="Times New Roman" w:cs="Times New Roman"/>
        </w:rPr>
        <w:t>tai reiškia, kad didėjant lizingo rinkai nedarbo lygis mažėja ir atvirkščiai. Lyginant vienmačių koreliacinių regresinių analizių lygčių rezultatus nustatyta, kad lizingo rinka stipriausiai įtakoja bendrąjį vidaus produktą, mažiausiai nedarbo lygį. Gauti koreliacinės regresinės analizės rezultatai leidžia teigti, kad lizingo rinka įtakodama Lietuvos BVP, tiesiogines užsienio investicijas bei nedarbo lygį, turi įtaką ir Lietuvos ekonomikai.</w:t>
      </w:r>
    </w:p>
    <w:p w:rsidR="00B90CA4" w:rsidRDefault="00B90CA4" w:rsidP="00B90CA4">
      <w:pPr>
        <w:pStyle w:val="ListParagraph"/>
        <w:numPr>
          <w:ilvl w:val="0"/>
          <w:numId w:val="37"/>
        </w:numPr>
        <w:tabs>
          <w:tab w:val="left" w:pos="567"/>
          <w:tab w:val="left" w:pos="1134"/>
        </w:tabs>
        <w:spacing w:line="360" w:lineRule="auto"/>
        <w:ind w:left="0" w:firstLine="567"/>
        <w:jc w:val="both"/>
        <w:rPr>
          <w:rFonts w:ascii="Times New Roman" w:hAnsi="Times New Roman" w:cs="Times New Roman"/>
        </w:rPr>
      </w:pPr>
      <w:r w:rsidRPr="00B90CA4">
        <w:rPr>
          <w:rFonts w:ascii="Times New Roman" w:hAnsi="Times New Roman" w:cs="Times New Roman"/>
        </w:rPr>
        <w:t>Ekspertinio ve</w:t>
      </w:r>
      <w:r>
        <w:rPr>
          <w:rFonts w:ascii="Times New Roman" w:hAnsi="Times New Roman" w:cs="Times New Roman"/>
        </w:rPr>
        <w:t xml:space="preserve">rtinimo rezultatai parodė, kad </w:t>
      </w:r>
      <w:r w:rsidRPr="00B90CA4">
        <w:rPr>
          <w:rFonts w:ascii="Times New Roman" w:hAnsi="Times New Roman" w:cs="Times New Roman"/>
        </w:rPr>
        <w:t xml:space="preserve">lizingo paslauga ir jos plitimas daro teigiamą įtaką Lietuvos ekonomikai. Lizingo </w:t>
      </w:r>
      <w:r w:rsidR="00104A41">
        <w:rPr>
          <w:rFonts w:ascii="Times New Roman" w:hAnsi="Times New Roman" w:cs="Times New Roman"/>
        </w:rPr>
        <w:t xml:space="preserve">rinka </w:t>
      </w:r>
      <w:r w:rsidRPr="00B90CA4">
        <w:rPr>
          <w:rFonts w:ascii="Times New Roman" w:hAnsi="Times New Roman" w:cs="Times New Roman"/>
        </w:rPr>
        <w:t>didžiausią teigiamą įtaką Lietuvos ekonomikai daro skatindama tolimesnes investicijas bei greit</w:t>
      </w:r>
      <w:r>
        <w:rPr>
          <w:rFonts w:ascii="Times New Roman" w:hAnsi="Times New Roman" w:cs="Times New Roman"/>
        </w:rPr>
        <w:t>esnį technologijų įsisavinimą. L</w:t>
      </w:r>
      <w:r w:rsidR="003F05A0">
        <w:rPr>
          <w:rFonts w:ascii="Times New Roman" w:hAnsi="Times New Roman" w:cs="Times New Roman"/>
        </w:rPr>
        <w:t xml:space="preserve">izingas </w:t>
      </w:r>
      <w:r w:rsidRPr="00B90CA4">
        <w:rPr>
          <w:rFonts w:ascii="Times New Roman" w:hAnsi="Times New Roman" w:cs="Times New Roman"/>
        </w:rPr>
        <w:t xml:space="preserve">didžiausią įtaką daro transporto sektoriui. </w:t>
      </w:r>
      <w:r>
        <w:rPr>
          <w:rFonts w:ascii="Times New Roman" w:hAnsi="Times New Roman" w:cs="Times New Roman"/>
        </w:rPr>
        <w:t>Į</w:t>
      </w:r>
      <w:r w:rsidRPr="00B90CA4">
        <w:rPr>
          <w:rFonts w:ascii="Times New Roman" w:hAnsi="Times New Roman" w:cs="Times New Roman"/>
        </w:rPr>
        <w:t xml:space="preserve"> lizingo rinką įžengiančiai ir joje norinčiai įsitvirtinti bendrovei padėtų pigūs piniginiai resursai taip pat išskirtinių, kompleksinių lizingo produktų pasiūla bei operatyvumas, greitas finansavimo atsakymo pateikimas. Pagrindiniais trukdžiais stabdančiais Lietuvos lizingo rinkos plėtrą įvard</w:t>
      </w:r>
      <w:r>
        <w:rPr>
          <w:rFonts w:ascii="Times New Roman" w:hAnsi="Times New Roman" w:cs="Times New Roman"/>
        </w:rPr>
        <w:t>ijama</w:t>
      </w:r>
      <w:r w:rsidRPr="00B90CA4">
        <w:rPr>
          <w:rFonts w:ascii="Times New Roman" w:hAnsi="Times New Roman" w:cs="Times New Roman"/>
        </w:rPr>
        <w:t xml:space="preserve"> lizingo bendrovių konkurencija bei pati Lietuvos rinka, kuri yra nedidelė ir pakankamai rizikinga. Vertinant lizingo rinkos plėtros galimybes, daugumos ekspertų nuomone, tikėtina, kad tiek šiais, tiek artimiausiais metais Lietuvos lizingo rinka didės. </w:t>
      </w:r>
    </w:p>
    <w:p w:rsidR="00B90CA4" w:rsidRPr="00B90CA4" w:rsidRDefault="003A0CCF" w:rsidP="00B90CA4">
      <w:pPr>
        <w:pStyle w:val="ListParagraph"/>
        <w:numPr>
          <w:ilvl w:val="0"/>
          <w:numId w:val="37"/>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R</w:t>
      </w:r>
      <w:r w:rsidR="00B90CA4" w:rsidRPr="004222DD">
        <w:rPr>
          <w:rFonts w:ascii="Times New Roman" w:hAnsi="Times New Roman" w:cs="Times New Roman"/>
        </w:rPr>
        <w:t xml:space="preserve">emiantis sudarytu </w:t>
      </w:r>
      <w:r w:rsidR="00B90CA4">
        <w:rPr>
          <w:rFonts w:ascii="Times New Roman" w:hAnsi="Times New Roman" w:cs="Times New Roman"/>
        </w:rPr>
        <w:t>lizingo rinkos įtakos Lietuvos ekonomikai modeliu</w:t>
      </w:r>
      <w:r w:rsidR="00B90CA4" w:rsidRPr="004222DD">
        <w:rPr>
          <w:rFonts w:ascii="Times New Roman" w:hAnsi="Times New Roman" w:cs="Times New Roman"/>
        </w:rPr>
        <w:t xml:space="preserve"> ir </w:t>
      </w:r>
      <w:r w:rsidR="00B90CA4">
        <w:rPr>
          <w:rFonts w:ascii="Times New Roman" w:hAnsi="Times New Roman" w:cs="Times New Roman"/>
        </w:rPr>
        <w:t>gautais atliktų analizių rezultatais</w:t>
      </w:r>
      <w:r w:rsidR="00B90CA4" w:rsidRPr="004222DD">
        <w:rPr>
          <w:rFonts w:ascii="Times New Roman" w:hAnsi="Times New Roman" w:cs="Times New Roman"/>
        </w:rPr>
        <w:t>, galime tvirtai teigti, k</w:t>
      </w:r>
      <w:r>
        <w:rPr>
          <w:rFonts w:ascii="Times New Roman" w:hAnsi="Times New Roman" w:cs="Times New Roman"/>
        </w:rPr>
        <w:t xml:space="preserve">ad suformuluota darbo hipotezė: </w:t>
      </w:r>
      <w:r w:rsidR="00B90CA4" w:rsidRPr="003A0CCF">
        <w:rPr>
          <w:rFonts w:ascii="Times New Roman" w:hAnsi="Times New Roman" w:cs="Times New Roman"/>
        </w:rPr>
        <w:t>Lizingo rinkos plėtra daro te</w:t>
      </w:r>
      <w:r>
        <w:rPr>
          <w:rFonts w:ascii="Times New Roman" w:hAnsi="Times New Roman" w:cs="Times New Roman"/>
        </w:rPr>
        <w:t>igiamą įtaką Lietuvos ekonomikai</w:t>
      </w:r>
      <w:r w:rsidR="00B90CA4" w:rsidRPr="004222DD">
        <w:rPr>
          <w:rFonts w:ascii="Times New Roman" w:hAnsi="Times New Roman" w:cs="Times New Roman"/>
          <w:i/>
          <w:iCs/>
        </w:rPr>
        <w:t xml:space="preserve"> </w:t>
      </w:r>
      <w:r w:rsidR="00B90CA4" w:rsidRPr="004222DD">
        <w:rPr>
          <w:rFonts w:ascii="Times New Roman" w:hAnsi="Times New Roman" w:cs="Times New Roman"/>
        </w:rPr>
        <w:t>yra teisinga.</w:t>
      </w:r>
    </w:p>
    <w:p w:rsidR="0067312A" w:rsidRDefault="0067312A" w:rsidP="00B90CA4">
      <w:pPr>
        <w:tabs>
          <w:tab w:val="left" w:pos="567"/>
          <w:tab w:val="left" w:pos="1134"/>
        </w:tabs>
        <w:spacing w:line="360" w:lineRule="auto"/>
        <w:jc w:val="both"/>
        <w:rPr>
          <w:rFonts w:ascii="Times New Roman" w:hAnsi="Times New Roman" w:cs="Times New Roman"/>
        </w:rPr>
      </w:pPr>
      <w:r>
        <w:rPr>
          <w:rFonts w:ascii="Times New Roman" w:hAnsi="Times New Roman" w:cs="Times New Roman"/>
        </w:rPr>
        <w:tab/>
      </w:r>
    </w:p>
    <w:p w:rsidR="0067312A" w:rsidRDefault="0067312A" w:rsidP="00B90CA4">
      <w:pPr>
        <w:tabs>
          <w:tab w:val="left" w:pos="567"/>
          <w:tab w:val="left" w:pos="1134"/>
        </w:tabs>
        <w:spacing w:line="360" w:lineRule="auto"/>
        <w:jc w:val="both"/>
        <w:rPr>
          <w:rFonts w:ascii="Times New Roman" w:hAnsi="Times New Roman" w:cs="Times New Roman"/>
        </w:rPr>
      </w:pPr>
    </w:p>
    <w:p w:rsidR="0067312A" w:rsidRDefault="0067312A" w:rsidP="00B90CA4">
      <w:pPr>
        <w:tabs>
          <w:tab w:val="left" w:pos="567"/>
          <w:tab w:val="left" w:pos="1134"/>
        </w:tabs>
        <w:spacing w:line="360" w:lineRule="auto"/>
        <w:jc w:val="both"/>
        <w:rPr>
          <w:rFonts w:ascii="Times New Roman" w:hAnsi="Times New Roman" w:cs="Times New Roman"/>
        </w:rPr>
      </w:pPr>
    </w:p>
    <w:p w:rsidR="0067312A" w:rsidRDefault="0067312A" w:rsidP="00B90CA4">
      <w:pPr>
        <w:tabs>
          <w:tab w:val="left" w:pos="567"/>
          <w:tab w:val="left" w:pos="1134"/>
        </w:tabs>
        <w:spacing w:line="360" w:lineRule="auto"/>
        <w:jc w:val="both"/>
        <w:rPr>
          <w:rFonts w:ascii="Times New Roman" w:hAnsi="Times New Roman" w:cs="Times New Roman"/>
          <w:b/>
        </w:rPr>
      </w:pPr>
      <w:r>
        <w:rPr>
          <w:rFonts w:ascii="Times New Roman" w:hAnsi="Times New Roman" w:cs="Times New Roman"/>
        </w:rPr>
        <w:tab/>
      </w:r>
      <w:r>
        <w:rPr>
          <w:rFonts w:ascii="Times New Roman" w:hAnsi="Times New Roman" w:cs="Times New Roman"/>
          <w:b/>
        </w:rPr>
        <w:t>Pasiūlymai:</w:t>
      </w:r>
    </w:p>
    <w:p w:rsidR="009C63F5" w:rsidRPr="009C63F5" w:rsidRDefault="009C63F5" w:rsidP="00B90CA4">
      <w:pPr>
        <w:tabs>
          <w:tab w:val="left" w:pos="567"/>
          <w:tab w:val="left" w:pos="1134"/>
        </w:tabs>
        <w:spacing w:line="360" w:lineRule="auto"/>
        <w:jc w:val="both"/>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Įsitikinus teigiama lizingo rinkos įtaka Lietuvos ekonomikai </w:t>
      </w:r>
      <w:r w:rsidR="007E64B6">
        <w:rPr>
          <w:rFonts w:ascii="Times New Roman" w:hAnsi="Times New Roman" w:cs="Times New Roman"/>
        </w:rPr>
        <w:t xml:space="preserve">suformuluoti </w:t>
      </w:r>
      <w:r>
        <w:rPr>
          <w:rFonts w:ascii="Times New Roman" w:hAnsi="Times New Roman" w:cs="Times New Roman"/>
        </w:rPr>
        <w:t xml:space="preserve">pasiūlymai bus pagrinde nukreipti į lizingo rinkos plėtrą. Lizingo rinkos plėtra, kaip jau išsiaiškinome padės sėkmingai vystytis šalies ūkiui. </w:t>
      </w:r>
    </w:p>
    <w:p w:rsidR="0067312A" w:rsidRDefault="0067312A" w:rsidP="0067312A">
      <w:pPr>
        <w:pStyle w:val="ListParagraph"/>
        <w:numPr>
          <w:ilvl w:val="0"/>
          <w:numId w:val="41"/>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Lietuvos lizingo kompanijų vadovai, žinodami lizingo paslaugos įtaką ir reikšmę šalies ūkiui, g</w:t>
      </w:r>
      <w:r w:rsidR="00B61F1A">
        <w:rPr>
          <w:rFonts w:ascii="Times New Roman" w:hAnsi="Times New Roman" w:cs="Times New Roman"/>
        </w:rPr>
        <w:t>alėtų šią informaciją panaudoti kaip argumentą</w:t>
      </w:r>
      <w:r>
        <w:rPr>
          <w:rFonts w:ascii="Times New Roman" w:hAnsi="Times New Roman" w:cs="Times New Roman"/>
        </w:rPr>
        <w:t xml:space="preserve"> siekdami </w:t>
      </w:r>
      <w:r w:rsidR="00B61F1A">
        <w:rPr>
          <w:rFonts w:ascii="Times New Roman" w:hAnsi="Times New Roman" w:cs="Times New Roman"/>
        </w:rPr>
        <w:t>palankių</w:t>
      </w:r>
      <w:r>
        <w:rPr>
          <w:rFonts w:ascii="Times New Roman" w:hAnsi="Times New Roman" w:cs="Times New Roman"/>
        </w:rPr>
        <w:t xml:space="preserve"> sprendimų iš valdžios institucijų, kurie padėtų jų kompanijoms plėstis ir užimti didesnę rinkos dalį.</w:t>
      </w:r>
    </w:p>
    <w:p w:rsidR="00B61F1A" w:rsidRDefault="00B61F1A" w:rsidP="0067312A">
      <w:pPr>
        <w:pStyle w:val="ListParagraph"/>
        <w:numPr>
          <w:ilvl w:val="0"/>
          <w:numId w:val="41"/>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Naujos bei nedidelės lizingo kompanijos norėdamos įsitvirtinti arba padidinti savo rinkos dalį turėtų pasistengti gerinti </w:t>
      </w:r>
      <w:r w:rsidR="007F1FB4">
        <w:rPr>
          <w:rFonts w:ascii="Times New Roman" w:hAnsi="Times New Roman" w:cs="Times New Roman"/>
        </w:rPr>
        <w:t>savo įvaizdį bei įrodyti</w:t>
      </w:r>
      <w:r>
        <w:rPr>
          <w:rFonts w:ascii="Times New Roman" w:hAnsi="Times New Roman" w:cs="Times New Roman"/>
        </w:rPr>
        <w:t xml:space="preserve"> patikimumą, pasiūlyti greito </w:t>
      </w:r>
      <w:r w:rsidR="007F1FB4">
        <w:rPr>
          <w:rFonts w:ascii="Times New Roman" w:hAnsi="Times New Roman" w:cs="Times New Roman"/>
        </w:rPr>
        <w:t xml:space="preserve">ar net </w:t>
      </w:r>
      <w:r w:rsidR="00851E8C">
        <w:rPr>
          <w:rFonts w:ascii="Times New Roman" w:hAnsi="Times New Roman" w:cs="Times New Roman"/>
        </w:rPr>
        <w:t xml:space="preserve">labai greito </w:t>
      </w:r>
      <w:r>
        <w:rPr>
          <w:rFonts w:ascii="Times New Roman" w:hAnsi="Times New Roman" w:cs="Times New Roman"/>
        </w:rPr>
        <w:t>at</w:t>
      </w:r>
      <w:r w:rsidR="00851E8C">
        <w:rPr>
          <w:rFonts w:ascii="Times New Roman" w:hAnsi="Times New Roman" w:cs="Times New Roman"/>
        </w:rPr>
        <w:t>sakymo dėl finansavimo galimybę savo klientams.</w:t>
      </w:r>
    </w:p>
    <w:p w:rsidR="00B61F1A" w:rsidRDefault="007F1FB4" w:rsidP="0067312A">
      <w:pPr>
        <w:pStyle w:val="ListParagraph"/>
        <w:numPr>
          <w:ilvl w:val="0"/>
          <w:numId w:val="41"/>
        </w:numPr>
        <w:tabs>
          <w:tab w:val="left" w:pos="567"/>
          <w:tab w:val="left" w:pos="1134"/>
        </w:tabs>
        <w:spacing w:line="360" w:lineRule="auto"/>
        <w:ind w:left="0" w:firstLine="567"/>
        <w:jc w:val="both"/>
        <w:rPr>
          <w:rFonts w:ascii="Times New Roman" w:hAnsi="Times New Roman" w:cs="Times New Roman"/>
        </w:rPr>
      </w:pPr>
      <w:r>
        <w:rPr>
          <w:rFonts w:ascii="Times New Roman" w:hAnsi="Times New Roman" w:cs="Times New Roman"/>
        </w:rPr>
        <w:t xml:space="preserve">Lietuvos Bankas turėtų išleisti lankstesnes </w:t>
      </w:r>
      <w:r w:rsidR="006E173E">
        <w:rPr>
          <w:rFonts w:ascii="Times New Roman" w:hAnsi="Times New Roman" w:cs="Times New Roman"/>
        </w:rPr>
        <w:t xml:space="preserve">finansavimo suteikimo taisykles lizingo kompanijoms. </w:t>
      </w:r>
      <w:r w:rsidR="00D11E00">
        <w:rPr>
          <w:rFonts w:ascii="Times New Roman" w:hAnsi="Times New Roman" w:cs="Times New Roman"/>
        </w:rPr>
        <w:t xml:space="preserve">Naujose taisyklėse turėtų būti suteikiama galimybė svarstant finansavimo klausimą prisirišti ne tik prie dabartinių pajamų ir išlaidų santykio, bet </w:t>
      </w:r>
      <w:r w:rsidR="00BE0FFF">
        <w:rPr>
          <w:rFonts w:ascii="Times New Roman" w:hAnsi="Times New Roman" w:cs="Times New Roman"/>
        </w:rPr>
        <w:t>leidžiama</w:t>
      </w:r>
      <w:r w:rsidR="00D11E00">
        <w:rPr>
          <w:rFonts w:ascii="Times New Roman" w:hAnsi="Times New Roman" w:cs="Times New Roman"/>
        </w:rPr>
        <w:t xml:space="preserve"> kiekvieną klientą vertinti individualiai.</w:t>
      </w:r>
    </w:p>
    <w:p w:rsidR="00305BDE" w:rsidRDefault="009C63F5" w:rsidP="00305BDE">
      <w:pPr>
        <w:spacing w:line="360" w:lineRule="auto"/>
        <w:ind w:firstLine="567"/>
        <w:jc w:val="both"/>
        <w:rPr>
          <w:rFonts w:ascii="Times New Roman" w:hAnsi="Times New Roman" w:cs="Times New Roman"/>
        </w:rPr>
      </w:pPr>
      <w:r>
        <w:rPr>
          <w:rFonts w:ascii="Times New Roman" w:hAnsi="Times New Roman" w:cs="Times New Roman"/>
        </w:rPr>
        <w:t>Darbo autoriaus nuomone, svarbu tęsti lizingo rinkos įtakos Lietuvos ekonomikai tyrimus panaudo</w:t>
      </w:r>
      <w:r w:rsidR="00305BDE">
        <w:rPr>
          <w:rFonts w:ascii="Times New Roman" w:hAnsi="Times New Roman" w:cs="Times New Roman"/>
        </w:rPr>
        <w:t>jant naujus metodus. Patvirtinus gautus šio darbo rezultatus</w:t>
      </w:r>
      <w:r w:rsidR="004A19DB">
        <w:rPr>
          <w:rFonts w:ascii="Times New Roman" w:hAnsi="Times New Roman" w:cs="Times New Roman"/>
        </w:rPr>
        <w:t>,</w:t>
      </w:r>
      <w:r w:rsidR="00305BDE">
        <w:rPr>
          <w:rFonts w:ascii="Times New Roman" w:hAnsi="Times New Roman" w:cs="Times New Roman"/>
        </w:rPr>
        <w:t xml:space="preserve"> turėtų būti atliekamos tolimesnės mokslinės studijos siekiant užtikrinti sėkmingą Lietuvos lizingo rinkos ateitį.</w:t>
      </w:r>
    </w:p>
    <w:p w:rsidR="00D11E00" w:rsidRPr="009C63F5" w:rsidRDefault="00D11E00" w:rsidP="009C63F5">
      <w:pPr>
        <w:tabs>
          <w:tab w:val="left" w:pos="567"/>
          <w:tab w:val="left" w:pos="1134"/>
        </w:tabs>
        <w:spacing w:line="360" w:lineRule="auto"/>
        <w:jc w:val="both"/>
        <w:rPr>
          <w:rFonts w:ascii="Times New Roman" w:hAnsi="Times New Roman" w:cs="Times New Roman"/>
        </w:rPr>
      </w:pPr>
    </w:p>
    <w:p w:rsidR="00A14FA4" w:rsidRDefault="00A14FA4">
      <w:pPr>
        <w:spacing w:after="200" w:line="276" w:lineRule="auto"/>
        <w:rPr>
          <w:rFonts w:ascii="Times New Roman" w:eastAsiaTheme="majorEastAsia" w:hAnsi="Times New Roman" w:cs="Times New Roman"/>
          <w:b/>
          <w:bCs/>
          <w:color w:val="auto"/>
          <w:sz w:val="28"/>
          <w:szCs w:val="28"/>
        </w:rPr>
      </w:pPr>
      <w:r>
        <w:br w:type="page"/>
      </w:r>
    </w:p>
    <w:p w:rsidR="00A14FA4" w:rsidRDefault="00A14FA4" w:rsidP="00B92F19">
      <w:pPr>
        <w:pStyle w:val="Heading1"/>
        <w:numPr>
          <w:ilvl w:val="0"/>
          <w:numId w:val="0"/>
        </w:numPr>
        <w:spacing w:before="0"/>
        <w:ind w:left="720" w:hanging="360"/>
      </w:pPr>
    </w:p>
    <w:p w:rsidR="00F575D7" w:rsidRDefault="003F7A2D" w:rsidP="0077589A">
      <w:pPr>
        <w:pStyle w:val="Heading1"/>
        <w:numPr>
          <w:ilvl w:val="0"/>
          <w:numId w:val="0"/>
        </w:numPr>
        <w:spacing w:before="0"/>
        <w:ind w:left="502" w:hanging="360"/>
      </w:pPr>
      <w:bookmarkStart w:id="60" w:name="_Toc343517981"/>
      <w:r>
        <w:t>LITERATŪRA</w:t>
      </w:r>
      <w:bookmarkEnd w:id="60"/>
    </w:p>
    <w:p w:rsidR="003F7A2D" w:rsidRDefault="003F7A2D" w:rsidP="003F7A2D">
      <w:pPr>
        <w:rPr>
          <w:rFonts w:ascii="Times New Roman" w:hAnsi="Times New Roman" w:cs="Times New Roman"/>
        </w:rPr>
      </w:pP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NewRomanPSMT" w:eastAsiaTheme="minorHAnsi" w:hAnsi="TimesNewRomanPSMT" w:cs="TimesNewRomanPSMT"/>
          <w:b/>
          <w:color w:val="auto"/>
          <w:lang w:eastAsia="en-US"/>
        </w:rPr>
        <w:t>Akimov A. et al.</w:t>
      </w:r>
      <w:r w:rsidRPr="009C2031">
        <w:rPr>
          <w:rFonts w:ascii="TimesNewRomanPSMT" w:eastAsiaTheme="minorHAnsi" w:hAnsi="TimesNewRomanPSMT" w:cs="TimesNewRomanPSMT"/>
          <w:color w:val="auto"/>
          <w:lang w:eastAsia="en-US"/>
        </w:rPr>
        <w:t xml:space="preserve"> Finance-Growth Nexus: Evidence fom Transition Economies // University of New England School of Economics, 2006, no. 2006-5, p.1-25 – ISSN 1442-2980. </w:t>
      </w:r>
      <w:hyperlink r:id="rId69" w:history="1">
        <w:r w:rsidRPr="009C2031">
          <w:rPr>
            <w:rStyle w:val="Hyperlink"/>
            <w:rFonts w:ascii="TimesNewRomanPSMT" w:eastAsiaTheme="minorHAnsi" w:hAnsi="TimesNewRomanPSMT" w:cs="TimesNewRomanPSMT"/>
            <w:color w:val="auto"/>
            <w:lang w:eastAsia="en-US"/>
          </w:rPr>
          <w:t>http://www.une.edu.au/business-school/working-papers/economics/1999-2007/econ-2006-5.pdf</w:t>
        </w:r>
      </w:hyperlink>
      <w:r w:rsidRPr="009C2031">
        <w:rPr>
          <w:rFonts w:ascii="TimesNewRomanPSMT" w:eastAsiaTheme="minorHAnsi" w:hAnsi="TimesNewRomanPSMT" w:cs="TimesNewRomanPSMT"/>
          <w:color w:val="auto"/>
          <w:lang w:eastAsia="en-US"/>
        </w:rPr>
        <w:t xml:space="preserve"> [žiūrėta 2012 10 20]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 New Roman" w:hAnsi="Times New Roman" w:cs="Times New Roman"/>
          <w:b/>
          <w:color w:val="auto"/>
        </w:rPr>
        <w:t xml:space="preserve">Alam H. M. et al. </w:t>
      </w:r>
      <w:r w:rsidRPr="009C2031">
        <w:rPr>
          <w:rFonts w:ascii="Times New Roman" w:hAnsi="Times New Roman" w:cs="Times New Roman"/>
          <w:bCs/>
          <w:color w:val="auto"/>
        </w:rPr>
        <w:t>Financial Performance of Leasing Sector. The Case of Pakistan // Interdisciplinary Journal of Contemporary Research in Business. – 2011, vol. 2, no. 12, p. 339-345. - ISSN 20737122.</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NewRomanPSMT" w:eastAsiaTheme="minorHAnsi" w:hAnsi="TimesNewRomanPSMT" w:cs="TimesNewRomanPSMT"/>
          <w:b/>
          <w:color w:val="auto"/>
          <w:lang w:eastAsia="en-US"/>
        </w:rPr>
        <w:t>Backé P., Zumer T.</w:t>
      </w:r>
      <w:r w:rsidRPr="009C2031">
        <w:rPr>
          <w:rFonts w:ascii="TimesNewRomanPSMT" w:eastAsiaTheme="minorHAnsi" w:hAnsi="TimesNewRomanPSMT" w:cs="TimesNewRomanPSMT"/>
          <w:color w:val="auto"/>
          <w:lang w:eastAsia="en-US"/>
        </w:rPr>
        <w:t xml:space="preserve"> Developments in Credit to the Private Sector in Central and Eastern European EU Member States: Emerging from Financial Repression – A Comparative Overview // Focus on European Economic Integration, 2005, No. 2, p. 83-109. </w:t>
      </w:r>
      <w:hyperlink r:id="rId70" w:history="1">
        <w:r w:rsidRPr="009C2031">
          <w:rPr>
            <w:rStyle w:val="Hyperlink"/>
            <w:rFonts w:ascii="TimesNewRomanPSMT" w:eastAsiaTheme="minorHAnsi" w:hAnsi="TimesNewRomanPSMT" w:cs="TimesNewRomanPSMT"/>
            <w:color w:val="auto"/>
            <w:lang w:eastAsia="en-US"/>
          </w:rPr>
          <w:t>http://www.oenb.at/en/img/feei_2005_2_monitor_tcm16-33340.pdf</w:t>
        </w:r>
      </w:hyperlink>
      <w:r w:rsidRPr="009C2031">
        <w:rPr>
          <w:rFonts w:ascii="TimesNewRomanPSMT" w:eastAsiaTheme="minorHAnsi" w:hAnsi="TimesNewRomanPSMT" w:cs="TimesNewRomanPSMT"/>
          <w:color w:val="auto"/>
          <w:lang w:eastAsia="en-US"/>
        </w:rPr>
        <w:t xml:space="preserve"> [žiūrėta 2012 10 20].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NewRomanPSMT" w:eastAsiaTheme="minorHAnsi" w:hAnsi="TimesNewRomanPSMT" w:cs="TimesNewRomanPSMT"/>
          <w:b/>
          <w:color w:val="auto"/>
          <w:lang w:eastAsia="en-US"/>
        </w:rPr>
        <w:t>Balkevičius A.</w:t>
      </w:r>
      <w:r w:rsidRPr="009C2031">
        <w:rPr>
          <w:rFonts w:ascii="Times New Roman" w:hAnsi="Times New Roman" w:cs="Times New Roman"/>
          <w:b/>
          <w:color w:val="auto"/>
        </w:rPr>
        <w:t xml:space="preserve"> </w:t>
      </w:r>
      <w:r w:rsidRPr="009C2031">
        <w:rPr>
          <w:rFonts w:ascii="Times New Roman" w:hAnsi="Times New Roman" w:cs="Times New Roman"/>
          <w:color w:val="auto"/>
        </w:rPr>
        <w:t>Finansų sektoriaus raidos įtaka ūkio plėtrai // Business Systems and Economics. – 2012, No. 2 (2), p. 82-94. – ISSN 2029-8234</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 New Roman" w:hAnsi="Times New Roman" w:cs="Times New Roman"/>
          <w:b/>
          <w:bCs/>
          <w:color w:val="auto"/>
        </w:rPr>
        <w:t xml:space="preserve">Baršauskas P. ir kt. </w:t>
      </w:r>
      <w:r w:rsidRPr="009C2031">
        <w:rPr>
          <w:rFonts w:ascii="Times New Roman" w:hAnsi="Times New Roman" w:cs="Times New Roman"/>
          <w:bCs/>
          <w:color w:val="auto"/>
        </w:rPr>
        <w:t>Kredito rizikos pasireiškimo lizingo sektoriuje specifika ir vertinimo problemos // Organizacijų vadyba: Sisteminiai tyrimai. – 2007, Nr. 41, p. 19-34. – ISSN 1392-1142.</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Beuselinck C. </w:t>
      </w:r>
      <w:r w:rsidRPr="009C2031">
        <w:rPr>
          <w:rFonts w:ascii="Times New Roman" w:hAnsi="Times New Roman" w:cs="Times New Roman"/>
          <w:bCs/>
          <w:color w:val="auto"/>
        </w:rPr>
        <w:t>The Economic Impact Of Leasing // Gent University: Draft Working Paper – 2000, p. 4-5.</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Biagi P. </w:t>
      </w:r>
      <w:r w:rsidRPr="009C2031">
        <w:rPr>
          <w:rFonts w:ascii="Times New Roman" w:hAnsi="Times New Roman" w:cs="Times New Roman"/>
          <w:bCs/>
          <w:color w:val="auto"/>
        </w:rPr>
        <w:t>The Leasing Market in Europe Compared with some Macro-Economical Indicators: an Empirical Anlysis // Leseurope Working Papers. – 1999.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 New Roman" w:hAnsi="Times New Roman" w:cs="Times New Roman"/>
          <w:b/>
          <w:color w:val="auto"/>
        </w:rPr>
        <w:t xml:space="preserve">Contino R. M. </w:t>
      </w:r>
      <w:bookmarkStart w:id="61" w:name="citation"/>
      <w:r w:rsidRPr="009C2031">
        <w:rPr>
          <w:rFonts w:ascii="Times New Roman" w:hAnsi="Times New Roman" w:cs="Times New Roman"/>
          <w:color w:val="auto"/>
        </w:rPr>
        <w:t>Complete Equipment-leasing Handbook : A Deal Maker's Guide With Forms, Checklists, and Worksheets</w:t>
      </w:r>
      <w:bookmarkEnd w:id="61"/>
      <w:r w:rsidRPr="009C2031">
        <w:rPr>
          <w:rFonts w:ascii="Times New Roman" w:hAnsi="Times New Roman" w:cs="Times New Roman"/>
          <w:color w:val="auto"/>
        </w:rPr>
        <w:t>. – New York: Amacom, 2002. – 505 p. – ISBN 9780814426753.</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t>Dainauskienė, I.</w:t>
      </w:r>
      <w:r w:rsidRPr="009C2031">
        <w:rPr>
          <w:rFonts w:ascii="Times New Roman" w:hAnsi="Times New Roman" w:cs="Times New Roman"/>
          <w:color w:val="auto"/>
        </w:rPr>
        <w:t xml:space="preserve"> Lizingas // Vadovams apie valdymą ir ekonomiką. – 1996, Nr. 1, p. 5.</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t>Danys A., Milašauskas T.</w:t>
      </w:r>
      <w:r w:rsidRPr="009C2031">
        <w:rPr>
          <w:rFonts w:ascii="Times New Roman" w:hAnsi="Times New Roman" w:cs="Times New Roman"/>
          <w:color w:val="auto"/>
        </w:rPr>
        <w:t xml:space="preserve"> Lizingas. – Vilnius: Lietuvos bankininkystės, draudimo ir finansų institutas, 2000. – 161 p.</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color w:val="auto"/>
        </w:rPr>
        <w:t>Deo P.</w:t>
      </w:r>
      <w:r w:rsidRPr="009C2031">
        <w:rPr>
          <w:rFonts w:ascii="Times New Roman" w:eastAsiaTheme="minorHAnsi" w:hAnsi="Times New Roman" w:cs="Times New Roman"/>
          <w:b/>
          <w:bCs/>
          <w:color w:val="auto"/>
          <w:sz w:val="72"/>
          <w:szCs w:val="72"/>
          <w:lang w:eastAsia="en-US"/>
        </w:rPr>
        <w:t xml:space="preserve"> </w:t>
      </w:r>
      <w:r w:rsidRPr="009C2031">
        <w:rPr>
          <w:rFonts w:ascii="Times New Roman" w:hAnsi="Times New Roman" w:cs="Times New Roman"/>
          <w:bCs/>
          <w:color w:val="auto"/>
        </w:rPr>
        <w:t>Cross-Border Lease Financing with Japanese Leveraged Leases // The Journal of Structured Finance. – 2008, vol. 13, no. 4: p. 36-48.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NewRomanPSMT" w:eastAsiaTheme="minorHAnsi" w:hAnsi="TimesNewRomanPSMT" w:cs="TimesNewRomanPSMT"/>
          <w:b/>
          <w:color w:val="auto"/>
          <w:lang w:eastAsia="en-US"/>
        </w:rPr>
        <w:t xml:space="preserve">Drakos K. </w:t>
      </w:r>
      <w:r w:rsidRPr="009C2031">
        <w:rPr>
          <w:rFonts w:ascii="TimesNewRomanPSMT" w:eastAsiaTheme="minorHAnsi" w:hAnsi="TimesNewRomanPSMT" w:cs="TimesNewRomanPSMT"/>
          <w:color w:val="auto"/>
          <w:lang w:eastAsia="en-US"/>
        </w:rPr>
        <w:t xml:space="preserve">Assessing the Success of Reform in Transition Banking 10 Years Later: an Interest Margins Analysis // Journal of Policy Modeling, 2003, vol.25, iss.3, p. 309-317. </w:t>
      </w:r>
      <w:hyperlink r:id="rId71" w:history="1">
        <w:r w:rsidRPr="009C2031">
          <w:rPr>
            <w:rStyle w:val="Hyperlink"/>
            <w:rFonts w:ascii="TimesNewRomanPSMT" w:eastAsiaTheme="minorHAnsi" w:hAnsi="TimesNewRomanPSMT" w:cs="TimesNewRomanPSMT"/>
            <w:color w:val="auto"/>
            <w:lang w:eastAsia="en-US"/>
          </w:rPr>
          <w:t>http://www.sciencedirect.com/science/article/pii/S0161893803000279</w:t>
        </w:r>
      </w:hyperlink>
      <w:r w:rsidRPr="009C2031">
        <w:rPr>
          <w:rFonts w:ascii="TimesNewRomanPSMT" w:eastAsiaTheme="minorHAnsi" w:hAnsi="TimesNewRomanPSMT" w:cs="TimesNewRomanPSMT"/>
          <w:color w:val="auto"/>
          <w:lang w:eastAsia="en-US"/>
        </w:rPr>
        <w:t xml:space="preserve"> [žiūrėta 2012 10 21].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NewRomanPSMT" w:eastAsiaTheme="minorHAnsi" w:hAnsi="TimesNewRomanPSMT" w:cs="TimesNewRomanPSMT"/>
          <w:color w:val="auto"/>
          <w:lang w:eastAsia="en-US"/>
        </w:rPr>
      </w:pPr>
      <w:r w:rsidRPr="009C2031">
        <w:rPr>
          <w:rFonts w:ascii="TimesNewRomanPSMT" w:eastAsiaTheme="minorHAnsi" w:hAnsi="TimesNewRomanPSMT" w:cs="TimesNewRomanPSMT"/>
          <w:b/>
          <w:color w:val="auto"/>
          <w:lang w:eastAsia="en-US"/>
        </w:rPr>
        <w:t>European Bank for Reconstruction and Development.</w:t>
      </w:r>
      <w:r w:rsidRPr="009C2031">
        <w:rPr>
          <w:rFonts w:ascii="TimesNewRomanPSMT" w:eastAsiaTheme="minorHAnsi" w:hAnsi="TimesNewRomanPSMT" w:cs="TimesNewRomanPSMT"/>
          <w:color w:val="auto"/>
          <w:lang w:eastAsia="en-US"/>
        </w:rPr>
        <w:t xml:space="preserve">  Transition report 2006, 2006. </w:t>
      </w:r>
      <w:hyperlink r:id="rId72" w:history="1">
        <w:r w:rsidRPr="009C2031">
          <w:rPr>
            <w:rStyle w:val="Hyperlink"/>
            <w:rFonts w:ascii="TimesNewRomanPSMT" w:eastAsiaTheme="minorHAnsi" w:hAnsi="TimesNewRomanPSMT" w:cs="TimesNewRomanPSMT"/>
            <w:color w:val="auto"/>
            <w:lang w:eastAsia="en-US"/>
          </w:rPr>
          <w:t>http://www.ebrd.com/downloads/research/transition/TR06.pdf</w:t>
        </w:r>
      </w:hyperlink>
      <w:r w:rsidRPr="009C2031">
        <w:rPr>
          <w:rFonts w:ascii="TimesNewRomanPSMT" w:eastAsiaTheme="minorHAnsi" w:hAnsi="TimesNewRomanPSMT" w:cs="TimesNewRomanPSMT"/>
          <w:color w:val="auto"/>
          <w:lang w:eastAsia="en-US"/>
        </w:rPr>
        <w:t xml:space="preserve"> [žiūrėti 2012 10 21].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NewRomanPSMT" w:eastAsiaTheme="minorHAnsi" w:hAnsi="TimesNewRomanPSMT" w:cs="TimesNewRomanPSMT"/>
          <w:b/>
          <w:color w:val="auto"/>
          <w:lang w:eastAsia="en-US"/>
        </w:rPr>
        <w:lastRenderedPageBreak/>
        <w:t xml:space="preserve">Fink G. et al. </w:t>
      </w:r>
      <w:r w:rsidRPr="009C2031">
        <w:rPr>
          <w:rFonts w:ascii="TimesNewRomanPSMT" w:eastAsiaTheme="minorHAnsi" w:hAnsi="TimesNewRomanPSMT" w:cs="TimesNewRomanPSMT"/>
          <w:color w:val="auto"/>
          <w:lang w:eastAsia="en-US"/>
        </w:rPr>
        <w:t xml:space="preserve">Importance of Financial Sectors for Growth in Accession Countries // European Finance Associacion Annual Meeting, 2005, p. 1-34.  </w:t>
      </w:r>
      <w:hyperlink r:id="rId73" w:history="1">
        <w:r w:rsidRPr="009C2031">
          <w:rPr>
            <w:rStyle w:val="Hyperlink"/>
            <w:rFonts w:ascii="TimesNewRomanPSMT" w:eastAsiaTheme="minorHAnsi" w:hAnsi="TimesNewRomanPSMT" w:cs="TimesNewRomanPSMT"/>
            <w:color w:val="auto"/>
            <w:lang w:eastAsia="en-US"/>
          </w:rPr>
          <w:t>http://papers.ssrn.com/sol3/papers.cfm?abstract_id=676321</w:t>
        </w:r>
      </w:hyperlink>
      <w:r w:rsidRPr="009C2031">
        <w:rPr>
          <w:rFonts w:ascii="TimesNewRomanPSMT" w:eastAsiaTheme="minorHAnsi" w:hAnsi="TimesNewRomanPSMT" w:cs="TimesNewRomanPSMT"/>
          <w:color w:val="auto"/>
          <w:lang w:eastAsia="en-US"/>
        </w:rPr>
        <w:t xml:space="preserve"> [žiūrėta 2012 10 20].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NewRomanPSMT" w:eastAsiaTheme="minorHAnsi" w:hAnsi="TimesNewRomanPSMT" w:cs="TimesNewRomanPSMT"/>
          <w:b/>
          <w:color w:val="auto"/>
          <w:lang w:eastAsia="en-US"/>
        </w:rPr>
        <w:t xml:space="preserve">Fink G. et al. </w:t>
      </w:r>
      <w:r w:rsidRPr="009C2031">
        <w:rPr>
          <w:rFonts w:ascii="TimesNewRomanPSMT" w:eastAsiaTheme="minorHAnsi" w:hAnsi="TimesNewRomanPSMT" w:cs="TimesNewRomanPSMT"/>
          <w:color w:val="auto"/>
          <w:lang w:eastAsia="en-US"/>
        </w:rPr>
        <w:t xml:space="preserve">The Finance-Growth Nexus: Market Economies vs. Transition Countries // EuropeInstitute Working Papers, 2005, No. 64, p. 1-46. </w:t>
      </w:r>
      <w:hyperlink r:id="rId74" w:history="1">
        <w:r w:rsidRPr="009C2031">
          <w:rPr>
            <w:rStyle w:val="Hyperlink"/>
            <w:rFonts w:ascii="TimesNewRomanPSMT" w:eastAsiaTheme="minorHAnsi" w:hAnsi="TimesNewRomanPSMT" w:cs="TimesNewRomanPSMT"/>
            <w:color w:val="auto"/>
            <w:lang w:eastAsia="en-US"/>
          </w:rPr>
          <w:t>http://papers.ssrn.com/sol3/papers.cfm?abstract_id=863424</w:t>
        </w:r>
      </w:hyperlink>
      <w:r w:rsidRPr="009C2031">
        <w:rPr>
          <w:rFonts w:ascii="TimesNewRomanPSMT" w:eastAsiaTheme="minorHAnsi" w:hAnsi="TimesNewRomanPSMT" w:cs="TimesNewRomanPSMT"/>
          <w:color w:val="auto"/>
          <w:lang w:eastAsia="en-US"/>
        </w:rPr>
        <w:t xml:space="preserve"> [žiūrėta 2012 10 21]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NewRomanPSMT" w:eastAsiaTheme="minorHAnsi" w:hAnsi="TimesNewRomanPSMT" w:cs="TimesNewRomanPSMT"/>
          <w:b/>
          <w:color w:val="auto"/>
          <w:lang w:eastAsia="en-US"/>
        </w:rPr>
        <w:t>Fleming M.</w:t>
      </w:r>
      <w:r w:rsidRPr="009C2031">
        <w:rPr>
          <w:rFonts w:ascii="Times New Roman" w:hAnsi="Times New Roman" w:cs="Times New Roman"/>
          <w:b/>
          <w:bCs/>
          <w:color w:val="auto"/>
        </w:rPr>
        <w:t xml:space="preserve"> </w:t>
      </w:r>
      <w:r w:rsidRPr="009C2031">
        <w:rPr>
          <w:rFonts w:ascii="Times New Roman" w:hAnsi="Times New Roman" w:cs="Times New Roman"/>
          <w:bCs/>
          <w:color w:val="auto"/>
        </w:rPr>
        <w:t xml:space="preserve">The Leasing Industry‘s Impact on the Economy // Equipment Leasing and Finance Asociacion ELT Magazine. – 2004, p. 19-25. </w:t>
      </w:r>
      <w:hyperlink r:id="rId75" w:history="1">
        <w:r w:rsidRPr="009C2031">
          <w:rPr>
            <w:rStyle w:val="Hyperlink"/>
            <w:rFonts w:ascii="Times New Roman" w:hAnsi="Times New Roman" w:cs="Times New Roman"/>
            <w:bCs/>
            <w:color w:val="auto"/>
          </w:rPr>
          <w:t>http://www.elfaonline.org/cvweb_elfa/Product_Downloads/ACF606.pdf</w:t>
        </w:r>
      </w:hyperlink>
      <w:r w:rsidRPr="009C2031">
        <w:rPr>
          <w:rFonts w:ascii="Times New Roman" w:hAnsi="Times New Roman" w:cs="Times New Roman"/>
          <w:bCs/>
          <w:color w:val="auto"/>
        </w:rPr>
        <w:t xml:space="preserve"> [žiūrėta 2012 10 15].</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Galič P. K., Funarič M. R. </w:t>
      </w:r>
      <w:r w:rsidRPr="009C2031">
        <w:rPr>
          <w:rFonts w:ascii="Times New Roman" w:hAnsi="Times New Roman" w:cs="Times New Roman"/>
          <w:bCs/>
          <w:color w:val="auto"/>
        </w:rPr>
        <w:t>Development Of Leasing In Transitional Economies // Conference Proceedings: International Conference of the Faculty of Economics Sarajevo (ICES). – 2008, p. 1-12.</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Gallardo J. </w:t>
      </w:r>
      <w:r w:rsidRPr="009C2031">
        <w:rPr>
          <w:rFonts w:ascii="Times New Roman" w:hAnsi="Times New Roman" w:cs="Times New Roman"/>
          <w:bCs/>
          <w:color w:val="auto"/>
        </w:rPr>
        <w:t xml:space="preserve">Leasing to Support Small Businesses and Microenterprises // World Bank Working Paper. – 1997, p. 1-39. </w:t>
      </w:r>
      <w:hyperlink r:id="rId76" w:history="1">
        <w:r w:rsidRPr="009C2031">
          <w:rPr>
            <w:rStyle w:val="Hyperlink"/>
            <w:rFonts w:ascii="Times New Roman" w:hAnsi="Times New Roman" w:cs="Times New Roman"/>
            <w:bCs/>
            <w:color w:val="auto"/>
          </w:rPr>
          <w:t>http://practicalaction.org/microleasing/docs/gallardo.pdf</w:t>
        </w:r>
      </w:hyperlink>
      <w:r w:rsidRPr="009C2031">
        <w:rPr>
          <w:rFonts w:ascii="Times New Roman" w:hAnsi="Times New Roman" w:cs="Times New Roman"/>
          <w:bCs/>
          <w:color w:val="auto"/>
        </w:rPr>
        <w:t xml:space="preserve"> [žiūrėta 2012 06 16]</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color w:val="auto"/>
        </w:rPr>
        <w:t xml:space="preserve">Gazman V. </w:t>
      </w:r>
      <w:r w:rsidRPr="009C2031">
        <w:rPr>
          <w:rFonts w:ascii="Times New Roman" w:hAnsi="Times New Roman" w:cs="Times New Roman"/>
          <w:bCs/>
          <w:color w:val="auto"/>
        </w:rPr>
        <w:t xml:space="preserve">Arrhythmia of the Leasing Market // </w:t>
      </w:r>
      <w:r w:rsidRPr="009C2031">
        <w:rPr>
          <w:rFonts w:ascii="Times New Roman" w:hAnsi="Times New Roman" w:cs="Times New Roman"/>
          <w:bCs/>
          <w:iCs/>
          <w:color w:val="auto"/>
        </w:rPr>
        <w:t xml:space="preserve">Problems of Economic Transition. – 2011, vol. 54, no. 2, p. 60-74. - ISSN 1061–1991.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color w:val="auto"/>
        </w:rPr>
        <w:t>Goremykin, V.A.</w:t>
      </w:r>
      <w:r w:rsidRPr="009C2031">
        <w:rPr>
          <w:rFonts w:ascii="Times New Roman" w:hAnsi="Times New Roman" w:cs="Times New Roman"/>
          <w:color w:val="auto"/>
        </w:rPr>
        <w:t xml:space="preserve"> Leasing. – Moscow: Filin, 2009. – 944 p. – ISBN 5-9216-20020056.</w:t>
      </w:r>
    </w:p>
    <w:p w:rsidR="00C21EF9" w:rsidRPr="009C2031" w:rsidRDefault="00C21EF9"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color w:val="auto"/>
        </w:rPr>
        <w:t xml:space="preserve">Grönlund et al. </w:t>
      </w:r>
      <w:r w:rsidRPr="009C2031">
        <w:rPr>
          <w:rFonts w:ascii="Times New Roman" w:hAnsi="Times New Roman" w:cs="Times New Roman"/>
          <w:color w:val="auto"/>
        </w:rPr>
        <w:t>Corporate Real Estate Sale and Leaseback Effect: Empirical Evidence from Europe // European Financial Managent. – 2008, vol.14, no. 4, p. 820-843. – ISSN 1354-7798.</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NewRomanPSMT" w:eastAsiaTheme="minorHAnsi" w:hAnsi="TimesNewRomanPSMT" w:cs="TimesNewRomanPSMT"/>
          <w:b/>
          <w:color w:val="auto"/>
          <w:lang w:eastAsia="en-US"/>
        </w:rPr>
        <w:t>Hagmayr B., Haiss P</w:t>
      </w:r>
      <w:r w:rsidRPr="009C2031">
        <w:rPr>
          <w:rFonts w:ascii="TimesNewRomanPSMT" w:eastAsiaTheme="minorHAnsi" w:hAnsi="TimesNewRomanPSMT" w:cs="TimesNewRomanPSMT"/>
          <w:color w:val="auto"/>
          <w:lang w:eastAsia="en-US"/>
        </w:rPr>
        <w:t xml:space="preserve">.,. Financial Sector Development and Economic Growth – Evidence for Southeastern Europe // Impacts of Foreign Direct Investments on Banking Sectors in South East European Countries. – 2007, p. 7-29. – ISBN 978-954-9359-30-5. </w:t>
      </w:r>
      <w:hyperlink r:id="rId77" w:history="1">
        <w:r w:rsidRPr="009C2031">
          <w:rPr>
            <w:rStyle w:val="Hyperlink"/>
            <w:rFonts w:ascii="TimesNewRomanPSMT" w:eastAsiaTheme="minorHAnsi" w:hAnsi="TimesNewRomanPSMT" w:cs="TimesNewRomanPSMT"/>
            <w:color w:val="auto"/>
            <w:lang w:eastAsia="en-US"/>
          </w:rPr>
          <w:t>http://pdc.ceu.hu/archive/00004040/01/OeNB.pdf</w:t>
        </w:r>
      </w:hyperlink>
      <w:r w:rsidRPr="009C2031">
        <w:rPr>
          <w:rFonts w:ascii="TimesNewRomanPSMT" w:eastAsiaTheme="minorHAnsi" w:hAnsi="TimesNewRomanPSMT" w:cs="TimesNewRomanPSMT"/>
          <w:color w:val="auto"/>
          <w:lang w:eastAsia="en-US"/>
        </w:rPr>
        <w:t xml:space="preserve"> [žiūrėta 2012 10 20]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 New Roman" w:hAnsi="Times New Roman" w:cs="Times New Roman"/>
          <w:b/>
          <w:color w:val="auto"/>
        </w:rPr>
        <w:t>Hepp J., Gupta R.</w:t>
      </w:r>
      <w:r w:rsidRPr="009C2031">
        <w:rPr>
          <w:rFonts w:ascii="Times New Roman" w:hAnsi="Times New Roman" w:cs="Times New Roman"/>
          <w:color w:val="auto"/>
        </w:rPr>
        <w:t xml:space="preserve"> Preparing for New Lease Accounting // Financial Executi</w:t>
      </w:r>
      <w:r w:rsidR="0077589A" w:rsidRPr="009C2031">
        <w:rPr>
          <w:rFonts w:ascii="Times New Roman" w:hAnsi="Times New Roman" w:cs="Times New Roman"/>
          <w:color w:val="auto"/>
        </w:rPr>
        <w:t xml:space="preserve">ve. – 2010, vol. 26, p. 49-53.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t>International Dictonary of Finance</w:t>
      </w:r>
      <w:r w:rsidRPr="009C2031">
        <w:rPr>
          <w:rFonts w:ascii="Times New Roman" w:hAnsi="Times New Roman" w:cs="Times New Roman"/>
          <w:color w:val="auto"/>
        </w:rPr>
        <w:t xml:space="preserve">, </w:t>
      </w:r>
      <w:r w:rsidRPr="009C2031">
        <w:rPr>
          <w:rFonts w:ascii="Times New Roman" w:hAnsi="Times New Roman" w:cs="Times New Roman"/>
          <w:b/>
          <w:color w:val="auto"/>
        </w:rPr>
        <w:t>4th Edition.</w:t>
      </w:r>
      <w:r w:rsidRPr="009C2031">
        <w:rPr>
          <w:rFonts w:ascii="Times New Roman" w:hAnsi="Times New Roman" w:cs="Times New Roman"/>
          <w:color w:val="auto"/>
        </w:rPr>
        <w:t xml:space="preserve"> – New York, 2003, 287 p. – ISBN 9781861974785.</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International Finance Corporation. </w:t>
      </w:r>
      <w:r w:rsidRPr="009C2031">
        <w:rPr>
          <w:rFonts w:ascii="Times New Roman" w:hAnsi="Times New Roman" w:cs="Times New Roman"/>
          <w:bCs/>
          <w:color w:val="auto"/>
        </w:rPr>
        <w:t xml:space="preserve">Financial Leasing in Russia: Market Survey 2001–2002. – 2002,  p. 122.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 New Roman" w:hAnsi="Times New Roman" w:cs="Times New Roman"/>
          <w:b/>
          <w:color w:val="auto"/>
        </w:rPr>
        <w:t xml:space="preserve">Yang J. </w:t>
      </w:r>
      <w:r w:rsidRPr="009C2031">
        <w:rPr>
          <w:rFonts w:ascii="Times New Roman" w:hAnsi="Times New Roman" w:cs="Times New Roman"/>
          <w:color w:val="auto"/>
        </w:rPr>
        <w:t>The Research on Financial Leasing and China‘s Small Micro Enterprices // International Business and Management, 2012, vol. 5, no. 1, p. 33-37. – ISSN 1923-8428.</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NewRomanPSMT" w:eastAsiaTheme="minorHAnsi" w:hAnsi="TimesNewRomanPSMT" w:cs="TimesNewRomanPSMT"/>
          <w:b/>
          <w:color w:val="auto"/>
          <w:lang w:eastAsia="en-US"/>
        </w:rPr>
        <w:t>Jaffee D., Levonian, M.</w:t>
      </w:r>
      <w:r w:rsidRPr="009C2031">
        <w:rPr>
          <w:rFonts w:ascii="TimesNewRomanPSMT" w:eastAsiaTheme="minorHAnsi" w:hAnsi="TimesNewRomanPSMT" w:cs="TimesNewRomanPSMT"/>
          <w:color w:val="auto"/>
          <w:lang w:eastAsia="en-US"/>
        </w:rPr>
        <w:t xml:space="preserve"> The Structure of Banking Systems in Developed and Transition Economies // European Financial Management, 2000, vol. 7, no.2, p. 161-181. </w:t>
      </w:r>
      <w:hyperlink r:id="rId78" w:history="1">
        <w:r w:rsidRPr="009C2031">
          <w:rPr>
            <w:rStyle w:val="Hyperlink"/>
            <w:rFonts w:ascii="TimesNewRomanPSMT" w:eastAsiaTheme="minorHAnsi" w:hAnsi="TimesNewRomanPSMT" w:cs="TimesNewRomanPSMT"/>
            <w:color w:val="auto"/>
            <w:lang w:eastAsia="en-US"/>
          </w:rPr>
          <w:t>http://faculty.haas.berkeley.edu/jaffee/papers/Levonian.pdf</w:t>
        </w:r>
      </w:hyperlink>
      <w:r w:rsidRPr="009C2031">
        <w:rPr>
          <w:rFonts w:ascii="TimesNewRomanPSMT" w:eastAsiaTheme="minorHAnsi" w:hAnsi="TimesNewRomanPSMT" w:cs="TimesNewRomanPSMT"/>
          <w:color w:val="auto"/>
          <w:lang w:eastAsia="en-US"/>
        </w:rPr>
        <w:t xml:space="preserve"> [žiūrėta 2012 10 21].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lastRenderedPageBreak/>
        <w:t>Jurgutytė J.</w:t>
      </w:r>
      <w:r w:rsidRPr="009C2031">
        <w:rPr>
          <w:rFonts w:ascii="Times New Roman" w:hAnsi="Times New Roman" w:cs="Times New Roman"/>
          <w:color w:val="auto"/>
        </w:rPr>
        <w:t xml:space="preserve"> Lizingas: apie viską iš pradžių // Perspektyva. – 2003, Nr. 1, p. 2. </w:t>
      </w:r>
      <w:hyperlink r:id="rId79" w:history="1">
        <w:r w:rsidRPr="009C2031">
          <w:rPr>
            <w:rStyle w:val="Hyperlink"/>
            <w:rFonts w:ascii="Times New Roman" w:hAnsi="Times New Roman" w:cs="Times New Roman"/>
            <w:color w:val="auto"/>
          </w:rPr>
          <w:t>http://www.lja.lt/naujas/absolventu_klubas/perspektyva/1_nr/NR1.pdf</w:t>
        </w:r>
      </w:hyperlink>
      <w:r w:rsidRPr="009C2031">
        <w:rPr>
          <w:rFonts w:ascii="Times New Roman" w:hAnsi="Times New Roman" w:cs="Times New Roman"/>
          <w:color w:val="auto"/>
        </w:rPr>
        <w:t xml:space="preserve"> [žiūrėta 2012 06 13]</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NewRomanPSMT" w:eastAsiaTheme="minorHAnsi" w:hAnsi="TimesNewRomanPSMT" w:cs="TimesNewRomanPSMT"/>
          <w:b/>
          <w:color w:val="auto"/>
          <w:lang w:eastAsia="en-US"/>
        </w:rPr>
        <w:t>Kichler E.</w:t>
      </w:r>
      <w:r w:rsidRPr="009C2031">
        <w:rPr>
          <w:rFonts w:ascii="Times New Roman" w:hAnsi="Times New Roman" w:cs="Times New Roman"/>
          <w:b/>
          <w:bCs/>
          <w:color w:val="auto"/>
        </w:rPr>
        <w:t xml:space="preserve">, Haiss P. </w:t>
      </w:r>
      <w:r w:rsidRPr="009C2031">
        <w:rPr>
          <w:rFonts w:ascii="Times New Roman" w:hAnsi="Times New Roman" w:cs="Times New Roman"/>
          <w:bCs/>
          <w:color w:val="auto"/>
        </w:rPr>
        <w:t xml:space="preserve">Leasing and Economic Growth – Evidence for Central and South Europe // Europeinstitut Working Papers. – 2009, No. 80, p. 3-39. </w:t>
      </w:r>
      <w:hyperlink r:id="rId80" w:history="1">
        <w:r w:rsidRPr="009C2031">
          <w:rPr>
            <w:rStyle w:val="Hyperlink"/>
            <w:rFonts w:ascii="Times New Roman" w:hAnsi="Times New Roman" w:cs="Times New Roman"/>
            <w:bCs/>
            <w:color w:val="auto"/>
          </w:rPr>
          <w:t>http://epub.wu.ac.at/420/1/document.pdf</w:t>
        </w:r>
      </w:hyperlink>
      <w:r w:rsidRPr="009C2031">
        <w:rPr>
          <w:rFonts w:ascii="Times New Roman" w:hAnsi="Times New Roman" w:cs="Times New Roman"/>
          <w:bCs/>
          <w:color w:val="auto"/>
        </w:rPr>
        <w:t xml:space="preserve"> [žiūrėta 2012 10 26].</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 New Roman" w:hAnsi="Times New Roman" w:cs="Times New Roman"/>
          <w:b/>
          <w:bCs/>
          <w:color w:val="auto"/>
        </w:rPr>
        <w:t xml:space="preserve">Kiplinger Washington Editors. </w:t>
      </w:r>
      <w:r w:rsidRPr="009C2031">
        <w:rPr>
          <w:rFonts w:ascii="Times New Roman" w:hAnsi="Times New Roman" w:cs="Times New Roman"/>
          <w:bCs/>
          <w:color w:val="auto"/>
        </w:rPr>
        <w:t xml:space="preserve">Raising Capital Kiplinger Washington Editors. – Washington: Kiplinger Washington Editors, 2003, p. 131-156.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 New Roman" w:hAnsi="Times New Roman" w:cs="Times New Roman"/>
          <w:b/>
          <w:bCs/>
          <w:color w:val="auto"/>
        </w:rPr>
        <w:t xml:space="preserve">Kirkby A. </w:t>
      </w:r>
      <w:r w:rsidRPr="009C2031">
        <w:rPr>
          <w:rFonts w:ascii="Times New Roman" w:hAnsi="Times New Roman" w:cs="Times New Roman"/>
          <w:bCs/>
          <w:color w:val="auto"/>
        </w:rPr>
        <w:t>Time to Bring in the Specialists</w:t>
      </w:r>
      <w:r w:rsidRPr="009C2031">
        <w:rPr>
          <w:rFonts w:ascii="Times New Roman" w:hAnsi="Times New Roman" w:cs="Times New Roman"/>
          <w:b/>
          <w:bCs/>
          <w:color w:val="auto"/>
        </w:rPr>
        <w:t xml:space="preserve"> // </w:t>
      </w:r>
      <w:r w:rsidRPr="009C2031">
        <w:rPr>
          <w:rFonts w:ascii="Times New Roman" w:hAnsi="Times New Roman" w:cs="Times New Roman"/>
          <w:bCs/>
          <w:color w:val="auto"/>
        </w:rPr>
        <w:t>Central European. – 1999, nr. 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NewRomanPSMT" w:eastAsiaTheme="minorHAnsi" w:hAnsi="TimesNewRomanPSMT" w:cs="TimesNewRomanPSMT"/>
          <w:b/>
          <w:color w:val="auto"/>
          <w:lang w:eastAsia="en-US"/>
        </w:rPr>
        <w:t>Koh P.</w:t>
      </w:r>
      <w:r w:rsidRPr="009C2031">
        <w:rPr>
          <w:rFonts w:ascii="TimesNewRomanPSMT" w:eastAsiaTheme="minorHAnsi" w:hAnsi="TimesNewRomanPSMT" w:cs="TimesNewRomanPSMT"/>
          <w:color w:val="auto"/>
          <w:lang w:eastAsia="en-US"/>
        </w:rPr>
        <w:t xml:space="preserve"> Leasing gives Loans a Run for their Money // Euromoney, 2006, no. 450, vol. 37, p. 90-92. </w:t>
      </w:r>
      <w:hyperlink r:id="rId81" w:history="1">
        <w:r w:rsidRPr="009C2031">
          <w:rPr>
            <w:rStyle w:val="Hyperlink"/>
            <w:rFonts w:ascii="TimesNewRomanPSMT" w:eastAsiaTheme="minorHAnsi" w:hAnsi="TimesNewRomanPSMT" w:cs="TimesNewRomanPSMT"/>
            <w:color w:val="auto"/>
            <w:lang w:eastAsia="en-US"/>
          </w:rPr>
          <w:t>http://library.agri-bank.com/pdfTemp/A5208.pdf</w:t>
        </w:r>
      </w:hyperlink>
      <w:r w:rsidRPr="009C2031">
        <w:rPr>
          <w:rFonts w:ascii="TimesNewRomanPSMT" w:eastAsiaTheme="minorHAnsi" w:hAnsi="TimesNewRomanPSMT" w:cs="TimesNewRomanPSMT"/>
          <w:color w:val="auto"/>
          <w:lang w:eastAsia="en-US"/>
        </w:rPr>
        <w:t xml:space="preserve"> [žiūrėta 2012 10 21].</w:t>
      </w:r>
    </w:p>
    <w:p w:rsidR="00E66383" w:rsidRPr="009C2031" w:rsidRDefault="00E66383" w:rsidP="006034C7">
      <w:pPr>
        <w:pStyle w:val="ListParagraph"/>
        <w:numPr>
          <w:ilvl w:val="0"/>
          <w:numId w:val="36"/>
        </w:numPr>
        <w:tabs>
          <w:tab w:val="left" w:pos="1134"/>
        </w:tabs>
        <w:spacing w:line="360" w:lineRule="auto"/>
        <w:ind w:left="0" w:firstLine="567"/>
        <w:rPr>
          <w:rFonts w:ascii="Times New Roman" w:hAnsi="Times New Roman" w:cs="Times New Roman"/>
          <w:bCs/>
          <w:color w:val="auto"/>
        </w:rPr>
      </w:pPr>
      <w:r w:rsidRPr="009C2031">
        <w:rPr>
          <w:rFonts w:ascii="TimesNewRomanPSMT" w:eastAsiaTheme="minorHAnsi" w:hAnsi="TimesNewRomanPSMT" w:cs="TimesNewRomanPSMT"/>
          <w:b/>
          <w:color w:val="auto"/>
          <w:lang w:eastAsia="en-US"/>
        </w:rPr>
        <w:t>Koivu T.</w:t>
      </w:r>
      <w:r w:rsidRPr="009C2031">
        <w:rPr>
          <w:rFonts w:ascii="TimesNewRomanPSMT" w:eastAsiaTheme="minorHAnsi" w:hAnsi="TimesNewRomanPSMT" w:cs="TimesNewRomanPSMT"/>
          <w:color w:val="auto"/>
          <w:lang w:eastAsia="en-US"/>
        </w:rPr>
        <w:t xml:space="preserve">, Do efficient banking sectors accelerate economic growth in transition countries? // Discussion Papers, 2002, No. 14, p. 1-28.  </w:t>
      </w:r>
      <w:hyperlink r:id="rId82" w:history="1">
        <w:r w:rsidRPr="009C2031">
          <w:rPr>
            <w:rStyle w:val="Hyperlink"/>
            <w:rFonts w:ascii="TimesNewRomanPSMT" w:eastAsiaTheme="minorHAnsi" w:hAnsi="TimesNewRomanPSMT" w:cs="TimesNewRomanPSMT"/>
            <w:color w:val="auto"/>
            <w:lang w:eastAsia="en-US"/>
          </w:rPr>
          <w:t>http://papers.ssrn.com/sol3/papers.cfm?abstract_id=1015710</w:t>
        </w:r>
      </w:hyperlink>
      <w:r w:rsidRPr="009C2031">
        <w:rPr>
          <w:rFonts w:ascii="TimesNewRomanPSMT" w:eastAsiaTheme="minorHAnsi" w:hAnsi="TimesNewRomanPSMT" w:cs="TimesNewRomanPSMT"/>
          <w:color w:val="auto"/>
          <w:lang w:eastAsia="en-US"/>
        </w:rPr>
        <w:t xml:space="preserve"> [Žiūrėta 2012 10 21].</w:t>
      </w:r>
    </w:p>
    <w:p w:rsidR="00E66383" w:rsidRPr="009C2031" w:rsidRDefault="00E66383" w:rsidP="006034C7">
      <w:pPr>
        <w:pStyle w:val="ListParagraph"/>
        <w:numPr>
          <w:ilvl w:val="0"/>
          <w:numId w:val="36"/>
        </w:numPr>
        <w:tabs>
          <w:tab w:val="left" w:pos="1134"/>
        </w:tabs>
        <w:spacing w:line="360" w:lineRule="auto"/>
        <w:ind w:left="0" w:firstLine="567"/>
        <w:rPr>
          <w:rFonts w:ascii="Times New Roman" w:hAnsi="Times New Roman" w:cs="Times New Roman"/>
          <w:b/>
          <w:bCs/>
          <w:color w:val="auto"/>
        </w:rPr>
      </w:pPr>
      <w:r w:rsidRPr="009C2031">
        <w:rPr>
          <w:rFonts w:ascii="Times New Roman" w:hAnsi="Times New Roman" w:cs="Times New Roman"/>
          <w:b/>
          <w:bCs/>
          <w:color w:val="auto"/>
        </w:rPr>
        <w:t xml:space="preserve">Leaseurope. </w:t>
      </w:r>
      <w:r w:rsidRPr="009C2031">
        <w:rPr>
          <w:rFonts w:ascii="Times New Roman" w:hAnsi="Times New Roman" w:cs="Times New Roman"/>
          <w:bCs/>
          <w:color w:val="auto"/>
        </w:rPr>
        <w:t>European Leasing. A Joint Leaseurepe and KPMG‘s Asset Finnace Tax Network Publikation, 2012</w:t>
      </w:r>
      <w:r w:rsidR="0077589A" w:rsidRPr="009C2031">
        <w:rPr>
          <w:rFonts w:ascii="Times New Roman" w:hAnsi="Times New Roman" w:cs="Times New Roman"/>
          <w:bCs/>
          <w:color w:val="auto"/>
        </w:rPr>
        <w:t>.</w:t>
      </w:r>
      <w:r w:rsidR="006034C7" w:rsidRPr="009C2031">
        <w:rPr>
          <w:rFonts w:ascii="Times New Roman" w:hAnsi="Times New Roman" w:cs="Times New Roman"/>
          <w:b/>
          <w:bCs/>
          <w:color w:val="auto"/>
        </w:rPr>
        <w:t xml:space="preserve"> </w:t>
      </w:r>
      <w:hyperlink r:id="rId83" w:history="1">
        <w:r w:rsidR="0077589A" w:rsidRPr="009C2031">
          <w:rPr>
            <w:rStyle w:val="Hyperlink"/>
            <w:rFonts w:ascii="Times New Roman" w:hAnsi="Times New Roman" w:cs="Times New Roman"/>
            <w:bCs/>
            <w:color w:val="auto"/>
          </w:rPr>
          <w:t>http://www.kpmg.com/TH/en/IssuesAndInsights/ArticlesPublications/Documents/2012/Tax/EuropeanLeasing(secured)FINAL.pdf</w:t>
        </w:r>
      </w:hyperlink>
      <w:r w:rsidR="0077589A" w:rsidRPr="009C2031">
        <w:rPr>
          <w:rFonts w:ascii="Times New Roman" w:hAnsi="Times New Roman" w:cs="Times New Roman"/>
          <w:bCs/>
          <w:color w:val="auto"/>
        </w:rPr>
        <w:t xml:space="preserve"> [žiūrėta 2012 11 09].</w:t>
      </w:r>
    </w:p>
    <w:p w:rsidR="00E66383" w:rsidRPr="009C2031" w:rsidRDefault="00E66383" w:rsidP="0034195F">
      <w:pPr>
        <w:pStyle w:val="ListParagraph"/>
        <w:numPr>
          <w:ilvl w:val="0"/>
          <w:numId w:val="36"/>
        </w:numPr>
        <w:tabs>
          <w:tab w:val="left" w:pos="1134"/>
        </w:tabs>
        <w:spacing w:line="360" w:lineRule="auto"/>
        <w:ind w:left="0" w:firstLine="567"/>
        <w:rPr>
          <w:rFonts w:ascii="Times New Roman" w:hAnsi="Times New Roman" w:cs="Times New Roman"/>
          <w:b/>
          <w:bCs/>
          <w:color w:val="auto"/>
        </w:rPr>
      </w:pPr>
      <w:r w:rsidRPr="009C2031">
        <w:rPr>
          <w:rFonts w:ascii="Times New Roman" w:hAnsi="Times New Roman" w:cs="Times New Roman"/>
          <w:b/>
          <w:bCs/>
          <w:color w:val="auto"/>
        </w:rPr>
        <w:t xml:space="preserve">Lietuvos Respublikos Susisiekimo ministerija. </w:t>
      </w:r>
      <w:r w:rsidRPr="009C2031">
        <w:rPr>
          <w:rFonts w:ascii="Times New Roman" w:hAnsi="Times New Roman" w:cs="Times New Roman"/>
          <w:bCs/>
          <w:color w:val="auto"/>
        </w:rPr>
        <w:t>Transporto sektoriaus plėtra – dinamiško ekonominio augimo garantas: Pristatymas, 2008.</w:t>
      </w:r>
      <w:r w:rsidR="0077589A" w:rsidRPr="009C2031">
        <w:rPr>
          <w:rFonts w:ascii="Times New Roman" w:hAnsi="Times New Roman" w:cs="Times New Roman"/>
          <w:bCs/>
          <w:color w:val="auto"/>
        </w:rPr>
        <w:t xml:space="preserve"> </w:t>
      </w:r>
      <w:hyperlink r:id="rId84" w:history="1">
        <w:r w:rsidR="0077589A" w:rsidRPr="009C2031">
          <w:rPr>
            <w:rStyle w:val="Hyperlink"/>
            <w:rFonts w:ascii="Times New Roman" w:hAnsi="Times New Roman" w:cs="Times New Roman"/>
            <w:bCs/>
            <w:color w:val="auto"/>
          </w:rPr>
          <w:t>http://www.finmin.lt/finmin.lt/failai/es_biudzeto_perziura/Transporto_sektoriaus_pletra.pdf</w:t>
        </w:r>
      </w:hyperlink>
      <w:r w:rsidR="0077589A" w:rsidRPr="009C2031">
        <w:rPr>
          <w:rFonts w:ascii="Times New Roman" w:hAnsi="Times New Roman" w:cs="Times New Roman"/>
          <w:bCs/>
          <w:color w:val="auto"/>
        </w:rPr>
        <w:t xml:space="preserve"> [žiūrėta 2012-11-25</w:t>
      </w:r>
      <w:r w:rsidR="0077589A" w:rsidRPr="009C2031">
        <w:rPr>
          <w:rFonts w:ascii="Times New Roman" w:hAnsi="Times New Roman" w:cs="Times New Roman"/>
          <w:b/>
          <w:bCs/>
          <w:color w:val="auto"/>
        </w:rPr>
        <w:t>]</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 New Roman" w:hAnsi="Times New Roman" w:cs="Times New Roman"/>
          <w:b/>
          <w:bCs/>
          <w:iCs/>
          <w:color w:val="auto"/>
        </w:rPr>
        <w:t>Mazūre G.</w:t>
      </w:r>
      <w:r w:rsidRPr="009C2031">
        <w:rPr>
          <w:rFonts w:ascii="Times New Roman" w:hAnsi="Times New Roman" w:cs="Times New Roman"/>
          <w:b/>
          <w:bCs/>
          <w:color w:val="auto"/>
        </w:rPr>
        <w:t xml:space="preserve"> </w:t>
      </w:r>
      <w:r w:rsidRPr="009C2031">
        <w:rPr>
          <w:rFonts w:ascii="Times New Roman" w:hAnsi="Times New Roman" w:cs="Times New Roman"/>
          <w:bCs/>
          <w:color w:val="auto"/>
        </w:rPr>
        <w:t>Leasing Development and Dynamics in the World and Europe // Economic Science For Rural Development. – 2009, no. 18, p. 78-87.</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NewRomanPSMT" w:eastAsiaTheme="minorHAnsi" w:hAnsi="TimesNewRomanPSMT" w:cs="TimesNewRomanPSMT"/>
          <w:b/>
          <w:color w:val="auto"/>
          <w:lang w:eastAsia="en-US"/>
        </w:rPr>
        <w:t>Mehl A. et al.</w:t>
      </w:r>
      <w:r w:rsidRPr="009C2031">
        <w:rPr>
          <w:rFonts w:ascii="TimesNewRomanPSMT" w:eastAsiaTheme="minorHAnsi" w:hAnsi="TimesNewRomanPSMT" w:cs="TimesNewRomanPSMT"/>
          <w:color w:val="auto"/>
          <w:lang w:eastAsia="en-US"/>
        </w:rPr>
        <w:t xml:space="preserve"> Financial sector development in South-Eastern Europe: Quality matters // Financial Development, Integration and Stability. Evidence from Central, Eastern and South-Eastern Europe. - 2006, p. 186-203. - ISBN 978-1-84542-967-6.</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NewRomanPSMT" w:eastAsiaTheme="minorHAnsi" w:hAnsi="TimesNewRomanPSMT" w:cs="TimesNewRomanPSMT"/>
          <w:b/>
          <w:color w:val="auto"/>
          <w:lang w:eastAsia="en-US"/>
        </w:rPr>
        <w:t>Moutot P. et al.</w:t>
      </w:r>
      <w:r w:rsidRPr="009C2031">
        <w:rPr>
          <w:rFonts w:ascii="TimesNewRomanPSMT" w:eastAsiaTheme="minorHAnsi" w:hAnsi="TimesNewRomanPSMT" w:cs="TimesNewRomanPSMT"/>
          <w:color w:val="auto"/>
          <w:lang w:eastAsia="en-US"/>
        </w:rPr>
        <w:t xml:space="preserve"> The Role of other Financial Intermediaries in Monetary and Credit Developments in the Euro Erea // ECB Occasional Paper Series. – 2007, No. 75, p. 1-61. – ISSN 1725-6534. </w:t>
      </w:r>
      <w:hyperlink r:id="rId85" w:history="1">
        <w:r w:rsidRPr="009C2031">
          <w:rPr>
            <w:rStyle w:val="Hyperlink"/>
            <w:rFonts w:ascii="TimesNewRomanPSMT" w:eastAsiaTheme="minorHAnsi" w:hAnsi="TimesNewRomanPSMT" w:cs="TimesNewRomanPSMT"/>
            <w:color w:val="auto"/>
            <w:lang w:eastAsia="en-US"/>
          </w:rPr>
          <w:t>http://www.ecb.int/pub/pdf/scpops/ecbocp75.pdf</w:t>
        </w:r>
      </w:hyperlink>
      <w:r w:rsidRPr="009C2031">
        <w:rPr>
          <w:rFonts w:ascii="TimesNewRomanPSMT" w:eastAsiaTheme="minorHAnsi" w:hAnsi="TimesNewRomanPSMT" w:cs="TimesNewRomanPSMT"/>
          <w:color w:val="auto"/>
          <w:lang w:eastAsia="en-US"/>
        </w:rPr>
        <w:t xml:space="preserve"> [žiūrėta 2012 10 21].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Cs/>
          <w:color w:val="auto"/>
        </w:rPr>
      </w:pPr>
      <w:r w:rsidRPr="009C2031">
        <w:rPr>
          <w:rFonts w:ascii="Times New Roman" w:hAnsi="Times New Roman" w:cs="Times New Roman"/>
          <w:b/>
          <w:bCs/>
          <w:color w:val="auto"/>
        </w:rPr>
        <w:t xml:space="preserve">Nemati A., Nemati Y. </w:t>
      </w:r>
      <w:r w:rsidRPr="009C2031">
        <w:rPr>
          <w:rFonts w:ascii="Times New Roman" w:hAnsi="Times New Roman" w:cs="Times New Roman"/>
          <w:bCs/>
          <w:color w:val="auto"/>
        </w:rPr>
        <w:t xml:space="preserve">Leasing and a Comparison between the Different Lease Rental  Calculations in Iran // International Journal of Business and Management. – 2012, vol. 7, no. 8, p. 80-87.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Pabedinskaitė A. ir kt. </w:t>
      </w:r>
      <w:r w:rsidRPr="009C2031">
        <w:rPr>
          <w:rFonts w:ascii="Times New Roman" w:hAnsi="Times New Roman" w:cs="Times New Roman"/>
          <w:bCs/>
          <w:color w:val="auto"/>
        </w:rPr>
        <w:t>Kiekybiniai sprendimų metodai. I dalis. Koreliacinė regresinė analizė. Prognozavimas: mokomoji knyga. – Vilnius: Technika, 2009, - 104 p. – ISBN 978-9986-05-891-5.</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lastRenderedPageBreak/>
        <w:t xml:space="preserve">Pakhtusov V., Bay D. </w:t>
      </w:r>
      <w:r w:rsidRPr="009C2031">
        <w:rPr>
          <w:rFonts w:ascii="Times New Roman" w:hAnsi="Times New Roman" w:cs="Times New Roman"/>
          <w:bCs/>
          <w:color w:val="auto"/>
        </w:rPr>
        <w:t>Leasing in Russia: A Case Study // Journal of International Financial Management and Accounting. – 2006, vol. 17, p. 140-159.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NewRomanPSMT" w:eastAsiaTheme="minorHAnsi" w:hAnsi="TimesNewRomanPSMT" w:cs="TimesNewRomanPSMT"/>
          <w:color w:val="auto"/>
          <w:lang w:eastAsia="en-US"/>
        </w:rPr>
      </w:pPr>
      <w:r w:rsidRPr="009C2031">
        <w:rPr>
          <w:rFonts w:ascii="TimesNewRomanPSMT" w:eastAsiaTheme="minorHAnsi" w:hAnsi="TimesNewRomanPSMT" w:cs="TimesNewRomanPSMT"/>
          <w:b/>
          <w:color w:val="auto"/>
          <w:lang w:eastAsia="en-US"/>
        </w:rPr>
        <w:t>Platek M.</w:t>
      </w:r>
      <w:r w:rsidRPr="009C2031">
        <w:rPr>
          <w:rFonts w:ascii="TimesNewRomanPSMT" w:eastAsiaTheme="minorHAnsi" w:hAnsi="TimesNewRomanPSMT" w:cs="TimesNewRomanPSMT"/>
          <w:color w:val="auto"/>
          <w:lang w:eastAsia="en-US"/>
        </w:rPr>
        <w:t xml:space="preserve"> Financial Sector Development and Economic Growth in Transition Countries: Dissertation: Socialwissenschaften, Wirtschaftwissenshaften – Bamberg: Hochschule fur Wirtschafts-Rechts- und Sozialwissenschaften, 2002, 295 p.</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NewRomanPSMT" w:eastAsiaTheme="minorHAnsi" w:hAnsi="TimesNewRomanPSMT" w:cs="TimesNewRomanPSMT"/>
          <w:color w:val="auto"/>
          <w:lang w:eastAsia="en-US"/>
        </w:rPr>
      </w:pPr>
      <w:r w:rsidRPr="009C2031">
        <w:rPr>
          <w:rFonts w:ascii="TimesNewRomanPSMT" w:eastAsiaTheme="minorHAnsi" w:hAnsi="TimesNewRomanPSMT" w:cs="TimesNewRomanPSMT"/>
          <w:b/>
          <w:color w:val="auto"/>
          <w:lang w:eastAsia="en-US"/>
        </w:rPr>
        <w:t>Pukėnas K.</w:t>
      </w:r>
      <w:r w:rsidRPr="009C2031">
        <w:rPr>
          <w:rFonts w:ascii="TimesNewRomanPSMT" w:eastAsiaTheme="minorHAnsi" w:hAnsi="TimesNewRomanPSMT" w:cs="TimesNewRomanPSMT"/>
          <w:color w:val="auto"/>
          <w:lang w:eastAsia="en-US"/>
        </w:rPr>
        <w:t xml:space="preserve"> Sportinių tyrimų duomenų analizė SPSS programa: mokomoji knyga – Kaunas: LKKA, 2004. – 287 p. – ISBN 9986-569-UDK</w:t>
      </w:r>
    </w:p>
    <w:p w:rsidR="00E66383" w:rsidRPr="009C2031" w:rsidRDefault="00E66383" w:rsidP="0034195F">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NewRomanPSMT" w:eastAsiaTheme="minorHAnsi" w:hAnsi="TimesNewRomanPSMT" w:cs="TimesNewRomanPSMT"/>
          <w:b/>
          <w:color w:val="auto"/>
          <w:lang w:eastAsia="en-US"/>
        </w:rPr>
        <w:t>Rudzkienė V.</w:t>
      </w:r>
      <w:r w:rsidRPr="009C2031">
        <w:rPr>
          <w:rFonts w:ascii="TimesNewRomanPSMT" w:eastAsiaTheme="minorHAnsi" w:hAnsi="TimesNewRomanPSMT" w:cs="TimesNewRomanPSMT"/>
          <w:color w:val="auto"/>
          <w:lang w:eastAsia="en-US"/>
        </w:rPr>
        <w:t xml:space="preserve"> E. Valdžia piliečiams: plėtros gairių Lietuvai nustatymas naudojant ateities įžvalgų metodologiją: Taikomasis mokslinis tyrimas / Užsakovas: Lietuvos valstybinis mokslo ir studijų fondas, 2008.</w:t>
      </w:r>
      <w:r w:rsidR="0034195F" w:rsidRPr="009C2031">
        <w:rPr>
          <w:rFonts w:ascii="Times New Roman" w:hAnsi="Times New Roman" w:cs="Times New Roman"/>
          <w:color w:val="auto"/>
        </w:rPr>
        <w:t xml:space="preserve"> </w:t>
      </w:r>
      <w:r w:rsidR="0077589A" w:rsidRPr="009C2031">
        <w:rPr>
          <w:rFonts w:ascii="TimesNewRomanPSMT" w:eastAsiaTheme="minorHAnsi" w:hAnsi="TimesNewRomanPSMT" w:cs="TimesNewRomanPSMT"/>
          <w:color w:val="auto"/>
          <w:lang w:eastAsia="en-US"/>
        </w:rPr>
        <w:t>http://www.egov.lt/uploads/file/EVPGL_Ataskaita_2008_santrauka_psl.doc [žiūrėta 2012 – 10 – 29].</w:t>
      </w:r>
    </w:p>
    <w:p w:rsidR="0077589A"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Rudzkienė V. </w:t>
      </w:r>
      <w:r w:rsidRPr="009C2031">
        <w:rPr>
          <w:rFonts w:ascii="Times New Roman" w:hAnsi="Times New Roman" w:cs="Times New Roman"/>
          <w:bCs/>
          <w:color w:val="auto"/>
        </w:rPr>
        <w:t>Socialinė statistika: vadovėlis. – Vilnius: Mykolo Romerio universiteto Leidybos centras, 2005, 260 p. – ISBN 9955-19-002-7.</w:t>
      </w:r>
      <w:r w:rsidRPr="009C2031">
        <w:rPr>
          <w:rFonts w:ascii="Times New Roman" w:hAnsi="Times New Roman" w:cs="Times New Roman"/>
          <w:b/>
          <w:bCs/>
          <w:color w:val="auto"/>
        </w:rPr>
        <w:t xml:space="preserve"> </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Tidikis R. </w:t>
      </w:r>
      <w:r w:rsidRPr="009C2031">
        <w:rPr>
          <w:rFonts w:ascii="Times New Roman" w:hAnsi="Times New Roman" w:cs="Times New Roman"/>
          <w:bCs/>
          <w:color w:val="auto"/>
        </w:rPr>
        <w:t>Socialinių mokslų tyrimų metodologija: vadovėlis. – Vilnius: Lietuvos teisės universiteto leidybos centras, 2003, 626 p. – ISBN 9955-563-26-5.</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Tolbert S. H., Wood C. P. </w:t>
      </w:r>
      <w:r w:rsidRPr="009C2031">
        <w:rPr>
          <w:rFonts w:ascii="Times New Roman" w:hAnsi="Times New Roman" w:cs="Times New Roman"/>
          <w:bCs/>
          <w:color w:val="auto"/>
        </w:rPr>
        <w:t>Leasing vs. Owning a Medical Office: An Analytical Model // Journal Of Health Care Finance. – 2007, vol. 34, p. 71-80.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t>Treigienė D.</w:t>
      </w:r>
      <w:r w:rsidRPr="009C2031">
        <w:rPr>
          <w:rFonts w:ascii="Times New Roman" w:hAnsi="Times New Roman" w:cs="Times New Roman"/>
          <w:color w:val="auto"/>
        </w:rPr>
        <w:t xml:space="preserve">  Investicijos: mokomoji knyga. – Vilnius: Technika, 2010. – 78 p. – ISBN 978–9955–28–584–7.</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NewRomanPSMT" w:eastAsiaTheme="minorHAnsi" w:hAnsi="TimesNewRomanPSMT" w:cs="TimesNewRomanPSMT"/>
          <w:b/>
          <w:color w:val="auto"/>
          <w:lang w:eastAsia="en-US"/>
        </w:rPr>
        <w:t>Ünalmis D.</w:t>
      </w:r>
      <w:r w:rsidRPr="009C2031">
        <w:rPr>
          <w:rFonts w:ascii="TimesNewRomanPSMT" w:eastAsiaTheme="minorHAnsi" w:hAnsi="TimesNewRomanPSMT" w:cs="TimesNewRomanPSMT"/>
          <w:color w:val="auto"/>
          <w:lang w:eastAsia="en-US"/>
        </w:rPr>
        <w:t xml:space="preserve"> The causality between financial sector development and economic growth: the case of Turkey // Research Department Working Papers of the Central Bank of Turkey, 2002, no 3, p. 1-11. </w:t>
      </w:r>
      <w:hyperlink r:id="rId86" w:history="1">
        <w:r w:rsidRPr="009C2031">
          <w:rPr>
            <w:rStyle w:val="Hyperlink"/>
            <w:rFonts w:ascii="TimesNewRomanPSMT" w:eastAsiaTheme="minorHAnsi" w:hAnsi="TimesNewRomanPSMT" w:cs="TimesNewRomanPSMT"/>
            <w:color w:val="auto"/>
            <w:lang w:eastAsia="en-US"/>
          </w:rPr>
          <w:t>http://www.tcmb.gov.tr/research/work/wp6.pdf</w:t>
        </w:r>
      </w:hyperlink>
      <w:r w:rsidRPr="009C2031">
        <w:rPr>
          <w:rFonts w:ascii="TimesNewRomanPSMT" w:eastAsiaTheme="minorHAnsi" w:hAnsi="TimesNewRomanPSMT" w:cs="TimesNewRomanPSMT"/>
          <w:color w:val="auto"/>
          <w:lang w:eastAsia="en-US"/>
        </w:rPr>
        <w:t xml:space="preserve"> [žiūrėta 2012 10 21]. </w:t>
      </w:r>
    </w:p>
    <w:p w:rsidR="00DF49F9" w:rsidRPr="009C2031" w:rsidRDefault="00DF49F9"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NewRomanPSMT" w:eastAsiaTheme="minorHAnsi" w:hAnsi="TimesNewRomanPSMT" w:cs="TimesNewRomanPSMT"/>
          <w:b/>
          <w:color w:val="auto"/>
          <w:lang w:eastAsia="en-US"/>
        </w:rPr>
        <w:t>Wang L.</w:t>
      </w:r>
      <w:r w:rsidRPr="009C2031">
        <w:rPr>
          <w:rFonts w:ascii="Times New Roman" w:hAnsi="Times New Roman" w:cs="Times New Roman"/>
          <w:color w:val="auto"/>
        </w:rPr>
        <w:t xml:space="preserve"> A Legal Analysis of Financial Leasing // Cross – Cultural Communication. – 2011, </w:t>
      </w:r>
      <w:r w:rsidR="00397E4C" w:rsidRPr="009C2031">
        <w:rPr>
          <w:rFonts w:ascii="Times New Roman" w:hAnsi="Times New Roman" w:cs="Times New Roman"/>
          <w:color w:val="auto"/>
        </w:rPr>
        <w:t>no. 2, vol. 7, p. 131-137. – ISSN 1923-6700.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t>White E.</w:t>
      </w:r>
      <w:r w:rsidRPr="009C2031">
        <w:rPr>
          <w:rFonts w:ascii="Times New Roman" w:hAnsi="Times New Roman" w:cs="Times New Roman"/>
          <w:color w:val="auto"/>
        </w:rPr>
        <w:t xml:space="preserve"> Global Asset Leasing Market Rebounds in 2010 with another stellar performance from China // White Clarke Global Leasing Report, 2012, p. 1-7. </w:t>
      </w:r>
      <w:hyperlink r:id="rId87" w:history="1">
        <w:r w:rsidRPr="009C2031">
          <w:rPr>
            <w:rStyle w:val="Hyperlink"/>
            <w:rFonts w:ascii="Times New Roman" w:hAnsi="Times New Roman" w:cs="Times New Roman"/>
            <w:color w:val="auto"/>
          </w:rPr>
          <w:t>http://www.fleetnews.co.uk/files/wly2012-abridged.pdf</w:t>
        </w:r>
      </w:hyperlink>
      <w:r w:rsidRPr="009C2031">
        <w:rPr>
          <w:rFonts w:ascii="Times New Roman" w:hAnsi="Times New Roman" w:cs="Times New Roman"/>
          <w:color w:val="auto"/>
        </w:rPr>
        <w:t xml:space="preserve"> [žiūrėta 2012 10 31].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 New Roman" w:hAnsi="Times New Roman" w:cs="Times New Roman"/>
          <w:b/>
          <w:color w:val="auto"/>
        </w:rPr>
        <w:t xml:space="preserve">Bendrasis vidaus produktas (BVP). </w:t>
      </w:r>
      <w:r w:rsidRPr="009C2031">
        <w:rPr>
          <w:rFonts w:ascii="Times New Roman" w:hAnsi="Times New Roman" w:cs="Times New Roman"/>
          <w:color w:val="auto"/>
        </w:rPr>
        <w:t xml:space="preserve">Požymiai: metai. </w:t>
      </w:r>
      <w:hyperlink r:id="rId88" w:history="1">
        <w:r w:rsidRPr="009C2031">
          <w:rPr>
            <w:rStyle w:val="Hyperlink"/>
            <w:rFonts w:ascii="Times New Roman" w:hAnsi="Times New Roman" w:cs="Times New Roman"/>
            <w:color w:val="auto"/>
          </w:rPr>
          <w:t>http://db1.stat.gov.lt/statbank/default.asp?w=1366</w:t>
        </w:r>
      </w:hyperlink>
      <w:r w:rsidRPr="009C2031">
        <w:rPr>
          <w:rFonts w:ascii="Times New Roman" w:hAnsi="Times New Roman" w:cs="Times New Roman"/>
          <w:color w:val="auto"/>
        </w:rPr>
        <w:t xml:space="preserve"> [žiūrėta 2012 11 06].</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color w:val="auto"/>
        </w:rPr>
      </w:pPr>
      <w:r w:rsidRPr="009C2031">
        <w:rPr>
          <w:rFonts w:ascii="Times New Roman" w:hAnsi="Times New Roman" w:cs="Times New Roman"/>
          <w:b/>
          <w:color w:val="auto"/>
        </w:rPr>
        <w:t xml:space="preserve">Estonian Leasing Associaction. </w:t>
      </w:r>
      <w:r w:rsidRPr="009C2031">
        <w:rPr>
          <w:rFonts w:ascii="Times New Roman" w:hAnsi="Times New Roman" w:cs="Times New Roman"/>
          <w:color w:val="auto"/>
        </w:rPr>
        <w:t xml:space="preserve">Estonian Leasing Market Statistics. </w:t>
      </w:r>
      <w:hyperlink r:id="rId89" w:history="1">
        <w:r w:rsidRPr="009C2031">
          <w:rPr>
            <w:rStyle w:val="Hyperlink"/>
            <w:rFonts w:ascii="Times New Roman" w:hAnsi="Times New Roman" w:cs="Times New Roman"/>
            <w:color w:val="auto"/>
          </w:rPr>
          <w:t>http://www.liisingliit.ee/leht.php?pgID=108&amp;&amp;lang=eng</w:t>
        </w:r>
      </w:hyperlink>
      <w:r w:rsidRPr="009C2031">
        <w:rPr>
          <w:rFonts w:ascii="Times New Roman" w:hAnsi="Times New Roman" w:cs="Times New Roman"/>
          <w:color w:val="auto"/>
        </w:rPr>
        <w:t xml:space="preserve"> [žiūrėta 2012 11 08].</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bCs/>
          <w:color w:val="auto"/>
        </w:rPr>
        <w:t xml:space="preserve">Fuks E. </w:t>
      </w:r>
      <w:r w:rsidRPr="009C2031">
        <w:rPr>
          <w:rFonts w:ascii="Times New Roman" w:hAnsi="Times New Roman" w:cs="Times New Roman"/>
          <w:bCs/>
          <w:color w:val="auto"/>
        </w:rPr>
        <w:t xml:space="preserve">G.Nausėda: Lietuvos ekonomika grįžo į 2005–2008 m. </w:t>
      </w:r>
      <w:hyperlink r:id="rId90" w:history="1">
        <w:r w:rsidRPr="009C2031">
          <w:rPr>
            <w:rStyle w:val="Hyperlink"/>
            <w:rFonts w:ascii="Times New Roman" w:hAnsi="Times New Roman" w:cs="Times New Roman"/>
            <w:bCs/>
            <w:color w:val="auto"/>
          </w:rPr>
          <w:t>http://verslas.delfi.lt/business/gnauseda-lietuvos-ekonomika-grizo-i-20052008-m.d?id=57071393</w:t>
        </w:r>
      </w:hyperlink>
      <w:r w:rsidRPr="009C2031">
        <w:rPr>
          <w:rStyle w:val="Hyperlink"/>
          <w:rFonts w:ascii="Times New Roman" w:hAnsi="Times New Roman" w:cs="Times New Roman"/>
          <w:bCs/>
          <w:color w:val="auto"/>
        </w:rPr>
        <w:t xml:space="preserve"> </w:t>
      </w:r>
      <w:r w:rsidRPr="009C2031">
        <w:rPr>
          <w:rFonts w:ascii="Times New Roman" w:hAnsi="Times New Roman" w:cs="Times New Roman"/>
          <w:bCs/>
          <w:color w:val="auto"/>
        </w:rPr>
        <w:t>[žiūrėta 2012 06 21].</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color w:val="auto"/>
        </w:rPr>
      </w:pPr>
      <w:r w:rsidRPr="009C2031">
        <w:rPr>
          <w:rFonts w:ascii="Times New Roman" w:hAnsi="Times New Roman" w:cs="Times New Roman"/>
          <w:b/>
          <w:color w:val="auto"/>
        </w:rPr>
        <w:lastRenderedPageBreak/>
        <w:t xml:space="preserve">GPD – Gross Domestic Product. </w:t>
      </w:r>
      <w:r w:rsidRPr="009C2031">
        <w:rPr>
          <w:rFonts w:ascii="Times New Roman" w:hAnsi="Times New Roman" w:cs="Times New Roman"/>
          <w:color w:val="auto"/>
        </w:rPr>
        <w:t xml:space="preserve">Countries GPD. </w:t>
      </w:r>
      <w:hyperlink r:id="rId91" w:history="1">
        <w:r w:rsidRPr="009C2031">
          <w:rPr>
            <w:rStyle w:val="Hyperlink"/>
            <w:rFonts w:ascii="Times New Roman" w:hAnsi="Times New Roman" w:cs="Times New Roman"/>
            <w:color w:val="auto"/>
          </w:rPr>
          <w:t>http://www.datosmacro.com/en/gdp</w:t>
        </w:r>
      </w:hyperlink>
      <w:r w:rsidRPr="009C2031">
        <w:rPr>
          <w:rFonts w:ascii="Times New Roman" w:hAnsi="Times New Roman" w:cs="Times New Roman"/>
          <w:color w:val="auto"/>
        </w:rPr>
        <w:t xml:space="preserve"> [žiūrėta 2012 11 09].</w:t>
      </w:r>
    </w:p>
    <w:p w:rsidR="00E66383" w:rsidRPr="009C2031" w:rsidRDefault="00E66383" w:rsidP="0034195F">
      <w:pPr>
        <w:pStyle w:val="ListParagraph"/>
        <w:numPr>
          <w:ilvl w:val="0"/>
          <w:numId w:val="36"/>
        </w:numPr>
        <w:tabs>
          <w:tab w:val="left" w:pos="1134"/>
        </w:tabs>
        <w:spacing w:line="360" w:lineRule="auto"/>
        <w:ind w:left="0" w:firstLine="567"/>
        <w:jc w:val="both"/>
        <w:rPr>
          <w:rStyle w:val="Hyperlink"/>
          <w:rFonts w:ascii="Times New Roman" w:hAnsi="Times New Roman" w:cs="Times New Roman"/>
          <w:b/>
          <w:color w:val="auto"/>
          <w:u w:val="none"/>
        </w:rPr>
      </w:pPr>
      <w:r w:rsidRPr="009C2031">
        <w:rPr>
          <w:rStyle w:val="Hyperlink"/>
          <w:rFonts w:ascii="Times New Roman" w:hAnsi="Times New Roman" w:cs="Times New Roman"/>
          <w:b/>
          <w:color w:val="auto"/>
          <w:u w:val="none"/>
        </w:rPr>
        <w:t xml:space="preserve">Latvijas Statistika. </w:t>
      </w:r>
      <w:r w:rsidRPr="009C2031">
        <w:rPr>
          <w:rStyle w:val="Hyperlink"/>
          <w:rFonts w:ascii="Times New Roman" w:hAnsi="Times New Roman" w:cs="Times New Roman"/>
          <w:color w:val="auto"/>
          <w:u w:val="none"/>
        </w:rPr>
        <w:t>Leasing and Factoring portfolio</w:t>
      </w:r>
      <w:r w:rsidR="0034195F" w:rsidRPr="009C2031">
        <w:rPr>
          <w:rStyle w:val="Hyperlink"/>
          <w:rFonts w:ascii="Times New Roman" w:hAnsi="Times New Roman" w:cs="Times New Roman"/>
          <w:color w:val="auto"/>
          <w:u w:val="none"/>
        </w:rPr>
        <w:t xml:space="preserve">. </w:t>
      </w:r>
      <w:r w:rsidR="0034195F" w:rsidRPr="009C2031">
        <w:rPr>
          <w:rFonts w:ascii="Times New Roman" w:hAnsi="Times New Roman" w:cs="Times New Roman"/>
          <w:color w:val="auto"/>
        </w:rPr>
        <w:t>http://data.csb.gov.lv/Dialog/Saveshow.asp</w:t>
      </w:r>
      <w:r w:rsidRPr="009C2031">
        <w:rPr>
          <w:rStyle w:val="Hyperlink"/>
          <w:rFonts w:ascii="Times New Roman" w:hAnsi="Times New Roman" w:cs="Times New Roman"/>
          <w:color w:val="auto"/>
          <w:u w:val="none"/>
        </w:rPr>
        <w:t xml:space="preserve"> [žiūrėta 2012 11 09]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Leaseurope. </w:t>
      </w:r>
      <w:r w:rsidRPr="009C2031">
        <w:rPr>
          <w:rFonts w:ascii="Times New Roman" w:hAnsi="Times New Roman" w:cs="Times New Roman"/>
          <w:bCs/>
          <w:color w:val="auto"/>
        </w:rPr>
        <w:t xml:space="preserve">The Voice of Leasing and Automotive Rental in Europe, 2011 </w:t>
      </w:r>
      <w:hyperlink r:id="rId92" w:history="1">
        <w:r w:rsidRPr="009C2031">
          <w:rPr>
            <w:rStyle w:val="Hyperlink"/>
            <w:rFonts w:ascii="Times New Roman" w:hAnsi="Times New Roman" w:cs="Times New Roman"/>
            <w:bCs/>
            <w:color w:val="auto"/>
          </w:rPr>
          <w:t>http://www.leaseurope.org/uploads/documents/stats/European%20Leasing%20Market%202011.pdf</w:t>
        </w:r>
      </w:hyperlink>
      <w:r w:rsidRPr="009C2031">
        <w:rPr>
          <w:rFonts w:ascii="Times New Roman" w:hAnsi="Times New Roman" w:cs="Times New Roman"/>
          <w:bCs/>
          <w:color w:val="auto"/>
        </w:rPr>
        <w:t xml:space="preserve"> [žiūrėta 2012 11 09]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Leaseurope. </w:t>
      </w:r>
      <w:r w:rsidRPr="009C2031">
        <w:rPr>
          <w:rFonts w:ascii="Times New Roman" w:hAnsi="Times New Roman" w:cs="Times New Roman"/>
          <w:bCs/>
          <w:color w:val="auto"/>
        </w:rPr>
        <w:t xml:space="preserve">The Voice of Leasing and Automotive Rental in Europe, 2010 </w:t>
      </w:r>
      <w:hyperlink r:id="rId93" w:history="1">
        <w:r w:rsidRPr="009C2031">
          <w:rPr>
            <w:rStyle w:val="Hyperlink"/>
            <w:rFonts w:ascii="Times New Roman" w:hAnsi="Times New Roman" w:cs="Times New Roman"/>
            <w:bCs/>
            <w:color w:val="auto"/>
          </w:rPr>
          <w:t>http://www.leaseurope.org/uploads/documents/stats/European%20Leasing%20Market%202010.pdf</w:t>
        </w:r>
      </w:hyperlink>
      <w:r w:rsidRPr="009C2031">
        <w:rPr>
          <w:rFonts w:ascii="Times New Roman" w:hAnsi="Times New Roman" w:cs="Times New Roman"/>
          <w:bCs/>
          <w:color w:val="auto"/>
        </w:rPr>
        <w:t xml:space="preserve"> [žiūrėta 2012 11 09]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Leaseurope. </w:t>
      </w:r>
      <w:r w:rsidRPr="009C2031">
        <w:rPr>
          <w:rFonts w:ascii="Times New Roman" w:hAnsi="Times New Roman" w:cs="Times New Roman"/>
          <w:bCs/>
          <w:color w:val="auto"/>
        </w:rPr>
        <w:t xml:space="preserve">The Voice of Leasing and Automotive Rental in Europe, 2009 </w:t>
      </w:r>
      <w:hyperlink r:id="rId94" w:history="1">
        <w:r w:rsidRPr="009C2031">
          <w:rPr>
            <w:rStyle w:val="Hyperlink"/>
            <w:rFonts w:ascii="Times New Roman" w:hAnsi="Times New Roman" w:cs="Times New Roman"/>
            <w:bCs/>
            <w:color w:val="auto"/>
          </w:rPr>
          <w:t>http://www.leaseurope.org/uploads/documents/stats/European%20Leasing%20Market%202009.pdf</w:t>
        </w:r>
      </w:hyperlink>
      <w:r w:rsidRPr="009C2031">
        <w:rPr>
          <w:rFonts w:ascii="Times New Roman" w:hAnsi="Times New Roman" w:cs="Times New Roman"/>
          <w:bCs/>
          <w:color w:val="auto"/>
        </w:rPr>
        <w:t xml:space="preserve"> [žiūrėta 2012 11 09]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Leaseurope. </w:t>
      </w:r>
      <w:r w:rsidRPr="009C2031">
        <w:rPr>
          <w:rFonts w:ascii="Times New Roman" w:hAnsi="Times New Roman" w:cs="Times New Roman"/>
          <w:bCs/>
          <w:color w:val="auto"/>
        </w:rPr>
        <w:t xml:space="preserve">The Voice of Leasing and Automotive Rental in Europe, 2008 [žiūrėta </w:t>
      </w:r>
      <w:hyperlink r:id="rId95" w:history="1">
        <w:r w:rsidRPr="009C2031">
          <w:rPr>
            <w:rStyle w:val="Hyperlink"/>
            <w:rFonts w:ascii="Times New Roman" w:hAnsi="Times New Roman" w:cs="Times New Roman"/>
            <w:bCs/>
            <w:color w:val="auto"/>
          </w:rPr>
          <w:t>http://www.leaseurope.org/uploads/documents/stats/European%20Leasing%20Market%202008%283%29.pdf</w:t>
        </w:r>
      </w:hyperlink>
      <w:r w:rsidRPr="009C2031">
        <w:rPr>
          <w:rFonts w:ascii="Times New Roman" w:hAnsi="Times New Roman" w:cs="Times New Roman"/>
          <w:bCs/>
          <w:color w:val="auto"/>
        </w:rPr>
        <w:t xml:space="preserve"> [žiūrėta 2012 11 09]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Leaseurope. </w:t>
      </w:r>
      <w:r w:rsidRPr="009C2031">
        <w:rPr>
          <w:rFonts w:ascii="Times New Roman" w:hAnsi="Times New Roman" w:cs="Times New Roman"/>
          <w:bCs/>
          <w:color w:val="auto"/>
        </w:rPr>
        <w:t>The Voice of Leasing and Automotive Rental in Europe, 2007 http://www.leaseurope.org/uploads/documents/stats/2007%20European%20Leasing%20Market%20abridged.pdf [žiūrėta 2012 11 09]</w:t>
      </w:r>
    </w:p>
    <w:p w:rsidR="00474703" w:rsidRPr="009C2031" w:rsidRDefault="00474703" w:rsidP="00474703">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Lietuvos bankų asociacija. </w:t>
      </w:r>
      <w:r w:rsidRPr="009C2031">
        <w:rPr>
          <w:rFonts w:ascii="Times New Roman" w:hAnsi="Times New Roman" w:cs="Times New Roman"/>
          <w:bCs/>
          <w:color w:val="auto"/>
        </w:rPr>
        <w:t xml:space="preserve">Lizingo istorija. </w:t>
      </w:r>
      <w:hyperlink r:id="rId96" w:history="1">
        <w:r w:rsidRPr="009C2031">
          <w:rPr>
            <w:rStyle w:val="Hyperlink"/>
            <w:rFonts w:ascii="Times New Roman" w:hAnsi="Times New Roman" w:cs="Times New Roman"/>
            <w:bCs/>
            <w:color w:val="auto"/>
          </w:rPr>
          <w:t>http://www.lba.lt/go.php/lizingas</w:t>
        </w:r>
      </w:hyperlink>
      <w:r w:rsidRPr="009C2031">
        <w:rPr>
          <w:rFonts w:ascii="Times New Roman" w:hAnsi="Times New Roman" w:cs="Times New Roman"/>
          <w:bCs/>
          <w:color w:val="auto"/>
        </w:rPr>
        <w:t xml:space="preserve"> [žiūrėta 2012 06 19].</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Lizingo ir faktoringo portfelio ataskaita. </w:t>
      </w:r>
      <w:r w:rsidRPr="009C2031">
        <w:rPr>
          <w:rFonts w:ascii="Times New Roman" w:hAnsi="Times New Roman" w:cs="Times New Roman"/>
          <w:bCs/>
          <w:color w:val="auto"/>
        </w:rPr>
        <w:t>Požymiai: tūkstančiais litų.</w:t>
      </w:r>
      <w:r w:rsidR="00893747" w:rsidRPr="009C2031">
        <w:rPr>
          <w:rFonts w:ascii="Times New Roman" w:hAnsi="Times New Roman" w:cs="Times New Roman"/>
          <w:bCs/>
          <w:color w:val="auto"/>
        </w:rPr>
        <w:t xml:space="preserve"> </w:t>
      </w:r>
      <w:hyperlink r:id="rId97" w:history="1">
        <w:r w:rsidR="00893747" w:rsidRPr="009C2031">
          <w:rPr>
            <w:rStyle w:val="Hyperlink"/>
            <w:rFonts w:ascii="Times New Roman" w:hAnsi="Times New Roman" w:cs="Times New Roman"/>
            <w:bCs/>
            <w:color w:val="auto"/>
          </w:rPr>
          <w:t>http://www.lba.lt/go.php/lit/Lizingo_ir_faktoringo_portfelio_ataskait/2271</w:t>
        </w:r>
      </w:hyperlink>
      <w:r w:rsidR="00893747" w:rsidRPr="009C2031">
        <w:rPr>
          <w:rFonts w:ascii="Times New Roman" w:hAnsi="Times New Roman" w:cs="Times New Roman"/>
          <w:bCs/>
          <w:color w:val="auto"/>
        </w:rPr>
        <w:t xml:space="preserve"> [žiūrėta 2012 06 20]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Lizingo portfelio struktūra. </w:t>
      </w:r>
      <w:r w:rsidRPr="009C2031">
        <w:rPr>
          <w:rFonts w:ascii="Times New Roman" w:hAnsi="Times New Roman" w:cs="Times New Roman"/>
          <w:bCs/>
          <w:color w:val="auto"/>
        </w:rPr>
        <w:t>Požymiai</w:t>
      </w:r>
      <w:r w:rsidRPr="009C2031">
        <w:rPr>
          <w:rFonts w:ascii="Times New Roman" w:hAnsi="Times New Roman" w:cs="Times New Roman"/>
          <w:b/>
          <w:bCs/>
          <w:color w:val="auto"/>
        </w:rPr>
        <w:t xml:space="preserve">: </w:t>
      </w:r>
      <w:r w:rsidRPr="009C2031">
        <w:rPr>
          <w:rFonts w:ascii="Times New Roman" w:hAnsi="Times New Roman" w:cs="Times New Roman"/>
          <w:bCs/>
          <w:color w:val="auto"/>
        </w:rPr>
        <w:t xml:space="preserve">tipas, turto rūšis. </w:t>
      </w:r>
      <w:hyperlink r:id="rId98" w:history="1">
        <w:r w:rsidR="00893747" w:rsidRPr="009C2031">
          <w:rPr>
            <w:rStyle w:val="Hyperlink"/>
            <w:rFonts w:ascii="Times New Roman" w:hAnsi="Times New Roman" w:cs="Times New Roman"/>
            <w:bCs/>
            <w:color w:val="auto"/>
          </w:rPr>
          <w:t>http://www.lba.lt/go.php/lit/Lizingo_portfelio_struktura/2275</w:t>
        </w:r>
      </w:hyperlink>
      <w:r w:rsidR="00893747" w:rsidRPr="009C2031">
        <w:rPr>
          <w:rFonts w:ascii="Times New Roman" w:hAnsi="Times New Roman" w:cs="Times New Roman"/>
          <w:bCs/>
          <w:color w:val="auto"/>
        </w:rPr>
        <w:t xml:space="preserve"> [žiūrėta 2012 06 20]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Lizingo statistika iki 2009 m.</w:t>
      </w:r>
      <w:r w:rsidRPr="009C2031">
        <w:rPr>
          <w:rFonts w:ascii="Times New Roman" w:hAnsi="Times New Roman" w:cs="Times New Roman"/>
          <w:bCs/>
          <w:color w:val="auto"/>
        </w:rPr>
        <w:t xml:space="preserve"> Požymiai: tipas, rūšis, tūkst. Lt. </w:t>
      </w:r>
      <w:hyperlink r:id="rId99" w:history="1">
        <w:r w:rsidRPr="009C2031">
          <w:rPr>
            <w:rStyle w:val="Hyperlink"/>
            <w:rFonts w:ascii="Times New Roman" w:hAnsi="Times New Roman" w:cs="Times New Roman"/>
            <w:bCs/>
            <w:color w:val="auto"/>
          </w:rPr>
          <w:t>http://www.lba.lt/go.php/lit/Lizingostatistikaiki_2009_m/1948</w:t>
        </w:r>
      </w:hyperlink>
      <w:r w:rsidRPr="009C2031">
        <w:rPr>
          <w:rFonts w:ascii="Times New Roman" w:hAnsi="Times New Roman" w:cs="Times New Roman"/>
          <w:bCs/>
          <w:color w:val="auto"/>
        </w:rPr>
        <w:t xml:space="preserve"> [žiūrėta 2012 11 02]</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Naujai pasirašytų lizingo sutarčių vertė. </w:t>
      </w:r>
      <w:r w:rsidRPr="009C2031">
        <w:rPr>
          <w:rFonts w:ascii="Times New Roman" w:hAnsi="Times New Roman" w:cs="Times New Roman"/>
          <w:bCs/>
          <w:color w:val="auto"/>
        </w:rPr>
        <w:t xml:space="preserve">Požymiai: tūkstančiai litų. </w:t>
      </w:r>
      <w:hyperlink r:id="rId100" w:history="1">
        <w:r w:rsidRPr="009C2031">
          <w:rPr>
            <w:rStyle w:val="Hyperlink"/>
            <w:rFonts w:ascii="Times New Roman" w:hAnsi="Times New Roman" w:cs="Times New Roman"/>
            <w:bCs/>
            <w:color w:val="auto"/>
          </w:rPr>
          <w:t>http://www.lba.lt/go.php/lit/Naujai_pasirasytu_lizingo_sutarciu_verte/2278</w:t>
        </w:r>
      </w:hyperlink>
      <w:r w:rsidRPr="009C2031">
        <w:rPr>
          <w:rFonts w:ascii="Times New Roman" w:hAnsi="Times New Roman" w:cs="Times New Roman"/>
          <w:bCs/>
          <w:color w:val="auto"/>
        </w:rPr>
        <w:t xml:space="preserve"> [žiūrėta 2012 06 20]</w:t>
      </w:r>
    </w:p>
    <w:p w:rsidR="00E66383" w:rsidRPr="009C2031" w:rsidRDefault="00E66383" w:rsidP="0077589A">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Nedarbo lygis. </w:t>
      </w:r>
      <w:r w:rsidRPr="009C2031">
        <w:rPr>
          <w:rFonts w:ascii="Times New Roman" w:hAnsi="Times New Roman" w:cs="Times New Roman"/>
          <w:bCs/>
          <w:color w:val="auto"/>
        </w:rPr>
        <w:t xml:space="preserve">Požymiai: metai. </w:t>
      </w:r>
      <w:hyperlink r:id="rId101" w:history="1">
        <w:r w:rsidRPr="009C2031">
          <w:rPr>
            <w:rStyle w:val="Hyperlink"/>
            <w:rFonts w:ascii="Times New Roman" w:hAnsi="Times New Roman" w:cs="Times New Roman"/>
            <w:bCs/>
            <w:color w:val="auto"/>
          </w:rPr>
          <w:t>http://db1.stat.gov.lt/statbank/default.asp?w=1366</w:t>
        </w:r>
      </w:hyperlink>
      <w:r w:rsidRPr="009C2031">
        <w:rPr>
          <w:rFonts w:ascii="Times New Roman" w:hAnsi="Times New Roman" w:cs="Times New Roman"/>
          <w:bCs/>
          <w:color w:val="auto"/>
        </w:rPr>
        <w:t xml:space="preserve"> [žiūrėta 2012 11 08].</w:t>
      </w:r>
    </w:p>
    <w:p w:rsidR="00D60323" w:rsidRPr="009C2031" w:rsidRDefault="00E66383" w:rsidP="00D60323">
      <w:pPr>
        <w:pStyle w:val="ListParagraph"/>
        <w:numPr>
          <w:ilvl w:val="0"/>
          <w:numId w:val="36"/>
        </w:numPr>
        <w:tabs>
          <w:tab w:val="left" w:pos="1134"/>
        </w:tabs>
        <w:spacing w:line="360" w:lineRule="auto"/>
        <w:ind w:left="0" w:firstLine="567"/>
        <w:jc w:val="both"/>
        <w:rPr>
          <w:rFonts w:ascii="Times New Roman" w:hAnsi="Times New Roman" w:cs="Times New Roman"/>
          <w:b/>
          <w:bCs/>
          <w:color w:val="auto"/>
        </w:rPr>
      </w:pPr>
      <w:r w:rsidRPr="009C2031">
        <w:rPr>
          <w:rFonts w:ascii="Times New Roman" w:hAnsi="Times New Roman" w:cs="Times New Roman"/>
          <w:b/>
          <w:bCs/>
          <w:color w:val="auto"/>
        </w:rPr>
        <w:t xml:space="preserve">Tiesioginės užsienio investicijos metų pabaigoje. </w:t>
      </w:r>
      <w:r w:rsidRPr="009C2031">
        <w:rPr>
          <w:rFonts w:ascii="Times New Roman" w:hAnsi="Times New Roman" w:cs="Times New Roman"/>
          <w:bCs/>
          <w:color w:val="auto"/>
        </w:rPr>
        <w:t xml:space="preserve">Požymiai: Tiesioginės užsienio investicijos tūkstančiais litų. </w:t>
      </w:r>
      <w:hyperlink r:id="rId102" w:history="1">
        <w:r w:rsidRPr="009C2031">
          <w:rPr>
            <w:rStyle w:val="Hyperlink"/>
            <w:rFonts w:ascii="Times New Roman" w:hAnsi="Times New Roman" w:cs="Times New Roman"/>
            <w:bCs/>
            <w:color w:val="auto"/>
          </w:rPr>
          <w:t>http://db1.stat.gov.lt/statbank/default.asp?w=1366</w:t>
        </w:r>
      </w:hyperlink>
      <w:r w:rsidRPr="009C2031">
        <w:rPr>
          <w:rFonts w:ascii="Times New Roman" w:hAnsi="Times New Roman" w:cs="Times New Roman"/>
          <w:bCs/>
          <w:color w:val="auto"/>
        </w:rPr>
        <w:t xml:space="preserve"> [žiūrėta 2012 11 07].</w:t>
      </w:r>
    </w:p>
    <w:p w:rsidR="00D058DA" w:rsidRDefault="00D058DA">
      <w:pPr>
        <w:spacing w:after="200" w:line="276" w:lineRule="auto"/>
        <w:rPr>
          <w:rFonts w:ascii="Times New Roman" w:hAnsi="Times New Roman" w:cs="Times New Roman"/>
          <w:b/>
          <w:bCs/>
        </w:rPr>
      </w:pPr>
      <w:r>
        <w:rPr>
          <w:rFonts w:ascii="Times New Roman" w:hAnsi="Times New Roman" w:cs="Times New Roman"/>
          <w:b/>
          <w:bCs/>
        </w:rPr>
        <w:br w:type="page"/>
      </w:r>
    </w:p>
    <w:p w:rsidR="00BE2530" w:rsidRDefault="006943E0" w:rsidP="006943E0">
      <w:pPr>
        <w:tabs>
          <w:tab w:val="left" w:pos="567"/>
          <w:tab w:val="left" w:pos="1134"/>
        </w:tabs>
        <w:spacing w:line="360" w:lineRule="auto"/>
        <w:jc w:val="both"/>
        <w:rPr>
          <w:rFonts w:ascii="Times New Roman" w:hAnsi="Times New Roman" w:cs="Times New Roman"/>
          <w:bCs/>
        </w:rPr>
      </w:pPr>
      <w:r>
        <w:rPr>
          <w:rFonts w:ascii="Times New Roman" w:hAnsi="Times New Roman" w:cs="Times New Roman"/>
          <w:b/>
          <w:bCs/>
        </w:rPr>
        <w:lastRenderedPageBreak/>
        <w:tab/>
      </w:r>
      <w:r w:rsidRPr="006943E0">
        <w:rPr>
          <w:rFonts w:ascii="Times New Roman" w:hAnsi="Times New Roman" w:cs="Times New Roman"/>
          <w:b/>
          <w:bCs/>
        </w:rPr>
        <w:t xml:space="preserve">Zabitis L. </w:t>
      </w:r>
      <w:r w:rsidR="00481398">
        <w:rPr>
          <w:rFonts w:ascii="Times New Roman" w:hAnsi="Times New Roman" w:cs="Times New Roman"/>
          <w:bCs/>
        </w:rPr>
        <w:t>Lizingo rinkos įtakos</w:t>
      </w:r>
      <w:r>
        <w:rPr>
          <w:rFonts w:ascii="Times New Roman" w:hAnsi="Times New Roman" w:cs="Times New Roman"/>
          <w:bCs/>
        </w:rPr>
        <w:t xml:space="preserve"> Lietuvos ekonomikai</w:t>
      </w:r>
      <w:r w:rsidRPr="006943E0">
        <w:rPr>
          <w:rFonts w:ascii="Times New Roman" w:hAnsi="Times New Roman" w:cs="Times New Roman"/>
          <w:bCs/>
        </w:rPr>
        <w:t xml:space="preserve"> </w:t>
      </w:r>
      <w:r w:rsidR="00481398">
        <w:rPr>
          <w:rFonts w:ascii="Times New Roman" w:hAnsi="Times New Roman" w:cs="Times New Roman"/>
          <w:bCs/>
        </w:rPr>
        <w:t>vertinimas</w:t>
      </w:r>
      <w:r w:rsidRPr="006943E0">
        <w:rPr>
          <w:rFonts w:ascii="Times New Roman" w:hAnsi="Times New Roman" w:cs="Times New Roman"/>
          <w:bCs/>
        </w:rPr>
        <w:t xml:space="preserve">/ Finansų </w:t>
      </w:r>
      <w:r>
        <w:rPr>
          <w:rFonts w:ascii="Times New Roman" w:hAnsi="Times New Roman" w:cs="Times New Roman"/>
          <w:bCs/>
        </w:rPr>
        <w:t>rinkų</w:t>
      </w:r>
      <w:r w:rsidRPr="006943E0">
        <w:rPr>
          <w:rFonts w:ascii="Times New Roman" w:hAnsi="Times New Roman" w:cs="Times New Roman"/>
          <w:bCs/>
        </w:rPr>
        <w:t xml:space="preserve"> </w:t>
      </w:r>
      <w:r>
        <w:rPr>
          <w:rFonts w:ascii="Times New Roman" w:hAnsi="Times New Roman" w:cs="Times New Roman"/>
          <w:bCs/>
        </w:rPr>
        <w:t>magistro</w:t>
      </w:r>
      <w:r w:rsidRPr="006943E0">
        <w:rPr>
          <w:rFonts w:ascii="Times New Roman" w:hAnsi="Times New Roman" w:cs="Times New Roman"/>
          <w:bCs/>
        </w:rPr>
        <w:t xml:space="preserve"> baigiamasis darbas. Vadovas prof. dr. I.Mačerinskienė. – Vilnius: Mykolo Romerio universitetas, Ekonomikos ir </w:t>
      </w:r>
      <w:r>
        <w:rPr>
          <w:rFonts w:ascii="Times New Roman" w:hAnsi="Times New Roman" w:cs="Times New Roman"/>
          <w:bCs/>
        </w:rPr>
        <w:t>finansų valdymo fakultetas, 2012</w:t>
      </w:r>
      <w:r w:rsidRPr="006943E0">
        <w:rPr>
          <w:rFonts w:ascii="Times New Roman" w:hAnsi="Times New Roman" w:cs="Times New Roman"/>
          <w:bCs/>
        </w:rPr>
        <w:t xml:space="preserve">. – </w:t>
      </w:r>
      <w:r w:rsidR="00382B2A">
        <w:rPr>
          <w:rFonts w:ascii="Times New Roman" w:hAnsi="Times New Roman" w:cs="Times New Roman"/>
          <w:bCs/>
          <w:color w:val="auto"/>
        </w:rPr>
        <w:t>84</w:t>
      </w:r>
      <w:r w:rsidRPr="006943E0">
        <w:rPr>
          <w:rFonts w:ascii="Times New Roman" w:hAnsi="Times New Roman" w:cs="Times New Roman"/>
          <w:bCs/>
        </w:rPr>
        <w:t xml:space="preserve"> p.</w:t>
      </w:r>
    </w:p>
    <w:p w:rsidR="006943E0" w:rsidRDefault="006943E0" w:rsidP="006943E0">
      <w:pPr>
        <w:tabs>
          <w:tab w:val="left" w:pos="567"/>
          <w:tab w:val="left" w:pos="1134"/>
        </w:tabs>
        <w:spacing w:line="360" w:lineRule="auto"/>
        <w:jc w:val="both"/>
        <w:rPr>
          <w:rFonts w:ascii="Times New Roman" w:hAnsi="Times New Roman" w:cs="Times New Roman"/>
          <w:bCs/>
        </w:rPr>
      </w:pPr>
    </w:p>
    <w:p w:rsidR="006943E0" w:rsidRPr="00FD71CD" w:rsidRDefault="006943E0" w:rsidP="006943E0">
      <w:pPr>
        <w:pStyle w:val="Heading1"/>
        <w:numPr>
          <w:ilvl w:val="0"/>
          <w:numId w:val="0"/>
        </w:numPr>
        <w:spacing w:before="0"/>
        <w:ind w:hanging="360"/>
      </w:pPr>
      <w:bookmarkStart w:id="62" w:name="_Toc343517982"/>
      <w:r>
        <w:t>ANOTACIJA</w:t>
      </w:r>
      <w:bookmarkEnd w:id="62"/>
    </w:p>
    <w:p w:rsidR="00893747" w:rsidRDefault="00893747">
      <w:pPr>
        <w:spacing w:after="200" w:line="276" w:lineRule="auto"/>
        <w:rPr>
          <w:rFonts w:ascii="Times New Roman" w:eastAsiaTheme="majorEastAsia" w:hAnsi="Times New Roman" w:cs="Times New Roman"/>
          <w:b/>
          <w:bCs/>
          <w:color w:val="auto"/>
        </w:rPr>
      </w:pPr>
    </w:p>
    <w:p w:rsidR="00E21FCD" w:rsidRDefault="00E21FCD" w:rsidP="00E21FCD">
      <w:pPr>
        <w:tabs>
          <w:tab w:val="left" w:pos="567"/>
          <w:tab w:val="left" w:pos="930"/>
        </w:tabs>
        <w:spacing w:line="360" w:lineRule="auto"/>
        <w:jc w:val="both"/>
        <w:rPr>
          <w:rFonts w:ascii="Times New Roman" w:hAnsi="Times New Roman" w:cs="Times New Roman"/>
        </w:rPr>
      </w:pPr>
      <w:r>
        <w:rPr>
          <w:rFonts w:ascii="Times New Roman" w:eastAsiaTheme="majorEastAsia" w:hAnsi="Times New Roman" w:cs="Times New Roman"/>
          <w:bCs/>
          <w:color w:val="auto"/>
        </w:rPr>
        <w:tab/>
      </w:r>
      <w:r w:rsidR="006943E0" w:rsidRPr="00E21FCD">
        <w:rPr>
          <w:rFonts w:ascii="Times New Roman" w:eastAsiaTheme="majorEastAsia" w:hAnsi="Times New Roman" w:cs="Times New Roman"/>
          <w:bCs/>
          <w:color w:val="auto"/>
        </w:rPr>
        <w:t xml:space="preserve">Magistro baigiamajame darbe įvertinta lizingo rinkos įtaka Lietuvos ekonomikai. Pirmoje darbo dalyje apžvelgiama lizingo samprata ir ištakos, įvardijami pagrindiniai lizingo tipai, apžvelgiami pagrindiniai lizingo privalumai ir trūkumai, atliekamas teorinis lizingo paslaugos reikšmės ekonomikai vertinimas bei trumpai apžvelgiama Lietuvos lizingo rinka. Antroje darbo </w:t>
      </w:r>
      <w:r w:rsidRPr="00E21FCD">
        <w:rPr>
          <w:rFonts w:ascii="Times New Roman" w:eastAsiaTheme="majorEastAsia" w:hAnsi="Times New Roman" w:cs="Times New Roman"/>
          <w:bCs/>
          <w:color w:val="auto"/>
        </w:rPr>
        <w:t xml:space="preserve">dalyje sudaromas teorinis lizingo rinkos įtakai Lietuvos ekonomikai įvertinti modelis, aprašomi pagrindiniai darbe naudojami tyrimo metodai. Remiantis sudarytu modeliu atliekamas pirmas modelio etapas – </w:t>
      </w:r>
      <w:r w:rsidR="00104A41">
        <w:rPr>
          <w:rFonts w:ascii="Times New Roman" w:eastAsiaTheme="majorEastAsia" w:hAnsi="Times New Roman" w:cs="Times New Roman"/>
          <w:bCs/>
          <w:color w:val="auto"/>
        </w:rPr>
        <w:t xml:space="preserve">įvertinamos </w:t>
      </w:r>
      <w:r w:rsidRPr="00E21FCD">
        <w:rPr>
          <w:rFonts w:ascii="Times New Roman" w:eastAsiaTheme="majorEastAsia" w:hAnsi="Times New Roman" w:cs="Times New Roman"/>
          <w:bCs/>
          <w:color w:val="auto"/>
        </w:rPr>
        <w:t xml:space="preserve">Lietuvos lizingo rinkos </w:t>
      </w:r>
      <w:r w:rsidR="00C306EB">
        <w:rPr>
          <w:rFonts w:ascii="Times New Roman" w:eastAsiaTheme="majorEastAsia" w:hAnsi="Times New Roman" w:cs="Times New Roman"/>
          <w:bCs/>
          <w:color w:val="auto"/>
        </w:rPr>
        <w:t xml:space="preserve">įvertinamos </w:t>
      </w:r>
      <w:r w:rsidRPr="00E21FCD">
        <w:rPr>
          <w:rFonts w:ascii="Times New Roman" w:eastAsiaTheme="majorEastAsia" w:hAnsi="Times New Roman" w:cs="Times New Roman"/>
          <w:bCs/>
          <w:color w:val="auto"/>
        </w:rPr>
        <w:t>kitimo tendencijos</w:t>
      </w:r>
      <w:r w:rsidR="00104A41">
        <w:rPr>
          <w:rFonts w:ascii="Times New Roman" w:eastAsiaTheme="majorEastAsia" w:hAnsi="Times New Roman" w:cs="Times New Roman"/>
          <w:bCs/>
          <w:color w:val="auto"/>
        </w:rPr>
        <w:t xml:space="preserve"> 1998 – 2011 m.</w:t>
      </w:r>
      <w:r w:rsidRPr="00E21FCD">
        <w:rPr>
          <w:rFonts w:ascii="Times New Roman" w:eastAsiaTheme="majorEastAsia" w:hAnsi="Times New Roman" w:cs="Times New Roman"/>
          <w:bCs/>
          <w:color w:val="auto"/>
        </w:rPr>
        <w:t xml:space="preserve">, Lietuvos lizingo rinka vertinama užsienio lizingo rinkų kontekste. Trečioje darbo dalyje atliekami likę du antrame skyriuje sudaryto modelio etapai: koreliacinė regresinė analizė siekiant išsiaiškinti ryšį </w:t>
      </w:r>
      <w:r w:rsidR="00C306EB">
        <w:rPr>
          <w:rFonts w:ascii="Times New Roman" w:eastAsiaTheme="majorEastAsia" w:hAnsi="Times New Roman" w:cs="Times New Roman"/>
          <w:bCs/>
          <w:color w:val="auto"/>
        </w:rPr>
        <w:t xml:space="preserve">bei priklausomybę </w:t>
      </w:r>
      <w:r w:rsidRPr="00E21FCD">
        <w:rPr>
          <w:rFonts w:ascii="Times New Roman" w:eastAsiaTheme="majorEastAsia" w:hAnsi="Times New Roman" w:cs="Times New Roman"/>
          <w:bCs/>
          <w:color w:val="auto"/>
        </w:rPr>
        <w:t>tarp lizingo rinkos ir bendrojo vidaus produkto, tiesioginių užsienio investicijų, nedarbo lygio bei ekspertinis vertinim</w:t>
      </w:r>
      <w:r w:rsidR="00C306EB">
        <w:rPr>
          <w:rFonts w:ascii="Times New Roman" w:eastAsiaTheme="majorEastAsia" w:hAnsi="Times New Roman" w:cs="Times New Roman"/>
          <w:bCs/>
          <w:color w:val="auto"/>
        </w:rPr>
        <w:t>as. Ekspertinis vertinimas padeda</w:t>
      </w:r>
      <w:r w:rsidRPr="00E21FCD">
        <w:rPr>
          <w:rFonts w:ascii="Times New Roman" w:eastAsiaTheme="majorEastAsia" w:hAnsi="Times New Roman" w:cs="Times New Roman"/>
          <w:bCs/>
          <w:color w:val="auto"/>
        </w:rPr>
        <w:t xml:space="preserve"> patvirtinti arba paneigti koreliacinės regresinės analizės rezultatus bei </w:t>
      </w:r>
      <w:r w:rsidRPr="00E21FCD">
        <w:rPr>
          <w:rFonts w:ascii="Times New Roman" w:hAnsi="Times New Roman" w:cs="Times New Roman"/>
        </w:rPr>
        <w:t>išsiaiškinti ekspertų nuomonę apie lizingo rinkos įtaką Lietuvos ekonomikai, nustatyti pagrindines priežastis trukdančias lizingo rinkai plėstis bei įvertinti lizingo rinkos plėtros galimybes.</w:t>
      </w:r>
      <w:r>
        <w:rPr>
          <w:rFonts w:ascii="Times New Roman" w:hAnsi="Times New Roman" w:cs="Times New Roman"/>
        </w:rPr>
        <w:t xml:space="preserve"> Pabaigoje pateikiamos išvados ir pasiūlymai, kaip užtikrinti Lietuvos lizingo rinkos plėtrą.</w:t>
      </w:r>
    </w:p>
    <w:p w:rsidR="0020029E" w:rsidRDefault="00C306EB" w:rsidP="00E21FCD">
      <w:pPr>
        <w:tabs>
          <w:tab w:val="left" w:pos="567"/>
          <w:tab w:val="left" w:pos="930"/>
        </w:tabs>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b/>
        </w:rPr>
        <w:t>Pagrindiniai</w:t>
      </w:r>
      <w:r w:rsidRPr="00C306EB">
        <w:rPr>
          <w:rFonts w:ascii="Times New Roman" w:hAnsi="Times New Roman" w:cs="Times New Roman"/>
          <w:b/>
        </w:rPr>
        <w:t xml:space="preserve"> žodžiai: </w:t>
      </w:r>
      <w:r>
        <w:rPr>
          <w:rFonts w:ascii="Times New Roman" w:hAnsi="Times New Roman" w:cs="Times New Roman"/>
        </w:rPr>
        <w:t xml:space="preserve">lizingo rinka, įtaka ekonomikai, </w:t>
      </w:r>
      <w:r w:rsidR="009309E9">
        <w:rPr>
          <w:rFonts w:ascii="Times New Roman" w:hAnsi="Times New Roman" w:cs="Times New Roman"/>
        </w:rPr>
        <w:t>finansinis lizingas, veiklos lizingas, paslaugos plėtra.</w:t>
      </w:r>
    </w:p>
    <w:p w:rsidR="0020029E" w:rsidRDefault="0020029E">
      <w:pPr>
        <w:spacing w:after="200" w:line="276" w:lineRule="auto"/>
        <w:rPr>
          <w:rFonts w:ascii="Times New Roman" w:hAnsi="Times New Roman" w:cs="Times New Roman"/>
        </w:rPr>
      </w:pPr>
      <w:r>
        <w:rPr>
          <w:rFonts w:ascii="Times New Roman" w:hAnsi="Times New Roman" w:cs="Times New Roman"/>
        </w:rPr>
        <w:br w:type="page"/>
      </w:r>
    </w:p>
    <w:p w:rsidR="0095604B" w:rsidRPr="00FE52BF" w:rsidRDefault="0095604B" w:rsidP="00E21FCD">
      <w:pPr>
        <w:tabs>
          <w:tab w:val="left" w:pos="567"/>
          <w:tab w:val="left" w:pos="930"/>
        </w:tabs>
        <w:spacing w:line="360" w:lineRule="auto"/>
        <w:jc w:val="both"/>
        <w:rPr>
          <w:rFonts w:ascii="Times New Roman" w:hAnsi="Times New Roman" w:cs="Times New Roman"/>
          <w:bCs/>
          <w:lang w:val="en-US"/>
        </w:rPr>
      </w:pPr>
      <w:r>
        <w:rPr>
          <w:rFonts w:ascii="Times New Roman" w:hAnsi="Times New Roman" w:cs="Times New Roman"/>
          <w:b/>
          <w:bCs/>
        </w:rPr>
        <w:lastRenderedPageBreak/>
        <w:tab/>
      </w:r>
      <w:r w:rsidR="00AB1DE0" w:rsidRPr="00FE52BF">
        <w:rPr>
          <w:rFonts w:ascii="Times New Roman" w:hAnsi="Times New Roman" w:cs="Times New Roman"/>
          <w:bCs/>
          <w:lang w:val="en-US"/>
        </w:rPr>
        <w:t xml:space="preserve">Zabitis L. </w:t>
      </w:r>
      <w:r w:rsidR="00FE52BF" w:rsidRPr="00FE52BF">
        <w:rPr>
          <w:rFonts w:ascii="Times New Roman" w:hAnsi="Times New Roman" w:cs="Times New Roman"/>
          <w:bCs/>
          <w:lang w:val="en-US"/>
        </w:rPr>
        <w:t>Leasing market influence on economy of Lithuania</w:t>
      </w:r>
      <w:r w:rsidR="00AB1DE0" w:rsidRPr="00FE52BF">
        <w:rPr>
          <w:rFonts w:ascii="Times New Roman" w:hAnsi="Times New Roman" w:cs="Times New Roman"/>
          <w:bCs/>
          <w:lang w:val="en-US"/>
        </w:rPr>
        <w:t xml:space="preserve"> / </w:t>
      </w:r>
      <w:r w:rsidR="00FE52BF" w:rsidRPr="00FE52BF">
        <w:rPr>
          <w:rFonts w:ascii="Times New Roman" w:hAnsi="Times New Roman" w:cs="Times New Roman"/>
          <w:bCs/>
          <w:lang w:val="en-US"/>
        </w:rPr>
        <w:t>Master‘</w:t>
      </w:r>
      <w:r w:rsidR="00AB1DE0" w:rsidRPr="00FE52BF">
        <w:rPr>
          <w:rFonts w:ascii="Times New Roman" w:hAnsi="Times New Roman" w:cs="Times New Roman"/>
          <w:bCs/>
          <w:lang w:val="en-US"/>
        </w:rPr>
        <w:t xml:space="preserve">s Work in Finance </w:t>
      </w:r>
      <w:r w:rsidR="00FE52BF" w:rsidRPr="00FE52BF">
        <w:rPr>
          <w:rFonts w:ascii="Times New Roman" w:hAnsi="Times New Roman" w:cs="Times New Roman"/>
          <w:bCs/>
          <w:lang w:val="en-US"/>
        </w:rPr>
        <w:t>Markets.</w:t>
      </w:r>
      <w:r w:rsidR="00AB1DE0" w:rsidRPr="00FE52BF">
        <w:rPr>
          <w:rFonts w:ascii="Times New Roman" w:hAnsi="Times New Roman" w:cs="Times New Roman"/>
          <w:bCs/>
          <w:lang w:val="en-US"/>
        </w:rPr>
        <w:t xml:space="preserve"> Supervisor </w:t>
      </w:r>
      <w:r w:rsidR="00FE52BF" w:rsidRPr="00FE52BF">
        <w:rPr>
          <w:rFonts w:ascii="Times New Roman" w:hAnsi="Times New Roman" w:cs="Times New Roman"/>
          <w:bCs/>
          <w:lang w:val="en-US"/>
        </w:rPr>
        <w:t>prof</w:t>
      </w:r>
      <w:r w:rsidR="00AB1DE0" w:rsidRPr="00FE52BF">
        <w:rPr>
          <w:rFonts w:ascii="Times New Roman" w:hAnsi="Times New Roman" w:cs="Times New Roman"/>
          <w:bCs/>
          <w:lang w:val="en-US"/>
        </w:rPr>
        <w:t xml:space="preserve">. </w:t>
      </w:r>
      <w:r w:rsidR="00FE52BF" w:rsidRPr="00FE52BF">
        <w:rPr>
          <w:rFonts w:ascii="Times New Roman" w:hAnsi="Times New Roman" w:cs="Times New Roman"/>
          <w:bCs/>
          <w:lang w:val="en-US"/>
        </w:rPr>
        <w:t>dr. I.</w:t>
      </w:r>
      <w:r w:rsidR="00AB1DE0" w:rsidRPr="00FE52BF">
        <w:rPr>
          <w:rFonts w:ascii="Times New Roman" w:hAnsi="Times New Roman" w:cs="Times New Roman"/>
          <w:bCs/>
          <w:lang w:val="en-US"/>
        </w:rPr>
        <w:t xml:space="preserve"> </w:t>
      </w:r>
      <w:r w:rsidR="00FE52BF" w:rsidRPr="00FE52BF">
        <w:rPr>
          <w:rFonts w:ascii="Times New Roman" w:hAnsi="Times New Roman" w:cs="Times New Roman"/>
          <w:bCs/>
          <w:lang w:val="en-US"/>
        </w:rPr>
        <w:t>Mačerinskienė</w:t>
      </w:r>
      <w:r w:rsidR="00AB1DE0" w:rsidRPr="00FE52BF">
        <w:rPr>
          <w:rFonts w:ascii="Times New Roman" w:hAnsi="Times New Roman" w:cs="Times New Roman"/>
          <w:bCs/>
          <w:lang w:val="en-US"/>
        </w:rPr>
        <w:t xml:space="preserve">. – Vilnius: Faculty of Economics and Finance Management, </w:t>
      </w:r>
      <w:r w:rsidR="00FE52BF" w:rsidRPr="00FE52BF">
        <w:rPr>
          <w:rFonts w:ascii="Times New Roman" w:hAnsi="Times New Roman" w:cs="Times New Roman"/>
          <w:bCs/>
          <w:lang w:val="en-US"/>
        </w:rPr>
        <w:t>Mykolas Romeris University, 2012</w:t>
      </w:r>
      <w:r w:rsidR="00AB1DE0" w:rsidRPr="00FE52BF">
        <w:rPr>
          <w:rFonts w:ascii="Times New Roman" w:hAnsi="Times New Roman" w:cs="Times New Roman"/>
          <w:bCs/>
          <w:lang w:val="en-US"/>
        </w:rPr>
        <w:t xml:space="preserve">. – </w:t>
      </w:r>
      <w:r w:rsidR="00382B2A">
        <w:rPr>
          <w:rFonts w:ascii="Times New Roman" w:hAnsi="Times New Roman" w:cs="Times New Roman"/>
          <w:bCs/>
          <w:color w:val="auto"/>
          <w:lang w:val="en-US"/>
        </w:rPr>
        <w:t>84</w:t>
      </w:r>
      <w:r w:rsidR="00AB1DE0" w:rsidRPr="00FE52BF">
        <w:rPr>
          <w:rFonts w:ascii="Times New Roman" w:hAnsi="Times New Roman" w:cs="Times New Roman"/>
          <w:bCs/>
          <w:lang w:val="en-US"/>
        </w:rPr>
        <w:t xml:space="preserve"> p.</w:t>
      </w:r>
      <w:r w:rsidR="0020029E" w:rsidRPr="00FE52BF">
        <w:rPr>
          <w:rFonts w:ascii="Times New Roman" w:hAnsi="Times New Roman" w:cs="Times New Roman"/>
          <w:bCs/>
          <w:lang w:val="en-US"/>
        </w:rPr>
        <w:tab/>
      </w:r>
    </w:p>
    <w:p w:rsidR="0095604B" w:rsidRDefault="0095604B" w:rsidP="00B843E2">
      <w:pPr>
        <w:spacing w:line="276" w:lineRule="auto"/>
        <w:rPr>
          <w:rFonts w:ascii="Times New Roman" w:hAnsi="Times New Roman" w:cs="Times New Roman"/>
          <w:b/>
          <w:bCs/>
        </w:rPr>
      </w:pPr>
    </w:p>
    <w:p w:rsidR="00B843E2" w:rsidRDefault="00B843E2" w:rsidP="00B843E2">
      <w:pPr>
        <w:pStyle w:val="Heading1"/>
        <w:numPr>
          <w:ilvl w:val="0"/>
          <w:numId w:val="0"/>
        </w:numPr>
        <w:spacing w:before="0"/>
      </w:pPr>
      <w:bookmarkStart w:id="63" w:name="_Toc343517983"/>
      <w:r>
        <w:t>ANOTATION</w:t>
      </w:r>
      <w:bookmarkEnd w:id="63"/>
    </w:p>
    <w:p w:rsidR="00B843E2" w:rsidRDefault="00B843E2" w:rsidP="00B843E2">
      <w:pPr>
        <w:rPr>
          <w:rFonts w:ascii="Times New Roman" w:hAnsi="Times New Roman" w:cs="Times New Roman"/>
        </w:rPr>
      </w:pPr>
    </w:p>
    <w:p w:rsidR="00B843E2" w:rsidRPr="00B843E2" w:rsidRDefault="00B843E2" w:rsidP="00B843E2">
      <w:pPr>
        <w:tabs>
          <w:tab w:val="left" w:pos="567"/>
        </w:tabs>
        <w:spacing w:line="360" w:lineRule="auto"/>
        <w:jc w:val="both"/>
        <w:rPr>
          <w:rFonts w:ascii="Times New Roman" w:hAnsi="Times New Roman" w:cs="Times New Roman"/>
          <w:lang w:val="en-US"/>
        </w:rPr>
      </w:pPr>
      <w:r>
        <w:rPr>
          <w:rFonts w:ascii="Times New Roman" w:hAnsi="Times New Roman" w:cs="Times New Roman"/>
        </w:rPr>
        <w:tab/>
      </w:r>
      <w:r w:rsidR="00327422">
        <w:rPr>
          <w:rFonts w:ascii="Times New Roman" w:hAnsi="Times New Roman" w:cs="Times New Roman"/>
          <w:lang w:val="en-US"/>
        </w:rPr>
        <w:t>The</w:t>
      </w:r>
      <w:r w:rsidR="00327422">
        <w:rPr>
          <w:rFonts w:ascii="Times New Roman" w:hAnsi="Times New Roman" w:cs="Times New Roman"/>
        </w:rPr>
        <w:t xml:space="preserve"> </w:t>
      </w:r>
      <w:r w:rsidRPr="00B843E2">
        <w:rPr>
          <w:rFonts w:ascii="Times New Roman" w:hAnsi="Times New Roman" w:cs="Times New Roman"/>
          <w:lang w:val="en-US"/>
        </w:rPr>
        <w:t xml:space="preserve">Master's </w:t>
      </w:r>
      <w:r w:rsidR="00327422">
        <w:rPr>
          <w:rFonts w:ascii="Times New Roman" w:hAnsi="Times New Roman" w:cs="Times New Roman"/>
          <w:lang w:val="en-US"/>
        </w:rPr>
        <w:t>work</w:t>
      </w:r>
      <w:r w:rsidRPr="00B843E2">
        <w:rPr>
          <w:rFonts w:ascii="Times New Roman" w:hAnsi="Times New Roman" w:cs="Times New Roman"/>
          <w:lang w:val="en-US"/>
        </w:rPr>
        <w:t xml:space="preserve"> </w:t>
      </w:r>
      <w:r w:rsidR="00327422">
        <w:rPr>
          <w:rFonts w:ascii="Times New Roman" w:hAnsi="Times New Roman" w:cs="Times New Roman"/>
          <w:lang w:val="en-US"/>
        </w:rPr>
        <w:t xml:space="preserve">analyses and evaluates </w:t>
      </w:r>
      <w:r w:rsidRPr="00B843E2">
        <w:rPr>
          <w:rFonts w:ascii="Times New Roman" w:hAnsi="Times New Roman" w:cs="Times New Roman"/>
          <w:lang w:val="en-US"/>
        </w:rPr>
        <w:t xml:space="preserve">leasing market </w:t>
      </w:r>
      <w:r w:rsidR="00327422">
        <w:rPr>
          <w:rFonts w:ascii="Times New Roman" w:hAnsi="Times New Roman" w:cs="Times New Roman"/>
          <w:lang w:val="en-US"/>
        </w:rPr>
        <w:t xml:space="preserve">influence </w:t>
      </w:r>
      <w:r w:rsidRPr="00B843E2">
        <w:rPr>
          <w:rFonts w:ascii="Times New Roman" w:hAnsi="Times New Roman" w:cs="Times New Roman"/>
          <w:lang w:val="en-US"/>
        </w:rPr>
        <w:t xml:space="preserve">on the Lithuanian economy. The first part gives an overview of the leasing concept and </w:t>
      </w:r>
      <w:r w:rsidR="00327422">
        <w:rPr>
          <w:rFonts w:ascii="Times New Roman" w:hAnsi="Times New Roman" w:cs="Times New Roman"/>
          <w:lang w:val="en-US"/>
        </w:rPr>
        <w:t>development</w:t>
      </w:r>
      <w:r w:rsidRPr="00B843E2">
        <w:rPr>
          <w:rFonts w:ascii="Times New Roman" w:hAnsi="Times New Roman" w:cs="Times New Roman"/>
          <w:lang w:val="en-US"/>
        </w:rPr>
        <w:t>, identifies the main types of leasing, gives an overview of the main advantages and disadvantages of leasing</w:t>
      </w:r>
      <w:r w:rsidR="007D23DD">
        <w:rPr>
          <w:rFonts w:ascii="Times New Roman" w:hAnsi="Times New Roman" w:cs="Times New Roman"/>
          <w:lang w:val="en-US"/>
        </w:rPr>
        <w:t>,</w:t>
      </w:r>
      <w:r w:rsidRPr="00B843E2">
        <w:rPr>
          <w:rFonts w:ascii="Times New Roman" w:hAnsi="Times New Roman" w:cs="Times New Roman"/>
          <w:lang w:val="en-US"/>
        </w:rPr>
        <w:t xml:space="preserve"> </w:t>
      </w:r>
      <w:r w:rsidR="00327422">
        <w:rPr>
          <w:rFonts w:ascii="Times New Roman" w:hAnsi="Times New Roman" w:cs="Times New Roman"/>
          <w:lang w:val="en-US"/>
        </w:rPr>
        <w:t>performs</w:t>
      </w:r>
      <w:r w:rsidRPr="00B843E2">
        <w:rPr>
          <w:rFonts w:ascii="Times New Roman" w:hAnsi="Times New Roman" w:cs="Times New Roman"/>
          <w:lang w:val="en-US"/>
        </w:rPr>
        <w:t xml:space="preserve"> theoretical </w:t>
      </w:r>
      <w:r w:rsidR="007D23DD">
        <w:rPr>
          <w:rFonts w:ascii="Times New Roman" w:hAnsi="Times New Roman" w:cs="Times New Roman"/>
          <w:lang w:val="en-US"/>
        </w:rPr>
        <w:t>leasing market influence on the economy</w:t>
      </w:r>
      <w:r w:rsidRPr="00B843E2">
        <w:rPr>
          <w:rFonts w:ascii="Times New Roman" w:hAnsi="Times New Roman" w:cs="Times New Roman"/>
          <w:lang w:val="en-US"/>
        </w:rPr>
        <w:t xml:space="preserve"> and </w:t>
      </w:r>
      <w:r w:rsidR="00E911E8">
        <w:rPr>
          <w:rFonts w:ascii="Times New Roman" w:hAnsi="Times New Roman" w:cs="Times New Roman"/>
          <w:lang w:val="en-US"/>
        </w:rPr>
        <w:t xml:space="preserve">presents </w:t>
      </w:r>
      <w:r w:rsidRPr="00B843E2">
        <w:rPr>
          <w:rFonts w:ascii="Times New Roman" w:hAnsi="Times New Roman" w:cs="Times New Roman"/>
          <w:lang w:val="en-US"/>
        </w:rPr>
        <w:t>a brief overview of the Lithuanian leasing market.</w:t>
      </w:r>
      <w:r w:rsidR="007D23DD">
        <w:rPr>
          <w:rFonts w:ascii="Times New Roman" w:hAnsi="Times New Roman" w:cs="Times New Roman"/>
          <w:lang w:val="en-US"/>
        </w:rPr>
        <w:t xml:space="preserve"> In the second part of the work is formed </w:t>
      </w:r>
      <w:r w:rsidRPr="00B843E2">
        <w:rPr>
          <w:rFonts w:ascii="Times New Roman" w:hAnsi="Times New Roman" w:cs="Times New Roman"/>
          <w:lang w:val="en-US"/>
        </w:rPr>
        <w:t xml:space="preserve">Theoretical </w:t>
      </w:r>
      <w:r w:rsidR="007D23DD">
        <w:rPr>
          <w:rFonts w:ascii="Times New Roman" w:hAnsi="Times New Roman" w:cs="Times New Roman"/>
          <w:lang w:val="en-US"/>
        </w:rPr>
        <w:t xml:space="preserve">model that helps </w:t>
      </w:r>
      <w:r w:rsidR="00E54198">
        <w:rPr>
          <w:rFonts w:ascii="Times New Roman" w:hAnsi="Times New Roman" w:cs="Times New Roman"/>
          <w:lang w:val="en-US"/>
        </w:rPr>
        <w:t xml:space="preserve">to </w:t>
      </w:r>
      <w:r w:rsidRPr="00B843E2">
        <w:rPr>
          <w:rFonts w:ascii="Times New Roman" w:hAnsi="Times New Roman" w:cs="Times New Roman"/>
          <w:lang w:val="en-US"/>
        </w:rPr>
        <w:t xml:space="preserve">assess </w:t>
      </w:r>
      <w:r w:rsidR="007D23DD" w:rsidRPr="007D23DD">
        <w:rPr>
          <w:rFonts w:ascii="Times New Roman" w:hAnsi="Times New Roman" w:cs="Times New Roman"/>
          <w:lang w:val="en-US"/>
        </w:rPr>
        <w:t xml:space="preserve">leasing market </w:t>
      </w:r>
      <w:r w:rsidR="007D23DD">
        <w:rPr>
          <w:rFonts w:ascii="Times New Roman" w:hAnsi="Times New Roman" w:cs="Times New Roman"/>
          <w:lang w:val="en-US"/>
        </w:rPr>
        <w:t>influence on the Lithuanian economy</w:t>
      </w:r>
      <w:r w:rsidRPr="00B843E2">
        <w:rPr>
          <w:rFonts w:ascii="Times New Roman" w:hAnsi="Times New Roman" w:cs="Times New Roman"/>
          <w:lang w:val="en-US"/>
        </w:rPr>
        <w:t xml:space="preserve">. </w:t>
      </w:r>
      <w:r w:rsidR="007D23DD">
        <w:rPr>
          <w:rFonts w:ascii="Times New Roman" w:hAnsi="Times New Roman" w:cs="Times New Roman"/>
          <w:lang w:val="en-US"/>
        </w:rPr>
        <w:t>In use of the model</w:t>
      </w:r>
      <w:r w:rsidRPr="00B843E2">
        <w:rPr>
          <w:rFonts w:ascii="Times New Roman" w:hAnsi="Times New Roman" w:cs="Times New Roman"/>
          <w:lang w:val="en-US"/>
        </w:rPr>
        <w:t xml:space="preserve"> </w:t>
      </w:r>
      <w:r w:rsidR="007D23DD">
        <w:rPr>
          <w:rFonts w:ascii="Times New Roman" w:hAnsi="Times New Roman" w:cs="Times New Roman"/>
          <w:lang w:val="en-US"/>
        </w:rPr>
        <w:t>we will perform</w:t>
      </w:r>
      <w:r w:rsidRPr="00B843E2">
        <w:rPr>
          <w:rFonts w:ascii="Times New Roman" w:hAnsi="Times New Roman" w:cs="Times New Roman"/>
          <w:lang w:val="en-US"/>
        </w:rPr>
        <w:t xml:space="preserve"> the first phase of the model - Lithuanian Leasing Market 1998 - 2011 m.</w:t>
      </w:r>
      <w:r w:rsidR="007D23DD">
        <w:rPr>
          <w:rFonts w:ascii="Times New Roman" w:hAnsi="Times New Roman" w:cs="Times New Roman"/>
          <w:lang w:val="en-US"/>
        </w:rPr>
        <w:t xml:space="preserve"> analysis</w:t>
      </w:r>
      <w:r w:rsidRPr="00B843E2">
        <w:rPr>
          <w:rFonts w:ascii="Times New Roman" w:hAnsi="Times New Roman" w:cs="Times New Roman"/>
          <w:lang w:val="en-US"/>
        </w:rPr>
        <w:t xml:space="preserve">, </w:t>
      </w:r>
      <w:r w:rsidR="007D23DD">
        <w:rPr>
          <w:rFonts w:ascii="Times New Roman" w:hAnsi="Times New Roman" w:cs="Times New Roman"/>
          <w:lang w:val="en-US"/>
        </w:rPr>
        <w:t>changes in</w:t>
      </w:r>
      <w:r w:rsidRPr="00B843E2">
        <w:rPr>
          <w:rFonts w:ascii="Times New Roman" w:hAnsi="Times New Roman" w:cs="Times New Roman"/>
          <w:lang w:val="en-US"/>
        </w:rPr>
        <w:t xml:space="preserve"> trends, </w:t>
      </w:r>
      <w:r w:rsidR="007D23DD">
        <w:rPr>
          <w:rFonts w:ascii="Times New Roman" w:hAnsi="Times New Roman" w:cs="Times New Roman"/>
          <w:lang w:val="en-US"/>
        </w:rPr>
        <w:t xml:space="preserve">and also view </w:t>
      </w:r>
      <w:r w:rsidR="002D2C2E">
        <w:rPr>
          <w:rFonts w:ascii="Times New Roman" w:hAnsi="Times New Roman" w:cs="Times New Roman"/>
          <w:lang w:val="en-US"/>
        </w:rPr>
        <w:t xml:space="preserve">of </w:t>
      </w:r>
      <w:r w:rsidRPr="00B843E2">
        <w:rPr>
          <w:rFonts w:ascii="Times New Roman" w:hAnsi="Times New Roman" w:cs="Times New Roman"/>
          <w:lang w:val="en-US"/>
        </w:rPr>
        <w:t>Lithuania</w:t>
      </w:r>
      <w:r w:rsidR="007D23DD">
        <w:rPr>
          <w:rFonts w:ascii="Times New Roman" w:hAnsi="Times New Roman" w:cs="Times New Roman"/>
          <w:lang w:val="en-US"/>
        </w:rPr>
        <w:t>n</w:t>
      </w:r>
      <w:r w:rsidRPr="00B843E2">
        <w:rPr>
          <w:rFonts w:ascii="Times New Roman" w:hAnsi="Times New Roman" w:cs="Times New Roman"/>
          <w:lang w:val="en-US"/>
        </w:rPr>
        <w:t xml:space="preserve"> leasing </w:t>
      </w:r>
      <w:r w:rsidR="002D2C2E">
        <w:rPr>
          <w:rFonts w:ascii="Times New Roman" w:hAnsi="Times New Roman" w:cs="Times New Roman"/>
          <w:lang w:val="en-US"/>
        </w:rPr>
        <w:t xml:space="preserve">market </w:t>
      </w:r>
      <w:r w:rsidRPr="00B843E2">
        <w:rPr>
          <w:rFonts w:ascii="Times New Roman" w:hAnsi="Times New Roman" w:cs="Times New Roman"/>
          <w:lang w:val="en-US"/>
        </w:rPr>
        <w:t xml:space="preserve">in the context of foreign leasing markets. In the third part of the work </w:t>
      </w:r>
      <w:r w:rsidR="002D2C2E">
        <w:rPr>
          <w:rFonts w:ascii="Times New Roman" w:hAnsi="Times New Roman" w:cs="Times New Roman"/>
          <w:lang w:val="en-US"/>
        </w:rPr>
        <w:t>we will carry</w:t>
      </w:r>
      <w:r w:rsidRPr="00B843E2">
        <w:rPr>
          <w:rFonts w:ascii="Times New Roman" w:hAnsi="Times New Roman" w:cs="Times New Roman"/>
          <w:lang w:val="en-US"/>
        </w:rPr>
        <w:t xml:space="preserve"> out </w:t>
      </w:r>
      <w:r w:rsidR="002D2C2E">
        <w:rPr>
          <w:rFonts w:ascii="Times New Roman" w:hAnsi="Times New Roman" w:cs="Times New Roman"/>
          <w:lang w:val="en-US"/>
        </w:rPr>
        <w:t>for</w:t>
      </w:r>
      <w:r w:rsidRPr="00B843E2">
        <w:rPr>
          <w:rFonts w:ascii="Times New Roman" w:hAnsi="Times New Roman" w:cs="Times New Roman"/>
          <w:lang w:val="en-US"/>
        </w:rPr>
        <w:t xml:space="preserve"> the remaining two in the second section comprising model phases: Correlation and regression analysis to clarify the relationship of dependence between the leasing market and gross domestic product, foreign direct investment, unemployment and expert evaluation. Expert assessment helps to confirm or deny the correlation and regression analysis</w:t>
      </w:r>
      <w:r w:rsidR="002D2C2E">
        <w:rPr>
          <w:rFonts w:ascii="Times New Roman" w:hAnsi="Times New Roman" w:cs="Times New Roman"/>
          <w:lang w:val="en-US"/>
        </w:rPr>
        <w:t xml:space="preserve"> results,</w:t>
      </w:r>
      <w:r w:rsidRPr="00B843E2">
        <w:rPr>
          <w:rFonts w:ascii="Times New Roman" w:hAnsi="Times New Roman" w:cs="Times New Roman"/>
          <w:lang w:val="en-US"/>
        </w:rPr>
        <w:t xml:space="preserve"> to find out the opinion of experts on the leasing market </w:t>
      </w:r>
      <w:r w:rsidR="002D2C2E">
        <w:rPr>
          <w:rFonts w:ascii="Times New Roman" w:hAnsi="Times New Roman" w:cs="Times New Roman"/>
          <w:lang w:val="en-US"/>
        </w:rPr>
        <w:t xml:space="preserve">influence </w:t>
      </w:r>
      <w:r w:rsidRPr="00B843E2">
        <w:rPr>
          <w:rFonts w:ascii="Times New Roman" w:hAnsi="Times New Roman" w:cs="Times New Roman"/>
          <w:lang w:val="en-US"/>
        </w:rPr>
        <w:t>on the Lithuanian economy, identify the root causes hindering the leasing market to expand and evaluate the leasing market dev</w:t>
      </w:r>
      <w:r w:rsidR="002D2C2E">
        <w:rPr>
          <w:rFonts w:ascii="Times New Roman" w:hAnsi="Times New Roman" w:cs="Times New Roman"/>
          <w:lang w:val="en-US"/>
        </w:rPr>
        <w:t>elopment opportunities. Finally we will present</w:t>
      </w:r>
      <w:r w:rsidRPr="00B843E2">
        <w:rPr>
          <w:rFonts w:ascii="Times New Roman" w:hAnsi="Times New Roman" w:cs="Times New Roman"/>
          <w:lang w:val="en-US"/>
        </w:rPr>
        <w:t xml:space="preserve"> conclusions and recommendations on how to ensure the Lithuanian leasing market development.</w:t>
      </w:r>
    </w:p>
    <w:p w:rsidR="00B843E2" w:rsidRDefault="00B843E2" w:rsidP="00B843E2">
      <w:pPr>
        <w:tabs>
          <w:tab w:val="left" w:pos="567"/>
        </w:tabs>
        <w:spacing w:line="360" w:lineRule="auto"/>
        <w:jc w:val="both"/>
        <w:rPr>
          <w:rFonts w:ascii="Times New Roman" w:hAnsi="Times New Roman" w:cs="Times New Roman"/>
        </w:rPr>
      </w:pPr>
      <w:r w:rsidRPr="00B843E2">
        <w:rPr>
          <w:rFonts w:ascii="Times New Roman" w:hAnsi="Times New Roman" w:cs="Times New Roman"/>
          <w:lang w:val="en-US"/>
        </w:rPr>
        <w:tab/>
      </w:r>
      <w:r w:rsidRPr="00B843E2">
        <w:rPr>
          <w:rFonts w:ascii="Times New Roman" w:hAnsi="Times New Roman" w:cs="Times New Roman"/>
          <w:b/>
          <w:lang w:val="en-US"/>
        </w:rPr>
        <w:t>Key words</w:t>
      </w:r>
      <w:r w:rsidRPr="00B843E2">
        <w:rPr>
          <w:rFonts w:ascii="Times New Roman" w:hAnsi="Times New Roman" w:cs="Times New Roman"/>
          <w:lang w:val="en-US"/>
        </w:rPr>
        <w:t>: the leasing market, the impact on the economy, financial leasing, operational leasing services development.</w:t>
      </w:r>
      <w:r>
        <w:rPr>
          <w:rFonts w:ascii="Times New Roman" w:hAnsi="Times New Roman" w:cs="Times New Roman"/>
        </w:rPr>
        <w:br w:type="page"/>
      </w:r>
    </w:p>
    <w:p w:rsidR="00C306EB" w:rsidRDefault="0095604B" w:rsidP="00E21FCD">
      <w:pPr>
        <w:tabs>
          <w:tab w:val="left" w:pos="567"/>
          <w:tab w:val="left" w:pos="930"/>
        </w:tabs>
        <w:spacing w:line="360" w:lineRule="auto"/>
        <w:jc w:val="both"/>
        <w:rPr>
          <w:rFonts w:ascii="Times New Roman" w:hAnsi="Times New Roman" w:cs="Times New Roman"/>
          <w:bCs/>
        </w:rPr>
      </w:pPr>
      <w:r>
        <w:rPr>
          <w:rFonts w:ascii="Times New Roman" w:hAnsi="Times New Roman" w:cs="Times New Roman"/>
          <w:b/>
          <w:bCs/>
        </w:rPr>
        <w:lastRenderedPageBreak/>
        <w:tab/>
      </w:r>
      <w:r w:rsidR="0020029E" w:rsidRPr="006943E0">
        <w:rPr>
          <w:rFonts w:ascii="Times New Roman" w:hAnsi="Times New Roman" w:cs="Times New Roman"/>
          <w:b/>
          <w:bCs/>
        </w:rPr>
        <w:t xml:space="preserve">Zabitis L. </w:t>
      </w:r>
      <w:r w:rsidR="00481398">
        <w:rPr>
          <w:rFonts w:ascii="Times New Roman" w:hAnsi="Times New Roman" w:cs="Times New Roman"/>
          <w:bCs/>
        </w:rPr>
        <w:t>Lizingo rinkos įtakos</w:t>
      </w:r>
      <w:r w:rsidR="0020029E">
        <w:rPr>
          <w:rFonts w:ascii="Times New Roman" w:hAnsi="Times New Roman" w:cs="Times New Roman"/>
          <w:bCs/>
        </w:rPr>
        <w:t xml:space="preserve"> Lietuvos ekonomikai</w:t>
      </w:r>
      <w:r w:rsidR="0020029E" w:rsidRPr="006943E0">
        <w:rPr>
          <w:rFonts w:ascii="Times New Roman" w:hAnsi="Times New Roman" w:cs="Times New Roman"/>
          <w:bCs/>
        </w:rPr>
        <w:t xml:space="preserve"> </w:t>
      </w:r>
      <w:r w:rsidR="00481398">
        <w:rPr>
          <w:rFonts w:ascii="Times New Roman" w:hAnsi="Times New Roman" w:cs="Times New Roman"/>
          <w:bCs/>
        </w:rPr>
        <w:t>vertinimas</w:t>
      </w:r>
      <w:r w:rsidR="0020029E" w:rsidRPr="006943E0">
        <w:rPr>
          <w:rFonts w:ascii="Times New Roman" w:hAnsi="Times New Roman" w:cs="Times New Roman"/>
          <w:bCs/>
        </w:rPr>
        <w:t xml:space="preserve">/ Finansų </w:t>
      </w:r>
      <w:r w:rsidR="0020029E">
        <w:rPr>
          <w:rFonts w:ascii="Times New Roman" w:hAnsi="Times New Roman" w:cs="Times New Roman"/>
          <w:bCs/>
        </w:rPr>
        <w:t>rinkų</w:t>
      </w:r>
      <w:r w:rsidR="0020029E" w:rsidRPr="006943E0">
        <w:rPr>
          <w:rFonts w:ascii="Times New Roman" w:hAnsi="Times New Roman" w:cs="Times New Roman"/>
          <w:bCs/>
        </w:rPr>
        <w:t xml:space="preserve"> </w:t>
      </w:r>
      <w:r w:rsidR="0020029E">
        <w:rPr>
          <w:rFonts w:ascii="Times New Roman" w:hAnsi="Times New Roman" w:cs="Times New Roman"/>
          <w:bCs/>
        </w:rPr>
        <w:t>magistro</w:t>
      </w:r>
      <w:r w:rsidR="0020029E" w:rsidRPr="006943E0">
        <w:rPr>
          <w:rFonts w:ascii="Times New Roman" w:hAnsi="Times New Roman" w:cs="Times New Roman"/>
          <w:bCs/>
        </w:rPr>
        <w:t xml:space="preserve"> baigiamasis darbas. Vadovas prof. dr. I.Mačerinskienė. – Vilnius: Mykolo Romerio universitetas, Ekonomikos ir </w:t>
      </w:r>
      <w:r w:rsidR="0020029E">
        <w:rPr>
          <w:rFonts w:ascii="Times New Roman" w:hAnsi="Times New Roman" w:cs="Times New Roman"/>
          <w:bCs/>
        </w:rPr>
        <w:t>finansų valdymo fakultetas, 2012</w:t>
      </w:r>
      <w:r w:rsidR="0020029E" w:rsidRPr="006943E0">
        <w:rPr>
          <w:rFonts w:ascii="Times New Roman" w:hAnsi="Times New Roman" w:cs="Times New Roman"/>
          <w:bCs/>
        </w:rPr>
        <w:t xml:space="preserve">. – </w:t>
      </w:r>
      <w:r w:rsidR="00382B2A">
        <w:rPr>
          <w:rFonts w:ascii="Times New Roman" w:hAnsi="Times New Roman" w:cs="Times New Roman"/>
          <w:bCs/>
          <w:color w:val="auto"/>
        </w:rPr>
        <w:t>84</w:t>
      </w:r>
      <w:r w:rsidR="0020029E" w:rsidRPr="006943E0">
        <w:rPr>
          <w:rFonts w:ascii="Times New Roman" w:hAnsi="Times New Roman" w:cs="Times New Roman"/>
          <w:bCs/>
        </w:rPr>
        <w:t xml:space="preserve"> p.</w:t>
      </w:r>
    </w:p>
    <w:p w:rsidR="0020029E" w:rsidRDefault="0020029E" w:rsidP="005F57FC">
      <w:pPr>
        <w:tabs>
          <w:tab w:val="left" w:pos="567"/>
          <w:tab w:val="left" w:pos="930"/>
        </w:tabs>
        <w:spacing w:line="360" w:lineRule="auto"/>
        <w:jc w:val="both"/>
        <w:rPr>
          <w:rFonts w:ascii="Times New Roman" w:hAnsi="Times New Roman" w:cs="Times New Roman"/>
          <w:bCs/>
        </w:rPr>
      </w:pPr>
    </w:p>
    <w:p w:rsidR="0020029E" w:rsidRDefault="0020029E" w:rsidP="005F57FC">
      <w:pPr>
        <w:pStyle w:val="Heading1"/>
        <w:numPr>
          <w:ilvl w:val="0"/>
          <w:numId w:val="0"/>
        </w:numPr>
        <w:spacing w:before="0"/>
        <w:ind w:hanging="360"/>
      </w:pPr>
      <w:bookmarkStart w:id="64" w:name="_Toc343517984"/>
      <w:r>
        <w:t>SANTRAUKA</w:t>
      </w:r>
      <w:bookmarkEnd w:id="64"/>
    </w:p>
    <w:p w:rsidR="0020029E" w:rsidRDefault="0020029E" w:rsidP="0020029E">
      <w:pPr>
        <w:rPr>
          <w:rFonts w:ascii="Times New Roman" w:hAnsi="Times New Roman" w:cs="Times New Roman"/>
        </w:rPr>
      </w:pPr>
    </w:p>
    <w:p w:rsidR="00D02120" w:rsidRPr="00D02120" w:rsidRDefault="00771812" w:rsidP="00D02120">
      <w:pPr>
        <w:tabs>
          <w:tab w:val="left" w:pos="567"/>
        </w:tabs>
        <w:spacing w:line="360" w:lineRule="auto"/>
        <w:jc w:val="both"/>
        <w:rPr>
          <w:rFonts w:ascii="Times New Roman" w:hAnsi="Times New Roman" w:cs="Times New Roman"/>
        </w:rPr>
      </w:pPr>
      <w:r>
        <w:rPr>
          <w:rFonts w:ascii="Times New Roman" w:hAnsi="Times New Roman" w:cs="Times New Roman"/>
        </w:rPr>
        <w:tab/>
      </w:r>
      <w:r w:rsidR="009F0718" w:rsidRPr="007E5E9F">
        <w:rPr>
          <w:rFonts w:ascii="Times New Roman" w:hAnsi="Times New Roman" w:cs="Times New Roman"/>
        </w:rPr>
        <w:t>Finansų rinkų magistro darb</w:t>
      </w:r>
      <w:r w:rsidR="00A84D87" w:rsidRPr="007E5E9F">
        <w:rPr>
          <w:rFonts w:ascii="Times New Roman" w:hAnsi="Times New Roman" w:cs="Times New Roman"/>
        </w:rPr>
        <w:t>as yra aktualus</w:t>
      </w:r>
      <w:r w:rsidR="009F0718" w:rsidRPr="007E5E9F">
        <w:rPr>
          <w:rFonts w:ascii="Times New Roman" w:hAnsi="Times New Roman" w:cs="Times New Roman"/>
        </w:rPr>
        <w:t xml:space="preserve">, nes </w:t>
      </w:r>
      <w:r w:rsidR="00A84D87" w:rsidRPr="007E5E9F">
        <w:rPr>
          <w:rFonts w:ascii="Times New Roman" w:hAnsi="Times New Roman" w:cs="Times New Roman"/>
        </w:rPr>
        <w:t xml:space="preserve">ne tik </w:t>
      </w:r>
      <w:r w:rsidR="00BC6B26">
        <w:rPr>
          <w:rFonts w:ascii="Times New Roman" w:hAnsi="Times New Roman" w:cs="Times New Roman"/>
        </w:rPr>
        <w:t>apžvelgia</w:t>
      </w:r>
      <w:r w:rsidR="00A84D87" w:rsidRPr="007E5E9F">
        <w:rPr>
          <w:rFonts w:ascii="Times New Roman" w:hAnsi="Times New Roman" w:cs="Times New Roman"/>
        </w:rPr>
        <w:t xml:space="preserve"> </w:t>
      </w:r>
      <w:r w:rsidR="00BC6B26" w:rsidRPr="00BC6B26">
        <w:rPr>
          <w:rFonts w:ascii="Times New Roman" w:hAnsi="Times New Roman" w:cs="Times New Roman"/>
          <w:bCs/>
        </w:rPr>
        <w:t>lizin</w:t>
      </w:r>
      <w:r w:rsidR="00BC6B26">
        <w:rPr>
          <w:rFonts w:ascii="Times New Roman" w:hAnsi="Times New Roman" w:cs="Times New Roman"/>
          <w:bCs/>
        </w:rPr>
        <w:t>go sampratą</w:t>
      </w:r>
      <w:r w:rsidR="00BC6B26" w:rsidRPr="00BC6B26">
        <w:rPr>
          <w:rFonts w:ascii="Times New Roman" w:hAnsi="Times New Roman" w:cs="Times New Roman"/>
          <w:bCs/>
        </w:rPr>
        <w:t xml:space="preserve"> </w:t>
      </w:r>
      <w:r w:rsidR="00BC6B26">
        <w:rPr>
          <w:rFonts w:ascii="Times New Roman" w:hAnsi="Times New Roman" w:cs="Times New Roman"/>
          <w:bCs/>
        </w:rPr>
        <w:t>ir ištakas, įvardija pagrindinius lizingo tipus</w:t>
      </w:r>
      <w:r w:rsidR="00BC6B26" w:rsidRPr="00BC6B26">
        <w:rPr>
          <w:rFonts w:ascii="Times New Roman" w:hAnsi="Times New Roman" w:cs="Times New Roman"/>
          <w:bCs/>
        </w:rPr>
        <w:t xml:space="preserve">, </w:t>
      </w:r>
      <w:r w:rsidR="00BC6B26">
        <w:rPr>
          <w:rFonts w:ascii="Times New Roman" w:hAnsi="Times New Roman" w:cs="Times New Roman"/>
          <w:bCs/>
        </w:rPr>
        <w:t>privalumus ir trūkumus,</w:t>
      </w:r>
      <w:r w:rsidR="00A84D87" w:rsidRPr="007E5E9F">
        <w:rPr>
          <w:rFonts w:ascii="Times New Roman" w:hAnsi="Times New Roman" w:cs="Times New Roman"/>
        </w:rPr>
        <w:t xml:space="preserve"> bet ir </w:t>
      </w:r>
      <w:r w:rsidR="00513711" w:rsidRPr="007E5E9F">
        <w:rPr>
          <w:rFonts w:ascii="Times New Roman" w:hAnsi="Times New Roman" w:cs="Times New Roman"/>
        </w:rPr>
        <w:t>įvertina poveikį ekonomikai</w:t>
      </w:r>
      <w:r w:rsidR="00A84D87" w:rsidRPr="007E5E9F">
        <w:rPr>
          <w:rFonts w:ascii="Times New Roman" w:hAnsi="Times New Roman" w:cs="Times New Roman"/>
        </w:rPr>
        <w:t xml:space="preserve">. </w:t>
      </w:r>
      <w:r w:rsidR="00BC6B26">
        <w:rPr>
          <w:rFonts w:ascii="Times New Roman" w:hAnsi="Times New Roman" w:cs="Times New Roman"/>
        </w:rPr>
        <w:t xml:space="preserve">Teorinėje dalyje be jau išvardintų lizingo aspektų </w:t>
      </w:r>
      <w:r w:rsidR="006943E0" w:rsidRPr="00D02120">
        <w:rPr>
          <w:rFonts w:ascii="Times New Roman" w:hAnsi="Times New Roman" w:cs="Times New Roman"/>
          <w:bCs/>
        </w:rPr>
        <w:t>atliekamas teorinis lizingo paslaugos</w:t>
      </w:r>
      <w:r w:rsidR="00837FDB">
        <w:rPr>
          <w:rFonts w:ascii="Times New Roman" w:hAnsi="Times New Roman" w:cs="Times New Roman"/>
          <w:bCs/>
        </w:rPr>
        <w:t xml:space="preserve"> reikšmės ekonomikai vertinimas. </w:t>
      </w:r>
      <w:r w:rsidR="00BC6B26">
        <w:rPr>
          <w:rFonts w:ascii="Times New Roman" w:hAnsi="Times New Roman" w:cs="Times New Roman"/>
          <w:bCs/>
        </w:rPr>
        <w:t>Metodinėje</w:t>
      </w:r>
      <w:r w:rsidR="006943E0" w:rsidRPr="00D02120">
        <w:rPr>
          <w:rFonts w:ascii="Times New Roman" w:hAnsi="Times New Roman" w:cs="Times New Roman"/>
          <w:bCs/>
        </w:rPr>
        <w:t xml:space="preserve"> darbo </w:t>
      </w:r>
      <w:r w:rsidR="00E21FCD" w:rsidRPr="00D02120">
        <w:rPr>
          <w:rFonts w:ascii="Times New Roman" w:hAnsi="Times New Roman" w:cs="Times New Roman"/>
          <w:bCs/>
        </w:rPr>
        <w:t xml:space="preserve">dalyje sudaromas teorinis lizingo rinkos įtakai Lietuvos ekonomikai įvertinti modelis. </w:t>
      </w:r>
      <w:r w:rsidR="00BC6B26">
        <w:rPr>
          <w:rFonts w:ascii="Times New Roman" w:hAnsi="Times New Roman" w:cs="Times New Roman"/>
          <w:bCs/>
        </w:rPr>
        <w:t>Analitinėje dalyje r</w:t>
      </w:r>
      <w:r w:rsidR="00E21FCD" w:rsidRPr="00D02120">
        <w:rPr>
          <w:rFonts w:ascii="Times New Roman" w:hAnsi="Times New Roman" w:cs="Times New Roman"/>
          <w:bCs/>
        </w:rPr>
        <w:t>emia</w:t>
      </w:r>
      <w:r w:rsidR="00BC6B26">
        <w:rPr>
          <w:rFonts w:ascii="Times New Roman" w:hAnsi="Times New Roman" w:cs="Times New Roman"/>
          <w:bCs/>
        </w:rPr>
        <w:t xml:space="preserve">ntis sudarytu modeliu </w:t>
      </w:r>
      <w:r w:rsidR="00104A41">
        <w:rPr>
          <w:rFonts w:ascii="Times New Roman" w:hAnsi="Times New Roman" w:cs="Times New Roman"/>
          <w:bCs/>
        </w:rPr>
        <w:t>įvertinamos</w:t>
      </w:r>
      <w:r w:rsidR="00E21FCD" w:rsidRPr="00D02120">
        <w:rPr>
          <w:rFonts w:ascii="Times New Roman" w:hAnsi="Times New Roman" w:cs="Times New Roman"/>
          <w:bCs/>
        </w:rPr>
        <w:t xml:space="preserve"> Lietuvos lizingo rinkos kitimo tendencijos</w:t>
      </w:r>
      <w:r w:rsidR="00CC3019">
        <w:rPr>
          <w:rFonts w:ascii="Times New Roman" w:hAnsi="Times New Roman" w:cs="Times New Roman"/>
          <w:bCs/>
        </w:rPr>
        <w:t xml:space="preserve"> </w:t>
      </w:r>
      <w:r w:rsidR="00CC3019" w:rsidRPr="00D02120">
        <w:rPr>
          <w:rFonts w:ascii="Times New Roman" w:hAnsi="Times New Roman" w:cs="Times New Roman"/>
          <w:bCs/>
        </w:rPr>
        <w:t>1998 – 2011 m</w:t>
      </w:r>
      <w:r w:rsidR="00CC3019">
        <w:rPr>
          <w:rFonts w:ascii="Times New Roman" w:hAnsi="Times New Roman" w:cs="Times New Roman"/>
          <w:bCs/>
        </w:rPr>
        <w:t>.</w:t>
      </w:r>
      <w:r w:rsidR="00E21FCD" w:rsidRPr="00D02120">
        <w:rPr>
          <w:rFonts w:ascii="Times New Roman" w:hAnsi="Times New Roman" w:cs="Times New Roman"/>
          <w:bCs/>
        </w:rPr>
        <w:t xml:space="preserve">, Lietuvos lizingo rinka vertinama užsienio lizingo rinkų kontekste. </w:t>
      </w:r>
      <w:r w:rsidR="00BC6B26">
        <w:rPr>
          <w:rFonts w:ascii="Times New Roman" w:hAnsi="Times New Roman" w:cs="Times New Roman"/>
          <w:bCs/>
        </w:rPr>
        <w:t>Po to atliekama</w:t>
      </w:r>
      <w:r w:rsidR="00E21FCD" w:rsidRPr="00D02120">
        <w:rPr>
          <w:rFonts w:ascii="Times New Roman" w:hAnsi="Times New Roman" w:cs="Times New Roman"/>
          <w:bCs/>
        </w:rPr>
        <w:t xml:space="preserve"> koreliacinė regresinė analizė bei ekspertinis vertinim</w:t>
      </w:r>
      <w:r w:rsidR="00D02120" w:rsidRPr="00D02120">
        <w:rPr>
          <w:rFonts w:ascii="Times New Roman" w:hAnsi="Times New Roman" w:cs="Times New Roman"/>
          <w:bCs/>
        </w:rPr>
        <w:t xml:space="preserve">as. </w:t>
      </w:r>
    </w:p>
    <w:p w:rsidR="005D6DF1" w:rsidRDefault="00D02120" w:rsidP="005D6DF1">
      <w:pPr>
        <w:tabs>
          <w:tab w:val="left" w:pos="567"/>
        </w:tabs>
        <w:spacing w:line="360" w:lineRule="auto"/>
        <w:jc w:val="both"/>
        <w:rPr>
          <w:rFonts w:ascii="Times New Roman" w:hAnsi="Times New Roman" w:cs="Times New Roman"/>
        </w:rPr>
      </w:pPr>
      <w:r>
        <w:rPr>
          <w:rFonts w:ascii="Times New Roman" w:hAnsi="Times New Roman" w:cs="Times New Roman"/>
          <w:bCs/>
        </w:rPr>
        <w:tab/>
      </w:r>
      <w:r w:rsidR="00F203F9">
        <w:rPr>
          <w:rFonts w:ascii="Times New Roman" w:hAnsi="Times New Roman" w:cs="Times New Roman"/>
        </w:rPr>
        <w:t>Darbe</w:t>
      </w:r>
      <w:r w:rsidR="00513711" w:rsidRPr="007E5E9F">
        <w:rPr>
          <w:rFonts w:ascii="Times New Roman" w:hAnsi="Times New Roman" w:cs="Times New Roman"/>
        </w:rPr>
        <w:t xml:space="preserve"> </w:t>
      </w:r>
      <w:r w:rsidR="007E5E9F" w:rsidRPr="007E5E9F">
        <w:rPr>
          <w:rFonts w:ascii="Times New Roman" w:hAnsi="Times New Roman" w:cs="Times New Roman"/>
        </w:rPr>
        <w:t xml:space="preserve">iškeliama </w:t>
      </w:r>
      <w:r w:rsidR="00513711" w:rsidRPr="007E5E9F">
        <w:rPr>
          <w:rFonts w:ascii="Times New Roman" w:hAnsi="Times New Roman" w:cs="Times New Roman"/>
        </w:rPr>
        <w:t xml:space="preserve">problema - </w:t>
      </w:r>
      <w:r w:rsidR="007E5E9F" w:rsidRPr="007E5E9F">
        <w:rPr>
          <w:rFonts w:ascii="Times New Roman" w:hAnsi="Times New Roman" w:cs="Times New Roman"/>
        </w:rPr>
        <w:t>k</w:t>
      </w:r>
      <w:r w:rsidR="00513711" w:rsidRPr="007E5E9F">
        <w:rPr>
          <w:rFonts w:ascii="Times New Roman" w:hAnsi="Times New Roman" w:cs="Times New Roman"/>
        </w:rPr>
        <w:t xml:space="preserve">okią įtaką lizingo rinka daro Lietuvos ekonomikai? </w:t>
      </w:r>
      <w:r>
        <w:rPr>
          <w:rFonts w:ascii="Times New Roman" w:hAnsi="Times New Roman" w:cs="Times New Roman"/>
        </w:rPr>
        <w:t>Tyrimo</w:t>
      </w:r>
      <w:r w:rsidR="00513711" w:rsidRPr="007E5E9F">
        <w:rPr>
          <w:rFonts w:ascii="Times New Roman" w:hAnsi="Times New Roman" w:cs="Times New Roman"/>
        </w:rPr>
        <w:t xml:space="preserve"> objektas – Lietuvos lizingo rinka. </w:t>
      </w:r>
      <w:r>
        <w:rPr>
          <w:rFonts w:ascii="Times New Roman" w:hAnsi="Times New Roman" w:cs="Times New Roman"/>
        </w:rPr>
        <w:t>D</w:t>
      </w:r>
      <w:r w:rsidR="00513711" w:rsidRPr="007E5E9F">
        <w:rPr>
          <w:rFonts w:ascii="Times New Roman" w:hAnsi="Times New Roman" w:cs="Times New Roman"/>
        </w:rPr>
        <w:t xml:space="preserve">arbo tikslas - išanalizavus lizingo rinkos poveikio šalies ekonomikai teorinius aspektus, sudaryti lizingo rinkos įtakos šalies ekonomikai įvertinimo modelį ir juo remiantis nustatyti lizingo rinkos poveikį Lietuvos ekonomikai. </w:t>
      </w:r>
      <w:r w:rsidR="007E5E9F" w:rsidRPr="007E5E9F">
        <w:rPr>
          <w:rFonts w:ascii="Times New Roman" w:hAnsi="Times New Roman" w:cs="Times New Roman"/>
        </w:rPr>
        <w:t>Norint pasiekti darbo tikslą iškelti trys uždaviniai: pateikti lizingo paslaugos privalumus, trūkumus, reikšmę ekonomikai; nustatyti Lietuvos lizingo rinkos padėtį pasauliniame kontekste; įvertinti lizingo rinkos įtaką Lietuvos ekonomikai, bei suformuluota hipotezė - lizingo rinkos plėtra daro teigiamą įtaką Lietuvos ekonomikai. Darbe naudoti metodai: mokslinės literatūros analizė, lyg</w:t>
      </w:r>
      <w:r w:rsidR="007E5E9F">
        <w:rPr>
          <w:rFonts w:ascii="Times New Roman" w:hAnsi="Times New Roman" w:cs="Times New Roman"/>
        </w:rPr>
        <w:t>inamoji ir vertinamoji analizė, statistinė duomenų analizė, a</w:t>
      </w:r>
      <w:r w:rsidR="007E5E9F" w:rsidRPr="007E5E9F">
        <w:rPr>
          <w:rFonts w:ascii="Times New Roman" w:hAnsi="Times New Roman" w:cs="Times New Roman"/>
        </w:rPr>
        <w:t>pibendrinimo m</w:t>
      </w:r>
      <w:r w:rsidR="007E5E9F">
        <w:rPr>
          <w:rFonts w:ascii="Times New Roman" w:hAnsi="Times New Roman" w:cs="Times New Roman"/>
        </w:rPr>
        <w:t>etodas</w:t>
      </w:r>
      <w:r w:rsidR="007E5E9F">
        <w:rPr>
          <w:rFonts w:ascii="Times New Roman" w:hAnsi="Times New Roman" w:cs="Times New Roman"/>
          <w:b/>
        </w:rPr>
        <w:t xml:space="preserve">, </w:t>
      </w:r>
      <w:r w:rsidR="007E5E9F">
        <w:rPr>
          <w:rFonts w:ascii="Times New Roman" w:hAnsi="Times New Roman" w:cs="Times New Roman"/>
        </w:rPr>
        <w:t>koreliacinė regresinė analizė bei</w:t>
      </w:r>
      <w:r w:rsidR="007E5E9F">
        <w:rPr>
          <w:rFonts w:ascii="Times New Roman" w:hAnsi="Times New Roman" w:cs="Times New Roman"/>
          <w:b/>
        </w:rPr>
        <w:t xml:space="preserve"> </w:t>
      </w:r>
      <w:r w:rsidR="007E5E9F">
        <w:rPr>
          <w:rFonts w:ascii="Times New Roman" w:hAnsi="Times New Roman" w:cs="Times New Roman"/>
        </w:rPr>
        <w:t>a</w:t>
      </w:r>
      <w:r w:rsidR="007E5E9F" w:rsidRPr="007E5E9F">
        <w:rPr>
          <w:rFonts w:ascii="Times New Roman" w:hAnsi="Times New Roman" w:cs="Times New Roman"/>
        </w:rPr>
        <w:t xml:space="preserve">nketinė apklausa, kurios pagalba atliekamas ekspertinis vertinimas. </w:t>
      </w:r>
    </w:p>
    <w:p w:rsidR="005D6DF1" w:rsidRDefault="005D6DF1" w:rsidP="005D6DF1">
      <w:pPr>
        <w:tabs>
          <w:tab w:val="left" w:pos="567"/>
        </w:tabs>
        <w:spacing w:line="360" w:lineRule="auto"/>
        <w:jc w:val="both"/>
        <w:rPr>
          <w:rFonts w:ascii="Times New Roman" w:hAnsi="Times New Roman" w:cs="Times New Roman"/>
        </w:rPr>
      </w:pPr>
      <w:r>
        <w:rPr>
          <w:rFonts w:ascii="Times New Roman" w:hAnsi="Times New Roman" w:cs="Times New Roman"/>
        </w:rPr>
        <w:tab/>
      </w:r>
      <w:r w:rsidR="004378B3">
        <w:rPr>
          <w:rFonts w:ascii="Times New Roman" w:hAnsi="Times New Roman" w:cs="Times New Roman"/>
        </w:rPr>
        <w:t>R</w:t>
      </w:r>
      <w:r>
        <w:rPr>
          <w:rFonts w:ascii="Times New Roman" w:hAnsi="Times New Roman" w:cs="Times New Roman"/>
        </w:rPr>
        <w:t xml:space="preserve">emiantis sudarytu teoriniu modeliu siekiant įvertinti lizingo rinkos įtaką Lietuvos ekonomikai buvo </w:t>
      </w:r>
      <w:r w:rsidR="00D02120">
        <w:rPr>
          <w:rFonts w:ascii="Times New Roman" w:hAnsi="Times New Roman" w:cs="Times New Roman"/>
        </w:rPr>
        <w:t>nustatyta</w:t>
      </w:r>
      <w:r w:rsidRPr="005D6DF1">
        <w:rPr>
          <w:rFonts w:ascii="Times New Roman" w:hAnsi="Times New Roman" w:cs="Times New Roman"/>
        </w:rPr>
        <w:t xml:space="preserve"> kad lizingo rinka šiuo metu turi dideles galimybes plėstis. Tokią išvadą galima daryti atsižvelgiant į istorinę lizingo rinkos apimtį, pakankamai stabilų naujų sutarčių vertės augimą pastaraisiais metais</w:t>
      </w:r>
      <w:r>
        <w:rPr>
          <w:rFonts w:ascii="Times New Roman" w:hAnsi="Times New Roman" w:cs="Times New Roman"/>
        </w:rPr>
        <w:t xml:space="preserve">. </w:t>
      </w:r>
      <w:r w:rsidRPr="005D6DF1">
        <w:rPr>
          <w:rFonts w:ascii="Times New Roman" w:hAnsi="Times New Roman" w:cs="Times New Roman"/>
        </w:rPr>
        <w:t xml:space="preserve">Lyginant lizingo rinkos paplitimo rodiklį, nustatyta, kad Lietuvoje šis santykis yra </w:t>
      </w:r>
      <w:r w:rsidR="00742182">
        <w:rPr>
          <w:rFonts w:ascii="Times New Roman" w:hAnsi="Times New Roman" w:cs="Times New Roman"/>
        </w:rPr>
        <w:t>Lyginant su valstybėmis, kurios 2010 m. pirmavo pasaulyje pagal naujai pasirašomų sutarčių vertę, tai antras didžiausias lizingo rinkos paplitimo rodiklis.</w:t>
      </w:r>
      <w:r w:rsidRPr="005D6DF1">
        <w:rPr>
          <w:rFonts w:ascii="Times New Roman" w:hAnsi="Times New Roman" w:cs="Times New Roman"/>
        </w:rPr>
        <w:t xml:space="preserve"> </w:t>
      </w:r>
      <w:r w:rsidR="00742182">
        <w:rPr>
          <w:rFonts w:ascii="Times New Roman" w:hAnsi="Times New Roman" w:cs="Times New Roman"/>
        </w:rPr>
        <w:t>Šis</w:t>
      </w:r>
      <w:r w:rsidRPr="005D6DF1">
        <w:rPr>
          <w:rFonts w:ascii="Times New Roman" w:hAnsi="Times New Roman" w:cs="Times New Roman"/>
        </w:rPr>
        <w:t xml:space="preserve"> santykis rodo pakankamai didelę lizingo </w:t>
      </w:r>
      <w:r w:rsidR="00CC3019">
        <w:rPr>
          <w:rFonts w:ascii="Times New Roman" w:hAnsi="Times New Roman" w:cs="Times New Roman"/>
        </w:rPr>
        <w:t>rinkos</w:t>
      </w:r>
      <w:r w:rsidRPr="005D6DF1">
        <w:rPr>
          <w:rFonts w:ascii="Times New Roman" w:hAnsi="Times New Roman" w:cs="Times New Roman"/>
        </w:rPr>
        <w:t xml:space="preserve"> reikšmę Lietuvos ekonomikai. Koreliacinės bei regresinės analizės rezultatai parodė, kad lizingo rinka įtakoja tiek Lietuvos bendrąjį vidaus produktą, tiek tiesiogines užsienio investicijas, tiek nedarbo lygį šalyje. </w:t>
      </w:r>
      <w:r w:rsidRPr="00B90CA4">
        <w:rPr>
          <w:rFonts w:ascii="Times New Roman" w:hAnsi="Times New Roman" w:cs="Times New Roman"/>
        </w:rPr>
        <w:t>Ekspertinio ve</w:t>
      </w:r>
      <w:r>
        <w:rPr>
          <w:rFonts w:ascii="Times New Roman" w:hAnsi="Times New Roman" w:cs="Times New Roman"/>
        </w:rPr>
        <w:t xml:space="preserve">rtinimo rezultatai patvirtino, kad </w:t>
      </w:r>
      <w:r w:rsidRPr="00B90CA4">
        <w:rPr>
          <w:rFonts w:ascii="Times New Roman" w:hAnsi="Times New Roman" w:cs="Times New Roman"/>
        </w:rPr>
        <w:t xml:space="preserve">lizingo </w:t>
      </w:r>
      <w:r w:rsidR="00CC3019">
        <w:rPr>
          <w:rFonts w:ascii="Times New Roman" w:hAnsi="Times New Roman" w:cs="Times New Roman"/>
        </w:rPr>
        <w:t>rinka</w:t>
      </w:r>
      <w:r w:rsidRPr="00B90CA4">
        <w:rPr>
          <w:rFonts w:ascii="Times New Roman" w:hAnsi="Times New Roman" w:cs="Times New Roman"/>
        </w:rPr>
        <w:t xml:space="preserve"> ir jos plitimas daro teigiamą įtaką Lietuvos ekonomikai. Lizingo paslauga didžiausią teigiamą įtaką Lietuvos ekonomikai daro skatindama tolimesnes investicijas bei greit</w:t>
      </w:r>
      <w:r>
        <w:rPr>
          <w:rFonts w:ascii="Times New Roman" w:hAnsi="Times New Roman" w:cs="Times New Roman"/>
        </w:rPr>
        <w:t>esnį technologijų įsisavinimą. Remiantis atliktų analizių rezultatai</w:t>
      </w:r>
      <w:r w:rsidR="00AE7A03">
        <w:rPr>
          <w:rFonts w:ascii="Times New Roman" w:hAnsi="Times New Roman" w:cs="Times New Roman"/>
        </w:rPr>
        <w:t>s iškelta darbo hipotezė buvo patvirtinta.</w:t>
      </w:r>
      <w:r>
        <w:rPr>
          <w:rFonts w:ascii="Times New Roman" w:hAnsi="Times New Roman" w:cs="Times New Roman"/>
        </w:rPr>
        <w:t xml:space="preserve"> </w:t>
      </w:r>
    </w:p>
    <w:p w:rsidR="00A30D57" w:rsidRDefault="00A30D57" w:rsidP="00A30D57">
      <w:pPr>
        <w:pStyle w:val="Heading1"/>
        <w:numPr>
          <w:ilvl w:val="0"/>
          <w:numId w:val="0"/>
        </w:numPr>
        <w:ind w:left="502" w:hanging="360"/>
        <w:rPr>
          <w:lang w:val="en-US"/>
        </w:rPr>
      </w:pPr>
      <w:bookmarkStart w:id="65" w:name="_Toc343517985"/>
      <w:r>
        <w:rPr>
          <w:lang w:val="en-US"/>
        </w:rPr>
        <w:lastRenderedPageBreak/>
        <w:t>SUMMARY</w:t>
      </w:r>
      <w:bookmarkEnd w:id="65"/>
    </w:p>
    <w:p w:rsidR="00A30D57" w:rsidRDefault="00A30D57" w:rsidP="005D6DF1">
      <w:pPr>
        <w:tabs>
          <w:tab w:val="left" w:pos="567"/>
          <w:tab w:val="left" w:pos="930"/>
        </w:tabs>
        <w:spacing w:line="360" w:lineRule="auto"/>
        <w:jc w:val="both"/>
        <w:rPr>
          <w:rFonts w:ascii="Times New Roman" w:hAnsi="Times New Roman" w:cs="Times New Roman"/>
          <w:lang w:val="en-US"/>
        </w:rPr>
      </w:pPr>
    </w:p>
    <w:p w:rsidR="005D6DF1" w:rsidRDefault="00A30D57" w:rsidP="005D6DF1">
      <w:pPr>
        <w:tabs>
          <w:tab w:val="left" w:pos="567"/>
          <w:tab w:val="left" w:pos="930"/>
        </w:tabs>
        <w:spacing w:line="360" w:lineRule="auto"/>
        <w:jc w:val="both"/>
        <w:rPr>
          <w:rFonts w:ascii="Times New Roman" w:hAnsi="Times New Roman" w:cs="Times New Roman"/>
          <w:bCs/>
          <w:lang w:val="en-US"/>
        </w:rPr>
      </w:pPr>
      <w:r>
        <w:rPr>
          <w:rFonts w:ascii="Times New Roman" w:hAnsi="Times New Roman" w:cs="Times New Roman"/>
          <w:lang w:val="en-US"/>
        </w:rPr>
        <w:tab/>
      </w:r>
      <w:r w:rsidR="00FE52BF" w:rsidRPr="00FE52BF">
        <w:rPr>
          <w:rFonts w:ascii="Times New Roman" w:hAnsi="Times New Roman" w:cs="Times New Roman"/>
          <w:bCs/>
          <w:lang w:val="en-US"/>
        </w:rPr>
        <w:t xml:space="preserve">Zabitis L. Leasing market influence on economy of Lithuania / Master‘s Work in Finance Markets. Supervisor prof. dr. I. Mačerinskienė. – Vilnius: Faculty of Economics and Finance Management, Mykolas Romeris University, 2012. – </w:t>
      </w:r>
      <w:r w:rsidR="00382B2A">
        <w:rPr>
          <w:rFonts w:ascii="Times New Roman" w:hAnsi="Times New Roman" w:cs="Times New Roman"/>
          <w:bCs/>
          <w:lang w:val="en-US"/>
        </w:rPr>
        <w:t>84</w:t>
      </w:r>
      <w:r w:rsidR="00FE52BF" w:rsidRPr="00FE52BF">
        <w:rPr>
          <w:rFonts w:ascii="Times New Roman" w:hAnsi="Times New Roman" w:cs="Times New Roman"/>
          <w:bCs/>
          <w:lang w:val="en-US"/>
        </w:rPr>
        <w:t xml:space="preserve"> p.</w:t>
      </w:r>
    </w:p>
    <w:p w:rsidR="00A30D57" w:rsidRDefault="00A30D57" w:rsidP="005D6DF1">
      <w:pPr>
        <w:tabs>
          <w:tab w:val="left" w:pos="567"/>
          <w:tab w:val="left" w:pos="930"/>
        </w:tabs>
        <w:spacing w:line="360" w:lineRule="auto"/>
        <w:jc w:val="both"/>
        <w:rPr>
          <w:rFonts w:ascii="Times New Roman" w:hAnsi="Times New Roman" w:cs="Times New Roman"/>
          <w:bCs/>
          <w:lang w:val="en-US"/>
        </w:rPr>
      </w:pPr>
    </w:p>
    <w:p w:rsidR="00A30D57" w:rsidRPr="00A30D57" w:rsidRDefault="00A30D57" w:rsidP="00A30D57">
      <w:pPr>
        <w:tabs>
          <w:tab w:val="left" w:pos="567"/>
          <w:tab w:val="left" w:pos="930"/>
        </w:tabs>
        <w:spacing w:line="360" w:lineRule="auto"/>
        <w:jc w:val="both"/>
        <w:rPr>
          <w:rFonts w:ascii="Times New Roman" w:hAnsi="Times New Roman" w:cs="Times New Roman"/>
          <w:lang w:val="en-US"/>
        </w:rPr>
      </w:pPr>
      <w:r>
        <w:rPr>
          <w:rFonts w:ascii="Times New Roman" w:hAnsi="Times New Roman" w:cs="Times New Roman"/>
          <w:lang w:val="en-US"/>
        </w:rPr>
        <w:tab/>
      </w:r>
      <w:r w:rsidRPr="00A30D57">
        <w:rPr>
          <w:rFonts w:ascii="Times New Roman" w:hAnsi="Times New Roman" w:cs="Times New Roman"/>
          <w:lang w:val="en-US"/>
        </w:rPr>
        <w:t>Financial Markets Mast</w:t>
      </w:r>
      <w:r>
        <w:rPr>
          <w:rFonts w:ascii="Times New Roman" w:hAnsi="Times New Roman" w:cs="Times New Roman"/>
          <w:lang w:val="en-US"/>
        </w:rPr>
        <w:t xml:space="preserve">er's thesis is relevant because there is not only overview of </w:t>
      </w:r>
      <w:r w:rsidRPr="00A30D57">
        <w:rPr>
          <w:rFonts w:ascii="Times New Roman" w:hAnsi="Times New Roman" w:cs="Times New Roman"/>
          <w:lang w:val="en-US"/>
        </w:rPr>
        <w:t xml:space="preserve">leasing concept and </w:t>
      </w:r>
      <w:r>
        <w:rPr>
          <w:rFonts w:ascii="Times New Roman" w:hAnsi="Times New Roman" w:cs="Times New Roman"/>
          <w:lang w:val="en-US"/>
        </w:rPr>
        <w:t>development</w:t>
      </w:r>
      <w:r w:rsidRPr="00A30D57">
        <w:rPr>
          <w:rFonts w:ascii="Times New Roman" w:hAnsi="Times New Roman" w:cs="Times New Roman"/>
          <w:lang w:val="en-US"/>
        </w:rPr>
        <w:t xml:space="preserve">, the main leasing types, advantages and disadvantages, but also consider the </w:t>
      </w:r>
      <w:r>
        <w:rPr>
          <w:rFonts w:ascii="Times New Roman" w:hAnsi="Times New Roman" w:cs="Times New Roman"/>
          <w:lang w:val="en-US"/>
        </w:rPr>
        <w:t xml:space="preserve">leasing market </w:t>
      </w:r>
      <w:r w:rsidRPr="00A30D57">
        <w:rPr>
          <w:rFonts w:ascii="Times New Roman" w:hAnsi="Times New Roman" w:cs="Times New Roman"/>
          <w:lang w:val="en-US"/>
        </w:rPr>
        <w:t>impact on the economy. In the theoretical part in addition to the f</w:t>
      </w:r>
      <w:r>
        <w:rPr>
          <w:rFonts w:ascii="Times New Roman" w:hAnsi="Times New Roman" w:cs="Times New Roman"/>
          <w:lang w:val="en-US"/>
        </w:rPr>
        <w:t xml:space="preserve">ollowing aspects of the leasing, </w:t>
      </w:r>
      <w:r w:rsidR="00BF46D6">
        <w:rPr>
          <w:rFonts w:ascii="Times New Roman" w:hAnsi="Times New Roman" w:cs="Times New Roman"/>
          <w:lang w:val="en-US"/>
        </w:rPr>
        <w:t>there is performed</w:t>
      </w:r>
      <w:r w:rsidR="00BF46D6" w:rsidRPr="00B843E2">
        <w:rPr>
          <w:rFonts w:ascii="Times New Roman" w:hAnsi="Times New Roman" w:cs="Times New Roman"/>
          <w:lang w:val="en-US"/>
        </w:rPr>
        <w:t xml:space="preserve"> theoretical </w:t>
      </w:r>
      <w:r w:rsidR="00BF46D6">
        <w:rPr>
          <w:rFonts w:ascii="Times New Roman" w:hAnsi="Times New Roman" w:cs="Times New Roman"/>
          <w:lang w:val="en-US"/>
        </w:rPr>
        <w:t>leasing market influence on the economy</w:t>
      </w:r>
      <w:r w:rsidRPr="00A30D57">
        <w:rPr>
          <w:rFonts w:ascii="Times New Roman" w:hAnsi="Times New Roman" w:cs="Times New Roman"/>
          <w:lang w:val="en-US"/>
        </w:rPr>
        <w:t xml:space="preserve">. </w:t>
      </w:r>
      <w:r w:rsidR="0026679B">
        <w:rPr>
          <w:rFonts w:ascii="Times New Roman" w:hAnsi="Times New Roman" w:cs="Times New Roman"/>
          <w:lang w:val="en-US"/>
        </w:rPr>
        <w:t>In m</w:t>
      </w:r>
      <w:r w:rsidRPr="00A30D57">
        <w:rPr>
          <w:rFonts w:ascii="Times New Roman" w:hAnsi="Times New Roman" w:cs="Times New Roman"/>
          <w:lang w:val="en-US"/>
        </w:rPr>
        <w:t>ethodological</w:t>
      </w:r>
      <w:r w:rsidR="00BF46D6">
        <w:rPr>
          <w:rFonts w:ascii="Times New Roman" w:hAnsi="Times New Roman" w:cs="Times New Roman"/>
          <w:lang w:val="en-US"/>
        </w:rPr>
        <w:t xml:space="preserve"> part of the work is concluded t</w:t>
      </w:r>
      <w:r w:rsidRPr="00A30D57">
        <w:rPr>
          <w:rFonts w:ascii="Times New Roman" w:hAnsi="Times New Roman" w:cs="Times New Roman"/>
          <w:lang w:val="en-US"/>
        </w:rPr>
        <w:t xml:space="preserve">heoretical </w:t>
      </w:r>
      <w:r w:rsidR="00BF46D6">
        <w:rPr>
          <w:rFonts w:ascii="Times New Roman" w:hAnsi="Times New Roman" w:cs="Times New Roman"/>
          <w:lang w:val="en-US"/>
        </w:rPr>
        <w:t xml:space="preserve">model that helps to </w:t>
      </w:r>
      <w:r w:rsidR="00BF46D6" w:rsidRPr="00B843E2">
        <w:rPr>
          <w:rFonts w:ascii="Times New Roman" w:hAnsi="Times New Roman" w:cs="Times New Roman"/>
          <w:lang w:val="en-US"/>
        </w:rPr>
        <w:t xml:space="preserve">assess </w:t>
      </w:r>
      <w:r w:rsidR="00BF46D6" w:rsidRPr="007D23DD">
        <w:rPr>
          <w:rFonts w:ascii="Times New Roman" w:hAnsi="Times New Roman" w:cs="Times New Roman"/>
          <w:lang w:val="en-US"/>
        </w:rPr>
        <w:t xml:space="preserve">leasing market </w:t>
      </w:r>
      <w:r w:rsidR="00BF46D6">
        <w:rPr>
          <w:rFonts w:ascii="Times New Roman" w:hAnsi="Times New Roman" w:cs="Times New Roman"/>
          <w:lang w:val="en-US"/>
        </w:rPr>
        <w:t>influence on the Lithuanian economy</w:t>
      </w:r>
      <w:r w:rsidRPr="00A30D57">
        <w:rPr>
          <w:rFonts w:ascii="Times New Roman" w:hAnsi="Times New Roman" w:cs="Times New Roman"/>
          <w:lang w:val="en-US"/>
        </w:rPr>
        <w:t xml:space="preserve">. </w:t>
      </w:r>
      <w:r w:rsidR="00BF46D6">
        <w:rPr>
          <w:rFonts w:ascii="Times New Roman" w:hAnsi="Times New Roman" w:cs="Times New Roman"/>
          <w:lang w:val="en-US"/>
        </w:rPr>
        <w:t>In t</w:t>
      </w:r>
      <w:r w:rsidRPr="00A30D57">
        <w:rPr>
          <w:rFonts w:ascii="Times New Roman" w:hAnsi="Times New Roman" w:cs="Times New Roman"/>
          <w:lang w:val="en-US"/>
        </w:rPr>
        <w:t xml:space="preserve">he analytical part </w:t>
      </w:r>
      <w:r w:rsidR="00BF46D6">
        <w:rPr>
          <w:rFonts w:ascii="Times New Roman" w:hAnsi="Times New Roman" w:cs="Times New Roman"/>
          <w:lang w:val="en-US"/>
        </w:rPr>
        <w:t>we will use</w:t>
      </w:r>
      <w:r w:rsidRPr="00A30D57">
        <w:rPr>
          <w:rFonts w:ascii="Times New Roman" w:hAnsi="Times New Roman" w:cs="Times New Roman"/>
          <w:lang w:val="en-US"/>
        </w:rPr>
        <w:t xml:space="preserve"> the </w:t>
      </w:r>
      <w:r w:rsidR="00BF46D6">
        <w:rPr>
          <w:rFonts w:ascii="Times New Roman" w:hAnsi="Times New Roman" w:cs="Times New Roman"/>
          <w:lang w:val="en-US"/>
        </w:rPr>
        <w:t xml:space="preserve">theoretical </w:t>
      </w:r>
      <w:r w:rsidRPr="00A30D57">
        <w:rPr>
          <w:rFonts w:ascii="Times New Roman" w:hAnsi="Times New Roman" w:cs="Times New Roman"/>
          <w:lang w:val="en-US"/>
        </w:rPr>
        <w:t xml:space="preserve">model </w:t>
      </w:r>
      <w:r w:rsidR="00BF46D6">
        <w:rPr>
          <w:rFonts w:ascii="Times New Roman" w:hAnsi="Times New Roman" w:cs="Times New Roman"/>
          <w:lang w:val="en-US"/>
        </w:rPr>
        <w:t xml:space="preserve">to analyze </w:t>
      </w:r>
      <w:r w:rsidR="00BF46D6" w:rsidRPr="00BF46D6">
        <w:rPr>
          <w:rFonts w:ascii="Times New Roman" w:hAnsi="Times New Roman" w:cs="Times New Roman"/>
          <w:lang w:val="en-US"/>
        </w:rPr>
        <w:t xml:space="preserve">Lithuanian Leasing Market 1998 - 2011 m., </w:t>
      </w:r>
      <w:r w:rsidR="00BF46D6">
        <w:rPr>
          <w:rFonts w:ascii="Times New Roman" w:hAnsi="Times New Roman" w:cs="Times New Roman"/>
          <w:lang w:val="en-US"/>
        </w:rPr>
        <w:t xml:space="preserve">view </w:t>
      </w:r>
      <w:r w:rsidR="00BF46D6" w:rsidRPr="00BF46D6">
        <w:rPr>
          <w:rFonts w:ascii="Times New Roman" w:hAnsi="Times New Roman" w:cs="Times New Roman"/>
          <w:lang w:val="en-US"/>
        </w:rPr>
        <w:t xml:space="preserve">changes in trends, and also </w:t>
      </w:r>
      <w:r w:rsidR="00BF46D6">
        <w:rPr>
          <w:rFonts w:ascii="Times New Roman" w:hAnsi="Times New Roman" w:cs="Times New Roman"/>
          <w:lang w:val="en-US"/>
        </w:rPr>
        <w:t>rate</w:t>
      </w:r>
      <w:r w:rsidR="00BF46D6" w:rsidRPr="00BF46D6">
        <w:rPr>
          <w:rFonts w:ascii="Times New Roman" w:hAnsi="Times New Roman" w:cs="Times New Roman"/>
          <w:lang w:val="en-US"/>
        </w:rPr>
        <w:t xml:space="preserve"> Lithuanian leasing market in the context of foreign leasing markets</w:t>
      </w:r>
      <w:r w:rsidRPr="00A30D57">
        <w:rPr>
          <w:rFonts w:ascii="Times New Roman" w:hAnsi="Times New Roman" w:cs="Times New Roman"/>
          <w:lang w:val="en-US"/>
        </w:rPr>
        <w:t xml:space="preserve">. After </w:t>
      </w:r>
      <w:r w:rsidR="0026679B">
        <w:rPr>
          <w:rFonts w:ascii="Times New Roman" w:hAnsi="Times New Roman" w:cs="Times New Roman"/>
          <w:lang w:val="en-US"/>
        </w:rPr>
        <w:t xml:space="preserve">this we </w:t>
      </w:r>
      <w:r w:rsidR="00BF46D6">
        <w:rPr>
          <w:rFonts w:ascii="Times New Roman" w:hAnsi="Times New Roman" w:cs="Times New Roman"/>
          <w:lang w:val="en-US"/>
        </w:rPr>
        <w:t>will carry out</w:t>
      </w:r>
      <w:r w:rsidRPr="00A30D57">
        <w:rPr>
          <w:rFonts w:ascii="Times New Roman" w:hAnsi="Times New Roman" w:cs="Times New Roman"/>
          <w:lang w:val="en-US"/>
        </w:rPr>
        <w:t xml:space="preserve"> correlation and regression analysis and expert evaluation.</w:t>
      </w:r>
    </w:p>
    <w:p w:rsidR="00A30D57" w:rsidRPr="00A30D57" w:rsidRDefault="0026679B" w:rsidP="00A30D57">
      <w:pPr>
        <w:tabs>
          <w:tab w:val="left" w:pos="567"/>
          <w:tab w:val="left" w:pos="930"/>
        </w:tabs>
        <w:spacing w:line="360" w:lineRule="auto"/>
        <w:jc w:val="both"/>
        <w:rPr>
          <w:rFonts w:ascii="Times New Roman" w:hAnsi="Times New Roman" w:cs="Times New Roman"/>
          <w:lang w:val="en-US"/>
        </w:rPr>
      </w:pPr>
      <w:r>
        <w:rPr>
          <w:rFonts w:ascii="Times New Roman" w:hAnsi="Times New Roman" w:cs="Times New Roman"/>
          <w:lang w:val="en-US"/>
        </w:rPr>
        <w:tab/>
      </w:r>
      <w:r w:rsidR="00A30D57" w:rsidRPr="00A30D57">
        <w:rPr>
          <w:rFonts w:ascii="Times New Roman" w:hAnsi="Times New Roman" w:cs="Times New Roman"/>
          <w:lang w:val="en-US"/>
        </w:rPr>
        <w:t xml:space="preserve">The </w:t>
      </w:r>
      <w:r>
        <w:rPr>
          <w:rFonts w:ascii="Times New Roman" w:hAnsi="Times New Roman" w:cs="Times New Roman"/>
          <w:lang w:val="en-US"/>
        </w:rPr>
        <w:t>research</w:t>
      </w:r>
      <w:r w:rsidR="00A30D57" w:rsidRPr="00A30D57">
        <w:rPr>
          <w:rFonts w:ascii="Times New Roman" w:hAnsi="Times New Roman" w:cs="Times New Roman"/>
          <w:lang w:val="en-US"/>
        </w:rPr>
        <w:t xml:space="preserve"> problem </w:t>
      </w:r>
      <w:r>
        <w:rPr>
          <w:rFonts w:ascii="Times New Roman" w:hAnsi="Times New Roman" w:cs="Times New Roman"/>
          <w:lang w:val="en-US"/>
        </w:rPr>
        <w:t>–</w:t>
      </w:r>
      <w:r w:rsidR="00A30D57" w:rsidRPr="00A30D57">
        <w:rPr>
          <w:rFonts w:ascii="Times New Roman" w:hAnsi="Times New Roman" w:cs="Times New Roman"/>
          <w:lang w:val="en-US"/>
        </w:rPr>
        <w:t xml:space="preserve"> </w:t>
      </w:r>
      <w:r>
        <w:rPr>
          <w:rFonts w:ascii="Times New Roman" w:hAnsi="Times New Roman" w:cs="Times New Roman"/>
          <w:lang w:val="en-US"/>
        </w:rPr>
        <w:t>what kind of influence</w:t>
      </w:r>
      <w:r w:rsidR="00A30D57" w:rsidRPr="00A30D57">
        <w:rPr>
          <w:rFonts w:ascii="Times New Roman" w:hAnsi="Times New Roman" w:cs="Times New Roman"/>
          <w:lang w:val="en-US"/>
        </w:rPr>
        <w:t xml:space="preserve"> the leasing market is doing </w:t>
      </w:r>
      <w:r>
        <w:rPr>
          <w:rFonts w:ascii="Times New Roman" w:hAnsi="Times New Roman" w:cs="Times New Roman"/>
          <w:lang w:val="en-US"/>
        </w:rPr>
        <w:t>to economy of Lithuania</w:t>
      </w:r>
      <w:r w:rsidR="00A30D57" w:rsidRPr="00A30D57">
        <w:rPr>
          <w:rFonts w:ascii="Times New Roman" w:hAnsi="Times New Roman" w:cs="Times New Roman"/>
          <w:lang w:val="en-US"/>
        </w:rPr>
        <w:t xml:space="preserve">? The object of </w:t>
      </w:r>
      <w:r>
        <w:rPr>
          <w:rFonts w:ascii="Times New Roman" w:hAnsi="Times New Roman" w:cs="Times New Roman"/>
          <w:lang w:val="en-US"/>
        </w:rPr>
        <w:t>research</w:t>
      </w:r>
      <w:r w:rsidR="00A30D57" w:rsidRPr="00A30D57">
        <w:rPr>
          <w:rFonts w:ascii="Times New Roman" w:hAnsi="Times New Roman" w:cs="Times New Roman"/>
          <w:lang w:val="en-US"/>
        </w:rPr>
        <w:t xml:space="preserve"> - Lithuanian leasing market. </w:t>
      </w:r>
      <w:r>
        <w:rPr>
          <w:rFonts w:ascii="Times New Roman" w:hAnsi="Times New Roman" w:cs="Times New Roman"/>
          <w:lang w:val="en-US"/>
        </w:rPr>
        <w:t>Research goal - t</w:t>
      </w:r>
      <w:r w:rsidR="00A30D57" w:rsidRPr="00A30D57">
        <w:rPr>
          <w:rFonts w:ascii="Times New Roman" w:hAnsi="Times New Roman" w:cs="Times New Roman"/>
          <w:lang w:val="en-US"/>
        </w:rPr>
        <w:t>o analyze the leasing market impact o</w:t>
      </w:r>
      <w:r>
        <w:rPr>
          <w:rFonts w:ascii="Times New Roman" w:hAnsi="Times New Roman" w:cs="Times New Roman"/>
          <w:lang w:val="en-US"/>
        </w:rPr>
        <w:t>n the</w:t>
      </w:r>
      <w:r w:rsidR="00A30D57" w:rsidRPr="00A30D57">
        <w:rPr>
          <w:rFonts w:ascii="Times New Roman" w:hAnsi="Times New Roman" w:cs="Times New Roman"/>
          <w:lang w:val="en-US"/>
        </w:rPr>
        <w:t xml:space="preserve"> economy theoretical aspects, to conclude </w:t>
      </w:r>
      <w:r>
        <w:rPr>
          <w:rFonts w:ascii="Times New Roman" w:hAnsi="Times New Roman" w:cs="Times New Roman"/>
          <w:lang w:val="en-US"/>
        </w:rPr>
        <w:t xml:space="preserve">a model, which helps to </w:t>
      </w:r>
      <w:r w:rsidRPr="00B843E2">
        <w:rPr>
          <w:rFonts w:ascii="Times New Roman" w:hAnsi="Times New Roman" w:cs="Times New Roman"/>
          <w:lang w:val="en-US"/>
        </w:rPr>
        <w:t xml:space="preserve">assess </w:t>
      </w:r>
      <w:r w:rsidRPr="007D23DD">
        <w:rPr>
          <w:rFonts w:ascii="Times New Roman" w:hAnsi="Times New Roman" w:cs="Times New Roman"/>
          <w:lang w:val="en-US"/>
        </w:rPr>
        <w:t xml:space="preserve">leasing market </w:t>
      </w:r>
      <w:r>
        <w:rPr>
          <w:rFonts w:ascii="Times New Roman" w:hAnsi="Times New Roman" w:cs="Times New Roman"/>
          <w:lang w:val="en-US"/>
        </w:rPr>
        <w:t>influence on the Lithuanian economy</w:t>
      </w:r>
      <w:r w:rsidR="00A30D57" w:rsidRPr="00A30D57">
        <w:rPr>
          <w:rFonts w:ascii="Times New Roman" w:hAnsi="Times New Roman" w:cs="Times New Roman"/>
          <w:lang w:val="en-US"/>
        </w:rPr>
        <w:t xml:space="preserve"> and </w:t>
      </w:r>
      <w:r>
        <w:rPr>
          <w:rFonts w:ascii="Times New Roman" w:hAnsi="Times New Roman" w:cs="Times New Roman"/>
          <w:lang w:val="en-US"/>
        </w:rPr>
        <w:t>according this model</w:t>
      </w:r>
      <w:r w:rsidR="00A30D57" w:rsidRPr="00A30D57">
        <w:rPr>
          <w:rFonts w:ascii="Times New Roman" w:hAnsi="Times New Roman" w:cs="Times New Roman"/>
          <w:lang w:val="en-US"/>
        </w:rPr>
        <w:t xml:space="preserve"> determine the leasing market </w:t>
      </w:r>
      <w:r>
        <w:rPr>
          <w:rFonts w:ascii="Times New Roman" w:hAnsi="Times New Roman" w:cs="Times New Roman"/>
          <w:lang w:val="en-US"/>
        </w:rPr>
        <w:t xml:space="preserve">influence </w:t>
      </w:r>
      <w:r w:rsidR="00A30D57" w:rsidRPr="00A30D57">
        <w:rPr>
          <w:rFonts w:ascii="Times New Roman" w:hAnsi="Times New Roman" w:cs="Times New Roman"/>
          <w:lang w:val="en-US"/>
        </w:rPr>
        <w:t xml:space="preserve">on the Lithuanian economy. In order to achieve the objective of the work has three </w:t>
      </w:r>
      <w:r>
        <w:rPr>
          <w:rFonts w:ascii="Times New Roman" w:hAnsi="Times New Roman" w:cs="Times New Roman"/>
          <w:lang w:val="en-US"/>
        </w:rPr>
        <w:t>tasks</w:t>
      </w:r>
      <w:r w:rsidR="00A30D57" w:rsidRPr="00A30D57">
        <w:rPr>
          <w:rFonts w:ascii="Times New Roman" w:hAnsi="Times New Roman" w:cs="Times New Roman"/>
          <w:lang w:val="en-US"/>
        </w:rPr>
        <w:t xml:space="preserve">: to provide leasing services, advantages, disadvantages, economic value, determine the Lithuanian leasing market position in the global context and assess the leasing market </w:t>
      </w:r>
      <w:r w:rsidR="007924CB">
        <w:rPr>
          <w:rFonts w:ascii="Times New Roman" w:hAnsi="Times New Roman" w:cs="Times New Roman"/>
          <w:lang w:val="en-US"/>
        </w:rPr>
        <w:t>power in the Lithuanian economy.</w:t>
      </w:r>
      <w:r w:rsidR="00A30D57" w:rsidRPr="00A30D57">
        <w:rPr>
          <w:rFonts w:ascii="Times New Roman" w:hAnsi="Times New Roman" w:cs="Times New Roman"/>
          <w:lang w:val="en-US"/>
        </w:rPr>
        <w:t xml:space="preserve"> </w:t>
      </w:r>
      <w:r w:rsidR="007924CB">
        <w:rPr>
          <w:rFonts w:ascii="Times New Roman" w:hAnsi="Times New Roman" w:cs="Times New Roman"/>
          <w:lang w:val="en-US"/>
        </w:rPr>
        <w:t>Also there is</w:t>
      </w:r>
      <w:r w:rsidR="00A30D57" w:rsidRPr="00A30D57">
        <w:rPr>
          <w:rFonts w:ascii="Times New Roman" w:hAnsi="Times New Roman" w:cs="Times New Roman"/>
          <w:lang w:val="en-US"/>
        </w:rPr>
        <w:t xml:space="preserve"> formulated a </w:t>
      </w:r>
      <w:r w:rsidR="001127D7">
        <w:rPr>
          <w:rFonts w:ascii="Times New Roman" w:hAnsi="Times New Roman" w:cs="Times New Roman"/>
          <w:lang w:val="en-US"/>
        </w:rPr>
        <w:t xml:space="preserve">research </w:t>
      </w:r>
      <w:r w:rsidR="00A30D57" w:rsidRPr="00A30D57">
        <w:rPr>
          <w:rFonts w:ascii="Times New Roman" w:hAnsi="Times New Roman" w:cs="Times New Roman"/>
          <w:lang w:val="en-US"/>
        </w:rPr>
        <w:t>hypothesis - leasing market development has a positive impact on the economy of Lithuania. Methods used in this work: the scientific literature</w:t>
      </w:r>
      <w:r w:rsidR="007924CB">
        <w:rPr>
          <w:rFonts w:ascii="Times New Roman" w:hAnsi="Times New Roman" w:cs="Times New Roman"/>
          <w:lang w:val="en-US"/>
        </w:rPr>
        <w:t xml:space="preserve"> review</w:t>
      </w:r>
      <w:r w:rsidR="00A30D57" w:rsidRPr="00A30D57">
        <w:rPr>
          <w:rFonts w:ascii="Times New Roman" w:hAnsi="Times New Roman" w:cs="Times New Roman"/>
          <w:lang w:val="en-US"/>
        </w:rPr>
        <w:t>, comparative and evaluative analysis, statistical data analysis, aggregation method, correlation and regression analysis and a questionnaire survey conducted to help expert evaluation.</w:t>
      </w:r>
    </w:p>
    <w:p w:rsidR="007E5E9F" w:rsidRDefault="007924CB" w:rsidP="007924CB">
      <w:pPr>
        <w:tabs>
          <w:tab w:val="left" w:pos="567"/>
          <w:tab w:val="left" w:pos="930"/>
        </w:tabs>
        <w:spacing w:line="360" w:lineRule="auto"/>
        <w:jc w:val="both"/>
        <w:rPr>
          <w:rFonts w:ascii="Times New Roman" w:hAnsi="Times New Roman" w:cs="Times New Roman"/>
          <w:lang w:val="en-US"/>
        </w:rPr>
      </w:pPr>
      <w:r>
        <w:rPr>
          <w:rFonts w:ascii="Times New Roman" w:hAnsi="Times New Roman" w:cs="Times New Roman"/>
          <w:lang w:val="en-US"/>
        </w:rPr>
        <w:tab/>
      </w:r>
      <w:r w:rsidR="00A30D57" w:rsidRPr="00A30D57">
        <w:rPr>
          <w:rFonts w:ascii="Times New Roman" w:hAnsi="Times New Roman" w:cs="Times New Roman"/>
          <w:lang w:val="en-US"/>
        </w:rPr>
        <w:t xml:space="preserve">Based on a theoretical model </w:t>
      </w:r>
      <w:r w:rsidRPr="007924CB">
        <w:rPr>
          <w:rFonts w:ascii="Times New Roman" w:hAnsi="Times New Roman" w:cs="Times New Roman"/>
          <w:lang w:val="en-US"/>
        </w:rPr>
        <w:t xml:space="preserve">that helps to assess leasing market influence on the Lithuanian economy </w:t>
      </w:r>
      <w:r w:rsidR="00A30D57" w:rsidRPr="00A30D57">
        <w:rPr>
          <w:rFonts w:ascii="Times New Roman" w:hAnsi="Times New Roman" w:cs="Times New Roman"/>
          <w:lang w:val="en-US"/>
        </w:rPr>
        <w:t>has been found that the leasing market currently has a great potential for expansion. Such a conclusion may be drawn from the historic</w:t>
      </w:r>
      <w:r w:rsidR="00574AE0">
        <w:rPr>
          <w:rFonts w:ascii="Times New Roman" w:hAnsi="Times New Roman" w:cs="Times New Roman"/>
          <w:lang w:val="en-US"/>
        </w:rPr>
        <w:t xml:space="preserve">al scope of the leasing market and </w:t>
      </w:r>
      <w:r w:rsidR="00A30D57" w:rsidRPr="00A30D57">
        <w:rPr>
          <w:rFonts w:ascii="Times New Roman" w:hAnsi="Times New Roman" w:cs="Times New Roman"/>
          <w:lang w:val="en-US"/>
        </w:rPr>
        <w:t xml:space="preserve">a fairly stable growth of the value of new contracts in recent years. Comparing the leasing market prevalence rate found </w:t>
      </w:r>
      <w:r>
        <w:rPr>
          <w:rFonts w:ascii="Times New Roman" w:hAnsi="Times New Roman" w:cs="Times New Roman"/>
          <w:lang w:val="en-US"/>
        </w:rPr>
        <w:t>that in Lithuania</w:t>
      </w:r>
      <w:r w:rsidR="00A30D57" w:rsidRPr="00A30D57">
        <w:rPr>
          <w:rFonts w:ascii="Times New Roman" w:hAnsi="Times New Roman" w:cs="Times New Roman"/>
          <w:lang w:val="en-US"/>
        </w:rPr>
        <w:t xml:space="preserve"> the ratio is high and ahead of nine of the ten largest leasing market</w:t>
      </w:r>
      <w:r>
        <w:rPr>
          <w:rFonts w:ascii="Times New Roman" w:hAnsi="Times New Roman" w:cs="Times New Roman"/>
          <w:lang w:val="en-US"/>
        </w:rPr>
        <w:t>s</w:t>
      </w:r>
      <w:r w:rsidR="00A30D57" w:rsidRPr="00A30D57">
        <w:rPr>
          <w:rFonts w:ascii="Times New Roman" w:hAnsi="Times New Roman" w:cs="Times New Roman"/>
          <w:lang w:val="en-US"/>
        </w:rPr>
        <w:t xml:space="preserve"> in the world</w:t>
      </w:r>
      <w:r>
        <w:rPr>
          <w:rFonts w:ascii="Times New Roman" w:hAnsi="Times New Roman" w:cs="Times New Roman"/>
          <w:lang w:val="en-US"/>
        </w:rPr>
        <w:t xml:space="preserve">. </w:t>
      </w:r>
      <w:r w:rsidR="00A30D57" w:rsidRPr="00A30D57">
        <w:rPr>
          <w:rFonts w:ascii="Times New Roman" w:hAnsi="Times New Roman" w:cs="Times New Roman"/>
          <w:lang w:val="en-US"/>
        </w:rPr>
        <w:t xml:space="preserve">Correlation and regression analysis showed that the leasing market is influenced by both the Lithuanian gross domestic product and foreign direct investment, and the unemployment rate in the country. Expert evaluation confirmed that the leasing service has a positive impact on the economy of Lithuania. Based on the results of the </w:t>
      </w:r>
      <w:r w:rsidR="006460BE">
        <w:rPr>
          <w:rFonts w:ascii="Times New Roman" w:hAnsi="Times New Roman" w:cs="Times New Roman"/>
          <w:lang w:val="en-US"/>
        </w:rPr>
        <w:t xml:space="preserve">performed </w:t>
      </w:r>
      <w:r w:rsidR="00A30D57" w:rsidRPr="00A30D57">
        <w:rPr>
          <w:rFonts w:ascii="Times New Roman" w:hAnsi="Times New Roman" w:cs="Times New Roman"/>
          <w:lang w:val="en-US"/>
        </w:rPr>
        <w:t xml:space="preserve">analyzes </w:t>
      </w:r>
      <w:r w:rsidR="006460BE">
        <w:rPr>
          <w:rFonts w:ascii="Times New Roman" w:hAnsi="Times New Roman" w:cs="Times New Roman"/>
          <w:lang w:val="en-US"/>
        </w:rPr>
        <w:t>the</w:t>
      </w:r>
      <w:r w:rsidR="00A30D57" w:rsidRPr="00A30D57">
        <w:rPr>
          <w:rFonts w:ascii="Times New Roman" w:hAnsi="Times New Roman" w:cs="Times New Roman"/>
          <w:lang w:val="en-US"/>
        </w:rPr>
        <w:t xml:space="preserve"> </w:t>
      </w:r>
      <w:r w:rsidR="008F615D">
        <w:rPr>
          <w:rFonts w:ascii="Times New Roman" w:hAnsi="Times New Roman" w:cs="Times New Roman"/>
          <w:lang w:val="en-US"/>
        </w:rPr>
        <w:t>research</w:t>
      </w:r>
      <w:r w:rsidR="00A30D57" w:rsidRPr="00A30D57">
        <w:rPr>
          <w:rFonts w:ascii="Times New Roman" w:hAnsi="Times New Roman" w:cs="Times New Roman"/>
          <w:lang w:val="en-US"/>
        </w:rPr>
        <w:t xml:space="preserve"> hypothesis was confirmed.</w:t>
      </w:r>
    </w:p>
    <w:p w:rsidR="00375A96" w:rsidRDefault="00375A96"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7924CB">
      <w:pPr>
        <w:tabs>
          <w:tab w:val="left" w:pos="567"/>
          <w:tab w:val="left" w:pos="930"/>
        </w:tabs>
        <w:spacing w:line="360" w:lineRule="auto"/>
        <w:jc w:val="both"/>
        <w:rPr>
          <w:rFonts w:ascii="Times New Roman" w:hAnsi="Times New Roman" w:cs="Times New Roman"/>
        </w:rPr>
      </w:pPr>
    </w:p>
    <w:p w:rsidR="005154CE" w:rsidRDefault="005154CE" w:rsidP="005154CE">
      <w:pPr>
        <w:pStyle w:val="Heading1"/>
        <w:numPr>
          <w:ilvl w:val="0"/>
          <w:numId w:val="0"/>
        </w:numPr>
        <w:ind w:left="502" w:hanging="360"/>
      </w:pPr>
    </w:p>
    <w:p w:rsidR="005154CE" w:rsidRDefault="005154CE" w:rsidP="005154CE">
      <w:pPr>
        <w:pStyle w:val="Heading1"/>
        <w:numPr>
          <w:ilvl w:val="0"/>
          <w:numId w:val="0"/>
        </w:numPr>
      </w:pPr>
      <w:bookmarkStart w:id="66" w:name="_Toc343517986"/>
      <w:r>
        <w:t>PRIEDAI</w:t>
      </w:r>
      <w:bookmarkEnd w:id="66"/>
    </w:p>
    <w:p w:rsidR="005154CE" w:rsidRDefault="005154CE">
      <w:pPr>
        <w:spacing w:after="200" w:line="276" w:lineRule="auto"/>
        <w:rPr>
          <w:rFonts w:ascii="Times New Roman" w:eastAsiaTheme="majorEastAsia" w:hAnsi="Times New Roman" w:cs="Times New Roman"/>
          <w:b/>
          <w:bCs/>
          <w:color w:val="auto"/>
          <w:sz w:val="28"/>
          <w:szCs w:val="28"/>
        </w:rPr>
      </w:pPr>
      <w:r>
        <w:br w:type="page"/>
      </w:r>
    </w:p>
    <w:p w:rsidR="005154CE" w:rsidRPr="00BC4653" w:rsidRDefault="005154CE" w:rsidP="005154CE">
      <w:pPr>
        <w:jc w:val="right"/>
        <w:rPr>
          <w:rFonts w:ascii="Times New Roman" w:hAnsi="Times New Roman" w:cs="Times New Roman"/>
          <w:b/>
          <w:sz w:val="28"/>
          <w:szCs w:val="28"/>
        </w:rPr>
      </w:pPr>
      <w:r w:rsidRPr="00BC4653">
        <w:rPr>
          <w:rFonts w:ascii="Times New Roman" w:hAnsi="Times New Roman" w:cs="Times New Roman"/>
          <w:b/>
          <w:sz w:val="28"/>
          <w:szCs w:val="28"/>
        </w:rPr>
        <w:lastRenderedPageBreak/>
        <w:t>1 PRIEDAS</w:t>
      </w:r>
    </w:p>
    <w:p w:rsidR="005154CE" w:rsidRDefault="005154CE" w:rsidP="005154CE">
      <w:pPr>
        <w:jc w:val="right"/>
        <w:rPr>
          <w:rFonts w:ascii="Times New Roman" w:hAnsi="Times New Roman" w:cs="Times New Roman"/>
        </w:rPr>
      </w:pPr>
    </w:p>
    <w:p w:rsidR="005154CE" w:rsidRDefault="00BC4653" w:rsidP="005154CE">
      <w:pPr>
        <w:jc w:val="center"/>
        <w:rPr>
          <w:rFonts w:ascii="Times New Roman" w:hAnsi="Times New Roman" w:cs="Times New Roman"/>
          <w:b/>
          <w:sz w:val="28"/>
          <w:szCs w:val="28"/>
        </w:rPr>
      </w:pPr>
      <w:r w:rsidRPr="00BC4653">
        <w:rPr>
          <w:rFonts w:ascii="Times New Roman" w:hAnsi="Times New Roman" w:cs="Times New Roman"/>
          <w:b/>
          <w:sz w:val="28"/>
          <w:szCs w:val="28"/>
        </w:rPr>
        <w:t>INFORMACIJA APIE LIZINGO STATISTIKĄ IKI 2009 METŲ</w:t>
      </w:r>
    </w:p>
    <w:p w:rsidR="00BC4653" w:rsidRDefault="00BC4653" w:rsidP="00BC4653">
      <w:pPr>
        <w:rPr>
          <w:rFonts w:ascii="Times New Roman" w:hAnsi="Times New Roman" w:cs="Times New Roman"/>
        </w:rPr>
      </w:pPr>
    </w:p>
    <w:p w:rsidR="00BC4653" w:rsidRDefault="00BC4653" w:rsidP="00BC4653">
      <w:pPr>
        <w:tabs>
          <w:tab w:val="left" w:pos="567"/>
        </w:tabs>
        <w:spacing w:line="360" w:lineRule="auto"/>
        <w:jc w:val="both"/>
        <w:rPr>
          <w:rFonts w:ascii="Times New Roman" w:hAnsi="Times New Roman" w:cs="Times New Roman"/>
        </w:rPr>
      </w:pPr>
      <w:r>
        <w:rPr>
          <w:rFonts w:ascii="Times New Roman" w:hAnsi="Times New Roman" w:cs="Times New Roman"/>
        </w:rPr>
        <w:tab/>
        <w:t>Rašyto laiško tekstas, išsiųstas Lietuvos Bankų asociacijai 2012 06 19:</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Laba diena,</w:t>
      </w:r>
    </w:p>
    <w:p w:rsidR="00BC4653" w:rsidRPr="00BC4653" w:rsidRDefault="00BC4653" w:rsidP="00BC4653">
      <w:pPr>
        <w:tabs>
          <w:tab w:val="left" w:pos="567"/>
        </w:tabs>
        <w:spacing w:line="360" w:lineRule="auto"/>
        <w:ind w:left="567"/>
        <w:jc w:val="both"/>
        <w:rPr>
          <w:rFonts w:ascii="Times New Roman" w:hAnsi="Times New Roman" w:cs="Times New Roman"/>
        </w:rPr>
      </w:pPr>
      <w:r w:rsidRPr="00BC4653">
        <w:rPr>
          <w:rFonts w:ascii="Times New Roman" w:hAnsi="Times New Roman" w:cs="Times New Roman"/>
        </w:rPr>
        <w:t>Šiuo metu rašau magistrinį darbą tema "Lizingo įtaka Lietuvos ekonomikos augimui". Norint atlikti praktinę dalį man reikėtų ketvirtinių lizingo portfelio duomenų. Tokius duomenis nuo 2009 m. radau nesunkiai, bet ankstesnių laikotarpių yra pateikiami tik metiniai. Galbūt galima gauti ankstesnių metų ketvirtinius duomenis, kad savo darbe galėčiau atlikti regresinę bei koreliacinę analizes? Būčiau labai dėkingas.</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Pagarbiai,</w:t>
      </w:r>
    </w:p>
    <w:p w:rsid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Laimonas Zabitis</w:t>
      </w:r>
    </w:p>
    <w:p w:rsidR="00BC4653" w:rsidRDefault="00BC4653" w:rsidP="00BC4653">
      <w:pPr>
        <w:tabs>
          <w:tab w:val="left" w:pos="567"/>
        </w:tabs>
        <w:spacing w:line="360" w:lineRule="auto"/>
        <w:jc w:val="both"/>
        <w:rPr>
          <w:rFonts w:ascii="Times New Roman" w:hAnsi="Times New Roman" w:cs="Times New Roman"/>
        </w:rPr>
      </w:pPr>
    </w:p>
    <w:p w:rsidR="00BC4653" w:rsidRDefault="00BC4653" w:rsidP="00BC4653">
      <w:pPr>
        <w:tabs>
          <w:tab w:val="left" w:pos="567"/>
        </w:tabs>
        <w:spacing w:line="360" w:lineRule="auto"/>
        <w:jc w:val="both"/>
        <w:rPr>
          <w:rFonts w:ascii="Times New Roman" w:hAnsi="Times New Roman" w:cs="Times New Roman"/>
        </w:rPr>
      </w:pPr>
      <w:r>
        <w:rPr>
          <w:rFonts w:ascii="Times New Roman" w:hAnsi="Times New Roman" w:cs="Times New Roman"/>
        </w:rPr>
        <w:tab/>
        <w:t>Kadangi atsakymo į šį laišką nesulaukta, 2012 10 16 išsiųstas dar vienas laiškas Lietuvos bankų asociacijai:</w:t>
      </w:r>
    </w:p>
    <w:p w:rsid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Laba</w:t>
      </w:r>
      <w:r>
        <w:rPr>
          <w:rFonts w:ascii="Times New Roman" w:hAnsi="Times New Roman" w:cs="Times New Roman"/>
        </w:rPr>
        <w:t xml:space="preserve"> </w:t>
      </w:r>
      <w:r w:rsidRPr="00BC4653">
        <w:rPr>
          <w:rFonts w:ascii="Times New Roman" w:hAnsi="Times New Roman" w:cs="Times New Roman"/>
        </w:rPr>
        <w:t>diena, </w:t>
      </w:r>
    </w:p>
    <w:p w:rsidR="00BC4653" w:rsidRPr="00BC4653" w:rsidRDefault="00BC4653" w:rsidP="00BC4653">
      <w:pPr>
        <w:tabs>
          <w:tab w:val="left" w:pos="567"/>
        </w:tabs>
        <w:spacing w:line="360" w:lineRule="auto"/>
        <w:ind w:left="567"/>
        <w:jc w:val="both"/>
        <w:rPr>
          <w:rFonts w:ascii="Times New Roman" w:hAnsi="Times New Roman" w:cs="Times New Roman"/>
        </w:rPr>
      </w:pPr>
      <w:r w:rsidRPr="00BC4653">
        <w:rPr>
          <w:rFonts w:ascii="Times New Roman" w:hAnsi="Times New Roman" w:cs="Times New Roman"/>
        </w:rPr>
        <w:t>Laišką Jums rašau jau antrą kartą, nes negavau atsakymo. Esu Mykolo Romerio universiteto finansų rinkų magistro studentas. Rašau magistrinį darbą tema "Lizingo įtaka Lietuvos ekonomikos augimui". Norint atlikti praktinę dalį man reikėtų ketvirtinių lizingo portfelio duomenų. Tokius duomenis nuo 2009 m. radau nesunkiai, bet ankstesnių laikotarpių yra pateikiami tik metiniai. Galbūt galima gauti ankstesnių metų ketvirtinius duomenis, kad savo darbe galėčiau atlikti regresinę bei koreliacinę analizes? Būčiau labai dėkingas.</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Pagarbiai,</w:t>
      </w:r>
    </w:p>
    <w:p w:rsid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Laimonas Zabitis</w:t>
      </w:r>
    </w:p>
    <w:p w:rsidR="00BC4653" w:rsidRDefault="00BC4653" w:rsidP="00BC4653">
      <w:pPr>
        <w:tabs>
          <w:tab w:val="left" w:pos="567"/>
        </w:tabs>
        <w:spacing w:line="360" w:lineRule="auto"/>
        <w:jc w:val="both"/>
        <w:rPr>
          <w:rFonts w:ascii="Times New Roman" w:hAnsi="Times New Roman" w:cs="Times New Roman"/>
        </w:rPr>
      </w:pPr>
    </w:p>
    <w:p w:rsidR="00BC4653" w:rsidRDefault="00BC4653" w:rsidP="00BC4653">
      <w:pPr>
        <w:tabs>
          <w:tab w:val="left" w:pos="567"/>
        </w:tabs>
        <w:spacing w:line="360" w:lineRule="auto"/>
        <w:jc w:val="both"/>
        <w:rPr>
          <w:rFonts w:ascii="Times New Roman" w:hAnsi="Times New Roman" w:cs="Times New Roman"/>
        </w:rPr>
      </w:pPr>
      <w:r>
        <w:rPr>
          <w:rFonts w:ascii="Times New Roman" w:hAnsi="Times New Roman" w:cs="Times New Roman"/>
        </w:rPr>
        <w:tab/>
        <w:t>Gautas atsakymas:</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Laba diena,</w:t>
      </w:r>
    </w:p>
    <w:p w:rsidR="00BC4653" w:rsidRPr="00BC4653" w:rsidRDefault="00BC4653" w:rsidP="00BC4653">
      <w:pPr>
        <w:tabs>
          <w:tab w:val="left" w:pos="567"/>
        </w:tabs>
        <w:spacing w:line="360" w:lineRule="auto"/>
        <w:jc w:val="both"/>
        <w:rPr>
          <w:rFonts w:ascii="Times New Roman" w:hAnsi="Times New Roman" w:cs="Times New Roman"/>
        </w:rPr>
      </w:pPr>
      <w:r>
        <w:rPr>
          <w:rFonts w:ascii="Times New Roman" w:hAnsi="Times New Roman" w:cs="Times New Roman"/>
        </w:rPr>
        <w:tab/>
      </w:r>
      <w:r w:rsidRPr="00BC4653">
        <w:rPr>
          <w:rFonts w:ascii="Times New Roman" w:hAnsi="Times New Roman" w:cs="Times New Roman"/>
        </w:rPr>
        <w:t>Dėkojame už Jūsų kreipimąsi.</w:t>
      </w:r>
    </w:p>
    <w:p w:rsidR="00BC4653" w:rsidRPr="00BC4653" w:rsidRDefault="00BC4653" w:rsidP="00BC4653">
      <w:pPr>
        <w:tabs>
          <w:tab w:val="left" w:pos="567"/>
        </w:tabs>
        <w:spacing w:line="360" w:lineRule="auto"/>
        <w:ind w:left="567"/>
        <w:jc w:val="both"/>
        <w:rPr>
          <w:rFonts w:ascii="Times New Roman" w:hAnsi="Times New Roman" w:cs="Times New Roman"/>
        </w:rPr>
      </w:pPr>
      <w:r w:rsidRPr="00BC4653">
        <w:rPr>
          <w:rFonts w:ascii="Times New Roman" w:hAnsi="Times New Roman" w:cs="Times New Roman"/>
        </w:rPr>
        <w:t>Norėtume Jus informuoti, kad ankstesnius duomenis rinko Lietuvos lizingo asociacija. Ją panaikinus, šią funkciją nuo 2009 m. atlieka Lietuvos bankų asociacija. Apgailestaujame, tačiau iki 2009 m. duomenis turime tik metinius.</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 Pagarbiai</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Laura Ladygaitė</w:t>
      </w:r>
    </w:p>
    <w:p w:rsidR="00BC4653" w:rsidRPr="00BC4653" w:rsidRDefault="00BC4653" w:rsidP="00BC4653">
      <w:pPr>
        <w:tabs>
          <w:tab w:val="left" w:pos="567"/>
        </w:tabs>
        <w:spacing w:line="360" w:lineRule="auto"/>
        <w:jc w:val="both"/>
        <w:rPr>
          <w:rFonts w:ascii="Times New Roman" w:hAnsi="Times New Roman" w:cs="Times New Roman"/>
        </w:rPr>
      </w:pPr>
      <w:r w:rsidRPr="00BC4653">
        <w:rPr>
          <w:rFonts w:ascii="Times New Roman" w:hAnsi="Times New Roman" w:cs="Times New Roman"/>
        </w:rPr>
        <w:t>Lietuvos bankų asociacija</w:t>
      </w:r>
    </w:p>
    <w:p w:rsidR="00BC4653" w:rsidRPr="00BC4653" w:rsidRDefault="00BC4653" w:rsidP="00BC4653">
      <w:pPr>
        <w:tabs>
          <w:tab w:val="left" w:pos="567"/>
        </w:tabs>
        <w:spacing w:line="360" w:lineRule="auto"/>
        <w:jc w:val="both"/>
        <w:rPr>
          <w:rFonts w:ascii="Times New Roman" w:hAnsi="Times New Roman" w:cs="Times New Roman"/>
        </w:rPr>
      </w:pPr>
    </w:p>
    <w:p w:rsidR="00BC4653" w:rsidRDefault="00BC03AF" w:rsidP="00BC03AF">
      <w:pPr>
        <w:tabs>
          <w:tab w:val="left" w:pos="567"/>
        </w:tabs>
        <w:spacing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2 PRIEDAS</w:t>
      </w:r>
    </w:p>
    <w:p w:rsidR="00BC03AF" w:rsidRPr="00BC03AF" w:rsidRDefault="00BC03AF" w:rsidP="00BC03AF">
      <w:pPr>
        <w:jc w:val="center"/>
        <w:rPr>
          <w:rFonts w:ascii="Times New Roman" w:eastAsia="Times New Roman" w:hAnsi="Times New Roman" w:cs="Times New Roman"/>
          <w:b/>
          <w:color w:val="auto"/>
          <w:lang w:val="en-US" w:eastAsia="en-US"/>
        </w:rPr>
      </w:pPr>
      <w:r w:rsidRPr="00BC03AF">
        <w:rPr>
          <w:rFonts w:ascii="Times New Roman" w:eastAsia="Times New Roman" w:hAnsi="Times New Roman" w:cs="Times New Roman"/>
          <w:b/>
          <w:color w:val="auto"/>
          <w:lang w:val="en-US" w:eastAsia="en-US"/>
        </w:rPr>
        <w:t xml:space="preserve">EKSPERTINIO VERTINIMO ANKETA </w:t>
      </w:r>
    </w:p>
    <w:p w:rsidR="00BC03AF" w:rsidRPr="00BC03AF" w:rsidRDefault="00BC03AF" w:rsidP="00BC03AF">
      <w:pPr>
        <w:jc w:val="center"/>
        <w:rPr>
          <w:rFonts w:ascii="Times New Roman" w:eastAsia="Times New Roman" w:hAnsi="Times New Roman" w:cs="Times New Roman"/>
          <w:b/>
          <w:color w:val="auto"/>
          <w:lang w:val="en-US" w:eastAsia="en-US"/>
        </w:rPr>
      </w:pPr>
    </w:p>
    <w:p w:rsidR="00BC03AF" w:rsidRPr="00BC03AF" w:rsidRDefault="00BC03AF" w:rsidP="00BC03AF">
      <w:pPr>
        <w:tabs>
          <w:tab w:val="left" w:pos="567"/>
        </w:tabs>
        <w:spacing w:line="360" w:lineRule="auto"/>
        <w:jc w:val="both"/>
        <w:rPr>
          <w:rFonts w:ascii="Times New Roman" w:eastAsia="Times New Roman" w:hAnsi="Times New Roman" w:cs="Times New Roman"/>
          <w:i/>
          <w:color w:val="auto"/>
          <w:lang w:eastAsia="en-US"/>
        </w:rPr>
      </w:pPr>
      <w:r w:rsidRPr="00BC03AF">
        <w:rPr>
          <w:rFonts w:ascii="Times New Roman" w:eastAsia="Times New Roman" w:hAnsi="Times New Roman" w:cs="Times New Roman"/>
          <w:i/>
          <w:color w:val="auto"/>
          <w:lang w:eastAsia="en-US"/>
        </w:rPr>
        <w:tab/>
        <w:t xml:space="preserve">Gerb. eksperte,  </w:t>
      </w:r>
    </w:p>
    <w:p w:rsidR="00BC03AF" w:rsidRPr="00BC03AF" w:rsidRDefault="00BC03AF" w:rsidP="00BC03AF">
      <w:pPr>
        <w:tabs>
          <w:tab w:val="left" w:pos="567"/>
        </w:tabs>
        <w:spacing w:line="360" w:lineRule="auto"/>
        <w:jc w:val="both"/>
        <w:rPr>
          <w:rFonts w:ascii="Times New Roman" w:eastAsia="Times New Roman" w:hAnsi="Times New Roman" w:cs="Times New Roman"/>
          <w:i/>
          <w:color w:val="auto"/>
          <w:lang w:eastAsia="en-US"/>
        </w:rPr>
      </w:pPr>
      <w:r w:rsidRPr="00BC03AF">
        <w:rPr>
          <w:rFonts w:ascii="Times New Roman" w:eastAsia="Times New Roman" w:hAnsi="Times New Roman" w:cs="Times New Roman"/>
          <w:i/>
          <w:color w:val="auto"/>
          <w:lang w:eastAsia="en-US"/>
        </w:rPr>
        <w:tab/>
        <w:t xml:space="preserve">Esu Mykolo Romerio Universiteto Finansų rinkų magistro specialybės studentas ir rašau baigiamąjį magistro darbą tema </w:t>
      </w:r>
      <w:r w:rsidR="00CC3019">
        <w:rPr>
          <w:rFonts w:ascii="Times New Roman" w:eastAsia="Times New Roman" w:hAnsi="Times New Roman" w:cs="Times New Roman"/>
          <w:b/>
          <w:i/>
          <w:color w:val="auto"/>
          <w:lang w:eastAsia="en-US"/>
        </w:rPr>
        <w:t>„Lizingo rinkos įtakos</w:t>
      </w:r>
      <w:r w:rsidRPr="00BC03AF">
        <w:rPr>
          <w:rFonts w:ascii="Times New Roman" w:eastAsia="Times New Roman" w:hAnsi="Times New Roman" w:cs="Times New Roman"/>
          <w:b/>
          <w:i/>
          <w:color w:val="auto"/>
          <w:lang w:eastAsia="en-US"/>
        </w:rPr>
        <w:t xml:space="preserve"> Lietuvos ekonomikai</w:t>
      </w:r>
      <w:r w:rsidR="00CC3019">
        <w:rPr>
          <w:rFonts w:ascii="Times New Roman" w:eastAsia="Times New Roman" w:hAnsi="Times New Roman" w:cs="Times New Roman"/>
          <w:b/>
          <w:i/>
          <w:color w:val="auto"/>
          <w:lang w:eastAsia="en-US"/>
        </w:rPr>
        <w:t xml:space="preserve"> vertinimas</w:t>
      </w:r>
      <w:r w:rsidRPr="00BC03AF">
        <w:rPr>
          <w:rFonts w:ascii="Times New Roman" w:eastAsia="Times New Roman" w:hAnsi="Times New Roman" w:cs="Times New Roman"/>
          <w:b/>
          <w:i/>
          <w:color w:val="auto"/>
          <w:lang w:eastAsia="en-US"/>
        </w:rPr>
        <w:t>“</w:t>
      </w:r>
      <w:r w:rsidRPr="00BC03AF">
        <w:rPr>
          <w:rFonts w:ascii="Times New Roman" w:eastAsia="Times New Roman" w:hAnsi="Times New Roman" w:cs="Times New Roman"/>
          <w:i/>
          <w:color w:val="auto"/>
          <w:lang w:eastAsia="en-US"/>
        </w:rPr>
        <w:t>. Darbe atliekamas tyrimas, kurio tikslas išsiaiškinti lizingo rinkos Lietuvoje plėtros galimybes, rinkos įtaką Lietuvos ekonomikai.</w:t>
      </w:r>
    </w:p>
    <w:p w:rsidR="00BC03AF" w:rsidRPr="00BC03AF" w:rsidRDefault="00BC03AF" w:rsidP="00BC03AF">
      <w:pPr>
        <w:tabs>
          <w:tab w:val="left" w:pos="567"/>
        </w:tabs>
        <w:spacing w:line="360" w:lineRule="auto"/>
        <w:jc w:val="both"/>
        <w:rPr>
          <w:rFonts w:ascii="Times New Roman" w:eastAsia="Times New Roman" w:hAnsi="Times New Roman" w:cs="Times New Roman"/>
          <w:i/>
          <w:color w:val="auto"/>
          <w:lang w:eastAsia="en-US"/>
        </w:rPr>
      </w:pPr>
      <w:r w:rsidRPr="00BC03AF">
        <w:rPr>
          <w:rFonts w:ascii="Times New Roman" w:eastAsia="Times New Roman" w:hAnsi="Times New Roman" w:cs="Times New Roman"/>
          <w:i/>
          <w:color w:val="auto"/>
          <w:lang w:eastAsia="en-US"/>
        </w:rPr>
        <w:tab/>
        <w:t xml:space="preserve">Ekspertinis vertinimas vykdomas anonimiškai, todėl atsakymai  į klausimus bus analizuojami tik apibendrinta forma. Būčiau labai dėkingas, jeigu nuoširdžiai atsakytumėte į žemiau pateiktus klausimus. </w:t>
      </w:r>
    </w:p>
    <w:p w:rsidR="00BC03AF" w:rsidRPr="00BC03AF" w:rsidRDefault="00BC03AF" w:rsidP="00BC03AF">
      <w:pPr>
        <w:tabs>
          <w:tab w:val="left" w:pos="567"/>
        </w:tabs>
        <w:spacing w:line="360" w:lineRule="auto"/>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i/>
          <w:color w:val="auto"/>
          <w:lang w:eastAsia="en-US"/>
        </w:rPr>
        <w:tab/>
        <w:t>Jūsų atsakymai padės atlikti išsamų tyrimą ir pasiekti naudingų rezultatų tiriant Lietuvos lizingo rinką bei įvertinant jos įtaką Lietuvos ekonomikai.</w:t>
      </w:r>
    </w:p>
    <w:p w:rsidR="00BC03AF" w:rsidRPr="00BC03AF" w:rsidRDefault="00BC03AF" w:rsidP="00BC03AF">
      <w:pPr>
        <w:spacing w:line="360" w:lineRule="auto"/>
        <w:jc w:val="center"/>
        <w:rPr>
          <w:rFonts w:ascii="Times New Roman" w:eastAsia="Times New Roman" w:hAnsi="Times New Roman" w:cs="Times New Roman"/>
          <w:b/>
          <w:color w:val="auto"/>
          <w:lang w:val="en-US" w:eastAsia="en-US"/>
        </w:rPr>
      </w:pPr>
    </w:p>
    <w:p w:rsidR="00BC03AF" w:rsidRPr="00BC03AF" w:rsidRDefault="00BC03AF" w:rsidP="00BC03AF">
      <w:pPr>
        <w:spacing w:line="360" w:lineRule="auto"/>
        <w:jc w:val="center"/>
        <w:rPr>
          <w:rFonts w:ascii="Times New Roman" w:eastAsia="Times New Roman" w:hAnsi="Times New Roman" w:cs="Times New Roman"/>
          <w:b/>
          <w:color w:val="auto"/>
          <w:lang w:eastAsia="en-US"/>
        </w:rPr>
      </w:pPr>
      <w:r w:rsidRPr="00BC03AF">
        <w:rPr>
          <w:rFonts w:ascii="Times New Roman" w:eastAsia="Times New Roman" w:hAnsi="Times New Roman" w:cs="Times New Roman"/>
          <w:b/>
          <w:color w:val="auto"/>
          <w:lang w:eastAsia="en-US"/>
        </w:rPr>
        <w:t>LIZINGO RINKOS ĮTAKA LIETUVOS EKONOMIKAI</w:t>
      </w:r>
    </w:p>
    <w:p w:rsidR="00BC03AF" w:rsidRPr="00BC03AF" w:rsidRDefault="00BC03AF" w:rsidP="00BC03AF">
      <w:pPr>
        <w:spacing w:line="360" w:lineRule="auto"/>
        <w:jc w:val="center"/>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Kokią įtaką, Jūsų nuomone, lizingo </w:t>
      </w:r>
      <w:r w:rsidR="00CC3019">
        <w:rPr>
          <w:rFonts w:ascii="Times New Roman" w:eastAsia="Times New Roman" w:hAnsi="Times New Roman" w:cs="Times New Roman"/>
          <w:color w:val="auto"/>
          <w:lang w:eastAsia="en-US"/>
        </w:rPr>
        <w:t>rinka</w:t>
      </w:r>
      <w:r w:rsidRPr="00BC03AF">
        <w:rPr>
          <w:rFonts w:ascii="Times New Roman" w:eastAsia="Times New Roman" w:hAnsi="Times New Roman" w:cs="Times New Roman"/>
          <w:color w:val="auto"/>
          <w:lang w:eastAsia="en-US"/>
        </w:rPr>
        <w:t xml:space="preserve"> ir jos </w:t>
      </w:r>
      <w:r w:rsidR="00CC3019">
        <w:rPr>
          <w:rFonts w:ascii="Times New Roman" w:eastAsia="Times New Roman" w:hAnsi="Times New Roman" w:cs="Times New Roman"/>
          <w:color w:val="auto"/>
          <w:lang w:eastAsia="en-US"/>
        </w:rPr>
        <w:t>plėtra</w:t>
      </w:r>
      <w:r w:rsidRPr="00BC03AF">
        <w:rPr>
          <w:rFonts w:ascii="Times New Roman" w:eastAsia="Times New Roman" w:hAnsi="Times New Roman" w:cs="Times New Roman"/>
          <w:color w:val="auto"/>
          <w:lang w:eastAsia="en-US"/>
        </w:rPr>
        <w:t xml:space="preserve"> daro Lietuvos ekonomikai?</w:t>
      </w:r>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Labai teigiamą</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2"/>
            <w:enabled/>
            <w:calcOnExit w:val="0"/>
            <w:checkBox>
              <w:sizeAuto/>
              <w:default w:val="0"/>
              <w:checked w:val="0"/>
            </w:checkBox>
          </w:ffData>
        </w:fldChar>
      </w:r>
      <w:bookmarkStart w:id="67" w:name="Check12"/>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67"/>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Teigiamą</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3"/>
            <w:enabled/>
            <w:calcOnExit w:val="0"/>
            <w:checkBox>
              <w:sizeAuto/>
              <w:default w:val="0"/>
            </w:checkBox>
          </w:ffData>
        </w:fldChar>
      </w:r>
      <w:bookmarkStart w:id="68" w:name="Check13"/>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68"/>
    </w:p>
    <w:p w:rsidR="00BC03AF" w:rsidRPr="00BC03AF" w:rsidRDefault="00BC03AF" w:rsidP="00BC03AF">
      <w:pPr>
        <w:tabs>
          <w:tab w:val="left" w:pos="1296"/>
          <w:tab w:val="left" w:pos="2592"/>
          <w:tab w:val="left" w:pos="3888"/>
          <w:tab w:val="center" w:pos="5179"/>
        </w:tabs>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Nedaro įtakos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4"/>
            <w:enabled/>
            <w:calcOnExit w:val="0"/>
            <w:checkBox>
              <w:sizeAuto/>
              <w:default w:val="0"/>
              <w:checked w:val="0"/>
            </w:checkBox>
          </w:ffData>
        </w:fldChar>
      </w:r>
      <w:bookmarkStart w:id="69" w:name="Check14"/>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69"/>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Neigiamą</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5"/>
            <w:enabled/>
            <w:calcOnExit w:val="0"/>
            <w:checkBox>
              <w:sizeAuto/>
              <w:default w:val="0"/>
              <w:checked w:val="0"/>
            </w:checkBox>
          </w:ffData>
        </w:fldChar>
      </w:r>
      <w:bookmarkStart w:id="70" w:name="Check15"/>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70"/>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Labai neigiamą</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6"/>
            <w:enabled/>
            <w:calcOnExit w:val="0"/>
            <w:checkBox>
              <w:sizeAuto/>
              <w:default w:val="0"/>
              <w:checked w:val="0"/>
            </w:checkBox>
          </w:ffData>
        </w:fldChar>
      </w:r>
      <w:bookmarkStart w:id="71" w:name="Check16"/>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71"/>
    </w:p>
    <w:p w:rsidR="00BC03AF" w:rsidRPr="00BC03AF" w:rsidRDefault="00BC03AF" w:rsidP="00BC03AF">
      <w:pPr>
        <w:spacing w:line="360" w:lineRule="auto"/>
        <w:jc w:val="both"/>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Jeigu į 1mą klausimą atsakėte, „Labai teigiamą“ ar „Teigiamą“, kaip manote, per kuriuos veiksnius lizingo </w:t>
      </w:r>
      <w:r w:rsidR="00CC3019">
        <w:rPr>
          <w:rFonts w:ascii="Times New Roman" w:eastAsia="Times New Roman" w:hAnsi="Times New Roman" w:cs="Times New Roman"/>
          <w:color w:val="auto"/>
          <w:lang w:eastAsia="en-US"/>
        </w:rPr>
        <w:t>rinka</w:t>
      </w:r>
      <w:r w:rsidRPr="00BC03AF">
        <w:rPr>
          <w:rFonts w:ascii="Times New Roman" w:eastAsia="Times New Roman" w:hAnsi="Times New Roman" w:cs="Times New Roman"/>
          <w:color w:val="auto"/>
          <w:lang w:eastAsia="en-US"/>
        </w:rPr>
        <w:t xml:space="preserve"> turi teigiamą įtaką ekonomikai? (įvertinkite (nuo 1 iki 5) 1 – svarbiausias veiksnys, 5 – turi mažiausią įtaką)</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p>
    <w:p w:rsidR="00BC03AF" w:rsidRPr="00BC03AF" w:rsidRDefault="00BC03AF" w:rsidP="00BC03AF">
      <w:pPr>
        <w:tabs>
          <w:tab w:val="left" w:pos="567"/>
          <w:tab w:val="left" w:pos="8505"/>
          <w:tab w:val="left" w:pos="8789"/>
          <w:tab w:val="left" w:pos="9072"/>
        </w:tabs>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Paprastesnis finansavimo suteikimas naujoms, mažoms įmonėms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4"/>
            <w:enabled/>
            <w:calcOnExit w:val="0"/>
            <w:textInput/>
          </w:ffData>
        </w:fldChar>
      </w:r>
      <w:bookmarkStart w:id="72" w:name="Text4"/>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2"/>
    </w:p>
    <w:p w:rsidR="00BC03AF" w:rsidRPr="00BC03AF" w:rsidRDefault="00BC03AF" w:rsidP="00BC03AF">
      <w:pPr>
        <w:tabs>
          <w:tab w:val="left" w:pos="567"/>
          <w:tab w:val="left" w:pos="8789"/>
        </w:tabs>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Naujų darbo vietų sukūrimas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5"/>
            <w:enabled/>
            <w:calcOnExit w:val="0"/>
            <w:textInput/>
          </w:ffData>
        </w:fldChar>
      </w:r>
      <w:bookmarkStart w:id="73" w:name="Text5"/>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3"/>
    </w:p>
    <w:p w:rsidR="00BC03AF" w:rsidRPr="00BC03AF" w:rsidRDefault="00BC03AF" w:rsidP="00BC03AF">
      <w:pPr>
        <w:tabs>
          <w:tab w:val="left" w:pos="567"/>
          <w:tab w:val="left" w:pos="8789"/>
        </w:tabs>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Tolimesnių investicijų skatinimas </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6"/>
            <w:enabled/>
            <w:calcOnExit w:val="0"/>
            <w:textInput/>
          </w:ffData>
        </w:fldChar>
      </w:r>
      <w:bookmarkStart w:id="74" w:name="Text6"/>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4"/>
    </w:p>
    <w:p w:rsidR="00BC03AF" w:rsidRPr="00BC03AF" w:rsidRDefault="00BC03AF" w:rsidP="00BC03AF">
      <w:pPr>
        <w:tabs>
          <w:tab w:val="left" w:pos="567"/>
          <w:tab w:val="left" w:pos="8789"/>
          <w:tab w:val="left" w:pos="9072"/>
        </w:tabs>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Greitesnis naujų technologijų įsisavinimas, užtikrinant įmonių konkurencingumą</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7"/>
            <w:enabled/>
            <w:calcOnExit w:val="0"/>
            <w:textInput/>
          </w:ffData>
        </w:fldChar>
      </w:r>
      <w:bookmarkStart w:id="75" w:name="Text7"/>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5"/>
    </w:p>
    <w:p w:rsidR="00BC03AF" w:rsidRPr="00BC03AF" w:rsidRDefault="00BC03AF" w:rsidP="00BC03AF">
      <w:pPr>
        <w:tabs>
          <w:tab w:val="left" w:pos="567"/>
          <w:tab w:val="left" w:pos="8789"/>
          <w:tab w:val="left" w:pos="9072"/>
        </w:tabs>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Pardavimų apimties didinimas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8"/>
            <w:enabled/>
            <w:calcOnExit w:val="0"/>
            <w:textInput/>
          </w:ffData>
        </w:fldChar>
      </w:r>
      <w:bookmarkStart w:id="76" w:name="Text8"/>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6"/>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Jeigu į 1mą klausimą atsakėte, „Labai neigiamą“ ar „neigiamą“, kaip manote, per kuriuos veiksnius lizingo </w:t>
      </w:r>
      <w:r w:rsidR="00CC3019">
        <w:rPr>
          <w:rFonts w:ascii="Times New Roman" w:eastAsia="Times New Roman" w:hAnsi="Times New Roman" w:cs="Times New Roman"/>
          <w:color w:val="auto"/>
          <w:lang w:eastAsia="en-US"/>
        </w:rPr>
        <w:t>rinka</w:t>
      </w:r>
      <w:r w:rsidRPr="00BC03AF">
        <w:rPr>
          <w:rFonts w:ascii="Times New Roman" w:eastAsia="Times New Roman" w:hAnsi="Times New Roman" w:cs="Times New Roman"/>
          <w:color w:val="auto"/>
          <w:lang w:eastAsia="en-US"/>
        </w:rPr>
        <w:t xml:space="preserve"> turi neigiamą įtaką ekonomikai? (įvertinkite (nuo 1 iki 5) 1 – svarbiausias veiksnys, 5 – turi mažiausią įtaką)</w:t>
      </w:r>
    </w:p>
    <w:p w:rsidR="00BC03AF" w:rsidRPr="00BC03AF" w:rsidRDefault="00BC03AF" w:rsidP="00BC03AF">
      <w:pPr>
        <w:tabs>
          <w:tab w:val="left" w:pos="8789"/>
        </w:tabs>
        <w:spacing w:line="360" w:lineRule="auto"/>
        <w:ind w:left="720"/>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lastRenderedPageBreak/>
        <w:t>Skatinamas ekonomikos perkaitimas, burbulų formavimasis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9"/>
            <w:enabled/>
            <w:calcOnExit w:val="0"/>
            <w:textInput/>
          </w:ffData>
        </w:fldChar>
      </w:r>
      <w:bookmarkStart w:id="77" w:name="Text9"/>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7"/>
    </w:p>
    <w:p w:rsidR="00BC03AF" w:rsidRPr="00BC03AF" w:rsidRDefault="00BC03AF" w:rsidP="00BC03AF">
      <w:pPr>
        <w:tabs>
          <w:tab w:val="left" w:pos="8789"/>
        </w:tabs>
        <w:spacing w:line="360" w:lineRule="auto"/>
        <w:ind w:left="720"/>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Didinama infliacijos rizika</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11"/>
            <w:enabled/>
            <w:calcOnExit w:val="0"/>
            <w:textInput/>
          </w:ffData>
        </w:fldChar>
      </w:r>
      <w:bookmarkStart w:id="78" w:name="Text11"/>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8"/>
    </w:p>
    <w:p w:rsidR="00BC03AF" w:rsidRPr="00BC03AF" w:rsidRDefault="00BC03AF" w:rsidP="00BC03AF">
      <w:pPr>
        <w:tabs>
          <w:tab w:val="left" w:pos="8789"/>
        </w:tabs>
        <w:spacing w:line="360" w:lineRule="auto"/>
        <w:ind w:left="720"/>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Skatinamas nepamatuotas skolinimasis, sukeliamos mokumo krizės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10"/>
            <w:enabled/>
            <w:calcOnExit w:val="0"/>
            <w:textInput/>
          </w:ffData>
        </w:fldChar>
      </w:r>
      <w:bookmarkStart w:id="79" w:name="Text10"/>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79"/>
    </w:p>
    <w:p w:rsidR="00BC03AF" w:rsidRPr="00BC03AF" w:rsidRDefault="00BC03AF" w:rsidP="00BC03AF">
      <w:pPr>
        <w:tabs>
          <w:tab w:val="left" w:pos="8789"/>
        </w:tabs>
        <w:spacing w:line="360" w:lineRule="auto"/>
        <w:ind w:left="720"/>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Pervertinimas perkamas turtas sumokant mokesčius, susijusius su lizingo paslauga</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12"/>
            <w:enabled/>
            <w:calcOnExit w:val="0"/>
            <w:textInput/>
          </w:ffData>
        </w:fldChar>
      </w:r>
      <w:bookmarkStart w:id="80" w:name="Text12"/>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80"/>
    </w:p>
    <w:p w:rsidR="00BC03AF" w:rsidRPr="00BC03AF" w:rsidRDefault="00BC03AF" w:rsidP="00BC03AF">
      <w:pPr>
        <w:tabs>
          <w:tab w:val="left" w:pos="8789"/>
        </w:tabs>
        <w:spacing w:line="360" w:lineRule="auto"/>
        <w:ind w:left="720"/>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Kita</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13"/>
            <w:enabled/>
            <w:calcOnExit w:val="0"/>
            <w:textInput/>
          </w:ffData>
        </w:fldChar>
      </w:r>
      <w:bookmarkStart w:id="81" w:name="Text13"/>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81"/>
    </w:p>
    <w:p w:rsidR="00BC03AF" w:rsidRPr="00BC03AF" w:rsidRDefault="00BC03AF" w:rsidP="00BC03AF">
      <w:pPr>
        <w:tabs>
          <w:tab w:val="left" w:pos="8789"/>
        </w:tabs>
        <w:spacing w:line="360" w:lineRule="auto"/>
        <w:ind w:left="720"/>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i/>
          <w:color w:val="auto"/>
          <w:lang w:eastAsia="en-US"/>
        </w:rPr>
        <w:t>(įrašykite)</w:t>
      </w:r>
    </w:p>
    <w:p w:rsidR="00BC03AF" w:rsidRPr="00BC03AF" w:rsidRDefault="00BC03AF" w:rsidP="00BC03AF">
      <w:pPr>
        <w:spacing w:line="360" w:lineRule="auto"/>
        <w:ind w:left="720"/>
        <w:contextualSpacing/>
        <w:jc w:val="both"/>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Kaip Jūs vertinate, kuriam ekonominiam sektoriui Lietuvoje lizingas turi didžiausią įtaką?</w:t>
      </w:r>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Transporto</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27"/>
            <w:enabled/>
            <w:calcOnExit w:val="0"/>
            <w:checkBox>
              <w:sizeAuto/>
              <w:default w:val="0"/>
            </w:checkBox>
          </w:ffData>
        </w:fldChar>
      </w:r>
      <w:bookmarkStart w:id="82" w:name="Check27"/>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2"/>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Pramonės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28"/>
            <w:enabled/>
            <w:calcOnExit w:val="0"/>
            <w:checkBox>
              <w:sizeAuto/>
              <w:default w:val="0"/>
            </w:checkBox>
          </w:ffData>
        </w:fldChar>
      </w:r>
      <w:bookmarkStart w:id="83" w:name="Check28"/>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3"/>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Žemės ūkio</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29"/>
            <w:enabled/>
            <w:calcOnExit w:val="0"/>
            <w:checkBox>
              <w:sizeAuto/>
              <w:default w:val="0"/>
            </w:checkBox>
          </w:ffData>
        </w:fldChar>
      </w:r>
      <w:bookmarkStart w:id="84" w:name="Check29"/>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4"/>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Mažmeninės ir didmeninės prekybos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0"/>
            <w:enabled/>
            <w:calcOnExit w:val="0"/>
            <w:checkBox>
              <w:sizeAuto/>
              <w:default w:val="0"/>
            </w:checkBox>
          </w:ffData>
        </w:fldChar>
      </w:r>
      <w:bookmarkStart w:id="85" w:name="Check30"/>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5"/>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Nekilnojamo turto</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1"/>
            <w:enabled/>
            <w:calcOnExit w:val="0"/>
            <w:checkBox>
              <w:sizeAuto/>
              <w:default w:val="0"/>
            </w:checkBox>
          </w:ffData>
        </w:fldChar>
      </w:r>
      <w:bookmarkStart w:id="86" w:name="Check31"/>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6"/>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Kita </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2"/>
            <w:enabled/>
            <w:calcOnExit w:val="0"/>
            <w:checkBox>
              <w:sizeAuto/>
              <w:default w:val="0"/>
            </w:checkBox>
          </w:ffData>
        </w:fldChar>
      </w:r>
      <w:bookmarkStart w:id="87" w:name="Check32"/>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7"/>
    </w:p>
    <w:p w:rsidR="00BC03AF" w:rsidRPr="00BC03AF" w:rsidRDefault="00BC03AF" w:rsidP="00BC03AF">
      <w:pPr>
        <w:spacing w:line="360" w:lineRule="auto"/>
        <w:ind w:firstLine="720"/>
        <w:jc w:val="both"/>
        <w:rPr>
          <w:rFonts w:ascii="Times New Roman" w:eastAsia="Times New Roman" w:hAnsi="Times New Roman" w:cs="Times New Roman"/>
          <w:i/>
          <w:color w:val="auto"/>
          <w:lang w:eastAsia="en-US"/>
        </w:rPr>
      </w:pPr>
      <w:r w:rsidRPr="00BC03AF">
        <w:rPr>
          <w:rFonts w:ascii="Times New Roman" w:eastAsia="Times New Roman" w:hAnsi="Times New Roman" w:cs="Times New Roman"/>
          <w:i/>
          <w:color w:val="auto"/>
          <w:lang w:eastAsia="en-US"/>
        </w:rPr>
        <w:t>(įrašykite)</w:t>
      </w:r>
      <w:r w:rsidRPr="00BC03AF">
        <w:rPr>
          <w:rFonts w:ascii="Times New Roman" w:eastAsia="Times New Roman" w:hAnsi="Times New Roman" w:cs="Times New Roman"/>
          <w:i/>
          <w:color w:val="auto"/>
          <w:lang w:eastAsia="en-US"/>
        </w:rPr>
        <w:tab/>
      </w:r>
    </w:p>
    <w:p w:rsidR="00BC03AF" w:rsidRPr="00BC03AF" w:rsidRDefault="00BC03AF" w:rsidP="00BC03AF">
      <w:pPr>
        <w:spacing w:line="360" w:lineRule="auto"/>
        <w:ind w:left="720"/>
        <w:contextualSpacing/>
        <w:jc w:val="both"/>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Bendras Lietuvos lizingo portfelis traukiasi. Kaip per pastaruosiuos metus pasikeitė Jūsų įmonės lizingo portfelis? Jeigu padidėjo, įvardykite pagrindines priemones, kuriomis pavyko tai pasiekti?</w:t>
      </w:r>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Padidėjo</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3"/>
            <w:enabled/>
            <w:calcOnExit w:val="0"/>
            <w:checkBox>
              <w:sizeAuto/>
              <w:default w:val="0"/>
            </w:checkBox>
          </w:ffData>
        </w:fldChar>
      </w:r>
      <w:bookmarkStart w:id="88" w:name="Check33"/>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8"/>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Sumažėjo</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4"/>
            <w:enabled/>
            <w:calcOnExit w:val="0"/>
            <w:checkBox>
              <w:sizeAuto/>
              <w:default w:val="0"/>
            </w:checkBox>
          </w:ffData>
        </w:fldChar>
      </w:r>
      <w:bookmarkStart w:id="89" w:name="Check34"/>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89"/>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Nepakito</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5"/>
            <w:enabled/>
            <w:calcOnExit w:val="0"/>
            <w:checkBox>
              <w:sizeAuto/>
              <w:default w:val="0"/>
            </w:checkBox>
          </w:ffData>
        </w:fldChar>
      </w:r>
      <w:bookmarkStart w:id="90" w:name="Check35"/>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0"/>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Pagrindinės priemonės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Text1"/>
            <w:enabled/>
            <w:calcOnExit w:val="0"/>
            <w:textInput/>
          </w:ffData>
        </w:fldChar>
      </w:r>
      <w:bookmarkStart w:id="91" w:name="Text1"/>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91"/>
    </w:p>
    <w:p w:rsidR="00BC03AF" w:rsidRPr="00BC03AF" w:rsidRDefault="00BC03AF" w:rsidP="00BC03AF">
      <w:pPr>
        <w:spacing w:line="360" w:lineRule="auto"/>
        <w:ind w:left="720"/>
        <w:contextualSpacing/>
        <w:rPr>
          <w:rFonts w:ascii="Times New Roman" w:eastAsia="Times New Roman" w:hAnsi="Times New Roman" w:cs="Times New Roman"/>
          <w:i/>
          <w:color w:val="auto"/>
          <w:lang w:eastAsia="en-US"/>
        </w:rPr>
      </w:pPr>
      <w:r w:rsidRPr="00BC03AF">
        <w:rPr>
          <w:rFonts w:ascii="Times New Roman" w:eastAsia="Times New Roman" w:hAnsi="Times New Roman" w:cs="Times New Roman"/>
          <w:i/>
          <w:color w:val="auto"/>
          <w:lang w:eastAsia="en-US"/>
        </w:rPr>
        <w:t>(įrašykite)</w:t>
      </w:r>
    </w:p>
    <w:p w:rsidR="00BC03AF" w:rsidRPr="00BC03AF" w:rsidRDefault="00BC03AF" w:rsidP="00BC03AF">
      <w:pPr>
        <w:spacing w:line="360" w:lineRule="auto"/>
        <w:ind w:left="720"/>
        <w:contextualSpacing/>
        <w:rPr>
          <w:rFonts w:ascii="Times New Roman" w:eastAsia="Times New Roman" w:hAnsi="Times New Roman" w:cs="Times New Roman"/>
          <w:b/>
          <w:color w:val="auto"/>
          <w:lang w:eastAsia="en-US"/>
        </w:rPr>
      </w:pP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Lietuvoje 11 lizingo įmonių priklauso Lietuvos bankų asociacijai. Realiai veikiančių yra daugiau. Ar, Jūsų nuomone, lizingo rinka Lietuvoje yra pilnai užpildyta? </w:t>
      </w:r>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Taip </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6"/>
            <w:enabled/>
            <w:calcOnExit w:val="0"/>
            <w:checkBox>
              <w:sizeAuto/>
              <w:default w:val="0"/>
            </w:checkBox>
          </w:ffData>
        </w:fldChar>
      </w:r>
      <w:bookmarkStart w:id="92" w:name="Check36"/>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2"/>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7"/>
            <w:enabled/>
            <w:calcOnExit w:val="0"/>
            <w:checkBox>
              <w:sizeAuto/>
              <w:default w:val="0"/>
            </w:checkBox>
          </w:ffData>
        </w:fldChar>
      </w:r>
      <w:bookmarkStart w:id="93" w:name="Check37"/>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3"/>
    </w:p>
    <w:p w:rsidR="00BC03AF" w:rsidRPr="00BC03AF" w:rsidRDefault="00BC03AF" w:rsidP="00BC03AF">
      <w:pPr>
        <w:spacing w:line="360" w:lineRule="auto"/>
        <w:ind w:left="360"/>
        <w:jc w:val="both"/>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Kokios, Jūsų nuomone, galimybės būtų naujai lizingo bendrovei įžengti į Lietuvos lizingo rinką? Ką ji turėtų pasiūlyti vartotojams norint joje įsitvirtinti?</w:t>
      </w:r>
    </w:p>
    <w:p w:rsidR="00BC03AF" w:rsidRPr="00BC03AF" w:rsidRDefault="00BC03AF" w:rsidP="00BC03AF">
      <w:pPr>
        <w:spacing w:line="360" w:lineRule="auto"/>
        <w:ind w:left="720"/>
        <w:contextualSpacing/>
        <w:jc w:val="both"/>
        <w:rPr>
          <w:rFonts w:ascii="Times New Roman" w:eastAsia="Times New Roman" w:hAnsi="Times New Roman" w:cs="Times New Roman"/>
          <w:color w:val="auto"/>
          <w:lang w:eastAsia="en-US"/>
        </w:rPr>
      </w:pPr>
    </w:p>
    <w:p w:rsidR="00BC03AF" w:rsidRPr="00BC03AF" w:rsidRDefault="00BC03AF" w:rsidP="00BC03AF">
      <w:pPr>
        <w:spacing w:line="360" w:lineRule="auto"/>
        <w:jc w:val="both"/>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lastRenderedPageBreak/>
        <w:t>Kokie, Jūsų nuomone, pagrindiniai sunkumai, su kuriais susiduria lizingo įmonės plėsdamos savo veiklą?</w:t>
      </w:r>
    </w:p>
    <w:p w:rsidR="00BC03AF" w:rsidRPr="00BC03AF" w:rsidRDefault="00BC03AF" w:rsidP="00BC03AF">
      <w:pPr>
        <w:spacing w:line="360" w:lineRule="auto"/>
        <w:ind w:left="720"/>
        <w:jc w:val="both"/>
        <w:rPr>
          <w:rFonts w:ascii="Times New Roman" w:eastAsia="Times New Roman" w:hAnsi="Times New Roman" w:cs="Times New Roman"/>
          <w:color w:val="auto"/>
          <w:lang w:eastAsia="en-US"/>
        </w:rPr>
      </w:pPr>
    </w:p>
    <w:p w:rsidR="00BC03AF" w:rsidRPr="00BC03AF" w:rsidRDefault="00BC03AF" w:rsidP="00BC03AF">
      <w:pPr>
        <w:spacing w:line="360" w:lineRule="auto"/>
        <w:jc w:val="both"/>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Ar planuojate, kad Jūsų įmonės lizingo portfelis kitais metais augs?</w:t>
      </w:r>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Tikrai taip</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8"/>
            <w:enabled/>
            <w:calcOnExit w:val="0"/>
            <w:checkBox>
              <w:sizeAuto/>
              <w:default w:val="0"/>
            </w:checkBox>
          </w:ffData>
        </w:fldChar>
      </w:r>
      <w:bookmarkStart w:id="94" w:name="Check38"/>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4"/>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Taip</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9"/>
            <w:enabled/>
            <w:calcOnExit w:val="0"/>
            <w:checkBox>
              <w:sizeAuto/>
              <w:default w:val="0"/>
            </w:checkBox>
          </w:ffData>
        </w:fldChar>
      </w:r>
      <w:bookmarkStart w:id="95" w:name="Check39"/>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5"/>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Nei taip nei ne</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40"/>
            <w:enabled/>
            <w:calcOnExit w:val="0"/>
            <w:checkBox>
              <w:sizeAuto/>
              <w:default w:val="0"/>
            </w:checkBox>
          </w:ffData>
        </w:fldChar>
      </w:r>
      <w:bookmarkStart w:id="96" w:name="Check40"/>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6"/>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Ne</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41"/>
            <w:enabled/>
            <w:calcOnExit w:val="0"/>
            <w:checkBox>
              <w:sizeAuto/>
              <w:default w:val="0"/>
            </w:checkBox>
          </w:ffData>
        </w:fldChar>
      </w:r>
      <w:bookmarkStart w:id="97" w:name="Check41"/>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7"/>
    </w:p>
    <w:p w:rsidR="00BC03AF" w:rsidRPr="00BC03AF" w:rsidRDefault="00BC03AF" w:rsidP="00BC03AF">
      <w:pPr>
        <w:spacing w:line="360" w:lineRule="auto"/>
        <w:ind w:firstLine="720"/>
        <w:jc w:val="both"/>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Tikrai ne</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42"/>
            <w:enabled/>
            <w:calcOnExit w:val="0"/>
            <w:checkBox>
              <w:sizeAuto/>
              <w:default w:val="0"/>
            </w:checkBox>
          </w:ffData>
        </w:fldChar>
      </w:r>
      <w:bookmarkStart w:id="98" w:name="Check42"/>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8"/>
    </w:p>
    <w:p w:rsidR="00BC03AF" w:rsidRPr="00BC03AF" w:rsidRDefault="00BC03AF" w:rsidP="00BC03AF">
      <w:pPr>
        <w:spacing w:line="360" w:lineRule="auto"/>
        <w:jc w:val="both"/>
        <w:rPr>
          <w:rFonts w:ascii="Times New Roman" w:eastAsia="Times New Roman" w:hAnsi="Times New Roman" w:cs="Times New Roman"/>
          <w:color w:val="auto"/>
          <w:lang w:eastAsia="en-US"/>
        </w:rPr>
      </w:pPr>
    </w:p>
    <w:p w:rsidR="00BC03AF" w:rsidRPr="00BC03AF" w:rsidRDefault="00BC03AF" w:rsidP="00BC03AF">
      <w:pPr>
        <w:spacing w:line="360" w:lineRule="auto"/>
        <w:jc w:val="center"/>
        <w:rPr>
          <w:rFonts w:ascii="Times New Roman" w:eastAsia="Times New Roman" w:hAnsi="Times New Roman" w:cs="Times New Roman"/>
          <w:b/>
          <w:color w:val="auto"/>
          <w:lang w:val="en-US" w:eastAsia="en-US"/>
        </w:rPr>
      </w:pPr>
      <w:r w:rsidRPr="00BC03AF">
        <w:rPr>
          <w:rFonts w:ascii="Times New Roman" w:eastAsia="Times New Roman" w:hAnsi="Times New Roman" w:cs="Times New Roman"/>
          <w:b/>
          <w:color w:val="auto"/>
          <w:lang w:val="en-US" w:eastAsia="en-US"/>
        </w:rPr>
        <w:t>BENDRA INFORMACIJA APIE EKSPERTĄ</w:t>
      </w:r>
    </w:p>
    <w:p w:rsidR="00BC03AF" w:rsidRPr="00BC03AF" w:rsidRDefault="00BC03AF" w:rsidP="00BC03AF">
      <w:pPr>
        <w:spacing w:line="360" w:lineRule="auto"/>
        <w:ind w:left="720"/>
        <w:contextualSpacing/>
        <w:jc w:val="center"/>
        <w:rPr>
          <w:rFonts w:ascii="Times New Roman" w:eastAsia="Times New Roman" w:hAnsi="Times New Roman" w:cs="Times New Roman"/>
          <w:color w:val="auto"/>
          <w:lang w:val="en-US" w:eastAsia="en-US"/>
        </w:rPr>
      </w:pPr>
    </w:p>
    <w:p w:rsidR="00BC03AF" w:rsidRPr="00BC03AF" w:rsidRDefault="00BC03AF" w:rsidP="00BC03AF">
      <w:pPr>
        <w:numPr>
          <w:ilvl w:val="0"/>
          <w:numId w:val="45"/>
        </w:numPr>
        <w:spacing w:line="360" w:lineRule="auto"/>
        <w:contextualSpacing/>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Jūsų išsilavinimas (pažymėkite </w:t>
      </w:r>
      <w:bookmarkStart w:id="99" w:name="Check6"/>
      <w:r w:rsidRPr="00BC03AF">
        <w:rPr>
          <w:rFonts w:ascii="Times New Roman" w:eastAsia="Times New Roman" w:hAnsi="Times New Roman" w:cs="Times New Roman"/>
          <w:color w:val="auto"/>
          <w:lang w:eastAsia="en-US"/>
        </w:rPr>
        <w:fldChar w:fldCharType="begin">
          <w:ffData>
            <w:name w:val="Check6"/>
            <w:enabled/>
            <w:calcOnExit w:val="0"/>
            <w:checkBox>
              <w:sizeAuto/>
              <w:default w:val="1"/>
            </w:checkBox>
          </w:ffData>
        </w:fldChar>
      </w:r>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99"/>
      <w:r w:rsidRPr="00BC03AF">
        <w:rPr>
          <w:rFonts w:ascii="Times New Roman" w:eastAsia="Times New Roman" w:hAnsi="Times New Roman" w:cs="Times New Roman"/>
          <w:color w:val="auto"/>
          <w:lang w:eastAsia="en-US"/>
        </w:rPr>
        <w:t>):</w:t>
      </w:r>
    </w:p>
    <w:p w:rsidR="00BC03AF" w:rsidRPr="00BC03AF" w:rsidRDefault="00BC03AF" w:rsidP="00BC03AF">
      <w:pPr>
        <w:spacing w:line="360" w:lineRule="auto"/>
        <w:ind w:left="360" w:firstLine="36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Vidurinis </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
            <w:enabled/>
            <w:calcOnExit w:val="0"/>
            <w:checkBox>
              <w:sizeAuto/>
              <w:default w:val="0"/>
              <w:checked w:val="0"/>
            </w:checkBox>
          </w:ffData>
        </w:fldChar>
      </w:r>
      <w:bookmarkStart w:id="100" w:name="Check1"/>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0"/>
    </w:p>
    <w:p w:rsidR="00BC03AF" w:rsidRPr="00BC03AF" w:rsidRDefault="00BC03AF" w:rsidP="00BC03AF">
      <w:pPr>
        <w:spacing w:line="360" w:lineRule="auto"/>
        <w:ind w:left="360" w:firstLine="36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Aukštesnysis </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2"/>
            <w:enabled/>
            <w:calcOnExit w:val="0"/>
            <w:checkBox>
              <w:sizeAuto/>
              <w:default w:val="0"/>
              <w:checked w:val="0"/>
            </w:checkBox>
          </w:ffData>
        </w:fldChar>
      </w:r>
      <w:bookmarkStart w:id="101" w:name="Check2"/>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1"/>
      <w:r w:rsidRPr="00BC03AF">
        <w:rPr>
          <w:rFonts w:ascii="Times New Roman" w:eastAsia="Times New Roman" w:hAnsi="Times New Roman" w:cs="Times New Roman"/>
          <w:color w:val="auto"/>
          <w:lang w:eastAsia="en-US"/>
        </w:rPr>
        <w:tab/>
      </w:r>
    </w:p>
    <w:p w:rsidR="00BC03AF" w:rsidRPr="00BC03AF" w:rsidRDefault="00BC03AF" w:rsidP="00BC03AF">
      <w:pPr>
        <w:spacing w:line="360" w:lineRule="auto"/>
        <w:ind w:left="360" w:firstLine="36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Aukštasis </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3"/>
            <w:enabled/>
            <w:calcOnExit w:val="0"/>
            <w:checkBox>
              <w:sizeAuto/>
              <w:default w:val="0"/>
            </w:checkBox>
          </w:ffData>
        </w:fldChar>
      </w:r>
      <w:bookmarkStart w:id="102" w:name="Check3"/>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2"/>
    </w:p>
    <w:p w:rsidR="00BC03AF" w:rsidRPr="00BC03AF" w:rsidRDefault="00BC03AF" w:rsidP="00BC03AF">
      <w:pPr>
        <w:spacing w:line="360" w:lineRule="auto"/>
        <w:ind w:left="360" w:firstLine="36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Magistras </w:t>
      </w:r>
      <w:r w:rsidRPr="00BC03AF">
        <w:rPr>
          <w:rFonts w:ascii="Times New Roman" w:eastAsia="Times New Roman" w:hAnsi="Times New Roman" w:cs="Times New Roman"/>
          <w:color w:val="auto"/>
          <w:lang w:eastAsia="en-US"/>
        </w:rPr>
        <w:tab/>
      </w:r>
      <w:bookmarkStart w:id="103" w:name="Check4"/>
      <w:r w:rsidRPr="00BC03AF">
        <w:rPr>
          <w:rFonts w:ascii="Times New Roman" w:eastAsia="Times New Roman" w:hAnsi="Times New Roman" w:cs="Times New Roman"/>
          <w:color w:val="auto"/>
          <w:lang w:eastAsia="en-US"/>
        </w:rPr>
        <w:fldChar w:fldCharType="begin">
          <w:ffData>
            <w:name w:val="Check4"/>
            <w:enabled/>
            <w:calcOnExit w:val="0"/>
            <w:checkBox>
              <w:sizeAuto/>
              <w:default w:val="0"/>
            </w:checkBox>
          </w:ffData>
        </w:fldChar>
      </w:r>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3"/>
      <w:r w:rsidRPr="00BC03AF">
        <w:rPr>
          <w:rFonts w:ascii="Times New Roman" w:eastAsia="Times New Roman" w:hAnsi="Times New Roman" w:cs="Times New Roman"/>
          <w:color w:val="auto"/>
          <w:lang w:eastAsia="en-US"/>
        </w:rPr>
        <w:tab/>
      </w:r>
    </w:p>
    <w:p w:rsidR="00BC03AF" w:rsidRPr="00BC03AF" w:rsidRDefault="00BC03AF" w:rsidP="00BC03AF">
      <w:pPr>
        <w:spacing w:line="360" w:lineRule="auto"/>
        <w:ind w:left="360" w:firstLine="36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Mokslų daktaras </w:t>
      </w:r>
      <w:r w:rsidRPr="00BC03AF">
        <w:rPr>
          <w:rFonts w:ascii="Times New Roman" w:eastAsia="Times New Roman" w:hAnsi="Times New Roman" w:cs="Times New Roman"/>
          <w:color w:val="auto"/>
          <w:lang w:eastAsia="en-US"/>
        </w:rPr>
        <w:tab/>
      </w:r>
      <w:bookmarkStart w:id="104" w:name="Check5"/>
      <w:r w:rsidRPr="00BC03AF">
        <w:rPr>
          <w:rFonts w:ascii="Times New Roman" w:eastAsia="Times New Roman" w:hAnsi="Times New Roman" w:cs="Times New Roman"/>
          <w:color w:val="auto"/>
          <w:lang w:eastAsia="en-US"/>
        </w:rPr>
        <w:fldChar w:fldCharType="begin">
          <w:ffData>
            <w:name w:val="Check5"/>
            <w:enabled/>
            <w:calcOnExit w:val="0"/>
            <w:checkBox>
              <w:sizeAuto/>
              <w:default w:val="0"/>
            </w:checkBox>
          </w:ffData>
        </w:fldChar>
      </w:r>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4"/>
    </w:p>
    <w:p w:rsidR="00BC03AF" w:rsidRPr="00BC03AF" w:rsidRDefault="00BC03AF" w:rsidP="00BC03AF">
      <w:pPr>
        <w:spacing w:line="360" w:lineRule="auto"/>
        <w:ind w:left="360"/>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Kiek metų dirbate lizingo srityje? </w:t>
      </w:r>
      <w:r w:rsidRPr="00BC03AF">
        <w:rPr>
          <w:rFonts w:ascii="Times New Roman" w:eastAsia="Times New Roman" w:hAnsi="Times New Roman" w:cs="Times New Roman"/>
          <w:color w:val="auto"/>
          <w:lang w:eastAsia="en-US"/>
        </w:rPr>
        <w:fldChar w:fldCharType="begin">
          <w:ffData>
            <w:name w:val="Text2"/>
            <w:enabled/>
            <w:calcOnExit w:val="0"/>
            <w:textInput/>
          </w:ffData>
        </w:fldChar>
      </w:r>
      <w:bookmarkStart w:id="105" w:name="Text2"/>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105"/>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i/>
          <w:color w:val="auto"/>
          <w:lang w:eastAsia="en-US"/>
        </w:rPr>
        <w:tab/>
      </w:r>
    </w:p>
    <w:p w:rsidR="00BC03AF" w:rsidRPr="00BC03AF" w:rsidRDefault="00BC03AF" w:rsidP="00BC03AF">
      <w:pPr>
        <w:spacing w:line="360" w:lineRule="auto"/>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 xml:space="preserve">Kiek žmonių dirba Jūsų įmonėje? </w:t>
      </w:r>
      <w:r w:rsidRPr="00BC03AF">
        <w:rPr>
          <w:rFonts w:ascii="Times New Roman" w:eastAsia="Times New Roman" w:hAnsi="Times New Roman" w:cs="Times New Roman"/>
          <w:color w:val="auto"/>
          <w:lang w:eastAsia="en-US"/>
        </w:rPr>
        <w:fldChar w:fldCharType="begin">
          <w:ffData>
            <w:name w:val="Text3"/>
            <w:enabled/>
            <w:calcOnExit w:val="0"/>
            <w:textInput/>
          </w:ffData>
        </w:fldChar>
      </w:r>
      <w:bookmarkStart w:id="106" w:name="Text3"/>
      <w:r w:rsidRPr="00BC03AF">
        <w:rPr>
          <w:rFonts w:ascii="Times New Roman" w:eastAsia="Times New Roman" w:hAnsi="Times New Roman" w:cs="Times New Roman"/>
          <w:color w:val="auto"/>
          <w:lang w:eastAsia="en-US"/>
        </w:rPr>
        <w:instrText xml:space="preserve"> FORMTEXT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separate"/>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noProof/>
          <w:color w:val="auto"/>
          <w:lang w:eastAsia="en-US"/>
        </w:rPr>
        <w:t> </w:t>
      </w:r>
      <w:r w:rsidRPr="00BC03AF">
        <w:rPr>
          <w:rFonts w:ascii="Times New Roman" w:eastAsia="Times New Roman" w:hAnsi="Times New Roman" w:cs="Times New Roman"/>
          <w:color w:val="auto"/>
          <w:lang w:eastAsia="en-US"/>
        </w:rPr>
        <w:fldChar w:fldCharType="end"/>
      </w:r>
      <w:bookmarkEnd w:id="106"/>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p>
    <w:p w:rsidR="00BC03AF" w:rsidRPr="00BC03AF" w:rsidRDefault="00BC03AF" w:rsidP="00BC03AF">
      <w:pPr>
        <w:spacing w:line="360" w:lineRule="auto"/>
        <w:ind w:left="720"/>
        <w:contextualSpacing/>
        <w:rPr>
          <w:rFonts w:ascii="Times New Roman" w:eastAsia="Times New Roman" w:hAnsi="Times New Roman" w:cs="Times New Roman"/>
          <w:color w:val="auto"/>
          <w:lang w:eastAsia="en-US"/>
        </w:rPr>
      </w:pPr>
    </w:p>
    <w:p w:rsidR="00BC03AF" w:rsidRPr="00BC03AF" w:rsidRDefault="00BC03AF" w:rsidP="00BC03AF">
      <w:pPr>
        <w:numPr>
          <w:ilvl w:val="0"/>
          <w:numId w:val="45"/>
        </w:numPr>
        <w:spacing w:line="360" w:lineRule="auto"/>
        <w:contextualSpacing/>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Kuris iš išvardintų punktų geriausiai apibūdina Jūsų poziciją įmonėje?</w:t>
      </w:r>
    </w:p>
    <w:p w:rsidR="00BC03AF" w:rsidRPr="00BC03AF" w:rsidRDefault="00BC03AF" w:rsidP="00BC03AF">
      <w:pPr>
        <w:spacing w:line="360" w:lineRule="auto"/>
        <w:ind w:firstLine="72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Generalinis direktorius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7"/>
            <w:enabled/>
            <w:calcOnExit w:val="0"/>
            <w:checkBox>
              <w:sizeAuto/>
              <w:default w:val="0"/>
            </w:checkBox>
          </w:ffData>
        </w:fldChar>
      </w:r>
      <w:bookmarkStart w:id="107" w:name="Check7"/>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7"/>
    </w:p>
    <w:p w:rsidR="00BC03AF" w:rsidRPr="00BC03AF" w:rsidRDefault="00BC03AF" w:rsidP="00BC03AF">
      <w:pPr>
        <w:spacing w:line="360" w:lineRule="auto"/>
        <w:ind w:firstLine="72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Padalinio vadovas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8"/>
            <w:enabled/>
            <w:calcOnExit w:val="0"/>
            <w:checkBox>
              <w:sizeAuto/>
              <w:default w:val="0"/>
            </w:checkBox>
          </w:ffData>
        </w:fldChar>
      </w:r>
      <w:bookmarkStart w:id="108" w:name="Check8"/>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8"/>
    </w:p>
    <w:p w:rsidR="00BC03AF" w:rsidRPr="00BC03AF" w:rsidRDefault="00BC03AF" w:rsidP="00BC03AF">
      <w:pPr>
        <w:spacing w:line="360" w:lineRule="auto"/>
        <w:ind w:firstLine="72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Projektų vadovas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9"/>
            <w:enabled/>
            <w:calcOnExit w:val="0"/>
            <w:checkBox>
              <w:sizeAuto/>
              <w:default w:val="0"/>
            </w:checkBox>
          </w:ffData>
        </w:fldChar>
      </w:r>
      <w:bookmarkStart w:id="109" w:name="Check9"/>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09"/>
    </w:p>
    <w:p w:rsidR="00BC03AF" w:rsidRPr="00BC03AF" w:rsidRDefault="00BC03AF" w:rsidP="00BC03AF">
      <w:pPr>
        <w:spacing w:line="360" w:lineRule="auto"/>
        <w:ind w:firstLine="720"/>
        <w:rPr>
          <w:rFonts w:ascii="Times New Roman" w:eastAsia="Times New Roman" w:hAnsi="Times New Roman" w:cs="Times New Roman"/>
          <w:color w:val="auto"/>
          <w:lang w:eastAsia="en-US"/>
        </w:rPr>
      </w:pPr>
      <w:r w:rsidRPr="00BC03AF">
        <w:rPr>
          <w:rFonts w:ascii="Times New Roman" w:eastAsia="Times New Roman" w:hAnsi="Times New Roman" w:cs="Times New Roman"/>
          <w:color w:val="auto"/>
          <w:lang w:eastAsia="en-US"/>
        </w:rPr>
        <w:t>Vadybininkas</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color w:val="auto"/>
          <w:lang w:eastAsia="en-US"/>
        </w:rPr>
        <w:fldChar w:fldCharType="begin">
          <w:ffData>
            <w:name w:val="Check10"/>
            <w:enabled/>
            <w:calcOnExit w:val="0"/>
            <w:checkBox>
              <w:sizeAuto/>
              <w:default w:val="0"/>
            </w:checkBox>
          </w:ffData>
        </w:fldChar>
      </w:r>
      <w:bookmarkStart w:id="110" w:name="Check10"/>
      <w:r w:rsidRPr="00BC03AF">
        <w:rPr>
          <w:rFonts w:ascii="Times New Roman" w:eastAsia="Times New Roman" w:hAnsi="Times New Roman" w:cs="Times New Roman"/>
          <w:color w:val="auto"/>
          <w:lang w:eastAsia="en-US"/>
        </w:rPr>
        <w:instrText xml:space="preserve"> FORMCHECKBOX </w:instrText>
      </w:r>
      <w:r w:rsidRPr="00BC03AF">
        <w:rPr>
          <w:rFonts w:ascii="Times New Roman" w:eastAsia="Times New Roman" w:hAnsi="Times New Roman" w:cs="Times New Roman"/>
          <w:color w:val="auto"/>
          <w:lang w:eastAsia="en-US"/>
        </w:rPr>
      </w:r>
      <w:r w:rsidRPr="00BC03AF">
        <w:rPr>
          <w:rFonts w:ascii="Times New Roman" w:eastAsia="Times New Roman" w:hAnsi="Times New Roman" w:cs="Times New Roman"/>
          <w:color w:val="auto"/>
          <w:lang w:eastAsia="en-US"/>
        </w:rPr>
        <w:fldChar w:fldCharType="end"/>
      </w:r>
      <w:bookmarkEnd w:id="110"/>
    </w:p>
    <w:p w:rsidR="00BC03AF" w:rsidRPr="00BC03AF" w:rsidRDefault="00BC03AF" w:rsidP="00BC03AF">
      <w:pPr>
        <w:spacing w:line="360" w:lineRule="auto"/>
        <w:ind w:firstLine="720"/>
        <w:rPr>
          <w:rFonts w:ascii="Times New Roman" w:eastAsia="Times New Roman" w:hAnsi="Times New Roman" w:cs="Times New Roman"/>
          <w:i/>
          <w:color w:val="auto"/>
          <w:lang w:eastAsia="en-US"/>
        </w:rPr>
      </w:pPr>
      <w:r w:rsidRPr="00BC03AF">
        <w:rPr>
          <w:rFonts w:ascii="Times New Roman" w:eastAsia="Times New Roman" w:hAnsi="Times New Roman" w:cs="Times New Roman"/>
          <w:color w:val="auto"/>
          <w:lang w:eastAsia="en-US"/>
        </w:rPr>
        <w:t>Kita</w:t>
      </w:r>
      <w:r w:rsidRPr="00BC03AF">
        <w:rPr>
          <w:rFonts w:ascii="Times New Roman" w:eastAsia="Times New Roman" w:hAnsi="Times New Roman" w:cs="Times New Roman"/>
          <w:color w:val="auto"/>
          <w:lang w:eastAsia="en-US"/>
        </w:rPr>
        <w:tab/>
      </w:r>
      <w:r w:rsidRPr="00BC03AF">
        <w:rPr>
          <w:rFonts w:ascii="Times New Roman" w:eastAsia="Times New Roman" w:hAnsi="Times New Roman" w:cs="Times New Roman"/>
          <w:i/>
          <w:color w:val="auto"/>
          <w:lang w:eastAsia="en-US"/>
        </w:rPr>
        <w:tab/>
      </w:r>
      <w:r w:rsidRPr="00BC03AF">
        <w:rPr>
          <w:rFonts w:ascii="Times New Roman" w:eastAsia="Times New Roman" w:hAnsi="Times New Roman" w:cs="Times New Roman"/>
          <w:i/>
          <w:color w:val="auto"/>
          <w:lang w:eastAsia="en-US"/>
        </w:rPr>
        <w:tab/>
      </w:r>
      <w:r w:rsidRPr="00BC03AF">
        <w:rPr>
          <w:rFonts w:ascii="Times New Roman" w:eastAsia="Times New Roman" w:hAnsi="Times New Roman" w:cs="Times New Roman"/>
          <w:i/>
          <w:color w:val="auto"/>
          <w:lang w:eastAsia="en-US"/>
        </w:rPr>
        <w:fldChar w:fldCharType="begin">
          <w:ffData>
            <w:name w:val="Check11"/>
            <w:enabled/>
            <w:calcOnExit w:val="0"/>
            <w:checkBox>
              <w:sizeAuto/>
              <w:default w:val="0"/>
            </w:checkBox>
          </w:ffData>
        </w:fldChar>
      </w:r>
      <w:bookmarkStart w:id="111" w:name="Check11"/>
      <w:r w:rsidRPr="00BC03AF">
        <w:rPr>
          <w:rFonts w:ascii="Times New Roman" w:eastAsia="Times New Roman" w:hAnsi="Times New Roman" w:cs="Times New Roman"/>
          <w:i/>
          <w:color w:val="auto"/>
          <w:lang w:eastAsia="en-US"/>
        </w:rPr>
        <w:instrText xml:space="preserve"> FORMCHECKBOX </w:instrText>
      </w:r>
      <w:r w:rsidRPr="00BC03AF">
        <w:rPr>
          <w:rFonts w:ascii="Times New Roman" w:eastAsia="Times New Roman" w:hAnsi="Times New Roman" w:cs="Times New Roman"/>
          <w:i/>
          <w:color w:val="auto"/>
          <w:lang w:eastAsia="en-US"/>
        </w:rPr>
      </w:r>
      <w:r w:rsidRPr="00BC03AF">
        <w:rPr>
          <w:rFonts w:ascii="Times New Roman" w:eastAsia="Times New Roman" w:hAnsi="Times New Roman" w:cs="Times New Roman"/>
          <w:i/>
          <w:color w:val="auto"/>
          <w:lang w:eastAsia="en-US"/>
        </w:rPr>
        <w:fldChar w:fldCharType="end"/>
      </w:r>
      <w:bookmarkEnd w:id="111"/>
    </w:p>
    <w:p w:rsidR="00BC03AF" w:rsidRPr="00BC03AF" w:rsidRDefault="00BC03AF" w:rsidP="00BC03AF">
      <w:pPr>
        <w:spacing w:line="360" w:lineRule="auto"/>
        <w:ind w:firstLine="720"/>
        <w:rPr>
          <w:rFonts w:ascii="Times New Roman" w:eastAsia="Times New Roman" w:hAnsi="Times New Roman" w:cs="Times New Roman"/>
          <w:color w:val="auto"/>
          <w:lang w:eastAsia="en-US"/>
        </w:rPr>
      </w:pPr>
      <w:r w:rsidRPr="00BC03AF">
        <w:rPr>
          <w:rFonts w:ascii="Times New Roman" w:eastAsia="Times New Roman" w:hAnsi="Times New Roman" w:cs="Times New Roman"/>
          <w:i/>
          <w:color w:val="auto"/>
          <w:lang w:eastAsia="en-US"/>
        </w:rPr>
        <w:t>(įrašykite)</w:t>
      </w:r>
    </w:p>
    <w:p w:rsidR="00BC03AF" w:rsidRPr="00BC03AF" w:rsidRDefault="00BC03AF" w:rsidP="00BC03AF">
      <w:pPr>
        <w:spacing w:line="360" w:lineRule="auto"/>
        <w:jc w:val="both"/>
        <w:rPr>
          <w:rFonts w:ascii="Times New Roman" w:eastAsia="Times New Roman" w:hAnsi="Times New Roman" w:cs="Times New Roman"/>
          <w:color w:val="auto"/>
          <w:lang w:eastAsia="en-US"/>
        </w:rPr>
      </w:pPr>
    </w:p>
    <w:p w:rsidR="00BC03AF" w:rsidRPr="00BC03AF" w:rsidRDefault="00BC03AF" w:rsidP="00BC03AF">
      <w:pPr>
        <w:spacing w:line="360" w:lineRule="auto"/>
        <w:jc w:val="both"/>
        <w:rPr>
          <w:rFonts w:ascii="Times New Roman" w:eastAsia="Times New Roman" w:hAnsi="Times New Roman" w:cs="Times New Roman"/>
          <w:color w:val="auto"/>
          <w:lang w:eastAsia="en-US"/>
        </w:rPr>
      </w:pPr>
    </w:p>
    <w:p w:rsidR="00BC03AF" w:rsidRPr="00BC03AF" w:rsidRDefault="00BC03AF" w:rsidP="00BC03AF">
      <w:pPr>
        <w:spacing w:line="360" w:lineRule="auto"/>
        <w:jc w:val="both"/>
        <w:rPr>
          <w:rFonts w:ascii="Times New Roman" w:eastAsia="Times New Roman" w:hAnsi="Times New Roman" w:cs="Times New Roman"/>
          <w:i/>
          <w:color w:val="auto"/>
          <w:lang w:eastAsia="en-US"/>
        </w:rPr>
      </w:pPr>
      <w:r w:rsidRPr="00BC03AF">
        <w:rPr>
          <w:rFonts w:ascii="Times New Roman" w:eastAsia="Times New Roman" w:hAnsi="Times New Roman" w:cs="Times New Roman"/>
          <w:i/>
          <w:color w:val="auto"/>
          <w:lang w:eastAsia="en-US"/>
        </w:rPr>
        <w:t>Ačiū už sugaištą laiką ir pateiktus atsakymus</w:t>
      </w:r>
    </w:p>
    <w:p w:rsidR="00BC03AF" w:rsidRPr="00BC03AF" w:rsidRDefault="00BC03AF" w:rsidP="00BC03AF">
      <w:pPr>
        <w:tabs>
          <w:tab w:val="left" w:pos="567"/>
        </w:tabs>
        <w:spacing w:line="360" w:lineRule="auto"/>
        <w:rPr>
          <w:rFonts w:ascii="Times New Roman" w:hAnsi="Times New Roman" w:cs="Times New Roman"/>
          <w:b/>
        </w:rPr>
      </w:pPr>
    </w:p>
    <w:sectPr w:rsidR="00BC03AF" w:rsidRPr="00BC03AF" w:rsidSect="00A4548B">
      <w:pgSz w:w="11906" w:h="16838"/>
      <w:pgMar w:top="1134" w:right="567" w:bottom="1134" w:left="1418"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141" w:rsidRDefault="00E07141">
      <w:r>
        <w:separator/>
      </w:r>
    </w:p>
  </w:endnote>
  <w:endnote w:type="continuationSeparator" w:id="0">
    <w:p w:rsidR="00E07141" w:rsidRDefault="00E071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mbria Math">
    <w:panose1 w:val="02040503050406030204"/>
    <w:charset w:val="BA"/>
    <w:family w:val="roman"/>
    <w:pitch w:val="variable"/>
    <w:sig w:usb0="E00002FF" w:usb1="420024FF" w:usb2="00000000" w:usb3="00000000" w:csb0="0000019F" w:csb1="00000000"/>
  </w:font>
  <w:font w:name="Arial">
    <w:panose1 w:val="020B0604020202020204"/>
    <w:charset w:val="BA"/>
    <w:family w:val="swiss"/>
    <w:pitch w:val="variable"/>
    <w:sig w:usb0="E0002AFF" w:usb1="C0007843" w:usb2="00000009" w:usb3="00000000" w:csb0="000001FF" w:csb1="00000000"/>
  </w:font>
  <w:font w:name="+mn-ea">
    <w:altName w:val="Times New Roman"/>
    <w:panose1 w:val="00000000000000000000"/>
    <w:charset w:val="00"/>
    <w:family w:val="roman"/>
    <w:notTrueType/>
    <w:pitch w:val="default"/>
  </w:font>
  <w:font w:name="+mn-cs">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99D" w:rsidRDefault="0041099D" w:rsidP="008722BE">
    <w:pPr>
      <w:pStyle w:val="Footer"/>
      <w:framePr w:wrap="around" w:vAnchor="text" w:hAnchor="margin" w:xAlign="right" w:y="1"/>
      <w:rPr>
        <w:rStyle w:val="PageNumber"/>
      </w:rPr>
    </w:pPr>
  </w:p>
  <w:p w:rsidR="0041099D" w:rsidRDefault="0041099D" w:rsidP="008722B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99D" w:rsidRPr="00457301" w:rsidRDefault="0041099D" w:rsidP="008722BE">
    <w:pPr>
      <w:pStyle w:val="Footer"/>
      <w:ind w:right="360"/>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141" w:rsidRDefault="00E07141">
      <w:r>
        <w:separator/>
      </w:r>
    </w:p>
  </w:footnote>
  <w:footnote w:type="continuationSeparator" w:id="0">
    <w:p w:rsidR="00E07141" w:rsidRDefault="00E071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372882"/>
      <w:docPartObj>
        <w:docPartGallery w:val="Page Numbers (Top of Page)"/>
        <w:docPartUnique/>
      </w:docPartObj>
    </w:sdtPr>
    <w:sdtEndPr>
      <w:rPr>
        <w:noProof/>
      </w:rPr>
    </w:sdtEndPr>
    <w:sdtContent>
      <w:p w:rsidR="0041099D" w:rsidRDefault="0041099D">
        <w:pPr>
          <w:pStyle w:val="Header"/>
          <w:jc w:val="center"/>
        </w:pPr>
        <w:r w:rsidRPr="00E73EBB">
          <w:rPr>
            <w:rFonts w:ascii="Times New Roman" w:hAnsi="Times New Roman" w:cs="Times New Roman"/>
          </w:rPr>
          <w:fldChar w:fldCharType="begin"/>
        </w:r>
        <w:r w:rsidRPr="00E73EBB">
          <w:rPr>
            <w:rFonts w:ascii="Times New Roman" w:hAnsi="Times New Roman" w:cs="Times New Roman"/>
          </w:rPr>
          <w:instrText xml:space="preserve"> PAGE   \* MERGEFORMAT </w:instrText>
        </w:r>
        <w:r w:rsidRPr="00E73EBB">
          <w:rPr>
            <w:rFonts w:ascii="Times New Roman" w:hAnsi="Times New Roman" w:cs="Times New Roman"/>
          </w:rPr>
          <w:fldChar w:fldCharType="separate"/>
        </w:r>
        <w:r w:rsidR="000F1E7F">
          <w:rPr>
            <w:rFonts w:ascii="Times New Roman" w:hAnsi="Times New Roman" w:cs="Times New Roman"/>
            <w:noProof/>
          </w:rPr>
          <w:t>84</w:t>
        </w:r>
        <w:r w:rsidRPr="00E73EBB">
          <w:rPr>
            <w:rFonts w:ascii="Times New Roman" w:hAnsi="Times New Roman" w:cs="Times New Roman"/>
            <w:noProof/>
          </w:rPr>
          <w:fldChar w:fldCharType="end"/>
        </w:r>
      </w:p>
    </w:sdtContent>
  </w:sdt>
  <w:p w:rsidR="0041099D" w:rsidRDefault="0041099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99D" w:rsidRDefault="0041099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41422"/>
    <w:multiLevelType w:val="multilevel"/>
    <w:tmpl w:val="3E56E3BA"/>
    <w:lvl w:ilvl="0">
      <w:start w:val="1"/>
      <w:numFmt w:val="decimal"/>
      <w:pStyle w:val="Heading1"/>
      <w:lvlText w:val="%1."/>
      <w:lvlJc w:val="left"/>
      <w:pPr>
        <w:ind w:left="502" w:hanging="360"/>
      </w:pPr>
      <w:rPr>
        <w:rFonts w:hint="default"/>
        <w:color w:val="auto"/>
      </w:rPr>
    </w:lvl>
    <w:lvl w:ilvl="1">
      <w:start w:val="1"/>
      <w:numFmt w:val="decimal"/>
      <w:pStyle w:val="Heading2"/>
      <w:isLgl/>
      <w:lvlText w:val="%1.%2."/>
      <w:lvlJc w:val="left"/>
      <w:pPr>
        <w:ind w:left="1080" w:hanging="720"/>
      </w:pPr>
      <w:rPr>
        <w:rFonts w:eastAsiaTheme="majorEastAsia" w:hint="default"/>
        <w:color w:val="auto"/>
      </w:rPr>
    </w:lvl>
    <w:lvl w:ilvl="2">
      <w:start w:val="1"/>
      <w:numFmt w:val="decimal"/>
      <w:isLgl/>
      <w:lvlText w:val="%1.%2.%3."/>
      <w:lvlJc w:val="left"/>
      <w:pPr>
        <w:ind w:left="1080" w:hanging="720"/>
      </w:pPr>
      <w:rPr>
        <w:rFonts w:eastAsiaTheme="majorEastAsia" w:hint="default"/>
        <w:color w:val="auto"/>
      </w:rPr>
    </w:lvl>
    <w:lvl w:ilvl="3">
      <w:start w:val="1"/>
      <w:numFmt w:val="decimal"/>
      <w:isLgl/>
      <w:lvlText w:val="%1.%2.%3.%4."/>
      <w:lvlJc w:val="left"/>
      <w:pPr>
        <w:ind w:left="1440" w:hanging="1080"/>
      </w:pPr>
      <w:rPr>
        <w:rFonts w:eastAsiaTheme="majorEastAsia" w:hint="default"/>
        <w:color w:val="auto"/>
      </w:rPr>
    </w:lvl>
    <w:lvl w:ilvl="4">
      <w:start w:val="1"/>
      <w:numFmt w:val="decimal"/>
      <w:isLgl/>
      <w:lvlText w:val="%1.%2.%3.%4.%5."/>
      <w:lvlJc w:val="left"/>
      <w:pPr>
        <w:ind w:left="1440" w:hanging="1080"/>
      </w:pPr>
      <w:rPr>
        <w:rFonts w:eastAsiaTheme="majorEastAsia" w:hint="default"/>
        <w:color w:val="auto"/>
      </w:rPr>
    </w:lvl>
    <w:lvl w:ilvl="5">
      <w:start w:val="1"/>
      <w:numFmt w:val="decimal"/>
      <w:isLgl/>
      <w:lvlText w:val="%1.%2.%3.%4.%5.%6."/>
      <w:lvlJc w:val="left"/>
      <w:pPr>
        <w:ind w:left="1800" w:hanging="1440"/>
      </w:pPr>
      <w:rPr>
        <w:rFonts w:eastAsiaTheme="majorEastAsia" w:hint="default"/>
        <w:color w:val="auto"/>
      </w:rPr>
    </w:lvl>
    <w:lvl w:ilvl="6">
      <w:start w:val="1"/>
      <w:numFmt w:val="decimal"/>
      <w:isLgl/>
      <w:lvlText w:val="%1.%2.%3.%4.%5.%6.%7."/>
      <w:lvlJc w:val="left"/>
      <w:pPr>
        <w:ind w:left="2160" w:hanging="1800"/>
      </w:pPr>
      <w:rPr>
        <w:rFonts w:eastAsiaTheme="majorEastAsia" w:hint="default"/>
        <w:color w:val="auto"/>
      </w:rPr>
    </w:lvl>
    <w:lvl w:ilvl="7">
      <w:start w:val="1"/>
      <w:numFmt w:val="decimal"/>
      <w:isLgl/>
      <w:lvlText w:val="%1.%2.%3.%4.%5.%6.%7.%8."/>
      <w:lvlJc w:val="left"/>
      <w:pPr>
        <w:ind w:left="2160" w:hanging="1800"/>
      </w:pPr>
      <w:rPr>
        <w:rFonts w:eastAsiaTheme="majorEastAsia" w:hint="default"/>
        <w:color w:val="auto"/>
      </w:rPr>
    </w:lvl>
    <w:lvl w:ilvl="8">
      <w:start w:val="1"/>
      <w:numFmt w:val="decimal"/>
      <w:isLgl/>
      <w:lvlText w:val="%1.%2.%3.%4.%5.%6.%7.%8.%9."/>
      <w:lvlJc w:val="left"/>
      <w:pPr>
        <w:ind w:left="2520" w:hanging="2160"/>
      </w:pPr>
      <w:rPr>
        <w:rFonts w:eastAsiaTheme="majorEastAsia" w:hint="default"/>
        <w:color w:val="auto"/>
      </w:rPr>
    </w:lvl>
  </w:abstractNum>
  <w:abstractNum w:abstractNumId="1">
    <w:nsid w:val="07CD6983"/>
    <w:multiLevelType w:val="hybridMultilevel"/>
    <w:tmpl w:val="917A76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8567B27"/>
    <w:multiLevelType w:val="hybridMultilevel"/>
    <w:tmpl w:val="5E008E8A"/>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A9814F8"/>
    <w:multiLevelType w:val="hybridMultilevel"/>
    <w:tmpl w:val="3F18DB0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4">
    <w:nsid w:val="0CF96C83"/>
    <w:multiLevelType w:val="hybridMultilevel"/>
    <w:tmpl w:val="A0FA422A"/>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0D19172F"/>
    <w:multiLevelType w:val="hybridMultilevel"/>
    <w:tmpl w:val="2812BD68"/>
    <w:lvl w:ilvl="0" w:tplc="55C61234">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1953EF1"/>
    <w:multiLevelType w:val="hybridMultilevel"/>
    <w:tmpl w:val="917A76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136F5001"/>
    <w:multiLevelType w:val="hybridMultilevel"/>
    <w:tmpl w:val="43B841CC"/>
    <w:lvl w:ilvl="0" w:tplc="04270001">
      <w:start w:val="1"/>
      <w:numFmt w:val="bullet"/>
      <w:lvlText w:val=""/>
      <w:lvlJc w:val="left"/>
      <w:pPr>
        <w:ind w:left="780" w:hanging="360"/>
      </w:pPr>
      <w:rPr>
        <w:rFonts w:ascii="Symbol" w:hAnsi="Symbol" w:hint="default"/>
      </w:rPr>
    </w:lvl>
    <w:lvl w:ilvl="1" w:tplc="04270003">
      <w:start w:val="1"/>
      <w:numFmt w:val="bullet"/>
      <w:lvlText w:val="o"/>
      <w:lvlJc w:val="left"/>
      <w:pPr>
        <w:ind w:left="1500" w:hanging="360"/>
      </w:pPr>
      <w:rPr>
        <w:rFonts w:ascii="Courier New" w:hAnsi="Courier New" w:cs="Courier New" w:hint="default"/>
      </w:rPr>
    </w:lvl>
    <w:lvl w:ilvl="2" w:tplc="04270005" w:tentative="1">
      <w:start w:val="1"/>
      <w:numFmt w:val="bullet"/>
      <w:lvlText w:val=""/>
      <w:lvlJc w:val="left"/>
      <w:pPr>
        <w:ind w:left="2220" w:hanging="360"/>
      </w:pPr>
      <w:rPr>
        <w:rFonts w:ascii="Wingdings" w:hAnsi="Wingdings" w:hint="default"/>
      </w:rPr>
    </w:lvl>
    <w:lvl w:ilvl="3" w:tplc="04270001" w:tentative="1">
      <w:start w:val="1"/>
      <w:numFmt w:val="bullet"/>
      <w:lvlText w:val=""/>
      <w:lvlJc w:val="left"/>
      <w:pPr>
        <w:ind w:left="2940" w:hanging="360"/>
      </w:pPr>
      <w:rPr>
        <w:rFonts w:ascii="Symbol" w:hAnsi="Symbol" w:hint="default"/>
      </w:rPr>
    </w:lvl>
    <w:lvl w:ilvl="4" w:tplc="04270003" w:tentative="1">
      <w:start w:val="1"/>
      <w:numFmt w:val="bullet"/>
      <w:lvlText w:val="o"/>
      <w:lvlJc w:val="left"/>
      <w:pPr>
        <w:ind w:left="3660" w:hanging="360"/>
      </w:pPr>
      <w:rPr>
        <w:rFonts w:ascii="Courier New" w:hAnsi="Courier New" w:cs="Courier New" w:hint="default"/>
      </w:rPr>
    </w:lvl>
    <w:lvl w:ilvl="5" w:tplc="04270005" w:tentative="1">
      <w:start w:val="1"/>
      <w:numFmt w:val="bullet"/>
      <w:lvlText w:val=""/>
      <w:lvlJc w:val="left"/>
      <w:pPr>
        <w:ind w:left="4380" w:hanging="360"/>
      </w:pPr>
      <w:rPr>
        <w:rFonts w:ascii="Wingdings" w:hAnsi="Wingdings" w:hint="default"/>
      </w:rPr>
    </w:lvl>
    <w:lvl w:ilvl="6" w:tplc="04270001" w:tentative="1">
      <w:start w:val="1"/>
      <w:numFmt w:val="bullet"/>
      <w:lvlText w:val=""/>
      <w:lvlJc w:val="left"/>
      <w:pPr>
        <w:ind w:left="5100" w:hanging="360"/>
      </w:pPr>
      <w:rPr>
        <w:rFonts w:ascii="Symbol" w:hAnsi="Symbol" w:hint="default"/>
      </w:rPr>
    </w:lvl>
    <w:lvl w:ilvl="7" w:tplc="04270003" w:tentative="1">
      <w:start w:val="1"/>
      <w:numFmt w:val="bullet"/>
      <w:lvlText w:val="o"/>
      <w:lvlJc w:val="left"/>
      <w:pPr>
        <w:ind w:left="5820" w:hanging="360"/>
      </w:pPr>
      <w:rPr>
        <w:rFonts w:ascii="Courier New" w:hAnsi="Courier New" w:cs="Courier New" w:hint="default"/>
      </w:rPr>
    </w:lvl>
    <w:lvl w:ilvl="8" w:tplc="04270005" w:tentative="1">
      <w:start w:val="1"/>
      <w:numFmt w:val="bullet"/>
      <w:lvlText w:val=""/>
      <w:lvlJc w:val="left"/>
      <w:pPr>
        <w:ind w:left="6540" w:hanging="360"/>
      </w:pPr>
      <w:rPr>
        <w:rFonts w:ascii="Wingdings" w:hAnsi="Wingdings" w:hint="default"/>
      </w:rPr>
    </w:lvl>
  </w:abstractNum>
  <w:abstractNum w:abstractNumId="8">
    <w:nsid w:val="18082F6C"/>
    <w:multiLevelType w:val="hybridMultilevel"/>
    <w:tmpl w:val="5586758C"/>
    <w:lvl w:ilvl="0" w:tplc="99EA50C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9">
    <w:nsid w:val="1A2A7236"/>
    <w:multiLevelType w:val="hybridMultilevel"/>
    <w:tmpl w:val="857699C0"/>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27C1630E"/>
    <w:multiLevelType w:val="hybridMultilevel"/>
    <w:tmpl w:val="25244272"/>
    <w:lvl w:ilvl="0" w:tplc="3FAC029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2919672F"/>
    <w:multiLevelType w:val="hybridMultilevel"/>
    <w:tmpl w:val="5E008E8A"/>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D5C55BC"/>
    <w:multiLevelType w:val="hybridMultilevel"/>
    <w:tmpl w:val="9B22CFCE"/>
    <w:lvl w:ilvl="0" w:tplc="04270001">
      <w:start w:val="1"/>
      <w:numFmt w:val="bullet"/>
      <w:lvlText w:val=""/>
      <w:lvlJc w:val="left"/>
      <w:pPr>
        <w:ind w:left="1287" w:hanging="360"/>
      </w:pPr>
      <w:rPr>
        <w:rFonts w:ascii="Symbol" w:hAnsi="Symbol" w:hint="default"/>
      </w:rPr>
    </w:lvl>
    <w:lvl w:ilvl="1" w:tplc="04270003">
      <w:start w:val="1"/>
      <w:numFmt w:val="bullet"/>
      <w:lvlText w:val="o"/>
      <w:lvlJc w:val="left"/>
      <w:pPr>
        <w:ind w:left="2007" w:hanging="360"/>
      </w:pPr>
      <w:rPr>
        <w:rFonts w:ascii="Courier New" w:hAnsi="Courier New" w:cs="Courier New" w:hint="default"/>
      </w:rPr>
    </w:lvl>
    <w:lvl w:ilvl="2" w:tplc="04270005">
      <w:start w:val="1"/>
      <w:numFmt w:val="bullet"/>
      <w:lvlText w:val=""/>
      <w:lvlJc w:val="left"/>
      <w:pPr>
        <w:ind w:left="2727" w:hanging="360"/>
      </w:pPr>
      <w:rPr>
        <w:rFonts w:ascii="Wingdings" w:hAnsi="Wingdings" w:hint="default"/>
      </w:rPr>
    </w:lvl>
    <w:lvl w:ilvl="3" w:tplc="04270001">
      <w:start w:val="1"/>
      <w:numFmt w:val="bullet"/>
      <w:lvlText w:val=""/>
      <w:lvlJc w:val="left"/>
      <w:pPr>
        <w:ind w:left="3447" w:hanging="360"/>
      </w:pPr>
      <w:rPr>
        <w:rFonts w:ascii="Symbol" w:hAnsi="Symbol" w:hint="default"/>
      </w:rPr>
    </w:lvl>
    <w:lvl w:ilvl="4" w:tplc="04270003">
      <w:start w:val="1"/>
      <w:numFmt w:val="bullet"/>
      <w:lvlText w:val="o"/>
      <w:lvlJc w:val="left"/>
      <w:pPr>
        <w:ind w:left="4167" w:hanging="360"/>
      </w:pPr>
      <w:rPr>
        <w:rFonts w:ascii="Courier New" w:hAnsi="Courier New" w:cs="Courier New" w:hint="default"/>
      </w:rPr>
    </w:lvl>
    <w:lvl w:ilvl="5" w:tplc="04270005">
      <w:start w:val="1"/>
      <w:numFmt w:val="bullet"/>
      <w:lvlText w:val=""/>
      <w:lvlJc w:val="left"/>
      <w:pPr>
        <w:ind w:left="4887" w:hanging="360"/>
      </w:pPr>
      <w:rPr>
        <w:rFonts w:ascii="Wingdings" w:hAnsi="Wingdings" w:hint="default"/>
      </w:rPr>
    </w:lvl>
    <w:lvl w:ilvl="6" w:tplc="04270001">
      <w:start w:val="1"/>
      <w:numFmt w:val="bullet"/>
      <w:lvlText w:val=""/>
      <w:lvlJc w:val="left"/>
      <w:pPr>
        <w:ind w:left="5607" w:hanging="360"/>
      </w:pPr>
      <w:rPr>
        <w:rFonts w:ascii="Symbol" w:hAnsi="Symbol" w:hint="default"/>
      </w:rPr>
    </w:lvl>
    <w:lvl w:ilvl="7" w:tplc="04270003">
      <w:start w:val="1"/>
      <w:numFmt w:val="bullet"/>
      <w:lvlText w:val="o"/>
      <w:lvlJc w:val="left"/>
      <w:pPr>
        <w:ind w:left="6327" w:hanging="360"/>
      </w:pPr>
      <w:rPr>
        <w:rFonts w:ascii="Courier New" w:hAnsi="Courier New" w:cs="Courier New" w:hint="default"/>
      </w:rPr>
    </w:lvl>
    <w:lvl w:ilvl="8" w:tplc="04270005">
      <w:start w:val="1"/>
      <w:numFmt w:val="bullet"/>
      <w:lvlText w:val=""/>
      <w:lvlJc w:val="left"/>
      <w:pPr>
        <w:ind w:left="7047" w:hanging="360"/>
      </w:pPr>
      <w:rPr>
        <w:rFonts w:ascii="Wingdings" w:hAnsi="Wingdings" w:hint="default"/>
      </w:rPr>
    </w:lvl>
  </w:abstractNum>
  <w:abstractNum w:abstractNumId="13">
    <w:nsid w:val="2D69425E"/>
    <w:multiLevelType w:val="hybridMultilevel"/>
    <w:tmpl w:val="2C0AEC8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2D8801D4"/>
    <w:multiLevelType w:val="hybridMultilevel"/>
    <w:tmpl w:val="1B669578"/>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F5B77BC"/>
    <w:multiLevelType w:val="hybridMultilevel"/>
    <w:tmpl w:val="9A4CEAA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30C062B6"/>
    <w:multiLevelType w:val="hybridMultilevel"/>
    <w:tmpl w:val="3F18DB0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7">
    <w:nsid w:val="322B5346"/>
    <w:multiLevelType w:val="hybridMultilevel"/>
    <w:tmpl w:val="C76AE97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8">
    <w:nsid w:val="343D4AE7"/>
    <w:multiLevelType w:val="hybridMultilevel"/>
    <w:tmpl w:val="3F9E1178"/>
    <w:lvl w:ilvl="0" w:tplc="51AA791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9">
    <w:nsid w:val="36133D59"/>
    <w:multiLevelType w:val="hybridMultilevel"/>
    <w:tmpl w:val="CD689706"/>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7823495"/>
    <w:multiLevelType w:val="hybridMultilevel"/>
    <w:tmpl w:val="653E7652"/>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3947087D"/>
    <w:multiLevelType w:val="hybridMultilevel"/>
    <w:tmpl w:val="9E326A98"/>
    <w:lvl w:ilvl="0" w:tplc="45C6505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2">
    <w:nsid w:val="39616E35"/>
    <w:multiLevelType w:val="hybridMultilevel"/>
    <w:tmpl w:val="43F8D834"/>
    <w:lvl w:ilvl="0" w:tplc="C2663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3">
    <w:nsid w:val="3A284A61"/>
    <w:multiLevelType w:val="hybridMultilevel"/>
    <w:tmpl w:val="51266DB4"/>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45107F6"/>
    <w:multiLevelType w:val="hybridMultilevel"/>
    <w:tmpl w:val="9C9C8A2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75679D5"/>
    <w:multiLevelType w:val="hybridMultilevel"/>
    <w:tmpl w:val="B25E62DE"/>
    <w:lvl w:ilvl="0" w:tplc="84B0CA6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6">
    <w:nsid w:val="4DD64F65"/>
    <w:multiLevelType w:val="hybridMultilevel"/>
    <w:tmpl w:val="24E4A340"/>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EBB1E89"/>
    <w:multiLevelType w:val="hybridMultilevel"/>
    <w:tmpl w:val="5E008E8A"/>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5148743D"/>
    <w:multiLevelType w:val="hybridMultilevel"/>
    <w:tmpl w:val="5E008E8A"/>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1F1410D"/>
    <w:multiLevelType w:val="hybridMultilevel"/>
    <w:tmpl w:val="CA804EC2"/>
    <w:lvl w:ilvl="0" w:tplc="3E78CE4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0">
    <w:nsid w:val="585A41CB"/>
    <w:multiLevelType w:val="hybridMultilevel"/>
    <w:tmpl w:val="7A242936"/>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59A13E05"/>
    <w:multiLevelType w:val="hybridMultilevel"/>
    <w:tmpl w:val="8EA83476"/>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5AB228CB"/>
    <w:multiLevelType w:val="hybridMultilevel"/>
    <w:tmpl w:val="2C0AEC8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5CB56341"/>
    <w:multiLevelType w:val="hybridMultilevel"/>
    <w:tmpl w:val="5618730E"/>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5E692332"/>
    <w:multiLevelType w:val="hybridMultilevel"/>
    <w:tmpl w:val="2122819C"/>
    <w:lvl w:ilvl="0" w:tplc="1F3EFF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5">
    <w:nsid w:val="670C7555"/>
    <w:multiLevelType w:val="hybridMultilevel"/>
    <w:tmpl w:val="2BE2CB62"/>
    <w:lvl w:ilvl="0" w:tplc="D410EB5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6">
    <w:nsid w:val="6878179C"/>
    <w:multiLevelType w:val="hybridMultilevel"/>
    <w:tmpl w:val="5E008E8A"/>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A4D4730"/>
    <w:multiLevelType w:val="hybridMultilevel"/>
    <w:tmpl w:val="37CCEB8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FA5615A"/>
    <w:multiLevelType w:val="hybridMultilevel"/>
    <w:tmpl w:val="CAD4DD14"/>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6FB24719"/>
    <w:multiLevelType w:val="hybridMultilevel"/>
    <w:tmpl w:val="9E326A98"/>
    <w:lvl w:ilvl="0" w:tplc="45C6505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0">
    <w:nsid w:val="70B0508F"/>
    <w:multiLevelType w:val="hybridMultilevel"/>
    <w:tmpl w:val="4EF0C1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1546781"/>
    <w:multiLevelType w:val="hybridMultilevel"/>
    <w:tmpl w:val="3BB62838"/>
    <w:lvl w:ilvl="0" w:tplc="04270017">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42">
    <w:nsid w:val="761433C5"/>
    <w:multiLevelType w:val="hybridMultilevel"/>
    <w:tmpl w:val="16CA9022"/>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778B72AE"/>
    <w:multiLevelType w:val="hybridMultilevel"/>
    <w:tmpl w:val="135ADA0E"/>
    <w:lvl w:ilvl="0" w:tplc="ABB82912">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BDB5F6A"/>
    <w:multiLevelType w:val="hybridMultilevel"/>
    <w:tmpl w:val="BE904A88"/>
    <w:lvl w:ilvl="0" w:tplc="53AAF1EE">
      <w:start w:val="1"/>
      <w:numFmt w:val="lowerLetter"/>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num w:numId="1">
    <w:abstractNumId w:val="0"/>
  </w:num>
  <w:num w:numId="2">
    <w:abstractNumId w:val="18"/>
  </w:num>
  <w:num w:numId="3">
    <w:abstractNumId w:val="8"/>
  </w:num>
  <w:num w:numId="4">
    <w:abstractNumId w:val="25"/>
  </w:num>
  <w:num w:numId="5">
    <w:abstractNumId w:val="22"/>
  </w:num>
  <w:num w:numId="6">
    <w:abstractNumId w:val="15"/>
  </w:num>
  <w:num w:numId="7">
    <w:abstractNumId w:val="37"/>
  </w:num>
  <w:num w:numId="8">
    <w:abstractNumId w:val="7"/>
  </w:num>
  <w:num w:numId="9">
    <w:abstractNumId w:val="17"/>
  </w:num>
  <w:num w:numId="10">
    <w:abstractNumId w:val="35"/>
  </w:num>
  <w:num w:numId="11">
    <w:abstractNumId w:val="19"/>
  </w:num>
  <w:num w:numId="12">
    <w:abstractNumId w:val="2"/>
  </w:num>
  <w:num w:numId="13">
    <w:abstractNumId w:val="36"/>
  </w:num>
  <w:num w:numId="14">
    <w:abstractNumId w:val="27"/>
  </w:num>
  <w:num w:numId="15">
    <w:abstractNumId w:val="28"/>
  </w:num>
  <w:num w:numId="16">
    <w:abstractNumId w:val="16"/>
  </w:num>
  <w:num w:numId="17">
    <w:abstractNumId w:val="12"/>
  </w:num>
  <w:num w:numId="18">
    <w:abstractNumId w:val="29"/>
  </w:num>
  <w:num w:numId="19">
    <w:abstractNumId w:val="34"/>
  </w:num>
  <w:num w:numId="20">
    <w:abstractNumId w:val="39"/>
  </w:num>
  <w:num w:numId="21">
    <w:abstractNumId w:val="40"/>
  </w:num>
  <w:num w:numId="22">
    <w:abstractNumId w:val="21"/>
  </w:num>
  <w:num w:numId="23">
    <w:abstractNumId w:val="11"/>
  </w:num>
  <w:num w:numId="24">
    <w:abstractNumId w:val="9"/>
  </w:num>
  <w:num w:numId="25">
    <w:abstractNumId w:val="30"/>
  </w:num>
  <w:num w:numId="26">
    <w:abstractNumId w:val="4"/>
  </w:num>
  <w:num w:numId="27">
    <w:abstractNumId w:val="20"/>
  </w:num>
  <w:num w:numId="28">
    <w:abstractNumId w:val="43"/>
  </w:num>
  <w:num w:numId="29">
    <w:abstractNumId w:val="42"/>
  </w:num>
  <w:num w:numId="30">
    <w:abstractNumId w:val="31"/>
  </w:num>
  <w:num w:numId="31">
    <w:abstractNumId w:val="33"/>
  </w:num>
  <w:num w:numId="32">
    <w:abstractNumId w:val="26"/>
  </w:num>
  <w:num w:numId="33">
    <w:abstractNumId w:val="38"/>
  </w:num>
  <w:num w:numId="34">
    <w:abstractNumId w:val="14"/>
  </w:num>
  <w:num w:numId="35">
    <w:abstractNumId w:val="1"/>
  </w:num>
  <w:num w:numId="36">
    <w:abstractNumId w:val="5"/>
  </w:num>
  <w:num w:numId="37">
    <w:abstractNumId w:val="13"/>
  </w:num>
  <w:num w:numId="38">
    <w:abstractNumId w:val="44"/>
  </w:num>
  <w:num w:numId="39">
    <w:abstractNumId w:val="41"/>
  </w:num>
  <w:num w:numId="40">
    <w:abstractNumId w:val="23"/>
  </w:num>
  <w:num w:numId="41">
    <w:abstractNumId w:val="10"/>
  </w:num>
  <w:num w:numId="42">
    <w:abstractNumId w:val="6"/>
  </w:num>
  <w:num w:numId="43">
    <w:abstractNumId w:val="3"/>
  </w:num>
  <w:num w:numId="44">
    <w:abstractNumId w:val="32"/>
  </w:num>
  <w:num w:numId="4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1298"/>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E1B"/>
    <w:rsid w:val="00000367"/>
    <w:rsid w:val="00004FD6"/>
    <w:rsid w:val="00005048"/>
    <w:rsid w:val="000072A5"/>
    <w:rsid w:val="00010BBC"/>
    <w:rsid w:val="0001153A"/>
    <w:rsid w:val="00016490"/>
    <w:rsid w:val="00016B66"/>
    <w:rsid w:val="00017620"/>
    <w:rsid w:val="00017F9D"/>
    <w:rsid w:val="00020D4F"/>
    <w:rsid w:val="00022D33"/>
    <w:rsid w:val="00023FF8"/>
    <w:rsid w:val="000262EF"/>
    <w:rsid w:val="00027451"/>
    <w:rsid w:val="000278FA"/>
    <w:rsid w:val="00027C73"/>
    <w:rsid w:val="00033532"/>
    <w:rsid w:val="000352A3"/>
    <w:rsid w:val="0004005A"/>
    <w:rsid w:val="00040227"/>
    <w:rsid w:val="00043039"/>
    <w:rsid w:val="000433AA"/>
    <w:rsid w:val="00043CE0"/>
    <w:rsid w:val="00043F73"/>
    <w:rsid w:val="00045482"/>
    <w:rsid w:val="00045E9A"/>
    <w:rsid w:val="000467D5"/>
    <w:rsid w:val="00046FD4"/>
    <w:rsid w:val="00047802"/>
    <w:rsid w:val="00053CB7"/>
    <w:rsid w:val="00053F83"/>
    <w:rsid w:val="000547CA"/>
    <w:rsid w:val="000639E1"/>
    <w:rsid w:val="00065FF2"/>
    <w:rsid w:val="00066D0A"/>
    <w:rsid w:val="00073080"/>
    <w:rsid w:val="00073231"/>
    <w:rsid w:val="00076FAC"/>
    <w:rsid w:val="00077E9D"/>
    <w:rsid w:val="000814E3"/>
    <w:rsid w:val="000815B2"/>
    <w:rsid w:val="0008163E"/>
    <w:rsid w:val="00082564"/>
    <w:rsid w:val="00084657"/>
    <w:rsid w:val="0008676D"/>
    <w:rsid w:val="00090F98"/>
    <w:rsid w:val="0009183F"/>
    <w:rsid w:val="000935CB"/>
    <w:rsid w:val="00093D0C"/>
    <w:rsid w:val="0009667D"/>
    <w:rsid w:val="00096786"/>
    <w:rsid w:val="000A0007"/>
    <w:rsid w:val="000A0C23"/>
    <w:rsid w:val="000A247D"/>
    <w:rsid w:val="000A608A"/>
    <w:rsid w:val="000A60B2"/>
    <w:rsid w:val="000A69D3"/>
    <w:rsid w:val="000A70AC"/>
    <w:rsid w:val="000A7B6F"/>
    <w:rsid w:val="000B4CFD"/>
    <w:rsid w:val="000B60E1"/>
    <w:rsid w:val="000B61A0"/>
    <w:rsid w:val="000B6BB0"/>
    <w:rsid w:val="000B74AE"/>
    <w:rsid w:val="000B7A57"/>
    <w:rsid w:val="000B7E19"/>
    <w:rsid w:val="000C00B5"/>
    <w:rsid w:val="000C05A9"/>
    <w:rsid w:val="000C34C8"/>
    <w:rsid w:val="000C444E"/>
    <w:rsid w:val="000C4DE8"/>
    <w:rsid w:val="000C5CEB"/>
    <w:rsid w:val="000D0302"/>
    <w:rsid w:val="000D1BDD"/>
    <w:rsid w:val="000D2ECB"/>
    <w:rsid w:val="000D35EC"/>
    <w:rsid w:val="000D3985"/>
    <w:rsid w:val="000D3F04"/>
    <w:rsid w:val="000D42C3"/>
    <w:rsid w:val="000D5607"/>
    <w:rsid w:val="000D70AE"/>
    <w:rsid w:val="000E06D8"/>
    <w:rsid w:val="000E1C5D"/>
    <w:rsid w:val="000E1F0E"/>
    <w:rsid w:val="000E4C5F"/>
    <w:rsid w:val="000E50F2"/>
    <w:rsid w:val="000E54F5"/>
    <w:rsid w:val="000E5891"/>
    <w:rsid w:val="000E7818"/>
    <w:rsid w:val="000F1840"/>
    <w:rsid w:val="000F1E7F"/>
    <w:rsid w:val="000F1FFB"/>
    <w:rsid w:val="000F20F3"/>
    <w:rsid w:val="000F442F"/>
    <w:rsid w:val="000F5F32"/>
    <w:rsid w:val="00103C53"/>
    <w:rsid w:val="00104A41"/>
    <w:rsid w:val="001062E1"/>
    <w:rsid w:val="001127D7"/>
    <w:rsid w:val="001154F3"/>
    <w:rsid w:val="00117A61"/>
    <w:rsid w:val="00120867"/>
    <w:rsid w:val="00125AEF"/>
    <w:rsid w:val="00126D93"/>
    <w:rsid w:val="001273E5"/>
    <w:rsid w:val="0013093B"/>
    <w:rsid w:val="0013159E"/>
    <w:rsid w:val="001316EC"/>
    <w:rsid w:val="00131845"/>
    <w:rsid w:val="0013202E"/>
    <w:rsid w:val="0013405E"/>
    <w:rsid w:val="0013485A"/>
    <w:rsid w:val="001364D6"/>
    <w:rsid w:val="00136564"/>
    <w:rsid w:val="00136FC9"/>
    <w:rsid w:val="00137624"/>
    <w:rsid w:val="001406DB"/>
    <w:rsid w:val="00140849"/>
    <w:rsid w:val="00140EC1"/>
    <w:rsid w:val="00140FC5"/>
    <w:rsid w:val="00142B96"/>
    <w:rsid w:val="00142D17"/>
    <w:rsid w:val="00144F15"/>
    <w:rsid w:val="00145597"/>
    <w:rsid w:val="001476E4"/>
    <w:rsid w:val="0015037D"/>
    <w:rsid w:val="001512B0"/>
    <w:rsid w:val="00154513"/>
    <w:rsid w:val="001547D9"/>
    <w:rsid w:val="001549CE"/>
    <w:rsid w:val="001572F0"/>
    <w:rsid w:val="00162915"/>
    <w:rsid w:val="00162F26"/>
    <w:rsid w:val="001649CE"/>
    <w:rsid w:val="001662F5"/>
    <w:rsid w:val="001667DD"/>
    <w:rsid w:val="00167FCB"/>
    <w:rsid w:val="00171341"/>
    <w:rsid w:val="00172019"/>
    <w:rsid w:val="0017250C"/>
    <w:rsid w:val="001740D9"/>
    <w:rsid w:val="001768DD"/>
    <w:rsid w:val="00177159"/>
    <w:rsid w:val="00177AA3"/>
    <w:rsid w:val="00180649"/>
    <w:rsid w:val="0018167C"/>
    <w:rsid w:val="00183700"/>
    <w:rsid w:val="001858BC"/>
    <w:rsid w:val="00190767"/>
    <w:rsid w:val="001907E6"/>
    <w:rsid w:val="0019592D"/>
    <w:rsid w:val="001959E1"/>
    <w:rsid w:val="001968E4"/>
    <w:rsid w:val="001974A5"/>
    <w:rsid w:val="0019790B"/>
    <w:rsid w:val="001A36E1"/>
    <w:rsid w:val="001A5B92"/>
    <w:rsid w:val="001A7B48"/>
    <w:rsid w:val="001B1CDA"/>
    <w:rsid w:val="001B2F18"/>
    <w:rsid w:val="001B418B"/>
    <w:rsid w:val="001B52DD"/>
    <w:rsid w:val="001B63A1"/>
    <w:rsid w:val="001B6DF5"/>
    <w:rsid w:val="001B74D9"/>
    <w:rsid w:val="001B7AA6"/>
    <w:rsid w:val="001C1B94"/>
    <w:rsid w:val="001C2326"/>
    <w:rsid w:val="001C3E42"/>
    <w:rsid w:val="001C5B4E"/>
    <w:rsid w:val="001C7B27"/>
    <w:rsid w:val="001D282D"/>
    <w:rsid w:val="001D2B34"/>
    <w:rsid w:val="001D34F1"/>
    <w:rsid w:val="001D36CB"/>
    <w:rsid w:val="001D4018"/>
    <w:rsid w:val="001D5B32"/>
    <w:rsid w:val="001E3B2F"/>
    <w:rsid w:val="001E4D7D"/>
    <w:rsid w:val="001E53D6"/>
    <w:rsid w:val="001F0740"/>
    <w:rsid w:val="001F28FA"/>
    <w:rsid w:val="0020011A"/>
    <w:rsid w:val="0020029E"/>
    <w:rsid w:val="00201214"/>
    <w:rsid w:val="00203B4B"/>
    <w:rsid w:val="0020668C"/>
    <w:rsid w:val="002073D0"/>
    <w:rsid w:val="00207932"/>
    <w:rsid w:val="00212B6D"/>
    <w:rsid w:val="0021421C"/>
    <w:rsid w:val="002147ED"/>
    <w:rsid w:val="00217F21"/>
    <w:rsid w:val="00224875"/>
    <w:rsid w:val="002254C5"/>
    <w:rsid w:val="00226F81"/>
    <w:rsid w:val="00227223"/>
    <w:rsid w:val="00230265"/>
    <w:rsid w:val="0023110C"/>
    <w:rsid w:val="00232442"/>
    <w:rsid w:val="002325C3"/>
    <w:rsid w:val="002378A2"/>
    <w:rsid w:val="0024086B"/>
    <w:rsid w:val="00240B68"/>
    <w:rsid w:val="00241CC9"/>
    <w:rsid w:val="00245F81"/>
    <w:rsid w:val="00250028"/>
    <w:rsid w:val="002533E3"/>
    <w:rsid w:val="00254D8D"/>
    <w:rsid w:val="00255473"/>
    <w:rsid w:val="00255AB7"/>
    <w:rsid w:val="00256726"/>
    <w:rsid w:val="00256840"/>
    <w:rsid w:val="00257F95"/>
    <w:rsid w:val="002622D8"/>
    <w:rsid w:val="00262CD1"/>
    <w:rsid w:val="002653DB"/>
    <w:rsid w:val="00265D6F"/>
    <w:rsid w:val="00266090"/>
    <w:rsid w:val="0026679B"/>
    <w:rsid w:val="00266D01"/>
    <w:rsid w:val="00270B5E"/>
    <w:rsid w:val="00270EFF"/>
    <w:rsid w:val="00275EE2"/>
    <w:rsid w:val="00277FD0"/>
    <w:rsid w:val="00280556"/>
    <w:rsid w:val="00281BC4"/>
    <w:rsid w:val="00283588"/>
    <w:rsid w:val="002843A1"/>
    <w:rsid w:val="002860FA"/>
    <w:rsid w:val="00286D75"/>
    <w:rsid w:val="00290E8D"/>
    <w:rsid w:val="002947E8"/>
    <w:rsid w:val="00294CB0"/>
    <w:rsid w:val="002A1D03"/>
    <w:rsid w:val="002A2083"/>
    <w:rsid w:val="002A35D7"/>
    <w:rsid w:val="002A662A"/>
    <w:rsid w:val="002A68CC"/>
    <w:rsid w:val="002B0781"/>
    <w:rsid w:val="002B0F3A"/>
    <w:rsid w:val="002B1021"/>
    <w:rsid w:val="002B1D64"/>
    <w:rsid w:val="002B53B0"/>
    <w:rsid w:val="002B59F1"/>
    <w:rsid w:val="002B7311"/>
    <w:rsid w:val="002C11A2"/>
    <w:rsid w:val="002C5C04"/>
    <w:rsid w:val="002D0EEB"/>
    <w:rsid w:val="002D2B0E"/>
    <w:rsid w:val="002D2C2E"/>
    <w:rsid w:val="002D4A93"/>
    <w:rsid w:val="002D7694"/>
    <w:rsid w:val="002E22DF"/>
    <w:rsid w:val="002E2D1A"/>
    <w:rsid w:val="002E2FBE"/>
    <w:rsid w:val="002E60B5"/>
    <w:rsid w:val="002E75B9"/>
    <w:rsid w:val="002F06ED"/>
    <w:rsid w:val="002F176C"/>
    <w:rsid w:val="002F2E98"/>
    <w:rsid w:val="002F385C"/>
    <w:rsid w:val="002F5FA3"/>
    <w:rsid w:val="002F76D3"/>
    <w:rsid w:val="00300848"/>
    <w:rsid w:val="003014A6"/>
    <w:rsid w:val="00301992"/>
    <w:rsid w:val="00303D37"/>
    <w:rsid w:val="00305BDE"/>
    <w:rsid w:val="00306551"/>
    <w:rsid w:val="0030675B"/>
    <w:rsid w:val="003077FA"/>
    <w:rsid w:val="00307A70"/>
    <w:rsid w:val="00307A7D"/>
    <w:rsid w:val="00310B37"/>
    <w:rsid w:val="003126FD"/>
    <w:rsid w:val="0031462E"/>
    <w:rsid w:val="00315407"/>
    <w:rsid w:val="003160B5"/>
    <w:rsid w:val="00316309"/>
    <w:rsid w:val="00317D8B"/>
    <w:rsid w:val="00320F49"/>
    <w:rsid w:val="00321DBF"/>
    <w:rsid w:val="003225FD"/>
    <w:rsid w:val="00323AA8"/>
    <w:rsid w:val="00326B1A"/>
    <w:rsid w:val="00327422"/>
    <w:rsid w:val="00333216"/>
    <w:rsid w:val="00334B70"/>
    <w:rsid w:val="00336ABE"/>
    <w:rsid w:val="00340498"/>
    <w:rsid w:val="00340F7E"/>
    <w:rsid w:val="0034195F"/>
    <w:rsid w:val="003431BC"/>
    <w:rsid w:val="00343E29"/>
    <w:rsid w:val="00344193"/>
    <w:rsid w:val="003442E5"/>
    <w:rsid w:val="00350F48"/>
    <w:rsid w:val="00356310"/>
    <w:rsid w:val="00357329"/>
    <w:rsid w:val="00357A2A"/>
    <w:rsid w:val="003609DE"/>
    <w:rsid w:val="003614D1"/>
    <w:rsid w:val="00362EEA"/>
    <w:rsid w:val="00365AD7"/>
    <w:rsid w:val="00367154"/>
    <w:rsid w:val="0037025B"/>
    <w:rsid w:val="0037091E"/>
    <w:rsid w:val="00372109"/>
    <w:rsid w:val="00372E90"/>
    <w:rsid w:val="003733B5"/>
    <w:rsid w:val="00375A96"/>
    <w:rsid w:val="00376D0A"/>
    <w:rsid w:val="0037739D"/>
    <w:rsid w:val="00380F4F"/>
    <w:rsid w:val="003816B4"/>
    <w:rsid w:val="00381CA4"/>
    <w:rsid w:val="00382B2A"/>
    <w:rsid w:val="00384229"/>
    <w:rsid w:val="003868C0"/>
    <w:rsid w:val="003876D5"/>
    <w:rsid w:val="00387D0D"/>
    <w:rsid w:val="00393905"/>
    <w:rsid w:val="0039476C"/>
    <w:rsid w:val="00396522"/>
    <w:rsid w:val="003973D0"/>
    <w:rsid w:val="00397E4C"/>
    <w:rsid w:val="003A0889"/>
    <w:rsid w:val="003A0CCF"/>
    <w:rsid w:val="003A0D49"/>
    <w:rsid w:val="003A2189"/>
    <w:rsid w:val="003A2FE3"/>
    <w:rsid w:val="003A3310"/>
    <w:rsid w:val="003A4D0F"/>
    <w:rsid w:val="003A4D15"/>
    <w:rsid w:val="003A6004"/>
    <w:rsid w:val="003A65A4"/>
    <w:rsid w:val="003A6BF2"/>
    <w:rsid w:val="003B099C"/>
    <w:rsid w:val="003B0F4D"/>
    <w:rsid w:val="003B1C74"/>
    <w:rsid w:val="003B1E73"/>
    <w:rsid w:val="003B20D6"/>
    <w:rsid w:val="003B2341"/>
    <w:rsid w:val="003B2EDE"/>
    <w:rsid w:val="003B3D3D"/>
    <w:rsid w:val="003B6107"/>
    <w:rsid w:val="003B61AF"/>
    <w:rsid w:val="003B728B"/>
    <w:rsid w:val="003B778F"/>
    <w:rsid w:val="003C31C2"/>
    <w:rsid w:val="003C48AA"/>
    <w:rsid w:val="003C4A22"/>
    <w:rsid w:val="003D0859"/>
    <w:rsid w:val="003D14A6"/>
    <w:rsid w:val="003D19D1"/>
    <w:rsid w:val="003D38DD"/>
    <w:rsid w:val="003D3FD2"/>
    <w:rsid w:val="003D5B27"/>
    <w:rsid w:val="003D601B"/>
    <w:rsid w:val="003E3712"/>
    <w:rsid w:val="003E6514"/>
    <w:rsid w:val="003E6C09"/>
    <w:rsid w:val="003F05A0"/>
    <w:rsid w:val="003F275C"/>
    <w:rsid w:val="003F35A7"/>
    <w:rsid w:val="003F3FAA"/>
    <w:rsid w:val="003F4B7B"/>
    <w:rsid w:val="003F7A2D"/>
    <w:rsid w:val="00402B67"/>
    <w:rsid w:val="00402CEA"/>
    <w:rsid w:val="004046BF"/>
    <w:rsid w:val="00404B36"/>
    <w:rsid w:val="00407DC2"/>
    <w:rsid w:val="0041099D"/>
    <w:rsid w:val="004137AE"/>
    <w:rsid w:val="00413A98"/>
    <w:rsid w:val="00413C09"/>
    <w:rsid w:val="0041501C"/>
    <w:rsid w:val="0041541C"/>
    <w:rsid w:val="004174F8"/>
    <w:rsid w:val="00417631"/>
    <w:rsid w:val="00420B93"/>
    <w:rsid w:val="004222DD"/>
    <w:rsid w:val="0042336D"/>
    <w:rsid w:val="00423B58"/>
    <w:rsid w:val="004243B1"/>
    <w:rsid w:val="004251D4"/>
    <w:rsid w:val="00426479"/>
    <w:rsid w:val="004312A4"/>
    <w:rsid w:val="00432612"/>
    <w:rsid w:val="004330E6"/>
    <w:rsid w:val="004363BF"/>
    <w:rsid w:val="004372DC"/>
    <w:rsid w:val="004378B3"/>
    <w:rsid w:val="0044013A"/>
    <w:rsid w:val="004411F6"/>
    <w:rsid w:val="0044120F"/>
    <w:rsid w:val="0044165B"/>
    <w:rsid w:val="00444B7F"/>
    <w:rsid w:val="00446D15"/>
    <w:rsid w:val="00453A88"/>
    <w:rsid w:val="00453D43"/>
    <w:rsid w:val="00454113"/>
    <w:rsid w:val="00456C37"/>
    <w:rsid w:val="00460C17"/>
    <w:rsid w:val="00463182"/>
    <w:rsid w:val="0046355E"/>
    <w:rsid w:val="004641F2"/>
    <w:rsid w:val="00467713"/>
    <w:rsid w:val="00467CC9"/>
    <w:rsid w:val="004706F7"/>
    <w:rsid w:val="004711A3"/>
    <w:rsid w:val="00473147"/>
    <w:rsid w:val="00474703"/>
    <w:rsid w:val="0047487C"/>
    <w:rsid w:val="00475DE4"/>
    <w:rsid w:val="00475E56"/>
    <w:rsid w:val="00476785"/>
    <w:rsid w:val="004800FB"/>
    <w:rsid w:val="00481398"/>
    <w:rsid w:val="0048208A"/>
    <w:rsid w:val="00485B87"/>
    <w:rsid w:val="00486645"/>
    <w:rsid w:val="0049245C"/>
    <w:rsid w:val="004924F6"/>
    <w:rsid w:val="00492719"/>
    <w:rsid w:val="00493395"/>
    <w:rsid w:val="00495C14"/>
    <w:rsid w:val="0049629E"/>
    <w:rsid w:val="0049672A"/>
    <w:rsid w:val="00496D50"/>
    <w:rsid w:val="004A0006"/>
    <w:rsid w:val="004A149E"/>
    <w:rsid w:val="004A19DB"/>
    <w:rsid w:val="004A2C8E"/>
    <w:rsid w:val="004A669F"/>
    <w:rsid w:val="004A77CA"/>
    <w:rsid w:val="004A7807"/>
    <w:rsid w:val="004B2548"/>
    <w:rsid w:val="004B32E8"/>
    <w:rsid w:val="004B3990"/>
    <w:rsid w:val="004B39D9"/>
    <w:rsid w:val="004B4E4E"/>
    <w:rsid w:val="004B5AF2"/>
    <w:rsid w:val="004B7512"/>
    <w:rsid w:val="004C08BB"/>
    <w:rsid w:val="004C1D0B"/>
    <w:rsid w:val="004C4A66"/>
    <w:rsid w:val="004C5A86"/>
    <w:rsid w:val="004D0AAD"/>
    <w:rsid w:val="004D19B3"/>
    <w:rsid w:val="004D22D0"/>
    <w:rsid w:val="004D3B9B"/>
    <w:rsid w:val="004D6788"/>
    <w:rsid w:val="004E0B45"/>
    <w:rsid w:val="004E1EC9"/>
    <w:rsid w:val="004E2145"/>
    <w:rsid w:val="004E293F"/>
    <w:rsid w:val="004E33DD"/>
    <w:rsid w:val="004E42A6"/>
    <w:rsid w:val="004E5FAD"/>
    <w:rsid w:val="004E7D3E"/>
    <w:rsid w:val="004F3F8C"/>
    <w:rsid w:val="004F4098"/>
    <w:rsid w:val="004F40DE"/>
    <w:rsid w:val="004F4C94"/>
    <w:rsid w:val="004F679E"/>
    <w:rsid w:val="004F7BBC"/>
    <w:rsid w:val="005007C9"/>
    <w:rsid w:val="00501204"/>
    <w:rsid w:val="00503FE9"/>
    <w:rsid w:val="005041E2"/>
    <w:rsid w:val="005057BE"/>
    <w:rsid w:val="0050606B"/>
    <w:rsid w:val="0050658C"/>
    <w:rsid w:val="00506EB9"/>
    <w:rsid w:val="00507622"/>
    <w:rsid w:val="00507A36"/>
    <w:rsid w:val="00507E1B"/>
    <w:rsid w:val="00510B18"/>
    <w:rsid w:val="00511F58"/>
    <w:rsid w:val="00513711"/>
    <w:rsid w:val="00513724"/>
    <w:rsid w:val="00513924"/>
    <w:rsid w:val="00514B38"/>
    <w:rsid w:val="005154CE"/>
    <w:rsid w:val="0051555F"/>
    <w:rsid w:val="00515BB6"/>
    <w:rsid w:val="0052202A"/>
    <w:rsid w:val="0052322E"/>
    <w:rsid w:val="005264B2"/>
    <w:rsid w:val="0052693B"/>
    <w:rsid w:val="00533E09"/>
    <w:rsid w:val="00533E3A"/>
    <w:rsid w:val="005376C7"/>
    <w:rsid w:val="00541638"/>
    <w:rsid w:val="00541F6C"/>
    <w:rsid w:val="0055106C"/>
    <w:rsid w:val="00552E10"/>
    <w:rsid w:val="005541AA"/>
    <w:rsid w:val="005543D0"/>
    <w:rsid w:val="0055508D"/>
    <w:rsid w:val="00555132"/>
    <w:rsid w:val="005555AF"/>
    <w:rsid w:val="005616A6"/>
    <w:rsid w:val="005651B2"/>
    <w:rsid w:val="005679A9"/>
    <w:rsid w:val="00571FE5"/>
    <w:rsid w:val="00572D08"/>
    <w:rsid w:val="00574AE0"/>
    <w:rsid w:val="00575C49"/>
    <w:rsid w:val="005775EF"/>
    <w:rsid w:val="00577640"/>
    <w:rsid w:val="00582862"/>
    <w:rsid w:val="00583E1A"/>
    <w:rsid w:val="005856DE"/>
    <w:rsid w:val="00590343"/>
    <w:rsid w:val="00590D9B"/>
    <w:rsid w:val="005915A4"/>
    <w:rsid w:val="005917C0"/>
    <w:rsid w:val="005919B8"/>
    <w:rsid w:val="00592168"/>
    <w:rsid w:val="0059470D"/>
    <w:rsid w:val="00594C2D"/>
    <w:rsid w:val="00596CAA"/>
    <w:rsid w:val="005A095B"/>
    <w:rsid w:val="005A09C0"/>
    <w:rsid w:val="005A0E88"/>
    <w:rsid w:val="005A1276"/>
    <w:rsid w:val="005A1DBE"/>
    <w:rsid w:val="005A2B2B"/>
    <w:rsid w:val="005A3194"/>
    <w:rsid w:val="005A525C"/>
    <w:rsid w:val="005A6DC7"/>
    <w:rsid w:val="005B404E"/>
    <w:rsid w:val="005B66C6"/>
    <w:rsid w:val="005C0C8A"/>
    <w:rsid w:val="005C2759"/>
    <w:rsid w:val="005C3FC5"/>
    <w:rsid w:val="005C428F"/>
    <w:rsid w:val="005C4AA9"/>
    <w:rsid w:val="005C7E66"/>
    <w:rsid w:val="005D0702"/>
    <w:rsid w:val="005D1814"/>
    <w:rsid w:val="005D325A"/>
    <w:rsid w:val="005D6BE4"/>
    <w:rsid w:val="005D6DF1"/>
    <w:rsid w:val="005D76C7"/>
    <w:rsid w:val="005E1606"/>
    <w:rsid w:val="005E2CCE"/>
    <w:rsid w:val="005E2EB2"/>
    <w:rsid w:val="005E3327"/>
    <w:rsid w:val="005E36C1"/>
    <w:rsid w:val="005E5A6E"/>
    <w:rsid w:val="005F2B0E"/>
    <w:rsid w:val="005F41B1"/>
    <w:rsid w:val="005F4CCA"/>
    <w:rsid w:val="005F57FC"/>
    <w:rsid w:val="005F606C"/>
    <w:rsid w:val="005F64D4"/>
    <w:rsid w:val="005F655B"/>
    <w:rsid w:val="00601DBF"/>
    <w:rsid w:val="00601F61"/>
    <w:rsid w:val="00602220"/>
    <w:rsid w:val="006034C7"/>
    <w:rsid w:val="0060481C"/>
    <w:rsid w:val="00606D4D"/>
    <w:rsid w:val="00607B7E"/>
    <w:rsid w:val="0061074C"/>
    <w:rsid w:val="006110F7"/>
    <w:rsid w:val="0061215D"/>
    <w:rsid w:val="006122FD"/>
    <w:rsid w:val="00612D84"/>
    <w:rsid w:val="00614AD0"/>
    <w:rsid w:val="00617BC6"/>
    <w:rsid w:val="00617F12"/>
    <w:rsid w:val="006202EB"/>
    <w:rsid w:val="006223BA"/>
    <w:rsid w:val="00624626"/>
    <w:rsid w:val="00626938"/>
    <w:rsid w:val="0062704A"/>
    <w:rsid w:val="006278B4"/>
    <w:rsid w:val="00631C63"/>
    <w:rsid w:val="00633363"/>
    <w:rsid w:val="00633C23"/>
    <w:rsid w:val="006347E6"/>
    <w:rsid w:val="0063494C"/>
    <w:rsid w:val="0063505F"/>
    <w:rsid w:val="00637C6B"/>
    <w:rsid w:val="0064003A"/>
    <w:rsid w:val="006400E2"/>
    <w:rsid w:val="00640502"/>
    <w:rsid w:val="006413C4"/>
    <w:rsid w:val="0064196E"/>
    <w:rsid w:val="00642408"/>
    <w:rsid w:val="006440FF"/>
    <w:rsid w:val="00644D67"/>
    <w:rsid w:val="006460BE"/>
    <w:rsid w:val="00650C6F"/>
    <w:rsid w:val="00651B8D"/>
    <w:rsid w:val="00653312"/>
    <w:rsid w:val="00656CF1"/>
    <w:rsid w:val="00660BC8"/>
    <w:rsid w:val="00663205"/>
    <w:rsid w:val="0066468A"/>
    <w:rsid w:val="00666462"/>
    <w:rsid w:val="00666A71"/>
    <w:rsid w:val="00666C90"/>
    <w:rsid w:val="00671E66"/>
    <w:rsid w:val="00672F87"/>
    <w:rsid w:val="0067312A"/>
    <w:rsid w:val="0067555E"/>
    <w:rsid w:val="0067632A"/>
    <w:rsid w:val="00676A5F"/>
    <w:rsid w:val="006808A7"/>
    <w:rsid w:val="00681E1D"/>
    <w:rsid w:val="00683CF5"/>
    <w:rsid w:val="0068473E"/>
    <w:rsid w:val="00686083"/>
    <w:rsid w:val="00687E42"/>
    <w:rsid w:val="00693E5C"/>
    <w:rsid w:val="0069405A"/>
    <w:rsid w:val="006943E0"/>
    <w:rsid w:val="0069760D"/>
    <w:rsid w:val="00697BDD"/>
    <w:rsid w:val="006A1B27"/>
    <w:rsid w:val="006A1CDA"/>
    <w:rsid w:val="006A3D7B"/>
    <w:rsid w:val="006A6188"/>
    <w:rsid w:val="006A63C3"/>
    <w:rsid w:val="006A6616"/>
    <w:rsid w:val="006A6CAE"/>
    <w:rsid w:val="006A7638"/>
    <w:rsid w:val="006B0F68"/>
    <w:rsid w:val="006B1C7C"/>
    <w:rsid w:val="006B207B"/>
    <w:rsid w:val="006B21B0"/>
    <w:rsid w:val="006B4D81"/>
    <w:rsid w:val="006B633C"/>
    <w:rsid w:val="006C2885"/>
    <w:rsid w:val="006C49BF"/>
    <w:rsid w:val="006C4EF3"/>
    <w:rsid w:val="006C61DD"/>
    <w:rsid w:val="006C7D04"/>
    <w:rsid w:val="006D0160"/>
    <w:rsid w:val="006D09D0"/>
    <w:rsid w:val="006D30AE"/>
    <w:rsid w:val="006D5A01"/>
    <w:rsid w:val="006D5DA3"/>
    <w:rsid w:val="006D5DF9"/>
    <w:rsid w:val="006D6658"/>
    <w:rsid w:val="006D6FC5"/>
    <w:rsid w:val="006E173E"/>
    <w:rsid w:val="006E261B"/>
    <w:rsid w:val="006E2938"/>
    <w:rsid w:val="006E39D9"/>
    <w:rsid w:val="006E58E1"/>
    <w:rsid w:val="006E6679"/>
    <w:rsid w:val="006F2E5A"/>
    <w:rsid w:val="006F348A"/>
    <w:rsid w:val="006F3F60"/>
    <w:rsid w:val="006F42DE"/>
    <w:rsid w:val="006F5434"/>
    <w:rsid w:val="006F55B4"/>
    <w:rsid w:val="006F571F"/>
    <w:rsid w:val="00700F28"/>
    <w:rsid w:val="00702E3F"/>
    <w:rsid w:val="00713451"/>
    <w:rsid w:val="0071558D"/>
    <w:rsid w:val="00715733"/>
    <w:rsid w:val="00717056"/>
    <w:rsid w:val="00717C9E"/>
    <w:rsid w:val="007224B0"/>
    <w:rsid w:val="00730372"/>
    <w:rsid w:val="007303BE"/>
    <w:rsid w:val="00733638"/>
    <w:rsid w:val="00735AF5"/>
    <w:rsid w:val="00742182"/>
    <w:rsid w:val="00743C1B"/>
    <w:rsid w:val="007468CB"/>
    <w:rsid w:val="00746F12"/>
    <w:rsid w:val="00750286"/>
    <w:rsid w:val="00751ADD"/>
    <w:rsid w:val="007526DA"/>
    <w:rsid w:val="0075329F"/>
    <w:rsid w:val="0075746B"/>
    <w:rsid w:val="00757EE0"/>
    <w:rsid w:val="007603C0"/>
    <w:rsid w:val="0076048F"/>
    <w:rsid w:val="00764489"/>
    <w:rsid w:val="00764D64"/>
    <w:rsid w:val="007677C1"/>
    <w:rsid w:val="007711AC"/>
    <w:rsid w:val="00771812"/>
    <w:rsid w:val="0077589A"/>
    <w:rsid w:val="00775E0B"/>
    <w:rsid w:val="0078128F"/>
    <w:rsid w:val="00781A43"/>
    <w:rsid w:val="00783C59"/>
    <w:rsid w:val="00784365"/>
    <w:rsid w:val="007878AB"/>
    <w:rsid w:val="00790F71"/>
    <w:rsid w:val="007924CB"/>
    <w:rsid w:val="00793593"/>
    <w:rsid w:val="00793946"/>
    <w:rsid w:val="00795E2D"/>
    <w:rsid w:val="00797291"/>
    <w:rsid w:val="007A1B44"/>
    <w:rsid w:val="007A239E"/>
    <w:rsid w:val="007A61BD"/>
    <w:rsid w:val="007A6210"/>
    <w:rsid w:val="007B09C6"/>
    <w:rsid w:val="007B0D4F"/>
    <w:rsid w:val="007B117E"/>
    <w:rsid w:val="007B123A"/>
    <w:rsid w:val="007B45A8"/>
    <w:rsid w:val="007B5328"/>
    <w:rsid w:val="007B6C1D"/>
    <w:rsid w:val="007B72AF"/>
    <w:rsid w:val="007B77A6"/>
    <w:rsid w:val="007B7B01"/>
    <w:rsid w:val="007C0CB5"/>
    <w:rsid w:val="007C120B"/>
    <w:rsid w:val="007C20B3"/>
    <w:rsid w:val="007C349B"/>
    <w:rsid w:val="007C4FD5"/>
    <w:rsid w:val="007C64D5"/>
    <w:rsid w:val="007C72C3"/>
    <w:rsid w:val="007C74AD"/>
    <w:rsid w:val="007D04AE"/>
    <w:rsid w:val="007D04EB"/>
    <w:rsid w:val="007D05DB"/>
    <w:rsid w:val="007D0CC0"/>
    <w:rsid w:val="007D0F0E"/>
    <w:rsid w:val="007D1F99"/>
    <w:rsid w:val="007D23C2"/>
    <w:rsid w:val="007D23DD"/>
    <w:rsid w:val="007D3F4E"/>
    <w:rsid w:val="007D5884"/>
    <w:rsid w:val="007D64D9"/>
    <w:rsid w:val="007D7D58"/>
    <w:rsid w:val="007E254A"/>
    <w:rsid w:val="007E2FCC"/>
    <w:rsid w:val="007E3F31"/>
    <w:rsid w:val="007E58F9"/>
    <w:rsid w:val="007E5E9F"/>
    <w:rsid w:val="007E64B6"/>
    <w:rsid w:val="007E6EA1"/>
    <w:rsid w:val="007E7425"/>
    <w:rsid w:val="007E7692"/>
    <w:rsid w:val="007F0971"/>
    <w:rsid w:val="007F1FB4"/>
    <w:rsid w:val="007F3FE8"/>
    <w:rsid w:val="007F55C4"/>
    <w:rsid w:val="008008C4"/>
    <w:rsid w:val="008008F6"/>
    <w:rsid w:val="008035C8"/>
    <w:rsid w:val="0080768A"/>
    <w:rsid w:val="00811DC3"/>
    <w:rsid w:val="008127A4"/>
    <w:rsid w:val="00812B9C"/>
    <w:rsid w:val="00812CE7"/>
    <w:rsid w:val="008137D2"/>
    <w:rsid w:val="0081523B"/>
    <w:rsid w:val="008155D8"/>
    <w:rsid w:val="008158AC"/>
    <w:rsid w:val="00817317"/>
    <w:rsid w:val="00820A8D"/>
    <w:rsid w:val="00825F70"/>
    <w:rsid w:val="00826703"/>
    <w:rsid w:val="008269D1"/>
    <w:rsid w:val="008312CF"/>
    <w:rsid w:val="008325EE"/>
    <w:rsid w:val="0083381B"/>
    <w:rsid w:val="00833B3D"/>
    <w:rsid w:val="00834A33"/>
    <w:rsid w:val="00835883"/>
    <w:rsid w:val="00837FDB"/>
    <w:rsid w:val="008412F4"/>
    <w:rsid w:val="008433B7"/>
    <w:rsid w:val="0084498A"/>
    <w:rsid w:val="008503D8"/>
    <w:rsid w:val="00850DFB"/>
    <w:rsid w:val="00850F59"/>
    <w:rsid w:val="00851773"/>
    <w:rsid w:val="00851C24"/>
    <w:rsid w:val="00851E8C"/>
    <w:rsid w:val="00852D5A"/>
    <w:rsid w:val="008535B3"/>
    <w:rsid w:val="008549AE"/>
    <w:rsid w:val="008600F7"/>
    <w:rsid w:val="0086205F"/>
    <w:rsid w:val="00863B4E"/>
    <w:rsid w:val="00863E8F"/>
    <w:rsid w:val="0086425B"/>
    <w:rsid w:val="0086642C"/>
    <w:rsid w:val="00866952"/>
    <w:rsid w:val="00871679"/>
    <w:rsid w:val="008722BE"/>
    <w:rsid w:val="008727AB"/>
    <w:rsid w:val="00872F53"/>
    <w:rsid w:val="00872FDC"/>
    <w:rsid w:val="008746A9"/>
    <w:rsid w:val="008748EE"/>
    <w:rsid w:val="00882542"/>
    <w:rsid w:val="00883D4A"/>
    <w:rsid w:val="008845AD"/>
    <w:rsid w:val="00886C94"/>
    <w:rsid w:val="00887F74"/>
    <w:rsid w:val="0089030F"/>
    <w:rsid w:val="00892202"/>
    <w:rsid w:val="00893747"/>
    <w:rsid w:val="00896656"/>
    <w:rsid w:val="00896A71"/>
    <w:rsid w:val="00896CFE"/>
    <w:rsid w:val="00896EFD"/>
    <w:rsid w:val="008A05C2"/>
    <w:rsid w:val="008A2094"/>
    <w:rsid w:val="008A2734"/>
    <w:rsid w:val="008A4438"/>
    <w:rsid w:val="008A4490"/>
    <w:rsid w:val="008A6DDE"/>
    <w:rsid w:val="008B0246"/>
    <w:rsid w:val="008B0296"/>
    <w:rsid w:val="008B138D"/>
    <w:rsid w:val="008B1902"/>
    <w:rsid w:val="008B2CD1"/>
    <w:rsid w:val="008B308D"/>
    <w:rsid w:val="008B5E49"/>
    <w:rsid w:val="008B6112"/>
    <w:rsid w:val="008B6A14"/>
    <w:rsid w:val="008C2DC4"/>
    <w:rsid w:val="008C5BA6"/>
    <w:rsid w:val="008D045A"/>
    <w:rsid w:val="008D17DC"/>
    <w:rsid w:val="008D1CC6"/>
    <w:rsid w:val="008D3BB6"/>
    <w:rsid w:val="008D515D"/>
    <w:rsid w:val="008E23A2"/>
    <w:rsid w:val="008E2A8B"/>
    <w:rsid w:val="008E4D2D"/>
    <w:rsid w:val="008E5A24"/>
    <w:rsid w:val="008E68F0"/>
    <w:rsid w:val="008E7D8F"/>
    <w:rsid w:val="008F05BC"/>
    <w:rsid w:val="008F0CC7"/>
    <w:rsid w:val="008F0D7A"/>
    <w:rsid w:val="008F3B5B"/>
    <w:rsid w:val="008F4707"/>
    <w:rsid w:val="008F59B4"/>
    <w:rsid w:val="008F615D"/>
    <w:rsid w:val="008F66AA"/>
    <w:rsid w:val="00904958"/>
    <w:rsid w:val="00904A99"/>
    <w:rsid w:val="009063C5"/>
    <w:rsid w:val="0091092E"/>
    <w:rsid w:val="009130D7"/>
    <w:rsid w:val="0091696B"/>
    <w:rsid w:val="00916BB5"/>
    <w:rsid w:val="00916E10"/>
    <w:rsid w:val="00917E33"/>
    <w:rsid w:val="00917EA3"/>
    <w:rsid w:val="00920A39"/>
    <w:rsid w:val="00923393"/>
    <w:rsid w:val="00924888"/>
    <w:rsid w:val="00924B1F"/>
    <w:rsid w:val="00926830"/>
    <w:rsid w:val="00930881"/>
    <w:rsid w:val="009309E9"/>
    <w:rsid w:val="00932990"/>
    <w:rsid w:val="0093411E"/>
    <w:rsid w:val="009346C7"/>
    <w:rsid w:val="00934FEE"/>
    <w:rsid w:val="00936344"/>
    <w:rsid w:val="0093656A"/>
    <w:rsid w:val="0093672F"/>
    <w:rsid w:val="00936A5F"/>
    <w:rsid w:val="00940300"/>
    <w:rsid w:val="009407A1"/>
    <w:rsid w:val="00940D39"/>
    <w:rsid w:val="00943A38"/>
    <w:rsid w:val="009446E9"/>
    <w:rsid w:val="00946751"/>
    <w:rsid w:val="00950817"/>
    <w:rsid w:val="00952E13"/>
    <w:rsid w:val="00952E62"/>
    <w:rsid w:val="00953E4B"/>
    <w:rsid w:val="0095501D"/>
    <w:rsid w:val="00955270"/>
    <w:rsid w:val="0095604B"/>
    <w:rsid w:val="00956C75"/>
    <w:rsid w:val="00960014"/>
    <w:rsid w:val="00960D6E"/>
    <w:rsid w:val="009611F7"/>
    <w:rsid w:val="00961242"/>
    <w:rsid w:val="00963817"/>
    <w:rsid w:val="00967518"/>
    <w:rsid w:val="00970F1B"/>
    <w:rsid w:val="00971BE3"/>
    <w:rsid w:val="00971CF7"/>
    <w:rsid w:val="00972CB4"/>
    <w:rsid w:val="009753D3"/>
    <w:rsid w:val="00980492"/>
    <w:rsid w:val="0098463A"/>
    <w:rsid w:val="009909D1"/>
    <w:rsid w:val="009958E0"/>
    <w:rsid w:val="009959F1"/>
    <w:rsid w:val="009A2DB7"/>
    <w:rsid w:val="009A3947"/>
    <w:rsid w:val="009A6427"/>
    <w:rsid w:val="009A6662"/>
    <w:rsid w:val="009A749B"/>
    <w:rsid w:val="009A7B7C"/>
    <w:rsid w:val="009B11B4"/>
    <w:rsid w:val="009B1368"/>
    <w:rsid w:val="009B1C58"/>
    <w:rsid w:val="009B28D6"/>
    <w:rsid w:val="009B2E88"/>
    <w:rsid w:val="009B3424"/>
    <w:rsid w:val="009B4AC0"/>
    <w:rsid w:val="009B529D"/>
    <w:rsid w:val="009B545F"/>
    <w:rsid w:val="009B6191"/>
    <w:rsid w:val="009B6592"/>
    <w:rsid w:val="009B66EF"/>
    <w:rsid w:val="009B6B05"/>
    <w:rsid w:val="009B71ED"/>
    <w:rsid w:val="009B7898"/>
    <w:rsid w:val="009B7B8C"/>
    <w:rsid w:val="009C045D"/>
    <w:rsid w:val="009C07BB"/>
    <w:rsid w:val="009C1A19"/>
    <w:rsid w:val="009C1DC0"/>
    <w:rsid w:val="009C2031"/>
    <w:rsid w:val="009C478B"/>
    <w:rsid w:val="009C63F5"/>
    <w:rsid w:val="009C695A"/>
    <w:rsid w:val="009C7302"/>
    <w:rsid w:val="009D396B"/>
    <w:rsid w:val="009D3C83"/>
    <w:rsid w:val="009D527E"/>
    <w:rsid w:val="009D5996"/>
    <w:rsid w:val="009D5D04"/>
    <w:rsid w:val="009D6DFD"/>
    <w:rsid w:val="009D768B"/>
    <w:rsid w:val="009E12A8"/>
    <w:rsid w:val="009E43F5"/>
    <w:rsid w:val="009E51F2"/>
    <w:rsid w:val="009E54BF"/>
    <w:rsid w:val="009E5708"/>
    <w:rsid w:val="009E7A8B"/>
    <w:rsid w:val="009F0718"/>
    <w:rsid w:val="009F1012"/>
    <w:rsid w:val="009F4754"/>
    <w:rsid w:val="00A01E71"/>
    <w:rsid w:val="00A024E8"/>
    <w:rsid w:val="00A061B7"/>
    <w:rsid w:val="00A06AA3"/>
    <w:rsid w:val="00A06ADC"/>
    <w:rsid w:val="00A07634"/>
    <w:rsid w:val="00A115A6"/>
    <w:rsid w:val="00A13070"/>
    <w:rsid w:val="00A13434"/>
    <w:rsid w:val="00A13793"/>
    <w:rsid w:val="00A13CD1"/>
    <w:rsid w:val="00A14C0D"/>
    <w:rsid w:val="00A14FA4"/>
    <w:rsid w:val="00A16986"/>
    <w:rsid w:val="00A17355"/>
    <w:rsid w:val="00A178AF"/>
    <w:rsid w:val="00A210CA"/>
    <w:rsid w:val="00A22827"/>
    <w:rsid w:val="00A252E5"/>
    <w:rsid w:val="00A2592C"/>
    <w:rsid w:val="00A26703"/>
    <w:rsid w:val="00A30D57"/>
    <w:rsid w:val="00A31219"/>
    <w:rsid w:val="00A33157"/>
    <w:rsid w:val="00A3598D"/>
    <w:rsid w:val="00A367F1"/>
    <w:rsid w:val="00A37EC1"/>
    <w:rsid w:val="00A406DB"/>
    <w:rsid w:val="00A411E8"/>
    <w:rsid w:val="00A421E1"/>
    <w:rsid w:val="00A4280D"/>
    <w:rsid w:val="00A44795"/>
    <w:rsid w:val="00A44E38"/>
    <w:rsid w:val="00A4548B"/>
    <w:rsid w:val="00A45553"/>
    <w:rsid w:val="00A47F5D"/>
    <w:rsid w:val="00A52ECE"/>
    <w:rsid w:val="00A562F2"/>
    <w:rsid w:val="00A570F2"/>
    <w:rsid w:val="00A612B6"/>
    <w:rsid w:val="00A61FCB"/>
    <w:rsid w:val="00A63D7B"/>
    <w:rsid w:val="00A66ABA"/>
    <w:rsid w:val="00A73289"/>
    <w:rsid w:val="00A75755"/>
    <w:rsid w:val="00A7615C"/>
    <w:rsid w:val="00A766D4"/>
    <w:rsid w:val="00A77A38"/>
    <w:rsid w:val="00A80319"/>
    <w:rsid w:val="00A82554"/>
    <w:rsid w:val="00A839FF"/>
    <w:rsid w:val="00A84D87"/>
    <w:rsid w:val="00A84F2E"/>
    <w:rsid w:val="00A85898"/>
    <w:rsid w:val="00A864BC"/>
    <w:rsid w:val="00A87F12"/>
    <w:rsid w:val="00A9583D"/>
    <w:rsid w:val="00A95E81"/>
    <w:rsid w:val="00A971F0"/>
    <w:rsid w:val="00A97D24"/>
    <w:rsid w:val="00AA0F7A"/>
    <w:rsid w:val="00AA1FE9"/>
    <w:rsid w:val="00AA26DF"/>
    <w:rsid w:val="00AA4055"/>
    <w:rsid w:val="00AA44A8"/>
    <w:rsid w:val="00AA4BAD"/>
    <w:rsid w:val="00AA6BED"/>
    <w:rsid w:val="00AA6E66"/>
    <w:rsid w:val="00AB1786"/>
    <w:rsid w:val="00AB1DE0"/>
    <w:rsid w:val="00AB1E3A"/>
    <w:rsid w:val="00AB1EA6"/>
    <w:rsid w:val="00AB2503"/>
    <w:rsid w:val="00AB6CBB"/>
    <w:rsid w:val="00AB7DCB"/>
    <w:rsid w:val="00AC04FB"/>
    <w:rsid w:val="00AC20AF"/>
    <w:rsid w:val="00AC263A"/>
    <w:rsid w:val="00AC2D8B"/>
    <w:rsid w:val="00AC5612"/>
    <w:rsid w:val="00AC5FBF"/>
    <w:rsid w:val="00AD0E09"/>
    <w:rsid w:val="00AD0F1E"/>
    <w:rsid w:val="00AD1C58"/>
    <w:rsid w:val="00AD2030"/>
    <w:rsid w:val="00AD3DF3"/>
    <w:rsid w:val="00AD41D7"/>
    <w:rsid w:val="00AD5D62"/>
    <w:rsid w:val="00AE01FC"/>
    <w:rsid w:val="00AE13D3"/>
    <w:rsid w:val="00AE183A"/>
    <w:rsid w:val="00AE3827"/>
    <w:rsid w:val="00AE5A1B"/>
    <w:rsid w:val="00AE748F"/>
    <w:rsid w:val="00AE7A03"/>
    <w:rsid w:val="00AE7B34"/>
    <w:rsid w:val="00AF0B7F"/>
    <w:rsid w:val="00AF319F"/>
    <w:rsid w:val="00B019B0"/>
    <w:rsid w:val="00B02643"/>
    <w:rsid w:val="00B03FE2"/>
    <w:rsid w:val="00B0426A"/>
    <w:rsid w:val="00B05480"/>
    <w:rsid w:val="00B07A5D"/>
    <w:rsid w:val="00B11E22"/>
    <w:rsid w:val="00B155C9"/>
    <w:rsid w:val="00B15BF3"/>
    <w:rsid w:val="00B16E92"/>
    <w:rsid w:val="00B17E3E"/>
    <w:rsid w:val="00B20754"/>
    <w:rsid w:val="00B21268"/>
    <w:rsid w:val="00B21DE7"/>
    <w:rsid w:val="00B22365"/>
    <w:rsid w:val="00B2493C"/>
    <w:rsid w:val="00B253B8"/>
    <w:rsid w:val="00B258C3"/>
    <w:rsid w:val="00B31534"/>
    <w:rsid w:val="00B35E17"/>
    <w:rsid w:val="00B3637B"/>
    <w:rsid w:val="00B37CAA"/>
    <w:rsid w:val="00B41A74"/>
    <w:rsid w:val="00B42EFB"/>
    <w:rsid w:val="00B445D2"/>
    <w:rsid w:val="00B44DD2"/>
    <w:rsid w:val="00B44FF2"/>
    <w:rsid w:val="00B4666D"/>
    <w:rsid w:val="00B477AD"/>
    <w:rsid w:val="00B50468"/>
    <w:rsid w:val="00B50EE9"/>
    <w:rsid w:val="00B51072"/>
    <w:rsid w:val="00B51D1F"/>
    <w:rsid w:val="00B545F5"/>
    <w:rsid w:val="00B54B20"/>
    <w:rsid w:val="00B57166"/>
    <w:rsid w:val="00B60872"/>
    <w:rsid w:val="00B61F1A"/>
    <w:rsid w:val="00B64F9B"/>
    <w:rsid w:val="00B66075"/>
    <w:rsid w:val="00B66644"/>
    <w:rsid w:val="00B67942"/>
    <w:rsid w:val="00B714EC"/>
    <w:rsid w:val="00B71964"/>
    <w:rsid w:val="00B7197F"/>
    <w:rsid w:val="00B728DF"/>
    <w:rsid w:val="00B72DE4"/>
    <w:rsid w:val="00B737C2"/>
    <w:rsid w:val="00B73983"/>
    <w:rsid w:val="00B73D91"/>
    <w:rsid w:val="00B80027"/>
    <w:rsid w:val="00B83545"/>
    <w:rsid w:val="00B843E2"/>
    <w:rsid w:val="00B8698D"/>
    <w:rsid w:val="00B907BC"/>
    <w:rsid w:val="00B90CA4"/>
    <w:rsid w:val="00B91E1A"/>
    <w:rsid w:val="00B92F19"/>
    <w:rsid w:val="00B9421B"/>
    <w:rsid w:val="00B959B3"/>
    <w:rsid w:val="00B96B33"/>
    <w:rsid w:val="00B9715F"/>
    <w:rsid w:val="00BA0948"/>
    <w:rsid w:val="00BA2588"/>
    <w:rsid w:val="00BA2859"/>
    <w:rsid w:val="00BA2B92"/>
    <w:rsid w:val="00BA41AC"/>
    <w:rsid w:val="00BA486B"/>
    <w:rsid w:val="00BB1E60"/>
    <w:rsid w:val="00BB45BA"/>
    <w:rsid w:val="00BB7D20"/>
    <w:rsid w:val="00BC03AF"/>
    <w:rsid w:val="00BC4653"/>
    <w:rsid w:val="00BC6B26"/>
    <w:rsid w:val="00BD123D"/>
    <w:rsid w:val="00BD341A"/>
    <w:rsid w:val="00BD4459"/>
    <w:rsid w:val="00BD6A24"/>
    <w:rsid w:val="00BD77EB"/>
    <w:rsid w:val="00BE0FFF"/>
    <w:rsid w:val="00BE1D11"/>
    <w:rsid w:val="00BE2530"/>
    <w:rsid w:val="00BE2B78"/>
    <w:rsid w:val="00BE4C56"/>
    <w:rsid w:val="00BE509F"/>
    <w:rsid w:val="00BE6A22"/>
    <w:rsid w:val="00BE7A73"/>
    <w:rsid w:val="00BE7C9D"/>
    <w:rsid w:val="00BF0D7E"/>
    <w:rsid w:val="00BF1D5D"/>
    <w:rsid w:val="00BF24B2"/>
    <w:rsid w:val="00BF26FE"/>
    <w:rsid w:val="00BF2B84"/>
    <w:rsid w:val="00BF46D6"/>
    <w:rsid w:val="00BF7CA8"/>
    <w:rsid w:val="00C0183E"/>
    <w:rsid w:val="00C01D2E"/>
    <w:rsid w:val="00C02330"/>
    <w:rsid w:val="00C028C0"/>
    <w:rsid w:val="00C04797"/>
    <w:rsid w:val="00C052E7"/>
    <w:rsid w:val="00C072A6"/>
    <w:rsid w:val="00C07B09"/>
    <w:rsid w:val="00C07EE5"/>
    <w:rsid w:val="00C12AB6"/>
    <w:rsid w:val="00C12FC7"/>
    <w:rsid w:val="00C14005"/>
    <w:rsid w:val="00C14CBC"/>
    <w:rsid w:val="00C15200"/>
    <w:rsid w:val="00C1687A"/>
    <w:rsid w:val="00C1775B"/>
    <w:rsid w:val="00C17FF6"/>
    <w:rsid w:val="00C212E5"/>
    <w:rsid w:val="00C21AE2"/>
    <w:rsid w:val="00C21AFE"/>
    <w:rsid w:val="00C21EF9"/>
    <w:rsid w:val="00C265C0"/>
    <w:rsid w:val="00C306EB"/>
    <w:rsid w:val="00C31C71"/>
    <w:rsid w:val="00C31D96"/>
    <w:rsid w:val="00C3345F"/>
    <w:rsid w:val="00C33AE4"/>
    <w:rsid w:val="00C343F6"/>
    <w:rsid w:val="00C347D1"/>
    <w:rsid w:val="00C349DF"/>
    <w:rsid w:val="00C3604F"/>
    <w:rsid w:val="00C4179A"/>
    <w:rsid w:val="00C42139"/>
    <w:rsid w:val="00C422A8"/>
    <w:rsid w:val="00C43C01"/>
    <w:rsid w:val="00C4545F"/>
    <w:rsid w:val="00C4617E"/>
    <w:rsid w:val="00C46FCB"/>
    <w:rsid w:val="00C4716C"/>
    <w:rsid w:val="00C47F4C"/>
    <w:rsid w:val="00C52155"/>
    <w:rsid w:val="00C53EEC"/>
    <w:rsid w:val="00C53FD0"/>
    <w:rsid w:val="00C5458B"/>
    <w:rsid w:val="00C547B3"/>
    <w:rsid w:val="00C550E4"/>
    <w:rsid w:val="00C55422"/>
    <w:rsid w:val="00C56A37"/>
    <w:rsid w:val="00C578D4"/>
    <w:rsid w:val="00C62674"/>
    <w:rsid w:val="00C63D8C"/>
    <w:rsid w:val="00C66321"/>
    <w:rsid w:val="00C66902"/>
    <w:rsid w:val="00C72AFE"/>
    <w:rsid w:val="00C75B6B"/>
    <w:rsid w:val="00C75C78"/>
    <w:rsid w:val="00C8040C"/>
    <w:rsid w:val="00C81B74"/>
    <w:rsid w:val="00C8245C"/>
    <w:rsid w:val="00C85F0F"/>
    <w:rsid w:val="00C86609"/>
    <w:rsid w:val="00C92727"/>
    <w:rsid w:val="00C9416D"/>
    <w:rsid w:val="00C94F85"/>
    <w:rsid w:val="00C97202"/>
    <w:rsid w:val="00C97219"/>
    <w:rsid w:val="00C973AE"/>
    <w:rsid w:val="00CA05E2"/>
    <w:rsid w:val="00CA1AE8"/>
    <w:rsid w:val="00CA476B"/>
    <w:rsid w:val="00CA486D"/>
    <w:rsid w:val="00CA4B5B"/>
    <w:rsid w:val="00CA686C"/>
    <w:rsid w:val="00CB18FD"/>
    <w:rsid w:val="00CB3186"/>
    <w:rsid w:val="00CB38D1"/>
    <w:rsid w:val="00CB4E17"/>
    <w:rsid w:val="00CB50E4"/>
    <w:rsid w:val="00CB51E9"/>
    <w:rsid w:val="00CB770A"/>
    <w:rsid w:val="00CB773C"/>
    <w:rsid w:val="00CC07B8"/>
    <w:rsid w:val="00CC0AB3"/>
    <w:rsid w:val="00CC1599"/>
    <w:rsid w:val="00CC3019"/>
    <w:rsid w:val="00CC45CC"/>
    <w:rsid w:val="00CC4662"/>
    <w:rsid w:val="00CC584F"/>
    <w:rsid w:val="00CC6FD0"/>
    <w:rsid w:val="00CD4225"/>
    <w:rsid w:val="00CD6225"/>
    <w:rsid w:val="00CD7067"/>
    <w:rsid w:val="00CE415A"/>
    <w:rsid w:val="00CE6F3C"/>
    <w:rsid w:val="00CF232C"/>
    <w:rsid w:val="00CF276E"/>
    <w:rsid w:val="00CF3C09"/>
    <w:rsid w:val="00CF64F4"/>
    <w:rsid w:val="00CF6BD1"/>
    <w:rsid w:val="00D009BE"/>
    <w:rsid w:val="00D00B6E"/>
    <w:rsid w:val="00D02120"/>
    <w:rsid w:val="00D03420"/>
    <w:rsid w:val="00D0553C"/>
    <w:rsid w:val="00D058DA"/>
    <w:rsid w:val="00D059E5"/>
    <w:rsid w:val="00D059FE"/>
    <w:rsid w:val="00D06B36"/>
    <w:rsid w:val="00D0730E"/>
    <w:rsid w:val="00D0775C"/>
    <w:rsid w:val="00D10FFC"/>
    <w:rsid w:val="00D1118D"/>
    <w:rsid w:val="00D11E00"/>
    <w:rsid w:val="00D13CE5"/>
    <w:rsid w:val="00D1794D"/>
    <w:rsid w:val="00D17D8F"/>
    <w:rsid w:val="00D22065"/>
    <w:rsid w:val="00D22C10"/>
    <w:rsid w:val="00D23093"/>
    <w:rsid w:val="00D249B9"/>
    <w:rsid w:val="00D24FED"/>
    <w:rsid w:val="00D26C89"/>
    <w:rsid w:val="00D3423E"/>
    <w:rsid w:val="00D34424"/>
    <w:rsid w:val="00D3511A"/>
    <w:rsid w:val="00D35BF0"/>
    <w:rsid w:val="00D37A52"/>
    <w:rsid w:val="00D37DAA"/>
    <w:rsid w:val="00D435B2"/>
    <w:rsid w:val="00D43A22"/>
    <w:rsid w:val="00D4439E"/>
    <w:rsid w:val="00D44AFC"/>
    <w:rsid w:val="00D5252C"/>
    <w:rsid w:val="00D538B0"/>
    <w:rsid w:val="00D55F2C"/>
    <w:rsid w:val="00D55FD6"/>
    <w:rsid w:val="00D57380"/>
    <w:rsid w:val="00D57B74"/>
    <w:rsid w:val="00D60299"/>
    <w:rsid w:val="00D60323"/>
    <w:rsid w:val="00D63D3C"/>
    <w:rsid w:val="00D63E37"/>
    <w:rsid w:val="00D6453A"/>
    <w:rsid w:val="00D6493D"/>
    <w:rsid w:val="00D6495D"/>
    <w:rsid w:val="00D653B2"/>
    <w:rsid w:val="00D65492"/>
    <w:rsid w:val="00D65B4B"/>
    <w:rsid w:val="00D66934"/>
    <w:rsid w:val="00D70A82"/>
    <w:rsid w:val="00D71481"/>
    <w:rsid w:val="00D71AFC"/>
    <w:rsid w:val="00D75A00"/>
    <w:rsid w:val="00D75D18"/>
    <w:rsid w:val="00D81F02"/>
    <w:rsid w:val="00D822DB"/>
    <w:rsid w:val="00D85AA1"/>
    <w:rsid w:val="00D8617A"/>
    <w:rsid w:val="00D8683F"/>
    <w:rsid w:val="00D90A21"/>
    <w:rsid w:val="00D921DE"/>
    <w:rsid w:val="00D9317B"/>
    <w:rsid w:val="00D93D44"/>
    <w:rsid w:val="00D93F7A"/>
    <w:rsid w:val="00D95697"/>
    <w:rsid w:val="00D95A0E"/>
    <w:rsid w:val="00D965D3"/>
    <w:rsid w:val="00D9688A"/>
    <w:rsid w:val="00D9749C"/>
    <w:rsid w:val="00DA08A4"/>
    <w:rsid w:val="00DA0A6C"/>
    <w:rsid w:val="00DA297C"/>
    <w:rsid w:val="00DA2B12"/>
    <w:rsid w:val="00DA5027"/>
    <w:rsid w:val="00DA6293"/>
    <w:rsid w:val="00DB15D5"/>
    <w:rsid w:val="00DB3427"/>
    <w:rsid w:val="00DB560E"/>
    <w:rsid w:val="00DC5796"/>
    <w:rsid w:val="00DC5DD1"/>
    <w:rsid w:val="00DC6A37"/>
    <w:rsid w:val="00DC6F5A"/>
    <w:rsid w:val="00DD0015"/>
    <w:rsid w:val="00DD34B8"/>
    <w:rsid w:val="00DD5E92"/>
    <w:rsid w:val="00DD74D1"/>
    <w:rsid w:val="00DE0287"/>
    <w:rsid w:val="00DE04FB"/>
    <w:rsid w:val="00DE1791"/>
    <w:rsid w:val="00DE3408"/>
    <w:rsid w:val="00DE3977"/>
    <w:rsid w:val="00DE4E23"/>
    <w:rsid w:val="00DF0667"/>
    <w:rsid w:val="00DF115B"/>
    <w:rsid w:val="00DF227B"/>
    <w:rsid w:val="00DF308B"/>
    <w:rsid w:val="00DF3B06"/>
    <w:rsid w:val="00DF4326"/>
    <w:rsid w:val="00DF49F9"/>
    <w:rsid w:val="00DF4F5B"/>
    <w:rsid w:val="00E0125B"/>
    <w:rsid w:val="00E01B9B"/>
    <w:rsid w:val="00E021B1"/>
    <w:rsid w:val="00E024C4"/>
    <w:rsid w:val="00E036BB"/>
    <w:rsid w:val="00E03A9B"/>
    <w:rsid w:val="00E04199"/>
    <w:rsid w:val="00E04F16"/>
    <w:rsid w:val="00E07141"/>
    <w:rsid w:val="00E11792"/>
    <w:rsid w:val="00E12A40"/>
    <w:rsid w:val="00E14C67"/>
    <w:rsid w:val="00E14CC2"/>
    <w:rsid w:val="00E160E2"/>
    <w:rsid w:val="00E162B5"/>
    <w:rsid w:val="00E167D0"/>
    <w:rsid w:val="00E16E2E"/>
    <w:rsid w:val="00E172B5"/>
    <w:rsid w:val="00E2035F"/>
    <w:rsid w:val="00E2079F"/>
    <w:rsid w:val="00E20D68"/>
    <w:rsid w:val="00E21FCD"/>
    <w:rsid w:val="00E223CE"/>
    <w:rsid w:val="00E30EE1"/>
    <w:rsid w:val="00E31E2E"/>
    <w:rsid w:val="00E34C5F"/>
    <w:rsid w:val="00E34DD5"/>
    <w:rsid w:val="00E35724"/>
    <w:rsid w:val="00E4256B"/>
    <w:rsid w:val="00E436F3"/>
    <w:rsid w:val="00E4491E"/>
    <w:rsid w:val="00E45A4F"/>
    <w:rsid w:val="00E46055"/>
    <w:rsid w:val="00E47F94"/>
    <w:rsid w:val="00E5137D"/>
    <w:rsid w:val="00E515C6"/>
    <w:rsid w:val="00E5291B"/>
    <w:rsid w:val="00E52BD9"/>
    <w:rsid w:val="00E54198"/>
    <w:rsid w:val="00E5455B"/>
    <w:rsid w:val="00E55267"/>
    <w:rsid w:val="00E579D9"/>
    <w:rsid w:val="00E622A7"/>
    <w:rsid w:val="00E63FE0"/>
    <w:rsid w:val="00E6507B"/>
    <w:rsid w:val="00E66383"/>
    <w:rsid w:val="00E7103B"/>
    <w:rsid w:val="00E72455"/>
    <w:rsid w:val="00E74C32"/>
    <w:rsid w:val="00E75DE2"/>
    <w:rsid w:val="00E80E48"/>
    <w:rsid w:val="00E813FE"/>
    <w:rsid w:val="00E819D0"/>
    <w:rsid w:val="00E84547"/>
    <w:rsid w:val="00E86342"/>
    <w:rsid w:val="00E903CA"/>
    <w:rsid w:val="00E911E8"/>
    <w:rsid w:val="00E9253E"/>
    <w:rsid w:val="00E92814"/>
    <w:rsid w:val="00E95CF5"/>
    <w:rsid w:val="00EA2F73"/>
    <w:rsid w:val="00EA57C9"/>
    <w:rsid w:val="00EA7D53"/>
    <w:rsid w:val="00EB29CC"/>
    <w:rsid w:val="00EB2C80"/>
    <w:rsid w:val="00EB44C7"/>
    <w:rsid w:val="00EB77B9"/>
    <w:rsid w:val="00EB77CB"/>
    <w:rsid w:val="00EC1CE3"/>
    <w:rsid w:val="00EC22EE"/>
    <w:rsid w:val="00EC29A8"/>
    <w:rsid w:val="00EC306C"/>
    <w:rsid w:val="00EC3206"/>
    <w:rsid w:val="00EC443F"/>
    <w:rsid w:val="00EC61F1"/>
    <w:rsid w:val="00ED24AB"/>
    <w:rsid w:val="00ED2750"/>
    <w:rsid w:val="00ED5364"/>
    <w:rsid w:val="00EE1664"/>
    <w:rsid w:val="00EE276D"/>
    <w:rsid w:val="00EE2E5D"/>
    <w:rsid w:val="00EE4816"/>
    <w:rsid w:val="00EE48FF"/>
    <w:rsid w:val="00EF02C0"/>
    <w:rsid w:val="00EF3472"/>
    <w:rsid w:val="00EF5EA3"/>
    <w:rsid w:val="00EF6650"/>
    <w:rsid w:val="00EF6920"/>
    <w:rsid w:val="00EF75F6"/>
    <w:rsid w:val="00F00070"/>
    <w:rsid w:val="00F00E1B"/>
    <w:rsid w:val="00F02E11"/>
    <w:rsid w:val="00F04564"/>
    <w:rsid w:val="00F04CA0"/>
    <w:rsid w:val="00F05DC7"/>
    <w:rsid w:val="00F10DDE"/>
    <w:rsid w:val="00F13B97"/>
    <w:rsid w:val="00F17ED9"/>
    <w:rsid w:val="00F203F9"/>
    <w:rsid w:val="00F24E06"/>
    <w:rsid w:val="00F3058C"/>
    <w:rsid w:val="00F315EC"/>
    <w:rsid w:val="00F346E8"/>
    <w:rsid w:val="00F35E07"/>
    <w:rsid w:val="00F3683E"/>
    <w:rsid w:val="00F42F55"/>
    <w:rsid w:val="00F44F86"/>
    <w:rsid w:val="00F45A52"/>
    <w:rsid w:val="00F52B73"/>
    <w:rsid w:val="00F549D5"/>
    <w:rsid w:val="00F54BA8"/>
    <w:rsid w:val="00F54DAD"/>
    <w:rsid w:val="00F55552"/>
    <w:rsid w:val="00F555E1"/>
    <w:rsid w:val="00F5662E"/>
    <w:rsid w:val="00F56705"/>
    <w:rsid w:val="00F5759B"/>
    <w:rsid w:val="00F575D7"/>
    <w:rsid w:val="00F63E31"/>
    <w:rsid w:val="00F6586A"/>
    <w:rsid w:val="00F710A1"/>
    <w:rsid w:val="00F710F0"/>
    <w:rsid w:val="00F714FD"/>
    <w:rsid w:val="00F774FF"/>
    <w:rsid w:val="00F778A8"/>
    <w:rsid w:val="00F77A38"/>
    <w:rsid w:val="00F8088A"/>
    <w:rsid w:val="00F8166A"/>
    <w:rsid w:val="00F81EAD"/>
    <w:rsid w:val="00F83D1E"/>
    <w:rsid w:val="00F85ED2"/>
    <w:rsid w:val="00F8779A"/>
    <w:rsid w:val="00F9096C"/>
    <w:rsid w:val="00F90D8D"/>
    <w:rsid w:val="00F9261C"/>
    <w:rsid w:val="00F928DD"/>
    <w:rsid w:val="00F92A53"/>
    <w:rsid w:val="00F94614"/>
    <w:rsid w:val="00F960EF"/>
    <w:rsid w:val="00F971C0"/>
    <w:rsid w:val="00F97344"/>
    <w:rsid w:val="00F97719"/>
    <w:rsid w:val="00FA120D"/>
    <w:rsid w:val="00FA27FD"/>
    <w:rsid w:val="00FA7DC8"/>
    <w:rsid w:val="00FB1248"/>
    <w:rsid w:val="00FB18B5"/>
    <w:rsid w:val="00FB39B2"/>
    <w:rsid w:val="00FB3BFB"/>
    <w:rsid w:val="00FB3D35"/>
    <w:rsid w:val="00FC00BB"/>
    <w:rsid w:val="00FC015B"/>
    <w:rsid w:val="00FC0863"/>
    <w:rsid w:val="00FC1D60"/>
    <w:rsid w:val="00FC2674"/>
    <w:rsid w:val="00FC377F"/>
    <w:rsid w:val="00FC3F99"/>
    <w:rsid w:val="00FC47D4"/>
    <w:rsid w:val="00FC7198"/>
    <w:rsid w:val="00FD0963"/>
    <w:rsid w:val="00FD101B"/>
    <w:rsid w:val="00FD316A"/>
    <w:rsid w:val="00FD5B43"/>
    <w:rsid w:val="00FD5E65"/>
    <w:rsid w:val="00FD633D"/>
    <w:rsid w:val="00FD71CD"/>
    <w:rsid w:val="00FD71DC"/>
    <w:rsid w:val="00FD74B0"/>
    <w:rsid w:val="00FE3988"/>
    <w:rsid w:val="00FE52BF"/>
    <w:rsid w:val="00FE58D6"/>
    <w:rsid w:val="00FF02D1"/>
    <w:rsid w:val="00FF0E6E"/>
    <w:rsid w:val="00FF2C5F"/>
    <w:rsid w:val="00FF2DA4"/>
    <w:rsid w:val="00FF4095"/>
    <w:rsid w:val="00FF4D27"/>
    <w:rsid w:val="00FF6B4B"/>
    <w:rsid w:val="00FF77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E1B"/>
    <w:pPr>
      <w:spacing w:after="0" w:line="240" w:lineRule="auto"/>
    </w:pPr>
    <w:rPr>
      <w:rFonts w:ascii="Arial Unicode MS" w:eastAsia="Arial Unicode MS" w:hAnsi="Arial Unicode MS" w:cs="Arial Unicode MS"/>
      <w:color w:val="000000"/>
      <w:sz w:val="24"/>
      <w:szCs w:val="24"/>
      <w:lang w:eastAsia="lt-LT"/>
    </w:rPr>
  </w:style>
  <w:style w:type="paragraph" w:styleId="Heading1">
    <w:name w:val="heading 1"/>
    <w:basedOn w:val="Normal"/>
    <w:next w:val="Normal"/>
    <w:link w:val="Heading1Char"/>
    <w:uiPriority w:val="9"/>
    <w:qFormat/>
    <w:rsid w:val="00316309"/>
    <w:pPr>
      <w:keepNext/>
      <w:keepLines/>
      <w:numPr>
        <w:numId w:val="1"/>
      </w:numPr>
      <w:spacing w:before="480"/>
      <w:jc w:val="center"/>
      <w:outlineLvl w:val="0"/>
    </w:pPr>
    <w:rPr>
      <w:rFonts w:ascii="Times New Roman" w:eastAsiaTheme="majorEastAsia" w:hAnsi="Times New Roman" w:cs="Times New Roman"/>
      <w:b/>
      <w:bCs/>
      <w:color w:val="auto"/>
      <w:sz w:val="28"/>
      <w:szCs w:val="28"/>
    </w:rPr>
  </w:style>
  <w:style w:type="paragraph" w:styleId="Heading2">
    <w:name w:val="heading 2"/>
    <w:basedOn w:val="Normal"/>
    <w:next w:val="Normal"/>
    <w:link w:val="Heading2Char"/>
    <w:uiPriority w:val="9"/>
    <w:unhideWhenUsed/>
    <w:qFormat/>
    <w:rsid w:val="00F9096C"/>
    <w:pPr>
      <w:keepNext/>
      <w:keepLines/>
      <w:numPr>
        <w:ilvl w:val="1"/>
        <w:numId w:val="1"/>
      </w:numPr>
      <w:outlineLvl w:val="1"/>
    </w:pPr>
    <w:rPr>
      <w:rFonts w:ascii="Times New Roman" w:eastAsiaTheme="majorEastAsia" w:hAnsi="Times New Roman" w:cs="Times New Roman"/>
      <w:b/>
      <w:bCs/>
      <w:color w:val="auto"/>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507E1B"/>
  </w:style>
  <w:style w:type="paragraph" w:styleId="Footer">
    <w:name w:val="footer"/>
    <w:basedOn w:val="Normal"/>
    <w:link w:val="FooterChar"/>
    <w:rsid w:val="00507E1B"/>
    <w:pPr>
      <w:tabs>
        <w:tab w:val="center" w:pos="4819"/>
        <w:tab w:val="right" w:pos="9638"/>
      </w:tabs>
    </w:pPr>
  </w:style>
  <w:style w:type="character" w:customStyle="1" w:styleId="FooterChar">
    <w:name w:val="Footer Char"/>
    <w:basedOn w:val="DefaultParagraphFont"/>
    <w:link w:val="Footer"/>
    <w:rsid w:val="00507E1B"/>
    <w:rPr>
      <w:rFonts w:ascii="Arial Unicode MS" w:eastAsia="Arial Unicode MS" w:hAnsi="Arial Unicode MS" w:cs="Arial Unicode MS"/>
      <w:color w:val="000000"/>
      <w:sz w:val="24"/>
      <w:szCs w:val="24"/>
      <w:lang w:eastAsia="lt-LT"/>
    </w:rPr>
  </w:style>
  <w:style w:type="character" w:styleId="PageNumber">
    <w:name w:val="page number"/>
    <w:basedOn w:val="DefaultParagraphFont"/>
    <w:rsid w:val="00507E1B"/>
  </w:style>
  <w:style w:type="paragraph" w:styleId="Header">
    <w:name w:val="header"/>
    <w:basedOn w:val="Normal"/>
    <w:link w:val="HeaderChar"/>
    <w:uiPriority w:val="99"/>
    <w:rsid w:val="00507E1B"/>
    <w:pPr>
      <w:tabs>
        <w:tab w:val="center" w:pos="4819"/>
        <w:tab w:val="right" w:pos="9638"/>
      </w:tabs>
    </w:pPr>
  </w:style>
  <w:style w:type="character" w:customStyle="1" w:styleId="HeaderChar">
    <w:name w:val="Header Char"/>
    <w:basedOn w:val="DefaultParagraphFont"/>
    <w:link w:val="Header"/>
    <w:uiPriority w:val="99"/>
    <w:rsid w:val="00507E1B"/>
    <w:rPr>
      <w:rFonts w:ascii="Arial Unicode MS" w:eastAsia="Arial Unicode MS" w:hAnsi="Arial Unicode MS" w:cs="Arial Unicode MS"/>
      <w:color w:val="000000"/>
      <w:sz w:val="24"/>
      <w:szCs w:val="24"/>
      <w:lang w:eastAsia="lt-LT"/>
    </w:rPr>
  </w:style>
  <w:style w:type="character" w:customStyle="1" w:styleId="Heading1Char">
    <w:name w:val="Heading 1 Char"/>
    <w:basedOn w:val="DefaultParagraphFont"/>
    <w:link w:val="Heading1"/>
    <w:uiPriority w:val="9"/>
    <w:rsid w:val="00316309"/>
    <w:rPr>
      <w:rFonts w:ascii="Times New Roman" w:eastAsiaTheme="majorEastAsia" w:hAnsi="Times New Roman" w:cs="Times New Roman"/>
      <w:b/>
      <w:bCs/>
      <w:sz w:val="28"/>
      <w:szCs w:val="28"/>
      <w:lang w:eastAsia="lt-LT"/>
    </w:rPr>
  </w:style>
  <w:style w:type="character" w:customStyle="1" w:styleId="Heading2Char">
    <w:name w:val="Heading 2 Char"/>
    <w:basedOn w:val="DefaultParagraphFont"/>
    <w:link w:val="Heading2"/>
    <w:uiPriority w:val="9"/>
    <w:rsid w:val="00F9096C"/>
    <w:rPr>
      <w:rFonts w:ascii="Times New Roman" w:eastAsiaTheme="majorEastAsia" w:hAnsi="Times New Roman" w:cs="Times New Roman"/>
      <w:b/>
      <w:bCs/>
      <w:sz w:val="28"/>
      <w:szCs w:val="28"/>
      <w:lang w:eastAsia="lt-LT"/>
    </w:rPr>
  </w:style>
  <w:style w:type="paragraph" w:styleId="BalloonText">
    <w:name w:val="Balloon Text"/>
    <w:basedOn w:val="Normal"/>
    <w:link w:val="BalloonTextChar"/>
    <w:uiPriority w:val="99"/>
    <w:semiHidden/>
    <w:unhideWhenUsed/>
    <w:rsid w:val="000814E3"/>
    <w:rPr>
      <w:rFonts w:ascii="Tahoma" w:hAnsi="Tahoma" w:cs="Tahoma"/>
      <w:sz w:val="16"/>
      <w:szCs w:val="16"/>
    </w:rPr>
  </w:style>
  <w:style w:type="character" w:customStyle="1" w:styleId="BalloonTextChar">
    <w:name w:val="Balloon Text Char"/>
    <w:basedOn w:val="DefaultParagraphFont"/>
    <w:link w:val="BalloonText"/>
    <w:uiPriority w:val="99"/>
    <w:semiHidden/>
    <w:rsid w:val="000814E3"/>
    <w:rPr>
      <w:rFonts w:ascii="Tahoma" w:eastAsia="Arial Unicode MS" w:hAnsi="Tahoma" w:cs="Tahoma"/>
      <w:color w:val="000000"/>
      <w:sz w:val="16"/>
      <w:szCs w:val="16"/>
      <w:lang w:eastAsia="lt-LT"/>
    </w:rPr>
  </w:style>
  <w:style w:type="table" w:styleId="TableGrid">
    <w:name w:val="Table Grid"/>
    <w:basedOn w:val="TableNormal"/>
    <w:uiPriority w:val="59"/>
    <w:rsid w:val="00917E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590343"/>
    <w:pPr>
      <w:ind w:left="720"/>
      <w:contextualSpacing/>
    </w:pPr>
  </w:style>
  <w:style w:type="character" w:styleId="Hyperlink">
    <w:name w:val="Hyperlink"/>
    <w:basedOn w:val="DefaultParagraphFont"/>
    <w:uiPriority w:val="99"/>
    <w:unhideWhenUsed/>
    <w:rsid w:val="008722BE"/>
    <w:rPr>
      <w:color w:val="0000FF" w:themeColor="hyperlink"/>
      <w:u w:val="single"/>
    </w:rPr>
  </w:style>
  <w:style w:type="paragraph" w:styleId="NormalWeb">
    <w:name w:val="Normal (Web)"/>
    <w:basedOn w:val="Normal"/>
    <w:uiPriority w:val="99"/>
    <w:unhideWhenUsed/>
    <w:rsid w:val="00850F59"/>
    <w:pPr>
      <w:spacing w:before="100" w:beforeAutospacing="1" w:after="100" w:afterAutospacing="1"/>
    </w:pPr>
    <w:rPr>
      <w:rFonts w:ascii="Times New Roman" w:eastAsia="Times New Roman" w:hAnsi="Times New Roman" w:cs="Times New Roman"/>
      <w:color w:val="auto"/>
    </w:rPr>
  </w:style>
  <w:style w:type="table" w:styleId="LightList-Accent5">
    <w:name w:val="Light List Accent 5"/>
    <w:basedOn w:val="TableNormal"/>
    <w:uiPriority w:val="61"/>
    <w:rsid w:val="00A406D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1">
    <w:name w:val="Light Grid Accent 1"/>
    <w:basedOn w:val="TableNormal"/>
    <w:uiPriority w:val="62"/>
    <w:rsid w:val="00B91E1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Shading">
    <w:name w:val="Light Shading"/>
    <w:basedOn w:val="TableNormal"/>
    <w:uiPriority w:val="60"/>
    <w:rsid w:val="00B91E1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B91E1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B91E1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FollowedHyperlink">
    <w:name w:val="FollowedHyperlink"/>
    <w:basedOn w:val="DefaultParagraphFont"/>
    <w:uiPriority w:val="99"/>
    <w:semiHidden/>
    <w:unhideWhenUsed/>
    <w:rsid w:val="00C62674"/>
    <w:rPr>
      <w:color w:val="800080" w:themeColor="followedHyperlink"/>
      <w:u w:val="single"/>
    </w:rPr>
  </w:style>
  <w:style w:type="paragraph" w:styleId="TOC1">
    <w:name w:val="toc 1"/>
    <w:basedOn w:val="Normal"/>
    <w:next w:val="Normal"/>
    <w:autoRedefine/>
    <w:uiPriority w:val="39"/>
    <w:unhideWhenUsed/>
    <w:rsid w:val="00B737C2"/>
    <w:pPr>
      <w:spacing w:after="100"/>
    </w:pPr>
  </w:style>
  <w:style w:type="paragraph" w:styleId="TOC2">
    <w:name w:val="toc 2"/>
    <w:basedOn w:val="Normal"/>
    <w:next w:val="Normal"/>
    <w:autoRedefine/>
    <w:uiPriority w:val="39"/>
    <w:unhideWhenUsed/>
    <w:rsid w:val="00B737C2"/>
    <w:pPr>
      <w:spacing w:after="100"/>
      <w:ind w:left="240"/>
    </w:pPr>
  </w:style>
  <w:style w:type="character" w:styleId="PlaceholderText">
    <w:name w:val="Placeholder Text"/>
    <w:basedOn w:val="DefaultParagraphFont"/>
    <w:uiPriority w:val="99"/>
    <w:semiHidden/>
    <w:rsid w:val="007E254A"/>
    <w:rPr>
      <w:color w:val="808080"/>
    </w:rPr>
  </w:style>
  <w:style w:type="paragraph" w:styleId="BodyText2">
    <w:name w:val="Body Text 2"/>
    <w:basedOn w:val="Normal"/>
    <w:link w:val="BodyText2Char"/>
    <w:uiPriority w:val="99"/>
    <w:semiHidden/>
    <w:unhideWhenUsed/>
    <w:rsid w:val="001549CE"/>
    <w:pPr>
      <w:spacing w:after="120" w:line="480" w:lineRule="auto"/>
    </w:pPr>
  </w:style>
  <w:style w:type="character" w:customStyle="1" w:styleId="BodyText2Char">
    <w:name w:val="Body Text 2 Char"/>
    <w:basedOn w:val="DefaultParagraphFont"/>
    <w:link w:val="BodyText2"/>
    <w:uiPriority w:val="99"/>
    <w:semiHidden/>
    <w:rsid w:val="001549CE"/>
    <w:rPr>
      <w:rFonts w:ascii="Arial Unicode MS" w:eastAsia="Arial Unicode MS" w:hAnsi="Arial Unicode MS" w:cs="Arial Unicode MS"/>
      <w:color w:val="000000"/>
      <w:sz w:val="24"/>
      <w:szCs w:val="24"/>
      <w:lang w:eastAsia="lt-LT"/>
    </w:rPr>
  </w:style>
  <w:style w:type="table" w:styleId="LightGrid-Accent5">
    <w:name w:val="Light Grid Accent 5"/>
    <w:basedOn w:val="TableNormal"/>
    <w:uiPriority w:val="62"/>
    <w:rsid w:val="000B7E1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Shading-Accent5">
    <w:name w:val="Light Shading Accent 5"/>
    <w:basedOn w:val="TableNormal"/>
    <w:uiPriority w:val="60"/>
    <w:rsid w:val="000B7E1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List1-Accent5">
    <w:name w:val="Medium List 1 Accent 5"/>
    <w:basedOn w:val="TableNormal"/>
    <w:uiPriority w:val="65"/>
    <w:rsid w:val="007A6210"/>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1-Accent5">
    <w:name w:val="Medium Shading 1 Accent 5"/>
    <w:basedOn w:val="TableNormal"/>
    <w:uiPriority w:val="63"/>
    <w:rsid w:val="007A6210"/>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Grid3-Accent5">
    <w:name w:val="Medium Grid 3 Accent 5"/>
    <w:basedOn w:val="TableNormal"/>
    <w:uiPriority w:val="69"/>
    <w:rsid w:val="00F3058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Paveikslai">
    <w:name w:val="Paveikslai"/>
    <w:basedOn w:val="Normal"/>
    <w:link w:val="PaveikslaiChar"/>
    <w:qFormat/>
    <w:rsid w:val="00924B1F"/>
    <w:pPr>
      <w:spacing w:line="360" w:lineRule="auto"/>
      <w:jc w:val="center"/>
    </w:pPr>
    <w:rPr>
      <w:rFonts w:ascii="Times New Roman" w:hAnsi="Times New Roman" w:cs="Times New Roman"/>
      <w:b/>
    </w:rPr>
  </w:style>
  <w:style w:type="paragraph" w:customStyle="1" w:styleId="Lentels">
    <w:name w:val="Lentelės"/>
    <w:basedOn w:val="Normal"/>
    <w:link w:val="LentelsChar"/>
    <w:qFormat/>
    <w:rsid w:val="00924B1F"/>
    <w:pPr>
      <w:tabs>
        <w:tab w:val="left" w:pos="567"/>
      </w:tabs>
      <w:spacing w:line="360" w:lineRule="auto"/>
      <w:jc w:val="center"/>
    </w:pPr>
    <w:rPr>
      <w:rFonts w:ascii="Times New Roman" w:hAnsi="Times New Roman" w:cs="Times New Roman"/>
      <w:b/>
    </w:rPr>
  </w:style>
  <w:style w:type="character" w:customStyle="1" w:styleId="PaveikslaiChar">
    <w:name w:val="Paveikslai Char"/>
    <w:basedOn w:val="DefaultParagraphFont"/>
    <w:link w:val="Paveikslai"/>
    <w:rsid w:val="00924B1F"/>
    <w:rPr>
      <w:rFonts w:ascii="Times New Roman" w:eastAsia="Arial Unicode MS" w:hAnsi="Times New Roman" w:cs="Times New Roman"/>
      <w:b/>
      <w:color w:val="000000"/>
      <w:sz w:val="24"/>
      <w:szCs w:val="24"/>
      <w:lang w:eastAsia="lt-LT"/>
    </w:rPr>
  </w:style>
  <w:style w:type="paragraph" w:styleId="TableofFigures">
    <w:name w:val="table of figures"/>
    <w:basedOn w:val="Normal"/>
    <w:next w:val="Normal"/>
    <w:uiPriority w:val="99"/>
    <w:unhideWhenUsed/>
    <w:rsid w:val="00BA2859"/>
  </w:style>
  <w:style w:type="character" w:customStyle="1" w:styleId="LentelsChar">
    <w:name w:val="Lentelės Char"/>
    <w:basedOn w:val="DefaultParagraphFont"/>
    <w:link w:val="Lentels"/>
    <w:rsid w:val="00924B1F"/>
    <w:rPr>
      <w:rFonts w:ascii="Times New Roman" w:eastAsia="Arial Unicode MS" w:hAnsi="Times New Roman" w:cs="Times New Roman"/>
      <w:b/>
      <w:color w:val="000000"/>
      <w:sz w:val="24"/>
      <w:szCs w:val="24"/>
      <w:lang w:eastAsia="lt-LT"/>
    </w:rPr>
  </w:style>
  <w:style w:type="character" w:styleId="LineNumber">
    <w:name w:val="line number"/>
    <w:basedOn w:val="DefaultParagraphFont"/>
    <w:uiPriority w:val="99"/>
    <w:semiHidden/>
    <w:unhideWhenUsed/>
    <w:rsid w:val="008E7D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E1B"/>
    <w:pPr>
      <w:spacing w:after="0" w:line="240" w:lineRule="auto"/>
    </w:pPr>
    <w:rPr>
      <w:rFonts w:ascii="Arial Unicode MS" w:eastAsia="Arial Unicode MS" w:hAnsi="Arial Unicode MS" w:cs="Arial Unicode MS"/>
      <w:color w:val="000000"/>
      <w:sz w:val="24"/>
      <w:szCs w:val="24"/>
      <w:lang w:eastAsia="lt-LT"/>
    </w:rPr>
  </w:style>
  <w:style w:type="paragraph" w:styleId="Heading1">
    <w:name w:val="heading 1"/>
    <w:basedOn w:val="Normal"/>
    <w:next w:val="Normal"/>
    <w:link w:val="Heading1Char"/>
    <w:uiPriority w:val="9"/>
    <w:qFormat/>
    <w:rsid w:val="00316309"/>
    <w:pPr>
      <w:keepNext/>
      <w:keepLines/>
      <w:numPr>
        <w:numId w:val="1"/>
      </w:numPr>
      <w:spacing w:before="480"/>
      <w:jc w:val="center"/>
      <w:outlineLvl w:val="0"/>
    </w:pPr>
    <w:rPr>
      <w:rFonts w:ascii="Times New Roman" w:eastAsiaTheme="majorEastAsia" w:hAnsi="Times New Roman" w:cs="Times New Roman"/>
      <w:b/>
      <w:bCs/>
      <w:color w:val="auto"/>
      <w:sz w:val="28"/>
      <w:szCs w:val="28"/>
    </w:rPr>
  </w:style>
  <w:style w:type="paragraph" w:styleId="Heading2">
    <w:name w:val="heading 2"/>
    <w:basedOn w:val="Normal"/>
    <w:next w:val="Normal"/>
    <w:link w:val="Heading2Char"/>
    <w:uiPriority w:val="9"/>
    <w:unhideWhenUsed/>
    <w:qFormat/>
    <w:rsid w:val="00F9096C"/>
    <w:pPr>
      <w:keepNext/>
      <w:keepLines/>
      <w:numPr>
        <w:ilvl w:val="1"/>
        <w:numId w:val="1"/>
      </w:numPr>
      <w:outlineLvl w:val="1"/>
    </w:pPr>
    <w:rPr>
      <w:rFonts w:ascii="Times New Roman" w:eastAsiaTheme="majorEastAsia" w:hAnsi="Times New Roman" w:cs="Times New Roman"/>
      <w:b/>
      <w:bCs/>
      <w:color w:val="auto"/>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507E1B"/>
  </w:style>
  <w:style w:type="paragraph" w:styleId="Footer">
    <w:name w:val="footer"/>
    <w:basedOn w:val="Normal"/>
    <w:link w:val="FooterChar"/>
    <w:rsid w:val="00507E1B"/>
    <w:pPr>
      <w:tabs>
        <w:tab w:val="center" w:pos="4819"/>
        <w:tab w:val="right" w:pos="9638"/>
      </w:tabs>
    </w:pPr>
  </w:style>
  <w:style w:type="character" w:customStyle="1" w:styleId="FooterChar">
    <w:name w:val="Footer Char"/>
    <w:basedOn w:val="DefaultParagraphFont"/>
    <w:link w:val="Footer"/>
    <w:rsid w:val="00507E1B"/>
    <w:rPr>
      <w:rFonts w:ascii="Arial Unicode MS" w:eastAsia="Arial Unicode MS" w:hAnsi="Arial Unicode MS" w:cs="Arial Unicode MS"/>
      <w:color w:val="000000"/>
      <w:sz w:val="24"/>
      <w:szCs w:val="24"/>
      <w:lang w:eastAsia="lt-LT"/>
    </w:rPr>
  </w:style>
  <w:style w:type="character" w:styleId="PageNumber">
    <w:name w:val="page number"/>
    <w:basedOn w:val="DefaultParagraphFont"/>
    <w:rsid w:val="00507E1B"/>
  </w:style>
  <w:style w:type="paragraph" w:styleId="Header">
    <w:name w:val="header"/>
    <w:basedOn w:val="Normal"/>
    <w:link w:val="HeaderChar"/>
    <w:uiPriority w:val="99"/>
    <w:rsid w:val="00507E1B"/>
    <w:pPr>
      <w:tabs>
        <w:tab w:val="center" w:pos="4819"/>
        <w:tab w:val="right" w:pos="9638"/>
      </w:tabs>
    </w:pPr>
  </w:style>
  <w:style w:type="character" w:customStyle="1" w:styleId="HeaderChar">
    <w:name w:val="Header Char"/>
    <w:basedOn w:val="DefaultParagraphFont"/>
    <w:link w:val="Header"/>
    <w:uiPriority w:val="99"/>
    <w:rsid w:val="00507E1B"/>
    <w:rPr>
      <w:rFonts w:ascii="Arial Unicode MS" w:eastAsia="Arial Unicode MS" w:hAnsi="Arial Unicode MS" w:cs="Arial Unicode MS"/>
      <w:color w:val="000000"/>
      <w:sz w:val="24"/>
      <w:szCs w:val="24"/>
      <w:lang w:eastAsia="lt-LT"/>
    </w:rPr>
  </w:style>
  <w:style w:type="character" w:customStyle="1" w:styleId="Heading1Char">
    <w:name w:val="Heading 1 Char"/>
    <w:basedOn w:val="DefaultParagraphFont"/>
    <w:link w:val="Heading1"/>
    <w:uiPriority w:val="9"/>
    <w:rsid w:val="00316309"/>
    <w:rPr>
      <w:rFonts w:ascii="Times New Roman" w:eastAsiaTheme="majorEastAsia" w:hAnsi="Times New Roman" w:cs="Times New Roman"/>
      <w:b/>
      <w:bCs/>
      <w:sz w:val="28"/>
      <w:szCs w:val="28"/>
      <w:lang w:eastAsia="lt-LT"/>
    </w:rPr>
  </w:style>
  <w:style w:type="character" w:customStyle="1" w:styleId="Heading2Char">
    <w:name w:val="Heading 2 Char"/>
    <w:basedOn w:val="DefaultParagraphFont"/>
    <w:link w:val="Heading2"/>
    <w:uiPriority w:val="9"/>
    <w:rsid w:val="00F9096C"/>
    <w:rPr>
      <w:rFonts w:ascii="Times New Roman" w:eastAsiaTheme="majorEastAsia" w:hAnsi="Times New Roman" w:cs="Times New Roman"/>
      <w:b/>
      <w:bCs/>
      <w:sz w:val="28"/>
      <w:szCs w:val="28"/>
      <w:lang w:eastAsia="lt-LT"/>
    </w:rPr>
  </w:style>
  <w:style w:type="paragraph" w:styleId="BalloonText">
    <w:name w:val="Balloon Text"/>
    <w:basedOn w:val="Normal"/>
    <w:link w:val="BalloonTextChar"/>
    <w:uiPriority w:val="99"/>
    <w:semiHidden/>
    <w:unhideWhenUsed/>
    <w:rsid w:val="000814E3"/>
    <w:rPr>
      <w:rFonts w:ascii="Tahoma" w:hAnsi="Tahoma" w:cs="Tahoma"/>
      <w:sz w:val="16"/>
      <w:szCs w:val="16"/>
    </w:rPr>
  </w:style>
  <w:style w:type="character" w:customStyle="1" w:styleId="BalloonTextChar">
    <w:name w:val="Balloon Text Char"/>
    <w:basedOn w:val="DefaultParagraphFont"/>
    <w:link w:val="BalloonText"/>
    <w:uiPriority w:val="99"/>
    <w:semiHidden/>
    <w:rsid w:val="000814E3"/>
    <w:rPr>
      <w:rFonts w:ascii="Tahoma" w:eastAsia="Arial Unicode MS" w:hAnsi="Tahoma" w:cs="Tahoma"/>
      <w:color w:val="000000"/>
      <w:sz w:val="16"/>
      <w:szCs w:val="16"/>
      <w:lang w:eastAsia="lt-LT"/>
    </w:rPr>
  </w:style>
  <w:style w:type="table" w:styleId="TableGrid">
    <w:name w:val="Table Grid"/>
    <w:basedOn w:val="TableNormal"/>
    <w:uiPriority w:val="59"/>
    <w:rsid w:val="00917E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590343"/>
    <w:pPr>
      <w:ind w:left="720"/>
      <w:contextualSpacing/>
    </w:pPr>
  </w:style>
  <w:style w:type="character" w:styleId="Hyperlink">
    <w:name w:val="Hyperlink"/>
    <w:basedOn w:val="DefaultParagraphFont"/>
    <w:uiPriority w:val="99"/>
    <w:unhideWhenUsed/>
    <w:rsid w:val="008722BE"/>
    <w:rPr>
      <w:color w:val="0000FF" w:themeColor="hyperlink"/>
      <w:u w:val="single"/>
    </w:rPr>
  </w:style>
  <w:style w:type="paragraph" w:styleId="NormalWeb">
    <w:name w:val="Normal (Web)"/>
    <w:basedOn w:val="Normal"/>
    <w:uiPriority w:val="99"/>
    <w:unhideWhenUsed/>
    <w:rsid w:val="00850F59"/>
    <w:pPr>
      <w:spacing w:before="100" w:beforeAutospacing="1" w:after="100" w:afterAutospacing="1"/>
    </w:pPr>
    <w:rPr>
      <w:rFonts w:ascii="Times New Roman" w:eastAsia="Times New Roman" w:hAnsi="Times New Roman" w:cs="Times New Roman"/>
      <w:color w:val="auto"/>
    </w:rPr>
  </w:style>
  <w:style w:type="table" w:styleId="LightList-Accent5">
    <w:name w:val="Light List Accent 5"/>
    <w:basedOn w:val="TableNormal"/>
    <w:uiPriority w:val="61"/>
    <w:rsid w:val="00A406D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1">
    <w:name w:val="Light Grid Accent 1"/>
    <w:basedOn w:val="TableNormal"/>
    <w:uiPriority w:val="62"/>
    <w:rsid w:val="00B91E1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Shading">
    <w:name w:val="Light Shading"/>
    <w:basedOn w:val="TableNormal"/>
    <w:uiPriority w:val="60"/>
    <w:rsid w:val="00B91E1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B91E1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B91E1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FollowedHyperlink">
    <w:name w:val="FollowedHyperlink"/>
    <w:basedOn w:val="DefaultParagraphFont"/>
    <w:uiPriority w:val="99"/>
    <w:semiHidden/>
    <w:unhideWhenUsed/>
    <w:rsid w:val="00C62674"/>
    <w:rPr>
      <w:color w:val="800080" w:themeColor="followedHyperlink"/>
      <w:u w:val="single"/>
    </w:rPr>
  </w:style>
  <w:style w:type="paragraph" w:styleId="TOC1">
    <w:name w:val="toc 1"/>
    <w:basedOn w:val="Normal"/>
    <w:next w:val="Normal"/>
    <w:autoRedefine/>
    <w:uiPriority w:val="39"/>
    <w:unhideWhenUsed/>
    <w:rsid w:val="00B737C2"/>
    <w:pPr>
      <w:spacing w:after="100"/>
    </w:pPr>
  </w:style>
  <w:style w:type="paragraph" w:styleId="TOC2">
    <w:name w:val="toc 2"/>
    <w:basedOn w:val="Normal"/>
    <w:next w:val="Normal"/>
    <w:autoRedefine/>
    <w:uiPriority w:val="39"/>
    <w:unhideWhenUsed/>
    <w:rsid w:val="00B737C2"/>
    <w:pPr>
      <w:spacing w:after="100"/>
      <w:ind w:left="240"/>
    </w:pPr>
  </w:style>
  <w:style w:type="character" w:styleId="PlaceholderText">
    <w:name w:val="Placeholder Text"/>
    <w:basedOn w:val="DefaultParagraphFont"/>
    <w:uiPriority w:val="99"/>
    <w:semiHidden/>
    <w:rsid w:val="007E254A"/>
    <w:rPr>
      <w:color w:val="808080"/>
    </w:rPr>
  </w:style>
  <w:style w:type="paragraph" w:styleId="BodyText2">
    <w:name w:val="Body Text 2"/>
    <w:basedOn w:val="Normal"/>
    <w:link w:val="BodyText2Char"/>
    <w:uiPriority w:val="99"/>
    <w:semiHidden/>
    <w:unhideWhenUsed/>
    <w:rsid w:val="001549CE"/>
    <w:pPr>
      <w:spacing w:after="120" w:line="480" w:lineRule="auto"/>
    </w:pPr>
  </w:style>
  <w:style w:type="character" w:customStyle="1" w:styleId="BodyText2Char">
    <w:name w:val="Body Text 2 Char"/>
    <w:basedOn w:val="DefaultParagraphFont"/>
    <w:link w:val="BodyText2"/>
    <w:uiPriority w:val="99"/>
    <w:semiHidden/>
    <w:rsid w:val="001549CE"/>
    <w:rPr>
      <w:rFonts w:ascii="Arial Unicode MS" w:eastAsia="Arial Unicode MS" w:hAnsi="Arial Unicode MS" w:cs="Arial Unicode MS"/>
      <w:color w:val="000000"/>
      <w:sz w:val="24"/>
      <w:szCs w:val="24"/>
      <w:lang w:eastAsia="lt-LT"/>
    </w:rPr>
  </w:style>
  <w:style w:type="table" w:styleId="LightGrid-Accent5">
    <w:name w:val="Light Grid Accent 5"/>
    <w:basedOn w:val="TableNormal"/>
    <w:uiPriority w:val="62"/>
    <w:rsid w:val="000B7E1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Shading-Accent5">
    <w:name w:val="Light Shading Accent 5"/>
    <w:basedOn w:val="TableNormal"/>
    <w:uiPriority w:val="60"/>
    <w:rsid w:val="000B7E1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List1-Accent5">
    <w:name w:val="Medium List 1 Accent 5"/>
    <w:basedOn w:val="TableNormal"/>
    <w:uiPriority w:val="65"/>
    <w:rsid w:val="007A6210"/>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1-Accent5">
    <w:name w:val="Medium Shading 1 Accent 5"/>
    <w:basedOn w:val="TableNormal"/>
    <w:uiPriority w:val="63"/>
    <w:rsid w:val="007A6210"/>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Grid3-Accent5">
    <w:name w:val="Medium Grid 3 Accent 5"/>
    <w:basedOn w:val="TableNormal"/>
    <w:uiPriority w:val="69"/>
    <w:rsid w:val="00F3058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Paveikslai">
    <w:name w:val="Paveikslai"/>
    <w:basedOn w:val="Normal"/>
    <w:link w:val="PaveikslaiChar"/>
    <w:qFormat/>
    <w:rsid w:val="00924B1F"/>
    <w:pPr>
      <w:spacing w:line="360" w:lineRule="auto"/>
      <w:jc w:val="center"/>
    </w:pPr>
    <w:rPr>
      <w:rFonts w:ascii="Times New Roman" w:hAnsi="Times New Roman" w:cs="Times New Roman"/>
      <w:b/>
    </w:rPr>
  </w:style>
  <w:style w:type="paragraph" w:customStyle="1" w:styleId="Lentels">
    <w:name w:val="Lentelės"/>
    <w:basedOn w:val="Normal"/>
    <w:link w:val="LentelsChar"/>
    <w:qFormat/>
    <w:rsid w:val="00924B1F"/>
    <w:pPr>
      <w:tabs>
        <w:tab w:val="left" w:pos="567"/>
      </w:tabs>
      <w:spacing w:line="360" w:lineRule="auto"/>
      <w:jc w:val="center"/>
    </w:pPr>
    <w:rPr>
      <w:rFonts w:ascii="Times New Roman" w:hAnsi="Times New Roman" w:cs="Times New Roman"/>
      <w:b/>
    </w:rPr>
  </w:style>
  <w:style w:type="character" w:customStyle="1" w:styleId="PaveikslaiChar">
    <w:name w:val="Paveikslai Char"/>
    <w:basedOn w:val="DefaultParagraphFont"/>
    <w:link w:val="Paveikslai"/>
    <w:rsid w:val="00924B1F"/>
    <w:rPr>
      <w:rFonts w:ascii="Times New Roman" w:eastAsia="Arial Unicode MS" w:hAnsi="Times New Roman" w:cs="Times New Roman"/>
      <w:b/>
      <w:color w:val="000000"/>
      <w:sz w:val="24"/>
      <w:szCs w:val="24"/>
      <w:lang w:eastAsia="lt-LT"/>
    </w:rPr>
  </w:style>
  <w:style w:type="paragraph" w:styleId="TableofFigures">
    <w:name w:val="table of figures"/>
    <w:basedOn w:val="Normal"/>
    <w:next w:val="Normal"/>
    <w:uiPriority w:val="99"/>
    <w:unhideWhenUsed/>
    <w:rsid w:val="00BA2859"/>
  </w:style>
  <w:style w:type="character" w:customStyle="1" w:styleId="LentelsChar">
    <w:name w:val="Lentelės Char"/>
    <w:basedOn w:val="DefaultParagraphFont"/>
    <w:link w:val="Lentels"/>
    <w:rsid w:val="00924B1F"/>
    <w:rPr>
      <w:rFonts w:ascii="Times New Roman" w:eastAsia="Arial Unicode MS" w:hAnsi="Times New Roman" w:cs="Times New Roman"/>
      <w:b/>
      <w:color w:val="000000"/>
      <w:sz w:val="24"/>
      <w:szCs w:val="24"/>
      <w:lang w:eastAsia="lt-LT"/>
    </w:rPr>
  </w:style>
  <w:style w:type="character" w:styleId="LineNumber">
    <w:name w:val="line number"/>
    <w:basedOn w:val="DefaultParagraphFont"/>
    <w:uiPriority w:val="99"/>
    <w:semiHidden/>
    <w:unhideWhenUsed/>
    <w:rsid w:val="008E7D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408163">
      <w:bodyDiv w:val="1"/>
      <w:marLeft w:val="0"/>
      <w:marRight w:val="0"/>
      <w:marTop w:val="0"/>
      <w:marBottom w:val="0"/>
      <w:divBdr>
        <w:top w:val="none" w:sz="0" w:space="0" w:color="auto"/>
        <w:left w:val="none" w:sz="0" w:space="0" w:color="auto"/>
        <w:bottom w:val="none" w:sz="0" w:space="0" w:color="auto"/>
        <w:right w:val="none" w:sz="0" w:space="0" w:color="auto"/>
      </w:divBdr>
    </w:div>
    <w:div w:id="168302734">
      <w:bodyDiv w:val="1"/>
      <w:marLeft w:val="0"/>
      <w:marRight w:val="0"/>
      <w:marTop w:val="0"/>
      <w:marBottom w:val="0"/>
      <w:divBdr>
        <w:top w:val="none" w:sz="0" w:space="0" w:color="auto"/>
        <w:left w:val="none" w:sz="0" w:space="0" w:color="auto"/>
        <w:bottom w:val="none" w:sz="0" w:space="0" w:color="auto"/>
        <w:right w:val="none" w:sz="0" w:space="0" w:color="auto"/>
      </w:divBdr>
      <w:divsChild>
        <w:div w:id="517472556">
          <w:marLeft w:val="0"/>
          <w:marRight w:val="0"/>
          <w:marTop w:val="0"/>
          <w:marBottom w:val="0"/>
          <w:divBdr>
            <w:top w:val="none" w:sz="0" w:space="0" w:color="auto"/>
            <w:left w:val="none" w:sz="0" w:space="0" w:color="auto"/>
            <w:bottom w:val="none" w:sz="0" w:space="0" w:color="auto"/>
            <w:right w:val="none" w:sz="0" w:space="0" w:color="auto"/>
          </w:divBdr>
        </w:div>
        <w:div w:id="751778189">
          <w:marLeft w:val="0"/>
          <w:marRight w:val="0"/>
          <w:marTop w:val="0"/>
          <w:marBottom w:val="0"/>
          <w:divBdr>
            <w:top w:val="none" w:sz="0" w:space="0" w:color="auto"/>
            <w:left w:val="none" w:sz="0" w:space="0" w:color="auto"/>
            <w:bottom w:val="none" w:sz="0" w:space="0" w:color="auto"/>
            <w:right w:val="none" w:sz="0" w:space="0" w:color="auto"/>
          </w:divBdr>
        </w:div>
        <w:div w:id="1813978875">
          <w:marLeft w:val="0"/>
          <w:marRight w:val="0"/>
          <w:marTop w:val="0"/>
          <w:marBottom w:val="0"/>
          <w:divBdr>
            <w:top w:val="none" w:sz="0" w:space="0" w:color="auto"/>
            <w:left w:val="none" w:sz="0" w:space="0" w:color="auto"/>
            <w:bottom w:val="none" w:sz="0" w:space="0" w:color="auto"/>
            <w:right w:val="none" w:sz="0" w:space="0" w:color="auto"/>
          </w:divBdr>
        </w:div>
      </w:divsChild>
    </w:div>
    <w:div w:id="540363397">
      <w:bodyDiv w:val="1"/>
      <w:marLeft w:val="0"/>
      <w:marRight w:val="0"/>
      <w:marTop w:val="0"/>
      <w:marBottom w:val="0"/>
      <w:divBdr>
        <w:top w:val="none" w:sz="0" w:space="0" w:color="auto"/>
        <w:left w:val="none" w:sz="0" w:space="0" w:color="auto"/>
        <w:bottom w:val="none" w:sz="0" w:space="0" w:color="auto"/>
        <w:right w:val="none" w:sz="0" w:space="0" w:color="auto"/>
      </w:divBdr>
    </w:div>
    <w:div w:id="862480434">
      <w:bodyDiv w:val="1"/>
      <w:marLeft w:val="0"/>
      <w:marRight w:val="0"/>
      <w:marTop w:val="0"/>
      <w:marBottom w:val="0"/>
      <w:divBdr>
        <w:top w:val="none" w:sz="0" w:space="0" w:color="auto"/>
        <w:left w:val="none" w:sz="0" w:space="0" w:color="auto"/>
        <w:bottom w:val="none" w:sz="0" w:space="0" w:color="auto"/>
        <w:right w:val="none" w:sz="0" w:space="0" w:color="auto"/>
      </w:divBdr>
      <w:divsChild>
        <w:div w:id="882711743">
          <w:marLeft w:val="0"/>
          <w:marRight w:val="0"/>
          <w:marTop w:val="0"/>
          <w:marBottom w:val="0"/>
          <w:divBdr>
            <w:top w:val="none" w:sz="0" w:space="0" w:color="auto"/>
            <w:left w:val="none" w:sz="0" w:space="0" w:color="auto"/>
            <w:bottom w:val="none" w:sz="0" w:space="0" w:color="auto"/>
            <w:right w:val="none" w:sz="0" w:space="0" w:color="auto"/>
          </w:divBdr>
        </w:div>
        <w:div w:id="887687671">
          <w:marLeft w:val="0"/>
          <w:marRight w:val="0"/>
          <w:marTop w:val="0"/>
          <w:marBottom w:val="0"/>
          <w:divBdr>
            <w:top w:val="none" w:sz="0" w:space="0" w:color="auto"/>
            <w:left w:val="none" w:sz="0" w:space="0" w:color="auto"/>
            <w:bottom w:val="none" w:sz="0" w:space="0" w:color="auto"/>
            <w:right w:val="none" w:sz="0" w:space="0" w:color="auto"/>
          </w:divBdr>
        </w:div>
        <w:div w:id="1307319212">
          <w:marLeft w:val="0"/>
          <w:marRight w:val="0"/>
          <w:marTop w:val="0"/>
          <w:marBottom w:val="0"/>
          <w:divBdr>
            <w:top w:val="none" w:sz="0" w:space="0" w:color="auto"/>
            <w:left w:val="none" w:sz="0" w:space="0" w:color="auto"/>
            <w:bottom w:val="none" w:sz="0" w:space="0" w:color="auto"/>
            <w:right w:val="none" w:sz="0" w:space="0" w:color="auto"/>
          </w:divBdr>
        </w:div>
        <w:div w:id="1613711213">
          <w:marLeft w:val="0"/>
          <w:marRight w:val="0"/>
          <w:marTop w:val="0"/>
          <w:marBottom w:val="0"/>
          <w:divBdr>
            <w:top w:val="none" w:sz="0" w:space="0" w:color="auto"/>
            <w:left w:val="none" w:sz="0" w:space="0" w:color="auto"/>
            <w:bottom w:val="none" w:sz="0" w:space="0" w:color="auto"/>
            <w:right w:val="none" w:sz="0" w:space="0" w:color="auto"/>
          </w:divBdr>
        </w:div>
      </w:divsChild>
    </w:div>
    <w:div w:id="911355978">
      <w:bodyDiv w:val="1"/>
      <w:marLeft w:val="0"/>
      <w:marRight w:val="0"/>
      <w:marTop w:val="0"/>
      <w:marBottom w:val="0"/>
      <w:divBdr>
        <w:top w:val="none" w:sz="0" w:space="0" w:color="auto"/>
        <w:left w:val="none" w:sz="0" w:space="0" w:color="auto"/>
        <w:bottom w:val="none" w:sz="0" w:space="0" w:color="auto"/>
        <w:right w:val="none" w:sz="0" w:space="0" w:color="auto"/>
      </w:divBdr>
    </w:div>
    <w:div w:id="1268807764">
      <w:bodyDiv w:val="1"/>
      <w:marLeft w:val="0"/>
      <w:marRight w:val="0"/>
      <w:marTop w:val="0"/>
      <w:marBottom w:val="0"/>
      <w:divBdr>
        <w:top w:val="none" w:sz="0" w:space="0" w:color="auto"/>
        <w:left w:val="none" w:sz="0" w:space="0" w:color="auto"/>
        <w:bottom w:val="none" w:sz="0" w:space="0" w:color="auto"/>
        <w:right w:val="none" w:sz="0" w:space="0" w:color="auto"/>
      </w:divBdr>
      <w:divsChild>
        <w:div w:id="109054231">
          <w:marLeft w:val="0"/>
          <w:marRight w:val="0"/>
          <w:marTop w:val="0"/>
          <w:marBottom w:val="0"/>
          <w:divBdr>
            <w:top w:val="none" w:sz="0" w:space="0" w:color="auto"/>
            <w:left w:val="none" w:sz="0" w:space="0" w:color="auto"/>
            <w:bottom w:val="none" w:sz="0" w:space="0" w:color="auto"/>
            <w:right w:val="none" w:sz="0" w:space="0" w:color="auto"/>
          </w:divBdr>
        </w:div>
        <w:div w:id="999700029">
          <w:marLeft w:val="0"/>
          <w:marRight w:val="0"/>
          <w:marTop w:val="0"/>
          <w:marBottom w:val="0"/>
          <w:divBdr>
            <w:top w:val="none" w:sz="0" w:space="0" w:color="auto"/>
            <w:left w:val="none" w:sz="0" w:space="0" w:color="auto"/>
            <w:bottom w:val="none" w:sz="0" w:space="0" w:color="auto"/>
            <w:right w:val="none" w:sz="0" w:space="0" w:color="auto"/>
          </w:divBdr>
        </w:div>
        <w:div w:id="1654947227">
          <w:marLeft w:val="0"/>
          <w:marRight w:val="0"/>
          <w:marTop w:val="0"/>
          <w:marBottom w:val="0"/>
          <w:divBdr>
            <w:top w:val="none" w:sz="0" w:space="0" w:color="auto"/>
            <w:left w:val="none" w:sz="0" w:space="0" w:color="auto"/>
            <w:bottom w:val="none" w:sz="0" w:space="0" w:color="auto"/>
            <w:right w:val="none" w:sz="0" w:space="0" w:color="auto"/>
          </w:divBdr>
        </w:div>
      </w:divsChild>
    </w:div>
    <w:div w:id="1737825393">
      <w:bodyDiv w:val="1"/>
      <w:marLeft w:val="0"/>
      <w:marRight w:val="0"/>
      <w:marTop w:val="0"/>
      <w:marBottom w:val="0"/>
      <w:divBdr>
        <w:top w:val="none" w:sz="0" w:space="0" w:color="auto"/>
        <w:left w:val="none" w:sz="0" w:space="0" w:color="auto"/>
        <w:bottom w:val="none" w:sz="0" w:space="0" w:color="auto"/>
        <w:right w:val="none" w:sz="0" w:space="0" w:color="auto"/>
      </w:divBdr>
    </w:div>
    <w:div w:id="1977178862">
      <w:bodyDiv w:val="1"/>
      <w:marLeft w:val="0"/>
      <w:marRight w:val="0"/>
      <w:marTop w:val="0"/>
      <w:marBottom w:val="0"/>
      <w:divBdr>
        <w:top w:val="none" w:sz="0" w:space="0" w:color="auto"/>
        <w:left w:val="none" w:sz="0" w:space="0" w:color="auto"/>
        <w:bottom w:val="none" w:sz="0" w:space="0" w:color="auto"/>
        <w:right w:val="none" w:sz="0" w:space="0" w:color="auto"/>
      </w:divBdr>
      <w:divsChild>
        <w:div w:id="159076831">
          <w:marLeft w:val="0"/>
          <w:marRight w:val="0"/>
          <w:marTop w:val="0"/>
          <w:marBottom w:val="0"/>
          <w:divBdr>
            <w:top w:val="none" w:sz="0" w:space="0" w:color="auto"/>
            <w:left w:val="none" w:sz="0" w:space="0" w:color="auto"/>
            <w:bottom w:val="none" w:sz="0" w:space="0" w:color="auto"/>
            <w:right w:val="none" w:sz="0" w:space="0" w:color="auto"/>
          </w:divBdr>
        </w:div>
        <w:div w:id="1182935602">
          <w:marLeft w:val="0"/>
          <w:marRight w:val="0"/>
          <w:marTop w:val="0"/>
          <w:marBottom w:val="0"/>
          <w:divBdr>
            <w:top w:val="none" w:sz="0" w:space="0" w:color="auto"/>
            <w:left w:val="none" w:sz="0" w:space="0" w:color="auto"/>
            <w:bottom w:val="none" w:sz="0" w:space="0" w:color="auto"/>
            <w:right w:val="none" w:sz="0" w:space="0" w:color="auto"/>
          </w:divBdr>
        </w:div>
        <w:div w:id="1302922159">
          <w:marLeft w:val="0"/>
          <w:marRight w:val="0"/>
          <w:marTop w:val="0"/>
          <w:marBottom w:val="0"/>
          <w:divBdr>
            <w:top w:val="none" w:sz="0" w:space="0" w:color="auto"/>
            <w:left w:val="none" w:sz="0" w:space="0" w:color="auto"/>
            <w:bottom w:val="none" w:sz="0" w:space="0" w:color="auto"/>
            <w:right w:val="none" w:sz="0" w:space="0" w:color="auto"/>
          </w:divBdr>
        </w:div>
        <w:div w:id="17548882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3.xml"/><Relationship Id="rId21" Type="http://schemas.openxmlformats.org/officeDocument/2006/relationships/diagramQuickStyle" Target="diagrams/quickStyle2.xml"/><Relationship Id="rId42" Type="http://schemas.openxmlformats.org/officeDocument/2006/relationships/oleObject" Target="embeddings/oleObject7.bin"/><Relationship Id="rId47" Type="http://schemas.openxmlformats.org/officeDocument/2006/relationships/chart" Target="charts/chart3.xml"/><Relationship Id="rId63" Type="http://schemas.openxmlformats.org/officeDocument/2006/relationships/image" Target="media/image10.wmf"/><Relationship Id="rId68" Type="http://schemas.openxmlformats.org/officeDocument/2006/relationships/oleObject" Target="embeddings/oleObject12.bin"/><Relationship Id="rId84" Type="http://schemas.openxmlformats.org/officeDocument/2006/relationships/hyperlink" Target="http://www.finmin.lt/finmin.lt/failai/es_biudzeto_perziura/Transporto_sektoriaus_pletra.pdf" TargetMode="External"/><Relationship Id="rId89" Type="http://schemas.openxmlformats.org/officeDocument/2006/relationships/hyperlink" Target="http://www.liisingliit.ee/leht.php?pgID=108&amp;&amp;lang=eng" TargetMode="External"/><Relationship Id="rId7" Type="http://schemas.openxmlformats.org/officeDocument/2006/relationships/footnotes" Target="footnotes.xml"/><Relationship Id="rId71" Type="http://schemas.openxmlformats.org/officeDocument/2006/relationships/hyperlink" Target="http://www.sciencedirect.com/science/article/pii/S0161893803000279" TargetMode="External"/><Relationship Id="rId92" Type="http://schemas.openxmlformats.org/officeDocument/2006/relationships/hyperlink" Target="http://www.leaseurope.org/uploads/documents/stats/European%20Leasing%20Market%202011.pdf" TargetMode="Externa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image" Target="media/image1.wmf"/><Relationship Id="rId11" Type="http://schemas.openxmlformats.org/officeDocument/2006/relationships/footer" Target="footer2.xml"/><Relationship Id="rId24" Type="http://schemas.openxmlformats.org/officeDocument/2006/relationships/diagramData" Target="diagrams/data3.xml"/><Relationship Id="rId32" Type="http://schemas.openxmlformats.org/officeDocument/2006/relationships/oleObject" Target="embeddings/oleObject2.bin"/><Relationship Id="rId37" Type="http://schemas.openxmlformats.org/officeDocument/2006/relationships/image" Target="media/image5.wmf"/><Relationship Id="rId40" Type="http://schemas.openxmlformats.org/officeDocument/2006/relationships/oleObject" Target="embeddings/oleObject6.bin"/><Relationship Id="rId45" Type="http://schemas.openxmlformats.org/officeDocument/2006/relationships/chart" Target="charts/chart1.xml"/><Relationship Id="rId53" Type="http://schemas.openxmlformats.org/officeDocument/2006/relationships/chart" Target="charts/chart9.xml"/><Relationship Id="rId58" Type="http://schemas.openxmlformats.org/officeDocument/2006/relationships/chart" Target="charts/chart14.xml"/><Relationship Id="rId66" Type="http://schemas.openxmlformats.org/officeDocument/2006/relationships/oleObject" Target="embeddings/oleObject11.bin"/><Relationship Id="rId74" Type="http://schemas.openxmlformats.org/officeDocument/2006/relationships/hyperlink" Target="http://papers.ssrn.com/sol3/papers.cfm?abstract_id=863424" TargetMode="External"/><Relationship Id="rId79" Type="http://schemas.openxmlformats.org/officeDocument/2006/relationships/hyperlink" Target="http://www.lja.lt/naujas/absolventu_klubas/perspektyva/1_nr/NR1.pdf" TargetMode="External"/><Relationship Id="rId87" Type="http://schemas.openxmlformats.org/officeDocument/2006/relationships/hyperlink" Target="http://www.fleetnews.co.uk/files/wly2012-abridged.pdf" TargetMode="External"/><Relationship Id="rId102" Type="http://schemas.openxmlformats.org/officeDocument/2006/relationships/hyperlink" Target="http://db1.stat.gov.lt/statbank/default.asp?w=1366" TargetMode="External"/><Relationship Id="rId5" Type="http://schemas.openxmlformats.org/officeDocument/2006/relationships/settings" Target="settings.xml"/><Relationship Id="rId61" Type="http://schemas.openxmlformats.org/officeDocument/2006/relationships/image" Target="media/image9.wmf"/><Relationship Id="rId82" Type="http://schemas.openxmlformats.org/officeDocument/2006/relationships/hyperlink" Target="http://papers.ssrn.com/sol3/papers.cfm?abstract_id=1015710" TargetMode="External"/><Relationship Id="rId90" Type="http://schemas.openxmlformats.org/officeDocument/2006/relationships/hyperlink" Target="http://verslas.delfi.lt/business/gnauseda-lietuvos-ekonomika-grizo-i-20052008-m.d?id=57071393" TargetMode="External"/><Relationship Id="rId95" Type="http://schemas.openxmlformats.org/officeDocument/2006/relationships/hyperlink" Target="http://www.leaseurope.org/uploads/documents/stats/European%20Leasing%20Market%202008%283%29.pdf" TargetMode="External"/><Relationship Id="rId19" Type="http://schemas.openxmlformats.org/officeDocument/2006/relationships/diagramData" Target="diagrams/data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oleObject" Target="embeddings/oleObject1.bin"/><Relationship Id="rId35" Type="http://schemas.openxmlformats.org/officeDocument/2006/relationships/image" Target="media/image4.wmf"/><Relationship Id="rId43" Type="http://schemas.openxmlformats.org/officeDocument/2006/relationships/image" Target="media/image8.wmf"/><Relationship Id="rId48" Type="http://schemas.openxmlformats.org/officeDocument/2006/relationships/chart" Target="charts/chart4.xml"/><Relationship Id="rId56" Type="http://schemas.openxmlformats.org/officeDocument/2006/relationships/chart" Target="charts/chart12.xml"/><Relationship Id="rId64" Type="http://schemas.openxmlformats.org/officeDocument/2006/relationships/oleObject" Target="embeddings/oleObject10.bin"/><Relationship Id="rId69" Type="http://schemas.openxmlformats.org/officeDocument/2006/relationships/hyperlink" Target="http://www.une.edu.au/business-school/working-papers/economics/1999-2007/econ-2006-5.pdf" TargetMode="External"/><Relationship Id="rId77" Type="http://schemas.openxmlformats.org/officeDocument/2006/relationships/hyperlink" Target="http://pdc.ceu.hu/archive/00004040/01/OeNB.pdf" TargetMode="External"/><Relationship Id="rId100" Type="http://schemas.openxmlformats.org/officeDocument/2006/relationships/hyperlink" Target="http://www.lba.lt/go.php/lit/Naujai_pasirasytu_lizingo_sutarciu_verte/2278" TargetMode="External"/><Relationship Id="rId8" Type="http://schemas.openxmlformats.org/officeDocument/2006/relationships/endnotes" Target="endnotes.xml"/><Relationship Id="rId51" Type="http://schemas.openxmlformats.org/officeDocument/2006/relationships/chart" Target="charts/chart7.xml"/><Relationship Id="rId72" Type="http://schemas.openxmlformats.org/officeDocument/2006/relationships/hyperlink" Target="http://www.ebrd.com/downloads/research/transition/TR06.pdf" TargetMode="External"/><Relationship Id="rId80" Type="http://schemas.openxmlformats.org/officeDocument/2006/relationships/hyperlink" Target="http://epub.wu.ac.at/420/1/document.pdf" TargetMode="External"/><Relationship Id="rId85" Type="http://schemas.openxmlformats.org/officeDocument/2006/relationships/hyperlink" Target="http://www.ecb.int/pub/pdf/scpops/ecbocp75.pdf" TargetMode="External"/><Relationship Id="rId93" Type="http://schemas.openxmlformats.org/officeDocument/2006/relationships/hyperlink" Target="http://www.leaseurope.org/uploads/documents/stats/European%20Leasing%20Market%202010.pdf" TargetMode="External"/><Relationship Id="rId98" Type="http://schemas.openxmlformats.org/officeDocument/2006/relationships/hyperlink" Target="http://www.lba.lt/go.php/lit/Lizingo_portfelio_struktura/2275" TargetMode="External"/><Relationship Id="rId3" Type="http://schemas.openxmlformats.org/officeDocument/2006/relationships/styles" Target="styles.xml"/><Relationship Id="rId12" Type="http://schemas.openxmlformats.org/officeDocument/2006/relationships/hyperlink" Target="https://stdb.mruni.eu/studiju_programos_aprasas.php?id=1394&amp;l=lt" TargetMode="Externa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image" Target="media/image3.wmf"/><Relationship Id="rId38" Type="http://schemas.openxmlformats.org/officeDocument/2006/relationships/oleObject" Target="embeddings/oleObject5.bin"/><Relationship Id="rId46" Type="http://schemas.openxmlformats.org/officeDocument/2006/relationships/chart" Target="charts/chart2.xml"/><Relationship Id="rId59" Type="http://schemas.openxmlformats.org/officeDocument/2006/relationships/chart" Target="charts/chart15.xml"/><Relationship Id="rId67" Type="http://schemas.openxmlformats.org/officeDocument/2006/relationships/image" Target="media/image12.wmf"/><Relationship Id="rId103" Type="http://schemas.openxmlformats.org/officeDocument/2006/relationships/fontTable" Target="fontTable.xml"/><Relationship Id="rId20" Type="http://schemas.openxmlformats.org/officeDocument/2006/relationships/diagramLayout" Target="diagrams/layout2.xml"/><Relationship Id="rId41" Type="http://schemas.openxmlformats.org/officeDocument/2006/relationships/image" Target="media/image7.wmf"/><Relationship Id="rId54" Type="http://schemas.openxmlformats.org/officeDocument/2006/relationships/chart" Target="charts/chart10.xml"/><Relationship Id="rId62" Type="http://schemas.openxmlformats.org/officeDocument/2006/relationships/oleObject" Target="embeddings/oleObject9.bin"/><Relationship Id="rId70" Type="http://schemas.openxmlformats.org/officeDocument/2006/relationships/hyperlink" Target="http://www.oenb.at/en/img/feei_2005_2_monitor_tcm16-33340.pdf" TargetMode="External"/><Relationship Id="rId75" Type="http://schemas.openxmlformats.org/officeDocument/2006/relationships/hyperlink" Target="http://www.elfaonline.org/cvweb_elfa/Product_Downloads/ACF606.pdf" TargetMode="External"/><Relationship Id="rId83" Type="http://schemas.openxmlformats.org/officeDocument/2006/relationships/hyperlink" Target="http://www.kpmg.com/TH/en/IssuesAndInsights/ArticlesPublications/Documents/2012/Tax/EuropeanLeasing(secured)FINAL.pdf" TargetMode="External"/><Relationship Id="rId88" Type="http://schemas.openxmlformats.org/officeDocument/2006/relationships/hyperlink" Target="http://db1.stat.gov.lt/statbank/default.asp?w=1366" TargetMode="External"/><Relationship Id="rId91" Type="http://schemas.openxmlformats.org/officeDocument/2006/relationships/hyperlink" Target="http://www.datosmacro.com/en/gdp" TargetMode="External"/><Relationship Id="rId96" Type="http://schemas.openxmlformats.org/officeDocument/2006/relationships/hyperlink" Target="http://www.lba.lt/go.php/lizingas"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oleObject" Target="embeddings/oleObject4.bin"/><Relationship Id="rId49" Type="http://schemas.openxmlformats.org/officeDocument/2006/relationships/chart" Target="charts/chart5.xml"/><Relationship Id="rId57" Type="http://schemas.openxmlformats.org/officeDocument/2006/relationships/chart" Target="charts/chart13.xml"/><Relationship Id="rId10" Type="http://schemas.openxmlformats.org/officeDocument/2006/relationships/footer" Target="footer1.xml"/><Relationship Id="rId31" Type="http://schemas.openxmlformats.org/officeDocument/2006/relationships/image" Target="media/image2.wmf"/><Relationship Id="rId44" Type="http://schemas.openxmlformats.org/officeDocument/2006/relationships/oleObject" Target="embeddings/oleObject8.bin"/><Relationship Id="rId52" Type="http://schemas.openxmlformats.org/officeDocument/2006/relationships/chart" Target="charts/chart8.xml"/><Relationship Id="rId60" Type="http://schemas.openxmlformats.org/officeDocument/2006/relationships/chart" Target="charts/chart16.xml"/><Relationship Id="rId65" Type="http://schemas.openxmlformats.org/officeDocument/2006/relationships/image" Target="media/image11.wmf"/><Relationship Id="rId73" Type="http://schemas.openxmlformats.org/officeDocument/2006/relationships/hyperlink" Target="http://papers.ssrn.com/sol3/papers.cfm?abstract_id=676321" TargetMode="External"/><Relationship Id="rId78" Type="http://schemas.openxmlformats.org/officeDocument/2006/relationships/hyperlink" Target="http://faculty.haas.berkeley.edu/jaffee/papers/Levonian.pdf" TargetMode="External"/><Relationship Id="rId81" Type="http://schemas.openxmlformats.org/officeDocument/2006/relationships/hyperlink" Target="http://library.agri-bank.com/pdfTemp/A5208.pdf" TargetMode="External"/><Relationship Id="rId86" Type="http://schemas.openxmlformats.org/officeDocument/2006/relationships/hyperlink" Target="http://www.tcmb.gov.tr/research/work/wp6.pdf" TargetMode="External"/><Relationship Id="rId94" Type="http://schemas.openxmlformats.org/officeDocument/2006/relationships/hyperlink" Target="http://www.leaseurope.org/uploads/documents/stats/European%20Leasing%20Market%202009.pdf" TargetMode="External"/><Relationship Id="rId99" Type="http://schemas.openxmlformats.org/officeDocument/2006/relationships/hyperlink" Target="http://www.lba.lt/go.php/lit/Lizingostatistikaiki_2009_m/1948" TargetMode="External"/><Relationship Id="rId101" Type="http://schemas.openxmlformats.org/officeDocument/2006/relationships/hyperlink" Target="http://db1.stat.gov.lt/statbank/default.asp?w=1366"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2.xml"/><Relationship Id="rId18" Type="http://schemas.microsoft.com/office/2007/relationships/diagramDrawing" Target="diagrams/drawing1.xml"/><Relationship Id="rId39" Type="http://schemas.openxmlformats.org/officeDocument/2006/relationships/image" Target="media/image6.wmf"/><Relationship Id="rId34" Type="http://schemas.openxmlformats.org/officeDocument/2006/relationships/oleObject" Target="embeddings/oleObject3.bin"/><Relationship Id="rId50" Type="http://schemas.openxmlformats.org/officeDocument/2006/relationships/chart" Target="charts/chart6.xml"/><Relationship Id="rId55" Type="http://schemas.openxmlformats.org/officeDocument/2006/relationships/chart" Target="charts/chart11.xml"/><Relationship Id="rId76" Type="http://schemas.openxmlformats.org/officeDocument/2006/relationships/hyperlink" Target="http://practicalaction.org/microleasing/docs/gallardo.pdf" TargetMode="External"/><Relationship Id="rId97" Type="http://schemas.openxmlformats.org/officeDocument/2006/relationships/hyperlink" Target="http://www.lba.lt/go.php/lit/Lizingo_ir_faktoringo_portfelio_ataskait/2271" TargetMode="External"/><Relationship Id="rId10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D:\Magistrinis\diagramos.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Magistrinis\diagramos.xlsx" TargetMode="Externa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1" Type="http://schemas.openxmlformats.org/officeDocument/2006/relationships/oleObject" Target="file:///D:\Magistrinis\diagram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5"/>
    </mc:Choice>
    <mc:Fallback>
      <c:style val="15"/>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numFmt formatCode="#,##0.00" sourceLinked="0"/>
            <c:showLegendKey val="0"/>
            <c:showVal val="1"/>
            <c:showCatName val="0"/>
            <c:showSerName val="0"/>
            <c:showPercent val="0"/>
            <c:showBubbleSize val="0"/>
            <c:showLeaderLines val="0"/>
          </c:dLbls>
          <c:cat>
            <c:numRef>
              <c:f>Sheet1!$A$23:$N$23</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Sheet1!$A$24:$N$24</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val>
        </c:ser>
        <c:dLbls>
          <c:showLegendKey val="0"/>
          <c:showVal val="0"/>
          <c:showCatName val="0"/>
          <c:showSerName val="0"/>
          <c:showPercent val="0"/>
          <c:showBubbleSize val="0"/>
        </c:dLbls>
        <c:gapWidth val="150"/>
        <c:axId val="73475200"/>
        <c:axId val="73476736"/>
      </c:barChart>
      <c:lineChart>
        <c:grouping val="standard"/>
        <c:varyColors val="0"/>
        <c:ser>
          <c:idx val="1"/>
          <c:order val="1"/>
          <c:marker>
            <c:symbol val="square"/>
            <c:size val="6"/>
          </c:marker>
          <c:val>
            <c:numRef>
              <c:f>Sheet1!$A$25:$N$25</c:f>
              <c:numCache>
                <c:formatCode>0.00</c:formatCode>
                <c:ptCount val="14"/>
                <c:pt idx="1">
                  <c:v>-11.180124223602494</c:v>
                </c:pt>
                <c:pt idx="2">
                  <c:v>22.552447552447553</c:v>
                </c:pt>
                <c:pt idx="3">
                  <c:v>60.485021398002857</c:v>
                </c:pt>
                <c:pt idx="4">
                  <c:v>62.222222222222221</c:v>
                </c:pt>
                <c:pt idx="5">
                  <c:v>47.780821917808225</c:v>
                </c:pt>
                <c:pt idx="6">
                  <c:v>44.123099740452354</c:v>
                </c:pt>
                <c:pt idx="7">
                  <c:v>36.866478003601756</c:v>
                </c:pt>
                <c:pt idx="8">
                  <c:v>40.620300751879689</c:v>
                </c:pt>
                <c:pt idx="9">
                  <c:v>45.127656730383627</c:v>
                </c:pt>
                <c:pt idx="10">
                  <c:v>4.4211108040895315</c:v>
                </c:pt>
                <c:pt idx="11">
                  <c:v>-31.410426038634558</c:v>
                </c:pt>
                <c:pt idx="12">
                  <c:v>-22.016460905349792</c:v>
                </c:pt>
                <c:pt idx="13">
                  <c:v>-11.889841688654355</c:v>
                </c:pt>
              </c:numCache>
            </c:numRef>
          </c:val>
          <c:smooth val="0"/>
        </c:ser>
        <c:dLbls>
          <c:showLegendKey val="0"/>
          <c:showVal val="0"/>
          <c:showCatName val="0"/>
          <c:showSerName val="0"/>
          <c:showPercent val="0"/>
          <c:showBubbleSize val="0"/>
        </c:dLbls>
        <c:marker val="1"/>
        <c:smooth val="0"/>
        <c:axId val="73484160"/>
        <c:axId val="73482624"/>
      </c:lineChart>
      <c:catAx>
        <c:axId val="73475200"/>
        <c:scaling>
          <c:orientation val="minMax"/>
        </c:scaling>
        <c:delete val="0"/>
        <c:axPos val="b"/>
        <c:numFmt formatCode="General" sourceLinked="1"/>
        <c:majorTickMark val="out"/>
        <c:minorTickMark val="none"/>
        <c:tickLblPos val="nextTo"/>
        <c:txPr>
          <a:bodyPr rot="-5400000" vert="horz"/>
          <a:lstStyle/>
          <a:p>
            <a:pPr>
              <a:defRPr/>
            </a:pPr>
            <a:endParaRPr lang="lt-LT"/>
          </a:p>
        </c:txPr>
        <c:crossAx val="73476736"/>
        <c:crosses val="autoZero"/>
        <c:auto val="1"/>
        <c:lblAlgn val="ctr"/>
        <c:lblOffset val="100"/>
        <c:noMultiLvlLbl val="0"/>
      </c:catAx>
      <c:valAx>
        <c:axId val="73476736"/>
        <c:scaling>
          <c:orientation val="minMax"/>
        </c:scaling>
        <c:delete val="0"/>
        <c:axPos val="l"/>
        <c:majorGridlines>
          <c:spPr>
            <a:ln>
              <a:noFill/>
            </a:ln>
          </c:spPr>
        </c:majorGridlines>
        <c:numFmt formatCode="General" sourceLinked="1"/>
        <c:majorTickMark val="out"/>
        <c:minorTickMark val="none"/>
        <c:tickLblPos val="nextTo"/>
        <c:crossAx val="73475200"/>
        <c:crosses val="autoZero"/>
        <c:crossBetween val="between"/>
      </c:valAx>
      <c:valAx>
        <c:axId val="73482624"/>
        <c:scaling>
          <c:orientation val="minMax"/>
        </c:scaling>
        <c:delete val="0"/>
        <c:axPos val="r"/>
        <c:numFmt formatCode="0.00" sourceLinked="1"/>
        <c:majorTickMark val="out"/>
        <c:minorTickMark val="none"/>
        <c:tickLblPos val="nextTo"/>
        <c:crossAx val="73484160"/>
        <c:crosses val="max"/>
        <c:crossBetween val="between"/>
      </c:valAx>
      <c:catAx>
        <c:axId val="73484160"/>
        <c:scaling>
          <c:orientation val="minMax"/>
        </c:scaling>
        <c:delete val="1"/>
        <c:axPos val="b"/>
        <c:majorTickMark val="out"/>
        <c:minorTickMark val="none"/>
        <c:tickLblPos val="nextTo"/>
        <c:crossAx val="73482624"/>
        <c:crosses val="autoZero"/>
        <c:auto val="1"/>
        <c:lblAlgn val="ctr"/>
        <c:lblOffset val="100"/>
        <c:noMultiLvlLbl val="0"/>
      </c:catAx>
    </c:plotArea>
    <c:plotVisOnly val="1"/>
    <c:dispBlanksAs val="gap"/>
    <c:showDLblsOverMax val="0"/>
  </c:chart>
  <c:spPr>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BVP_Portfelis!$F$1</c:f>
              <c:strCache>
                <c:ptCount val="1"/>
                <c:pt idx="0">
                  <c:v>Lizingo portfelis, mlrd.Lt</c:v>
                </c:pt>
              </c:strCache>
            </c:strRef>
          </c:tx>
          <c:invertIfNegative val="0"/>
          <c:dLbls>
            <c:delete val="1"/>
          </c:dLbls>
          <c:cat>
            <c:numRef>
              <c:f>BVP_Portfelis!$E$2:$E$15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BVP_Portfelis!$F$2:$F$15</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val>
        </c:ser>
        <c:ser>
          <c:idx val="1"/>
          <c:order val="1"/>
          <c:tx>
            <c:strRef>
              <c:f>BVP_Portfelis!$G$1</c:f>
              <c:strCache>
                <c:ptCount val="1"/>
                <c:pt idx="0">
                  <c:v>BVP to meto kainomis, mlrd.Lt</c:v>
                </c:pt>
              </c:strCache>
            </c:strRef>
          </c:tx>
          <c:invertIfNegative val="0"/>
          <c:dLbls>
            <c:delete val="1"/>
          </c:dLbls>
          <c:cat>
            <c:numRef>
              <c:f>BVP_Portfelis!$E$2:$E$15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BVP_Portfelis!$G$2:$G$15</c:f>
              <c:numCache>
                <c:formatCode>General</c:formatCode>
                <c:ptCount val="14"/>
                <c:pt idx="0">
                  <c:v>45.02</c:v>
                </c:pt>
                <c:pt idx="1">
                  <c:v>43.89</c:v>
                </c:pt>
                <c:pt idx="2">
                  <c:v>46</c:v>
                </c:pt>
                <c:pt idx="3">
                  <c:v>48.88</c:v>
                </c:pt>
                <c:pt idx="4">
                  <c:v>52.35</c:v>
                </c:pt>
                <c:pt idx="5">
                  <c:v>57.32</c:v>
                </c:pt>
                <c:pt idx="6">
                  <c:v>63</c:v>
                </c:pt>
                <c:pt idx="7">
                  <c:v>72.400000000000006</c:v>
                </c:pt>
                <c:pt idx="8">
                  <c:v>83.23</c:v>
                </c:pt>
                <c:pt idx="9">
                  <c:v>99.23</c:v>
                </c:pt>
                <c:pt idx="10">
                  <c:v>111.92</c:v>
                </c:pt>
                <c:pt idx="11">
                  <c:v>92.03</c:v>
                </c:pt>
                <c:pt idx="12">
                  <c:v>95.23</c:v>
                </c:pt>
                <c:pt idx="13">
                  <c:v>106.37</c:v>
                </c:pt>
              </c:numCache>
            </c:numRef>
          </c:val>
        </c:ser>
        <c:dLbls>
          <c:showLegendKey val="0"/>
          <c:showVal val="1"/>
          <c:showCatName val="0"/>
          <c:showSerName val="0"/>
          <c:showPercent val="0"/>
          <c:showBubbleSize val="0"/>
        </c:dLbls>
        <c:gapWidth val="75"/>
        <c:axId val="74113408"/>
        <c:axId val="74114944"/>
      </c:barChart>
      <c:lineChart>
        <c:grouping val="stacked"/>
        <c:varyColors val="0"/>
        <c:ser>
          <c:idx val="2"/>
          <c:order val="2"/>
          <c:tx>
            <c:strRef>
              <c:f>BVP_Portfelis!$H$1</c:f>
              <c:strCache>
                <c:ptCount val="1"/>
                <c:pt idx="0">
                  <c:v>Lizingo porfelis/BVP, %</c:v>
                </c:pt>
              </c:strCache>
            </c:strRef>
          </c:tx>
          <c:spPr>
            <a:ln>
              <a:solidFill>
                <a:schemeClr val="accent3">
                  <a:lumMod val="75000"/>
                </a:schemeClr>
              </a:solidFill>
            </a:ln>
          </c:spPr>
          <c:marker>
            <c:symbol val="none"/>
          </c:marker>
          <c:dLbls>
            <c:delete val="1"/>
          </c:dLbls>
          <c:cat>
            <c:numRef>
              <c:f>BVP_Portfelis!$E$2:$E$15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BVP_Portfelis!$H$2:$H$15</c:f>
              <c:numCache>
                <c:formatCode>0.00%</c:formatCode>
                <c:ptCount val="14"/>
                <c:pt idx="0">
                  <c:v>1.4304753442914259E-2</c:v>
                </c:pt>
                <c:pt idx="1">
                  <c:v>1.3032581453634085E-2</c:v>
                </c:pt>
                <c:pt idx="2">
                  <c:v>1.5239130434782608E-2</c:v>
                </c:pt>
                <c:pt idx="3">
                  <c:v>2.3015548281505729E-2</c:v>
                </c:pt>
                <c:pt idx="4">
                  <c:v>3.4861509073543455E-2</c:v>
                </c:pt>
                <c:pt idx="5">
                  <c:v>4.7051639916259595E-2</c:v>
                </c:pt>
                <c:pt idx="6">
                  <c:v>6.1698412698412697E-2</c:v>
                </c:pt>
                <c:pt idx="7">
                  <c:v>7.3480662983425413E-2</c:v>
                </c:pt>
                <c:pt idx="8">
                  <c:v>8.9883455484801145E-2</c:v>
                </c:pt>
                <c:pt idx="9">
                  <c:v>0.10941247606570592</c:v>
                </c:pt>
                <c:pt idx="10">
                  <c:v>0.10129556826304503</c:v>
                </c:pt>
                <c:pt idx="11">
                  <c:v>8.4494186678257088E-2</c:v>
                </c:pt>
                <c:pt idx="12">
                  <c:v>6.3677412580069301E-2</c:v>
                </c:pt>
                <c:pt idx="13">
                  <c:v>5.0230328100028199E-2</c:v>
                </c:pt>
              </c:numCache>
            </c:numRef>
          </c:val>
          <c:smooth val="0"/>
        </c:ser>
        <c:dLbls>
          <c:showLegendKey val="0"/>
          <c:showVal val="1"/>
          <c:showCatName val="0"/>
          <c:showSerName val="0"/>
          <c:showPercent val="0"/>
          <c:showBubbleSize val="0"/>
        </c:dLbls>
        <c:marker val="1"/>
        <c:smooth val="0"/>
        <c:axId val="73860224"/>
        <c:axId val="74116480"/>
      </c:lineChart>
      <c:catAx>
        <c:axId val="74113408"/>
        <c:scaling>
          <c:orientation val="minMax"/>
        </c:scaling>
        <c:delete val="0"/>
        <c:axPos val="b"/>
        <c:numFmt formatCode="General" sourceLinked="1"/>
        <c:majorTickMark val="none"/>
        <c:minorTickMark val="none"/>
        <c:tickLblPos val="nextTo"/>
        <c:crossAx val="74114944"/>
        <c:crosses val="autoZero"/>
        <c:auto val="1"/>
        <c:lblAlgn val="ctr"/>
        <c:lblOffset val="100"/>
        <c:noMultiLvlLbl val="0"/>
      </c:catAx>
      <c:valAx>
        <c:axId val="74114944"/>
        <c:scaling>
          <c:orientation val="minMax"/>
        </c:scaling>
        <c:delete val="0"/>
        <c:axPos val="l"/>
        <c:numFmt formatCode="General" sourceLinked="1"/>
        <c:majorTickMark val="none"/>
        <c:minorTickMark val="none"/>
        <c:tickLblPos val="nextTo"/>
        <c:crossAx val="74113408"/>
        <c:crosses val="autoZero"/>
        <c:crossBetween val="between"/>
      </c:valAx>
      <c:valAx>
        <c:axId val="74116480"/>
        <c:scaling>
          <c:orientation val="minMax"/>
        </c:scaling>
        <c:delete val="0"/>
        <c:axPos val="r"/>
        <c:numFmt formatCode="0.00%" sourceLinked="1"/>
        <c:majorTickMark val="out"/>
        <c:minorTickMark val="none"/>
        <c:tickLblPos val="nextTo"/>
        <c:crossAx val="73860224"/>
        <c:crosses val="max"/>
        <c:crossBetween val="between"/>
      </c:valAx>
      <c:catAx>
        <c:axId val="73860224"/>
        <c:scaling>
          <c:orientation val="minMax"/>
        </c:scaling>
        <c:delete val="1"/>
        <c:axPos val="b"/>
        <c:numFmt formatCode="General" sourceLinked="1"/>
        <c:majorTickMark val="out"/>
        <c:minorTickMark val="none"/>
        <c:tickLblPos val="nextTo"/>
        <c:crossAx val="74116480"/>
        <c:crosses val="autoZero"/>
        <c:auto val="1"/>
        <c:lblAlgn val="ctr"/>
        <c:lblOffset val="100"/>
        <c:noMultiLvlLbl val="0"/>
      </c:catAx>
    </c:plotArea>
    <c:legend>
      <c:legendPos val="b"/>
      <c:overlay val="0"/>
    </c:legend>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8575">
              <a:noFill/>
            </a:ln>
          </c:spPr>
          <c:trendline>
            <c:trendlineType val="linear"/>
            <c:dispRSqr val="1"/>
            <c:dispEq val="1"/>
            <c:trendlineLbl>
              <c:layout>
                <c:manualLayout>
                  <c:x val="-0.10351793525809273"/>
                  <c:y val="-4.6770924467774859E-2"/>
                </c:manualLayout>
              </c:layout>
              <c:numFmt formatCode="General" sourceLinked="0"/>
            </c:trendlineLbl>
          </c:trendline>
          <c:xVal>
            <c:numRef>
              <c:f>Sheet5!$F$2:$F$15</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xVal>
          <c:yVal>
            <c:numRef>
              <c:f>Sheet5!$G$2:$G$15</c:f>
              <c:numCache>
                <c:formatCode>General</c:formatCode>
                <c:ptCount val="14"/>
                <c:pt idx="0">
                  <c:v>45.02</c:v>
                </c:pt>
                <c:pt idx="1">
                  <c:v>43.89</c:v>
                </c:pt>
                <c:pt idx="2">
                  <c:v>46</c:v>
                </c:pt>
                <c:pt idx="3">
                  <c:v>48.88</c:v>
                </c:pt>
                <c:pt idx="4">
                  <c:v>52.35</c:v>
                </c:pt>
                <c:pt idx="5">
                  <c:v>57.32</c:v>
                </c:pt>
                <c:pt idx="6">
                  <c:v>63</c:v>
                </c:pt>
                <c:pt idx="7">
                  <c:v>72.400000000000006</c:v>
                </c:pt>
                <c:pt idx="8">
                  <c:v>83.23</c:v>
                </c:pt>
                <c:pt idx="9">
                  <c:v>99.23</c:v>
                </c:pt>
                <c:pt idx="10">
                  <c:v>111.92</c:v>
                </c:pt>
                <c:pt idx="11">
                  <c:v>92.03</c:v>
                </c:pt>
                <c:pt idx="12">
                  <c:v>95.23</c:v>
                </c:pt>
                <c:pt idx="13">
                  <c:v>106.37</c:v>
                </c:pt>
              </c:numCache>
            </c:numRef>
          </c:yVal>
          <c:smooth val="0"/>
        </c:ser>
        <c:dLbls>
          <c:showLegendKey val="0"/>
          <c:showVal val="0"/>
          <c:showCatName val="0"/>
          <c:showSerName val="0"/>
          <c:showPercent val="0"/>
          <c:showBubbleSize val="0"/>
        </c:dLbls>
        <c:axId val="73885184"/>
        <c:axId val="73887104"/>
      </c:scatterChart>
      <c:valAx>
        <c:axId val="73885184"/>
        <c:scaling>
          <c:orientation val="minMax"/>
        </c:scaling>
        <c:delete val="0"/>
        <c:axPos val="b"/>
        <c:title>
          <c:tx>
            <c:rich>
              <a:bodyPr/>
              <a:lstStyle/>
              <a:p>
                <a:pPr>
                  <a:defRPr/>
                </a:pPr>
                <a:r>
                  <a:rPr lang="en-US"/>
                  <a:t>Lizingo portfelis,</a:t>
                </a:r>
                <a:r>
                  <a:rPr lang="en-US" baseline="0"/>
                  <a:t> mlrd. Lt</a:t>
                </a:r>
              </a:p>
              <a:p>
                <a:pPr>
                  <a:defRPr/>
                </a:pPr>
                <a:endParaRPr lang="lt-LT"/>
              </a:p>
            </c:rich>
          </c:tx>
          <c:layout>
            <c:manualLayout>
              <c:xMode val="edge"/>
              <c:yMode val="edge"/>
              <c:x val="0.37185754219746919"/>
              <c:y val="0.8483540802213001"/>
            </c:manualLayout>
          </c:layout>
          <c:overlay val="0"/>
        </c:title>
        <c:numFmt formatCode="General" sourceLinked="1"/>
        <c:majorTickMark val="out"/>
        <c:minorTickMark val="none"/>
        <c:tickLblPos val="nextTo"/>
        <c:crossAx val="73887104"/>
        <c:crosses val="autoZero"/>
        <c:crossBetween val="midCat"/>
      </c:valAx>
      <c:valAx>
        <c:axId val="73887104"/>
        <c:scaling>
          <c:orientation val="minMax"/>
        </c:scaling>
        <c:delete val="0"/>
        <c:axPos val="l"/>
        <c:majorGridlines>
          <c:spPr>
            <a:ln>
              <a:noFill/>
            </a:ln>
          </c:spPr>
        </c:majorGridlines>
        <c:minorGridlines>
          <c:spPr>
            <a:ln>
              <a:noFill/>
            </a:ln>
          </c:spPr>
        </c:minorGridlines>
        <c:title>
          <c:tx>
            <c:rich>
              <a:bodyPr/>
              <a:lstStyle/>
              <a:p>
                <a:pPr>
                  <a:defRPr/>
                </a:pPr>
                <a:r>
                  <a:rPr lang="en-US"/>
                  <a:t>BVP, mlrd, Lt</a:t>
                </a:r>
                <a:endParaRPr lang="lt-LT"/>
              </a:p>
            </c:rich>
          </c:tx>
          <c:overlay val="0"/>
        </c:title>
        <c:numFmt formatCode="General" sourceLinked="1"/>
        <c:majorTickMark val="out"/>
        <c:minorTickMark val="none"/>
        <c:tickLblPos val="nextTo"/>
        <c:crossAx val="73885184"/>
        <c:crosses val="autoZero"/>
        <c:crossBetween val="midCat"/>
      </c:valAx>
    </c:plotArea>
    <c:plotVisOnly val="1"/>
    <c:dispBlanksAs val="gap"/>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VISI!$B$1</c:f>
              <c:strCache>
                <c:ptCount val="1"/>
                <c:pt idx="0">
                  <c:v>Lizingo portfelis</c:v>
                </c:pt>
              </c:strCache>
            </c:strRef>
          </c:tx>
          <c:marker>
            <c:symbol val="none"/>
          </c:marker>
          <c:cat>
            <c:numRef>
              <c:f>VISI!$A$2:$A$15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VISI!$B$2:$B$15</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val>
          <c:smooth val="0"/>
        </c:ser>
        <c:ser>
          <c:idx val="1"/>
          <c:order val="1"/>
          <c:tx>
            <c:strRef>
              <c:f>VISI!$D$1</c:f>
              <c:strCache>
                <c:ptCount val="1"/>
                <c:pt idx="0">
                  <c:v>Tiesioginės užsienio investicijos</c:v>
                </c:pt>
              </c:strCache>
            </c:strRef>
          </c:tx>
          <c:marker>
            <c:symbol val="none"/>
          </c:marker>
          <c:cat>
            <c:numRef>
              <c:f>VISI!$A$2:$A$15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VISI!$D$2:$D$15</c:f>
              <c:numCache>
                <c:formatCode>General</c:formatCode>
                <c:ptCount val="14"/>
                <c:pt idx="0">
                  <c:v>6.5</c:v>
                </c:pt>
                <c:pt idx="1">
                  <c:v>8.25</c:v>
                </c:pt>
                <c:pt idx="2">
                  <c:v>9.34</c:v>
                </c:pt>
                <c:pt idx="3">
                  <c:v>10.66</c:v>
                </c:pt>
                <c:pt idx="4">
                  <c:v>13.18</c:v>
                </c:pt>
                <c:pt idx="5">
                  <c:v>13.7</c:v>
                </c:pt>
                <c:pt idx="6">
                  <c:v>16.190000000000001</c:v>
                </c:pt>
                <c:pt idx="7">
                  <c:v>23.9</c:v>
                </c:pt>
                <c:pt idx="8">
                  <c:v>28.92</c:v>
                </c:pt>
                <c:pt idx="9">
                  <c:v>35.5</c:v>
                </c:pt>
                <c:pt idx="10">
                  <c:v>31.73</c:v>
                </c:pt>
                <c:pt idx="11">
                  <c:v>31.79</c:v>
                </c:pt>
                <c:pt idx="12">
                  <c:v>34.630000000000003</c:v>
                </c:pt>
                <c:pt idx="13">
                  <c:v>38.08</c:v>
                </c:pt>
              </c:numCache>
            </c:numRef>
          </c:val>
          <c:smooth val="0"/>
        </c:ser>
        <c:dLbls>
          <c:showLegendKey val="0"/>
          <c:showVal val="0"/>
          <c:showCatName val="0"/>
          <c:showSerName val="0"/>
          <c:showPercent val="0"/>
          <c:showBubbleSize val="0"/>
        </c:dLbls>
        <c:marker val="1"/>
        <c:smooth val="0"/>
        <c:axId val="73613696"/>
        <c:axId val="73615232"/>
      </c:lineChart>
      <c:catAx>
        <c:axId val="73613696"/>
        <c:scaling>
          <c:orientation val="minMax"/>
        </c:scaling>
        <c:delete val="0"/>
        <c:axPos val="b"/>
        <c:numFmt formatCode="General" sourceLinked="1"/>
        <c:majorTickMark val="none"/>
        <c:minorTickMark val="none"/>
        <c:tickLblPos val="nextTo"/>
        <c:crossAx val="73615232"/>
        <c:crosses val="autoZero"/>
        <c:auto val="1"/>
        <c:lblAlgn val="ctr"/>
        <c:lblOffset val="100"/>
        <c:noMultiLvlLbl val="0"/>
      </c:catAx>
      <c:valAx>
        <c:axId val="73615232"/>
        <c:scaling>
          <c:orientation val="minMax"/>
        </c:scaling>
        <c:delete val="0"/>
        <c:axPos val="l"/>
        <c:numFmt formatCode="General" sourceLinked="1"/>
        <c:majorTickMark val="none"/>
        <c:minorTickMark val="none"/>
        <c:tickLblPos val="nextTo"/>
        <c:crossAx val="73613696"/>
        <c:crosses val="autoZero"/>
        <c:crossBetween val="between"/>
      </c:valAx>
    </c:plotArea>
    <c:legend>
      <c:legendPos val="b"/>
      <c:overlay val="0"/>
    </c:legend>
    <c:plotVisOnly val="1"/>
    <c:dispBlanksAs val="zero"/>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8575">
              <a:noFill/>
            </a:ln>
          </c:spPr>
          <c:trendline>
            <c:trendlineType val="linear"/>
            <c:dispRSqr val="1"/>
            <c:dispEq val="1"/>
            <c:trendlineLbl>
              <c:numFmt formatCode="General" sourceLinked="0"/>
            </c:trendlineLbl>
          </c:trendline>
          <c:xVal>
            <c:numRef>
              <c:f>Lizingas_TUI!$A$2:$A$15</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xVal>
          <c:yVal>
            <c:numRef>
              <c:f>Lizingas_TUI!$B$2:$B$15</c:f>
              <c:numCache>
                <c:formatCode>General</c:formatCode>
                <c:ptCount val="14"/>
                <c:pt idx="0">
                  <c:v>6.5</c:v>
                </c:pt>
                <c:pt idx="1">
                  <c:v>8.25</c:v>
                </c:pt>
                <c:pt idx="2">
                  <c:v>9.34</c:v>
                </c:pt>
                <c:pt idx="3">
                  <c:v>10.66</c:v>
                </c:pt>
                <c:pt idx="4">
                  <c:v>13.18</c:v>
                </c:pt>
                <c:pt idx="5">
                  <c:v>13.7</c:v>
                </c:pt>
                <c:pt idx="6">
                  <c:v>16.190000000000001</c:v>
                </c:pt>
                <c:pt idx="7">
                  <c:v>23.9</c:v>
                </c:pt>
                <c:pt idx="8">
                  <c:v>28.92</c:v>
                </c:pt>
                <c:pt idx="9">
                  <c:v>35.5</c:v>
                </c:pt>
                <c:pt idx="10">
                  <c:v>31.73</c:v>
                </c:pt>
                <c:pt idx="11">
                  <c:v>31.79</c:v>
                </c:pt>
                <c:pt idx="12">
                  <c:v>34.630000000000003</c:v>
                </c:pt>
                <c:pt idx="13">
                  <c:v>38.08</c:v>
                </c:pt>
              </c:numCache>
            </c:numRef>
          </c:yVal>
          <c:smooth val="0"/>
        </c:ser>
        <c:dLbls>
          <c:showLegendKey val="0"/>
          <c:showVal val="0"/>
          <c:showCatName val="0"/>
          <c:showSerName val="0"/>
          <c:showPercent val="0"/>
          <c:showBubbleSize val="0"/>
        </c:dLbls>
        <c:axId val="73758976"/>
        <c:axId val="73765248"/>
      </c:scatterChart>
      <c:valAx>
        <c:axId val="73758976"/>
        <c:scaling>
          <c:orientation val="minMax"/>
        </c:scaling>
        <c:delete val="0"/>
        <c:axPos val="b"/>
        <c:title>
          <c:tx>
            <c:rich>
              <a:bodyPr/>
              <a:lstStyle/>
              <a:p>
                <a:pPr>
                  <a:defRPr/>
                </a:pPr>
                <a:r>
                  <a:rPr lang="lt-LT"/>
                  <a:t>Lizingo portfelis,</a:t>
                </a:r>
                <a:r>
                  <a:rPr lang="lt-LT" baseline="0"/>
                  <a:t> mlrd. Lt</a:t>
                </a:r>
                <a:endParaRPr lang="lt-LT"/>
              </a:p>
            </c:rich>
          </c:tx>
          <c:overlay val="0"/>
        </c:title>
        <c:numFmt formatCode="General" sourceLinked="1"/>
        <c:majorTickMark val="out"/>
        <c:minorTickMark val="none"/>
        <c:tickLblPos val="nextTo"/>
        <c:crossAx val="73765248"/>
        <c:crosses val="autoZero"/>
        <c:crossBetween val="midCat"/>
      </c:valAx>
      <c:valAx>
        <c:axId val="73765248"/>
        <c:scaling>
          <c:orientation val="minMax"/>
        </c:scaling>
        <c:delete val="0"/>
        <c:axPos val="l"/>
        <c:majorGridlines>
          <c:spPr>
            <a:ln>
              <a:noFill/>
            </a:ln>
          </c:spPr>
        </c:majorGridlines>
        <c:minorGridlines>
          <c:spPr>
            <a:ln>
              <a:noFill/>
            </a:ln>
          </c:spPr>
        </c:minorGridlines>
        <c:title>
          <c:tx>
            <c:rich>
              <a:bodyPr/>
              <a:lstStyle/>
              <a:p>
                <a:pPr>
                  <a:defRPr/>
                </a:pPr>
                <a:r>
                  <a:rPr lang="lt-LT"/>
                  <a:t>Tiesioginės</a:t>
                </a:r>
                <a:r>
                  <a:rPr lang="lt-LT" baseline="0"/>
                  <a:t> užsienio investicijos, mlrd. Lt</a:t>
                </a:r>
                <a:endParaRPr lang="lt-LT"/>
              </a:p>
            </c:rich>
          </c:tx>
          <c:overlay val="0"/>
        </c:title>
        <c:numFmt formatCode="General" sourceLinked="1"/>
        <c:majorTickMark val="out"/>
        <c:minorTickMark val="none"/>
        <c:tickLblPos val="nextTo"/>
        <c:crossAx val="73758976"/>
        <c:crosses val="autoZero"/>
        <c:crossBetween val="midCat"/>
      </c:valAx>
    </c:plotArea>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Nedarbas_lizingas!$B$1</c:f>
              <c:strCache>
                <c:ptCount val="1"/>
                <c:pt idx="0">
                  <c:v>Lizingo portfelis, mlrd. Lt</c:v>
                </c:pt>
              </c:strCache>
            </c:strRef>
          </c:tx>
          <c:invertIfNegative val="0"/>
          <c:dLbls>
            <c:delete val="1"/>
          </c:dLbls>
          <c:cat>
            <c:numRef>
              <c:f>Nedarbas_lizingas!$A$2:$A$15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Nedarbas_lizingas!$B$2:$B$15</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val>
        </c:ser>
        <c:dLbls>
          <c:showLegendKey val="0"/>
          <c:showVal val="1"/>
          <c:showCatName val="0"/>
          <c:showSerName val="0"/>
          <c:showPercent val="0"/>
          <c:showBubbleSize val="0"/>
        </c:dLbls>
        <c:gapWidth val="75"/>
        <c:axId val="74231168"/>
        <c:axId val="74249344"/>
      </c:barChart>
      <c:lineChart>
        <c:grouping val="standard"/>
        <c:varyColors val="0"/>
        <c:ser>
          <c:idx val="1"/>
          <c:order val="1"/>
          <c:tx>
            <c:strRef>
              <c:f>Nedarbas_lizingas!$C$1</c:f>
              <c:strCache>
                <c:ptCount val="1"/>
                <c:pt idx="0">
                  <c:v>Nedarbo lygis</c:v>
                </c:pt>
              </c:strCache>
            </c:strRef>
          </c:tx>
          <c:spPr>
            <a:ln w="38100"/>
          </c:spPr>
          <c:marker>
            <c:symbol val="none"/>
          </c:marker>
          <c:dLbls>
            <c:delete val="1"/>
          </c:dLbls>
          <c:cat>
            <c:numRef>
              <c:f>Nedarbas_lizingas!$A$2:$A$15</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Nedarbas_lizingas!$C$2:$C$15</c:f>
              <c:numCache>
                <c:formatCode>0.00%</c:formatCode>
                <c:ptCount val="14"/>
                <c:pt idx="0">
                  <c:v>0.13200000000000001</c:v>
                </c:pt>
                <c:pt idx="1">
                  <c:v>0.14599999999999999</c:v>
                </c:pt>
                <c:pt idx="2">
                  <c:v>0.16400000000000001</c:v>
                </c:pt>
                <c:pt idx="3">
                  <c:v>0.17399999999999999</c:v>
                </c:pt>
                <c:pt idx="4">
                  <c:v>0.13800000000000001</c:v>
                </c:pt>
                <c:pt idx="5">
                  <c:v>0.124</c:v>
                </c:pt>
                <c:pt idx="6">
                  <c:v>0.114</c:v>
                </c:pt>
                <c:pt idx="7">
                  <c:v>8.3000000000000004E-2</c:v>
                </c:pt>
                <c:pt idx="8">
                  <c:v>5.6000000000000001E-2</c:v>
                </c:pt>
                <c:pt idx="9">
                  <c:v>4.2999999999999997E-2</c:v>
                </c:pt>
                <c:pt idx="10">
                  <c:v>5.8000000000000003E-2</c:v>
                </c:pt>
                <c:pt idx="11">
                  <c:v>0.13700000000000001</c:v>
                </c:pt>
                <c:pt idx="12">
                  <c:v>0.17799999999999999</c:v>
                </c:pt>
                <c:pt idx="13">
                  <c:v>0.154</c:v>
                </c:pt>
              </c:numCache>
            </c:numRef>
          </c:val>
          <c:smooth val="0"/>
        </c:ser>
        <c:dLbls>
          <c:showLegendKey val="0"/>
          <c:showVal val="1"/>
          <c:showCatName val="0"/>
          <c:showSerName val="0"/>
          <c:showPercent val="0"/>
          <c:showBubbleSize val="0"/>
        </c:dLbls>
        <c:marker val="1"/>
        <c:smooth val="0"/>
        <c:axId val="109269376"/>
        <c:axId val="74250880"/>
      </c:lineChart>
      <c:catAx>
        <c:axId val="74231168"/>
        <c:scaling>
          <c:orientation val="minMax"/>
        </c:scaling>
        <c:delete val="0"/>
        <c:axPos val="b"/>
        <c:numFmt formatCode="General" sourceLinked="1"/>
        <c:majorTickMark val="none"/>
        <c:minorTickMark val="none"/>
        <c:tickLblPos val="nextTo"/>
        <c:txPr>
          <a:bodyPr rot="5400000" vert="horz"/>
          <a:lstStyle/>
          <a:p>
            <a:pPr>
              <a:defRPr/>
            </a:pPr>
            <a:endParaRPr lang="lt-LT"/>
          </a:p>
        </c:txPr>
        <c:crossAx val="74249344"/>
        <c:crosses val="autoZero"/>
        <c:auto val="1"/>
        <c:lblAlgn val="ctr"/>
        <c:lblOffset val="100"/>
        <c:noMultiLvlLbl val="0"/>
      </c:catAx>
      <c:valAx>
        <c:axId val="74249344"/>
        <c:scaling>
          <c:orientation val="minMax"/>
        </c:scaling>
        <c:delete val="0"/>
        <c:axPos val="l"/>
        <c:numFmt formatCode="General" sourceLinked="1"/>
        <c:majorTickMark val="none"/>
        <c:minorTickMark val="none"/>
        <c:tickLblPos val="nextTo"/>
        <c:crossAx val="74231168"/>
        <c:crosses val="autoZero"/>
        <c:crossBetween val="between"/>
      </c:valAx>
      <c:valAx>
        <c:axId val="74250880"/>
        <c:scaling>
          <c:orientation val="minMax"/>
        </c:scaling>
        <c:delete val="0"/>
        <c:axPos val="r"/>
        <c:numFmt formatCode="0.00%" sourceLinked="1"/>
        <c:majorTickMark val="out"/>
        <c:minorTickMark val="none"/>
        <c:tickLblPos val="nextTo"/>
        <c:crossAx val="109269376"/>
        <c:crosses val="max"/>
        <c:crossBetween val="between"/>
      </c:valAx>
      <c:catAx>
        <c:axId val="109269376"/>
        <c:scaling>
          <c:orientation val="minMax"/>
        </c:scaling>
        <c:delete val="1"/>
        <c:axPos val="b"/>
        <c:numFmt formatCode="General" sourceLinked="1"/>
        <c:majorTickMark val="out"/>
        <c:minorTickMark val="none"/>
        <c:tickLblPos val="nextTo"/>
        <c:crossAx val="74250880"/>
        <c:crosses val="autoZero"/>
        <c:auto val="1"/>
        <c:lblAlgn val="ctr"/>
        <c:lblOffset val="100"/>
        <c:noMultiLvlLbl val="0"/>
      </c:catAx>
    </c:plotArea>
    <c:legend>
      <c:legendPos val="b"/>
      <c:overlay val="0"/>
    </c:legend>
    <c:plotVisOnly val="1"/>
    <c:dispBlanksAs val="gap"/>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8575">
              <a:noFill/>
            </a:ln>
          </c:spPr>
          <c:trendline>
            <c:trendlineType val="linear"/>
            <c:dispRSqr val="1"/>
            <c:dispEq val="1"/>
            <c:trendlineLbl>
              <c:layout>
                <c:manualLayout>
                  <c:x val="-3.0350831146106736E-2"/>
                  <c:y val="1.0848643919510062E-3"/>
                </c:manualLayout>
              </c:layout>
              <c:numFmt formatCode="General" sourceLinked="0"/>
            </c:trendlineLbl>
          </c:trendline>
          <c:xVal>
            <c:numRef>
              <c:f>Nedarbas_lizingas!$B$2:$B$15</c:f>
              <c:numCache>
                <c:formatCode>General</c:formatCode>
                <c:ptCount val="14"/>
                <c:pt idx="0">
                  <c:v>0.64400000000000002</c:v>
                </c:pt>
                <c:pt idx="1">
                  <c:v>0.57199999999999995</c:v>
                </c:pt>
                <c:pt idx="2">
                  <c:v>0.70099999999999996</c:v>
                </c:pt>
                <c:pt idx="3">
                  <c:v>1.125</c:v>
                </c:pt>
                <c:pt idx="4">
                  <c:v>1.825</c:v>
                </c:pt>
                <c:pt idx="5">
                  <c:v>2.6970000000000001</c:v>
                </c:pt>
                <c:pt idx="6">
                  <c:v>3.887</c:v>
                </c:pt>
                <c:pt idx="7">
                  <c:v>5.32</c:v>
                </c:pt>
                <c:pt idx="8">
                  <c:v>7.4809999999999999</c:v>
                </c:pt>
                <c:pt idx="9">
                  <c:v>10.856999999999999</c:v>
                </c:pt>
                <c:pt idx="10">
                  <c:v>11.337</c:v>
                </c:pt>
                <c:pt idx="11">
                  <c:v>7.7759999999999998</c:v>
                </c:pt>
                <c:pt idx="12">
                  <c:v>6.0640000000000001</c:v>
                </c:pt>
                <c:pt idx="13">
                  <c:v>5.343</c:v>
                </c:pt>
              </c:numCache>
            </c:numRef>
          </c:xVal>
          <c:yVal>
            <c:numRef>
              <c:f>Nedarbas_lizingas!$C$2:$C$15</c:f>
              <c:numCache>
                <c:formatCode>General</c:formatCode>
                <c:ptCount val="14"/>
                <c:pt idx="0">
                  <c:v>13.2</c:v>
                </c:pt>
                <c:pt idx="1">
                  <c:v>14.6</c:v>
                </c:pt>
                <c:pt idx="2">
                  <c:v>16.440000000000001</c:v>
                </c:pt>
                <c:pt idx="3">
                  <c:v>17.399999999999999</c:v>
                </c:pt>
                <c:pt idx="4">
                  <c:v>13.8</c:v>
                </c:pt>
                <c:pt idx="5">
                  <c:v>12.4</c:v>
                </c:pt>
                <c:pt idx="6">
                  <c:v>11.4</c:v>
                </c:pt>
                <c:pt idx="7">
                  <c:v>8.3000000000000007</c:v>
                </c:pt>
                <c:pt idx="8">
                  <c:v>5.6</c:v>
                </c:pt>
                <c:pt idx="9">
                  <c:v>4.3</c:v>
                </c:pt>
                <c:pt idx="10">
                  <c:v>5.8</c:v>
                </c:pt>
                <c:pt idx="11">
                  <c:v>13.7</c:v>
                </c:pt>
                <c:pt idx="12">
                  <c:v>17.8</c:v>
                </c:pt>
                <c:pt idx="13">
                  <c:v>15.4</c:v>
                </c:pt>
              </c:numCache>
            </c:numRef>
          </c:yVal>
          <c:smooth val="0"/>
        </c:ser>
        <c:dLbls>
          <c:showLegendKey val="0"/>
          <c:showVal val="0"/>
          <c:showCatName val="0"/>
          <c:showSerName val="0"/>
          <c:showPercent val="0"/>
          <c:showBubbleSize val="0"/>
        </c:dLbls>
        <c:axId val="73597696"/>
        <c:axId val="73599616"/>
      </c:scatterChart>
      <c:valAx>
        <c:axId val="73597696"/>
        <c:scaling>
          <c:orientation val="minMax"/>
        </c:scaling>
        <c:delete val="0"/>
        <c:axPos val="b"/>
        <c:title>
          <c:tx>
            <c:rich>
              <a:bodyPr/>
              <a:lstStyle/>
              <a:p>
                <a:pPr>
                  <a:defRPr/>
                </a:pPr>
                <a:r>
                  <a:rPr lang="en-US"/>
                  <a:t>Nedarbo lygis, %</a:t>
                </a:r>
                <a:endParaRPr lang="lt-LT"/>
              </a:p>
            </c:rich>
          </c:tx>
          <c:overlay val="0"/>
        </c:title>
        <c:numFmt formatCode="General" sourceLinked="1"/>
        <c:majorTickMark val="out"/>
        <c:minorTickMark val="none"/>
        <c:tickLblPos val="nextTo"/>
        <c:crossAx val="73599616"/>
        <c:crosses val="autoZero"/>
        <c:crossBetween val="midCat"/>
      </c:valAx>
      <c:valAx>
        <c:axId val="73599616"/>
        <c:scaling>
          <c:orientation val="minMax"/>
        </c:scaling>
        <c:delete val="0"/>
        <c:axPos val="l"/>
        <c:majorGridlines>
          <c:spPr>
            <a:ln>
              <a:noFill/>
            </a:ln>
          </c:spPr>
        </c:majorGridlines>
        <c:minorGridlines>
          <c:spPr>
            <a:ln>
              <a:noFill/>
            </a:ln>
          </c:spPr>
        </c:minorGridlines>
        <c:title>
          <c:tx>
            <c:rich>
              <a:bodyPr/>
              <a:lstStyle/>
              <a:p>
                <a:pPr>
                  <a:defRPr/>
                </a:pPr>
                <a:r>
                  <a:rPr lang="en-US"/>
                  <a:t>Lizingo portfelis, mlrd. Lt</a:t>
                </a:r>
                <a:endParaRPr lang="lt-LT"/>
              </a:p>
            </c:rich>
          </c:tx>
          <c:overlay val="0"/>
        </c:title>
        <c:numFmt formatCode="General" sourceLinked="1"/>
        <c:majorTickMark val="out"/>
        <c:minorTickMark val="none"/>
        <c:tickLblPos val="nextTo"/>
        <c:crossAx val="73597696"/>
        <c:crosses val="autoZero"/>
        <c:crossBetween val="midCat"/>
      </c:valAx>
    </c:plotArea>
    <c:plotVisOnly val="1"/>
    <c:dispBlanksAs val="gap"/>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50"/>
      <c:rotY val="0"/>
      <c:rAngAx val="0"/>
      <c:perspective val="30"/>
    </c:view3D>
    <c:floor>
      <c:thickness val="0"/>
    </c:floor>
    <c:sideWall>
      <c:thickness val="0"/>
    </c:sideWall>
    <c:backWall>
      <c:thickness val="0"/>
    </c:backWall>
    <c:plotArea>
      <c:layout>
        <c:manualLayout>
          <c:layoutTarget val="inner"/>
          <c:xMode val="edge"/>
          <c:yMode val="edge"/>
          <c:x val="0.23347161604799399"/>
          <c:y val="2.9730971128608924E-2"/>
          <c:w val="0.5482951631046119"/>
          <c:h val="0.85671119235095616"/>
        </c:manualLayout>
      </c:layout>
      <c:pie3DChart>
        <c:varyColors val="1"/>
        <c:ser>
          <c:idx val="0"/>
          <c:order val="0"/>
          <c:tx>
            <c:strRef>
              <c:f>Sheet1!$B$1</c:f>
              <c:strCache>
                <c:ptCount val="1"/>
                <c:pt idx="0">
                  <c:v>Column1</c:v>
                </c:pt>
              </c:strCache>
            </c:strRef>
          </c:tx>
          <c:dLbls>
            <c:dLbl>
              <c:idx val="0"/>
              <c:showLegendKey val="0"/>
              <c:showVal val="1"/>
              <c:showCatName val="0"/>
              <c:showSerName val="0"/>
              <c:showPercent val="0"/>
              <c:showBubbleSize val="0"/>
            </c:dLbl>
            <c:dLbl>
              <c:idx val="1"/>
              <c:showLegendKey val="0"/>
              <c:showVal val="1"/>
              <c:showCatName val="0"/>
              <c:showSerName val="0"/>
              <c:showPercent val="0"/>
              <c:showBubbleSize val="0"/>
            </c:dLbl>
            <c:showLegendKey val="0"/>
            <c:showVal val="0"/>
            <c:showCatName val="0"/>
            <c:showSerName val="0"/>
            <c:showPercent val="0"/>
            <c:showBubbleSize val="0"/>
          </c:dLbls>
          <c:cat>
            <c:strRef>
              <c:f>Sheet1!$A$2:$A$3</c:f>
              <c:strCache>
                <c:ptCount val="2"/>
                <c:pt idx="0">
                  <c:v>Labai teigiamą</c:v>
                </c:pt>
                <c:pt idx="1">
                  <c:v>Teigiamą</c:v>
                </c:pt>
              </c:strCache>
            </c:strRef>
          </c:cat>
          <c:val>
            <c:numRef>
              <c:f>Sheet1!$B$2:$B$3</c:f>
              <c:numCache>
                <c:formatCode>General</c:formatCode>
                <c:ptCount val="2"/>
                <c:pt idx="0">
                  <c:v>5</c:v>
                </c:pt>
                <c:pt idx="1">
                  <c:v>3</c:v>
                </c:pt>
              </c:numCache>
            </c:numRef>
          </c:val>
        </c:ser>
        <c:dLbls>
          <c:showLegendKey val="0"/>
          <c:showVal val="0"/>
          <c:showCatName val="0"/>
          <c:showSerName val="0"/>
          <c:showPercent val="0"/>
          <c:showBubbleSize val="0"/>
          <c:showLeaderLines val="1"/>
        </c:dLbls>
      </c:pie3DChart>
    </c:plotArea>
    <c:legend>
      <c:legendPos val="b"/>
      <c:layout>
        <c:manualLayout>
          <c:xMode val="edge"/>
          <c:yMode val="edge"/>
          <c:x val="0.23149846269216348"/>
          <c:y val="0.89236361079865012"/>
          <c:w val="0.5093525097980639"/>
          <c:h val="0.1076364423519225"/>
        </c:manualLayout>
      </c:layout>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5"/>
    </mc:Choice>
    <mc:Fallback>
      <c:style val="15"/>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showLegendKey val="0"/>
            <c:showVal val="1"/>
            <c:showCatName val="0"/>
            <c:showSerName val="0"/>
            <c:showPercent val="0"/>
            <c:showBubbleSize val="0"/>
            <c:showLeaderLines val="0"/>
          </c:dLbls>
          <c:cat>
            <c:numRef>
              <c:f>Sheet1!$A$44:$L$44</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Sheet1!$A$45:$L$45</c:f>
              <c:numCache>
                <c:formatCode>0.00</c:formatCode>
                <c:ptCount val="12"/>
                <c:pt idx="0">
                  <c:v>0.72699999999999998</c:v>
                </c:pt>
                <c:pt idx="1">
                  <c:v>1.139</c:v>
                </c:pt>
                <c:pt idx="2">
                  <c:v>1.7709999999999999</c:v>
                </c:pt>
                <c:pt idx="3">
                  <c:v>2.3780000000000001</c:v>
                </c:pt>
                <c:pt idx="4">
                  <c:v>3.31</c:v>
                </c:pt>
                <c:pt idx="5">
                  <c:v>4.6589999999999998</c:v>
                </c:pt>
                <c:pt idx="6">
                  <c:v>6.218</c:v>
                </c:pt>
                <c:pt idx="7">
                  <c:v>9.1850000000000005</c:v>
                </c:pt>
                <c:pt idx="8">
                  <c:v>6.2869999999999999</c:v>
                </c:pt>
                <c:pt idx="9">
                  <c:v>1.177</c:v>
                </c:pt>
                <c:pt idx="10">
                  <c:v>1.821</c:v>
                </c:pt>
                <c:pt idx="11">
                  <c:v>2.3370000000000002</c:v>
                </c:pt>
              </c:numCache>
            </c:numRef>
          </c:val>
        </c:ser>
        <c:dLbls>
          <c:showLegendKey val="0"/>
          <c:showVal val="0"/>
          <c:showCatName val="0"/>
          <c:showSerName val="0"/>
          <c:showPercent val="0"/>
          <c:showBubbleSize val="0"/>
        </c:dLbls>
        <c:gapWidth val="150"/>
        <c:axId val="73683328"/>
        <c:axId val="73684864"/>
      </c:barChart>
      <c:lineChart>
        <c:grouping val="standard"/>
        <c:varyColors val="0"/>
        <c:ser>
          <c:idx val="1"/>
          <c:order val="1"/>
          <c:marker>
            <c:symbol val="square"/>
            <c:size val="6"/>
          </c:marker>
          <c:val>
            <c:numRef>
              <c:f>Sheet1!$A$46:$L$46</c:f>
              <c:numCache>
                <c:formatCode>0.00</c:formatCode>
                <c:ptCount val="12"/>
                <c:pt idx="1">
                  <c:v>56.671251719394775</c:v>
                </c:pt>
                <c:pt idx="2">
                  <c:v>55.487269534679527</c:v>
                </c:pt>
                <c:pt idx="3">
                  <c:v>34.274421230942984</c:v>
                </c:pt>
                <c:pt idx="4">
                  <c:v>39.192598822539942</c:v>
                </c:pt>
                <c:pt idx="5">
                  <c:v>40.755287009063437</c:v>
                </c:pt>
                <c:pt idx="6">
                  <c:v>33.462116333977256</c:v>
                </c:pt>
                <c:pt idx="7">
                  <c:v>47.716307494371193</c:v>
                </c:pt>
                <c:pt idx="8">
                  <c:v>-31.551442569406646</c:v>
                </c:pt>
                <c:pt idx="9">
                  <c:v>-81.278829330364232</c:v>
                </c:pt>
                <c:pt idx="10">
                  <c:v>54.715378079864053</c:v>
                </c:pt>
                <c:pt idx="11">
                  <c:v>28.33607907743</c:v>
                </c:pt>
              </c:numCache>
            </c:numRef>
          </c:val>
          <c:smooth val="0"/>
        </c:ser>
        <c:dLbls>
          <c:showLegendKey val="0"/>
          <c:showVal val="0"/>
          <c:showCatName val="0"/>
          <c:showSerName val="0"/>
          <c:showPercent val="0"/>
          <c:showBubbleSize val="0"/>
        </c:dLbls>
        <c:marker val="1"/>
        <c:smooth val="0"/>
        <c:axId val="73692288"/>
        <c:axId val="73686400"/>
      </c:lineChart>
      <c:catAx>
        <c:axId val="73683328"/>
        <c:scaling>
          <c:orientation val="minMax"/>
        </c:scaling>
        <c:delete val="0"/>
        <c:axPos val="b"/>
        <c:numFmt formatCode="General" sourceLinked="1"/>
        <c:majorTickMark val="out"/>
        <c:minorTickMark val="none"/>
        <c:tickLblPos val="nextTo"/>
        <c:txPr>
          <a:bodyPr rot="-5400000" vert="horz"/>
          <a:lstStyle/>
          <a:p>
            <a:pPr>
              <a:defRPr/>
            </a:pPr>
            <a:endParaRPr lang="lt-LT"/>
          </a:p>
        </c:txPr>
        <c:crossAx val="73684864"/>
        <c:crosses val="autoZero"/>
        <c:auto val="1"/>
        <c:lblAlgn val="ctr"/>
        <c:lblOffset val="100"/>
        <c:noMultiLvlLbl val="0"/>
      </c:catAx>
      <c:valAx>
        <c:axId val="73684864"/>
        <c:scaling>
          <c:orientation val="minMax"/>
        </c:scaling>
        <c:delete val="0"/>
        <c:axPos val="l"/>
        <c:majorGridlines>
          <c:spPr>
            <a:ln>
              <a:noFill/>
            </a:ln>
          </c:spPr>
        </c:majorGridlines>
        <c:numFmt formatCode="General" sourceLinked="0"/>
        <c:majorTickMark val="out"/>
        <c:minorTickMark val="none"/>
        <c:tickLblPos val="nextTo"/>
        <c:crossAx val="73683328"/>
        <c:crosses val="autoZero"/>
        <c:crossBetween val="between"/>
      </c:valAx>
      <c:valAx>
        <c:axId val="73686400"/>
        <c:scaling>
          <c:orientation val="minMax"/>
        </c:scaling>
        <c:delete val="0"/>
        <c:axPos val="r"/>
        <c:numFmt formatCode="0.00" sourceLinked="1"/>
        <c:majorTickMark val="out"/>
        <c:minorTickMark val="none"/>
        <c:tickLblPos val="nextTo"/>
        <c:crossAx val="73692288"/>
        <c:crosses val="max"/>
        <c:crossBetween val="between"/>
      </c:valAx>
      <c:catAx>
        <c:axId val="73692288"/>
        <c:scaling>
          <c:orientation val="minMax"/>
        </c:scaling>
        <c:delete val="1"/>
        <c:axPos val="b"/>
        <c:majorTickMark val="out"/>
        <c:minorTickMark val="none"/>
        <c:tickLblPos val="nextTo"/>
        <c:crossAx val="73686400"/>
        <c:crosses val="autoZero"/>
        <c:auto val="1"/>
        <c:lblAlgn val="ctr"/>
        <c:lblOffset val="100"/>
        <c:noMultiLvlLbl val="0"/>
      </c:catAx>
    </c:plotArea>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barChart>
        <c:barDir val="col"/>
        <c:grouping val="percentStacked"/>
        <c:varyColors val="0"/>
        <c:ser>
          <c:idx val="0"/>
          <c:order val="0"/>
          <c:tx>
            <c:strRef>
              <c:f>Sheet1!$W$3</c:f>
              <c:strCache>
                <c:ptCount val="1"/>
                <c:pt idx="0">
                  <c:v>Finansinis lizingas</c:v>
                </c:pt>
              </c:strCache>
            </c:strRef>
          </c:tx>
          <c:invertIfNegative val="0"/>
          <c:cat>
            <c:numRef>
              <c:f>Sheet1!$Y$2:$AN$2</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Sheet1!$Y$3:$AN$3</c:f>
              <c:numCache>
                <c:formatCode>0.00%</c:formatCode>
                <c:ptCount val="14"/>
                <c:pt idx="0">
                  <c:v>0.99519999999999997</c:v>
                </c:pt>
                <c:pt idx="1">
                  <c:v>0.97899999999999998</c:v>
                </c:pt>
                <c:pt idx="2">
                  <c:v>0.95440000000000003</c:v>
                </c:pt>
                <c:pt idx="3">
                  <c:v>0.9536</c:v>
                </c:pt>
                <c:pt idx="4">
                  <c:v>0.94969999999999999</c:v>
                </c:pt>
                <c:pt idx="5">
                  <c:v>0.92290000000000005</c:v>
                </c:pt>
                <c:pt idx="6">
                  <c:v>0.93720000000000003</c:v>
                </c:pt>
                <c:pt idx="7">
                  <c:v>0.93589999999999995</c:v>
                </c:pt>
                <c:pt idx="8">
                  <c:v>0.94059999999999999</c:v>
                </c:pt>
                <c:pt idx="9">
                  <c:v>0.94479999999999997</c:v>
                </c:pt>
                <c:pt idx="10">
                  <c:v>0.93720000000000003</c:v>
                </c:pt>
                <c:pt idx="11">
                  <c:v>0.93310000000000004</c:v>
                </c:pt>
                <c:pt idx="12">
                  <c:v>0.93359999999999999</c:v>
                </c:pt>
                <c:pt idx="13">
                  <c:v>0.92420000000000002</c:v>
                </c:pt>
              </c:numCache>
            </c:numRef>
          </c:val>
        </c:ser>
        <c:ser>
          <c:idx val="1"/>
          <c:order val="1"/>
          <c:tx>
            <c:strRef>
              <c:f>Sheet1!$W$4</c:f>
              <c:strCache>
                <c:ptCount val="1"/>
                <c:pt idx="0">
                  <c:v>Veiklos lizingas</c:v>
                </c:pt>
              </c:strCache>
            </c:strRef>
          </c:tx>
          <c:invertIfNegative val="0"/>
          <c:cat>
            <c:numRef>
              <c:f>Sheet1!$Y$2:$AN$2</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Sheet1!$Y$4:$AN$4</c:f>
              <c:numCache>
                <c:formatCode>0.00%</c:formatCode>
                <c:ptCount val="14"/>
                <c:pt idx="0">
                  <c:v>4.7999999999999996E-3</c:v>
                </c:pt>
                <c:pt idx="1">
                  <c:v>2.1000000000000001E-2</c:v>
                </c:pt>
                <c:pt idx="2">
                  <c:v>4.5600000000000002E-2</c:v>
                </c:pt>
                <c:pt idx="3">
                  <c:v>4.6399999999999997E-2</c:v>
                </c:pt>
                <c:pt idx="4">
                  <c:v>5.0299999999999997E-2</c:v>
                </c:pt>
                <c:pt idx="5">
                  <c:v>7.7100000000000002E-2</c:v>
                </c:pt>
                <c:pt idx="6">
                  <c:v>6.2799999999999995E-2</c:v>
                </c:pt>
                <c:pt idx="7">
                  <c:v>6.4100000000000004E-2</c:v>
                </c:pt>
                <c:pt idx="8">
                  <c:v>5.9400000000000001E-2</c:v>
                </c:pt>
                <c:pt idx="9">
                  <c:v>5.5199999999999999E-2</c:v>
                </c:pt>
                <c:pt idx="10">
                  <c:v>6.2799999999999995E-2</c:v>
                </c:pt>
                <c:pt idx="11">
                  <c:v>6.6900000000000001E-2</c:v>
                </c:pt>
                <c:pt idx="12">
                  <c:v>6.6400000000000001E-2</c:v>
                </c:pt>
                <c:pt idx="13">
                  <c:v>7.5800000000000006E-2</c:v>
                </c:pt>
              </c:numCache>
            </c:numRef>
          </c:val>
        </c:ser>
        <c:dLbls>
          <c:showLegendKey val="0"/>
          <c:showVal val="0"/>
          <c:showCatName val="0"/>
          <c:showSerName val="0"/>
          <c:showPercent val="0"/>
          <c:showBubbleSize val="0"/>
        </c:dLbls>
        <c:gapWidth val="75"/>
        <c:overlap val="100"/>
        <c:axId val="72107136"/>
        <c:axId val="72108672"/>
      </c:barChart>
      <c:catAx>
        <c:axId val="72107136"/>
        <c:scaling>
          <c:orientation val="minMax"/>
        </c:scaling>
        <c:delete val="0"/>
        <c:axPos val="b"/>
        <c:numFmt formatCode="General" sourceLinked="1"/>
        <c:majorTickMark val="none"/>
        <c:minorTickMark val="none"/>
        <c:tickLblPos val="nextTo"/>
        <c:txPr>
          <a:bodyPr rot="-5400000" vert="horz"/>
          <a:lstStyle/>
          <a:p>
            <a:pPr>
              <a:defRPr/>
            </a:pPr>
            <a:endParaRPr lang="lt-LT"/>
          </a:p>
        </c:txPr>
        <c:crossAx val="72108672"/>
        <c:crosses val="autoZero"/>
        <c:auto val="1"/>
        <c:lblAlgn val="ctr"/>
        <c:lblOffset val="100"/>
        <c:noMultiLvlLbl val="0"/>
      </c:catAx>
      <c:valAx>
        <c:axId val="72108672"/>
        <c:scaling>
          <c:orientation val="minMax"/>
          <c:min val="0"/>
        </c:scaling>
        <c:delete val="0"/>
        <c:axPos val="l"/>
        <c:majorGridlines/>
        <c:numFmt formatCode="0%" sourceLinked="1"/>
        <c:majorTickMark val="none"/>
        <c:minorTickMark val="none"/>
        <c:tickLblPos val="nextTo"/>
        <c:spPr>
          <a:ln w="9525">
            <a:noFill/>
          </a:ln>
        </c:spPr>
        <c:crossAx val="72107136"/>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089004622453691E-2"/>
          <c:y val="3.9634145484484011E-2"/>
          <c:w val="0.90941230771350434"/>
          <c:h val="0.62339663182003313"/>
        </c:manualLayout>
      </c:layout>
      <c:barChart>
        <c:barDir val="col"/>
        <c:grouping val="stacked"/>
        <c:varyColors val="0"/>
        <c:ser>
          <c:idx val="0"/>
          <c:order val="0"/>
          <c:tx>
            <c:strRef>
              <c:f>Sheet1!$A$28</c:f>
              <c:strCache>
                <c:ptCount val="1"/>
                <c:pt idx="0">
                  <c:v>Nekilnojamas turtas</c:v>
                </c:pt>
              </c:strCache>
            </c:strRef>
          </c:tx>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Sheet1!$C$28:$AC$28</c:f>
              <c:numCache>
                <c:formatCode>0.00%</c:formatCode>
                <c:ptCount val="14"/>
                <c:pt idx="0">
                  <c:v>2.1739130434782608E-2</c:v>
                </c:pt>
                <c:pt idx="1">
                  <c:v>6.8181818181818177E-2</c:v>
                </c:pt>
                <c:pt idx="2">
                  <c:v>0.19971469329529243</c:v>
                </c:pt>
                <c:pt idx="3">
                  <c:v>0.18755555555555556</c:v>
                </c:pt>
                <c:pt idx="4">
                  <c:v>0.17677345537757438</c:v>
                </c:pt>
                <c:pt idx="5">
                  <c:v>0.16981831664812755</c:v>
                </c:pt>
                <c:pt idx="6">
                  <c:v>0.1829174170311294</c:v>
                </c:pt>
                <c:pt idx="7">
                  <c:v>0.17875939849624059</c:v>
                </c:pt>
                <c:pt idx="8">
                  <c:v>0.18513567704852293</c:v>
                </c:pt>
                <c:pt idx="9">
                  <c:v>0.19066040342636087</c:v>
                </c:pt>
                <c:pt idx="10">
                  <c:v>0.18558701596542296</c:v>
                </c:pt>
                <c:pt idx="11">
                  <c:v>0.20100308641975309</c:v>
                </c:pt>
                <c:pt idx="12">
                  <c:v>0.22410949868073879</c:v>
                </c:pt>
                <c:pt idx="13">
                  <c:v>0.2223469960696238</c:v>
                </c:pt>
              </c:numCache>
            </c:numRef>
          </c:val>
        </c:ser>
        <c:ser>
          <c:idx val="1"/>
          <c:order val="1"/>
          <c:tx>
            <c:strRef>
              <c:f>Sheet1!$A$29</c:f>
              <c:strCache>
                <c:ptCount val="1"/>
                <c:pt idx="0">
                  <c:v>Pramonės įranga ir įrengimai</c:v>
                </c:pt>
              </c:strCache>
            </c:strRef>
          </c:tx>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Sheet1!$C$29:$AC$29</c:f>
              <c:numCache>
                <c:formatCode>0.00%</c:formatCode>
                <c:ptCount val="14"/>
                <c:pt idx="0">
                  <c:v>0.20341614906832298</c:v>
                </c:pt>
                <c:pt idx="1">
                  <c:v>0.25524475524475526</c:v>
                </c:pt>
                <c:pt idx="2">
                  <c:v>0.24964336661911554</c:v>
                </c:pt>
                <c:pt idx="3">
                  <c:v>0.23377777777777778</c:v>
                </c:pt>
                <c:pt idx="4">
                  <c:v>0.22768878718535468</c:v>
                </c:pt>
                <c:pt idx="5">
                  <c:v>0.20541342232109752</c:v>
                </c:pt>
                <c:pt idx="6">
                  <c:v>0.20967326987393878</c:v>
                </c:pt>
                <c:pt idx="7">
                  <c:v>0.21184210526315789</c:v>
                </c:pt>
                <c:pt idx="8">
                  <c:v>0.22243015639620373</c:v>
                </c:pt>
                <c:pt idx="9">
                  <c:v>0.21018697614442294</c:v>
                </c:pt>
                <c:pt idx="10">
                  <c:v>0.21919379024433272</c:v>
                </c:pt>
                <c:pt idx="11">
                  <c:v>0.24678497942386832</c:v>
                </c:pt>
                <c:pt idx="12">
                  <c:v>0.24884564643799473</c:v>
                </c:pt>
                <c:pt idx="13">
                  <c:v>0.24611641399962567</c:v>
                </c:pt>
              </c:numCache>
            </c:numRef>
          </c:val>
        </c:ser>
        <c:ser>
          <c:idx val="2"/>
          <c:order val="2"/>
          <c:tx>
            <c:strRef>
              <c:f>Sheet1!$A$30</c:f>
              <c:strCache>
                <c:ptCount val="1"/>
                <c:pt idx="0">
                  <c:v>Organizacinė ir biuro technika</c:v>
                </c:pt>
              </c:strCache>
            </c:strRef>
          </c:tx>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Sheet1!$C$30:$AC$30</c:f>
              <c:numCache>
                <c:formatCode>0.00%</c:formatCode>
                <c:ptCount val="14"/>
                <c:pt idx="0">
                  <c:v>2.7950310559006212E-2</c:v>
                </c:pt>
                <c:pt idx="1">
                  <c:v>2.972027972027972E-2</c:v>
                </c:pt>
                <c:pt idx="2">
                  <c:v>2.4251069900142655E-2</c:v>
                </c:pt>
                <c:pt idx="3">
                  <c:v>3.5555555555555556E-2</c:v>
                </c:pt>
                <c:pt idx="4">
                  <c:v>4.3478260869565216E-2</c:v>
                </c:pt>
                <c:pt idx="5">
                  <c:v>3.1516499814608821E-2</c:v>
                </c:pt>
                <c:pt idx="6">
                  <c:v>2.3411371237458192E-2</c:v>
                </c:pt>
                <c:pt idx="7">
                  <c:v>1.8609022556390978E-2</c:v>
                </c:pt>
                <c:pt idx="8">
                  <c:v>1.7243683999465312E-2</c:v>
                </c:pt>
                <c:pt idx="9">
                  <c:v>1.4921248963802156E-2</c:v>
                </c:pt>
                <c:pt idx="10">
                  <c:v>1.1378671606245038E-2</c:v>
                </c:pt>
                <c:pt idx="11">
                  <c:v>9.7736625514403298E-3</c:v>
                </c:pt>
                <c:pt idx="12">
                  <c:v>7.2559366754617414E-3</c:v>
                </c:pt>
                <c:pt idx="13">
                  <c:v>6.3634662174808163E-3</c:v>
                </c:pt>
              </c:numCache>
            </c:numRef>
          </c:val>
        </c:ser>
        <c:ser>
          <c:idx val="3"/>
          <c:order val="3"/>
          <c:tx>
            <c:strRef>
              <c:f>Sheet1!$A$31</c:f>
              <c:strCache>
                <c:ptCount val="1"/>
                <c:pt idx="0">
                  <c:v>Kelių tranporto priemonės</c:v>
                </c:pt>
              </c:strCache>
            </c:strRef>
          </c:tx>
          <c:spPr>
            <a:solidFill>
              <a:schemeClr val="bg1">
                <a:lumMod val="65000"/>
              </a:schemeClr>
            </a:solidFill>
          </c:spPr>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Sheet1!$C$31:$AC$31</c:f>
              <c:numCache>
                <c:formatCode>0.00%</c:formatCode>
                <c:ptCount val="14"/>
                <c:pt idx="0">
                  <c:v>0.46583850931677018</c:v>
                </c:pt>
                <c:pt idx="1">
                  <c:v>0.3548951048951049</c:v>
                </c:pt>
                <c:pt idx="2">
                  <c:v>0.27674750356633382</c:v>
                </c:pt>
                <c:pt idx="3">
                  <c:v>0.25600000000000001</c:v>
                </c:pt>
                <c:pt idx="4">
                  <c:v>0.26716247139588101</c:v>
                </c:pt>
                <c:pt idx="5">
                  <c:v>0.28661475713756024</c:v>
                </c:pt>
                <c:pt idx="6">
                  <c:v>0.29431438127090304</c:v>
                </c:pt>
                <c:pt idx="7">
                  <c:v>0.31109022556390975</c:v>
                </c:pt>
                <c:pt idx="8">
                  <c:v>0.29995989840930359</c:v>
                </c:pt>
                <c:pt idx="9">
                  <c:v>0.33314912038316291</c:v>
                </c:pt>
                <c:pt idx="10">
                  <c:v>0.31057599012084325</c:v>
                </c:pt>
                <c:pt idx="11">
                  <c:v>0.27070473251028809</c:v>
                </c:pt>
                <c:pt idx="12">
                  <c:v>0.25742084432717677</c:v>
                </c:pt>
                <c:pt idx="13">
                  <c:v>0.26558113419427287</c:v>
                </c:pt>
              </c:numCache>
            </c:numRef>
          </c:val>
        </c:ser>
        <c:ser>
          <c:idx val="4"/>
          <c:order val="4"/>
          <c:tx>
            <c:strRef>
              <c:f>Sheet1!$A$32</c:f>
              <c:strCache>
                <c:ptCount val="1"/>
                <c:pt idx="0">
                  <c:v>Lengvieji automobiliai</c:v>
                </c:pt>
              </c:strCache>
            </c:strRef>
          </c:tx>
          <c:spPr>
            <a:solidFill>
              <a:schemeClr val="accent6"/>
            </a:solidFill>
          </c:spPr>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Sheet1!$C$32:$AC$32</c:f>
              <c:numCache>
                <c:formatCode>0.00%</c:formatCode>
                <c:ptCount val="14"/>
                <c:pt idx="0">
                  <c:v>0.25155279503105588</c:v>
                </c:pt>
                <c:pt idx="1">
                  <c:v>0.22027972027972029</c:v>
                </c:pt>
                <c:pt idx="2">
                  <c:v>0.21540656205420827</c:v>
                </c:pt>
                <c:pt idx="3">
                  <c:v>0.19288888888888889</c:v>
                </c:pt>
                <c:pt idx="4">
                  <c:v>0.17048054919908467</c:v>
                </c:pt>
                <c:pt idx="5">
                  <c:v>0.18946978123841304</c:v>
                </c:pt>
                <c:pt idx="6">
                  <c:v>0.18523282737329561</c:v>
                </c:pt>
                <c:pt idx="7">
                  <c:v>0.19041353383458648</c:v>
                </c:pt>
                <c:pt idx="8">
                  <c:v>0.20224568907900015</c:v>
                </c:pt>
                <c:pt idx="9">
                  <c:v>0.19812102790826194</c:v>
                </c:pt>
                <c:pt idx="10">
                  <c:v>0.21487165916909234</c:v>
                </c:pt>
                <c:pt idx="11">
                  <c:v>0.21141975308641975</c:v>
                </c:pt>
                <c:pt idx="12">
                  <c:v>0.19871372031662268</c:v>
                </c:pt>
                <c:pt idx="13">
                  <c:v>0.19277559423544824</c:v>
                </c:pt>
              </c:numCache>
            </c:numRef>
          </c:val>
        </c:ser>
        <c:ser>
          <c:idx val="5"/>
          <c:order val="5"/>
          <c:tx>
            <c:strRef>
              <c:f>Sheet1!$A$33</c:f>
              <c:strCache>
                <c:ptCount val="1"/>
                <c:pt idx="0">
                  <c:v>Laivai, lėktuvai, geležinkelių riedmenys</c:v>
                </c:pt>
              </c:strCache>
            </c:strRef>
          </c:tx>
          <c:spPr>
            <a:solidFill>
              <a:schemeClr val="tx1"/>
            </a:solidFill>
          </c:spPr>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Sheet1!$C$33:$AC$33</c:f>
              <c:numCache>
                <c:formatCode>0.00%</c:formatCode>
                <c:ptCount val="14"/>
                <c:pt idx="0">
                  <c:v>0</c:v>
                </c:pt>
                <c:pt idx="1">
                  <c:v>0</c:v>
                </c:pt>
                <c:pt idx="2">
                  <c:v>1.1412268188302425E-2</c:v>
                </c:pt>
                <c:pt idx="3">
                  <c:v>4.4444444444444444E-3</c:v>
                </c:pt>
                <c:pt idx="4">
                  <c:v>1.1441647597254005E-3</c:v>
                </c:pt>
                <c:pt idx="5">
                  <c:v>1.1123470522803115E-2</c:v>
                </c:pt>
                <c:pt idx="6">
                  <c:v>9.2616413686647803E-3</c:v>
                </c:pt>
                <c:pt idx="7">
                  <c:v>1.5601503759398496E-2</c:v>
                </c:pt>
                <c:pt idx="8">
                  <c:v>1.4436572650715145E-2</c:v>
                </c:pt>
                <c:pt idx="9">
                  <c:v>1.3171225937183385E-2</c:v>
                </c:pt>
                <c:pt idx="10">
                  <c:v>1.9846520243450648E-2</c:v>
                </c:pt>
                <c:pt idx="11">
                  <c:v>2.0447530864197531E-2</c:v>
                </c:pt>
                <c:pt idx="12">
                  <c:v>3.2321899736147755E-2</c:v>
                </c:pt>
                <c:pt idx="13">
                  <c:v>2.3207935616694739E-2</c:v>
                </c:pt>
              </c:numCache>
            </c:numRef>
          </c:val>
        </c:ser>
        <c:ser>
          <c:idx val="6"/>
          <c:order val="6"/>
          <c:tx>
            <c:strRef>
              <c:f>Sheet1!$A$34</c:f>
              <c:strCache>
                <c:ptCount val="1"/>
                <c:pt idx="0">
                  <c:v>Kitas turtas</c:v>
                </c:pt>
              </c:strCache>
            </c:strRef>
          </c:tx>
          <c:invertIfNegative val="0"/>
          <c:cat>
            <c:numRef>
              <c:f>Sheet1!$C$26:$AC$26</c:f>
              <c:numCache>
                <c:formatCode>General</c:formatCode>
                <c:ptCount val="14"/>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numCache>
            </c:numRef>
          </c:cat>
          <c:val>
            <c:numRef>
              <c:f>Sheet1!$C$34:$AC$34</c:f>
              <c:numCache>
                <c:formatCode>0.00%</c:formatCode>
                <c:ptCount val="14"/>
                <c:pt idx="0">
                  <c:v>2.9503105590062112E-2</c:v>
                </c:pt>
                <c:pt idx="1">
                  <c:v>7.167832167832168E-2</c:v>
                </c:pt>
                <c:pt idx="2">
                  <c:v>2.2824536376604851E-2</c:v>
                </c:pt>
                <c:pt idx="3">
                  <c:v>8.9777777777777776E-2</c:v>
                </c:pt>
                <c:pt idx="4">
                  <c:v>0.11327231121281464</c:v>
                </c:pt>
                <c:pt idx="5">
                  <c:v>0.10604375231738969</c:v>
                </c:pt>
                <c:pt idx="6">
                  <c:v>9.5189091844610232E-2</c:v>
                </c:pt>
                <c:pt idx="7">
                  <c:v>7.3684210526315783E-2</c:v>
                </c:pt>
                <c:pt idx="8">
                  <c:v>5.85483224167892E-2</c:v>
                </c:pt>
                <c:pt idx="9">
                  <c:v>3.9789997236805749E-2</c:v>
                </c:pt>
                <c:pt idx="10">
                  <c:v>3.8546352650613035E-2</c:v>
                </c:pt>
                <c:pt idx="11">
                  <c:v>3.9866255144032921E-2</c:v>
                </c:pt>
                <c:pt idx="12">
                  <c:v>3.1332453825857517E-2</c:v>
                </c:pt>
                <c:pt idx="13">
                  <c:v>4.3608459666853824E-2</c:v>
                </c:pt>
              </c:numCache>
            </c:numRef>
          </c:val>
        </c:ser>
        <c:dLbls>
          <c:showLegendKey val="0"/>
          <c:showVal val="0"/>
          <c:showCatName val="0"/>
          <c:showSerName val="0"/>
          <c:showPercent val="0"/>
          <c:showBubbleSize val="0"/>
        </c:dLbls>
        <c:gapWidth val="75"/>
        <c:overlap val="100"/>
        <c:axId val="73710592"/>
        <c:axId val="73962240"/>
      </c:barChart>
      <c:catAx>
        <c:axId val="73710592"/>
        <c:scaling>
          <c:orientation val="minMax"/>
        </c:scaling>
        <c:delete val="0"/>
        <c:axPos val="b"/>
        <c:numFmt formatCode="General" sourceLinked="1"/>
        <c:majorTickMark val="none"/>
        <c:minorTickMark val="none"/>
        <c:tickLblPos val="nextTo"/>
        <c:txPr>
          <a:bodyPr rot="-2940000" vert="horz"/>
          <a:lstStyle/>
          <a:p>
            <a:pPr>
              <a:defRPr/>
            </a:pPr>
            <a:endParaRPr lang="lt-LT"/>
          </a:p>
        </c:txPr>
        <c:crossAx val="73962240"/>
        <c:crosses val="autoZero"/>
        <c:auto val="1"/>
        <c:lblAlgn val="ctr"/>
        <c:lblOffset val="100"/>
        <c:noMultiLvlLbl val="0"/>
      </c:catAx>
      <c:valAx>
        <c:axId val="73962240"/>
        <c:scaling>
          <c:orientation val="minMax"/>
          <c:max val="1"/>
        </c:scaling>
        <c:delete val="0"/>
        <c:axPos val="l"/>
        <c:majorGridlines/>
        <c:numFmt formatCode="0.00%" sourceLinked="1"/>
        <c:majorTickMark val="none"/>
        <c:minorTickMark val="none"/>
        <c:tickLblPos val="nextTo"/>
        <c:crossAx val="73710592"/>
        <c:crosses val="autoZero"/>
        <c:crossBetween val="between"/>
      </c:valAx>
    </c:plotArea>
    <c:legend>
      <c:legendPos val="b"/>
      <c:layout>
        <c:manualLayout>
          <c:xMode val="edge"/>
          <c:yMode val="edge"/>
          <c:x val="0.11877553172932209"/>
          <c:y val="0.80054620182123537"/>
          <c:w val="0.84274759772675478"/>
          <c:h val="0.19573511803025928"/>
        </c:manualLayout>
      </c:layout>
      <c:overlay val="0"/>
      <c:txPr>
        <a:bodyPr/>
        <a:lstStyle/>
        <a:p>
          <a:pPr>
            <a:defRPr sz="1050"/>
          </a:pPr>
          <a:endParaRPr lang="lt-LT"/>
        </a:p>
      </c:txPr>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8007120849024303E-2"/>
          <c:y val="0.10582830600831893"/>
          <c:w val="0.90050749743238612"/>
          <c:h val="0.86318335668270052"/>
        </c:manualLayout>
      </c:layout>
      <c:pieChart>
        <c:varyColors val="1"/>
        <c:ser>
          <c:idx val="0"/>
          <c:order val="0"/>
          <c:dLbls>
            <c:dLbl>
              <c:idx val="1"/>
              <c:layout>
                <c:manualLayout>
                  <c:x val="0.1299234508729887"/>
                  <c:y val="4.1440190210758406E-2"/>
                </c:manualLayout>
              </c:layout>
              <c:showLegendKey val="0"/>
              <c:showVal val="1"/>
              <c:showCatName val="1"/>
              <c:showSerName val="0"/>
              <c:showPercent val="0"/>
              <c:showBubbleSize val="0"/>
            </c:dLbl>
            <c:dLbl>
              <c:idx val="2"/>
              <c:layout>
                <c:manualLayout>
                  <c:x val="-0.1769350222526532"/>
                  <c:y val="0.14167891513370859"/>
                </c:manualLayout>
              </c:layout>
              <c:showLegendKey val="0"/>
              <c:showVal val="1"/>
              <c:showCatName val="1"/>
              <c:showSerName val="0"/>
              <c:showPercent val="0"/>
              <c:showBubbleSize val="0"/>
            </c:dLbl>
            <c:dLbl>
              <c:idx val="3"/>
              <c:layout>
                <c:manualLayout>
                  <c:x val="2.0110099281068126E-2"/>
                  <c:y val="1.0574053265091357E-2"/>
                </c:manualLayout>
              </c:layout>
              <c:showLegendKey val="0"/>
              <c:showVal val="1"/>
              <c:showCatName val="1"/>
              <c:showSerName val="0"/>
              <c:showPercent val="0"/>
              <c:showBubbleSize val="0"/>
            </c:dLbl>
            <c:dLbl>
              <c:idx val="4"/>
              <c:layout>
                <c:manualLayout>
                  <c:x val="-0.11477128837156225"/>
                  <c:y val="-0.20180893756088694"/>
                </c:manualLayout>
              </c:layout>
              <c:showLegendKey val="0"/>
              <c:showVal val="1"/>
              <c:showCatName val="1"/>
              <c:showSerName val="0"/>
              <c:showPercent val="0"/>
              <c:showBubbleSize val="0"/>
            </c:dLbl>
            <c:dLbl>
              <c:idx val="7"/>
              <c:layout>
                <c:manualLayout>
                  <c:x val="-0.11345520940317243"/>
                  <c:y val="0.14875692145649186"/>
                </c:manualLayout>
              </c:layout>
              <c:showLegendKey val="0"/>
              <c:showVal val="1"/>
              <c:showCatName val="1"/>
              <c:showSerName val="0"/>
              <c:showPercent val="0"/>
              <c:showBubbleSize val="0"/>
            </c:dLbl>
            <c:dLbl>
              <c:idx val="8"/>
              <c:layout>
                <c:manualLayout>
                  <c:x val="-0.11951012210430217"/>
                  <c:y val="2.2648937895852414E-2"/>
                </c:manualLayout>
              </c:layout>
              <c:showLegendKey val="0"/>
              <c:showVal val="1"/>
              <c:showCatName val="1"/>
              <c:showSerName val="0"/>
              <c:showPercent val="0"/>
              <c:showBubbleSize val="0"/>
            </c:dLbl>
            <c:dLbl>
              <c:idx val="9"/>
              <c:layout>
                <c:manualLayout>
                  <c:x val="1.9231952527673173E-2"/>
                  <c:y val="9.8473643025445289E-4"/>
                </c:manualLayout>
              </c:layout>
              <c:showLegendKey val="0"/>
              <c:showVal val="1"/>
              <c:showCatName val="1"/>
              <c:showSerName val="0"/>
              <c:showPercent val="0"/>
              <c:showBubbleSize val="0"/>
            </c:dLbl>
            <c:showLegendKey val="0"/>
            <c:showVal val="1"/>
            <c:showCatName val="1"/>
            <c:showSerName val="0"/>
            <c:showPercent val="0"/>
            <c:showBubbleSize val="0"/>
            <c:showLeaderLines val="1"/>
          </c:dLbls>
          <c:cat>
            <c:strRef>
              <c:f>Sheet2!$B$1:$K$1</c:f>
              <c:strCache>
                <c:ptCount val="10"/>
                <c:pt idx="0">
                  <c:v>„Danske lizingas“</c:v>
                </c:pt>
                <c:pt idx="1">
                  <c:v>,,DnB  lizingas“</c:v>
                </c:pt>
                <c:pt idx="2">
                  <c:v> "Nordea Finance Lithuania“</c:v>
                </c:pt>
                <c:pt idx="3">
                  <c:v>UAB “Citadele faktoringas ir lizingas“ </c:v>
                </c:pt>
                <c:pt idx="4">
                  <c:v>„SEB  lizingas“</c:v>
                </c:pt>
                <c:pt idx="5">
                  <c:v>,,SNORO  lizingas“</c:v>
                </c:pt>
                <c:pt idx="6">
                  <c:v>„Swedbank" grupės įmonės Lietuvoje </c:v>
                </c:pt>
                <c:pt idx="7">
                  <c:v>„Šiaulių banko lizingas“</c:v>
                </c:pt>
                <c:pt idx="8">
                  <c:v>UniCredit Leasing Lietuvos filialas</c:v>
                </c:pt>
                <c:pt idx="9">
                  <c:v>,,Ūkio banko lizingas”</c:v>
                </c:pt>
              </c:strCache>
            </c:strRef>
          </c:cat>
          <c:val>
            <c:numRef>
              <c:f>Sheet2!$B$3:$K$3</c:f>
              <c:numCache>
                <c:formatCode>0.0%</c:formatCode>
                <c:ptCount val="10"/>
                <c:pt idx="0">
                  <c:v>3.3523936907906976E-2</c:v>
                </c:pt>
                <c:pt idx="1">
                  <c:v>6.3184038823777142E-2</c:v>
                </c:pt>
                <c:pt idx="2">
                  <c:v>0.1297241952391272</c:v>
                </c:pt>
                <c:pt idx="3">
                  <c:v>9.453333284705075E-3</c:v>
                </c:pt>
                <c:pt idx="4">
                  <c:v>0.33919706940525657</c:v>
                </c:pt>
                <c:pt idx="5">
                  <c:v>1.697676458670172E-2</c:v>
                </c:pt>
                <c:pt idx="6">
                  <c:v>0.30462794488089373</c:v>
                </c:pt>
                <c:pt idx="7">
                  <c:v>3.5034612122141644E-2</c:v>
                </c:pt>
                <c:pt idx="8">
                  <c:v>5.9881860207451985E-3</c:v>
                </c:pt>
                <c:pt idx="9">
                  <c:v>6.2289918728744731E-2</c:v>
                </c:pt>
              </c:numCache>
            </c:numRef>
          </c:val>
        </c:ser>
        <c:dLbls>
          <c:showLegendKey val="0"/>
          <c:showVal val="0"/>
          <c:showCatName val="1"/>
          <c:showSerName val="0"/>
          <c:showPercent val="0"/>
          <c:showBubbleSize val="0"/>
          <c:showLeaderLines val="1"/>
        </c:dLbls>
        <c:firstSliceAng val="0"/>
      </c:pieChart>
    </c:plotArea>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Sheet1!$A$2</c:f>
              <c:strCache>
                <c:ptCount val="1"/>
                <c:pt idx="0">
                  <c:v>Europa</c:v>
                </c:pt>
              </c:strCache>
            </c:strRef>
          </c:tx>
          <c:marker>
            <c:symbol val="none"/>
          </c:marker>
          <c:cat>
            <c:numRef>
              <c:f>Sheet1!$B$1:$U$1</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cat>
          <c:val>
            <c:numRef>
              <c:f>Sheet1!$B$2:$U$2</c:f>
              <c:numCache>
                <c:formatCode>General</c:formatCode>
                <c:ptCount val="20"/>
                <c:pt idx="0">
                  <c:v>120</c:v>
                </c:pt>
                <c:pt idx="1">
                  <c:v>99.5</c:v>
                </c:pt>
                <c:pt idx="2">
                  <c:v>81</c:v>
                </c:pt>
                <c:pt idx="3">
                  <c:v>87.5</c:v>
                </c:pt>
                <c:pt idx="4">
                  <c:v>108</c:v>
                </c:pt>
                <c:pt idx="5">
                  <c:v>117.7</c:v>
                </c:pt>
                <c:pt idx="6">
                  <c:v>108.3</c:v>
                </c:pt>
                <c:pt idx="7">
                  <c:v>133.6</c:v>
                </c:pt>
                <c:pt idx="8">
                  <c:v>133.6</c:v>
                </c:pt>
                <c:pt idx="9">
                  <c:v>131</c:v>
                </c:pt>
                <c:pt idx="10">
                  <c:v>140</c:v>
                </c:pt>
                <c:pt idx="11">
                  <c:v>162.1</c:v>
                </c:pt>
                <c:pt idx="12">
                  <c:v>192.5</c:v>
                </c:pt>
                <c:pt idx="13">
                  <c:v>229.8</c:v>
                </c:pt>
                <c:pt idx="14">
                  <c:v>231.6</c:v>
                </c:pt>
                <c:pt idx="15">
                  <c:v>260.5</c:v>
                </c:pt>
                <c:pt idx="16">
                  <c:v>367.1</c:v>
                </c:pt>
                <c:pt idx="17">
                  <c:v>311.89999999999998</c:v>
                </c:pt>
                <c:pt idx="18">
                  <c:v>211.2</c:v>
                </c:pt>
                <c:pt idx="19">
                  <c:v>212.5</c:v>
                </c:pt>
              </c:numCache>
            </c:numRef>
          </c:val>
          <c:smooth val="0"/>
        </c:ser>
        <c:ser>
          <c:idx val="1"/>
          <c:order val="1"/>
          <c:tx>
            <c:strRef>
              <c:f>Sheet1!$A$3</c:f>
              <c:strCache>
                <c:ptCount val="1"/>
                <c:pt idx="0">
                  <c:v>Šiaurės Amerika</c:v>
                </c:pt>
              </c:strCache>
            </c:strRef>
          </c:tx>
          <c:marker>
            <c:symbol val="none"/>
          </c:marker>
          <c:cat>
            <c:numRef>
              <c:f>Sheet1!$B$1:$U$1</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cat>
          <c:val>
            <c:numRef>
              <c:f>Sheet1!$B$3:$U$3</c:f>
              <c:numCache>
                <c:formatCode>General</c:formatCode>
                <c:ptCount val="20"/>
                <c:pt idx="0">
                  <c:v>130</c:v>
                </c:pt>
                <c:pt idx="1">
                  <c:v>127.6</c:v>
                </c:pt>
                <c:pt idx="2">
                  <c:v>132.5</c:v>
                </c:pt>
                <c:pt idx="3">
                  <c:v>148</c:v>
                </c:pt>
                <c:pt idx="4">
                  <c:v>169.3</c:v>
                </c:pt>
                <c:pt idx="5">
                  <c:v>177</c:v>
                </c:pt>
                <c:pt idx="6">
                  <c:v>189.2</c:v>
                </c:pt>
                <c:pt idx="7">
                  <c:v>195</c:v>
                </c:pt>
                <c:pt idx="8">
                  <c:v>239.1</c:v>
                </c:pt>
                <c:pt idx="9">
                  <c:v>272.39999999999998</c:v>
                </c:pt>
                <c:pt idx="10">
                  <c:v>254.1</c:v>
                </c:pt>
                <c:pt idx="11">
                  <c:v>216</c:v>
                </c:pt>
                <c:pt idx="12">
                  <c:v>223.9</c:v>
                </c:pt>
                <c:pt idx="13">
                  <c:v>240.7</c:v>
                </c:pt>
                <c:pt idx="14">
                  <c:v>236.7</c:v>
                </c:pt>
                <c:pt idx="15">
                  <c:v>241.1</c:v>
                </c:pt>
                <c:pt idx="16">
                  <c:v>237.9</c:v>
                </c:pt>
                <c:pt idx="17">
                  <c:v>226.1</c:v>
                </c:pt>
                <c:pt idx="18">
                  <c:v>190.8</c:v>
                </c:pt>
                <c:pt idx="19">
                  <c:v>213.3</c:v>
                </c:pt>
              </c:numCache>
            </c:numRef>
          </c:val>
          <c:smooth val="0"/>
        </c:ser>
        <c:ser>
          <c:idx val="2"/>
          <c:order val="2"/>
          <c:tx>
            <c:strRef>
              <c:f>Sheet1!$A$4</c:f>
              <c:strCache>
                <c:ptCount val="1"/>
                <c:pt idx="0">
                  <c:v>Azija</c:v>
                </c:pt>
              </c:strCache>
            </c:strRef>
          </c:tx>
          <c:marker>
            <c:symbol val="none"/>
          </c:marker>
          <c:cat>
            <c:numRef>
              <c:f>Sheet1!$B$1:$U$1</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cat>
          <c:val>
            <c:numRef>
              <c:f>Sheet1!$B$4:$U$4</c:f>
              <c:numCache>
                <c:formatCode>General</c:formatCode>
                <c:ptCount val="20"/>
                <c:pt idx="0">
                  <c:v>83.4</c:v>
                </c:pt>
                <c:pt idx="1">
                  <c:v>80.900000000000006</c:v>
                </c:pt>
                <c:pt idx="2">
                  <c:v>79.900000000000006</c:v>
                </c:pt>
                <c:pt idx="3">
                  <c:v>99.2</c:v>
                </c:pt>
                <c:pt idx="4">
                  <c:v>104.8</c:v>
                </c:pt>
                <c:pt idx="5">
                  <c:v>105.8</c:v>
                </c:pt>
                <c:pt idx="6">
                  <c:v>80.2</c:v>
                </c:pt>
                <c:pt idx="7">
                  <c:v>74.7</c:v>
                </c:pt>
                <c:pt idx="8">
                  <c:v>80.400000000000006</c:v>
                </c:pt>
                <c:pt idx="9">
                  <c:v>78.3</c:v>
                </c:pt>
                <c:pt idx="10">
                  <c:v>67.7</c:v>
                </c:pt>
                <c:pt idx="11">
                  <c:v>70.7</c:v>
                </c:pt>
                <c:pt idx="12">
                  <c:v>77.7</c:v>
                </c:pt>
                <c:pt idx="13">
                  <c:v>84.9</c:v>
                </c:pt>
                <c:pt idx="14">
                  <c:v>82</c:v>
                </c:pt>
                <c:pt idx="15">
                  <c:v>93.1</c:v>
                </c:pt>
                <c:pt idx="16">
                  <c:v>118.7</c:v>
                </c:pt>
                <c:pt idx="17">
                  <c:v>124</c:v>
                </c:pt>
                <c:pt idx="18">
                  <c:v>112.7</c:v>
                </c:pt>
                <c:pt idx="19">
                  <c:v>148.4</c:v>
                </c:pt>
              </c:numCache>
            </c:numRef>
          </c:val>
          <c:smooth val="0"/>
        </c:ser>
        <c:ser>
          <c:idx val="3"/>
          <c:order val="3"/>
          <c:tx>
            <c:strRef>
              <c:f>Sheet1!$A$5</c:f>
              <c:strCache>
                <c:ptCount val="1"/>
                <c:pt idx="0">
                  <c:v>Pietų Amerika</c:v>
                </c:pt>
              </c:strCache>
            </c:strRef>
          </c:tx>
          <c:marker>
            <c:symbol val="none"/>
          </c:marker>
          <c:cat>
            <c:numRef>
              <c:f>Sheet1!$B$1:$U$1</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cat>
          <c:val>
            <c:numRef>
              <c:f>Sheet1!$B$5:$U$5</c:f>
              <c:numCache>
                <c:formatCode>General</c:formatCode>
                <c:ptCount val="20"/>
                <c:pt idx="0">
                  <c:v>3.5</c:v>
                </c:pt>
                <c:pt idx="1">
                  <c:v>6.3</c:v>
                </c:pt>
                <c:pt idx="2">
                  <c:v>9.3000000000000007</c:v>
                </c:pt>
                <c:pt idx="3">
                  <c:v>11.1</c:v>
                </c:pt>
                <c:pt idx="4">
                  <c:v>15.1</c:v>
                </c:pt>
                <c:pt idx="5">
                  <c:v>15</c:v>
                </c:pt>
                <c:pt idx="6">
                  <c:v>15.9</c:v>
                </c:pt>
                <c:pt idx="7">
                  <c:v>16.399999999999999</c:v>
                </c:pt>
                <c:pt idx="8">
                  <c:v>8.3000000000000007</c:v>
                </c:pt>
                <c:pt idx="9">
                  <c:v>8.1</c:v>
                </c:pt>
                <c:pt idx="10">
                  <c:v>5.6</c:v>
                </c:pt>
                <c:pt idx="11">
                  <c:v>3.3</c:v>
                </c:pt>
                <c:pt idx="12">
                  <c:v>4</c:v>
                </c:pt>
                <c:pt idx="13">
                  <c:v>7.5</c:v>
                </c:pt>
                <c:pt idx="14">
                  <c:v>13.9</c:v>
                </c:pt>
                <c:pt idx="15">
                  <c:v>19.2</c:v>
                </c:pt>
                <c:pt idx="16">
                  <c:v>41.4</c:v>
                </c:pt>
                <c:pt idx="17">
                  <c:v>54.2</c:v>
                </c:pt>
                <c:pt idx="18">
                  <c:v>30.2</c:v>
                </c:pt>
                <c:pt idx="19">
                  <c:v>25.4</c:v>
                </c:pt>
              </c:numCache>
            </c:numRef>
          </c:val>
          <c:smooth val="0"/>
        </c:ser>
        <c:ser>
          <c:idx val="4"/>
          <c:order val="4"/>
          <c:tx>
            <c:strRef>
              <c:f>Sheet1!$A$6</c:f>
              <c:strCache>
                <c:ptCount val="1"/>
                <c:pt idx="0">
                  <c:v>Australija</c:v>
                </c:pt>
              </c:strCache>
            </c:strRef>
          </c:tx>
          <c:marker>
            <c:symbol val="none"/>
          </c:marker>
          <c:cat>
            <c:numRef>
              <c:f>Sheet1!$B$1:$U$1</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cat>
          <c:val>
            <c:numRef>
              <c:f>Sheet1!$B$6:$U$6</c:f>
              <c:numCache>
                <c:formatCode>General</c:formatCode>
                <c:ptCount val="20"/>
                <c:pt idx="0">
                  <c:v>4</c:v>
                </c:pt>
                <c:pt idx="1">
                  <c:v>4.2</c:v>
                </c:pt>
                <c:pt idx="2">
                  <c:v>4.9000000000000004</c:v>
                </c:pt>
                <c:pt idx="3">
                  <c:v>5.9</c:v>
                </c:pt>
                <c:pt idx="4">
                  <c:v>6.2</c:v>
                </c:pt>
                <c:pt idx="5">
                  <c:v>7.3</c:v>
                </c:pt>
                <c:pt idx="6">
                  <c:v>6.9</c:v>
                </c:pt>
                <c:pt idx="7">
                  <c:v>7.9</c:v>
                </c:pt>
                <c:pt idx="8">
                  <c:v>7.9</c:v>
                </c:pt>
                <c:pt idx="9">
                  <c:v>5.3</c:v>
                </c:pt>
                <c:pt idx="10">
                  <c:v>5.5</c:v>
                </c:pt>
                <c:pt idx="11">
                  <c:v>5.8</c:v>
                </c:pt>
                <c:pt idx="12">
                  <c:v>7.6</c:v>
                </c:pt>
                <c:pt idx="13">
                  <c:v>8.1</c:v>
                </c:pt>
                <c:pt idx="14">
                  <c:v>8.1999999999999993</c:v>
                </c:pt>
                <c:pt idx="15">
                  <c:v>8.6</c:v>
                </c:pt>
                <c:pt idx="16">
                  <c:v>4.0999999999999996</c:v>
                </c:pt>
                <c:pt idx="17">
                  <c:v>6.9</c:v>
                </c:pt>
                <c:pt idx="18">
                  <c:v>5.7</c:v>
                </c:pt>
                <c:pt idx="19">
                  <c:v>10.8</c:v>
                </c:pt>
              </c:numCache>
            </c:numRef>
          </c:val>
          <c:smooth val="0"/>
        </c:ser>
        <c:ser>
          <c:idx val="5"/>
          <c:order val="5"/>
          <c:tx>
            <c:strRef>
              <c:f>Sheet1!$A$7</c:f>
              <c:strCache>
                <c:ptCount val="1"/>
                <c:pt idx="0">
                  <c:v>Afrika</c:v>
                </c:pt>
              </c:strCache>
            </c:strRef>
          </c:tx>
          <c:marker>
            <c:symbol val="none"/>
          </c:marker>
          <c:cat>
            <c:numRef>
              <c:f>Sheet1!$B$1:$U$1</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cat>
          <c:val>
            <c:numRef>
              <c:f>Sheet1!$B$7:$U$7</c:f>
              <c:numCache>
                <c:formatCode>General</c:formatCode>
                <c:ptCount val="20"/>
                <c:pt idx="0">
                  <c:v>4.4000000000000004</c:v>
                </c:pt>
                <c:pt idx="1">
                  <c:v>4.8</c:v>
                </c:pt>
                <c:pt idx="2">
                  <c:v>2</c:v>
                </c:pt>
                <c:pt idx="3">
                  <c:v>4.7</c:v>
                </c:pt>
                <c:pt idx="4">
                  <c:v>5.7</c:v>
                </c:pt>
                <c:pt idx="5">
                  <c:v>5.3</c:v>
                </c:pt>
                <c:pt idx="6">
                  <c:v>5.2</c:v>
                </c:pt>
                <c:pt idx="7">
                  <c:v>4.9000000000000004</c:v>
                </c:pt>
                <c:pt idx="8">
                  <c:v>4.3</c:v>
                </c:pt>
                <c:pt idx="9">
                  <c:v>3.9</c:v>
                </c:pt>
                <c:pt idx="10">
                  <c:v>3.8</c:v>
                </c:pt>
                <c:pt idx="11">
                  <c:v>3.7</c:v>
                </c:pt>
                <c:pt idx="12">
                  <c:v>5.6</c:v>
                </c:pt>
                <c:pt idx="13">
                  <c:v>8.1</c:v>
                </c:pt>
                <c:pt idx="14">
                  <c:v>9.6</c:v>
                </c:pt>
                <c:pt idx="15">
                  <c:v>11.1</c:v>
                </c:pt>
                <c:pt idx="16">
                  <c:v>11.2</c:v>
                </c:pt>
                <c:pt idx="17">
                  <c:v>9.6</c:v>
                </c:pt>
                <c:pt idx="18">
                  <c:v>6.5</c:v>
                </c:pt>
                <c:pt idx="19">
                  <c:v>6.4</c:v>
                </c:pt>
              </c:numCache>
            </c:numRef>
          </c:val>
          <c:smooth val="0"/>
        </c:ser>
        <c:dLbls>
          <c:showLegendKey val="0"/>
          <c:showVal val="0"/>
          <c:showCatName val="0"/>
          <c:showSerName val="0"/>
          <c:showPercent val="0"/>
          <c:showBubbleSize val="0"/>
        </c:dLbls>
        <c:marker val="1"/>
        <c:smooth val="0"/>
        <c:axId val="73828992"/>
        <c:axId val="73830784"/>
      </c:lineChart>
      <c:catAx>
        <c:axId val="73828992"/>
        <c:scaling>
          <c:orientation val="minMax"/>
        </c:scaling>
        <c:delete val="0"/>
        <c:axPos val="b"/>
        <c:numFmt formatCode="General" sourceLinked="1"/>
        <c:majorTickMark val="none"/>
        <c:minorTickMark val="none"/>
        <c:tickLblPos val="nextTo"/>
        <c:txPr>
          <a:bodyPr rot="2700000"/>
          <a:lstStyle/>
          <a:p>
            <a:pPr>
              <a:defRPr/>
            </a:pPr>
            <a:endParaRPr lang="lt-LT"/>
          </a:p>
        </c:txPr>
        <c:crossAx val="73830784"/>
        <c:crosses val="autoZero"/>
        <c:auto val="1"/>
        <c:lblAlgn val="ctr"/>
        <c:lblOffset val="100"/>
        <c:noMultiLvlLbl val="0"/>
      </c:catAx>
      <c:valAx>
        <c:axId val="73830784"/>
        <c:scaling>
          <c:orientation val="minMax"/>
          <c:max val="370"/>
          <c:min val="0"/>
        </c:scaling>
        <c:delete val="0"/>
        <c:axPos val="l"/>
        <c:majorGridlines>
          <c:spPr>
            <a:ln>
              <a:noFill/>
            </a:ln>
          </c:spPr>
        </c:majorGridlines>
        <c:numFmt formatCode="General" sourceLinked="1"/>
        <c:majorTickMark val="none"/>
        <c:minorTickMark val="none"/>
        <c:tickLblPos val="nextTo"/>
        <c:crossAx val="73828992"/>
        <c:crosses val="autoZero"/>
        <c:crossBetween val="between"/>
        <c:majorUnit val="30"/>
      </c:valAx>
    </c:plotArea>
    <c:legend>
      <c:legendPos val="b"/>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Lietuva</c:v>
          </c:tx>
          <c:marker>
            <c:symbol val="none"/>
          </c:marker>
          <c:cat>
            <c:numRef>
              <c:f>Sheet2!$I$2:$N$2</c:f>
              <c:numCache>
                <c:formatCode>General</c:formatCode>
                <c:ptCount val="6"/>
                <c:pt idx="0">
                  <c:v>2006</c:v>
                </c:pt>
                <c:pt idx="1">
                  <c:v>2007</c:v>
                </c:pt>
                <c:pt idx="2">
                  <c:v>2008</c:v>
                </c:pt>
                <c:pt idx="3">
                  <c:v>2009</c:v>
                </c:pt>
                <c:pt idx="4">
                  <c:v>2010</c:v>
                </c:pt>
                <c:pt idx="5">
                  <c:v>2011</c:v>
                </c:pt>
              </c:numCache>
            </c:numRef>
          </c:cat>
          <c:val>
            <c:numRef>
              <c:f>Sheet2!$I$4:$N$4</c:f>
              <c:numCache>
                <c:formatCode>General</c:formatCode>
                <c:ptCount val="6"/>
                <c:pt idx="0">
                  <c:v>2.1666473586654309</c:v>
                </c:pt>
                <c:pt idx="1">
                  <c:v>3.1444045412418906</c:v>
                </c:pt>
                <c:pt idx="2">
                  <c:v>3.2834221501390175</c:v>
                </c:pt>
                <c:pt idx="3">
                  <c:v>2.252085264133457</c:v>
                </c:pt>
                <c:pt idx="4">
                  <c:v>1.7562557924003708</c:v>
                </c:pt>
                <c:pt idx="5">
                  <c:v>1.5474397590361446</c:v>
                </c:pt>
              </c:numCache>
            </c:numRef>
          </c:val>
          <c:smooth val="0"/>
        </c:ser>
        <c:ser>
          <c:idx val="2"/>
          <c:order val="1"/>
          <c:tx>
            <c:v>Latvija</c:v>
          </c:tx>
          <c:marker>
            <c:symbol val="none"/>
          </c:marker>
          <c:cat>
            <c:numRef>
              <c:f>Sheet2!$I$2:$N$2</c:f>
              <c:numCache>
                <c:formatCode>General</c:formatCode>
                <c:ptCount val="6"/>
                <c:pt idx="0">
                  <c:v>2006</c:v>
                </c:pt>
                <c:pt idx="1">
                  <c:v>2007</c:v>
                </c:pt>
                <c:pt idx="2">
                  <c:v>2008</c:v>
                </c:pt>
                <c:pt idx="3">
                  <c:v>2009</c:v>
                </c:pt>
                <c:pt idx="4">
                  <c:v>2010</c:v>
                </c:pt>
                <c:pt idx="5">
                  <c:v>2011</c:v>
                </c:pt>
              </c:numCache>
            </c:numRef>
          </c:cat>
          <c:val>
            <c:numRef>
              <c:f>Sheet2!$I$10:$N$10</c:f>
              <c:numCache>
                <c:formatCode>General</c:formatCode>
                <c:ptCount val="6"/>
                <c:pt idx="0">
                  <c:v>1.532</c:v>
                </c:pt>
                <c:pt idx="1">
                  <c:v>2.46</c:v>
                </c:pt>
                <c:pt idx="2">
                  <c:v>2.4950000000000001</c:v>
                </c:pt>
                <c:pt idx="3">
                  <c:v>1.8169999999999999</c:v>
                </c:pt>
                <c:pt idx="4">
                  <c:v>1.337</c:v>
                </c:pt>
                <c:pt idx="5">
                  <c:v>1.1990000000000001</c:v>
                </c:pt>
              </c:numCache>
            </c:numRef>
          </c:val>
          <c:smooth val="0"/>
        </c:ser>
        <c:ser>
          <c:idx val="1"/>
          <c:order val="2"/>
          <c:tx>
            <c:v>Estija</c:v>
          </c:tx>
          <c:marker>
            <c:symbol val="none"/>
          </c:marker>
          <c:cat>
            <c:numRef>
              <c:f>Sheet2!$I$2:$N$2</c:f>
              <c:numCache>
                <c:formatCode>General</c:formatCode>
                <c:ptCount val="6"/>
                <c:pt idx="0">
                  <c:v>2006</c:v>
                </c:pt>
                <c:pt idx="1">
                  <c:v>2007</c:v>
                </c:pt>
                <c:pt idx="2">
                  <c:v>2008</c:v>
                </c:pt>
                <c:pt idx="3">
                  <c:v>2009</c:v>
                </c:pt>
                <c:pt idx="4">
                  <c:v>2010</c:v>
                </c:pt>
                <c:pt idx="5">
                  <c:v>2011</c:v>
                </c:pt>
              </c:numCache>
            </c:numRef>
          </c:cat>
          <c:val>
            <c:numRef>
              <c:f>Sheet2!$I$7:$N$7</c:f>
              <c:numCache>
                <c:formatCode>General</c:formatCode>
                <c:ptCount val="6"/>
                <c:pt idx="0">
                  <c:v>2.1640000000000001</c:v>
                </c:pt>
                <c:pt idx="1">
                  <c:v>2.589</c:v>
                </c:pt>
                <c:pt idx="2">
                  <c:v>2.7709999999999999</c:v>
                </c:pt>
                <c:pt idx="3">
                  <c:v>2.15</c:v>
                </c:pt>
                <c:pt idx="4">
                  <c:v>1.738</c:v>
                </c:pt>
                <c:pt idx="5">
                  <c:v>1.677</c:v>
                </c:pt>
              </c:numCache>
            </c:numRef>
          </c:val>
          <c:smooth val="0"/>
        </c:ser>
        <c:dLbls>
          <c:showLegendKey val="0"/>
          <c:showVal val="0"/>
          <c:showCatName val="0"/>
          <c:showSerName val="0"/>
          <c:showPercent val="0"/>
          <c:showBubbleSize val="0"/>
        </c:dLbls>
        <c:marker val="1"/>
        <c:smooth val="0"/>
        <c:axId val="73848320"/>
        <c:axId val="73849856"/>
      </c:lineChart>
      <c:catAx>
        <c:axId val="73848320"/>
        <c:scaling>
          <c:orientation val="minMax"/>
        </c:scaling>
        <c:delete val="0"/>
        <c:axPos val="b"/>
        <c:numFmt formatCode="General" sourceLinked="1"/>
        <c:majorTickMark val="none"/>
        <c:minorTickMark val="none"/>
        <c:tickLblPos val="nextTo"/>
        <c:crossAx val="73849856"/>
        <c:crosses val="autoZero"/>
        <c:auto val="1"/>
        <c:lblAlgn val="ctr"/>
        <c:lblOffset val="100"/>
        <c:noMultiLvlLbl val="0"/>
      </c:catAx>
      <c:valAx>
        <c:axId val="73849856"/>
        <c:scaling>
          <c:orientation val="minMax"/>
        </c:scaling>
        <c:delete val="0"/>
        <c:axPos val="l"/>
        <c:majorGridlines>
          <c:spPr>
            <a:ln>
              <a:noFill/>
            </a:ln>
          </c:spPr>
        </c:majorGridlines>
        <c:title>
          <c:tx>
            <c:rich>
              <a:bodyPr/>
              <a:lstStyle/>
              <a:p>
                <a:pPr>
                  <a:defRPr/>
                </a:pPr>
                <a:r>
                  <a:rPr lang="en-US"/>
                  <a:t>Lizingo portfelis,</a:t>
                </a:r>
                <a:r>
                  <a:rPr lang="en-US" baseline="0"/>
                  <a:t> mlrd. </a:t>
                </a:r>
                <a:r>
                  <a:rPr lang="lt-LT" baseline="0"/>
                  <a:t>eurų</a:t>
                </a:r>
                <a:endParaRPr lang="lt-LT"/>
              </a:p>
            </c:rich>
          </c:tx>
          <c:layout>
            <c:manualLayout>
              <c:xMode val="edge"/>
              <c:yMode val="edge"/>
              <c:x val="2.500010333354E-2"/>
              <c:y val="9.9140053845200679E-2"/>
            </c:manualLayout>
          </c:layout>
          <c:overlay val="0"/>
        </c:title>
        <c:numFmt formatCode="General" sourceLinked="1"/>
        <c:majorTickMark val="none"/>
        <c:minorTickMark val="none"/>
        <c:tickLblPos val="nextTo"/>
        <c:crossAx val="7384832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Lietuva</c:v>
          </c:tx>
          <c:marker>
            <c:symbol val="none"/>
          </c:marker>
          <c:cat>
            <c:numRef>
              <c:f>Sheet2!$R$2:$W$2</c:f>
              <c:numCache>
                <c:formatCode>General</c:formatCode>
                <c:ptCount val="6"/>
                <c:pt idx="0">
                  <c:v>2006</c:v>
                </c:pt>
                <c:pt idx="1">
                  <c:v>2007</c:v>
                </c:pt>
                <c:pt idx="2">
                  <c:v>2008</c:v>
                </c:pt>
                <c:pt idx="3">
                  <c:v>2009</c:v>
                </c:pt>
                <c:pt idx="4">
                  <c:v>2010</c:v>
                </c:pt>
                <c:pt idx="5">
                  <c:v>2011</c:v>
                </c:pt>
              </c:numCache>
            </c:numRef>
          </c:cat>
          <c:val>
            <c:numRef>
              <c:f>Sheet2!$R$4:$W$4</c:f>
              <c:numCache>
                <c:formatCode>0.00</c:formatCode>
                <c:ptCount val="6"/>
                <c:pt idx="0">
                  <c:v>1.8008572752548657</c:v>
                </c:pt>
                <c:pt idx="1">
                  <c:v>2.660159870250232</c:v>
                </c:pt>
                <c:pt idx="2">
                  <c:v>1.8208410565338278</c:v>
                </c:pt>
                <c:pt idx="3">
                  <c:v>0.34088276181649679</c:v>
                </c:pt>
                <c:pt idx="4">
                  <c:v>0.52739805375347548</c:v>
                </c:pt>
                <c:pt idx="5">
                  <c:v>0.67684198331788703</c:v>
                </c:pt>
              </c:numCache>
            </c:numRef>
          </c:val>
          <c:smooth val="0"/>
        </c:ser>
        <c:ser>
          <c:idx val="1"/>
          <c:order val="1"/>
          <c:tx>
            <c:v>Latvija</c:v>
          </c:tx>
          <c:marker>
            <c:symbol val="none"/>
          </c:marker>
          <c:cat>
            <c:numRef>
              <c:f>Sheet2!$R$2:$W$2</c:f>
              <c:numCache>
                <c:formatCode>General</c:formatCode>
                <c:ptCount val="6"/>
                <c:pt idx="0">
                  <c:v>2006</c:v>
                </c:pt>
                <c:pt idx="1">
                  <c:v>2007</c:v>
                </c:pt>
                <c:pt idx="2">
                  <c:v>2008</c:v>
                </c:pt>
                <c:pt idx="3">
                  <c:v>2009</c:v>
                </c:pt>
                <c:pt idx="4">
                  <c:v>2010</c:v>
                </c:pt>
                <c:pt idx="5">
                  <c:v>2011</c:v>
                </c:pt>
              </c:numCache>
            </c:numRef>
          </c:cat>
          <c:val>
            <c:numRef>
              <c:f>Sheet2!$R$10:$W$10</c:f>
              <c:numCache>
                <c:formatCode>General</c:formatCode>
                <c:ptCount val="6"/>
                <c:pt idx="0">
                  <c:v>1.2789999999999999</c:v>
                </c:pt>
                <c:pt idx="1">
                  <c:v>1.8080000000000001</c:v>
                </c:pt>
                <c:pt idx="2">
                  <c:v>1.05</c:v>
                </c:pt>
                <c:pt idx="3">
                  <c:v>0.26</c:v>
                </c:pt>
                <c:pt idx="4">
                  <c:v>0.27200000000000002</c:v>
                </c:pt>
                <c:pt idx="5">
                  <c:v>0.52</c:v>
                </c:pt>
              </c:numCache>
            </c:numRef>
          </c:val>
          <c:smooth val="0"/>
        </c:ser>
        <c:ser>
          <c:idx val="2"/>
          <c:order val="2"/>
          <c:tx>
            <c:v>Estija</c:v>
          </c:tx>
          <c:marker>
            <c:symbol val="none"/>
          </c:marker>
          <c:cat>
            <c:numRef>
              <c:f>Sheet2!$R$2:$W$2</c:f>
              <c:numCache>
                <c:formatCode>General</c:formatCode>
                <c:ptCount val="6"/>
                <c:pt idx="0">
                  <c:v>2006</c:v>
                </c:pt>
                <c:pt idx="1">
                  <c:v>2007</c:v>
                </c:pt>
                <c:pt idx="2">
                  <c:v>2008</c:v>
                </c:pt>
                <c:pt idx="3">
                  <c:v>2009</c:v>
                </c:pt>
                <c:pt idx="4">
                  <c:v>2010</c:v>
                </c:pt>
                <c:pt idx="5">
                  <c:v>2011</c:v>
                </c:pt>
              </c:numCache>
            </c:numRef>
          </c:cat>
          <c:val>
            <c:numRef>
              <c:f>Sheet2!$R$7:$W$7</c:f>
              <c:numCache>
                <c:formatCode>General</c:formatCode>
                <c:ptCount val="6"/>
                <c:pt idx="0">
                  <c:v>1.262</c:v>
                </c:pt>
                <c:pt idx="1">
                  <c:v>1.4530000000000001</c:v>
                </c:pt>
                <c:pt idx="2">
                  <c:v>1.1299999999999999</c:v>
                </c:pt>
                <c:pt idx="3">
                  <c:v>0.379</c:v>
                </c:pt>
                <c:pt idx="4">
                  <c:v>0.44400000000000001</c:v>
                </c:pt>
                <c:pt idx="5">
                  <c:v>0.74399999999999999</c:v>
                </c:pt>
              </c:numCache>
            </c:numRef>
          </c:val>
          <c:smooth val="0"/>
        </c:ser>
        <c:dLbls>
          <c:showLegendKey val="0"/>
          <c:showVal val="0"/>
          <c:showCatName val="0"/>
          <c:showSerName val="0"/>
          <c:showPercent val="0"/>
          <c:showBubbleSize val="0"/>
        </c:dLbls>
        <c:marker val="1"/>
        <c:smooth val="0"/>
        <c:axId val="74031872"/>
        <c:axId val="74033408"/>
      </c:lineChart>
      <c:catAx>
        <c:axId val="74031872"/>
        <c:scaling>
          <c:orientation val="minMax"/>
        </c:scaling>
        <c:delete val="0"/>
        <c:axPos val="b"/>
        <c:numFmt formatCode="General" sourceLinked="1"/>
        <c:majorTickMark val="none"/>
        <c:minorTickMark val="none"/>
        <c:tickLblPos val="nextTo"/>
        <c:crossAx val="74033408"/>
        <c:crosses val="autoZero"/>
        <c:auto val="1"/>
        <c:lblAlgn val="ctr"/>
        <c:lblOffset val="100"/>
        <c:noMultiLvlLbl val="0"/>
      </c:catAx>
      <c:valAx>
        <c:axId val="74033408"/>
        <c:scaling>
          <c:orientation val="minMax"/>
        </c:scaling>
        <c:delete val="0"/>
        <c:axPos val="l"/>
        <c:majorGridlines>
          <c:spPr>
            <a:ln>
              <a:noFill/>
            </a:ln>
          </c:spPr>
        </c:majorGridlines>
        <c:title>
          <c:tx>
            <c:rich>
              <a:bodyPr/>
              <a:lstStyle/>
              <a:p>
                <a:pPr>
                  <a:defRPr/>
                </a:pPr>
                <a:r>
                  <a:rPr lang="lt-LT"/>
                  <a:t>Naujų lizingo</a:t>
                </a:r>
                <a:r>
                  <a:rPr lang="lt-LT" baseline="0"/>
                  <a:t> sutarčių vertė, mlrd. eurų</a:t>
                </a:r>
                <a:endParaRPr lang="lt-LT"/>
              </a:p>
            </c:rich>
          </c:tx>
          <c:overlay val="0"/>
        </c:title>
        <c:numFmt formatCode="0.00" sourceLinked="1"/>
        <c:majorTickMark val="none"/>
        <c:minorTickMark val="none"/>
        <c:tickLblPos val="nextTo"/>
        <c:crossAx val="74031872"/>
        <c:crosses val="autoZero"/>
        <c:crossBetween val="between"/>
      </c:valAx>
    </c:plotArea>
    <c:legend>
      <c:legendPos val="r"/>
      <c:overlay val="0"/>
    </c:legend>
    <c:plotVisOnly val="1"/>
    <c:dispBlanksAs val="zero"/>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barChart>
        <c:barDir val="col"/>
        <c:grouping val="clustered"/>
        <c:varyColors val="0"/>
        <c:ser>
          <c:idx val="0"/>
          <c:order val="0"/>
          <c:invertIfNegative val="0"/>
          <c:dPt>
            <c:idx val="0"/>
            <c:invertIfNegative val="0"/>
            <c:bubble3D val="0"/>
            <c:spPr>
              <a:solidFill>
                <a:srgbClr val="C00000"/>
              </a:solidFill>
            </c:spPr>
          </c:dPt>
          <c:dLbls>
            <c:numFmt formatCode="#,##0.00" sourceLinked="0"/>
            <c:showLegendKey val="0"/>
            <c:showVal val="1"/>
            <c:showCatName val="0"/>
            <c:showSerName val="0"/>
            <c:showPercent val="0"/>
            <c:showBubbleSize val="0"/>
            <c:showLeaderLines val="0"/>
          </c:dLbls>
          <c:cat>
            <c:strRef>
              <c:f>Sheet4!$B$1:$Q$1</c:f>
              <c:strCache>
                <c:ptCount val="16"/>
                <c:pt idx="0">
                  <c:v>Lietuva</c:v>
                </c:pt>
                <c:pt idx="1">
                  <c:v>Latvija</c:v>
                </c:pt>
                <c:pt idx="2">
                  <c:v>Estija</c:v>
                </c:pt>
                <c:pt idx="3">
                  <c:v>Lenkija</c:v>
                </c:pt>
                <c:pt idx="4">
                  <c:v>Vokietija</c:v>
                </c:pt>
                <c:pt idx="5">
                  <c:v>Prancūzija</c:v>
                </c:pt>
                <c:pt idx="6">
                  <c:v>Italija</c:v>
                </c:pt>
                <c:pt idx="7">
                  <c:v>Didžioji Britanija</c:v>
                </c:pt>
                <c:pt idx="8">
                  <c:v>Rumunija</c:v>
                </c:pt>
                <c:pt idx="9">
                  <c:v>Bulgarija</c:v>
                </c:pt>
                <c:pt idx="10">
                  <c:v>Kinija</c:v>
                </c:pt>
                <c:pt idx="11">
                  <c:v>Japonija</c:v>
                </c:pt>
                <c:pt idx="12">
                  <c:v>Kanada</c:v>
                </c:pt>
                <c:pt idx="13">
                  <c:v>Brazilija</c:v>
                </c:pt>
                <c:pt idx="14">
                  <c:v>JAV</c:v>
                </c:pt>
                <c:pt idx="15">
                  <c:v>Europa</c:v>
                </c:pt>
              </c:strCache>
            </c:strRef>
          </c:cat>
          <c:val>
            <c:numRef>
              <c:f>Sheet4!$B$4:$Q$4</c:f>
              <c:numCache>
                <c:formatCode>General</c:formatCode>
                <c:ptCount val="16"/>
                <c:pt idx="0">
                  <c:v>6.3768115942028984</c:v>
                </c:pt>
                <c:pt idx="1">
                  <c:v>7.4279379157427954</c:v>
                </c:pt>
                <c:pt idx="2">
                  <c:v>12.167832167832167</c:v>
                </c:pt>
                <c:pt idx="3">
                  <c:v>3.908629441624365</c:v>
                </c:pt>
                <c:pt idx="4">
                  <c:v>5.3481291563176034</c:v>
                </c:pt>
                <c:pt idx="5">
                  <c:v>4.2752426182118519</c:v>
                </c:pt>
                <c:pt idx="6">
                  <c:v>8.2275220851469353</c:v>
                </c:pt>
                <c:pt idx="7">
                  <c:v>5.9095694899391678</c:v>
                </c:pt>
                <c:pt idx="8">
                  <c:v>2.4778333064646141</c:v>
                </c:pt>
                <c:pt idx="9">
                  <c:v>5.7142857142857144</c:v>
                </c:pt>
                <c:pt idx="10">
                  <c:v>3.5543785064640905</c:v>
                </c:pt>
                <c:pt idx="11">
                  <c:v>2.974974674245769</c:v>
                </c:pt>
                <c:pt idx="12">
                  <c:v>3.2650602409638552</c:v>
                </c:pt>
                <c:pt idx="13">
                  <c:v>2.6567735758736237</c:v>
                </c:pt>
                <c:pt idx="14">
                  <c:v>4.2948411791985937</c:v>
                </c:pt>
                <c:pt idx="15">
                  <c:v>5.6583606664382105</c:v>
                </c:pt>
              </c:numCache>
            </c:numRef>
          </c:val>
        </c:ser>
        <c:dLbls>
          <c:showLegendKey val="0"/>
          <c:showVal val="0"/>
          <c:showCatName val="0"/>
          <c:showSerName val="0"/>
          <c:showPercent val="0"/>
          <c:showBubbleSize val="0"/>
        </c:dLbls>
        <c:gapWidth val="150"/>
        <c:axId val="74079616"/>
        <c:axId val="74085504"/>
      </c:barChart>
      <c:catAx>
        <c:axId val="74079616"/>
        <c:scaling>
          <c:orientation val="minMax"/>
        </c:scaling>
        <c:delete val="0"/>
        <c:axPos val="b"/>
        <c:majorTickMark val="out"/>
        <c:minorTickMark val="none"/>
        <c:tickLblPos val="nextTo"/>
        <c:crossAx val="74085504"/>
        <c:crosses val="autoZero"/>
        <c:auto val="1"/>
        <c:lblAlgn val="ctr"/>
        <c:lblOffset val="100"/>
        <c:noMultiLvlLbl val="0"/>
      </c:catAx>
      <c:valAx>
        <c:axId val="74085504"/>
        <c:scaling>
          <c:orientation val="minMax"/>
        </c:scaling>
        <c:delete val="0"/>
        <c:axPos val="l"/>
        <c:majorGridlines>
          <c:spPr>
            <a:ln>
              <a:noFill/>
            </a:ln>
          </c:spPr>
        </c:majorGridlines>
        <c:numFmt formatCode="General" sourceLinked="1"/>
        <c:majorTickMark val="out"/>
        <c:minorTickMark val="none"/>
        <c:tickLblPos val="nextTo"/>
        <c:crossAx val="74079616"/>
        <c:crosses val="autoZero"/>
        <c:crossBetween val="between"/>
      </c:valAx>
    </c:plotArea>
    <c:plotVisOnly val="1"/>
    <c:dispBlanksAs val="gap"/>
    <c:showDLblsOverMax val="0"/>
  </c:chart>
  <c:spPr>
    <a:ln>
      <a:no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9F4303-531F-4E7B-9063-A6FFF4A117A4}" type="doc">
      <dgm:prSet loTypeId="urn:microsoft.com/office/officeart/2008/layout/RadialCluster" loCatId="cycle" qsTypeId="urn:microsoft.com/office/officeart/2005/8/quickstyle/3d4" qsCatId="3D" csTypeId="urn:microsoft.com/office/officeart/2005/8/colors/accent1_2" csCatId="accent1" phldr="1"/>
      <dgm:spPr/>
      <dgm:t>
        <a:bodyPr/>
        <a:lstStyle/>
        <a:p>
          <a:endParaRPr lang="lt-LT"/>
        </a:p>
      </dgm:t>
    </dgm:pt>
    <dgm:pt modelId="{BBD69640-B823-4C12-A689-F01CFBD99499}">
      <dgm:prSet phldrT="[Text]"/>
      <dgm:spPr/>
      <dgm:t>
        <a:bodyPr/>
        <a:lstStyle/>
        <a:p>
          <a:r>
            <a:rPr lang="lt-LT"/>
            <a:t>Lizingas</a:t>
          </a:r>
        </a:p>
      </dgm:t>
    </dgm:pt>
    <dgm:pt modelId="{05CAADA8-9E21-4187-94EA-4ECB58E2F131}" type="parTrans" cxnId="{BD4A3B64-1F6D-4522-8F53-D3C007C57FE4}">
      <dgm:prSet/>
      <dgm:spPr/>
      <dgm:t>
        <a:bodyPr/>
        <a:lstStyle/>
        <a:p>
          <a:endParaRPr lang="lt-LT"/>
        </a:p>
      </dgm:t>
    </dgm:pt>
    <dgm:pt modelId="{C4994CD7-B73E-4202-913B-64306D75F429}" type="sibTrans" cxnId="{BD4A3B64-1F6D-4522-8F53-D3C007C57FE4}">
      <dgm:prSet/>
      <dgm:spPr/>
      <dgm:t>
        <a:bodyPr/>
        <a:lstStyle/>
        <a:p>
          <a:endParaRPr lang="lt-LT"/>
        </a:p>
      </dgm:t>
    </dgm:pt>
    <dgm:pt modelId="{C4A32818-7AB6-4C4A-8206-3AFDD9E5BB05}">
      <dgm:prSet phldrT="[Text]" custT="1"/>
      <dgm:spPr/>
      <dgm:t>
        <a:bodyPr/>
        <a:lstStyle/>
        <a:p>
          <a:r>
            <a:rPr lang="lt-LT" sz="1200"/>
            <a:t>Finansinis</a:t>
          </a:r>
        </a:p>
      </dgm:t>
    </dgm:pt>
    <dgm:pt modelId="{BED40CFF-74B0-41FD-9E8B-1E0929B109B0}" type="parTrans" cxnId="{CA09DC8B-52F7-4407-A649-BA42F4EAB5E9}">
      <dgm:prSet/>
      <dgm:spPr/>
      <dgm:t>
        <a:bodyPr/>
        <a:lstStyle/>
        <a:p>
          <a:endParaRPr lang="lt-LT"/>
        </a:p>
      </dgm:t>
    </dgm:pt>
    <dgm:pt modelId="{3EEA22A4-6886-42D1-8701-0D87FA4C8F4A}" type="sibTrans" cxnId="{CA09DC8B-52F7-4407-A649-BA42F4EAB5E9}">
      <dgm:prSet/>
      <dgm:spPr/>
      <dgm:t>
        <a:bodyPr/>
        <a:lstStyle/>
        <a:p>
          <a:endParaRPr lang="lt-LT"/>
        </a:p>
      </dgm:t>
    </dgm:pt>
    <dgm:pt modelId="{EB9D9370-4381-4D35-AE91-A15F275BB740}">
      <dgm:prSet phldrT="[Text]" custT="1"/>
      <dgm:spPr/>
      <dgm:t>
        <a:bodyPr/>
        <a:lstStyle/>
        <a:p>
          <a:r>
            <a:rPr lang="lt-LT" sz="1200"/>
            <a:t>Tiesioginis</a:t>
          </a:r>
        </a:p>
      </dgm:t>
    </dgm:pt>
    <dgm:pt modelId="{F2C233EF-24AB-4DB2-904D-86AFE646AA7C}" type="parTrans" cxnId="{7F2BCA90-99C5-4F90-B520-435E40FF4E3F}">
      <dgm:prSet/>
      <dgm:spPr/>
      <dgm:t>
        <a:bodyPr/>
        <a:lstStyle/>
        <a:p>
          <a:endParaRPr lang="lt-LT"/>
        </a:p>
      </dgm:t>
    </dgm:pt>
    <dgm:pt modelId="{1397393C-E9D9-4DC9-AFB9-109F6739E890}" type="sibTrans" cxnId="{7F2BCA90-99C5-4F90-B520-435E40FF4E3F}">
      <dgm:prSet/>
      <dgm:spPr/>
      <dgm:t>
        <a:bodyPr/>
        <a:lstStyle/>
        <a:p>
          <a:endParaRPr lang="lt-LT"/>
        </a:p>
      </dgm:t>
    </dgm:pt>
    <dgm:pt modelId="{6D42AC74-50A3-4B5E-BBF0-201E1DB7F47B}">
      <dgm:prSet phldrT="[Text]" custT="1"/>
      <dgm:spPr/>
      <dgm:t>
        <a:bodyPr/>
        <a:lstStyle/>
        <a:p>
          <a:r>
            <a:rPr lang="lt-LT" sz="1200"/>
            <a:t>Veiklos (operatyvinis)</a:t>
          </a:r>
        </a:p>
      </dgm:t>
    </dgm:pt>
    <dgm:pt modelId="{5FD718BC-D6DA-4618-A563-9A3484537E4F}" type="parTrans" cxnId="{940F9F0B-2349-431F-8F73-07D2186FB87E}">
      <dgm:prSet/>
      <dgm:spPr/>
      <dgm:t>
        <a:bodyPr/>
        <a:lstStyle/>
        <a:p>
          <a:endParaRPr lang="lt-LT"/>
        </a:p>
      </dgm:t>
    </dgm:pt>
    <dgm:pt modelId="{9D83AF37-6A4A-4FA4-BE7E-2704200FB876}" type="sibTrans" cxnId="{940F9F0B-2349-431F-8F73-07D2186FB87E}">
      <dgm:prSet/>
      <dgm:spPr/>
      <dgm:t>
        <a:bodyPr/>
        <a:lstStyle/>
        <a:p>
          <a:endParaRPr lang="lt-LT"/>
        </a:p>
      </dgm:t>
    </dgm:pt>
    <dgm:pt modelId="{DFC49660-C9BC-4FCF-8D1B-1CA757D5B072}">
      <dgm:prSet custT="1"/>
      <dgm:spPr/>
      <dgm:t>
        <a:bodyPr/>
        <a:lstStyle/>
        <a:p>
          <a:r>
            <a:rPr lang="lt-LT" sz="1200"/>
            <a:t>Grįžtamasis</a:t>
          </a:r>
        </a:p>
      </dgm:t>
    </dgm:pt>
    <dgm:pt modelId="{FE14B154-75FD-425B-92C0-3DEACB520BF5}" type="parTrans" cxnId="{F5A82332-6058-452D-9106-E0EE406CE338}">
      <dgm:prSet/>
      <dgm:spPr/>
      <dgm:t>
        <a:bodyPr/>
        <a:lstStyle/>
        <a:p>
          <a:endParaRPr lang="lt-LT"/>
        </a:p>
      </dgm:t>
    </dgm:pt>
    <dgm:pt modelId="{BE794569-DC1B-492A-8F99-7934CF2DEB41}" type="sibTrans" cxnId="{F5A82332-6058-452D-9106-E0EE406CE338}">
      <dgm:prSet/>
      <dgm:spPr/>
      <dgm:t>
        <a:bodyPr/>
        <a:lstStyle/>
        <a:p>
          <a:endParaRPr lang="lt-LT"/>
        </a:p>
      </dgm:t>
    </dgm:pt>
    <dgm:pt modelId="{2180D4AB-7980-40CA-A9BD-7F87E240917A}">
      <dgm:prSet custT="1"/>
      <dgm:spPr/>
      <dgm:t>
        <a:bodyPr/>
        <a:lstStyle/>
        <a:p>
          <a:r>
            <a:rPr lang="lt-LT" sz="1200"/>
            <a:t>Su skolintu kapitalu</a:t>
          </a:r>
        </a:p>
      </dgm:t>
    </dgm:pt>
    <dgm:pt modelId="{62BCDD42-E80C-48B9-BC77-0FF30A901483}" type="parTrans" cxnId="{986305AB-E787-4D58-A5CB-E3498F4A5448}">
      <dgm:prSet/>
      <dgm:spPr/>
      <dgm:t>
        <a:bodyPr/>
        <a:lstStyle/>
        <a:p>
          <a:endParaRPr lang="lt-LT"/>
        </a:p>
      </dgm:t>
    </dgm:pt>
    <dgm:pt modelId="{CD419640-0C9D-4997-A3F8-2DCA5B0AF237}" type="sibTrans" cxnId="{986305AB-E787-4D58-A5CB-E3498F4A5448}">
      <dgm:prSet/>
      <dgm:spPr/>
      <dgm:t>
        <a:bodyPr/>
        <a:lstStyle/>
        <a:p>
          <a:endParaRPr lang="lt-LT"/>
        </a:p>
      </dgm:t>
    </dgm:pt>
    <dgm:pt modelId="{74188293-21A6-4220-AB1D-747F14F027D3}">
      <dgm:prSet custT="1"/>
      <dgm:spPr/>
      <dgm:t>
        <a:bodyPr/>
        <a:lstStyle/>
        <a:p>
          <a:r>
            <a:rPr lang="lt-LT" sz="1200"/>
            <a:t>Tarptautinis</a:t>
          </a:r>
        </a:p>
      </dgm:t>
    </dgm:pt>
    <dgm:pt modelId="{22128097-D7B6-4B55-8D8A-E18A67B5E29F}" type="sibTrans" cxnId="{4B2A21A6-080F-45AA-A0CB-93D7BBE8447C}">
      <dgm:prSet/>
      <dgm:spPr/>
      <dgm:t>
        <a:bodyPr/>
        <a:lstStyle/>
        <a:p>
          <a:endParaRPr lang="lt-LT"/>
        </a:p>
      </dgm:t>
    </dgm:pt>
    <dgm:pt modelId="{F49CDA61-B594-4137-8FE7-2E60CA8A8855}" type="parTrans" cxnId="{4B2A21A6-080F-45AA-A0CB-93D7BBE8447C}">
      <dgm:prSet/>
      <dgm:spPr/>
      <dgm:t>
        <a:bodyPr/>
        <a:lstStyle/>
        <a:p>
          <a:endParaRPr lang="lt-LT"/>
        </a:p>
      </dgm:t>
    </dgm:pt>
    <dgm:pt modelId="{FF408268-381D-4CBC-A672-0644D8117387}" type="pres">
      <dgm:prSet presAssocID="{019F4303-531F-4E7B-9063-A6FFF4A117A4}" presName="Name0" presStyleCnt="0">
        <dgm:presLayoutVars>
          <dgm:chMax val="1"/>
          <dgm:chPref val="1"/>
          <dgm:dir val="rev"/>
          <dgm:animOne val="branch"/>
          <dgm:animLvl val="lvl"/>
        </dgm:presLayoutVars>
      </dgm:prSet>
      <dgm:spPr/>
      <dgm:t>
        <a:bodyPr/>
        <a:lstStyle/>
        <a:p>
          <a:endParaRPr lang="lt-LT"/>
        </a:p>
      </dgm:t>
    </dgm:pt>
    <dgm:pt modelId="{F2620E8A-2D0E-48FA-BCAD-B295484E7703}" type="pres">
      <dgm:prSet presAssocID="{BBD69640-B823-4C12-A689-F01CFBD99499}" presName="singleCycle" presStyleCnt="0"/>
      <dgm:spPr/>
      <dgm:t>
        <a:bodyPr/>
        <a:lstStyle/>
        <a:p>
          <a:endParaRPr lang="lt-LT"/>
        </a:p>
      </dgm:t>
    </dgm:pt>
    <dgm:pt modelId="{FF2A294D-3629-4E6A-BFA2-0CCC2F1E1C37}" type="pres">
      <dgm:prSet presAssocID="{BBD69640-B823-4C12-A689-F01CFBD99499}" presName="singleCenter" presStyleLbl="node1" presStyleIdx="0" presStyleCnt="7">
        <dgm:presLayoutVars>
          <dgm:chMax val="7"/>
          <dgm:chPref val="7"/>
        </dgm:presLayoutVars>
      </dgm:prSet>
      <dgm:spPr/>
      <dgm:t>
        <a:bodyPr/>
        <a:lstStyle/>
        <a:p>
          <a:endParaRPr lang="lt-LT"/>
        </a:p>
      </dgm:t>
    </dgm:pt>
    <dgm:pt modelId="{60BF582D-A78C-4925-917E-002490DFD207}" type="pres">
      <dgm:prSet presAssocID="{BED40CFF-74B0-41FD-9E8B-1E0929B109B0}" presName="Name56" presStyleLbl="parChTrans1D2" presStyleIdx="0" presStyleCnt="6"/>
      <dgm:spPr/>
      <dgm:t>
        <a:bodyPr/>
        <a:lstStyle/>
        <a:p>
          <a:endParaRPr lang="lt-LT"/>
        </a:p>
      </dgm:t>
    </dgm:pt>
    <dgm:pt modelId="{21410A9E-F8C7-459E-AB11-330BDF65305C}" type="pres">
      <dgm:prSet presAssocID="{C4A32818-7AB6-4C4A-8206-3AFDD9E5BB05}" presName="text0" presStyleLbl="node1" presStyleIdx="1" presStyleCnt="7" custScaleX="211163" custScaleY="85482">
        <dgm:presLayoutVars>
          <dgm:bulletEnabled val="1"/>
        </dgm:presLayoutVars>
      </dgm:prSet>
      <dgm:spPr/>
      <dgm:t>
        <a:bodyPr/>
        <a:lstStyle/>
        <a:p>
          <a:endParaRPr lang="lt-LT"/>
        </a:p>
      </dgm:t>
    </dgm:pt>
    <dgm:pt modelId="{11DD46E4-FC11-4AE9-B832-4565D20593AD}" type="pres">
      <dgm:prSet presAssocID="{F2C233EF-24AB-4DB2-904D-86AFE646AA7C}" presName="Name56" presStyleLbl="parChTrans1D2" presStyleIdx="1" presStyleCnt="6"/>
      <dgm:spPr/>
      <dgm:t>
        <a:bodyPr/>
        <a:lstStyle/>
        <a:p>
          <a:endParaRPr lang="lt-LT"/>
        </a:p>
      </dgm:t>
    </dgm:pt>
    <dgm:pt modelId="{BEF4E3AE-CE6F-4CDE-8CE0-403A4CEEBD66}" type="pres">
      <dgm:prSet presAssocID="{EB9D9370-4381-4D35-AE91-A15F275BB740}" presName="text0" presStyleLbl="node1" presStyleIdx="2" presStyleCnt="7" custScaleX="159915" custScaleY="65751">
        <dgm:presLayoutVars>
          <dgm:bulletEnabled val="1"/>
        </dgm:presLayoutVars>
      </dgm:prSet>
      <dgm:spPr/>
      <dgm:t>
        <a:bodyPr/>
        <a:lstStyle/>
        <a:p>
          <a:endParaRPr lang="lt-LT"/>
        </a:p>
      </dgm:t>
    </dgm:pt>
    <dgm:pt modelId="{87BB7D51-0DE2-42A7-87A8-7B0726525CAF}" type="pres">
      <dgm:prSet presAssocID="{F49CDA61-B594-4137-8FE7-2E60CA8A8855}" presName="Name56" presStyleLbl="parChTrans1D2" presStyleIdx="2" presStyleCnt="6"/>
      <dgm:spPr/>
      <dgm:t>
        <a:bodyPr/>
        <a:lstStyle/>
        <a:p>
          <a:endParaRPr lang="lt-LT"/>
        </a:p>
      </dgm:t>
    </dgm:pt>
    <dgm:pt modelId="{7453D792-B015-46FF-853D-D771A57F44E5}" type="pres">
      <dgm:prSet presAssocID="{74188293-21A6-4220-AB1D-747F14F027D3}" presName="text0" presStyleLbl="node1" presStyleIdx="3" presStyleCnt="7" custScaleX="159915" custScaleY="65751">
        <dgm:presLayoutVars>
          <dgm:bulletEnabled val="1"/>
        </dgm:presLayoutVars>
      </dgm:prSet>
      <dgm:spPr/>
      <dgm:t>
        <a:bodyPr/>
        <a:lstStyle/>
        <a:p>
          <a:endParaRPr lang="lt-LT"/>
        </a:p>
      </dgm:t>
    </dgm:pt>
    <dgm:pt modelId="{47BD84D3-EF3C-429A-A0FC-082C1614A333}" type="pres">
      <dgm:prSet presAssocID="{5FD718BC-D6DA-4618-A563-9A3484537E4F}" presName="Name56" presStyleLbl="parChTrans1D2" presStyleIdx="3" presStyleCnt="6"/>
      <dgm:spPr/>
      <dgm:t>
        <a:bodyPr/>
        <a:lstStyle/>
        <a:p>
          <a:endParaRPr lang="lt-LT"/>
        </a:p>
      </dgm:t>
    </dgm:pt>
    <dgm:pt modelId="{20556D48-08E6-48EC-9603-508AF0499CEA}" type="pres">
      <dgm:prSet presAssocID="{6D42AC74-50A3-4B5E-BBF0-201E1DB7F47B}" presName="text0" presStyleLbl="node1" presStyleIdx="4" presStyleCnt="7" custScaleX="211163" custScaleY="85482">
        <dgm:presLayoutVars>
          <dgm:bulletEnabled val="1"/>
        </dgm:presLayoutVars>
      </dgm:prSet>
      <dgm:spPr/>
      <dgm:t>
        <a:bodyPr/>
        <a:lstStyle/>
        <a:p>
          <a:endParaRPr lang="lt-LT"/>
        </a:p>
      </dgm:t>
    </dgm:pt>
    <dgm:pt modelId="{59BEF40E-70E1-4E4D-AD0E-EEAF5C0DA9AE}" type="pres">
      <dgm:prSet presAssocID="{FE14B154-75FD-425B-92C0-3DEACB520BF5}" presName="Name56" presStyleLbl="parChTrans1D2" presStyleIdx="4" presStyleCnt="6"/>
      <dgm:spPr/>
      <dgm:t>
        <a:bodyPr/>
        <a:lstStyle/>
        <a:p>
          <a:endParaRPr lang="lt-LT"/>
        </a:p>
      </dgm:t>
    </dgm:pt>
    <dgm:pt modelId="{0890EA4B-192E-43F5-93E9-FA4200FB7F5A}" type="pres">
      <dgm:prSet presAssocID="{DFC49660-C9BC-4FCF-8D1B-1CA757D5B072}" presName="text0" presStyleLbl="node1" presStyleIdx="5" presStyleCnt="7" custScaleX="159915" custScaleY="65751">
        <dgm:presLayoutVars>
          <dgm:bulletEnabled val="1"/>
        </dgm:presLayoutVars>
      </dgm:prSet>
      <dgm:spPr/>
      <dgm:t>
        <a:bodyPr/>
        <a:lstStyle/>
        <a:p>
          <a:endParaRPr lang="lt-LT"/>
        </a:p>
      </dgm:t>
    </dgm:pt>
    <dgm:pt modelId="{7163AD15-459B-4936-B04A-D78F427169F4}" type="pres">
      <dgm:prSet presAssocID="{62BCDD42-E80C-48B9-BC77-0FF30A901483}" presName="Name56" presStyleLbl="parChTrans1D2" presStyleIdx="5" presStyleCnt="6"/>
      <dgm:spPr/>
      <dgm:t>
        <a:bodyPr/>
        <a:lstStyle/>
        <a:p>
          <a:endParaRPr lang="lt-LT"/>
        </a:p>
      </dgm:t>
    </dgm:pt>
    <dgm:pt modelId="{5EBD6DFF-4801-44FF-A9B2-690A53FE53D2}" type="pres">
      <dgm:prSet presAssocID="{2180D4AB-7980-40CA-A9BD-7F87E240917A}" presName="text0" presStyleLbl="node1" presStyleIdx="6" presStyleCnt="7" custScaleX="159915" custScaleY="65751">
        <dgm:presLayoutVars>
          <dgm:bulletEnabled val="1"/>
        </dgm:presLayoutVars>
      </dgm:prSet>
      <dgm:spPr/>
      <dgm:t>
        <a:bodyPr/>
        <a:lstStyle/>
        <a:p>
          <a:endParaRPr lang="lt-LT"/>
        </a:p>
      </dgm:t>
    </dgm:pt>
  </dgm:ptLst>
  <dgm:cxnLst>
    <dgm:cxn modelId="{14FA81C3-13C8-4FA8-9DE4-C248F48A75C8}" type="presOf" srcId="{62BCDD42-E80C-48B9-BC77-0FF30A901483}" destId="{7163AD15-459B-4936-B04A-D78F427169F4}" srcOrd="0" destOrd="0" presId="urn:microsoft.com/office/officeart/2008/layout/RadialCluster"/>
    <dgm:cxn modelId="{69D2537F-550C-4A4C-B4DF-A523BFB510B2}" type="presOf" srcId="{C4A32818-7AB6-4C4A-8206-3AFDD9E5BB05}" destId="{21410A9E-F8C7-459E-AB11-330BDF65305C}" srcOrd="0" destOrd="0" presId="urn:microsoft.com/office/officeart/2008/layout/RadialCluster"/>
    <dgm:cxn modelId="{E8C0EF9C-05E4-4ED5-A987-38969960052B}" type="presOf" srcId="{FE14B154-75FD-425B-92C0-3DEACB520BF5}" destId="{59BEF40E-70E1-4E4D-AD0E-EEAF5C0DA9AE}" srcOrd="0" destOrd="0" presId="urn:microsoft.com/office/officeart/2008/layout/RadialCluster"/>
    <dgm:cxn modelId="{CA09DC8B-52F7-4407-A649-BA42F4EAB5E9}" srcId="{BBD69640-B823-4C12-A689-F01CFBD99499}" destId="{C4A32818-7AB6-4C4A-8206-3AFDD9E5BB05}" srcOrd="0" destOrd="0" parTransId="{BED40CFF-74B0-41FD-9E8B-1E0929B109B0}" sibTransId="{3EEA22A4-6886-42D1-8701-0D87FA4C8F4A}"/>
    <dgm:cxn modelId="{4B2A21A6-080F-45AA-A0CB-93D7BBE8447C}" srcId="{BBD69640-B823-4C12-A689-F01CFBD99499}" destId="{74188293-21A6-4220-AB1D-747F14F027D3}" srcOrd="2" destOrd="0" parTransId="{F49CDA61-B594-4137-8FE7-2E60CA8A8855}" sibTransId="{22128097-D7B6-4B55-8D8A-E18A67B5E29F}"/>
    <dgm:cxn modelId="{BD4A3B64-1F6D-4522-8F53-D3C007C57FE4}" srcId="{019F4303-531F-4E7B-9063-A6FFF4A117A4}" destId="{BBD69640-B823-4C12-A689-F01CFBD99499}" srcOrd="0" destOrd="0" parTransId="{05CAADA8-9E21-4187-94EA-4ECB58E2F131}" sibTransId="{C4994CD7-B73E-4202-913B-64306D75F429}"/>
    <dgm:cxn modelId="{7F2BCA90-99C5-4F90-B520-435E40FF4E3F}" srcId="{BBD69640-B823-4C12-A689-F01CFBD99499}" destId="{EB9D9370-4381-4D35-AE91-A15F275BB740}" srcOrd="1" destOrd="0" parTransId="{F2C233EF-24AB-4DB2-904D-86AFE646AA7C}" sibTransId="{1397393C-E9D9-4DC9-AFB9-109F6739E890}"/>
    <dgm:cxn modelId="{0A6F967B-39B8-4278-8BDE-167A1D0BB9C0}" type="presOf" srcId="{EB9D9370-4381-4D35-AE91-A15F275BB740}" destId="{BEF4E3AE-CE6F-4CDE-8CE0-403A4CEEBD66}" srcOrd="0" destOrd="0" presId="urn:microsoft.com/office/officeart/2008/layout/RadialCluster"/>
    <dgm:cxn modelId="{CB2156B0-ADA8-4161-B46B-AA0FE4778C90}" type="presOf" srcId="{019F4303-531F-4E7B-9063-A6FFF4A117A4}" destId="{FF408268-381D-4CBC-A672-0644D8117387}" srcOrd="0" destOrd="0" presId="urn:microsoft.com/office/officeart/2008/layout/RadialCluster"/>
    <dgm:cxn modelId="{FBFA7106-5D2A-4805-9B1A-777625B4FE05}" type="presOf" srcId="{74188293-21A6-4220-AB1D-747F14F027D3}" destId="{7453D792-B015-46FF-853D-D771A57F44E5}" srcOrd="0" destOrd="0" presId="urn:microsoft.com/office/officeart/2008/layout/RadialCluster"/>
    <dgm:cxn modelId="{E8E862C7-F727-4629-8C9C-CF4A969A25B6}" type="presOf" srcId="{DFC49660-C9BC-4FCF-8D1B-1CA757D5B072}" destId="{0890EA4B-192E-43F5-93E9-FA4200FB7F5A}" srcOrd="0" destOrd="0" presId="urn:microsoft.com/office/officeart/2008/layout/RadialCluster"/>
    <dgm:cxn modelId="{6185E019-D5AE-4480-A30E-9ECF371C373E}" type="presOf" srcId="{5FD718BC-D6DA-4618-A563-9A3484537E4F}" destId="{47BD84D3-EF3C-429A-A0FC-082C1614A333}" srcOrd="0" destOrd="0" presId="urn:microsoft.com/office/officeart/2008/layout/RadialCluster"/>
    <dgm:cxn modelId="{62552C54-C9A1-4E45-A0A6-F654AE7F1067}" type="presOf" srcId="{BED40CFF-74B0-41FD-9E8B-1E0929B109B0}" destId="{60BF582D-A78C-4925-917E-002490DFD207}" srcOrd="0" destOrd="0" presId="urn:microsoft.com/office/officeart/2008/layout/RadialCluster"/>
    <dgm:cxn modelId="{F5A82332-6058-452D-9106-E0EE406CE338}" srcId="{BBD69640-B823-4C12-A689-F01CFBD99499}" destId="{DFC49660-C9BC-4FCF-8D1B-1CA757D5B072}" srcOrd="4" destOrd="0" parTransId="{FE14B154-75FD-425B-92C0-3DEACB520BF5}" sibTransId="{BE794569-DC1B-492A-8F99-7934CF2DEB41}"/>
    <dgm:cxn modelId="{986305AB-E787-4D58-A5CB-E3498F4A5448}" srcId="{BBD69640-B823-4C12-A689-F01CFBD99499}" destId="{2180D4AB-7980-40CA-A9BD-7F87E240917A}" srcOrd="5" destOrd="0" parTransId="{62BCDD42-E80C-48B9-BC77-0FF30A901483}" sibTransId="{CD419640-0C9D-4997-A3F8-2DCA5B0AF237}"/>
    <dgm:cxn modelId="{23913EC6-574F-4AB7-85B5-8D0C1364BA3D}" type="presOf" srcId="{F49CDA61-B594-4137-8FE7-2E60CA8A8855}" destId="{87BB7D51-0DE2-42A7-87A8-7B0726525CAF}" srcOrd="0" destOrd="0" presId="urn:microsoft.com/office/officeart/2008/layout/RadialCluster"/>
    <dgm:cxn modelId="{940F9F0B-2349-431F-8F73-07D2186FB87E}" srcId="{BBD69640-B823-4C12-A689-F01CFBD99499}" destId="{6D42AC74-50A3-4B5E-BBF0-201E1DB7F47B}" srcOrd="3" destOrd="0" parTransId="{5FD718BC-D6DA-4618-A563-9A3484537E4F}" sibTransId="{9D83AF37-6A4A-4FA4-BE7E-2704200FB876}"/>
    <dgm:cxn modelId="{B6457A26-8A79-40F4-8042-1150206DD53A}" type="presOf" srcId="{2180D4AB-7980-40CA-A9BD-7F87E240917A}" destId="{5EBD6DFF-4801-44FF-A9B2-690A53FE53D2}" srcOrd="0" destOrd="0" presId="urn:microsoft.com/office/officeart/2008/layout/RadialCluster"/>
    <dgm:cxn modelId="{9548C4D8-197A-40ED-B361-0BD0602FFF87}" type="presOf" srcId="{6D42AC74-50A3-4B5E-BBF0-201E1DB7F47B}" destId="{20556D48-08E6-48EC-9603-508AF0499CEA}" srcOrd="0" destOrd="0" presId="urn:microsoft.com/office/officeart/2008/layout/RadialCluster"/>
    <dgm:cxn modelId="{6717D249-CF77-4A69-B0DE-1B44ADFD7875}" type="presOf" srcId="{BBD69640-B823-4C12-A689-F01CFBD99499}" destId="{FF2A294D-3629-4E6A-BFA2-0CCC2F1E1C37}" srcOrd="0" destOrd="0" presId="urn:microsoft.com/office/officeart/2008/layout/RadialCluster"/>
    <dgm:cxn modelId="{CA946945-C3E1-4726-98D9-663730913114}" type="presOf" srcId="{F2C233EF-24AB-4DB2-904D-86AFE646AA7C}" destId="{11DD46E4-FC11-4AE9-B832-4565D20593AD}" srcOrd="0" destOrd="0" presId="urn:microsoft.com/office/officeart/2008/layout/RadialCluster"/>
    <dgm:cxn modelId="{A90DF940-E923-4D26-9361-DD6D717130CF}" type="presParOf" srcId="{FF408268-381D-4CBC-A672-0644D8117387}" destId="{F2620E8A-2D0E-48FA-BCAD-B295484E7703}" srcOrd="0" destOrd="0" presId="urn:microsoft.com/office/officeart/2008/layout/RadialCluster"/>
    <dgm:cxn modelId="{74094DC7-B7B5-4F6A-85FB-8DFEBD265779}" type="presParOf" srcId="{F2620E8A-2D0E-48FA-BCAD-B295484E7703}" destId="{FF2A294D-3629-4E6A-BFA2-0CCC2F1E1C37}" srcOrd="0" destOrd="0" presId="urn:microsoft.com/office/officeart/2008/layout/RadialCluster"/>
    <dgm:cxn modelId="{0D69514A-9E87-404B-B44C-A0E07F9ABE25}" type="presParOf" srcId="{F2620E8A-2D0E-48FA-BCAD-B295484E7703}" destId="{60BF582D-A78C-4925-917E-002490DFD207}" srcOrd="1" destOrd="0" presId="urn:microsoft.com/office/officeart/2008/layout/RadialCluster"/>
    <dgm:cxn modelId="{96205FD7-5BDE-4E81-B50A-18C54F058403}" type="presParOf" srcId="{F2620E8A-2D0E-48FA-BCAD-B295484E7703}" destId="{21410A9E-F8C7-459E-AB11-330BDF65305C}" srcOrd="2" destOrd="0" presId="urn:microsoft.com/office/officeart/2008/layout/RadialCluster"/>
    <dgm:cxn modelId="{0ECDEF31-796C-4131-AA0F-6BE4958DE6B5}" type="presParOf" srcId="{F2620E8A-2D0E-48FA-BCAD-B295484E7703}" destId="{11DD46E4-FC11-4AE9-B832-4565D20593AD}" srcOrd="3" destOrd="0" presId="urn:microsoft.com/office/officeart/2008/layout/RadialCluster"/>
    <dgm:cxn modelId="{AF071A88-539E-4ED7-8D52-9632A63D1213}" type="presParOf" srcId="{F2620E8A-2D0E-48FA-BCAD-B295484E7703}" destId="{BEF4E3AE-CE6F-4CDE-8CE0-403A4CEEBD66}" srcOrd="4" destOrd="0" presId="urn:microsoft.com/office/officeart/2008/layout/RadialCluster"/>
    <dgm:cxn modelId="{1E0CF08E-CF90-4AD7-BCC7-71E0129D6C11}" type="presParOf" srcId="{F2620E8A-2D0E-48FA-BCAD-B295484E7703}" destId="{87BB7D51-0DE2-42A7-87A8-7B0726525CAF}" srcOrd="5" destOrd="0" presId="urn:microsoft.com/office/officeart/2008/layout/RadialCluster"/>
    <dgm:cxn modelId="{B4F1CD11-709C-4780-9658-143B084005B1}" type="presParOf" srcId="{F2620E8A-2D0E-48FA-BCAD-B295484E7703}" destId="{7453D792-B015-46FF-853D-D771A57F44E5}" srcOrd="6" destOrd="0" presId="urn:microsoft.com/office/officeart/2008/layout/RadialCluster"/>
    <dgm:cxn modelId="{F1F1D97A-7103-48E0-AB55-FDFE768F4E30}" type="presParOf" srcId="{F2620E8A-2D0E-48FA-BCAD-B295484E7703}" destId="{47BD84D3-EF3C-429A-A0FC-082C1614A333}" srcOrd="7" destOrd="0" presId="urn:microsoft.com/office/officeart/2008/layout/RadialCluster"/>
    <dgm:cxn modelId="{BF149665-72C7-4224-AFCF-B4F66F8FA285}" type="presParOf" srcId="{F2620E8A-2D0E-48FA-BCAD-B295484E7703}" destId="{20556D48-08E6-48EC-9603-508AF0499CEA}" srcOrd="8" destOrd="0" presId="urn:microsoft.com/office/officeart/2008/layout/RadialCluster"/>
    <dgm:cxn modelId="{E361DAFF-2A0F-41DB-BB39-9ECBD3250341}" type="presParOf" srcId="{F2620E8A-2D0E-48FA-BCAD-B295484E7703}" destId="{59BEF40E-70E1-4E4D-AD0E-EEAF5C0DA9AE}" srcOrd="9" destOrd="0" presId="urn:microsoft.com/office/officeart/2008/layout/RadialCluster"/>
    <dgm:cxn modelId="{94B3B6AB-0ED2-4954-BD15-BEDC2FA519E3}" type="presParOf" srcId="{F2620E8A-2D0E-48FA-BCAD-B295484E7703}" destId="{0890EA4B-192E-43F5-93E9-FA4200FB7F5A}" srcOrd="10" destOrd="0" presId="urn:microsoft.com/office/officeart/2008/layout/RadialCluster"/>
    <dgm:cxn modelId="{C5E94544-E50B-4701-B0FF-EE16A7EB279D}" type="presParOf" srcId="{F2620E8A-2D0E-48FA-BCAD-B295484E7703}" destId="{7163AD15-459B-4936-B04A-D78F427169F4}" srcOrd="11" destOrd="0" presId="urn:microsoft.com/office/officeart/2008/layout/RadialCluster"/>
    <dgm:cxn modelId="{76A4E4C4-1362-4C5B-99F0-03E65FD73AB4}" type="presParOf" srcId="{F2620E8A-2D0E-48FA-BCAD-B295484E7703}" destId="{5EBD6DFF-4801-44FF-A9B2-690A53FE53D2}" srcOrd="12" destOrd="0" presId="urn:microsoft.com/office/officeart/2008/layout/RadialCluster"/>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DA5B0A-A228-4B79-BB83-D9E84D3E221A}" type="doc">
      <dgm:prSet loTypeId="urn:microsoft.com/office/officeart/2005/8/layout/bProcess3" loCatId="process" qsTypeId="urn:microsoft.com/office/officeart/2005/8/quickstyle/3d4" qsCatId="3D" csTypeId="urn:microsoft.com/office/officeart/2005/8/colors/accent1_2" csCatId="accent1" phldr="1"/>
      <dgm:spPr/>
      <dgm:t>
        <a:bodyPr/>
        <a:lstStyle/>
        <a:p>
          <a:endParaRPr lang="lt-LT"/>
        </a:p>
      </dgm:t>
    </dgm:pt>
    <dgm:pt modelId="{3B97F50F-F246-416B-8329-5BF2CFCD2618}">
      <dgm:prSet phldrT="[Text]" custT="1"/>
      <dgm:spPr/>
      <dgm:t>
        <a:bodyPr/>
        <a:lstStyle/>
        <a:p>
          <a:r>
            <a:rPr lang="lt-LT" sz="1200"/>
            <a:t>Lizingo gavėjas išsirenka turtą</a:t>
          </a:r>
        </a:p>
      </dgm:t>
    </dgm:pt>
    <dgm:pt modelId="{A30088A2-F629-4D5C-9086-508AD3836E93}" type="parTrans" cxnId="{C9E463D0-7697-48D1-A4E6-6C4577F0B42F}">
      <dgm:prSet/>
      <dgm:spPr/>
      <dgm:t>
        <a:bodyPr/>
        <a:lstStyle/>
        <a:p>
          <a:endParaRPr lang="lt-LT" sz="1200"/>
        </a:p>
      </dgm:t>
    </dgm:pt>
    <dgm:pt modelId="{29E055B7-2FA2-48A4-8E05-1A00BEFC48A7}" type="sibTrans" cxnId="{C9E463D0-7697-48D1-A4E6-6C4577F0B42F}">
      <dgm:prSet custT="1"/>
      <dgm:spPr/>
      <dgm:t>
        <a:bodyPr/>
        <a:lstStyle/>
        <a:p>
          <a:endParaRPr lang="lt-LT" sz="1200"/>
        </a:p>
      </dgm:t>
    </dgm:pt>
    <dgm:pt modelId="{A986E663-01BA-49D5-AE6A-4CA625D5EE53}">
      <dgm:prSet phldrT="[Text]" custT="1"/>
      <dgm:spPr/>
      <dgm:t>
        <a:bodyPr/>
        <a:lstStyle/>
        <a:p>
          <a:r>
            <a:rPr lang="lt-LT" sz="1200"/>
            <a:t>Kreipiamasi į lizingo bendrovę</a:t>
          </a:r>
        </a:p>
      </dgm:t>
    </dgm:pt>
    <dgm:pt modelId="{3A8041EB-0951-4BA0-B3AA-CD0DFEAE9EE1}" type="parTrans" cxnId="{929B4DF6-1DE2-44EE-8BF5-F5F4D3120C8A}">
      <dgm:prSet/>
      <dgm:spPr/>
      <dgm:t>
        <a:bodyPr/>
        <a:lstStyle/>
        <a:p>
          <a:endParaRPr lang="lt-LT" sz="1200"/>
        </a:p>
      </dgm:t>
    </dgm:pt>
    <dgm:pt modelId="{C46154C1-FA4D-4D87-99DA-36FA7E2C39FA}" type="sibTrans" cxnId="{929B4DF6-1DE2-44EE-8BF5-F5F4D3120C8A}">
      <dgm:prSet custT="1"/>
      <dgm:spPr/>
      <dgm:t>
        <a:bodyPr/>
        <a:lstStyle/>
        <a:p>
          <a:endParaRPr lang="lt-LT" sz="1200"/>
        </a:p>
      </dgm:t>
    </dgm:pt>
    <dgm:pt modelId="{C871DB32-70A0-4645-A5BA-9FEE24B12EB2}">
      <dgm:prSet phldrT="[Text]" custT="1"/>
      <dgm:spPr/>
      <dgm:t>
        <a:bodyPr/>
        <a:lstStyle/>
        <a:p>
          <a:r>
            <a:rPr lang="lt-LT" sz="1200"/>
            <a:t>Priimamas sprendimas</a:t>
          </a:r>
        </a:p>
      </dgm:t>
    </dgm:pt>
    <dgm:pt modelId="{4B6DD2BD-FBA9-48EA-9693-2CBDE0DB40EF}" type="parTrans" cxnId="{7BD8AC4C-9CAD-4D23-AC13-B99CC9E586B0}">
      <dgm:prSet/>
      <dgm:spPr/>
      <dgm:t>
        <a:bodyPr/>
        <a:lstStyle/>
        <a:p>
          <a:endParaRPr lang="lt-LT" sz="1200"/>
        </a:p>
      </dgm:t>
    </dgm:pt>
    <dgm:pt modelId="{D2A01BF8-C705-4FA8-86F1-D037DD314DC7}" type="sibTrans" cxnId="{7BD8AC4C-9CAD-4D23-AC13-B99CC9E586B0}">
      <dgm:prSet custT="1"/>
      <dgm:spPr/>
      <dgm:t>
        <a:bodyPr/>
        <a:lstStyle/>
        <a:p>
          <a:endParaRPr lang="lt-LT" sz="1200"/>
        </a:p>
      </dgm:t>
    </dgm:pt>
    <dgm:pt modelId="{75BF62EC-4722-42BA-9BD6-DB09FEB8A25A}">
      <dgm:prSet phldrT="[Text]" custT="1"/>
      <dgm:spPr/>
      <dgm:t>
        <a:bodyPr/>
        <a:lstStyle/>
        <a:p>
          <a:r>
            <a:rPr lang="lt-LT" sz="1200"/>
            <a:t>Pasirašoma sutartis</a:t>
          </a:r>
        </a:p>
      </dgm:t>
    </dgm:pt>
    <dgm:pt modelId="{A1A3B2AF-D1CC-47F9-B578-D9EC1248503B}" type="parTrans" cxnId="{58CB3EC7-E7AA-4BFE-9982-41BEFE525EB0}">
      <dgm:prSet/>
      <dgm:spPr/>
      <dgm:t>
        <a:bodyPr/>
        <a:lstStyle/>
        <a:p>
          <a:endParaRPr lang="lt-LT" sz="1200"/>
        </a:p>
      </dgm:t>
    </dgm:pt>
    <dgm:pt modelId="{D21DA40F-ACB7-495B-AA69-AE258C79EFC8}" type="sibTrans" cxnId="{58CB3EC7-E7AA-4BFE-9982-41BEFE525EB0}">
      <dgm:prSet custT="1"/>
      <dgm:spPr/>
      <dgm:t>
        <a:bodyPr/>
        <a:lstStyle/>
        <a:p>
          <a:endParaRPr lang="lt-LT" sz="1200"/>
        </a:p>
      </dgm:t>
    </dgm:pt>
    <dgm:pt modelId="{AE921556-5E97-4475-ACDA-66CA5C01EF75}">
      <dgm:prSet phldrT="[Text]" custT="1"/>
      <dgm:spPr/>
      <dgm:t>
        <a:bodyPr/>
        <a:lstStyle/>
        <a:p>
          <a:r>
            <a:rPr lang="lt-LT" sz="1200"/>
            <a:t>Pasirašoma draudimo sutartis</a:t>
          </a:r>
        </a:p>
      </dgm:t>
    </dgm:pt>
    <dgm:pt modelId="{0D79B569-A863-46EA-BCA4-A9FB5EDEEC8F}" type="parTrans" cxnId="{845C146A-F4DE-4916-A83D-AFF171E902F1}">
      <dgm:prSet/>
      <dgm:spPr/>
      <dgm:t>
        <a:bodyPr/>
        <a:lstStyle/>
        <a:p>
          <a:endParaRPr lang="lt-LT" sz="1200"/>
        </a:p>
      </dgm:t>
    </dgm:pt>
    <dgm:pt modelId="{239C03A3-C8D1-4A2B-BDF9-5FC3FE3EF65F}" type="sibTrans" cxnId="{845C146A-F4DE-4916-A83D-AFF171E902F1}">
      <dgm:prSet custT="1"/>
      <dgm:spPr/>
      <dgm:t>
        <a:bodyPr/>
        <a:lstStyle/>
        <a:p>
          <a:endParaRPr lang="lt-LT" sz="1200"/>
        </a:p>
      </dgm:t>
    </dgm:pt>
    <dgm:pt modelId="{76C7BB7A-4A85-43BF-9479-C0559782F402}">
      <dgm:prSet phldrT="[Text]" custT="1"/>
      <dgm:spPr/>
      <dgm:t>
        <a:bodyPr/>
        <a:lstStyle/>
        <a:p>
          <a:r>
            <a:rPr lang="lt-LT" sz="1200"/>
            <a:t>Mokamos įmokos</a:t>
          </a:r>
        </a:p>
      </dgm:t>
    </dgm:pt>
    <dgm:pt modelId="{44B2A18E-CD31-4567-BAE5-E055A2F7220D}" type="parTrans" cxnId="{9064927A-2A93-4CF6-9332-258CFDE86C78}">
      <dgm:prSet/>
      <dgm:spPr/>
      <dgm:t>
        <a:bodyPr/>
        <a:lstStyle/>
        <a:p>
          <a:endParaRPr lang="lt-LT" sz="1200"/>
        </a:p>
      </dgm:t>
    </dgm:pt>
    <dgm:pt modelId="{BF712A5E-3AA7-4FF0-860C-A35F01135C59}" type="sibTrans" cxnId="{9064927A-2A93-4CF6-9332-258CFDE86C78}">
      <dgm:prSet/>
      <dgm:spPr/>
      <dgm:t>
        <a:bodyPr/>
        <a:lstStyle/>
        <a:p>
          <a:endParaRPr lang="lt-LT" sz="1200"/>
        </a:p>
      </dgm:t>
    </dgm:pt>
    <dgm:pt modelId="{8D890CD0-777C-4CA5-9D8F-800A28F1BAAF}">
      <dgm:prSet custT="1"/>
      <dgm:spPr/>
      <dgm:t>
        <a:bodyPr/>
        <a:lstStyle/>
        <a:p>
          <a:r>
            <a:rPr lang="lt-LT" sz="1200"/>
            <a:t>Perduodamas turtas</a:t>
          </a:r>
        </a:p>
      </dgm:t>
    </dgm:pt>
    <dgm:pt modelId="{EF76A3A2-BD60-4148-A2BE-592707A9D1D9}" type="sibTrans" cxnId="{AA5A6171-6A71-4E23-9CF6-42A74BCBB734}">
      <dgm:prSet custT="1"/>
      <dgm:spPr/>
      <dgm:t>
        <a:bodyPr/>
        <a:lstStyle/>
        <a:p>
          <a:endParaRPr lang="lt-LT" sz="1200"/>
        </a:p>
      </dgm:t>
    </dgm:pt>
    <dgm:pt modelId="{837EED32-8565-4888-92D9-FDD30530613C}" type="parTrans" cxnId="{AA5A6171-6A71-4E23-9CF6-42A74BCBB734}">
      <dgm:prSet/>
      <dgm:spPr/>
      <dgm:t>
        <a:bodyPr/>
        <a:lstStyle/>
        <a:p>
          <a:endParaRPr lang="lt-LT" sz="1200"/>
        </a:p>
      </dgm:t>
    </dgm:pt>
    <dgm:pt modelId="{50AD9D93-0864-4FED-A598-F6302A24B3CD}">
      <dgm:prSet custT="1"/>
      <dgm:spPr/>
      <dgm:t>
        <a:bodyPr/>
        <a:lstStyle/>
        <a:p>
          <a:r>
            <a:rPr lang="lt-LT" sz="1200"/>
            <a:t>Sumokamas avansas, administracinis mokestis</a:t>
          </a:r>
        </a:p>
      </dgm:t>
    </dgm:pt>
    <dgm:pt modelId="{00CF1296-80A1-4D27-A9FF-205C81981F42}" type="parTrans" cxnId="{0BE30B78-1CA1-42DC-AB9A-1C00393FA8A3}">
      <dgm:prSet/>
      <dgm:spPr/>
      <dgm:t>
        <a:bodyPr/>
        <a:lstStyle/>
        <a:p>
          <a:endParaRPr lang="lt-LT" sz="1200"/>
        </a:p>
      </dgm:t>
    </dgm:pt>
    <dgm:pt modelId="{F0C3A38B-070F-4919-8135-A61DB297CDDB}" type="sibTrans" cxnId="{0BE30B78-1CA1-42DC-AB9A-1C00393FA8A3}">
      <dgm:prSet custT="1"/>
      <dgm:spPr/>
      <dgm:t>
        <a:bodyPr/>
        <a:lstStyle/>
        <a:p>
          <a:endParaRPr lang="lt-LT" sz="1200"/>
        </a:p>
      </dgm:t>
    </dgm:pt>
    <dgm:pt modelId="{16C6A030-D986-447F-B262-01792CA40D32}" type="pres">
      <dgm:prSet presAssocID="{5EDA5B0A-A228-4B79-BB83-D9E84D3E221A}" presName="Name0" presStyleCnt="0">
        <dgm:presLayoutVars>
          <dgm:dir/>
          <dgm:resizeHandles val="exact"/>
        </dgm:presLayoutVars>
      </dgm:prSet>
      <dgm:spPr/>
      <dgm:t>
        <a:bodyPr/>
        <a:lstStyle/>
        <a:p>
          <a:endParaRPr lang="lt-LT"/>
        </a:p>
      </dgm:t>
    </dgm:pt>
    <dgm:pt modelId="{96A4CBBA-2AA6-4B6B-8EB6-A63E4DAEAC03}" type="pres">
      <dgm:prSet presAssocID="{3B97F50F-F246-416B-8329-5BF2CFCD2618}" presName="node" presStyleLbl="node1" presStyleIdx="0" presStyleCnt="8">
        <dgm:presLayoutVars>
          <dgm:bulletEnabled val="1"/>
        </dgm:presLayoutVars>
      </dgm:prSet>
      <dgm:spPr/>
      <dgm:t>
        <a:bodyPr/>
        <a:lstStyle/>
        <a:p>
          <a:endParaRPr lang="lt-LT"/>
        </a:p>
      </dgm:t>
    </dgm:pt>
    <dgm:pt modelId="{685FA6AF-69F7-4FD4-BE27-743B3D69471E}" type="pres">
      <dgm:prSet presAssocID="{29E055B7-2FA2-48A4-8E05-1A00BEFC48A7}" presName="sibTrans" presStyleLbl="sibTrans1D1" presStyleIdx="0" presStyleCnt="7"/>
      <dgm:spPr/>
      <dgm:t>
        <a:bodyPr/>
        <a:lstStyle/>
        <a:p>
          <a:endParaRPr lang="lt-LT"/>
        </a:p>
      </dgm:t>
    </dgm:pt>
    <dgm:pt modelId="{34BF5D9F-F46B-4890-A86D-1AF27506F351}" type="pres">
      <dgm:prSet presAssocID="{29E055B7-2FA2-48A4-8E05-1A00BEFC48A7}" presName="connectorText" presStyleLbl="sibTrans1D1" presStyleIdx="0" presStyleCnt="7"/>
      <dgm:spPr/>
      <dgm:t>
        <a:bodyPr/>
        <a:lstStyle/>
        <a:p>
          <a:endParaRPr lang="lt-LT"/>
        </a:p>
      </dgm:t>
    </dgm:pt>
    <dgm:pt modelId="{052492A5-8D55-4222-9F6B-16EF642701E2}" type="pres">
      <dgm:prSet presAssocID="{A986E663-01BA-49D5-AE6A-4CA625D5EE53}" presName="node" presStyleLbl="node1" presStyleIdx="1" presStyleCnt="8">
        <dgm:presLayoutVars>
          <dgm:bulletEnabled val="1"/>
        </dgm:presLayoutVars>
      </dgm:prSet>
      <dgm:spPr/>
      <dgm:t>
        <a:bodyPr/>
        <a:lstStyle/>
        <a:p>
          <a:endParaRPr lang="lt-LT"/>
        </a:p>
      </dgm:t>
    </dgm:pt>
    <dgm:pt modelId="{634D9567-02AE-4242-BCEC-FC8E95B42C17}" type="pres">
      <dgm:prSet presAssocID="{C46154C1-FA4D-4D87-99DA-36FA7E2C39FA}" presName="sibTrans" presStyleLbl="sibTrans1D1" presStyleIdx="1" presStyleCnt="7"/>
      <dgm:spPr/>
      <dgm:t>
        <a:bodyPr/>
        <a:lstStyle/>
        <a:p>
          <a:endParaRPr lang="lt-LT"/>
        </a:p>
      </dgm:t>
    </dgm:pt>
    <dgm:pt modelId="{5FC2D6FF-C7BB-49BF-AE49-AE4FA6A1C0E5}" type="pres">
      <dgm:prSet presAssocID="{C46154C1-FA4D-4D87-99DA-36FA7E2C39FA}" presName="connectorText" presStyleLbl="sibTrans1D1" presStyleIdx="1" presStyleCnt="7"/>
      <dgm:spPr/>
      <dgm:t>
        <a:bodyPr/>
        <a:lstStyle/>
        <a:p>
          <a:endParaRPr lang="lt-LT"/>
        </a:p>
      </dgm:t>
    </dgm:pt>
    <dgm:pt modelId="{7BB6A10F-F93F-496A-9153-BD7AEEA6144D}" type="pres">
      <dgm:prSet presAssocID="{C871DB32-70A0-4645-A5BA-9FEE24B12EB2}" presName="node" presStyleLbl="node1" presStyleIdx="2" presStyleCnt="8">
        <dgm:presLayoutVars>
          <dgm:bulletEnabled val="1"/>
        </dgm:presLayoutVars>
      </dgm:prSet>
      <dgm:spPr/>
      <dgm:t>
        <a:bodyPr/>
        <a:lstStyle/>
        <a:p>
          <a:endParaRPr lang="lt-LT"/>
        </a:p>
      </dgm:t>
    </dgm:pt>
    <dgm:pt modelId="{8EB8934C-2EDA-4108-AABD-3ACA6BBC21D8}" type="pres">
      <dgm:prSet presAssocID="{D2A01BF8-C705-4FA8-86F1-D037DD314DC7}" presName="sibTrans" presStyleLbl="sibTrans1D1" presStyleIdx="2" presStyleCnt="7"/>
      <dgm:spPr/>
      <dgm:t>
        <a:bodyPr/>
        <a:lstStyle/>
        <a:p>
          <a:endParaRPr lang="lt-LT"/>
        </a:p>
      </dgm:t>
    </dgm:pt>
    <dgm:pt modelId="{EBB38C58-C097-4BFF-A68E-5D34F19A0BE9}" type="pres">
      <dgm:prSet presAssocID="{D2A01BF8-C705-4FA8-86F1-D037DD314DC7}" presName="connectorText" presStyleLbl="sibTrans1D1" presStyleIdx="2" presStyleCnt="7"/>
      <dgm:spPr/>
      <dgm:t>
        <a:bodyPr/>
        <a:lstStyle/>
        <a:p>
          <a:endParaRPr lang="lt-LT"/>
        </a:p>
      </dgm:t>
    </dgm:pt>
    <dgm:pt modelId="{E402D26E-73F5-47A7-9F7A-98470E95BCB4}" type="pres">
      <dgm:prSet presAssocID="{50AD9D93-0864-4FED-A598-F6302A24B3CD}" presName="node" presStyleLbl="node1" presStyleIdx="3" presStyleCnt="8">
        <dgm:presLayoutVars>
          <dgm:bulletEnabled val="1"/>
        </dgm:presLayoutVars>
      </dgm:prSet>
      <dgm:spPr/>
      <dgm:t>
        <a:bodyPr/>
        <a:lstStyle/>
        <a:p>
          <a:endParaRPr lang="lt-LT"/>
        </a:p>
      </dgm:t>
    </dgm:pt>
    <dgm:pt modelId="{4BF954F9-2E4E-47AC-9FFF-731E0528A9AE}" type="pres">
      <dgm:prSet presAssocID="{F0C3A38B-070F-4919-8135-A61DB297CDDB}" presName="sibTrans" presStyleLbl="sibTrans1D1" presStyleIdx="3" presStyleCnt="7"/>
      <dgm:spPr/>
      <dgm:t>
        <a:bodyPr/>
        <a:lstStyle/>
        <a:p>
          <a:endParaRPr lang="lt-LT"/>
        </a:p>
      </dgm:t>
    </dgm:pt>
    <dgm:pt modelId="{FB1E0DA6-1F89-403D-A267-948E828FC2C8}" type="pres">
      <dgm:prSet presAssocID="{F0C3A38B-070F-4919-8135-A61DB297CDDB}" presName="connectorText" presStyleLbl="sibTrans1D1" presStyleIdx="3" presStyleCnt="7"/>
      <dgm:spPr/>
      <dgm:t>
        <a:bodyPr/>
        <a:lstStyle/>
        <a:p>
          <a:endParaRPr lang="lt-LT"/>
        </a:p>
      </dgm:t>
    </dgm:pt>
    <dgm:pt modelId="{4F38B33C-7ABD-4521-BCF7-1D9391BA33A5}" type="pres">
      <dgm:prSet presAssocID="{75BF62EC-4722-42BA-9BD6-DB09FEB8A25A}" presName="node" presStyleLbl="node1" presStyleIdx="4" presStyleCnt="8">
        <dgm:presLayoutVars>
          <dgm:bulletEnabled val="1"/>
        </dgm:presLayoutVars>
      </dgm:prSet>
      <dgm:spPr/>
      <dgm:t>
        <a:bodyPr/>
        <a:lstStyle/>
        <a:p>
          <a:endParaRPr lang="lt-LT"/>
        </a:p>
      </dgm:t>
    </dgm:pt>
    <dgm:pt modelId="{BA98AC05-21C7-4460-8F34-06E8B75E195D}" type="pres">
      <dgm:prSet presAssocID="{D21DA40F-ACB7-495B-AA69-AE258C79EFC8}" presName="sibTrans" presStyleLbl="sibTrans1D1" presStyleIdx="4" presStyleCnt="7"/>
      <dgm:spPr/>
      <dgm:t>
        <a:bodyPr/>
        <a:lstStyle/>
        <a:p>
          <a:endParaRPr lang="lt-LT"/>
        </a:p>
      </dgm:t>
    </dgm:pt>
    <dgm:pt modelId="{EEDCBFE1-B1DF-4D19-A534-EB004EDE5023}" type="pres">
      <dgm:prSet presAssocID="{D21DA40F-ACB7-495B-AA69-AE258C79EFC8}" presName="connectorText" presStyleLbl="sibTrans1D1" presStyleIdx="4" presStyleCnt="7"/>
      <dgm:spPr/>
      <dgm:t>
        <a:bodyPr/>
        <a:lstStyle/>
        <a:p>
          <a:endParaRPr lang="lt-LT"/>
        </a:p>
      </dgm:t>
    </dgm:pt>
    <dgm:pt modelId="{5E3E857D-B4A9-4B1C-86A4-5ACC0D7FDC61}" type="pres">
      <dgm:prSet presAssocID="{AE921556-5E97-4475-ACDA-66CA5C01EF75}" presName="node" presStyleLbl="node1" presStyleIdx="5" presStyleCnt="8">
        <dgm:presLayoutVars>
          <dgm:bulletEnabled val="1"/>
        </dgm:presLayoutVars>
      </dgm:prSet>
      <dgm:spPr/>
      <dgm:t>
        <a:bodyPr/>
        <a:lstStyle/>
        <a:p>
          <a:endParaRPr lang="lt-LT"/>
        </a:p>
      </dgm:t>
    </dgm:pt>
    <dgm:pt modelId="{EFB6F415-B503-411F-9C1F-D17AE48B9861}" type="pres">
      <dgm:prSet presAssocID="{239C03A3-C8D1-4A2B-BDF9-5FC3FE3EF65F}" presName="sibTrans" presStyleLbl="sibTrans1D1" presStyleIdx="5" presStyleCnt="7"/>
      <dgm:spPr/>
      <dgm:t>
        <a:bodyPr/>
        <a:lstStyle/>
        <a:p>
          <a:endParaRPr lang="lt-LT"/>
        </a:p>
      </dgm:t>
    </dgm:pt>
    <dgm:pt modelId="{2503F87D-88CD-49F6-969E-585602D53E7E}" type="pres">
      <dgm:prSet presAssocID="{239C03A3-C8D1-4A2B-BDF9-5FC3FE3EF65F}" presName="connectorText" presStyleLbl="sibTrans1D1" presStyleIdx="5" presStyleCnt="7"/>
      <dgm:spPr/>
      <dgm:t>
        <a:bodyPr/>
        <a:lstStyle/>
        <a:p>
          <a:endParaRPr lang="lt-LT"/>
        </a:p>
      </dgm:t>
    </dgm:pt>
    <dgm:pt modelId="{41A9368B-DF1A-4F88-88F9-09230F896E73}" type="pres">
      <dgm:prSet presAssocID="{8D890CD0-777C-4CA5-9D8F-800A28F1BAAF}" presName="node" presStyleLbl="node1" presStyleIdx="6" presStyleCnt="8">
        <dgm:presLayoutVars>
          <dgm:bulletEnabled val="1"/>
        </dgm:presLayoutVars>
      </dgm:prSet>
      <dgm:spPr/>
      <dgm:t>
        <a:bodyPr/>
        <a:lstStyle/>
        <a:p>
          <a:endParaRPr lang="lt-LT"/>
        </a:p>
      </dgm:t>
    </dgm:pt>
    <dgm:pt modelId="{02DB0379-8D68-4361-B33A-D83017FB7EA0}" type="pres">
      <dgm:prSet presAssocID="{EF76A3A2-BD60-4148-A2BE-592707A9D1D9}" presName="sibTrans" presStyleLbl="sibTrans1D1" presStyleIdx="6" presStyleCnt="7"/>
      <dgm:spPr/>
      <dgm:t>
        <a:bodyPr/>
        <a:lstStyle/>
        <a:p>
          <a:endParaRPr lang="lt-LT"/>
        </a:p>
      </dgm:t>
    </dgm:pt>
    <dgm:pt modelId="{31A7F7C6-A198-429B-864F-7ECB4382AE73}" type="pres">
      <dgm:prSet presAssocID="{EF76A3A2-BD60-4148-A2BE-592707A9D1D9}" presName="connectorText" presStyleLbl="sibTrans1D1" presStyleIdx="6" presStyleCnt="7"/>
      <dgm:spPr/>
      <dgm:t>
        <a:bodyPr/>
        <a:lstStyle/>
        <a:p>
          <a:endParaRPr lang="lt-LT"/>
        </a:p>
      </dgm:t>
    </dgm:pt>
    <dgm:pt modelId="{57C562D0-702C-4376-8921-64B56F6A5006}" type="pres">
      <dgm:prSet presAssocID="{76C7BB7A-4A85-43BF-9479-C0559782F402}" presName="node" presStyleLbl="node1" presStyleIdx="7" presStyleCnt="8">
        <dgm:presLayoutVars>
          <dgm:bulletEnabled val="1"/>
        </dgm:presLayoutVars>
      </dgm:prSet>
      <dgm:spPr/>
      <dgm:t>
        <a:bodyPr/>
        <a:lstStyle/>
        <a:p>
          <a:endParaRPr lang="lt-LT"/>
        </a:p>
      </dgm:t>
    </dgm:pt>
  </dgm:ptLst>
  <dgm:cxnLst>
    <dgm:cxn modelId="{B49B8937-1FAD-4DCB-A799-27DBF98247F0}" type="presOf" srcId="{EF76A3A2-BD60-4148-A2BE-592707A9D1D9}" destId="{02DB0379-8D68-4361-B33A-D83017FB7EA0}" srcOrd="0" destOrd="0" presId="urn:microsoft.com/office/officeart/2005/8/layout/bProcess3"/>
    <dgm:cxn modelId="{929B4DF6-1DE2-44EE-8BF5-F5F4D3120C8A}" srcId="{5EDA5B0A-A228-4B79-BB83-D9E84D3E221A}" destId="{A986E663-01BA-49D5-AE6A-4CA625D5EE53}" srcOrd="1" destOrd="0" parTransId="{3A8041EB-0951-4BA0-B3AA-CD0DFEAE9EE1}" sibTransId="{C46154C1-FA4D-4D87-99DA-36FA7E2C39FA}"/>
    <dgm:cxn modelId="{9064927A-2A93-4CF6-9332-258CFDE86C78}" srcId="{5EDA5B0A-A228-4B79-BB83-D9E84D3E221A}" destId="{76C7BB7A-4A85-43BF-9479-C0559782F402}" srcOrd="7" destOrd="0" parTransId="{44B2A18E-CD31-4567-BAE5-E055A2F7220D}" sibTransId="{BF712A5E-3AA7-4FF0-860C-A35F01135C59}"/>
    <dgm:cxn modelId="{845C146A-F4DE-4916-A83D-AFF171E902F1}" srcId="{5EDA5B0A-A228-4B79-BB83-D9E84D3E221A}" destId="{AE921556-5E97-4475-ACDA-66CA5C01EF75}" srcOrd="5" destOrd="0" parTransId="{0D79B569-A863-46EA-BCA4-A9FB5EDEEC8F}" sibTransId="{239C03A3-C8D1-4A2B-BDF9-5FC3FE3EF65F}"/>
    <dgm:cxn modelId="{6339D68D-8819-4DA8-8C52-E243B83648B9}" type="presOf" srcId="{239C03A3-C8D1-4A2B-BDF9-5FC3FE3EF65F}" destId="{EFB6F415-B503-411F-9C1F-D17AE48B9861}" srcOrd="0" destOrd="0" presId="urn:microsoft.com/office/officeart/2005/8/layout/bProcess3"/>
    <dgm:cxn modelId="{783374C7-33ED-4E2C-B4A9-0C7E2DA17F3C}" type="presOf" srcId="{D21DA40F-ACB7-495B-AA69-AE258C79EFC8}" destId="{BA98AC05-21C7-4460-8F34-06E8B75E195D}" srcOrd="0" destOrd="0" presId="urn:microsoft.com/office/officeart/2005/8/layout/bProcess3"/>
    <dgm:cxn modelId="{986DC623-56AF-4DCA-BD5E-762FE2E30604}" type="presOf" srcId="{D2A01BF8-C705-4FA8-86F1-D037DD314DC7}" destId="{EBB38C58-C097-4BFF-A68E-5D34F19A0BE9}" srcOrd="1" destOrd="0" presId="urn:microsoft.com/office/officeart/2005/8/layout/bProcess3"/>
    <dgm:cxn modelId="{AEA93DA9-E722-4E32-A943-BF0F1E5CBE85}" type="presOf" srcId="{C871DB32-70A0-4645-A5BA-9FEE24B12EB2}" destId="{7BB6A10F-F93F-496A-9153-BD7AEEA6144D}" srcOrd="0" destOrd="0" presId="urn:microsoft.com/office/officeart/2005/8/layout/bProcess3"/>
    <dgm:cxn modelId="{3D0BE808-45A1-476F-9C8F-0571A2A5758B}" type="presOf" srcId="{F0C3A38B-070F-4919-8135-A61DB297CDDB}" destId="{FB1E0DA6-1F89-403D-A267-948E828FC2C8}" srcOrd="1" destOrd="0" presId="urn:microsoft.com/office/officeart/2005/8/layout/bProcess3"/>
    <dgm:cxn modelId="{2BE35C2B-782D-47FD-972B-50039D92B345}" type="presOf" srcId="{D2A01BF8-C705-4FA8-86F1-D037DD314DC7}" destId="{8EB8934C-2EDA-4108-AABD-3ACA6BBC21D8}" srcOrd="0" destOrd="0" presId="urn:microsoft.com/office/officeart/2005/8/layout/bProcess3"/>
    <dgm:cxn modelId="{C18314AF-3D58-4182-8BFA-D304CF393510}" type="presOf" srcId="{AE921556-5E97-4475-ACDA-66CA5C01EF75}" destId="{5E3E857D-B4A9-4B1C-86A4-5ACC0D7FDC61}" srcOrd="0" destOrd="0" presId="urn:microsoft.com/office/officeart/2005/8/layout/bProcess3"/>
    <dgm:cxn modelId="{C8522479-7165-449A-9E3F-44E642FB2AD3}" type="presOf" srcId="{C46154C1-FA4D-4D87-99DA-36FA7E2C39FA}" destId="{5FC2D6FF-C7BB-49BF-AE49-AE4FA6A1C0E5}" srcOrd="1" destOrd="0" presId="urn:microsoft.com/office/officeart/2005/8/layout/bProcess3"/>
    <dgm:cxn modelId="{4D0C2F4C-034C-4002-A65F-84C8FD72A1E4}" type="presOf" srcId="{50AD9D93-0864-4FED-A598-F6302A24B3CD}" destId="{E402D26E-73F5-47A7-9F7A-98470E95BCB4}" srcOrd="0" destOrd="0" presId="urn:microsoft.com/office/officeart/2005/8/layout/bProcess3"/>
    <dgm:cxn modelId="{84A42618-FD3A-44BB-97B3-CF86F059FEB2}" type="presOf" srcId="{3B97F50F-F246-416B-8329-5BF2CFCD2618}" destId="{96A4CBBA-2AA6-4B6B-8EB6-A63E4DAEAC03}" srcOrd="0" destOrd="0" presId="urn:microsoft.com/office/officeart/2005/8/layout/bProcess3"/>
    <dgm:cxn modelId="{58CB3EC7-E7AA-4BFE-9982-41BEFE525EB0}" srcId="{5EDA5B0A-A228-4B79-BB83-D9E84D3E221A}" destId="{75BF62EC-4722-42BA-9BD6-DB09FEB8A25A}" srcOrd="4" destOrd="0" parTransId="{A1A3B2AF-D1CC-47F9-B578-D9EC1248503B}" sibTransId="{D21DA40F-ACB7-495B-AA69-AE258C79EFC8}"/>
    <dgm:cxn modelId="{0BE30B78-1CA1-42DC-AB9A-1C00393FA8A3}" srcId="{5EDA5B0A-A228-4B79-BB83-D9E84D3E221A}" destId="{50AD9D93-0864-4FED-A598-F6302A24B3CD}" srcOrd="3" destOrd="0" parTransId="{00CF1296-80A1-4D27-A9FF-205C81981F42}" sibTransId="{F0C3A38B-070F-4919-8135-A61DB297CDDB}"/>
    <dgm:cxn modelId="{CF0F4469-8C9F-4D55-B8F1-3F12205F08D2}" type="presOf" srcId="{C46154C1-FA4D-4D87-99DA-36FA7E2C39FA}" destId="{634D9567-02AE-4242-BCEC-FC8E95B42C17}" srcOrd="0" destOrd="0" presId="urn:microsoft.com/office/officeart/2005/8/layout/bProcess3"/>
    <dgm:cxn modelId="{7BD8AC4C-9CAD-4D23-AC13-B99CC9E586B0}" srcId="{5EDA5B0A-A228-4B79-BB83-D9E84D3E221A}" destId="{C871DB32-70A0-4645-A5BA-9FEE24B12EB2}" srcOrd="2" destOrd="0" parTransId="{4B6DD2BD-FBA9-48EA-9693-2CBDE0DB40EF}" sibTransId="{D2A01BF8-C705-4FA8-86F1-D037DD314DC7}"/>
    <dgm:cxn modelId="{730DB77C-49EA-4751-BBCB-380CECB3A6F2}" type="presOf" srcId="{76C7BB7A-4A85-43BF-9479-C0559782F402}" destId="{57C562D0-702C-4376-8921-64B56F6A5006}" srcOrd="0" destOrd="0" presId="urn:microsoft.com/office/officeart/2005/8/layout/bProcess3"/>
    <dgm:cxn modelId="{1AD5B6A9-5375-4557-B5FB-A710900C27C2}" type="presOf" srcId="{A986E663-01BA-49D5-AE6A-4CA625D5EE53}" destId="{052492A5-8D55-4222-9F6B-16EF642701E2}" srcOrd="0" destOrd="0" presId="urn:microsoft.com/office/officeart/2005/8/layout/bProcess3"/>
    <dgm:cxn modelId="{D13F008F-3781-43B2-90CF-90CA8C31EF7D}" type="presOf" srcId="{D21DA40F-ACB7-495B-AA69-AE258C79EFC8}" destId="{EEDCBFE1-B1DF-4D19-A534-EB004EDE5023}" srcOrd="1" destOrd="0" presId="urn:microsoft.com/office/officeart/2005/8/layout/bProcess3"/>
    <dgm:cxn modelId="{C9E463D0-7697-48D1-A4E6-6C4577F0B42F}" srcId="{5EDA5B0A-A228-4B79-BB83-D9E84D3E221A}" destId="{3B97F50F-F246-416B-8329-5BF2CFCD2618}" srcOrd="0" destOrd="0" parTransId="{A30088A2-F629-4D5C-9086-508AD3836E93}" sibTransId="{29E055B7-2FA2-48A4-8E05-1A00BEFC48A7}"/>
    <dgm:cxn modelId="{FE454AD6-BA1C-4C09-820D-6001B0B7C4B4}" type="presOf" srcId="{8D890CD0-777C-4CA5-9D8F-800A28F1BAAF}" destId="{41A9368B-DF1A-4F88-88F9-09230F896E73}" srcOrd="0" destOrd="0" presId="urn:microsoft.com/office/officeart/2005/8/layout/bProcess3"/>
    <dgm:cxn modelId="{2543E1A8-4629-46AF-BD50-9E2D28A85EA8}" type="presOf" srcId="{29E055B7-2FA2-48A4-8E05-1A00BEFC48A7}" destId="{685FA6AF-69F7-4FD4-BE27-743B3D69471E}" srcOrd="0" destOrd="0" presId="urn:microsoft.com/office/officeart/2005/8/layout/bProcess3"/>
    <dgm:cxn modelId="{75E513CC-7076-4A67-8034-D6621C489392}" type="presOf" srcId="{29E055B7-2FA2-48A4-8E05-1A00BEFC48A7}" destId="{34BF5D9F-F46B-4890-A86D-1AF27506F351}" srcOrd="1" destOrd="0" presId="urn:microsoft.com/office/officeart/2005/8/layout/bProcess3"/>
    <dgm:cxn modelId="{735B1AAB-6C5C-44D4-9DC2-DB6B970C13F4}" type="presOf" srcId="{F0C3A38B-070F-4919-8135-A61DB297CDDB}" destId="{4BF954F9-2E4E-47AC-9FFF-731E0528A9AE}" srcOrd="0" destOrd="0" presId="urn:microsoft.com/office/officeart/2005/8/layout/bProcess3"/>
    <dgm:cxn modelId="{0DC585EB-6931-450A-9B01-C2F29455E21E}" type="presOf" srcId="{239C03A3-C8D1-4A2B-BDF9-5FC3FE3EF65F}" destId="{2503F87D-88CD-49F6-969E-585602D53E7E}" srcOrd="1" destOrd="0" presId="urn:microsoft.com/office/officeart/2005/8/layout/bProcess3"/>
    <dgm:cxn modelId="{AA5A6171-6A71-4E23-9CF6-42A74BCBB734}" srcId="{5EDA5B0A-A228-4B79-BB83-D9E84D3E221A}" destId="{8D890CD0-777C-4CA5-9D8F-800A28F1BAAF}" srcOrd="6" destOrd="0" parTransId="{837EED32-8565-4888-92D9-FDD30530613C}" sibTransId="{EF76A3A2-BD60-4148-A2BE-592707A9D1D9}"/>
    <dgm:cxn modelId="{D22EB884-5F0E-4C4A-9DB4-F412B7A1AACF}" type="presOf" srcId="{EF76A3A2-BD60-4148-A2BE-592707A9D1D9}" destId="{31A7F7C6-A198-429B-864F-7ECB4382AE73}" srcOrd="1" destOrd="0" presId="urn:microsoft.com/office/officeart/2005/8/layout/bProcess3"/>
    <dgm:cxn modelId="{222ECA0C-B7D0-4957-AFEF-300D86037756}" type="presOf" srcId="{75BF62EC-4722-42BA-9BD6-DB09FEB8A25A}" destId="{4F38B33C-7ABD-4521-BCF7-1D9391BA33A5}" srcOrd="0" destOrd="0" presId="urn:microsoft.com/office/officeart/2005/8/layout/bProcess3"/>
    <dgm:cxn modelId="{0084F051-5F4C-4E9A-AB86-16491A5F0AED}" type="presOf" srcId="{5EDA5B0A-A228-4B79-BB83-D9E84D3E221A}" destId="{16C6A030-D986-447F-B262-01792CA40D32}" srcOrd="0" destOrd="0" presId="urn:microsoft.com/office/officeart/2005/8/layout/bProcess3"/>
    <dgm:cxn modelId="{40FAE443-1D00-439E-BD0D-7F0C3DA20CAB}" type="presParOf" srcId="{16C6A030-D986-447F-B262-01792CA40D32}" destId="{96A4CBBA-2AA6-4B6B-8EB6-A63E4DAEAC03}" srcOrd="0" destOrd="0" presId="urn:microsoft.com/office/officeart/2005/8/layout/bProcess3"/>
    <dgm:cxn modelId="{6BEB5E87-E721-4895-91DA-09A84275085B}" type="presParOf" srcId="{16C6A030-D986-447F-B262-01792CA40D32}" destId="{685FA6AF-69F7-4FD4-BE27-743B3D69471E}" srcOrd="1" destOrd="0" presId="urn:microsoft.com/office/officeart/2005/8/layout/bProcess3"/>
    <dgm:cxn modelId="{F4863BC2-0FCC-41DD-B2E0-5A6831A00C51}" type="presParOf" srcId="{685FA6AF-69F7-4FD4-BE27-743B3D69471E}" destId="{34BF5D9F-F46B-4890-A86D-1AF27506F351}" srcOrd="0" destOrd="0" presId="urn:microsoft.com/office/officeart/2005/8/layout/bProcess3"/>
    <dgm:cxn modelId="{5C2192FA-F9A8-4FB2-8A06-4A020882228E}" type="presParOf" srcId="{16C6A030-D986-447F-B262-01792CA40D32}" destId="{052492A5-8D55-4222-9F6B-16EF642701E2}" srcOrd="2" destOrd="0" presId="urn:microsoft.com/office/officeart/2005/8/layout/bProcess3"/>
    <dgm:cxn modelId="{40D1B3F9-4D2B-4A5E-8316-26B77C545652}" type="presParOf" srcId="{16C6A030-D986-447F-B262-01792CA40D32}" destId="{634D9567-02AE-4242-BCEC-FC8E95B42C17}" srcOrd="3" destOrd="0" presId="urn:microsoft.com/office/officeart/2005/8/layout/bProcess3"/>
    <dgm:cxn modelId="{A6C8153E-88E2-4176-A28D-1B2BFEC2066E}" type="presParOf" srcId="{634D9567-02AE-4242-BCEC-FC8E95B42C17}" destId="{5FC2D6FF-C7BB-49BF-AE49-AE4FA6A1C0E5}" srcOrd="0" destOrd="0" presId="urn:microsoft.com/office/officeart/2005/8/layout/bProcess3"/>
    <dgm:cxn modelId="{3C904195-FA13-4348-8D65-8B0AD2A0E912}" type="presParOf" srcId="{16C6A030-D986-447F-B262-01792CA40D32}" destId="{7BB6A10F-F93F-496A-9153-BD7AEEA6144D}" srcOrd="4" destOrd="0" presId="urn:microsoft.com/office/officeart/2005/8/layout/bProcess3"/>
    <dgm:cxn modelId="{2A637635-A104-44CF-9839-4242AEBCB94A}" type="presParOf" srcId="{16C6A030-D986-447F-B262-01792CA40D32}" destId="{8EB8934C-2EDA-4108-AABD-3ACA6BBC21D8}" srcOrd="5" destOrd="0" presId="urn:microsoft.com/office/officeart/2005/8/layout/bProcess3"/>
    <dgm:cxn modelId="{C4E6822A-E107-4878-83B7-EE68513137A9}" type="presParOf" srcId="{8EB8934C-2EDA-4108-AABD-3ACA6BBC21D8}" destId="{EBB38C58-C097-4BFF-A68E-5D34F19A0BE9}" srcOrd="0" destOrd="0" presId="urn:microsoft.com/office/officeart/2005/8/layout/bProcess3"/>
    <dgm:cxn modelId="{F4BA1C17-8129-4853-80D8-881ACD0072A2}" type="presParOf" srcId="{16C6A030-D986-447F-B262-01792CA40D32}" destId="{E402D26E-73F5-47A7-9F7A-98470E95BCB4}" srcOrd="6" destOrd="0" presId="urn:microsoft.com/office/officeart/2005/8/layout/bProcess3"/>
    <dgm:cxn modelId="{BDCC4546-632B-441B-BA19-4B7823DB0664}" type="presParOf" srcId="{16C6A030-D986-447F-B262-01792CA40D32}" destId="{4BF954F9-2E4E-47AC-9FFF-731E0528A9AE}" srcOrd="7" destOrd="0" presId="urn:microsoft.com/office/officeart/2005/8/layout/bProcess3"/>
    <dgm:cxn modelId="{FEFC4C98-AC0F-40FD-9DC0-1C61E199CD52}" type="presParOf" srcId="{4BF954F9-2E4E-47AC-9FFF-731E0528A9AE}" destId="{FB1E0DA6-1F89-403D-A267-948E828FC2C8}" srcOrd="0" destOrd="0" presId="urn:microsoft.com/office/officeart/2005/8/layout/bProcess3"/>
    <dgm:cxn modelId="{CC74A752-529D-4FE3-B04A-C620D9106B79}" type="presParOf" srcId="{16C6A030-D986-447F-B262-01792CA40D32}" destId="{4F38B33C-7ABD-4521-BCF7-1D9391BA33A5}" srcOrd="8" destOrd="0" presId="urn:microsoft.com/office/officeart/2005/8/layout/bProcess3"/>
    <dgm:cxn modelId="{1BD183AA-7D9F-4333-86C9-C4EF139D9DA1}" type="presParOf" srcId="{16C6A030-D986-447F-B262-01792CA40D32}" destId="{BA98AC05-21C7-4460-8F34-06E8B75E195D}" srcOrd="9" destOrd="0" presId="urn:microsoft.com/office/officeart/2005/8/layout/bProcess3"/>
    <dgm:cxn modelId="{121DC6C2-B2A1-4774-931C-85F0398F71B9}" type="presParOf" srcId="{BA98AC05-21C7-4460-8F34-06E8B75E195D}" destId="{EEDCBFE1-B1DF-4D19-A534-EB004EDE5023}" srcOrd="0" destOrd="0" presId="urn:microsoft.com/office/officeart/2005/8/layout/bProcess3"/>
    <dgm:cxn modelId="{A452F4E2-12EF-4AE4-8B9D-F5F3A96ACB45}" type="presParOf" srcId="{16C6A030-D986-447F-B262-01792CA40D32}" destId="{5E3E857D-B4A9-4B1C-86A4-5ACC0D7FDC61}" srcOrd="10" destOrd="0" presId="urn:microsoft.com/office/officeart/2005/8/layout/bProcess3"/>
    <dgm:cxn modelId="{665F6F60-377C-44A7-91F6-6A9E6B904BC7}" type="presParOf" srcId="{16C6A030-D986-447F-B262-01792CA40D32}" destId="{EFB6F415-B503-411F-9C1F-D17AE48B9861}" srcOrd="11" destOrd="0" presId="urn:microsoft.com/office/officeart/2005/8/layout/bProcess3"/>
    <dgm:cxn modelId="{43DEBB7F-7561-427D-95A8-A964B30CE087}" type="presParOf" srcId="{EFB6F415-B503-411F-9C1F-D17AE48B9861}" destId="{2503F87D-88CD-49F6-969E-585602D53E7E}" srcOrd="0" destOrd="0" presId="urn:microsoft.com/office/officeart/2005/8/layout/bProcess3"/>
    <dgm:cxn modelId="{98BCBEE2-D5AD-4C58-A93E-D2B2867C2543}" type="presParOf" srcId="{16C6A030-D986-447F-B262-01792CA40D32}" destId="{41A9368B-DF1A-4F88-88F9-09230F896E73}" srcOrd="12" destOrd="0" presId="urn:microsoft.com/office/officeart/2005/8/layout/bProcess3"/>
    <dgm:cxn modelId="{E15EE565-1265-4175-9C30-054B91E6E707}" type="presParOf" srcId="{16C6A030-D986-447F-B262-01792CA40D32}" destId="{02DB0379-8D68-4361-B33A-D83017FB7EA0}" srcOrd="13" destOrd="0" presId="urn:microsoft.com/office/officeart/2005/8/layout/bProcess3"/>
    <dgm:cxn modelId="{33F21740-BDBC-4989-BB9A-C7EFE39A39BF}" type="presParOf" srcId="{02DB0379-8D68-4361-B33A-D83017FB7EA0}" destId="{31A7F7C6-A198-429B-864F-7ECB4382AE73}" srcOrd="0" destOrd="0" presId="urn:microsoft.com/office/officeart/2005/8/layout/bProcess3"/>
    <dgm:cxn modelId="{D8D5F1CF-91B4-413A-9D33-7F182A5C98D3}" type="presParOf" srcId="{16C6A030-D986-447F-B262-01792CA40D32}" destId="{57C562D0-702C-4376-8921-64B56F6A5006}" srcOrd="14" destOrd="0" presId="urn:microsoft.com/office/officeart/2005/8/layout/bProcess3"/>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F601946-20B7-4F28-B6D1-C3015845B13D}" type="doc">
      <dgm:prSet loTypeId="urn:microsoft.com/office/officeart/2005/8/layout/chevron2" loCatId="process" qsTypeId="urn:microsoft.com/office/officeart/2005/8/quickstyle/simple1" qsCatId="simple" csTypeId="urn:microsoft.com/office/officeart/2005/8/colors/accent1_2" csCatId="accent1" phldr="1"/>
      <dgm:spPr/>
    </dgm:pt>
    <dgm:pt modelId="{BD88263C-82DB-4380-ABD6-7A411C2E1B92}">
      <dgm:prSet phldrT="[Text]" custT="1"/>
      <dgm:spPr/>
      <dgm:t>
        <a:bodyPr/>
        <a:lstStyle/>
        <a:p>
          <a:r>
            <a:rPr lang="lt-LT" sz="1200"/>
            <a:t>1</a:t>
          </a:r>
        </a:p>
      </dgm:t>
    </dgm:pt>
    <dgm:pt modelId="{DBDD1B53-04CB-464A-BE15-65A2E507122E}" type="parTrans" cxnId="{905A4218-7BB3-4EBC-99A4-7C2AFC5A8125}">
      <dgm:prSet/>
      <dgm:spPr/>
      <dgm:t>
        <a:bodyPr/>
        <a:lstStyle/>
        <a:p>
          <a:endParaRPr lang="lt-LT" sz="1200"/>
        </a:p>
      </dgm:t>
    </dgm:pt>
    <dgm:pt modelId="{E7E590F1-AE16-4BD8-981B-14F341E87E9E}" type="sibTrans" cxnId="{905A4218-7BB3-4EBC-99A4-7C2AFC5A8125}">
      <dgm:prSet/>
      <dgm:spPr/>
      <dgm:t>
        <a:bodyPr/>
        <a:lstStyle/>
        <a:p>
          <a:endParaRPr lang="lt-LT" sz="1200"/>
        </a:p>
      </dgm:t>
    </dgm:pt>
    <dgm:pt modelId="{6237B78B-4BCF-4A7C-B833-897854B59CC9}">
      <dgm:prSet phldrT="[Text]" custT="1"/>
      <dgm:spPr/>
      <dgm:t>
        <a:bodyPr/>
        <a:lstStyle/>
        <a:p>
          <a:r>
            <a:rPr lang="lt-LT" sz="1200"/>
            <a:t>6</a:t>
          </a:r>
        </a:p>
      </dgm:t>
    </dgm:pt>
    <dgm:pt modelId="{566EBBE5-2336-4154-94ED-4C7C2878374D}" type="parTrans" cxnId="{9291304F-DE56-46CF-9631-D292EF125975}">
      <dgm:prSet/>
      <dgm:spPr/>
      <dgm:t>
        <a:bodyPr/>
        <a:lstStyle/>
        <a:p>
          <a:endParaRPr lang="lt-LT" sz="1200"/>
        </a:p>
      </dgm:t>
    </dgm:pt>
    <dgm:pt modelId="{CB876786-751A-4BF8-9798-5A5968B6473C}" type="sibTrans" cxnId="{9291304F-DE56-46CF-9631-D292EF125975}">
      <dgm:prSet/>
      <dgm:spPr/>
      <dgm:t>
        <a:bodyPr/>
        <a:lstStyle/>
        <a:p>
          <a:endParaRPr lang="lt-LT" sz="1200"/>
        </a:p>
      </dgm:t>
    </dgm:pt>
    <dgm:pt modelId="{2CE72488-0708-4D66-AA2C-D13172EF97F5}">
      <dgm:prSet phldrT="[Text]" custT="1"/>
      <dgm:spPr/>
      <dgm:t>
        <a:bodyPr/>
        <a:lstStyle/>
        <a:p>
          <a:r>
            <a:rPr lang="lt-LT" sz="1200"/>
            <a:t>7</a:t>
          </a:r>
        </a:p>
      </dgm:t>
    </dgm:pt>
    <dgm:pt modelId="{8CBEC25A-CDF5-422C-B2D0-F66FECEDAC5D}" type="parTrans" cxnId="{86CC0BED-0B27-4310-AF28-1FA3813EBFF7}">
      <dgm:prSet/>
      <dgm:spPr/>
      <dgm:t>
        <a:bodyPr/>
        <a:lstStyle/>
        <a:p>
          <a:endParaRPr lang="lt-LT" sz="1200"/>
        </a:p>
      </dgm:t>
    </dgm:pt>
    <dgm:pt modelId="{B383D139-2104-430C-BA91-95A225738D16}" type="sibTrans" cxnId="{86CC0BED-0B27-4310-AF28-1FA3813EBFF7}">
      <dgm:prSet/>
      <dgm:spPr/>
      <dgm:t>
        <a:bodyPr/>
        <a:lstStyle/>
        <a:p>
          <a:endParaRPr lang="lt-LT" sz="1200"/>
        </a:p>
      </dgm:t>
    </dgm:pt>
    <dgm:pt modelId="{FEF2894A-6F4E-4B3D-A145-5E7A5361146B}">
      <dgm:prSet custT="1"/>
      <dgm:spPr/>
      <dgm:t>
        <a:bodyPr/>
        <a:lstStyle/>
        <a:p>
          <a:r>
            <a:rPr lang="lt-LT" sz="1200"/>
            <a:t>2</a:t>
          </a:r>
        </a:p>
      </dgm:t>
    </dgm:pt>
    <dgm:pt modelId="{F9790C42-1AEB-401C-97C8-064101DF5832}" type="parTrans" cxnId="{F249A10F-2641-48B7-96CB-9BC4D481E957}">
      <dgm:prSet/>
      <dgm:spPr/>
      <dgm:t>
        <a:bodyPr/>
        <a:lstStyle/>
        <a:p>
          <a:endParaRPr lang="lt-LT" sz="1200"/>
        </a:p>
      </dgm:t>
    </dgm:pt>
    <dgm:pt modelId="{A5E4F9CE-C0DA-47ED-B9B0-5F7516E6C2E2}" type="sibTrans" cxnId="{F249A10F-2641-48B7-96CB-9BC4D481E957}">
      <dgm:prSet/>
      <dgm:spPr/>
      <dgm:t>
        <a:bodyPr/>
        <a:lstStyle/>
        <a:p>
          <a:endParaRPr lang="lt-LT" sz="1200"/>
        </a:p>
      </dgm:t>
    </dgm:pt>
    <dgm:pt modelId="{92318EF0-ABCE-45C3-8A54-2C51DB646A25}">
      <dgm:prSet custT="1"/>
      <dgm:spPr/>
      <dgm:t>
        <a:bodyPr/>
        <a:lstStyle/>
        <a:p>
          <a:r>
            <a:rPr lang="lt-LT" sz="1200"/>
            <a:t>3</a:t>
          </a:r>
        </a:p>
      </dgm:t>
    </dgm:pt>
    <dgm:pt modelId="{8241E086-0D18-46ED-8C32-6F8EACF14640}" type="parTrans" cxnId="{50E0B562-E1F9-49F3-857E-741C362A9044}">
      <dgm:prSet/>
      <dgm:spPr/>
      <dgm:t>
        <a:bodyPr/>
        <a:lstStyle/>
        <a:p>
          <a:endParaRPr lang="lt-LT" sz="1200"/>
        </a:p>
      </dgm:t>
    </dgm:pt>
    <dgm:pt modelId="{D43EE78A-F25B-4266-AE36-F0C504A02307}" type="sibTrans" cxnId="{50E0B562-E1F9-49F3-857E-741C362A9044}">
      <dgm:prSet/>
      <dgm:spPr/>
      <dgm:t>
        <a:bodyPr/>
        <a:lstStyle/>
        <a:p>
          <a:endParaRPr lang="lt-LT" sz="1200"/>
        </a:p>
      </dgm:t>
    </dgm:pt>
    <dgm:pt modelId="{AE32827D-235C-4C84-80D2-A869C2BFDE4C}">
      <dgm:prSet custT="1"/>
      <dgm:spPr/>
      <dgm:t>
        <a:bodyPr/>
        <a:lstStyle/>
        <a:p>
          <a:r>
            <a:rPr lang="lt-LT" sz="1200"/>
            <a:t>4</a:t>
          </a:r>
        </a:p>
      </dgm:t>
    </dgm:pt>
    <dgm:pt modelId="{E6F8178F-E9A8-451F-8BC8-B233C483EA3C}" type="parTrans" cxnId="{49A7E133-B384-4C9F-8C55-5C19C704FFC6}">
      <dgm:prSet/>
      <dgm:spPr/>
      <dgm:t>
        <a:bodyPr/>
        <a:lstStyle/>
        <a:p>
          <a:endParaRPr lang="lt-LT" sz="1200"/>
        </a:p>
      </dgm:t>
    </dgm:pt>
    <dgm:pt modelId="{94E2EEA8-BCE9-4B9C-89D5-6B380CBC23FC}" type="sibTrans" cxnId="{49A7E133-B384-4C9F-8C55-5C19C704FFC6}">
      <dgm:prSet/>
      <dgm:spPr/>
      <dgm:t>
        <a:bodyPr/>
        <a:lstStyle/>
        <a:p>
          <a:endParaRPr lang="lt-LT" sz="1200"/>
        </a:p>
      </dgm:t>
    </dgm:pt>
    <dgm:pt modelId="{CB8465D3-FD91-4548-9106-4BCDA7B1424E}">
      <dgm:prSet custT="1"/>
      <dgm:spPr/>
      <dgm:t>
        <a:bodyPr/>
        <a:lstStyle/>
        <a:p>
          <a:r>
            <a:rPr lang="lt-LT" sz="1200"/>
            <a:t>5</a:t>
          </a:r>
        </a:p>
      </dgm:t>
    </dgm:pt>
    <dgm:pt modelId="{C6E6C8A2-AFF8-4AFE-B303-7F0CB8F19667}" type="parTrans" cxnId="{CC01859C-4865-4EE2-AF9C-44494B2741C7}">
      <dgm:prSet/>
      <dgm:spPr/>
      <dgm:t>
        <a:bodyPr/>
        <a:lstStyle/>
        <a:p>
          <a:endParaRPr lang="lt-LT" sz="1200"/>
        </a:p>
      </dgm:t>
    </dgm:pt>
    <dgm:pt modelId="{20B353D1-E9C4-41C2-9B1A-76A772E92FE0}" type="sibTrans" cxnId="{CC01859C-4865-4EE2-AF9C-44494B2741C7}">
      <dgm:prSet/>
      <dgm:spPr/>
      <dgm:t>
        <a:bodyPr/>
        <a:lstStyle/>
        <a:p>
          <a:endParaRPr lang="lt-LT" sz="1200"/>
        </a:p>
      </dgm:t>
    </dgm:pt>
    <dgm:pt modelId="{D50EC2CA-880E-491D-9FBA-08F9D458AACD}">
      <dgm:prSet custT="1"/>
      <dgm:spPr/>
      <dgm:t>
        <a:bodyPr/>
        <a:lstStyle/>
        <a:p>
          <a:r>
            <a:rPr lang="lt-LT" sz="1200"/>
            <a:t>Sudaromas ekspertinio tyrimo planas</a:t>
          </a:r>
        </a:p>
      </dgm:t>
    </dgm:pt>
    <dgm:pt modelId="{A04196A7-9C46-479D-8F38-418DF02B6BF1}" type="parTrans" cxnId="{D2AB6ABF-CF07-47B8-9927-DD2C7093A5D0}">
      <dgm:prSet/>
      <dgm:spPr/>
      <dgm:t>
        <a:bodyPr/>
        <a:lstStyle/>
        <a:p>
          <a:endParaRPr lang="lt-LT" sz="1200"/>
        </a:p>
      </dgm:t>
    </dgm:pt>
    <dgm:pt modelId="{D8ADBE5E-53BE-4F1C-9B60-6102BFF67414}" type="sibTrans" cxnId="{D2AB6ABF-CF07-47B8-9927-DD2C7093A5D0}">
      <dgm:prSet/>
      <dgm:spPr/>
      <dgm:t>
        <a:bodyPr/>
        <a:lstStyle/>
        <a:p>
          <a:endParaRPr lang="lt-LT" sz="1200"/>
        </a:p>
      </dgm:t>
    </dgm:pt>
    <dgm:pt modelId="{2052E0D2-715B-496C-94A7-CFFBBEEE7EC6}">
      <dgm:prSet custT="1"/>
      <dgm:spPr/>
      <dgm:t>
        <a:bodyPr/>
        <a:lstStyle/>
        <a:p>
          <a:r>
            <a:rPr lang="lt-LT" sz="1200"/>
            <a:t>Pasirenkamas apklausos  metodas ir parengiami būtini dokumentai</a:t>
          </a:r>
        </a:p>
      </dgm:t>
    </dgm:pt>
    <dgm:pt modelId="{DC529838-1FBE-4FBD-891D-CB68E21BCE0B}" type="parTrans" cxnId="{A976B727-2F2B-4C9F-96E2-38FF34AE2B55}">
      <dgm:prSet/>
      <dgm:spPr/>
      <dgm:t>
        <a:bodyPr/>
        <a:lstStyle/>
        <a:p>
          <a:endParaRPr lang="lt-LT" sz="1200"/>
        </a:p>
      </dgm:t>
    </dgm:pt>
    <dgm:pt modelId="{E42F30BE-831D-4EC9-A340-D3F8B8B5ADF3}" type="sibTrans" cxnId="{A976B727-2F2B-4C9F-96E2-38FF34AE2B55}">
      <dgm:prSet/>
      <dgm:spPr/>
      <dgm:t>
        <a:bodyPr/>
        <a:lstStyle/>
        <a:p>
          <a:endParaRPr lang="lt-LT" sz="1200"/>
        </a:p>
      </dgm:t>
    </dgm:pt>
    <dgm:pt modelId="{79E626A8-3F3E-4677-B754-C37036C0A36E}">
      <dgm:prSet custT="1"/>
      <dgm:spPr/>
      <dgm:t>
        <a:bodyPr/>
        <a:lstStyle/>
        <a:p>
          <a:r>
            <a:rPr lang="lt-LT" sz="1200"/>
            <a:t>Atrenkami ekspertai</a:t>
          </a:r>
        </a:p>
      </dgm:t>
    </dgm:pt>
    <dgm:pt modelId="{0D0E14F3-E231-414C-92A6-87576EE4483B}" type="parTrans" cxnId="{81F0B488-8EB8-4AE2-974B-4C7B3F61E042}">
      <dgm:prSet/>
      <dgm:spPr/>
      <dgm:t>
        <a:bodyPr/>
        <a:lstStyle/>
        <a:p>
          <a:endParaRPr lang="lt-LT" sz="1200"/>
        </a:p>
      </dgm:t>
    </dgm:pt>
    <dgm:pt modelId="{D398AF4A-FCB4-4B52-AD30-206DEE45E158}" type="sibTrans" cxnId="{81F0B488-8EB8-4AE2-974B-4C7B3F61E042}">
      <dgm:prSet/>
      <dgm:spPr/>
      <dgm:t>
        <a:bodyPr/>
        <a:lstStyle/>
        <a:p>
          <a:endParaRPr lang="lt-LT" sz="1200"/>
        </a:p>
      </dgm:t>
    </dgm:pt>
    <dgm:pt modelId="{CBC1D6CD-9759-4EB3-8556-16BCF82C52E3}">
      <dgm:prSet custT="1"/>
      <dgm:spPr/>
      <dgm:t>
        <a:bodyPr/>
        <a:lstStyle/>
        <a:p>
          <a:r>
            <a:rPr lang="lt-LT" sz="1200"/>
            <a:t>Atliekama ekspertinio vertinimo procedūra</a:t>
          </a:r>
        </a:p>
      </dgm:t>
    </dgm:pt>
    <dgm:pt modelId="{7D6E925D-63ED-4EE9-AB2E-A9C9ABFE4A38}" type="parTrans" cxnId="{3E6CA42A-40CD-47AD-AC29-ACC9DD2FADF0}">
      <dgm:prSet/>
      <dgm:spPr/>
      <dgm:t>
        <a:bodyPr/>
        <a:lstStyle/>
        <a:p>
          <a:endParaRPr lang="lt-LT" sz="1200"/>
        </a:p>
      </dgm:t>
    </dgm:pt>
    <dgm:pt modelId="{2067D969-8573-4105-A093-A7411B81EFAA}" type="sibTrans" cxnId="{3E6CA42A-40CD-47AD-AC29-ACC9DD2FADF0}">
      <dgm:prSet/>
      <dgm:spPr/>
      <dgm:t>
        <a:bodyPr/>
        <a:lstStyle/>
        <a:p>
          <a:endParaRPr lang="lt-LT" sz="1200"/>
        </a:p>
      </dgm:t>
    </dgm:pt>
    <dgm:pt modelId="{D16ACAA2-E2C7-4214-9C4A-A5524D8CCB68}">
      <dgm:prSet custT="1"/>
      <dgm:spPr/>
      <dgm:t>
        <a:bodyPr/>
        <a:lstStyle/>
        <a:p>
          <a:r>
            <a:rPr lang="lt-LT" sz="1200"/>
            <a:t>Analizuojami ekspertinio vertinimo duomenys, pašalinamos klaidos ir prieštaravimai</a:t>
          </a:r>
        </a:p>
      </dgm:t>
    </dgm:pt>
    <dgm:pt modelId="{0EAEB523-C96C-4857-B9C3-D7C2E87A01DB}" type="parTrans" cxnId="{77D1BD40-97CD-4C74-BB31-30F1B825D3EE}">
      <dgm:prSet/>
      <dgm:spPr/>
      <dgm:t>
        <a:bodyPr/>
        <a:lstStyle/>
        <a:p>
          <a:endParaRPr lang="lt-LT" sz="1200"/>
        </a:p>
      </dgm:t>
    </dgm:pt>
    <dgm:pt modelId="{03EB84E0-234D-4E24-81B1-5F4573B09390}" type="sibTrans" cxnId="{77D1BD40-97CD-4C74-BB31-30F1B825D3EE}">
      <dgm:prSet/>
      <dgm:spPr/>
      <dgm:t>
        <a:bodyPr/>
        <a:lstStyle/>
        <a:p>
          <a:endParaRPr lang="lt-LT" sz="1200"/>
        </a:p>
      </dgm:t>
    </dgm:pt>
    <dgm:pt modelId="{1D572CDB-F765-482C-A6D6-15D41CD28F84}">
      <dgm:prSet phldrT="[Text]" custT="1"/>
      <dgm:spPr/>
      <dgm:t>
        <a:bodyPr/>
        <a:lstStyle/>
        <a:p>
          <a:r>
            <a:rPr lang="lt-LT" sz="1200"/>
            <a:t>Rezultatai interpratuojami	</a:t>
          </a:r>
        </a:p>
      </dgm:t>
    </dgm:pt>
    <dgm:pt modelId="{89A41222-1236-40B3-82FA-77D76AA12B68}" type="parTrans" cxnId="{11990B2B-5813-4667-AFB2-B9D1B67C567A}">
      <dgm:prSet/>
      <dgm:spPr/>
      <dgm:t>
        <a:bodyPr/>
        <a:lstStyle/>
        <a:p>
          <a:endParaRPr lang="lt-LT" sz="1200"/>
        </a:p>
      </dgm:t>
    </dgm:pt>
    <dgm:pt modelId="{BD04540E-9400-4789-AD56-A60A09B21AED}" type="sibTrans" cxnId="{11990B2B-5813-4667-AFB2-B9D1B67C567A}">
      <dgm:prSet/>
      <dgm:spPr/>
      <dgm:t>
        <a:bodyPr/>
        <a:lstStyle/>
        <a:p>
          <a:endParaRPr lang="lt-LT" sz="1200"/>
        </a:p>
      </dgm:t>
    </dgm:pt>
    <dgm:pt modelId="{48584772-216E-4F9B-BCD9-613EBFC698A1}">
      <dgm:prSet phldrT="[Text]" custT="1"/>
      <dgm:spPr/>
      <dgm:t>
        <a:bodyPr/>
        <a:lstStyle/>
        <a:p>
          <a:r>
            <a:rPr lang="lt-LT" sz="1200"/>
            <a:t>Pateikiami  ekspertinio vertinimo rezultatai ir išvados</a:t>
          </a:r>
        </a:p>
      </dgm:t>
    </dgm:pt>
    <dgm:pt modelId="{2354B3DF-29C2-4445-80E9-3F8C1E074145}" type="parTrans" cxnId="{8EC2E108-C7BD-4F8E-BC8A-E8C50E828935}">
      <dgm:prSet/>
      <dgm:spPr/>
      <dgm:t>
        <a:bodyPr/>
        <a:lstStyle/>
        <a:p>
          <a:endParaRPr lang="lt-LT" sz="1200"/>
        </a:p>
      </dgm:t>
    </dgm:pt>
    <dgm:pt modelId="{CE0EE90E-5C3B-493B-ABF5-B2E92AB4A3EE}" type="sibTrans" cxnId="{8EC2E108-C7BD-4F8E-BC8A-E8C50E828935}">
      <dgm:prSet/>
      <dgm:spPr/>
      <dgm:t>
        <a:bodyPr/>
        <a:lstStyle/>
        <a:p>
          <a:endParaRPr lang="lt-LT" sz="1200"/>
        </a:p>
      </dgm:t>
    </dgm:pt>
    <dgm:pt modelId="{D9574419-CCFF-412F-A90C-95A05EB25862}" type="pres">
      <dgm:prSet presAssocID="{8F601946-20B7-4F28-B6D1-C3015845B13D}" presName="linearFlow" presStyleCnt="0">
        <dgm:presLayoutVars>
          <dgm:dir/>
          <dgm:animLvl val="lvl"/>
          <dgm:resizeHandles val="exact"/>
        </dgm:presLayoutVars>
      </dgm:prSet>
      <dgm:spPr/>
    </dgm:pt>
    <dgm:pt modelId="{74C1FA59-B310-4173-B04D-8011D0A8CDDB}" type="pres">
      <dgm:prSet presAssocID="{BD88263C-82DB-4380-ABD6-7A411C2E1B92}" presName="composite" presStyleCnt="0"/>
      <dgm:spPr/>
    </dgm:pt>
    <dgm:pt modelId="{C49E4B69-7F1B-40E7-82F8-6FBBD26791A9}" type="pres">
      <dgm:prSet presAssocID="{BD88263C-82DB-4380-ABD6-7A411C2E1B92}" presName="parentText" presStyleLbl="alignNode1" presStyleIdx="0" presStyleCnt="7">
        <dgm:presLayoutVars>
          <dgm:chMax val="1"/>
          <dgm:bulletEnabled val="1"/>
        </dgm:presLayoutVars>
      </dgm:prSet>
      <dgm:spPr/>
      <dgm:t>
        <a:bodyPr/>
        <a:lstStyle/>
        <a:p>
          <a:endParaRPr lang="lt-LT"/>
        </a:p>
      </dgm:t>
    </dgm:pt>
    <dgm:pt modelId="{AB0AAE8C-7052-46EB-A39F-4DCE6AEAAB41}" type="pres">
      <dgm:prSet presAssocID="{BD88263C-82DB-4380-ABD6-7A411C2E1B92}" presName="descendantText" presStyleLbl="alignAcc1" presStyleIdx="0" presStyleCnt="7">
        <dgm:presLayoutVars>
          <dgm:bulletEnabled val="1"/>
        </dgm:presLayoutVars>
      </dgm:prSet>
      <dgm:spPr/>
      <dgm:t>
        <a:bodyPr/>
        <a:lstStyle/>
        <a:p>
          <a:endParaRPr lang="lt-LT"/>
        </a:p>
      </dgm:t>
    </dgm:pt>
    <dgm:pt modelId="{E4CC9167-1AF5-4D10-BDDA-90F4C1633CF3}" type="pres">
      <dgm:prSet presAssocID="{E7E590F1-AE16-4BD8-981B-14F341E87E9E}" presName="sp" presStyleCnt="0"/>
      <dgm:spPr/>
    </dgm:pt>
    <dgm:pt modelId="{69CEA847-B548-4092-8153-5E14E9837E75}" type="pres">
      <dgm:prSet presAssocID="{FEF2894A-6F4E-4B3D-A145-5E7A5361146B}" presName="composite" presStyleCnt="0"/>
      <dgm:spPr/>
    </dgm:pt>
    <dgm:pt modelId="{36319549-09E8-4238-8651-693F4B44FB9A}" type="pres">
      <dgm:prSet presAssocID="{FEF2894A-6F4E-4B3D-A145-5E7A5361146B}" presName="parentText" presStyleLbl="alignNode1" presStyleIdx="1" presStyleCnt="7">
        <dgm:presLayoutVars>
          <dgm:chMax val="1"/>
          <dgm:bulletEnabled val="1"/>
        </dgm:presLayoutVars>
      </dgm:prSet>
      <dgm:spPr/>
      <dgm:t>
        <a:bodyPr/>
        <a:lstStyle/>
        <a:p>
          <a:endParaRPr lang="lt-LT"/>
        </a:p>
      </dgm:t>
    </dgm:pt>
    <dgm:pt modelId="{9D82A150-A8FF-4CB5-8FD1-FB1B5841FB34}" type="pres">
      <dgm:prSet presAssocID="{FEF2894A-6F4E-4B3D-A145-5E7A5361146B}" presName="descendantText" presStyleLbl="alignAcc1" presStyleIdx="1" presStyleCnt="7">
        <dgm:presLayoutVars>
          <dgm:bulletEnabled val="1"/>
        </dgm:presLayoutVars>
      </dgm:prSet>
      <dgm:spPr/>
      <dgm:t>
        <a:bodyPr/>
        <a:lstStyle/>
        <a:p>
          <a:endParaRPr lang="lt-LT"/>
        </a:p>
      </dgm:t>
    </dgm:pt>
    <dgm:pt modelId="{54797246-148A-428B-8205-71E4ABF55199}" type="pres">
      <dgm:prSet presAssocID="{A5E4F9CE-C0DA-47ED-B9B0-5F7516E6C2E2}" presName="sp" presStyleCnt="0"/>
      <dgm:spPr/>
    </dgm:pt>
    <dgm:pt modelId="{4E39C2B1-B08A-4F3D-9D75-1CF50325C157}" type="pres">
      <dgm:prSet presAssocID="{92318EF0-ABCE-45C3-8A54-2C51DB646A25}" presName="composite" presStyleCnt="0"/>
      <dgm:spPr/>
    </dgm:pt>
    <dgm:pt modelId="{11F466C1-5335-453B-B8FB-4C52BBE15558}" type="pres">
      <dgm:prSet presAssocID="{92318EF0-ABCE-45C3-8A54-2C51DB646A25}" presName="parentText" presStyleLbl="alignNode1" presStyleIdx="2" presStyleCnt="7">
        <dgm:presLayoutVars>
          <dgm:chMax val="1"/>
          <dgm:bulletEnabled val="1"/>
        </dgm:presLayoutVars>
      </dgm:prSet>
      <dgm:spPr/>
      <dgm:t>
        <a:bodyPr/>
        <a:lstStyle/>
        <a:p>
          <a:endParaRPr lang="lt-LT"/>
        </a:p>
      </dgm:t>
    </dgm:pt>
    <dgm:pt modelId="{C01700D6-69B0-4EE6-BA9F-CC3DD9D6DD1E}" type="pres">
      <dgm:prSet presAssocID="{92318EF0-ABCE-45C3-8A54-2C51DB646A25}" presName="descendantText" presStyleLbl="alignAcc1" presStyleIdx="2" presStyleCnt="7">
        <dgm:presLayoutVars>
          <dgm:bulletEnabled val="1"/>
        </dgm:presLayoutVars>
      </dgm:prSet>
      <dgm:spPr/>
      <dgm:t>
        <a:bodyPr/>
        <a:lstStyle/>
        <a:p>
          <a:endParaRPr lang="lt-LT"/>
        </a:p>
      </dgm:t>
    </dgm:pt>
    <dgm:pt modelId="{AF5B8F51-A2F3-4B9C-9847-D2DD5ABE05F3}" type="pres">
      <dgm:prSet presAssocID="{D43EE78A-F25B-4266-AE36-F0C504A02307}" presName="sp" presStyleCnt="0"/>
      <dgm:spPr/>
    </dgm:pt>
    <dgm:pt modelId="{7F7F41CA-918A-455F-B99E-91F9BCA9DAE2}" type="pres">
      <dgm:prSet presAssocID="{AE32827D-235C-4C84-80D2-A869C2BFDE4C}" presName="composite" presStyleCnt="0"/>
      <dgm:spPr/>
    </dgm:pt>
    <dgm:pt modelId="{47089A73-E4A0-4EE6-9E42-D7D4DB755B44}" type="pres">
      <dgm:prSet presAssocID="{AE32827D-235C-4C84-80D2-A869C2BFDE4C}" presName="parentText" presStyleLbl="alignNode1" presStyleIdx="3" presStyleCnt="7">
        <dgm:presLayoutVars>
          <dgm:chMax val="1"/>
          <dgm:bulletEnabled val="1"/>
        </dgm:presLayoutVars>
      </dgm:prSet>
      <dgm:spPr/>
      <dgm:t>
        <a:bodyPr/>
        <a:lstStyle/>
        <a:p>
          <a:endParaRPr lang="lt-LT"/>
        </a:p>
      </dgm:t>
    </dgm:pt>
    <dgm:pt modelId="{E281FA9F-998A-41F8-BAC9-CA0AEC67690F}" type="pres">
      <dgm:prSet presAssocID="{AE32827D-235C-4C84-80D2-A869C2BFDE4C}" presName="descendantText" presStyleLbl="alignAcc1" presStyleIdx="3" presStyleCnt="7">
        <dgm:presLayoutVars>
          <dgm:bulletEnabled val="1"/>
        </dgm:presLayoutVars>
      </dgm:prSet>
      <dgm:spPr/>
      <dgm:t>
        <a:bodyPr/>
        <a:lstStyle/>
        <a:p>
          <a:endParaRPr lang="lt-LT"/>
        </a:p>
      </dgm:t>
    </dgm:pt>
    <dgm:pt modelId="{59560E75-F965-40EB-8848-C7DE868F97ED}" type="pres">
      <dgm:prSet presAssocID="{94E2EEA8-BCE9-4B9C-89D5-6B380CBC23FC}" presName="sp" presStyleCnt="0"/>
      <dgm:spPr/>
    </dgm:pt>
    <dgm:pt modelId="{0E6B76FB-A438-43BC-A18C-6DC70FFFEB81}" type="pres">
      <dgm:prSet presAssocID="{CB8465D3-FD91-4548-9106-4BCDA7B1424E}" presName="composite" presStyleCnt="0"/>
      <dgm:spPr/>
    </dgm:pt>
    <dgm:pt modelId="{39C6DB8F-0D02-447B-92C4-16AAB57E6B64}" type="pres">
      <dgm:prSet presAssocID="{CB8465D3-FD91-4548-9106-4BCDA7B1424E}" presName="parentText" presStyleLbl="alignNode1" presStyleIdx="4" presStyleCnt="7">
        <dgm:presLayoutVars>
          <dgm:chMax val="1"/>
          <dgm:bulletEnabled val="1"/>
        </dgm:presLayoutVars>
      </dgm:prSet>
      <dgm:spPr/>
      <dgm:t>
        <a:bodyPr/>
        <a:lstStyle/>
        <a:p>
          <a:endParaRPr lang="lt-LT"/>
        </a:p>
      </dgm:t>
    </dgm:pt>
    <dgm:pt modelId="{E69BFC4B-9132-4861-B268-5F3F7D3455D7}" type="pres">
      <dgm:prSet presAssocID="{CB8465D3-FD91-4548-9106-4BCDA7B1424E}" presName="descendantText" presStyleLbl="alignAcc1" presStyleIdx="4" presStyleCnt="7">
        <dgm:presLayoutVars>
          <dgm:bulletEnabled val="1"/>
        </dgm:presLayoutVars>
      </dgm:prSet>
      <dgm:spPr/>
      <dgm:t>
        <a:bodyPr/>
        <a:lstStyle/>
        <a:p>
          <a:endParaRPr lang="lt-LT"/>
        </a:p>
      </dgm:t>
    </dgm:pt>
    <dgm:pt modelId="{BAA62E27-6C03-4266-851F-9A6DFAA1C16D}" type="pres">
      <dgm:prSet presAssocID="{20B353D1-E9C4-41C2-9B1A-76A772E92FE0}" presName="sp" presStyleCnt="0"/>
      <dgm:spPr/>
    </dgm:pt>
    <dgm:pt modelId="{86F607FF-6716-4C10-8D6A-BF4568A9EF31}" type="pres">
      <dgm:prSet presAssocID="{6237B78B-4BCF-4A7C-B833-897854B59CC9}" presName="composite" presStyleCnt="0"/>
      <dgm:spPr/>
    </dgm:pt>
    <dgm:pt modelId="{044B1275-D315-4090-97B8-B8A388A0E36F}" type="pres">
      <dgm:prSet presAssocID="{6237B78B-4BCF-4A7C-B833-897854B59CC9}" presName="parentText" presStyleLbl="alignNode1" presStyleIdx="5" presStyleCnt="7">
        <dgm:presLayoutVars>
          <dgm:chMax val="1"/>
          <dgm:bulletEnabled val="1"/>
        </dgm:presLayoutVars>
      </dgm:prSet>
      <dgm:spPr/>
      <dgm:t>
        <a:bodyPr/>
        <a:lstStyle/>
        <a:p>
          <a:endParaRPr lang="lt-LT"/>
        </a:p>
      </dgm:t>
    </dgm:pt>
    <dgm:pt modelId="{BFB20BF2-D77F-40F5-9A22-5888FD06EED3}" type="pres">
      <dgm:prSet presAssocID="{6237B78B-4BCF-4A7C-B833-897854B59CC9}" presName="descendantText" presStyleLbl="alignAcc1" presStyleIdx="5" presStyleCnt="7">
        <dgm:presLayoutVars>
          <dgm:bulletEnabled val="1"/>
        </dgm:presLayoutVars>
      </dgm:prSet>
      <dgm:spPr/>
      <dgm:t>
        <a:bodyPr/>
        <a:lstStyle/>
        <a:p>
          <a:endParaRPr lang="lt-LT"/>
        </a:p>
      </dgm:t>
    </dgm:pt>
    <dgm:pt modelId="{749BDF95-23AF-4ED1-A8D2-0A127606BAA4}" type="pres">
      <dgm:prSet presAssocID="{CB876786-751A-4BF8-9798-5A5968B6473C}" presName="sp" presStyleCnt="0"/>
      <dgm:spPr/>
    </dgm:pt>
    <dgm:pt modelId="{5AA2671B-69DA-49B0-A6BC-E94A211FD081}" type="pres">
      <dgm:prSet presAssocID="{2CE72488-0708-4D66-AA2C-D13172EF97F5}" presName="composite" presStyleCnt="0"/>
      <dgm:spPr/>
    </dgm:pt>
    <dgm:pt modelId="{A11B51A6-688B-4C32-A5B0-7F09341ACAF9}" type="pres">
      <dgm:prSet presAssocID="{2CE72488-0708-4D66-AA2C-D13172EF97F5}" presName="parentText" presStyleLbl="alignNode1" presStyleIdx="6" presStyleCnt="7">
        <dgm:presLayoutVars>
          <dgm:chMax val="1"/>
          <dgm:bulletEnabled val="1"/>
        </dgm:presLayoutVars>
      </dgm:prSet>
      <dgm:spPr/>
      <dgm:t>
        <a:bodyPr/>
        <a:lstStyle/>
        <a:p>
          <a:endParaRPr lang="lt-LT"/>
        </a:p>
      </dgm:t>
    </dgm:pt>
    <dgm:pt modelId="{5E66BF46-15B7-4AF0-A9C3-94D984C0CC63}" type="pres">
      <dgm:prSet presAssocID="{2CE72488-0708-4D66-AA2C-D13172EF97F5}" presName="descendantText" presStyleLbl="alignAcc1" presStyleIdx="6" presStyleCnt="7">
        <dgm:presLayoutVars>
          <dgm:bulletEnabled val="1"/>
        </dgm:presLayoutVars>
      </dgm:prSet>
      <dgm:spPr/>
      <dgm:t>
        <a:bodyPr/>
        <a:lstStyle/>
        <a:p>
          <a:endParaRPr lang="lt-LT"/>
        </a:p>
      </dgm:t>
    </dgm:pt>
  </dgm:ptLst>
  <dgm:cxnLst>
    <dgm:cxn modelId="{38D68B4C-04A3-4889-99C3-027A11B09F8B}" type="presOf" srcId="{1D572CDB-F765-482C-A6D6-15D41CD28F84}" destId="{BFB20BF2-D77F-40F5-9A22-5888FD06EED3}" srcOrd="0" destOrd="0" presId="urn:microsoft.com/office/officeart/2005/8/layout/chevron2"/>
    <dgm:cxn modelId="{A3552922-C276-4698-9260-CE3EF301A3BB}" type="presOf" srcId="{8F601946-20B7-4F28-B6D1-C3015845B13D}" destId="{D9574419-CCFF-412F-A90C-95A05EB25862}" srcOrd="0" destOrd="0" presId="urn:microsoft.com/office/officeart/2005/8/layout/chevron2"/>
    <dgm:cxn modelId="{86CC0BED-0B27-4310-AF28-1FA3813EBFF7}" srcId="{8F601946-20B7-4F28-B6D1-C3015845B13D}" destId="{2CE72488-0708-4D66-AA2C-D13172EF97F5}" srcOrd="6" destOrd="0" parTransId="{8CBEC25A-CDF5-422C-B2D0-F66FECEDAC5D}" sibTransId="{B383D139-2104-430C-BA91-95A225738D16}"/>
    <dgm:cxn modelId="{5A9BDD55-11A2-4D67-923C-DE743BBA0165}" type="presOf" srcId="{FEF2894A-6F4E-4B3D-A145-5E7A5361146B}" destId="{36319549-09E8-4238-8651-693F4B44FB9A}" srcOrd="0" destOrd="0" presId="urn:microsoft.com/office/officeart/2005/8/layout/chevron2"/>
    <dgm:cxn modelId="{5B8CF140-D858-4F26-BE96-30313A436B1B}" type="presOf" srcId="{2052E0D2-715B-496C-94A7-CFFBBEEE7EC6}" destId="{9D82A150-A8FF-4CB5-8FD1-FB1B5841FB34}" srcOrd="0" destOrd="0" presId="urn:microsoft.com/office/officeart/2005/8/layout/chevron2"/>
    <dgm:cxn modelId="{3E6CA42A-40CD-47AD-AC29-ACC9DD2FADF0}" srcId="{AE32827D-235C-4C84-80D2-A869C2BFDE4C}" destId="{CBC1D6CD-9759-4EB3-8556-16BCF82C52E3}" srcOrd="0" destOrd="0" parTransId="{7D6E925D-63ED-4EE9-AB2E-A9C9ABFE4A38}" sibTransId="{2067D969-8573-4105-A093-A7411B81EFAA}"/>
    <dgm:cxn modelId="{6AEEDCF6-228F-40CB-B39B-6093CB083FC3}" type="presOf" srcId="{6237B78B-4BCF-4A7C-B833-897854B59CC9}" destId="{044B1275-D315-4090-97B8-B8A388A0E36F}" srcOrd="0" destOrd="0" presId="urn:microsoft.com/office/officeart/2005/8/layout/chevron2"/>
    <dgm:cxn modelId="{77D1BD40-97CD-4C74-BB31-30F1B825D3EE}" srcId="{CB8465D3-FD91-4548-9106-4BCDA7B1424E}" destId="{D16ACAA2-E2C7-4214-9C4A-A5524D8CCB68}" srcOrd="0" destOrd="0" parTransId="{0EAEB523-C96C-4857-B9C3-D7C2E87A01DB}" sibTransId="{03EB84E0-234D-4E24-81B1-5F4573B09390}"/>
    <dgm:cxn modelId="{F29965DB-1374-48D3-B506-421B770FED90}" type="presOf" srcId="{48584772-216E-4F9B-BCD9-613EBFC698A1}" destId="{5E66BF46-15B7-4AF0-A9C3-94D984C0CC63}" srcOrd="0" destOrd="0" presId="urn:microsoft.com/office/officeart/2005/8/layout/chevron2"/>
    <dgm:cxn modelId="{A976B727-2F2B-4C9F-96E2-38FF34AE2B55}" srcId="{FEF2894A-6F4E-4B3D-A145-5E7A5361146B}" destId="{2052E0D2-715B-496C-94A7-CFFBBEEE7EC6}" srcOrd="0" destOrd="0" parTransId="{DC529838-1FBE-4FBD-891D-CB68E21BCE0B}" sibTransId="{E42F30BE-831D-4EC9-A340-D3F8B8B5ADF3}"/>
    <dgm:cxn modelId="{CC01859C-4865-4EE2-AF9C-44494B2741C7}" srcId="{8F601946-20B7-4F28-B6D1-C3015845B13D}" destId="{CB8465D3-FD91-4548-9106-4BCDA7B1424E}" srcOrd="4" destOrd="0" parTransId="{C6E6C8A2-AFF8-4AFE-B303-7F0CB8F19667}" sibTransId="{20B353D1-E9C4-41C2-9B1A-76A772E92FE0}"/>
    <dgm:cxn modelId="{81F0B488-8EB8-4AE2-974B-4C7B3F61E042}" srcId="{92318EF0-ABCE-45C3-8A54-2C51DB646A25}" destId="{79E626A8-3F3E-4677-B754-C37036C0A36E}" srcOrd="0" destOrd="0" parTransId="{0D0E14F3-E231-414C-92A6-87576EE4483B}" sibTransId="{D398AF4A-FCB4-4B52-AD30-206DEE45E158}"/>
    <dgm:cxn modelId="{F249A10F-2641-48B7-96CB-9BC4D481E957}" srcId="{8F601946-20B7-4F28-B6D1-C3015845B13D}" destId="{FEF2894A-6F4E-4B3D-A145-5E7A5361146B}" srcOrd="1" destOrd="0" parTransId="{F9790C42-1AEB-401C-97C8-064101DF5832}" sibTransId="{A5E4F9CE-C0DA-47ED-B9B0-5F7516E6C2E2}"/>
    <dgm:cxn modelId="{518A476B-A488-4971-88EB-4A9A60A81595}" type="presOf" srcId="{CB8465D3-FD91-4548-9106-4BCDA7B1424E}" destId="{39C6DB8F-0D02-447B-92C4-16AAB57E6B64}" srcOrd="0" destOrd="0" presId="urn:microsoft.com/office/officeart/2005/8/layout/chevron2"/>
    <dgm:cxn modelId="{8EC2E108-C7BD-4F8E-BC8A-E8C50E828935}" srcId="{2CE72488-0708-4D66-AA2C-D13172EF97F5}" destId="{48584772-216E-4F9B-BCD9-613EBFC698A1}" srcOrd="0" destOrd="0" parTransId="{2354B3DF-29C2-4445-80E9-3F8C1E074145}" sibTransId="{CE0EE90E-5C3B-493B-ABF5-B2E92AB4A3EE}"/>
    <dgm:cxn modelId="{9291304F-DE56-46CF-9631-D292EF125975}" srcId="{8F601946-20B7-4F28-B6D1-C3015845B13D}" destId="{6237B78B-4BCF-4A7C-B833-897854B59CC9}" srcOrd="5" destOrd="0" parTransId="{566EBBE5-2336-4154-94ED-4C7C2878374D}" sibTransId="{CB876786-751A-4BF8-9798-5A5968B6473C}"/>
    <dgm:cxn modelId="{11990B2B-5813-4667-AFB2-B9D1B67C567A}" srcId="{6237B78B-4BCF-4A7C-B833-897854B59CC9}" destId="{1D572CDB-F765-482C-A6D6-15D41CD28F84}" srcOrd="0" destOrd="0" parTransId="{89A41222-1236-40B3-82FA-77D76AA12B68}" sibTransId="{BD04540E-9400-4789-AD56-A60A09B21AED}"/>
    <dgm:cxn modelId="{DA225DC7-5497-473C-A7B4-7F2866DE2ED6}" type="presOf" srcId="{D50EC2CA-880E-491D-9FBA-08F9D458AACD}" destId="{AB0AAE8C-7052-46EB-A39F-4DCE6AEAAB41}" srcOrd="0" destOrd="0" presId="urn:microsoft.com/office/officeart/2005/8/layout/chevron2"/>
    <dgm:cxn modelId="{D2AB6ABF-CF07-47B8-9927-DD2C7093A5D0}" srcId="{BD88263C-82DB-4380-ABD6-7A411C2E1B92}" destId="{D50EC2CA-880E-491D-9FBA-08F9D458AACD}" srcOrd="0" destOrd="0" parTransId="{A04196A7-9C46-479D-8F38-418DF02B6BF1}" sibTransId="{D8ADBE5E-53BE-4F1C-9B60-6102BFF67414}"/>
    <dgm:cxn modelId="{49A7E133-B384-4C9F-8C55-5C19C704FFC6}" srcId="{8F601946-20B7-4F28-B6D1-C3015845B13D}" destId="{AE32827D-235C-4C84-80D2-A869C2BFDE4C}" srcOrd="3" destOrd="0" parTransId="{E6F8178F-E9A8-451F-8BC8-B233C483EA3C}" sibTransId="{94E2EEA8-BCE9-4B9C-89D5-6B380CBC23FC}"/>
    <dgm:cxn modelId="{24B5E733-AF8C-4BF4-98E2-10A916423CEB}" type="presOf" srcId="{2CE72488-0708-4D66-AA2C-D13172EF97F5}" destId="{A11B51A6-688B-4C32-A5B0-7F09341ACAF9}" srcOrd="0" destOrd="0" presId="urn:microsoft.com/office/officeart/2005/8/layout/chevron2"/>
    <dgm:cxn modelId="{65BF3810-81EE-476F-9CC1-061191D8A32F}" type="presOf" srcId="{CBC1D6CD-9759-4EB3-8556-16BCF82C52E3}" destId="{E281FA9F-998A-41F8-BAC9-CA0AEC67690F}" srcOrd="0" destOrd="0" presId="urn:microsoft.com/office/officeart/2005/8/layout/chevron2"/>
    <dgm:cxn modelId="{BE0FBF0F-E54A-4DC5-B92C-BD70B1DF3831}" type="presOf" srcId="{AE32827D-235C-4C84-80D2-A869C2BFDE4C}" destId="{47089A73-E4A0-4EE6-9E42-D7D4DB755B44}" srcOrd="0" destOrd="0" presId="urn:microsoft.com/office/officeart/2005/8/layout/chevron2"/>
    <dgm:cxn modelId="{905A4218-7BB3-4EBC-99A4-7C2AFC5A8125}" srcId="{8F601946-20B7-4F28-B6D1-C3015845B13D}" destId="{BD88263C-82DB-4380-ABD6-7A411C2E1B92}" srcOrd="0" destOrd="0" parTransId="{DBDD1B53-04CB-464A-BE15-65A2E507122E}" sibTransId="{E7E590F1-AE16-4BD8-981B-14F341E87E9E}"/>
    <dgm:cxn modelId="{58DEC12A-67E8-4F1B-ACCD-811EB116D0B7}" type="presOf" srcId="{BD88263C-82DB-4380-ABD6-7A411C2E1B92}" destId="{C49E4B69-7F1B-40E7-82F8-6FBBD26791A9}" srcOrd="0" destOrd="0" presId="urn:microsoft.com/office/officeart/2005/8/layout/chevron2"/>
    <dgm:cxn modelId="{EB978A3F-4745-4331-B670-A9EB973DA2EB}" type="presOf" srcId="{79E626A8-3F3E-4677-B754-C37036C0A36E}" destId="{C01700D6-69B0-4EE6-BA9F-CC3DD9D6DD1E}" srcOrd="0" destOrd="0" presId="urn:microsoft.com/office/officeart/2005/8/layout/chevron2"/>
    <dgm:cxn modelId="{50E0B562-E1F9-49F3-857E-741C362A9044}" srcId="{8F601946-20B7-4F28-B6D1-C3015845B13D}" destId="{92318EF0-ABCE-45C3-8A54-2C51DB646A25}" srcOrd="2" destOrd="0" parTransId="{8241E086-0D18-46ED-8C32-6F8EACF14640}" sibTransId="{D43EE78A-F25B-4266-AE36-F0C504A02307}"/>
    <dgm:cxn modelId="{31750394-393A-4679-8B91-787EFBC1A361}" type="presOf" srcId="{D16ACAA2-E2C7-4214-9C4A-A5524D8CCB68}" destId="{E69BFC4B-9132-4861-B268-5F3F7D3455D7}" srcOrd="0" destOrd="0" presId="urn:microsoft.com/office/officeart/2005/8/layout/chevron2"/>
    <dgm:cxn modelId="{C4D9B92E-BE51-4FF7-AA2F-04CAED0B37E8}" type="presOf" srcId="{92318EF0-ABCE-45C3-8A54-2C51DB646A25}" destId="{11F466C1-5335-453B-B8FB-4C52BBE15558}" srcOrd="0" destOrd="0" presId="urn:microsoft.com/office/officeart/2005/8/layout/chevron2"/>
    <dgm:cxn modelId="{E2E7BD62-9826-465A-A70D-B306A4456460}" type="presParOf" srcId="{D9574419-CCFF-412F-A90C-95A05EB25862}" destId="{74C1FA59-B310-4173-B04D-8011D0A8CDDB}" srcOrd="0" destOrd="0" presId="urn:microsoft.com/office/officeart/2005/8/layout/chevron2"/>
    <dgm:cxn modelId="{8B6DC891-90EB-4D29-9E08-DF4BE7E801D2}" type="presParOf" srcId="{74C1FA59-B310-4173-B04D-8011D0A8CDDB}" destId="{C49E4B69-7F1B-40E7-82F8-6FBBD26791A9}" srcOrd="0" destOrd="0" presId="urn:microsoft.com/office/officeart/2005/8/layout/chevron2"/>
    <dgm:cxn modelId="{7D0B39F1-E471-44AA-9E3E-01C62ED1E72D}" type="presParOf" srcId="{74C1FA59-B310-4173-B04D-8011D0A8CDDB}" destId="{AB0AAE8C-7052-46EB-A39F-4DCE6AEAAB41}" srcOrd="1" destOrd="0" presId="urn:microsoft.com/office/officeart/2005/8/layout/chevron2"/>
    <dgm:cxn modelId="{9B66304C-60BE-4702-A779-00A88AB7F77C}" type="presParOf" srcId="{D9574419-CCFF-412F-A90C-95A05EB25862}" destId="{E4CC9167-1AF5-4D10-BDDA-90F4C1633CF3}" srcOrd="1" destOrd="0" presId="urn:microsoft.com/office/officeart/2005/8/layout/chevron2"/>
    <dgm:cxn modelId="{1E5B9AB8-63EE-4F97-9051-0E90BF5A4D50}" type="presParOf" srcId="{D9574419-CCFF-412F-A90C-95A05EB25862}" destId="{69CEA847-B548-4092-8153-5E14E9837E75}" srcOrd="2" destOrd="0" presId="urn:microsoft.com/office/officeart/2005/8/layout/chevron2"/>
    <dgm:cxn modelId="{C56B63FB-3638-4B43-B060-6F37C66F5C47}" type="presParOf" srcId="{69CEA847-B548-4092-8153-5E14E9837E75}" destId="{36319549-09E8-4238-8651-693F4B44FB9A}" srcOrd="0" destOrd="0" presId="urn:microsoft.com/office/officeart/2005/8/layout/chevron2"/>
    <dgm:cxn modelId="{17479F00-5945-425B-97DB-AC7A24D75A8F}" type="presParOf" srcId="{69CEA847-B548-4092-8153-5E14E9837E75}" destId="{9D82A150-A8FF-4CB5-8FD1-FB1B5841FB34}" srcOrd="1" destOrd="0" presId="urn:microsoft.com/office/officeart/2005/8/layout/chevron2"/>
    <dgm:cxn modelId="{AF74ED53-39A3-4F06-87A0-060D7E3B000E}" type="presParOf" srcId="{D9574419-CCFF-412F-A90C-95A05EB25862}" destId="{54797246-148A-428B-8205-71E4ABF55199}" srcOrd="3" destOrd="0" presId="urn:microsoft.com/office/officeart/2005/8/layout/chevron2"/>
    <dgm:cxn modelId="{E3E2D3ED-C706-4228-8C1F-FDCB1152819E}" type="presParOf" srcId="{D9574419-CCFF-412F-A90C-95A05EB25862}" destId="{4E39C2B1-B08A-4F3D-9D75-1CF50325C157}" srcOrd="4" destOrd="0" presId="urn:microsoft.com/office/officeart/2005/8/layout/chevron2"/>
    <dgm:cxn modelId="{047ECA27-2247-4749-AD47-14B7842D1E5B}" type="presParOf" srcId="{4E39C2B1-B08A-4F3D-9D75-1CF50325C157}" destId="{11F466C1-5335-453B-B8FB-4C52BBE15558}" srcOrd="0" destOrd="0" presId="urn:microsoft.com/office/officeart/2005/8/layout/chevron2"/>
    <dgm:cxn modelId="{DBE4FAA7-6A26-4076-9421-CC497391F8F3}" type="presParOf" srcId="{4E39C2B1-B08A-4F3D-9D75-1CF50325C157}" destId="{C01700D6-69B0-4EE6-BA9F-CC3DD9D6DD1E}" srcOrd="1" destOrd="0" presId="urn:microsoft.com/office/officeart/2005/8/layout/chevron2"/>
    <dgm:cxn modelId="{E0F5835C-C171-4FB0-807D-E5F0B3D65D1C}" type="presParOf" srcId="{D9574419-CCFF-412F-A90C-95A05EB25862}" destId="{AF5B8F51-A2F3-4B9C-9847-D2DD5ABE05F3}" srcOrd="5" destOrd="0" presId="urn:microsoft.com/office/officeart/2005/8/layout/chevron2"/>
    <dgm:cxn modelId="{603430A3-967C-4A06-8991-DE39458BD918}" type="presParOf" srcId="{D9574419-CCFF-412F-A90C-95A05EB25862}" destId="{7F7F41CA-918A-455F-B99E-91F9BCA9DAE2}" srcOrd="6" destOrd="0" presId="urn:microsoft.com/office/officeart/2005/8/layout/chevron2"/>
    <dgm:cxn modelId="{C0FEB82D-4C9D-4CE7-8F87-44672C2AB123}" type="presParOf" srcId="{7F7F41CA-918A-455F-B99E-91F9BCA9DAE2}" destId="{47089A73-E4A0-4EE6-9E42-D7D4DB755B44}" srcOrd="0" destOrd="0" presId="urn:microsoft.com/office/officeart/2005/8/layout/chevron2"/>
    <dgm:cxn modelId="{5BA4EB34-17F5-432B-A5CB-6E8B5A90B867}" type="presParOf" srcId="{7F7F41CA-918A-455F-B99E-91F9BCA9DAE2}" destId="{E281FA9F-998A-41F8-BAC9-CA0AEC67690F}" srcOrd="1" destOrd="0" presId="urn:microsoft.com/office/officeart/2005/8/layout/chevron2"/>
    <dgm:cxn modelId="{DCDD79B8-6F05-421A-8520-E1B24A4E64B2}" type="presParOf" srcId="{D9574419-CCFF-412F-A90C-95A05EB25862}" destId="{59560E75-F965-40EB-8848-C7DE868F97ED}" srcOrd="7" destOrd="0" presId="urn:microsoft.com/office/officeart/2005/8/layout/chevron2"/>
    <dgm:cxn modelId="{F0024243-1CD9-44C1-BAAD-F04FD8860A0C}" type="presParOf" srcId="{D9574419-CCFF-412F-A90C-95A05EB25862}" destId="{0E6B76FB-A438-43BC-A18C-6DC70FFFEB81}" srcOrd="8" destOrd="0" presId="urn:microsoft.com/office/officeart/2005/8/layout/chevron2"/>
    <dgm:cxn modelId="{B48D2A31-1CD5-4048-AF6A-99998C035A57}" type="presParOf" srcId="{0E6B76FB-A438-43BC-A18C-6DC70FFFEB81}" destId="{39C6DB8F-0D02-447B-92C4-16AAB57E6B64}" srcOrd="0" destOrd="0" presId="urn:microsoft.com/office/officeart/2005/8/layout/chevron2"/>
    <dgm:cxn modelId="{5F389460-F38C-4E73-8334-C43B8E41D7E6}" type="presParOf" srcId="{0E6B76FB-A438-43BC-A18C-6DC70FFFEB81}" destId="{E69BFC4B-9132-4861-B268-5F3F7D3455D7}" srcOrd="1" destOrd="0" presId="urn:microsoft.com/office/officeart/2005/8/layout/chevron2"/>
    <dgm:cxn modelId="{F64F0E0C-5D74-4CD4-B874-A8311BDBB6EF}" type="presParOf" srcId="{D9574419-CCFF-412F-A90C-95A05EB25862}" destId="{BAA62E27-6C03-4266-851F-9A6DFAA1C16D}" srcOrd="9" destOrd="0" presId="urn:microsoft.com/office/officeart/2005/8/layout/chevron2"/>
    <dgm:cxn modelId="{B07E57F1-5FB1-4BB9-BD84-037D0D93265A}" type="presParOf" srcId="{D9574419-CCFF-412F-A90C-95A05EB25862}" destId="{86F607FF-6716-4C10-8D6A-BF4568A9EF31}" srcOrd="10" destOrd="0" presId="urn:microsoft.com/office/officeart/2005/8/layout/chevron2"/>
    <dgm:cxn modelId="{0DC35391-5AB5-4C00-AFA5-9B72E5445C37}" type="presParOf" srcId="{86F607FF-6716-4C10-8D6A-BF4568A9EF31}" destId="{044B1275-D315-4090-97B8-B8A388A0E36F}" srcOrd="0" destOrd="0" presId="urn:microsoft.com/office/officeart/2005/8/layout/chevron2"/>
    <dgm:cxn modelId="{75C20DAB-CF43-41AC-B659-6B9E2BA20C30}" type="presParOf" srcId="{86F607FF-6716-4C10-8D6A-BF4568A9EF31}" destId="{BFB20BF2-D77F-40F5-9A22-5888FD06EED3}" srcOrd="1" destOrd="0" presId="urn:microsoft.com/office/officeart/2005/8/layout/chevron2"/>
    <dgm:cxn modelId="{651F9F64-489D-42F1-98CF-AD57A384BC7A}" type="presParOf" srcId="{D9574419-CCFF-412F-A90C-95A05EB25862}" destId="{749BDF95-23AF-4ED1-A8D2-0A127606BAA4}" srcOrd="11" destOrd="0" presId="urn:microsoft.com/office/officeart/2005/8/layout/chevron2"/>
    <dgm:cxn modelId="{19C5DFCA-C6FA-465C-87F2-5B0CF0BCFC31}" type="presParOf" srcId="{D9574419-CCFF-412F-A90C-95A05EB25862}" destId="{5AA2671B-69DA-49B0-A6BC-E94A211FD081}" srcOrd="12" destOrd="0" presId="urn:microsoft.com/office/officeart/2005/8/layout/chevron2"/>
    <dgm:cxn modelId="{5CD707DF-1CBE-42A9-B9C7-9FED6DE4EB20}" type="presParOf" srcId="{5AA2671B-69DA-49B0-A6BC-E94A211FD081}" destId="{A11B51A6-688B-4C32-A5B0-7F09341ACAF9}" srcOrd="0" destOrd="0" presId="urn:microsoft.com/office/officeart/2005/8/layout/chevron2"/>
    <dgm:cxn modelId="{79C3B792-7095-483C-9BF5-9021FE6D7932}" type="presParOf" srcId="{5AA2671B-69DA-49B0-A6BC-E94A211FD081}" destId="{5E66BF46-15B7-4AF0-A9C3-94D984C0CC63}" srcOrd="1" destOrd="0" presId="urn:microsoft.com/office/officeart/2005/8/layout/chevron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2A294D-3629-4E6A-BFA2-0CCC2F1E1C37}">
      <dsp:nvSpPr>
        <dsp:cNvPr id="0" name=""/>
        <dsp:cNvSpPr/>
      </dsp:nvSpPr>
      <dsp:spPr>
        <a:xfrm>
          <a:off x="2194083" y="1036796"/>
          <a:ext cx="888682" cy="888682"/>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3180" tIns="43180" rIns="43180" bIns="43180" numCol="1" spcCol="1270" anchor="ctr" anchorCtr="0">
          <a:noAutofit/>
        </a:bodyPr>
        <a:lstStyle/>
        <a:p>
          <a:pPr lvl="0" algn="ctr" defTabSz="755650">
            <a:lnSpc>
              <a:spcPct val="90000"/>
            </a:lnSpc>
            <a:spcBef>
              <a:spcPct val="0"/>
            </a:spcBef>
            <a:spcAft>
              <a:spcPct val="35000"/>
            </a:spcAft>
          </a:pPr>
          <a:r>
            <a:rPr lang="lt-LT" sz="1700" kern="1200"/>
            <a:t>Lizingas</a:t>
          </a:r>
        </a:p>
      </dsp:txBody>
      <dsp:txXfrm>
        <a:off x="2237465" y="1080178"/>
        <a:ext cx="801918" cy="801918"/>
      </dsp:txXfrm>
    </dsp:sp>
    <dsp:sp modelId="{60BF582D-A78C-4925-917E-002490DFD207}">
      <dsp:nvSpPr>
        <dsp:cNvPr id="0" name=""/>
        <dsp:cNvSpPr/>
      </dsp:nvSpPr>
      <dsp:spPr>
        <a:xfrm rot="16200000">
          <a:off x="2396252" y="794623"/>
          <a:ext cx="484345" cy="0"/>
        </a:xfrm>
        <a:custGeom>
          <a:avLst/>
          <a:gdLst/>
          <a:ahLst/>
          <a:cxnLst/>
          <a:rect l="0" t="0" r="0" b="0"/>
          <a:pathLst>
            <a:path>
              <a:moveTo>
                <a:pt x="0" y="0"/>
              </a:moveTo>
              <a:lnTo>
                <a:pt x="484345" y="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21410A9E-F8C7-459E-AB11-330BDF65305C}">
      <dsp:nvSpPr>
        <dsp:cNvPr id="0" name=""/>
        <dsp:cNvSpPr/>
      </dsp:nvSpPr>
      <dsp:spPr>
        <a:xfrm>
          <a:off x="2009774" y="43475"/>
          <a:ext cx="1257300" cy="508974"/>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lt-LT" sz="1200" kern="1200"/>
            <a:t>Finansinis</a:t>
          </a:r>
        </a:p>
      </dsp:txBody>
      <dsp:txXfrm>
        <a:off x="2034620" y="68321"/>
        <a:ext cx="1207608" cy="459282"/>
      </dsp:txXfrm>
    </dsp:sp>
    <dsp:sp modelId="{11DD46E4-FC11-4AE9-B832-4565D20593AD}">
      <dsp:nvSpPr>
        <dsp:cNvPr id="0" name=""/>
        <dsp:cNvSpPr/>
      </dsp:nvSpPr>
      <dsp:spPr>
        <a:xfrm rot="12600000">
          <a:off x="1934146" y="1154946"/>
          <a:ext cx="278600" cy="0"/>
        </a:xfrm>
        <a:custGeom>
          <a:avLst/>
          <a:gdLst/>
          <a:ahLst/>
          <a:cxnLst/>
          <a:rect l="0" t="0" r="0" b="0"/>
          <a:pathLst>
            <a:path>
              <a:moveTo>
                <a:pt x="0" y="0"/>
              </a:moveTo>
              <a:lnTo>
                <a:pt x="278600" y="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BEF4E3AE-CE6F-4CDE-8CE0-403A4CEEBD66}">
      <dsp:nvSpPr>
        <dsp:cNvPr id="0" name=""/>
        <dsp:cNvSpPr/>
      </dsp:nvSpPr>
      <dsp:spPr>
        <a:xfrm>
          <a:off x="1137685" y="693803"/>
          <a:ext cx="952161" cy="391492"/>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lt-LT" sz="1200" kern="1200"/>
            <a:t>Tiesioginis</a:t>
          </a:r>
        </a:p>
      </dsp:txBody>
      <dsp:txXfrm>
        <a:off x="1156796" y="712914"/>
        <a:ext cx="913939" cy="353270"/>
      </dsp:txXfrm>
    </dsp:sp>
    <dsp:sp modelId="{87BB7D51-0DE2-42A7-87A8-7B0726525CAF}">
      <dsp:nvSpPr>
        <dsp:cNvPr id="0" name=""/>
        <dsp:cNvSpPr/>
      </dsp:nvSpPr>
      <dsp:spPr>
        <a:xfrm rot="9000000">
          <a:off x="1934146" y="1807328"/>
          <a:ext cx="278600" cy="0"/>
        </a:xfrm>
        <a:custGeom>
          <a:avLst/>
          <a:gdLst/>
          <a:ahLst/>
          <a:cxnLst/>
          <a:rect l="0" t="0" r="0" b="0"/>
          <a:pathLst>
            <a:path>
              <a:moveTo>
                <a:pt x="0" y="0"/>
              </a:moveTo>
              <a:lnTo>
                <a:pt x="278600" y="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7453D792-B015-46FF-853D-D771A57F44E5}">
      <dsp:nvSpPr>
        <dsp:cNvPr id="0" name=""/>
        <dsp:cNvSpPr/>
      </dsp:nvSpPr>
      <dsp:spPr>
        <a:xfrm>
          <a:off x="1137685" y="1876978"/>
          <a:ext cx="952161" cy="391492"/>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lt-LT" sz="1200" kern="1200"/>
            <a:t>Tarptautinis</a:t>
          </a:r>
        </a:p>
      </dsp:txBody>
      <dsp:txXfrm>
        <a:off x="1156796" y="1896089"/>
        <a:ext cx="913939" cy="353270"/>
      </dsp:txXfrm>
    </dsp:sp>
    <dsp:sp modelId="{47BD84D3-EF3C-429A-A0FC-082C1614A333}">
      <dsp:nvSpPr>
        <dsp:cNvPr id="0" name=""/>
        <dsp:cNvSpPr/>
      </dsp:nvSpPr>
      <dsp:spPr>
        <a:xfrm rot="5400000">
          <a:off x="2396252" y="2167651"/>
          <a:ext cx="484345" cy="0"/>
        </a:xfrm>
        <a:custGeom>
          <a:avLst/>
          <a:gdLst/>
          <a:ahLst/>
          <a:cxnLst/>
          <a:rect l="0" t="0" r="0" b="0"/>
          <a:pathLst>
            <a:path>
              <a:moveTo>
                <a:pt x="0" y="0"/>
              </a:moveTo>
              <a:lnTo>
                <a:pt x="484345" y="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20556D48-08E6-48EC-9603-508AF0499CEA}">
      <dsp:nvSpPr>
        <dsp:cNvPr id="0" name=""/>
        <dsp:cNvSpPr/>
      </dsp:nvSpPr>
      <dsp:spPr>
        <a:xfrm>
          <a:off x="2009774" y="2409824"/>
          <a:ext cx="1257300" cy="508974"/>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lt-LT" sz="1200" kern="1200"/>
            <a:t>Veiklos (operatyvinis)</a:t>
          </a:r>
        </a:p>
      </dsp:txBody>
      <dsp:txXfrm>
        <a:off x="2034620" y="2434670"/>
        <a:ext cx="1207608" cy="459282"/>
      </dsp:txXfrm>
    </dsp:sp>
    <dsp:sp modelId="{59BEF40E-70E1-4E4D-AD0E-EEAF5C0DA9AE}">
      <dsp:nvSpPr>
        <dsp:cNvPr id="0" name=""/>
        <dsp:cNvSpPr/>
      </dsp:nvSpPr>
      <dsp:spPr>
        <a:xfrm rot="1800000">
          <a:off x="3064103" y="1807328"/>
          <a:ext cx="278600" cy="0"/>
        </a:xfrm>
        <a:custGeom>
          <a:avLst/>
          <a:gdLst/>
          <a:ahLst/>
          <a:cxnLst/>
          <a:rect l="0" t="0" r="0" b="0"/>
          <a:pathLst>
            <a:path>
              <a:moveTo>
                <a:pt x="0" y="0"/>
              </a:moveTo>
              <a:lnTo>
                <a:pt x="278600" y="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0890EA4B-192E-43F5-93E9-FA4200FB7F5A}">
      <dsp:nvSpPr>
        <dsp:cNvPr id="0" name=""/>
        <dsp:cNvSpPr/>
      </dsp:nvSpPr>
      <dsp:spPr>
        <a:xfrm>
          <a:off x="3187003" y="1876978"/>
          <a:ext cx="952161" cy="391492"/>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lt-LT" sz="1200" kern="1200"/>
            <a:t>Grįžtamasis</a:t>
          </a:r>
        </a:p>
      </dsp:txBody>
      <dsp:txXfrm>
        <a:off x="3206114" y="1896089"/>
        <a:ext cx="913939" cy="353270"/>
      </dsp:txXfrm>
    </dsp:sp>
    <dsp:sp modelId="{7163AD15-459B-4936-B04A-D78F427169F4}">
      <dsp:nvSpPr>
        <dsp:cNvPr id="0" name=""/>
        <dsp:cNvSpPr/>
      </dsp:nvSpPr>
      <dsp:spPr>
        <a:xfrm rot="19800000">
          <a:off x="3064103" y="1154946"/>
          <a:ext cx="278600" cy="0"/>
        </a:xfrm>
        <a:custGeom>
          <a:avLst/>
          <a:gdLst/>
          <a:ahLst/>
          <a:cxnLst/>
          <a:rect l="0" t="0" r="0" b="0"/>
          <a:pathLst>
            <a:path>
              <a:moveTo>
                <a:pt x="0" y="0"/>
              </a:moveTo>
              <a:lnTo>
                <a:pt x="278600" y="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5EBD6DFF-4801-44FF-A9B2-690A53FE53D2}">
      <dsp:nvSpPr>
        <dsp:cNvPr id="0" name=""/>
        <dsp:cNvSpPr/>
      </dsp:nvSpPr>
      <dsp:spPr>
        <a:xfrm>
          <a:off x="3187003" y="693803"/>
          <a:ext cx="952161" cy="391492"/>
        </a:xfrm>
        <a:prstGeom prst="round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lt-LT" sz="1200" kern="1200"/>
            <a:t>Su skolintu kapitalu</a:t>
          </a:r>
        </a:p>
      </dsp:txBody>
      <dsp:txXfrm>
        <a:off x="3206114" y="712914"/>
        <a:ext cx="913939" cy="3532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5FA6AF-69F7-4FD4-BE27-743B3D69471E}">
      <dsp:nvSpPr>
        <dsp:cNvPr id="0" name=""/>
        <dsp:cNvSpPr/>
      </dsp:nvSpPr>
      <dsp:spPr>
        <a:xfrm>
          <a:off x="1659201" y="292977"/>
          <a:ext cx="227756" cy="91440"/>
        </a:xfrm>
        <a:custGeom>
          <a:avLst/>
          <a:gdLst/>
          <a:ahLst/>
          <a:cxnLst/>
          <a:rect l="0" t="0" r="0" b="0"/>
          <a:pathLst>
            <a:path>
              <a:moveTo>
                <a:pt x="0" y="45720"/>
              </a:moveTo>
              <a:lnTo>
                <a:pt x="227756" y="45720"/>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1766620" y="337404"/>
        <a:ext cx="12917" cy="2586"/>
      </dsp:txXfrm>
    </dsp:sp>
    <dsp:sp modelId="{96A4CBBA-2AA6-4B6B-8EB6-A63E4DAEAC03}">
      <dsp:nvSpPr>
        <dsp:cNvPr id="0" name=""/>
        <dsp:cNvSpPr/>
      </dsp:nvSpPr>
      <dsp:spPr>
        <a:xfrm>
          <a:off x="537711" y="171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Lizingo gavėjas išsirenka turtą</a:t>
          </a:r>
        </a:p>
      </dsp:txBody>
      <dsp:txXfrm>
        <a:off x="537711" y="1710"/>
        <a:ext cx="1123289" cy="673973"/>
      </dsp:txXfrm>
    </dsp:sp>
    <dsp:sp modelId="{634D9567-02AE-4242-BCEC-FC8E95B42C17}">
      <dsp:nvSpPr>
        <dsp:cNvPr id="0" name=""/>
        <dsp:cNvSpPr/>
      </dsp:nvSpPr>
      <dsp:spPr>
        <a:xfrm>
          <a:off x="3040846" y="292977"/>
          <a:ext cx="227756" cy="91440"/>
        </a:xfrm>
        <a:custGeom>
          <a:avLst/>
          <a:gdLst/>
          <a:ahLst/>
          <a:cxnLst/>
          <a:rect l="0" t="0" r="0" b="0"/>
          <a:pathLst>
            <a:path>
              <a:moveTo>
                <a:pt x="0" y="45720"/>
              </a:moveTo>
              <a:lnTo>
                <a:pt x="227756" y="45720"/>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3148266" y="337404"/>
        <a:ext cx="12917" cy="2586"/>
      </dsp:txXfrm>
    </dsp:sp>
    <dsp:sp modelId="{052492A5-8D55-4222-9F6B-16EF642701E2}">
      <dsp:nvSpPr>
        <dsp:cNvPr id="0" name=""/>
        <dsp:cNvSpPr/>
      </dsp:nvSpPr>
      <dsp:spPr>
        <a:xfrm>
          <a:off x="1919357" y="171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Kreipiamasi į lizingo bendrovę</a:t>
          </a:r>
        </a:p>
      </dsp:txBody>
      <dsp:txXfrm>
        <a:off x="1919357" y="1710"/>
        <a:ext cx="1123289" cy="673973"/>
      </dsp:txXfrm>
    </dsp:sp>
    <dsp:sp modelId="{8EB8934C-2EDA-4108-AABD-3ACA6BBC21D8}">
      <dsp:nvSpPr>
        <dsp:cNvPr id="0" name=""/>
        <dsp:cNvSpPr/>
      </dsp:nvSpPr>
      <dsp:spPr>
        <a:xfrm>
          <a:off x="4422492" y="292977"/>
          <a:ext cx="227756" cy="91440"/>
        </a:xfrm>
        <a:custGeom>
          <a:avLst/>
          <a:gdLst/>
          <a:ahLst/>
          <a:cxnLst/>
          <a:rect l="0" t="0" r="0" b="0"/>
          <a:pathLst>
            <a:path>
              <a:moveTo>
                <a:pt x="0" y="45720"/>
              </a:moveTo>
              <a:lnTo>
                <a:pt x="227756" y="45720"/>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4529911" y="337404"/>
        <a:ext cx="12917" cy="2586"/>
      </dsp:txXfrm>
    </dsp:sp>
    <dsp:sp modelId="{7BB6A10F-F93F-496A-9153-BD7AEEA6144D}">
      <dsp:nvSpPr>
        <dsp:cNvPr id="0" name=""/>
        <dsp:cNvSpPr/>
      </dsp:nvSpPr>
      <dsp:spPr>
        <a:xfrm>
          <a:off x="3301003" y="171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Priimamas sprendimas</a:t>
          </a:r>
        </a:p>
      </dsp:txBody>
      <dsp:txXfrm>
        <a:off x="3301003" y="1710"/>
        <a:ext cx="1123289" cy="673973"/>
      </dsp:txXfrm>
    </dsp:sp>
    <dsp:sp modelId="{4BF954F9-2E4E-47AC-9FFF-731E0528A9AE}">
      <dsp:nvSpPr>
        <dsp:cNvPr id="0" name=""/>
        <dsp:cNvSpPr/>
      </dsp:nvSpPr>
      <dsp:spPr>
        <a:xfrm>
          <a:off x="1099356" y="673884"/>
          <a:ext cx="4144936" cy="227756"/>
        </a:xfrm>
        <a:custGeom>
          <a:avLst/>
          <a:gdLst/>
          <a:ahLst/>
          <a:cxnLst/>
          <a:rect l="0" t="0" r="0" b="0"/>
          <a:pathLst>
            <a:path>
              <a:moveTo>
                <a:pt x="4144936" y="0"/>
              </a:moveTo>
              <a:lnTo>
                <a:pt x="4144936" y="130978"/>
              </a:lnTo>
              <a:lnTo>
                <a:pt x="0" y="130978"/>
              </a:lnTo>
              <a:lnTo>
                <a:pt x="0" y="227756"/>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3068000" y="786469"/>
        <a:ext cx="207649" cy="2586"/>
      </dsp:txXfrm>
    </dsp:sp>
    <dsp:sp modelId="{E402D26E-73F5-47A7-9F7A-98470E95BCB4}">
      <dsp:nvSpPr>
        <dsp:cNvPr id="0" name=""/>
        <dsp:cNvSpPr/>
      </dsp:nvSpPr>
      <dsp:spPr>
        <a:xfrm>
          <a:off x="4682648" y="171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Sumokamas avansas, administracinis mokestis</a:t>
          </a:r>
        </a:p>
      </dsp:txBody>
      <dsp:txXfrm>
        <a:off x="4682648" y="1710"/>
        <a:ext cx="1123289" cy="673973"/>
      </dsp:txXfrm>
    </dsp:sp>
    <dsp:sp modelId="{BA98AC05-21C7-4460-8F34-06E8B75E195D}">
      <dsp:nvSpPr>
        <dsp:cNvPr id="0" name=""/>
        <dsp:cNvSpPr/>
      </dsp:nvSpPr>
      <dsp:spPr>
        <a:xfrm>
          <a:off x="1659201" y="1225307"/>
          <a:ext cx="227756" cy="91440"/>
        </a:xfrm>
        <a:custGeom>
          <a:avLst/>
          <a:gdLst/>
          <a:ahLst/>
          <a:cxnLst/>
          <a:rect l="0" t="0" r="0" b="0"/>
          <a:pathLst>
            <a:path>
              <a:moveTo>
                <a:pt x="0" y="45720"/>
              </a:moveTo>
              <a:lnTo>
                <a:pt x="227756" y="45720"/>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1766620" y="1269734"/>
        <a:ext cx="12917" cy="2586"/>
      </dsp:txXfrm>
    </dsp:sp>
    <dsp:sp modelId="{4F38B33C-7ABD-4521-BCF7-1D9391BA33A5}">
      <dsp:nvSpPr>
        <dsp:cNvPr id="0" name=""/>
        <dsp:cNvSpPr/>
      </dsp:nvSpPr>
      <dsp:spPr>
        <a:xfrm>
          <a:off x="537711" y="93404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Pasirašoma sutartis</a:t>
          </a:r>
        </a:p>
      </dsp:txBody>
      <dsp:txXfrm>
        <a:off x="537711" y="934040"/>
        <a:ext cx="1123289" cy="673973"/>
      </dsp:txXfrm>
    </dsp:sp>
    <dsp:sp modelId="{EFB6F415-B503-411F-9C1F-D17AE48B9861}">
      <dsp:nvSpPr>
        <dsp:cNvPr id="0" name=""/>
        <dsp:cNvSpPr/>
      </dsp:nvSpPr>
      <dsp:spPr>
        <a:xfrm>
          <a:off x="3040846" y="1225307"/>
          <a:ext cx="227756" cy="91440"/>
        </a:xfrm>
        <a:custGeom>
          <a:avLst/>
          <a:gdLst/>
          <a:ahLst/>
          <a:cxnLst/>
          <a:rect l="0" t="0" r="0" b="0"/>
          <a:pathLst>
            <a:path>
              <a:moveTo>
                <a:pt x="0" y="45720"/>
              </a:moveTo>
              <a:lnTo>
                <a:pt x="227756" y="45720"/>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3148266" y="1269734"/>
        <a:ext cx="12917" cy="2586"/>
      </dsp:txXfrm>
    </dsp:sp>
    <dsp:sp modelId="{5E3E857D-B4A9-4B1C-86A4-5ACC0D7FDC61}">
      <dsp:nvSpPr>
        <dsp:cNvPr id="0" name=""/>
        <dsp:cNvSpPr/>
      </dsp:nvSpPr>
      <dsp:spPr>
        <a:xfrm>
          <a:off x="1919357" y="93404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Pasirašoma draudimo sutartis</a:t>
          </a:r>
        </a:p>
      </dsp:txBody>
      <dsp:txXfrm>
        <a:off x="1919357" y="934040"/>
        <a:ext cx="1123289" cy="673973"/>
      </dsp:txXfrm>
    </dsp:sp>
    <dsp:sp modelId="{02DB0379-8D68-4361-B33A-D83017FB7EA0}">
      <dsp:nvSpPr>
        <dsp:cNvPr id="0" name=""/>
        <dsp:cNvSpPr/>
      </dsp:nvSpPr>
      <dsp:spPr>
        <a:xfrm>
          <a:off x="4422492" y="1225307"/>
          <a:ext cx="227756" cy="91440"/>
        </a:xfrm>
        <a:custGeom>
          <a:avLst/>
          <a:gdLst/>
          <a:ahLst/>
          <a:cxnLst/>
          <a:rect l="0" t="0" r="0" b="0"/>
          <a:pathLst>
            <a:path>
              <a:moveTo>
                <a:pt x="0" y="45720"/>
              </a:moveTo>
              <a:lnTo>
                <a:pt x="227756" y="45720"/>
              </a:lnTo>
            </a:path>
          </a:pathLst>
        </a:custGeom>
        <a:noFill/>
        <a:ln w="9525" cap="flat" cmpd="sng" algn="ctr">
          <a:solidFill>
            <a:schemeClr val="accent1">
              <a:hueOff val="0"/>
              <a:satOff val="0"/>
              <a:lumOff val="0"/>
              <a:alphaOff val="0"/>
            </a:schemeClr>
          </a:solidFill>
          <a:prstDash val="solid"/>
          <a:tailEnd type="arrow"/>
        </a:ln>
        <a:effectLst/>
        <a:scene3d>
          <a:camera prst="orthographicFront"/>
          <a:lightRig rig="chilly" dir="t"/>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lt-LT" sz="1200" kern="1200"/>
        </a:p>
      </dsp:txBody>
      <dsp:txXfrm>
        <a:off x="4529911" y="1269734"/>
        <a:ext cx="12917" cy="2586"/>
      </dsp:txXfrm>
    </dsp:sp>
    <dsp:sp modelId="{41A9368B-DF1A-4F88-88F9-09230F896E73}">
      <dsp:nvSpPr>
        <dsp:cNvPr id="0" name=""/>
        <dsp:cNvSpPr/>
      </dsp:nvSpPr>
      <dsp:spPr>
        <a:xfrm>
          <a:off x="3301003" y="93404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Perduodamas turtas</a:t>
          </a:r>
        </a:p>
      </dsp:txBody>
      <dsp:txXfrm>
        <a:off x="3301003" y="934040"/>
        <a:ext cx="1123289" cy="673973"/>
      </dsp:txXfrm>
    </dsp:sp>
    <dsp:sp modelId="{57C562D0-702C-4376-8921-64B56F6A5006}">
      <dsp:nvSpPr>
        <dsp:cNvPr id="0" name=""/>
        <dsp:cNvSpPr/>
      </dsp:nvSpPr>
      <dsp:spPr>
        <a:xfrm>
          <a:off x="4682648" y="934040"/>
          <a:ext cx="1123289" cy="673973"/>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lt-LT" sz="1200" kern="1200"/>
            <a:t>Mokamos įmokos</a:t>
          </a:r>
        </a:p>
      </dsp:txBody>
      <dsp:txXfrm>
        <a:off x="4682648" y="934040"/>
        <a:ext cx="1123289" cy="67397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9E4B69-7F1B-40E7-82F8-6FBBD26791A9}">
      <dsp:nvSpPr>
        <dsp:cNvPr id="0" name=""/>
        <dsp:cNvSpPr/>
      </dsp:nvSpPr>
      <dsp:spPr>
        <a:xfrm rot="5400000">
          <a:off x="-60272" y="61589"/>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1</a:t>
          </a:r>
        </a:p>
      </dsp:txBody>
      <dsp:txXfrm rot="-5400000">
        <a:off x="1" y="141951"/>
        <a:ext cx="281270" cy="120545"/>
      </dsp:txXfrm>
    </dsp:sp>
    <dsp:sp modelId="{AB0AAE8C-7052-46EB-A39F-4DCE6AEAAB41}">
      <dsp:nvSpPr>
        <dsp:cNvPr id="0" name=""/>
        <dsp:cNvSpPr/>
      </dsp:nvSpPr>
      <dsp:spPr>
        <a:xfrm rot="5400000">
          <a:off x="2910339" y="-2627751"/>
          <a:ext cx="261317"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Sudaromas ekspertinio tyrimo planas</a:t>
          </a:r>
        </a:p>
      </dsp:txBody>
      <dsp:txXfrm rot="-5400000">
        <a:off x="281271" y="14073"/>
        <a:ext cx="5506698" cy="235805"/>
      </dsp:txXfrm>
    </dsp:sp>
    <dsp:sp modelId="{36319549-09E8-4238-8651-693F4B44FB9A}">
      <dsp:nvSpPr>
        <dsp:cNvPr id="0" name=""/>
        <dsp:cNvSpPr/>
      </dsp:nvSpPr>
      <dsp:spPr>
        <a:xfrm rot="5400000">
          <a:off x="-60272" y="367243"/>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2</a:t>
          </a:r>
        </a:p>
      </dsp:txBody>
      <dsp:txXfrm rot="-5400000">
        <a:off x="1" y="447605"/>
        <a:ext cx="281270" cy="120545"/>
      </dsp:txXfrm>
    </dsp:sp>
    <dsp:sp modelId="{9D82A150-A8FF-4CB5-8FD1-FB1B5841FB34}">
      <dsp:nvSpPr>
        <dsp:cNvPr id="0" name=""/>
        <dsp:cNvSpPr/>
      </dsp:nvSpPr>
      <dsp:spPr>
        <a:xfrm rot="5400000">
          <a:off x="2910407" y="-2322165"/>
          <a:ext cx="261179"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Pasirenkamas apklausos  metodas ir parengiami būtini dokumentai</a:t>
          </a:r>
        </a:p>
      </dsp:txBody>
      <dsp:txXfrm rot="-5400000">
        <a:off x="281270" y="319722"/>
        <a:ext cx="5506704" cy="235679"/>
      </dsp:txXfrm>
    </dsp:sp>
    <dsp:sp modelId="{11F466C1-5335-453B-B8FB-4C52BBE15558}">
      <dsp:nvSpPr>
        <dsp:cNvPr id="0" name=""/>
        <dsp:cNvSpPr/>
      </dsp:nvSpPr>
      <dsp:spPr>
        <a:xfrm rot="5400000">
          <a:off x="-60272" y="672897"/>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3</a:t>
          </a:r>
        </a:p>
      </dsp:txBody>
      <dsp:txXfrm rot="-5400000">
        <a:off x="1" y="753259"/>
        <a:ext cx="281270" cy="120545"/>
      </dsp:txXfrm>
    </dsp:sp>
    <dsp:sp modelId="{C01700D6-69B0-4EE6-BA9F-CC3DD9D6DD1E}">
      <dsp:nvSpPr>
        <dsp:cNvPr id="0" name=""/>
        <dsp:cNvSpPr/>
      </dsp:nvSpPr>
      <dsp:spPr>
        <a:xfrm rot="5400000">
          <a:off x="2910407" y="-2016511"/>
          <a:ext cx="261179"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Atrenkami ekspertai</a:t>
          </a:r>
        </a:p>
      </dsp:txBody>
      <dsp:txXfrm rot="-5400000">
        <a:off x="281270" y="625376"/>
        <a:ext cx="5506704" cy="235679"/>
      </dsp:txXfrm>
    </dsp:sp>
    <dsp:sp modelId="{47089A73-E4A0-4EE6-9E42-D7D4DB755B44}">
      <dsp:nvSpPr>
        <dsp:cNvPr id="0" name=""/>
        <dsp:cNvSpPr/>
      </dsp:nvSpPr>
      <dsp:spPr>
        <a:xfrm rot="5400000">
          <a:off x="-60272" y="978552"/>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4</a:t>
          </a:r>
        </a:p>
      </dsp:txBody>
      <dsp:txXfrm rot="-5400000">
        <a:off x="1" y="1058914"/>
        <a:ext cx="281270" cy="120545"/>
      </dsp:txXfrm>
    </dsp:sp>
    <dsp:sp modelId="{E281FA9F-998A-41F8-BAC9-CA0AEC67690F}">
      <dsp:nvSpPr>
        <dsp:cNvPr id="0" name=""/>
        <dsp:cNvSpPr/>
      </dsp:nvSpPr>
      <dsp:spPr>
        <a:xfrm rot="5400000">
          <a:off x="2910407" y="-1710857"/>
          <a:ext cx="261179"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Atliekama ekspertinio vertinimo procedūra</a:t>
          </a:r>
        </a:p>
      </dsp:txBody>
      <dsp:txXfrm rot="-5400000">
        <a:off x="281270" y="931030"/>
        <a:ext cx="5506704" cy="235679"/>
      </dsp:txXfrm>
    </dsp:sp>
    <dsp:sp modelId="{39C6DB8F-0D02-447B-92C4-16AAB57E6B64}">
      <dsp:nvSpPr>
        <dsp:cNvPr id="0" name=""/>
        <dsp:cNvSpPr/>
      </dsp:nvSpPr>
      <dsp:spPr>
        <a:xfrm rot="5400000">
          <a:off x="-60272" y="1284206"/>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5</a:t>
          </a:r>
        </a:p>
      </dsp:txBody>
      <dsp:txXfrm rot="-5400000">
        <a:off x="1" y="1364568"/>
        <a:ext cx="281270" cy="120545"/>
      </dsp:txXfrm>
    </dsp:sp>
    <dsp:sp modelId="{E69BFC4B-9132-4861-B268-5F3F7D3455D7}">
      <dsp:nvSpPr>
        <dsp:cNvPr id="0" name=""/>
        <dsp:cNvSpPr/>
      </dsp:nvSpPr>
      <dsp:spPr>
        <a:xfrm rot="5400000">
          <a:off x="2910407" y="-1405203"/>
          <a:ext cx="261179"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Analizuojami ekspertinio vertinimo duomenys, pašalinamos klaidos ir prieštaravimai</a:t>
          </a:r>
        </a:p>
      </dsp:txBody>
      <dsp:txXfrm rot="-5400000">
        <a:off x="281270" y="1236684"/>
        <a:ext cx="5506704" cy="235679"/>
      </dsp:txXfrm>
    </dsp:sp>
    <dsp:sp modelId="{044B1275-D315-4090-97B8-B8A388A0E36F}">
      <dsp:nvSpPr>
        <dsp:cNvPr id="0" name=""/>
        <dsp:cNvSpPr/>
      </dsp:nvSpPr>
      <dsp:spPr>
        <a:xfrm rot="5400000">
          <a:off x="-60272" y="1589860"/>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6</a:t>
          </a:r>
        </a:p>
      </dsp:txBody>
      <dsp:txXfrm rot="-5400000">
        <a:off x="1" y="1670222"/>
        <a:ext cx="281270" cy="120545"/>
      </dsp:txXfrm>
    </dsp:sp>
    <dsp:sp modelId="{BFB20BF2-D77F-40F5-9A22-5888FD06EED3}">
      <dsp:nvSpPr>
        <dsp:cNvPr id="0" name=""/>
        <dsp:cNvSpPr/>
      </dsp:nvSpPr>
      <dsp:spPr>
        <a:xfrm rot="5400000">
          <a:off x="2910407" y="-1099548"/>
          <a:ext cx="261179"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Rezultatai interpratuojami	</a:t>
          </a:r>
        </a:p>
      </dsp:txBody>
      <dsp:txXfrm rot="-5400000">
        <a:off x="281270" y="1542339"/>
        <a:ext cx="5506704" cy="235679"/>
      </dsp:txXfrm>
    </dsp:sp>
    <dsp:sp modelId="{A11B51A6-688B-4C32-A5B0-7F09341ACAF9}">
      <dsp:nvSpPr>
        <dsp:cNvPr id="0" name=""/>
        <dsp:cNvSpPr/>
      </dsp:nvSpPr>
      <dsp:spPr>
        <a:xfrm rot="5400000">
          <a:off x="-60272" y="1895514"/>
          <a:ext cx="401815" cy="28127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7</a:t>
          </a:r>
        </a:p>
      </dsp:txBody>
      <dsp:txXfrm rot="-5400000">
        <a:off x="1" y="1975876"/>
        <a:ext cx="281270" cy="120545"/>
      </dsp:txXfrm>
    </dsp:sp>
    <dsp:sp modelId="{5E66BF46-15B7-4AF0-A9C3-94D984C0CC63}">
      <dsp:nvSpPr>
        <dsp:cNvPr id="0" name=""/>
        <dsp:cNvSpPr/>
      </dsp:nvSpPr>
      <dsp:spPr>
        <a:xfrm rot="5400000">
          <a:off x="2910407" y="-793894"/>
          <a:ext cx="261179" cy="55194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t>Pateikiami  ekspertinio vertinimo rezultatai ir išvados</a:t>
          </a:r>
        </a:p>
      </dsp:txBody>
      <dsp:txXfrm rot="-5400000">
        <a:off x="281270" y="1847993"/>
        <a:ext cx="5506704" cy="235679"/>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EBF88D-41C5-4A16-BC42-DEE3DCA97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Pages>
  <Words>118713</Words>
  <Characters>67667</Characters>
  <Application>Microsoft Office Word</Application>
  <DocSecurity>0</DocSecurity>
  <Lines>563</Lines>
  <Paragraphs>372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186008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Laimonas</dc:creator>
  <cp:lastModifiedBy>Laimonas</cp:lastModifiedBy>
  <cp:revision>15</cp:revision>
  <cp:lastPrinted>2013-01-13T15:27:00Z</cp:lastPrinted>
  <dcterms:created xsi:type="dcterms:W3CDTF">2012-12-17T09:49:00Z</dcterms:created>
  <dcterms:modified xsi:type="dcterms:W3CDTF">2013-01-13T15:29:00Z</dcterms:modified>
</cp:coreProperties>
</file>