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diagrams/quickStyle1.xml" ContentType="application/vnd.openxmlformats-officedocument.drawingml.diagramStyle+xml"/>
  <Default Extension="bin" ContentType="application/vnd.openxmlformats-officedocument.oleObject"/>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3B9D" w:rsidRPr="00F53B9D" w:rsidRDefault="00FB779B" w:rsidP="00F53B9D">
      <w:pPr>
        <w:spacing w:line="360" w:lineRule="auto"/>
        <w:ind w:firstLine="0"/>
        <w:jc w:val="center"/>
        <w:rPr>
          <w:b/>
          <w:color w:val="000000"/>
          <w:sz w:val="32"/>
          <w:szCs w:val="32"/>
        </w:rPr>
      </w:pPr>
      <w:bookmarkStart w:id="0" w:name="_GoBack"/>
      <w:bookmarkEnd w:id="0"/>
      <w:r>
        <w:rPr>
          <w:b/>
          <w:color w:val="000000"/>
          <w:sz w:val="32"/>
          <w:szCs w:val="32"/>
        </w:rPr>
        <w:t xml:space="preserve"> </w:t>
      </w:r>
      <w:r w:rsidR="00F53B9D" w:rsidRPr="00F53B9D">
        <w:rPr>
          <w:b/>
          <w:color w:val="000000"/>
          <w:sz w:val="32"/>
          <w:szCs w:val="32"/>
        </w:rPr>
        <w:t>MYKOLO ROMERIO UNIVERSITETAS</w:t>
      </w:r>
    </w:p>
    <w:p w:rsidR="00F53B9D" w:rsidRPr="00F53B9D" w:rsidRDefault="00F53B9D" w:rsidP="00F53B9D">
      <w:pPr>
        <w:spacing w:line="360" w:lineRule="auto"/>
        <w:ind w:firstLine="0"/>
        <w:jc w:val="center"/>
        <w:rPr>
          <w:b/>
          <w:color w:val="000000"/>
          <w:sz w:val="28"/>
          <w:szCs w:val="28"/>
        </w:rPr>
      </w:pPr>
      <w:r w:rsidRPr="00F53B9D">
        <w:rPr>
          <w:b/>
          <w:color w:val="000000"/>
          <w:sz w:val="28"/>
          <w:szCs w:val="28"/>
        </w:rPr>
        <w:t>EKONOMIKOS IR FINANSŲ VALDYMO FAKULTETAS</w:t>
      </w:r>
    </w:p>
    <w:p w:rsidR="00F53B9D" w:rsidRPr="00F53B9D" w:rsidRDefault="00F53B9D" w:rsidP="00F53B9D">
      <w:pPr>
        <w:spacing w:line="360" w:lineRule="auto"/>
        <w:ind w:firstLine="0"/>
        <w:jc w:val="center"/>
        <w:rPr>
          <w:b/>
          <w:color w:val="000000"/>
          <w:sz w:val="24"/>
          <w:szCs w:val="24"/>
        </w:rPr>
      </w:pPr>
      <w:r w:rsidRPr="00F53B9D">
        <w:rPr>
          <w:b/>
          <w:color w:val="000000"/>
          <w:sz w:val="24"/>
          <w:szCs w:val="24"/>
        </w:rPr>
        <w:t>FINANSŲ IR MOKESČIŲ KATEDRA</w:t>
      </w:r>
    </w:p>
    <w:p w:rsidR="00F53B9D" w:rsidRPr="00F53B9D" w:rsidRDefault="00F53B9D" w:rsidP="00F53B9D">
      <w:pPr>
        <w:spacing w:line="360" w:lineRule="auto"/>
        <w:ind w:firstLine="0"/>
        <w:jc w:val="center"/>
        <w:rPr>
          <w:b/>
          <w:color w:val="000000"/>
          <w:sz w:val="24"/>
          <w:szCs w:val="24"/>
        </w:rPr>
      </w:pPr>
    </w:p>
    <w:p w:rsidR="00F53B9D" w:rsidRPr="00F53B9D" w:rsidRDefault="00F53B9D" w:rsidP="00F53B9D">
      <w:pPr>
        <w:spacing w:line="360" w:lineRule="auto"/>
        <w:ind w:firstLine="0"/>
        <w:jc w:val="center"/>
        <w:rPr>
          <w:b/>
          <w:color w:val="000000"/>
          <w:sz w:val="28"/>
          <w:szCs w:val="28"/>
        </w:rPr>
      </w:pPr>
    </w:p>
    <w:p w:rsidR="00F53B9D" w:rsidRPr="00F53B9D" w:rsidRDefault="00F53B9D" w:rsidP="00F53B9D">
      <w:pPr>
        <w:spacing w:line="360" w:lineRule="auto"/>
        <w:ind w:firstLine="0"/>
        <w:jc w:val="center"/>
        <w:rPr>
          <w:b/>
          <w:color w:val="000000"/>
          <w:sz w:val="28"/>
          <w:szCs w:val="28"/>
        </w:rPr>
      </w:pPr>
    </w:p>
    <w:p w:rsidR="00F53B9D" w:rsidRPr="00F53B9D" w:rsidRDefault="00F53B9D" w:rsidP="00F53B9D">
      <w:pPr>
        <w:spacing w:line="360" w:lineRule="auto"/>
        <w:ind w:firstLine="0"/>
        <w:jc w:val="center"/>
        <w:rPr>
          <w:b/>
          <w:color w:val="000000"/>
          <w:sz w:val="28"/>
          <w:szCs w:val="28"/>
        </w:rPr>
      </w:pPr>
    </w:p>
    <w:p w:rsidR="00F53B9D" w:rsidRPr="00F53B9D" w:rsidRDefault="00F53B9D" w:rsidP="00F53B9D">
      <w:pPr>
        <w:spacing w:line="360" w:lineRule="auto"/>
        <w:ind w:firstLine="0"/>
        <w:jc w:val="center"/>
        <w:rPr>
          <w:b/>
          <w:color w:val="000000"/>
          <w:sz w:val="28"/>
          <w:szCs w:val="28"/>
        </w:rPr>
      </w:pPr>
    </w:p>
    <w:p w:rsidR="00F53B9D" w:rsidRPr="00F53B9D" w:rsidRDefault="00F53B9D" w:rsidP="00F53B9D">
      <w:pPr>
        <w:spacing w:line="360" w:lineRule="auto"/>
        <w:ind w:firstLine="0"/>
        <w:jc w:val="center"/>
        <w:rPr>
          <w:b/>
          <w:color w:val="000000"/>
          <w:sz w:val="32"/>
          <w:szCs w:val="32"/>
        </w:rPr>
      </w:pPr>
      <w:r w:rsidRPr="00F53B9D">
        <w:rPr>
          <w:b/>
          <w:color w:val="000000"/>
          <w:sz w:val="32"/>
          <w:szCs w:val="32"/>
        </w:rPr>
        <w:t>GIEDRĖ DONĖLAITĖ</w:t>
      </w:r>
    </w:p>
    <w:p w:rsidR="00F53B9D" w:rsidRPr="00F53B9D" w:rsidRDefault="00F53B9D" w:rsidP="00F53B9D">
      <w:pPr>
        <w:spacing w:line="360" w:lineRule="auto"/>
        <w:ind w:firstLine="0"/>
        <w:jc w:val="center"/>
        <w:rPr>
          <w:b/>
          <w:color w:val="000000"/>
          <w:sz w:val="32"/>
          <w:szCs w:val="32"/>
        </w:rPr>
      </w:pPr>
    </w:p>
    <w:p w:rsidR="00F53B9D" w:rsidRPr="00F53B9D" w:rsidRDefault="00F53B9D" w:rsidP="00F53B9D">
      <w:pPr>
        <w:spacing w:line="360" w:lineRule="auto"/>
        <w:ind w:firstLine="0"/>
        <w:jc w:val="center"/>
        <w:rPr>
          <w:b/>
          <w:color w:val="000000"/>
          <w:sz w:val="32"/>
          <w:szCs w:val="32"/>
        </w:rPr>
      </w:pPr>
    </w:p>
    <w:p w:rsidR="00F53B9D" w:rsidRPr="00F53B9D" w:rsidRDefault="00F53B9D" w:rsidP="00F53B9D">
      <w:pPr>
        <w:spacing w:line="360" w:lineRule="auto"/>
        <w:ind w:firstLine="0"/>
        <w:jc w:val="center"/>
        <w:rPr>
          <w:b/>
          <w:color w:val="000000"/>
          <w:sz w:val="40"/>
          <w:szCs w:val="40"/>
        </w:rPr>
      </w:pPr>
      <w:r w:rsidRPr="00F53B9D">
        <w:rPr>
          <w:b/>
          <w:color w:val="000000"/>
          <w:sz w:val="40"/>
          <w:szCs w:val="40"/>
        </w:rPr>
        <w:t>VALSTYBĖS SKOLA IR JOS VALDYMAS: BALTIJOS ŠALIŲ LYGINAMOJI ANALIZĖ</w:t>
      </w:r>
    </w:p>
    <w:p w:rsidR="00F53B9D" w:rsidRPr="00F53B9D" w:rsidRDefault="00F53B9D" w:rsidP="00F53B9D">
      <w:pPr>
        <w:spacing w:line="360" w:lineRule="auto"/>
        <w:ind w:firstLine="0"/>
        <w:jc w:val="center"/>
        <w:rPr>
          <w:b/>
          <w:color w:val="000000"/>
          <w:sz w:val="28"/>
          <w:szCs w:val="28"/>
        </w:rPr>
      </w:pPr>
      <w:r w:rsidRPr="00F53B9D">
        <w:rPr>
          <w:b/>
          <w:color w:val="000000"/>
          <w:sz w:val="28"/>
          <w:szCs w:val="28"/>
        </w:rPr>
        <w:t>Magistro baigiamasis darbas</w:t>
      </w:r>
    </w:p>
    <w:p w:rsidR="00F53B9D" w:rsidRPr="00F53B9D" w:rsidRDefault="00F53B9D" w:rsidP="00F53B9D">
      <w:pPr>
        <w:spacing w:line="360" w:lineRule="auto"/>
        <w:ind w:firstLine="0"/>
        <w:jc w:val="center"/>
        <w:rPr>
          <w:b/>
          <w:color w:val="000000"/>
          <w:sz w:val="28"/>
          <w:szCs w:val="28"/>
        </w:rPr>
      </w:pPr>
    </w:p>
    <w:p w:rsidR="00F53B9D" w:rsidRPr="00F53B9D" w:rsidRDefault="00F53B9D" w:rsidP="00F53B9D">
      <w:pPr>
        <w:spacing w:line="360" w:lineRule="auto"/>
        <w:ind w:firstLine="0"/>
        <w:jc w:val="center"/>
        <w:rPr>
          <w:b/>
          <w:color w:val="000000"/>
          <w:sz w:val="28"/>
          <w:szCs w:val="28"/>
        </w:rPr>
      </w:pPr>
    </w:p>
    <w:p w:rsidR="00F53B9D" w:rsidRPr="00F53B9D" w:rsidRDefault="00F53B9D" w:rsidP="00F53B9D">
      <w:pPr>
        <w:spacing w:line="360" w:lineRule="auto"/>
        <w:ind w:firstLine="0"/>
        <w:jc w:val="center"/>
        <w:rPr>
          <w:b/>
          <w:color w:val="000000"/>
          <w:sz w:val="28"/>
          <w:szCs w:val="28"/>
        </w:rPr>
      </w:pPr>
    </w:p>
    <w:p w:rsidR="00F53B9D" w:rsidRPr="00F53B9D" w:rsidRDefault="00F53B9D" w:rsidP="00F53B9D">
      <w:pPr>
        <w:spacing w:line="360" w:lineRule="auto"/>
        <w:ind w:firstLine="0"/>
        <w:jc w:val="right"/>
        <w:rPr>
          <w:b/>
          <w:color w:val="000000"/>
          <w:sz w:val="28"/>
          <w:szCs w:val="28"/>
        </w:rPr>
      </w:pPr>
      <w:r w:rsidRPr="00F53B9D">
        <w:rPr>
          <w:b/>
          <w:color w:val="000000"/>
          <w:sz w:val="28"/>
          <w:szCs w:val="28"/>
        </w:rPr>
        <w:t>Vadovas</w:t>
      </w:r>
    </w:p>
    <w:p w:rsidR="00F53B9D" w:rsidRPr="00F53B9D" w:rsidRDefault="009D6051" w:rsidP="00F53B9D">
      <w:pPr>
        <w:spacing w:line="360" w:lineRule="auto"/>
        <w:ind w:firstLine="0"/>
        <w:jc w:val="right"/>
        <w:rPr>
          <w:b/>
          <w:color w:val="000000"/>
          <w:sz w:val="28"/>
          <w:szCs w:val="28"/>
        </w:rPr>
      </w:pPr>
      <w:r>
        <w:rPr>
          <w:b/>
          <w:color w:val="000000"/>
          <w:sz w:val="28"/>
          <w:szCs w:val="28"/>
        </w:rPr>
        <w:t xml:space="preserve"> </w:t>
      </w:r>
      <w:r w:rsidR="00F53B9D" w:rsidRPr="00F53B9D">
        <w:rPr>
          <w:b/>
          <w:color w:val="000000"/>
          <w:sz w:val="28"/>
          <w:szCs w:val="28"/>
        </w:rPr>
        <w:t>dr. A. Balkevičius</w:t>
      </w:r>
    </w:p>
    <w:p w:rsidR="00F53B9D" w:rsidRPr="00F53B9D" w:rsidRDefault="00F53B9D" w:rsidP="00F53B9D">
      <w:pPr>
        <w:ind w:firstLine="0"/>
        <w:jc w:val="right"/>
        <w:rPr>
          <w:b/>
          <w:color w:val="000000"/>
          <w:sz w:val="40"/>
          <w:szCs w:val="40"/>
        </w:rPr>
      </w:pPr>
    </w:p>
    <w:p w:rsidR="00F53B9D" w:rsidRPr="00F53B9D" w:rsidRDefault="00F53B9D" w:rsidP="007A113D">
      <w:pPr>
        <w:ind w:firstLine="0"/>
        <w:jc w:val="center"/>
        <w:rPr>
          <w:b/>
          <w:color w:val="000000"/>
          <w:sz w:val="40"/>
          <w:szCs w:val="40"/>
        </w:rPr>
      </w:pPr>
    </w:p>
    <w:p w:rsidR="00F53B9D" w:rsidRPr="00F53B9D" w:rsidRDefault="00F53B9D" w:rsidP="007A113D">
      <w:pPr>
        <w:ind w:firstLine="0"/>
        <w:jc w:val="center"/>
        <w:rPr>
          <w:b/>
          <w:color w:val="000000"/>
          <w:sz w:val="28"/>
          <w:szCs w:val="28"/>
        </w:rPr>
      </w:pPr>
    </w:p>
    <w:p w:rsidR="00F53B9D" w:rsidRPr="00F53B9D" w:rsidRDefault="00F53B9D" w:rsidP="007A113D">
      <w:pPr>
        <w:ind w:firstLine="0"/>
        <w:jc w:val="center"/>
        <w:rPr>
          <w:b/>
          <w:color w:val="000000"/>
          <w:sz w:val="28"/>
          <w:szCs w:val="28"/>
        </w:rPr>
      </w:pPr>
    </w:p>
    <w:p w:rsidR="00F53B9D" w:rsidRPr="00F53B9D" w:rsidRDefault="00F53B9D" w:rsidP="007A113D">
      <w:pPr>
        <w:ind w:firstLine="0"/>
        <w:jc w:val="center"/>
        <w:rPr>
          <w:b/>
          <w:color w:val="000000"/>
          <w:sz w:val="28"/>
          <w:szCs w:val="28"/>
        </w:rPr>
      </w:pPr>
    </w:p>
    <w:p w:rsidR="00F53B9D" w:rsidRPr="00F53B9D" w:rsidRDefault="00F53B9D" w:rsidP="007A113D">
      <w:pPr>
        <w:ind w:firstLine="0"/>
        <w:jc w:val="center"/>
        <w:rPr>
          <w:b/>
          <w:color w:val="000000"/>
          <w:sz w:val="28"/>
          <w:szCs w:val="28"/>
        </w:rPr>
      </w:pPr>
    </w:p>
    <w:p w:rsidR="00F53B9D" w:rsidRPr="00F53B9D" w:rsidRDefault="00F53B9D" w:rsidP="007A113D">
      <w:pPr>
        <w:ind w:firstLine="0"/>
        <w:jc w:val="center"/>
        <w:rPr>
          <w:b/>
          <w:color w:val="000000"/>
          <w:sz w:val="28"/>
          <w:szCs w:val="28"/>
        </w:rPr>
      </w:pPr>
    </w:p>
    <w:p w:rsidR="00F53B9D" w:rsidRPr="00F53B9D" w:rsidRDefault="00F53B9D" w:rsidP="007A113D">
      <w:pPr>
        <w:ind w:firstLine="0"/>
        <w:jc w:val="center"/>
        <w:rPr>
          <w:b/>
          <w:color w:val="000000"/>
          <w:sz w:val="28"/>
          <w:szCs w:val="28"/>
        </w:rPr>
      </w:pPr>
    </w:p>
    <w:p w:rsidR="00735FF5" w:rsidRDefault="00735FF5" w:rsidP="00912709">
      <w:pPr>
        <w:ind w:firstLine="0"/>
        <w:jc w:val="center"/>
        <w:rPr>
          <w:b/>
          <w:color w:val="000000"/>
          <w:sz w:val="28"/>
          <w:szCs w:val="28"/>
        </w:rPr>
      </w:pPr>
    </w:p>
    <w:p w:rsidR="00FE6955" w:rsidRPr="00735FF5" w:rsidRDefault="00F53B9D" w:rsidP="007D18D5">
      <w:pPr>
        <w:ind w:firstLine="0"/>
        <w:jc w:val="center"/>
        <w:rPr>
          <w:b/>
          <w:color w:val="000000"/>
          <w:sz w:val="28"/>
          <w:szCs w:val="28"/>
        </w:rPr>
      </w:pPr>
      <w:r w:rsidRPr="00F53B9D">
        <w:rPr>
          <w:b/>
          <w:color w:val="000000"/>
          <w:sz w:val="28"/>
          <w:szCs w:val="28"/>
        </w:rPr>
        <w:t>VILNIUS, 2013</w:t>
      </w:r>
    </w:p>
    <w:p w:rsidR="00F53B9D" w:rsidRPr="00A9036C" w:rsidRDefault="00F53B9D" w:rsidP="00F53B9D">
      <w:pPr>
        <w:spacing w:line="360" w:lineRule="auto"/>
        <w:ind w:firstLine="0"/>
        <w:jc w:val="center"/>
        <w:rPr>
          <w:b/>
          <w:color w:val="000000"/>
          <w:sz w:val="32"/>
          <w:szCs w:val="32"/>
        </w:rPr>
      </w:pPr>
      <w:r w:rsidRPr="00A9036C">
        <w:rPr>
          <w:b/>
          <w:color w:val="000000"/>
          <w:sz w:val="32"/>
          <w:szCs w:val="32"/>
        </w:rPr>
        <w:lastRenderedPageBreak/>
        <w:t>MYKOLO ROMERIO UNIVERSITETAS</w:t>
      </w:r>
    </w:p>
    <w:p w:rsidR="00F53B9D" w:rsidRPr="00A9036C" w:rsidRDefault="00F53B9D" w:rsidP="00F53B9D">
      <w:pPr>
        <w:spacing w:line="360" w:lineRule="auto"/>
        <w:ind w:firstLine="0"/>
        <w:jc w:val="center"/>
        <w:rPr>
          <w:b/>
          <w:color w:val="000000"/>
          <w:sz w:val="28"/>
          <w:szCs w:val="28"/>
        </w:rPr>
      </w:pPr>
      <w:r w:rsidRPr="00A9036C">
        <w:rPr>
          <w:b/>
          <w:color w:val="000000"/>
          <w:sz w:val="28"/>
          <w:szCs w:val="28"/>
        </w:rPr>
        <w:t>EKONOMIKOS IR FINANSŲ VALDYMO FAKULTETAS</w:t>
      </w:r>
    </w:p>
    <w:p w:rsidR="00F53B9D" w:rsidRPr="00A9036C" w:rsidRDefault="00F53B9D" w:rsidP="00F53B9D">
      <w:pPr>
        <w:spacing w:line="360" w:lineRule="auto"/>
        <w:ind w:firstLine="0"/>
        <w:jc w:val="center"/>
        <w:rPr>
          <w:b/>
          <w:color w:val="000000"/>
          <w:sz w:val="24"/>
          <w:szCs w:val="24"/>
        </w:rPr>
      </w:pPr>
      <w:r w:rsidRPr="00A9036C">
        <w:rPr>
          <w:b/>
          <w:color w:val="000000"/>
          <w:sz w:val="24"/>
          <w:szCs w:val="24"/>
        </w:rPr>
        <w:t>FINANSŲ IR MOKESČIŲ KATEDRA</w:t>
      </w:r>
    </w:p>
    <w:p w:rsidR="00F53B9D" w:rsidRPr="00A9036C" w:rsidRDefault="00F53B9D" w:rsidP="00F53B9D">
      <w:pPr>
        <w:spacing w:line="360" w:lineRule="auto"/>
        <w:ind w:firstLine="0"/>
        <w:jc w:val="center"/>
        <w:rPr>
          <w:b/>
          <w:color w:val="000000"/>
          <w:sz w:val="24"/>
          <w:szCs w:val="24"/>
        </w:rPr>
      </w:pPr>
    </w:p>
    <w:p w:rsidR="00F53B9D" w:rsidRPr="00A9036C" w:rsidRDefault="00F53B9D" w:rsidP="00F53B9D">
      <w:pPr>
        <w:spacing w:line="360" w:lineRule="auto"/>
        <w:ind w:firstLine="0"/>
        <w:jc w:val="center"/>
        <w:rPr>
          <w:b/>
          <w:color w:val="000000"/>
          <w:sz w:val="28"/>
          <w:szCs w:val="28"/>
        </w:rPr>
      </w:pPr>
    </w:p>
    <w:p w:rsidR="00F53B9D" w:rsidRPr="00F53B9D" w:rsidRDefault="00F53B9D" w:rsidP="00F53B9D">
      <w:pPr>
        <w:spacing w:line="360" w:lineRule="auto"/>
        <w:ind w:firstLine="0"/>
        <w:jc w:val="center"/>
        <w:rPr>
          <w:b/>
          <w:color w:val="000000"/>
          <w:sz w:val="28"/>
          <w:szCs w:val="28"/>
        </w:rPr>
      </w:pPr>
    </w:p>
    <w:p w:rsidR="00F53B9D" w:rsidRPr="00F53B9D" w:rsidRDefault="00F53B9D" w:rsidP="00912709">
      <w:pPr>
        <w:spacing w:line="360" w:lineRule="auto"/>
        <w:ind w:firstLine="0"/>
        <w:rPr>
          <w:b/>
          <w:color w:val="000000"/>
          <w:sz w:val="32"/>
          <w:szCs w:val="32"/>
        </w:rPr>
      </w:pPr>
    </w:p>
    <w:p w:rsidR="00735FF5" w:rsidRDefault="00735FF5" w:rsidP="00F53B9D">
      <w:pPr>
        <w:spacing w:line="360" w:lineRule="auto"/>
        <w:ind w:firstLine="0"/>
        <w:jc w:val="center"/>
        <w:rPr>
          <w:b/>
          <w:color w:val="000000"/>
          <w:sz w:val="40"/>
          <w:szCs w:val="40"/>
        </w:rPr>
      </w:pPr>
    </w:p>
    <w:p w:rsidR="00F53B9D" w:rsidRPr="00F53B9D" w:rsidRDefault="00F53B9D" w:rsidP="00F53B9D">
      <w:pPr>
        <w:spacing w:line="360" w:lineRule="auto"/>
        <w:ind w:firstLine="0"/>
        <w:jc w:val="center"/>
        <w:rPr>
          <w:b/>
          <w:color w:val="000000"/>
          <w:sz w:val="40"/>
          <w:szCs w:val="40"/>
        </w:rPr>
      </w:pPr>
      <w:r w:rsidRPr="00F53B9D">
        <w:rPr>
          <w:b/>
          <w:color w:val="000000"/>
          <w:sz w:val="40"/>
          <w:szCs w:val="40"/>
        </w:rPr>
        <w:t>VALSTYBĖS SKOLA IR JOS VALDYMAS: BALTIJOS ŠALIŲ LYGINAMOJI ANALIZĖ</w:t>
      </w:r>
    </w:p>
    <w:p w:rsidR="00F53B9D" w:rsidRDefault="00F53B9D" w:rsidP="00F53B9D">
      <w:pPr>
        <w:spacing w:line="360" w:lineRule="auto"/>
        <w:ind w:firstLine="0"/>
        <w:jc w:val="center"/>
        <w:rPr>
          <w:b/>
          <w:color w:val="000000"/>
          <w:sz w:val="28"/>
          <w:szCs w:val="28"/>
        </w:rPr>
      </w:pPr>
      <w:r>
        <w:rPr>
          <w:b/>
          <w:color w:val="000000"/>
          <w:sz w:val="28"/>
          <w:szCs w:val="28"/>
        </w:rPr>
        <w:t>Finansų valdymo m</w:t>
      </w:r>
      <w:r w:rsidRPr="00F53B9D">
        <w:rPr>
          <w:b/>
          <w:color w:val="000000"/>
          <w:sz w:val="28"/>
          <w:szCs w:val="28"/>
        </w:rPr>
        <w:t>agistro baigiamasis darbas</w:t>
      </w:r>
    </w:p>
    <w:p w:rsidR="00F53B9D" w:rsidRPr="00532342" w:rsidRDefault="00F53B9D" w:rsidP="00F53B9D">
      <w:pPr>
        <w:spacing w:line="360" w:lineRule="auto"/>
        <w:ind w:firstLine="0"/>
        <w:jc w:val="center"/>
        <w:rPr>
          <w:b/>
          <w:sz w:val="28"/>
          <w:szCs w:val="28"/>
        </w:rPr>
      </w:pPr>
      <w:r w:rsidRPr="00532342">
        <w:rPr>
          <w:b/>
          <w:sz w:val="28"/>
          <w:szCs w:val="28"/>
        </w:rPr>
        <w:t xml:space="preserve">Studijų programa </w:t>
      </w:r>
      <w:r w:rsidR="00532342" w:rsidRPr="00532342">
        <w:rPr>
          <w:b/>
          <w:sz w:val="28"/>
          <w:szCs w:val="28"/>
        </w:rPr>
        <w:t>621N30005</w:t>
      </w:r>
    </w:p>
    <w:p w:rsidR="00F53B9D" w:rsidRPr="00F53B9D" w:rsidRDefault="00F53B9D" w:rsidP="00F53B9D">
      <w:pPr>
        <w:spacing w:line="360" w:lineRule="auto"/>
        <w:ind w:firstLine="0"/>
        <w:jc w:val="center"/>
        <w:rPr>
          <w:b/>
          <w:color w:val="000000"/>
          <w:sz w:val="28"/>
          <w:szCs w:val="28"/>
        </w:rPr>
      </w:pPr>
    </w:p>
    <w:p w:rsidR="00F53B9D" w:rsidRDefault="00F53B9D" w:rsidP="00947CDA">
      <w:pPr>
        <w:spacing w:line="360" w:lineRule="auto"/>
        <w:ind w:firstLine="0"/>
        <w:rPr>
          <w:b/>
          <w:color w:val="000000"/>
          <w:sz w:val="28"/>
          <w:szCs w:val="28"/>
        </w:rPr>
      </w:pPr>
    </w:p>
    <w:p w:rsidR="00947CDA" w:rsidRPr="00F53B9D" w:rsidRDefault="00947CDA" w:rsidP="00947CDA">
      <w:pPr>
        <w:spacing w:line="360" w:lineRule="auto"/>
        <w:ind w:firstLine="0"/>
        <w:rPr>
          <w:b/>
          <w:color w:val="000000"/>
          <w:sz w:val="28"/>
          <w:szCs w:val="28"/>
        </w:rPr>
      </w:pPr>
    </w:p>
    <w:p w:rsidR="00F53B9D" w:rsidRPr="00F53B9D" w:rsidRDefault="00F53B9D" w:rsidP="00F53B9D">
      <w:pPr>
        <w:spacing w:line="360" w:lineRule="auto"/>
        <w:ind w:firstLine="0"/>
        <w:jc w:val="right"/>
        <w:rPr>
          <w:b/>
          <w:color w:val="000000"/>
          <w:sz w:val="24"/>
          <w:szCs w:val="24"/>
        </w:rPr>
      </w:pPr>
      <w:r w:rsidRPr="00F53B9D">
        <w:rPr>
          <w:b/>
          <w:color w:val="000000"/>
          <w:sz w:val="24"/>
          <w:szCs w:val="24"/>
        </w:rPr>
        <w:t>Vadovas</w:t>
      </w:r>
    </w:p>
    <w:p w:rsidR="00F53B9D" w:rsidRDefault="00F53B9D" w:rsidP="00F53B9D">
      <w:pPr>
        <w:spacing w:line="360" w:lineRule="auto"/>
        <w:ind w:firstLine="0"/>
        <w:jc w:val="right"/>
        <w:rPr>
          <w:b/>
          <w:color w:val="000000"/>
          <w:sz w:val="24"/>
          <w:szCs w:val="24"/>
        </w:rPr>
      </w:pPr>
      <w:r w:rsidRPr="00F53B9D">
        <w:rPr>
          <w:b/>
          <w:color w:val="000000"/>
          <w:sz w:val="24"/>
          <w:szCs w:val="24"/>
        </w:rPr>
        <w:t>dr. A. Balkevičius</w:t>
      </w:r>
    </w:p>
    <w:p w:rsidR="00F53B9D" w:rsidRDefault="00F53B9D" w:rsidP="00F53B9D">
      <w:pPr>
        <w:spacing w:line="360" w:lineRule="auto"/>
        <w:ind w:firstLine="0"/>
        <w:jc w:val="right"/>
        <w:rPr>
          <w:b/>
          <w:color w:val="000000"/>
          <w:sz w:val="24"/>
          <w:szCs w:val="24"/>
        </w:rPr>
      </w:pPr>
      <w:r>
        <w:rPr>
          <w:b/>
          <w:color w:val="000000"/>
          <w:sz w:val="24"/>
          <w:szCs w:val="24"/>
        </w:rPr>
        <w:t xml:space="preserve">2013 </w:t>
      </w:r>
      <w:r w:rsidR="00947CDA">
        <w:rPr>
          <w:b/>
          <w:color w:val="000000"/>
          <w:sz w:val="24"/>
          <w:szCs w:val="24"/>
        </w:rPr>
        <w:t>12  ......</w:t>
      </w:r>
    </w:p>
    <w:p w:rsidR="00F53B9D" w:rsidRDefault="00F53B9D" w:rsidP="00F53B9D">
      <w:pPr>
        <w:spacing w:line="360" w:lineRule="auto"/>
        <w:ind w:firstLine="0"/>
        <w:jc w:val="right"/>
        <w:rPr>
          <w:b/>
          <w:color w:val="000000"/>
          <w:sz w:val="24"/>
          <w:szCs w:val="24"/>
        </w:rPr>
      </w:pPr>
    </w:p>
    <w:p w:rsidR="00F53B9D" w:rsidRDefault="00F53B9D" w:rsidP="00532342">
      <w:pPr>
        <w:spacing w:line="360" w:lineRule="auto"/>
        <w:ind w:firstLine="0"/>
        <w:jc w:val="left"/>
        <w:rPr>
          <w:b/>
          <w:color w:val="000000"/>
          <w:sz w:val="24"/>
          <w:szCs w:val="24"/>
        </w:rPr>
      </w:pPr>
      <w:r>
        <w:rPr>
          <w:b/>
          <w:color w:val="000000"/>
          <w:sz w:val="24"/>
          <w:szCs w:val="24"/>
        </w:rPr>
        <w:t xml:space="preserve">Recenzentas     </w:t>
      </w:r>
      <w:r w:rsidR="00F33EC8">
        <w:rPr>
          <w:b/>
          <w:color w:val="000000"/>
          <w:sz w:val="24"/>
          <w:szCs w:val="24"/>
        </w:rPr>
        <w:t xml:space="preserve">              </w:t>
      </w:r>
      <w:r>
        <w:rPr>
          <w:b/>
          <w:color w:val="000000"/>
          <w:sz w:val="24"/>
          <w:szCs w:val="24"/>
        </w:rPr>
        <w:t xml:space="preserve">                                                                                          </w:t>
      </w:r>
      <w:r w:rsidR="00532342">
        <w:rPr>
          <w:b/>
          <w:color w:val="000000"/>
          <w:sz w:val="24"/>
          <w:szCs w:val="24"/>
        </w:rPr>
        <w:t xml:space="preserve">                             Atliko</w:t>
      </w:r>
    </w:p>
    <w:p w:rsidR="00F53B9D" w:rsidRDefault="00947CDA" w:rsidP="00947CDA">
      <w:pPr>
        <w:spacing w:line="360" w:lineRule="auto"/>
        <w:ind w:firstLine="0"/>
        <w:jc w:val="left"/>
        <w:rPr>
          <w:b/>
          <w:color w:val="000000"/>
          <w:sz w:val="24"/>
          <w:szCs w:val="24"/>
        </w:rPr>
      </w:pPr>
      <w:r>
        <w:rPr>
          <w:b/>
          <w:color w:val="000000"/>
          <w:sz w:val="24"/>
          <w:szCs w:val="24"/>
        </w:rPr>
        <w:t xml:space="preserve">..............................                                                                                                          </w:t>
      </w:r>
      <w:r w:rsidR="00AD00F8">
        <w:rPr>
          <w:b/>
          <w:color w:val="000000"/>
          <w:sz w:val="24"/>
          <w:szCs w:val="24"/>
        </w:rPr>
        <w:t xml:space="preserve"> </w:t>
      </w:r>
      <w:r w:rsidR="00F53B9D">
        <w:rPr>
          <w:b/>
          <w:color w:val="000000"/>
          <w:sz w:val="24"/>
          <w:szCs w:val="24"/>
        </w:rPr>
        <w:t>FVmns2-02 gr.stud.</w:t>
      </w:r>
    </w:p>
    <w:p w:rsidR="00F53B9D" w:rsidRDefault="00947CDA" w:rsidP="00947CDA">
      <w:pPr>
        <w:spacing w:line="360" w:lineRule="auto"/>
        <w:ind w:firstLine="0"/>
        <w:jc w:val="left"/>
        <w:rPr>
          <w:b/>
          <w:color w:val="000000"/>
          <w:sz w:val="24"/>
          <w:szCs w:val="24"/>
        </w:rPr>
      </w:pPr>
      <w:r>
        <w:rPr>
          <w:b/>
          <w:color w:val="000000"/>
          <w:sz w:val="24"/>
          <w:szCs w:val="24"/>
        </w:rPr>
        <w:t xml:space="preserve">..............................                                                                                                                </w:t>
      </w:r>
      <w:r w:rsidR="00F53B9D">
        <w:rPr>
          <w:b/>
          <w:color w:val="000000"/>
          <w:sz w:val="24"/>
          <w:szCs w:val="24"/>
        </w:rPr>
        <w:t>Giedrė Donėlaitė</w:t>
      </w:r>
    </w:p>
    <w:p w:rsidR="00912709" w:rsidRDefault="00912709" w:rsidP="00912709">
      <w:pPr>
        <w:spacing w:line="360" w:lineRule="auto"/>
        <w:ind w:firstLine="0"/>
        <w:jc w:val="center"/>
        <w:rPr>
          <w:b/>
          <w:color w:val="000000"/>
          <w:sz w:val="28"/>
          <w:szCs w:val="28"/>
        </w:rPr>
      </w:pPr>
    </w:p>
    <w:p w:rsidR="00532342" w:rsidRDefault="00532342" w:rsidP="00912709">
      <w:pPr>
        <w:spacing w:line="360" w:lineRule="auto"/>
        <w:ind w:firstLine="0"/>
        <w:jc w:val="center"/>
        <w:rPr>
          <w:b/>
          <w:color w:val="000000"/>
          <w:sz w:val="28"/>
          <w:szCs w:val="28"/>
        </w:rPr>
      </w:pPr>
    </w:p>
    <w:p w:rsidR="00735FF5" w:rsidRDefault="00735FF5" w:rsidP="00735FF5">
      <w:pPr>
        <w:spacing w:line="360" w:lineRule="auto"/>
        <w:ind w:firstLine="0"/>
        <w:jc w:val="center"/>
        <w:rPr>
          <w:b/>
          <w:color w:val="000000"/>
          <w:sz w:val="28"/>
          <w:szCs w:val="28"/>
        </w:rPr>
      </w:pPr>
    </w:p>
    <w:p w:rsidR="00735FF5" w:rsidRDefault="00735FF5" w:rsidP="00735FF5">
      <w:pPr>
        <w:spacing w:line="360" w:lineRule="auto"/>
        <w:ind w:firstLine="0"/>
        <w:jc w:val="center"/>
        <w:rPr>
          <w:b/>
          <w:color w:val="000000"/>
          <w:sz w:val="28"/>
          <w:szCs w:val="28"/>
        </w:rPr>
      </w:pPr>
    </w:p>
    <w:p w:rsidR="007D18D5" w:rsidRDefault="007D18D5" w:rsidP="007D18D5">
      <w:pPr>
        <w:spacing w:line="360" w:lineRule="auto"/>
        <w:ind w:firstLine="0"/>
        <w:jc w:val="center"/>
        <w:rPr>
          <w:b/>
          <w:color w:val="000000"/>
          <w:sz w:val="28"/>
          <w:szCs w:val="28"/>
        </w:rPr>
      </w:pPr>
    </w:p>
    <w:p w:rsidR="00FE6955" w:rsidRPr="00735FF5" w:rsidRDefault="00C92769" w:rsidP="007D18D5">
      <w:pPr>
        <w:spacing w:line="360" w:lineRule="auto"/>
        <w:ind w:firstLine="0"/>
        <w:jc w:val="center"/>
        <w:rPr>
          <w:b/>
          <w:color w:val="000000"/>
          <w:sz w:val="24"/>
          <w:szCs w:val="24"/>
        </w:rPr>
      </w:pPr>
      <w:r>
        <w:rPr>
          <w:b/>
          <w:color w:val="000000"/>
          <w:sz w:val="28"/>
          <w:szCs w:val="28"/>
        </w:rPr>
        <w:t>VILNIUS,</w:t>
      </w:r>
      <w:r w:rsidR="00735FF5">
        <w:rPr>
          <w:b/>
          <w:color w:val="000000"/>
          <w:sz w:val="28"/>
          <w:szCs w:val="28"/>
        </w:rPr>
        <w:t xml:space="preserve"> 2013</w:t>
      </w:r>
    </w:p>
    <w:p w:rsidR="00FE6955" w:rsidRDefault="00FE6955" w:rsidP="00047573">
      <w:pPr>
        <w:ind w:firstLine="0"/>
        <w:jc w:val="center"/>
        <w:rPr>
          <w:b/>
          <w:color w:val="000000"/>
          <w:sz w:val="28"/>
          <w:szCs w:val="28"/>
        </w:rPr>
      </w:pPr>
    </w:p>
    <w:p w:rsidR="007A113D" w:rsidRDefault="007A113D" w:rsidP="00AE38D7">
      <w:pPr>
        <w:ind w:right="187" w:firstLine="0"/>
        <w:jc w:val="center"/>
        <w:rPr>
          <w:b/>
          <w:color w:val="000000"/>
          <w:sz w:val="28"/>
          <w:szCs w:val="28"/>
        </w:rPr>
      </w:pPr>
      <w:r>
        <w:rPr>
          <w:b/>
          <w:color w:val="000000"/>
          <w:sz w:val="28"/>
          <w:szCs w:val="28"/>
        </w:rPr>
        <w:t>TURINYS</w:t>
      </w:r>
    </w:p>
    <w:p w:rsidR="007A113D" w:rsidRDefault="007A113D" w:rsidP="00AE38D7">
      <w:pPr>
        <w:ind w:right="187" w:firstLine="0"/>
        <w:jc w:val="center"/>
        <w:rPr>
          <w:b/>
          <w:color w:val="000000"/>
          <w:sz w:val="28"/>
          <w:szCs w:val="28"/>
        </w:rPr>
      </w:pPr>
    </w:p>
    <w:p w:rsidR="00485D2E" w:rsidRPr="00AE38D7" w:rsidRDefault="00E12FF5" w:rsidP="00AE38D7">
      <w:pPr>
        <w:pStyle w:val="TOC1"/>
        <w:ind w:right="187"/>
        <w:rPr>
          <w:rFonts w:asciiTheme="minorHAnsi" w:eastAsiaTheme="minorEastAsia" w:hAnsiTheme="minorHAnsi" w:cstheme="minorBidi"/>
          <w:noProof/>
          <w:sz w:val="24"/>
          <w:szCs w:val="24"/>
          <w:lang w:eastAsia="lt-LT"/>
        </w:rPr>
      </w:pPr>
      <w:r w:rsidRPr="00AE38D7">
        <w:rPr>
          <w:color w:val="000000"/>
          <w:sz w:val="24"/>
          <w:szCs w:val="24"/>
        </w:rPr>
        <w:fldChar w:fldCharType="begin"/>
      </w:r>
      <w:r w:rsidR="001639E7" w:rsidRPr="00AE38D7">
        <w:rPr>
          <w:color w:val="000000"/>
          <w:sz w:val="24"/>
          <w:szCs w:val="24"/>
        </w:rPr>
        <w:instrText xml:space="preserve"> TOC \o "1-3" \h \z \u </w:instrText>
      </w:r>
      <w:r w:rsidRPr="00AE38D7">
        <w:rPr>
          <w:color w:val="000000"/>
          <w:sz w:val="24"/>
          <w:szCs w:val="24"/>
        </w:rPr>
        <w:fldChar w:fldCharType="separate"/>
      </w:r>
      <w:hyperlink w:anchor="_Toc373421059" w:history="1">
        <w:r w:rsidR="00485D2E" w:rsidRPr="00AE38D7">
          <w:rPr>
            <w:rStyle w:val="Hyperlink"/>
            <w:rFonts w:eastAsiaTheme="majorEastAsia"/>
            <w:noProof/>
            <w:sz w:val="24"/>
            <w:szCs w:val="24"/>
          </w:rPr>
          <w:t>ĮVADAS</w:t>
        </w:r>
        <w:r w:rsidR="00485D2E" w:rsidRPr="00AE38D7">
          <w:rPr>
            <w:noProof/>
            <w:webHidden/>
            <w:sz w:val="24"/>
            <w:szCs w:val="24"/>
          </w:rPr>
          <w:tab/>
        </w:r>
        <w:r w:rsidRPr="00AE38D7">
          <w:rPr>
            <w:noProof/>
            <w:webHidden/>
            <w:sz w:val="24"/>
            <w:szCs w:val="24"/>
          </w:rPr>
          <w:fldChar w:fldCharType="begin"/>
        </w:r>
        <w:r w:rsidR="00485D2E" w:rsidRPr="00AE38D7">
          <w:rPr>
            <w:noProof/>
            <w:webHidden/>
            <w:sz w:val="24"/>
            <w:szCs w:val="24"/>
          </w:rPr>
          <w:instrText xml:space="preserve"> PAGEREF _Toc373421059 \h </w:instrText>
        </w:r>
        <w:r w:rsidRPr="00AE38D7">
          <w:rPr>
            <w:noProof/>
            <w:webHidden/>
            <w:sz w:val="24"/>
            <w:szCs w:val="24"/>
          </w:rPr>
        </w:r>
        <w:r w:rsidRPr="00AE38D7">
          <w:rPr>
            <w:noProof/>
            <w:webHidden/>
            <w:sz w:val="24"/>
            <w:szCs w:val="24"/>
          </w:rPr>
          <w:fldChar w:fldCharType="separate"/>
        </w:r>
        <w:r w:rsidR="00C566A8">
          <w:rPr>
            <w:noProof/>
            <w:webHidden/>
            <w:sz w:val="24"/>
            <w:szCs w:val="24"/>
          </w:rPr>
          <w:t>7</w:t>
        </w:r>
        <w:r w:rsidRPr="00AE38D7">
          <w:rPr>
            <w:noProof/>
            <w:webHidden/>
            <w:sz w:val="24"/>
            <w:szCs w:val="24"/>
          </w:rPr>
          <w:fldChar w:fldCharType="end"/>
        </w:r>
      </w:hyperlink>
    </w:p>
    <w:p w:rsidR="00485D2E" w:rsidRPr="00AE38D7" w:rsidRDefault="00E12FF5" w:rsidP="00AE38D7">
      <w:pPr>
        <w:pStyle w:val="TOC1"/>
        <w:ind w:right="187"/>
        <w:rPr>
          <w:rFonts w:asciiTheme="minorHAnsi" w:eastAsiaTheme="minorEastAsia" w:hAnsiTheme="minorHAnsi" w:cstheme="minorBidi"/>
          <w:noProof/>
          <w:sz w:val="24"/>
          <w:szCs w:val="24"/>
          <w:lang w:eastAsia="lt-LT"/>
        </w:rPr>
      </w:pPr>
      <w:hyperlink w:anchor="_Toc373421060" w:history="1">
        <w:r w:rsidR="00485D2E" w:rsidRPr="00AE38D7">
          <w:rPr>
            <w:rStyle w:val="Hyperlink"/>
            <w:rFonts w:eastAsiaTheme="majorEastAsia"/>
            <w:noProof/>
            <w:sz w:val="24"/>
            <w:szCs w:val="24"/>
            <w:lang w:val="en-US"/>
          </w:rPr>
          <w:t>1.</w:t>
        </w:r>
        <w:r w:rsidR="00485D2E" w:rsidRPr="00AE38D7">
          <w:rPr>
            <w:rFonts w:asciiTheme="minorHAnsi" w:eastAsiaTheme="minorEastAsia" w:hAnsiTheme="minorHAnsi" w:cstheme="minorBidi"/>
            <w:noProof/>
            <w:sz w:val="24"/>
            <w:szCs w:val="24"/>
            <w:lang w:eastAsia="lt-LT"/>
          </w:rPr>
          <w:tab/>
        </w:r>
        <w:r w:rsidR="00485D2E" w:rsidRPr="00AE38D7">
          <w:rPr>
            <w:rStyle w:val="Hyperlink"/>
            <w:rFonts w:eastAsiaTheme="majorEastAsia"/>
            <w:noProof/>
            <w:sz w:val="24"/>
            <w:szCs w:val="24"/>
            <w:lang w:val="en-US"/>
          </w:rPr>
          <w:t>VALSTYBĖS SKOLOS IR JOS VALDYMO TEORINIAI ASPEKTAI</w:t>
        </w:r>
        <w:r w:rsidR="00485D2E" w:rsidRPr="00AE38D7">
          <w:rPr>
            <w:noProof/>
            <w:webHidden/>
            <w:sz w:val="24"/>
            <w:szCs w:val="24"/>
          </w:rPr>
          <w:tab/>
        </w:r>
        <w:r w:rsidRPr="00AE38D7">
          <w:rPr>
            <w:noProof/>
            <w:webHidden/>
            <w:sz w:val="24"/>
            <w:szCs w:val="24"/>
          </w:rPr>
          <w:fldChar w:fldCharType="begin"/>
        </w:r>
        <w:r w:rsidR="00485D2E" w:rsidRPr="00AE38D7">
          <w:rPr>
            <w:noProof/>
            <w:webHidden/>
            <w:sz w:val="24"/>
            <w:szCs w:val="24"/>
          </w:rPr>
          <w:instrText xml:space="preserve"> PAGEREF _Toc373421060 \h </w:instrText>
        </w:r>
        <w:r w:rsidRPr="00AE38D7">
          <w:rPr>
            <w:noProof/>
            <w:webHidden/>
            <w:sz w:val="24"/>
            <w:szCs w:val="24"/>
          </w:rPr>
        </w:r>
        <w:r w:rsidRPr="00AE38D7">
          <w:rPr>
            <w:noProof/>
            <w:webHidden/>
            <w:sz w:val="24"/>
            <w:szCs w:val="24"/>
          </w:rPr>
          <w:fldChar w:fldCharType="separate"/>
        </w:r>
        <w:r w:rsidR="00C566A8">
          <w:rPr>
            <w:noProof/>
            <w:webHidden/>
            <w:sz w:val="24"/>
            <w:szCs w:val="24"/>
          </w:rPr>
          <w:t>9</w:t>
        </w:r>
        <w:r w:rsidRPr="00AE38D7">
          <w:rPr>
            <w:noProof/>
            <w:webHidden/>
            <w:sz w:val="24"/>
            <w:szCs w:val="24"/>
          </w:rPr>
          <w:fldChar w:fldCharType="end"/>
        </w:r>
      </w:hyperlink>
    </w:p>
    <w:p w:rsidR="00485D2E" w:rsidRPr="00AE38D7" w:rsidRDefault="00E12FF5" w:rsidP="00AE38D7">
      <w:pPr>
        <w:pStyle w:val="TOC2"/>
        <w:ind w:right="187"/>
        <w:rPr>
          <w:rFonts w:asciiTheme="minorHAnsi" w:eastAsiaTheme="minorEastAsia" w:hAnsiTheme="minorHAnsi" w:cstheme="minorBidi"/>
          <w:noProof/>
          <w:sz w:val="24"/>
          <w:szCs w:val="24"/>
          <w:lang w:eastAsia="lt-LT"/>
        </w:rPr>
      </w:pPr>
      <w:hyperlink w:anchor="_Toc373421061" w:history="1">
        <w:r w:rsidR="00485D2E" w:rsidRPr="00AE38D7">
          <w:rPr>
            <w:rStyle w:val="Hyperlink"/>
            <w:rFonts w:eastAsiaTheme="majorEastAsia"/>
            <w:noProof/>
            <w:sz w:val="24"/>
            <w:szCs w:val="24"/>
          </w:rPr>
          <w:t>1.1.</w:t>
        </w:r>
        <w:r w:rsidR="00485D2E" w:rsidRPr="00AE38D7">
          <w:rPr>
            <w:rFonts w:asciiTheme="minorHAnsi" w:eastAsiaTheme="minorEastAsia" w:hAnsiTheme="minorHAnsi" w:cstheme="minorBidi"/>
            <w:noProof/>
            <w:sz w:val="24"/>
            <w:szCs w:val="24"/>
            <w:lang w:eastAsia="lt-LT"/>
          </w:rPr>
          <w:tab/>
        </w:r>
        <w:r w:rsidR="00485D2E" w:rsidRPr="00AE38D7">
          <w:rPr>
            <w:rStyle w:val="Hyperlink"/>
            <w:rFonts w:eastAsiaTheme="minorHAnsi"/>
            <w:noProof/>
            <w:sz w:val="24"/>
            <w:szCs w:val="24"/>
          </w:rPr>
          <w:t>Valstybės skolos samprata, klasifikacija ir skolinimosi priemonės</w:t>
        </w:r>
        <w:r w:rsidR="00485D2E" w:rsidRPr="00AE38D7">
          <w:rPr>
            <w:noProof/>
            <w:webHidden/>
            <w:sz w:val="24"/>
            <w:szCs w:val="24"/>
          </w:rPr>
          <w:tab/>
        </w:r>
        <w:r w:rsidRPr="00AE38D7">
          <w:rPr>
            <w:noProof/>
            <w:webHidden/>
            <w:sz w:val="24"/>
            <w:szCs w:val="24"/>
          </w:rPr>
          <w:fldChar w:fldCharType="begin"/>
        </w:r>
        <w:r w:rsidR="00485D2E" w:rsidRPr="00AE38D7">
          <w:rPr>
            <w:noProof/>
            <w:webHidden/>
            <w:sz w:val="24"/>
            <w:szCs w:val="24"/>
          </w:rPr>
          <w:instrText xml:space="preserve"> PAGEREF _Toc373421061 \h </w:instrText>
        </w:r>
        <w:r w:rsidRPr="00AE38D7">
          <w:rPr>
            <w:noProof/>
            <w:webHidden/>
            <w:sz w:val="24"/>
            <w:szCs w:val="24"/>
          </w:rPr>
        </w:r>
        <w:r w:rsidRPr="00AE38D7">
          <w:rPr>
            <w:noProof/>
            <w:webHidden/>
            <w:sz w:val="24"/>
            <w:szCs w:val="24"/>
          </w:rPr>
          <w:fldChar w:fldCharType="separate"/>
        </w:r>
        <w:r w:rsidR="00C566A8">
          <w:rPr>
            <w:noProof/>
            <w:webHidden/>
            <w:sz w:val="24"/>
            <w:szCs w:val="24"/>
          </w:rPr>
          <w:t>9</w:t>
        </w:r>
        <w:r w:rsidRPr="00AE38D7">
          <w:rPr>
            <w:noProof/>
            <w:webHidden/>
            <w:sz w:val="24"/>
            <w:szCs w:val="24"/>
          </w:rPr>
          <w:fldChar w:fldCharType="end"/>
        </w:r>
      </w:hyperlink>
    </w:p>
    <w:p w:rsidR="00485D2E" w:rsidRPr="00AE38D7" w:rsidRDefault="00E12FF5" w:rsidP="00AE38D7">
      <w:pPr>
        <w:pStyle w:val="TOC2"/>
        <w:ind w:right="187"/>
        <w:rPr>
          <w:rFonts w:asciiTheme="minorHAnsi" w:eastAsiaTheme="minorEastAsia" w:hAnsiTheme="minorHAnsi" w:cstheme="minorBidi"/>
          <w:noProof/>
          <w:sz w:val="24"/>
          <w:szCs w:val="24"/>
          <w:lang w:eastAsia="lt-LT"/>
        </w:rPr>
      </w:pPr>
      <w:hyperlink w:anchor="_Toc373421062" w:history="1">
        <w:r w:rsidR="00485D2E" w:rsidRPr="00AE38D7">
          <w:rPr>
            <w:rStyle w:val="Hyperlink"/>
            <w:rFonts w:eastAsiaTheme="majorEastAsia"/>
            <w:noProof/>
            <w:sz w:val="24"/>
            <w:szCs w:val="24"/>
            <w:lang w:val="en-US"/>
          </w:rPr>
          <w:t>1.2.</w:t>
        </w:r>
        <w:r w:rsidR="00485D2E" w:rsidRPr="00AE38D7">
          <w:rPr>
            <w:rFonts w:asciiTheme="minorHAnsi" w:eastAsiaTheme="minorEastAsia" w:hAnsiTheme="minorHAnsi" w:cstheme="minorBidi"/>
            <w:noProof/>
            <w:sz w:val="24"/>
            <w:szCs w:val="24"/>
            <w:lang w:eastAsia="lt-LT"/>
          </w:rPr>
          <w:tab/>
        </w:r>
        <w:r w:rsidR="00485D2E" w:rsidRPr="00AE38D7">
          <w:rPr>
            <w:rStyle w:val="Hyperlink"/>
            <w:rFonts w:eastAsiaTheme="majorEastAsia"/>
            <w:noProof/>
            <w:sz w:val="24"/>
            <w:szCs w:val="24"/>
            <w:lang w:val="en-US"/>
          </w:rPr>
          <w:t>Valstybės skolinimosi poreikį lemiantys veiksniai</w:t>
        </w:r>
        <w:r w:rsidR="00485D2E" w:rsidRPr="00AE38D7">
          <w:rPr>
            <w:noProof/>
            <w:webHidden/>
            <w:sz w:val="24"/>
            <w:szCs w:val="24"/>
          </w:rPr>
          <w:tab/>
        </w:r>
        <w:r w:rsidRPr="00AE38D7">
          <w:rPr>
            <w:noProof/>
            <w:webHidden/>
            <w:sz w:val="24"/>
            <w:szCs w:val="24"/>
          </w:rPr>
          <w:fldChar w:fldCharType="begin"/>
        </w:r>
        <w:r w:rsidR="00485D2E" w:rsidRPr="00AE38D7">
          <w:rPr>
            <w:noProof/>
            <w:webHidden/>
            <w:sz w:val="24"/>
            <w:szCs w:val="24"/>
          </w:rPr>
          <w:instrText xml:space="preserve"> PAGEREF _Toc373421062 \h </w:instrText>
        </w:r>
        <w:r w:rsidRPr="00AE38D7">
          <w:rPr>
            <w:noProof/>
            <w:webHidden/>
            <w:sz w:val="24"/>
            <w:szCs w:val="24"/>
          </w:rPr>
        </w:r>
        <w:r w:rsidRPr="00AE38D7">
          <w:rPr>
            <w:noProof/>
            <w:webHidden/>
            <w:sz w:val="24"/>
            <w:szCs w:val="24"/>
          </w:rPr>
          <w:fldChar w:fldCharType="separate"/>
        </w:r>
        <w:r w:rsidR="00C566A8">
          <w:rPr>
            <w:noProof/>
            <w:webHidden/>
            <w:sz w:val="24"/>
            <w:szCs w:val="24"/>
          </w:rPr>
          <w:t>12</w:t>
        </w:r>
        <w:r w:rsidRPr="00AE38D7">
          <w:rPr>
            <w:noProof/>
            <w:webHidden/>
            <w:sz w:val="24"/>
            <w:szCs w:val="24"/>
          </w:rPr>
          <w:fldChar w:fldCharType="end"/>
        </w:r>
      </w:hyperlink>
    </w:p>
    <w:p w:rsidR="00485D2E" w:rsidRPr="00AE38D7" w:rsidRDefault="00E12FF5" w:rsidP="00AE38D7">
      <w:pPr>
        <w:pStyle w:val="TOC2"/>
        <w:ind w:right="187"/>
        <w:rPr>
          <w:rFonts w:asciiTheme="minorHAnsi" w:eastAsiaTheme="minorEastAsia" w:hAnsiTheme="minorHAnsi" w:cstheme="minorBidi"/>
          <w:noProof/>
          <w:sz w:val="24"/>
          <w:szCs w:val="24"/>
          <w:lang w:eastAsia="lt-LT"/>
        </w:rPr>
      </w:pPr>
      <w:hyperlink w:anchor="_Toc373421063" w:history="1">
        <w:r w:rsidR="00485D2E" w:rsidRPr="00AE38D7">
          <w:rPr>
            <w:rStyle w:val="Hyperlink"/>
            <w:rFonts w:eastAsiaTheme="majorEastAsia"/>
            <w:noProof/>
            <w:sz w:val="24"/>
            <w:szCs w:val="24"/>
            <w:lang w:val="en-US"/>
          </w:rPr>
          <w:t>1.3.</w:t>
        </w:r>
        <w:r w:rsidR="00485D2E" w:rsidRPr="00AE38D7">
          <w:rPr>
            <w:rFonts w:asciiTheme="minorHAnsi" w:eastAsiaTheme="minorEastAsia" w:hAnsiTheme="minorHAnsi" w:cstheme="minorBidi"/>
            <w:noProof/>
            <w:sz w:val="24"/>
            <w:szCs w:val="24"/>
            <w:lang w:eastAsia="lt-LT"/>
          </w:rPr>
          <w:tab/>
        </w:r>
        <w:r w:rsidR="00485D2E" w:rsidRPr="00AE38D7">
          <w:rPr>
            <w:rStyle w:val="Hyperlink"/>
            <w:rFonts w:eastAsiaTheme="majorEastAsia"/>
            <w:noProof/>
            <w:sz w:val="24"/>
            <w:szCs w:val="24"/>
            <w:lang w:val="en-US"/>
          </w:rPr>
          <w:t>Valstybės skolinimosi ir ekonominio augimo ry</w:t>
        </w:r>
        <w:r w:rsidR="00485D2E" w:rsidRPr="00AE38D7">
          <w:rPr>
            <w:rStyle w:val="Hyperlink"/>
            <w:rFonts w:eastAsiaTheme="majorEastAsia"/>
            <w:noProof/>
            <w:sz w:val="24"/>
            <w:szCs w:val="24"/>
          </w:rPr>
          <w:t>šys</w:t>
        </w:r>
        <w:r w:rsidR="00485D2E" w:rsidRPr="00AE38D7">
          <w:rPr>
            <w:noProof/>
            <w:webHidden/>
            <w:sz w:val="24"/>
            <w:szCs w:val="24"/>
          </w:rPr>
          <w:tab/>
        </w:r>
        <w:r w:rsidRPr="00AE38D7">
          <w:rPr>
            <w:noProof/>
            <w:webHidden/>
            <w:sz w:val="24"/>
            <w:szCs w:val="24"/>
          </w:rPr>
          <w:fldChar w:fldCharType="begin"/>
        </w:r>
        <w:r w:rsidR="00485D2E" w:rsidRPr="00AE38D7">
          <w:rPr>
            <w:noProof/>
            <w:webHidden/>
            <w:sz w:val="24"/>
            <w:szCs w:val="24"/>
          </w:rPr>
          <w:instrText xml:space="preserve"> PAGEREF _Toc373421063 \h </w:instrText>
        </w:r>
        <w:r w:rsidRPr="00AE38D7">
          <w:rPr>
            <w:noProof/>
            <w:webHidden/>
            <w:sz w:val="24"/>
            <w:szCs w:val="24"/>
          </w:rPr>
        </w:r>
        <w:r w:rsidRPr="00AE38D7">
          <w:rPr>
            <w:noProof/>
            <w:webHidden/>
            <w:sz w:val="24"/>
            <w:szCs w:val="24"/>
          </w:rPr>
          <w:fldChar w:fldCharType="separate"/>
        </w:r>
        <w:r w:rsidR="00C566A8">
          <w:rPr>
            <w:noProof/>
            <w:webHidden/>
            <w:sz w:val="24"/>
            <w:szCs w:val="24"/>
          </w:rPr>
          <w:t>13</w:t>
        </w:r>
        <w:r w:rsidRPr="00AE38D7">
          <w:rPr>
            <w:noProof/>
            <w:webHidden/>
            <w:sz w:val="24"/>
            <w:szCs w:val="24"/>
          </w:rPr>
          <w:fldChar w:fldCharType="end"/>
        </w:r>
      </w:hyperlink>
    </w:p>
    <w:p w:rsidR="00485D2E" w:rsidRPr="00AE38D7" w:rsidRDefault="00E12FF5" w:rsidP="00AE38D7">
      <w:pPr>
        <w:pStyle w:val="TOC2"/>
        <w:ind w:right="187"/>
        <w:rPr>
          <w:rFonts w:asciiTheme="minorHAnsi" w:eastAsiaTheme="minorEastAsia" w:hAnsiTheme="minorHAnsi" w:cstheme="minorBidi"/>
          <w:noProof/>
          <w:sz w:val="24"/>
          <w:szCs w:val="24"/>
          <w:lang w:eastAsia="lt-LT"/>
        </w:rPr>
      </w:pPr>
      <w:hyperlink w:anchor="_Toc373421064" w:history="1">
        <w:r w:rsidR="00485D2E" w:rsidRPr="00AE38D7">
          <w:rPr>
            <w:rStyle w:val="Hyperlink"/>
            <w:rFonts w:eastAsiaTheme="majorEastAsia"/>
            <w:noProof/>
            <w:sz w:val="24"/>
            <w:szCs w:val="24"/>
            <w:lang w:val="en-US"/>
          </w:rPr>
          <w:t>1.4.   Valstybės skolos valdymas</w:t>
        </w:r>
        <w:r w:rsidR="00485D2E" w:rsidRPr="00AE38D7">
          <w:rPr>
            <w:noProof/>
            <w:webHidden/>
            <w:sz w:val="24"/>
            <w:szCs w:val="24"/>
          </w:rPr>
          <w:tab/>
        </w:r>
        <w:r w:rsidRPr="00AE38D7">
          <w:rPr>
            <w:noProof/>
            <w:webHidden/>
            <w:sz w:val="24"/>
            <w:szCs w:val="24"/>
          </w:rPr>
          <w:fldChar w:fldCharType="begin"/>
        </w:r>
        <w:r w:rsidR="00485D2E" w:rsidRPr="00AE38D7">
          <w:rPr>
            <w:noProof/>
            <w:webHidden/>
            <w:sz w:val="24"/>
            <w:szCs w:val="24"/>
          </w:rPr>
          <w:instrText xml:space="preserve"> PAGEREF _Toc373421064 \h </w:instrText>
        </w:r>
        <w:r w:rsidRPr="00AE38D7">
          <w:rPr>
            <w:noProof/>
            <w:webHidden/>
            <w:sz w:val="24"/>
            <w:szCs w:val="24"/>
          </w:rPr>
        </w:r>
        <w:r w:rsidRPr="00AE38D7">
          <w:rPr>
            <w:noProof/>
            <w:webHidden/>
            <w:sz w:val="24"/>
            <w:szCs w:val="24"/>
          </w:rPr>
          <w:fldChar w:fldCharType="separate"/>
        </w:r>
        <w:r w:rsidR="00C566A8">
          <w:rPr>
            <w:noProof/>
            <w:webHidden/>
            <w:sz w:val="24"/>
            <w:szCs w:val="24"/>
          </w:rPr>
          <w:t>15</w:t>
        </w:r>
        <w:r w:rsidRPr="00AE38D7">
          <w:rPr>
            <w:noProof/>
            <w:webHidden/>
            <w:sz w:val="24"/>
            <w:szCs w:val="24"/>
          </w:rPr>
          <w:fldChar w:fldCharType="end"/>
        </w:r>
      </w:hyperlink>
    </w:p>
    <w:p w:rsidR="00485D2E" w:rsidRPr="00AE38D7" w:rsidRDefault="000F59BB" w:rsidP="00AE38D7">
      <w:pPr>
        <w:pStyle w:val="TOC3"/>
        <w:ind w:right="187"/>
        <w:jc w:val="left"/>
        <w:rPr>
          <w:rFonts w:asciiTheme="minorHAnsi" w:eastAsiaTheme="minorEastAsia" w:hAnsiTheme="minorHAnsi" w:cstheme="minorBidi"/>
          <w:lang w:eastAsia="lt-LT"/>
        </w:rPr>
      </w:pPr>
      <w:r w:rsidRPr="00AE38D7">
        <w:t xml:space="preserve">      </w:t>
      </w:r>
      <w:hyperlink w:anchor="_Toc373421065" w:history="1">
        <w:r w:rsidR="00485D2E" w:rsidRPr="00AE38D7">
          <w:rPr>
            <w:rStyle w:val="Hyperlink"/>
          </w:rPr>
          <w:t xml:space="preserve">1.4.1. </w:t>
        </w:r>
        <w:r w:rsidR="00485D2E" w:rsidRPr="00AE38D7">
          <w:rPr>
            <w:rStyle w:val="Hyperlink"/>
            <w:lang w:val="en-US"/>
          </w:rPr>
          <w:t>Valstyb</w:t>
        </w:r>
        <w:r w:rsidR="00485D2E" w:rsidRPr="00AE38D7">
          <w:rPr>
            <w:rStyle w:val="Hyperlink"/>
          </w:rPr>
          <w:t>ės skolos valdymo rizikos</w:t>
        </w:r>
        <w:r w:rsidR="00485D2E" w:rsidRPr="00AE38D7">
          <w:rPr>
            <w:webHidden/>
          </w:rPr>
          <w:t>.......................................</w:t>
        </w:r>
        <w:r w:rsidRPr="00AE38D7">
          <w:rPr>
            <w:webHidden/>
          </w:rPr>
          <w:t>............................</w:t>
        </w:r>
        <w:r w:rsidR="00E12FF5" w:rsidRPr="00AE38D7">
          <w:rPr>
            <w:webHidden/>
          </w:rPr>
          <w:fldChar w:fldCharType="begin"/>
        </w:r>
        <w:r w:rsidR="00485D2E" w:rsidRPr="00AE38D7">
          <w:rPr>
            <w:webHidden/>
          </w:rPr>
          <w:instrText xml:space="preserve"> PAGEREF _Toc373421065 \h </w:instrText>
        </w:r>
        <w:r w:rsidR="00E12FF5" w:rsidRPr="00AE38D7">
          <w:rPr>
            <w:webHidden/>
          </w:rPr>
        </w:r>
        <w:r w:rsidR="00E12FF5" w:rsidRPr="00AE38D7">
          <w:rPr>
            <w:webHidden/>
          </w:rPr>
          <w:fldChar w:fldCharType="separate"/>
        </w:r>
        <w:r w:rsidR="00C566A8">
          <w:rPr>
            <w:webHidden/>
          </w:rPr>
          <w:t>17</w:t>
        </w:r>
        <w:r w:rsidR="00E12FF5" w:rsidRPr="00AE38D7">
          <w:rPr>
            <w:webHidden/>
          </w:rPr>
          <w:fldChar w:fldCharType="end"/>
        </w:r>
      </w:hyperlink>
    </w:p>
    <w:p w:rsidR="00485D2E" w:rsidRPr="00AE38D7" w:rsidRDefault="00E12FF5" w:rsidP="00AE38D7">
      <w:pPr>
        <w:pStyle w:val="TOC1"/>
        <w:ind w:right="187"/>
        <w:jc w:val="left"/>
        <w:rPr>
          <w:rFonts w:asciiTheme="minorHAnsi" w:eastAsiaTheme="minorEastAsia" w:hAnsiTheme="minorHAnsi" w:cstheme="minorBidi"/>
          <w:noProof/>
          <w:sz w:val="24"/>
          <w:szCs w:val="24"/>
          <w:lang w:eastAsia="lt-LT"/>
        </w:rPr>
      </w:pPr>
      <w:hyperlink w:anchor="_Toc373421066" w:history="1">
        <w:r w:rsidR="00485D2E" w:rsidRPr="00AE38D7">
          <w:rPr>
            <w:rStyle w:val="Hyperlink"/>
            <w:rFonts w:eastAsiaTheme="majorEastAsia"/>
            <w:noProof/>
            <w:sz w:val="24"/>
            <w:szCs w:val="24"/>
          </w:rPr>
          <w:t>2.</w:t>
        </w:r>
        <w:r w:rsidR="00485D2E" w:rsidRPr="00AE38D7">
          <w:rPr>
            <w:rFonts w:asciiTheme="minorHAnsi" w:eastAsiaTheme="minorEastAsia" w:hAnsiTheme="minorHAnsi" w:cstheme="minorBidi"/>
            <w:noProof/>
            <w:sz w:val="24"/>
            <w:szCs w:val="24"/>
            <w:lang w:eastAsia="lt-LT"/>
          </w:rPr>
          <w:tab/>
        </w:r>
        <w:r w:rsidR="00485D2E" w:rsidRPr="00AE38D7">
          <w:rPr>
            <w:rStyle w:val="Hyperlink"/>
            <w:rFonts w:eastAsiaTheme="majorEastAsia"/>
            <w:noProof/>
            <w:sz w:val="24"/>
            <w:szCs w:val="24"/>
          </w:rPr>
          <w:t xml:space="preserve">BALTIJOS ŠALIŲ VALSTYBĖS SKOLOS ANALIZĖS, VERTINIMO IR </w:t>
        </w:r>
        <w:r w:rsidR="00AE38D7" w:rsidRPr="00AE38D7">
          <w:rPr>
            <w:rStyle w:val="Hyperlink"/>
            <w:rFonts w:eastAsiaTheme="majorEastAsia"/>
            <w:noProof/>
            <w:sz w:val="24"/>
            <w:szCs w:val="24"/>
          </w:rPr>
          <w:t xml:space="preserve">                 </w:t>
        </w:r>
        <w:r w:rsidR="00AE38D7">
          <w:rPr>
            <w:rStyle w:val="Hyperlink"/>
            <w:rFonts w:eastAsiaTheme="majorEastAsia"/>
            <w:noProof/>
            <w:sz w:val="24"/>
            <w:szCs w:val="24"/>
          </w:rPr>
          <w:t xml:space="preserve">  </w:t>
        </w:r>
        <w:r w:rsidR="00485D2E" w:rsidRPr="00AE38D7">
          <w:rPr>
            <w:rStyle w:val="Hyperlink"/>
            <w:rFonts w:eastAsiaTheme="majorEastAsia"/>
            <w:noProof/>
            <w:sz w:val="24"/>
            <w:szCs w:val="24"/>
          </w:rPr>
          <w:t>PROGNOZAVIMO METODOLOGIJA</w:t>
        </w:r>
        <w:r w:rsidR="00AE38D7" w:rsidRPr="00AE38D7">
          <w:rPr>
            <w:rStyle w:val="Hyperlink"/>
            <w:rFonts w:eastAsiaTheme="majorEastAsia"/>
            <w:noProof/>
            <w:sz w:val="24"/>
            <w:szCs w:val="24"/>
          </w:rPr>
          <w:t xml:space="preserve"> </w:t>
        </w:r>
        <w:r w:rsidR="00485D2E" w:rsidRPr="00AE38D7">
          <w:rPr>
            <w:noProof/>
            <w:webHidden/>
            <w:sz w:val="24"/>
            <w:szCs w:val="24"/>
          </w:rPr>
          <w:tab/>
        </w:r>
        <w:r w:rsidRPr="00AE38D7">
          <w:rPr>
            <w:noProof/>
            <w:webHidden/>
            <w:sz w:val="24"/>
            <w:szCs w:val="24"/>
          </w:rPr>
          <w:fldChar w:fldCharType="begin"/>
        </w:r>
        <w:r w:rsidR="00485D2E" w:rsidRPr="00AE38D7">
          <w:rPr>
            <w:noProof/>
            <w:webHidden/>
            <w:sz w:val="24"/>
            <w:szCs w:val="24"/>
          </w:rPr>
          <w:instrText xml:space="preserve"> PAGEREF _Toc373421066 \h </w:instrText>
        </w:r>
        <w:r w:rsidRPr="00AE38D7">
          <w:rPr>
            <w:noProof/>
            <w:webHidden/>
            <w:sz w:val="24"/>
            <w:szCs w:val="24"/>
          </w:rPr>
        </w:r>
        <w:r w:rsidRPr="00AE38D7">
          <w:rPr>
            <w:noProof/>
            <w:webHidden/>
            <w:sz w:val="24"/>
            <w:szCs w:val="24"/>
          </w:rPr>
          <w:fldChar w:fldCharType="separate"/>
        </w:r>
        <w:r w:rsidR="00C566A8">
          <w:rPr>
            <w:noProof/>
            <w:webHidden/>
            <w:sz w:val="24"/>
            <w:szCs w:val="24"/>
          </w:rPr>
          <w:t>19</w:t>
        </w:r>
        <w:r w:rsidRPr="00AE38D7">
          <w:rPr>
            <w:noProof/>
            <w:webHidden/>
            <w:sz w:val="24"/>
            <w:szCs w:val="24"/>
          </w:rPr>
          <w:fldChar w:fldCharType="end"/>
        </w:r>
      </w:hyperlink>
    </w:p>
    <w:p w:rsidR="00485D2E" w:rsidRPr="00AE38D7" w:rsidRDefault="00E12FF5" w:rsidP="00AE38D7">
      <w:pPr>
        <w:pStyle w:val="TOC2"/>
        <w:ind w:right="187"/>
        <w:rPr>
          <w:rFonts w:asciiTheme="minorHAnsi" w:eastAsiaTheme="minorEastAsia" w:hAnsiTheme="minorHAnsi" w:cstheme="minorBidi"/>
          <w:noProof/>
          <w:sz w:val="24"/>
          <w:szCs w:val="24"/>
          <w:lang w:eastAsia="lt-LT"/>
        </w:rPr>
      </w:pPr>
      <w:hyperlink w:anchor="_Toc373421067" w:history="1">
        <w:r w:rsidR="00485D2E" w:rsidRPr="00AE38D7">
          <w:rPr>
            <w:rStyle w:val="Hyperlink"/>
            <w:rFonts w:eastAsiaTheme="majorEastAsia"/>
            <w:noProof/>
            <w:sz w:val="24"/>
            <w:szCs w:val="24"/>
          </w:rPr>
          <w:t>2.1.Valstybės skolos vertinimo rodikliai</w:t>
        </w:r>
        <w:r w:rsidR="00485D2E" w:rsidRPr="00AE38D7">
          <w:rPr>
            <w:noProof/>
            <w:webHidden/>
            <w:sz w:val="24"/>
            <w:szCs w:val="24"/>
          </w:rPr>
          <w:tab/>
        </w:r>
        <w:r w:rsidRPr="00AE38D7">
          <w:rPr>
            <w:noProof/>
            <w:webHidden/>
            <w:sz w:val="24"/>
            <w:szCs w:val="24"/>
          </w:rPr>
          <w:fldChar w:fldCharType="begin"/>
        </w:r>
        <w:r w:rsidR="00485D2E" w:rsidRPr="00AE38D7">
          <w:rPr>
            <w:noProof/>
            <w:webHidden/>
            <w:sz w:val="24"/>
            <w:szCs w:val="24"/>
          </w:rPr>
          <w:instrText xml:space="preserve"> PAGEREF _Toc373421067 \h </w:instrText>
        </w:r>
        <w:r w:rsidRPr="00AE38D7">
          <w:rPr>
            <w:noProof/>
            <w:webHidden/>
            <w:sz w:val="24"/>
            <w:szCs w:val="24"/>
          </w:rPr>
        </w:r>
        <w:r w:rsidRPr="00AE38D7">
          <w:rPr>
            <w:noProof/>
            <w:webHidden/>
            <w:sz w:val="24"/>
            <w:szCs w:val="24"/>
          </w:rPr>
          <w:fldChar w:fldCharType="separate"/>
        </w:r>
        <w:r w:rsidR="00C566A8">
          <w:rPr>
            <w:noProof/>
            <w:webHidden/>
            <w:sz w:val="24"/>
            <w:szCs w:val="24"/>
          </w:rPr>
          <w:t>19</w:t>
        </w:r>
        <w:r w:rsidRPr="00AE38D7">
          <w:rPr>
            <w:noProof/>
            <w:webHidden/>
            <w:sz w:val="24"/>
            <w:szCs w:val="24"/>
          </w:rPr>
          <w:fldChar w:fldCharType="end"/>
        </w:r>
      </w:hyperlink>
    </w:p>
    <w:p w:rsidR="00485D2E" w:rsidRPr="00AE38D7" w:rsidRDefault="00E12FF5" w:rsidP="00AE38D7">
      <w:pPr>
        <w:pStyle w:val="TOC2"/>
        <w:ind w:right="187"/>
        <w:rPr>
          <w:rFonts w:asciiTheme="minorHAnsi" w:eastAsiaTheme="minorEastAsia" w:hAnsiTheme="minorHAnsi" w:cstheme="minorBidi"/>
          <w:noProof/>
          <w:sz w:val="24"/>
          <w:szCs w:val="24"/>
          <w:lang w:eastAsia="lt-LT"/>
        </w:rPr>
      </w:pPr>
      <w:hyperlink w:anchor="_Toc373421068" w:history="1">
        <w:r w:rsidR="00485D2E" w:rsidRPr="00AE38D7">
          <w:rPr>
            <w:rStyle w:val="Hyperlink"/>
            <w:rFonts w:eastAsiaTheme="majorEastAsia"/>
            <w:noProof/>
            <w:sz w:val="24"/>
            <w:szCs w:val="24"/>
          </w:rPr>
          <w:t>2.2. Valstybės skolos prognozavimo metodai</w:t>
        </w:r>
        <w:r w:rsidR="00485D2E" w:rsidRPr="00AE38D7">
          <w:rPr>
            <w:noProof/>
            <w:webHidden/>
            <w:sz w:val="24"/>
            <w:szCs w:val="24"/>
          </w:rPr>
          <w:tab/>
        </w:r>
        <w:r w:rsidRPr="00AE38D7">
          <w:rPr>
            <w:noProof/>
            <w:webHidden/>
            <w:sz w:val="24"/>
            <w:szCs w:val="24"/>
          </w:rPr>
          <w:fldChar w:fldCharType="begin"/>
        </w:r>
        <w:r w:rsidR="00485D2E" w:rsidRPr="00AE38D7">
          <w:rPr>
            <w:noProof/>
            <w:webHidden/>
            <w:sz w:val="24"/>
            <w:szCs w:val="24"/>
          </w:rPr>
          <w:instrText xml:space="preserve"> PAGEREF _Toc373421068 \h </w:instrText>
        </w:r>
        <w:r w:rsidRPr="00AE38D7">
          <w:rPr>
            <w:noProof/>
            <w:webHidden/>
            <w:sz w:val="24"/>
            <w:szCs w:val="24"/>
          </w:rPr>
        </w:r>
        <w:r w:rsidRPr="00AE38D7">
          <w:rPr>
            <w:noProof/>
            <w:webHidden/>
            <w:sz w:val="24"/>
            <w:szCs w:val="24"/>
          </w:rPr>
          <w:fldChar w:fldCharType="separate"/>
        </w:r>
        <w:r w:rsidR="00C566A8">
          <w:rPr>
            <w:noProof/>
            <w:webHidden/>
            <w:sz w:val="24"/>
            <w:szCs w:val="24"/>
          </w:rPr>
          <w:t>21</w:t>
        </w:r>
        <w:r w:rsidRPr="00AE38D7">
          <w:rPr>
            <w:noProof/>
            <w:webHidden/>
            <w:sz w:val="24"/>
            <w:szCs w:val="24"/>
          </w:rPr>
          <w:fldChar w:fldCharType="end"/>
        </w:r>
      </w:hyperlink>
    </w:p>
    <w:p w:rsidR="00485D2E" w:rsidRPr="00AE38D7" w:rsidRDefault="00E12FF5" w:rsidP="00AE38D7">
      <w:pPr>
        <w:pStyle w:val="TOC1"/>
        <w:ind w:right="187"/>
        <w:jc w:val="left"/>
        <w:rPr>
          <w:rFonts w:asciiTheme="minorHAnsi" w:eastAsiaTheme="minorEastAsia" w:hAnsiTheme="minorHAnsi" w:cstheme="minorBidi"/>
          <w:noProof/>
          <w:sz w:val="24"/>
          <w:szCs w:val="24"/>
          <w:lang w:eastAsia="lt-LT"/>
        </w:rPr>
      </w:pPr>
      <w:hyperlink w:anchor="_Toc373421070" w:history="1">
        <w:r w:rsidR="00485D2E" w:rsidRPr="00AE38D7">
          <w:rPr>
            <w:rStyle w:val="Hyperlink"/>
            <w:rFonts w:eastAsiaTheme="majorEastAsia"/>
            <w:noProof/>
            <w:sz w:val="24"/>
            <w:szCs w:val="24"/>
          </w:rPr>
          <w:t>3.</w:t>
        </w:r>
        <w:r w:rsidR="00485D2E" w:rsidRPr="00AE38D7">
          <w:rPr>
            <w:rFonts w:asciiTheme="minorHAnsi" w:eastAsiaTheme="minorEastAsia" w:hAnsiTheme="minorHAnsi" w:cstheme="minorBidi"/>
            <w:noProof/>
            <w:sz w:val="24"/>
            <w:szCs w:val="24"/>
            <w:lang w:eastAsia="lt-LT"/>
          </w:rPr>
          <w:tab/>
        </w:r>
        <w:r w:rsidR="00485D2E" w:rsidRPr="00AE38D7">
          <w:rPr>
            <w:rStyle w:val="Hyperlink"/>
            <w:rFonts w:eastAsiaTheme="majorEastAsia"/>
            <w:noProof/>
            <w:sz w:val="24"/>
            <w:szCs w:val="24"/>
          </w:rPr>
          <w:t xml:space="preserve">BALTIJOS ŠALIŲ VALSTYBĖS SKOLOS ANALIZĖ IR </w:t>
        </w:r>
        <w:r w:rsidR="00AE38D7" w:rsidRPr="00AE38D7">
          <w:rPr>
            <w:rStyle w:val="Hyperlink"/>
            <w:rFonts w:eastAsiaTheme="majorEastAsia"/>
            <w:noProof/>
            <w:sz w:val="24"/>
            <w:szCs w:val="24"/>
          </w:rPr>
          <w:t xml:space="preserve">PERSPEKTYVŲ </w:t>
        </w:r>
        <w:r w:rsidR="00485D2E" w:rsidRPr="00AE38D7">
          <w:rPr>
            <w:rStyle w:val="Hyperlink"/>
            <w:rFonts w:eastAsiaTheme="majorEastAsia"/>
            <w:noProof/>
            <w:sz w:val="24"/>
            <w:szCs w:val="24"/>
          </w:rPr>
          <w:t>VERTINIMAS</w:t>
        </w:r>
        <w:r w:rsidR="000F59BB" w:rsidRPr="00AE38D7">
          <w:rPr>
            <w:rStyle w:val="Hyperlink"/>
            <w:rFonts w:eastAsiaTheme="majorEastAsia"/>
            <w:noProof/>
            <w:sz w:val="24"/>
            <w:szCs w:val="24"/>
          </w:rPr>
          <w:t>....</w:t>
        </w:r>
        <w:r w:rsidR="00485D2E" w:rsidRPr="00AE38D7">
          <w:rPr>
            <w:noProof/>
            <w:webHidden/>
            <w:sz w:val="24"/>
            <w:szCs w:val="24"/>
          </w:rPr>
          <w:tab/>
        </w:r>
        <w:r w:rsidRPr="00AE38D7">
          <w:rPr>
            <w:noProof/>
            <w:webHidden/>
            <w:sz w:val="24"/>
            <w:szCs w:val="24"/>
          </w:rPr>
          <w:fldChar w:fldCharType="begin"/>
        </w:r>
        <w:r w:rsidR="00485D2E" w:rsidRPr="00AE38D7">
          <w:rPr>
            <w:noProof/>
            <w:webHidden/>
            <w:sz w:val="24"/>
            <w:szCs w:val="24"/>
          </w:rPr>
          <w:instrText xml:space="preserve"> PAGEREF _Toc373421070 \h </w:instrText>
        </w:r>
        <w:r w:rsidRPr="00AE38D7">
          <w:rPr>
            <w:noProof/>
            <w:webHidden/>
            <w:sz w:val="24"/>
            <w:szCs w:val="24"/>
          </w:rPr>
        </w:r>
        <w:r w:rsidRPr="00AE38D7">
          <w:rPr>
            <w:noProof/>
            <w:webHidden/>
            <w:sz w:val="24"/>
            <w:szCs w:val="24"/>
          </w:rPr>
          <w:fldChar w:fldCharType="separate"/>
        </w:r>
        <w:r w:rsidR="00C566A8">
          <w:rPr>
            <w:noProof/>
            <w:webHidden/>
            <w:sz w:val="24"/>
            <w:szCs w:val="24"/>
          </w:rPr>
          <w:t>27</w:t>
        </w:r>
        <w:r w:rsidRPr="00AE38D7">
          <w:rPr>
            <w:noProof/>
            <w:webHidden/>
            <w:sz w:val="24"/>
            <w:szCs w:val="24"/>
          </w:rPr>
          <w:fldChar w:fldCharType="end"/>
        </w:r>
      </w:hyperlink>
    </w:p>
    <w:p w:rsidR="00485D2E" w:rsidRPr="00AE38D7" w:rsidRDefault="00E12FF5" w:rsidP="00AE38D7">
      <w:pPr>
        <w:pStyle w:val="TOC2"/>
        <w:ind w:right="187"/>
        <w:rPr>
          <w:rFonts w:asciiTheme="minorHAnsi" w:eastAsiaTheme="minorEastAsia" w:hAnsiTheme="minorHAnsi" w:cstheme="minorBidi"/>
          <w:noProof/>
          <w:sz w:val="24"/>
          <w:szCs w:val="24"/>
          <w:lang w:eastAsia="lt-LT"/>
        </w:rPr>
      </w:pPr>
      <w:hyperlink w:anchor="_Toc373421071" w:history="1">
        <w:r w:rsidR="00485D2E" w:rsidRPr="00AE38D7">
          <w:rPr>
            <w:rStyle w:val="Hyperlink"/>
            <w:rFonts w:eastAsiaTheme="majorEastAsia"/>
            <w:noProof/>
            <w:sz w:val="24"/>
            <w:szCs w:val="24"/>
          </w:rPr>
          <w:t>3.1.   Baltijos šalių ekonominės situacijos apžvalga</w:t>
        </w:r>
        <w:r w:rsidR="00485D2E" w:rsidRPr="00AE38D7">
          <w:rPr>
            <w:noProof/>
            <w:webHidden/>
            <w:sz w:val="24"/>
            <w:szCs w:val="24"/>
          </w:rPr>
          <w:tab/>
        </w:r>
        <w:r w:rsidRPr="00AE38D7">
          <w:rPr>
            <w:noProof/>
            <w:webHidden/>
            <w:sz w:val="24"/>
            <w:szCs w:val="24"/>
          </w:rPr>
          <w:fldChar w:fldCharType="begin"/>
        </w:r>
        <w:r w:rsidR="00485D2E" w:rsidRPr="00AE38D7">
          <w:rPr>
            <w:noProof/>
            <w:webHidden/>
            <w:sz w:val="24"/>
            <w:szCs w:val="24"/>
          </w:rPr>
          <w:instrText xml:space="preserve"> PAGEREF _Toc373421071 \h </w:instrText>
        </w:r>
        <w:r w:rsidRPr="00AE38D7">
          <w:rPr>
            <w:noProof/>
            <w:webHidden/>
            <w:sz w:val="24"/>
            <w:szCs w:val="24"/>
          </w:rPr>
        </w:r>
        <w:r w:rsidRPr="00AE38D7">
          <w:rPr>
            <w:noProof/>
            <w:webHidden/>
            <w:sz w:val="24"/>
            <w:szCs w:val="24"/>
          </w:rPr>
          <w:fldChar w:fldCharType="separate"/>
        </w:r>
        <w:r w:rsidR="00C566A8">
          <w:rPr>
            <w:noProof/>
            <w:webHidden/>
            <w:sz w:val="24"/>
            <w:szCs w:val="24"/>
          </w:rPr>
          <w:t>27</w:t>
        </w:r>
        <w:r w:rsidRPr="00AE38D7">
          <w:rPr>
            <w:noProof/>
            <w:webHidden/>
            <w:sz w:val="24"/>
            <w:szCs w:val="24"/>
          </w:rPr>
          <w:fldChar w:fldCharType="end"/>
        </w:r>
      </w:hyperlink>
    </w:p>
    <w:p w:rsidR="00485D2E" w:rsidRPr="00AE38D7" w:rsidRDefault="00E12FF5" w:rsidP="00AE38D7">
      <w:pPr>
        <w:pStyle w:val="TOC2"/>
        <w:ind w:right="187"/>
        <w:rPr>
          <w:rFonts w:asciiTheme="minorHAnsi" w:eastAsiaTheme="minorEastAsia" w:hAnsiTheme="minorHAnsi" w:cstheme="minorBidi"/>
          <w:noProof/>
          <w:sz w:val="24"/>
          <w:szCs w:val="24"/>
          <w:lang w:eastAsia="lt-LT"/>
        </w:rPr>
      </w:pPr>
      <w:hyperlink w:anchor="_Toc373421072" w:history="1">
        <w:r w:rsidR="00485D2E" w:rsidRPr="00AE38D7">
          <w:rPr>
            <w:rStyle w:val="Hyperlink"/>
            <w:rFonts w:eastAsiaTheme="majorEastAsia"/>
            <w:noProof/>
            <w:sz w:val="24"/>
            <w:szCs w:val="24"/>
          </w:rPr>
          <w:t>3.2.  Baltijos šalių valstybės skolos dydis ir skolinimosi kaštai</w:t>
        </w:r>
        <w:r w:rsidR="00485D2E" w:rsidRPr="00AE38D7">
          <w:rPr>
            <w:noProof/>
            <w:webHidden/>
            <w:sz w:val="24"/>
            <w:szCs w:val="24"/>
          </w:rPr>
          <w:tab/>
        </w:r>
        <w:r w:rsidRPr="00AE38D7">
          <w:rPr>
            <w:noProof/>
            <w:webHidden/>
            <w:sz w:val="24"/>
            <w:szCs w:val="24"/>
          </w:rPr>
          <w:fldChar w:fldCharType="begin"/>
        </w:r>
        <w:r w:rsidR="00485D2E" w:rsidRPr="00AE38D7">
          <w:rPr>
            <w:noProof/>
            <w:webHidden/>
            <w:sz w:val="24"/>
            <w:szCs w:val="24"/>
          </w:rPr>
          <w:instrText xml:space="preserve"> PAGEREF _Toc373421072 \h </w:instrText>
        </w:r>
        <w:r w:rsidRPr="00AE38D7">
          <w:rPr>
            <w:noProof/>
            <w:webHidden/>
            <w:sz w:val="24"/>
            <w:szCs w:val="24"/>
          </w:rPr>
        </w:r>
        <w:r w:rsidRPr="00AE38D7">
          <w:rPr>
            <w:noProof/>
            <w:webHidden/>
            <w:sz w:val="24"/>
            <w:szCs w:val="24"/>
          </w:rPr>
          <w:fldChar w:fldCharType="separate"/>
        </w:r>
        <w:r w:rsidR="00C566A8">
          <w:rPr>
            <w:noProof/>
            <w:webHidden/>
            <w:sz w:val="24"/>
            <w:szCs w:val="24"/>
          </w:rPr>
          <w:t>32</w:t>
        </w:r>
        <w:r w:rsidRPr="00AE38D7">
          <w:rPr>
            <w:noProof/>
            <w:webHidden/>
            <w:sz w:val="24"/>
            <w:szCs w:val="24"/>
          </w:rPr>
          <w:fldChar w:fldCharType="end"/>
        </w:r>
      </w:hyperlink>
    </w:p>
    <w:p w:rsidR="00485D2E" w:rsidRPr="00AE38D7" w:rsidRDefault="00E12FF5" w:rsidP="00AE38D7">
      <w:pPr>
        <w:pStyle w:val="TOC2"/>
        <w:ind w:right="187"/>
        <w:rPr>
          <w:rFonts w:asciiTheme="minorHAnsi" w:eastAsiaTheme="minorEastAsia" w:hAnsiTheme="minorHAnsi" w:cstheme="minorBidi"/>
          <w:noProof/>
          <w:sz w:val="24"/>
          <w:szCs w:val="24"/>
          <w:lang w:eastAsia="lt-LT"/>
        </w:rPr>
      </w:pPr>
      <w:hyperlink w:anchor="_Toc373421073" w:history="1">
        <w:r w:rsidR="00485D2E" w:rsidRPr="00AE38D7">
          <w:rPr>
            <w:rStyle w:val="Hyperlink"/>
            <w:rFonts w:eastAsiaTheme="majorEastAsia"/>
            <w:noProof/>
            <w:sz w:val="24"/>
            <w:szCs w:val="24"/>
          </w:rPr>
          <w:t>3.3.</w:t>
        </w:r>
        <w:r w:rsidR="00485D2E" w:rsidRPr="00AE38D7">
          <w:rPr>
            <w:rFonts w:asciiTheme="minorHAnsi" w:eastAsiaTheme="minorEastAsia" w:hAnsiTheme="minorHAnsi" w:cstheme="minorBidi"/>
            <w:noProof/>
            <w:sz w:val="24"/>
            <w:szCs w:val="24"/>
            <w:lang w:eastAsia="lt-LT"/>
          </w:rPr>
          <w:t xml:space="preserve">   </w:t>
        </w:r>
        <w:r w:rsidR="00485D2E" w:rsidRPr="00AE38D7">
          <w:rPr>
            <w:rStyle w:val="Hyperlink"/>
            <w:rFonts w:eastAsiaTheme="majorEastAsia"/>
            <w:noProof/>
            <w:sz w:val="24"/>
            <w:szCs w:val="24"/>
          </w:rPr>
          <w:t>Baltijos šalių valstybės skolos struktūra</w:t>
        </w:r>
        <w:r w:rsidR="00485D2E" w:rsidRPr="00AE38D7">
          <w:rPr>
            <w:noProof/>
            <w:webHidden/>
            <w:sz w:val="24"/>
            <w:szCs w:val="24"/>
          </w:rPr>
          <w:tab/>
        </w:r>
        <w:r w:rsidRPr="00AE38D7">
          <w:rPr>
            <w:noProof/>
            <w:webHidden/>
            <w:sz w:val="24"/>
            <w:szCs w:val="24"/>
          </w:rPr>
          <w:fldChar w:fldCharType="begin"/>
        </w:r>
        <w:r w:rsidR="00485D2E" w:rsidRPr="00AE38D7">
          <w:rPr>
            <w:noProof/>
            <w:webHidden/>
            <w:sz w:val="24"/>
            <w:szCs w:val="24"/>
          </w:rPr>
          <w:instrText xml:space="preserve"> PAGEREF _Toc373421073 \h </w:instrText>
        </w:r>
        <w:r w:rsidRPr="00AE38D7">
          <w:rPr>
            <w:noProof/>
            <w:webHidden/>
            <w:sz w:val="24"/>
            <w:szCs w:val="24"/>
          </w:rPr>
        </w:r>
        <w:r w:rsidRPr="00AE38D7">
          <w:rPr>
            <w:noProof/>
            <w:webHidden/>
            <w:sz w:val="24"/>
            <w:szCs w:val="24"/>
          </w:rPr>
          <w:fldChar w:fldCharType="separate"/>
        </w:r>
        <w:r w:rsidR="00C566A8">
          <w:rPr>
            <w:noProof/>
            <w:webHidden/>
            <w:sz w:val="24"/>
            <w:szCs w:val="24"/>
          </w:rPr>
          <w:t>40</w:t>
        </w:r>
        <w:r w:rsidRPr="00AE38D7">
          <w:rPr>
            <w:noProof/>
            <w:webHidden/>
            <w:sz w:val="24"/>
            <w:szCs w:val="24"/>
          </w:rPr>
          <w:fldChar w:fldCharType="end"/>
        </w:r>
      </w:hyperlink>
    </w:p>
    <w:p w:rsidR="00485D2E" w:rsidRPr="00AE38D7" w:rsidRDefault="00E12FF5" w:rsidP="00AE38D7">
      <w:pPr>
        <w:pStyle w:val="TOC2"/>
        <w:ind w:right="187"/>
        <w:rPr>
          <w:rFonts w:asciiTheme="minorHAnsi" w:eastAsiaTheme="minorEastAsia" w:hAnsiTheme="minorHAnsi" w:cstheme="minorBidi"/>
          <w:noProof/>
          <w:sz w:val="24"/>
          <w:szCs w:val="24"/>
          <w:lang w:eastAsia="lt-LT"/>
        </w:rPr>
      </w:pPr>
      <w:hyperlink w:anchor="_Toc373421074" w:history="1">
        <w:r w:rsidR="00485D2E" w:rsidRPr="00AE38D7">
          <w:rPr>
            <w:rStyle w:val="Hyperlink"/>
            <w:rFonts w:eastAsiaTheme="majorEastAsia"/>
            <w:noProof/>
            <w:sz w:val="24"/>
            <w:szCs w:val="24"/>
          </w:rPr>
          <w:t>3.4.</w:t>
        </w:r>
        <w:r w:rsidR="00485D2E" w:rsidRPr="00AE38D7">
          <w:rPr>
            <w:rFonts w:asciiTheme="minorHAnsi" w:eastAsiaTheme="minorEastAsia" w:hAnsiTheme="minorHAnsi" w:cstheme="minorBidi"/>
            <w:noProof/>
            <w:sz w:val="24"/>
            <w:szCs w:val="24"/>
            <w:lang w:eastAsia="lt-LT"/>
          </w:rPr>
          <w:tab/>
        </w:r>
        <w:r w:rsidR="00485D2E" w:rsidRPr="00AE38D7">
          <w:rPr>
            <w:rStyle w:val="Hyperlink"/>
            <w:rFonts w:eastAsiaTheme="majorEastAsia"/>
            <w:noProof/>
            <w:sz w:val="24"/>
            <w:szCs w:val="24"/>
          </w:rPr>
          <w:t>Baltijos šalių valstybės skolos vertinimas</w:t>
        </w:r>
        <w:r w:rsidR="00485D2E" w:rsidRPr="00AE38D7">
          <w:rPr>
            <w:noProof/>
            <w:webHidden/>
            <w:sz w:val="24"/>
            <w:szCs w:val="24"/>
          </w:rPr>
          <w:tab/>
        </w:r>
        <w:r w:rsidRPr="00AE38D7">
          <w:rPr>
            <w:noProof/>
            <w:webHidden/>
            <w:sz w:val="24"/>
            <w:szCs w:val="24"/>
          </w:rPr>
          <w:fldChar w:fldCharType="begin"/>
        </w:r>
        <w:r w:rsidR="00485D2E" w:rsidRPr="00AE38D7">
          <w:rPr>
            <w:noProof/>
            <w:webHidden/>
            <w:sz w:val="24"/>
            <w:szCs w:val="24"/>
          </w:rPr>
          <w:instrText xml:space="preserve"> PAGEREF _Toc373421074 \h </w:instrText>
        </w:r>
        <w:r w:rsidRPr="00AE38D7">
          <w:rPr>
            <w:noProof/>
            <w:webHidden/>
            <w:sz w:val="24"/>
            <w:szCs w:val="24"/>
          </w:rPr>
        </w:r>
        <w:r w:rsidRPr="00AE38D7">
          <w:rPr>
            <w:noProof/>
            <w:webHidden/>
            <w:sz w:val="24"/>
            <w:szCs w:val="24"/>
          </w:rPr>
          <w:fldChar w:fldCharType="separate"/>
        </w:r>
        <w:r w:rsidR="00C566A8">
          <w:rPr>
            <w:noProof/>
            <w:webHidden/>
            <w:sz w:val="24"/>
            <w:szCs w:val="24"/>
          </w:rPr>
          <w:t>47</w:t>
        </w:r>
        <w:r w:rsidRPr="00AE38D7">
          <w:rPr>
            <w:noProof/>
            <w:webHidden/>
            <w:sz w:val="24"/>
            <w:szCs w:val="24"/>
          </w:rPr>
          <w:fldChar w:fldCharType="end"/>
        </w:r>
      </w:hyperlink>
    </w:p>
    <w:p w:rsidR="00485D2E" w:rsidRPr="00AE38D7" w:rsidRDefault="00E12FF5" w:rsidP="00AE38D7">
      <w:pPr>
        <w:pStyle w:val="TOC2"/>
        <w:ind w:right="187"/>
        <w:rPr>
          <w:rFonts w:asciiTheme="minorHAnsi" w:eastAsiaTheme="minorEastAsia" w:hAnsiTheme="minorHAnsi" w:cstheme="minorBidi"/>
          <w:noProof/>
          <w:sz w:val="24"/>
          <w:szCs w:val="24"/>
          <w:lang w:eastAsia="lt-LT"/>
        </w:rPr>
      </w:pPr>
      <w:hyperlink w:anchor="_Toc373421075" w:history="1">
        <w:r w:rsidR="00485D2E" w:rsidRPr="00AE38D7">
          <w:rPr>
            <w:rStyle w:val="Hyperlink"/>
            <w:rFonts w:eastAsiaTheme="majorEastAsia"/>
            <w:noProof/>
            <w:sz w:val="24"/>
            <w:szCs w:val="24"/>
          </w:rPr>
          <w:t>3.5.</w:t>
        </w:r>
        <w:r w:rsidR="00485D2E" w:rsidRPr="00AE38D7">
          <w:rPr>
            <w:rFonts w:asciiTheme="minorHAnsi" w:eastAsiaTheme="minorEastAsia" w:hAnsiTheme="minorHAnsi" w:cstheme="minorBidi"/>
            <w:noProof/>
            <w:sz w:val="24"/>
            <w:szCs w:val="24"/>
            <w:lang w:eastAsia="lt-LT"/>
          </w:rPr>
          <w:tab/>
        </w:r>
        <w:r w:rsidR="00485D2E" w:rsidRPr="00AE38D7">
          <w:rPr>
            <w:rStyle w:val="Hyperlink"/>
            <w:rFonts w:eastAsiaTheme="majorEastAsia"/>
            <w:noProof/>
            <w:sz w:val="24"/>
            <w:szCs w:val="24"/>
          </w:rPr>
          <w:t>Valstybės skolos valdymo  ypatumai ir problemos Baltijos šalyse</w:t>
        </w:r>
        <w:r w:rsidR="00485D2E" w:rsidRPr="00AE38D7">
          <w:rPr>
            <w:noProof/>
            <w:webHidden/>
            <w:sz w:val="24"/>
            <w:szCs w:val="24"/>
          </w:rPr>
          <w:tab/>
        </w:r>
        <w:r w:rsidRPr="00AE38D7">
          <w:rPr>
            <w:noProof/>
            <w:webHidden/>
            <w:sz w:val="24"/>
            <w:szCs w:val="24"/>
          </w:rPr>
          <w:fldChar w:fldCharType="begin"/>
        </w:r>
        <w:r w:rsidR="00485D2E" w:rsidRPr="00AE38D7">
          <w:rPr>
            <w:noProof/>
            <w:webHidden/>
            <w:sz w:val="24"/>
            <w:szCs w:val="24"/>
          </w:rPr>
          <w:instrText xml:space="preserve"> PAGEREF _Toc373421075 \h </w:instrText>
        </w:r>
        <w:r w:rsidRPr="00AE38D7">
          <w:rPr>
            <w:noProof/>
            <w:webHidden/>
            <w:sz w:val="24"/>
            <w:szCs w:val="24"/>
          </w:rPr>
        </w:r>
        <w:r w:rsidRPr="00AE38D7">
          <w:rPr>
            <w:noProof/>
            <w:webHidden/>
            <w:sz w:val="24"/>
            <w:szCs w:val="24"/>
          </w:rPr>
          <w:fldChar w:fldCharType="separate"/>
        </w:r>
        <w:r w:rsidR="00C566A8">
          <w:rPr>
            <w:noProof/>
            <w:webHidden/>
            <w:sz w:val="24"/>
            <w:szCs w:val="24"/>
          </w:rPr>
          <w:t>50</w:t>
        </w:r>
        <w:r w:rsidRPr="00AE38D7">
          <w:rPr>
            <w:noProof/>
            <w:webHidden/>
            <w:sz w:val="24"/>
            <w:szCs w:val="24"/>
          </w:rPr>
          <w:fldChar w:fldCharType="end"/>
        </w:r>
      </w:hyperlink>
    </w:p>
    <w:p w:rsidR="00485D2E" w:rsidRPr="00AE38D7" w:rsidRDefault="00E12FF5" w:rsidP="00AE38D7">
      <w:pPr>
        <w:pStyle w:val="TOC2"/>
        <w:ind w:right="187"/>
        <w:rPr>
          <w:rFonts w:asciiTheme="minorHAnsi" w:eastAsiaTheme="minorEastAsia" w:hAnsiTheme="minorHAnsi" w:cstheme="minorBidi"/>
          <w:noProof/>
          <w:sz w:val="24"/>
          <w:szCs w:val="24"/>
          <w:lang w:eastAsia="lt-LT"/>
        </w:rPr>
      </w:pPr>
      <w:hyperlink w:anchor="_Toc373421077" w:history="1">
        <w:r w:rsidR="00485D2E" w:rsidRPr="00AE38D7">
          <w:rPr>
            <w:rStyle w:val="Hyperlink"/>
            <w:rFonts w:eastAsiaTheme="majorEastAsia"/>
            <w:noProof/>
            <w:sz w:val="24"/>
            <w:szCs w:val="24"/>
          </w:rPr>
          <w:t>3.6.   Baltijos šalių valstybės skolos perspektyvų vertinimas</w:t>
        </w:r>
        <w:r w:rsidR="00485D2E" w:rsidRPr="00AE38D7">
          <w:rPr>
            <w:noProof/>
            <w:webHidden/>
            <w:sz w:val="24"/>
            <w:szCs w:val="24"/>
          </w:rPr>
          <w:tab/>
        </w:r>
        <w:r w:rsidRPr="00AE38D7">
          <w:rPr>
            <w:noProof/>
            <w:webHidden/>
            <w:sz w:val="24"/>
            <w:szCs w:val="24"/>
          </w:rPr>
          <w:fldChar w:fldCharType="begin"/>
        </w:r>
        <w:r w:rsidR="00485D2E" w:rsidRPr="00AE38D7">
          <w:rPr>
            <w:noProof/>
            <w:webHidden/>
            <w:sz w:val="24"/>
            <w:szCs w:val="24"/>
          </w:rPr>
          <w:instrText xml:space="preserve"> PAGEREF _Toc373421077 \h </w:instrText>
        </w:r>
        <w:r w:rsidRPr="00AE38D7">
          <w:rPr>
            <w:noProof/>
            <w:webHidden/>
            <w:sz w:val="24"/>
            <w:szCs w:val="24"/>
          </w:rPr>
        </w:r>
        <w:r w:rsidRPr="00AE38D7">
          <w:rPr>
            <w:noProof/>
            <w:webHidden/>
            <w:sz w:val="24"/>
            <w:szCs w:val="24"/>
          </w:rPr>
          <w:fldChar w:fldCharType="separate"/>
        </w:r>
        <w:r w:rsidR="00C566A8">
          <w:rPr>
            <w:noProof/>
            <w:webHidden/>
            <w:sz w:val="24"/>
            <w:szCs w:val="24"/>
          </w:rPr>
          <w:t>52</w:t>
        </w:r>
        <w:r w:rsidRPr="00AE38D7">
          <w:rPr>
            <w:noProof/>
            <w:webHidden/>
            <w:sz w:val="24"/>
            <w:szCs w:val="24"/>
          </w:rPr>
          <w:fldChar w:fldCharType="end"/>
        </w:r>
      </w:hyperlink>
    </w:p>
    <w:p w:rsidR="00485D2E" w:rsidRPr="00AE38D7" w:rsidRDefault="00E12FF5" w:rsidP="00AE38D7">
      <w:pPr>
        <w:pStyle w:val="TOC1"/>
        <w:ind w:right="187"/>
        <w:rPr>
          <w:rFonts w:asciiTheme="minorHAnsi" w:eastAsiaTheme="minorEastAsia" w:hAnsiTheme="minorHAnsi" w:cstheme="minorBidi"/>
          <w:noProof/>
          <w:sz w:val="24"/>
          <w:szCs w:val="24"/>
          <w:lang w:eastAsia="lt-LT"/>
        </w:rPr>
      </w:pPr>
      <w:hyperlink w:anchor="_Toc373421078" w:history="1">
        <w:r w:rsidR="00485D2E" w:rsidRPr="00AE38D7">
          <w:rPr>
            <w:rStyle w:val="Hyperlink"/>
            <w:rFonts w:eastAsiaTheme="majorEastAsia"/>
            <w:noProof/>
            <w:sz w:val="24"/>
            <w:szCs w:val="24"/>
          </w:rPr>
          <w:t>IŠVADOS</w:t>
        </w:r>
        <w:r w:rsidR="00485D2E" w:rsidRPr="00AE38D7">
          <w:rPr>
            <w:noProof/>
            <w:webHidden/>
            <w:sz w:val="24"/>
            <w:szCs w:val="24"/>
          </w:rPr>
          <w:tab/>
        </w:r>
        <w:r w:rsidRPr="00AE38D7">
          <w:rPr>
            <w:noProof/>
            <w:webHidden/>
            <w:sz w:val="24"/>
            <w:szCs w:val="24"/>
          </w:rPr>
          <w:fldChar w:fldCharType="begin"/>
        </w:r>
        <w:r w:rsidR="00485D2E" w:rsidRPr="00AE38D7">
          <w:rPr>
            <w:noProof/>
            <w:webHidden/>
            <w:sz w:val="24"/>
            <w:szCs w:val="24"/>
          </w:rPr>
          <w:instrText xml:space="preserve"> PAGEREF _Toc373421078 \h </w:instrText>
        </w:r>
        <w:r w:rsidRPr="00AE38D7">
          <w:rPr>
            <w:noProof/>
            <w:webHidden/>
            <w:sz w:val="24"/>
            <w:szCs w:val="24"/>
          </w:rPr>
        </w:r>
        <w:r w:rsidRPr="00AE38D7">
          <w:rPr>
            <w:noProof/>
            <w:webHidden/>
            <w:sz w:val="24"/>
            <w:szCs w:val="24"/>
          </w:rPr>
          <w:fldChar w:fldCharType="separate"/>
        </w:r>
        <w:r w:rsidR="00C566A8">
          <w:rPr>
            <w:noProof/>
            <w:webHidden/>
            <w:sz w:val="24"/>
            <w:szCs w:val="24"/>
          </w:rPr>
          <w:t>64</w:t>
        </w:r>
        <w:r w:rsidRPr="00AE38D7">
          <w:rPr>
            <w:noProof/>
            <w:webHidden/>
            <w:sz w:val="24"/>
            <w:szCs w:val="24"/>
          </w:rPr>
          <w:fldChar w:fldCharType="end"/>
        </w:r>
      </w:hyperlink>
    </w:p>
    <w:p w:rsidR="00485D2E" w:rsidRPr="00AE38D7" w:rsidRDefault="00E12FF5" w:rsidP="00AE38D7">
      <w:pPr>
        <w:pStyle w:val="TOC1"/>
        <w:ind w:right="187"/>
        <w:rPr>
          <w:rFonts w:asciiTheme="minorHAnsi" w:eastAsiaTheme="minorEastAsia" w:hAnsiTheme="minorHAnsi" w:cstheme="minorBidi"/>
          <w:noProof/>
          <w:sz w:val="24"/>
          <w:szCs w:val="24"/>
          <w:lang w:eastAsia="lt-LT"/>
        </w:rPr>
      </w:pPr>
      <w:hyperlink w:anchor="_Toc373421079" w:history="1">
        <w:r w:rsidR="00485D2E" w:rsidRPr="00AE38D7">
          <w:rPr>
            <w:rStyle w:val="Hyperlink"/>
            <w:rFonts w:eastAsiaTheme="majorEastAsia"/>
            <w:noProof/>
            <w:sz w:val="24"/>
            <w:szCs w:val="24"/>
          </w:rPr>
          <w:t>LITERATŪRA</w:t>
        </w:r>
        <w:r w:rsidR="00485D2E" w:rsidRPr="00AE38D7">
          <w:rPr>
            <w:noProof/>
            <w:webHidden/>
            <w:sz w:val="24"/>
            <w:szCs w:val="24"/>
          </w:rPr>
          <w:tab/>
        </w:r>
        <w:r w:rsidRPr="00AE38D7">
          <w:rPr>
            <w:noProof/>
            <w:webHidden/>
            <w:sz w:val="24"/>
            <w:szCs w:val="24"/>
          </w:rPr>
          <w:fldChar w:fldCharType="begin"/>
        </w:r>
        <w:r w:rsidR="00485D2E" w:rsidRPr="00AE38D7">
          <w:rPr>
            <w:noProof/>
            <w:webHidden/>
            <w:sz w:val="24"/>
            <w:szCs w:val="24"/>
          </w:rPr>
          <w:instrText xml:space="preserve"> PAGEREF _Toc373421079 \h </w:instrText>
        </w:r>
        <w:r w:rsidRPr="00AE38D7">
          <w:rPr>
            <w:noProof/>
            <w:webHidden/>
            <w:sz w:val="24"/>
            <w:szCs w:val="24"/>
          </w:rPr>
        </w:r>
        <w:r w:rsidRPr="00AE38D7">
          <w:rPr>
            <w:noProof/>
            <w:webHidden/>
            <w:sz w:val="24"/>
            <w:szCs w:val="24"/>
          </w:rPr>
          <w:fldChar w:fldCharType="separate"/>
        </w:r>
        <w:r w:rsidR="00C566A8">
          <w:rPr>
            <w:noProof/>
            <w:webHidden/>
            <w:sz w:val="24"/>
            <w:szCs w:val="24"/>
          </w:rPr>
          <w:t>68</w:t>
        </w:r>
        <w:r w:rsidRPr="00AE38D7">
          <w:rPr>
            <w:noProof/>
            <w:webHidden/>
            <w:sz w:val="24"/>
            <w:szCs w:val="24"/>
          </w:rPr>
          <w:fldChar w:fldCharType="end"/>
        </w:r>
      </w:hyperlink>
    </w:p>
    <w:p w:rsidR="00485D2E" w:rsidRPr="00AE38D7" w:rsidRDefault="00E12FF5" w:rsidP="00AE38D7">
      <w:pPr>
        <w:pStyle w:val="TOC1"/>
        <w:ind w:right="187"/>
        <w:rPr>
          <w:rFonts w:asciiTheme="minorHAnsi" w:eastAsiaTheme="minorEastAsia" w:hAnsiTheme="minorHAnsi" w:cstheme="minorBidi"/>
          <w:noProof/>
          <w:sz w:val="24"/>
          <w:szCs w:val="24"/>
          <w:lang w:eastAsia="lt-LT"/>
        </w:rPr>
      </w:pPr>
      <w:hyperlink w:anchor="_Toc373421080" w:history="1">
        <w:r w:rsidR="00485D2E" w:rsidRPr="00AE38D7">
          <w:rPr>
            <w:rStyle w:val="Hyperlink"/>
            <w:rFonts w:eastAsiaTheme="majorEastAsia"/>
            <w:iCs/>
            <w:noProof/>
            <w:sz w:val="24"/>
            <w:szCs w:val="24"/>
            <w:lang w:val="en-US"/>
          </w:rPr>
          <w:t>ANOTACIJA</w:t>
        </w:r>
        <w:r w:rsidR="00485D2E" w:rsidRPr="00AE38D7">
          <w:rPr>
            <w:noProof/>
            <w:webHidden/>
            <w:sz w:val="24"/>
            <w:szCs w:val="24"/>
          </w:rPr>
          <w:tab/>
        </w:r>
        <w:r w:rsidRPr="00AE38D7">
          <w:rPr>
            <w:noProof/>
            <w:webHidden/>
            <w:sz w:val="24"/>
            <w:szCs w:val="24"/>
          </w:rPr>
          <w:fldChar w:fldCharType="begin"/>
        </w:r>
        <w:r w:rsidR="00485D2E" w:rsidRPr="00AE38D7">
          <w:rPr>
            <w:noProof/>
            <w:webHidden/>
            <w:sz w:val="24"/>
            <w:szCs w:val="24"/>
          </w:rPr>
          <w:instrText xml:space="preserve"> PAGEREF _Toc373421080 \h </w:instrText>
        </w:r>
        <w:r w:rsidRPr="00AE38D7">
          <w:rPr>
            <w:noProof/>
            <w:webHidden/>
            <w:sz w:val="24"/>
            <w:szCs w:val="24"/>
          </w:rPr>
        </w:r>
        <w:r w:rsidRPr="00AE38D7">
          <w:rPr>
            <w:noProof/>
            <w:webHidden/>
            <w:sz w:val="24"/>
            <w:szCs w:val="24"/>
          </w:rPr>
          <w:fldChar w:fldCharType="separate"/>
        </w:r>
        <w:r w:rsidR="00C566A8">
          <w:rPr>
            <w:noProof/>
            <w:webHidden/>
            <w:sz w:val="24"/>
            <w:szCs w:val="24"/>
          </w:rPr>
          <w:t>71</w:t>
        </w:r>
        <w:r w:rsidRPr="00AE38D7">
          <w:rPr>
            <w:noProof/>
            <w:webHidden/>
            <w:sz w:val="24"/>
            <w:szCs w:val="24"/>
          </w:rPr>
          <w:fldChar w:fldCharType="end"/>
        </w:r>
      </w:hyperlink>
    </w:p>
    <w:p w:rsidR="00485D2E" w:rsidRPr="00AE38D7" w:rsidRDefault="00E12FF5" w:rsidP="00AE38D7">
      <w:pPr>
        <w:pStyle w:val="TOC1"/>
        <w:ind w:right="187"/>
        <w:rPr>
          <w:rFonts w:asciiTheme="minorHAnsi" w:eastAsiaTheme="minorEastAsia" w:hAnsiTheme="minorHAnsi" w:cstheme="minorBidi"/>
          <w:noProof/>
          <w:sz w:val="24"/>
          <w:szCs w:val="24"/>
          <w:lang w:eastAsia="lt-LT"/>
        </w:rPr>
      </w:pPr>
      <w:hyperlink w:anchor="_Toc373421081" w:history="1">
        <w:r w:rsidR="00485D2E" w:rsidRPr="00AE38D7">
          <w:rPr>
            <w:rStyle w:val="Hyperlink"/>
            <w:rFonts w:eastAsiaTheme="majorEastAsia"/>
            <w:noProof/>
            <w:sz w:val="24"/>
            <w:szCs w:val="24"/>
            <w:lang w:val="en-US"/>
          </w:rPr>
          <w:t>ANOTATION</w:t>
        </w:r>
        <w:r w:rsidR="00485D2E" w:rsidRPr="00AE38D7">
          <w:rPr>
            <w:noProof/>
            <w:webHidden/>
            <w:sz w:val="24"/>
            <w:szCs w:val="24"/>
          </w:rPr>
          <w:tab/>
        </w:r>
        <w:r w:rsidRPr="00AE38D7">
          <w:rPr>
            <w:noProof/>
            <w:webHidden/>
            <w:sz w:val="24"/>
            <w:szCs w:val="24"/>
          </w:rPr>
          <w:fldChar w:fldCharType="begin"/>
        </w:r>
        <w:r w:rsidR="00485D2E" w:rsidRPr="00AE38D7">
          <w:rPr>
            <w:noProof/>
            <w:webHidden/>
            <w:sz w:val="24"/>
            <w:szCs w:val="24"/>
          </w:rPr>
          <w:instrText xml:space="preserve"> PAGEREF _Toc373421081 \h </w:instrText>
        </w:r>
        <w:r w:rsidRPr="00AE38D7">
          <w:rPr>
            <w:noProof/>
            <w:webHidden/>
            <w:sz w:val="24"/>
            <w:szCs w:val="24"/>
          </w:rPr>
        </w:r>
        <w:r w:rsidRPr="00AE38D7">
          <w:rPr>
            <w:noProof/>
            <w:webHidden/>
            <w:sz w:val="24"/>
            <w:szCs w:val="24"/>
          </w:rPr>
          <w:fldChar w:fldCharType="separate"/>
        </w:r>
        <w:r w:rsidR="00C566A8">
          <w:rPr>
            <w:noProof/>
            <w:webHidden/>
            <w:sz w:val="24"/>
            <w:szCs w:val="24"/>
          </w:rPr>
          <w:t>72</w:t>
        </w:r>
        <w:r w:rsidRPr="00AE38D7">
          <w:rPr>
            <w:noProof/>
            <w:webHidden/>
            <w:sz w:val="24"/>
            <w:szCs w:val="24"/>
          </w:rPr>
          <w:fldChar w:fldCharType="end"/>
        </w:r>
      </w:hyperlink>
    </w:p>
    <w:p w:rsidR="00485D2E" w:rsidRPr="00AE38D7" w:rsidRDefault="00E12FF5" w:rsidP="00AE38D7">
      <w:pPr>
        <w:pStyle w:val="TOC1"/>
        <w:ind w:right="187"/>
        <w:rPr>
          <w:rFonts w:asciiTheme="minorHAnsi" w:eastAsiaTheme="minorEastAsia" w:hAnsiTheme="minorHAnsi" w:cstheme="minorBidi"/>
          <w:noProof/>
          <w:sz w:val="24"/>
          <w:szCs w:val="24"/>
          <w:lang w:eastAsia="lt-LT"/>
        </w:rPr>
      </w:pPr>
      <w:hyperlink w:anchor="_Toc373421082" w:history="1">
        <w:r w:rsidR="00485D2E" w:rsidRPr="00AE38D7">
          <w:rPr>
            <w:rStyle w:val="Hyperlink"/>
            <w:rFonts w:eastAsiaTheme="majorEastAsia"/>
            <w:noProof/>
            <w:sz w:val="24"/>
            <w:szCs w:val="24"/>
            <w:lang w:val="en-US"/>
          </w:rPr>
          <w:t>SANTRAUKA</w:t>
        </w:r>
        <w:r w:rsidR="00485D2E" w:rsidRPr="00AE38D7">
          <w:rPr>
            <w:noProof/>
            <w:webHidden/>
            <w:sz w:val="24"/>
            <w:szCs w:val="24"/>
          </w:rPr>
          <w:tab/>
        </w:r>
        <w:r w:rsidRPr="00AE38D7">
          <w:rPr>
            <w:noProof/>
            <w:webHidden/>
            <w:sz w:val="24"/>
            <w:szCs w:val="24"/>
          </w:rPr>
          <w:fldChar w:fldCharType="begin"/>
        </w:r>
        <w:r w:rsidR="00485D2E" w:rsidRPr="00AE38D7">
          <w:rPr>
            <w:noProof/>
            <w:webHidden/>
            <w:sz w:val="24"/>
            <w:szCs w:val="24"/>
          </w:rPr>
          <w:instrText xml:space="preserve"> PAGEREF _Toc373421082 \h </w:instrText>
        </w:r>
        <w:r w:rsidRPr="00AE38D7">
          <w:rPr>
            <w:noProof/>
            <w:webHidden/>
            <w:sz w:val="24"/>
            <w:szCs w:val="24"/>
          </w:rPr>
        </w:r>
        <w:r w:rsidRPr="00AE38D7">
          <w:rPr>
            <w:noProof/>
            <w:webHidden/>
            <w:sz w:val="24"/>
            <w:szCs w:val="24"/>
          </w:rPr>
          <w:fldChar w:fldCharType="separate"/>
        </w:r>
        <w:r w:rsidR="00C566A8">
          <w:rPr>
            <w:noProof/>
            <w:webHidden/>
            <w:sz w:val="24"/>
            <w:szCs w:val="24"/>
          </w:rPr>
          <w:t>73</w:t>
        </w:r>
        <w:r w:rsidRPr="00AE38D7">
          <w:rPr>
            <w:noProof/>
            <w:webHidden/>
            <w:sz w:val="24"/>
            <w:szCs w:val="24"/>
          </w:rPr>
          <w:fldChar w:fldCharType="end"/>
        </w:r>
      </w:hyperlink>
    </w:p>
    <w:p w:rsidR="00485D2E" w:rsidRPr="00AE38D7" w:rsidRDefault="00E12FF5" w:rsidP="00AE38D7">
      <w:pPr>
        <w:pStyle w:val="TOC1"/>
        <w:ind w:right="187"/>
        <w:rPr>
          <w:rFonts w:asciiTheme="minorHAnsi" w:eastAsiaTheme="minorEastAsia" w:hAnsiTheme="minorHAnsi" w:cstheme="minorBidi"/>
          <w:noProof/>
          <w:sz w:val="24"/>
          <w:szCs w:val="24"/>
          <w:lang w:eastAsia="lt-LT"/>
        </w:rPr>
      </w:pPr>
      <w:hyperlink w:anchor="_Toc373421083" w:history="1">
        <w:r w:rsidR="00485D2E" w:rsidRPr="00AE38D7">
          <w:rPr>
            <w:rStyle w:val="Hyperlink"/>
            <w:rFonts w:eastAsiaTheme="majorEastAsia"/>
            <w:noProof/>
            <w:sz w:val="24"/>
            <w:szCs w:val="24"/>
            <w:lang w:val="en-US"/>
          </w:rPr>
          <w:t>SUMMARY</w:t>
        </w:r>
        <w:r w:rsidR="00485D2E" w:rsidRPr="00AE38D7">
          <w:rPr>
            <w:noProof/>
            <w:webHidden/>
            <w:sz w:val="24"/>
            <w:szCs w:val="24"/>
          </w:rPr>
          <w:tab/>
        </w:r>
        <w:r w:rsidRPr="00AE38D7">
          <w:rPr>
            <w:noProof/>
            <w:webHidden/>
            <w:sz w:val="24"/>
            <w:szCs w:val="24"/>
          </w:rPr>
          <w:fldChar w:fldCharType="begin"/>
        </w:r>
        <w:r w:rsidR="00485D2E" w:rsidRPr="00AE38D7">
          <w:rPr>
            <w:noProof/>
            <w:webHidden/>
            <w:sz w:val="24"/>
            <w:szCs w:val="24"/>
          </w:rPr>
          <w:instrText xml:space="preserve"> PAGEREF _Toc373421083 \h </w:instrText>
        </w:r>
        <w:r w:rsidRPr="00AE38D7">
          <w:rPr>
            <w:noProof/>
            <w:webHidden/>
            <w:sz w:val="24"/>
            <w:szCs w:val="24"/>
          </w:rPr>
        </w:r>
        <w:r w:rsidRPr="00AE38D7">
          <w:rPr>
            <w:noProof/>
            <w:webHidden/>
            <w:sz w:val="24"/>
            <w:szCs w:val="24"/>
          </w:rPr>
          <w:fldChar w:fldCharType="separate"/>
        </w:r>
        <w:r w:rsidR="00C566A8">
          <w:rPr>
            <w:noProof/>
            <w:webHidden/>
            <w:sz w:val="24"/>
            <w:szCs w:val="24"/>
          </w:rPr>
          <w:t>75</w:t>
        </w:r>
        <w:r w:rsidRPr="00AE38D7">
          <w:rPr>
            <w:noProof/>
            <w:webHidden/>
            <w:sz w:val="24"/>
            <w:szCs w:val="24"/>
          </w:rPr>
          <w:fldChar w:fldCharType="end"/>
        </w:r>
      </w:hyperlink>
    </w:p>
    <w:p w:rsidR="00485D2E" w:rsidRPr="00AE38D7" w:rsidRDefault="00E12FF5" w:rsidP="00AE38D7">
      <w:pPr>
        <w:pStyle w:val="TOC1"/>
        <w:ind w:right="187"/>
        <w:rPr>
          <w:rFonts w:asciiTheme="minorHAnsi" w:eastAsiaTheme="minorEastAsia" w:hAnsiTheme="minorHAnsi" w:cstheme="minorBidi"/>
          <w:noProof/>
          <w:sz w:val="24"/>
          <w:szCs w:val="24"/>
          <w:lang w:eastAsia="lt-LT"/>
        </w:rPr>
      </w:pPr>
      <w:hyperlink w:anchor="_Toc373421084" w:history="1">
        <w:r w:rsidR="00485D2E" w:rsidRPr="00AE38D7">
          <w:rPr>
            <w:rStyle w:val="Hyperlink"/>
            <w:rFonts w:eastAsiaTheme="majorEastAsia"/>
            <w:noProof/>
            <w:sz w:val="24"/>
            <w:szCs w:val="24"/>
            <w:lang w:val="en-US"/>
          </w:rPr>
          <w:t>PRIEDAI</w:t>
        </w:r>
        <w:r w:rsidR="00485D2E" w:rsidRPr="00AE38D7">
          <w:rPr>
            <w:noProof/>
            <w:webHidden/>
            <w:sz w:val="24"/>
            <w:szCs w:val="24"/>
          </w:rPr>
          <w:tab/>
        </w:r>
        <w:r w:rsidRPr="00AE38D7">
          <w:rPr>
            <w:noProof/>
            <w:webHidden/>
            <w:sz w:val="24"/>
            <w:szCs w:val="24"/>
          </w:rPr>
          <w:fldChar w:fldCharType="begin"/>
        </w:r>
        <w:r w:rsidR="00485D2E" w:rsidRPr="00AE38D7">
          <w:rPr>
            <w:noProof/>
            <w:webHidden/>
            <w:sz w:val="24"/>
            <w:szCs w:val="24"/>
          </w:rPr>
          <w:instrText xml:space="preserve"> PAGEREF _Toc373421084 \h </w:instrText>
        </w:r>
        <w:r w:rsidRPr="00AE38D7">
          <w:rPr>
            <w:noProof/>
            <w:webHidden/>
            <w:sz w:val="24"/>
            <w:szCs w:val="24"/>
          </w:rPr>
        </w:r>
        <w:r w:rsidRPr="00AE38D7">
          <w:rPr>
            <w:noProof/>
            <w:webHidden/>
            <w:sz w:val="24"/>
            <w:szCs w:val="24"/>
          </w:rPr>
          <w:fldChar w:fldCharType="separate"/>
        </w:r>
        <w:r w:rsidR="00C566A8">
          <w:rPr>
            <w:noProof/>
            <w:webHidden/>
            <w:sz w:val="24"/>
            <w:szCs w:val="24"/>
          </w:rPr>
          <w:t>77</w:t>
        </w:r>
        <w:r w:rsidRPr="00AE38D7">
          <w:rPr>
            <w:noProof/>
            <w:webHidden/>
            <w:sz w:val="24"/>
            <w:szCs w:val="24"/>
          </w:rPr>
          <w:fldChar w:fldCharType="end"/>
        </w:r>
      </w:hyperlink>
    </w:p>
    <w:p w:rsidR="00013A5E" w:rsidRPr="00AE38D7" w:rsidRDefault="00E12FF5" w:rsidP="00AE38D7">
      <w:pPr>
        <w:tabs>
          <w:tab w:val="center" w:pos="4819"/>
          <w:tab w:val="left" w:pos="5475"/>
        </w:tabs>
        <w:ind w:right="187" w:firstLine="0"/>
        <w:jc w:val="left"/>
        <w:rPr>
          <w:color w:val="000000"/>
          <w:sz w:val="24"/>
          <w:szCs w:val="24"/>
        </w:rPr>
      </w:pPr>
      <w:r w:rsidRPr="00AE38D7">
        <w:rPr>
          <w:color w:val="000000"/>
          <w:sz w:val="24"/>
          <w:szCs w:val="24"/>
        </w:rPr>
        <w:fldChar w:fldCharType="end"/>
      </w:r>
    </w:p>
    <w:p w:rsidR="00013A5E" w:rsidRPr="00D46190" w:rsidRDefault="00013A5E" w:rsidP="00AE38D7">
      <w:pPr>
        <w:ind w:right="187" w:firstLine="0"/>
        <w:jc w:val="center"/>
        <w:rPr>
          <w:color w:val="000000"/>
          <w:sz w:val="24"/>
          <w:szCs w:val="24"/>
        </w:rPr>
      </w:pPr>
    </w:p>
    <w:p w:rsidR="00013A5E" w:rsidRPr="00D46190" w:rsidRDefault="00013A5E" w:rsidP="00AE38D7">
      <w:pPr>
        <w:ind w:right="187" w:firstLine="0"/>
        <w:jc w:val="center"/>
        <w:rPr>
          <w:color w:val="000000"/>
          <w:sz w:val="24"/>
          <w:szCs w:val="24"/>
        </w:rPr>
      </w:pPr>
    </w:p>
    <w:p w:rsidR="00013A5E" w:rsidRPr="00D46190" w:rsidRDefault="00013A5E" w:rsidP="00AE38D7">
      <w:pPr>
        <w:ind w:right="187" w:firstLine="0"/>
        <w:jc w:val="center"/>
        <w:rPr>
          <w:color w:val="000000"/>
          <w:sz w:val="24"/>
          <w:szCs w:val="24"/>
        </w:rPr>
      </w:pPr>
    </w:p>
    <w:p w:rsidR="00013A5E" w:rsidRPr="00D46190" w:rsidRDefault="00013A5E" w:rsidP="00AE38D7">
      <w:pPr>
        <w:ind w:right="187" w:firstLine="0"/>
        <w:jc w:val="center"/>
        <w:rPr>
          <w:color w:val="000000"/>
          <w:sz w:val="24"/>
          <w:szCs w:val="24"/>
        </w:rPr>
      </w:pPr>
    </w:p>
    <w:p w:rsidR="00013A5E" w:rsidRPr="00D46190" w:rsidRDefault="00013A5E" w:rsidP="00AE38D7">
      <w:pPr>
        <w:ind w:right="187" w:firstLine="0"/>
        <w:jc w:val="center"/>
        <w:rPr>
          <w:color w:val="000000"/>
          <w:sz w:val="24"/>
          <w:szCs w:val="24"/>
        </w:rPr>
      </w:pPr>
    </w:p>
    <w:p w:rsidR="00013A5E" w:rsidRPr="00D46190" w:rsidRDefault="00013A5E" w:rsidP="00AE38D7">
      <w:pPr>
        <w:ind w:right="187" w:firstLine="0"/>
        <w:jc w:val="center"/>
        <w:rPr>
          <w:color w:val="000000"/>
          <w:sz w:val="24"/>
          <w:szCs w:val="24"/>
        </w:rPr>
      </w:pPr>
    </w:p>
    <w:p w:rsidR="00013A5E" w:rsidRDefault="00013A5E" w:rsidP="00AE38D7">
      <w:pPr>
        <w:ind w:right="187" w:firstLine="0"/>
        <w:jc w:val="center"/>
        <w:rPr>
          <w:b/>
          <w:color w:val="000000"/>
          <w:sz w:val="28"/>
          <w:szCs w:val="28"/>
        </w:rPr>
      </w:pPr>
    </w:p>
    <w:p w:rsidR="00D61395" w:rsidRDefault="00D61395" w:rsidP="007A113D">
      <w:pPr>
        <w:ind w:firstLine="0"/>
        <w:jc w:val="center"/>
        <w:rPr>
          <w:b/>
          <w:color w:val="000000"/>
          <w:sz w:val="28"/>
          <w:szCs w:val="28"/>
        </w:rPr>
      </w:pPr>
    </w:p>
    <w:p w:rsidR="00D61395" w:rsidRDefault="00D61395" w:rsidP="007A113D">
      <w:pPr>
        <w:ind w:firstLine="0"/>
        <w:jc w:val="center"/>
        <w:rPr>
          <w:b/>
          <w:color w:val="000000"/>
          <w:sz w:val="28"/>
          <w:szCs w:val="28"/>
        </w:rPr>
      </w:pPr>
    </w:p>
    <w:p w:rsidR="00D61395" w:rsidRDefault="00D61395" w:rsidP="007A113D">
      <w:pPr>
        <w:ind w:firstLine="0"/>
        <w:jc w:val="center"/>
        <w:rPr>
          <w:b/>
          <w:color w:val="000000"/>
          <w:sz w:val="28"/>
          <w:szCs w:val="28"/>
        </w:rPr>
      </w:pPr>
    </w:p>
    <w:p w:rsidR="00D61395" w:rsidRDefault="000E7324" w:rsidP="007A113D">
      <w:pPr>
        <w:ind w:firstLine="0"/>
        <w:jc w:val="center"/>
        <w:rPr>
          <w:b/>
          <w:color w:val="000000"/>
          <w:sz w:val="28"/>
          <w:szCs w:val="28"/>
        </w:rPr>
      </w:pPr>
      <w:r>
        <w:rPr>
          <w:b/>
          <w:color w:val="000000"/>
          <w:sz w:val="28"/>
          <w:szCs w:val="28"/>
        </w:rPr>
        <w:t>PRIEDAI</w:t>
      </w:r>
    </w:p>
    <w:p w:rsidR="00D61395" w:rsidRDefault="00D61395" w:rsidP="007A113D">
      <w:pPr>
        <w:ind w:firstLine="0"/>
        <w:jc w:val="center"/>
        <w:rPr>
          <w:b/>
          <w:color w:val="000000"/>
          <w:sz w:val="28"/>
          <w:szCs w:val="28"/>
        </w:rPr>
      </w:pPr>
    </w:p>
    <w:p w:rsidR="00D61395" w:rsidRDefault="00D61395" w:rsidP="007A113D">
      <w:pPr>
        <w:ind w:firstLine="0"/>
        <w:jc w:val="center"/>
        <w:rPr>
          <w:b/>
          <w:color w:val="000000"/>
          <w:sz w:val="28"/>
          <w:szCs w:val="28"/>
        </w:rPr>
      </w:pPr>
    </w:p>
    <w:p w:rsidR="00D61395" w:rsidRPr="00C17DDF" w:rsidRDefault="009577C1" w:rsidP="00C353CD">
      <w:pPr>
        <w:spacing w:line="360" w:lineRule="auto"/>
        <w:ind w:firstLine="540"/>
        <w:jc w:val="left"/>
        <w:rPr>
          <w:color w:val="000000"/>
          <w:sz w:val="24"/>
          <w:szCs w:val="24"/>
        </w:rPr>
      </w:pPr>
      <w:r>
        <w:rPr>
          <w:color w:val="000000"/>
          <w:sz w:val="24"/>
          <w:szCs w:val="24"/>
        </w:rPr>
        <w:t>1 priedas</w:t>
      </w:r>
      <w:r w:rsidR="000E7324" w:rsidRPr="00C17DDF">
        <w:rPr>
          <w:color w:val="000000"/>
          <w:sz w:val="24"/>
          <w:szCs w:val="24"/>
        </w:rPr>
        <w:t>. Baltijos šalių ekonominiai ir demografiniai rodikliai...................</w:t>
      </w:r>
      <w:r>
        <w:rPr>
          <w:color w:val="000000"/>
          <w:sz w:val="24"/>
          <w:szCs w:val="24"/>
        </w:rPr>
        <w:t>......</w:t>
      </w:r>
      <w:r w:rsidR="000E7324" w:rsidRPr="00C17DDF">
        <w:rPr>
          <w:color w:val="000000"/>
          <w:sz w:val="24"/>
          <w:szCs w:val="24"/>
        </w:rPr>
        <w:t>..................</w:t>
      </w:r>
      <w:r w:rsidR="005C38B2">
        <w:rPr>
          <w:color w:val="000000"/>
          <w:sz w:val="24"/>
          <w:szCs w:val="24"/>
        </w:rPr>
        <w:t>...........</w:t>
      </w:r>
      <w:r w:rsidR="005B6EE3">
        <w:rPr>
          <w:color w:val="000000"/>
          <w:sz w:val="24"/>
          <w:szCs w:val="24"/>
        </w:rPr>
        <w:t>...</w:t>
      </w:r>
      <w:r w:rsidR="00C353CD">
        <w:rPr>
          <w:color w:val="000000"/>
          <w:sz w:val="24"/>
          <w:szCs w:val="24"/>
        </w:rPr>
        <w:t>.</w:t>
      </w:r>
      <w:r w:rsidR="00D16B1B">
        <w:rPr>
          <w:color w:val="000000"/>
          <w:sz w:val="24"/>
          <w:szCs w:val="24"/>
        </w:rPr>
        <w:t>78</w:t>
      </w:r>
    </w:p>
    <w:p w:rsidR="000E7324" w:rsidRPr="00C17DDF" w:rsidRDefault="009577C1" w:rsidP="00C353CD">
      <w:pPr>
        <w:spacing w:line="360" w:lineRule="auto"/>
        <w:ind w:firstLine="540"/>
        <w:jc w:val="left"/>
        <w:rPr>
          <w:color w:val="000000"/>
          <w:sz w:val="24"/>
          <w:szCs w:val="24"/>
        </w:rPr>
      </w:pPr>
      <w:r>
        <w:rPr>
          <w:color w:val="000000"/>
          <w:sz w:val="24"/>
          <w:szCs w:val="24"/>
        </w:rPr>
        <w:t>2 priedas</w:t>
      </w:r>
      <w:r w:rsidR="000E7324" w:rsidRPr="00C17DDF">
        <w:rPr>
          <w:color w:val="000000"/>
          <w:sz w:val="24"/>
          <w:szCs w:val="24"/>
        </w:rPr>
        <w:t>. ES  šalių valstybės skola...............................................................................</w:t>
      </w:r>
      <w:r w:rsidR="00C17DDF">
        <w:rPr>
          <w:color w:val="000000"/>
          <w:sz w:val="24"/>
          <w:szCs w:val="24"/>
        </w:rPr>
        <w:t>...................</w:t>
      </w:r>
      <w:r w:rsidR="005B6EE3">
        <w:rPr>
          <w:color w:val="000000"/>
          <w:sz w:val="24"/>
          <w:szCs w:val="24"/>
        </w:rPr>
        <w:t>...</w:t>
      </w:r>
      <w:r w:rsidR="00C353CD">
        <w:rPr>
          <w:color w:val="000000"/>
          <w:sz w:val="24"/>
          <w:szCs w:val="24"/>
        </w:rPr>
        <w:t>.</w:t>
      </w:r>
      <w:r w:rsidR="00D16B1B">
        <w:rPr>
          <w:color w:val="000000"/>
          <w:sz w:val="24"/>
          <w:szCs w:val="24"/>
        </w:rPr>
        <w:t>81</w:t>
      </w:r>
    </w:p>
    <w:p w:rsidR="000E7324" w:rsidRPr="00C17DDF" w:rsidRDefault="009577C1" w:rsidP="00C353CD">
      <w:pPr>
        <w:spacing w:line="360" w:lineRule="auto"/>
        <w:ind w:firstLine="540"/>
        <w:jc w:val="left"/>
        <w:rPr>
          <w:color w:val="000000"/>
          <w:sz w:val="24"/>
          <w:szCs w:val="24"/>
        </w:rPr>
      </w:pPr>
      <w:r>
        <w:rPr>
          <w:color w:val="000000"/>
          <w:sz w:val="24"/>
          <w:szCs w:val="24"/>
        </w:rPr>
        <w:t>3 priedas</w:t>
      </w:r>
      <w:r w:rsidR="000E7324" w:rsidRPr="00C17DDF">
        <w:rPr>
          <w:color w:val="000000"/>
          <w:sz w:val="24"/>
          <w:szCs w:val="24"/>
        </w:rPr>
        <w:t>. Kredito reitingų reikšmės...........................................................................</w:t>
      </w:r>
      <w:r w:rsidR="00C17DDF">
        <w:rPr>
          <w:color w:val="000000"/>
          <w:sz w:val="24"/>
          <w:szCs w:val="24"/>
        </w:rPr>
        <w:t>.....................</w:t>
      </w:r>
      <w:r w:rsidR="005B6EE3">
        <w:rPr>
          <w:color w:val="000000"/>
          <w:sz w:val="24"/>
          <w:szCs w:val="24"/>
        </w:rPr>
        <w:t>....</w:t>
      </w:r>
      <w:r w:rsidR="00D16B1B">
        <w:rPr>
          <w:color w:val="000000"/>
          <w:sz w:val="24"/>
          <w:szCs w:val="24"/>
        </w:rPr>
        <w:t>82</w:t>
      </w:r>
    </w:p>
    <w:p w:rsidR="000E7324" w:rsidRPr="00C17DDF" w:rsidRDefault="009577C1" w:rsidP="00C353CD">
      <w:pPr>
        <w:spacing w:line="360" w:lineRule="auto"/>
        <w:ind w:firstLine="540"/>
        <w:jc w:val="left"/>
        <w:rPr>
          <w:color w:val="000000"/>
          <w:sz w:val="24"/>
          <w:szCs w:val="24"/>
        </w:rPr>
      </w:pPr>
      <w:r>
        <w:rPr>
          <w:color w:val="000000"/>
          <w:sz w:val="24"/>
          <w:szCs w:val="24"/>
        </w:rPr>
        <w:t>4 priedas</w:t>
      </w:r>
      <w:r w:rsidR="000E7324" w:rsidRPr="00C17DDF">
        <w:rPr>
          <w:color w:val="000000"/>
          <w:sz w:val="24"/>
          <w:szCs w:val="24"/>
        </w:rPr>
        <w:t>. Baltijos šalių valstybės skolos struktūra................................................</w:t>
      </w:r>
      <w:r w:rsidR="00C17DDF">
        <w:rPr>
          <w:color w:val="000000"/>
          <w:sz w:val="24"/>
          <w:szCs w:val="24"/>
        </w:rPr>
        <w:t>........................</w:t>
      </w:r>
      <w:r>
        <w:rPr>
          <w:color w:val="000000"/>
          <w:sz w:val="24"/>
          <w:szCs w:val="24"/>
        </w:rPr>
        <w:t>.....</w:t>
      </w:r>
      <w:r w:rsidR="00D16B1B">
        <w:rPr>
          <w:color w:val="000000"/>
          <w:sz w:val="24"/>
          <w:szCs w:val="24"/>
        </w:rPr>
        <w:t>.83</w:t>
      </w:r>
    </w:p>
    <w:p w:rsidR="00D61395" w:rsidRPr="00C17DDF" w:rsidRDefault="009577C1" w:rsidP="00C353CD">
      <w:pPr>
        <w:spacing w:line="360" w:lineRule="auto"/>
        <w:ind w:firstLine="540"/>
        <w:jc w:val="left"/>
        <w:rPr>
          <w:color w:val="000000"/>
          <w:sz w:val="24"/>
          <w:szCs w:val="24"/>
        </w:rPr>
      </w:pPr>
      <w:r>
        <w:rPr>
          <w:color w:val="000000"/>
          <w:sz w:val="24"/>
          <w:szCs w:val="24"/>
        </w:rPr>
        <w:t>5 priedas</w:t>
      </w:r>
      <w:r w:rsidR="000E7324" w:rsidRPr="00C17DDF">
        <w:rPr>
          <w:color w:val="000000"/>
          <w:sz w:val="24"/>
          <w:szCs w:val="24"/>
        </w:rPr>
        <w:t>. Valstybės skolos vertinimo rodiklių kritinės reikšmės........................</w:t>
      </w:r>
      <w:r w:rsidR="00C17DDF">
        <w:rPr>
          <w:color w:val="000000"/>
          <w:sz w:val="24"/>
          <w:szCs w:val="24"/>
        </w:rPr>
        <w:t>........</w:t>
      </w:r>
      <w:r>
        <w:rPr>
          <w:color w:val="000000"/>
          <w:sz w:val="24"/>
          <w:szCs w:val="24"/>
        </w:rPr>
        <w:t>.....</w:t>
      </w:r>
      <w:r w:rsidR="00C353CD">
        <w:rPr>
          <w:color w:val="000000"/>
          <w:sz w:val="24"/>
          <w:szCs w:val="24"/>
        </w:rPr>
        <w:t>...................8</w:t>
      </w:r>
      <w:r w:rsidR="00D16B1B">
        <w:rPr>
          <w:color w:val="000000"/>
          <w:sz w:val="24"/>
          <w:szCs w:val="24"/>
        </w:rPr>
        <w:t>8</w:t>
      </w:r>
    </w:p>
    <w:p w:rsidR="000E7324" w:rsidRPr="00C17DDF" w:rsidRDefault="009577C1" w:rsidP="00C353CD">
      <w:pPr>
        <w:spacing w:line="360" w:lineRule="auto"/>
        <w:ind w:firstLine="540"/>
        <w:jc w:val="left"/>
        <w:rPr>
          <w:color w:val="000000"/>
          <w:sz w:val="24"/>
          <w:szCs w:val="24"/>
        </w:rPr>
      </w:pPr>
      <w:r>
        <w:rPr>
          <w:color w:val="000000"/>
          <w:sz w:val="24"/>
          <w:szCs w:val="24"/>
        </w:rPr>
        <w:t>6 priedas</w:t>
      </w:r>
      <w:r w:rsidR="000E7324" w:rsidRPr="00C17DDF">
        <w:rPr>
          <w:color w:val="000000"/>
          <w:sz w:val="24"/>
          <w:szCs w:val="24"/>
        </w:rPr>
        <w:t>. Latvijos ir Lietuvos skolinimosi limitai...........................</w:t>
      </w:r>
      <w:r w:rsidR="00C17DDF">
        <w:rPr>
          <w:color w:val="000000"/>
          <w:sz w:val="24"/>
          <w:szCs w:val="24"/>
        </w:rPr>
        <w:t>.........................</w:t>
      </w:r>
      <w:r>
        <w:rPr>
          <w:color w:val="000000"/>
          <w:sz w:val="24"/>
          <w:szCs w:val="24"/>
        </w:rPr>
        <w:t>.....</w:t>
      </w:r>
      <w:r w:rsidR="00C17DDF">
        <w:rPr>
          <w:color w:val="000000"/>
          <w:sz w:val="24"/>
          <w:szCs w:val="24"/>
        </w:rPr>
        <w:t>.....</w:t>
      </w:r>
      <w:r w:rsidR="005C38B2">
        <w:rPr>
          <w:color w:val="000000"/>
          <w:sz w:val="24"/>
          <w:szCs w:val="24"/>
        </w:rPr>
        <w:t>....</w:t>
      </w:r>
      <w:r w:rsidR="00C353CD">
        <w:rPr>
          <w:color w:val="000000"/>
          <w:sz w:val="24"/>
          <w:szCs w:val="24"/>
        </w:rPr>
        <w:t>............</w:t>
      </w:r>
      <w:r w:rsidR="00D16B1B">
        <w:rPr>
          <w:color w:val="000000"/>
          <w:sz w:val="24"/>
          <w:szCs w:val="24"/>
        </w:rPr>
        <w:t>89</w:t>
      </w:r>
    </w:p>
    <w:p w:rsidR="000E7324" w:rsidRPr="00C17DDF" w:rsidRDefault="009577C1" w:rsidP="00C353CD">
      <w:pPr>
        <w:spacing w:line="360" w:lineRule="auto"/>
        <w:ind w:firstLine="540"/>
        <w:jc w:val="left"/>
        <w:rPr>
          <w:color w:val="000000"/>
          <w:sz w:val="24"/>
          <w:szCs w:val="24"/>
        </w:rPr>
      </w:pPr>
      <w:r>
        <w:rPr>
          <w:color w:val="000000"/>
          <w:sz w:val="24"/>
          <w:szCs w:val="24"/>
        </w:rPr>
        <w:t>7 priedas</w:t>
      </w:r>
      <w:r w:rsidR="000E7324" w:rsidRPr="00C17DDF">
        <w:rPr>
          <w:color w:val="000000"/>
          <w:sz w:val="24"/>
          <w:szCs w:val="24"/>
        </w:rPr>
        <w:t>. Kintamųjų reikšmės Baltijos šalių valstybės skolos prognozei.......</w:t>
      </w:r>
      <w:r w:rsidR="00C17DDF">
        <w:rPr>
          <w:color w:val="000000"/>
          <w:sz w:val="24"/>
          <w:szCs w:val="24"/>
        </w:rPr>
        <w:t>............................</w:t>
      </w:r>
      <w:r>
        <w:rPr>
          <w:color w:val="000000"/>
          <w:sz w:val="24"/>
          <w:szCs w:val="24"/>
        </w:rPr>
        <w:t>.....</w:t>
      </w:r>
      <w:r w:rsidR="00C353CD">
        <w:rPr>
          <w:color w:val="000000"/>
          <w:sz w:val="24"/>
          <w:szCs w:val="24"/>
        </w:rPr>
        <w:t>...9</w:t>
      </w:r>
      <w:r w:rsidR="00D16B1B">
        <w:rPr>
          <w:color w:val="000000"/>
          <w:sz w:val="24"/>
          <w:szCs w:val="24"/>
        </w:rPr>
        <w:t>0</w:t>
      </w:r>
    </w:p>
    <w:p w:rsidR="000E7324" w:rsidRPr="00C17DDF" w:rsidRDefault="009577C1" w:rsidP="00C353CD">
      <w:pPr>
        <w:spacing w:line="360" w:lineRule="auto"/>
        <w:ind w:firstLine="540"/>
        <w:jc w:val="left"/>
        <w:rPr>
          <w:color w:val="000000"/>
          <w:sz w:val="24"/>
          <w:szCs w:val="24"/>
        </w:rPr>
      </w:pPr>
      <w:r>
        <w:rPr>
          <w:color w:val="000000"/>
          <w:sz w:val="24"/>
          <w:szCs w:val="24"/>
        </w:rPr>
        <w:t>8 priedas</w:t>
      </w:r>
      <w:r w:rsidR="000E7324" w:rsidRPr="00C17DDF">
        <w:rPr>
          <w:color w:val="000000"/>
          <w:sz w:val="24"/>
          <w:szCs w:val="24"/>
        </w:rPr>
        <w:t>. Lietuvos valstybės skolos prognozavimas DTR modeliu.......</w:t>
      </w:r>
      <w:r w:rsidR="00C17DDF">
        <w:rPr>
          <w:color w:val="000000"/>
          <w:sz w:val="24"/>
          <w:szCs w:val="24"/>
        </w:rPr>
        <w:t>.....................................</w:t>
      </w:r>
      <w:r>
        <w:rPr>
          <w:color w:val="000000"/>
          <w:sz w:val="24"/>
          <w:szCs w:val="24"/>
        </w:rPr>
        <w:t>.....</w:t>
      </w:r>
      <w:r w:rsidR="00C353CD">
        <w:rPr>
          <w:color w:val="000000"/>
          <w:sz w:val="24"/>
          <w:szCs w:val="24"/>
        </w:rPr>
        <w:t>..9</w:t>
      </w:r>
      <w:r w:rsidR="00D16B1B">
        <w:rPr>
          <w:color w:val="000000"/>
          <w:sz w:val="24"/>
          <w:szCs w:val="24"/>
        </w:rPr>
        <w:t>2</w:t>
      </w:r>
    </w:p>
    <w:p w:rsidR="000E7324" w:rsidRPr="00C17DDF" w:rsidRDefault="009577C1" w:rsidP="00C353CD">
      <w:pPr>
        <w:spacing w:line="360" w:lineRule="auto"/>
        <w:ind w:firstLine="540"/>
        <w:jc w:val="left"/>
        <w:rPr>
          <w:color w:val="000000"/>
          <w:sz w:val="24"/>
          <w:szCs w:val="24"/>
        </w:rPr>
      </w:pPr>
      <w:r>
        <w:rPr>
          <w:color w:val="000000"/>
          <w:sz w:val="24"/>
          <w:szCs w:val="24"/>
        </w:rPr>
        <w:t>9 priedas</w:t>
      </w:r>
      <w:r w:rsidR="000E7324" w:rsidRPr="00C17DDF">
        <w:rPr>
          <w:color w:val="000000"/>
          <w:sz w:val="24"/>
          <w:szCs w:val="24"/>
        </w:rPr>
        <w:t>. Latvijos valstybės skolos prognozavimas DTR modeliu....</w:t>
      </w:r>
      <w:r w:rsidR="00C17DDF">
        <w:rPr>
          <w:color w:val="000000"/>
          <w:sz w:val="24"/>
          <w:szCs w:val="24"/>
        </w:rPr>
        <w:t>..........................................</w:t>
      </w:r>
      <w:r>
        <w:rPr>
          <w:color w:val="000000"/>
          <w:sz w:val="24"/>
          <w:szCs w:val="24"/>
        </w:rPr>
        <w:t>.....</w:t>
      </w:r>
      <w:r w:rsidR="00C353CD">
        <w:rPr>
          <w:color w:val="000000"/>
          <w:sz w:val="24"/>
          <w:szCs w:val="24"/>
        </w:rPr>
        <w:t>.9</w:t>
      </w:r>
      <w:r w:rsidR="00D16B1B">
        <w:rPr>
          <w:color w:val="000000"/>
          <w:sz w:val="24"/>
          <w:szCs w:val="24"/>
        </w:rPr>
        <w:t>6</w:t>
      </w:r>
    </w:p>
    <w:p w:rsidR="000E7324" w:rsidRPr="00C17DDF" w:rsidRDefault="009577C1" w:rsidP="00C353CD">
      <w:pPr>
        <w:spacing w:line="360" w:lineRule="auto"/>
        <w:ind w:firstLine="540"/>
        <w:jc w:val="left"/>
        <w:rPr>
          <w:color w:val="000000"/>
          <w:sz w:val="24"/>
          <w:szCs w:val="24"/>
        </w:rPr>
      </w:pPr>
      <w:r>
        <w:rPr>
          <w:color w:val="000000"/>
          <w:sz w:val="24"/>
          <w:szCs w:val="24"/>
        </w:rPr>
        <w:t>10 priedas</w:t>
      </w:r>
      <w:r w:rsidR="000E7324" w:rsidRPr="00C17DDF">
        <w:rPr>
          <w:color w:val="000000"/>
          <w:sz w:val="24"/>
          <w:szCs w:val="24"/>
        </w:rPr>
        <w:t>. Estijos valstybės skolos prognozavimas DTR modeliu...................</w:t>
      </w:r>
      <w:r w:rsidR="00C17DDF">
        <w:rPr>
          <w:color w:val="000000"/>
          <w:sz w:val="24"/>
          <w:szCs w:val="24"/>
        </w:rPr>
        <w:t>............................</w:t>
      </w:r>
      <w:r w:rsidR="00C353CD">
        <w:rPr>
          <w:color w:val="000000"/>
          <w:sz w:val="24"/>
          <w:szCs w:val="24"/>
        </w:rPr>
        <w:t>....10</w:t>
      </w:r>
      <w:r w:rsidR="00D16B1B">
        <w:rPr>
          <w:color w:val="000000"/>
          <w:sz w:val="24"/>
          <w:szCs w:val="24"/>
        </w:rPr>
        <w:t>0</w:t>
      </w:r>
    </w:p>
    <w:p w:rsidR="000E7324" w:rsidRPr="00C17DDF" w:rsidRDefault="009577C1" w:rsidP="00C353CD">
      <w:pPr>
        <w:spacing w:line="360" w:lineRule="auto"/>
        <w:ind w:firstLine="540"/>
        <w:jc w:val="left"/>
        <w:rPr>
          <w:color w:val="000000"/>
          <w:sz w:val="24"/>
          <w:szCs w:val="24"/>
        </w:rPr>
      </w:pPr>
      <w:r>
        <w:rPr>
          <w:color w:val="000000"/>
          <w:sz w:val="24"/>
          <w:szCs w:val="24"/>
        </w:rPr>
        <w:t>11 priedas</w:t>
      </w:r>
      <w:r w:rsidR="000E7324" w:rsidRPr="00C17DDF">
        <w:rPr>
          <w:color w:val="000000"/>
          <w:sz w:val="24"/>
          <w:szCs w:val="24"/>
        </w:rPr>
        <w:t>. Lietuvos valstybės skolo</w:t>
      </w:r>
      <w:r w:rsidR="00C17DDF">
        <w:rPr>
          <w:color w:val="000000"/>
          <w:sz w:val="24"/>
          <w:szCs w:val="24"/>
        </w:rPr>
        <w:t>s prognozavimas ARIMA metodu...........................................</w:t>
      </w:r>
      <w:r w:rsidR="00C353CD">
        <w:rPr>
          <w:color w:val="000000"/>
          <w:sz w:val="24"/>
          <w:szCs w:val="24"/>
        </w:rPr>
        <w:t>10</w:t>
      </w:r>
      <w:r w:rsidR="00D16B1B">
        <w:rPr>
          <w:color w:val="000000"/>
          <w:sz w:val="24"/>
          <w:szCs w:val="24"/>
        </w:rPr>
        <w:t>4</w:t>
      </w:r>
    </w:p>
    <w:p w:rsidR="000E7324" w:rsidRPr="00C17DDF" w:rsidRDefault="009577C1" w:rsidP="00C353CD">
      <w:pPr>
        <w:spacing w:line="360" w:lineRule="auto"/>
        <w:ind w:firstLine="540"/>
        <w:jc w:val="left"/>
        <w:rPr>
          <w:color w:val="000000"/>
          <w:sz w:val="24"/>
          <w:szCs w:val="24"/>
        </w:rPr>
      </w:pPr>
      <w:r>
        <w:rPr>
          <w:color w:val="000000"/>
          <w:sz w:val="24"/>
          <w:szCs w:val="24"/>
        </w:rPr>
        <w:t>12 priedas</w:t>
      </w:r>
      <w:r w:rsidR="000E7324" w:rsidRPr="00C17DDF">
        <w:rPr>
          <w:color w:val="000000"/>
          <w:sz w:val="24"/>
          <w:szCs w:val="24"/>
        </w:rPr>
        <w:t>. Latvijos valstybės skolos prognozavimas ARIMA metodu</w:t>
      </w:r>
      <w:r w:rsidR="00C17DDF">
        <w:rPr>
          <w:color w:val="000000"/>
          <w:sz w:val="24"/>
          <w:szCs w:val="24"/>
        </w:rPr>
        <w:t>.......................................</w:t>
      </w:r>
      <w:r>
        <w:rPr>
          <w:color w:val="000000"/>
          <w:sz w:val="24"/>
          <w:szCs w:val="24"/>
        </w:rPr>
        <w:t>.....</w:t>
      </w:r>
      <w:r w:rsidR="00C353CD">
        <w:rPr>
          <w:color w:val="000000"/>
          <w:sz w:val="24"/>
          <w:szCs w:val="24"/>
        </w:rPr>
        <w:t>10</w:t>
      </w:r>
      <w:r w:rsidR="00D16B1B">
        <w:rPr>
          <w:color w:val="000000"/>
          <w:sz w:val="24"/>
          <w:szCs w:val="24"/>
        </w:rPr>
        <w:t>6</w:t>
      </w:r>
    </w:p>
    <w:p w:rsidR="00C17DDF" w:rsidRPr="000E7324" w:rsidRDefault="00C17DDF" w:rsidP="00C353CD">
      <w:pPr>
        <w:spacing w:line="360" w:lineRule="auto"/>
        <w:ind w:firstLine="540"/>
        <w:jc w:val="left"/>
        <w:rPr>
          <w:color w:val="000000"/>
          <w:sz w:val="24"/>
          <w:szCs w:val="24"/>
        </w:rPr>
      </w:pPr>
      <w:r w:rsidRPr="00C17DDF">
        <w:rPr>
          <w:color w:val="000000"/>
          <w:sz w:val="24"/>
          <w:szCs w:val="24"/>
        </w:rPr>
        <w:t>13</w:t>
      </w:r>
      <w:r w:rsidR="009577C1">
        <w:rPr>
          <w:color w:val="000000"/>
          <w:sz w:val="24"/>
          <w:szCs w:val="24"/>
        </w:rPr>
        <w:t xml:space="preserve"> priedas</w:t>
      </w:r>
      <w:r w:rsidRPr="00C17DDF">
        <w:rPr>
          <w:color w:val="000000"/>
          <w:sz w:val="24"/>
          <w:szCs w:val="24"/>
        </w:rPr>
        <w:t>. Estijos valstybės</w:t>
      </w:r>
      <w:r>
        <w:rPr>
          <w:color w:val="000000"/>
          <w:sz w:val="24"/>
          <w:szCs w:val="24"/>
        </w:rPr>
        <w:t xml:space="preserve"> skolos prognozavimas ARIMA metodu.......................................</w:t>
      </w:r>
      <w:r w:rsidR="009577C1">
        <w:rPr>
          <w:color w:val="000000"/>
          <w:sz w:val="24"/>
          <w:szCs w:val="24"/>
        </w:rPr>
        <w:t>.....</w:t>
      </w:r>
      <w:r w:rsidR="00C353CD">
        <w:rPr>
          <w:color w:val="000000"/>
          <w:sz w:val="24"/>
          <w:szCs w:val="24"/>
        </w:rPr>
        <w:t>..10</w:t>
      </w:r>
      <w:r w:rsidR="00D16B1B">
        <w:rPr>
          <w:color w:val="000000"/>
          <w:sz w:val="24"/>
          <w:szCs w:val="24"/>
        </w:rPr>
        <w:t>8</w:t>
      </w:r>
    </w:p>
    <w:p w:rsidR="00D61395" w:rsidRDefault="00D61395" w:rsidP="00C353CD">
      <w:pPr>
        <w:spacing w:line="360" w:lineRule="auto"/>
        <w:ind w:firstLine="0"/>
        <w:jc w:val="left"/>
        <w:rPr>
          <w:b/>
          <w:color w:val="000000"/>
          <w:sz w:val="28"/>
          <w:szCs w:val="28"/>
        </w:rPr>
      </w:pPr>
    </w:p>
    <w:p w:rsidR="00D61395" w:rsidRDefault="00D61395" w:rsidP="00C17DDF">
      <w:pPr>
        <w:spacing w:line="360" w:lineRule="auto"/>
        <w:ind w:firstLine="0"/>
        <w:jc w:val="center"/>
        <w:rPr>
          <w:b/>
          <w:color w:val="000000"/>
          <w:sz w:val="28"/>
          <w:szCs w:val="28"/>
        </w:rPr>
      </w:pPr>
    </w:p>
    <w:p w:rsidR="00D61395" w:rsidRDefault="00D61395" w:rsidP="007A113D">
      <w:pPr>
        <w:ind w:firstLine="0"/>
        <w:jc w:val="center"/>
        <w:rPr>
          <w:b/>
          <w:color w:val="000000"/>
          <w:sz w:val="28"/>
          <w:szCs w:val="28"/>
        </w:rPr>
      </w:pPr>
    </w:p>
    <w:p w:rsidR="00D61395" w:rsidRDefault="00D61395" w:rsidP="007A113D">
      <w:pPr>
        <w:ind w:firstLine="0"/>
        <w:jc w:val="center"/>
        <w:rPr>
          <w:b/>
          <w:color w:val="000000"/>
          <w:sz w:val="28"/>
          <w:szCs w:val="28"/>
        </w:rPr>
      </w:pPr>
    </w:p>
    <w:p w:rsidR="00D61395" w:rsidRDefault="00D61395" w:rsidP="007A113D">
      <w:pPr>
        <w:ind w:firstLine="0"/>
        <w:jc w:val="center"/>
        <w:rPr>
          <w:b/>
          <w:color w:val="000000"/>
          <w:sz w:val="28"/>
          <w:szCs w:val="28"/>
        </w:rPr>
      </w:pPr>
    </w:p>
    <w:p w:rsidR="00D61395" w:rsidRDefault="00D61395" w:rsidP="007A113D">
      <w:pPr>
        <w:ind w:firstLine="0"/>
        <w:jc w:val="center"/>
        <w:rPr>
          <w:b/>
          <w:color w:val="000000"/>
          <w:sz w:val="28"/>
          <w:szCs w:val="28"/>
        </w:rPr>
      </w:pPr>
    </w:p>
    <w:p w:rsidR="00D61395" w:rsidRDefault="00D61395" w:rsidP="007A113D">
      <w:pPr>
        <w:ind w:firstLine="0"/>
        <w:jc w:val="center"/>
        <w:rPr>
          <w:b/>
          <w:color w:val="000000"/>
          <w:sz w:val="28"/>
          <w:szCs w:val="28"/>
        </w:rPr>
      </w:pPr>
    </w:p>
    <w:p w:rsidR="00D61395" w:rsidRDefault="00D61395" w:rsidP="007A113D">
      <w:pPr>
        <w:ind w:firstLine="0"/>
        <w:jc w:val="center"/>
        <w:rPr>
          <w:b/>
          <w:color w:val="000000"/>
          <w:sz w:val="28"/>
          <w:szCs w:val="28"/>
        </w:rPr>
      </w:pPr>
    </w:p>
    <w:p w:rsidR="00D61395" w:rsidRDefault="00D61395" w:rsidP="007A113D">
      <w:pPr>
        <w:ind w:firstLine="0"/>
        <w:jc w:val="center"/>
        <w:rPr>
          <w:b/>
          <w:color w:val="000000"/>
          <w:sz w:val="28"/>
          <w:szCs w:val="28"/>
        </w:rPr>
      </w:pPr>
    </w:p>
    <w:p w:rsidR="00D61395" w:rsidRDefault="00D61395" w:rsidP="007A113D">
      <w:pPr>
        <w:ind w:firstLine="0"/>
        <w:jc w:val="center"/>
        <w:rPr>
          <w:b/>
          <w:color w:val="000000"/>
          <w:sz w:val="28"/>
          <w:szCs w:val="28"/>
        </w:rPr>
      </w:pPr>
    </w:p>
    <w:p w:rsidR="00D61395" w:rsidRDefault="00D61395" w:rsidP="007A113D">
      <w:pPr>
        <w:ind w:firstLine="0"/>
        <w:jc w:val="center"/>
        <w:rPr>
          <w:b/>
          <w:color w:val="000000"/>
          <w:sz w:val="28"/>
          <w:szCs w:val="28"/>
        </w:rPr>
      </w:pPr>
    </w:p>
    <w:p w:rsidR="00D61395" w:rsidRDefault="00D61395" w:rsidP="007A113D">
      <w:pPr>
        <w:ind w:firstLine="0"/>
        <w:jc w:val="center"/>
        <w:rPr>
          <w:b/>
          <w:color w:val="000000"/>
          <w:sz w:val="28"/>
          <w:szCs w:val="28"/>
        </w:rPr>
      </w:pPr>
    </w:p>
    <w:p w:rsidR="00D61395" w:rsidRDefault="00D61395" w:rsidP="007A113D">
      <w:pPr>
        <w:ind w:firstLine="0"/>
        <w:jc w:val="center"/>
        <w:rPr>
          <w:b/>
          <w:color w:val="000000"/>
          <w:sz w:val="28"/>
          <w:szCs w:val="28"/>
        </w:rPr>
      </w:pPr>
    </w:p>
    <w:p w:rsidR="00D61395" w:rsidRDefault="00D61395" w:rsidP="007A113D">
      <w:pPr>
        <w:ind w:firstLine="0"/>
        <w:jc w:val="center"/>
        <w:rPr>
          <w:b/>
          <w:color w:val="000000"/>
          <w:sz w:val="28"/>
          <w:szCs w:val="28"/>
        </w:rPr>
      </w:pPr>
    </w:p>
    <w:p w:rsidR="00D61395" w:rsidRDefault="00D61395" w:rsidP="007A113D">
      <w:pPr>
        <w:ind w:firstLine="0"/>
        <w:jc w:val="center"/>
        <w:rPr>
          <w:b/>
          <w:color w:val="000000"/>
          <w:sz w:val="28"/>
          <w:szCs w:val="28"/>
        </w:rPr>
      </w:pPr>
    </w:p>
    <w:p w:rsidR="00D61395" w:rsidRDefault="00D61395" w:rsidP="007A113D">
      <w:pPr>
        <w:ind w:firstLine="0"/>
        <w:jc w:val="center"/>
        <w:rPr>
          <w:b/>
          <w:color w:val="000000"/>
          <w:sz w:val="28"/>
          <w:szCs w:val="28"/>
        </w:rPr>
      </w:pPr>
    </w:p>
    <w:p w:rsidR="00D61395" w:rsidRDefault="00D61395" w:rsidP="009577C1">
      <w:pPr>
        <w:ind w:firstLine="0"/>
        <w:rPr>
          <w:b/>
          <w:color w:val="000000"/>
          <w:sz w:val="28"/>
          <w:szCs w:val="28"/>
        </w:rPr>
      </w:pPr>
    </w:p>
    <w:p w:rsidR="009577C1" w:rsidRDefault="009577C1" w:rsidP="009577C1">
      <w:pPr>
        <w:ind w:firstLine="0"/>
        <w:rPr>
          <w:b/>
          <w:color w:val="000000"/>
          <w:sz w:val="28"/>
          <w:szCs w:val="28"/>
        </w:rPr>
      </w:pPr>
    </w:p>
    <w:p w:rsidR="00013A5E" w:rsidRDefault="00013A5E" w:rsidP="007A113D">
      <w:pPr>
        <w:ind w:firstLine="0"/>
        <w:jc w:val="center"/>
        <w:rPr>
          <w:b/>
          <w:color w:val="000000"/>
          <w:sz w:val="28"/>
          <w:szCs w:val="28"/>
        </w:rPr>
      </w:pPr>
    </w:p>
    <w:p w:rsidR="00047573" w:rsidRDefault="00047573" w:rsidP="007A113D">
      <w:pPr>
        <w:ind w:firstLine="0"/>
        <w:jc w:val="center"/>
        <w:rPr>
          <w:b/>
          <w:color w:val="000000"/>
          <w:sz w:val="28"/>
          <w:szCs w:val="28"/>
        </w:rPr>
      </w:pPr>
    </w:p>
    <w:p w:rsidR="00FE6955" w:rsidRDefault="00FE6955" w:rsidP="007A113D">
      <w:pPr>
        <w:ind w:firstLine="0"/>
        <w:jc w:val="center"/>
        <w:rPr>
          <w:b/>
          <w:color w:val="000000"/>
          <w:sz w:val="28"/>
          <w:szCs w:val="28"/>
        </w:rPr>
      </w:pPr>
    </w:p>
    <w:p w:rsidR="000F59BB" w:rsidRDefault="000F59BB" w:rsidP="000F59BB">
      <w:pPr>
        <w:ind w:firstLine="0"/>
        <w:jc w:val="center"/>
        <w:rPr>
          <w:b/>
          <w:color w:val="000000"/>
          <w:sz w:val="28"/>
          <w:szCs w:val="28"/>
        </w:rPr>
      </w:pPr>
    </w:p>
    <w:p w:rsidR="00DD42B3" w:rsidRDefault="00DD42B3" w:rsidP="000F59BB">
      <w:pPr>
        <w:ind w:firstLine="0"/>
        <w:jc w:val="center"/>
        <w:rPr>
          <w:b/>
          <w:color w:val="000000"/>
          <w:sz w:val="28"/>
          <w:szCs w:val="28"/>
        </w:rPr>
      </w:pPr>
      <w:r>
        <w:rPr>
          <w:b/>
          <w:color w:val="000000"/>
          <w:sz w:val="28"/>
          <w:szCs w:val="28"/>
        </w:rPr>
        <w:t>LENTELĖS</w:t>
      </w:r>
    </w:p>
    <w:p w:rsidR="000F59BB" w:rsidRPr="000F59BB" w:rsidRDefault="00E12FF5" w:rsidP="00AE38D7">
      <w:pPr>
        <w:pStyle w:val="TOC1"/>
        <w:rPr>
          <w:rFonts w:asciiTheme="minorHAnsi" w:eastAsiaTheme="minorEastAsia" w:hAnsiTheme="minorHAnsi" w:cstheme="minorBidi"/>
          <w:noProof/>
          <w:lang w:val="en-US"/>
        </w:rPr>
      </w:pPr>
      <w:r w:rsidRPr="00E12FF5">
        <w:fldChar w:fldCharType="begin"/>
      </w:r>
      <w:r w:rsidR="000F59BB" w:rsidRPr="000F59BB">
        <w:instrText xml:space="preserve"> TOC \o "1-3" \h \z \u </w:instrText>
      </w:r>
      <w:r w:rsidRPr="00E12FF5">
        <w:fldChar w:fldCharType="separate"/>
      </w:r>
    </w:p>
    <w:p w:rsidR="000F59BB" w:rsidRPr="000F59BB" w:rsidRDefault="00E12FF5" w:rsidP="00AE38D7">
      <w:pPr>
        <w:pStyle w:val="TOC1"/>
        <w:rPr>
          <w:rFonts w:asciiTheme="minorHAnsi" w:eastAsiaTheme="minorEastAsia" w:hAnsiTheme="minorHAnsi" w:cstheme="minorBidi"/>
          <w:noProof/>
          <w:lang w:val="en-US"/>
        </w:rPr>
      </w:pPr>
      <w:hyperlink w:anchor="_Toc374229042" w:history="1">
        <w:r w:rsidR="000F59BB" w:rsidRPr="000F59BB">
          <w:rPr>
            <w:rStyle w:val="Hyperlink"/>
            <w:rFonts w:eastAsiaTheme="majorEastAsia"/>
            <w:noProof/>
            <w:sz w:val="24"/>
            <w:szCs w:val="24"/>
          </w:rPr>
          <w:t>1 lentelė. Valstybės skolos vertinimo rodikliai</w:t>
        </w:r>
        <w:r w:rsidR="000F59BB" w:rsidRPr="000F59BB">
          <w:rPr>
            <w:noProof/>
            <w:webHidden/>
          </w:rPr>
          <w:tab/>
        </w:r>
        <w:r w:rsidRPr="000F59BB">
          <w:rPr>
            <w:noProof/>
            <w:webHidden/>
          </w:rPr>
          <w:fldChar w:fldCharType="begin"/>
        </w:r>
        <w:r w:rsidR="000F59BB" w:rsidRPr="000F59BB">
          <w:rPr>
            <w:noProof/>
            <w:webHidden/>
          </w:rPr>
          <w:instrText xml:space="preserve"> PAGEREF _Toc374229042 \h </w:instrText>
        </w:r>
        <w:r w:rsidRPr="000F59BB">
          <w:rPr>
            <w:noProof/>
            <w:webHidden/>
          </w:rPr>
        </w:r>
        <w:r w:rsidRPr="000F59BB">
          <w:rPr>
            <w:noProof/>
            <w:webHidden/>
          </w:rPr>
          <w:fldChar w:fldCharType="separate"/>
        </w:r>
        <w:r w:rsidR="00C566A8">
          <w:rPr>
            <w:noProof/>
            <w:webHidden/>
          </w:rPr>
          <w:t>19</w:t>
        </w:r>
        <w:r w:rsidRPr="000F59BB">
          <w:rPr>
            <w:noProof/>
            <w:webHidden/>
          </w:rPr>
          <w:fldChar w:fldCharType="end"/>
        </w:r>
      </w:hyperlink>
    </w:p>
    <w:p w:rsidR="000F59BB" w:rsidRPr="000F59BB" w:rsidRDefault="00E12FF5" w:rsidP="00AE38D7">
      <w:pPr>
        <w:pStyle w:val="TOC1"/>
        <w:rPr>
          <w:rFonts w:asciiTheme="minorHAnsi" w:eastAsiaTheme="minorEastAsia" w:hAnsiTheme="minorHAnsi" w:cstheme="minorBidi"/>
          <w:noProof/>
          <w:lang w:val="en-US"/>
        </w:rPr>
      </w:pPr>
      <w:hyperlink w:anchor="_Toc374229043" w:history="1">
        <w:r w:rsidR="000F59BB" w:rsidRPr="000F59BB">
          <w:rPr>
            <w:rStyle w:val="Hyperlink"/>
            <w:rFonts w:eastAsiaTheme="majorEastAsia"/>
            <w:noProof/>
            <w:sz w:val="24"/>
            <w:szCs w:val="24"/>
          </w:rPr>
          <w:t>2 lentelė. Tyrimui pasirinkti kintamieji</w:t>
        </w:r>
        <w:r w:rsidR="000F59BB" w:rsidRPr="000F59BB">
          <w:rPr>
            <w:noProof/>
            <w:webHidden/>
          </w:rPr>
          <w:tab/>
        </w:r>
        <w:r w:rsidRPr="000F59BB">
          <w:rPr>
            <w:noProof/>
            <w:webHidden/>
          </w:rPr>
          <w:fldChar w:fldCharType="begin"/>
        </w:r>
        <w:r w:rsidR="000F59BB" w:rsidRPr="000F59BB">
          <w:rPr>
            <w:noProof/>
            <w:webHidden/>
          </w:rPr>
          <w:instrText xml:space="preserve"> PAGEREF _Toc374229043 \h </w:instrText>
        </w:r>
        <w:r w:rsidRPr="000F59BB">
          <w:rPr>
            <w:noProof/>
            <w:webHidden/>
          </w:rPr>
        </w:r>
        <w:r w:rsidRPr="000F59BB">
          <w:rPr>
            <w:noProof/>
            <w:webHidden/>
          </w:rPr>
          <w:fldChar w:fldCharType="separate"/>
        </w:r>
        <w:r w:rsidR="00C566A8">
          <w:rPr>
            <w:noProof/>
            <w:webHidden/>
          </w:rPr>
          <w:t>21</w:t>
        </w:r>
        <w:r w:rsidRPr="000F59BB">
          <w:rPr>
            <w:noProof/>
            <w:webHidden/>
          </w:rPr>
          <w:fldChar w:fldCharType="end"/>
        </w:r>
      </w:hyperlink>
    </w:p>
    <w:p w:rsidR="000F59BB" w:rsidRPr="000F59BB" w:rsidRDefault="00E12FF5" w:rsidP="00AE38D7">
      <w:pPr>
        <w:pStyle w:val="TOC1"/>
        <w:rPr>
          <w:rFonts w:asciiTheme="minorHAnsi" w:eastAsiaTheme="minorEastAsia" w:hAnsiTheme="minorHAnsi" w:cstheme="minorBidi"/>
          <w:noProof/>
          <w:lang w:val="en-US"/>
        </w:rPr>
      </w:pPr>
      <w:hyperlink w:anchor="_Toc374229044" w:history="1">
        <w:r w:rsidR="000F59BB" w:rsidRPr="000F59BB">
          <w:rPr>
            <w:rStyle w:val="Hyperlink"/>
            <w:rFonts w:eastAsiaTheme="majorEastAsia"/>
            <w:noProof/>
            <w:sz w:val="24"/>
            <w:szCs w:val="24"/>
          </w:rPr>
          <w:t>3 lentelė. Koreliacijos kofieciento įvertinimo reikšmės</w:t>
        </w:r>
        <w:r w:rsidR="000F59BB" w:rsidRPr="000F59BB">
          <w:rPr>
            <w:noProof/>
            <w:webHidden/>
          </w:rPr>
          <w:tab/>
        </w:r>
        <w:r w:rsidRPr="000F59BB">
          <w:rPr>
            <w:noProof/>
            <w:webHidden/>
          </w:rPr>
          <w:fldChar w:fldCharType="begin"/>
        </w:r>
        <w:r w:rsidR="000F59BB" w:rsidRPr="000F59BB">
          <w:rPr>
            <w:noProof/>
            <w:webHidden/>
          </w:rPr>
          <w:instrText xml:space="preserve"> PAGEREF _Toc374229044 \h </w:instrText>
        </w:r>
        <w:r w:rsidRPr="000F59BB">
          <w:rPr>
            <w:noProof/>
            <w:webHidden/>
          </w:rPr>
        </w:r>
        <w:r w:rsidRPr="000F59BB">
          <w:rPr>
            <w:noProof/>
            <w:webHidden/>
          </w:rPr>
          <w:fldChar w:fldCharType="separate"/>
        </w:r>
        <w:r w:rsidR="00C566A8">
          <w:rPr>
            <w:noProof/>
            <w:webHidden/>
          </w:rPr>
          <w:t>23</w:t>
        </w:r>
        <w:r w:rsidRPr="000F59BB">
          <w:rPr>
            <w:noProof/>
            <w:webHidden/>
          </w:rPr>
          <w:fldChar w:fldCharType="end"/>
        </w:r>
      </w:hyperlink>
    </w:p>
    <w:p w:rsidR="000F59BB" w:rsidRPr="000F59BB" w:rsidRDefault="00E12FF5" w:rsidP="00AE38D7">
      <w:pPr>
        <w:pStyle w:val="TOC1"/>
        <w:rPr>
          <w:rFonts w:asciiTheme="minorHAnsi" w:eastAsiaTheme="minorEastAsia" w:hAnsiTheme="minorHAnsi" w:cstheme="minorBidi"/>
          <w:noProof/>
          <w:lang w:val="en-US"/>
        </w:rPr>
      </w:pPr>
      <w:hyperlink w:anchor="_Toc374229050" w:history="1">
        <w:r w:rsidR="000F59BB" w:rsidRPr="000F59BB">
          <w:rPr>
            <w:rStyle w:val="Hyperlink"/>
            <w:rFonts w:eastAsiaTheme="majorEastAsia"/>
            <w:noProof/>
            <w:sz w:val="24"/>
            <w:szCs w:val="24"/>
          </w:rPr>
          <w:t>4 lentelė. Baltijos šalių ilgalaikio skolinimosi užsienio valiuta kredito reitingai</w:t>
        </w:r>
        <w:r w:rsidR="000F59BB" w:rsidRPr="000F59BB">
          <w:rPr>
            <w:noProof/>
            <w:webHidden/>
          </w:rPr>
          <w:tab/>
        </w:r>
        <w:r w:rsidRPr="000F59BB">
          <w:rPr>
            <w:noProof/>
            <w:webHidden/>
          </w:rPr>
          <w:fldChar w:fldCharType="begin"/>
        </w:r>
        <w:r w:rsidR="000F59BB" w:rsidRPr="000F59BB">
          <w:rPr>
            <w:noProof/>
            <w:webHidden/>
          </w:rPr>
          <w:instrText xml:space="preserve"> PAGEREF _Toc374229050 \h </w:instrText>
        </w:r>
        <w:r w:rsidRPr="000F59BB">
          <w:rPr>
            <w:noProof/>
            <w:webHidden/>
          </w:rPr>
        </w:r>
        <w:r w:rsidRPr="000F59BB">
          <w:rPr>
            <w:noProof/>
            <w:webHidden/>
          </w:rPr>
          <w:fldChar w:fldCharType="separate"/>
        </w:r>
        <w:r w:rsidR="00C566A8">
          <w:rPr>
            <w:noProof/>
            <w:webHidden/>
          </w:rPr>
          <w:t>36</w:t>
        </w:r>
        <w:r w:rsidRPr="000F59BB">
          <w:rPr>
            <w:noProof/>
            <w:webHidden/>
          </w:rPr>
          <w:fldChar w:fldCharType="end"/>
        </w:r>
      </w:hyperlink>
    </w:p>
    <w:p w:rsidR="000F59BB" w:rsidRPr="000F59BB" w:rsidRDefault="00E12FF5" w:rsidP="00AE38D7">
      <w:pPr>
        <w:pStyle w:val="TOC1"/>
        <w:rPr>
          <w:rFonts w:asciiTheme="minorHAnsi" w:eastAsiaTheme="minorEastAsia" w:hAnsiTheme="minorHAnsi" w:cstheme="minorBidi"/>
          <w:noProof/>
          <w:lang w:val="en-US"/>
        </w:rPr>
      </w:pPr>
      <w:hyperlink w:anchor="_Toc374229053" w:history="1">
        <w:r w:rsidR="000F59BB" w:rsidRPr="000F59BB">
          <w:rPr>
            <w:rStyle w:val="Hyperlink"/>
            <w:rFonts w:eastAsiaTheme="majorEastAsia"/>
            <w:noProof/>
            <w:sz w:val="24"/>
            <w:szCs w:val="24"/>
          </w:rPr>
          <w:t>5 lentelė. Apskaičiuoti Baltijos šalių valstybės skolos vertinimo rodikliai</w:t>
        </w:r>
        <w:r w:rsidR="000F59BB" w:rsidRPr="000F59BB">
          <w:rPr>
            <w:noProof/>
            <w:webHidden/>
          </w:rPr>
          <w:tab/>
        </w:r>
        <w:r w:rsidRPr="000F59BB">
          <w:rPr>
            <w:noProof/>
            <w:webHidden/>
          </w:rPr>
          <w:fldChar w:fldCharType="begin"/>
        </w:r>
        <w:r w:rsidR="000F59BB" w:rsidRPr="000F59BB">
          <w:rPr>
            <w:noProof/>
            <w:webHidden/>
          </w:rPr>
          <w:instrText xml:space="preserve"> PAGEREF _Toc374229053 \h </w:instrText>
        </w:r>
        <w:r w:rsidRPr="000F59BB">
          <w:rPr>
            <w:noProof/>
            <w:webHidden/>
          </w:rPr>
        </w:r>
        <w:r w:rsidRPr="000F59BB">
          <w:rPr>
            <w:noProof/>
            <w:webHidden/>
          </w:rPr>
          <w:fldChar w:fldCharType="separate"/>
        </w:r>
        <w:r w:rsidR="00C566A8">
          <w:rPr>
            <w:noProof/>
            <w:webHidden/>
          </w:rPr>
          <w:t>47</w:t>
        </w:r>
        <w:r w:rsidRPr="000F59BB">
          <w:rPr>
            <w:noProof/>
            <w:webHidden/>
          </w:rPr>
          <w:fldChar w:fldCharType="end"/>
        </w:r>
      </w:hyperlink>
    </w:p>
    <w:p w:rsidR="000F59BB" w:rsidRPr="000F59BB" w:rsidRDefault="00E12FF5" w:rsidP="00AE38D7">
      <w:pPr>
        <w:pStyle w:val="TOC1"/>
        <w:rPr>
          <w:rFonts w:asciiTheme="minorHAnsi" w:eastAsiaTheme="minorEastAsia" w:hAnsiTheme="minorHAnsi" w:cstheme="minorBidi"/>
          <w:noProof/>
          <w:lang w:val="en-US"/>
        </w:rPr>
      </w:pPr>
      <w:hyperlink w:anchor="_Toc374229056" w:history="1">
        <w:r w:rsidR="000F59BB" w:rsidRPr="000F59BB">
          <w:rPr>
            <w:rStyle w:val="Hyperlink"/>
            <w:rFonts w:eastAsiaTheme="majorEastAsia"/>
            <w:noProof/>
            <w:sz w:val="24"/>
            <w:szCs w:val="24"/>
          </w:rPr>
          <w:t>6 lentelė. Lietuvos koreliacinė analizė</w:t>
        </w:r>
        <w:r w:rsidR="000F59BB" w:rsidRPr="000F59BB">
          <w:rPr>
            <w:noProof/>
            <w:webHidden/>
          </w:rPr>
          <w:tab/>
        </w:r>
        <w:r w:rsidRPr="000F59BB">
          <w:rPr>
            <w:noProof/>
            <w:webHidden/>
          </w:rPr>
          <w:fldChar w:fldCharType="begin"/>
        </w:r>
        <w:r w:rsidR="000F59BB" w:rsidRPr="000F59BB">
          <w:rPr>
            <w:noProof/>
            <w:webHidden/>
          </w:rPr>
          <w:instrText xml:space="preserve"> PAGEREF _Toc374229056 \h </w:instrText>
        </w:r>
        <w:r w:rsidRPr="000F59BB">
          <w:rPr>
            <w:noProof/>
            <w:webHidden/>
          </w:rPr>
        </w:r>
        <w:r w:rsidRPr="000F59BB">
          <w:rPr>
            <w:noProof/>
            <w:webHidden/>
          </w:rPr>
          <w:fldChar w:fldCharType="separate"/>
        </w:r>
        <w:r w:rsidR="00C566A8">
          <w:rPr>
            <w:noProof/>
            <w:webHidden/>
          </w:rPr>
          <w:t>53</w:t>
        </w:r>
        <w:r w:rsidRPr="000F59BB">
          <w:rPr>
            <w:noProof/>
            <w:webHidden/>
          </w:rPr>
          <w:fldChar w:fldCharType="end"/>
        </w:r>
      </w:hyperlink>
    </w:p>
    <w:p w:rsidR="000F59BB" w:rsidRPr="000F59BB" w:rsidRDefault="00E12FF5" w:rsidP="00AE38D7">
      <w:pPr>
        <w:pStyle w:val="TOC1"/>
        <w:rPr>
          <w:rFonts w:asciiTheme="minorHAnsi" w:eastAsiaTheme="minorEastAsia" w:hAnsiTheme="minorHAnsi" w:cstheme="minorBidi"/>
          <w:noProof/>
          <w:lang w:val="en-US"/>
        </w:rPr>
      </w:pPr>
      <w:hyperlink w:anchor="_Toc374229057" w:history="1">
        <w:r w:rsidR="000F59BB" w:rsidRPr="000F59BB">
          <w:rPr>
            <w:rStyle w:val="Hyperlink"/>
            <w:rFonts w:eastAsiaTheme="majorEastAsia"/>
            <w:noProof/>
            <w:sz w:val="24"/>
            <w:szCs w:val="24"/>
          </w:rPr>
          <w:t>7 lentelė. Latvijos koreliacinė analizė</w:t>
        </w:r>
        <w:r w:rsidR="000F59BB" w:rsidRPr="000F59BB">
          <w:rPr>
            <w:noProof/>
            <w:webHidden/>
          </w:rPr>
          <w:tab/>
        </w:r>
        <w:r w:rsidRPr="000F59BB">
          <w:rPr>
            <w:noProof/>
            <w:webHidden/>
          </w:rPr>
          <w:fldChar w:fldCharType="begin"/>
        </w:r>
        <w:r w:rsidR="000F59BB" w:rsidRPr="000F59BB">
          <w:rPr>
            <w:noProof/>
            <w:webHidden/>
          </w:rPr>
          <w:instrText xml:space="preserve"> PAGEREF _Toc374229057 \h </w:instrText>
        </w:r>
        <w:r w:rsidRPr="000F59BB">
          <w:rPr>
            <w:noProof/>
            <w:webHidden/>
          </w:rPr>
        </w:r>
        <w:r w:rsidRPr="000F59BB">
          <w:rPr>
            <w:noProof/>
            <w:webHidden/>
          </w:rPr>
          <w:fldChar w:fldCharType="separate"/>
        </w:r>
        <w:r w:rsidR="00C566A8">
          <w:rPr>
            <w:noProof/>
            <w:webHidden/>
          </w:rPr>
          <w:t>53</w:t>
        </w:r>
        <w:r w:rsidRPr="000F59BB">
          <w:rPr>
            <w:noProof/>
            <w:webHidden/>
          </w:rPr>
          <w:fldChar w:fldCharType="end"/>
        </w:r>
      </w:hyperlink>
    </w:p>
    <w:p w:rsidR="000F59BB" w:rsidRPr="000F59BB" w:rsidRDefault="00E12FF5" w:rsidP="00AE38D7">
      <w:pPr>
        <w:pStyle w:val="TOC1"/>
        <w:rPr>
          <w:rFonts w:asciiTheme="minorHAnsi" w:eastAsiaTheme="minorEastAsia" w:hAnsiTheme="minorHAnsi" w:cstheme="minorBidi"/>
          <w:noProof/>
          <w:lang w:val="en-US"/>
        </w:rPr>
      </w:pPr>
      <w:hyperlink w:anchor="_Toc374229058" w:history="1">
        <w:r w:rsidR="000F59BB" w:rsidRPr="000F59BB">
          <w:rPr>
            <w:rStyle w:val="Hyperlink"/>
            <w:rFonts w:eastAsiaTheme="majorEastAsia"/>
            <w:noProof/>
            <w:sz w:val="24"/>
            <w:szCs w:val="24"/>
          </w:rPr>
          <w:t>8 lentelė. Estijos koreliacinė analizė</w:t>
        </w:r>
        <w:r w:rsidR="000F59BB" w:rsidRPr="000F59BB">
          <w:rPr>
            <w:noProof/>
            <w:webHidden/>
          </w:rPr>
          <w:tab/>
        </w:r>
        <w:r w:rsidRPr="000F59BB">
          <w:rPr>
            <w:noProof/>
            <w:webHidden/>
          </w:rPr>
          <w:fldChar w:fldCharType="begin"/>
        </w:r>
        <w:r w:rsidR="000F59BB" w:rsidRPr="000F59BB">
          <w:rPr>
            <w:noProof/>
            <w:webHidden/>
          </w:rPr>
          <w:instrText xml:space="preserve"> PAGEREF _Toc374229058 \h </w:instrText>
        </w:r>
        <w:r w:rsidRPr="000F59BB">
          <w:rPr>
            <w:noProof/>
            <w:webHidden/>
          </w:rPr>
        </w:r>
        <w:r w:rsidRPr="000F59BB">
          <w:rPr>
            <w:noProof/>
            <w:webHidden/>
          </w:rPr>
          <w:fldChar w:fldCharType="separate"/>
        </w:r>
        <w:r w:rsidR="00C566A8">
          <w:rPr>
            <w:noProof/>
            <w:webHidden/>
          </w:rPr>
          <w:t>53</w:t>
        </w:r>
        <w:r w:rsidRPr="000F59BB">
          <w:rPr>
            <w:noProof/>
            <w:webHidden/>
          </w:rPr>
          <w:fldChar w:fldCharType="end"/>
        </w:r>
      </w:hyperlink>
    </w:p>
    <w:p w:rsidR="002D0CF9" w:rsidRPr="000F59BB" w:rsidRDefault="00E12FF5" w:rsidP="000F59BB">
      <w:pPr>
        <w:ind w:firstLine="0"/>
        <w:rPr>
          <w:b/>
          <w:color w:val="000000"/>
          <w:sz w:val="24"/>
          <w:szCs w:val="24"/>
        </w:rPr>
      </w:pPr>
      <w:r w:rsidRPr="000F59BB">
        <w:rPr>
          <w:b/>
          <w:color w:val="000000"/>
          <w:sz w:val="24"/>
          <w:szCs w:val="24"/>
        </w:rPr>
        <w:fldChar w:fldCharType="end"/>
      </w:r>
    </w:p>
    <w:p w:rsidR="000F59BB" w:rsidRDefault="000F59BB" w:rsidP="007A113D">
      <w:pPr>
        <w:ind w:firstLine="0"/>
        <w:jc w:val="center"/>
        <w:rPr>
          <w:b/>
          <w:color w:val="000000"/>
          <w:sz w:val="28"/>
          <w:szCs w:val="28"/>
        </w:rPr>
      </w:pPr>
    </w:p>
    <w:p w:rsidR="000F59BB" w:rsidRDefault="000F59BB" w:rsidP="007A113D">
      <w:pPr>
        <w:ind w:firstLine="0"/>
        <w:jc w:val="center"/>
        <w:rPr>
          <w:b/>
          <w:color w:val="000000"/>
          <w:sz w:val="28"/>
          <w:szCs w:val="28"/>
        </w:rPr>
      </w:pPr>
    </w:p>
    <w:p w:rsidR="000F59BB" w:rsidRDefault="000F59BB" w:rsidP="007A113D">
      <w:pPr>
        <w:ind w:firstLine="0"/>
        <w:jc w:val="center"/>
        <w:rPr>
          <w:b/>
          <w:color w:val="000000"/>
          <w:sz w:val="28"/>
          <w:szCs w:val="28"/>
        </w:rPr>
      </w:pPr>
    </w:p>
    <w:p w:rsidR="000F59BB" w:rsidRDefault="000F59BB" w:rsidP="007A113D">
      <w:pPr>
        <w:ind w:firstLine="0"/>
        <w:jc w:val="center"/>
        <w:rPr>
          <w:b/>
          <w:color w:val="000000"/>
          <w:sz w:val="28"/>
          <w:szCs w:val="28"/>
        </w:rPr>
      </w:pPr>
    </w:p>
    <w:p w:rsidR="000F59BB" w:rsidRDefault="000F59BB" w:rsidP="007A113D">
      <w:pPr>
        <w:ind w:firstLine="0"/>
        <w:jc w:val="center"/>
        <w:rPr>
          <w:b/>
          <w:color w:val="000000"/>
          <w:sz w:val="28"/>
          <w:szCs w:val="28"/>
        </w:rPr>
      </w:pPr>
    </w:p>
    <w:p w:rsidR="000F59BB" w:rsidRDefault="000F59BB" w:rsidP="000F59BB"/>
    <w:p w:rsidR="000F59BB" w:rsidRDefault="000F59BB" w:rsidP="000F59BB"/>
    <w:p w:rsidR="000F59BB" w:rsidRDefault="000F59BB" w:rsidP="000F59BB"/>
    <w:p w:rsidR="000F59BB" w:rsidRDefault="000F59BB" w:rsidP="000F59BB"/>
    <w:p w:rsidR="000F59BB" w:rsidRDefault="000F59BB" w:rsidP="000F59BB"/>
    <w:p w:rsidR="00DD42B3" w:rsidRDefault="00DD42B3" w:rsidP="007A113D">
      <w:pPr>
        <w:ind w:firstLine="0"/>
        <w:jc w:val="center"/>
        <w:rPr>
          <w:b/>
          <w:color w:val="000000"/>
          <w:sz w:val="28"/>
          <w:szCs w:val="28"/>
        </w:rPr>
      </w:pPr>
    </w:p>
    <w:p w:rsidR="00DD42B3" w:rsidRDefault="00DD42B3" w:rsidP="007A113D">
      <w:pPr>
        <w:ind w:firstLine="0"/>
        <w:jc w:val="center"/>
        <w:rPr>
          <w:b/>
          <w:color w:val="000000"/>
          <w:sz w:val="28"/>
          <w:szCs w:val="28"/>
        </w:rPr>
      </w:pPr>
    </w:p>
    <w:p w:rsidR="00DD42B3" w:rsidRDefault="00DD42B3" w:rsidP="007A113D">
      <w:pPr>
        <w:ind w:firstLine="0"/>
        <w:jc w:val="center"/>
        <w:rPr>
          <w:b/>
          <w:color w:val="000000"/>
          <w:sz w:val="28"/>
          <w:szCs w:val="28"/>
        </w:rPr>
      </w:pPr>
    </w:p>
    <w:p w:rsidR="00DD42B3" w:rsidRDefault="00DD42B3" w:rsidP="007A113D">
      <w:pPr>
        <w:ind w:firstLine="0"/>
        <w:jc w:val="center"/>
        <w:rPr>
          <w:b/>
          <w:color w:val="000000"/>
          <w:sz w:val="28"/>
          <w:szCs w:val="28"/>
        </w:rPr>
      </w:pPr>
    </w:p>
    <w:p w:rsidR="00DD42B3" w:rsidRDefault="00DD42B3" w:rsidP="007A113D">
      <w:pPr>
        <w:ind w:firstLine="0"/>
        <w:jc w:val="center"/>
        <w:rPr>
          <w:b/>
          <w:color w:val="000000"/>
          <w:sz w:val="28"/>
          <w:szCs w:val="28"/>
        </w:rPr>
      </w:pPr>
    </w:p>
    <w:p w:rsidR="00DD42B3" w:rsidRDefault="00DD42B3" w:rsidP="007A113D">
      <w:pPr>
        <w:ind w:firstLine="0"/>
        <w:jc w:val="center"/>
        <w:rPr>
          <w:b/>
          <w:color w:val="000000"/>
          <w:sz w:val="28"/>
          <w:szCs w:val="28"/>
        </w:rPr>
      </w:pPr>
    </w:p>
    <w:p w:rsidR="00DD42B3" w:rsidRDefault="00DD42B3" w:rsidP="007A113D">
      <w:pPr>
        <w:ind w:firstLine="0"/>
        <w:jc w:val="center"/>
        <w:rPr>
          <w:b/>
          <w:color w:val="000000"/>
          <w:sz w:val="28"/>
          <w:szCs w:val="28"/>
        </w:rPr>
      </w:pPr>
    </w:p>
    <w:p w:rsidR="00DD42B3" w:rsidRDefault="00DD42B3" w:rsidP="007A113D">
      <w:pPr>
        <w:ind w:firstLine="0"/>
        <w:jc w:val="center"/>
        <w:rPr>
          <w:b/>
          <w:color w:val="000000"/>
          <w:sz w:val="28"/>
          <w:szCs w:val="28"/>
        </w:rPr>
      </w:pPr>
    </w:p>
    <w:p w:rsidR="00DD42B3" w:rsidRDefault="00DD42B3" w:rsidP="007A113D">
      <w:pPr>
        <w:ind w:firstLine="0"/>
        <w:jc w:val="center"/>
        <w:rPr>
          <w:b/>
          <w:color w:val="000000"/>
          <w:sz w:val="28"/>
          <w:szCs w:val="28"/>
        </w:rPr>
      </w:pPr>
    </w:p>
    <w:p w:rsidR="00DD42B3" w:rsidRDefault="00DD42B3" w:rsidP="007A113D">
      <w:pPr>
        <w:ind w:firstLine="0"/>
        <w:jc w:val="center"/>
        <w:rPr>
          <w:b/>
          <w:color w:val="000000"/>
          <w:sz w:val="28"/>
          <w:szCs w:val="28"/>
        </w:rPr>
      </w:pPr>
    </w:p>
    <w:p w:rsidR="00DD42B3" w:rsidRDefault="00DD42B3" w:rsidP="007A113D">
      <w:pPr>
        <w:ind w:firstLine="0"/>
        <w:jc w:val="center"/>
        <w:rPr>
          <w:b/>
          <w:color w:val="000000"/>
          <w:sz w:val="28"/>
          <w:szCs w:val="28"/>
        </w:rPr>
      </w:pPr>
    </w:p>
    <w:p w:rsidR="00DD42B3" w:rsidRDefault="00DD42B3" w:rsidP="007A113D">
      <w:pPr>
        <w:ind w:firstLine="0"/>
        <w:jc w:val="center"/>
        <w:rPr>
          <w:b/>
          <w:color w:val="000000"/>
          <w:sz w:val="28"/>
          <w:szCs w:val="28"/>
        </w:rPr>
      </w:pPr>
    </w:p>
    <w:p w:rsidR="00DD42B3" w:rsidRDefault="00DD42B3" w:rsidP="007A113D">
      <w:pPr>
        <w:ind w:firstLine="0"/>
        <w:jc w:val="center"/>
        <w:rPr>
          <w:b/>
          <w:color w:val="000000"/>
          <w:sz w:val="28"/>
          <w:szCs w:val="28"/>
        </w:rPr>
      </w:pPr>
    </w:p>
    <w:p w:rsidR="00DD42B3" w:rsidRDefault="00DD42B3" w:rsidP="007A113D">
      <w:pPr>
        <w:ind w:firstLine="0"/>
        <w:jc w:val="center"/>
        <w:rPr>
          <w:b/>
          <w:color w:val="000000"/>
          <w:sz w:val="28"/>
          <w:szCs w:val="28"/>
        </w:rPr>
      </w:pPr>
    </w:p>
    <w:p w:rsidR="00DD42B3" w:rsidRDefault="00DD42B3" w:rsidP="007A113D">
      <w:pPr>
        <w:ind w:firstLine="0"/>
        <w:jc w:val="center"/>
        <w:rPr>
          <w:b/>
          <w:color w:val="000000"/>
          <w:sz w:val="28"/>
          <w:szCs w:val="28"/>
        </w:rPr>
      </w:pPr>
    </w:p>
    <w:p w:rsidR="00DD42B3" w:rsidRDefault="00DD42B3" w:rsidP="007A113D">
      <w:pPr>
        <w:ind w:firstLine="0"/>
        <w:jc w:val="center"/>
        <w:rPr>
          <w:b/>
          <w:color w:val="000000"/>
          <w:sz w:val="28"/>
          <w:szCs w:val="28"/>
        </w:rPr>
      </w:pPr>
    </w:p>
    <w:p w:rsidR="007E51C0" w:rsidRDefault="007E51C0" w:rsidP="007A113D">
      <w:pPr>
        <w:ind w:firstLine="0"/>
        <w:jc w:val="center"/>
        <w:rPr>
          <w:b/>
          <w:color w:val="000000"/>
          <w:sz w:val="28"/>
          <w:szCs w:val="28"/>
        </w:rPr>
      </w:pPr>
    </w:p>
    <w:p w:rsidR="00912709" w:rsidRDefault="00912709" w:rsidP="007A113D">
      <w:pPr>
        <w:ind w:firstLine="0"/>
        <w:jc w:val="center"/>
        <w:rPr>
          <w:b/>
          <w:color w:val="000000"/>
          <w:sz w:val="28"/>
          <w:szCs w:val="28"/>
        </w:rPr>
      </w:pPr>
    </w:p>
    <w:p w:rsidR="000F59BB" w:rsidRDefault="000F59BB" w:rsidP="00FE6955">
      <w:pPr>
        <w:tabs>
          <w:tab w:val="left" w:pos="4065"/>
          <w:tab w:val="center" w:pos="5133"/>
        </w:tabs>
        <w:ind w:firstLine="0"/>
        <w:jc w:val="left"/>
        <w:rPr>
          <w:b/>
          <w:color w:val="000000"/>
          <w:sz w:val="28"/>
          <w:szCs w:val="28"/>
        </w:rPr>
      </w:pPr>
    </w:p>
    <w:p w:rsidR="00FE6955" w:rsidRDefault="00FE6955" w:rsidP="00FE6955">
      <w:pPr>
        <w:tabs>
          <w:tab w:val="left" w:pos="4065"/>
          <w:tab w:val="center" w:pos="5133"/>
        </w:tabs>
        <w:ind w:firstLine="0"/>
        <w:jc w:val="left"/>
        <w:rPr>
          <w:b/>
          <w:color w:val="000000"/>
          <w:sz w:val="28"/>
          <w:szCs w:val="28"/>
        </w:rPr>
      </w:pPr>
    </w:p>
    <w:p w:rsidR="005F1D10" w:rsidRDefault="00FE6955" w:rsidP="000F59BB">
      <w:pPr>
        <w:tabs>
          <w:tab w:val="left" w:pos="4065"/>
          <w:tab w:val="center" w:pos="5133"/>
        </w:tabs>
        <w:ind w:firstLine="0"/>
        <w:jc w:val="left"/>
        <w:rPr>
          <w:b/>
          <w:color w:val="000000"/>
          <w:sz w:val="28"/>
          <w:szCs w:val="28"/>
        </w:rPr>
      </w:pPr>
      <w:r>
        <w:rPr>
          <w:b/>
          <w:color w:val="000000"/>
          <w:sz w:val="28"/>
          <w:szCs w:val="28"/>
        </w:rPr>
        <w:tab/>
      </w:r>
      <w:r w:rsidR="00CC535F">
        <w:rPr>
          <w:b/>
          <w:color w:val="000000"/>
          <w:sz w:val="28"/>
          <w:szCs w:val="28"/>
        </w:rPr>
        <w:t>PAVEIKSLAI</w:t>
      </w:r>
    </w:p>
    <w:p w:rsidR="000F59BB" w:rsidRDefault="000F59BB" w:rsidP="000F59BB">
      <w:pPr>
        <w:tabs>
          <w:tab w:val="left" w:pos="4065"/>
          <w:tab w:val="center" w:pos="5133"/>
        </w:tabs>
        <w:ind w:firstLine="0"/>
        <w:jc w:val="left"/>
        <w:rPr>
          <w:b/>
          <w:color w:val="000000"/>
          <w:sz w:val="28"/>
          <w:szCs w:val="28"/>
        </w:rPr>
      </w:pPr>
    </w:p>
    <w:p w:rsidR="002B77E4" w:rsidRPr="002B77E4" w:rsidRDefault="00E12FF5" w:rsidP="00AE38D7">
      <w:pPr>
        <w:pStyle w:val="TOC1"/>
        <w:rPr>
          <w:rFonts w:asciiTheme="minorHAnsi" w:eastAsiaTheme="minorEastAsia" w:hAnsiTheme="minorHAnsi" w:cstheme="minorBidi"/>
          <w:noProof/>
          <w:lang w:val="en-US"/>
        </w:rPr>
      </w:pPr>
      <w:r w:rsidRPr="00E12FF5">
        <w:fldChar w:fldCharType="begin"/>
      </w:r>
      <w:r w:rsidR="002B77E4" w:rsidRPr="002B77E4">
        <w:instrText xml:space="preserve"> TOC \o "1-3" \h \z \u </w:instrText>
      </w:r>
      <w:r w:rsidRPr="00E12FF5">
        <w:fldChar w:fldCharType="separate"/>
      </w:r>
    </w:p>
    <w:p w:rsidR="002B77E4" w:rsidRPr="002B77E4" w:rsidRDefault="00E12FF5" w:rsidP="00AE38D7">
      <w:pPr>
        <w:pStyle w:val="TOC1"/>
        <w:rPr>
          <w:rFonts w:asciiTheme="minorHAnsi" w:eastAsiaTheme="minorEastAsia" w:hAnsiTheme="minorHAnsi" w:cstheme="minorBidi"/>
          <w:noProof/>
          <w:lang w:val="en-US"/>
        </w:rPr>
      </w:pPr>
      <w:hyperlink w:anchor="_Toc374229438" w:history="1">
        <w:r w:rsidR="002B77E4" w:rsidRPr="002B77E4">
          <w:rPr>
            <w:rStyle w:val="Hyperlink"/>
            <w:rFonts w:eastAsiaTheme="majorEastAsia"/>
            <w:noProof/>
            <w:sz w:val="24"/>
            <w:szCs w:val="24"/>
          </w:rPr>
          <w:t>1 pav. Pagrindinės valstybinio kredito formos</w:t>
        </w:r>
        <w:r w:rsidR="002B77E4" w:rsidRPr="002B77E4">
          <w:rPr>
            <w:noProof/>
            <w:webHidden/>
          </w:rPr>
          <w:tab/>
        </w:r>
        <w:r w:rsidRPr="002B77E4">
          <w:rPr>
            <w:noProof/>
            <w:webHidden/>
          </w:rPr>
          <w:fldChar w:fldCharType="begin"/>
        </w:r>
        <w:r w:rsidR="002B77E4" w:rsidRPr="002B77E4">
          <w:rPr>
            <w:noProof/>
            <w:webHidden/>
          </w:rPr>
          <w:instrText xml:space="preserve"> PAGEREF _Toc374229438 \h </w:instrText>
        </w:r>
        <w:r w:rsidRPr="002B77E4">
          <w:rPr>
            <w:noProof/>
            <w:webHidden/>
          </w:rPr>
        </w:r>
        <w:r w:rsidRPr="002B77E4">
          <w:rPr>
            <w:noProof/>
            <w:webHidden/>
          </w:rPr>
          <w:fldChar w:fldCharType="separate"/>
        </w:r>
        <w:r w:rsidR="00C566A8">
          <w:rPr>
            <w:noProof/>
            <w:webHidden/>
          </w:rPr>
          <w:t>9</w:t>
        </w:r>
        <w:r w:rsidRPr="002B77E4">
          <w:rPr>
            <w:noProof/>
            <w:webHidden/>
          </w:rPr>
          <w:fldChar w:fldCharType="end"/>
        </w:r>
      </w:hyperlink>
    </w:p>
    <w:p w:rsidR="002B77E4" w:rsidRPr="002B77E4" w:rsidRDefault="00E12FF5" w:rsidP="00AE38D7">
      <w:pPr>
        <w:pStyle w:val="TOC1"/>
        <w:rPr>
          <w:rFonts w:asciiTheme="minorHAnsi" w:eastAsiaTheme="minorEastAsia" w:hAnsiTheme="minorHAnsi" w:cstheme="minorBidi"/>
          <w:noProof/>
          <w:lang w:val="en-US"/>
        </w:rPr>
      </w:pPr>
      <w:hyperlink w:anchor="_Toc374229439" w:history="1">
        <w:r w:rsidR="002B77E4" w:rsidRPr="002B77E4">
          <w:rPr>
            <w:rStyle w:val="Hyperlink"/>
            <w:rFonts w:eastAsiaTheme="majorEastAsia"/>
            <w:noProof/>
            <w:sz w:val="24"/>
            <w:szCs w:val="24"/>
          </w:rPr>
          <w:t>2 pav. Valstybės skolos klasifikacija</w:t>
        </w:r>
        <w:r w:rsidR="002B77E4" w:rsidRPr="002B77E4">
          <w:rPr>
            <w:noProof/>
            <w:webHidden/>
          </w:rPr>
          <w:tab/>
        </w:r>
        <w:r w:rsidRPr="002B77E4">
          <w:rPr>
            <w:noProof/>
            <w:webHidden/>
          </w:rPr>
          <w:fldChar w:fldCharType="begin"/>
        </w:r>
        <w:r w:rsidR="002B77E4" w:rsidRPr="002B77E4">
          <w:rPr>
            <w:noProof/>
            <w:webHidden/>
          </w:rPr>
          <w:instrText xml:space="preserve"> PAGEREF _Toc374229439 \h </w:instrText>
        </w:r>
        <w:r w:rsidRPr="002B77E4">
          <w:rPr>
            <w:noProof/>
            <w:webHidden/>
          </w:rPr>
        </w:r>
        <w:r w:rsidRPr="002B77E4">
          <w:rPr>
            <w:noProof/>
            <w:webHidden/>
          </w:rPr>
          <w:fldChar w:fldCharType="separate"/>
        </w:r>
        <w:r w:rsidR="00C566A8">
          <w:rPr>
            <w:noProof/>
            <w:webHidden/>
          </w:rPr>
          <w:t>10</w:t>
        </w:r>
        <w:r w:rsidRPr="002B77E4">
          <w:rPr>
            <w:noProof/>
            <w:webHidden/>
          </w:rPr>
          <w:fldChar w:fldCharType="end"/>
        </w:r>
      </w:hyperlink>
    </w:p>
    <w:p w:rsidR="002B77E4" w:rsidRPr="002B77E4" w:rsidRDefault="00E12FF5" w:rsidP="00AE38D7">
      <w:pPr>
        <w:pStyle w:val="TOC1"/>
        <w:rPr>
          <w:rFonts w:asciiTheme="minorHAnsi" w:eastAsiaTheme="minorEastAsia" w:hAnsiTheme="minorHAnsi" w:cstheme="minorBidi"/>
          <w:noProof/>
          <w:lang w:val="en-US"/>
        </w:rPr>
      </w:pPr>
      <w:hyperlink w:anchor="_Toc374229440" w:history="1">
        <w:r w:rsidR="002B77E4" w:rsidRPr="002B77E4">
          <w:rPr>
            <w:rStyle w:val="Hyperlink"/>
            <w:rFonts w:eastAsiaTheme="majorEastAsia"/>
            <w:noProof/>
            <w:sz w:val="24"/>
            <w:szCs w:val="24"/>
          </w:rPr>
          <w:t>3 pav. Valstybės skolos instrumentų klasifikacija</w:t>
        </w:r>
        <w:r w:rsidR="002B77E4" w:rsidRPr="002B77E4">
          <w:rPr>
            <w:noProof/>
            <w:webHidden/>
          </w:rPr>
          <w:tab/>
        </w:r>
        <w:r w:rsidRPr="002B77E4">
          <w:rPr>
            <w:noProof/>
            <w:webHidden/>
          </w:rPr>
          <w:fldChar w:fldCharType="begin"/>
        </w:r>
        <w:r w:rsidR="002B77E4" w:rsidRPr="002B77E4">
          <w:rPr>
            <w:noProof/>
            <w:webHidden/>
          </w:rPr>
          <w:instrText xml:space="preserve"> PAGEREF _Toc374229440 \h </w:instrText>
        </w:r>
        <w:r w:rsidRPr="002B77E4">
          <w:rPr>
            <w:noProof/>
            <w:webHidden/>
          </w:rPr>
        </w:r>
        <w:r w:rsidRPr="002B77E4">
          <w:rPr>
            <w:noProof/>
            <w:webHidden/>
          </w:rPr>
          <w:fldChar w:fldCharType="separate"/>
        </w:r>
        <w:r w:rsidR="00C566A8">
          <w:rPr>
            <w:noProof/>
            <w:webHidden/>
          </w:rPr>
          <w:t>11</w:t>
        </w:r>
        <w:r w:rsidRPr="002B77E4">
          <w:rPr>
            <w:noProof/>
            <w:webHidden/>
          </w:rPr>
          <w:fldChar w:fldCharType="end"/>
        </w:r>
      </w:hyperlink>
    </w:p>
    <w:p w:rsidR="002B77E4" w:rsidRPr="002B77E4" w:rsidRDefault="00E12FF5" w:rsidP="00AE38D7">
      <w:pPr>
        <w:pStyle w:val="TOC1"/>
        <w:rPr>
          <w:rFonts w:asciiTheme="minorHAnsi" w:eastAsiaTheme="minorEastAsia" w:hAnsiTheme="minorHAnsi" w:cstheme="minorBidi"/>
          <w:noProof/>
          <w:lang w:val="en-US"/>
        </w:rPr>
      </w:pPr>
      <w:hyperlink w:anchor="_Toc374229449" w:history="1">
        <w:r w:rsidR="002B77E4" w:rsidRPr="002B77E4">
          <w:rPr>
            <w:rStyle w:val="Hyperlink"/>
            <w:rFonts w:eastAsiaTheme="majorEastAsia"/>
            <w:noProof/>
            <w:sz w:val="24"/>
            <w:szCs w:val="24"/>
          </w:rPr>
          <w:t>4 pav. Bokso – Dženkiso metodo schema</w:t>
        </w:r>
        <w:r w:rsidR="002B77E4" w:rsidRPr="002B77E4">
          <w:rPr>
            <w:noProof/>
            <w:webHidden/>
          </w:rPr>
          <w:tab/>
        </w:r>
        <w:r w:rsidRPr="002B77E4">
          <w:rPr>
            <w:noProof/>
            <w:webHidden/>
          </w:rPr>
          <w:fldChar w:fldCharType="begin"/>
        </w:r>
        <w:r w:rsidR="002B77E4" w:rsidRPr="002B77E4">
          <w:rPr>
            <w:noProof/>
            <w:webHidden/>
          </w:rPr>
          <w:instrText xml:space="preserve"> PAGEREF _Toc374229449 \h </w:instrText>
        </w:r>
        <w:r w:rsidRPr="002B77E4">
          <w:rPr>
            <w:noProof/>
            <w:webHidden/>
          </w:rPr>
        </w:r>
        <w:r w:rsidRPr="002B77E4">
          <w:rPr>
            <w:noProof/>
            <w:webHidden/>
          </w:rPr>
          <w:fldChar w:fldCharType="separate"/>
        </w:r>
        <w:r w:rsidR="00C566A8">
          <w:rPr>
            <w:noProof/>
            <w:webHidden/>
          </w:rPr>
          <w:t>26</w:t>
        </w:r>
        <w:r w:rsidRPr="002B77E4">
          <w:rPr>
            <w:noProof/>
            <w:webHidden/>
          </w:rPr>
          <w:fldChar w:fldCharType="end"/>
        </w:r>
      </w:hyperlink>
    </w:p>
    <w:p w:rsidR="002B77E4" w:rsidRPr="002B77E4" w:rsidRDefault="00E12FF5" w:rsidP="00AE38D7">
      <w:pPr>
        <w:pStyle w:val="TOC1"/>
        <w:rPr>
          <w:rFonts w:asciiTheme="minorHAnsi" w:eastAsiaTheme="minorEastAsia" w:hAnsiTheme="minorHAnsi" w:cstheme="minorBidi"/>
          <w:noProof/>
          <w:lang w:val="en-US"/>
        </w:rPr>
      </w:pPr>
      <w:hyperlink w:anchor="_Toc374229452" w:history="1">
        <w:r w:rsidR="002B77E4" w:rsidRPr="002B77E4">
          <w:rPr>
            <w:rStyle w:val="Hyperlink"/>
            <w:rFonts w:eastAsiaTheme="majorEastAsia"/>
            <w:noProof/>
            <w:sz w:val="24"/>
            <w:szCs w:val="24"/>
          </w:rPr>
          <w:t>5 pav. Realaus BVP metinis pokytis Baltijos šalyse</w:t>
        </w:r>
        <w:r w:rsidR="002B77E4" w:rsidRPr="002B77E4">
          <w:rPr>
            <w:noProof/>
            <w:webHidden/>
          </w:rPr>
          <w:tab/>
        </w:r>
        <w:r w:rsidRPr="002B77E4">
          <w:rPr>
            <w:noProof/>
            <w:webHidden/>
          </w:rPr>
          <w:fldChar w:fldCharType="begin"/>
        </w:r>
        <w:r w:rsidR="002B77E4" w:rsidRPr="002B77E4">
          <w:rPr>
            <w:noProof/>
            <w:webHidden/>
          </w:rPr>
          <w:instrText xml:space="preserve"> PAGEREF _Toc374229452 \h </w:instrText>
        </w:r>
        <w:r w:rsidRPr="002B77E4">
          <w:rPr>
            <w:noProof/>
            <w:webHidden/>
          </w:rPr>
        </w:r>
        <w:r w:rsidRPr="002B77E4">
          <w:rPr>
            <w:noProof/>
            <w:webHidden/>
          </w:rPr>
          <w:fldChar w:fldCharType="separate"/>
        </w:r>
        <w:r w:rsidR="00C566A8">
          <w:rPr>
            <w:noProof/>
            <w:webHidden/>
          </w:rPr>
          <w:t>27</w:t>
        </w:r>
        <w:r w:rsidRPr="002B77E4">
          <w:rPr>
            <w:noProof/>
            <w:webHidden/>
          </w:rPr>
          <w:fldChar w:fldCharType="end"/>
        </w:r>
      </w:hyperlink>
    </w:p>
    <w:p w:rsidR="002B77E4" w:rsidRPr="002B77E4" w:rsidRDefault="00E12FF5" w:rsidP="00AE38D7">
      <w:pPr>
        <w:pStyle w:val="TOC1"/>
        <w:rPr>
          <w:rFonts w:asciiTheme="minorHAnsi" w:eastAsiaTheme="minorEastAsia" w:hAnsiTheme="minorHAnsi" w:cstheme="minorBidi"/>
          <w:noProof/>
          <w:lang w:val="en-US"/>
        </w:rPr>
      </w:pPr>
      <w:hyperlink w:anchor="_Toc374229453" w:history="1">
        <w:r w:rsidR="002B77E4" w:rsidRPr="002B77E4">
          <w:rPr>
            <w:rStyle w:val="Hyperlink"/>
            <w:rFonts w:eastAsiaTheme="majorEastAsia"/>
            <w:noProof/>
            <w:sz w:val="24"/>
            <w:szCs w:val="24"/>
          </w:rPr>
          <w:t>6 pav. Nedarbo lygis Baltijos šalyse</w:t>
        </w:r>
        <w:r w:rsidR="002B77E4" w:rsidRPr="002B77E4">
          <w:rPr>
            <w:noProof/>
            <w:webHidden/>
          </w:rPr>
          <w:tab/>
        </w:r>
        <w:r w:rsidRPr="002B77E4">
          <w:rPr>
            <w:noProof/>
            <w:webHidden/>
          </w:rPr>
          <w:fldChar w:fldCharType="begin"/>
        </w:r>
        <w:r w:rsidR="002B77E4" w:rsidRPr="002B77E4">
          <w:rPr>
            <w:noProof/>
            <w:webHidden/>
          </w:rPr>
          <w:instrText xml:space="preserve"> PAGEREF _Toc374229453 \h </w:instrText>
        </w:r>
        <w:r w:rsidRPr="002B77E4">
          <w:rPr>
            <w:noProof/>
            <w:webHidden/>
          </w:rPr>
        </w:r>
        <w:r w:rsidRPr="002B77E4">
          <w:rPr>
            <w:noProof/>
            <w:webHidden/>
          </w:rPr>
          <w:fldChar w:fldCharType="separate"/>
        </w:r>
        <w:r w:rsidR="00C566A8">
          <w:rPr>
            <w:noProof/>
            <w:webHidden/>
          </w:rPr>
          <w:t>28</w:t>
        </w:r>
        <w:r w:rsidRPr="002B77E4">
          <w:rPr>
            <w:noProof/>
            <w:webHidden/>
          </w:rPr>
          <w:fldChar w:fldCharType="end"/>
        </w:r>
      </w:hyperlink>
    </w:p>
    <w:p w:rsidR="002B77E4" w:rsidRPr="002B77E4" w:rsidRDefault="00E12FF5" w:rsidP="00AE38D7">
      <w:pPr>
        <w:pStyle w:val="TOC1"/>
        <w:rPr>
          <w:rFonts w:asciiTheme="minorHAnsi" w:eastAsiaTheme="minorEastAsia" w:hAnsiTheme="minorHAnsi" w:cstheme="minorBidi"/>
          <w:noProof/>
          <w:lang w:val="en-US"/>
        </w:rPr>
      </w:pPr>
      <w:hyperlink w:anchor="_Toc374229454" w:history="1">
        <w:r w:rsidR="002B77E4" w:rsidRPr="002B77E4">
          <w:rPr>
            <w:rStyle w:val="Hyperlink"/>
            <w:rFonts w:eastAsiaTheme="majorEastAsia"/>
            <w:noProof/>
            <w:sz w:val="24"/>
            <w:szCs w:val="24"/>
          </w:rPr>
          <w:t>7 pav. Baltijos šalių eksporto santykis su BVP</w:t>
        </w:r>
        <w:r w:rsidR="002B77E4" w:rsidRPr="002B77E4">
          <w:rPr>
            <w:noProof/>
            <w:webHidden/>
          </w:rPr>
          <w:tab/>
        </w:r>
        <w:r w:rsidRPr="002B77E4">
          <w:rPr>
            <w:noProof/>
            <w:webHidden/>
          </w:rPr>
          <w:fldChar w:fldCharType="begin"/>
        </w:r>
        <w:r w:rsidR="002B77E4" w:rsidRPr="002B77E4">
          <w:rPr>
            <w:noProof/>
            <w:webHidden/>
          </w:rPr>
          <w:instrText xml:space="preserve"> PAGEREF _Toc374229454 \h </w:instrText>
        </w:r>
        <w:r w:rsidRPr="002B77E4">
          <w:rPr>
            <w:noProof/>
            <w:webHidden/>
          </w:rPr>
        </w:r>
        <w:r w:rsidRPr="002B77E4">
          <w:rPr>
            <w:noProof/>
            <w:webHidden/>
          </w:rPr>
          <w:fldChar w:fldCharType="separate"/>
        </w:r>
        <w:r w:rsidR="00C566A8">
          <w:rPr>
            <w:noProof/>
            <w:webHidden/>
          </w:rPr>
          <w:t>29</w:t>
        </w:r>
        <w:r w:rsidRPr="002B77E4">
          <w:rPr>
            <w:noProof/>
            <w:webHidden/>
          </w:rPr>
          <w:fldChar w:fldCharType="end"/>
        </w:r>
      </w:hyperlink>
    </w:p>
    <w:p w:rsidR="002B77E4" w:rsidRPr="002B77E4" w:rsidRDefault="00E12FF5" w:rsidP="00AE38D7">
      <w:pPr>
        <w:pStyle w:val="TOC1"/>
        <w:rPr>
          <w:rFonts w:asciiTheme="minorHAnsi" w:eastAsiaTheme="minorEastAsia" w:hAnsiTheme="minorHAnsi" w:cstheme="minorBidi"/>
          <w:noProof/>
          <w:lang w:val="en-US"/>
        </w:rPr>
      </w:pPr>
      <w:hyperlink w:anchor="_Toc374229455" w:history="1">
        <w:r w:rsidR="002B77E4" w:rsidRPr="002B77E4">
          <w:rPr>
            <w:rStyle w:val="Hyperlink"/>
            <w:rFonts w:eastAsiaTheme="majorEastAsia"/>
            <w:noProof/>
            <w:sz w:val="24"/>
            <w:szCs w:val="24"/>
            <w:lang w:val="en-US"/>
          </w:rPr>
          <w:t>8 pav. Baltijos šalių vald</w:t>
        </w:r>
        <w:r w:rsidR="002B77E4" w:rsidRPr="002B77E4">
          <w:rPr>
            <w:rStyle w:val="Hyperlink"/>
            <w:rFonts w:eastAsiaTheme="majorEastAsia"/>
            <w:noProof/>
            <w:sz w:val="24"/>
            <w:szCs w:val="24"/>
          </w:rPr>
          <w:t xml:space="preserve">žios sektoriaus </w:t>
        </w:r>
        <w:r w:rsidR="002B77E4" w:rsidRPr="002B77E4">
          <w:rPr>
            <w:rStyle w:val="Hyperlink"/>
            <w:rFonts w:eastAsiaTheme="majorEastAsia"/>
            <w:noProof/>
            <w:sz w:val="24"/>
            <w:szCs w:val="24"/>
            <w:lang w:val="en-US"/>
          </w:rPr>
          <w:t>deficitas/perteklius ( % nuo BVP)</w:t>
        </w:r>
        <w:r w:rsidR="002B77E4" w:rsidRPr="002B77E4">
          <w:rPr>
            <w:noProof/>
            <w:webHidden/>
          </w:rPr>
          <w:tab/>
        </w:r>
        <w:r w:rsidRPr="002B77E4">
          <w:rPr>
            <w:noProof/>
            <w:webHidden/>
          </w:rPr>
          <w:fldChar w:fldCharType="begin"/>
        </w:r>
        <w:r w:rsidR="002B77E4" w:rsidRPr="002B77E4">
          <w:rPr>
            <w:noProof/>
            <w:webHidden/>
          </w:rPr>
          <w:instrText xml:space="preserve"> PAGEREF _Toc374229455 \h </w:instrText>
        </w:r>
        <w:r w:rsidRPr="002B77E4">
          <w:rPr>
            <w:noProof/>
            <w:webHidden/>
          </w:rPr>
        </w:r>
        <w:r w:rsidRPr="002B77E4">
          <w:rPr>
            <w:noProof/>
            <w:webHidden/>
          </w:rPr>
          <w:fldChar w:fldCharType="separate"/>
        </w:r>
        <w:r w:rsidR="00C566A8">
          <w:rPr>
            <w:noProof/>
            <w:webHidden/>
          </w:rPr>
          <w:t>31</w:t>
        </w:r>
        <w:r w:rsidRPr="002B77E4">
          <w:rPr>
            <w:noProof/>
            <w:webHidden/>
          </w:rPr>
          <w:fldChar w:fldCharType="end"/>
        </w:r>
      </w:hyperlink>
    </w:p>
    <w:p w:rsidR="002B77E4" w:rsidRPr="002B77E4" w:rsidRDefault="00E12FF5" w:rsidP="00AE38D7">
      <w:pPr>
        <w:pStyle w:val="TOC1"/>
        <w:rPr>
          <w:rFonts w:asciiTheme="minorHAnsi" w:eastAsiaTheme="minorEastAsia" w:hAnsiTheme="minorHAnsi" w:cstheme="minorBidi"/>
          <w:noProof/>
          <w:lang w:val="en-US"/>
        </w:rPr>
      </w:pPr>
      <w:hyperlink w:anchor="_Toc374229457" w:history="1">
        <w:r w:rsidR="002B77E4" w:rsidRPr="002B77E4">
          <w:rPr>
            <w:rStyle w:val="Hyperlink"/>
            <w:rFonts w:eastAsiaTheme="majorEastAsia"/>
            <w:noProof/>
            <w:sz w:val="24"/>
            <w:szCs w:val="24"/>
          </w:rPr>
          <w:t>9 pav. Baltijos šalių valstybės skola</w:t>
        </w:r>
        <w:r w:rsidR="002B77E4" w:rsidRPr="002B77E4">
          <w:rPr>
            <w:noProof/>
            <w:webHidden/>
          </w:rPr>
          <w:tab/>
        </w:r>
        <w:r w:rsidRPr="002B77E4">
          <w:rPr>
            <w:noProof/>
            <w:webHidden/>
          </w:rPr>
          <w:fldChar w:fldCharType="begin"/>
        </w:r>
        <w:r w:rsidR="002B77E4" w:rsidRPr="002B77E4">
          <w:rPr>
            <w:noProof/>
            <w:webHidden/>
          </w:rPr>
          <w:instrText xml:space="preserve"> PAGEREF _Toc374229457 \h </w:instrText>
        </w:r>
        <w:r w:rsidRPr="002B77E4">
          <w:rPr>
            <w:noProof/>
            <w:webHidden/>
          </w:rPr>
        </w:r>
        <w:r w:rsidRPr="002B77E4">
          <w:rPr>
            <w:noProof/>
            <w:webHidden/>
          </w:rPr>
          <w:fldChar w:fldCharType="separate"/>
        </w:r>
        <w:r w:rsidR="00C566A8">
          <w:rPr>
            <w:noProof/>
            <w:webHidden/>
          </w:rPr>
          <w:t>32</w:t>
        </w:r>
        <w:r w:rsidRPr="002B77E4">
          <w:rPr>
            <w:noProof/>
            <w:webHidden/>
          </w:rPr>
          <w:fldChar w:fldCharType="end"/>
        </w:r>
      </w:hyperlink>
    </w:p>
    <w:p w:rsidR="002B77E4" w:rsidRPr="002B77E4" w:rsidRDefault="00E12FF5" w:rsidP="00AE38D7">
      <w:pPr>
        <w:pStyle w:val="TOC1"/>
        <w:rPr>
          <w:rFonts w:asciiTheme="minorHAnsi" w:eastAsiaTheme="minorEastAsia" w:hAnsiTheme="minorHAnsi" w:cstheme="minorBidi"/>
          <w:noProof/>
          <w:lang w:val="en-US"/>
        </w:rPr>
      </w:pPr>
      <w:hyperlink w:anchor="_Toc374229458" w:history="1">
        <w:r w:rsidR="002B77E4" w:rsidRPr="002B77E4">
          <w:rPr>
            <w:rStyle w:val="Hyperlink"/>
            <w:rFonts w:eastAsiaTheme="majorEastAsia"/>
            <w:noProof/>
            <w:sz w:val="24"/>
            <w:szCs w:val="24"/>
          </w:rPr>
          <w:t>10 pav. Baltijos šalių valstybės skolos ir BVP santykis</w:t>
        </w:r>
        <w:r w:rsidR="002B77E4" w:rsidRPr="002B77E4">
          <w:rPr>
            <w:noProof/>
            <w:webHidden/>
          </w:rPr>
          <w:tab/>
        </w:r>
        <w:r w:rsidRPr="002B77E4">
          <w:rPr>
            <w:noProof/>
            <w:webHidden/>
          </w:rPr>
          <w:fldChar w:fldCharType="begin"/>
        </w:r>
        <w:r w:rsidR="002B77E4" w:rsidRPr="002B77E4">
          <w:rPr>
            <w:noProof/>
            <w:webHidden/>
          </w:rPr>
          <w:instrText xml:space="preserve"> PAGEREF _Toc374229458 \h </w:instrText>
        </w:r>
        <w:r w:rsidRPr="002B77E4">
          <w:rPr>
            <w:noProof/>
            <w:webHidden/>
          </w:rPr>
        </w:r>
        <w:r w:rsidRPr="002B77E4">
          <w:rPr>
            <w:noProof/>
            <w:webHidden/>
          </w:rPr>
          <w:fldChar w:fldCharType="separate"/>
        </w:r>
        <w:r w:rsidR="00C566A8">
          <w:rPr>
            <w:noProof/>
            <w:webHidden/>
          </w:rPr>
          <w:t>33</w:t>
        </w:r>
        <w:r w:rsidRPr="002B77E4">
          <w:rPr>
            <w:noProof/>
            <w:webHidden/>
          </w:rPr>
          <w:fldChar w:fldCharType="end"/>
        </w:r>
      </w:hyperlink>
    </w:p>
    <w:p w:rsidR="002B77E4" w:rsidRPr="002B77E4" w:rsidRDefault="00E12FF5" w:rsidP="00AE38D7">
      <w:pPr>
        <w:pStyle w:val="TOC1"/>
        <w:rPr>
          <w:rFonts w:asciiTheme="minorHAnsi" w:eastAsiaTheme="minorEastAsia" w:hAnsiTheme="minorHAnsi" w:cstheme="minorBidi"/>
          <w:noProof/>
          <w:lang w:val="en-US"/>
        </w:rPr>
      </w:pPr>
      <w:hyperlink w:anchor="_Toc374229459" w:history="1">
        <w:r w:rsidR="002B77E4" w:rsidRPr="002B77E4">
          <w:rPr>
            <w:rStyle w:val="Hyperlink"/>
            <w:rFonts w:eastAsiaTheme="majorEastAsia"/>
            <w:noProof/>
            <w:sz w:val="24"/>
            <w:szCs w:val="24"/>
          </w:rPr>
          <w:t>11 pav. Baltijos šalių valstybės skola, tenkanti vienam gyventojui</w:t>
        </w:r>
        <w:r w:rsidR="002B77E4" w:rsidRPr="002B77E4">
          <w:rPr>
            <w:noProof/>
            <w:webHidden/>
          </w:rPr>
          <w:tab/>
        </w:r>
        <w:r w:rsidRPr="002B77E4">
          <w:rPr>
            <w:noProof/>
            <w:webHidden/>
          </w:rPr>
          <w:fldChar w:fldCharType="begin"/>
        </w:r>
        <w:r w:rsidR="002B77E4" w:rsidRPr="002B77E4">
          <w:rPr>
            <w:noProof/>
            <w:webHidden/>
          </w:rPr>
          <w:instrText xml:space="preserve"> PAGEREF _Toc374229459 \h </w:instrText>
        </w:r>
        <w:r w:rsidRPr="002B77E4">
          <w:rPr>
            <w:noProof/>
            <w:webHidden/>
          </w:rPr>
        </w:r>
        <w:r w:rsidRPr="002B77E4">
          <w:rPr>
            <w:noProof/>
            <w:webHidden/>
          </w:rPr>
          <w:fldChar w:fldCharType="separate"/>
        </w:r>
        <w:r w:rsidR="00C566A8">
          <w:rPr>
            <w:noProof/>
            <w:webHidden/>
          </w:rPr>
          <w:t>34</w:t>
        </w:r>
        <w:r w:rsidRPr="002B77E4">
          <w:rPr>
            <w:noProof/>
            <w:webHidden/>
          </w:rPr>
          <w:fldChar w:fldCharType="end"/>
        </w:r>
      </w:hyperlink>
    </w:p>
    <w:p w:rsidR="002B77E4" w:rsidRPr="002B77E4" w:rsidRDefault="00E12FF5" w:rsidP="00AE38D7">
      <w:pPr>
        <w:pStyle w:val="TOC1"/>
        <w:rPr>
          <w:rFonts w:asciiTheme="minorHAnsi" w:eastAsiaTheme="minorEastAsia" w:hAnsiTheme="minorHAnsi" w:cstheme="minorBidi"/>
          <w:noProof/>
          <w:lang w:val="en-US"/>
        </w:rPr>
      </w:pPr>
      <w:hyperlink w:anchor="_Toc374229460" w:history="1">
        <w:r w:rsidR="002B77E4" w:rsidRPr="002B77E4">
          <w:rPr>
            <w:rStyle w:val="Hyperlink"/>
            <w:rFonts w:eastAsiaTheme="majorEastAsia"/>
            <w:noProof/>
            <w:sz w:val="24"/>
            <w:szCs w:val="24"/>
          </w:rPr>
          <w:t>12 pav. ES šalių valstybių skolos santykis su BVP 2012 metais</w:t>
        </w:r>
        <w:r w:rsidR="002B77E4" w:rsidRPr="002B77E4">
          <w:rPr>
            <w:noProof/>
            <w:webHidden/>
          </w:rPr>
          <w:tab/>
        </w:r>
        <w:r w:rsidRPr="002B77E4">
          <w:rPr>
            <w:noProof/>
            <w:webHidden/>
          </w:rPr>
          <w:fldChar w:fldCharType="begin"/>
        </w:r>
        <w:r w:rsidR="002B77E4" w:rsidRPr="002B77E4">
          <w:rPr>
            <w:noProof/>
            <w:webHidden/>
          </w:rPr>
          <w:instrText xml:space="preserve"> PAGEREF _Toc374229460 \h </w:instrText>
        </w:r>
        <w:r w:rsidRPr="002B77E4">
          <w:rPr>
            <w:noProof/>
            <w:webHidden/>
          </w:rPr>
        </w:r>
        <w:r w:rsidRPr="002B77E4">
          <w:rPr>
            <w:noProof/>
            <w:webHidden/>
          </w:rPr>
          <w:fldChar w:fldCharType="separate"/>
        </w:r>
        <w:r w:rsidR="00C566A8">
          <w:rPr>
            <w:noProof/>
            <w:webHidden/>
          </w:rPr>
          <w:t>35</w:t>
        </w:r>
        <w:r w:rsidRPr="002B77E4">
          <w:rPr>
            <w:noProof/>
            <w:webHidden/>
          </w:rPr>
          <w:fldChar w:fldCharType="end"/>
        </w:r>
      </w:hyperlink>
    </w:p>
    <w:p w:rsidR="002B77E4" w:rsidRPr="002B77E4" w:rsidRDefault="00E12FF5" w:rsidP="00AE38D7">
      <w:pPr>
        <w:pStyle w:val="TOC1"/>
        <w:rPr>
          <w:rFonts w:asciiTheme="minorHAnsi" w:eastAsiaTheme="minorEastAsia" w:hAnsiTheme="minorHAnsi" w:cstheme="minorBidi"/>
          <w:noProof/>
          <w:lang w:val="en-US"/>
        </w:rPr>
      </w:pPr>
      <w:hyperlink w:anchor="_Toc374229462" w:history="1">
        <w:r w:rsidR="002B77E4" w:rsidRPr="002B77E4">
          <w:rPr>
            <w:rStyle w:val="Hyperlink"/>
            <w:rFonts w:eastAsiaTheme="majorEastAsia"/>
            <w:noProof/>
            <w:sz w:val="24"/>
            <w:szCs w:val="24"/>
          </w:rPr>
          <w:t>13 pav. Baltijos šalių mokamos palūkanos už valstybės skolinimąsi</w:t>
        </w:r>
        <w:r w:rsidR="002B77E4" w:rsidRPr="002B77E4">
          <w:rPr>
            <w:noProof/>
            <w:webHidden/>
          </w:rPr>
          <w:tab/>
        </w:r>
        <w:r w:rsidRPr="002B77E4">
          <w:rPr>
            <w:noProof/>
            <w:webHidden/>
          </w:rPr>
          <w:fldChar w:fldCharType="begin"/>
        </w:r>
        <w:r w:rsidR="002B77E4" w:rsidRPr="002B77E4">
          <w:rPr>
            <w:noProof/>
            <w:webHidden/>
          </w:rPr>
          <w:instrText xml:space="preserve"> PAGEREF _Toc374229462 \h </w:instrText>
        </w:r>
        <w:r w:rsidRPr="002B77E4">
          <w:rPr>
            <w:noProof/>
            <w:webHidden/>
          </w:rPr>
        </w:r>
        <w:r w:rsidRPr="002B77E4">
          <w:rPr>
            <w:noProof/>
            <w:webHidden/>
          </w:rPr>
          <w:fldChar w:fldCharType="separate"/>
        </w:r>
        <w:r w:rsidR="00C566A8">
          <w:rPr>
            <w:noProof/>
            <w:webHidden/>
          </w:rPr>
          <w:t>38</w:t>
        </w:r>
        <w:r w:rsidRPr="002B77E4">
          <w:rPr>
            <w:noProof/>
            <w:webHidden/>
          </w:rPr>
          <w:fldChar w:fldCharType="end"/>
        </w:r>
      </w:hyperlink>
    </w:p>
    <w:p w:rsidR="002B77E4" w:rsidRPr="002B77E4" w:rsidRDefault="00E12FF5" w:rsidP="00AE38D7">
      <w:pPr>
        <w:pStyle w:val="TOC1"/>
        <w:rPr>
          <w:rFonts w:asciiTheme="minorHAnsi" w:eastAsiaTheme="minorEastAsia" w:hAnsiTheme="minorHAnsi" w:cstheme="minorBidi"/>
          <w:noProof/>
          <w:lang w:val="en-US"/>
        </w:rPr>
      </w:pPr>
      <w:hyperlink w:anchor="_Toc374229464" w:history="1">
        <w:r w:rsidR="002B77E4" w:rsidRPr="002B77E4">
          <w:rPr>
            <w:rStyle w:val="Hyperlink"/>
            <w:rFonts w:eastAsiaTheme="majorEastAsia"/>
            <w:noProof/>
            <w:sz w:val="24"/>
            <w:szCs w:val="24"/>
          </w:rPr>
          <w:t>14 pav. Baltijos šalių valstybės skolos struktūra pagal subsektorių</w:t>
        </w:r>
        <w:r w:rsidR="002B77E4" w:rsidRPr="002B77E4">
          <w:rPr>
            <w:noProof/>
            <w:webHidden/>
          </w:rPr>
          <w:tab/>
        </w:r>
        <w:r w:rsidRPr="002B77E4">
          <w:rPr>
            <w:noProof/>
            <w:webHidden/>
          </w:rPr>
          <w:fldChar w:fldCharType="begin"/>
        </w:r>
        <w:r w:rsidR="002B77E4" w:rsidRPr="002B77E4">
          <w:rPr>
            <w:noProof/>
            <w:webHidden/>
          </w:rPr>
          <w:instrText xml:space="preserve"> PAGEREF _Toc374229464 \h </w:instrText>
        </w:r>
        <w:r w:rsidRPr="002B77E4">
          <w:rPr>
            <w:noProof/>
            <w:webHidden/>
          </w:rPr>
        </w:r>
        <w:r w:rsidRPr="002B77E4">
          <w:rPr>
            <w:noProof/>
            <w:webHidden/>
          </w:rPr>
          <w:fldChar w:fldCharType="separate"/>
        </w:r>
        <w:r w:rsidR="00C566A8">
          <w:rPr>
            <w:noProof/>
            <w:webHidden/>
          </w:rPr>
          <w:t>40</w:t>
        </w:r>
        <w:r w:rsidRPr="002B77E4">
          <w:rPr>
            <w:noProof/>
            <w:webHidden/>
          </w:rPr>
          <w:fldChar w:fldCharType="end"/>
        </w:r>
      </w:hyperlink>
    </w:p>
    <w:p w:rsidR="002B77E4" w:rsidRPr="002B77E4" w:rsidRDefault="00E12FF5" w:rsidP="00AE38D7">
      <w:pPr>
        <w:pStyle w:val="TOC1"/>
        <w:rPr>
          <w:rFonts w:asciiTheme="minorHAnsi" w:eastAsiaTheme="minorEastAsia" w:hAnsiTheme="minorHAnsi" w:cstheme="minorBidi"/>
          <w:noProof/>
          <w:lang w:val="en-US"/>
        </w:rPr>
      </w:pPr>
      <w:hyperlink w:anchor="_Toc374229465" w:history="1">
        <w:r w:rsidR="002B77E4" w:rsidRPr="002B77E4">
          <w:rPr>
            <w:rStyle w:val="Hyperlink"/>
            <w:rFonts w:eastAsiaTheme="majorEastAsia"/>
            <w:noProof/>
            <w:sz w:val="24"/>
            <w:szCs w:val="24"/>
            <w:lang w:val="en-US"/>
          </w:rPr>
          <w:t>15 pav. Baltijos šalių valstybės skolos stuktūrą pagal rinką</w:t>
        </w:r>
        <w:r w:rsidR="002B77E4" w:rsidRPr="002B77E4">
          <w:rPr>
            <w:noProof/>
            <w:webHidden/>
          </w:rPr>
          <w:tab/>
        </w:r>
        <w:r w:rsidRPr="002B77E4">
          <w:rPr>
            <w:noProof/>
            <w:webHidden/>
          </w:rPr>
          <w:fldChar w:fldCharType="begin"/>
        </w:r>
        <w:r w:rsidR="002B77E4" w:rsidRPr="002B77E4">
          <w:rPr>
            <w:noProof/>
            <w:webHidden/>
          </w:rPr>
          <w:instrText xml:space="preserve"> PAGEREF _Toc374229465 \h </w:instrText>
        </w:r>
        <w:r w:rsidRPr="002B77E4">
          <w:rPr>
            <w:noProof/>
            <w:webHidden/>
          </w:rPr>
        </w:r>
        <w:r w:rsidRPr="002B77E4">
          <w:rPr>
            <w:noProof/>
            <w:webHidden/>
          </w:rPr>
          <w:fldChar w:fldCharType="separate"/>
        </w:r>
        <w:r w:rsidR="00C566A8">
          <w:rPr>
            <w:noProof/>
            <w:webHidden/>
          </w:rPr>
          <w:t>42</w:t>
        </w:r>
        <w:r w:rsidRPr="002B77E4">
          <w:rPr>
            <w:noProof/>
            <w:webHidden/>
          </w:rPr>
          <w:fldChar w:fldCharType="end"/>
        </w:r>
      </w:hyperlink>
    </w:p>
    <w:p w:rsidR="002B77E4" w:rsidRPr="002B77E4" w:rsidRDefault="00E12FF5" w:rsidP="00AE38D7">
      <w:pPr>
        <w:pStyle w:val="TOC1"/>
        <w:rPr>
          <w:rFonts w:asciiTheme="minorHAnsi" w:eastAsiaTheme="minorEastAsia" w:hAnsiTheme="minorHAnsi" w:cstheme="minorBidi"/>
          <w:noProof/>
          <w:lang w:val="en-US"/>
        </w:rPr>
      </w:pPr>
      <w:hyperlink w:anchor="_Toc374229466" w:history="1">
        <w:r w:rsidR="002B77E4" w:rsidRPr="002B77E4">
          <w:rPr>
            <w:rStyle w:val="Hyperlink"/>
            <w:rFonts w:eastAsiaTheme="majorEastAsia"/>
            <w:noProof/>
            <w:sz w:val="24"/>
            <w:szCs w:val="24"/>
          </w:rPr>
          <w:t>16 pav.  Baltijos šalių valstybės skolos struktūra pagal skolinimosi priemones</w:t>
        </w:r>
        <w:r w:rsidR="002B77E4" w:rsidRPr="002B77E4">
          <w:rPr>
            <w:noProof/>
            <w:webHidden/>
          </w:rPr>
          <w:tab/>
        </w:r>
        <w:r w:rsidRPr="002B77E4">
          <w:rPr>
            <w:noProof/>
            <w:webHidden/>
          </w:rPr>
          <w:fldChar w:fldCharType="begin"/>
        </w:r>
        <w:r w:rsidR="002B77E4" w:rsidRPr="002B77E4">
          <w:rPr>
            <w:noProof/>
            <w:webHidden/>
          </w:rPr>
          <w:instrText xml:space="preserve"> PAGEREF _Toc374229466 \h </w:instrText>
        </w:r>
        <w:r w:rsidRPr="002B77E4">
          <w:rPr>
            <w:noProof/>
            <w:webHidden/>
          </w:rPr>
        </w:r>
        <w:r w:rsidRPr="002B77E4">
          <w:rPr>
            <w:noProof/>
            <w:webHidden/>
          </w:rPr>
          <w:fldChar w:fldCharType="separate"/>
        </w:r>
        <w:r w:rsidR="00C566A8">
          <w:rPr>
            <w:noProof/>
            <w:webHidden/>
          </w:rPr>
          <w:t>43</w:t>
        </w:r>
        <w:r w:rsidRPr="002B77E4">
          <w:rPr>
            <w:noProof/>
            <w:webHidden/>
          </w:rPr>
          <w:fldChar w:fldCharType="end"/>
        </w:r>
      </w:hyperlink>
    </w:p>
    <w:p w:rsidR="002B77E4" w:rsidRPr="002B77E4" w:rsidRDefault="00E12FF5" w:rsidP="00AE38D7">
      <w:pPr>
        <w:pStyle w:val="TOC1"/>
        <w:rPr>
          <w:rFonts w:asciiTheme="minorHAnsi" w:eastAsiaTheme="minorEastAsia" w:hAnsiTheme="minorHAnsi" w:cstheme="minorBidi"/>
          <w:noProof/>
          <w:lang w:val="en-US"/>
        </w:rPr>
      </w:pPr>
      <w:hyperlink w:anchor="_Toc374229467" w:history="1">
        <w:r w:rsidR="002B77E4" w:rsidRPr="002B77E4">
          <w:rPr>
            <w:rStyle w:val="Hyperlink"/>
            <w:rFonts w:eastAsiaTheme="majorEastAsia"/>
            <w:noProof/>
            <w:sz w:val="24"/>
            <w:szCs w:val="24"/>
          </w:rPr>
          <w:t>17 pav. Baltijos šalių valstybės skolos struktūra pagal trukmę</w:t>
        </w:r>
        <w:r w:rsidR="002B77E4" w:rsidRPr="002B77E4">
          <w:rPr>
            <w:noProof/>
            <w:webHidden/>
          </w:rPr>
          <w:tab/>
        </w:r>
        <w:r w:rsidRPr="002B77E4">
          <w:rPr>
            <w:noProof/>
            <w:webHidden/>
          </w:rPr>
          <w:fldChar w:fldCharType="begin"/>
        </w:r>
        <w:r w:rsidR="002B77E4" w:rsidRPr="002B77E4">
          <w:rPr>
            <w:noProof/>
            <w:webHidden/>
          </w:rPr>
          <w:instrText xml:space="preserve"> PAGEREF _Toc374229467 \h </w:instrText>
        </w:r>
        <w:r w:rsidRPr="002B77E4">
          <w:rPr>
            <w:noProof/>
            <w:webHidden/>
          </w:rPr>
        </w:r>
        <w:r w:rsidRPr="002B77E4">
          <w:rPr>
            <w:noProof/>
            <w:webHidden/>
          </w:rPr>
          <w:fldChar w:fldCharType="separate"/>
        </w:r>
        <w:r w:rsidR="00C566A8">
          <w:rPr>
            <w:noProof/>
            <w:webHidden/>
          </w:rPr>
          <w:t>44</w:t>
        </w:r>
        <w:r w:rsidRPr="002B77E4">
          <w:rPr>
            <w:noProof/>
            <w:webHidden/>
          </w:rPr>
          <w:fldChar w:fldCharType="end"/>
        </w:r>
      </w:hyperlink>
    </w:p>
    <w:p w:rsidR="002B77E4" w:rsidRPr="002B77E4" w:rsidRDefault="00E12FF5" w:rsidP="00AE38D7">
      <w:pPr>
        <w:pStyle w:val="TOC1"/>
        <w:rPr>
          <w:rFonts w:asciiTheme="minorHAnsi" w:eastAsiaTheme="minorEastAsia" w:hAnsiTheme="minorHAnsi" w:cstheme="minorBidi"/>
          <w:noProof/>
          <w:lang w:val="en-US"/>
        </w:rPr>
      </w:pPr>
      <w:hyperlink w:anchor="_Toc374229468" w:history="1">
        <w:r w:rsidR="002B77E4" w:rsidRPr="002B77E4">
          <w:rPr>
            <w:rStyle w:val="Hyperlink"/>
            <w:rFonts w:eastAsiaTheme="majorEastAsia"/>
            <w:noProof/>
            <w:sz w:val="24"/>
            <w:szCs w:val="24"/>
          </w:rPr>
          <w:t>18 pav. Baltijos šalių valstybės skolos struktūra pagal valiutą</w:t>
        </w:r>
        <w:r w:rsidR="002B77E4" w:rsidRPr="002B77E4">
          <w:rPr>
            <w:noProof/>
            <w:webHidden/>
          </w:rPr>
          <w:tab/>
        </w:r>
        <w:r w:rsidRPr="002B77E4">
          <w:rPr>
            <w:noProof/>
            <w:webHidden/>
          </w:rPr>
          <w:fldChar w:fldCharType="begin"/>
        </w:r>
        <w:r w:rsidR="002B77E4" w:rsidRPr="002B77E4">
          <w:rPr>
            <w:noProof/>
            <w:webHidden/>
          </w:rPr>
          <w:instrText xml:space="preserve"> PAGEREF _Toc374229468 \h </w:instrText>
        </w:r>
        <w:r w:rsidRPr="002B77E4">
          <w:rPr>
            <w:noProof/>
            <w:webHidden/>
          </w:rPr>
        </w:r>
        <w:r w:rsidRPr="002B77E4">
          <w:rPr>
            <w:noProof/>
            <w:webHidden/>
          </w:rPr>
          <w:fldChar w:fldCharType="separate"/>
        </w:r>
        <w:r w:rsidR="00C566A8">
          <w:rPr>
            <w:noProof/>
            <w:webHidden/>
          </w:rPr>
          <w:t>45</w:t>
        </w:r>
        <w:r w:rsidRPr="002B77E4">
          <w:rPr>
            <w:noProof/>
            <w:webHidden/>
          </w:rPr>
          <w:fldChar w:fldCharType="end"/>
        </w:r>
      </w:hyperlink>
    </w:p>
    <w:p w:rsidR="002B77E4" w:rsidRPr="002B77E4" w:rsidRDefault="00E12FF5" w:rsidP="00AE38D7">
      <w:pPr>
        <w:pStyle w:val="TOC1"/>
        <w:rPr>
          <w:rFonts w:asciiTheme="minorHAnsi" w:eastAsiaTheme="minorEastAsia" w:hAnsiTheme="minorHAnsi" w:cstheme="minorBidi"/>
          <w:noProof/>
          <w:lang w:val="en-US"/>
        </w:rPr>
      </w:pPr>
      <w:hyperlink w:anchor="_Toc374229476" w:history="1">
        <w:r w:rsidR="002B77E4" w:rsidRPr="002B77E4">
          <w:rPr>
            <w:rStyle w:val="Hyperlink"/>
            <w:rFonts w:eastAsiaTheme="majorEastAsia"/>
            <w:noProof/>
            <w:sz w:val="24"/>
            <w:szCs w:val="24"/>
          </w:rPr>
          <w:t>19 pav</w:t>
        </w:r>
        <w:r w:rsidR="0053307F">
          <w:rPr>
            <w:rStyle w:val="Hyperlink"/>
            <w:rFonts w:eastAsiaTheme="majorEastAsia"/>
            <w:noProof/>
            <w:sz w:val="24"/>
            <w:szCs w:val="24"/>
          </w:rPr>
          <w:t>. Baltijos šalių valstybės skolos metiniai augimo tempai</w:t>
        </w:r>
        <w:r w:rsidR="002B77E4" w:rsidRPr="002B77E4">
          <w:rPr>
            <w:rStyle w:val="Hyperlink"/>
            <w:rFonts w:eastAsiaTheme="majorEastAsia"/>
            <w:noProof/>
            <w:sz w:val="24"/>
            <w:szCs w:val="24"/>
          </w:rPr>
          <w:t xml:space="preserve"> su prognozuojamomis reikšmėmis pagal daugialypės tiesinės regresijos modelį</w:t>
        </w:r>
        <w:r w:rsidR="0053307F">
          <w:rPr>
            <w:noProof/>
            <w:webHidden/>
          </w:rPr>
          <w:t>................................................................................................</w:t>
        </w:r>
        <w:r w:rsidRPr="002B77E4">
          <w:rPr>
            <w:noProof/>
            <w:webHidden/>
          </w:rPr>
          <w:fldChar w:fldCharType="begin"/>
        </w:r>
        <w:r w:rsidR="002B77E4" w:rsidRPr="002B77E4">
          <w:rPr>
            <w:noProof/>
            <w:webHidden/>
          </w:rPr>
          <w:instrText xml:space="preserve"> PAGEREF _Toc374229476 \h </w:instrText>
        </w:r>
        <w:r w:rsidRPr="002B77E4">
          <w:rPr>
            <w:noProof/>
            <w:webHidden/>
          </w:rPr>
        </w:r>
        <w:r w:rsidRPr="002B77E4">
          <w:rPr>
            <w:noProof/>
            <w:webHidden/>
          </w:rPr>
          <w:fldChar w:fldCharType="separate"/>
        </w:r>
        <w:r w:rsidR="00C566A8">
          <w:rPr>
            <w:noProof/>
            <w:webHidden/>
          </w:rPr>
          <w:t>57</w:t>
        </w:r>
        <w:r w:rsidRPr="002B77E4">
          <w:rPr>
            <w:noProof/>
            <w:webHidden/>
          </w:rPr>
          <w:fldChar w:fldCharType="end"/>
        </w:r>
      </w:hyperlink>
    </w:p>
    <w:p w:rsidR="002B77E4" w:rsidRPr="002B77E4" w:rsidRDefault="00E12FF5" w:rsidP="00AE38D7">
      <w:pPr>
        <w:pStyle w:val="TOC1"/>
        <w:rPr>
          <w:rFonts w:asciiTheme="minorHAnsi" w:eastAsiaTheme="minorEastAsia" w:hAnsiTheme="minorHAnsi" w:cstheme="minorBidi"/>
          <w:noProof/>
          <w:lang w:val="en-US"/>
        </w:rPr>
      </w:pPr>
      <w:hyperlink w:anchor="_Toc374229477" w:history="1">
        <w:r w:rsidR="002B77E4" w:rsidRPr="002B77E4">
          <w:rPr>
            <w:rStyle w:val="Hyperlink"/>
            <w:rFonts w:eastAsiaTheme="majorEastAsia"/>
            <w:noProof/>
            <w:sz w:val="24"/>
            <w:szCs w:val="24"/>
            <w:lang w:val="en-US"/>
          </w:rPr>
          <w:t>20 pav. Lietuvos valstybės skolos dinaminė prognozė pagal ARIMA (1;1;2) modelį</w:t>
        </w:r>
        <w:r w:rsidR="002B77E4" w:rsidRPr="002B77E4">
          <w:rPr>
            <w:noProof/>
            <w:webHidden/>
          </w:rPr>
          <w:tab/>
        </w:r>
        <w:r w:rsidRPr="002B77E4">
          <w:rPr>
            <w:noProof/>
            <w:webHidden/>
          </w:rPr>
          <w:fldChar w:fldCharType="begin"/>
        </w:r>
        <w:r w:rsidR="002B77E4" w:rsidRPr="002B77E4">
          <w:rPr>
            <w:noProof/>
            <w:webHidden/>
          </w:rPr>
          <w:instrText xml:space="preserve"> PAGEREF _Toc374229477 \h </w:instrText>
        </w:r>
        <w:r w:rsidRPr="002B77E4">
          <w:rPr>
            <w:noProof/>
            <w:webHidden/>
          </w:rPr>
        </w:r>
        <w:r w:rsidRPr="002B77E4">
          <w:rPr>
            <w:noProof/>
            <w:webHidden/>
          </w:rPr>
          <w:fldChar w:fldCharType="separate"/>
        </w:r>
        <w:r w:rsidR="00C566A8">
          <w:rPr>
            <w:noProof/>
            <w:webHidden/>
          </w:rPr>
          <w:t>59</w:t>
        </w:r>
        <w:r w:rsidRPr="002B77E4">
          <w:rPr>
            <w:noProof/>
            <w:webHidden/>
          </w:rPr>
          <w:fldChar w:fldCharType="end"/>
        </w:r>
      </w:hyperlink>
    </w:p>
    <w:p w:rsidR="002B77E4" w:rsidRPr="002B77E4" w:rsidRDefault="00E12FF5" w:rsidP="00AE38D7">
      <w:pPr>
        <w:pStyle w:val="TOC1"/>
        <w:rPr>
          <w:rFonts w:asciiTheme="minorHAnsi" w:eastAsiaTheme="minorEastAsia" w:hAnsiTheme="minorHAnsi" w:cstheme="minorBidi"/>
          <w:noProof/>
          <w:lang w:val="en-US"/>
        </w:rPr>
      </w:pPr>
      <w:hyperlink w:anchor="_Toc374229478" w:history="1">
        <w:r w:rsidR="002B77E4" w:rsidRPr="002B77E4">
          <w:rPr>
            <w:rStyle w:val="Hyperlink"/>
            <w:rFonts w:eastAsiaTheme="majorEastAsia"/>
            <w:noProof/>
            <w:sz w:val="24"/>
            <w:szCs w:val="24"/>
            <w:lang w:val="en-US"/>
          </w:rPr>
          <w:t>21 pav. Latvijos valstybės skolos dinaminė prognozė pagal ARIMA (1;1;2) modelį</w:t>
        </w:r>
        <w:r w:rsidR="002B77E4" w:rsidRPr="002B77E4">
          <w:rPr>
            <w:noProof/>
            <w:webHidden/>
          </w:rPr>
          <w:tab/>
        </w:r>
        <w:r w:rsidRPr="002B77E4">
          <w:rPr>
            <w:noProof/>
            <w:webHidden/>
          </w:rPr>
          <w:fldChar w:fldCharType="begin"/>
        </w:r>
        <w:r w:rsidR="002B77E4" w:rsidRPr="002B77E4">
          <w:rPr>
            <w:noProof/>
            <w:webHidden/>
          </w:rPr>
          <w:instrText xml:space="preserve"> PAGEREF _Toc374229478 \h </w:instrText>
        </w:r>
        <w:r w:rsidRPr="002B77E4">
          <w:rPr>
            <w:noProof/>
            <w:webHidden/>
          </w:rPr>
        </w:r>
        <w:r w:rsidRPr="002B77E4">
          <w:rPr>
            <w:noProof/>
            <w:webHidden/>
          </w:rPr>
          <w:fldChar w:fldCharType="separate"/>
        </w:r>
        <w:r w:rsidR="00C566A8">
          <w:rPr>
            <w:noProof/>
            <w:webHidden/>
          </w:rPr>
          <w:t>60</w:t>
        </w:r>
        <w:r w:rsidRPr="002B77E4">
          <w:rPr>
            <w:noProof/>
            <w:webHidden/>
          </w:rPr>
          <w:fldChar w:fldCharType="end"/>
        </w:r>
      </w:hyperlink>
    </w:p>
    <w:p w:rsidR="002B77E4" w:rsidRPr="002B77E4" w:rsidRDefault="00E12FF5" w:rsidP="00AE38D7">
      <w:pPr>
        <w:pStyle w:val="TOC1"/>
        <w:rPr>
          <w:rFonts w:asciiTheme="minorHAnsi" w:eastAsiaTheme="minorEastAsia" w:hAnsiTheme="minorHAnsi" w:cstheme="minorBidi"/>
          <w:noProof/>
          <w:lang w:val="en-US"/>
        </w:rPr>
      </w:pPr>
      <w:hyperlink w:anchor="_Toc374229479" w:history="1">
        <w:r w:rsidR="002B77E4" w:rsidRPr="002B77E4">
          <w:rPr>
            <w:rStyle w:val="Hyperlink"/>
            <w:rFonts w:eastAsiaTheme="majorEastAsia"/>
            <w:noProof/>
            <w:sz w:val="24"/>
            <w:szCs w:val="24"/>
            <w:lang w:val="en-US"/>
          </w:rPr>
          <w:t>22 pav. Estijos valstybės skolos dinaminė prognozė pagal ARMA (2;0) modelį</w:t>
        </w:r>
        <w:r w:rsidR="002B77E4" w:rsidRPr="002B77E4">
          <w:rPr>
            <w:noProof/>
            <w:webHidden/>
          </w:rPr>
          <w:tab/>
        </w:r>
        <w:r w:rsidRPr="002B77E4">
          <w:rPr>
            <w:noProof/>
            <w:webHidden/>
          </w:rPr>
          <w:fldChar w:fldCharType="begin"/>
        </w:r>
        <w:r w:rsidR="002B77E4" w:rsidRPr="002B77E4">
          <w:rPr>
            <w:noProof/>
            <w:webHidden/>
          </w:rPr>
          <w:instrText xml:space="preserve"> PAGEREF _Toc374229479 \h </w:instrText>
        </w:r>
        <w:r w:rsidRPr="002B77E4">
          <w:rPr>
            <w:noProof/>
            <w:webHidden/>
          </w:rPr>
        </w:r>
        <w:r w:rsidRPr="002B77E4">
          <w:rPr>
            <w:noProof/>
            <w:webHidden/>
          </w:rPr>
          <w:fldChar w:fldCharType="separate"/>
        </w:r>
        <w:r w:rsidR="00C566A8">
          <w:rPr>
            <w:noProof/>
            <w:webHidden/>
          </w:rPr>
          <w:t>61</w:t>
        </w:r>
        <w:r w:rsidRPr="002B77E4">
          <w:rPr>
            <w:noProof/>
            <w:webHidden/>
          </w:rPr>
          <w:fldChar w:fldCharType="end"/>
        </w:r>
      </w:hyperlink>
    </w:p>
    <w:p w:rsidR="002B77E4" w:rsidRPr="002B77E4" w:rsidRDefault="00E12FF5" w:rsidP="00AE38D7">
      <w:pPr>
        <w:pStyle w:val="TOC1"/>
        <w:rPr>
          <w:rFonts w:asciiTheme="minorHAnsi" w:eastAsiaTheme="minorEastAsia" w:hAnsiTheme="minorHAnsi" w:cstheme="minorBidi"/>
          <w:noProof/>
          <w:lang w:val="en-US"/>
        </w:rPr>
      </w:pPr>
      <w:hyperlink w:anchor="_Toc374229480" w:history="1">
        <w:r w:rsidR="002B77E4" w:rsidRPr="002B77E4">
          <w:rPr>
            <w:rStyle w:val="Hyperlink"/>
            <w:rFonts w:eastAsiaTheme="majorEastAsia"/>
            <w:noProof/>
            <w:sz w:val="24"/>
            <w:szCs w:val="24"/>
          </w:rPr>
          <w:t>23 pav</w:t>
        </w:r>
        <w:r w:rsidR="0053307F">
          <w:rPr>
            <w:rStyle w:val="Hyperlink"/>
            <w:rFonts w:eastAsiaTheme="majorEastAsia"/>
            <w:noProof/>
            <w:sz w:val="24"/>
            <w:szCs w:val="24"/>
          </w:rPr>
          <w:t>. Baltijos šalių valstybės skolos metiniai augimo tempai</w:t>
        </w:r>
        <w:r w:rsidR="002B77E4" w:rsidRPr="002B77E4">
          <w:rPr>
            <w:rStyle w:val="Hyperlink"/>
            <w:rFonts w:eastAsiaTheme="majorEastAsia"/>
            <w:noProof/>
            <w:sz w:val="24"/>
            <w:szCs w:val="24"/>
          </w:rPr>
          <w:t xml:space="preserve"> su prognozuojamomis reikšmėmis pagal ARIMA modelį</w:t>
        </w:r>
        <w:r w:rsidR="002B77E4" w:rsidRPr="002B77E4">
          <w:rPr>
            <w:noProof/>
            <w:webHidden/>
          </w:rPr>
          <w:tab/>
        </w:r>
        <w:r w:rsidRPr="002B77E4">
          <w:rPr>
            <w:noProof/>
            <w:webHidden/>
          </w:rPr>
          <w:fldChar w:fldCharType="begin"/>
        </w:r>
        <w:r w:rsidR="002B77E4" w:rsidRPr="002B77E4">
          <w:rPr>
            <w:noProof/>
            <w:webHidden/>
          </w:rPr>
          <w:instrText xml:space="preserve"> PAGEREF _Toc374229480 \h </w:instrText>
        </w:r>
        <w:r w:rsidRPr="002B77E4">
          <w:rPr>
            <w:noProof/>
            <w:webHidden/>
          </w:rPr>
        </w:r>
        <w:r w:rsidRPr="002B77E4">
          <w:rPr>
            <w:noProof/>
            <w:webHidden/>
          </w:rPr>
          <w:fldChar w:fldCharType="separate"/>
        </w:r>
        <w:r w:rsidR="00C566A8">
          <w:rPr>
            <w:noProof/>
            <w:webHidden/>
          </w:rPr>
          <w:t>61</w:t>
        </w:r>
        <w:r w:rsidRPr="002B77E4">
          <w:rPr>
            <w:noProof/>
            <w:webHidden/>
          </w:rPr>
          <w:fldChar w:fldCharType="end"/>
        </w:r>
      </w:hyperlink>
    </w:p>
    <w:p w:rsidR="000F59BB" w:rsidRPr="002B77E4" w:rsidRDefault="00E12FF5" w:rsidP="000F59BB">
      <w:pPr>
        <w:tabs>
          <w:tab w:val="left" w:pos="4065"/>
          <w:tab w:val="center" w:pos="5133"/>
        </w:tabs>
        <w:ind w:firstLine="0"/>
        <w:jc w:val="left"/>
        <w:rPr>
          <w:b/>
          <w:color w:val="000000"/>
          <w:sz w:val="24"/>
          <w:szCs w:val="24"/>
        </w:rPr>
      </w:pPr>
      <w:r w:rsidRPr="002B77E4">
        <w:rPr>
          <w:b/>
          <w:color w:val="000000"/>
          <w:sz w:val="24"/>
          <w:szCs w:val="24"/>
        </w:rPr>
        <w:fldChar w:fldCharType="end"/>
      </w:r>
    </w:p>
    <w:p w:rsidR="000F59BB" w:rsidRPr="002B77E4" w:rsidRDefault="000F59BB" w:rsidP="000F59BB">
      <w:pPr>
        <w:tabs>
          <w:tab w:val="left" w:pos="4065"/>
          <w:tab w:val="center" w:pos="5133"/>
        </w:tabs>
        <w:ind w:firstLine="0"/>
        <w:jc w:val="left"/>
        <w:rPr>
          <w:b/>
          <w:color w:val="000000"/>
          <w:sz w:val="24"/>
          <w:szCs w:val="24"/>
        </w:rPr>
      </w:pPr>
    </w:p>
    <w:p w:rsidR="000F59BB" w:rsidRPr="002B77E4" w:rsidRDefault="000F59BB" w:rsidP="000F59BB">
      <w:pPr>
        <w:tabs>
          <w:tab w:val="left" w:pos="4065"/>
          <w:tab w:val="center" w:pos="5133"/>
        </w:tabs>
        <w:ind w:firstLine="0"/>
        <w:jc w:val="left"/>
        <w:rPr>
          <w:b/>
          <w:color w:val="000000"/>
          <w:sz w:val="24"/>
          <w:szCs w:val="24"/>
        </w:rPr>
      </w:pPr>
    </w:p>
    <w:p w:rsidR="000F59BB" w:rsidRPr="002B77E4" w:rsidRDefault="000F59BB" w:rsidP="000F59BB">
      <w:pPr>
        <w:tabs>
          <w:tab w:val="left" w:pos="4065"/>
          <w:tab w:val="center" w:pos="5133"/>
        </w:tabs>
        <w:ind w:firstLine="0"/>
        <w:jc w:val="left"/>
        <w:rPr>
          <w:b/>
          <w:color w:val="000000"/>
          <w:sz w:val="24"/>
          <w:szCs w:val="24"/>
        </w:rPr>
      </w:pPr>
    </w:p>
    <w:p w:rsidR="000F59BB" w:rsidRPr="002B77E4" w:rsidRDefault="000F59BB" w:rsidP="000F59BB">
      <w:pPr>
        <w:tabs>
          <w:tab w:val="left" w:pos="4065"/>
          <w:tab w:val="center" w:pos="5133"/>
        </w:tabs>
        <w:ind w:firstLine="0"/>
        <w:jc w:val="left"/>
        <w:rPr>
          <w:b/>
          <w:color w:val="000000"/>
          <w:sz w:val="24"/>
          <w:szCs w:val="24"/>
        </w:rPr>
      </w:pPr>
    </w:p>
    <w:p w:rsidR="000F59BB" w:rsidRPr="002B77E4" w:rsidRDefault="000F59BB" w:rsidP="000F59BB">
      <w:pPr>
        <w:tabs>
          <w:tab w:val="left" w:pos="4065"/>
          <w:tab w:val="center" w:pos="5133"/>
        </w:tabs>
        <w:ind w:firstLine="0"/>
        <w:jc w:val="left"/>
        <w:rPr>
          <w:b/>
          <w:color w:val="000000"/>
          <w:sz w:val="24"/>
          <w:szCs w:val="24"/>
        </w:rPr>
      </w:pPr>
    </w:p>
    <w:p w:rsidR="000F59BB" w:rsidRPr="002B77E4" w:rsidRDefault="000F59BB" w:rsidP="000F59BB">
      <w:pPr>
        <w:tabs>
          <w:tab w:val="left" w:pos="4065"/>
          <w:tab w:val="center" w:pos="5133"/>
        </w:tabs>
        <w:ind w:firstLine="0"/>
        <w:jc w:val="left"/>
        <w:rPr>
          <w:b/>
          <w:color w:val="000000"/>
          <w:sz w:val="24"/>
          <w:szCs w:val="24"/>
        </w:rPr>
      </w:pPr>
    </w:p>
    <w:p w:rsidR="000F59BB" w:rsidRDefault="000F59BB" w:rsidP="000F59BB">
      <w:pPr>
        <w:tabs>
          <w:tab w:val="left" w:pos="4065"/>
          <w:tab w:val="center" w:pos="5133"/>
        </w:tabs>
        <w:ind w:firstLine="0"/>
        <w:jc w:val="left"/>
        <w:rPr>
          <w:b/>
          <w:color w:val="000000"/>
          <w:sz w:val="28"/>
          <w:szCs w:val="28"/>
        </w:rPr>
      </w:pPr>
    </w:p>
    <w:p w:rsidR="005B6EE3" w:rsidRDefault="005B6EE3" w:rsidP="00047573">
      <w:pPr>
        <w:pStyle w:val="Heading1"/>
        <w:ind w:firstLine="0"/>
        <w:jc w:val="center"/>
        <w:rPr>
          <w:rFonts w:ascii="Times New Roman" w:eastAsia="Times New Roman" w:hAnsi="Times New Roman" w:cs="Times New Roman"/>
          <w:b w:val="0"/>
          <w:bCs w:val="0"/>
          <w:color w:val="auto"/>
          <w:sz w:val="20"/>
          <w:szCs w:val="20"/>
        </w:rPr>
      </w:pPr>
      <w:bookmarkStart w:id="1" w:name="_Toc358573082"/>
      <w:bookmarkStart w:id="2" w:name="_Toc373086681"/>
      <w:bookmarkStart w:id="3" w:name="_Toc373086879"/>
      <w:bookmarkStart w:id="4" w:name="_Toc373275063"/>
      <w:bookmarkStart w:id="5" w:name="_Toc373421059"/>
      <w:bookmarkStart w:id="6" w:name="_Toc373448074"/>
      <w:bookmarkStart w:id="7" w:name="_Toc374228632"/>
      <w:bookmarkStart w:id="8" w:name="_Toc374229034"/>
      <w:bookmarkStart w:id="9" w:name="_Toc374229145"/>
      <w:bookmarkStart w:id="10" w:name="_Toc374229435"/>
    </w:p>
    <w:p w:rsidR="007A113D" w:rsidRPr="00047573" w:rsidRDefault="007A113D" w:rsidP="00047573">
      <w:pPr>
        <w:pStyle w:val="Heading1"/>
        <w:ind w:firstLine="0"/>
        <w:jc w:val="center"/>
        <w:rPr>
          <w:rFonts w:ascii="Times New Roman" w:eastAsia="Times New Roman" w:hAnsi="Times New Roman" w:cs="Times New Roman"/>
          <w:bCs w:val="0"/>
          <w:color w:val="000000"/>
          <w:sz w:val="24"/>
          <w:szCs w:val="24"/>
        </w:rPr>
      </w:pPr>
      <w:r w:rsidRPr="000E1FFE">
        <w:rPr>
          <w:rFonts w:ascii="Times New Roman" w:hAnsi="Times New Roman" w:cs="Times New Roman"/>
          <w:color w:val="auto"/>
        </w:rPr>
        <w:t>ĮVADAS</w:t>
      </w:r>
      <w:bookmarkEnd w:id="1"/>
      <w:bookmarkEnd w:id="2"/>
      <w:bookmarkEnd w:id="3"/>
      <w:bookmarkEnd w:id="4"/>
      <w:bookmarkEnd w:id="5"/>
      <w:bookmarkEnd w:id="6"/>
      <w:bookmarkEnd w:id="7"/>
      <w:bookmarkEnd w:id="8"/>
      <w:bookmarkEnd w:id="9"/>
      <w:bookmarkEnd w:id="10"/>
    </w:p>
    <w:p w:rsidR="000E1FFE" w:rsidRDefault="000E1FFE" w:rsidP="000E1FFE">
      <w:pPr>
        <w:ind w:firstLine="0"/>
        <w:rPr>
          <w:color w:val="000000"/>
          <w:sz w:val="24"/>
          <w:szCs w:val="24"/>
        </w:rPr>
      </w:pPr>
      <w:r>
        <w:rPr>
          <w:color w:val="000000"/>
          <w:sz w:val="24"/>
          <w:szCs w:val="24"/>
        </w:rPr>
        <w:t xml:space="preserve"> </w:t>
      </w:r>
    </w:p>
    <w:p w:rsidR="001777E8" w:rsidRDefault="001777E8" w:rsidP="001777E8">
      <w:pPr>
        <w:spacing w:line="360" w:lineRule="auto"/>
        <w:ind w:firstLine="720"/>
        <w:rPr>
          <w:color w:val="000000"/>
          <w:sz w:val="24"/>
          <w:szCs w:val="24"/>
        </w:rPr>
      </w:pPr>
      <w:r>
        <w:rPr>
          <w:color w:val="000000"/>
          <w:sz w:val="24"/>
          <w:szCs w:val="24"/>
        </w:rPr>
        <w:t xml:space="preserve">Šiais laikais valstybės skolinimasis yra tapęs įprastu ir netgi neišvengiamu reiškiniu. Esant augančiai ekonomikai tinkamas ir efektyvus skolintų lėšų panaudojimas turėtų teigiamai veikti ekonomikos plėtrą, tačiau nevaldomas skolos augimas gali atnešti šaliai didelių problemų ir tapti našta ekonomikai. Efektyvus valstybės skolos valdymas, tinkamai formuojama skolos struktūra yra labai svarbūs veiksniai siekiant užtikrinti finansinį šalies stabilumą. Pagrindinis tikslas, kurio šalys turi siekti valdant valstybės skolą yra skolinimosi poreikio finansavimas kuo mažesniais kaštais ir priimtina rizika. </w:t>
      </w:r>
    </w:p>
    <w:p w:rsidR="0013106F" w:rsidRDefault="001777E8" w:rsidP="001777E8">
      <w:pPr>
        <w:spacing w:line="360" w:lineRule="auto"/>
        <w:ind w:firstLine="720"/>
        <w:rPr>
          <w:color w:val="000000"/>
          <w:sz w:val="24"/>
          <w:szCs w:val="24"/>
        </w:rPr>
      </w:pPr>
      <w:r>
        <w:rPr>
          <w:color w:val="000000"/>
          <w:sz w:val="24"/>
          <w:szCs w:val="24"/>
        </w:rPr>
        <w:t>Po paskutinės finansų krizės, sumažėjus šalių pagaminamam bendram vidaus produktui, mokestinėms pajamoms, jos</w:t>
      </w:r>
      <w:r w:rsidR="003F0CBF">
        <w:rPr>
          <w:color w:val="000000"/>
          <w:sz w:val="24"/>
          <w:szCs w:val="24"/>
        </w:rPr>
        <w:t>,</w:t>
      </w:r>
      <w:r>
        <w:rPr>
          <w:color w:val="000000"/>
          <w:sz w:val="24"/>
          <w:szCs w:val="24"/>
        </w:rPr>
        <w:t xml:space="preserve"> mėgindamos atgaivinti ir paskatinti savo ekonomikas, didino išlaidas ir biudžeto deficitus. Valstybės finansavimo trūkumas smarkiai didino valstybės skolas ir šalių įsipareigojimus. Deja, lėtai atsigaunanti ekonomika ir smarkiai didėjanti skola kai kurių valstybių situacijas padarė itin sudėtingomis. Prieš daugiau negu tris metus pradėta kalbėti apie Euro zoną ištikusią valstybės skolų krizę, kurios centre atsidūrė Graikija, Italija, taip pat Prancūzija, Portugalija, Airija. Tokios išryškėjusios problemos priverčia kiekvieną šalį susimastyti apie </w:t>
      </w:r>
      <w:r w:rsidR="0013106F">
        <w:rPr>
          <w:color w:val="000000"/>
          <w:sz w:val="24"/>
          <w:szCs w:val="24"/>
        </w:rPr>
        <w:t>būtinybę kontroliuoti valstybės skolos augimo tempus.</w:t>
      </w:r>
    </w:p>
    <w:p w:rsidR="001777E8" w:rsidRDefault="001777E8" w:rsidP="001777E8">
      <w:pPr>
        <w:spacing w:line="360" w:lineRule="auto"/>
        <w:ind w:firstLine="720"/>
        <w:rPr>
          <w:color w:val="000000"/>
          <w:sz w:val="24"/>
          <w:szCs w:val="24"/>
        </w:rPr>
      </w:pPr>
      <w:r w:rsidRPr="0089517A">
        <w:rPr>
          <w:b/>
          <w:color w:val="000000"/>
          <w:sz w:val="24"/>
          <w:szCs w:val="24"/>
        </w:rPr>
        <w:t>Temos aktualumas.</w:t>
      </w:r>
      <w:r>
        <w:rPr>
          <w:color w:val="000000"/>
          <w:sz w:val="24"/>
          <w:szCs w:val="24"/>
        </w:rPr>
        <w:t xml:space="preserve"> Krizės metu išaugo ne tik jau minėtų, tačiau ir kitų Europos sąjungos šalių valstybių skolos, tame tarpe ir Baltijos šalių. Nors lyginant su kitos ES šalimis, Baltijos šalių valstybės skolos nėra didelės, tačiau kasmetin</w:t>
      </w:r>
      <w:r w:rsidR="00A95B39">
        <w:rPr>
          <w:color w:val="000000"/>
          <w:sz w:val="24"/>
          <w:szCs w:val="24"/>
        </w:rPr>
        <w:t xml:space="preserve">is jų augimas verčia atkreipti dėmesį i šią problemą. </w:t>
      </w:r>
      <w:r>
        <w:rPr>
          <w:color w:val="000000"/>
          <w:sz w:val="24"/>
          <w:szCs w:val="24"/>
        </w:rPr>
        <w:t>Žinant tai, jog Estijos valstybės skola yra mažiausia visoje Europos sąjungoje, kyla susidomėjimas ir noras palyginti jos valstybės skolos struktūrą, valdymo princip</w:t>
      </w:r>
      <w:r w:rsidR="003F0CBF">
        <w:rPr>
          <w:color w:val="000000"/>
          <w:sz w:val="24"/>
          <w:szCs w:val="24"/>
        </w:rPr>
        <w:t xml:space="preserve">us </w:t>
      </w:r>
      <w:r w:rsidR="00D845C5">
        <w:rPr>
          <w:color w:val="000000"/>
          <w:sz w:val="24"/>
          <w:szCs w:val="24"/>
        </w:rPr>
        <w:t>su kaimyninių šal</w:t>
      </w:r>
      <w:r w:rsidR="003F0CBF">
        <w:rPr>
          <w:color w:val="000000"/>
          <w:sz w:val="24"/>
          <w:szCs w:val="24"/>
        </w:rPr>
        <w:t>ių Lietuvos ir Latvijos valstybės skolomis</w:t>
      </w:r>
      <w:r>
        <w:rPr>
          <w:color w:val="000000"/>
          <w:sz w:val="24"/>
          <w:szCs w:val="24"/>
        </w:rPr>
        <w:t xml:space="preserve"> bei </w:t>
      </w:r>
      <w:r w:rsidR="00D845C5">
        <w:rPr>
          <w:color w:val="000000"/>
          <w:sz w:val="24"/>
          <w:szCs w:val="24"/>
        </w:rPr>
        <w:t>atrast</w:t>
      </w:r>
      <w:r w:rsidR="003F0CBF">
        <w:rPr>
          <w:color w:val="000000"/>
          <w:sz w:val="24"/>
          <w:szCs w:val="24"/>
        </w:rPr>
        <w:t>i</w:t>
      </w:r>
      <w:r>
        <w:rPr>
          <w:color w:val="000000"/>
          <w:sz w:val="24"/>
          <w:szCs w:val="24"/>
        </w:rPr>
        <w:t xml:space="preserve"> priežastis kodėl trijų panašaus dydžio, panašią istorinę praei</w:t>
      </w:r>
      <w:r w:rsidR="003F0CBF">
        <w:rPr>
          <w:color w:val="000000"/>
          <w:sz w:val="24"/>
          <w:szCs w:val="24"/>
        </w:rPr>
        <w:t>tį turinčių šalių valstybės skolos</w:t>
      </w:r>
      <w:r>
        <w:rPr>
          <w:color w:val="000000"/>
          <w:sz w:val="24"/>
          <w:szCs w:val="24"/>
        </w:rPr>
        <w:t xml:space="preserve"> lygiai skiriasi.</w:t>
      </w:r>
    </w:p>
    <w:p w:rsidR="001777E8" w:rsidRPr="002A2B71" w:rsidRDefault="001777E8" w:rsidP="001777E8">
      <w:pPr>
        <w:spacing w:line="360" w:lineRule="auto"/>
        <w:ind w:firstLine="720"/>
        <w:rPr>
          <w:sz w:val="24"/>
          <w:szCs w:val="24"/>
        </w:rPr>
      </w:pPr>
      <w:r w:rsidRPr="00383D9B">
        <w:rPr>
          <w:b/>
          <w:sz w:val="24"/>
          <w:szCs w:val="24"/>
        </w:rPr>
        <w:t xml:space="preserve">Tyrimo problema: </w:t>
      </w:r>
      <w:r w:rsidR="002A2B71" w:rsidRPr="002A2B71">
        <w:rPr>
          <w:sz w:val="24"/>
          <w:szCs w:val="24"/>
        </w:rPr>
        <w:t>kuo skiriasi valstybės skol</w:t>
      </w:r>
      <w:r w:rsidR="0056330D">
        <w:rPr>
          <w:sz w:val="24"/>
          <w:szCs w:val="24"/>
        </w:rPr>
        <w:t>a</w:t>
      </w:r>
      <w:r w:rsidR="002A2B71" w:rsidRPr="002A2B71">
        <w:rPr>
          <w:sz w:val="24"/>
          <w:szCs w:val="24"/>
        </w:rPr>
        <w:t xml:space="preserve"> ir jos valdymas</w:t>
      </w:r>
      <w:r w:rsidR="0056330D">
        <w:rPr>
          <w:sz w:val="24"/>
          <w:szCs w:val="24"/>
        </w:rPr>
        <w:t xml:space="preserve">  Baltijos šalyse</w:t>
      </w:r>
      <w:r w:rsidR="002A2B71" w:rsidRPr="002A2B71">
        <w:rPr>
          <w:sz w:val="24"/>
          <w:szCs w:val="24"/>
        </w:rPr>
        <w:t>?</w:t>
      </w:r>
    </w:p>
    <w:p w:rsidR="001777E8" w:rsidRDefault="001777E8" w:rsidP="001777E8">
      <w:pPr>
        <w:spacing w:line="360" w:lineRule="auto"/>
        <w:ind w:firstLine="720"/>
        <w:rPr>
          <w:color w:val="000000"/>
          <w:sz w:val="24"/>
          <w:szCs w:val="24"/>
        </w:rPr>
      </w:pPr>
      <w:r w:rsidRPr="00383D9B">
        <w:rPr>
          <w:b/>
          <w:sz w:val="24"/>
          <w:szCs w:val="24"/>
        </w:rPr>
        <w:t>Tyrimo objektas:</w:t>
      </w:r>
      <w:r>
        <w:rPr>
          <w:color w:val="000000"/>
          <w:sz w:val="24"/>
          <w:szCs w:val="24"/>
        </w:rPr>
        <w:t xml:space="preserve"> Baltijos šalių valstybės skola ir jos valdymas</w:t>
      </w:r>
    </w:p>
    <w:p w:rsidR="00A45A16" w:rsidRPr="00763C2D" w:rsidRDefault="00A45A16" w:rsidP="001777E8">
      <w:pPr>
        <w:spacing w:line="360" w:lineRule="auto"/>
        <w:ind w:firstLine="720"/>
        <w:rPr>
          <w:color w:val="000000"/>
          <w:sz w:val="24"/>
          <w:szCs w:val="24"/>
        </w:rPr>
      </w:pPr>
      <w:r w:rsidRPr="00A45A16">
        <w:rPr>
          <w:b/>
          <w:color w:val="000000"/>
          <w:sz w:val="24"/>
          <w:szCs w:val="24"/>
        </w:rPr>
        <w:t>Tyrimo hipotezė:</w:t>
      </w:r>
      <w:r>
        <w:rPr>
          <w:b/>
          <w:color w:val="000000"/>
          <w:sz w:val="24"/>
          <w:szCs w:val="24"/>
        </w:rPr>
        <w:t xml:space="preserve"> </w:t>
      </w:r>
      <w:r w:rsidR="00763C2D">
        <w:rPr>
          <w:color w:val="000000"/>
          <w:sz w:val="24"/>
          <w:szCs w:val="24"/>
        </w:rPr>
        <w:t>Mažą Estijos valstybės skolą lyginant su kitomis Baltijos šalimis lemia geriau formuojama va</w:t>
      </w:r>
      <w:r w:rsidR="002751E9">
        <w:rPr>
          <w:color w:val="000000"/>
          <w:sz w:val="24"/>
          <w:szCs w:val="24"/>
        </w:rPr>
        <w:t>l</w:t>
      </w:r>
      <w:r w:rsidR="00763C2D">
        <w:rPr>
          <w:color w:val="000000"/>
          <w:sz w:val="24"/>
          <w:szCs w:val="24"/>
        </w:rPr>
        <w:t>stybės skolos portfelio struktūra bei griežtesnės skolos valdymo priemonė</w:t>
      </w:r>
      <w:r w:rsidR="002751E9">
        <w:rPr>
          <w:color w:val="000000"/>
          <w:sz w:val="24"/>
          <w:szCs w:val="24"/>
        </w:rPr>
        <w:t xml:space="preserve">s. </w:t>
      </w:r>
    </w:p>
    <w:p w:rsidR="002751E9" w:rsidRPr="005B6EE3" w:rsidRDefault="001777E8" w:rsidP="005B6EE3">
      <w:pPr>
        <w:spacing w:line="360" w:lineRule="auto"/>
        <w:ind w:firstLine="720"/>
        <w:rPr>
          <w:color w:val="000000"/>
          <w:sz w:val="24"/>
          <w:szCs w:val="24"/>
        </w:rPr>
      </w:pPr>
      <w:r>
        <w:rPr>
          <w:b/>
          <w:color w:val="000000"/>
          <w:sz w:val="24"/>
          <w:szCs w:val="24"/>
        </w:rPr>
        <w:t>Tyrimo</w:t>
      </w:r>
      <w:r w:rsidRPr="009A553E">
        <w:rPr>
          <w:b/>
          <w:color w:val="000000"/>
          <w:sz w:val="24"/>
          <w:szCs w:val="24"/>
        </w:rPr>
        <w:t xml:space="preserve"> tikslas: </w:t>
      </w:r>
      <w:r>
        <w:rPr>
          <w:color w:val="000000"/>
          <w:sz w:val="24"/>
          <w:szCs w:val="24"/>
        </w:rPr>
        <w:t>atlikti Baltijos šalių valstybės skolos ir jos valdymo palyginamąją analizę.</w:t>
      </w:r>
    </w:p>
    <w:p w:rsidR="001777E8" w:rsidRDefault="001777E8" w:rsidP="001777E8">
      <w:pPr>
        <w:spacing w:line="360" w:lineRule="auto"/>
        <w:ind w:firstLine="720"/>
        <w:rPr>
          <w:b/>
          <w:color w:val="000000"/>
          <w:sz w:val="24"/>
          <w:szCs w:val="24"/>
        </w:rPr>
      </w:pPr>
      <w:r>
        <w:rPr>
          <w:b/>
          <w:color w:val="000000"/>
          <w:sz w:val="24"/>
          <w:szCs w:val="24"/>
        </w:rPr>
        <w:t>Tyrimo</w:t>
      </w:r>
      <w:r w:rsidRPr="009A553E">
        <w:rPr>
          <w:b/>
          <w:color w:val="000000"/>
          <w:sz w:val="24"/>
          <w:szCs w:val="24"/>
        </w:rPr>
        <w:t xml:space="preserve"> uždaviniai: </w:t>
      </w:r>
    </w:p>
    <w:p w:rsidR="001777E8" w:rsidRPr="002A2B71" w:rsidRDefault="002926FA" w:rsidP="001777E8">
      <w:pPr>
        <w:pStyle w:val="ListParagraph"/>
        <w:numPr>
          <w:ilvl w:val="0"/>
          <w:numId w:val="19"/>
        </w:numPr>
        <w:spacing w:line="360" w:lineRule="auto"/>
        <w:ind w:firstLine="720"/>
        <w:rPr>
          <w:b/>
          <w:color w:val="000000"/>
          <w:sz w:val="24"/>
          <w:szCs w:val="24"/>
        </w:rPr>
      </w:pPr>
      <w:r w:rsidRPr="002A2B71">
        <w:rPr>
          <w:color w:val="000000"/>
          <w:sz w:val="24"/>
          <w:szCs w:val="24"/>
        </w:rPr>
        <w:t xml:space="preserve">Atlikti užsienio ir Lietuvos autorių mokslinės Literatūros analizę </w:t>
      </w:r>
      <w:r w:rsidR="002A2B71" w:rsidRPr="002A2B71">
        <w:rPr>
          <w:color w:val="000000"/>
          <w:sz w:val="24"/>
          <w:szCs w:val="24"/>
        </w:rPr>
        <w:t xml:space="preserve">išskiriant vastybės skolos klasifikavimą, skolinimosi priemones, veiksnius lemiančus skolinimosi poreikį, skolos </w:t>
      </w:r>
      <w:r w:rsidR="002A2B71" w:rsidRPr="002A2B71">
        <w:rPr>
          <w:color w:val="000000"/>
          <w:sz w:val="24"/>
          <w:szCs w:val="24"/>
        </w:rPr>
        <w:lastRenderedPageBreak/>
        <w:t>poveikį ekonomikai</w:t>
      </w:r>
      <w:r w:rsidR="002A2B71">
        <w:rPr>
          <w:color w:val="000000"/>
          <w:sz w:val="24"/>
          <w:szCs w:val="24"/>
        </w:rPr>
        <w:t>, skolos vertinimo rodiklius</w:t>
      </w:r>
      <w:r w:rsidR="002A2B71" w:rsidRPr="002A2B71">
        <w:rPr>
          <w:color w:val="000000"/>
          <w:sz w:val="24"/>
          <w:szCs w:val="24"/>
        </w:rPr>
        <w:t xml:space="preserve"> bei skolos valdymo problemas</w:t>
      </w:r>
      <w:r w:rsidR="002751E9">
        <w:rPr>
          <w:color w:val="000000"/>
          <w:sz w:val="24"/>
          <w:szCs w:val="24"/>
        </w:rPr>
        <w:t>.</w:t>
      </w:r>
    </w:p>
    <w:p w:rsidR="002A2B71" w:rsidRPr="002A2B71" w:rsidRDefault="002A2B71" w:rsidP="001777E8">
      <w:pPr>
        <w:pStyle w:val="ListParagraph"/>
        <w:numPr>
          <w:ilvl w:val="0"/>
          <w:numId w:val="19"/>
        </w:numPr>
        <w:spacing w:line="360" w:lineRule="auto"/>
        <w:ind w:firstLine="720"/>
        <w:rPr>
          <w:b/>
          <w:color w:val="000000"/>
          <w:sz w:val="24"/>
          <w:szCs w:val="24"/>
        </w:rPr>
      </w:pPr>
      <w:r>
        <w:rPr>
          <w:color w:val="000000"/>
          <w:sz w:val="24"/>
          <w:szCs w:val="24"/>
        </w:rPr>
        <w:t>Pateikti Baltijos šalių valstybės skolos analizės, vertinimo ir prognozavimo metodologiją.</w:t>
      </w:r>
    </w:p>
    <w:p w:rsidR="0049335C" w:rsidRPr="00F8763E" w:rsidRDefault="00F8763E" w:rsidP="0013106F">
      <w:pPr>
        <w:pStyle w:val="ListParagraph"/>
        <w:numPr>
          <w:ilvl w:val="0"/>
          <w:numId w:val="19"/>
        </w:numPr>
        <w:spacing w:line="360" w:lineRule="auto"/>
        <w:ind w:firstLine="720"/>
        <w:rPr>
          <w:b/>
          <w:color w:val="000000"/>
          <w:sz w:val="24"/>
          <w:szCs w:val="24"/>
        </w:rPr>
      </w:pPr>
      <w:r>
        <w:rPr>
          <w:color w:val="000000"/>
          <w:sz w:val="24"/>
          <w:szCs w:val="24"/>
        </w:rPr>
        <w:t>Apžvelgus Baltijos šalių ekonominę situaciją, lemiančią skolinimosi poreikį</w:t>
      </w:r>
      <w:r w:rsidR="0013106F">
        <w:rPr>
          <w:color w:val="000000"/>
          <w:sz w:val="24"/>
          <w:szCs w:val="24"/>
        </w:rPr>
        <w:t>, p</w:t>
      </w:r>
      <w:r w:rsidR="0049335C" w:rsidRPr="0013106F">
        <w:rPr>
          <w:color w:val="000000"/>
          <w:sz w:val="24"/>
          <w:szCs w:val="24"/>
        </w:rPr>
        <w:t>alyginti Baltijos šalių</w:t>
      </w:r>
      <w:r>
        <w:rPr>
          <w:color w:val="000000"/>
          <w:sz w:val="24"/>
          <w:szCs w:val="24"/>
        </w:rPr>
        <w:t xml:space="preserve"> valstybės skolos dydžius,</w:t>
      </w:r>
      <w:r w:rsidR="0049335C" w:rsidRPr="0013106F">
        <w:rPr>
          <w:color w:val="000000"/>
          <w:sz w:val="24"/>
          <w:szCs w:val="24"/>
        </w:rPr>
        <w:t xml:space="preserve"> struktūrą</w:t>
      </w:r>
      <w:r>
        <w:rPr>
          <w:color w:val="000000"/>
          <w:sz w:val="24"/>
          <w:szCs w:val="24"/>
        </w:rPr>
        <w:t xml:space="preserve"> bei atlikti </w:t>
      </w:r>
      <w:r w:rsidR="007E51C0">
        <w:rPr>
          <w:color w:val="000000"/>
          <w:sz w:val="24"/>
          <w:szCs w:val="24"/>
        </w:rPr>
        <w:t xml:space="preserve">skolos </w:t>
      </w:r>
      <w:r>
        <w:rPr>
          <w:color w:val="000000"/>
          <w:sz w:val="24"/>
          <w:szCs w:val="24"/>
        </w:rPr>
        <w:t>vertinimą remiantis santykiniais rodikliais.</w:t>
      </w:r>
    </w:p>
    <w:p w:rsidR="00F8763E" w:rsidRPr="0013106F" w:rsidRDefault="00F8763E" w:rsidP="0013106F">
      <w:pPr>
        <w:pStyle w:val="ListParagraph"/>
        <w:numPr>
          <w:ilvl w:val="0"/>
          <w:numId w:val="19"/>
        </w:numPr>
        <w:spacing w:line="360" w:lineRule="auto"/>
        <w:ind w:firstLine="720"/>
        <w:rPr>
          <w:b/>
          <w:color w:val="000000"/>
          <w:sz w:val="24"/>
          <w:szCs w:val="24"/>
        </w:rPr>
      </w:pPr>
      <w:r>
        <w:rPr>
          <w:color w:val="000000"/>
          <w:sz w:val="24"/>
          <w:szCs w:val="24"/>
        </w:rPr>
        <w:t>Palyginti Baltijos šalių valstybės skolos valdymo ypatumus.</w:t>
      </w:r>
    </w:p>
    <w:p w:rsidR="0049335C" w:rsidRPr="00BE30F6" w:rsidRDefault="00BE30F6" w:rsidP="00BE30F6">
      <w:pPr>
        <w:pStyle w:val="ListParagraph"/>
        <w:numPr>
          <w:ilvl w:val="0"/>
          <w:numId w:val="19"/>
        </w:numPr>
        <w:spacing w:line="360" w:lineRule="auto"/>
        <w:ind w:firstLine="720"/>
        <w:rPr>
          <w:b/>
          <w:color w:val="000000"/>
          <w:sz w:val="24"/>
          <w:szCs w:val="24"/>
        </w:rPr>
      </w:pPr>
      <w:r w:rsidRPr="00BE30F6">
        <w:rPr>
          <w:color w:val="000000"/>
          <w:sz w:val="24"/>
          <w:szCs w:val="24"/>
        </w:rPr>
        <w:t xml:space="preserve">Atlikti Baltijos šalių valstybės skolos </w:t>
      </w:r>
      <w:r w:rsidR="00C62CF0">
        <w:rPr>
          <w:color w:val="000000"/>
          <w:sz w:val="24"/>
          <w:szCs w:val="24"/>
        </w:rPr>
        <w:t xml:space="preserve">pokyčių </w:t>
      </w:r>
      <w:r w:rsidRPr="00BE30F6">
        <w:rPr>
          <w:color w:val="000000"/>
          <w:sz w:val="24"/>
          <w:szCs w:val="24"/>
        </w:rPr>
        <w:t>prognozę 2013</w:t>
      </w:r>
      <w:r w:rsidR="00F8763E">
        <w:rPr>
          <w:color w:val="000000"/>
          <w:sz w:val="24"/>
          <w:szCs w:val="24"/>
        </w:rPr>
        <w:t xml:space="preserve"> - 2014</w:t>
      </w:r>
      <w:r w:rsidRPr="00BE30F6">
        <w:rPr>
          <w:color w:val="000000"/>
          <w:sz w:val="24"/>
          <w:szCs w:val="24"/>
        </w:rPr>
        <w:t xml:space="preserve"> metams.</w:t>
      </w:r>
    </w:p>
    <w:p w:rsidR="002C4347" w:rsidRPr="0061457D" w:rsidRDefault="002C4347" w:rsidP="0061457D">
      <w:pPr>
        <w:spacing w:line="360" w:lineRule="auto"/>
        <w:rPr>
          <w:sz w:val="24"/>
          <w:szCs w:val="24"/>
        </w:rPr>
      </w:pPr>
      <w:r w:rsidRPr="002C4347">
        <w:rPr>
          <w:b/>
          <w:color w:val="000000"/>
          <w:sz w:val="24"/>
          <w:szCs w:val="24"/>
        </w:rPr>
        <w:t xml:space="preserve">Tyrimo metodai: </w:t>
      </w:r>
      <w:r w:rsidR="0061457D" w:rsidRPr="00823A05">
        <w:rPr>
          <w:sz w:val="24"/>
          <w:szCs w:val="24"/>
        </w:rPr>
        <w:t>Darbe naudojami t</w:t>
      </w:r>
      <w:r w:rsidR="0061457D">
        <w:rPr>
          <w:sz w:val="24"/>
          <w:szCs w:val="24"/>
        </w:rPr>
        <w:t>okie metodai kaip mokslinės lite</w:t>
      </w:r>
      <w:r w:rsidR="002751E9">
        <w:rPr>
          <w:sz w:val="24"/>
          <w:szCs w:val="24"/>
        </w:rPr>
        <w:t xml:space="preserve">ratūros </w:t>
      </w:r>
      <w:r w:rsidR="0061457D" w:rsidRPr="00823A05">
        <w:rPr>
          <w:sz w:val="24"/>
          <w:szCs w:val="24"/>
        </w:rPr>
        <w:t>analizė</w:t>
      </w:r>
      <w:r w:rsidR="0061457D">
        <w:rPr>
          <w:sz w:val="24"/>
          <w:szCs w:val="24"/>
        </w:rPr>
        <w:t>, statistinių duomenų bei</w:t>
      </w:r>
      <w:r w:rsidR="0061457D" w:rsidRPr="00823A05">
        <w:rPr>
          <w:sz w:val="24"/>
          <w:szCs w:val="24"/>
        </w:rPr>
        <w:t xml:space="preserve"> </w:t>
      </w:r>
      <w:r w:rsidR="0061457D">
        <w:rPr>
          <w:sz w:val="24"/>
          <w:szCs w:val="24"/>
        </w:rPr>
        <w:t xml:space="preserve">grafinės analizės metodai, </w:t>
      </w:r>
      <w:r w:rsidR="0061457D" w:rsidRPr="00823A05">
        <w:rPr>
          <w:sz w:val="24"/>
          <w:szCs w:val="24"/>
        </w:rPr>
        <w:t>ko</w:t>
      </w:r>
      <w:r w:rsidR="0061457D">
        <w:rPr>
          <w:sz w:val="24"/>
          <w:szCs w:val="24"/>
        </w:rPr>
        <w:t>r</w:t>
      </w:r>
      <w:r w:rsidR="00D01E58">
        <w:rPr>
          <w:sz w:val="24"/>
          <w:szCs w:val="24"/>
        </w:rPr>
        <w:t>eliacinė bei regresinė analizės, autoregresijos slankiųjų vidurkių metodas.</w:t>
      </w:r>
    </w:p>
    <w:p w:rsidR="0056330D" w:rsidRPr="002C4347" w:rsidRDefault="0056330D" w:rsidP="002C4347">
      <w:pPr>
        <w:spacing w:line="360" w:lineRule="auto"/>
        <w:rPr>
          <w:color w:val="000000"/>
          <w:sz w:val="24"/>
          <w:szCs w:val="24"/>
        </w:rPr>
      </w:pPr>
      <w:r w:rsidRPr="002C4347">
        <w:rPr>
          <w:b/>
          <w:color w:val="000000"/>
          <w:sz w:val="24"/>
          <w:szCs w:val="24"/>
        </w:rPr>
        <w:t xml:space="preserve">Tyrimo naujumas ir reikšmingumas. </w:t>
      </w:r>
      <w:r w:rsidRPr="002C4347">
        <w:rPr>
          <w:color w:val="000000"/>
          <w:sz w:val="24"/>
          <w:szCs w:val="24"/>
        </w:rPr>
        <w:t>Tyrimo naujumas ir reikšmingumas slypi tame, kad tarpusavyje lyginama Baltijos šalių valstybės</w:t>
      </w:r>
      <w:r w:rsidR="003F0CBF">
        <w:rPr>
          <w:color w:val="000000"/>
          <w:sz w:val="24"/>
          <w:szCs w:val="24"/>
        </w:rPr>
        <w:t xml:space="preserve"> skola ir jos valdymo ypatumai.</w:t>
      </w:r>
      <w:r w:rsidR="00D01E58">
        <w:rPr>
          <w:color w:val="000000"/>
          <w:sz w:val="24"/>
          <w:szCs w:val="24"/>
        </w:rPr>
        <w:t xml:space="preserve"> Baltijos šalis tarpusavyje lyginti tikslinga, nes šios šalys vienu laiku atgavo nepriklausomybę</w:t>
      </w:r>
      <w:r w:rsidR="00A20FE1">
        <w:rPr>
          <w:color w:val="000000"/>
          <w:sz w:val="24"/>
          <w:szCs w:val="24"/>
        </w:rPr>
        <w:t>, nepaveldėjo jokių skolinių įsipareigojimų, todėl ir valstybės skolą pradėjo kaupti tuo pačiu metu.</w:t>
      </w:r>
    </w:p>
    <w:p w:rsidR="00812E9A" w:rsidRDefault="0056330D" w:rsidP="0056330D">
      <w:pPr>
        <w:spacing w:line="360" w:lineRule="auto"/>
        <w:rPr>
          <w:color w:val="000000"/>
          <w:sz w:val="24"/>
          <w:szCs w:val="24"/>
        </w:rPr>
      </w:pPr>
      <w:r w:rsidRPr="0056330D">
        <w:rPr>
          <w:b/>
          <w:color w:val="000000"/>
          <w:sz w:val="24"/>
          <w:szCs w:val="24"/>
        </w:rPr>
        <w:t>Darbo struktūra.</w:t>
      </w:r>
      <w:r>
        <w:rPr>
          <w:b/>
          <w:color w:val="000000"/>
          <w:sz w:val="24"/>
          <w:szCs w:val="24"/>
        </w:rPr>
        <w:t xml:space="preserve"> </w:t>
      </w:r>
      <w:r>
        <w:rPr>
          <w:color w:val="000000"/>
          <w:sz w:val="24"/>
          <w:szCs w:val="24"/>
        </w:rPr>
        <w:t xml:space="preserve">Darbą sudaro trys dalys. Pirmojoje darbo dalyje pasinaudojant Lietuvos ir užsienio mokslininkų darbais pateikiamas vastybės skolos klasifikavimas, skolinimosi priemonės, veiksniai, leimiantys valstybės skolinimosi poreikį, </w:t>
      </w:r>
      <w:r w:rsidR="00465C9A">
        <w:rPr>
          <w:color w:val="000000"/>
          <w:sz w:val="24"/>
          <w:szCs w:val="24"/>
        </w:rPr>
        <w:t>vals</w:t>
      </w:r>
      <w:r w:rsidR="004B5167">
        <w:rPr>
          <w:color w:val="000000"/>
          <w:sz w:val="24"/>
          <w:szCs w:val="24"/>
        </w:rPr>
        <w:t>tybė</w:t>
      </w:r>
      <w:r w:rsidR="00465C9A">
        <w:rPr>
          <w:color w:val="000000"/>
          <w:sz w:val="24"/>
          <w:szCs w:val="24"/>
        </w:rPr>
        <w:t>s skolos vertinimo rodikliai, apžvelgiama kokį p</w:t>
      </w:r>
      <w:r w:rsidR="003F0CBF">
        <w:rPr>
          <w:color w:val="000000"/>
          <w:sz w:val="24"/>
          <w:szCs w:val="24"/>
        </w:rPr>
        <w:t>o</w:t>
      </w:r>
      <w:r w:rsidR="00465C9A">
        <w:rPr>
          <w:color w:val="000000"/>
          <w:sz w:val="24"/>
          <w:szCs w:val="24"/>
        </w:rPr>
        <w:t>veikį šalies ekonomikai daro valstybės skolinimasis, taip pat valstybės skolos valdymo problemos bei kylančios rizikos.</w:t>
      </w:r>
      <w:r w:rsidR="004B5167">
        <w:rPr>
          <w:color w:val="000000"/>
          <w:sz w:val="24"/>
          <w:szCs w:val="24"/>
        </w:rPr>
        <w:t xml:space="preserve"> </w:t>
      </w:r>
    </w:p>
    <w:p w:rsidR="00812E9A" w:rsidRDefault="002C4347" w:rsidP="0056330D">
      <w:pPr>
        <w:spacing w:line="360" w:lineRule="auto"/>
        <w:rPr>
          <w:color w:val="000000"/>
          <w:sz w:val="24"/>
          <w:szCs w:val="24"/>
        </w:rPr>
      </w:pPr>
      <w:r>
        <w:rPr>
          <w:color w:val="000000"/>
          <w:sz w:val="24"/>
          <w:szCs w:val="24"/>
        </w:rPr>
        <w:t xml:space="preserve">Antrojoje darbo dalyje pateikiama Baltjos šalių valstybės skolos analizės, vertinimo bei prognozavimo metodologija. </w:t>
      </w:r>
    </w:p>
    <w:p w:rsidR="002751E9" w:rsidRDefault="002C4347" w:rsidP="00B577D1">
      <w:pPr>
        <w:spacing w:line="360" w:lineRule="auto"/>
        <w:rPr>
          <w:color w:val="000000"/>
          <w:sz w:val="24"/>
          <w:szCs w:val="24"/>
        </w:rPr>
      </w:pPr>
      <w:r>
        <w:rPr>
          <w:color w:val="000000"/>
          <w:sz w:val="24"/>
          <w:szCs w:val="24"/>
        </w:rPr>
        <w:t>Tr</w:t>
      </w:r>
      <w:r w:rsidR="004B5167">
        <w:rPr>
          <w:color w:val="000000"/>
          <w:sz w:val="24"/>
          <w:szCs w:val="24"/>
        </w:rPr>
        <w:t>ečiojoje darbo dalyje atliekama</w:t>
      </w:r>
      <w:r>
        <w:rPr>
          <w:color w:val="000000"/>
          <w:sz w:val="24"/>
          <w:szCs w:val="24"/>
        </w:rPr>
        <w:t xml:space="preserve"> Baltijos šalių ekonominės situacijos, lemiančios valstybės skolinimosi poreikį, analizė. Taip pat analizuojamas Baltijos šalių valstybės skolos dydis, jį lemiantys veiksniai, skolos struktūra, atliekamas</w:t>
      </w:r>
      <w:r w:rsidR="004B5167">
        <w:rPr>
          <w:color w:val="000000"/>
          <w:sz w:val="24"/>
          <w:szCs w:val="24"/>
        </w:rPr>
        <w:t xml:space="preserve"> valstybės skolos vertinimas pagal santykinius rodiklius bei apžvelgiami</w:t>
      </w:r>
      <w:r>
        <w:rPr>
          <w:color w:val="000000"/>
          <w:sz w:val="24"/>
          <w:szCs w:val="24"/>
        </w:rPr>
        <w:t xml:space="preserve"> skolos valdymo</w:t>
      </w:r>
      <w:r w:rsidR="004B5167">
        <w:rPr>
          <w:color w:val="000000"/>
          <w:sz w:val="24"/>
          <w:szCs w:val="24"/>
        </w:rPr>
        <w:t xml:space="preserve"> ypatumai</w:t>
      </w:r>
      <w:r w:rsidR="003F0CBF">
        <w:rPr>
          <w:color w:val="000000"/>
          <w:sz w:val="24"/>
          <w:szCs w:val="24"/>
        </w:rPr>
        <w:t xml:space="preserve">. </w:t>
      </w:r>
      <w:r w:rsidR="00812E9A">
        <w:rPr>
          <w:color w:val="000000"/>
          <w:sz w:val="24"/>
          <w:szCs w:val="24"/>
        </w:rPr>
        <w:t>Pritaikant koreliacinę analizę tiriamas Baltijos šalių valst</w:t>
      </w:r>
      <w:r w:rsidR="00AD754D">
        <w:rPr>
          <w:color w:val="000000"/>
          <w:sz w:val="24"/>
          <w:szCs w:val="24"/>
        </w:rPr>
        <w:t>ybės skolos ir BVP, biudžeto deficito/pertekliaus, einamosios sąskaitos pertekliaus/deficito bei valstybės skolos valdymo išlaidų ryšys.</w:t>
      </w:r>
      <w:r w:rsidR="00812E9A">
        <w:rPr>
          <w:color w:val="000000"/>
          <w:sz w:val="24"/>
          <w:szCs w:val="24"/>
        </w:rPr>
        <w:t xml:space="preserve"> Panaudoja</w:t>
      </w:r>
      <w:r w:rsidR="001A1AD6">
        <w:rPr>
          <w:color w:val="000000"/>
          <w:sz w:val="24"/>
          <w:szCs w:val="24"/>
        </w:rPr>
        <w:t>n</w:t>
      </w:r>
      <w:r w:rsidR="00812E9A">
        <w:rPr>
          <w:color w:val="000000"/>
          <w:sz w:val="24"/>
          <w:szCs w:val="24"/>
        </w:rPr>
        <w:t xml:space="preserve">t </w:t>
      </w:r>
      <w:r>
        <w:rPr>
          <w:color w:val="000000"/>
          <w:sz w:val="24"/>
          <w:szCs w:val="24"/>
        </w:rPr>
        <w:t xml:space="preserve">tiesinės regresijos </w:t>
      </w:r>
      <w:r w:rsidR="00812E9A">
        <w:rPr>
          <w:color w:val="000000"/>
          <w:sz w:val="24"/>
          <w:szCs w:val="24"/>
        </w:rPr>
        <w:t>bei autoregresijos slankiųjų vidurkių metodus</w:t>
      </w:r>
      <w:r>
        <w:rPr>
          <w:color w:val="000000"/>
          <w:sz w:val="24"/>
          <w:szCs w:val="24"/>
        </w:rPr>
        <w:t xml:space="preserve">, prognozuojama Baltijos šalių valstybės skola </w:t>
      </w:r>
      <w:r w:rsidRPr="002C4347">
        <w:rPr>
          <w:color w:val="000000"/>
          <w:sz w:val="24"/>
          <w:szCs w:val="24"/>
        </w:rPr>
        <w:t>2</w:t>
      </w:r>
      <w:r>
        <w:rPr>
          <w:color w:val="000000"/>
          <w:sz w:val="24"/>
          <w:szCs w:val="24"/>
        </w:rPr>
        <w:t>013</w:t>
      </w:r>
      <w:r w:rsidR="00EC0188">
        <w:rPr>
          <w:color w:val="000000"/>
          <w:sz w:val="24"/>
          <w:szCs w:val="24"/>
        </w:rPr>
        <w:t xml:space="preserve"> - 2014</w:t>
      </w:r>
      <w:r>
        <w:rPr>
          <w:color w:val="000000"/>
          <w:sz w:val="24"/>
          <w:szCs w:val="24"/>
        </w:rPr>
        <w:t xml:space="preserve"> metams. Galiausiai pateikiamos išvados ir siūlymai</w:t>
      </w:r>
      <w:r w:rsidR="00B577D1">
        <w:rPr>
          <w:color w:val="000000"/>
          <w:sz w:val="24"/>
          <w:szCs w:val="24"/>
        </w:rPr>
        <w:t>.</w:t>
      </w:r>
    </w:p>
    <w:p w:rsidR="00D60A8B" w:rsidRDefault="00D60A8B" w:rsidP="005B6EE3">
      <w:pPr>
        <w:spacing w:line="360" w:lineRule="auto"/>
        <w:ind w:firstLine="0"/>
        <w:rPr>
          <w:color w:val="000000"/>
          <w:sz w:val="24"/>
          <w:szCs w:val="24"/>
        </w:rPr>
      </w:pPr>
    </w:p>
    <w:p w:rsidR="005B6EE3" w:rsidRDefault="005B6EE3" w:rsidP="005B6EE3">
      <w:pPr>
        <w:spacing w:line="360" w:lineRule="auto"/>
        <w:ind w:firstLine="0"/>
        <w:rPr>
          <w:color w:val="000000"/>
          <w:sz w:val="24"/>
          <w:szCs w:val="24"/>
        </w:rPr>
      </w:pPr>
    </w:p>
    <w:p w:rsidR="007A113D" w:rsidRDefault="007A113D" w:rsidP="000E1FFE">
      <w:pPr>
        <w:ind w:firstLine="0"/>
        <w:rPr>
          <w:b/>
          <w:color w:val="000000"/>
          <w:sz w:val="28"/>
          <w:szCs w:val="28"/>
        </w:rPr>
      </w:pPr>
    </w:p>
    <w:p w:rsidR="005B6EE3" w:rsidRDefault="005B6EE3" w:rsidP="000E1FFE">
      <w:pPr>
        <w:ind w:firstLine="0"/>
        <w:rPr>
          <w:b/>
          <w:color w:val="000000"/>
          <w:sz w:val="28"/>
          <w:szCs w:val="28"/>
        </w:rPr>
      </w:pPr>
    </w:p>
    <w:p w:rsidR="007A113D" w:rsidRDefault="007A113D" w:rsidP="002D44A7">
      <w:pPr>
        <w:pStyle w:val="ListParagraph"/>
        <w:numPr>
          <w:ilvl w:val="0"/>
          <w:numId w:val="1"/>
        </w:numPr>
        <w:jc w:val="center"/>
        <w:outlineLvl w:val="0"/>
        <w:rPr>
          <w:b/>
          <w:color w:val="000000"/>
          <w:sz w:val="28"/>
          <w:szCs w:val="28"/>
          <w:lang w:val="en-US"/>
        </w:rPr>
      </w:pPr>
      <w:bookmarkStart w:id="11" w:name="_Toc358573083"/>
      <w:bookmarkStart w:id="12" w:name="_Toc373086682"/>
      <w:bookmarkStart w:id="13" w:name="_Toc373086880"/>
      <w:bookmarkStart w:id="14" w:name="_Toc373275064"/>
      <w:bookmarkStart w:id="15" w:name="_Toc373421060"/>
      <w:bookmarkStart w:id="16" w:name="_Toc373448075"/>
      <w:bookmarkStart w:id="17" w:name="_Toc374228633"/>
      <w:bookmarkStart w:id="18" w:name="_Toc374229035"/>
      <w:bookmarkStart w:id="19" w:name="_Toc374229146"/>
      <w:bookmarkStart w:id="20" w:name="_Toc374229436"/>
      <w:r>
        <w:rPr>
          <w:b/>
          <w:color w:val="000000"/>
          <w:sz w:val="28"/>
          <w:szCs w:val="28"/>
          <w:lang w:val="en-US"/>
        </w:rPr>
        <w:t>VALSTYBĖS SKOLOS IR JOS VALDYMO TEORINIAI ASPEKTAI</w:t>
      </w:r>
      <w:bookmarkEnd w:id="11"/>
      <w:bookmarkEnd w:id="12"/>
      <w:bookmarkEnd w:id="13"/>
      <w:bookmarkEnd w:id="14"/>
      <w:bookmarkEnd w:id="15"/>
      <w:bookmarkEnd w:id="16"/>
      <w:bookmarkEnd w:id="17"/>
      <w:bookmarkEnd w:id="18"/>
      <w:bookmarkEnd w:id="19"/>
      <w:bookmarkEnd w:id="20"/>
    </w:p>
    <w:p w:rsidR="007A113D" w:rsidRDefault="007A113D" w:rsidP="007A113D">
      <w:pPr>
        <w:rPr>
          <w:b/>
          <w:color w:val="000000"/>
          <w:sz w:val="28"/>
          <w:szCs w:val="28"/>
          <w:lang w:val="en-US"/>
        </w:rPr>
      </w:pPr>
    </w:p>
    <w:p w:rsidR="003F061B" w:rsidRDefault="003F061B" w:rsidP="00463933">
      <w:pPr>
        <w:widowControl/>
        <w:tabs>
          <w:tab w:val="left" w:pos="0"/>
          <w:tab w:val="left" w:pos="90"/>
        </w:tabs>
        <w:autoSpaceDE w:val="0"/>
        <w:autoSpaceDN w:val="0"/>
        <w:adjustRightInd w:val="0"/>
        <w:spacing w:line="360" w:lineRule="auto"/>
        <w:ind w:firstLine="720"/>
        <w:contextualSpacing/>
        <w:rPr>
          <w:sz w:val="24"/>
          <w:szCs w:val="24"/>
        </w:rPr>
      </w:pPr>
      <w:r>
        <w:rPr>
          <w:sz w:val="24"/>
          <w:szCs w:val="24"/>
        </w:rPr>
        <w:t>Valstybės finansų tvarkymas ir valdymas yra labai svarbi valstybės veikla, kadangi nuo to priklauso</w:t>
      </w:r>
      <w:r w:rsidR="00B06B0B">
        <w:rPr>
          <w:sz w:val="24"/>
          <w:szCs w:val="24"/>
        </w:rPr>
        <w:t xml:space="preserve"> valstybės</w:t>
      </w:r>
      <w:r>
        <w:rPr>
          <w:sz w:val="24"/>
          <w:szCs w:val="24"/>
        </w:rPr>
        <w:t xml:space="preserve"> fiskaliniai rezultatai. Pagrindinės finansų problemos, su kuriomis susiduria valstybė, yra pajamų surinkimas, išlaidų valdymas bei valstybės skola. Šiame darbe visas dėmesys bus skiriamas būtent valstybės skolai.</w:t>
      </w:r>
    </w:p>
    <w:p w:rsidR="003F061B" w:rsidRPr="00090CBC" w:rsidRDefault="003F061B" w:rsidP="00463933">
      <w:pPr>
        <w:widowControl/>
        <w:tabs>
          <w:tab w:val="left" w:pos="0"/>
          <w:tab w:val="left" w:pos="90"/>
        </w:tabs>
        <w:autoSpaceDE w:val="0"/>
        <w:autoSpaceDN w:val="0"/>
        <w:adjustRightInd w:val="0"/>
        <w:spacing w:line="360" w:lineRule="auto"/>
        <w:ind w:firstLine="720"/>
        <w:contextualSpacing/>
        <w:rPr>
          <w:sz w:val="24"/>
          <w:szCs w:val="24"/>
        </w:rPr>
      </w:pPr>
    </w:p>
    <w:p w:rsidR="00CB1C71" w:rsidRPr="00EF4E97" w:rsidRDefault="00EF4E97" w:rsidP="004927B6">
      <w:pPr>
        <w:pStyle w:val="ListParagraph"/>
        <w:widowControl/>
        <w:numPr>
          <w:ilvl w:val="1"/>
          <w:numId w:val="1"/>
        </w:numPr>
        <w:tabs>
          <w:tab w:val="left" w:pos="0"/>
        </w:tabs>
        <w:autoSpaceDE w:val="0"/>
        <w:autoSpaceDN w:val="0"/>
        <w:adjustRightInd w:val="0"/>
        <w:spacing w:line="360" w:lineRule="auto"/>
        <w:ind w:left="1080"/>
        <w:jc w:val="left"/>
        <w:outlineLvl w:val="1"/>
        <w:rPr>
          <w:rFonts w:eastAsiaTheme="minorHAnsi"/>
          <w:b/>
          <w:sz w:val="24"/>
          <w:szCs w:val="24"/>
        </w:rPr>
      </w:pPr>
      <w:bookmarkStart w:id="21" w:name="_Toc358573084"/>
      <w:bookmarkStart w:id="22" w:name="_Toc373086683"/>
      <w:bookmarkStart w:id="23" w:name="_Toc373086881"/>
      <w:bookmarkStart w:id="24" w:name="_Toc373275065"/>
      <w:bookmarkStart w:id="25" w:name="_Toc373421061"/>
      <w:bookmarkStart w:id="26" w:name="_Toc373448076"/>
      <w:bookmarkStart w:id="27" w:name="_Toc374228634"/>
      <w:bookmarkStart w:id="28" w:name="_Toc374229036"/>
      <w:bookmarkStart w:id="29" w:name="_Toc374229147"/>
      <w:bookmarkStart w:id="30" w:name="_Toc374229437"/>
      <w:r w:rsidRPr="00EF4E97">
        <w:rPr>
          <w:rFonts w:eastAsiaTheme="minorHAnsi"/>
          <w:b/>
          <w:sz w:val="24"/>
          <w:szCs w:val="24"/>
        </w:rPr>
        <w:t>Valstybės skolos samprata, klasif</w:t>
      </w:r>
      <w:r>
        <w:rPr>
          <w:rFonts w:eastAsiaTheme="minorHAnsi"/>
          <w:b/>
          <w:sz w:val="24"/>
          <w:szCs w:val="24"/>
        </w:rPr>
        <w:t xml:space="preserve">ikacija ir skolinimosi </w:t>
      </w:r>
      <w:r w:rsidR="00984B7D">
        <w:rPr>
          <w:rFonts w:eastAsiaTheme="minorHAnsi"/>
          <w:b/>
          <w:sz w:val="24"/>
          <w:szCs w:val="24"/>
        </w:rPr>
        <w:t>priemonės</w:t>
      </w:r>
      <w:bookmarkEnd w:id="21"/>
      <w:bookmarkEnd w:id="22"/>
      <w:bookmarkEnd w:id="23"/>
      <w:bookmarkEnd w:id="24"/>
      <w:bookmarkEnd w:id="25"/>
      <w:bookmarkEnd w:id="26"/>
      <w:bookmarkEnd w:id="27"/>
      <w:bookmarkEnd w:id="28"/>
      <w:bookmarkEnd w:id="29"/>
      <w:bookmarkEnd w:id="30"/>
    </w:p>
    <w:p w:rsidR="00CB1C71" w:rsidRDefault="00CB1C71" w:rsidP="002D44A7">
      <w:pPr>
        <w:widowControl/>
        <w:tabs>
          <w:tab w:val="left" w:pos="0"/>
        </w:tabs>
        <w:autoSpaceDE w:val="0"/>
        <w:autoSpaceDN w:val="0"/>
        <w:adjustRightInd w:val="0"/>
        <w:spacing w:line="360" w:lineRule="auto"/>
        <w:ind w:firstLine="720"/>
        <w:contextualSpacing/>
        <w:outlineLvl w:val="1"/>
        <w:rPr>
          <w:rFonts w:eastAsiaTheme="minorHAnsi"/>
          <w:sz w:val="24"/>
          <w:szCs w:val="24"/>
        </w:rPr>
      </w:pPr>
    </w:p>
    <w:p w:rsidR="00020ED4" w:rsidRDefault="00CB1C71" w:rsidP="00020ED4">
      <w:pPr>
        <w:widowControl/>
        <w:tabs>
          <w:tab w:val="left" w:pos="0"/>
        </w:tabs>
        <w:autoSpaceDE w:val="0"/>
        <w:autoSpaceDN w:val="0"/>
        <w:adjustRightInd w:val="0"/>
        <w:spacing w:line="360" w:lineRule="auto"/>
        <w:ind w:firstLine="720"/>
        <w:contextualSpacing/>
        <w:rPr>
          <w:rFonts w:eastAsiaTheme="minorHAnsi"/>
          <w:sz w:val="24"/>
          <w:szCs w:val="24"/>
        </w:rPr>
      </w:pPr>
      <w:r w:rsidRPr="004D21FA">
        <w:rPr>
          <w:rFonts w:eastAsiaTheme="minorHAnsi"/>
          <w:sz w:val="24"/>
          <w:szCs w:val="24"/>
        </w:rPr>
        <w:t>Kaip teigiama LR Valstybės skolos įstatyme</w:t>
      </w:r>
      <w:r w:rsidR="00762670">
        <w:rPr>
          <w:rFonts w:eastAsiaTheme="minorHAnsi"/>
          <w:sz w:val="24"/>
          <w:szCs w:val="24"/>
        </w:rPr>
        <w:t>,</w:t>
      </w:r>
      <w:r w:rsidRPr="004D21FA">
        <w:rPr>
          <w:rFonts w:eastAsiaTheme="minorHAnsi"/>
          <w:sz w:val="24"/>
          <w:szCs w:val="24"/>
        </w:rPr>
        <w:t xml:space="preserve"> valstybės skola</w:t>
      </w:r>
      <w:r w:rsidR="00762670">
        <w:rPr>
          <w:rFonts w:eastAsiaTheme="minorHAnsi"/>
          <w:sz w:val="24"/>
          <w:szCs w:val="24"/>
        </w:rPr>
        <w:t xml:space="preserve"> -</w:t>
      </w:r>
      <w:r w:rsidRPr="004D21FA">
        <w:rPr>
          <w:rFonts w:eastAsiaTheme="minorHAnsi"/>
          <w:sz w:val="24"/>
          <w:szCs w:val="24"/>
        </w:rPr>
        <w:t xml:space="preserve"> tai </w:t>
      </w:r>
      <w:r w:rsidRPr="004D21FA">
        <w:rPr>
          <w:sz w:val="24"/>
          <w:szCs w:val="24"/>
        </w:rPr>
        <w:t>prie</w:t>
      </w:r>
      <w:r w:rsidRPr="004D21FA">
        <w:rPr>
          <w:b/>
          <w:bCs/>
          <w:sz w:val="24"/>
          <w:szCs w:val="24"/>
        </w:rPr>
        <w:t xml:space="preserve"> </w:t>
      </w:r>
      <w:r w:rsidRPr="004D21FA">
        <w:rPr>
          <w:sz w:val="24"/>
          <w:szCs w:val="24"/>
        </w:rPr>
        <w:t>valdžios sektoriaus priskiriamų subjektų, turinčių teisę skolintis, prisiimtų, bet dar neįvykdytų įsipareigojimų grąžinti kreditoriams lėšas, pasiskolintas išplatinant Vyriausybės vertybinius popierius, pasirašant paskolų sutartis, finansinės nuomos (lizingo) sutartis ir kitus įsipareigojamuosius skolos dokumentus, konsoliduota suma.</w:t>
      </w:r>
      <w:r w:rsidR="004D21FA" w:rsidRPr="004D21FA">
        <w:rPr>
          <w:sz w:val="24"/>
          <w:szCs w:val="24"/>
        </w:rPr>
        <w:t xml:space="preserve"> </w:t>
      </w:r>
      <w:r w:rsidR="004D21FA">
        <w:rPr>
          <w:sz w:val="24"/>
          <w:szCs w:val="24"/>
        </w:rPr>
        <w:t>Anot Levišauskaitės, Rūškio (</w:t>
      </w:r>
      <w:r w:rsidR="00090CBC">
        <w:rPr>
          <w:sz w:val="24"/>
          <w:szCs w:val="24"/>
        </w:rPr>
        <w:t>2003</w:t>
      </w:r>
      <w:r w:rsidR="004D21FA">
        <w:rPr>
          <w:sz w:val="24"/>
          <w:szCs w:val="24"/>
        </w:rPr>
        <w:t>)</w:t>
      </w:r>
      <w:r w:rsidR="00172A96">
        <w:rPr>
          <w:sz w:val="24"/>
          <w:szCs w:val="24"/>
        </w:rPr>
        <w:t xml:space="preserve">, </w:t>
      </w:r>
      <w:r w:rsidR="004D21FA" w:rsidRPr="004D21FA">
        <w:rPr>
          <w:sz w:val="24"/>
          <w:szCs w:val="24"/>
        </w:rPr>
        <w:t>valstybės skola – tai visų išleistų ir dar nepadengtų valstybės paskolų suma kartu su priskaičiuotomis už jas palūkanomis</w:t>
      </w:r>
      <w:r w:rsidR="004D21FA">
        <w:rPr>
          <w:sz w:val="24"/>
          <w:szCs w:val="24"/>
        </w:rPr>
        <w:t>, kurios turi būti išmokėtos nustatytu laiku arba iki nustatyto termino. Apsk</w:t>
      </w:r>
      <w:r w:rsidR="00EB11D4">
        <w:rPr>
          <w:sz w:val="24"/>
          <w:szCs w:val="24"/>
        </w:rPr>
        <w:t xml:space="preserve">ritai, </w:t>
      </w:r>
      <w:r w:rsidR="004D21FA">
        <w:rPr>
          <w:rFonts w:eastAsiaTheme="minorHAnsi"/>
          <w:sz w:val="24"/>
          <w:szCs w:val="24"/>
        </w:rPr>
        <w:t>v</w:t>
      </w:r>
      <w:r w:rsidRPr="004D21FA">
        <w:rPr>
          <w:rFonts w:eastAsiaTheme="minorHAnsi"/>
          <w:sz w:val="24"/>
          <w:szCs w:val="24"/>
        </w:rPr>
        <w:t>alstyb</w:t>
      </w:r>
      <w:r w:rsidRPr="004D21FA">
        <w:rPr>
          <w:rFonts w:ascii="TimesNewRoman" w:eastAsia="TimesNewRoman" w:cs="TimesNewRoman"/>
          <w:sz w:val="24"/>
          <w:szCs w:val="24"/>
        </w:rPr>
        <w:t>ė</w:t>
      </w:r>
      <w:r w:rsidRPr="004D21FA">
        <w:rPr>
          <w:rFonts w:eastAsiaTheme="minorHAnsi"/>
          <w:sz w:val="24"/>
          <w:szCs w:val="24"/>
        </w:rPr>
        <w:t>s skolinimasis – atsakinga ir sud</w:t>
      </w:r>
      <w:r w:rsidRPr="004D21FA">
        <w:rPr>
          <w:rFonts w:ascii="TimesNewRoman" w:eastAsia="TimesNewRoman" w:cs="TimesNewRoman"/>
          <w:sz w:val="24"/>
          <w:szCs w:val="24"/>
        </w:rPr>
        <w:t>ė</w:t>
      </w:r>
      <w:r w:rsidRPr="004D21FA">
        <w:rPr>
          <w:rFonts w:eastAsiaTheme="minorHAnsi"/>
          <w:sz w:val="24"/>
          <w:szCs w:val="24"/>
        </w:rPr>
        <w:t>tinga valstyb</w:t>
      </w:r>
      <w:r w:rsidRPr="004D21FA">
        <w:rPr>
          <w:rFonts w:ascii="TimesNewRoman" w:eastAsia="TimesNewRoman" w:cs="TimesNewRoman"/>
          <w:sz w:val="24"/>
          <w:szCs w:val="24"/>
        </w:rPr>
        <w:t>ė</w:t>
      </w:r>
      <w:r w:rsidRPr="004D21FA">
        <w:rPr>
          <w:rFonts w:eastAsiaTheme="minorHAnsi"/>
          <w:sz w:val="24"/>
          <w:szCs w:val="24"/>
        </w:rPr>
        <w:t>s veikla, lemianti valstyb</w:t>
      </w:r>
      <w:r w:rsidRPr="004D21FA">
        <w:rPr>
          <w:rFonts w:ascii="TimesNewRoman" w:eastAsia="TimesNewRoman" w:cs="TimesNewRoman"/>
          <w:sz w:val="24"/>
          <w:szCs w:val="24"/>
        </w:rPr>
        <w:t>ė</w:t>
      </w:r>
      <w:r w:rsidRPr="004D21FA">
        <w:rPr>
          <w:rFonts w:eastAsiaTheme="minorHAnsi"/>
          <w:sz w:val="24"/>
          <w:szCs w:val="24"/>
        </w:rPr>
        <w:t>s ekonomik</w:t>
      </w:r>
      <w:r w:rsidRPr="004D21FA">
        <w:rPr>
          <w:rFonts w:ascii="TimesNewRoman" w:eastAsia="TimesNewRoman" w:cs="TimesNewRoman" w:hint="eastAsia"/>
          <w:sz w:val="24"/>
          <w:szCs w:val="24"/>
        </w:rPr>
        <w:t>ą</w:t>
      </w:r>
      <w:r w:rsidRPr="004D21FA">
        <w:rPr>
          <w:rFonts w:eastAsiaTheme="minorHAnsi"/>
          <w:sz w:val="24"/>
          <w:szCs w:val="24"/>
        </w:rPr>
        <w:t>, politinius poky</w:t>
      </w:r>
      <w:r w:rsidRPr="004D21FA">
        <w:rPr>
          <w:rFonts w:ascii="TimesNewRoman" w:eastAsia="TimesNewRoman" w:cs="TimesNewRoman" w:hint="eastAsia"/>
          <w:sz w:val="24"/>
          <w:szCs w:val="24"/>
        </w:rPr>
        <w:t>č</w:t>
      </w:r>
      <w:r w:rsidRPr="004D21FA">
        <w:rPr>
          <w:rFonts w:eastAsiaTheme="minorHAnsi"/>
          <w:sz w:val="24"/>
          <w:szCs w:val="24"/>
        </w:rPr>
        <w:t>ius, tarptautin</w:t>
      </w:r>
      <w:r w:rsidRPr="004D21FA">
        <w:rPr>
          <w:rFonts w:ascii="TimesNewRoman" w:eastAsia="TimesNewRoman" w:cs="TimesNewRoman" w:hint="eastAsia"/>
          <w:sz w:val="24"/>
          <w:szCs w:val="24"/>
        </w:rPr>
        <w:t>ę</w:t>
      </w:r>
      <w:r w:rsidRPr="004D21FA">
        <w:rPr>
          <w:rFonts w:ascii="TimesNewRoman" w:eastAsia="TimesNewRoman" w:cs="TimesNewRoman"/>
          <w:sz w:val="24"/>
          <w:szCs w:val="24"/>
        </w:rPr>
        <w:t xml:space="preserve"> </w:t>
      </w:r>
      <w:r w:rsidRPr="004D21FA">
        <w:rPr>
          <w:rFonts w:eastAsiaTheme="minorHAnsi"/>
          <w:sz w:val="24"/>
          <w:szCs w:val="24"/>
        </w:rPr>
        <w:t>reputacij</w:t>
      </w:r>
      <w:r w:rsidRPr="004D21FA">
        <w:rPr>
          <w:rFonts w:ascii="TimesNewRoman" w:eastAsia="TimesNewRoman" w:cs="TimesNewRoman" w:hint="eastAsia"/>
          <w:sz w:val="24"/>
          <w:szCs w:val="24"/>
        </w:rPr>
        <w:t>ą</w:t>
      </w:r>
      <w:r w:rsidRPr="004D21FA">
        <w:rPr>
          <w:rFonts w:ascii="TimesNewRoman" w:eastAsia="TimesNewRoman" w:cs="TimesNewRoman"/>
          <w:sz w:val="24"/>
          <w:szCs w:val="24"/>
        </w:rPr>
        <w:t xml:space="preserve"> </w:t>
      </w:r>
      <w:r w:rsidRPr="004D21FA">
        <w:rPr>
          <w:rFonts w:eastAsiaTheme="minorHAnsi"/>
          <w:sz w:val="24"/>
          <w:szCs w:val="24"/>
        </w:rPr>
        <w:t>ir daugel</w:t>
      </w:r>
      <w:r w:rsidRPr="004D21FA">
        <w:rPr>
          <w:rFonts w:ascii="TimesNewRoman" w:eastAsia="TimesNewRoman" w:cs="TimesNewRoman" w:hint="eastAsia"/>
          <w:sz w:val="24"/>
          <w:szCs w:val="24"/>
        </w:rPr>
        <w:t>į</w:t>
      </w:r>
      <w:r w:rsidRPr="004D21FA">
        <w:rPr>
          <w:rFonts w:ascii="TimesNewRoman" w:eastAsia="TimesNewRoman" w:cs="TimesNewRoman"/>
          <w:sz w:val="24"/>
          <w:szCs w:val="24"/>
        </w:rPr>
        <w:t xml:space="preserve"> </w:t>
      </w:r>
      <w:r w:rsidRPr="004D21FA">
        <w:rPr>
          <w:rFonts w:eastAsiaTheme="minorHAnsi"/>
          <w:sz w:val="24"/>
          <w:szCs w:val="24"/>
        </w:rPr>
        <w:t>kit</w:t>
      </w:r>
      <w:r w:rsidRPr="004D21FA">
        <w:rPr>
          <w:rFonts w:ascii="TimesNewRoman" w:eastAsia="TimesNewRoman" w:cs="TimesNewRoman" w:hint="eastAsia"/>
          <w:sz w:val="24"/>
          <w:szCs w:val="24"/>
        </w:rPr>
        <w:t>ų</w:t>
      </w:r>
      <w:r w:rsidRPr="004D21FA">
        <w:rPr>
          <w:rFonts w:ascii="TimesNewRoman" w:eastAsia="TimesNewRoman" w:cs="TimesNewRoman"/>
          <w:sz w:val="24"/>
          <w:szCs w:val="24"/>
        </w:rPr>
        <w:t xml:space="preserve"> </w:t>
      </w:r>
      <w:r w:rsidRPr="004D21FA">
        <w:rPr>
          <w:rFonts w:eastAsiaTheme="minorHAnsi"/>
          <w:sz w:val="24"/>
          <w:szCs w:val="24"/>
        </w:rPr>
        <w:t>veiksni</w:t>
      </w:r>
      <w:r w:rsidRPr="004D21FA">
        <w:rPr>
          <w:rFonts w:ascii="TimesNewRoman" w:eastAsia="TimesNewRoman" w:cs="TimesNewRoman" w:hint="eastAsia"/>
          <w:sz w:val="24"/>
          <w:szCs w:val="24"/>
        </w:rPr>
        <w:t>ų</w:t>
      </w:r>
      <w:r w:rsidRPr="004D21FA">
        <w:rPr>
          <w:rFonts w:eastAsiaTheme="minorHAnsi"/>
          <w:sz w:val="24"/>
          <w:szCs w:val="24"/>
        </w:rPr>
        <w:t xml:space="preserve">. </w:t>
      </w:r>
      <w:r w:rsidR="00F06119">
        <w:rPr>
          <w:rFonts w:eastAsiaTheme="minorHAnsi"/>
          <w:sz w:val="24"/>
          <w:szCs w:val="24"/>
        </w:rPr>
        <w:t>Tai s</w:t>
      </w:r>
      <w:r w:rsidRPr="004D21FA">
        <w:rPr>
          <w:rFonts w:eastAsiaTheme="minorHAnsi"/>
          <w:sz w:val="24"/>
          <w:szCs w:val="24"/>
        </w:rPr>
        <w:t>varbus pajam</w:t>
      </w:r>
      <w:r w:rsidRPr="004D21FA">
        <w:rPr>
          <w:rFonts w:ascii="TimesNewRoman" w:eastAsia="TimesNewRoman" w:cs="TimesNewRoman" w:hint="eastAsia"/>
          <w:sz w:val="24"/>
          <w:szCs w:val="24"/>
        </w:rPr>
        <w:t>ų</w:t>
      </w:r>
      <w:r w:rsidRPr="004D21FA">
        <w:rPr>
          <w:rFonts w:ascii="TimesNewRoman" w:eastAsia="TimesNewRoman" w:cs="TimesNewRoman"/>
          <w:sz w:val="24"/>
          <w:szCs w:val="24"/>
        </w:rPr>
        <w:t xml:space="preserve"> </w:t>
      </w:r>
      <w:r w:rsidRPr="004D21FA">
        <w:rPr>
          <w:rFonts w:eastAsiaTheme="minorHAnsi"/>
          <w:sz w:val="24"/>
          <w:szCs w:val="24"/>
        </w:rPr>
        <w:t>šaltinis, galintis iš dalies pakeisti mokes</w:t>
      </w:r>
      <w:r w:rsidRPr="004D21FA">
        <w:rPr>
          <w:rFonts w:ascii="TimesNewRoman" w:eastAsia="TimesNewRoman" w:cs="TimesNewRoman" w:hint="eastAsia"/>
          <w:sz w:val="24"/>
          <w:szCs w:val="24"/>
        </w:rPr>
        <w:t>č</w:t>
      </w:r>
      <w:r w:rsidRPr="004D21FA">
        <w:rPr>
          <w:rFonts w:eastAsiaTheme="minorHAnsi"/>
          <w:sz w:val="24"/>
          <w:szCs w:val="24"/>
        </w:rPr>
        <w:t>ius ir b</w:t>
      </w:r>
      <w:r w:rsidRPr="004D21FA">
        <w:rPr>
          <w:rFonts w:ascii="TimesNewRoman" w:eastAsia="TimesNewRoman" w:cs="TimesNewRoman" w:hint="eastAsia"/>
          <w:sz w:val="24"/>
          <w:szCs w:val="24"/>
        </w:rPr>
        <w:t>ū</w:t>
      </w:r>
      <w:r w:rsidRPr="004D21FA">
        <w:rPr>
          <w:rFonts w:eastAsiaTheme="minorHAnsi"/>
          <w:sz w:val="24"/>
          <w:szCs w:val="24"/>
        </w:rPr>
        <w:t>ti valstyb</w:t>
      </w:r>
      <w:r w:rsidRPr="004D21FA">
        <w:rPr>
          <w:rFonts w:ascii="TimesNewRoman" w:eastAsia="TimesNewRoman" w:cs="TimesNewRoman"/>
          <w:sz w:val="24"/>
          <w:szCs w:val="24"/>
        </w:rPr>
        <w:t>ė</w:t>
      </w:r>
      <w:r w:rsidRPr="004D21FA">
        <w:rPr>
          <w:rFonts w:eastAsiaTheme="minorHAnsi"/>
          <w:sz w:val="24"/>
          <w:szCs w:val="24"/>
        </w:rPr>
        <w:t>s fiskalinio biud</w:t>
      </w:r>
      <w:r w:rsidR="003650D2">
        <w:rPr>
          <w:rFonts w:eastAsiaTheme="minorHAnsi"/>
          <w:sz w:val="24"/>
          <w:szCs w:val="24"/>
        </w:rPr>
        <w:t>žeto deficito padengimo šaltiniu</w:t>
      </w:r>
      <w:r w:rsidRPr="004D21FA">
        <w:rPr>
          <w:rFonts w:eastAsiaTheme="minorHAnsi"/>
          <w:sz w:val="24"/>
          <w:szCs w:val="24"/>
        </w:rPr>
        <w:t xml:space="preserve"> (Štuopytė, 2004).</w:t>
      </w:r>
    </w:p>
    <w:p w:rsidR="00463933" w:rsidRDefault="00EB11D4" w:rsidP="00463933">
      <w:pPr>
        <w:widowControl/>
        <w:tabs>
          <w:tab w:val="left" w:pos="0"/>
        </w:tabs>
        <w:autoSpaceDE w:val="0"/>
        <w:autoSpaceDN w:val="0"/>
        <w:adjustRightInd w:val="0"/>
        <w:spacing w:line="360" w:lineRule="auto"/>
        <w:ind w:firstLine="720"/>
        <w:contextualSpacing/>
        <w:jc w:val="left"/>
        <w:rPr>
          <w:noProof/>
          <w:sz w:val="24"/>
          <w:szCs w:val="24"/>
          <w:lang w:val="en-US"/>
        </w:rPr>
      </w:pPr>
      <w:r>
        <w:rPr>
          <w:sz w:val="24"/>
          <w:szCs w:val="24"/>
        </w:rPr>
        <w:t>1 paveiksle pateiktos p</w:t>
      </w:r>
      <w:r w:rsidR="00090CBC">
        <w:rPr>
          <w:sz w:val="24"/>
          <w:szCs w:val="24"/>
        </w:rPr>
        <w:t>agrindinės valstybinio kredito formos</w:t>
      </w:r>
      <w:r>
        <w:rPr>
          <w:sz w:val="24"/>
          <w:szCs w:val="24"/>
        </w:rPr>
        <w:t>.</w:t>
      </w:r>
      <w:r>
        <w:rPr>
          <w:noProof/>
          <w:sz w:val="24"/>
          <w:szCs w:val="24"/>
          <w:lang w:val="en-US"/>
        </w:rPr>
        <w:t xml:space="preserve"> </w:t>
      </w:r>
    </w:p>
    <w:p w:rsidR="000837B8" w:rsidRDefault="00E12FF5" w:rsidP="00463933">
      <w:pPr>
        <w:widowControl/>
        <w:tabs>
          <w:tab w:val="left" w:pos="0"/>
        </w:tabs>
        <w:autoSpaceDE w:val="0"/>
        <w:autoSpaceDN w:val="0"/>
        <w:adjustRightInd w:val="0"/>
        <w:spacing w:line="360" w:lineRule="auto"/>
        <w:ind w:firstLine="720"/>
        <w:contextualSpacing/>
        <w:jc w:val="left"/>
        <w:rPr>
          <w:noProof/>
          <w:sz w:val="24"/>
          <w:szCs w:val="24"/>
          <w:lang w:val="en-US"/>
        </w:rPr>
      </w:pPr>
      <w:r w:rsidRPr="00E12FF5">
        <w:rPr>
          <w:noProof/>
          <w:sz w:val="24"/>
          <w:szCs w:val="24"/>
          <w:lang w:eastAsia="lt-LT"/>
        </w:rPr>
        <w:pict>
          <v:rect id="_x0000_s1029" style="position:absolute;left:0;text-align:left;margin-left:204.45pt;margin-top:16.65pt;width:127.5pt;height:36pt;z-index:251659264" fillcolor="white [3201]" strokecolor="black [3200]" strokeweight="2.5pt">
            <v:shadow color="#868686"/>
            <v:textbox style="mso-next-textbox:#_x0000_s1029">
              <w:txbxContent>
                <w:p w:rsidR="00F4013E" w:rsidRPr="00C27726" w:rsidRDefault="00F4013E" w:rsidP="00310E68">
                  <w:pPr>
                    <w:ind w:firstLine="0"/>
                    <w:jc w:val="center"/>
                    <w:rPr>
                      <w:b/>
                    </w:rPr>
                  </w:pPr>
                  <w:r w:rsidRPr="00C27726">
                    <w:rPr>
                      <w:b/>
                    </w:rPr>
                    <w:t>Pagrindinės valstybinio kredito formos</w:t>
                  </w:r>
                </w:p>
              </w:txbxContent>
            </v:textbox>
          </v:rect>
        </w:pict>
      </w:r>
    </w:p>
    <w:p w:rsidR="00310E68" w:rsidRDefault="00F662FF" w:rsidP="00463933">
      <w:pPr>
        <w:widowControl/>
        <w:tabs>
          <w:tab w:val="left" w:pos="0"/>
        </w:tabs>
        <w:autoSpaceDE w:val="0"/>
        <w:autoSpaceDN w:val="0"/>
        <w:adjustRightInd w:val="0"/>
        <w:spacing w:line="360" w:lineRule="auto"/>
        <w:ind w:firstLine="720"/>
        <w:jc w:val="left"/>
        <w:rPr>
          <w:noProof/>
          <w:sz w:val="24"/>
          <w:szCs w:val="24"/>
          <w:lang w:val="en-US"/>
        </w:rPr>
      </w:pPr>
      <w:r>
        <w:rPr>
          <w:noProof/>
          <w:sz w:val="24"/>
          <w:szCs w:val="24"/>
          <w:lang w:val="en-US"/>
        </w:rPr>
        <w:t xml:space="preserve">   </w:t>
      </w:r>
    </w:p>
    <w:p w:rsidR="00E524B2" w:rsidRDefault="00E12FF5" w:rsidP="00E524B2">
      <w:pPr>
        <w:widowControl/>
        <w:tabs>
          <w:tab w:val="left" w:pos="0"/>
        </w:tabs>
        <w:autoSpaceDE w:val="0"/>
        <w:autoSpaceDN w:val="0"/>
        <w:adjustRightInd w:val="0"/>
        <w:spacing w:line="360" w:lineRule="auto"/>
        <w:ind w:firstLine="720"/>
        <w:jc w:val="left"/>
        <w:rPr>
          <w:noProof/>
          <w:sz w:val="24"/>
          <w:szCs w:val="24"/>
          <w:lang w:val="en-US"/>
        </w:rPr>
      </w:pPr>
      <w:r w:rsidRPr="00E12FF5">
        <w:rPr>
          <w:noProof/>
          <w:sz w:val="24"/>
          <w:szCs w:val="24"/>
          <w:lang w:eastAsia="lt-LT"/>
        </w:rPr>
        <w:pict>
          <v:shapetype id="_x0000_t32" coordsize="21600,21600" o:spt="32" o:oned="t" path="m,l21600,21600e" filled="f">
            <v:path arrowok="t" fillok="f" o:connecttype="none"/>
            <o:lock v:ext="edit" shapetype="t"/>
          </v:shapetype>
          <v:shape id="_x0000_s1037" type="#_x0000_t32" style="position:absolute;left:0;text-align:left;margin-left:267.7pt;margin-top:17.25pt;width:0;height:21.25pt;z-index:251665408" o:connectortype="straight">
            <v:stroke endarrow="block"/>
          </v:shape>
        </w:pict>
      </w:r>
      <w:r w:rsidR="00F662FF">
        <w:rPr>
          <w:noProof/>
          <w:sz w:val="24"/>
          <w:szCs w:val="24"/>
          <w:lang w:val="en-US"/>
        </w:rPr>
        <w:t xml:space="preserve"> </w:t>
      </w:r>
      <w:r w:rsidR="000B61DE">
        <w:rPr>
          <w:noProof/>
          <w:sz w:val="24"/>
          <w:szCs w:val="24"/>
          <w:lang w:val="en-US"/>
        </w:rPr>
        <w:t xml:space="preserve">    </w:t>
      </w:r>
    </w:p>
    <w:p w:rsidR="00E524B2" w:rsidRDefault="00E12FF5" w:rsidP="00E524B2">
      <w:pPr>
        <w:widowControl/>
        <w:tabs>
          <w:tab w:val="left" w:pos="0"/>
        </w:tabs>
        <w:autoSpaceDE w:val="0"/>
        <w:autoSpaceDN w:val="0"/>
        <w:adjustRightInd w:val="0"/>
        <w:spacing w:line="360" w:lineRule="auto"/>
        <w:ind w:firstLine="720"/>
        <w:jc w:val="left"/>
        <w:rPr>
          <w:noProof/>
          <w:sz w:val="24"/>
          <w:szCs w:val="24"/>
          <w:lang w:val="en-US"/>
        </w:rPr>
      </w:pPr>
      <w:r w:rsidRPr="00E12FF5">
        <w:rPr>
          <w:noProof/>
          <w:sz w:val="24"/>
          <w:szCs w:val="24"/>
          <w:lang w:eastAsia="lt-LT"/>
        </w:rPr>
        <w:pict>
          <v:shape id="_x0000_s1034" type="#_x0000_t32" style="position:absolute;left:0;text-align:left;margin-left:169.2pt;margin-top:1.3pt;width:40.5pt;height:16.5pt;flip:x;z-index:251663360" o:connectortype="straight">
            <v:stroke endarrow="block"/>
          </v:shape>
        </w:pict>
      </w:r>
      <w:r w:rsidRPr="00E12FF5">
        <w:rPr>
          <w:noProof/>
          <w:sz w:val="24"/>
          <w:szCs w:val="24"/>
          <w:lang w:eastAsia="lt-LT"/>
        </w:rPr>
        <w:pict>
          <v:shape id="_x0000_s1036" type="#_x0000_t32" style="position:absolute;left:0;text-align:left;margin-left:331.95pt;margin-top:1.3pt;width:45pt;height:12.75pt;z-index:251664384" o:connectortype="straight">
            <v:stroke endarrow="block"/>
          </v:shape>
        </w:pict>
      </w:r>
    </w:p>
    <w:p w:rsidR="00310E68" w:rsidRDefault="00E12FF5" w:rsidP="00E524B2">
      <w:pPr>
        <w:widowControl/>
        <w:tabs>
          <w:tab w:val="left" w:pos="0"/>
        </w:tabs>
        <w:autoSpaceDE w:val="0"/>
        <w:autoSpaceDN w:val="0"/>
        <w:adjustRightInd w:val="0"/>
        <w:spacing w:line="360" w:lineRule="auto"/>
        <w:ind w:firstLine="720"/>
        <w:jc w:val="left"/>
        <w:rPr>
          <w:noProof/>
          <w:sz w:val="24"/>
          <w:szCs w:val="24"/>
          <w:lang w:val="en-US"/>
        </w:rPr>
      </w:pPr>
      <w:r w:rsidRPr="00E12FF5">
        <w:rPr>
          <w:noProof/>
          <w:sz w:val="24"/>
          <w:szCs w:val="24"/>
          <w:lang w:eastAsia="lt-LT"/>
        </w:rPr>
        <w:pict>
          <v:rect id="_x0000_s1030" style="position:absolute;left:0;text-align:left;margin-left:99.45pt;margin-top:2.35pt;width:98.25pt;height:56.85pt;z-index:251660288" fillcolor="white [3201]" strokecolor="black [3200]" strokeweight="2.5pt">
            <v:shadow color="#868686"/>
            <v:textbox style="mso-next-textbox:#_x0000_s1030">
              <w:txbxContent>
                <w:p w:rsidR="00F4013E" w:rsidRDefault="00F4013E" w:rsidP="00310E68">
                  <w:pPr>
                    <w:ind w:firstLine="0"/>
                    <w:jc w:val="center"/>
                  </w:pPr>
                </w:p>
                <w:p w:rsidR="00F4013E" w:rsidRPr="00C27726" w:rsidRDefault="00F4013E" w:rsidP="00310E68">
                  <w:pPr>
                    <w:ind w:firstLine="0"/>
                    <w:jc w:val="center"/>
                  </w:pPr>
                  <w:r w:rsidRPr="00C27726">
                    <w:t>Valstybės skolinimasis</w:t>
                  </w:r>
                </w:p>
              </w:txbxContent>
            </v:textbox>
          </v:rect>
        </w:pict>
      </w:r>
      <w:r w:rsidRPr="00E12FF5">
        <w:rPr>
          <w:noProof/>
          <w:sz w:val="24"/>
          <w:szCs w:val="24"/>
          <w:lang w:eastAsia="lt-LT"/>
        </w:rPr>
        <w:pict>
          <v:rect id="_x0000_s1031" style="position:absolute;left:0;text-align:left;margin-left:220.95pt;margin-top:2.35pt;width:98.25pt;height:56.85pt;z-index:251661312" fillcolor="white [3201]" strokecolor="black [3200]" strokeweight="2.5pt">
            <v:shadow color="#868686"/>
            <v:textbox style="mso-next-textbox:#_x0000_s1031">
              <w:txbxContent>
                <w:p w:rsidR="00F4013E" w:rsidRDefault="00F4013E" w:rsidP="00310E68">
                  <w:pPr>
                    <w:ind w:firstLine="0"/>
                  </w:pPr>
                </w:p>
                <w:p w:rsidR="00F4013E" w:rsidRPr="00C27726" w:rsidRDefault="00F4013E" w:rsidP="00310E68">
                  <w:pPr>
                    <w:ind w:firstLine="0"/>
                  </w:pPr>
                  <w:r>
                    <w:t xml:space="preserve"> </w:t>
                  </w:r>
                  <w:r w:rsidRPr="00C27726">
                    <w:t>Valstybės garantija</w:t>
                  </w:r>
                </w:p>
              </w:txbxContent>
            </v:textbox>
          </v:rect>
        </w:pict>
      </w:r>
      <w:r w:rsidRPr="00E12FF5">
        <w:rPr>
          <w:noProof/>
          <w:sz w:val="24"/>
          <w:szCs w:val="24"/>
          <w:lang w:eastAsia="lt-LT"/>
        </w:rPr>
        <w:pict>
          <v:rect id="_x0000_s1032" style="position:absolute;left:0;text-align:left;margin-left:340.2pt;margin-top:2.35pt;width:98.25pt;height:56.85pt;z-index:251662336" fillcolor="white [3201]" strokecolor="black [3200]" strokeweight="2.5pt">
            <v:shadow color="#868686"/>
            <v:textbox style="mso-next-textbox:#_x0000_s1032">
              <w:txbxContent>
                <w:p w:rsidR="00F4013E" w:rsidRPr="00C27726" w:rsidRDefault="00F4013E" w:rsidP="00C27726">
                  <w:pPr>
                    <w:ind w:firstLine="0"/>
                    <w:jc w:val="center"/>
                  </w:pPr>
                  <w:r w:rsidRPr="00C27726">
                    <w:t>Valstybės paskolų teikimas iš biudžeto lėšų ar kitų valstyb. kredito fondų</w:t>
                  </w:r>
                </w:p>
              </w:txbxContent>
            </v:textbox>
          </v:rect>
        </w:pict>
      </w:r>
    </w:p>
    <w:p w:rsidR="00090CBC" w:rsidRDefault="00C00525" w:rsidP="00E524B2">
      <w:pPr>
        <w:widowControl/>
        <w:tabs>
          <w:tab w:val="left" w:pos="0"/>
        </w:tabs>
        <w:autoSpaceDE w:val="0"/>
        <w:autoSpaceDN w:val="0"/>
        <w:adjustRightInd w:val="0"/>
        <w:spacing w:line="360" w:lineRule="auto"/>
        <w:ind w:firstLine="720"/>
        <w:jc w:val="left"/>
        <w:rPr>
          <w:noProof/>
          <w:sz w:val="24"/>
          <w:szCs w:val="24"/>
          <w:lang w:val="en-US"/>
        </w:rPr>
      </w:pPr>
      <w:r>
        <w:rPr>
          <w:noProof/>
          <w:sz w:val="24"/>
          <w:szCs w:val="24"/>
          <w:lang w:val="en-US"/>
        </w:rPr>
        <w:t xml:space="preserve">    </w:t>
      </w:r>
    </w:p>
    <w:p w:rsidR="00310E68" w:rsidRDefault="00CC5FD6" w:rsidP="00E524B2">
      <w:pPr>
        <w:widowControl/>
        <w:tabs>
          <w:tab w:val="left" w:pos="0"/>
        </w:tabs>
        <w:autoSpaceDE w:val="0"/>
        <w:autoSpaceDN w:val="0"/>
        <w:adjustRightInd w:val="0"/>
        <w:spacing w:line="360" w:lineRule="auto"/>
        <w:ind w:firstLine="720"/>
        <w:jc w:val="left"/>
        <w:rPr>
          <w:noProof/>
          <w:lang w:val="en-US"/>
        </w:rPr>
      </w:pPr>
      <w:r>
        <w:rPr>
          <w:noProof/>
          <w:lang w:val="en-US"/>
        </w:rPr>
        <w:t xml:space="preserve">   </w:t>
      </w:r>
    </w:p>
    <w:p w:rsidR="002B77E4" w:rsidRDefault="00463933" w:rsidP="002B77E4">
      <w:pPr>
        <w:widowControl/>
        <w:tabs>
          <w:tab w:val="left" w:pos="0"/>
        </w:tabs>
        <w:autoSpaceDE w:val="0"/>
        <w:autoSpaceDN w:val="0"/>
        <w:adjustRightInd w:val="0"/>
        <w:spacing w:line="360" w:lineRule="auto"/>
        <w:ind w:firstLine="0"/>
        <w:jc w:val="left"/>
      </w:pPr>
      <w:r>
        <w:rPr>
          <w:noProof/>
          <w:lang w:val="en-US"/>
        </w:rPr>
        <w:t xml:space="preserve">                          </w:t>
      </w:r>
      <w:r w:rsidR="00CC5FD6">
        <w:rPr>
          <w:noProof/>
          <w:lang w:val="en-US"/>
        </w:rPr>
        <w:t xml:space="preserve">             </w:t>
      </w:r>
      <w:r>
        <w:rPr>
          <w:noProof/>
          <w:lang w:val="en-US"/>
        </w:rPr>
        <w:t xml:space="preserve"> </w:t>
      </w:r>
      <w:r w:rsidR="008429A8" w:rsidRPr="008429A8">
        <w:rPr>
          <w:noProof/>
          <w:lang w:val="en-US"/>
        </w:rPr>
        <w:t xml:space="preserve">Šaltinis: </w:t>
      </w:r>
      <w:r w:rsidR="008429A8" w:rsidRPr="008429A8">
        <w:t>sudaryta pagal Levišauskaitė, Rūškys, 2003; Štuopytė, 2004</w:t>
      </w:r>
      <w:bookmarkStart w:id="31" w:name="_Toc373086882"/>
      <w:bookmarkStart w:id="32" w:name="_Toc373274424"/>
      <w:bookmarkStart w:id="33" w:name="_Toc373274637"/>
      <w:bookmarkStart w:id="34" w:name="_Toc373275066"/>
      <w:bookmarkStart w:id="35" w:name="_Toc374229438"/>
    </w:p>
    <w:p w:rsidR="003F061B" w:rsidRDefault="00090CBC" w:rsidP="002B77E4">
      <w:pPr>
        <w:widowControl/>
        <w:tabs>
          <w:tab w:val="left" w:pos="0"/>
        </w:tabs>
        <w:autoSpaceDE w:val="0"/>
        <w:autoSpaceDN w:val="0"/>
        <w:adjustRightInd w:val="0"/>
        <w:spacing w:line="360" w:lineRule="auto"/>
        <w:ind w:firstLine="0"/>
        <w:jc w:val="center"/>
        <w:rPr>
          <w:sz w:val="24"/>
          <w:szCs w:val="24"/>
        </w:rPr>
      </w:pPr>
      <w:r w:rsidRPr="002B77E4">
        <w:rPr>
          <w:sz w:val="24"/>
          <w:szCs w:val="24"/>
        </w:rPr>
        <w:t>1 pav. Pagrindinės valstybinio kredito formo</w:t>
      </w:r>
      <w:bookmarkEnd w:id="31"/>
      <w:bookmarkEnd w:id="32"/>
      <w:bookmarkEnd w:id="33"/>
      <w:bookmarkEnd w:id="34"/>
      <w:bookmarkEnd w:id="35"/>
      <w:r w:rsidR="002B77E4">
        <w:rPr>
          <w:sz w:val="24"/>
          <w:szCs w:val="24"/>
        </w:rPr>
        <w:t>s</w:t>
      </w:r>
    </w:p>
    <w:p w:rsidR="002B77E4" w:rsidRPr="002B77E4" w:rsidRDefault="002B77E4" w:rsidP="002B77E4">
      <w:pPr>
        <w:widowControl/>
        <w:tabs>
          <w:tab w:val="left" w:pos="0"/>
        </w:tabs>
        <w:autoSpaceDE w:val="0"/>
        <w:autoSpaceDN w:val="0"/>
        <w:adjustRightInd w:val="0"/>
        <w:spacing w:line="360" w:lineRule="auto"/>
        <w:ind w:firstLine="0"/>
        <w:jc w:val="center"/>
      </w:pPr>
    </w:p>
    <w:p w:rsidR="00AD754D" w:rsidRPr="00AD754D" w:rsidRDefault="00AD754D" w:rsidP="007B5B4F">
      <w:pPr>
        <w:spacing w:line="360" w:lineRule="auto"/>
        <w:ind w:firstLine="720"/>
        <w:contextualSpacing/>
        <w:rPr>
          <w:noProof/>
          <w:sz w:val="24"/>
          <w:szCs w:val="24"/>
          <w:lang w:val="en-US"/>
        </w:rPr>
      </w:pPr>
      <w:r>
        <w:rPr>
          <w:noProof/>
          <w:sz w:val="24"/>
          <w:szCs w:val="24"/>
          <w:lang w:val="en-US"/>
        </w:rPr>
        <w:t xml:space="preserve">Kaip matyti 1 paveiksle valstybė gali pati skolintis tiesiogiai, taip </w:t>
      </w:r>
      <w:r w:rsidR="000837B8">
        <w:rPr>
          <w:noProof/>
          <w:sz w:val="24"/>
          <w:szCs w:val="24"/>
          <w:lang w:val="en-US"/>
        </w:rPr>
        <w:t xml:space="preserve">pat </w:t>
      </w:r>
      <w:r>
        <w:rPr>
          <w:noProof/>
          <w:sz w:val="24"/>
          <w:szCs w:val="24"/>
          <w:lang w:val="en-US"/>
        </w:rPr>
        <w:t xml:space="preserve">gali suteikti garantijas. Tokiu atveju </w:t>
      </w:r>
      <w:r w:rsidR="003F061B">
        <w:rPr>
          <w:noProof/>
          <w:sz w:val="24"/>
          <w:szCs w:val="24"/>
          <w:lang w:val="en-US"/>
        </w:rPr>
        <w:t>valstybė</w:t>
      </w:r>
      <w:r w:rsidR="007B5B4F">
        <w:rPr>
          <w:noProof/>
          <w:sz w:val="24"/>
          <w:szCs w:val="24"/>
          <w:lang w:val="en-US"/>
        </w:rPr>
        <w:t xml:space="preserve"> įsipareigoja grąžinti visą skolą arba jos dalį ir apmokėti kitas, su skola susijusias išlaidas </w:t>
      </w:r>
      <w:r w:rsidR="007B5B4F">
        <w:rPr>
          <w:noProof/>
          <w:sz w:val="24"/>
          <w:szCs w:val="24"/>
          <w:lang w:val="en-US"/>
        </w:rPr>
        <w:lastRenderedPageBreak/>
        <w:t>kreditoriui už skolininką, už kurio skolinių įsipareigojimų nevykdym</w:t>
      </w:r>
      <w:r w:rsidR="00B73CD1">
        <w:rPr>
          <w:noProof/>
          <w:sz w:val="24"/>
          <w:szCs w:val="24"/>
          <w:lang w:val="en-US"/>
        </w:rPr>
        <w:t xml:space="preserve">ą valstybė garantuoja. Taipogi </w:t>
      </w:r>
      <w:r w:rsidR="007B5B4F">
        <w:rPr>
          <w:noProof/>
          <w:sz w:val="24"/>
          <w:szCs w:val="24"/>
          <w:lang w:val="en-US"/>
        </w:rPr>
        <w:t>va</w:t>
      </w:r>
      <w:r w:rsidR="00620411">
        <w:rPr>
          <w:noProof/>
          <w:sz w:val="24"/>
          <w:szCs w:val="24"/>
          <w:lang w:val="en-US"/>
        </w:rPr>
        <w:t xml:space="preserve">lstybė gali savo vardu pasiskolintas lėšas vėliau </w:t>
      </w:r>
      <w:r w:rsidR="007B5B4F">
        <w:rPr>
          <w:noProof/>
          <w:sz w:val="24"/>
          <w:szCs w:val="24"/>
          <w:lang w:val="en-US"/>
        </w:rPr>
        <w:t>perskolinti</w:t>
      </w:r>
      <w:r w:rsidR="00F51A8C">
        <w:rPr>
          <w:noProof/>
          <w:sz w:val="24"/>
          <w:szCs w:val="24"/>
          <w:lang w:val="en-US"/>
        </w:rPr>
        <w:t xml:space="preserve"> kitoms institucijoms. </w:t>
      </w:r>
    </w:p>
    <w:p w:rsidR="000837B8" w:rsidRDefault="00354A8F" w:rsidP="00886FD5">
      <w:pPr>
        <w:widowControl/>
        <w:tabs>
          <w:tab w:val="left" w:pos="0"/>
        </w:tabs>
        <w:autoSpaceDE w:val="0"/>
        <w:autoSpaceDN w:val="0"/>
        <w:adjustRightInd w:val="0"/>
        <w:spacing w:line="360" w:lineRule="auto"/>
        <w:ind w:firstLine="720"/>
        <w:jc w:val="left"/>
        <w:rPr>
          <w:sz w:val="24"/>
          <w:szCs w:val="24"/>
        </w:rPr>
      </w:pPr>
      <w:r>
        <w:rPr>
          <w:sz w:val="24"/>
          <w:szCs w:val="24"/>
        </w:rPr>
        <w:t>Valstybės sko</w:t>
      </w:r>
      <w:r w:rsidR="00282418">
        <w:rPr>
          <w:sz w:val="24"/>
          <w:szCs w:val="24"/>
        </w:rPr>
        <w:t xml:space="preserve">la gali būti klasifikuojama pagal įvairius kriterijus. Dauguma autorių </w:t>
      </w:r>
      <w:r w:rsidR="00A23385">
        <w:rPr>
          <w:sz w:val="24"/>
          <w:szCs w:val="24"/>
        </w:rPr>
        <w:t>siūlo panašią valstybės skolos klasfikaciją.</w:t>
      </w:r>
      <w:r w:rsidR="000837B8">
        <w:rPr>
          <w:sz w:val="24"/>
          <w:szCs w:val="24"/>
        </w:rPr>
        <w:t xml:space="preserve"> Ji pateikta 2 paveiksle.</w:t>
      </w:r>
    </w:p>
    <w:p w:rsidR="000837B8" w:rsidRDefault="000837B8" w:rsidP="00886FD5">
      <w:pPr>
        <w:widowControl/>
        <w:tabs>
          <w:tab w:val="left" w:pos="0"/>
        </w:tabs>
        <w:autoSpaceDE w:val="0"/>
        <w:autoSpaceDN w:val="0"/>
        <w:adjustRightInd w:val="0"/>
        <w:spacing w:line="360" w:lineRule="auto"/>
        <w:ind w:firstLine="720"/>
        <w:jc w:val="left"/>
        <w:rPr>
          <w:sz w:val="24"/>
          <w:szCs w:val="24"/>
        </w:rPr>
      </w:pPr>
    </w:p>
    <w:p w:rsidR="00354A8F" w:rsidRDefault="00282418" w:rsidP="00886FD5">
      <w:pPr>
        <w:widowControl/>
        <w:tabs>
          <w:tab w:val="left" w:pos="0"/>
        </w:tabs>
        <w:autoSpaceDE w:val="0"/>
        <w:autoSpaceDN w:val="0"/>
        <w:adjustRightInd w:val="0"/>
        <w:spacing w:line="360" w:lineRule="auto"/>
        <w:ind w:firstLine="720"/>
        <w:jc w:val="left"/>
        <w:rPr>
          <w:sz w:val="24"/>
          <w:szCs w:val="24"/>
        </w:rPr>
      </w:pPr>
      <w:r>
        <w:rPr>
          <w:noProof/>
          <w:sz w:val="24"/>
          <w:szCs w:val="24"/>
          <w:lang w:val="en-US"/>
        </w:rPr>
        <w:drawing>
          <wp:inline distT="0" distB="0" distL="0" distR="0">
            <wp:extent cx="5486400" cy="3086100"/>
            <wp:effectExtent l="19050" t="0" r="190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2B77E4" w:rsidRDefault="008429A8" w:rsidP="002B77E4">
      <w:pPr>
        <w:widowControl/>
        <w:tabs>
          <w:tab w:val="left" w:pos="0"/>
        </w:tabs>
        <w:autoSpaceDE w:val="0"/>
        <w:autoSpaceDN w:val="0"/>
        <w:adjustRightInd w:val="0"/>
        <w:spacing w:line="360" w:lineRule="auto"/>
        <w:ind w:firstLine="720"/>
        <w:jc w:val="left"/>
      </w:pPr>
      <w:r w:rsidRPr="008429A8">
        <w:t>Šaltinis: sudaryta pagal Levišauskaitė, Rūškys 2003; Karajizienė, Sabonienė 2009; Buškevičiūtė 2008,  Štuopytė 2004.</w:t>
      </w:r>
      <w:bookmarkStart w:id="36" w:name="_Toc373086883"/>
      <w:bookmarkStart w:id="37" w:name="_Toc374229439"/>
    </w:p>
    <w:p w:rsidR="005B2290" w:rsidRDefault="00FF2895" w:rsidP="002B77E4">
      <w:pPr>
        <w:widowControl/>
        <w:tabs>
          <w:tab w:val="left" w:pos="0"/>
        </w:tabs>
        <w:autoSpaceDE w:val="0"/>
        <w:autoSpaceDN w:val="0"/>
        <w:adjustRightInd w:val="0"/>
        <w:spacing w:line="360" w:lineRule="auto"/>
        <w:ind w:firstLine="720"/>
        <w:jc w:val="center"/>
        <w:rPr>
          <w:sz w:val="24"/>
          <w:szCs w:val="24"/>
        </w:rPr>
      </w:pPr>
      <w:r w:rsidRPr="005B2290">
        <w:rPr>
          <w:sz w:val="24"/>
          <w:szCs w:val="24"/>
        </w:rPr>
        <w:t>2 pav. Valstybės skolos klasifikacija</w:t>
      </w:r>
      <w:bookmarkEnd w:id="36"/>
      <w:bookmarkEnd w:id="37"/>
    </w:p>
    <w:p w:rsidR="002B77E4" w:rsidRPr="005B2290" w:rsidRDefault="002B77E4" w:rsidP="002B77E4">
      <w:pPr>
        <w:widowControl/>
        <w:tabs>
          <w:tab w:val="left" w:pos="0"/>
        </w:tabs>
        <w:autoSpaceDE w:val="0"/>
        <w:autoSpaceDN w:val="0"/>
        <w:adjustRightInd w:val="0"/>
        <w:spacing w:line="360" w:lineRule="auto"/>
        <w:ind w:firstLine="720"/>
        <w:jc w:val="center"/>
      </w:pPr>
    </w:p>
    <w:p w:rsidR="00364C7F" w:rsidRDefault="00A23385" w:rsidP="00BF7D36">
      <w:pPr>
        <w:widowControl/>
        <w:spacing w:line="360" w:lineRule="auto"/>
        <w:rPr>
          <w:sz w:val="24"/>
          <w:szCs w:val="24"/>
        </w:rPr>
      </w:pPr>
      <w:r w:rsidRPr="00BF7D36">
        <w:rPr>
          <w:sz w:val="24"/>
          <w:szCs w:val="24"/>
        </w:rPr>
        <w:t xml:space="preserve">Tiesioginė valstybės skola – tai įsipareigojimai, prisiimti valstybės vardu, o netiesioginė - įsipareigojimai, dėl kurių buvo suteiktos valstybės garantijos. Savo ruožtu, tiesioginė ir netiesioginė skolos skirstomos į vidaus - įsipareigojimai, prisiimti litais, ir užsienio – įsipareigojimai, prisiimti užsienio </w:t>
      </w:r>
      <w:r w:rsidR="00312C90">
        <w:rPr>
          <w:sz w:val="24"/>
          <w:szCs w:val="24"/>
        </w:rPr>
        <w:t>valiuta. Karajizienė, Sabonienė</w:t>
      </w:r>
      <w:r w:rsidRPr="00BF7D36">
        <w:rPr>
          <w:sz w:val="24"/>
          <w:szCs w:val="24"/>
        </w:rPr>
        <w:t xml:space="preserve"> </w:t>
      </w:r>
      <w:r w:rsidR="00312C90">
        <w:rPr>
          <w:sz w:val="24"/>
          <w:szCs w:val="24"/>
        </w:rPr>
        <w:t>(</w:t>
      </w:r>
      <w:r w:rsidRPr="00BF7D36">
        <w:rPr>
          <w:sz w:val="24"/>
          <w:szCs w:val="24"/>
        </w:rPr>
        <w:t>2009</w:t>
      </w:r>
      <w:r w:rsidR="00312C90">
        <w:rPr>
          <w:sz w:val="24"/>
          <w:szCs w:val="24"/>
        </w:rPr>
        <w:t>)</w:t>
      </w:r>
      <w:r w:rsidRPr="00BF7D36">
        <w:rPr>
          <w:sz w:val="24"/>
          <w:szCs w:val="24"/>
        </w:rPr>
        <w:t xml:space="preserve"> pažymi tai, jog svarbu atkreipti dėmesį į tai, kad valstybės skolą sudaro vidaus ir užsienio skolos, kurių svarba ekonomikoje nėra tapati. Valstybės užsienio skola – tai valstybės skola, suformuota užsienio rinkoje, o vidaus skola – valstybės skola, suformuota vidaus rinkoje.</w:t>
      </w:r>
      <w:r w:rsidR="002F13A2" w:rsidRPr="00BF7D36">
        <w:rPr>
          <w:sz w:val="24"/>
          <w:szCs w:val="24"/>
        </w:rPr>
        <w:t xml:space="preserve"> Pasak Štuopytės (2004), valstybei skoliantis vidaus rinkoje, rezidentai gauna palūkanas, tai yra pajamas iš palūkanų, ir moka mokesčius. Valstybei skolinantis užsienio rinkoje, pajamos iš palūkanų mokamos užsieniui ir, kitaip tariant, nespartina šalies ekonomikos vystymosi.</w:t>
      </w:r>
      <w:r w:rsidR="00482852" w:rsidRPr="00BF7D36">
        <w:rPr>
          <w:sz w:val="24"/>
          <w:szCs w:val="24"/>
        </w:rPr>
        <w:t xml:space="preserve"> Be to, ir rezidentai gali skolinti valstybei užsienio valiuta, o ne šalies nacionaline valiuta. </w:t>
      </w:r>
    </w:p>
    <w:p w:rsidR="00364C7F" w:rsidRDefault="00BF49FA" w:rsidP="00BF7D36">
      <w:pPr>
        <w:widowControl/>
        <w:spacing w:line="360" w:lineRule="auto"/>
        <w:rPr>
          <w:sz w:val="24"/>
          <w:szCs w:val="24"/>
        </w:rPr>
      </w:pPr>
      <w:r w:rsidRPr="00BF7D36">
        <w:rPr>
          <w:sz w:val="24"/>
          <w:szCs w:val="24"/>
        </w:rPr>
        <w:t xml:space="preserve">Pagal trukmę </w:t>
      </w:r>
      <w:r w:rsidR="00062F99" w:rsidRPr="00BF7D36">
        <w:rPr>
          <w:sz w:val="24"/>
          <w:szCs w:val="24"/>
        </w:rPr>
        <w:t>valstybės skola gali būti skirstoma į trumpalaikę ir ilgalaikę. Skolintis trumpam laikui ne itin patogu, nes valstybės iždui reikia dažniau planuoti išmokas, o kartais net parduoti rinkoje naujus skolinius instrumentus ankstesnėms skoloms apmokėti.</w:t>
      </w:r>
      <w:r w:rsidR="00312C90">
        <w:rPr>
          <w:sz w:val="24"/>
          <w:szCs w:val="24"/>
        </w:rPr>
        <w:t xml:space="preserve"> </w:t>
      </w:r>
    </w:p>
    <w:p w:rsidR="00BF7D36" w:rsidRDefault="00312C90" w:rsidP="00BF7D36">
      <w:pPr>
        <w:widowControl/>
        <w:spacing w:line="360" w:lineRule="auto"/>
        <w:rPr>
          <w:sz w:val="24"/>
          <w:szCs w:val="24"/>
        </w:rPr>
      </w:pPr>
      <w:r>
        <w:rPr>
          <w:sz w:val="24"/>
          <w:szCs w:val="24"/>
        </w:rPr>
        <w:lastRenderedPageBreak/>
        <w:t xml:space="preserve">Taip pat valstybės </w:t>
      </w:r>
      <w:r w:rsidR="00BF7D36" w:rsidRPr="00BF7D36">
        <w:rPr>
          <w:sz w:val="24"/>
          <w:szCs w:val="24"/>
        </w:rPr>
        <w:t xml:space="preserve">skola gali būti klasifikuojama pagal sektorius. Europos statistikos departamente išskiriamos trys </w:t>
      </w:r>
      <w:r w:rsidR="00F51A8C">
        <w:rPr>
          <w:sz w:val="24"/>
          <w:szCs w:val="24"/>
        </w:rPr>
        <w:t xml:space="preserve">pagrindinės </w:t>
      </w:r>
      <w:r w:rsidR="00BF7D36" w:rsidRPr="00BF7D36">
        <w:rPr>
          <w:sz w:val="24"/>
          <w:szCs w:val="24"/>
        </w:rPr>
        <w:t>valstybės skolos struktūros dalys: centrinės valdžios skola, vietos valdžios skola ir so</w:t>
      </w:r>
      <w:r w:rsidR="00F51A8C">
        <w:rPr>
          <w:sz w:val="24"/>
          <w:szCs w:val="24"/>
        </w:rPr>
        <w:t xml:space="preserve">cialinės apsaugos fondų skola. </w:t>
      </w:r>
      <w:r w:rsidR="00BF7D36" w:rsidRPr="00BF7D36">
        <w:rPr>
          <w:sz w:val="24"/>
          <w:szCs w:val="24"/>
        </w:rPr>
        <w:t>Centrinės valdžios skolai priskiriama</w:t>
      </w:r>
      <w:r w:rsidR="00BF7D36" w:rsidRPr="00BF7D36">
        <w:rPr>
          <w:rFonts w:eastAsiaTheme="minorHAnsi"/>
          <w:sz w:val="24"/>
          <w:szCs w:val="24"/>
        </w:rPr>
        <w:t xml:space="preserve"> </w:t>
      </w:r>
      <w:r w:rsidR="00BF7D36" w:rsidRPr="00BF7D36">
        <w:rPr>
          <w:sz w:val="24"/>
          <w:szCs w:val="24"/>
        </w:rPr>
        <w:t>valstybės biudžetinių įstaigų, nebiudžetinių fondų, valstybės įmonių, kurios yra ne rinkos gamintojas, viešųjų įstaigų, kurios yra ne rinkos gamintojas ir kurias kontroliuoja ir daugiausia finansuoja centrinė valdžia, skola. Centrinės valdžios skola paprastai sudaro didžiąją visos valstybės skolos dalį. Vietos valdžios skola apima savivaldybių biudžetinių įstaigų, savivaldybių įmonių, kurios yra ne rinkos gamintojas, viešųjų įstaigų, kurios yra ne rinkos gamintojas ir kurias kontroliuoja ir daugiausia finansuoja vietos valdžia, skolą. Socialin</w:t>
      </w:r>
      <w:r w:rsidR="00364C7F">
        <w:rPr>
          <w:sz w:val="24"/>
          <w:szCs w:val="24"/>
        </w:rPr>
        <w:t xml:space="preserve">ės apsaugos fondų skolą sudaro </w:t>
      </w:r>
      <w:r w:rsidR="00020ED4">
        <w:rPr>
          <w:sz w:val="24"/>
          <w:szCs w:val="24"/>
        </w:rPr>
        <w:t>socialinio draudimo</w:t>
      </w:r>
      <w:r w:rsidR="00BF7D36" w:rsidRPr="00BF7D36">
        <w:rPr>
          <w:sz w:val="24"/>
          <w:szCs w:val="24"/>
        </w:rPr>
        <w:t>, privalomojo sveikatos draudimo fondo ir užimtumo fondo skola.</w:t>
      </w:r>
    </w:p>
    <w:p w:rsidR="0016360A" w:rsidRDefault="00395C85" w:rsidP="002C0B7F">
      <w:pPr>
        <w:widowControl/>
        <w:spacing w:line="360" w:lineRule="auto"/>
        <w:rPr>
          <w:sz w:val="24"/>
          <w:szCs w:val="24"/>
        </w:rPr>
      </w:pPr>
      <w:r>
        <w:rPr>
          <w:sz w:val="24"/>
          <w:szCs w:val="24"/>
        </w:rPr>
        <w:t xml:space="preserve">Toliau tikslinga </w:t>
      </w:r>
      <w:r w:rsidR="00312C90">
        <w:rPr>
          <w:sz w:val="24"/>
          <w:szCs w:val="24"/>
        </w:rPr>
        <w:t xml:space="preserve">būtų </w:t>
      </w:r>
      <w:r>
        <w:rPr>
          <w:sz w:val="24"/>
          <w:szCs w:val="24"/>
        </w:rPr>
        <w:t xml:space="preserve">apžvelgti, kokie yra galimi valstybės skolinimosi instrumentai. </w:t>
      </w:r>
      <w:r w:rsidR="002C0B7F">
        <w:rPr>
          <w:sz w:val="24"/>
          <w:szCs w:val="24"/>
        </w:rPr>
        <w:t xml:space="preserve">Juos </w:t>
      </w:r>
      <w:r w:rsidR="0016360A">
        <w:rPr>
          <w:sz w:val="24"/>
          <w:szCs w:val="24"/>
        </w:rPr>
        <w:t xml:space="preserve">irgi galima </w:t>
      </w:r>
      <w:r w:rsidR="00312C90">
        <w:rPr>
          <w:sz w:val="24"/>
          <w:szCs w:val="24"/>
        </w:rPr>
        <w:t>klasifikuoti</w:t>
      </w:r>
      <w:r w:rsidR="0016360A">
        <w:rPr>
          <w:sz w:val="24"/>
          <w:szCs w:val="24"/>
        </w:rPr>
        <w:t xml:space="preserve"> pagal tam tikrus </w:t>
      </w:r>
      <w:r w:rsidR="00CA3EAF">
        <w:rPr>
          <w:sz w:val="24"/>
          <w:szCs w:val="24"/>
        </w:rPr>
        <w:t xml:space="preserve">kriterijus. </w:t>
      </w:r>
      <w:r w:rsidR="000837B8">
        <w:rPr>
          <w:sz w:val="24"/>
          <w:szCs w:val="24"/>
        </w:rPr>
        <w:t>Valstybės skolos instrumentų klasifikacija pateikta 3 paveiksle.</w:t>
      </w:r>
    </w:p>
    <w:p w:rsidR="000837B8" w:rsidRPr="002C0B7F" w:rsidRDefault="000837B8" w:rsidP="002C0B7F">
      <w:pPr>
        <w:widowControl/>
        <w:spacing w:line="360" w:lineRule="auto"/>
        <w:rPr>
          <w:rFonts w:eastAsiaTheme="minorHAnsi"/>
          <w:sz w:val="24"/>
          <w:szCs w:val="24"/>
        </w:rPr>
      </w:pPr>
    </w:p>
    <w:p w:rsidR="0016360A" w:rsidRDefault="00B463A2" w:rsidP="00062F99">
      <w:pPr>
        <w:widowControl/>
        <w:tabs>
          <w:tab w:val="left" w:pos="0"/>
        </w:tabs>
        <w:autoSpaceDE w:val="0"/>
        <w:autoSpaceDN w:val="0"/>
        <w:adjustRightInd w:val="0"/>
        <w:spacing w:line="360" w:lineRule="auto"/>
        <w:ind w:firstLine="720"/>
        <w:rPr>
          <w:sz w:val="24"/>
          <w:szCs w:val="24"/>
        </w:rPr>
      </w:pPr>
      <w:r>
        <w:rPr>
          <w:noProof/>
          <w:sz w:val="24"/>
          <w:szCs w:val="24"/>
          <w:lang w:val="en-US"/>
        </w:rPr>
        <w:drawing>
          <wp:inline distT="0" distB="0" distL="0" distR="0">
            <wp:extent cx="5486400" cy="2924175"/>
            <wp:effectExtent l="19050" t="0" r="1905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2B77E4" w:rsidRDefault="00D06397" w:rsidP="002B77E4">
      <w:pPr>
        <w:widowControl/>
        <w:tabs>
          <w:tab w:val="left" w:pos="0"/>
        </w:tabs>
        <w:autoSpaceDE w:val="0"/>
        <w:autoSpaceDN w:val="0"/>
        <w:adjustRightInd w:val="0"/>
        <w:spacing w:line="360" w:lineRule="auto"/>
      </w:pPr>
      <w:r>
        <w:t xml:space="preserve">    </w:t>
      </w:r>
      <w:r w:rsidR="00CF2C1A" w:rsidRPr="00CF2C1A">
        <w:t>Šaltinis: sudaryta pa</w:t>
      </w:r>
      <w:bookmarkStart w:id="38" w:name="_Toc373086884"/>
      <w:r w:rsidR="001A1AD6">
        <w:t>gal Levišauskaitė, Rūškys, 2003</w:t>
      </w:r>
      <w:bookmarkStart w:id="39" w:name="_Toc374229440"/>
    </w:p>
    <w:p w:rsidR="00620411" w:rsidRDefault="00B80627" w:rsidP="002B77E4">
      <w:pPr>
        <w:widowControl/>
        <w:tabs>
          <w:tab w:val="left" w:pos="0"/>
        </w:tabs>
        <w:autoSpaceDE w:val="0"/>
        <w:autoSpaceDN w:val="0"/>
        <w:adjustRightInd w:val="0"/>
        <w:spacing w:line="360" w:lineRule="auto"/>
        <w:jc w:val="center"/>
        <w:rPr>
          <w:sz w:val="24"/>
          <w:szCs w:val="24"/>
        </w:rPr>
      </w:pPr>
      <w:r w:rsidRPr="00396327">
        <w:rPr>
          <w:sz w:val="24"/>
          <w:szCs w:val="24"/>
        </w:rPr>
        <w:t>3 pav. Valstybės skolos instrumentų klasifikacija</w:t>
      </w:r>
      <w:bookmarkEnd w:id="38"/>
      <w:bookmarkEnd w:id="39"/>
    </w:p>
    <w:p w:rsidR="002B77E4" w:rsidRPr="002B77E4" w:rsidRDefault="002B77E4" w:rsidP="002B77E4">
      <w:pPr>
        <w:widowControl/>
        <w:tabs>
          <w:tab w:val="left" w:pos="0"/>
        </w:tabs>
        <w:autoSpaceDE w:val="0"/>
        <w:autoSpaceDN w:val="0"/>
        <w:adjustRightInd w:val="0"/>
        <w:spacing w:line="360" w:lineRule="auto"/>
        <w:jc w:val="center"/>
      </w:pPr>
    </w:p>
    <w:p w:rsidR="00CA3EAF" w:rsidRPr="001A1AD6" w:rsidRDefault="00CA3EAF" w:rsidP="001A1AD6">
      <w:pPr>
        <w:widowControl/>
        <w:tabs>
          <w:tab w:val="left" w:pos="0"/>
        </w:tabs>
        <w:autoSpaceDE w:val="0"/>
        <w:autoSpaceDN w:val="0"/>
        <w:adjustRightInd w:val="0"/>
        <w:spacing w:line="360" w:lineRule="auto"/>
      </w:pPr>
      <w:r w:rsidRPr="0016360A">
        <w:rPr>
          <w:sz w:val="24"/>
          <w:szCs w:val="24"/>
        </w:rPr>
        <w:t xml:space="preserve">Pagrindinis valstybės skolinimosi būdas yra vertybinių popierių leidimas. Tai valstybės vardu vidaus (obligacijos, iždo vekseliai) ar užsienio rinkose </w:t>
      </w:r>
      <w:hyperlink r:id="rId18" w:anchor="5" w:history="1">
        <w:r w:rsidRPr="0016360A">
          <w:rPr>
            <w:rStyle w:val="Hyperlink"/>
            <w:color w:val="auto"/>
            <w:sz w:val="24"/>
            <w:szCs w:val="24"/>
            <w:u w:val="none"/>
          </w:rPr>
          <w:t>(euroobligacijos)</w:t>
        </w:r>
      </w:hyperlink>
      <w:r w:rsidRPr="0016360A">
        <w:rPr>
          <w:sz w:val="24"/>
          <w:szCs w:val="24"/>
        </w:rPr>
        <w:t xml:space="preserve"> išleidžiami vertybiniai skolos popieriai, patvirtinantys jų turėtojo teisę numatytais terminais gauti jų nominalią vertę atitinkančią sumą, palūkanas ar kitą ekvivalentą.</w:t>
      </w:r>
      <w:r>
        <w:rPr>
          <w:sz w:val="24"/>
          <w:szCs w:val="24"/>
        </w:rPr>
        <w:t xml:space="preserve"> Jie atskirose šalyse sudaro </w:t>
      </w:r>
      <w:r w:rsidR="00312C90">
        <w:rPr>
          <w:sz w:val="24"/>
          <w:szCs w:val="24"/>
        </w:rPr>
        <w:t xml:space="preserve">labai </w:t>
      </w:r>
      <w:r>
        <w:rPr>
          <w:sz w:val="24"/>
          <w:szCs w:val="24"/>
        </w:rPr>
        <w:t xml:space="preserve">žymią skolos dalį. Pagal emitentą jie gali būti </w:t>
      </w:r>
      <w:r>
        <w:rPr>
          <w:sz w:val="24"/>
          <w:szCs w:val="24"/>
        </w:rPr>
        <w:lastRenderedPageBreak/>
        <w:t>skirstomi į centrinės valdžios ir vietinės valdžios leidžiamus VP. Centrinės valdžios leidžiami VP paprastai sudaro didžiąją dalį visų valstybės skolų. Lietuvoje VP leidžia tik centrinė valdžia.</w:t>
      </w:r>
      <w:r w:rsidR="00A33CDC">
        <w:rPr>
          <w:sz w:val="24"/>
          <w:szCs w:val="24"/>
        </w:rPr>
        <w:t xml:space="preserve"> </w:t>
      </w:r>
    </w:p>
    <w:p w:rsidR="00444C30" w:rsidRPr="00444C30" w:rsidRDefault="00CA3EAF" w:rsidP="001A1AD6">
      <w:pPr>
        <w:spacing w:line="360" w:lineRule="auto"/>
        <w:ind w:firstLine="720"/>
        <w:rPr>
          <w:sz w:val="24"/>
          <w:szCs w:val="24"/>
        </w:rPr>
      </w:pPr>
      <w:r w:rsidRPr="00444C30">
        <w:rPr>
          <w:sz w:val="24"/>
          <w:szCs w:val="24"/>
        </w:rPr>
        <w:t xml:space="preserve">Kitas būdas valstybei pasiskolinti pinigų yra paskolos. Paskolos gali būti skirstomos pagal įvairius kriterijus. </w:t>
      </w:r>
      <w:r w:rsidR="00020ED4">
        <w:rPr>
          <w:sz w:val="24"/>
          <w:szCs w:val="24"/>
        </w:rPr>
        <w:t>Pagal pa</w:t>
      </w:r>
      <w:r w:rsidR="00444C30" w:rsidRPr="00444C30">
        <w:rPr>
          <w:sz w:val="24"/>
          <w:szCs w:val="24"/>
        </w:rPr>
        <w:t>skolų šaltinių susidarymo vietą yra išskiriami vidiniai ir išoriniai skolinimosi šaltiniai. Vidiniai – tai kai valstybės skolinimasis susiformuo</w:t>
      </w:r>
      <w:r w:rsidR="00364C7F">
        <w:rPr>
          <w:sz w:val="24"/>
          <w:szCs w:val="24"/>
        </w:rPr>
        <w:t xml:space="preserve">ja vidaus rinkoje. Skolinamasi </w:t>
      </w:r>
      <w:r w:rsidR="00444C30" w:rsidRPr="00444C30">
        <w:rPr>
          <w:sz w:val="24"/>
          <w:szCs w:val="24"/>
        </w:rPr>
        <w:t>valstybės viduje iš vietinių bankų ar leidžiami vertybiniai popieriai šalies vertybinių popierių biržoje. Išoriniai – kai skolinamasi užsienio finansų rinkose, pasitelkiant užsienio finansų institucijas. Naudojantis šiuo šaltiniu patogu skolintis užsienio valiuta. Pagal pajamų už skolinimą gavimo būdą gali būti skiriamos procentinės ir loterijų paskolos. Procentinės obligacijos yra pagrindinė valstybinių obligacijų rūšis. Tokių VP savininkai kasmet (ar kitais nustatytais terminais) gauna pastovias pajamas, apskaičiuotas pagal nustatytą palūkanų normą. Šios obligaci</w:t>
      </w:r>
      <w:r w:rsidR="00444C30" w:rsidRPr="00444C30">
        <w:rPr>
          <w:sz w:val="24"/>
          <w:szCs w:val="24"/>
        </w:rPr>
        <w:softHyphen/>
        <w:t xml:space="preserve">jos dar vadinamos kupono obligacijomis, t.y. mokamos palūkanos pagal pateikiamą kuponą (atkarpą). Pajamos už paskolintą kapitalą kreditoriui išmokamos palaipsniui per visą paskolos laiką. Loterijos obligacijų savininkams pajamos už laimėjimą išmokamos visos iš karto išperkant obligaciją. Be to, pajamos išmokamos </w:t>
      </w:r>
      <w:r w:rsidR="00312C90">
        <w:rPr>
          <w:sz w:val="24"/>
          <w:szCs w:val="24"/>
        </w:rPr>
        <w:t>tik laimėjusioms obliga</w:t>
      </w:r>
      <w:r w:rsidR="00312C90">
        <w:rPr>
          <w:sz w:val="24"/>
          <w:szCs w:val="24"/>
        </w:rPr>
        <w:softHyphen/>
        <w:t>cijoms.</w:t>
      </w:r>
    </w:p>
    <w:p w:rsidR="00444C30" w:rsidRPr="00444C30" w:rsidRDefault="00444C30" w:rsidP="00444C30">
      <w:pPr>
        <w:spacing w:line="360" w:lineRule="auto"/>
        <w:ind w:firstLine="720"/>
        <w:rPr>
          <w:sz w:val="24"/>
          <w:szCs w:val="24"/>
        </w:rPr>
      </w:pPr>
      <w:r w:rsidRPr="00444C30">
        <w:rPr>
          <w:sz w:val="24"/>
          <w:szCs w:val="24"/>
        </w:rPr>
        <w:t>Skirstant pagal galiojimo terminus galima išskirti trumpalaikius, vidutinio ilgumo ir ilgalaikius valstybės skolinimosi instrumentus. Įvairiose valstybėse laikotarpiai šiek tiek skiriasi:</w:t>
      </w:r>
    </w:p>
    <w:p w:rsidR="00444C30" w:rsidRPr="00A02EA9" w:rsidRDefault="00444C30" w:rsidP="00A02EA9">
      <w:pPr>
        <w:pStyle w:val="ListParagraph"/>
        <w:widowControl/>
        <w:numPr>
          <w:ilvl w:val="0"/>
          <w:numId w:val="9"/>
        </w:numPr>
        <w:spacing w:line="360" w:lineRule="auto"/>
        <w:rPr>
          <w:sz w:val="24"/>
          <w:szCs w:val="24"/>
        </w:rPr>
      </w:pPr>
      <w:r w:rsidRPr="00A02EA9">
        <w:rPr>
          <w:sz w:val="24"/>
          <w:szCs w:val="24"/>
        </w:rPr>
        <w:t xml:space="preserve">Trumpalaikės – iki </w:t>
      </w:r>
      <w:r w:rsidRPr="00A02EA9">
        <w:rPr>
          <w:rFonts w:eastAsia="Gulim"/>
          <w:sz w:val="24"/>
          <w:szCs w:val="24"/>
        </w:rPr>
        <w:t>1</w:t>
      </w:r>
      <w:r w:rsidRPr="00A02EA9">
        <w:rPr>
          <w:sz w:val="24"/>
          <w:szCs w:val="24"/>
        </w:rPr>
        <w:t xml:space="preserve"> metų (kar</w:t>
      </w:r>
      <w:r w:rsidRPr="00A02EA9">
        <w:rPr>
          <w:sz w:val="24"/>
          <w:szCs w:val="24"/>
        </w:rPr>
        <w:softHyphen/>
        <w:t>tais iki 2</w:t>
      </w:r>
      <w:r w:rsidR="00364C7F">
        <w:rPr>
          <w:sz w:val="24"/>
          <w:szCs w:val="24"/>
        </w:rPr>
        <w:t xml:space="preserve"> </w:t>
      </w:r>
      <w:r w:rsidRPr="00A02EA9">
        <w:rPr>
          <w:sz w:val="24"/>
          <w:szCs w:val="24"/>
        </w:rPr>
        <w:t xml:space="preserve">– 3 metų); </w:t>
      </w:r>
    </w:p>
    <w:p w:rsidR="00444C30" w:rsidRPr="00A02EA9" w:rsidRDefault="00444C30" w:rsidP="00A02EA9">
      <w:pPr>
        <w:pStyle w:val="ListParagraph"/>
        <w:widowControl/>
        <w:numPr>
          <w:ilvl w:val="0"/>
          <w:numId w:val="9"/>
        </w:numPr>
        <w:spacing w:line="360" w:lineRule="auto"/>
        <w:rPr>
          <w:sz w:val="24"/>
          <w:szCs w:val="24"/>
        </w:rPr>
      </w:pPr>
      <w:r w:rsidRPr="00A02EA9">
        <w:rPr>
          <w:sz w:val="24"/>
          <w:szCs w:val="24"/>
        </w:rPr>
        <w:t>Vidutinės trukmės</w:t>
      </w:r>
      <w:r w:rsidR="00894E5E" w:rsidRPr="00A02EA9">
        <w:rPr>
          <w:sz w:val="24"/>
          <w:szCs w:val="24"/>
        </w:rPr>
        <w:t xml:space="preserve"> </w:t>
      </w:r>
      <w:r w:rsidRPr="00A02EA9">
        <w:rPr>
          <w:sz w:val="24"/>
          <w:szCs w:val="24"/>
        </w:rPr>
        <w:t>–  nuo 2</w:t>
      </w:r>
      <w:r w:rsidR="00364C7F">
        <w:rPr>
          <w:sz w:val="24"/>
          <w:szCs w:val="24"/>
        </w:rPr>
        <w:t xml:space="preserve"> </w:t>
      </w:r>
      <w:r w:rsidRPr="00A02EA9">
        <w:rPr>
          <w:sz w:val="24"/>
          <w:szCs w:val="24"/>
        </w:rPr>
        <w:t xml:space="preserve">– 3 metų iki 10 metų; </w:t>
      </w:r>
    </w:p>
    <w:p w:rsidR="00444C30" w:rsidRPr="00A02EA9" w:rsidRDefault="00444C30" w:rsidP="00A02EA9">
      <w:pPr>
        <w:pStyle w:val="ListParagraph"/>
        <w:widowControl/>
        <w:numPr>
          <w:ilvl w:val="0"/>
          <w:numId w:val="9"/>
        </w:numPr>
        <w:spacing w:line="360" w:lineRule="auto"/>
        <w:rPr>
          <w:sz w:val="24"/>
          <w:szCs w:val="24"/>
        </w:rPr>
      </w:pPr>
      <w:r w:rsidRPr="00A02EA9">
        <w:rPr>
          <w:sz w:val="24"/>
          <w:szCs w:val="24"/>
        </w:rPr>
        <w:t>Ilgalaikės –  nuo 5</w:t>
      </w:r>
      <w:r w:rsidR="00762BD6" w:rsidRPr="00A02EA9">
        <w:rPr>
          <w:sz w:val="24"/>
          <w:szCs w:val="24"/>
        </w:rPr>
        <w:t xml:space="preserve"> </w:t>
      </w:r>
      <w:r w:rsidRPr="00A02EA9">
        <w:rPr>
          <w:sz w:val="24"/>
          <w:szCs w:val="24"/>
        </w:rPr>
        <w:t xml:space="preserve">– 10 metų iki 40– 50 metų, kartais net 100. </w:t>
      </w:r>
    </w:p>
    <w:p w:rsidR="00444C30" w:rsidRPr="00444C30" w:rsidRDefault="00444C30" w:rsidP="00444C30">
      <w:pPr>
        <w:spacing w:line="360" w:lineRule="auto"/>
        <w:ind w:firstLine="720"/>
        <w:rPr>
          <w:sz w:val="24"/>
          <w:szCs w:val="24"/>
        </w:rPr>
      </w:pPr>
      <w:r w:rsidRPr="00444C30">
        <w:rPr>
          <w:sz w:val="24"/>
          <w:szCs w:val="24"/>
        </w:rPr>
        <w:t xml:space="preserve">Kartais išleidžiami vertybiniai popieriai ir be galiojimo termino, t.y. nuolatiniai. Tokiu atveju su kreditoriumi yra suderinami tik palūkanų procentai. </w:t>
      </w:r>
    </w:p>
    <w:p w:rsidR="00395C85" w:rsidRDefault="00444C30" w:rsidP="00364C7F">
      <w:pPr>
        <w:spacing w:line="360" w:lineRule="auto"/>
        <w:ind w:firstLine="720"/>
        <w:rPr>
          <w:sz w:val="24"/>
          <w:szCs w:val="24"/>
        </w:rPr>
      </w:pPr>
      <w:r w:rsidRPr="00444C30">
        <w:rPr>
          <w:sz w:val="24"/>
          <w:szCs w:val="24"/>
        </w:rPr>
        <w:t>Skolos instrumentai taip pat gali būti klasifikuojami pagal išplatinimo būdą. Pardavinėjamieji vertybiniai popieriai yra platinami per vertybinių popierių biržas kaip ir bet kurie kiti vertybiniai popieriai. Nepardavinėjami vertybiniai popieriai</w:t>
      </w:r>
      <w:r w:rsidR="00364C7F">
        <w:rPr>
          <w:sz w:val="24"/>
          <w:szCs w:val="24"/>
        </w:rPr>
        <w:t xml:space="preserve"> </w:t>
      </w:r>
      <w:r w:rsidRPr="00444C30">
        <w:rPr>
          <w:sz w:val="24"/>
          <w:szCs w:val="24"/>
        </w:rPr>
        <w:t>–  tai lėšų pritraukimas per bankus, tačiau jie neparduodami per biržą. Prie tokių finansinių instrumentų galima priskir</w:t>
      </w:r>
      <w:r w:rsidR="00B73CD1">
        <w:rPr>
          <w:sz w:val="24"/>
          <w:szCs w:val="24"/>
        </w:rPr>
        <w:t>t</w:t>
      </w:r>
      <w:r w:rsidRPr="00444C30">
        <w:rPr>
          <w:sz w:val="24"/>
          <w:szCs w:val="24"/>
        </w:rPr>
        <w:t>i vyriausybės išleidžiamus taupomuosius lakštus, kurie platinami gyventojams per komercinius bankus. (Levišauskaitė, Rūškys, 2003</w:t>
      </w:r>
      <w:r w:rsidR="00A33CDC">
        <w:rPr>
          <w:sz w:val="24"/>
          <w:szCs w:val="24"/>
        </w:rPr>
        <w:t>).</w:t>
      </w:r>
    </w:p>
    <w:p w:rsidR="00364C7F" w:rsidRPr="00B80627" w:rsidRDefault="00364C7F" w:rsidP="00364C7F">
      <w:pPr>
        <w:spacing w:line="360" w:lineRule="auto"/>
        <w:ind w:firstLine="720"/>
        <w:rPr>
          <w:sz w:val="24"/>
          <w:szCs w:val="24"/>
        </w:rPr>
      </w:pPr>
    </w:p>
    <w:p w:rsidR="007A113D" w:rsidRDefault="003F0CBF" w:rsidP="004927B6">
      <w:pPr>
        <w:pStyle w:val="ListParagraph"/>
        <w:numPr>
          <w:ilvl w:val="1"/>
          <w:numId w:val="1"/>
        </w:numPr>
        <w:tabs>
          <w:tab w:val="left" w:pos="0"/>
        </w:tabs>
        <w:spacing w:line="360" w:lineRule="auto"/>
        <w:ind w:left="720"/>
        <w:jc w:val="left"/>
        <w:outlineLvl w:val="1"/>
        <w:rPr>
          <w:b/>
          <w:color w:val="000000"/>
          <w:sz w:val="24"/>
          <w:szCs w:val="24"/>
          <w:lang w:val="en-US"/>
        </w:rPr>
      </w:pPr>
      <w:bookmarkStart w:id="40" w:name="_Toc358573085"/>
      <w:bookmarkStart w:id="41" w:name="_Toc373086687"/>
      <w:bookmarkStart w:id="42" w:name="_Toc373086885"/>
      <w:bookmarkStart w:id="43" w:name="_Toc373275067"/>
      <w:bookmarkStart w:id="44" w:name="_Toc373421062"/>
      <w:bookmarkStart w:id="45" w:name="_Toc373448080"/>
      <w:bookmarkStart w:id="46" w:name="_Toc374228635"/>
      <w:bookmarkStart w:id="47" w:name="_Toc374229037"/>
      <w:bookmarkStart w:id="48" w:name="_Toc374229148"/>
      <w:bookmarkStart w:id="49" w:name="_Toc374229441"/>
      <w:r>
        <w:rPr>
          <w:b/>
          <w:color w:val="000000"/>
          <w:sz w:val="24"/>
          <w:szCs w:val="24"/>
          <w:lang w:val="en-US"/>
        </w:rPr>
        <w:t xml:space="preserve">Valstybės skolinimosi poreikį </w:t>
      </w:r>
      <w:r w:rsidR="00984B7D">
        <w:rPr>
          <w:b/>
          <w:color w:val="000000"/>
          <w:sz w:val="24"/>
          <w:szCs w:val="24"/>
          <w:lang w:val="en-US"/>
        </w:rPr>
        <w:t>lemiantys veiksniai</w:t>
      </w:r>
      <w:bookmarkEnd w:id="40"/>
      <w:bookmarkEnd w:id="41"/>
      <w:bookmarkEnd w:id="42"/>
      <w:bookmarkEnd w:id="43"/>
      <w:bookmarkEnd w:id="44"/>
      <w:bookmarkEnd w:id="45"/>
      <w:bookmarkEnd w:id="46"/>
      <w:bookmarkEnd w:id="47"/>
      <w:bookmarkEnd w:id="48"/>
      <w:bookmarkEnd w:id="49"/>
    </w:p>
    <w:p w:rsidR="00FE15CE" w:rsidRDefault="00FE15CE" w:rsidP="00FE15CE">
      <w:pPr>
        <w:pStyle w:val="ListParagraph"/>
        <w:tabs>
          <w:tab w:val="left" w:pos="0"/>
        </w:tabs>
        <w:spacing w:line="360" w:lineRule="auto"/>
        <w:ind w:firstLine="0"/>
        <w:rPr>
          <w:b/>
          <w:color w:val="000000"/>
          <w:sz w:val="24"/>
          <w:szCs w:val="24"/>
          <w:lang w:val="en-US"/>
        </w:rPr>
      </w:pPr>
    </w:p>
    <w:p w:rsidR="00984B7D" w:rsidRDefault="00FE15CE" w:rsidP="00FE15CE">
      <w:pPr>
        <w:tabs>
          <w:tab w:val="left" w:pos="0"/>
        </w:tabs>
        <w:spacing w:line="360" w:lineRule="auto"/>
        <w:rPr>
          <w:color w:val="000000"/>
          <w:sz w:val="24"/>
          <w:szCs w:val="24"/>
          <w:lang w:val="en-US"/>
        </w:rPr>
      </w:pPr>
      <w:r w:rsidRPr="00FE15CE">
        <w:rPr>
          <w:color w:val="000000"/>
          <w:sz w:val="24"/>
          <w:szCs w:val="24"/>
          <w:lang w:val="en-US"/>
        </w:rPr>
        <w:t>Anot Buškevičiūtės (2008), Levišauskaitės, Rūškio (2003), Buckiūnienės (2011)</w:t>
      </w:r>
      <w:r w:rsidR="004A7CC5">
        <w:rPr>
          <w:color w:val="000000"/>
          <w:sz w:val="24"/>
          <w:szCs w:val="24"/>
          <w:lang w:val="en-US"/>
        </w:rPr>
        <w:t>, Kazlauskienės (2012)</w:t>
      </w:r>
      <w:r w:rsidRPr="00FE15CE">
        <w:rPr>
          <w:color w:val="000000"/>
          <w:sz w:val="24"/>
          <w:szCs w:val="24"/>
          <w:lang w:val="en-US"/>
        </w:rPr>
        <w:t xml:space="preserve"> kiekvienos  valstybės skolinimosi poreikį</w:t>
      </w:r>
      <w:r>
        <w:rPr>
          <w:color w:val="000000"/>
          <w:sz w:val="24"/>
          <w:szCs w:val="24"/>
          <w:lang w:val="en-US"/>
        </w:rPr>
        <w:t xml:space="preserve"> lemia trys pagrindiniai veiksniai:</w:t>
      </w:r>
    </w:p>
    <w:p w:rsidR="00FE15CE" w:rsidRDefault="00FE15CE" w:rsidP="00B63E7F">
      <w:pPr>
        <w:pStyle w:val="ListParagraph"/>
        <w:numPr>
          <w:ilvl w:val="0"/>
          <w:numId w:val="4"/>
        </w:numPr>
        <w:tabs>
          <w:tab w:val="left" w:pos="0"/>
        </w:tabs>
        <w:spacing w:line="360" w:lineRule="auto"/>
        <w:ind w:left="720"/>
        <w:rPr>
          <w:color w:val="000000"/>
          <w:sz w:val="24"/>
          <w:szCs w:val="24"/>
        </w:rPr>
      </w:pPr>
      <w:r w:rsidRPr="00364C7F">
        <w:rPr>
          <w:b/>
          <w:color w:val="000000"/>
          <w:sz w:val="24"/>
          <w:szCs w:val="24"/>
        </w:rPr>
        <w:t>Biudžeto deficitas.</w:t>
      </w:r>
      <w:r>
        <w:rPr>
          <w:color w:val="000000"/>
          <w:sz w:val="24"/>
          <w:szCs w:val="24"/>
        </w:rPr>
        <w:t xml:space="preserve"> Kai valstybės išlaidos yra didesnės negu pajamos, tai jų skirtumas paprastai </w:t>
      </w:r>
      <w:r>
        <w:rPr>
          <w:color w:val="000000"/>
          <w:sz w:val="24"/>
          <w:szCs w:val="24"/>
        </w:rPr>
        <w:lastRenderedPageBreak/>
        <w:t>dengiamas skolintomis lėšomis. Būtina skirti biudžeto deficito ir skolos sąvokas. Biudžeto deficitas yra įvertinamas per tam tikrą laikotarpį (dažniausiai metus), o valstybės skola yra visų buvusių biudžetų deficitų sukaupta suma.</w:t>
      </w:r>
      <w:r w:rsidR="002324D1">
        <w:rPr>
          <w:color w:val="000000"/>
          <w:sz w:val="24"/>
          <w:szCs w:val="24"/>
        </w:rPr>
        <w:t xml:space="preserve"> Deficitiniais metais skola didėja, o pertekliniais – mažėja.</w:t>
      </w:r>
    </w:p>
    <w:p w:rsidR="00FE15CE" w:rsidRPr="00820B2D" w:rsidRDefault="00FE15CE" w:rsidP="00B63E7F">
      <w:pPr>
        <w:pStyle w:val="ListParagraph"/>
        <w:numPr>
          <w:ilvl w:val="0"/>
          <w:numId w:val="4"/>
        </w:numPr>
        <w:tabs>
          <w:tab w:val="left" w:pos="0"/>
        </w:tabs>
        <w:spacing w:line="360" w:lineRule="auto"/>
        <w:ind w:left="720"/>
        <w:rPr>
          <w:color w:val="000000"/>
          <w:sz w:val="24"/>
          <w:szCs w:val="24"/>
        </w:rPr>
      </w:pPr>
      <w:r w:rsidRPr="00364C7F">
        <w:rPr>
          <w:b/>
          <w:color w:val="000000"/>
          <w:sz w:val="24"/>
          <w:szCs w:val="24"/>
        </w:rPr>
        <w:t xml:space="preserve"> </w:t>
      </w:r>
      <w:r w:rsidRPr="00364C7F">
        <w:rPr>
          <w:b/>
          <w:sz w:val="24"/>
          <w:szCs w:val="24"/>
        </w:rPr>
        <w:t>Vyriausybės skolintų lėšų perskolinimas valstybės valdymo institucijoms ir valstybės valdomoms įmonėms</w:t>
      </w:r>
      <w:r w:rsidRPr="00820B2D">
        <w:rPr>
          <w:sz w:val="24"/>
          <w:szCs w:val="24"/>
        </w:rPr>
        <w:t>.</w:t>
      </w:r>
      <w:r w:rsidR="00820B2D" w:rsidRPr="00820B2D">
        <w:rPr>
          <w:sz w:val="24"/>
          <w:szCs w:val="24"/>
        </w:rPr>
        <w:t xml:space="preserve"> </w:t>
      </w:r>
      <w:r w:rsidR="00820B2D" w:rsidRPr="00820B2D">
        <w:rPr>
          <w:sz w:val="24"/>
          <w:szCs w:val="24"/>
          <w:lang w:eastAsia="lt-LT"/>
        </w:rPr>
        <w:t>Kartais vy</w:t>
      </w:r>
      <w:r w:rsidR="00820B2D" w:rsidRPr="00820B2D">
        <w:rPr>
          <w:sz w:val="24"/>
          <w:szCs w:val="24"/>
          <w:lang w:eastAsia="lt-LT"/>
        </w:rPr>
        <w:softHyphen/>
        <w:t>riausybė skolinasi lėšas savo vardu vidaus arba užsienio rinkose ir vėliau jas perskolina kitiems valstybės valdymo subjektams ar valstybės valdomoms įmo</w:t>
      </w:r>
      <w:r w:rsidR="00820B2D" w:rsidRPr="00820B2D">
        <w:rPr>
          <w:sz w:val="24"/>
          <w:szCs w:val="24"/>
          <w:lang w:eastAsia="lt-LT"/>
        </w:rPr>
        <w:softHyphen/>
        <w:t>nėms. Tai daroma norint įgyvendinti projektus, kurių finansavimas nenumatytas valstybės biudžete, tačiau jie yra svarbūs ša</w:t>
      </w:r>
      <w:r w:rsidR="00820B2D" w:rsidRPr="00820B2D">
        <w:rPr>
          <w:sz w:val="24"/>
          <w:szCs w:val="24"/>
          <w:lang w:eastAsia="lt-LT"/>
        </w:rPr>
        <w:softHyphen/>
        <w:t>lies ūkiui (infrastruktūros, energetikos, gamtosaugos plėtros projektai). Šiems projektams reikia didelių finansinių investicijų, kurios bus naudojamos ne vie</w:t>
      </w:r>
      <w:r w:rsidR="00820B2D" w:rsidRPr="00820B2D">
        <w:rPr>
          <w:sz w:val="24"/>
          <w:szCs w:val="24"/>
          <w:lang w:eastAsia="lt-LT"/>
        </w:rPr>
        <w:softHyphen/>
        <w:t>nerius metus. Šis perskolinimas naudojamas dar ir todėl, kad vyriausybė, turėdama išskirtinę padėtį rinkose gali pasiskolinti lėšų kur kas pigiau ir ilgesniam laikui nei kiti valstybės valdymo ir ūkio subjektai.</w:t>
      </w:r>
    </w:p>
    <w:p w:rsidR="00FE15CE" w:rsidRDefault="00FE15CE" w:rsidP="00B63E7F">
      <w:pPr>
        <w:pStyle w:val="ListParagraph"/>
        <w:numPr>
          <w:ilvl w:val="0"/>
          <w:numId w:val="4"/>
        </w:numPr>
        <w:tabs>
          <w:tab w:val="left" w:pos="0"/>
        </w:tabs>
        <w:spacing w:line="360" w:lineRule="auto"/>
        <w:ind w:left="720"/>
        <w:rPr>
          <w:color w:val="000000"/>
          <w:sz w:val="24"/>
          <w:szCs w:val="24"/>
        </w:rPr>
      </w:pPr>
      <w:r w:rsidRPr="00364C7F">
        <w:rPr>
          <w:b/>
          <w:color w:val="000000"/>
          <w:sz w:val="24"/>
          <w:szCs w:val="24"/>
        </w:rPr>
        <w:t>Refinansuojamos skolos</w:t>
      </w:r>
      <w:r>
        <w:rPr>
          <w:color w:val="000000"/>
          <w:sz w:val="24"/>
          <w:szCs w:val="24"/>
        </w:rPr>
        <w:t xml:space="preserve">. </w:t>
      </w:r>
      <w:r w:rsidR="00820B2D">
        <w:rPr>
          <w:color w:val="000000"/>
          <w:sz w:val="24"/>
          <w:szCs w:val="24"/>
        </w:rPr>
        <w:t>Šiuo atveju vyriausybė ima naują paskolą, kad grąžintų anksčiau paimtą. Jeigu ankstesnė paskola arba perskolintos lėšos grąžinamos sutartyse nurodytu laiku, tai valstybės skolinimosi poreikis nedidėja</w:t>
      </w:r>
      <w:r w:rsidR="00364C7F">
        <w:rPr>
          <w:color w:val="000000"/>
          <w:sz w:val="24"/>
          <w:szCs w:val="24"/>
        </w:rPr>
        <w:t xml:space="preserve">. Skolinimosi poreikis nedidės </w:t>
      </w:r>
      <w:r w:rsidR="00820B2D">
        <w:rPr>
          <w:color w:val="000000"/>
          <w:sz w:val="24"/>
          <w:szCs w:val="24"/>
        </w:rPr>
        <w:t>ir esant pertekliniam biudžetui, nes gautos perteklinės lėšos gali būti panaudotos paskoloms grąžinti.</w:t>
      </w:r>
    </w:p>
    <w:p w:rsidR="0053387F" w:rsidRPr="0053387F" w:rsidRDefault="0053387F" w:rsidP="0053387F">
      <w:pPr>
        <w:spacing w:line="360" w:lineRule="auto"/>
        <w:ind w:firstLine="720"/>
        <w:rPr>
          <w:sz w:val="24"/>
          <w:szCs w:val="24"/>
        </w:rPr>
      </w:pPr>
      <w:r w:rsidRPr="0053387F">
        <w:rPr>
          <w:sz w:val="24"/>
          <w:szCs w:val="24"/>
        </w:rPr>
        <w:t>Buckiūnienė (2011) atskirai pateikia ir šiuos</w:t>
      </w:r>
      <w:r>
        <w:rPr>
          <w:sz w:val="24"/>
          <w:szCs w:val="24"/>
        </w:rPr>
        <w:t xml:space="preserve"> valstybės skolinimosi poreikį leimiančius faktorius:</w:t>
      </w:r>
    </w:p>
    <w:p w:rsidR="0053387F" w:rsidRPr="0053387F" w:rsidRDefault="0053387F" w:rsidP="0053387F">
      <w:pPr>
        <w:pStyle w:val="ListParagraph"/>
        <w:widowControl/>
        <w:numPr>
          <w:ilvl w:val="0"/>
          <w:numId w:val="6"/>
        </w:numPr>
        <w:spacing w:line="360" w:lineRule="auto"/>
        <w:rPr>
          <w:sz w:val="24"/>
          <w:szCs w:val="24"/>
        </w:rPr>
      </w:pPr>
      <w:r w:rsidRPr="0053387F">
        <w:rPr>
          <w:sz w:val="24"/>
          <w:szCs w:val="24"/>
        </w:rPr>
        <w:t>Valstybės pinigų srautų subalansavimas;</w:t>
      </w:r>
    </w:p>
    <w:p w:rsidR="0053387F" w:rsidRPr="0053387F" w:rsidRDefault="0053387F" w:rsidP="0053387F">
      <w:pPr>
        <w:pStyle w:val="ListParagraph"/>
        <w:widowControl/>
        <w:numPr>
          <w:ilvl w:val="0"/>
          <w:numId w:val="6"/>
        </w:numPr>
        <w:spacing w:line="360" w:lineRule="auto"/>
        <w:rPr>
          <w:sz w:val="24"/>
          <w:szCs w:val="24"/>
        </w:rPr>
      </w:pPr>
      <w:r w:rsidRPr="0053387F">
        <w:rPr>
          <w:sz w:val="24"/>
          <w:szCs w:val="24"/>
        </w:rPr>
        <w:t>Valstybės investicijų finansavimas;</w:t>
      </w:r>
    </w:p>
    <w:p w:rsidR="0053387F" w:rsidRPr="0053387F" w:rsidRDefault="0053387F" w:rsidP="0053387F">
      <w:pPr>
        <w:pStyle w:val="ListParagraph"/>
        <w:widowControl/>
        <w:numPr>
          <w:ilvl w:val="0"/>
          <w:numId w:val="6"/>
        </w:numPr>
        <w:spacing w:line="360" w:lineRule="auto"/>
        <w:rPr>
          <w:sz w:val="24"/>
          <w:szCs w:val="24"/>
        </w:rPr>
      </w:pPr>
      <w:r w:rsidRPr="0053387F">
        <w:rPr>
          <w:sz w:val="24"/>
          <w:szCs w:val="24"/>
        </w:rPr>
        <w:t>Valstybės skolos dengimas;</w:t>
      </w:r>
    </w:p>
    <w:p w:rsidR="0053387F" w:rsidRPr="0053387F" w:rsidRDefault="0053387F" w:rsidP="0053387F">
      <w:pPr>
        <w:pStyle w:val="ListParagraph"/>
        <w:widowControl/>
        <w:numPr>
          <w:ilvl w:val="0"/>
          <w:numId w:val="6"/>
        </w:numPr>
        <w:spacing w:line="360" w:lineRule="auto"/>
        <w:rPr>
          <w:sz w:val="24"/>
          <w:szCs w:val="24"/>
        </w:rPr>
      </w:pPr>
      <w:r w:rsidRPr="0053387F">
        <w:rPr>
          <w:sz w:val="24"/>
          <w:szCs w:val="24"/>
        </w:rPr>
        <w:t>Valstybės socialinės apsaugos fondų skolinimo įsipareigojimamų dengimas;</w:t>
      </w:r>
    </w:p>
    <w:p w:rsidR="0053387F" w:rsidRPr="0053387F" w:rsidRDefault="0053387F" w:rsidP="0053387F">
      <w:pPr>
        <w:pStyle w:val="ListParagraph"/>
        <w:widowControl/>
        <w:numPr>
          <w:ilvl w:val="0"/>
          <w:numId w:val="6"/>
        </w:numPr>
        <w:spacing w:line="360" w:lineRule="auto"/>
        <w:rPr>
          <w:sz w:val="24"/>
          <w:szCs w:val="24"/>
        </w:rPr>
      </w:pPr>
      <w:r w:rsidRPr="0053387F">
        <w:rPr>
          <w:sz w:val="24"/>
          <w:szCs w:val="24"/>
        </w:rPr>
        <w:t>Valstybės garantinių įsipareigojimų vykdymas.</w:t>
      </w:r>
    </w:p>
    <w:p w:rsidR="00FE59AA" w:rsidRDefault="0053387F" w:rsidP="00FE59AA">
      <w:pPr>
        <w:spacing w:line="360" w:lineRule="auto"/>
        <w:ind w:firstLine="720"/>
        <w:rPr>
          <w:sz w:val="24"/>
          <w:szCs w:val="24"/>
        </w:rPr>
      </w:pPr>
      <w:r w:rsidRPr="0053387F">
        <w:rPr>
          <w:sz w:val="24"/>
          <w:szCs w:val="24"/>
        </w:rPr>
        <w:t>Bu</w:t>
      </w:r>
      <w:r w:rsidR="00503F03">
        <w:rPr>
          <w:sz w:val="24"/>
          <w:szCs w:val="24"/>
        </w:rPr>
        <w:t>ckiūnienė ir kt.</w:t>
      </w:r>
      <w:r w:rsidRPr="0053387F">
        <w:rPr>
          <w:sz w:val="24"/>
          <w:szCs w:val="24"/>
        </w:rPr>
        <w:t xml:space="preserve"> (2</w:t>
      </w:r>
      <w:r>
        <w:rPr>
          <w:sz w:val="24"/>
          <w:szCs w:val="24"/>
        </w:rPr>
        <w:t>003) kaip</w:t>
      </w:r>
      <w:r w:rsidR="00503F03">
        <w:rPr>
          <w:sz w:val="24"/>
          <w:szCs w:val="24"/>
        </w:rPr>
        <w:t xml:space="preserve"> dar vieną valstybės skolinimąsi</w:t>
      </w:r>
      <w:r>
        <w:rPr>
          <w:sz w:val="24"/>
          <w:szCs w:val="24"/>
        </w:rPr>
        <w:t xml:space="preserve"> lemiantį veiksnį i</w:t>
      </w:r>
      <w:r w:rsidRPr="0053387F">
        <w:rPr>
          <w:sz w:val="24"/>
          <w:szCs w:val="24"/>
        </w:rPr>
        <w:t>šskiria priimtus valstybės įstatymus, kurių įvykdymui valstybė turi skolintis.</w:t>
      </w:r>
      <w:bookmarkStart w:id="50" w:name="_Toc358573086"/>
      <w:bookmarkStart w:id="51" w:name="_Toc373086688"/>
      <w:bookmarkStart w:id="52" w:name="_Toc373086886"/>
      <w:bookmarkStart w:id="53" w:name="_Toc373275068"/>
      <w:bookmarkStart w:id="54" w:name="_Toc373421063"/>
      <w:bookmarkStart w:id="55" w:name="_Toc373448081"/>
      <w:bookmarkStart w:id="56" w:name="_Toc374228636"/>
      <w:bookmarkStart w:id="57" w:name="_Toc374229038"/>
      <w:bookmarkStart w:id="58" w:name="_Toc374229149"/>
      <w:bookmarkStart w:id="59" w:name="_Toc374229442"/>
    </w:p>
    <w:p w:rsidR="00FE59AA" w:rsidRDefault="00FE59AA" w:rsidP="00FE59AA">
      <w:pPr>
        <w:spacing w:line="360" w:lineRule="auto"/>
        <w:ind w:firstLine="720"/>
        <w:rPr>
          <w:sz w:val="24"/>
          <w:szCs w:val="24"/>
        </w:rPr>
      </w:pPr>
    </w:p>
    <w:p w:rsidR="00D17AAB" w:rsidRPr="00FE59AA" w:rsidRDefault="00FE59AA" w:rsidP="00FE59AA">
      <w:pPr>
        <w:spacing w:line="360" w:lineRule="auto"/>
        <w:rPr>
          <w:sz w:val="24"/>
          <w:szCs w:val="24"/>
        </w:rPr>
      </w:pPr>
      <w:r>
        <w:rPr>
          <w:b/>
          <w:color w:val="000000"/>
          <w:sz w:val="24"/>
          <w:szCs w:val="24"/>
          <w:lang w:val="en-US"/>
        </w:rPr>
        <w:t>1.3.</w:t>
      </w:r>
      <w:r w:rsidR="00984B7D" w:rsidRPr="00FE59AA">
        <w:rPr>
          <w:b/>
          <w:color w:val="000000"/>
          <w:sz w:val="24"/>
          <w:szCs w:val="24"/>
          <w:lang w:val="en-US"/>
        </w:rPr>
        <w:t xml:space="preserve">Valstybės skolinimosi </w:t>
      </w:r>
      <w:bookmarkEnd w:id="50"/>
      <w:r w:rsidR="005E19A5" w:rsidRPr="00FE59AA">
        <w:rPr>
          <w:b/>
          <w:color w:val="000000"/>
          <w:sz w:val="24"/>
          <w:szCs w:val="24"/>
          <w:lang w:val="en-US"/>
        </w:rPr>
        <w:t>ir ekonominio augimo ry</w:t>
      </w:r>
      <w:r w:rsidR="005E19A5" w:rsidRPr="00FE59AA">
        <w:rPr>
          <w:b/>
          <w:color w:val="000000"/>
          <w:sz w:val="24"/>
          <w:szCs w:val="24"/>
        </w:rPr>
        <w:t>šys</w:t>
      </w:r>
      <w:bookmarkEnd w:id="51"/>
      <w:bookmarkEnd w:id="52"/>
      <w:bookmarkEnd w:id="53"/>
      <w:bookmarkEnd w:id="54"/>
      <w:bookmarkEnd w:id="55"/>
      <w:bookmarkEnd w:id="56"/>
      <w:bookmarkEnd w:id="57"/>
      <w:bookmarkEnd w:id="58"/>
      <w:bookmarkEnd w:id="59"/>
    </w:p>
    <w:p w:rsidR="00E830FE" w:rsidRDefault="00E830FE" w:rsidP="00255FCC">
      <w:pPr>
        <w:tabs>
          <w:tab w:val="left" w:pos="0"/>
        </w:tabs>
        <w:spacing w:line="360" w:lineRule="auto"/>
        <w:ind w:firstLine="720"/>
        <w:rPr>
          <w:color w:val="000000"/>
          <w:sz w:val="24"/>
          <w:szCs w:val="24"/>
          <w:lang w:val="en-US"/>
        </w:rPr>
      </w:pPr>
    </w:p>
    <w:p w:rsidR="00255FCC" w:rsidRPr="00255FCC" w:rsidRDefault="00D17AAB" w:rsidP="00255FCC">
      <w:pPr>
        <w:tabs>
          <w:tab w:val="left" w:pos="0"/>
        </w:tabs>
        <w:spacing w:line="360" w:lineRule="auto"/>
        <w:ind w:firstLine="720"/>
        <w:rPr>
          <w:color w:val="000000"/>
          <w:sz w:val="24"/>
          <w:szCs w:val="24"/>
          <w:lang w:val="en-US"/>
        </w:rPr>
      </w:pPr>
      <w:r w:rsidRPr="00D17AAB">
        <w:rPr>
          <w:color w:val="000000"/>
          <w:sz w:val="24"/>
          <w:szCs w:val="24"/>
          <w:lang w:val="en-US"/>
        </w:rPr>
        <w:t xml:space="preserve">Dėl valstybės skolinimosi </w:t>
      </w:r>
      <w:r w:rsidR="0014564D">
        <w:rPr>
          <w:color w:val="000000"/>
          <w:sz w:val="24"/>
          <w:szCs w:val="24"/>
          <w:lang w:val="en-US"/>
        </w:rPr>
        <w:t>ir šalies ekonominio augimo ry</w:t>
      </w:r>
      <w:r w:rsidR="0014564D">
        <w:rPr>
          <w:color w:val="000000"/>
          <w:sz w:val="24"/>
          <w:szCs w:val="24"/>
        </w:rPr>
        <w:t xml:space="preserve">šio </w:t>
      </w:r>
      <w:r w:rsidR="007638B4">
        <w:rPr>
          <w:color w:val="000000"/>
          <w:sz w:val="24"/>
          <w:szCs w:val="24"/>
          <w:lang w:val="en-US"/>
        </w:rPr>
        <w:t>kyla nemažai diskusij</w:t>
      </w:r>
      <w:r w:rsidR="00383C42">
        <w:rPr>
          <w:color w:val="000000"/>
          <w:sz w:val="24"/>
          <w:szCs w:val="24"/>
          <w:lang w:val="en-US"/>
        </w:rPr>
        <w:t>ų. Šis klausimas skatina tiek lietuvių, tiek užsienio mokslininkus</w:t>
      </w:r>
      <w:r w:rsidR="007638B4">
        <w:rPr>
          <w:color w:val="000000"/>
          <w:sz w:val="24"/>
          <w:szCs w:val="24"/>
          <w:lang w:val="en-US"/>
        </w:rPr>
        <w:t xml:space="preserve"> atlikti įvairius tyrimus,</w:t>
      </w:r>
      <w:r w:rsidRPr="00D17AAB">
        <w:rPr>
          <w:color w:val="000000"/>
          <w:sz w:val="24"/>
          <w:szCs w:val="24"/>
          <w:lang w:val="en-US"/>
        </w:rPr>
        <w:t xml:space="preserve"> tačiau vieningos nuomonės taip</w:t>
      </w:r>
      <w:r w:rsidR="007638B4">
        <w:rPr>
          <w:color w:val="000000"/>
          <w:sz w:val="24"/>
          <w:szCs w:val="24"/>
          <w:lang w:val="en-US"/>
        </w:rPr>
        <w:t xml:space="preserve"> ir neprieita</w:t>
      </w:r>
      <w:r w:rsidR="00762BD6">
        <w:rPr>
          <w:color w:val="000000"/>
          <w:sz w:val="24"/>
          <w:szCs w:val="24"/>
          <w:lang w:val="en-US"/>
        </w:rPr>
        <w:t xml:space="preserve">, kadangi vienareikšmiškai </w:t>
      </w:r>
      <w:r w:rsidR="00F26667">
        <w:rPr>
          <w:color w:val="000000"/>
          <w:sz w:val="24"/>
          <w:szCs w:val="24"/>
          <w:lang w:val="en-US"/>
        </w:rPr>
        <w:t xml:space="preserve">įvertinti valstybės skolos </w:t>
      </w:r>
      <w:r w:rsidR="0014564D">
        <w:rPr>
          <w:color w:val="000000"/>
          <w:sz w:val="24"/>
          <w:szCs w:val="24"/>
          <w:lang w:val="en-US"/>
        </w:rPr>
        <w:t>ir šalies ekonominio augimo</w:t>
      </w:r>
      <w:r w:rsidR="00B90811">
        <w:rPr>
          <w:color w:val="000000"/>
          <w:sz w:val="24"/>
          <w:szCs w:val="24"/>
          <w:lang w:val="en-US"/>
        </w:rPr>
        <w:t xml:space="preserve"> ryšį</w:t>
      </w:r>
      <w:r w:rsidR="00762BD6">
        <w:rPr>
          <w:color w:val="000000"/>
          <w:sz w:val="24"/>
          <w:szCs w:val="24"/>
          <w:lang w:val="en-US"/>
        </w:rPr>
        <w:t xml:space="preserve"> yra labai sudėtinga.</w:t>
      </w:r>
      <w:r>
        <w:rPr>
          <w:color w:val="000000"/>
          <w:sz w:val="24"/>
          <w:szCs w:val="24"/>
          <w:lang w:val="en-US"/>
        </w:rPr>
        <w:t xml:space="preserve"> </w:t>
      </w:r>
    </w:p>
    <w:p w:rsidR="00396327" w:rsidRDefault="00E434D8" w:rsidP="00396327">
      <w:pPr>
        <w:tabs>
          <w:tab w:val="left" w:pos="0"/>
        </w:tabs>
        <w:spacing w:line="360" w:lineRule="auto"/>
        <w:ind w:firstLine="720"/>
        <w:rPr>
          <w:color w:val="000000"/>
          <w:sz w:val="24"/>
          <w:szCs w:val="24"/>
        </w:rPr>
      </w:pPr>
      <w:r w:rsidRPr="00AB001B">
        <w:rPr>
          <w:color w:val="000000"/>
          <w:sz w:val="24"/>
          <w:szCs w:val="24"/>
        </w:rPr>
        <w:t>Šiais laikais valstybės skolinimasis yra tapęs neišvengiamu reiškiniu.</w:t>
      </w:r>
      <w:r w:rsidR="00312C90" w:rsidRPr="00AB001B">
        <w:rPr>
          <w:color w:val="000000"/>
          <w:sz w:val="24"/>
          <w:szCs w:val="24"/>
        </w:rPr>
        <w:t xml:space="preserve"> </w:t>
      </w:r>
      <w:r w:rsidR="00003644">
        <w:rPr>
          <w:color w:val="000000"/>
          <w:sz w:val="24"/>
          <w:szCs w:val="24"/>
        </w:rPr>
        <w:t>Kai kurie</w:t>
      </w:r>
      <w:r w:rsidR="00255FCC" w:rsidRPr="00AB001B">
        <w:rPr>
          <w:color w:val="000000"/>
          <w:sz w:val="24"/>
          <w:szCs w:val="24"/>
        </w:rPr>
        <w:t xml:space="preserve"> </w:t>
      </w:r>
      <w:r w:rsidR="00003644">
        <w:rPr>
          <w:color w:val="000000"/>
          <w:sz w:val="24"/>
          <w:szCs w:val="24"/>
        </w:rPr>
        <w:t xml:space="preserve">ekonomistai </w:t>
      </w:r>
      <w:r w:rsidR="00003644">
        <w:rPr>
          <w:color w:val="000000"/>
          <w:sz w:val="24"/>
          <w:szCs w:val="24"/>
        </w:rPr>
        <w:lastRenderedPageBreak/>
        <w:t>sutinka su mintimi</w:t>
      </w:r>
      <w:r w:rsidR="00255FCC" w:rsidRPr="00AB001B">
        <w:rPr>
          <w:color w:val="000000"/>
          <w:sz w:val="24"/>
          <w:szCs w:val="24"/>
        </w:rPr>
        <w:t xml:space="preserve">, jog valdžios sektoriaus skolinimasis gali </w:t>
      </w:r>
      <w:r w:rsidR="00F46FCB" w:rsidRPr="00AB001B">
        <w:rPr>
          <w:color w:val="000000"/>
          <w:sz w:val="24"/>
          <w:szCs w:val="24"/>
        </w:rPr>
        <w:t>turėti teigiamos įtakos šalies ekonominiam augimui.</w:t>
      </w:r>
      <w:r w:rsidR="00732428" w:rsidRPr="00AB001B">
        <w:rPr>
          <w:color w:val="000000"/>
          <w:sz w:val="24"/>
          <w:szCs w:val="24"/>
        </w:rPr>
        <w:t xml:space="preserve"> Anot Buškevičiūtės (2008)</w:t>
      </w:r>
      <w:r w:rsidR="000E3CED" w:rsidRPr="00AB001B">
        <w:rPr>
          <w:color w:val="000000"/>
          <w:sz w:val="24"/>
          <w:szCs w:val="24"/>
        </w:rPr>
        <w:t>, Budrytės, Tursos (2002)</w:t>
      </w:r>
      <w:r w:rsidR="00732428" w:rsidRPr="00AB001B">
        <w:rPr>
          <w:color w:val="000000"/>
          <w:sz w:val="24"/>
          <w:szCs w:val="24"/>
        </w:rPr>
        <w:t xml:space="preserve"> </w:t>
      </w:r>
      <w:r w:rsidR="00B830E8" w:rsidRPr="00AB001B">
        <w:rPr>
          <w:color w:val="000000"/>
          <w:sz w:val="24"/>
          <w:szCs w:val="24"/>
        </w:rPr>
        <w:t>esant augančiai ekonomikai, kai kapitalas palyginti nedidelis, o investicijų galimybės ir jų grąža yra didesnė</w:t>
      </w:r>
      <w:r w:rsidR="00732428" w:rsidRPr="00AB001B">
        <w:rPr>
          <w:color w:val="000000"/>
          <w:sz w:val="24"/>
          <w:szCs w:val="24"/>
        </w:rPr>
        <w:t>s nei išsvysčiusiose šalyse</w:t>
      </w:r>
      <w:r w:rsidR="00364C7F">
        <w:rPr>
          <w:color w:val="000000"/>
          <w:sz w:val="24"/>
          <w:szCs w:val="24"/>
        </w:rPr>
        <w:t>,</w:t>
      </w:r>
      <w:r w:rsidR="00B830E8" w:rsidRPr="00AB001B">
        <w:rPr>
          <w:color w:val="000000"/>
          <w:sz w:val="24"/>
          <w:szCs w:val="24"/>
        </w:rPr>
        <w:t xml:space="preserve"> valstybės skolinimasis turėtų teigiamai paveikti ekonomikos plėtrą. Teoriškai vertinant ekonomikos augimas ir didėj</w:t>
      </w:r>
      <w:r w:rsidR="00762BD6" w:rsidRPr="00AB001B">
        <w:rPr>
          <w:color w:val="000000"/>
          <w:sz w:val="24"/>
          <w:szCs w:val="24"/>
        </w:rPr>
        <w:t>a</w:t>
      </w:r>
      <w:r w:rsidR="00B830E8" w:rsidRPr="00AB001B">
        <w:rPr>
          <w:color w:val="000000"/>
          <w:sz w:val="24"/>
          <w:szCs w:val="24"/>
        </w:rPr>
        <w:t xml:space="preserve">nčios biudžeto pajamos turėtų padengti biudžeto deficitą ir kitas susikaupusias valstybės </w:t>
      </w:r>
      <w:r w:rsidR="00732428" w:rsidRPr="00AB001B">
        <w:rPr>
          <w:color w:val="000000"/>
          <w:sz w:val="24"/>
          <w:szCs w:val="24"/>
        </w:rPr>
        <w:t>skolas.</w:t>
      </w:r>
      <w:r w:rsidR="00F46FCB" w:rsidRPr="00AB001B">
        <w:rPr>
          <w:color w:val="000000"/>
          <w:sz w:val="24"/>
          <w:szCs w:val="24"/>
        </w:rPr>
        <w:t xml:space="preserve"> </w:t>
      </w:r>
      <w:r w:rsidR="005273E6">
        <w:rPr>
          <w:color w:val="000000"/>
          <w:sz w:val="24"/>
          <w:szCs w:val="24"/>
        </w:rPr>
        <w:t xml:space="preserve">Valstybės skolinimasis suteikia galimybę skatinti ekonomikos augimą pritraukiant pinigų iš užsienio investuotojų ar perskirstant vidaus rinkoje esančias lėšas tarp tų, kurie jų esamu momentu turi per daug ir tų, kuriems jų trūksta. </w:t>
      </w:r>
      <w:r w:rsidR="007661FC">
        <w:rPr>
          <w:color w:val="000000"/>
          <w:sz w:val="24"/>
          <w:szCs w:val="24"/>
        </w:rPr>
        <w:t>Martin (2009) teigimu</w:t>
      </w:r>
      <w:r w:rsidR="007661FC" w:rsidRPr="007661FC">
        <w:rPr>
          <w:color w:val="000000"/>
          <w:sz w:val="24"/>
          <w:szCs w:val="24"/>
        </w:rPr>
        <w:t>, kaip dar vieną iš teigiamų valstybės skolinimosi aspektų galima išskirti tai, jog</w:t>
      </w:r>
      <w:r w:rsidR="007661FC">
        <w:rPr>
          <w:color w:val="000000"/>
          <w:sz w:val="24"/>
          <w:szCs w:val="24"/>
        </w:rPr>
        <w:t xml:space="preserve"> valstybės skolinimasis, esantis kaip alternatyva mokesčių didinimui, </w:t>
      </w:r>
      <w:r w:rsidR="00011453">
        <w:rPr>
          <w:color w:val="000000"/>
          <w:sz w:val="24"/>
          <w:szCs w:val="24"/>
        </w:rPr>
        <w:t>sumažina gyventojų mokestinę naštą esamu laikotarpiu. Kita vertus, valstybės skolinimasis užkrauna naštą ateitiems kartoms ir taip mažina jų galimybes išlaikyti ekonominį ir finansinį stabilumą.</w:t>
      </w:r>
    </w:p>
    <w:p w:rsidR="00E830FE" w:rsidRPr="00396327" w:rsidRDefault="00364C7F" w:rsidP="00396327">
      <w:pPr>
        <w:tabs>
          <w:tab w:val="left" w:pos="0"/>
        </w:tabs>
        <w:spacing w:line="360" w:lineRule="auto"/>
        <w:ind w:firstLine="720"/>
        <w:rPr>
          <w:color w:val="000000"/>
          <w:sz w:val="24"/>
          <w:szCs w:val="24"/>
        </w:rPr>
      </w:pPr>
      <w:r>
        <w:rPr>
          <w:color w:val="000000"/>
          <w:sz w:val="24"/>
          <w:szCs w:val="24"/>
        </w:rPr>
        <w:t xml:space="preserve">Šią </w:t>
      </w:r>
      <w:r w:rsidR="0045085F">
        <w:rPr>
          <w:color w:val="000000"/>
          <w:sz w:val="24"/>
          <w:szCs w:val="24"/>
        </w:rPr>
        <w:t xml:space="preserve">ir kitaip pasireiškiančią neigiamą </w:t>
      </w:r>
      <w:r w:rsidR="00003644">
        <w:rPr>
          <w:color w:val="000000"/>
          <w:sz w:val="24"/>
          <w:szCs w:val="24"/>
        </w:rPr>
        <w:t>valstybės skolinimosi įtaką šalies ekonominiam au</w:t>
      </w:r>
      <w:r w:rsidR="0045085F">
        <w:rPr>
          <w:color w:val="000000"/>
          <w:sz w:val="24"/>
          <w:szCs w:val="24"/>
        </w:rPr>
        <w:t>gimui ir finansiniam stabilumui akcentuoja ne vienas autorius.</w:t>
      </w:r>
      <w:r w:rsidR="00E830FE">
        <w:rPr>
          <w:color w:val="000000"/>
          <w:sz w:val="24"/>
          <w:szCs w:val="24"/>
        </w:rPr>
        <w:t xml:space="preserve"> </w:t>
      </w:r>
      <w:r w:rsidR="00E830FE" w:rsidRPr="00E830FE">
        <w:rPr>
          <w:sz w:val="24"/>
          <w:szCs w:val="24"/>
        </w:rPr>
        <w:t xml:space="preserve">Kaip teigia Kumar, Woo (2010), yra keletas būdų kaip aukštas valstybės skolos lygis gali neigiamai paveikti vidutinės trukmės ir ilgalaikį ekonominį augimą. </w:t>
      </w:r>
      <w:r w:rsidR="00E830FE" w:rsidRPr="0045085F">
        <w:rPr>
          <w:sz w:val="24"/>
          <w:szCs w:val="24"/>
        </w:rPr>
        <w:t>Jie išskiria tokius aspektus:</w:t>
      </w:r>
    </w:p>
    <w:p w:rsidR="00E830FE" w:rsidRPr="007C3E2D" w:rsidRDefault="00E830FE" w:rsidP="00E830FE">
      <w:pPr>
        <w:numPr>
          <w:ilvl w:val="0"/>
          <w:numId w:val="7"/>
        </w:numPr>
        <w:autoSpaceDE w:val="0"/>
        <w:autoSpaceDN w:val="0"/>
        <w:adjustRightInd w:val="0"/>
        <w:spacing w:after="200" w:line="360" w:lineRule="auto"/>
        <w:contextualSpacing/>
        <w:rPr>
          <w:sz w:val="24"/>
          <w:szCs w:val="24"/>
        </w:rPr>
      </w:pPr>
      <w:r w:rsidRPr="007C3E2D">
        <w:rPr>
          <w:sz w:val="24"/>
          <w:szCs w:val="24"/>
        </w:rPr>
        <w:t>Dėl didelės valstybės skolos išaugusios ilgalaikės palūkanų normos gali neigiamai paveikti kapitalo paskirstymą ir augimą;</w:t>
      </w:r>
    </w:p>
    <w:p w:rsidR="00E830FE" w:rsidRDefault="00E830FE" w:rsidP="00E830FE">
      <w:pPr>
        <w:numPr>
          <w:ilvl w:val="0"/>
          <w:numId w:val="7"/>
        </w:numPr>
        <w:autoSpaceDE w:val="0"/>
        <w:autoSpaceDN w:val="0"/>
        <w:adjustRightInd w:val="0"/>
        <w:spacing w:after="200" w:line="360" w:lineRule="auto"/>
        <w:contextualSpacing/>
        <w:rPr>
          <w:sz w:val="24"/>
          <w:szCs w:val="24"/>
          <w:lang w:val="en-US"/>
        </w:rPr>
      </w:pPr>
      <w:r>
        <w:rPr>
          <w:sz w:val="24"/>
          <w:szCs w:val="24"/>
          <w:lang w:val="en-US"/>
        </w:rPr>
        <w:t>Didesni mokesčiai ateities kartoms;</w:t>
      </w:r>
    </w:p>
    <w:p w:rsidR="00E830FE" w:rsidRDefault="00E830FE" w:rsidP="00E830FE">
      <w:pPr>
        <w:numPr>
          <w:ilvl w:val="0"/>
          <w:numId w:val="7"/>
        </w:numPr>
        <w:autoSpaceDE w:val="0"/>
        <w:autoSpaceDN w:val="0"/>
        <w:adjustRightInd w:val="0"/>
        <w:spacing w:after="200" w:line="360" w:lineRule="auto"/>
        <w:contextualSpacing/>
        <w:rPr>
          <w:sz w:val="24"/>
          <w:szCs w:val="24"/>
          <w:lang w:val="en-US"/>
        </w:rPr>
      </w:pPr>
      <w:r>
        <w:rPr>
          <w:sz w:val="24"/>
          <w:szCs w:val="24"/>
          <w:lang w:val="en-US"/>
        </w:rPr>
        <w:t>Infliacija;</w:t>
      </w:r>
    </w:p>
    <w:p w:rsidR="00396327" w:rsidRDefault="00E830FE" w:rsidP="00396327">
      <w:pPr>
        <w:numPr>
          <w:ilvl w:val="0"/>
          <w:numId w:val="7"/>
        </w:numPr>
        <w:autoSpaceDE w:val="0"/>
        <w:autoSpaceDN w:val="0"/>
        <w:adjustRightInd w:val="0"/>
        <w:spacing w:after="200" w:line="360" w:lineRule="auto"/>
        <w:contextualSpacing/>
        <w:rPr>
          <w:sz w:val="24"/>
          <w:szCs w:val="24"/>
          <w:lang w:val="en-US"/>
        </w:rPr>
      </w:pPr>
      <w:r>
        <w:rPr>
          <w:sz w:val="24"/>
          <w:szCs w:val="24"/>
          <w:lang w:val="en-US"/>
        </w:rPr>
        <w:t>Didesnis neužtikrintinumas dėl ateities perspektyvų ir politikos.</w:t>
      </w:r>
    </w:p>
    <w:p w:rsidR="00396327" w:rsidRDefault="00E830FE" w:rsidP="00396327">
      <w:pPr>
        <w:autoSpaceDE w:val="0"/>
        <w:autoSpaceDN w:val="0"/>
        <w:adjustRightInd w:val="0"/>
        <w:spacing w:after="200" w:line="360" w:lineRule="auto"/>
        <w:ind w:left="360" w:firstLine="0"/>
        <w:contextualSpacing/>
        <w:rPr>
          <w:sz w:val="24"/>
          <w:szCs w:val="24"/>
          <w:lang w:val="en-US"/>
        </w:rPr>
      </w:pPr>
      <w:r w:rsidRPr="00396327">
        <w:rPr>
          <w:sz w:val="24"/>
          <w:szCs w:val="24"/>
        </w:rPr>
        <w:t xml:space="preserve">Esant itin ekstremaliai situacijai, kuomet valstybės skolų krizė sukelia bankų ar valiutos krizes, šie efektai ypač </w:t>
      </w:r>
      <w:r w:rsidR="00383C42" w:rsidRPr="00396327">
        <w:rPr>
          <w:sz w:val="24"/>
          <w:szCs w:val="24"/>
        </w:rPr>
        <w:t>sustiprėja.</w:t>
      </w:r>
    </w:p>
    <w:p w:rsidR="00E830FE" w:rsidRPr="00C56899" w:rsidRDefault="00E830FE" w:rsidP="00396327">
      <w:pPr>
        <w:autoSpaceDE w:val="0"/>
        <w:autoSpaceDN w:val="0"/>
        <w:adjustRightInd w:val="0"/>
        <w:spacing w:after="200" w:line="360" w:lineRule="auto"/>
        <w:contextualSpacing/>
        <w:rPr>
          <w:sz w:val="24"/>
          <w:szCs w:val="24"/>
          <w:lang w:val="en-US"/>
        </w:rPr>
      </w:pPr>
      <w:r>
        <w:rPr>
          <w:sz w:val="24"/>
          <w:szCs w:val="24"/>
        </w:rPr>
        <w:t>Checherita, Rother (2010) ieškodami sąsajų tarp valstybės skolos ir ekonominio augimo (BVP augimo) analizavo 12 Europos šalių duomenis ir pateikė išvadą, jog sritys per kurias valstybės skolinimasis veikia ekonominį augimą yra:</w:t>
      </w:r>
    </w:p>
    <w:p w:rsidR="00E830FE" w:rsidRDefault="00E830FE" w:rsidP="00E830FE">
      <w:pPr>
        <w:autoSpaceDE w:val="0"/>
        <w:autoSpaceDN w:val="0"/>
        <w:adjustRightInd w:val="0"/>
        <w:spacing w:line="360" w:lineRule="auto"/>
        <w:ind w:left="720" w:firstLine="284"/>
        <w:contextualSpacing/>
        <w:rPr>
          <w:sz w:val="24"/>
          <w:szCs w:val="24"/>
        </w:rPr>
      </w:pPr>
      <w:r>
        <w:rPr>
          <w:rFonts w:ascii="Symbol" w:hAnsi="Symbol" w:cs="Symbol"/>
          <w:sz w:val="24"/>
          <w:szCs w:val="24"/>
        </w:rPr>
        <w:t></w:t>
      </w:r>
      <w:r>
        <w:rPr>
          <w:rFonts w:ascii="Symbol" w:hAnsi="Symbol" w:cs="Symbol"/>
          <w:sz w:val="24"/>
          <w:szCs w:val="24"/>
        </w:rPr>
        <w:tab/>
      </w:r>
      <w:r>
        <w:rPr>
          <w:sz w:val="24"/>
          <w:szCs w:val="24"/>
        </w:rPr>
        <w:t>Privataus sektoriaus santaupos;</w:t>
      </w:r>
    </w:p>
    <w:p w:rsidR="00E830FE" w:rsidRDefault="00E830FE" w:rsidP="00E830FE">
      <w:pPr>
        <w:autoSpaceDE w:val="0"/>
        <w:autoSpaceDN w:val="0"/>
        <w:adjustRightInd w:val="0"/>
        <w:spacing w:line="360" w:lineRule="auto"/>
        <w:ind w:left="720" w:firstLine="284"/>
        <w:contextualSpacing/>
        <w:rPr>
          <w:sz w:val="24"/>
          <w:szCs w:val="24"/>
        </w:rPr>
      </w:pPr>
      <w:r>
        <w:rPr>
          <w:rFonts w:ascii="Symbol" w:hAnsi="Symbol" w:cs="Symbol"/>
          <w:sz w:val="24"/>
          <w:szCs w:val="24"/>
        </w:rPr>
        <w:t></w:t>
      </w:r>
      <w:r>
        <w:rPr>
          <w:rFonts w:ascii="Symbol" w:hAnsi="Symbol" w:cs="Symbol"/>
          <w:sz w:val="24"/>
          <w:szCs w:val="24"/>
        </w:rPr>
        <w:tab/>
      </w:r>
      <w:r>
        <w:rPr>
          <w:sz w:val="24"/>
          <w:szCs w:val="24"/>
        </w:rPr>
        <w:t>Viešosios investicijos;</w:t>
      </w:r>
    </w:p>
    <w:p w:rsidR="00E830FE" w:rsidRDefault="00E830FE" w:rsidP="00E830FE">
      <w:pPr>
        <w:autoSpaceDE w:val="0"/>
        <w:autoSpaceDN w:val="0"/>
        <w:adjustRightInd w:val="0"/>
        <w:spacing w:line="360" w:lineRule="auto"/>
        <w:ind w:left="720" w:firstLine="284"/>
        <w:contextualSpacing/>
        <w:rPr>
          <w:sz w:val="24"/>
          <w:szCs w:val="24"/>
        </w:rPr>
      </w:pPr>
      <w:r>
        <w:rPr>
          <w:rFonts w:ascii="Symbol" w:hAnsi="Symbol" w:cs="Symbol"/>
          <w:sz w:val="24"/>
          <w:szCs w:val="24"/>
        </w:rPr>
        <w:t></w:t>
      </w:r>
      <w:r>
        <w:rPr>
          <w:rFonts w:ascii="Symbol" w:hAnsi="Symbol" w:cs="Symbol"/>
          <w:sz w:val="24"/>
          <w:szCs w:val="24"/>
        </w:rPr>
        <w:tab/>
      </w:r>
      <w:r>
        <w:rPr>
          <w:sz w:val="24"/>
          <w:szCs w:val="24"/>
        </w:rPr>
        <w:t>Šalies gamybinis produktyvumas;</w:t>
      </w:r>
    </w:p>
    <w:p w:rsidR="00837029" w:rsidRDefault="00E830FE" w:rsidP="00837029">
      <w:pPr>
        <w:tabs>
          <w:tab w:val="left" w:pos="720"/>
          <w:tab w:val="left" w:pos="1440"/>
          <w:tab w:val="left" w:pos="2160"/>
          <w:tab w:val="left" w:pos="2880"/>
          <w:tab w:val="left" w:pos="3600"/>
          <w:tab w:val="left" w:pos="4320"/>
          <w:tab w:val="left" w:pos="5040"/>
          <w:tab w:val="left" w:pos="5760"/>
          <w:tab w:val="left" w:pos="6480"/>
          <w:tab w:val="left" w:pos="7425"/>
        </w:tabs>
        <w:autoSpaceDE w:val="0"/>
        <w:autoSpaceDN w:val="0"/>
        <w:adjustRightInd w:val="0"/>
        <w:spacing w:line="360" w:lineRule="auto"/>
        <w:ind w:left="720" w:firstLine="284"/>
        <w:contextualSpacing/>
        <w:rPr>
          <w:sz w:val="24"/>
          <w:szCs w:val="24"/>
        </w:rPr>
      </w:pPr>
      <w:r>
        <w:rPr>
          <w:rFonts w:ascii="Symbol" w:hAnsi="Symbol" w:cs="Symbol"/>
          <w:sz w:val="24"/>
          <w:szCs w:val="24"/>
        </w:rPr>
        <w:t></w:t>
      </w:r>
      <w:r>
        <w:rPr>
          <w:rFonts w:ascii="Symbol" w:hAnsi="Symbol" w:cs="Symbol"/>
          <w:sz w:val="24"/>
          <w:szCs w:val="24"/>
        </w:rPr>
        <w:tab/>
      </w:r>
      <w:r w:rsidR="00113DFC">
        <w:rPr>
          <w:sz w:val="24"/>
          <w:szCs w:val="24"/>
        </w:rPr>
        <w:t>Šalies ilga</w:t>
      </w:r>
      <w:r>
        <w:rPr>
          <w:sz w:val="24"/>
          <w:szCs w:val="24"/>
        </w:rPr>
        <w:t>laikės nominalios ir realios palūkanų normos.</w:t>
      </w:r>
      <w:r w:rsidR="009A1F92">
        <w:rPr>
          <w:sz w:val="24"/>
          <w:szCs w:val="24"/>
        </w:rPr>
        <w:tab/>
      </w:r>
    </w:p>
    <w:p w:rsidR="009A1F92" w:rsidRPr="00837029" w:rsidRDefault="009A1F92" w:rsidP="00837029">
      <w:pPr>
        <w:tabs>
          <w:tab w:val="left" w:pos="720"/>
          <w:tab w:val="left" w:pos="1440"/>
          <w:tab w:val="left" w:pos="2160"/>
          <w:tab w:val="left" w:pos="2880"/>
          <w:tab w:val="left" w:pos="3600"/>
          <w:tab w:val="left" w:pos="4320"/>
          <w:tab w:val="left" w:pos="5040"/>
          <w:tab w:val="left" w:pos="5760"/>
          <w:tab w:val="left" w:pos="6480"/>
          <w:tab w:val="left" w:pos="7425"/>
        </w:tabs>
        <w:autoSpaceDE w:val="0"/>
        <w:autoSpaceDN w:val="0"/>
        <w:adjustRightInd w:val="0"/>
        <w:spacing w:line="360" w:lineRule="auto"/>
        <w:ind w:firstLine="720"/>
        <w:contextualSpacing/>
        <w:rPr>
          <w:sz w:val="24"/>
          <w:szCs w:val="24"/>
        </w:rPr>
      </w:pPr>
      <w:r w:rsidRPr="00837029">
        <w:rPr>
          <w:sz w:val="24"/>
          <w:szCs w:val="24"/>
        </w:rPr>
        <w:t>Štuopytė, Navickas (2000) teigia, jog vieni svarbesnių vyriausybės biudžeto deficito bei skolos padarinių yra trumpu laikotarpiu auganti bendroji paklausa ir ilgu laikotarpiu mažėjantis kapitalas. Skolos politika veikia ekonomiką ir kitais būdais:</w:t>
      </w:r>
    </w:p>
    <w:p w:rsidR="00762A7D" w:rsidRDefault="009A1F92" w:rsidP="00837029">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425"/>
        </w:tabs>
        <w:autoSpaceDE w:val="0"/>
        <w:autoSpaceDN w:val="0"/>
        <w:adjustRightInd w:val="0"/>
        <w:spacing w:line="360" w:lineRule="auto"/>
        <w:rPr>
          <w:sz w:val="24"/>
          <w:szCs w:val="24"/>
        </w:rPr>
      </w:pPr>
      <w:r w:rsidRPr="00762A7D">
        <w:rPr>
          <w:sz w:val="24"/>
          <w:szCs w:val="24"/>
        </w:rPr>
        <w:lastRenderedPageBreak/>
        <w:t>Įtaka monetarinei politikai</w:t>
      </w:r>
      <w:r w:rsidR="00762A7D">
        <w:rPr>
          <w:sz w:val="24"/>
          <w:szCs w:val="24"/>
        </w:rPr>
        <w:t>;</w:t>
      </w:r>
    </w:p>
    <w:p w:rsidR="009A1F92" w:rsidRPr="00837029" w:rsidRDefault="009A1F92" w:rsidP="00837029">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425"/>
        </w:tabs>
        <w:autoSpaceDE w:val="0"/>
        <w:autoSpaceDN w:val="0"/>
        <w:adjustRightInd w:val="0"/>
        <w:spacing w:line="360" w:lineRule="auto"/>
        <w:rPr>
          <w:sz w:val="24"/>
          <w:szCs w:val="24"/>
        </w:rPr>
      </w:pPr>
      <w:r w:rsidRPr="00762A7D">
        <w:rPr>
          <w:sz w:val="24"/>
          <w:szCs w:val="24"/>
        </w:rPr>
        <w:t>Negrižtamas mokesčių (palūkanų), reikalingų aptarnauti skolą, praradimas</w:t>
      </w:r>
      <w:r w:rsidR="0045085F" w:rsidRPr="00762A7D">
        <w:rPr>
          <w:sz w:val="24"/>
          <w:szCs w:val="24"/>
        </w:rPr>
        <w:t>;</w:t>
      </w:r>
    </w:p>
    <w:p w:rsidR="009A1F92" w:rsidRPr="00837029" w:rsidRDefault="00837029" w:rsidP="00837029">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425"/>
        </w:tabs>
        <w:autoSpaceDE w:val="0"/>
        <w:autoSpaceDN w:val="0"/>
        <w:adjustRightInd w:val="0"/>
        <w:spacing w:line="360" w:lineRule="auto"/>
        <w:rPr>
          <w:sz w:val="24"/>
          <w:szCs w:val="24"/>
        </w:rPr>
      </w:pPr>
      <w:r w:rsidRPr="00837029">
        <w:rPr>
          <w:sz w:val="24"/>
          <w:szCs w:val="24"/>
        </w:rPr>
        <w:t>Politinių sprendimų, nustatančių fiskalinę politiką, pasikeitimas</w:t>
      </w:r>
      <w:r w:rsidR="0045085F">
        <w:rPr>
          <w:sz w:val="24"/>
          <w:szCs w:val="24"/>
        </w:rPr>
        <w:t>;</w:t>
      </w:r>
    </w:p>
    <w:p w:rsidR="00837029" w:rsidRPr="00837029" w:rsidRDefault="00837029" w:rsidP="00837029">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425"/>
        </w:tabs>
        <w:autoSpaceDE w:val="0"/>
        <w:autoSpaceDN w:val="0"/>
        <w:adjustRightInd w:val="0"/>
        <w:spacing w:line="360" w:lineRule="auto"/>
        <w:rPr>
          <w:sz w:val="24"/>
          <w:szCs w:val="24"/>
        </w:rPr>
      </w:pPr>
      <w:r w:rsidRPr="00837029">
        <w:rPr>
          <w:sz w:val="24"/>
          <w:szCs w:val="24"/>
        </w:rPr>
        <w:t>Tarptautinis pasitikėjimas</w:t>
      </w:r>
      <w:r w:rsidR="0045085F">
        <w:rPr>
          <w:sz w:val="24"/>
          <w:szCs w:val="24"/>
        </w:rPr>
        <w:t>;</w:t>
      </w:r>
    </w:p>
    <w:p w:rsidR="009A1F92" w:rsidRPr="00837029" w:rsidRDefault="00837029" w:rsidP="00837029">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425"/>
        </w:tabs>
        <w:autoSpaceDE w:val="0"/>
        <w:autoSpaceDN w:val="0"/>
        <w:adjustRightInd w:val="0"/>
        <w:spacing w:line="360" w:lineRule="auto"/>
        <w:rPr>
          <w:sz w:val="24"/>
          <w:szCs w:val="24"/>
        </w:rPr>
      </w:pPr>
      <w:r w:rsidRPr="00837029">
        <w:rPr>
          <w:sz w:val="24"/>
          <w:szCs w:val="24"/>
        </w:rPr>
        <w:t>Pavojus dėl politinės nepriklausomybės arba tarptautinių pozicijų įtakos sumažėjimo</w:t>
      </w:r>
      <w:r w:rsidR="0045085F">
        <w:rPr>
          <w:sz w:val="24"/>
          <w:szCs w:val="24"/>
        </w:rPr>
        <w:t>.</w:t>
      </w:r>
    </w:p>
    <w:p w:rsidR="00396327" w:rsidRPr="00AB0618" w:rsidRDefault="00E830FE" w:rsidP="00AB0618">
      <w:pPr>
        <w:autoSpaceDE w:val="0"/>
        <w:autoSpaceDN w:val="0"/>
        <w:adjustRightInd w:val="0"/>
        <w:spacing w:line="360" w:lineRule="auto"/>
        <w:ind w:firstLine="720"/>
        <w:contextualSpacing/>
        <w:rPr>
          <w:sz w:val="24"/>
          <w:szCs w:val="24"/>
        </w:rPr>
      </w:pPr>
      <w:r>
        <w:rPr>
          <w:sz w:val="24"/>
          <w:szCs w:val="24"/>
        </w:rPr>
        <w:t>Reinhart, Rogoff (2010) tyrė ryšį tarp valstybės skolos ir ilgalai</w:t>
      </w:r>
      <w:r w:rsidR="00383C42">
        <w:rPr>
          <w:sz w:val="24"/>
          <w:szCs w:val="24"/>
        </w:rPr>
        <w:t>kio realaus BVP augimo naudodami</w:t>
      </w:r>
      <w:r>
        <w:rPr>
          <w:sz w:val="24"/>
          <w:szCs w:val="24"/>
        </w:rPr>
        <w:t xml:space="preserve"> 20 šalių paskutinių dviejų dešimtmečių duomenis ir pastebėjo tai, kad šalyse, kuriose valstybės skolos ir BVP santykis yra mažesnis negu 90 proc., ryšys tarp valstybės skolos ir ilgalaikio ekonominio augimo yra silpnas, tuo tarpu šalyse, kuriose valstybės skolos ir BVP santykis yra daugiau negu 90 proc., vidutinis ekonomikos augimo tempas yra lėtesnis lyginant su mažesnę skolą turinčiomis šalimis. Panašų ryšį tarp BVP augimo ir valstybės skolos įžvelgė ir jau minėti Kumar, Woo </w:t>
      </w:r>
      <w:r w:rsidR="000837B8">
        <w:rPr>
          <w:sz w:val="24"/>
          <w:szCs w:val="24"/>
        </w:rPr>
        <w:t>(2010),</w:t>
      </w:r>
      <w:r w:rsidRPr="00E830FE">
        <w:rPr>
          <w:sz w:val="24"/>
          <w:szCs w:val="24"/>
        </w:rPr>
        <w:t xml:space="preserve"> Checherita, Ro</w:t>
      </w:r>
      <w:r w:rsidR="00A74F01">
        <w:rPr>
          <w:sz w:val="24"/>
          <w:szCs w:val="24"/>
        </w:rPr>
        <w:t xml:space="preserve">ther (2010), taip pat Clements ir kt. </w:t>
      </w:r>
      <w:r w:rsidRPr="00E830FE">
        <w:rPr>
          <w:sz w:val="24"/>
          <w:szCs w:val="24"/>
        </w:rPr>
        <w:t>(2003). Tokie mokslininkų tyrimų rezultatai leidžia daryti išvadą, jog egzistuoja tam tikra riba iki kurios valstybės skolinimasis netgi skatina šalies ekonominį augimą, tuo tarpu pas</w:t>
      </w:r>
      <w:r w:rsidR="00383C42">
        <w:rPr>
          <w:sz w:val="24"/>
          <w:szCs w:val="24"/>
        </w:rPr>
        <w:t>iekus tam tikrą skolos lygį, ji</w:t>
      </w:r>
      <w:r w:rsidRPr="00E830FE">
        <w:rPr>
          <w:sz w:val="24"/>
          <w:szCs w:val="24"/>
        </w:rPr>
        <w:t xml:space="preserve"> </w:t>
      </w:r>
      <w:r w:rsidR="00383C42">
        <w:rPr>
          <w:sz w:val="24"/>
          <w:szCs w:val="24"/>
        </w:rPr>
        <w:t>pradeda stabdyti</w:t>
      </w:r>
      <w:r w:rsidR="00113DFC">
        <w:rPr>
          <w:sz w:val="24"/>
          <w:szCs w:val="24"/>
        </w:rPr>
        <w:t xml:space="preserve"> šalies ekonomi</w:t>
      </w:r>
      <w:r w:rsidR="004C263B">
        <w:rPr>
          <w:sz w:val="24"/>
          <w:szCs w:val="24"/>
        </w:rPr>
        <w:t>k</w:t>
      </w:r>
      <w:r w:rsidR="00113DFC">
        <w:rPr>
          <w:sz w:val="24"/>
          <w:szCs w:val="24"/>
        </w:rPr>
        <w:t>os plėtrą.</w:t>
      </w:r>
      <w:r w:rsidR="00383C42">
        <w:rPr>
          <w:sz w:val="24"/>
          <w:szCs w:val="24"/>
        </w:rPr>
        <w:t xml:space="preserve"> Apie egzistuojančią </w:t>
      </w:r>
      <w:r w:rsidR="004C263B">
        <w:rPr>
          <w:sz w:val="24"/>
          <w:szCs w:val="24"/>
        </w:rPr>
        <w:t>valstybės sko</w:t>
      </w:r>
      <w:r w:rsidR="000837B8">
        <w:rPr>
          <w:sz w:val="24"/>
          <w:szCs w:val="24"/>
        </w:rPr>
        <w:t>l</w:t>
      </w:r>
      <w:r w:rsidR="004C263B">
        <w:rPr>
          <w:sz w:val="24"/>
          <w:szCs w:val="24"/>
        </w:rPr>
        <w:t xml:space="preserve">inimosi ribą, kurią peržengus šalis susiduria su problemomis, rašo ir lietuvių autoriai. Buškevičiūtė (2008) teigia, </w:t>
      </w:r>
      <w:r w:rsidR="004C263B" w:rsidRPr="004C263B">
        <w:rPr>
          <w:sz w:val="24"/>
          <w:szCs w:val="24"/>
        </w:rPr>
        <w:t>kad dideli valstybės skoliniai įsipareigojimai gali lėtinti ekonomikos augimą dėl didėjančių palūkanų normų</w:t>
      </w:r>
      <w:r w:rsidR="004C263B">
        <w:rPr>
          <w:sz w:val="24"/>
          <w:szCs w:val="24"/>
        </w:rPr>
        <w:t>, dėl privataus sektoriaus investicijų ištūmimo, dėl demotyvuotų investuotojų ir jų aktyvumo sumažėjimo.</w:t>
      </w:r>
    </w:p>
    <w:p w:rsidR="007638B4" w:rsidRDefault="000E3CED" w:rsidP="00707A12">
      <w:pPr>
        <w:autoSpaceDE w:val="0"/>
        <w:autoSpaceDN w:val="0"/>
        <w:adjustRightInd w:val="0"/>
        <w:spacing w:line="360" w:lineRule="auto"/>
        <w:ind w:firstLine="720"/>
        <w:contextualSpacing/>
        <w:rPr>
          <w:color w:val="000000"/>
          <w:sz w:val="24"/>
          <w:szCs w:val="24"/>
        </w:rPr>
      </w:pPr>
      <w:r w:rsidRPr="00AB001B">
        <w:rPr>
          <w:color w:val="000000"/>
          <w:sz w:val="24"/>
          <w:szCs w:val="24"/>
        </w:rPr>
        <w:t>Norint, kad valstybės skolinimasis teigiamai veiktų šalies ekonomiką</w:t>
      </w:r>
      <w:r w:rsidR="00681725" w:rsidRPr="00AB001B">
        <w:rPr>
          <w:color w:val="000000"/>
          <w:sz w:val="24"/>
          <w:szCs w:val="24"/>
        </w:rPr>
        <w:t>, skolintos lėšos turi būti panaudojamos efekyvioms investicijoms arba kitaip tariant turi būti skolinamasi pagal „auk</w:t>
      </w:r>
      <w:r w:rsidR="00E60150">
        <w:rPr>
          <w:color w:val="000000"/>
          <w:sz w:val="24"/>
          <w:szCs w:val="24"/>
        </w:rPr>
        <w:t>sinę“ taisyklę (Budrytė, Tursa, 2002; Buškevičiūtė, 2008; Čiburienė, Povilaitis, 2005</w:t>
      </w:r>
      <w:r w:rsidR="004B73A3">
        <w:rPr>
          <w:color w:val="000000"/>
          <w:sz w:val="24"/>
          <w:szCs w:val="24"/>
        </w:rPr>
        <w:t>). Tokiomis i</w:t>
      </w:r>
      <w:r w:rsidR="00681725" w:rsidRPr="00AB001B">
        <w:rPr>
          <w:color w:val="000000"/>
          <w:sz w:val="24"/>
          <w:szCs w:val="24"/>
        </w:rPr>
        <w:t>nvesticijomis paprastai laikomos valstybės išlaidos žmogaus ir fiziniam kapitalui (švietimui, sveikatos apsaugai, komunikacijoms, transportui). Jeigu skolintos lėšos yra efektyviai investuojamos ir skolos lygis nekelia grėsmės ekonominiam stabilumui, be to šalyje vykdoma optimistinius lūkesčius palaikanti politika ir nesusiduriama su išorės šokais, ekonomika turėtų plėtotis ir ga</w:t>
      </w:r>
      <w:r w:rsidR="00707A12">
        <w:rPr>
          <w:color w:val="000000"/>
          <w:sz w:val="24"/>
          <w:szCs w:val="24"/>
        </w:rPr>
        <w:t>rantuoti skolos grąžinimą laiku.</w:t>
      </w:r>
    </w:p>
    <w:p w:rsidR="00FE59AA" w:rsidRDefault="000E37FF" w:rsidP="00FE59AA">
      <w:pPr>
        <w:autoSpaceDE w:val="0"/>
        <w:autoSpaceDN w:val="0"/>
        <w:adjustRightInd w:val="0"/>
        <w:spacing w:line="360" w:lineRule="auto"/>
        <w:ind w:firstLine="720"/>
        <w:contextualSpacing/>
        <w:rPr>
          <w:color w:val="000000"/>
          <w:sz w:val="24"/>
          <w:szCs w:val="24"/>
        </w:rPr>
      </w:pPr>
      <w:r>
        <w:rPr>
          <w:color w:val="000000"/>
          <w:sz w:val="24"/>
          <w:szCs w:val="24"/>
        </w:rPr>
        <w:t>Siekiant, kad valstybės skola netaptų</w:t>
      </w:r>
      <w:r w:rsidR="00394935">
        <w:rPr>
          <w:color w:val="000000"/>
          <w:sz w:val="24"/>
          <w:szCs w:val="24"/>
        </w:rPr>
        <w:t xml:space="preserve"> šalies problema, reikalingas</w:t>
      </w:r>
      <w:r>
        <w:rPr>
          <w:color w:val="000000"/>
          <w:sz w:val="24"/>
          <w:szCs w:val="24"/>
        </w:rPr>
        <w:t xml:space="preserve"> efektyvus jos valdymas. Apie tai bus kalbama sekančiame </w:t>
      </w:r>
      <w:r w:rsidR="00062E3E">
        <w:rPr>
          <w:color w:val="000000"/>
          <w:sz w:val="24"/>
          <w:szCs w:val="24"/>
        </w:rPr>
        <w:t xml:space="preserve">darbo </w:t>
      </w:r>
      <w:r>
        <w:rPr>
          <w:color w:val="000000"/>
          <w:sz w:val="24"/>
          <w:szCs w:val="24"/>
        </w:rPr>
        <w:t>poskyryje.</w:t>
      </w:r>
      <w:bookmarkStart w:id="60" w:name="_Toc358573087"/>
      <w:bookmarkStart w:id="61" w:name="_Toc373086690"/>
      <w:bookmarkStart w:id="62" w:name="_Toc373086888"/>
      <w:bookmarkStart w:id="63" w:name="_Toc373275070"/>
      <w:bookmarkStart w:id="64" w:name="_Toc373421064"/>
      <w:bookmarkStart w:id="65" w:name="_Toc373448083"/>
    </w:p>
    <w:p w:rsidR="00FE59AA" w:rsidRDefault="00FE59AA" w:rsidP="00FE59AA">
      <w:pPr>
        <w:autoSpaceDE w:val="0"/>
        <w:autoSpaceDN w:val="0"/>
        <w:adjustRightInd w:val="0"/>
        <w:spacing w:line="360" w:lineRule="auto"/>
        <w:ind w:firstLine="720"/>
        <w:contextualSpacing/>
        <w:rPr>
          <w:color w:val="000000"/>
          <w:sz w:val="24"/>
          <w:szCs w:val="24"/>
        </w:rPr>
      </w:pPr>
    </w:p>
    <w:p w:rsidR="00984B7D" w:rsidRPr="00FE59AA" w:rsidRDefault="00FE59AA" w:rsidP="00FE59AA">
      <w:pPr>
        <w:autoSpaceDE w:val="0"/>
        <w:autoSpaceDN w:val="0"/>
        <w:adjustRightInd w:val="0"/>
        <w:spacing w:line="360" w:lineRule="auto"/>
        <w:ind w:firstLine="720"/>
        <w:contextualSpacing/>
        <w:rPr>
          <w:color w:val="000000"/>
          <w:sz w:val="24"/>
          <w:szCs w:val="24"/>
        </w:rPr>
      </w:pPr>
      <w:r>
        <w:rPr>
          <w:color w:val="000000"/>
          <w:sz w:val="24"/>
          <w:szCs w:val="24"/>
        </w:rPr>
        <w:t>1.4.</w:t>
      </w:r>
      <w:r w:rsidR="00707A12" w:rsidRPr="00C479F6">
        <w:rPr>
          <w:b/>
          <w:sz w:val="24"/>
          <w:szCs w:val="24"/>
          <w:lang w:val="en-US"/>
        </w:rPr>
        <w:t>Valstybės skolos valdymas</w:t>
      </w:r>
      <w:bookmarkEnd w:id="60"/>
      <w:bookmarkEnd w:id="61"/>
      <w:bookmarkEnd w:id="62"/>
      <w:bookmarkEnd w:id="63"/>
      <w:bookmarkEnd w:id="64"/>
      <w:bookmarkEnd w:id="65"/>
    </w:p>
    <w:p w:rsidR="007C3E2D" w:rsidRDefault="007C3E2D" w:rsidP="007C3E2D">
      <w:pPr>
        <w:tabs>
          <w:tab w:val="left" w:pos="0"/>
        </w:tabs>
        <w:spacing w:line="360" w:lineRule="auto"/>
        <w:ind w:firstLine="0"/>
        <w:jc w:val="left"/>
        <w:rPr>
          <w:sz w:val="24"/>
          <w:szCs w:val="24"/>
          <w:lang w:val="en-US"/>
        </w:rPr>
      </w:pPr>
    </w:p>
    <w:p w:rsidR="00282476" w:rsidRDefault="007C3E2D" w:rsidP="001807E4">
      <w:pPr>
        <w:tabs>
          <w:tab w:val="left" w:pos="0"/>
        </w:tabs>
        <w:spacing w:line="360" w:lineRule="auto"/>
        <w:ind w:firstLine="720"/>
        <w:rPr>
          <w:sz w:val="24"/>
          <w:szCs w:val="24"/>
        </w:rPr>
      </w:pPr>
      <w:r w:rsidRPr="007C3E2D">
        <w:rPr>
          <w:sz w:val="24"/>
          <w:szCs w:val="24"/>
        </w:rPr>
        <w:t xml:space="preserve">Skolos valdymo politika yra neatskiriama valstybės ekonominės politikos dalis. </w:t>
      </w:r>
      <w:r w:rsidR="00701E49">
        <w:rPr>
          <w:sz w:val="24"/>
          <w:szCs w:val="24"/>
        </w:rPr>
        <w:t>Efektyvus valstybės skolos valdymas yra finansinio stabilumo ir tvarios fiskalinės politikos kertinis akmuo.</w:t>
      </w:r>
      <w:r w:rsidR="00226A44">
        <w:rPr>
          <w:sz w:val="24"/>
          <w:szCs w:val="24"/>
        </w:rPr>
        <w:t xml:space="preserve"> </w:t>
      </w:r>
      <w:r w:rsidR="00282476">
        <w:rPr>
          <w:sz w:val="24"/>
          <w:szCs w:val="24"/>
        </w:rPr>
        <w:t xml:space="preserve">Vyrauja </w:t>
      </w:r>
      <w:r w:rsidR="00282476">
        <w:rPr>
          <w:sz w:val="24"/>
          <w:szCs w:val="24"/>
        </w:rPr>
        <w:lastRenderedPageBreak/>
        <w:t>plačiai paplitusi nuomonė, jog efektyvus valstybės skolos valdymas gali padėti šalims susimaž</w:t>
      </w:r>
      <w:r w:rsidR="00762A7D">
        <w:rPr>
          <w:sz w:val="24"/>
          <w:szCs w:val="24"/>
        </w:rPr>
        <w:t xml:space="preserve">inti skolos aptarnavimo kaštus, </w:t>
      </w:r>
      <w:r w:rsidR="001807E4">
        <w:rPr>
          <w:sz w:val="24"/>
          <w:szCs w:val="24"/>
        </w:rPr>
        <w:t xml:space="preserve">suteikia galimybę </w:t>
      </w:r>
      <w:r w:rsidR="00282476">
        <w:rPr>
          <w:sz w:val="24"/>
          <w:szCs w:val="24"/>
        </w:rPr>
        <w:t>valdyti finansinę riziką, palengvinti finansinio stabilumo išlaikymą bei plėtoti visą šalies finansų sistemą.</w:t>
      </w:r>
      <w:r w:rsidR="00FE552E">
        <w:rPr>
          <w:sz w:val="24"/>
          <w:szCs w:val="24"/>
        </w:rPr>
        <w:t xml:space="preserve"> </w:t>
      </w:r>
      <w:r w:rsidR="00762A7D">
        <w:rPr>
          <w:sz w:val="24"/>
          <w:szCs w:val="24"/>
        </w:rPr>
        <w:t>Tuo tarpu n</w:t>
      </w:r>
      <w:r w:rsidR="0011603F">
        <w:rPr>
          <w:sz w:val="24"/>
          <w:szCs w:val="24"/>
        </w:rPr>
        <w:t xml:space="preserve">etinkamai formuojama valstybės skolos struktūra (valiutos, laikotarpio, palūkanų normos ir pan. atžvilgiais) </w:t>
      </w:r>
      <w:r w:rsidR="00757286">
        <w:rPr>
          <w:sz w:val="24"/>
          <w:szCs w:val="24"/>
        </w:rPr>
        <w:t xml:space="preserve">ne vienoje šalyje yra smarkai prisidėjusi prie ekonominės krizės. </w:t>
      </w:r>
    </w:p>
    <w:p w:rsidR="007A113D" w:rsidRPr="0097219B" w:rsidRDefault="00776018" w:rsidP="00282476">
      <w:pPr>
        <w:tabs>
          <w:tab w:val="left" w:pos="0"/>
        </w:tabs>
        <w:spacing w:line="360" w:lineRule="auto"/>
        <w:ind w:firstLine="720"/>
        <w:rPr>
          <w:sz w:val="24"/>
          <w:szCs w:val="24"/>
        </w:rPr>
      </w:pPr>
      <w:r>
        <w:rPr>
          <w:sz w:val="24"/>
          <w:szCs w:val="24"/>
        </w:rPr>
        <w:t>Kaip teigia</w:t>
      </w:r>
      <w:r w:rsidR="00EA5328">
        <w:rPr>
          <w:sz w:val="24"/>
          <w:szCs w:val="24"/>
        </w:rPr>
        <w:t xml:space="preserve">ma Tarptautinio valiutos fondo ir Pasaulio banko bendrai parengtame dokumente </w:t>
      </w:r>
      <w:r w:rsidR="00EA5328" w:rsidRPr="0011603F">
        <w:rPr>
          <w:i/>
          <w:sz w:val="24"/>
          <w:szCs w:val="24"/>
        </w:rPr>
        <w:t>Valstybės skolos valdymo gairė</w:t>
      </w:r>
      <w:r w:rsidR="00362DCC">
        <w:rPr>
          <w:i/>
          <w:sz w:val="24"/>
          <w:szCs w:val="24"/>
        </w:rPr>
        <w:t>s (angl. Guidelines for Public Debt Management)</w:t>
      </w:r>
      <w:r>
        <w:rPr>
          <w:sz w:val="24"/>
          <w:szCs w:val="24"/>
        </w:rPr>
        <w:t xml:space="preserve"> p</w:t>
      </w:r>
      <w:r w:rsidR="007C3E2D" w:rsidRPr="007C3E2D">
        <w:rPr>
          <w:sz w:val="24"/>
          <w:szCs w:val="24"/>
        </w:rPr>
        <w:t>agrindinis valstybės skolos valdymo tikslas – užtikrinti Vyriausybės skolinimosi poreikio finansavimą kuo mažesnėmis</w:t>
      </w:r>
      <w:r w:rsidR="006D4093">
        <w:rPr>
          <w:sz w:val="24"/>
          <w:szCs w:val="24"/>
        </w:rPr>
        <w:t xml:space="preserve"> sąnaudomis ir priimtina rizika</w:t>
      </w:r>
      <w:r>
        <w:rPr>
          <w:sz w:val="24"/>
          <w:szCs w:val="24"/>
        </w:rPr>
        <w:t>. Tokį tikslą, kaip svarbiausi</w:t>
      </w:r>
      <w:r w:rsidR="00034A67">
        <w:rPr>
          <w:sz w:val="24"/>
          <w:szCs w:val="24"/>
        </w:rPr>
        <w:t>ą valdant valstybės skolą, kelia</w:t>
      </w:r>
      <w:r>
        <w:rPr>
          <w:sz w:val="24"/>
          <w:szCs w:val="24"/>
        </w:rPr>
        <w:t xml:space="preserve"> dauguma Europos šalių.</w:t>
      </w:r>
    </w:p>
    <w:p w:rsidR="00E60150" w:rsidRDefault="00034A67" w:rsidP="00E60150">
      <w:pPr>
        <w:tabs>
          <w:tab w:val="left" w:pos="0"/>
        </w:tabs>
        <w:spacing w:line="360" w:lineRule="auto"/>
        <w:ind w:firstLine="720"/>
        <w:rPr>
          <w:sz w:val="24"/>
          <w:szCs w:val="24"/>
        </w:rPr>
      </w:pPr>
      <w:r>
        <w:rPr>
          <w:sz w:val="24"/>
          <w:szCs w:val="24"/>
        </w:rPr>
        <w:t>Y</w:t>
      </w:r>
      <w:r w:rsidR="00FB294E">
        <w:rPr>
          <w:sz w:val="24"/>
          <w:szCs w:val="24"/>
        </w:rPr>
        <w:t>ra</w:t>
      </w:r>
      <w:r w:rsidR="00FB294E" w:rsidRPr="00FB294E">
        <w:rPr>
          <w:sz w:val="24"/>
          <w:szCs w:val="24"/>
        </w:rPr>
        <w:t xml:space="preserve"> nemažai </w:t>
      </w:r>
      <w:r w:rsidR="00FB294E">
        <w:rPr>
          <w:sz w:val="24"/>
          <w:szCs w:val="24"/>
        </w:rPr>
        <w:t xml:space="preserve">teorijų, </w:t>
      </w:r>
      <w:r w:rsidR="0097219B">
        <w:rPr>
          <w:sz w:val="24"/>
          <w:szCs w:val="24"/>
        </w:rPr>
        <w:t>nurodančių kaip efe</w:t>
      </w:r>
      <w:r w:rsidR="00E60150">
        <w:rPr>
          <w:sz w:val="24"/>
          <w:szCs w:val="24"/>
        </w:rPr>
        <w:t xml:space="preserve">ktyviai valdyti valstybės skolą. </w:t>
      </w:r>
      <w:r w:rsidR="006D4093">
        <w:rPr>
          <w:sz w:val="24"/>
          <w:szCs w:val="24"/>
        </w:rPr>
        <w:t xml:space="preserve">Jos apima </w:t>
      </w:r>
      <w:r w:rsidR="00FB294E">
        <w:rPr>
          <w:sz w:val="24"/>
          <w:szCs w:val="24"/>
        </w:rPr>
        <w:t>makroekonomikos stab</w:t>
      </w:r>
      <w:r w:rsidR="008D107F">
        <w:rPr>
          <w:sz w:val="24"/>
          <w:szCs w:val="24"/>
        </w:rPr>
        <w:t>i</w:t>
      </w:r>
      <w:r w:rsidR="00FB294E">
        <w:rPr>
          <w:sz w:val="24"/>
          <w:szCs w:val="24"/>
        </w:rPr>
        <w:t>lizavimą, nacionalinių finansų rinkų plėtrą, monetarinės politikos palaikymą, k</w:t>
      </w:r>
      <w:r w:rsidR="0097219B">
        <w:rPr>
          <w:sz w:val="24"/>
          <w:szCs w:val="24"/>
        </w:rPr>
        <w:t>aštų ir rizikos minimizavi</w:t>
      </w:r>
      <w:r w:rsidR="00273424">
        <w:rPr>
          <w:sz w:val="24"/>
          <w:szCs w:val="24"/>
        </w:rPr>
        <w:t xml:space="preserve">mą. </w:t>
      </w:r>
      <w:r w:rsidR="00E60150">
        <w:rPr>
          <w:sz w:val="24"/>
          <w:szCs w:val="24"/>
        </w:rPr>
        <w:t xml:space="preserve">Dauguma jų teigia, kad valstybės skolos valdymas apskritai turi tilpti į visos makroekonominės politikos rėmus, tam kad </w:t>
      </w:r>
      <w:r w:rsidR="00762A7D">
        <w:rPr>
          <w:sz w:val="24"/>
          <w:szCs w:val="24"/>
        </w:rPr>
        <w:t xml:space="preserve">būtų galima </w:t>
      </w:r>
      <w:r w:rsidR="00E60150">
        <w:rPr>
          <w:sz w:val="24"/>
          <w:szCs w:val="24"/>
        </w:rPr>
        <w:t xml:space="preserve">išlaikyti stabilumą ir prisidėti prie </w:t>
      </w:r>
      <w:r w:rsidR="00762A7D">
        <w:rPr>
          <w:sz w:val="24"/>
          <w:szCs w:val="24"/>
        </w:rPr>
        <w:t xml:space="preserve">šalies ekonominio </w:t>
      </w:r>
      <w:r w:rsidR="00E60150">
        <w:rPr>
          <w:sz w:val="24"/>
          <w:szCs w:val="24"/>
        </w:rPr>
        <w:t xml:space="preserve">augimo. </w:t>
      </w:r>
      <w:r w:rsidR="008D107F">
        <w:rPr>
          <w:sz w:val="24"/>
          <w:szCs w:val="24"/>
        </w:rPr>
        <w:t>Tai</w:t>
      </w:r>
      <w:r w:rsidR="00E60150">
        <w:rPr>
          <w:sz w:val="24"/>
          <w:szCs w:val="24"/>
        </w:rPr>
        <w:t>, kad valstybės skolos valdymas</w:t>
      </w:r>
      <w:r w:rsidR="008D107F">
        <w:rPr>
          <w:sz w:val="24"/>
          <w:szCs w:val="24"/>
        </w:rPr>
        <w:t xml:space="preserve"> </w:t>
      </w:r>
      <w:r w:rsidR="00E60150">
        <w:rPr>
          <w:sz w:val="24"/>
          <w:szCs w:val="24"/>
        </w:rPr>
        <w:t>siejamas su</w:t>
      </w:r>
      <w:r w:rsidR="008D107F">
        <w:rPr>
          <w:sz w:val="24"/>
          <w:szCs w:val="24"/>
        </w:rPr>
        <w:t xml:space="preserve"> makroekonominiai</w:t>
      </w:r>
      <w:r w:rsidR="00E60150">
        <w:rPr>
          <w:sz w:val="24"/>
          <w:szCs w:val="24"/>
        </w:rPr>
        <w:t>s</w:t>
      </w:r>
      <w:r w:rsidR="008D107F">
        <w:rPr>
          <w:sz w:val="24"/>
          <w:szCs w:val="24"/>
        </w:rPr>
        <w:t xml:space="preserve"> tikslai</w:t>
      </w:r>
      <w:r w:rsidR="00E60150">
        <w:rPr>
          <w:sz w:val="24"/>
          <w:szCs w:val="24"/>
        </w:rPr>
        <w:t>s</w:t>
      </w:r>
      <w:r w:rsidR="008D107F">
        <w:rPr>
          <w:sz w:val="24"/>
          <w:szCs w:val="24"/>
        </w:rPr>
        <w:t xml:space="preserve">, parodo, jog </w:t>
      </w:r>
      <w:r w:rsidR="00E60150">
        <w:rPr>
          <w:sz w:val="24"/>
          <w:szCs w:val="24"/>
        </w:rPr>
        <w:t>jis</w:t>
      </w:r>
      <w:r w:rsidR="008D107F">
        <w:rPr>
          <w:sz w:val="24"/>
          <w:szCs w:val="24"/>
        </w:rPr>
        <w:t xml:space="preserve"> skiriasi nuo skolų valdymo privačiame sektoriuje, kur pagrindinis tikslas yra kaštų mažinimas. Be to, privačiame sektoriuje turtas ir įsipareigojimai tarpusavyje yra labai susiję, tuo tarpu valstybiniame sektoriuje tokios tiesioginės sąsajos </w:t>
      </w:r>
      <w:r w:rsidR="00206E9A">
        <w:rPr>
          <w:sz w:val="24"/>
          <w:szCs w:val="24"/>
        </w:rPr>
        <w:t xml:space="preserve">dažniausiai </w:t>
      </w:r>
      <w:r w:rsidR="00273424">
        <w:rPr>
          <w:sz w:val="24"/>
          <w:szCs w:val="24"/>
        </w:rPr>
        <w:t xml:space="preserve">nėra (Wolswijk, Hann, 2005). </w:t>
      </w:r>
      <w:r w:rsidR="00A25ACD">
        <w:rPr>
          <w:sz w:val="24"/>
          <w:szCs w:val="24"/>
        </w:rPr>
        <w:t>Glaudi valstybės skolos valdymo sąsaja</w:t>
      </w:r>
      <w:r w:rsidR="0009116A">
        <w:rPr>
          <w:sz w:val="24"/>
          <w:szCs w:val="24"/>
        </w:rPr>
        <w:t xml:space="preserve"> su makrooekonominiais tikslais ir makroekonominio stabilumo užtikrinimu, leidžia manyt</w:t>
      </w:r>
      <w:r w:rsidR="00E07529">
        <w:rPr>
          <w:sz w:val="24"/>
          <w:szCs w:val="24"/>
        </w:rPr>
        <w:t>i</w:t>
      </w:r>
      <w:r w:rsidR="0009116A">
        <w:rPr>
          <w:sz w:val="24"/>
          <w:szCs w:val="24"/>
        </w:rPr>
        <w:t xml:space="preserve">, jog valstybės skolos </w:t>
      </w:r>
      <w:r w:rsidR="00F6015E">
        <w:rPr>
          <w:sz w:val="24"/>
          <w:szCs w:val="24"/>
        </w:rPr>
        <w:t>valdymas turėtų būti patikėtas finansų m</w:t>
      </w:r>
      <w:r w:rsidR="0009116A">
        <w:rPr>
          <w:sz w:val="24"/>
          <w:szCs w:val="24"/>
        </w:rPr>
        <w:t xml:space="preserve">insterijai. Taip pat esant valstybės skolos valdymo </w:t>
      </w:r>
      <w:r w:rsidR="00A25ACD">
        <w:rPr>
          <w:sz w:val="24"/>
          <w:szCs w:val="24"/>
        </w:rPr>
        <w:t>ryšiui</w:t>
      </w:r>
      <w:r w:rsidR="0009116A">
        <w:rPr>
          <w:sz w:val="24"/>
          <w:szCs w:val="24"/>
        </w:rPr>
        <w:t xml:space="preserve"> su </w:t>
      </w:r>
      <w:r>
        <w:rPr>
          <w:sz w:val="24"/>
          <w:szCs w:val="24"/>
        </w:rPr>
        <w:t xml:space="preserve">šalies </w:t>
      </w:r>
      <w:r w:rsidR="0009116A">
        <w:rPr>
          <w:sz w:val="24"/>
          <w:szCs w:val="24"/>
        </w:rPr>
        <w:t>m</w:t>
      </w:r>
      <w:r w:rsidR="000A4E4E">
        <w:rPr>
          <w:sz w:val="24"/>
          <w:szCs w:val="24"/>
        </w:rPr>
        <w:t>o</w:t>
      </w:r>
      <w:r w:rsidR="0009116A">
        <w:rPr>
          <w:sz w:val="24"/>
          <w:szCs w:val="24"/>
        </w:rPr>
        <w:t xml:space="preserve">netarine politika, tam tikra atsakomybė </w:t>
      </w:r>
      <w:r w:rsidR="000A4E4E">
        <w:rPr>
          <w:sz w:val="24"/>
          <w:szCs w:val="24"/>
        </w:rPr>
        <w:t>už valstybės skolos valdymą gali būti patikima ir šalies c</w:t>
      </w:r>
      <w:r w:rsidR="0009116A">
        <w:rPr>
          <w:sz w:val="24"/>
          <w:szCs w:val="24"/>
        </w:rPr>
        <w:t>entriniam bankui.</w:t>
      </w:r>
      <w:r w:rsidR="000A4E4E">
        <w:rPr>
          <w:sz w:val="24"/>
          <w:szCs w:val="24"/>
        </w:rPr>
        <w:t xml:space="preserve"> Buškevičiūtės (2008) teigimu, dažniausiai valstybės skolos valdyme dalyvauja įstatymus leidžianti institucija bei vyriausybė ir/arba centrinis</w:t>
      </w:r>
      <w:r w:rsidR="0029264B">
        <w:rPr>
          <w:sz w:val="24"/>
          <w:szCs w:val="24"/>
        </w:rPr>
        <w:t xml:space="preserve"> bankas. </w:t>
      </w:r>
    </w:p>
    <w:p w:rsidR="0011603F" w:rsidRPr="0011603F" w:rsidRDefault="0011603F" w:rsidP="0011603F">
      <w:pPr>
        <w:tabs>
          <w:tab w:val="left" w:pos="0"/>
        </w:tabs>
        <w:spacing w:line="360" w:lineRule="auto"/>
        <w:rPr>
          <w:sz w:val="24"/>
          <w:szCs w:val="24"/>
        </w:rPr>
      </w:pPr>
      <w:r>
        <w:rPr>
          <w:sz w:val="24"/>
          <w:szCs w:val="24"/>
        </w:rPr>
        <w:t xml:space="preserve">Tarptautinio valiutos fondo ir Pasaulio banko bendrai parengtame dokumente </w:t>
      </w:r>
      <w:r w:rsidRPr="0011603F">
        <w:rPr>
          <w:i/>
          <w:sz w:val="24"/>
          <w:szCs w:val="24"/>
        </w:rPr>
        <w:t>Valstybės skolos valdymo gairės</w:t>
      </w:r>
      <w:r>
        <w:rPr>
          <w:i/>
          <w:sz w:val="24"/>
          <w:szCs w:val="24"/>
        </w:rPr>
        <w:t xml:space="preserve">  </w:t>
      </w:r>
      <w:r w:rsidR="004C6EFF">
        <w:rPr>
          <w:sz w:val="24"/>
          <w:szCs w:val="24"/>
        </w:rPr>
        <w:t>irgi minima,</w:t>
      </w:r>
      <w:r>
        <w:rPr>
          <w:sz w:val="24"/>
          <w:szCs w:val="24"/>
        </w:rPr>
        <w:t xml:space="preserve"> jog valstybės skola turi būti derinama su fiskaline ir monetarine politika.</w:t>
      </w:r>
      <w:r w:rsidR="00455598">
        <w:rPr>
          <w:sz w:val="24"/>
          <w:szCs w:val="24"/>
        </w:rPr>
        <w:t xml:space="preserve"> Tačiau tuo pačiu teigiama, jog </w:t>
      </w:r>
      <w:r w:rsidR="004C6EFF">
        <w:rPr>
          <w:sz w:val="24"/>
          <w:szCs w:val="24"/>
        </w:rPr>
        <w:t>netinkama fiskalinė ir monetarinė politika dažnai tampa rizikingos</w:t>
      </w:r>
      <w:r w:rsidR="004B73A3">
        <w:rPr>
          <w:sz w:val="24"/>
          <w:szCs w:val="24"/>
        </w:rPr>
        <w:t xml:space="preserve"> valstybės skolos struktūros </w:t>
      </w:r>
      <w:r w:rsidR="004C6EFF">
        <w:rPr>
          <w:sz w:val="24"/>
          <w:szCs w:val="24"/>
        </w:rPr>
        <w:t>priežastimi.</w:t>
      </w:r>
      <w:r w:rsidR="00DF1D30">
        <w:rPr>
          <w:sz w:val="24"/>
          <w:szCs w:val="24"/>
        </w:rPr>
        <w:t xml:space="preserve"> Esant silpnai makroekonominei politikai, net protinga ir pagrįsta skolos valdymo  politika nepadės išvengti krizių. Pagrįsta skolos valdymo politika </w:t>
      </w:r>
      <w:r w:rsidR="007949F0">
        <w:rPr>
          <w:sz w:val="24"/>
          <w:szCs w:val="24"/>
        </w:rPr>
        <w:t xml:space="preserve">tik </w:t>
      </w:r>
      <w:r w:rsidR="00DF1D30">
        <w:rPr>
          <w:sz w:val="24"/>
          <w:szCs w:val="24"/>
        </w:rPr>
        <w:t>sumažina finansinės rizikos išplitimo galimybę</w:t>
      </w:r>
      <w:r w:rsidR="007949F0">
        <w:rPr>
          <w:sz w:val="24"/>
          <w:szCs w:val="24"/>
        </w:rPr>
        <w:t>.</w:t>
      </w:r>
    </w:p>
    <w:p w:rsidR="007E51C0" w:rsidRDefault="00B90811" w:rsidP="009F7BE5">
      <w:pPr>
        <w:tabs>
          <w:tab w:val="left" w:pos="0"/>
        </w:tabs>
        <w:spacing w:line="360" w:lineRule="auto"/>
        <w:ind w:firstLine="720"/>
        <w:rPr>
          <w:sz w:val="24"/>
          <w:szCs w:val="24"/>
        </w:rPr>
      </w:pPr>
      <w:r>
        <w:rPr>
          <w:sz w:val="24"/>
          <w:szCs w:val="24"/>
        </w:rPr>
        <w:t>Todėl</w:t>
      </w:r>
      <w:r w:rsidR="00E8106E">
        <w:rPr>
          <w:sz w:val="24"/>
          <w:szCs w:val="24"/>
        </w:rPr>
        <w:t xml:space="preserve"> </w:t>
      </w:r>
      <w:r w:rsidR="001B3B4B">
        <w:rPr>
          <w:sz w:val="24"/>
          <w:szCs w:val="24"/>
        </w:rPr>
        <w:t>vis dažniau tarp pratikų atsiranda siūlymų, kad valstybės skolos valdymas turėtų būti laikomas kaip atskira makroekonominė politika</w:t>
      </w:r>
      <w:r w:rsidR="00E60150">
        <w:rPr>
          <w:sz w:val="24"/>
          <w:szCs w:val="24"/>
        </w:rPr>
        <w:t>,</w:t>
      </w:r>
      <w:r w:rsidR="001B3B4B">
        <w:rPr>
          <w:sz w:val="24"/>
          <w:szCs w:val="24"/>
        </w:rPr>
        <w:t xml:space="preserve"> su atskirais tikslais ir priemonėmis (Togo, 2007). </w:t>
      </w:r>
      <w:r w:rsidR="0029264B">
        <w:rPr>
          <w:sz w:val="24"/>
          <w:szCs w:val="24"/>
        </w:rPr>
        <w:t xml:space="preserve">Kai kuriose </w:t>
      </w:r>
      <w:r w:rsidR="002A36A7">
        <w:rPr>
          <w:sz w:val="24"/>
          <w:szCs w:val="24"/>
        </w:rPr>
        <w:t xml:space="preserve">išsivysčiusiose </w:t>
      </w:r>
      <w:r w:rsidR="0029264B">
        <w:rPr>
          <w:sz w:val="24"/>
          <w:szCs w:val="24"/>
        </w:rPr>
        <w:t xml:space="preserve">šalyse už skolos valdymą </w:t>
      </w:r>
      <w:r w:rsidR="00F6015E">
        <w:rPr>
          <w:sz w:val="24"/>
          <w:szCs w:val="24"/>
        </w:rPr>
        <w:t xml:space="preserve">yra </w:t>
      </w:r>
      <w:r w:rsidR="0029264B">
        <w:rPr>
          <w:sz w:val="24"/>
          <w:szCs w:val="24"/>
        </w:rPr>
        <w:t xml:space="preserve">atsakinga speciali parlamentui pavaldi institucija. </w:t>
      </w:r>
      <w:r w:rsidR="00620411">
        <w:rPr>
          <w:sz w:val="24"/>
          <w:szCs w:val="24"/>
        </w:rPr>
        <w:lastRenderedPageBreak/>
        <w:t>Nemažai</w:t>
      </w:r>
      <w:r w:rsidR="0029264B">
        <w:rPr>
          <w:sz w:val="24"/>
          <w:szCs w:val="24"/>
        </w:rPr>
        <w:t xml:space="preserve"> už</w:t>
      </w:r>
      <w:r w:rsidR="002A36A7">
        <w:rPr>
          <w:sz w:val="24"/>
          <w:szCs w:val="24"/>
        </w:rPr>
        <w:t xml:space="preserve">sienio ekspertų pritaria </w:t>
      </w:r>
      <w:r w:rsidR="0029264B">
        <w:rPr>
          <w:sz w:val="24"/>
          <w:szCs w:val="24"/>
        </w:rPr>
        <w:t xml:space="preserve">šalyse </w:t>
      </w:r>
      <w:r w:rsidR="00F41C59">
        <w:rPr>
          <w:sz w:val="24"/>
          <w:szCs w:val="24"/>
        </w:rPr>
        <w:t xml:space="preserve">esančioms </w:t>
      </w:r>
      <w:r w:rsidR="0029264B">
        <w:rPr>
          <w:sz w:val="24"/>
          <w:szCs w:val="24"/>
        </w:rPr>
        <w:t>nepriklausomoms valstybės skolos valdymo tarnyboms, taip pat pastebi, kad geresnių rezultatų pasiekiama, kai skolą valdo viena institucija nei išskaidant išteklius keliems valstybės valdymo organams.</w:t>
      </w:r>
      <w:r w:rsidR="007E312C">
        <w:rPr>
          <w:sz w:val="24"/>
          <w:szCs w:val="24"/>
        </w:rPr>
        <w:t xml:space="preserve"> Siekdamos nepriklausomybės nuo politikų įtakos, tarnybos turi tam tikrą autonomiją, ir tada valstybės skola va</w:t>
      </w:r>
      <w:r w:rsidR="00762A7D">
        <w:rPr>
          <w:sz w:val="24"/>
          <w:szCs w:val="24"/>
        </w:rPr>
        <w:t xml:space="preserve">ldoma skaidriau ir veiksmingiau (Buškevičiūtė, 2008). </w:t>
      </w:r>
      <w:r w:rsidR="00F41C59">
        <w:rPr>
          <w:sz w:val="24"/>
          <w:szCs w:val="24"/>
        </w:rPr>
        <w:t>Pavyzdžiui, kuomet valdžia yra atsakinga ir už fiskalinę politiką, ir valstybės skolos valdymą, jos tikslas gali būti trumpuoju laikotarpiu skirti mažiau lėšų valstybės skolos aptarnavimui tam, kad turėti daugiau finansinių išteklių esamu laikotarpiu. Tačiau ateityje tai gal</w:t>
      </w:r>
      <w:r w:rsidR="0070128E">
        <w:rPr>
          <w:sz w:val="24"/>
          <w:szCs w:val="24"/>
        </w:rPr>
        <w:t>i</w:t>
      </w:r>
      <w:r w:rsidR="00F41C59">
        <w:rPr>
          <w:sz w:val="24"/>
          <w:szCs w:val="24"/>
        </w:rPr>
        <w:t xml:space="preserve"> lemti padidėjusias valstybės skolos aptarnavimo išlaidas bei atitinkamai valstybės išlaidų mažinimą arba mokesčių didinimą.</w:t>
      </w:r>
      <w:r w:rsidR="0070128E">
        <w:rPr>
          <w:sz w:val="24"/>
          <w:szCs w:val="24"/>
        </w:rPr>
        <w:t xml:space="preserve"> Nors valdžia, politikai turėtų būti suinteresuoti ateities perspektyvomis, realybė yra tokia, jog dažnai jie pasiduoda įvairiems spaudimams ir priima sprendimus, lemiančius tik trumpalaikę gerovę.</w:t>
      </w:r>
      <w:r w:rsidR="00AC0D5A">
        <w:rPr>
          <w:sz w:val="24"/>
          <w:szCs w:val="24"/>
        </w:rPr>
        <w:t xml:space="preserve"> P</w:t>
      </w:r>
      <w:r w:rsidR="000D2F73">
        <w:rPr>
          <w:sz w:val="24"/>
          <w:szCs w:val="24"/>
        </w:rPr>
        <w:t xml:space="preserve">anaši situacija susidaro ir </w:t>
      </w:r>
      <w:r w:rsidR="00AC0D5A">
        <w:rPr>
          <w:sz w:val="24"/>
          <w:szCs w:val="24"/>
        </w:rPr>
        <w:t xml:space="preserve">tuomet, kai </w:t>
      </w:r>
      <w:r w:rsidR="000D2F73">
        <w:rPr>
          <w:sz w:val="24"/>
          <w:szCs w:val="24"/>
        </w:rPr>
        <w:t>valdžios institucijos vykd</w:t>
      </w:r>
      <w:r w:rsidR="004D7D18">
        <w:rPr>
          <w:sz w:val="24"/>
          <w:szCs w:val="24"/>
        </w:rPr>
        <w:t>o</w:t>
      </w:r>
      <w:r w:rsidR="000D2F73">
        <w:rPr>
          <w:sz w:val="24"/>
          <w:szCs w:val="24"/>
        </w:rPr>
        <w:t>mo</w:t>
      </w:r>
      <w:r w:rsidR="004D7D18">
        <w:rPr>
          <w:sz w:val="24"/>
          <w:szCs w:val="24"/>
        </w:rPr>
        <w:t>s</w:t>
      </w:r>
      <w:r w:rsidR="00AC0D5A">
        <w:rPr>
          <w:sz w:val="24"/>
          <w:szCs w:val="24"/>
        </w:rPr>
        <w:t xml:space="preserve"> monetarinė</w:t>
      </w:r>
      <w:r w:rsidR="004D7D18">
        <w:rPr>
          <w:sz w:val="24"/>
          <w:szCs w:val="24"/>
        </w:rPr>
        <w:t>s politikos tiks</w:t>
      </w:r>
      <w:r w:rsidR="00762A7D">
        <w:rPr>
          <w:sz w:val="24"/>
          <w:szCs w:val="24"/>
        </w:rPr>
        <w:t>las yra suvaldyti infliaciją, o</w:t>
      </w:r>
      <w:r w:rsidR="004D7D18">
        <w:rPr>
          <w:sz w:val="24"/>
          <w:szCs w:val="24"/>
        </w:rPr>
        <w:t xml:space="preserve"> tai valdžiai </w:t>
      </w:r>
      <w:r w:rsidR="002A36A7">
        <w:rPr>
          <w:sz w:val="24"/>
          <w:szCs w:val="24"/>
        </w:rPr>
        <w:t xml:space="preserve">kartu </w:t>
      </w:r>
      <w:r w:rsidR="004D7D18">
        <w:rPr>
          <w:sz w:val="24"/>
          <w:szCs w:val="24"/>
        </w:rPr>
        <w:t>esant atsakingai ir už valstybės skolos valdymą, gali būti stengiamasi išlaikyti žemesnes palūkanų normas.</w:t>
      </w:r>
      <w:r w:rsidR="000D2F73">
        <w:rPr>
          <w:sz w:val="24"/>
          <w:szCs w:val="24"/>
        </w:rPr>
        <w:t xml:space="preserve"> Tai padeda sumažinti valstybės skolos aptarnavimo išlaidas, bet sukelia riziką, jog ateityje padidės infliacija.</w:t>
      </w:r>
      <w:r w:rsidR="00793678">
        <w:rPr>
          <w:sz w:val="24"/>
          <w:szCs w:val="24"/>
        </w:rPr>
        <w:t xml:space="preserve"> Taigi valstybės skolos valdymo </w:t>
      </w:r>
      <w:r w:rsidR="00396327">
        <w:rPr>
          <w:sz w:val="24"/>
          <w:szCs w:val="24"/>
        </w:rPr>
        <w:t xml:space="preserve">institucijų </w:t>
      </w:r>
      <w:r w:rsidR="00793678">
        <w:rPr>
          <w:sz w:val="24"/>
          <w:szCs w:val="24"/>
        </w:rPr>
        <w:t xml:space="preserve">atskyrimas nuo fiskalinės ir monetarinės politikos </w:t>
      </w:r>
      <w:r w:rsidR="0068001A">
        <w:rPr>
          <w:sz w:val="24"/>
          <w:szCs w:val="24"/>
        </w:rPr>
        <w:t>valdymo</w:t>
      </w:r>
      <w:r w:rsidR="00396327">
        <w:rPr>
          <w:sz w:val="24"/>
          <w:szCs w:val="24"/>
        </w:rPr>
        <w:t xml:space="preserve"> institucijų</w:t>
      </w:r>
      <w:r w:rsidR="0068001A">
        <w:rPr>
          <w:sz w:val="24"/>
          <w:szCs w:val="24"/>
        </w:rPr>
        <w:t xml:space="preserve"> </w:t>
      </w:r>
      <w:r w:rsidR="00793678">
        <w:rPr>
          <w:sz w:val="24"/>
          <w:szCs w:val="24"/>
        </w:rPr>
        <w:t xml:space="preserve">galėtų padėti išvengti interesų konfliktų bei, kaip jau minėta, </w:t>
      </w:r>
      <w:r w:rsidR="00E8106E">
        <w:rPr>
          <w:sz w:val="24"/>
          <w:szCs w:val="24"/>
        </w:rPr>
        <w:t xml:space="preserve">galimai </w:t>
      </w:r>
      <w:r w:rsidR="00793678">
        <w:rPr>
          <w:sz w:val="24"/>
          <w:szCs w:val="24"/>
        </w:rPr>
        <w:t>padidintų skolos valdymo skaidrumą ir patikimumą.</w:t>
      </w:r>
      <w:bookmarkStart w:id="66" w:name="_Toc358573088"/>
    </w:p>
    <w:p w:rsidR="0068001A" w:rsidRPr="00B12106" w:rsidRDefault="008429A8" w:rsidP="00D46190">
      <w:pPr>
        <w:pStyle w:val="Heading3"/>
        <w:rPr>
          <w:rFonts w:ascii="Times New Roman" w:hAnsi="Times New Roman" w:cs="Times New Roman"/>
          <w:color w:val="auto"/>
          <w:sz w:val="24"/>
          <w:szCs w:val="24"/>
          <w:lang w:val="en-US"/>
        </w:rPr>
      </w:pPr>
      <w:bookmarkStart w:id="67" w:name="_Toc373275071"/>
      <w:bookmarkStart w:id="68" w:name="_Toc373421065"/>
      <w:bookmarkStart w:id="69" w:name="_Toc373448084"/>
      <w:bookmarkStart w:id="70" w:name="_Toc374228637"/>
      <w:bookmarkStart w:id="71" w:name="_Toc374229039"/>
      <w:bookmarkStart w:id="72" w:name="_Toc374229150"/>
      <w:bookmarkStart w:id="73" w:name="_Toc374229443"/>
      <w:r w:rsidRPr="00B12106">
        <w:rPr>
          <w:rFonts w:ascii="Times New Roman" w:hAnsi="Times New Roman" w:cs="Times New Roman"/>
          <w:color w:val="auto"/>
          <w:sz w:val="24"/>
          <w:szCs w:val="24"/>
        </w:rPr>
        <w:t xml:space="preserve">1.4.1. </w:t>
      </w:r>
      <w:r w:rsidR="0068001A" w:rsidRPr="00B12106">
        <w:rPr>
          <w:rFonts w:ascii="Times New Roman" w:hAnsi="Times New Roman" w:cs="Times New Roman"/>
          <w:color w:val="auto"/>
          <w:sz w:val="24"/>
          <w:szCs w:val="24"/>
          <w:lang w:val="en-US"/>
        </w:rPr>
        <w:t>Valstyb</w:t>
      </w:r>
      <w:r w:rsidR="0068001A" w:rsidRPr="00B12106">
        <w:rPr>
          <w:rFonts w:ascii="Times New Roman" w:hAnsi="Times New Roman" w:cs="Times New Roman"/>
          <w:color w:val="auto"/>
          <w:sz w:val="24"/>
          <w:szCs w:val="24"/>
        </w:rPr>
        <w:t>ės skolos valdymo rizikos</w:t>
      </w:r>
      <w:bookmarkEnd w:id="66"/>
      <w:bookmarkEnd w:id="67"/>
      <w:bookmarkEnd w:id="68"/>
      <w:bookmarkEnd w:id="69"/>
      <w:bookmarkEnd w:id="70"/>
      <w:bookmarkEnd w:id="71"/>
      <w:bookmarkEnd w:id="72"/>
      <w:bookmarkEnd w:id="73"/>
    </w:p>
    <w:p w:rsidR="0068001A" w:rsidRPr="001639E7" w:rsidRDefault="0068001A" w:rsidP="0068001A">
      <w:pPr>
        <w:pStyle w:val="ListParagraph"/>
        <w:tabs>
          <w:tab w:val="left" w:pos="0"/>
        </w:tabs>
        <w:spacing w:line="360" w:lineRule="auto"/>
        <w:ind w:left="1800" w:firstLine="0"/>
        <w:rPr>
          <w:b/>
          <w:sz w:val="24"/>
          <w:szCs w:val="24"/>
          <w:lang w:val="en-US"/>
        </w:rPr>
      </w:pPr>
    </w:p>
    <w:p w:rsidR="001D72A6" w:rsidRDefault="001D4646" w:rsidP="009E76A2">
      <w:pPr>
        <w:tabs>
          <w:tab w:val="left" w:pos="0"/>
        </w:tabs>
        <w:spacing w:line="360" w:lineRule="auto"/>
        <w:ind w:firstLine="720"/>
        <w:rPr>
          <w:sz w:val="24"/>
          <w:szCs w:val="24"/>
        </w:rPr>
      </w:pPr>
      <w:r>
        <w:rPr>
          <w:sz w:val="24"/>
          <w:szCs w:val="24"/>
        </w:rPr>
        <w:t xml:space="preserve">Valdant valstybės skolą, </w:t>
      </w:r>
      <w:r w:rsidR="00291819">
        <w:rPr>
          <w:sz w:val="24"/>
          <w:szCs w:val="24"/>
        </w:rPr>
        <w:t xml:space="preserve">visada </w:t>
      </w:r>
      <w:r>
        <w:rPr>
          <w:sz w:val="24"/>
          <w:szCs w:val="24"/>
        </w:rPr>
        <w:t xml:space="preserve">tenka balansuoti tarp prisiimamos rizikos ir skolinimosi išlaidų. </w:t>
      </w:r>
    </w:p>
    <w:p w:rsidR="001D72A6" w:rsidRPr="001E313A" w:rsidRDefault="001D72A6" w:rsidP="001E313A">
      <w:pPr>
        <w:spacing w:line="360" w:lineRule="auto"/>
        <w:ind w:firstLine="720"/>
        <w:rPr>
          <w:sz w:val="24"/>
          <w:szCs w:val="24"/>
        </w:rPr>
      </w:pPr>
      <w:r w:rsidRPr="001E313A">
        <w:rPr>
          <w:sz w:val="24"/>
          <w:szCs w:val="24"/>
        </w:rPr>
        <w:t>Buškevičiūt</w:t>
      </w:r>
      <w:r w:rsidR="001E313A">
        <w:rPr>
          <w:sz w:val="24"/>
          <w:szCs w:val="24"/>
        </w:rPr>
        <w:t>ė (2008),</w:t>
      </w:r>
      <w:r w:rsidRPr="001E313A">
        <w:rPr>
          <w:sz w:val="24"/>
          <w:szCs w:val="24"/>
        </w:rPr>
        <w:t xml:space="preserve"> Kazlauskienė (2012)</w:t>
      </w:r>
      <w:r w:rsidR="001E313A">
        <w:rPr>
          <w:sz w:val="24"/>
          <w:szCs w:val="24"/>
        </w:rPr>
        <w:t>, Buckiūnienė (</w:t>
      </w:r>
      <w:r w:rsidR="001E313A" w:rsidRPr="001E313A">
        <w:rPr>
          <w:sz w:val="24"/>
          <w:szCs w:val="24"/>
        </w:rPr>
        <w:t>2011) mini tokias</w:t>
      </w:r>
      <w:r w:rsidRPr="001E313A">
        <w:rPr>
          <w:sz w:val="24"/>
          <w:szCs w:val="24"/>
        </w:rPr>
        <w:t xml:space="preserve"> val</w:t>
      </w:r>
      <w:r w:rsidR="001E313A">
        <w:rPr>
          <w:sz w:val="24"/>
          <w:szCs w:val="24"/>
        </w:rPr>
        <w:t>stybės skolos valdymo pagrindines fiskalinės rizi</w:t>
      </w:r>
      <w:r w:rsidR="001E313A">
        <w:rPr>
          <w:sz w:val="24"/>
          <w:szCs w:val="24"/>
        </w:rPr>
        <w:softHyphen/>
        <w:t>kos rūši</w:t>
      </w:r>
      <w:r w:rsidRPr="001E313A">
        <w:rPr>
          <w:sz w:val="24"/>
          <w:szCs w:val="24"/>
        </w:rPr>
        <w:t>s:</w:t>
      </w:r>
    </w:p>
    <w:p w:rsidR="001D72A6" w:rsidRPr="001E313A" w:rsidRDefault="001E313A" w:rsidP="001E313A">
      <w:pPr>
        <w:pStyle w:val="ListParagraph"/>
        <w:widowControl/>
        <w:numPr>
          <w:ilvl w:val="0"/>
          <w:numId w:val="12"/>
        </w:numPr>
        <w:spacing w:line="360" w:lineRule="auto"/>
        <w:rPr>
          <w:sz w:val="24"/>
          <w:szCs w:val="24"/>
        </w:rPr>
      </w:pPr>
      <w:r w:rsidRPr="001619F7">
        <w:rPr>
          <w:i/>
          <w:sz w:val="24"/>
          <w:szCs w:val="24"/>
        </w:rPr>
        <w:t>V</w:t>
      </w:r>
      <w:r w:rsidR="001D72A6" w:rsidRPr="001619F7">
        <w:rPr>
          <w:i/>
          <w:sz w:val="24"/>
          <w:szCs w:val="24"/>
        </w:rPr>
        <w:t>alstybės skola, arba refinansavimo rizika</w:t>
      </w:r>
      <w:r w:rsidR="001D72A6" w:rsidRPr="001E313A">
        <w:rPr>
          <w:sz w:val="24"/>
          <w:szCs w:val="24"/>
        </w:rPr>
        <w:t>. Palyginti didelė trumpalaikės skolos dalis, esant ekonomikos nestabilumui, gali būti sunkiai grąžinama dėl refinansavimo keblumų.</w:t>
      </w:r>
    </w:p>
    <w:p w:rsidR="001D72A6" w:rsidRPr="001E313A" w:rsidRDefault="001D72A6" w:rsidP="001E313A">
      <w:pPr>
        <w:pStyle w:val="ListParagraph"/>
        <w:widowControl/>
        <w:numPr>
          <w:ilvl w:val="0"/>
          <w:numId w:val="12"/>
        </w:numPr>
        <w:spacing w:line="360" w:lineRule="auto"/>
        <w:rPr>
          <w:sz w:val="24"/>
          <w:szCs w:val="24"/>
        </w:rPr>
      </w:pPr>
      <w:r w:rsidRPr="001619F7">
        <w:rPr>
          <w:i/>
          <w:sz w:val="24"/>
          <w:szCs w:val="24"/>
        </w:rPr>
        <w:t>Valstybės skolos valiutų kurso svyravimų rizika</w:t>
      </w:r>
      <w:r w:rsidRPr="001E313A">
        <w:rPr>
          <w:sz w:val="24"/>
          <w:szCs w:val="24"/>
        </w:rPr>
        <w:t>. Kai su užsienio skolos aptarnavimu susijusios išlaidos, išreikštos vidaus valiuta, didėja dėl valiutos kursų kitimo.</w:t>
      </w:r>
    </w:p>
    <w:p w:rsidR="001D72A6" w:rsidRPr="001E313A" w:rsidRDefault="001D72A6" w:rsidP="001E313A">
      <w:pPr>
        <w:pStyle w:val="ListParagraph"/>
        <w:widowControl/>
        <w:numPr>
          <w:ilvl w:val="0"/>
          <w:numId w:val="12"/>
        </w:numPr>
        <w:spacing w:line="360" w:lineRule="auto"/>
        <w:rPr>
          <w:sz w:val="24"/>
          <w:szCs w:val="24"/>
        </w:rPr>
      </w:pPr>
      <w:r w:rsidRPr="001619F7">
        <w:rPr>
          <w:i/>
          <w:sz w:val="24"/>
          <w:szCs w:val="24"/>
        </w:rPr>
        <w:t>Valstybės skolos palūkanų normų svyravimo rizika</w:t>
      </w:r>
      <w:r w:rsidRPr="001E313A">
        <w:rPr>
          <w:sz w:val="24"/>
          <w:szCs w:val="24"/>
        </w:rPr>
        <w:t>. Empiriškai nustatytas teigiamas ryšys tarp palūkanų lygio ir santykinės kintamųjų palūkanų skolos dalies: kuo palūkanų lygis aukštesnis, tuo palūkanų mažėjimo ateityje tikimybė yra didesnė. Todėl šiuo atveju skolintis kintamosiomis palū</w:t>
      </w:r>
      <w:r w:rsidR="00396327">
        <w:rPr>
          <w:sz w:val="24"/>
          <w:szCs w:val="24"/>
        </w:rPr>
        <w:t>kanomis yra naudingiau. S</w:t>
      </w:r>
      <w:r w:rsidRPr="001E313A">
        <w:rPr>
          <w:sz w:val="24"/>
          <w:szCs w:val="24"/>
        </w:rPr>
        <w:t>kolintis kintamosiomis palūkanomis ilgam laikotarpiui yra pigiau negu fiksuotomis palūkanomis, tačiau rizikinga. Be to, skolinantis kintamosiomis palūkanomis, sunku valdyti skolos piniginius srautus, nes skolos aptarnavimo išlaidos yra sunkiai prognozuojamos.</w:t>
      </w:r>
    </w:p>
    <w:p w:rsidR="00473ABC" w:rsidRDefault="001D72A6" w:rsidP="00473ABC">
      <w:pPr>
        <w:pStyle w:val="ListParagraph"/>
        <w:widowControl/>
        <w:numPr>
          <w:ilvl w:val="0"/>
          <w:numId w:val="12"/>
        </w:numPr>
        <w:spacing w:line="360" w:lineRule="auto"/>
        <w:rPr>
          <w:sz w:val="24"/>
          <w:szCs w:val="24"/>
        </w:rPr>
      </w:pPr>
      <w:r w:rsidRPr="001619F7">
        <w:rPr>
          <w:i/>
          <w:sz w:val="24"/>
          <w:szCs w:val="24"/>
        </w:rPr>
        <w:lastRenderedPageBreak/>
        <w:t>Netiesioginės valstybės skolos rizika.</w:t>
      </w:r>
      <w:r w:rsidRPr="00473ABC">
        <w:rPr>
          <w:sz w:val="24"/>
          <w:szCs w:val="24"/>
        </w:rPr>
        <w:t xml:space="preserve"> Netiesioginę valstybės skolą sudaro vidaus ir užsienio paskolos, suteiktos įvairiems ūkio subjektams ir institucijoms su valstybės garantija. Valdant tokį skolų portfelį, susiduriama su kredito rizika. Šiuo atveju skolininkas, už kurį garantavo kreditoriui valstybė, nevykdo savo įsipareigojimų pagal sutartį, ir juos įvykdyti tenka vyriausybei. Labai svarbu įv</w:t>
      </w:r>
      <w:r w:rsidR="00D871B3">
        <w:rPr>
          <w:sz w:val="24"/>
          <w:szCs w:val="24"/>
        </w:rPr>
        <w:t xml:space="preserve">ertinti skolininko kreditingumą </w:t>
      </w:r>
      <w:r w:rsidRPr="00473ABC">
        <w:rPr>
          <w:sz w:val="24"/>
          <w:szCs w:val="24"/>
        </w:rPr>
        <w:t>bei realias jo galimybes vykdyti skolinius įsipareigojimus.</w:t>
      </w:r>
    </w:p>
    <w:p w:rsidR="00473ABC" w:rsidRDefault="00473ABC" w:rsidP="00473ABC">
      <w:pPr>
        <w:widowControl/>
        <w:spacing w:line="360" w:lineRule="auto"/>
        <w:rPr>
          <w:sz w:val="24"/>
          <w:szCs w:val="24"/>
        </w:rPr>
      </w:pPr>
      <w:r>
        <w:rPr>
          <w:sz w:val="24"/>
          <w:szCs w:val="24"/>
        </w:rPr>
        <w:t>Buškevičiūtė (2008), Kazlauskienė (2012) dar išskiria v</w:t>
      </w:r>
      <w:r w:rsidR="001D72A6" w:rsidRPr="00473ABC">
        <w:rPr>
          <w:sz w:val="24"/>
          <w:szCs w:val="24"/>
        </w:rPr>
        <w:t>a</w:t>
      </w:r>
      <w:r>
        <w:rPr>
          <w:sz w:val="24"/>
          <w:szCs w:val="24"/>
        </w:rPr>
        <w:t xml:space="preserve">lstybės skolos </w:t>
      </w:r>
      <w:r w:rsidRPr="001619F7">
        <w:rPr>
          <w:i/>
          <w:sz w:val="24"/>
          <w:szCs w:val="24"/>
        </w:rPr>
        <w:t>operacinę riziką</w:t>
      </w:r>
      <w:r w:rsidR="001D72A6" w:rsidRPr="00473ABC">
        <w:rPr>
          <w:sz w:val="24"/>
          <w:szCs w:val="24"/>
        </w:rPr>
        <w:t>. Ši rizikos rūšis apima įvairius skolos valdymo momentus: apsaugos priemonių nebuvimo arba jų neveiksmingumo riziką, reputacijos ir teisinę riziką, vidaus kontrolės mechanizmų arba blogo jų valdymo (funkcionavimo) riziką, žmogaus veiksnio riziką (klaidos, susijusios su skolinimosi operacijų registravimu ir atlikimu) ir pan.</w:t>
      </w:r>
      <w:r w:rsidR="00A409B0">
        <w:rPr>
          <w:sz w:val="24"/>
          <w:szCs w:val="24"/>
        </w:rPr>
        <w:t>.</w:t>
      </w:r>
      <w:r w:rsidR="001D72A6" w:rsidRPr="00473ABC">
        <w:rPr>
          <w:sz w:val="24"/>
          <w:szCs w:val="24"/>
        </w:rPr>
        <w:t xml:space="preserve"> Išvengti šios rizikos galėtų padėti lanksti ir veiksminga valstybės skolos portfelio valdymo struktūra.</w:t>
      </w:r>
    </w:p>
    <w:p w:rsidR="007A113D" w:rsidRDefault="00473ABC" w:rsidP="00234E66">
      <w:pPr>
        <w:widowControl/>
        <w:spacing w:line="360" w:lineRule="auto"/>
        <w:rPr>
          <w:sz w:val="24"/>
          <w:szCs w:val="24"/>
        </w:rPr>
      </w:pPr>
      <w:r>
        <w:rPr>
          <w:sz w:val="24"/>
          <w:szCs w:val="24"/>
        </w:rPr>
        <w:t>Tarptautinis valiutos fondas išskiria 6 su valstybės skolos valdymu susijusias rizikos rūšis:</w:t>
      </w:r>
      <w:r w:rsidR="00234E66">
        <w:rPr>
          <w:sz w:val="24"/>
          <w:szCs w:val="24"/>
        </w:rPr>
        <w:t xml:space="preserve"> r</w:t>
      </w:r>
      <w:r w:rsidR="001D72A6" w:rsidRPr="00234E66">
        <w:rPr>
          <w:sz w:val="24"/>
          <w:szCs w:val="24"/>
        </w:rPr>
        <w:t>inkos rizika</w:t>
      </w:r>
      <w:r w:rsidR="00234E66">
        <w:rPr>
          <w:sz w:val="24"/>
          <w:szCs w:val="24"/>
        </w:rPr>
        <w:t>, l</w:t>
      </w:r>
      <w:r w:rsidR="001D72A6" w:rsidRPr="00234E66">
        <w:rPr>
          <w:sz w:val="24"/>
          <w:szCs w:val="24"/>
        </w:rPr>
        <w:t>ikvidumo rizika</w:t>
      </w:r>
      <w:r w:rsidR="00234E66">
        <w:rPr>
          <w:sz w:val="24"/>
          <w:szCs w:val="24"/>
        </w:rPr>
        <w:t>, k</w:t>
      </w:r>
      <w:r w:rsidR="001D72A6" w:rsidRPr="00234E66">
        <w:rPr>
          <w:sz w:val="24"/>
          <w:szCs w:val="24"/>
        </w:rPr>
        <w:t>redito rizika</w:t>
      </w:r>
      <w:r w:rsidR="00234E66">
        <w:rPr>
          <w:sz w:val="24"/>
          <w:szCs w:val="24"/>
        </w:rPr>
        <w:t>, o</w:t>
      </w:r>
      <w:r w:rsidR="001D72A6" w:rsidRPr="00234E66">
        <w:rPr>
          <w:sz w:val="24"/>
          <w:szCs w:val="24"/>
        </w:rPr>
        <w:t>peracinė rizika</w:t>
      </w:r>
      <w:r w:rsidR="00234E66">
        <w:rPr>
          <w:sz w:val="24"/>
          <w:szCs w:val="24"/>
        </w:rPr>
        <w:t>, r</w:t>
      </w:r>
      <w:r w:rsidRPr="00234E66">
        <w:rPr>
          <w:sz w:val="24"/>
          <w:szCs w:val="24"/>
        </w:rPr>
        <w:t>efinansavimo rizika</w:t>
      </w:r>
      <w:r w:rsidR="00234E66">
        <w:rPr>
          <w:sz w:val="24"/>
          <w:szCs w:val="24"/>
        </w:rPr>
        <w:t xml:space="preserve"> ir a</w:t>
      </w:r>
      <w:r w:rsidRPr="00234E66">
        <w:rPr>
          <w:sz w:val="24"/>
          <w:szCs w:val="24"/>
        </w:rPr>
        <w:t>tsiskaitymų rizika</w:t>
      </w:r>
      <w:r w:rsidR="00234E66">
        <w:rPr>
          <w:sz w:val="24"/>
          <w:szCs w:val="24"/>
        </w:rPr>
        <w:t>.</w:t>
      </w:r>
    </w:p>
    <w:p w:rsidR="00AF3371" w:rsidRDefault="00847B50" w:rsidP="009F7BE5">
      <w:pPr>
        <w:spacing w:line="360" w:lineRule="auto"/>
        <w:ind w:firstLine="562"/>
        <w:rPr>
          <w:sz w:val="24"/>
          <w:szCs w:val="24"/>
        </w:rPr>
      </w:pPr>
      <w:r w:rsidRPr="00847B50">
        <w:rPr>
          <w:sz w:val="24"/>
          <w:szCs w:val="24"/>
        </w:rPr>
        <w:t>Valstybėms nėra tikslinga siekti vien tik kaštų minimizavimo ir nepaisyti galimų rizikų. Neįvertinus visų galimų v</w:t>
      </w:r>
      <w:r w:rsidR="00081E48">
        <w:rPr>
          <w:sz w:val="24"/>
          <w:szCs w:val="24"/>
        </w:rPr>
        <w:t>alstybės skolos valdymo rizikų didėja tikimybė</w:t>
      </w:r>
      <w:r w:rsidRPr="00847B50">
        <w:rPr>
          <w:sz w:val="24"/>
          <w:szCs w:val="24"/>
        </w:rPr>
        <w:t xml:space="preserve"> susidurti su finansiniais sunkumais, kurie savo ruožtu gali dar padidinti valstybės skolą</w:t>
      </w:r>
      <w:r w:rsidR="009F7BE5">
        <w:rPr>
          <w:sz w:val="24"/>
          <w:szCs w:val="24"/>
        </w:rPr>
        <w:t>.</w:t>
      </w:r>
    </w:p>
    <w:p w:rsidR="00C96679" w:rsidRDefault="00C96679" w:rsidP="009F7BE5">
      <w:pPr>
        <w:spacing w:line="360" w:lineRule="auto"/>
        <w:ind w:firstLine="562"/>
        <w:rPr>
          <w:sz w:val="24"/>
          <w:szCs w:val="24"/>
        </w:rPr>
      </w:pPr>
    </w:p>
    <w:p w:rsidR="000F59BB" w:rsidRDefault="00C96679" w:rsidP="00735FF5">
      <w:pPr>
        <w:spacing w:line="360" w:lineRule="auto"/>
        <w:ind w:firstLine="562"/>
        <w:rPr>
          <w:sz w:val="24"/>
          <w:szCs w:val="24"/>
        </w:rPr>
      </w:pPr>
      <w:r>
        <w:rPr>
          <w:sz w:val="24"/>
          <w:szCs w:val="24"/>
        </w:rPr>
        <w:t>Apžvelgta mokslinė liter</w:t>
      </w:r>
      <w:r w:rsidR="002016A5">
        <w:rPr>
          <w:sz w:val="24"/>
          <w:szCs w:val="24"/>
        </w:rPr>
        <w:t>a</w:t>
      </w:r>
      <w:r>
        <w:rPr>
          <w:sz w:val="24"/>
          <w:szCs w:val="24"/>
        </w:rPr>
        <w:t>tūra valstybės skolos tematika, leidžia da</w:t>
      </w:r>
      <w:r w:rsidR="002016A5">
        <w:rPr>
          <w:sz w:val="24"/>
          <w:szCs w:val="24"/>
        </w:rPr>
        <w:t>ryti išvadą, jog valstybės skolinimasis yra labai svarbi ir atsakinga valstybės veikla, kuri turi įtakos visai šalies ekonominei situacijai bei finansiniam stabilumui. Analizuojant šalies valstybės skolos situaciją, svarbu į skolą pažvelgti įvairiapusiškai, kadangi ji gali būti klasifikuojama įvairiais aspektais. Kaip pagrindiniai valstybės skolin</w:t>
      </w:r>
      <w:r w:rsidR="00FD06B9">
        <w:rPr>
          <w:sz w:val="24"/>
          <w:szCs w:val="24"/>
        </w:rPr>
        <w:t>imosi poreikį lemianty</w:t>
      </w:r>
      <w:r w:rsidR="002016A5">
        <w:rPr>
          <w:sz w:val="24"/>
          <w:szCs w:val="24"/>
        </w:rPr>
        <w:t xml:space="preserve">s veiksniai </w:t>
      </w:r>
      <w:r w:rsidR="00FD06B9">
        <w:rPr>
          <w:sz w:val="24"/>
          <w:szCs w:val="24"/>
        </w:rPr>
        <w:t>įvardijami</w:t>
      </w:r>
      <w:r w:rsidR="002016A5">
        <w:rPr>
          <w:sz w:val="24"/>
          <w:szCs w:val="24"/>
        </w:rPr>
        <w:t xml:space="preserve"> biudžeto deficitas, skolų refinasavimas bei valstybės skolintų lėšų perskolinimas valstybės insitucijoms.</w:t>
      </w:r>
      <w:r w:rsidR="00FD06B9">
        <w:rPr>
          <w:sz w:val="24"/>
          <w:szCs w:val="24"/>
        </w:rPr>
        <w:t xml:space="preserve"> Li</w:t>
      </w:r>
      <w:r w:rsidR="00A409B0">
        <w:rPr>
          <w:sz w:val="24"/>
          <w:szCs w:val="24"/>
        </w:rPr>
        <w:t>t</w:t>
      </w:r>
      <w:r w:rsidR="00FD06B9">
        <w:rPr>
          <w:sz w:val="24"/>
          <w:szCs w:val="24"/>
        </w:rPr>
        <w:t>eratūroje galima rasti prieštaringų nuomonių dėl valstybės skolos ir ekonomikos augimo ryšio: vieni teigia, jog valstybės skolinimasis teigiamai veikia šalies ekonomiką, tuo tarpu kiti akcentuoja neigiamą skolos poveikį.</w:t>
      </w:r>
      <w:r w:rsidR="0054423E">
        <w:rPr>
          <w:sz w:val="24"/>
          <w:szCs w:val="24"/>
        </w:rPr>
        <w:t xml:space="preserve"> Dažniausiai mokslininkų darbuose tiriamas ryšys tarp valstybės skolos ir BVP. </w:t>
      </w:r>
      <w:r w:rsidR="00ED6D44">
        <w:rPr>
          <w:sz w:val="24"/>
          <w:szCs w:val="24"/>
        </w:rPr>
        <w:t>Tyrimų rezultatai, leidžia daryti išvadą, jog yra tam tika riba, iki kurios valstybės skola dar teigiamai veikia šalies ūkio augimą, tačiau ją peržengus j</w:t>
      </w:r>
      <w:r w:rsidR="00A409B0">
        <w:rPr>
          <w:sz w:val="24"/>
          <w:szCs w:val="24"/>
        </w:rPr>
        <w:t>au pastebimas neigiama įtaka</w:t>
      </w:r>
      <w:r w:rsidR="00ED6D44">
        <w:rPr>
          <w:sz w:val="24"/>
          <w:szCs w:val="24"/>
        </w:rPr>
        <w:t xml:space="preserve">. Be abejo, ta riba kiekvienos šalies atveju </w:t>
      </w:r>
      <w:r w:rsidR="00A409B0">
        <w:rPr>
          <w:sz w:val="24"/>
          <w:szCs w:val="24"/>
        </w:rPr>
        <w:t>skiriasi</w:t>
      </w:r>
      <w:r w:rsidR="00ED6D44">
        <w:rPr>
          <w:sz w:val="24"/>
          <w:szCs w:val="24"/>
        </w:rPr>
        <w:t xml:space="preserve">. Skirtingos nuomonės išreiškiamos ir valstybės skolos valdymo klausimu: vieni autoriai mini valstybės skolos valdymo ir vykdomos fiskalinės bei monetarinės politikos suderinimo svarbą, </w:t>
      </w:r>
      <w:r w:rsidR="00307303">
        <w:rPr>
          <w:sz w:val="24"/>
          <w:szCs w:val="24"/>
        </w:rPr>
        <w:t xml:space="preserve">pasisako </w:t>
      </w:r>
      <w:r w:rsidR="00ED6D44">
        <w:rPr>
          <w:sz w:val="24"/>
          <w:szCs w:val="24"/>
        </w:rPr>
        <w:t>už tai, kad valstybės skolos valdymu turi užsiim</w:t>
      </w:r>
      <w:r w:rsidR="00307303">
        <w:rPr>
          <w:sz w:val="24"/>
          <w:szCs w:val="24"/>
        </w:rPr>
        <w:t>t</w:t>
      </w:r>
      <w:r w:rsidR="00ED6D44">
        <w:rPr>
          <w:sz w:val="24"/>
          <w:szCs w:val="24"/>
        </w:rPr>
        <w:t>i tos pačios i</w:t>
      </w:r>
      <w:r w:rsidR="00307303">
        <w:rPr>
          <w:sz w:val="24"/>
          <w:szCs w:val="24"/>
        </w:rPr>
        <w:t xml:space="preserve">nstitucijos, kurios atsakingos </w:t>
      </w:r>
      <w:r w:rsidR="00A409B0">
        <w:rPr>
          <w:sz w:val="24"/>
          <w:szCs w:val="24"/>
        </w:rPr>
        <w:t>ir už fiskalinės politikos vykdymą</w:t>
      </w:r>
      <w:r w:rsidR="00ED6D44">
        <w:rPr>
          <w:sz w:val="24"/>
          <w:szCs w:val="24"/>
        </w:rPr>
        <w:t xml:space="preserve">, tuo tarpu kiti </w:t>
      </w:r>
      <w:r w:rsidR="00307303">
        <w:rPr>
          <w:sz w:val="24"/>
          <w:szCs w:val="24"/>
        </w:rPr>
        <w:t>akcentuoja nepriklausomų skolos valdymo institucijų privalumus.</w:t>
      </w:r>
    </w:p>
    <w:p w:rsidR="00FE6955" w:rsidRDefault="00FE6955" w:rsidP="00ED6D44">
      <w:pPr>
        <w:spacing w:line="360" w:lineRule="auto"/>
        <w:ind w:firstLine="562"/>
        <w:rPr>
          <w:sz w:val="24"/>
          <w:szCs w:val="24"/>
        </w:rPr>
      </w:pPr>
    </w:p>
    <w:p w:rsidR="00FE59AA" w:rsidRPr="00ED6D44" w:rsidRDefault="00FE59AA" w:rsidP="00ED6D44">
      <w:pPr>
        <w:spacing w:line="360" w:lineRule="auto"/>
        <w:ind w:firstLine="562"/>
        <w:rPr>
          <w:sz w:val="24"/>
          <w:szCs w:val="24"/>
        </w:rPr>
      </w:pPr>
    </w:p>
    <w:p w:rsidR="00DD42B3" w:rsidRPr="00C07369" w:rsidRDefault="00C07369" w:rsidP="001639E7">
      <w:pPr>
        <w:pStyle w:val="ListParagraph"/>
        <w:numPr>
          <w:ilvl w:val="0"/>
          <w:numId w:val="1"/>
        </w:numPr>
        <w:spacing w:line="360" w:lineRule="auto"/>
        <w:jc w:val="center"/>
        <w:outlineLvl w:val="0"/>
        <w:rPr>
          <w:b/>
          <w:color w:val="000000"/>
          <w:sz w:val="28"/>
          <w:szCs w:val="28"/>
        </w:rPr>
      </w:pPr>
      <w:bookmarkStart w:id="74" w:name="_Toc373086691"/>
      <w:bookmarkStart w:id="75" w:name="_Toc373086889"/>
      <w:bookmarkStart w:id="76" w:name="_Toc373275072"/>
      <w:bookmarkStart w:id="77" w:name="_Toc373421066"/>
      <w:bookmarkStart w:id="78" w:name="_Toc373448085"/>
      <w:bookmarkStart w:id="79" w:name="_Toc374228638"/>
      <w:bookmarkStart w:id="80" w:name="_Toc374229040"/>
      <w:bookmarkStart w:id="81" w:name="_Toc374229151"/>
      <w:bookmarkStart w:id="82" w:name="_Toc374229444"/>
      <w:r w:rsidRPr="00C07369">
        <w:rPr>
          <w:b/>
          <w:color w:val="000000"/>
          <w:sz w:val="28"/>
          <w:szCs w:val="28"/>
        </w:rPr>
        <w:t>BALTIJOS ŠALIŲ VALSTYBĖS SKOLOS ANALIZĖS, VERTINIMO IR PROGNOZAVIMO ME</w:t>
      </w:r>
      <w:r w:rsidR="00182AAD">
        <w:rPr>
          <w:b/>
          <w:color w:val="000000"/>
          <w:sz w:val="28"/>
          <w:szCs w:val="28"/>
        </w:rPr>
        <w:t>T</w:t>
      </w:r>
      <w:r w:rsidRPr="00C07369">
        <w:rPr>
          <w:b/>
          <w:color w:val="000000"/>
          <w:sz w:val="28"/>
          <w:szCs w:val="28"/>
        </w:rPr>
        <w:t>ODOLOGIJA</w:t>
      </w:r>
      <w:bookmarkEnd w:id="74"/>
      <w:bookmarkEnd w:id="75"/>
      <w:bookmarkEnd w:id="76"/>
      <w:bookmarkEnd w:id="77"/>
      <w:bookmarkEnd w:id="78"/>
      <w:bookmarkEnd w:id="79"/>
      <w:bookmarkEnd w:id="80"/>
      <w:bookmarkEnd w:id="81"/>
      <w:bookmarkEnd w:id="82"/>
    </w:p>
    <w:p w:rsidR="00DD42B3" w:rsidRDefault="00020ED4" w:rsidP="002716C5">
      <w:pPr>
        <w:tabs>
          <w:tab w:val="left" w:pos="6180"/>
        </w:tabs>
        <w:spacing w:line="360" w:lineRule="auto"/>
        <w:jc w:val="left"/>
        <w:rPr>
          <w:color w:val="000000"/>
          <w:sz w:val="24"/>
          <w:szCs w:val="24"/>
        </w:rPr>
      </w:pPr>
      <w:r>
        <w:rPr>
          <w:color w:val="000000"/>
          <w:sz w:val="24"/>
          <w:szCs w:val="24"/>
        </w:rPr>
        <w:tab/>
      </w:r>
    </w:p>
    <w:p w:rsidR="00B50526" w:rsidRDefault="00343A59" w:rsidP="00B50526">
      <w:pPr>
        <w:tabs>
          <w:tab w:val="left" w:pos="6180"/>
        </w:tabs>
        <w:spacing w:line="360" w:lineRule="auto"/>
        <w:rPr>
          <w:color w:val="000000"/>
          <w:sz w:val="24"/>
          <w:szCs w:val="24"/>
        </w:rPr>
      </w:pPr>
      <w:r>
        <w:rPr>
          <w:color w:val="000000"/>
          <w:sz w:val="24"/>
          <w:szCs w:val="24"/>
        </w:rPr>
        <w:t xml:space="preserve">Atliekant Baltijos šalių valstybės skolos palyginamąją analizę, visų pirma bus atliekama </w:t>
      </w:r>
      <w:r w:rsidR="00B50526">
        <w:rPr>
          <w:color w:val="000000"/>
          <w:sz w:val="24"/>
          <w:szCs w:val="24"/>
        </w:rPr>
        <w:t xml:space="preserve">tų šalių </w:t>
      </w:r>
      <w:r>
        <w:rPr>
          <w:color w:val="000000"/>
          <w:sz w:val="24"/>
          <w:szCs w:val="24"/>
        </w:rPr>
        <w:t xml:space="preserve">ekonominės aplinkos </w:t>
      </w:r>
      <w:r w:rsidR="00B50526">
        <w:rPr>
          <w:color w:val="000000"/>
          <w:sz w:val="24"/>
          <w:szCs w:val="24"/>
        </w:rPr>
        <w:t xml:space="preserve">apžvalga. </w:t>
      </w:r>
      <w:r w:rsidR="007E51C0">
        <w:rPr>
          <w:color w:val="000000"/>
          <w:sz w:val="24"/>
          <w:szCs w:val="24"/>
        </w:rPr>
        <w:t xml:space="preserve">Tam tikrų </w:t>
      </w:r>
      <w:r w:rsidR="00B50526">
        <w:rPr>
          <w:color w:val="000000"/>
          <w:sz w:val="24"/>
          <w:szCs w:val="24"/>
        </w:rPr>
        <w:t>Lietuvos, Latvijos ir Estijos makroekonominių rodiklių apžvalga padės geriau suvokti aplinkybes ir priežastis, kodėl šalyse yra atitinkama valstybės skolos situacija.</w:t>
      </w:r>
    </w:p>
    <w:p w:rsidR="007E51C0" w:rsidRDefault="002716C5" w:rsidP="002751E9">
      <w:pPr>
        <w:tabs>
          <w:tab w:val="left" w:pos="6180"/>
        </w:tabs>
        <w:spacing w:line="360" w:lineRule="auto"/>
        <w:rPr>
          <w:color w:val="000000"/>
          <w:sz w:val="24"/>
          <w:szCs w:val="24"/>
        </w:rPr>
      </w:pPr>
      <w:r>
        <w:rPr>
          <w:color w:val="000000"/>
          <w:sz w:val="24"/>
          <w:szCs w:val="24"/>
        </w:rPr>
        <w:t>Siekiant palyginti Baltijos šalių valstybės skolas bei skolos valdymo ypatumus, magistro baigiamajame darbe bus atliekama Baltijos šalių valstybės skolos di</w:t>
      </w:r>
      <w:r w:rsidR="00F03F59">
        <w:rPr>
          <w:color w:val="000000"/>
          <w:sz w:val="24"/>
          <w:szCs w:val="24"/>
        </w:rPr>
        <w:t>naminė bei struktūrinė analizės, bei valstybės skolos vertinimas pagal santykinius rodiklius.</w:t>
      </w:r>
      <w:r>
        <w:rPr>
          <w:color w:val="000000"/>
          <w:sz w:val="24"/>
          <w:szCs w:val="24"/>
        </w:rPr>
        <w:t xml:space="preserve"> </w:t>
      </w:r>
      <w:r w:rsidR="00B50526">
        <w:rPr>
          <w:color w:val="000000"/>
          <w:sz w:val="24"/>
          <w:szCs w:val="24"/>
        </w:rPr>
        <w:t xml:space="preserve">Dinaminės analizės metu atsikleidžia analizuojamo objekto kitimo </w:t>
      </w:r>
      <w:r w:rsidR="005D0F01">
        <w:rPr>
          <w:color w:val="000000"/>
          <w:sz w:val="24"/>
          <w:szCs w:val="24"/>
        </w:rPr>
        <w:t>tendencijos</w:t>
      </w:r>
      <w:r w:rsidR="00B50526">
        <w:rPr>
          <w:color w:val="000000"/>
          <w:sz w:val="24"/>
          <w:szCs w:val="24"/>
        </w:rPr>
        <w:t xml:space="preserve">, tuo tarpu struktūrinė analizė leidžia į analizuojamą objektą pažvelgti giliau </w:t>
      </w:r>
      <w:r w:rsidR="005D0F01">
        <w:rPr>
          <w:color w:val="000000"/>
          <w:sz w:val="24"/>
          <w:szCs w:val="24"/>
        </w:rPr>
        <w:t>bei geriau suvokti pokyčių priežastis.</w:t>
      </w:r>
      <w:r w:rsidR="00941548">
        <w:rPr>
          <w:color w:val="000000"/>
          <w:sz w:val="24"/>
          <w:szCs w:val="24"/>
        </w:rPr>
        <w:t xml:space="preserve"> </w:t>
      </w:r>
    </w:p>
    <w:p w:rsidR="002751E9" w:rsidRPr="002751E9" w:rsidRDefault="002751E9" w:rsidP="002751E9">
      <w:pPr>
        <w:tabs>
          <w:tab w:val="left" w:pos="6180"/>
        </w:tabs>
        <w:spacing w:line="360" w:lineRule="auto"/>
        <w:rPr>
          <w:color w:val="000000"/>
          <w:sz w:val="24"/>
          <w:szCs w:val="24"/>
        </w:rPr>
      </w:pPr>
    </w:p>
    <w:p w:rsidR="00122B03" w:rsidRPr="008429A8" w:rsidRDefault="008429A8" w:rsidP="008429A8">
      <w:pPr>
        <w:jc w:val="left"/>
        <w:outlineLvl w:val="1"/>
        <w:rPr>
          <w:b/>
          <w:sz w:val="24"/>
          <w:szCs w:val="24"/>
        </w:rPr>
      </w:pPr>
      <w:bookmarkStart w:id="83" w:name="_Toc358573089"/>
      <w:bookmarkStart w:id="84" w:name="_Toc373086692"/>
      <w:bookmarkStart w:id="85" w:name="_Toc373086890"/>
      <w:bookmarkStart w:id="86" w:name="_Toc373275073"/>
      <w:bookmarkStart w:id="87" w:name="_Toc373421067"/>
      <w:bookmarkStart w:id="88" w:name="_Toc373448086"/>
      <w:bookmarkStart w:id="89" w:name="_Toc374228639"/>
      <w:bookmarkStart w:id="90" w:name="_Toc374229041"/>
      <w:bookmarkStart w:id="91" w:name="_Toc374229152"/>
      <w:bookmarkStart w:id="92" w:name="_Toc374229445"/>
      <w:r>
        <w:rPr>
          <w:b/>
          <w:sz w:val="24"/>
          <w:szCs w:val="24"/>
        </w:rPr>
        <w:t>2.1.</w:t>
      </w:r>
      <w:r w:rsidR="00122B03" w:rsidRPr="008429A8">
        <w:rPr>
          <w:b/>
          <w:sz w:val="24"/>
          <w:szCs w:val="24"/>
        </w:rPr>
        <w:t>Valstybės skolos vertinimo rodikliai</w:t>
      </w:r>
      <w:bookmarkEnd w:id="83"/>
      <w:bookmarkEnd w:id="84"/>
      <w:bookmarkEnd w:id="85"/>
      <w:bookmarkEnd w:id="86"/>
      <w:bookmarkEnd w:id="87"/>
      <w:bookmarkEnd w:id="88"/>
      <w:bookmarkEnd w:id="89"/>
      <w:bookmarkEnd w:id="90"/>
      <w:bookmarkEnd w:id="91"/>
      <w:bookmarkEnd w:id="92"/>
    </w:p>
    <w:p w:rsidR="00122B03" w:rsidRDefault="00122B03" w:rsidP="00122B03">
      <w:pPr>
        <w:pStyle w:val="ListParagraph"/>
        <w:ind w:left="1080" w:firstLine="0"/>
        <w:rPr>
          <w:sz w:val="24"/>
          <w:szCs w:val="24"/>
        </w:rPr>
      </w:pPr>
    </w:p>
    <w:p w:rsidR="00122B03" w:rsidRDefault="00122B03" w:rsidP="00122B03">
      <w:pPr>
        <w:spacing w:line="360" w:lineRule="auto"/>
        <w:rPr>
          <w:sz w:val="24"/>
          <w:szCs w:val="24"/>
        </w:rPr>
      </w:pPr>
      <w:r w:rsidRPr="00F45ED4">
        <w:rPr>
          <w:sz w:val="24"/>
          <w:szCs w:val="24"/>
        </w:rPr>
        <w:t>Vertinant šalies valstybės skolą ir jos valdymo efektyvumą, nepakanka vien paž</w:t>
      </w:r>
      <w:r w:rsidR="00B51B94">
        <w:rPr>
          <w:sz w:val="24"/>
          <w:szCs w:val="24"/>
        </w:rPr>
        <w:t>velgti į absoliučią skolos sumą ar į struktūrą.</w:t>
      </w:r>
      <w:r>
        <w:rPr>
          <w:sz w:val="24"/>
          <w:szCs w:val="24"/>
        </w:rPr>
        <w:t xml:space="preserve"> Norint palyginti skirtingų šalių valstybės skolas, reikėtų vertinti tam tikrus santykinius rodiklius, kurie objektyviai parodo, kokia yra valstybės skolos našta valstybei ir ar skolinimosi tendencija yra palanki valstybėje vyks</w:t>
      </w:r>
      <w:r w:rsidR="008619BA">
        <w:rPr>
          <w:sz w:val="24"/>
          <w:szCs w:val="24"/>
        </w:rPr>
        <w:t>ta</w:t>
      </w:r>
      <w:r w:rsidR="00295029">
        <w:rPr>
          <w:sz w:val="24"/>
          <w:szCs w:val="24"/>
        </w:rPr>
        <w:t>ntiems ekonominiams procesams (Levišauskaitė, Rūškys, 2003</w:t>
      </w:r>
      <w:r w:rsidR="008619BA">
        <w:rPr>
          <w:sz w:val="24"/>
          <w:szCs w:val="24"/>
        </w:rPr>
        <w:t>)</w:t>
      </w:r>
    </w:p>
    <w:p w:rsidR="002B77E4" w:rsidRDefault="00122B03" w:rsidP="002B77E4">
      <w:pPr>
        <w:spacing w:line="360" w:lineRule="auto"/>
        <w:rPr>
          <w:sz w:val="24"/>
          <w:szCs w:val="24"/>
        </w:rPr>
      </w:pPr>
      <w:r>
        <w:rPr>
          <w:sz w:val="24"/>
          <w:szCs w:val="24"/>
        </w:rPr>
        <w:t>1 lentelėje pateikiama Levišauskaitės, Rūškio (2003), Karazijienės (2011), Buškevičiūtės (2008), TVF (2001) minimi valstybės skolos vertinimo rodikliai.</w:t>
      </w:r>
      <w:bookmarkStart w:id="93" w:name="_Toc374229042"/>
      <w:bookmarkStart w:id="94" w:name="_Toc374229153"/>
      <w:bookmarkStart w:id="95" w:name="_Toc374229446"/>
    </w:p>
    <w:p w:rsidR="00735FF5" w:rsidRDefault="00735FF5" w:rsidP="00735FF5">
      <w:pPr>
        <w:spacing w:line="360" w:lineRule="auto"/>
        <w:jc w:val="center"/>
        <w:rPr>
          <w:sz w:val="24"/>
          <w:szCs w:val="24"/>
        </w:rPr>
      </w:pPr>
    </w:p>
    <w:p w:rsidR="00735FF5" w:rsidRDefault="00362DCC" w:rsidP="00FE59AA">
      <w:pPr>
        <w:spacing w:line="360" w:lineRule="auto"/>
        <w:jc w:val="center"/>
        <w:rPr>
          <w:sz w:val="24"/>
          <w:szCs w:val="24"/>
        </w:rPr>
      </w:pPr>
      <w:r w:rsidRPr="00B12106">
        <w:rPr>
          <w:sz w:val="24"/>
          <w:szCs w:val="24"/>
        </w:rPr>
        <w:t>1 lentelė. Valstybės skolos vertinimo rodikliai</w:t>
      </w:r>
    </w:p>
    <w:tbl>
      <w:tblPr>
        <w:tblStyle w:val="TableGrid"/>
        <w:tblW w:w="0" w:type="auto"/>
        <w:jc w:val="center"/>
        <w:tblLook w:val="04A0"/>
      </w:tblPr>
      <w:tblGrid>
        <w:gridCol w:w="3494"/>
        <w:gridCol w:w="3494"/>
        <w:gridCol w:w="3326"/>
      </w:tblGrid>
      <w:tr w:rsidR="00362DCC" w:rsidTr="00AD00F8">
        <w:trPr>
          <w:trHeight w:val="759"/>
          <w:jc w:val="center"/>
        </w:trPr>
        <w:tc>
          <w:tcPr>
            <w:tcW w:w="3494" w:type="dxa"/>
          </w:tcPr>
          <w:p w:rsidR="00F6008F" w:rsidRPr="00722A75" w:rsidRDefault="00F6008F" w:rsidP="00F6008F">
            <w:pPr>
              <w:spacing w:line="360" w:lineRule="auto"/>
              <w:ind w:firstLine="0"/>
              <w:jc w:val="center"/>
              <w:rPr>
                <w:b/>
                <w:sz w:val="24"/>
                <w:szCs w:val="24"/>
              </w:rPr>
            </w:pPr>
            <w:r w:rsidRPr="00722A75">
              <w:rPr>
                <w:b/>
                <w:sz w:val="24"/>
                <w:szCs w:val="24"/>
              </w:rPr>
              <w:t>Bendrieji valstybės skolos</w:t>
            </w:r>
          </w:p>
          <w:p w:rsidR="00362DCC" w:rsidRPr="00722A75" w:rsidRDefault="00362DCC" w:rsidP="00F6008F">
            <w:pPr>
              <w:spacing w:line="360" w:lineRule="auto"/>
              <w:ind w:firstLine="0"/>
              <w:jc w:val="center"/>
              <w:rPr>
                <w:b/>
                <w:sz w:val="24"/>
                <w:szCs w:val="24"/>
              </w:rPr>
            </w:pPr>
            <w:r w:rsidRPr="00722A75">
              <w:rPr>
                <w:b/>
                <w:sz w:val="24"/>
                <w:szCs w:val="24"/>
              </w:rPr>
              <w:t>rodikliai (piniginiais vienetais)</w:t>
            </w:r>
          </w:p>
        </w:tc>
        <w:tc>
          <w:tcPr>
            <w:tcW w:w="3494" w:type="dxa"/>
          </w:tcPr>
          <w:p w:rsidR="00362DCC" w:rsidRPr="00722A75" w:rsidRDefault="00362DCC" w:rsidP="00F6008F">
            <w:pPr>
              <w:ind w:firstLine="0"/>
              <w:contextualSpacing/>
              <w:jc w:val="center"/>
              <w:rPr>
                <w:b/>
                <w:sz w:val="24"/>
                <w:szCs w:val="24"/>
              </w:rPr>
            </w:pPr>
            <w:r w:rsidRPr="00722A75">
              <w:rPr>
                <w:b/>
                <w:sz w:val="24"/>
                <w:szCs w:val="24"/>
              </w:rPr>
              <w:t>Valstybės ekonomikos rodikliai (piniginiais vienetas)</w:t>
            </w:r>
          </w:p>
        </w:tc>
        <w:tc>
          <w:tcPr>
            <w:tcW w:w="3326" w:type="dxa"/>
          </w:tcPr>
          <w:p w:rsidR="00362DCC" w:rsidRPr="00722A75" w:rsidRDefault="00362DCC" w:rsidP="00FC7028">
            <w:pPr>
              <w:ind w:firstLine="0"/>
              <w:contextualSpacing/>
              <w:jc w:val="center"/>
              <w:rPr>
                <w:b/>
                <w:sz w:val="24"/>
                <w:szCs w:val="24"/>
              </w:rPr>
            </w:pPr>
            <w:r w:rsidRPr="00722A75">
              <w:rPr>
                <w:b/>
                <w:sz w:val="24"/>
                <w:szCs w:val="24"/>
              </w:rPr>
              <w:t>Santykiniai valstybės skolos rodikliai (procentais)</w:t>
            </w:r>
          </w:p>
        </w:tc>
      </w:tr>
      <w:tr w:rsidR="00362DCC" w:rsidTr="00AD00F8">
        <w:trPr>
          <w:jc w:val="center"/>
        </w:trPr>
        <w:tc>
          <w:tcPr>
            <w:tcW w:w="3494" w:type="dxa"/>
          </w:tcPr>
          <w:p w:rsidR="00362DCC" w:rsidRPr="00722A75" w:rsidRDefault="00362DCC" w:rsidP="00F6008F">
            <w:pPr>
              <w:pStyle w:val="ListParagraph"/>
              <w:numPr>
                <w:ilvl w:val="0"/>
                <w:numId w:val="14"/>
              </w:numPr>
              <w:rPr>
                <w:sz w:val="24"/>
                <w:szCs w:val="24"/>
                <w:lang w:val="en-US"/>
              </w:rPr>
            </w:pPr>
            <w:r w:rsidRPr="00722A75">
              <w:rPr>
                <w:sz w:val="24"/>
                <w:szCs w:val="24"/>
                <w:lang w:val="en-US"/>
              </w:rPr>
              <w:t>Valstybės skola:</w:t>
            </w:r>
          </w:p>
          <w:p w:rsidR="00362DCC" w:rsidRPr="00722A75" w:rsidRDefault="00362DCC" w:rsidP="00FC7028">
            <w:pPr>
              <w:pStyle w:val="ListParagraph"/>
              <w:numPr>
                <w:ilvl w:val="1"/>
                <w:numId w:val="14"/>
              </w:numPr>
              <w:rPr>
                <w:sz w:val="24"/>
                <w:szCs w:val="24"/>
                <w:lang w:val="en-US"/>
              </w:rPr>
            </w:pPr>
            <w:r w:rsidRPr="00722A75">
              <w:rPr>
                <w:sz w:val="24"/>
                <w:szCs w:val="24"/>
                <w:lang w:val="en-US"/>
              </w:rPr>
              <w:t xml:space="preserve"> Vidaus skola</w:t>
            </w:r>
          </w:p>
          <w:p w:rsidR="00362DCC" w:rsidRPr="00722A75" w:rsidRDefault="00362DCC" w:rsidP="00FC7028">
            <w:pPr>
              <w:pStyle w:val="ListParagraph"/>
              <w:numPr>
                <w:ilvl w:val="1"/>
                <w:numId w:val="14"/>
              </w:numPr>
              <w:rPr>
                <w:sz w:val="24"/>
                <w:szCs w:val="24"/>
                <w:lang w:val="en-US"/>
              </w:rPr>
            </w:pPr>
            <w:r w:rsidRPr="00722A75">
              <w:rPr>
                <w:sz w:val="24"/>
                <w:szCs w:val="24"/>
                <w:lang w:val="en-US"/>
              </w:rPr>
              <w:t>Užsienio skola</w:t>
            </w:r>
          </w:p>
        </w:tc>
        <w:tc>
          <w:tcPr>
            <w:tcW w:w="3494" w:type="dxa"/>
          </w:tcPr>
          <w:p w:rsidR="00362DCC" w:rsidRPr="004F4315" w:rsidRDefault="00362DCC" w:rsidP="00FC7028">
            <w:pPr>
              <w:ind w:firstLine="0"/>
              <w:contextualSpacing/>
              <w:jc w:val="left"/>
              <w:rPr>
                <w:sz w:val="24"/>
                <w:szCs w:val="24"/>
                <w:lang w:val="en-US"/>
              </w:rPr>
            </w:pPr>
            <w:r w:rsidRPr="004F4315">
              <w:rPr>
                <w:sz w:val="24"/>
                <w:szCs w:val="24"/>
                <w:lang w:val="en-US"/>
              </w:rPr>
              <w:t>1. BVP</w:t>
            </w:r>
          </w:p>
        </w:tc>
        <w:tc>
          <w:tcPr>
            <w:tcW w:w="3326" w:type="dxa"/>
          </w:tcPr>
          <w:p w:rsidR="00362DCC" w:rsidRPr="004F4315" w:rsidRDefault="00362DCC" w:rsidP="00FC7028">
            <w:pPr>
              <w:ind w:firstLine="0"/>
              <w:contextualSpacing/>
              <w:rPr>
                <w:sz w:val="24"/>
                <w:szCs w:val="24"/>
              </w:rPr>
            </w:pPr>
            <w:r w:rsidRPr="004F4315">
              <w:rPr>
                <w:sz w:val="24"/>
                <w:szCs w:val="24"/>
                <w:lang w:val="en-US"/>
              </w:rPr>
              <w:t>1.</w:t>
            </w:r>
            <w:r w:rsidRPr="004F4315">
              <w:rPr>
                <w:sz w:val="24"/>
                <w:szCs w:val="24"/>
              </w:rPr>
              <w:t>Valstybės skolos ir BVP santykis (valstybės finansinis stabiluma</w:t>
            </w:r>
            <w:r w:rsidR="00BC5DE8">
              <w:rPr>
                <w:sz w:val="24"/>
                <w:szCs w:val="24"/>
              </w:rPr>
              <w:t>s</w:t>
            </w:r>
            <w:r w:rsidRPr="004F4315">
              <w:rPr>
                <w:sz w:val="24"/>
                <w:szCs w:val="24"/>
              </w:rPr>
              <w:t>)</w:t>
            </w:r>
          </w:p>
        </w:tc>
      </w:tr>
      <w:tr w:rsidR="00362DCC" w:rsidTr="00AD00F8">
        <w:trPr>
          <w:jc w:val="center"/>
        </w:trPr>
        <w:tc>
          <w:tcPr>
            <w:tcW w:w="3494" w:type="dxa"/>
          </w:tcPr>
          <w:p w:rsidR="00362DCC" w:rsidRPr="00722A75" w:rsidRDefault="00362DCC" w:rsidP="00FC7028">
            <w:pPr>
              <w:pStyle w:val="ListParagraph"/>
              <w:numPr>
                <w:ilvl w:val="0"/>
                <w:numId w:val="14"/>
              </w:numPr>
              <w:rPr>
                <w:sz w:val="24"/>
                <w:szCs w:val="24"/>
                <w:lang w:val="en-US"/>
              </w:rPr>
            </w:pPr>
            <w:r w:rsidRPr="00722A75">
              <w:rPr>
                <w:sz w:val="24"/>
                <w:szCs w:val="24"/>
                <w:lang w:val="en-US"/>
              </w:rPr>
              <w:t>Palūkanos už valstybės skolą</w:t>
            </w:r>
          </w:p>
        </w:tc>
        <w:tc>
          <w:tcPr>
            <w:tcW w:w="3494" w:type="dxa"/>
          </w:tcPr>
          <w:p w:rsidR="00362DCC" w:rsidRPr="004F4315" w:rsidRDefault="00362DCC" w:rsidP="00FC7028">
            <w:pPr>
              <w:ind w:firstLine="0"/>
              <w:contextualSpacing/>
              <w:rPr>
                <w:sz w:val="24"/>
                <w:szCs w:val="24"/>
              </w:rPr>
            </w:pPr>
            <w:r w:rsidRPr="004F4315">
              <w:rPr>
                <w:sz w:val="24"/>
                <w:szCs w:val="24"/>
              </w:rPr>
              <w:t xml:space="preserve">2. Valstybės biudžeto </w:t>
            </w:r>
            <w:r>
              <w:rPr>
                <w:sz w:val="24"/>
                <w:szCs w:val="24"/>
              </w:rPr>
              <w:t>pajamos</w:t>
            </w:r>
          </w:p>
        </w:tc>
        <w:tc>
          <w:tcPr>
            <w:tcW w:w="3326" w:type="dxa"/>
          </w:tcPr>
          <w:p w:rsidR="00362DCC" w:rsidRPr="004F4315" w:rsidRDefault="00362DCC" w:rsidP="00FC7028">
            <w:pPr>
              <w:ind w:firstLine="0"/>
              <w:contextualSpacing/>
              <w:rPr>
                <w:sz w:val="24"/>
                <w:szCs w:val="24"/>
              </w:rPr>
            </w:pPr>
            <w:r w:rsidRPr="004F4315">
              <w:rPr>
                <w:sz w:val="24"/>
                <w:szCs w:val="24"/>
              </w:rPr>
              <w:t>2.Palūkanų už valstybės skolą ir valstybės skolos santykis (skolos kaina)</w:t>
            </w:r>
          </w:p>
        </w:tc>
      </w:tr>
      <w:tr w:rsidR="00F6008F" w:rsidTr="00AD00F8">
        <w:trPr>
          <w:jc w:val="center"/>
        </w:trPr>
        <w:tc>
          <w:tcPr>
            <w:tcW w:w="3494" w:type="dxa"/>
          </w:tcPr>
          <w:p w:rsidR="00F6008F" w:rsidRPr="00722A75" w:rsidRDefault="00F6008F" w:rsidP="00FC7028">
            <w:pPr>
              <w:ind w:firstLine="0"/>
              <w:contextualSpacing/>
              <w:rPr>
                <w:sz w:val="24"/>
                <w:szCs w:val="24"/>
              </w:rPr>
            </w:pPr>
          </w:p>
        </w:tc>
        <w:tc>
          <w:tcPr>
            <w:tcW w:w="3494" w:type="dxa"/>
          </w:tcPr>
          <w:p w:rsidR="00F6008F" w:rsidRPr="00F6008F" w:rsidRDefault="00F6008F" w:rsidP="00FC7028">
            <w:pPr>
              <w:ind w:firstLine="0"/>
              <w:contextualSpacing/>
              <w:rPr>
                <w:sz w:val="24"/>
                <w:szCs w:val="24"/>
              </w:rPr>
            </w:pPr>
            <w:r w:rsidRPr="00F6008F">
              <w:rPr>
                <w:sz w:val="24"/>
                <w:szCs w:val="24"/>
              </w:rPr>
              <w:t>3.Valstybės eksporto suma</w:t>
            </w:r>
          </w:p>
        </w:tc>
        <w:tc>
          <w:tcPr>
            <w:tcW w:w="3326" w:type="dxa"/>
          </w:tcPr>
          <w:p w:rsidR="00F6008F" w:rsidRPr="004F4315" w:rsidRDefault="00F6008F" w:rsidP="00FC7028">
            <w:pPr>
              <w:ind w:firstLine="0"/>
              <w:contextualSpacing/>
              <w:rPr>
                <w:sz w:val="24"/>
                <w:szCs w:val="24"/>
              </w:rPr>
            </w:pPr>
            <w:r w:rsidRPr="00F6008F">
              <w:rPr>
                <w:sz w:val="24"/>
                <w:szCs w:val="24"/>
              </w:rPr>
              <w:t>3.Palūkanų už valstybės skolą ir BVP santykis</w:t>
            </w:r>
          </w:p>
        </w:tc>
      </w:tr>
    </w:tbl>
    <w:p w:rsidR="00362DCC" w:rsidRDefault="00F6008F" w:rsidP="00735FF5">
      <w:pPr>
        <w:spacing w:line="360" w:lineRule="auto"/>
        <w:ind w:firstLine="0"/>
        <w:jc w:val="right"/>
        <w:rPr>
          <w:sz w:val="24"/>
          <w:szCs w:val="24"/>
        </w:rPr>
      </w:pPr>
      <w:r>
        <w:rPr>
          <w:sz w:val="24"/>
          <w:szCs w:val="24"/>
        </w:rPr>
        <w:t>1 lentelės tęsinys kitame puslapyje</w:t>
      </w:r>
    </w:p>
    <w:p w:rsidR="00F6008F" w:rsidRDefault="00F6008F" w:rsidP="00F6008F">
      <w:pPr>
        <w:spacing w:line="360" w:lineRule="auto"/>
        <w:jc w:val="right"/>
        <w:rPr>
          <w:sz w:val="24"/>
          <w:szCs w:val="24"/>
        </w:rPr>
      </w:pPr>
      <w:r>
        <w:rPr>
          <w:sz w:val="24"/>
          <w:szCs w:val="24"/>
        </w:rPr>
        <w:lastRenderedPageBreak/>
        <w:t>1 lentelės tęsinys</w:t>
      </w:r>
      <w:bookmarkEnd w:id="93"/>
      <w:bookmarkEnd w:id="94"/>
      <w:bookmarkEnd w:id="95"/>
    </w:p>
    <w:p w:rsidR="00122B03" w:rsidRPr="00B12106" w:rsidRDefault="00F6008F" w:rsidP="00F6008F">
      <w:pPr>
        <w:spacing w:line="360" w:lineRule="auto"/>
        <w:jc w:val="right"/>
        <w:rPr>
          <w:sz w:val="24"/>
          <w:szCs w:val="24"/>
        </w:rPr>
      </w:pPr>
      <w:r>
        <w:rPr>
          <w:sz w:val="24"/>
          <w:szCs w:val="24"/>
        </w:rPr>
        <w:tab/>
      </w:r>
    </w:p>
    <w:tbl>
      <w:tblPr>
        <w:tblStyle w:val="TableGrid"/>
        <w:tblW w:w="0" w:type="auto"/>
        <w:jc w:val="center"/>
        <w:tblLook w:val="04A0"/>
      </w:tblPr>
      <w:tblGrid>
        <w:gridCol w:w="3284"/>
        <w:gridCol w:w="3285"/>
        <w:gridCol w:w="3745"/>
      </w:tblGrid>
      <w:tr w:rsidR="00122B03" w:rsidTr="00AD00F8">
        <w:trPr>
          <w:jc w:val="center"/>
        </w:trPr>
        <w:tc>
          <w:tcPr>
            <w:tcW w:w="3284" w:type="dxa"/>
          </w:tcPr>
          <w:p w:rsidR="00122B03" w:rsidRPr="00722A75" w:rsidRDefault="00122B03" w:rsidP="00B112DA">
            <w:pPr>
              <w:ind w:firstLine="0"/>
              <w:contextualSpacing/>
              <w:jc w:val="center"/>
              <w:rPr>
                <w:b/>
                <w:sz w:val="24"/>
                <w:szCs w:val="24"/>
              </w:rPr>
            </w:pPr>
            <w:r w:rsidRPr="00722A75">
              <w:rPr>
                <w:b/>
                <w:sz w:val="24"/>
                <w:szCs w:val="24"/>
              </w:rPr>
              <w:t>Bendrieji valstybės skolos rodikliai (piniginiais vienetais)</w:t>
            </w:r>
          </w:p>
        </w:tc>
        <w:tc>
          <w:tcPr>
            <w:tcW w:w="3285" w:type="dxa"/>
          </w:tcPr>
          <w:p w:rsidR="00122B03" w:rsidRPr="00722A75" w:rsidRDefault="00122B03" w:rsidP="00B112DA">
            <w:pPr>
              <w:ind w:firstLine="0"/>
              <w:contextualSpacing/>
              <w:jc w:val="center"/>
              <w:rPr>
                <w:b/>
                <w:sz w:val="24"/>
                <w:szCs w:val="24"/>
              </w:rPr>
            </w:pPr>
            <w:r w:rsidRPr="00722A75">
              <w:rPr>
                <w:b/>
                <w:sz w:val="24"/>
                <w:szCs w:val="24"/>
              </w:rPr>
              <w:t>Valstybės ekonomikos rodikliai (piniginiais vienetas)</w:t>
            </w:r>
          </w:p>
        </w:tc>
        <w:tc>
          <w:tcPr>
            <w:tcW w:w="3745" w:type="dxa"/>
          </w:tcPr>
          <w:p w:rsidR="00122B03" w:rsidRPr="00722A75" w:rsidRDefault="00122B03" w:rsidP="00B112DA">
            <w:pPr>
              <w:ind w:firstLine="0"/>
              <w:contextualSpacing/>
              <w:jc w:val="center"/>
              <w:rPr>
                <w:b/>
                <w:sz w:val="24"/>
                <w:szCs w:val="24"/>
              </w:rPr>
            </w:pPr>
            <w:r w:rsidRPr="00722A75">
              <w:rPr>
                <w:b/>
                <w:sz w:val="24"/>
                <w:szCs w:val="24"/>
              </w:rPr>
              <w:t>Santykiniai valstybės skolos rodikliai (procentais)</w:t>
            </w:r>
          </w:p>
        </w:tc>
      </w:tr>
      <w:tr w:rsidR="00122B03" w:rsidRPr="004F4315" w:rsidTr="00AD00F8">
        <w:trPr>
          <w:jc w:val="center"/>
        </w:trPr>
        <w:tc>
          <w:tcPr>
            <w:tcW w:w="3284" w:type="dxa"/>
          </w:tcPr>
          <w:p w:rsidR="00122B03" w:rsidRPr="004F4315" w:rsidRDefault="00122B03" w:rsidP="00B112DA">
            <w:pPr>
              <w:ind w:firstLine="0"/>
              <w:contextualSpacing/>
              <w:rPr>
                <w:b/>
                <w:sz w:val="24"/>
                <w:szCs w:val="24"/>
              </w:rPr>
            </w:pPr>
          </w:p>
        </w:tc>
        <w:tc>
          <w:tcPr>
            <w:tcW w:w="3285" w:type="dxa"/>
          </w:tcPr>
          <w:p w:rsidR="00122B03" w:rsidRPr="004F4315" w:rsidRDefault="00122B03" w:rsidP="00B112DA">
            <w:pPr>
              <w:ind w:firstLine="0"/>
              <w:contextualSpacing/>
              <w:rPr>
                <w:sz w:val="24"/>
                <w:szCs w:val="24"/>
              </w:rPr>
            </w:pPr>
          </w:p>
        </w:tc>
        <w:tc>
          <w:tcPr>
            <w:tcW w:w="3745" w:type="dxa"/>
          </w:tcPr>
          <w:p w:rsidR="00122B03" w:rsidRPr="004F4315" w:rsidRDefault="00122B03" w:rsidP="005D0B2C">
            <w:pPr>
              <w:ind w:firstLine="0"/>
              <w:contextualSpacing/>
              <w:rPr>
                <w:sz w:val="24"/>
                <w:szCs w:val="24"/>
              </w:rPr>
            </w:pPr>
            <w:r w:rsidRPr="004F4315">
              <w:rPr>
                <w:sz w:val="24"/>
                <w:szCs w:val="24"/>
              </w:rPr>
              <w:t xml:space="preserve">4.Palūkanų už valstybės skolą ir biudžeto </w:t>
            </w:r>
            <w:r w:rsidR="005D0B2C">
              <w:rPr>
                <w:sz w:val="24"/>
                <w:szCs w:val="24"/>
              </w:rPr>
              <w:t>pajamų</w:t>
            </w:r>
            <w:r w:rsidRPr="004F4315">
              <w:rPr>
                <w:sz w:val="24"/>
                <w:szCs w:val="24"/>
              </w:rPr>
              <w:t xml:space="preserve"> santykis </w:t>
            </w:r>
          </w:p>
        </w:tc>
      </w:tr>
      <w:tr w:rsidR="00122B03" w:rsidRPr="004F4315" w:rsidTr="00AD00F8">
        <w:trPr>
          <w:jc w:val="center"/>
        </w:trPr>
        <w:tc>
          <w:tcPr>
            <w:tcW w:w="3284" w:type="dxa"/>
          </w:tcPr>
          <w:p w:rsidR="00122B03" w:rsidRPr="00F6008F" w:rsidRDefault="00122B03" w:rsidP="00F6008F">
            <w:pPr>
              <w:ind w:left="567" w:firstLine="0"/>
            </w:pPr>
          </w:p>
        </w:tc>
        <w:tc>
          <w:tcPr>
            <w:tcW w:w="3285" w:type="dxa"/>
          </w:tcPr>
          <w:p w:rsidR="00122B03" w:rsidRPr="004F4315" w:rsidRDefault="00122B03" w:rsidP="00B112DA">
            <w:pPr>
              <w:ind w:firstLine="0"/>
              <w:contextualSpacing/>
              <w:rPr>
                <w:sz w:val="24"/>
                <w:szCs w:val="24"/>
              </w:rPr>
            </w:pPr>
          </w:p>
        </w:tc>
        <w:tc>
          <w:tcPr>
            <w:tcW w:w="3745" w:type="dxa"/>
          </w:tcPr>
          <w:p w:rsidR="00122B03" w:rsidRPr="004F4315" w:rsidRDefault="00122B03" w:rsidP="00B112DA">
            <w:pPr>
              <w:ind w:firstLine="0"/>
              <w:contextualSpacing/>
              <w:rPr>
                <w:sz w:val="24"/>
                <w:szCs w:val="24"/>
              </w:rPr>
            </w:pPr>
            <w:r w:rsidRPr="004F4315">
              <w:rPr>
                <w:sz w:val="24"/>
                <w:szCs w:val="24"/>
              </w:rPr>
              <w:t>5.Užsienio skolos ir valstybės eksporto santykis (užsienio skolos padengimo rodiklis)</w:t>
            </w:r>
          </w:p>
        </w:tc>
      </w:tr>
      <w:tr w:rsidR="00122B03" w:rsidRPr="004F4315" w:rsidTr="00AD00F8">
        <w:trPr>
          <w:jc w:val="center"/>
        </w:trPr>
        <w:tc>
          <w:tcPr>
            <w:tcW w:w="3284" w:type="dxa"/>
          </w:tcPr>
          <w:p w:rsidR="00122B03" w:rsidRPr="004F4315" w:rsidRDefault="00122B03" w:rsidP="00B112DA">
            <w:pPr>
              <w:ind w:firstLine="0"/>
              <w:contextualSpacing/>
              <w:rPr>
                <w:b/>
                <w:sz w:val="24"/>
                <w:szCs w:val="24"/>
              </w:rPr>
            </w:pPr>
          </w:p>
        </w:tc>
        <w:tc>
          <w:tcPr>
            <w:tcW w:w="3285" w:type="dxa"/>
          </w:tcPr>
          <w:p w:rsidR="00122B03" w:rsidRPr="004F4315" w:rsidRDefault="00122B03" w:rsidP="00B112DA">
            <w:pPr>
              <w:ind w:firstLine="0"/>
              <w:contextualSpacing/>
              <w:rPr>
                <w:sz w:val="24"/>
                <w:szCs w:val="24"/>
              </w:rPr>
            </w:pPr>
          </w:p>
        </w:tc>
        <w:tc>
          <w:tcPr>
            <w:tcW w:w="3745" w:type="dxa"/>
          </w:tcPr>
          <w:p w:rsidR="00122B03" w:rsidRPr="004F4315" w:rsidRDefault="00122B03" w:rsidP="00B112DA">
            <w:pPr>
              <w:ind w:firstLine="0"/>
              <w:contextualSpacing/>
              <w:rPr>
                <w:sz w:val="24"/>
                <w:szCs w:val="24"/>
              </w:rPr>
            </w:pPr>
            <w:r w:rsidRPr="004F4315">
              <w:rPr>
                <w:sz w:val="24"/>
                <w:szCs w:val="24"/>
              </w:rPr>
              <w:t>6.Užsienio skolos ir BVP santykis</w:t>
            </w:r>
          </w:p>
        </w:tc>
      </w:tr>
    </w:tbl>
    <w:p w:rsidR="00516466" w:rsidRPr="00CF2C1A" w:rsidRDefault="00F6008F" w:rsidP="00B51B94">
      <w:pPr>
        <w:ind w:firstLine="0"/>
        <w:contextualSpacing/>
      </w:pPr>
      <w:r>
        <w:t xml:space="preserve">    </w:t>
      </w:r>
      <w:r w:rsidR="00CF2C1A" w:rsidRPr="00CF2C1A">
        <w:t>Šaltinis: sudaryta pagal Levišauskaitė, Rūškys, 2003; Karajizienė 2011; Buškevičiūtė, 2008; TVF, 2001</w:t>
      </w:r>
    </w:p>
    <w:p w:rsidR="00CF2C1A" w:rsidRDefault="00CF2C1A" w:rsidP="00122B03">
      <w:pPr>
        <w:spacing w:line="360" w:lineRule="auto"/>
        <w:ind w:firstLine="720"/>
        <w:rPr>
          <w:sz w:val="24"/>
          <w:szCs w:val="24"/>
        </w:rPr>
      </w:pPr>
    </w:p>
    <w:p w:rsidR="00122B03" w:rsidRDefault="00122B03" w:rsidP="00122B03">
      <w:pPr>
        <w:spacing w:line="360" w:lineRule="auto"/>
        <w:ind w:firstLine="720"/>
        <w:rPr>
          <w:rFonts w:eastAsia="TimesNewRoman"/>
          <w:sz w:val="24"/>
          <w:szCs w:val="24"/>
        </w:rPr>
      </w:pPr>
      <w:r w:rsidRPr="00F76777">
        <w:rPr>
          <w:sz w:val="24"/>
          <w:szCs w:val="24"/>
        </w:rPr>
        <w:t xml:space="preserve">Pagrindinis šalių skolos lygį įvertinantis rodiklis yra valstybės skolos ir BVP santykis, nes jis parodo, kad šalies gamyba užtikrins jos galimybes grąžinti savo skolas. Kuo šis šalies rodiklis yra mažesnis, tuo stabilesnė yra valstybės finansinė padėtis. </w:t>
      </w:r>
      <w:r w:rsidRPr="00F76777">
        <w:rPr>
          <w:rFonts w:eastAsiaTheme="minorHAnsi"/>
          <w:sz w:val="24"/>
          <w:szCs w:val="24"/>
        </w:rPr>
        <w:t>Bendrasis vidaus produktas parodo bendrą vis</w:t>
      </w:r>
      <w:r w:rsidRPr="00F76777">
        <w:rPr>
          <w:rFonts w:eastAsia="TimesNewRoman"/>
          <w:sz w:val="24"/>
          <w:szCs w:val="24"/>
        </w:rPr>
        <w:t xml:space="preserve">ų </w:t>
      </w:r>
      <w:r w:rsidRPr="00F76777">
        <w:rPr>
          <w:rFonts w:eastAsiaTheme="minorHAnsi"/>
          <w:sz w:val="24"/>
          <w:szCs w:val="24"/>
        </w:rPr>
        <w:t>gatav</w:t>
      </w:r>
      <w:r w:rsidRPr="00F76777">
        <w:rPr>
          <w:rFonts w:eastAsia="TimesNewRoman"/>
          <w:sz w:val="24"/>
          <w:szCs w:val="24"/>
        </w:rPr>
        <w:t xml:space="preserve">ų </w:t>
      </w:r>
      <w:r w:rsidRPr="00F76777">
        <w:rPr>
          <w:rFonts w:eastAsiaTheme="minorHAnsi"/>
          <w:sz w:val="24"/>
          <w:szCs w:val="24"/>
        </w:rPr>
        <w:t>preki</w:t>
      </w:r>
      <w:r w:rsidRPr="00F76777">
        <w:rPr>
          <w:rFonts w:eastAsia="TimesNewRoman"/>
          <w:sz w:val="24"/>
          <w:szCs w:val="24"/>
        </w:rPr>
        <w:t xml:space="preserve">ų </w:t>
      </w:r>
      <w:r w:rsidRPr="00F76777">
        <w:rPr>
          <w:rFonts w:eastAsiaTheme="minorHAnsi"/>
          <w:sz w:val="24"/>
          <w:szCs w:val="24"/>
        </w:rPr>
        <w:t>ir paslaug</w:t>
      </w:r>
      <w:r w:rsidRPr="00F76777">
        <w:rPr>
          <w:rFonts w:eastAsia="TimesNewRoman"/>
          <w:sz w:val="24"/>
          <w:szCs w:val="24"/>
        </w:rPr>
        <w:t>ų</w:t>
      </w:r>
      <w:r w:rsidRPr="00F76777">
        <w:rPr>
          <w:rFonts w:eastAsiaTheme="minorHAnsi"/>
          <w:sz w:val="24"/>
          <w:szCs w:val="24"/>
        </w:rPr>
        <w:t>,</w:t>
      </w:r>
      <w:r>
        <w:rPr>
          <w:rFonts w:eastAsiaTheme="minorHAnsi"/>
          <w:sz w:val="24"/>
          <w:szCs w:val="24"/>
        </w:rPr>
        <w:t xml:space="preserve"> </w:t>
      </w:r>
      <w:r w:rsidRPr="00F76777">
        <w:rPr>
          <w:rFonts w:eastAsiaTheme="minorHAnsi"/>
          <w:sz w:val="24"/>
          <w:szCs w:val="24"/>
        </w:rPr>
        <w:t>pagamint</w:t>
      </w:r>
      <w:r w:rsidRPr="00F76777">
        <w:rPr>
          <w:rFonts w:eastAsia="TimesNewRoman"/>
          <w:sz w:val="24"/>
          <w:szCs w:val="24"/>
        </w:rPr>
        <w:t>ų ū</w:t>
      </w:r>
      <w:r w:rsidRPr="00F76777">
        <w:rPr>
          <w:rFonts w:eastAsiaTheme="minorHAnsi"/>
          <w:sz w:val="24"/>
          <w:szCs w:val="24"/>
        </w:rPr>
        <w:t>kyje per vienerius metus, vertę. Kai šalyje auga BVP</w:t>
      </w:r>
      <w:r w:rsidR="00516466">
        <w:rPr>
          <w:rFonts w:eastAsiaTheme="minorHAnsi"/>
          <w:sz w:val="24"/>
          <w:szCs w:val="24"/>
        </w:rPr>
        <w:t xml:space="preserve">, tada į biudžetą </w:t>
      </w:r>
      <w:r w:rsidRPr="00F76777">
        <w:rPr>
          <w:rFonts w:eastAsiaTheme="minorHAnsi"/>
          <w:sz w:val="24"/>
          <w:szCs w:val="24"/>
        </w:rPr>
        <w:t>surenka</w:t>
      </w:r>
      <w:r w:rsidR="00516466">
        <w:rPr>
          <w:rFonts w:eastAsiaTheme="minorHAnsi"/>
          <w:sz w:val="24"/>
          <w:szCs w:val="24"/>
        </w:rPr>
        <w:t>ma</w:t>
      </w:r>
      <w:r w:rsidRPr="00F76777">
        <w:rPr>
          <w:rFonts w:eastAsiaTheme="minorHAnsi"/>
          <w:sz w:val="24"/>
          <w:szCs w:val="24"/>
        </w:rPr>
        <w:t xml:space="preserve"> daugiau mokesčių, kurie leidžia mažinti šalies deficitą. BVP</w:t>
      </w:r>
      <w:r>
        <w:rPr>
          <w:rFonts w:eastAsiaTheme="minorHAnsi"/>
          <w:sz w:val="24"/>
          <w:szCs w:val="24"/>
        </w:rPr>
        <w:t xml:space="preserve"> </w:t>
      </w:r>
      <w:r w:rsidRPr="00F76777">
        <w:rPr>
          <w:rFonts w:eastAsiaTheme="minorHAnsi"/>
          <w:sz w:val="24"/>
          <w:szCs w:val="24"/>
        </w:rPr>
        <w:t>augimas taip pat mažina santykinį valstybės skolos dydį. Tuomet nors valstyb</w:t>
      </w:r>
      <w:r w:rsidRPr="00F76777">
        <w:rPr>
          <w:rFonts w:eastAsia="TimesNewRoman"/>
          <w:sz w:val="24"/>
          <w:szCs w:val="24"/>
        </w:rPr>
        <w:t>ė</w:t>
      </w:r>
      <w:r w:rsidRPr="00F76777">
        <w:rPr>
          <w:rFonts w:eastAsiaTheme="minorHAnsi"/>
          <w:sz w:val="24"/>
          <w:szCs w:val="24"/>
        </w:rPr>
        <w:t>s skola ir auga valiutine išraiška, ta</w:t>
      </w:r>
      <w:r w:rsidRPr="00F76777">
        <w:rPr>
          <w:rFonts w:eastAsia="TimesNewRoman"/>
          <w:sz w:val="24"/>
          <w:szCs w:val="24"/>
        </w:rPr>
        <w:t>č</w:t>
      </w:r>
      <w:r w:rsidRPr="00F76777">
        <w:rPr>
          <w:rFonts w:eastAsiaTheme="minorHAnsi"/>
          <w:sz w:val="24"/>
          <w:szCs w:val="24"/>
        </w:rPr>
        <w:t>iau santykinai ji išlieka stabili arba net gali mažėti. Valstyb</w:t>
      </w:r>
      <w:r w:rsidRPr="00F76777">
        <w:rPr>
          <w:rFonts w:eastAsia="TimesNewRoman"/>
          <w:sz w:val="24"/>
          <w:szCs w:val="24"/>
        </w:rPr>
        <w:t>ė</w:t>
      </w:r>
      <w:r w:rsidRPr="00F76777">
        <w:rPr>
          <w:rFonts w:eastAsiaTheme="minorHAnsi"/>
          <w:sz w:val="24"/>
          <w:szCs w:val="24"/>
        </w:rPr>
        <w:t>s skolos ir BVP santykiu Europos Sąjungoje yra vertinamas valstyb</w:t>
      </w:r>
      <w:r w:rsidRPr="00F76777">
        <w:rPr>
          <w:rFonts w:eastAsia="TimesNewRoman"/>
          <w:sz w:val="24"/>
          <w:szCs w:val="24"/>
        </w:rPr>
        <w:t>ė</w:t>
      </w:r>
      <w:r w:rsidRPr="00F76777">
        <w:rPr>
          <w:rFonts w:eastAsiaTheme="minorHAnsi"/>
          <w:sz w:val="24"/>
          <w:szCs w:val="24"/>
        </w:rPr>
        <w:t>s skolos priimtinumo lygis. Ilguoju laikotarpiu</w:t>
      </w:r>
      <w:r>
        <w:rPr>
          <w:rFonts w:eastAsiaTheme="minorHAnsi"/>
          <w:sz w:val="24"/>
          <w:szCs w:val="24"/>
        </w:rPr>
        <w:t xml:space="preserve"> </w:t>
      </w:r>
      <w:r w:rsidRPr="00F76777">
        <w:rPr>
          <w:rFonts w:eastAsiaTheme="minorHAnsi"/>
          <w:sz w:val="24"/>
          <w:szCs w:val="24"/>
        </w:rPr>
        <w:t>pastovus valstyb</w:t>
      </w:r>
      <w:r w:rsidRPr="00F76777">
        <w:rPr>
          <w:rFonts w:eastAsia="TimesNewRoman"/>
          <w:sz w:val="24"/>
          <w:szCs w:val="24"/>
        </w:rPr>
        <w:t>ė</w:t>
      </w:r>
      <w:r w:rsidRPr="00F76777">
        <w:rPr>
          <w:rFonts w:eastAsiaTheme="minorHAnsi"/>
          <w:sz w:val="24"/>
          <w:szCs w:val="24"/>
        </w:rPr>
        <w:t>s skolos ir BVP santykis gali b</w:t>
      </w:r>
      <w:r w:rsidRPr="00F76777">
        <w:rPr>
          <w:rFonts w:eastAsia="TimesNewRoman"/>
          <w:sz w:val="24"/>
          <w:szCs w:val="24"/>
        </w:rPr>
        <w:t>ū</w:t>
      </w:r>
      <w:r w:rsidRPr="00F76777">
        <w:rPr>
          <w:rFonts w:eastAsiaTheme="minorHAnsi"/>
          <w:sz w:val="24"/>
          <w:szCs w:val="24"/>
        </w:rPr>
        <w:t>ti pasirinktas kaip vienas iš pagrindini</w:t>
      </w:r>
      <w:r w:rsidRPr="00F76777">
        <w:rPr>
          <w:rFonts w:eastAsia="TimesNewRoman"/>
          <w:sz w:val="24"/>
          <w:szCs w:val="24"/>
        </w:rPr>
        <w:t>ų</w:t>
      </w:r>
      <w:r>
        <w:rPr>
          <w:rFonts w:eastAsia="TimesNewRoman"/>
          <w:sz w:val="24"/>
          <w:szCs w:val="24"/>
        </w:rPr>
        <w:t xml:space="preserve"> </w:t>
      </w:r>
      <w:r w:rsidRPr="00F76777">
        <w:rPr>
          <w:rFonts w:eastAsiaTheme="minorHAnsi"/>
          <w:sz w:val="24"/>
          <w:szCs w:val="24"/>
        </w:rPr>
        <w:t>kriterij</w:t>
      </w:r>
      <w:r w:rsidRPr="00F76777">
        <w:rPr>
          <w:rFonts w:eastAsia="TimesNewRoman"/>
          <w:sz w:val="24"/>
          <w:szCs w:val="24"/>
        </w:rPr>
        <w:t>ų</w:t>
      </w:r>
      <w:r w:rsidRPr="00F76777">
        <w:rPr>
          <w:rFonts w:eastAsiaTheme="minorHAnsi"/>
          <w:sz w:val="24"/>
          <w:szCs w:val="24"/>
        </w:rPr>
        <w:t>, vykdant skolinimosi politik</w:t>
      </w:r>
      <w:r w:rsidRPr="00F76777">
        <w:rPr>
          <w:rFonts w:eastAsia="TimesNewRoman"/>
          <w:sz w:val="24"/>
          <w:szCs w:val="24"/>
        </w:rPr>
        <w:t>ą</w:t>
      </w:r>
      <w:r w:rsidRPr="00F76777">
        <w:rPr>
          <w:rFonts w:eastAsiaTheme="minorHAnsi"/>
          <w:sz w:val="24"/>
          <w:szCs w:val="24"/>
        </w:rPr>
        <w:t>. Tokiu atveju BVP turėtų didėti didesniu tempu negu valstybės skola, arba bent jau prilygti valstybės skolinimosi tempui. Valstyb</w:t>
      </w:r>
      <w:r w:rsidRPr="00F76777">
        <w:rPr>
          <w:rFonts w:eastAsia="TimesNewRoman"/>
          <w:sz w:val="24"/>
          <w:szCs w:val="24"/>
        </w:rPr>
        <w:t>ė</w:t>
      </w:r>
      <w:r w:rsidRPr="00F76777">
        <w:rPr>
          <w:rFonts w:eastAsiaTheme="minorHAnsi"/>
          <w:sz w:val="24"/>
          <w:szCs w:val="24"/>
        </w:rPr>
        <w:t>s skolos ir BVP santykis yra vienas iš kriterij</w:t>
      </w:r>
      <w:r w:rsidRPr="00F76777">
        <w:rPr>
          <w:rFonts w:eastAsia="TimesNewRoman"/>
          <w:sz w:val="24"/>
          <w:szCs w:val="24"/>
        </w:rPr>
        <w:t xml:space="preserve">ų </w:t>
      </w:r>
      <w:r w:rsidRPr="00F76777">
        <w:rPr>
          <w:rFonts w:eastAsiaTheme="minorHAnsi"/>
          <w:sz w:val="24"/>
          <w:szCs w:val="24"/>
        </w:rPr>
        <w:t>(rodikli</w:t>
      </w:r>
      <w:r w:rsidRPr="00F76777">
        <w:rPr>
          <w:rFonts w:eastAsia="TimesNewRoman"/>
          <w:sz w:val="24"/>
          <w:szCs w:val="24"/>
        </w:rPr>
        <w:t>ų</w:t>
      </w:r>
      <w:r w:rsidRPr="00F76777">
        <w:rPr>
          <w:rFonts w:eastAsiaTheme="minorHAnsi"/>
          <w:sz w:val="24"/>
          <w:szCs w:val="24"/>
        </w:rPr>
        <w:t>), kuriuo remdamasi</w:t>
      </w:r>
      <w:r>
        <w:rPr>
          <w:rFonts w:eastAsiaTheme="minorHAnsi"/>
          <w:sz w:val="24"/>
          <w:szCs w:val="24"/>
        </w:rPr>
        <w:t xml:space="preserve"> </w:t>
      </w:r>
      <w:r w:rsidRPr="00F76777">
        <w:rPr>
          <w:rFonts w:eastAsiaTheme="minorHAnsi"/>
          <w:sz w:val="24"/>
          <w:szCs w:val="24"/>
        </w:rPr>
        <w:t>Europos komisija vykdo ES šali</w:t>
      </w:r>
      <w:r w:rsidRPr="00F76777">
        <w:rPr>
          <w:rFonts w:eastAsia="TimesNewRoman"/>
          <w:sz w:val="24"/>
          <w:szCs w:val="24"/>
        </w:rPr>
        <w:t xml:space="preserve">ų </w:t>
      </w:r>
      <w:r w:rsidRPr="00F76777">
        <w:rPr>
          <w:rFonts w:eastAsiaTheme="minorHAnsi"/>
          <w:sz w:val="24"/>
          <w:szCs w:val="24"/>
        </w:rPr>
        <w:t>fiskalin</w:t>
      </w:r>
      <w:r w:rsidRPr="00F76777">
        <w:rPr>
          <w:rFonts w:eastAsia="TimesNewRoman"/>
          <w:sz w:val="24"/>
          <w:szCs w:val="24"/>
        </w:rPr>
        <w:t xml:space="preserve">ę </w:t>
      </w:r>
      <w:r w:rsidRPr="00F76777">
        <w:rPr>
          <w:rFonts w:eastAsiaTheme="minorHAnsi"/>
          <w:sz w:val="24"/>
          <w:szCs w:val="24"/>
        </w:rPr>
        <w:t>prieži</w:t>
      </w:r>
      <w:r w:rsidRPr="00F76777">
        <w:rPr>
          <w:rFonts w:eastAsia="TimesNewRoman"/>
          <w:sz w:val="24"/>
          <w:szCs w:val="24"/>
        </w:rPr>
        <w:t>ū</w:t>
      </w:r>
      <w:r w:rsidRPr="00F76777">
        <w:rPr>
          <w:rFonts w:eastAsiaTheme="minorHAnsi"/>
          <w:sz w:val="24"/>
          <w:szCs w:val="24"/>
        </w:rPr>
        <w:t>r</w:t>
      </w:r>
      <w:r w:rsidRPr="00F76777">
        <w:rPr>
          <w:rFonts w:eastAsia="TimesNewRoman"/>
          <w:sz w:val="24"/>
          <w:szCs w:val="24"/>
        </w:rPr>
        <w:t>ą</w:t>
      </w:r>
      <w:r w:rsidRPr="00F76777">
        <w:rPr>
          <w:rFonts w:eastAsiaTheme="minorHAnsi"/>
          <w:sz w:val="24"/>
          <w:szCs w:val="24"/>
        </w:rPr>
        <w:t>, stebi ES šali</w:t>
      </w:r>
      <w:r w:rsidRPr="00F76777">
        <w:rPr>
          <w:rFonts w:eastAsia="TimesNewRoman"/>
          <w:sz w:val="24"/>
          <w:szCs w:val="24"/>
        </w:rPr>
        <w:t xml:space="preserve">ų </w:t>
      </w:r>
      <w:r w:rsidRPr="00F76777">
        <w:rPr>
          <w:rFonts w:eastAsiaTheme="minorHAnsi"/>
          <w:sz w:val="24"/>
          <w:szCs w:val="24"/>
        </w:rPr>
        <w:t>valstyb</w:t>
      </w:r>
      <w:r w:rsidRPr="00F76777">
        <w:rPr>
          <w:rFonts w:eastAsia="TimesNewRoman"/>
          <w:sz w:val="24"/>
          <w:szCs w:val="24"/>
        </w:rPr>
        <w:t>ė</w:t>
      </w:r>
      <w:r w:rsidRPr="00F76777">
        <w:rPr>
          <w:rFonts w:eastAsiaTheme="minorHAnsi"/>
          <w:sz w:val="24"/>
          <w:szCs w:val="24"/>
        </w:rPr>
        <w:t>s finans</w:t>
      </w:r>
      <w:r w:rsidRPr="00F76777">
        <w:rPr>
          <w:rFonts w:eastAsia="TimesNewRoman"/>
          <w:sz w:val="24"/>
          <w:szCs w:val="24"/>
        </w:rPr>
        <w:t xml:space="preserve">ų </w:t>
      </w:r>
      <w:r w:rsidRPr="00F76777">
        <w:rPr>
          <w:rFonts w:eastAsiaTheme="minorHAnsi"/>
          <w:sz w:val="24"/>
          <w:szCs w:val="24"/>
        </w:rPr>
        <w:t>b</w:t>
      </w:r>
      <w:r w:rsidRPr="00F76777">
        <w:rPr>
          <w:rFonts w:eastAsia="TimesNewRoman"/>
          <w:sz w:val="24"/>
          <w:szCs w:val="24"/>
        </w:rPr>
        <w:t>ū</w:t>
      </w:r>
      <w:r w:rsidRPr="00F76777">
        <w:rPr>
          <w:rFonts w:eastAsiaTheme="minorHAnsi"/>
          <w:sz w:val="24"/>
          <w:szCs w:val="24"/>
        </w:rPr>
        <w:t>kl</w:t>
      </w:r>
      <w:r w:rsidRPr="00F76777">
        <w:rPr>
          <w:rFonts w:eastAsia="TimesNewRoman"/>
          <w:sz w:val="24"/>
          <w:szCs w:val="24"/>
        </w:rPr>
        <w:t>ę</w:t>
      </w:r>
      <w:r>
        <w:rPr>
          <w:rFonts w:eastAsia="TimesNewRoman"/>
          <w:sz w:val="24"/>
          <w:szCs w:val="24"/>
        </w:rPr>
        <w:t xml:space="preserve">. </w:t>
      </w:r>
    </w:p>
    <w:p w:rsidR="00122B03" w:rsidRPr="00C749AF" w:rsidRDefault="00122B03" w:rsidP="00122B03">
      <w:pPr>
        <w:spacing w:line="360" w:lineRule="auto"/>
        <w:ind w:firstLine="720"/>
        <w:contextualSpacing/>
        <w:rPr>
          <w:rFonts w:eastAsiaTheme="minorHAnsi"/>
          <w:sz w:val="24"/>
          <w:szCs w:val="24"/>
        </w:rPr>
      </w:pPr>
      <w:r w:rsidRPr="00C749AF">
        <w:rPr>
          <w:sz w:val="24"/>
          <w:szCs w:val="24"/>
        </w:rPr>
        <w:t>Skolos aptarnavimo kaštų palyginimui skaičiuojami 3 santykiniai rodikliai. Palūkanų už valstybės skolą ir valstybės skolos santykis parodo kokia kaina valstybė skolinasi. Kuo šis rodiklis didesnis, tuo daugiau palūkanų valstybė sumoka už savo skolą, tuo tarpu žemas rodiklis parodo, kad valstybė skolinasi nebrangiai.</w:t>
      </w:r>
      <w:r>
        <w:rPr>
          <w:sz w:val="24"/>
          <w:szCs w:val="24"/>
        </w:rPr>
        <w:t xml:space="preserve"> </w:t>
      </w:r>
      <w:r w:rsidRPr="00C749AF">
        <w:rPr>
          <w:sz w:val="24"/>
          <w:szCs w:val="24"/>
        </w:rPr>
        <w:t xml:space="preserve">Palūkanų už valstybės skolą ir BVP santykis parodo, kokia dalis šalyje pagaminamo bendrojo vidaus produkto būtų reikalinga, norint padengti valstybės skolos palūkanas. Palūkanų už valstybės skolą ir biudžeto </w:t>
      </w:r>
      <w:r w:rsidR="00503E3C">
        <w:rPr>
          <w:sz w:val="24"/>
          <w:szCs w:val="24"/>
        </w:rPr>
        <w:t>pajamų</w:t>
      </w:r>
      <w:r w:rsidRPr="00C749AF">
        <w:rPr>
          <w:sz w:val="24"/>
          <w:szCs w:val="24"/>
        </w:rPr>
        <w:t xml:space="preserve"> santykis parodo valstybės skolos naštą, nes valstybės biudžete yra numatyta išlaidų dalis padengti valstybės skolos palūkanas.</w:t>
      </w:r>
    </w:p>
    <w:p w:rsidR="00122B03" w:rsidRPr="00C749AF" w:rsidRDefault="00122B03" w:rsidP="00122B03">
      <w:pPr>
        <w:spacing w:line="360" w:lineRule="auto"/>
        <w:ind w:firstLine="720"/>
        <w:contextualSpacing/>
        <w:rPr>
          <w:sz w:val="24"/>
          <w:szCs w:val="24"/>
        </w:rPr>
      </w:pPr>
      <w:r w:rsidRPr="00C749AF">
        <w:rPr>
          <w:sz w:val="24"/>
          <w:szCs w:val="24"/>
        </w:rPr>
        <w:t>Užsienio skolai įvertinti skaičiuojami du santykiniai rodikliai: užsienio skolos</w:t>
      </w:r>
      <w:r>
        <w:rPr>
          <w:sz w:val="24"/>
          <w:szCs w:val="24"/>
        </w:rPr>
        <w:t xml:space="preserve"> ir valstybės eksporto santykis, arba </w:t>
      </w:r>
      <w:r w:rsidRPr="00C749AF">
        <w:rPr>
          <w:sz w:val="24"/>
          <w:szCs w:val="24"/>
        </w:rPr>
        <w:t xml:space="preserve">kitaip </w:t>
      </w:r>
      <w:r>
        <w:rPr>
          <w:sz w:val="24"/>
          <w:szCs w:val="24"/>
        </w:rPr>
        <w:t xml:space="preserve">skolos </w:t>
      </w:r>
      <w:r w:rsidRPr="00C749AF">
        <w:rPr>
          <w:sz w:val="24"/>
          <w:szCs w:val="24"/>
        </w:rPr>
        <w:t>padeng</w:t>
      </w:r>
      <w:r>
        <w:rPr>
          <w:sz w:val="24"/>
          <w:szCs w:val="24"/>
        </w:rPr>
        <w:t>imo rodiklis</w:t>
      </w:r>
      <w:r w:rsidRPr="00C749AF">
        <w:rPr>
          <w:sz w:val="24"/>
          <w:szCs w:val="24"/>
        </w:rPr>
        <w:t xml:space="preserve"> bei užsienio skolos ir BVP santykis. Šie </w:t>
      </w:r>
      <w:r w:rsidRPr="00C749AF">
        <w:rPr>
          <w:rFonts w:eastAsiaTheme="minorHAnsi"/>
          <w:sz w:val="24"/>
          <w:szCs w:val="24"/>
        </w:rPr>
        <w:t xml:space="preserve">santykiniai rodikliai parodo </w:t>
      </w:r>
      <w:r>
        <w:rPr>
          <w:rFonts w:eastAsiaTheme="minorHAnsi"/>
          <w:sz w:val="24"/>
          <w:szCs w:val="24"/>
        </w:rPr>
        <w:t xml:space="preserve">šalies </w:t>
      </w:r>
      <w:r w:rsidRPr="00C749AF">
        <w:rPr>
          <w:rFonts w:eastAsiaTheme="minorHAnsi"/>
          <w:sz w:val="24"/>
          <w:szCs w:val="24"/>
        </w:rPr>
        <w:t>galimybes gr</w:t>
      </w:r>
      <w:r w:rsidRPr="00C749AF">
        <w:rPr>
          <w:rFonts w:eastAsia="TimesNewRoman"/>
          <w:sz w:val="24"/>
          <w:szCs w:val="24"/>
        </w:rPr>
        <w:t>ą</w:t>
      </w:r>
      <w:r w:rsidRPr="00C749AF">
        <w:rPr>
          <w:rFonts w:eastAsiaTheme="minorHAnsi"/>
          <w:sz w:val="24"/>
          <w:szCs w:val="24"/>
        </w:rPr>
        <w:t>žinti užsienio skol</w:t>
      </w:r>
      <w:r w:rsidRPr="00C749AF">
        <w:rPr>
          <w:rFonts w:eastAsia="TimesNewRoman"/>
          <w:sz w:val="24"/>
          <w:szCs w:val="24"/>
        </w:rPr>
        <w:t>ą.</w:t>
      </w:r>
    </w:p>
    <w:p w:rsidR="009A706A" w:rsidRDefault="00BC5DE8" w:rsidP="009A706A">
      <w:pPr>
        <w:spacing w:line="360" w:lineRule="auto"/>
        <w:ind w:firstLine="720"/>
        <w:rPr>
          <w:sz w:val="24"/>
          <w:szCs w:val="24"/>
        </w:rPr>
      </w:pPr>
      <w:r>
        <w:rPr>
          <w:sz w:val="24"/>
          <w:szCs w:val="24"/>
        </w:rPr>
        <w:t>5</w:t>
      </w:r>
      <w:r w:rsidR="009A706A">
        <w:rPr>
          <w:sz w:val="24"/>
          <w:szCs w:val="24"/>
        </w:rPr>
        <w:t xml:space="preserve"> priede </w:t>
      </w:r>
      <w:r w:rsidR="00207E1C">
        <w:rPr>
          <w:sz w:val="24"/>
          <w:szCs w:val="24"/>
        </w:rPr>
        <w:t>pateiktos valstybės skolos verti</w:t>
      </w:r>
      <w:r w:rsidR="009F7BE5">
        <w:rPr>
          <w:sz w:val="24"/>
          <w:szCs w:val="24"/>
        </w:rPr>
        <w:t xml:space="preserve">nimo rodiklių kritinės reikšmės, pagal kurias gali būti </w:t>
      </w:r>
      <w:r w:rsidR="007F28F5">
        <w:rPr>
          <w:sz w:val="24"/>
          <w:szCs w:val="24"/>
        </w:rPr>
        <w:lastRenderedPageBreak/>
        <w:t>į</w:t>
      </w:r>
      <w:r w:rsidR="009F7BE5">
        <w:rPr>
          <w:sz w:val="24"/>
          <w:szCs w:val="24"/>
        </w:rPr>
        <w:t xml:space="preserve">vertinamas </w:t>
      </w:r>
      <w:r w:rsidR="007E1749">
        <w:rPr>
          <w:sz w:val="24"/>
          <w:szCs w:val="24"/>
        </w:rPr>
        <w:t>valstybės įsiskolinimo lygis.</w:t>
      </w:r>
      <w:r w:rsidR="009F7BE5">
        <w:rPr>
          <w:sz w:val="24"/>
          <w:szCs w:val="24"/>
        </w:rPr>
        <w:t xml:space="preserve"> </w:t>
      </w:r>
      <w:bookmarkStart w:id="96" w:name="_Toc325962460"/>
      <w:bookmarkStart w:id="97" w:name="_Toc326056992"/>
      <w:bookmarkStart w:id="98" w:name="_Toc373086693"/>
      <w:bookmarkStart w:id="99" w:name="_Toc373086891"/>
      <w:bookmarkStart w:id="100" w:name="_Toc373275076"/>
      <w:bookmarkStart w:id="101" w:name="_Toc373421068"/>
    </w:p>
    <w:p w:rsidR="009A706A" w:rsidRDefault="009A706A" w:rsidP="009A706A">
      <w:pPr>
        <w:spacing w:line="360" w:lineRule="auto"/>
        <w:ind w:firstLine="720"/>
        <w:rPr>
          <w:sz w:val="24"/>
          <w:szCs w:val="24"/>
        </w:rPr>
      </w:pPr>
    </w:p>
    <w:p w:rsidR="003650CC" w:rsidRDefault="003650CC" w:rsidP="009A706A">
      <w:pPr>
        <w:spacing w:line="360" w:lineRule="auto"/>
        <w:ind w:firstLine="720"/>
        <w:rPr>
          <w:b/>
          <w:sz w:val="24"/>
          <w:szCs w:val="24"/>
        </w:rPr>
      </w:pPr>
      <w:r w:rsidRPr="009A706A">
        <w:rPr>
          <w:b/>
          <w:sz w:val="24"/>
          <w:szCs w:val="24"/>
        </w:rPr>
        <w:t xml:space="preserve">2.2. </w:t>
      </w:r>
      <w:bookmarkEnd w:id="96"/>
      <w:bookmarkEnd w:id="97"/>
      <w:r w:rsidRPr="009A706A">
        <w:rPr>
          <w:b/>
          <w:sz w:val="24"/>
          <w:szCs w:val="24"/>
        </w:rPr>
        <w:t xml:space="preserve">Valstybės skolos prognozavimo </w:t>
      </w:r>
      <w:bookmarkEnd w:id="98"/>
      <w:bookmarkEnd w:id="99"/>
      <w:bookmarkEnd w:id="100"/>
      <w:bookmarkEnd w:id="101"/>
      <w:r w:rsidR="00485D2E" w:rsidRPr="009A706A">
        <w:rPr>
          <w:b/>
          <w:sz w:val="24"/>
          <w:szCs w:val="24"/>
        </w:rPr>
        <w:t>metodai</w:t>
      </w:r>
    </w:p>
    <w:p w:rsidR="009A706A" w:rsidRPr="009A706A" w:rsidRDefault="009A706A" w:rsidP="009A706A">
      <w:pPr>
        <w:spacing w:line="360" w:lineRule="auto"/>
        <w:ind w:firstLine="720"/>
        <w:rPr>
          <w:b/>
          <w:sz w:val="24"/>
          <w:szCs w:val="24"/>
        </w:rPr>
      </w:pPr>
    </w:p>
    <w:p w:rsidR="0067229E" w:rsidRDefault="0067229E" w:rsidP="003650CC">
      <w:pPr>
        <w:spacing w:before="100" w:beforeAutospacing="1" w:after="100" w:afterAutospacing="1" w:line="360" w:lineRule="auto"/>
        <w:contextualSpacing/>
        <w:rPr>
          <w:sz w:val="24"/>
          <w:szCs w:val="24"/>
        </w:rPr>
      </w:pPr>
      <w:r>
        <w:rPr>
          <w:sz w:val="24"/>
          <w:szCs w:val="24"/>
        </w:rPr>
        <w:t xml:space="preserve">Darbe atliekamo tyrimo metu </w:t>
      </w:r>
      <w:r w:rsidR="003650CC" w:rsidRPr="003650CC">
        <w:rPr>
          <w:sz w:val="24"/>
          <w:szCs w:val="24"/>
        </w:rPr>
        <w:t>bus atliekama</w:t>
      </w:r>
      <w:r>
        <w:rPr>
          <w:sz w:val="24"/>
          <w:szCs w:val="24"/>
        </w:rPr>
        <w:t xml:space="preserve"> Baltijos šalių valstybės skolos prognozė 2013 – 2014 metams.</w:t>
      </w:r>
    </w:p>
    <w:p w:rsidR="003650CC" w:rsidRPr="003650CC" w:rsidRDefault="003650CC" w:rsidP="003650CC">
      <w:pPr>
        <w:spacing w:before="100" w:beforeAutospacing="1" w:after="100" w:afterAutospacing="1" w:line="360" w:lineRule="auto"/>
        <w:contextualSpacing/>
        <w:rPr>
          <w:sz w:val="24"/>
          <w:szCs w:val="24"/>
        </w:rPr>
      </w:pPr>
      <w:r w:rsidRPr="003650CC">
        <w:rPr>
          <w:sz w:val="24"/>
          <w:szCs w:val="24"/>
        </w:rPr>
        <w:t xml:space="preserve"> Tai bus atliekama keliais etapais.</w:t>
      </w:r>
    </w:p>
    <w:p w:rsidR="0067229E" w:rsidRDefault="003650CC" w:rsidP="0067229E">
      <w:pPr>
        <w:spacing w:before="100" w:beforeAutospacing="1" w:after="100" w:afterAutospacing="1" w:line="360" w:lineRule="auto"/>
        <w:contextualSpacing/>
        <w:rPr>
          <w:i/>
          <w:sz w:val="24"/>
          <w:szCs w:val="24"/>
        </w:rPr>
      </w:pPr>
      <w:r w:rsidRPr="003650CC">
        <w:rPr>
          <w:i/>
          <w:sz w:val="24"/>
          <w:szCs w:val="24"/>
        </w:rPr>
        <w:t>1etapas. Kintamųjų pasirinkimas.</w:t>
      </w:r>
    </w:p>
    <w:p w:rsidR="00757797" w:rsidRDefault="003650CC" w:rsidP="00207E1C">
      <w:pPr>
        <w:spacing w:before="100" w:beforeAutospacing="1" w:after="100" w:afterAutospacing="1" w:line="360" w:lineRule="auto"/>
        <w:contextualSpacing/>
        <w:rPr>
          <w:sz w:val="24"/>
          <w:szCs w:val="24"/>
        </w:rPr>
      </w:pPr>
      <w:r w:rsidRPr="003650CC">
        <w:rPr>
          <w:sz w:val="24"/>
          <w:szCs w:val="24"/>
        </w:rPr>
        <w:t xml:space="preserve">Mokslinės literatūros analizė parodė, jog </w:t>
      </w:r>
      <w:r w:rsidR="0067229E">
        <w:rPr>
          <w:sz w:val="24"/>
          <w:szCs w:val="24"/>
        </w:rPr>
        <w:t xml:space="preserve">valstybės skola neabejotinai turi įtakos ekonominei šalies aplinkai, ir atvirkščiai, šalies ekonomikos padėtis lemia šalies skolinimosi poreikį bei skolos dydį. Dažniausiai mokslinėje literatūroje nagrinėjamas valstybės skolos, šalies biudžeto deficito bei BVP augimo ryšys. </w:t>
      </w:r>
    </w:p>
    <w:p w:rsidR="002B77E4" w:rsidRDefault="00FF6857" w:rsidP="002B77E4">
      <w:pPr>
        <w:spacing w:before="100" w:beforeAutospacing="1" w:after="100" w:afterAutospacing="1" w:line="360" w:lineRule="auto"/>
        <w:contextualSpacing/>
        <w:rPr>
          <w:sz w:val="24"/>
          <w:szCs w:val="24"/>
        </w:rPr>
      </w:pPr>
      <w:r>
        <w:rPr>
          <w:sz w:val="24"/>
          <w:szCs w:val="24"/>
        </w:rPr>
        <w:t xml:space="preserve">Darbe atliekamam tyrimui atrinkti </w:t>
      </w:r>
      <w:r w:rsidR="0011144D">
        <w:rPr>
          <w:sz w:val="24"/>
          <w:szCs w:val="24"/>
        </w:rPr>
        <w:t>keturi</w:t>
      </w:r>
      <w:r>
        <w:rPr>
          <w:sz w:val="24"/>
          <w:szCs w:val="24"/>
        </w:rPr>
        <w:t xml:space="preserve"> veiksniai, </w:t>
      </w:r>
      <w:r w:rsidR="005E518A">
        <w:rPr>
          <w:sz w:val="24"/>
          <w:szCs w:val="24"/>
        </w:rPr>
        <w:t xml:space="preserve">galimai </w:t>
      </w:r>
      <w:r>
        <w:rPr>
          <w:sz w:val="24"/>
          <w:szCs w:val="24"/>
        </w:rPr>
        <w:t>turintys įtakos valstybės skolos dydžiui</w:t>
      </w:r>
      <w:r w:rsidR="005B47AA">
        <w:rPr>
          <w:sz w:val="24"/>
          <w:szCs w:val="24"/>
        </w:rPr>
        <w:t xml:space="preserve"> (žr. 2</w:t>
      </w:r>
      <w:r w:rsidR="00207E1C">
        <w:rPr>
          <w:sz w:val="24"/>
          <w:szCs w:val="24"/>
        </w:rPr>
        <w:t xml:space="preserve"> lentelė)</w:t>
      </w:r>
      <w:bookmarkStart w:id="102" w:name="_Toc374229043"/>
      <w:bookmarkStart w:id="103" w:name="_Toc374229154"/>
      <w:bookmarkStart w:id="104" w:name="_Toc374229447"/>
    </w:p>
    <w:p w:rsidR="00B12106" w:rsidRDefault="005B47AA" w:rsidP="00735FF5">
      <w:pPr>
        <w:spacing w:before="100" w:beforeAutospacing="1" w:after="100" w:afterAutospacing="1" w:line="360" w:lineRule="auto"/>
        <w:contextualSpacing/>
        <w:jc w:val="center"/>
        <w:rPr>
          <w:sz w:val="24"/>
          <w:szCs w:val="24"/>
        </w:rPr>
      </w:pPr>
      <w:r>
        <w:rPr>
          <w:sz w:val="24"/>
          <w:szCs w:val="24"/>
        </w:rPr>
        <w:t>2</w:t>
      </w:r>
      <w:r w:rsidR="003650CC" w:rsidRPr="00047573">
        <w:rPr>
          <w:sz w:val="24"/>
          <w:szCs w:val="24"/>
        </w:rPr>
        <w:t xml:space="preserve"> lentelė</w:t>
      </w:r>
      <w:r w:rsidR="008F7E5E" w:rsidRPr="00047573">
        <w:rPr>
          <w:sz w:val="24"/>
          <w:szCs w:val="24"/>
        </w:rPr>
        <w:t xml:space="preserve">. </w:t>
      </w:r>
      <w:r w:rsidR="003650CC" w:rsidRPr="00047573">
        <w:rPr>
          <w:sz w:val="24"/>
          <w:szCs w:val="24"/>
        </w:rPr>
        <w:t>Tyrimui pasirinkti kintamieji</w:t>
      </w:r>
      <w:bookmarkEnd w:id="102"/>
      <w:bookmarkEnd w:id="103"/>
      <w:bookmarkEnd w:id="104"/>
    </w:p>
    <w:p w:rsidR="002B77E4" w:rsidRPr="002B77E4" w:rsidRDefault="002B77E4" w:rsidP="002B77E4">
      <w:pPr>
        <w:spacing w:before="100" w:beforeAutospacing="1" w:after="100" w:afterAutospacing="1" w:line="360" w:lineRule="auto"/>
        <w:contextualSpacing/>
        <w:jc w:val="right"/>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78"/>
        <w:gridCol w:w="3199"/>
        <w:gridCol w:w="3199"/>
      </w:tblGrid>
      <w:tr w:rsidR="003650CC" w:rsidRPr="003650CC" w:rsidTr="002B77E4">
        <w:trPr>
          <w:trHeight w:val="296"/>
          <w:jc w:val="center"/>
        </w:trPr>
        <w:tc>
          <w:tcPr>
            <w:tcW w:w="3178" w:type="dxa"/>
          </w:tcPr>
          <w:p w:rsidR="003650CC" w:rsidRPr="002B77E4" w:rsidRDefault="003650CC" w:rsidP="007160D6">
            <w:pPr>
              <w:spacing w:line="360" w:lineRule="auto"/>
              <w:contextualSpacing/>
              <w:jc w:val="center"/>
              <w:rPr>
                <w:b/>
                <w:i/>
                <w:sz w:val="22"/>
                <w:szCs w:val="22"/>
              </w:rPr>
            </w:pPr>
            <w:r w:rsidRPr="002B77E4">
              <w:rPr>
                <w:b/>
                <w:i/>
                <w:sz w:val="22"/>
                <w:szCs w:val="22"/>
              </w:rPr>
              <w:t>Kintamojo rūšis</w:t>
            </w:r>
          </w:p>
        </w:tc>
        <w:tc>
          <w:tcPr>
            <w:tcW w:w="3199" w:type="dxa"/>
          </w:tcPr>
          <w:p w:rsidR="003650CC" w:rsidRPr="002B77E4" w:rsidRDefault="003650CC" w:rsidP="007160D6">
            <w:pPr>
              <w:spacing w:line="360" w:lineRule="auto"/>
              <w:contextualSpacing/>
              <w:jc w:val="center"/>
              <w:rPr>
                <w:b/>
                <w:i/>
                <w:sz w:val="22"/>
                <w:szCs w:val="22"/>
              </w:rPr>
            </w:pPr>
            <w:r w:rsidRPr="002B77E4">
              <w:rPr>
                <w:b/>
                <w:i/>
                <w:sz w:val="22"/>
                <w:szCs w:val="22"/>
              </w:rPr>
              <w:t>Kintamasis</w:t>
            </w:r>
          </w:p>
        </w:tc>
        <w:tc>
          <w:tcPr>
            <w:tcW w:w="3199" w:type="dxa"/>
          </w:tcPr>
          <w:p w:rsidR="003650CC" w:rsidRPr="002B77E4" w:rsidRDefault="003650CC" w:rsidP="007160D6">
            <w:pPr>
              <w:spacing w:line="360" w:lineRule="auto"/>
              <w:contextualSpacing/>
              <w:jc w:val="center"/>
              <w:rPr>
                <w:b/>
                <w:i/>
                <w:sz w:val="22"/>
                <w:szCs w:val="22"/>
              </w:rPr>
            </w:pPr>
            <w:r w:rsidRPr="002B77E4">
              <w:rPr>
                <w:b/>
                <w:i/>
                <w:sz w:val="22"/>
                <w:szCs w:val="22"/>
              </w:rPr>
              <w:t xml:space="preserve">Pagrindimas </w:t>
            </w:r>
          </w:p>
        </w:tc>
      </w:tr>
      <w:tr w:rsidR="003650CC" w:rsidRPr="003650CC" w:rsidTr="002B77E4">
        <w:trPr>
          <w:jc w:val="center"/>
        </w:trPr>
        <w:tc>
          <w:tcPr>
            <w:tcW w:w="3178" w:type="dxa"/>
          </w:tcPr>
          <w:p w:rsidR="003650CC" w:rsidRPr="002B77E4" w:rsidRDefault="003650CC" w:rsidP="0008383B">
            <w:pPr>
              <w:contextualSpacing/>
              <w:rPr>
                <w:sz w:val="22"/>
                <w:szCs w:val="22"/>
              </w:rPr>
            </w:pPr>
            <w:r w:rsidRPr="002B77E4">
              <w:rPr>
                <w:sz w:val="22"/>
                <w:szCs w:val="22"/>
              </w:rPr>
              <w:t>Priklausomas kintamasis (Y)</w:t>
            </w:r>
          </w:p>
        </w:tc>
        <w:tc>
          <w:tcPr>
            <w:tcW w:w="3199" w:type="dxa"/>
          </w:tcPr>
          <w:p w:rsidR="003650CC" w:rsidRPr="002B77E4" w:rsidRDefault="00FF6857" w:rsidP="009D35B3">
            <w:pPr>
              <w:ind w:firstLine="0"/>
              <w:contextualSpacing/>
              <w:rPr>
                <w:sz w:val="22"/>
                <w:szCs w:val="22"/>
              </w:rPr>
            </w:pPr>
            <w:r w:rsidRPr="002B77E4">
              <w:rPr>
                <w:sz w:val="22"/>
                <w:szCs w:val="22"/>
              </w:rPr>
              <w:t>Valstybės skola</w:t>
            </w:r>
          </w:p>
        </w:tc>
        <w:tc>
          <w:tcPr>
            <w:tcW w:w="3199" w:type="dxa"/>
          </w:tcPr>
          <w:p w:rsidR="003650CC" w:rsidRPr="002B77E4" w:rsidRDefault="003650CC" w:rsidP="0008383B">
            <w:pPr>
              <w:contextualSpacing/>
              <w:jc w:val="center"/>
              <w:rPr>
                <w:sz w:val="22"/>
                <w:szCs w:val="22"/>
              </w:rPr>
            </w:pPr>
            <w:r w:rsidRPr="002B77E4">
              <w:rPr>
                <w:sz w:val="22"/>
                <w:szCs w:val="22"/>
              </w:rPr>
              <w:t>-</w:t>
            </w:r>
          </w:p>
        </w:tc>
      </w:tr>
      <w:tr w:rsidR="003650CC" w:rsidRPr="003650CC" w:rsidTr="002B77E4">
        <w:trPr>
          <w:jc w:val="center"/>
        </w:trPr>
        <w:tc>
          <w:tcPr>
            <w:tcW w:w="3178" w:type="dxa"/>
          </w:tcPr>
          <w:p w:rsidR="003650CC" w:rsidRPr="002B77E4" w:rsidRDefault="003650CC" w:rsidP="0008383B">
            <w:pPr>
              <w:contextualSpacing/>
              <w:rPr>
                <w:sz w:val="22"/>
                <w:szCs w:val="22"/>
              </w:rPr>
            </w:pPr>
            <w:r w:rsidRPr="002B77E4">
              <w:rPr>
                <w:sz w:val="22"/>
                <w:szCs w:val="22"/>
              </w:rPr>
              <w:t>Nepriklausomas kintamasis (x1)</w:t>
            </w:r>
          </w:p>
        </w:tc>
        <w:tc>
          <w:tcPr>
            <w:tcW w:w="3199" w:type="dxa"/>
          </w:tcPr>
          <w:p w:rsidR="003650CC" w:rsidRPr="002B77E4" w:rsidRDefault="003650CC" w:rsidP="0008383B">
            <w:pPr>
              <w:ind w:firstLine="0"/>
              <w:contextualSpacing/>
              <w:jc w:val="left"/>
              <w:rPr>
                <w:sz w:val="22"/>
                <w:szCs w:val="22"/>
              </w:rPr>
            </w:pPr>
            <w:r w:rsidRPr="002B77E4">
              <w:rPr>
                <w:sz w:val="22"/>
                <w:szCs w:val="22"/>
              </w:rPr>
              <w:t>BVP</w:t>
            </w:r>
          </w:p>
        </w:tc>
        <w:tc>
          <w:tcPr>
            <w:tcW w:w="3199" w:type="dxa"/>
          </w:tcPr>
          <w:p w:rsidR="003650CC" w:rsidRPr="002B77E4" w:rsidRDefault="003650CC" w:rsidP="0008383B">
            <w:pPr>
              <w:contextualSpacing/>
              <w:rPr>
                <w:sz w:val="22"/>
                <w:szCs w:val="22"/>
              </w:rPr>
            </w:pPr>
            <w:r w:rsidRPr="002B77E4">
              <w:rPr>
                <w:sz w:val="22"/>
                <w:szCs w:val="22"/>
              </w:rPr>
              <w:t xml:space="preserve">Tai yra vienas iš rodiklių geriausiai atspindinčių šalies ekonominę situaciją. Kaip jau minėta, dauguma mokslininkų teigia, jog tarp </w:t>
            </w:r>
            <w:r w:rsidR="00FF6857" w:rsidRPr="002B77E4">
              <w:rPr>
                <w:sz w:val="22"/>
                <w:szCs w:val="22"/>
              </w:rPr>
              <w:t xml:space="preserve">valstybės skolos dydžio ir </w:t>
            </w:r>
            <w:r w:rsidRPr="002B77E4">
              <w:rPr>
                <w:sz w:val="22"/>
                <w:szCs w:val="22"/>
              </w:rPr>
              <w:t>BVP</w:t>
            </w:r>
            <w:r w:rsidR="00FF6857" w:rsidRPr="002B77E4">
              <w:rPr>
                <w:sz w:val="22"/>
                <w:szCs w:val="22"/>
              </w:rPr>
              <w:t xml:space="preserve"> augimo</w:t>
            </w:r>
            <w:r w:rsidRPr="002B77E4">
              <w:rPr>
                <w:sz w:val="22"/>
                <w:szCs w:val="22"/>
              </w:rPr>
              <w:t xml:space="preserve"> egzistuoja stiprus ryšys.</w:t>
            </w:r>
          </w:p>
        </w:tc>
      </w:tr>
      <w:tr w:rsidR="003650CC" w:rsidRPr="003650CC" w:rsidTr="002B77E4">
        <w:trPr>
          <w:jc w:val="center"/>
        </w:trPr>
        <w:tc>
          <w:tcPr>
            <w:tcW w:w="3178" w:type="dxa"/>
          </w:tcPr>
          <w:p w:rsidR="003650CC" w:rsidRPr="002B77E4" w:rsidRDefault="003650CC" w:rsidP="0008383B">
            <w:pPr>
              <w:contextualSpacing/>
              <w:rPr>
                <w:sz w:val="22"/>
                <w:szCs w:val="22"/>
              </w:rPr>
            </w:pPr>
            <w:r w:rsidRPr="002B77E4">
              <w:rPr>
                <w:sz w:val="22"/>
                <w:szCs w:val="22"/>
              </w:rPr>
              <w:t>Nepriklausomas kintamasis (x2)</w:t>
            </w:r>
          </w:p>
        </w:tc>
        <w:tc>
          <w:tcPr>
            <w:tcW w:w="3199" w:type="dxa"/>
          </w:tcPr>
          <w:p w:rsidR="003650CC" w:rsidRPr="002B77E4" w:rsidRDefault="00516E0A" w:rsidP="0008383B">
            <w:pPr>
              <w:ind w:firstLine="0"/>
              <w:contextualSpacing/>
              <w:jc w:val="left"/>
              <w:rPr>
                <w:sz w:val="22"/>
                <w:szCs w:val="22"/>
              </w:rPr>
            </w:pPr>
            <w:r w:rsidRPr="002B77E4">
              <w:rPr>
                <w:sz w:val="22"/>
                <w:szCs w:val="22"/>
              </w:rPr>
              <w:t>Biudžeto deficitas/perteklius</w:t>
            </w:r>
          </w:p>
        </w:tc>
        <w:tc>
          <w:tcPr>
            <w:tcW w:w="3199" w:type="dxa"/>
          </w:tcPr>
          <w:p w:rsidR="003650CC" w:rsidRPr="002B77E4" w:rsidRDefault="00516E0A" w:rsidP="009D35B3">
            <w:pPr>
              <w:contextualSpacing/>
              <w:rPr>
                <w:sz w:val="22"/>
                <w:szCs w:val="22"/>
              </w:rPr>
            </w:pPr>
            <w:r w:rsidRPr="002B77E4">
              <w:rPr>
                <w:sz w:val="22"/>
                <w:szCs w:val="22"/>
              </w:rPr>
              <w:t xml:space="preserve">Valstybės biudžeto deficitas/perteklius turi tiesioginės įtakos valstybės skolinimosi poreikiui ir skolos dydžiui. Valstybės skolą galima pavadinti </w:t>
            </w:r>
            <w:r w:rsidRPr="002B77E4">
              <w:rPr>
                <w:color w:val="000000"/>
                <w:sz w:val="22"/>
                <w:szCs w:val="22"/>
              </w:rPr>
              <w:t>visų buvusių</w:t>
            </w:r>
            <w:r w:rsidR="009D35B3" w:rsidRPr="002B77E4">
              <w:rPr>
                <w:color w:val="000000"/>
                <w:sz w:val="22"/>
                <w:szCs w:val="22"/>
              </w:rPr>
              <w:t xml:space="preserve"> biudžetų deficitų sukaupta suma</w:t>
            </w:r>
            <w:r w:rsidRPr="002B77E4">
              <w:rPr>
                <w:color w:val="000000"/>
                <w:sz w:val="22"/>
                <w:szCs w:val="22"/>
              </w:rPr>
              <w:t>. Deficitiniais metai valstybės skola didėja, o pertekliniais – mažėja.</w:t>
            </w:r>
          </w:p>
        </w:tc>
      </w:tr>
    </w:tbl>
    <w:p w:rsidR="003650CC" w:rsidRDefault="003650CC" w:rsidP="006F481E">
      <w:pPr>
        <w:contextualSpacing/>
        <w:jc w:val="right"/>
        <w:rPr>
          <w:sz w:val="24"/>
          <w:szCs w:val="24"/>
        </w:rPr>
      </w:pPr>
    </w:p>
    <w:p w:rsidR="006F481E" w:rsidRDefault="006F481E" w:rsidP="006F481E">
      <w:pPr>
        <w:contextualSpacing/>
        <w:jc w:val="left"/>
        <w:rPr>
          <w:sz w:val="24"/>
          <w:szCs w:val="24"/>
        </w:rPr>
      </w:pPr>
      <w:r>
        <w:rPr>
          <w:sz w:val="24"/>
          <w:szCs w:val="24"/>
        </w:rPr>
        <w:t xml:space="preserve">                                                                                                        2 lentelės tęsinys kitame puslapyje</w:t>
      </w:r>
    </w:p>
    <w:p w:rsidR="006F481E" w:rsidRDefault="006F481E" w:rsidP="006F481E">
      <w:pPr>
        <w:contextualSpacing/>
        <w:jc w:val="right"/>
        <w:rPr>
          <w:sz w:val="24"/>
          <w:szCs w:val="24"/>
        </w:rPr>
      </w:pPr>
    </w:p>
    <w:p w:rsidR="006F481E" w:rsidRDefault="006F481E" w:rsidP="006F481E">
      <w:pPr>
        <w:contextualSpacing/>
        <w:jc w:val="right"/>
        <w:rPr>
          <w:sz w:val="24"/>
          <w:szCs w:val="24"/>
        </w:rPr>
      </w:pPr>
    </w:p>
    <w:p w:rsidR="00D06397" w:rsidRDefault="00D06397" w:rsidP="006F481E">
      <w:pPr>
        <w:contextualSpacing/>
        <w:jc w:val="right"/>
        <w:rPr>
          <w:sz w:val="24"/>
          <w:szCs w:val="24"/>
        </w:rPr>
      </w:pPr>
    </w:p>
    <w:p w:rsidR="00D06397" w:rsidRDefault="00D06397" w:rsidP="006F481E">
      <w:pPr>
        <w:contextualSpacing/>
        <w:jc w:val="right"/>
        <w:rPr>
          <w:sz w:val="24"/>
          <w:szCs w:val="24"/>
        </w:rPr>
      </w:pPr>
    </w:p>
    <w:p w:rsidR="006F481E" w:rsidRDefault="006F481E" w:rsidP="006F481E">
      <w:pPr>
        <w:contextualSpacing/>
        <w:jc w:val="right"/>
        <w:rPr>
          <w:sz w:val="24"/>
          <w:szCs w:val="24"/>
        </w:rPr>
      </w:pPr>
      <w:r>
        <w:rPr>
          <w:sz w:val="24"/>
          <w:szCs w:val="24"/>
        </w:rPr>
        <w:lastRenderedPageBreak/>
        <w:t>2 lentelės tęsinys</w:t>
      </w:r>
    </w:p>
    <w:p w:rsidR="006F481E" w:rsidRDefault="006F481E" w:rsidP="006F481E">
      <w:pPr>
        <w:contextualSpacing/>
        <w:jc w:val="right"/>
        <w:rPr>
          <w:sz w:val="24"/>
          <w:szCs w:val="24"/>
        </w:rPr>
      </w:pPr>
    </w:p>
    <w:tbl>
      <w:tblPr>
        <w:tblStyle w:val="TableGrid"/>
        <w:tblW w:w="0" w:type="auto"/>
        <w:tblInd w:w="468" w:type="dxa"/>
        <w:tblLook w:val="04A0"/>
      </w:tblPr>
      <w:tblGrid>
        <w:gridCol w:w="3026"/>
        <w:gridCol w:w="3494"/>
        <w:gridCol w:w="3020"/>
      </w:tblGrid>
      <w:tr w:rsidR="006F481E" w:rsidTr="006F481E">
        <w:tc>
          <w:tcPr>
            <w:tcW w:w="3026" w:type="dxa"/>
          </w:tcPr>
          <w:p w:rsidR="006F481E" w:rsidRPr="002B77E4" w:rsidRDefault="006F481E" w:rsidP="00FC7028">
            <w:pPr>
              <w:spacing w:line="360" w:lineRule="auto"/>
              <w:contextualSpacing/>
              <w:jc w:val="center"/>
              <w:rPr>
                <w:b/>
                <w:i/>
                <w:sz w:val="22"/>
                <w:szCs w:val="22"/>
              </w:rPr>
            </w:pPr>
            <w:r w:rsidRPr="002B77E4">
              <w:rPr>
                <w:b/>
                <w:i/>
                <w:sz w:val="22"/>
                <w:szCs w:val="22"/>
              </w:rPr>
              <w:t>Kintamojo rūšis</w:t>
            </w:r>
          </w:p>
        </w:tc>
        <w:tc>
          <w:tcPr>
            <w:tcW w:w="3494" w:type="dxa"/>
          </w:tcPr>
          <w:p w:rsidR="006F481E" w:rsidRPr="002B77E4" w:rsidRDefault="006F481E" w:rsidP="00FC7028">
            <w:pPr>
              <w:spacing w:line="360" w:lineRule="auto"/>
              <w:contextualSpacing/>
              <w:jc w:val="center"/>
              <w:rPr>
                <w:b/>
                <w:i/>
                <w:sz w:val="22"/>
                <w:szCs w:val="22"/>
              </w:rPr>
            </w:pPr>
            <w:r w:rsidRPr="002B77E4">
              <w:rPr>
                <w:b/>
                <w:i/>
                <w:sz w:val="22"/>
                <w:szCs w:val="22"/>
              </w:rPr>
              <w:t>Kintamasis</w:t>
            </w:r>
          </w:p>
        </w:tc>
        <w:tc>
          <w:tcPr>
            <w:tcW w:w="3020" w:type="dxa"/>
          </w:tcPr>
          <w:p w:rsidR="006F481E" w:rsidRPr="002B77E4" w:rsidRDefault="006F481E" w:rsidP="00FC7028">
            <w:pPr>
              <w:spacing w:line="360" w:lineRule="auto"/>
              <w:contextualSpacing/>
              <w:jc w:val="center"/>
              <w:rPr>
                <w:b/>
                <w:i/>
                <w:sz w:val="22"/>
                <w:szCs w:val="22"/>
              </w:rPr>
            </w:pPr>
            <w:r w:rsidRPr="002B77E4">
              <w:rPr>
                <w:b/>
                <w:i/>
                <w:sz w:val="22"/>
                <w:szCs w:val="22"/>
              </w:rPr>
              <w:t xml:space="preserve">Pagrindimas </w:t>
            </w:r>
          </w:p>
        </w:tc>
      </w:tr>
      <w:tr w:rsidR="006F481E" w:rsidTr="006F481E">
        <w:tc>
          <w:tcPr>
            <w:tcW w:w="3026" w:type="dxa"/>
          </w:tcPr>
          <w:p w:rsidR="006F481E" w:rsidRPr="002B77E4" w:rsidRDefault="006F481E" w:rsidP="00FC7028">
            <w:pPr>
              <w:contextualSpacing/>
              <w:rPr>
                <w:sz w:val="22"/>
                <w:szCs w:val="22"/>
              </w:rPr>
            </w:pPr>
            <w:r w:rsidRPr="002B77E4">
              <w:rPr>
                <w:sz w:val="22"/>
                <w:szCs w:val="22"/>
              </w:rPr>
              <w:t>Nepriklausomas kintamasis (x3)</w:t>
            </w:r>
          </w:p>
        </w:tc>
        <w:tc>
          <w:tcPr>
            <w:tcW w:w="3494" w:type="dxa"/>
          </w:tcPr>
          <w:p w:rsidR="006F481E" w:rsidRPr="002B77E4" w:rsidRDefault="006F481E" w:rsidP="00FC7028">
            <w:pPr>
              <w:ind w:firstLine="0"/>
              <w:contextualSpacing/>
              <w:jc w:val="left"/>
              <w:rPr>
                <w:sz w:val="22"/>
                <w:szCs w:val="22"/>
              </w:rPr>
            </w:pPr>
            <w:r w:rsidRPr="002B77E4">
              <w:rPr>
                <w:sz w:val="22"/>
                <w:szCs w:val="22"/>
              </w:rPr>
              <w:t>Einamosios sąskaitos perteklius/deficitas</w:t>
            </w:r>
          </w:p>
        </w:tc>
        <w:tc>
          <w:tcPr>
            <w:tcW w:w="3020" w:type="dxa"/>
          </w:tcPr>
          <w:p w:rsidR="006F481E" w:rsidRPr="002B77E4" w:rsidRDefault="006F481E" w:rsidP="00FC7028">
            <w:pPr>
              <w:contextualSpacing/>
              <w:rPr>
                <w:sz w:val="22"/>
                <w:szCs w:val="22"/>
              </w:rPr>
            </w:pPr>
            <w:r w:rsidRPr="002B77E4">
              <w:rPr>
                <w:sz w:val="22"/>
                <w:szCs w:val="22"/>
                <w:shd w:val="clear" w:color="auto" w:fill="FFFFFF"/>
              </w:rPr>
              <w:t>Valstybės skola didėja, kai importuojama daugiau prekių nei eksportuojama. Tokiu atveju mažėja valstybės užsienio valiutos atsargos, o jam palaikyti valstybė skolinasi užsienio valiuta užsienio kapitalo rinkose.</w:t>
            </w:r>
          </w:p>
        </w:tc>
      </w:tr>
      <w:tr w:rsidR="006F481E" w:rsidTr="006F481E">
        <w:tc>
          <w:tcPr>
            <w:tcW w:w="3026" w:type="dxa"/>
          </w:tcPr>
          <w:p w:rsidR="006F481E" w:rsidRPr="002B77E4" w:rsidRDefault="006F481E" w:rsidP="00FC7028">
            <w:pPr>
              <w:contextualSpacing/>
              <w:rPr>
                <w:sz w:val="22"/>
                <w:szCs w:val="22"/>
              </w:rPr>
            </w:pPr>
            <w:r w:rsidRPr="002B77E4">
              <w:rPr>
                <w:sz w:val="22"/>
                <w:szCs w:val="22"/>
              </w:rPr>
              <w:t>Nepriklausomas kintamasis (x4)</w:t>
            </w:r>
          </w:p>
        </w:tc>
        <w:tc>
          <w:tcPr>
            <w:tcW w:w="3494" w:type="dxa"/>
          </w:tcPr>
          <w:p w:rsidR="006F481E" w:rsidRPr="002B77E4" w:rsidRDefault="006F481E" w:rsidP="00FC7028">
            <w:pPr>
              <w:ind w:firstLine="0"/>
              <w:contextualSpacing/>
              <w:jc w:val="left"/>
              <w:rPr>
                <w:sz w:val="22"/>
                <w:szCs w:val="22"/>
              </w:rPr>
            </w:pPr>
            <w:r w:rsidRPr="002B77E4">
              <w:rPr>
                <w:sz w:val="22"/>
                <w:szCs w:val="22"/>
              </w:rPr>
              <w:t>Valstybės skolos valdymo išlaidos (palūkanoms)</w:t>
            </w:r>
          </w:p>
        </w:tc>
        <w:tc>
          <w:tcPr>
            <w:tcW w:w="3020" w:type="dxa"/>
          </w:tcPr>
          <w:p w:rsidR="006F481E" w:rsidRPr="002B77E4" w:rsidRDefault="006F481E" w:rsidP="00FC7028">
            <w:pPr>
              <w:contextualSpacing/>
              <w:rPr>
                <w:sz w:val="22"/>
                <w:szCs w:val="22"/>
              </w:rPr>
            </w:pPr>
            <w:r w:rsidRPr="002B77E4">
              <w:rPr>
                <w:sz w:val="22"/>
                <w:szCs w:val="22"/>
              </w:rPr>
              <w:t>Jeigu šalis neturi sukaupusi rezervo, didėjančios valstybės skolos aptarnavimo išlaidos didina biudžeto deficitą, o jis savo ruožtu augina valstybės skolą.</w:t>
            </w:r>
          </w:p>
        </w:tc>
      </w:tr>
    </w:tbl>
    <w:p w:rsidR="006F481E" w:rsidRPr="002060FE" w:rsidRDefault="002060FE" w:rsidP="002060FE">
      <w:pPr>
        <w:contextualSpacing/>
        <w:jc w:val="left"/>
      </w:pPr>
      <w:r w:rsidRPr="002060FE">
        <w:t>Šaltinis: sudaryta autorės</w:t>
      </w:r>
    </w:p>
    <w:p w:rsidR="006F481E" w:rsidRPr="003650CC" w:rsidRDefault="006F481E" w:rsidP="006F481E">
      <w:pPr>
        <w:contextualSpacing/>
        <w:jc w:val="right"/>
        <w:rPr>
          <w:sz w:val="24"/>
          <w:szCs w:val="24"/>
        </w:rPr>
      </w:pPr>
    </w:p>
    <w:p w:rsidR="003650CC" w:rsidRPr="003650CC" w:rsidRDefault="003650CC" w:rsidP="003650CC">
      <w:pPr>
        <w:spacing w:line="360" w:lineRule="auto"/>
        <w:contextualSpacing/>
        <w:rPr>
          <w:sz w:val="24"/>
          <w:szCs w:val="24"/>
        </w:rPr>
      </w:pPr>
      <w:r w:rsidRPr="003650CC">
        <w:rPr>
          <w:sz w:val="24"/>
          <w:szCs w:val="24"/>
        </w:rPr>
        <w:t xml:space="preserve">Tyrimui bus naudojami </w:t>
      </w:r>
      <w:r w:rsidR="0008383B">
        <w:rPr>
          <w:sz w:val="24"/>
          <w:szCs w:val="24"/>
        </w:rPr>
        <w:t xml:space="preserve">Europos statistikos departamento 2000 – 2012 metų </w:t>
      </w:r>
      <w:r w:rsidRPr="003650CC">
        <w:rPr>
          <w:sz w:val="24"/>
          <w:szCs w:val="24"/>
        </w:rPr>
        <w:t>duomenys apie kintamuosius.</w:t>
      </w:r>
    </w:p>
    <w:p w:rsidR="003650CC" w:rsidRPr="003650CC" w:rsidRDefault="003650CC" w:rsidP="003650CC">
      <w:pPr>
        <w:spacing w:before="100" w:beforeAutospacing="1" w:after="100" w:afterAutospacing="1" w:line="360" w:lineRule="auto"/>
        <w:contextualSpacing/>
        <w:rPr>
          <w:sz w:val="24"/>
          <w:szCs w:val="24"/>
        </w:rPr>
      </w:pPr>
      <w:r w:rsidRPr="003650CC">
        <w:rPr>
          <w:sz w:val="24"/>
          <w:szCs w:val="24"/>
        </w:rPr>
        <w:t>Tyrimas</w:t>
      </w:r>
      <w:r w:rsidR="0008383B">
        <w:rPr>
          <w:sz w:val="24"/>
          <w:szCs w:val="24"/>
        </w:rPr>
        <w:t xml:space="preserve"> atliekamas naudojantis Eviews 8</w:t>
      </w:r>
      <w:r w:rsidRPr="003650CC">
        <w:rPr>
          <w:sz w:val="24"/>
          <w:szCs w:val="24"/>
        </w:rPr>
        <w:t xml:space="preserve"> programa, kuri yra skirta moksliniams tyrimams, finansinei analizei atlikti, makroekonominiams reiškiniams prognozuoti ir pan..</w:t>
      </w:r>
    </w:p>
    <w:p w:rsidR="003650CC" w:rsidRPr="003650CC" w:rsidRDefault="003650CC" w:rsidP="003650CC">
      <w:pPr>
        <w:spacing w:before="100" w:beforeAutospacing="1" w:after="100" w:afterAutospacing="1" w:line="360" w:lineRule="auto"/>
        <w:contextualSpacing/>
        <w:rPr>
          <w:i/>
          <w:sz w:val="24"/>
          <w:szCs w:val="24"/>
        </w:rPr>
      </w:pPr>
      <w:r w:rsidRPr="003650CC">
        <w:rPr>
          <w:i/>
          <w:sz w:val="24"/>
          <w:szCs w:val="24"/>
        </w:rPr>
        <w:t>2 etapas. Kintamųjų analizė</w:t>
      </w:r>
    </w:p>
    <w:p w:rsidR="003650CC" w:rsidRPr="003650CC" w:rsidRDefault="003650CC" w:rsidP="003650CC">
      <w:pPr>
        <w:spacing w:before="100" w:beforeAutospacing="1" w:after="100" w:afterAutospacing="1" w:line="360" w:lineRule="auto"/>
        <w:contextualSpacing/>
        <w:rPr>
          <w:sz w:val="24"/>
          <w:szCs w:val="24"/>
        </w:rPr>
      </w:pPr>
      <w:r w:rsidRPr="003650CC">
        <w:rPr>
          <w:sz w:val="24"/>
          <w:szCs w:val="24"/>
        </w:rPr>
        <w:t xml:space="preserve">Analizės metu svarbu įvertinti ar pasirinkti duomenys yra pasiskirstę pagal normalųjį skirstinį. Duomenų įvertinimui preliminariai naudojamos histogramos arba kvantilių grafikai, kurie leidžia suvokti skirstinio formą ir nustatyti duomenų atitiktį normalumo reikalavimui. </w:t>
      </w:r>
    </w:p>
    <w:p w:rsidR="003650CC" w:rsidRPr="003650CC" w:rsidRDefault="003650CC" w:rsidP="003650CC">
      <w:pPr>
        <w:spacing w:before="100" w:beforeAutospacing="1" w:after="100" w:afterAutospacing="1" w:line="360" w:lineRule="auto"/>
        <w:contextualSpacing/>
        <w:rPr>
          <w:sz w:val="24"/>
          <w:szCs w:val="24"/>
        </w:rPr>
      </w:pPr>
      <w:r w:rsidRPr="003650CC">
        <w:rPr>
          <w:sz w:val="24"/>
          <w:szCs w:val="24"/>
        </w:rPr>
        <w:t xml:space="preserve">Siekiant tiksliau įvertinti duomenų normalumą bus naudojamas pasaulinėje praktikoje šiuo metu labiausiai paplitęs Jarque – Bera (JB) kiterijus. Naudojant šį kriterijų hipotezės formuojamos taip (Boguslauskas ir kt., 2009): </w:t>
      </w:r>
    </w:p>
    <w:p w:rsidR="003650CC" w:rsidRPr="003650CC" w:rsidRDefault="003650CC" w:rsidP="003650CC">
      <w:pPr>
        <w:spacing w:before="100" w:beforeAutospacing="1" w:after="100" w:afterAutospacing="1" w:line="360" w:lineRule="auto"/>
        <w:contextualSpacing/>
        <w:rPr>
          <w:sz w:val="24"/>
          <w:szCs w:val="24"/>
        </w:rPr>
      </w:pPr>
      <w:r w:rsidRPr="003650CC">
        <w:rPr>
          <w:sz w:val="24"/>
          <w:szCs w:val="24"/>
        </w:rPr>
        <w:t>H</w:t>
      </w:r>
      <w:r w:rsidRPr="003650CC">
        <w:rPr>
          <w:sz w:val="24"/>
          <w:szCs w:val="24"/>
          <w:vertAlign w:val="subscript"/>
        </w:rPr>
        <w:t>0</w:t>
      </w:r>
      <w:r w:rsidRPr="003650CC">
        <w:rPr>
          <w:sz w:val="24"/>
          <w:szCs w:val="24"/>
        </w:rPr>
        <w:t>: kintamojo reikšmės pasiskirsčiusios pagal normalųjį skirstinį (nulinė);</w:t>
      </w:r>
    </w:p>
    <w:p w:rsidR="003650CC" w:rsidRPr="003650CC" w:rsidRDefault="003650CC" w:rsidP="003650CC">
      <w:pPr>
        <w:spacing w:before="100" w:beforeAutospacing="1" w:after="100" w:afterAutospacing="1" w:line="360" w:lineRule="auto"/>
        <w:contextualSpacing/>
        <w:rPr>
          <w:sz w:val="24"/>
          <w:szCs w:val="24"/>
        </w:rPr>
      </w:pPr>
      <w:r w:rsidRPr="003650CC">
        <w:rPr>
          <w:sz w:val="24"/>
          <w:szCs w:val="24"/>
        </w:rPr>
        <w:t>H</w:t>
      </w:r>
      <w:r w:rsidRPr="003650CC">
        <w:rPr>
          <w:sz w:val="24"/>
          <w:szCs w:val="24"/>
          <w:vertAlign w:val="subscript"/>
        </w:rPr>
        <w:t xml:space="preserve">1: </w:t>
      </w:r>
      <w:r w:rsidRPr="003650CC">
        <w:rPr>
          <w:sz w:val="24"/>
          <w:szCs w:val="24"/>
        </w:rPr>
        <w:t>kintamojo reikšmės nėra pasiskirsčiusios pagal normalųjį skirstinį (alternatyvioji).</w:t>
      </w:r>
    </w:p>
    <w:p w:rsidR="003650CC" w:rsidRPr="003650CC" w:rsidRDefault="003650CC" w:rsidP="003650CC">
      <w:pPr>
        <w:spacing w:before="100" w:beforeAutospacing="1" w:after="100" w:afterAutospacing="1" w:line="360" w:lineRule="auto"/>
        <w:contextualSpacing/>
        <w:rPr>
          <w:sz w:val="24"/>
          <w:szCs w:val="24"/>
        </w:rPr>
      </w:pPr>
      <w:r w:rsidRPr="003650CC">
        <w:rPr>
          <w:sz w:val="24"/>
          <w:szCs w:val="24"/>
        </w:rPr>
        <w:t>Jarque – Bera kriterijaus reikšmė apskaičiuojama taip:</w:t>
      </w:r>
    </w:p>
    <w:p w:rsidR="003650CC" w:rsidRDefault="003650CC" w:rsidP="00C62245">
      <w:pPr>
        <w:spacing w:before="100" w:beforeAutospacing="1" w:after="100" w:afterAutospacing="1" w:line="360" w:lineRule="auto"/>
        <w:contextualSpacing/>
        <w:rPr>
          <w:sz w:val="24"/>
          <w:szCs w:val="24"/>
        </w:rPr>
      </w:pPr>
      <w:r w:rsidRPr="003650CC">
        <w:rPr>
          <w:sz w:val="24"/>
          <w:szCs w:val="24"/>
        </w:rPr>
        <w:t>JB = (n – K) ( S</w:t>
      </w:r>
      <w:r w:rsidRPr="003650CC">
        <w:rPr>
          <w:sz w:val="24"/>
          <w:szCs w:val="24"/>
          <w:vertAlign w:val="superscript"/>
        </w:rPr>
        <w:t>2</w:t>
      </w:r>
      <w:r w:rsidRPr="003650CC">
        <w:rPr>
          <w:sz w:val="24"/>
          <w:szCs w:val="24"/>
        </w:rPr>
        <w:t>/6 + (K – 3)</w:t>
      </w:r>
      <w:r w:rsidRPr="003650CC">
        <w:rPr>
          <w:sz w:val="24"/>
          <w:szCs w:val="24"/>
          <w:vertAlign w:val="superscript"/>
        </w:rPr>
        <w:t>2</w:t>
      </w:r>
      <w:r w:rsidRPr="003650CC">
        <w:rPr>
          <w:sz w:val="24"/>
          <w:szCs w:val="24"/>
        </w:rPr>
        <w:t>/24)</w:t>
      </w:r>
      <w:r w:rsidR="00735FF5">
        <w:rPr>
          <w:sz w:val="24"/>
          <w:szCs w:val="24"/>
        </w:rPr>
        <w:t xml:space="preserve">;                       </w:t>
      </w:r>
      <w:r w:rsidRPr="003650CC">
        <w:rPr>
          <w:sz w:val="24"/>
          <w:szCs w:val="24"/>
        </w:rPr>
        <w:t xml:space="preserve">  (1)</w:t>
      </w:r>
    </w:p>
    <w:p w:rsidR="00032AD4" w:rsidRPr="00DE3601" w:rsidRDefault="00DE3601" w:rsidP="00DE3601">
      <w:pPr>
        <w:ind w:firstLine="0"/>
        <w:rPr>
          <w:sz w:val="24"/>
          <w:szCs w:val="24"/>
        </w:rPr>
      </w:pPr>
      <w:r>
        <w:rPr>
          <w:sz w:val="24"/>
          <w:szCs w:val="24"/>
        </w:rPr>
        <w:t xml:space="preserve">                     </w:t>
      </w:r>
      <w:r w:rsidR="004F38D9" w:rsidRPr="00DE3601">
        <w:rPr>
          <w:sz w:val="24"/>
          <w:szCs w:val="24"/>
        </w:rPr>
        <w:t xml:space="preserve">Čia: </w:t>
      </w:r>
      <w:r w:rsidR="00032AD4" w:rsidRPr="00DE3601">
        <w:rPr>
          <w:sz w:val="24"/>
          <w:szCs w:val="24"/>
        </w:rPr>
        <w:t>S – asimetrijos koeficientas;</w:t>
      </w:r>
    </w:p>
    <w:p w:rsidR="00032AD4" w:rsidRDefault="00032AD4" w:rsidP="00032AD4">
      <w:pPr>
        <w:pStyle w:val="ListParagraph"/>
        <w:rPr>
          <w:sz w:val="24"/>
          <w:szCs w:val="24"/>
        </w:rPr>
      </w:pPr>
      <w:r>
        <w:rPr>
          <w:sz w:val="24"/>
          <w:szCs w:val="24"/>
        </w:rPr>
        <w:t>K – ekscesas;</w:t>
      </w:r>
    </w:p>
    <w:p w:rsidR="00032AD4" w:rsidRDefault="00032AD4" w:rsidP="00032AD4">
      <w:pPr>
        <w:pStyle w:val="ListParagraph"/>
        <w:rPr>
          <w:sz w:val="24"/>
          <w:szCs w:val="24"/>
        </w:rPr>
      </w:pPr>
      <w:r>
        <w:rPr>
          <w:sz w:val="24"/>
          <w:szCs w:val="24"/>
        </w:rPr>
        <w:t>n – stebinių skaičius.</w:t>
      </w:r>
    </w:p>
    <w:p w:rsidR="00032AD4" w:rsidRPr="003650CC" w:rsidRDefault="00032AD4" w:rsidP="00032AD4">
      <w:pPr>
        <w:pStyle w:val="ListParagraph"/>
        <w:rPr>
          <w:sz w:val="24"/>
          <w:szCs w:val="24"/>
        </w:rPr>
      </w:pPr>
    </w:p>
    <w:p w:rsidR="003650CC" w:rsidRPr="003650CC" w:rsidRDefault="003650CC" w:rsidP="003650CC">
      <w:pPr>
        <w:autoSpaceDE w:val="0"/>
        <w:autoSpaceDN w:val="0"/>
        <w:adjustRightInd w:val="0"/>
        <w:spacing w:line="360" w:lineRule="auto"/>
        <w:rPr>
          <w:sz w:val="24"/>
          <w:szCs w:val="24"/>
          <w:vertAlign w:val="subscript"/>
        </w:rPr>
      </w:pPr>
      <w:r w:rsidRPr="003650CC">
        <w:rPr>
          <w:sz w:val="24"/>
          <w:szCs w:val="24"/>
        </w:rPr>
        <w:t>Nulinė hipotezė atmetama, jeigu JB &gt; χ</w:t>
      </w:r>
      <w:r w:rsidRPr="003650CC">
        <w:rPr>
          <w:sz w:val="24"/>
          <w:szCs w:val="24"/>
          <w:vertAlign w:val="superscript"/>
        </w:rPr>
        <w:t xml:space="preserve">2 </w:t>
      </w:r>
      <w:r w:rsidRPr="003650CC">
        <w:rPr>
          <w:sz w:val="24"/>
          <w:szCs w:val="24"/>
          <w:vertAlign w:val="subscript"/>
        </w:rPr>
        <w:t>a.</w:t>
      </w:r>
    </w:p>
    <w:p w:rsidR="003650CC" w:rsidRPr="003650CC" w:rsidRDefault="003650CC" w:rsidP="003650CC">
      <w:pPr>
        <w:autoSpaceDE w:val="0"/>
        <w:autoSpaceDN w:val="0"/>
        <w:adjustRightInd w:val="0"/>
        <w:spacing w:line="360" w:lineRule="auto"/>
        <w:rPr>
          <w:i/>
          <w:sz w:val="24"/>
          <w:szCs w:val="24"/>
        </w:rPr>
      </w:pPr>
      <w:r w:rsidRPr="003650CC">
        <w:rPr>
          <w:i/>
          <w:sz w:val="24"/>
          <w:szCs w:val="24"/>
        </w:rPr>
        <w:t>3 etapas. Koreliacijos koeficientų skaičiavimas ir įvertinimas</w:t>
      </w:r>
    </w:p>
    <w:p w:rsidR="003650CC" w:rsidRPr="003650CC" w:rsidRDefault="003650CC" w:rsidP="003650CC">
      <w:pPr>
        <w:spacing w:line="360" w:lineRule="auto"/>
        <w:rPr>
          <w:sz w:val="24"/>
          <w:szCs w:val="24"/>
        </w:rPr>
      </w:pPr>
      <w:r w:rsidRPr="003650CC">
        <w:rPr>
          <w:sz w:val="24"/>
          <w:szCs w:val="24"/>
        </w:rPr>
        <w:t xml:space="preserve">Padarius išvadas apie duomenų normalumą, vertinant statistinę priklausomybę ir ryšio stiprumą, </w:t>
      </w:r>
      <w:r w:rsidRPr="003650CC">
        <w:rPr>
          <w:sz w:val="24"/>
          <w:szCs w:val="24"/>
        </w:rPr>
        <w:lastRenderedPageBreak/>
        <w:t>skaičiuojami koreliacijos koeficientai tarp kintamųjų. Koreliacija, anot Bartosevičienės (2002), parodo ar yra ryšys tarp kintamųjų, kokia jo kryptis ir stiprumas. Savybių arba požymių tarpusavio ryšio stiprumą nurodo apskaičiuotas koreliacijos koeficientas r :</w:t>
      </w:r>
    </w:p>
    <w:p w:rsidR="003650CC" w:rsidRDefault="003650CC" w:rsidP="003650CC">
      <w:pPr>
        <w:spacing w:line="360" w:lineRule="auto"/>
        <w:rPr>
          <w:sz w:val="24"/>
          <w:szCs w:val="24"/>
        </w:rPr>
      </w:pPr>
      <w:r w:rsidRPr="003650CC">
        <w:rPr>
          <w:sz w:val="24"/>
          <w:szCs w:val="24"/>
        </w:rPr>
        <w:t xml:space="preserve">                   </w:t>
      </w:r>
      <w:r w:rsidRPr="003650CC">
        <w:rPr>
          <w:position w:val="-32"/>
          <w:sz w:val="24"/>
          <w:szCs w:val="24"/>
          <w:vertAlign w:val="subscript"/>
        </w:rPr>
        <w:object w:dxaOrig="116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5pt;height:41.25pt" o:ole="">
            <v:imagedata r:id="rId19" o:title=""/>
          </v:shape>
          <o:OLEObject Type="Embed" ProgID="Equation.3" ShapeID="_x0000_i1025" DrawAspect="Content" ObjectID="_1450712725" r:id="rId20"/>
        </w:object>
      </w:r>
      <w:r w:rsidRPr="003650CC">
        <w:rPr>
          <w:sz w:val="24"/>
          <w:szCs w:val="24"/>
        </w:rPr>
        <w:t xml:space="preserve">  </w:t>
      </w:r>
      <w:r w:rsidR="004F38D9">
        <w:rPr>
          <w:sz w:val="24"/>
          <w:szCs w:val="24"/>
        </w:rPr>
        <w:t>;</w:t>
      </w:r>
      <w:r w:rsidRPr="003650CC">
        <w:rPr>
          <w:sz w:val="24"/>
          <w:szCs w:val="24"/>
        </w:rPr>
        <w:t xml:space="preserve">            </w:t>
      </w:r>
      <w:r w:rsidR="004F38D9">
        <w:rPr>
          <w:sz w:val="24"/>
          <w:szCs w:val="24"/>
        </w:rPr>
        <w:t xml:space="preserve">                </w:t>
      </w:r>
      <w:r w:rsidR="00735FF5">
        <w:rPr>
          <w:sz w:val="24"/>
          <w:szCs w:val="24"/>
        </w:rPr>
        <w:t xml:space="preserve">                        </w:t>
      </w:r>
      <w:r w:rsidR="004F38D9">
        <w:rPr>
          <w:sz w:val="24"/>
          <w:szCs w:val="24"/>
        </w:rPr>
        <w:t xml:space="preserve">   </w:t>
      </w:r>
      <w:r w:rsidRPr="003650CC">
        <w:rPr>
          <w:sz w:val="24"/>
          <w:szCs w:val="24"/>
        </w:rPr>
        <w:t xml:space="preserve">(2)   </w:t>
      </w:r>
    </w:p>
    <w:p w:rsidR="00032AD4" w:rsidRDefault="004F38D9" w:rsidP="00032AD4">
      <w:pPr>
        <w:pStyle w:val="ListParagraph"/>
        <w:rPr>
          <w:rFonts w:eastAsiaTheme="minorEastAsia"/>
          <w:sz w:val="24"/>
          <w:szCs w:val="24"/>
        </w:rPr>
      </w:pPr>
      <w:r>
        <w:rPr>
          <w:sz w:val="24"/>
          <w:szCs w:val="24"/>
        </w:rPr>
        <w:t xml:space="preserve">Čia: </w:t>
      </w:r>
      <m:oMath>
        <m:acc>
          <m:accPr>
            <m:chr m:val="̅"/>
            <m:ctrlPr>
              <w:rPr>
                <w:rFonts w:ascii="Cambria Math" w:hAnsi="Cambria Math"/>
                <w:i/>
                <w:sz w:val="24"/>
                <w:szCs w:val="24"/>
              </w:rPr>
            </m:ctrlPr>
          </m:accPr>
          <m:e>
            <m:r>
              <w:rPr>
                <w:rFonts w:ascii="Cambria Math" w:hAnsi="Cambria Math"/>
                <w:sz w:val="24"/>
                <w:szCs w:val="24"/>
              </w:rPr>
              <m:t>x</m:t>
            </m:r>
          </m:e>
        </m:acc>
        <m:r>
          <w:rPr>
            <w:rFonts w:ascii="Cambria Math" w:hAnsi="Cambria Math"/>
            <w:sz w:val="24"/>
            <w:szCs w:val="24"/>
          </w:rPr>
          <m:t xml:space="preserve">, </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oMath>
      <w:r w:rsidR="00032AD4">
        <w:rPr>
          <w:rFonts w:eastAsiaTheme="minorEastAsia"/>
          <w:sz w:val="24"/>
          <w:szCs w:val="24"/>
        </w:rPr>
        <w:t xml:space="preserve">   – x, y reikšmių vidurkiai;</w:t>
      </w:r>
    </w:p>
    <w:p w:rsidR="00032AD4" w:rsidRDefault="00E12FF5" w:rsidP="00032AD4">
      <w:pPr>
        <w:pStyle w:val="ListParagraph"/>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σ</m:t>
            </m:r>
          </m:e>
          <m:sub>
            <m:r>
              <w:rPr>
                <w:rFonts w:ascii="Cambria Math" w:eastAsiaTheme="minorEastAsia" w:hAnsi="Cambria Math"/>
                <w:sz w:val="24"/>
                <w:szCs w:val="24"/>
              </w:rPr>
              <m:t>x</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σ</m:t>
            </m:r>
          </m:e>
          <m:sub>
            <m:r>
              <w:rPr>
                <w:rFonts w:ascii="Cambria Math" w:eastAsiaTheme="minorEastAsia" w:hAnsi="Cambria Math"/>
                <w:sz w:val="24"/>
                <w:szCs w:val="24"/>
              </w:rPr>
              <m:t>y</m:t>
            </m:r>
          </m:sub>
        </m:sSub>
      </m:oMath>
      <w:r w:rsidR="00032AD4">
        <w:rPr>
          <w:rFonts w:eastAsiaTheme="minorEastAsia"/>
          <w:sz w:val="24"/>
          <w:szCs w:val="24"/>
        </w:rPr>
        <w:t xml:space="preserve"> - x, y reikšmių vidutiniai kvadratiniai nuokrypiai.</w:t>
      </w:r>
    </w:p>
    <w:p w:rsidR="00032AD4" w:rsidRPr="003650CC" w:rsidRDefault="00032AD4" w:rsidP="003650CC">
      <w:pPr>
        <w:spacing w:line="360" w:lineRule="auto"/>
        <w:rPr>
          <w:sz w:val="24"/>
          <w:szCs w:val="24"/>
          <w:vertAlign w:val="subscript"/>
        </w:rPr>
      </w:pPr>
    </w:p>
    <w:p w:rsidR="003650CC" w:rsidRPr="003650CC" w:rsidRDefault="003650CC" w:rsidP="003650CC">
      <w:pPr>
        <w:spacing w:line="360" w:lineRule="auto"/>
        <w:contextualSpacing/>
        <w:rPr>
          <w:sz w:val="24"/>
          <w:szCs w:val="24"/>
        </w:rPr>
      </w:pPr>
      <w:r w:rsidRPr="003650CC">
        <w:rPr>
          <w:sz w:val="24"/>
          <w:szCs w:val="24"/>
        </w:rPr>
        <w:t>Jei r</w:t>
      </w:r>
      <w:r w:rsidRPr="003650CC">
        <w:rPr>
          <w:sz w:val="24"/>
          <w:szCs w:val="24"/>
          <w:vertAlign w:val="subscript"/>
        </w:rPr>
        <w:t>xy</w:t>
      </w:r>
      <w:r w:rsidRPr="003650CC">
        <w:rPr>
          <w:sz w:val="24"/>
          <w:szCs w:val="24"/>
        </w:rPr>
        <w:t xml:space="preserve"> &gt; 0, koreliacinė priklausomybė yra teigiama, vadinasi didėjant x reikšmei, didėja ir y reikšmė. Kai r</w:t>
      </w:r>
      <w:r w:rsidRPr="003650CC">
        <w:rPr>
          <w:sz w:val="24"/>
          <w:szCs w:val="24"/>
          <w:vertAlign w:val="subscript"/>
        </w:rPr>
        <w:t>xy</w:t>
      </w:r>
      <w:r w:rsidRPr="003650CC">
        <w:rPr>
          <w:sz w:val="24"/>
          <w:szCs w:val="24"/>
        </w:rPr>
        <w:t xml:space="preserve"> &lt; 0, koreliacinė priklausomybė yra neigiama, taigi didėjant x reikšmei, y reikšmė mažėja. </w:t>
      </w:r>
    </w:p>
    <w:p w:rsidR="002B77E4" w:rsidRDefault="003650CC" w:rsidP="00BF639A">
      <w:pPr>
        <w:spacing w:line="360" w:lineRule="auto"/>
        <w:contextualSpacing/>
        <w:rPr>
          <w:sz w:val="24"/>
          <w:szCs w:val="24"/>
        </w:rPr>
      </w:pPr>
      <w:r w:rsidRPr="003650CC">
        <w:rPr>
          <w:sz w:val="24"/>
          <w:szCs w:val="24"/>
        </w:rPr>
        <w:t>Koreliacijos koeficiento įvertinimui naudojama skalė p</w:t>
      </w:r>
      <w:r w:rsidR="005B47AA">
        <w:rPr>
          <w:sz w:val="24"/>
          <w:szCs w:val="24"/>
        </w:rPr>
        <w:t>ateikta 3</w:t>
      </w:r>
      <w:r w:rsidRPr="003650CC">
        <w:rPr>
          <w:sz w:val="24"/>
          <w:szCs w:val="24"/>
        </w:rPr>
        <w:t xml:space="preserve"> lentelėje. </w:t>
      </w:r>
      <w:bookmarkStart w:id="105" w:name="_Toc373421069"/>
      <w:bookmarkStart w:id="106" w:name="_Toc374229044"/>
      <w:bookmarkStart w:id="107" w:name="_Toc374229155"/>
      <w:bookmarkStart w:id="108" w:name="_Toc374229448"/>
    </w:p>
    <w:p w:rsidR="00BF639A" w:rsidRDefault="00BF639A" w:rsidP="00BF639A">
      <w:pPr>
        <w:spacing w:line="360" w:lineRule="auto"/>
        <w:contextualSpacing/>
        <w:rPr>
          <w:sz w:val="24"/>
          <w:szCs w:val="24"/>
        </w:rPr>
      </w:pPr>
    </w:p>
    <w:p w:rsidR="003650CC" w:rsidRPr="00442686" w:rsidRDefault="005B47AA" w:rsidP="00735FF5">
      <w:pPr>
        <w:spacing w:line="360" w:lineRule="auto"/>
        <w:contextualSpacing/>
        <w:jc w:val="center"/>
        <w:rPr>
          <w:sz w:val="24"/>
          <w:szCs w:val="24"/>
        </w:rPr>
      </w:pPr>
      <w:r>
        <w:rPr>
          <w:sz w:val="24"/>
          <w:szCs w:val="24"/>
        </w:rPr>
        <w:t>3</w:t>
      </w:r>
      <w:r w:rsidR="003650CC" w:rsidRPr="00442686">
        <w:rPr>
          <w:sz w:val="24"/>
          <w:szCs w:val="24"/>
        </w:rPr>
        <w:t xml:space="preserve"> lentelė</w:t>
      </w:r>
      <w:r w:rsidR="00A936DF" w:rsidRPr="00442686">
        <w:rPr>
          <w:sz w:val="24"/>
          <w:szCs w:val="24"/>
        </w:rPr>
        <w:t xml:space="preserve">. </w:t>
      </w:r>
      <w:r w:rsidR="003650CC" w:rsidRPr="00442686">
        <w:rPr>
          <w:sz w:val="24"/>
          <w:szCs w:val="24"/>
        </w:rPr>
        <w:t>Koreliacijos kofieciento įvertinimo reikšmės</w:t>
      </w:r>
      <w:bookmarkEnd w:id="105"/>
      <w:bookmarkEnd w:id="106"/>
      <w:bookmarkEnd w:id="107"/>
      <w:bookmarkEnd w:id="108"/>
    </w:p>
    <w:p w:rsidR="00B12106" w:rsidRPr="00442686" w:rsidRDefault="00B12106" w:rsidP="00B121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4927"/>
      </w:tblGrid>
      <w:tr w:rsidR="008C3A4E" w:rsidTr="00C43892">
        <w:trPr>
          <w:trHeight w:val="196"/>
        </w:trPr>
        <w:tc>
          <w:tcPr>
            <w:tcW w:w="4927" w:type="dxa"/>
          </w:tcPr>
          <w:p w:rsidR="008C3A4E" w:rsidRPr="00B25222" w:rsidRDefault="008C3A4E" w:rsidP="00C43892">
            <w:pPr>
              <w:autoSpaceDE w:val="0"/>
              <w:autoSpaceDN w:val="0"/>
              <w:adjustRightInd w:val="0"/>
              <w:spacing w:line="360" w:lineRule="auto"/>
              <w:jc w:val="center"/>
              <w:rPr>
                <w:b/>
                <w:i/>
              </w:rPr>
            </w:pPr>
            <w:r w:rsidRPr="00B25222">
              <w:rPr>
                <w:b/>
                <w:i/>
              </w:rPr>
              <w:t>r reikšmė</w:t>
            </w:r>
          </w:p>
        </w:tc>
        <w:tc>
          <w:tcPr>
            <w:tcW w:w="4927" w:type="dxa"/>
          </w:tcPr>
          <w:p w:rsidR="008C3A4E" w:rsidRPr="00B25222" w:rsidRDefault="008C3A4E" w:rsidP="00C43892">
            <w:pPr>
              <w:autoSpaceDE w:val="0"/>
              <w:autoSpaceDN w:val="0"/>
              <w:adjustRightInd w:val="0"/>
              <w:spacing w:line="360" w:lineRule="auto"/>
              <w:jc w:val="center"/>
              <w:rPr>
                <w:b/>
                <w:i/>
              </w:rPr>
            </w:pPr>
            <w:r w:rsidRPr="00B25222">
              <w:rPr>
                <w:b/>
                <w:i/>
              </w:rPr>
              <w:t>Interpetacija</w:t>
            </w:r>
          </w:p>
        </w:tc>
      </w:tr>
      <w:tr w:rsidR="008C3A4E" w:rsidTr="008C3A4E">
        <w:trPr>
          <w:trHeight w:val="566"/>
        </w:trPr>
        <w:tc>
          <w:tcPr>
            <w:tcW w:w="4927" w:type="dxa"/>
          </w:tcPr>
          <w:p w:rsidR="008C3A4E" w:rsidRPr="00B25222" w:rsidRDefault="008C3A4E" w:rsidP="00C43892">
            <w:pPr>
              <w:autoSpaceDE w:val="0"/>
              <w:autoSpaceDN w:val="0"/>
              <w:adjustRightInd w:val="0"/>
              <w:spacing w:line="360" w:lineRule="auto"/>
            </w:pPr>
            <w:r w:rsidRPr="00B25222">
              <w:t>Nuo 0,9 iki 1,0 ( Nuo - 0,9 iki - 1,0)</w:t>
            </w:r>
          </w:p>
        </w:tc>
        <w:tc>
          <w:tcPr>
            <w:tcW w:w="4927" w:type="dxa"/>
          </w:tcPr>
          <w:p w:rsidR="008C3A4E" w:rsidRPr="009A0C81" w:rsidRDefault="008C3A4E" w:rsidP="009A0C81">
            <w:pPr>
              <w:rPr>
                <w:rStyle w:val="Emphasis"/>
                <w:i w:val="0"/>
              </w:rPr>
            </w:pPr>
            <w:r w:rsidRPr="009A0C81">
              <w:rPr>
                <w:rStyle w:val="Emphasis"/>
                <w:i w:val="0"/>
              </w:rPr>
              <w:t>Labai stipri teigiama (neigiama) tiesinė piklausomybė</w:t>
            </w:r>
          </w:p>
        </w:tc>
      </w:tr>
      <w:tr w:rsidR="008C3A4E" w:rsidTr="00C43892">
        <w:tc>
          <w:tcPr>
            <w:tcW w:w="4927" w:type="dxa"/>
          </w:tcPr>
          <w:p w:rsidR="008C3A4E" w:rsidRPr="00B25222" w:rsidRDefault="008C3A4E" w:rsidP="00C43892">
            <w:pPr>
              <w:autoSpaceDE w:val="0"/>
              <w:autoSpaceDN w:val="0"/>
              <w:adjustRightInd w:val="0"/>
              <w:spacing w:line="360" w:lineRule="auto"/>
            </w:pPr>
            <w:r w:rsidRPr="00B25222">
              <w:t>Nuo 0,7 iki 0,9 ( Nuo - 0,7 iki - 0,9)</w:t>
            </w:r>
          </w:p>
        </w:tc>
        <w:tc>
          <w:tcPr>
            <w:tcW w:w="4927" w:type="dxa"/>
          </w:tcPr>
          <w:p w:rsidR="008C3A4E" w:rsidRPr="00B25222" w:rsidRDefault="008C3A4E" w:rsidP="00C43892">
            <w:pPr>
              <w:autoSpaceDE w:val="0"/>
              <w:autoSpaceDN w:val="0"/>
              <w:adjustRightInd w:val="0"/>
              <w:spacing w:line="360" w:lineRule="auto"/>
            </w:pPr>
            <w:r w:rsidRPr="00B25222">
              <w:t>Stipri teigiama (neigiama) tiesinė piklausomybė</w:t>
            </w:r>
          </w:p>
        </w:tc>
      </w:tr>
      <w:tr w:rsidR="008C3A4E" w:rsidTr="00C43892">
        <w:tc>
          <w:tcPr>
            <w:tcW w:w="4927" w:type="dxa"/>
          </w:tcPr>
          <w:p w:rsidR="008C3A4E" w:rsidRPr="00B25222" w:rsidRDefault="008C3A4E" w:rsidP="00C43892">
            <w:pPr>
              <w:autoSpaceDE w:val="0"/>
              <w:autoSpaceDN w:val="0"/>
              <w:adjustRightInd w:val="0"/>
              <w:spacing w:line="360" w:lineRule="auto"/>
            </w:pPr>
            <w:r w:rsidRPr="00B25222">
              <w:t>Nuo 0,5 iki 0,7 (Nuo -  0,5 iki  - 0,7)</w:t>
            </w:r>
          </w:p>
        </w:tc>
        <w:tc>
          <w:tcPr>
            <w:tcW w:w="4927" w:type="dxa"/>
          </w:tcPr>
          <w:p w:rsidR="008C3A4E" w:rsidRPr="00B25222" w:rsidRDefault="008C3A4E" w:rsidP="00C43892">
            <w:pPr>
              <w:autoSpaceDE w:val="0"/>
              <w:autoSpaceDN w:val="0"/>
              <w:adjustRightInd w:val="0"/>
              <w:spacing w:line="360" w:lineRule="auto"/>
            </w:pPr>
            <w:r w:rsidRPr="00B25222">
              <w:t>Vidutinė teigiama (neigiama) tiesinė piklausomybė</w:t>
            </w:r>
          </w:p>
        </w:tc>
      </w:tr>
      <w:tr w:rsidR="008C3A4E" w:rsidTr="00C43892">
        <w:tc>
          <w:tcPr>
            <w:tcW w:w="4927" w:type="dxa"/>
          </w:tcPr>
          <w:p w:rsidR="008C3A4E" w:rsidRPr="00B25222" w:rsidRDefault="008C3A4E" w:rsidP="00C43892">
            <w:pPr>
              <w:autoSpaceDE w:val="0"/>
              <w:autoSpaceDN w:val="0"/>
              <w:adjustRightInd w:val="0"/>
              <w:spacing w:line="360" w:lineRule="auto"/>
            </w:pPr>
            <w:r w:rsidRPr="00B25222">
              <w:t>Nuo 0,3 iki 0,5 ( Nuo - 0,3 iki - 0,5)</w:t>
            </w:r>
          </w:p>
        </w:tc>
        <w:tc>
          <w:tcPr>
            <w:tcW w:w="4927" w:type="dxa"/>
          </w:tcPr>
          <w:p w:rsidR="008C3A4E" w:rsidRPr="00B25222" w:rsidRDefault="008C3A4E" w:rsidP="00C43892">
            <w:pPr>
              <w:autoSpaceDE w:val="0"/>
              <w:autoSpaceDN w:val="0"/>
              <w:adjustRightInd w:val="0"/>
              <w:spacing w:line="360" w:lineRule="auto"/>
            </w:pPr>
            <w:r w:rsidRPr="00B25222">
              <w:t>Silpna teigiama (neigiama) tiesinė piklausomybė</w:t>
            </w:r>
          </w:p>
        </w:tc>
      </w:tr>
      <w:tr w:rsidR="008C3A4E" w:rsidTr="00C43892">
        <w:tc>
          <w:tcPr>
            <w:tcW w:w="4927" w:type="dxa"/>
          </w:tcPr>
          <w:p w:rsidR="008C3A4E" w:rsidRPr="00B25222" w:rsidRDefault="008C3A4E" w:rsidP="00C43892">
            <w:pPr>
              <w:autoSpaceDE w:val="0"/>
              <w:autoSpaceDN w:val="0"/>
              <w:adjustRightInd w:val="0"/>
              <w:spacing w:line="360" w:lineRule="auto"/>
            </w:pPr>
            <w:r w:rsidRPr="00B25222">
              <w:t xml:space="preserve">Nuo 0,3 iki 0 </w:t>
            </w:r>
          </w:p>
        </w:tc>
        <w:tc>
          <w:tcPr>
            <w:tcW w:w="4927" w:type="dxa"/>
          </w:tcPr>
          <w:p w:rsidR="008C3A4E" w:rsidRPr="00B25222" w:rsidRDefault="008C3A4E" w:rsidP="00C43892">
            <w:pPr>
              <w:autoSpaceDE w:val="0"/>
              <w:autoSpaceDN w:val="0"/>
              <w:adjustRightInd w:val="0"/>
              <w:spacing w:line="360" w:lineRule="auto"/>
            </w:pPr>
            <w:r w:rsidRPr="00B25222">
              <w:t>Labai silpna koreliacija arba jos nėra</w:t>
            </w:r>
          </w:p>
        </w:tc>
      </w:tr>
    </w:tbl>
    <w:p w:rsidR="003650CC" w:rsidRPr="00442686" w:rsidRDefault="00A936DF" w:rsidP="00463933">
      <w:pPr>
        <w:autoSpaceDE w:val="0"/>
        <w:autoSpaceDN w:val="0"/>
        <w:adjustRightInd w:val="0"/>
        <w:spacing w:line="360" w:lineRule="auto"/>
        <w:ind w:firstLine="0"/>
      </w:pPr>
      <w:r w:rsidRPr="00442686">
        <w:t xml:space="preserve">Šaltinis: </w:t>
      </w:r>
      <w:r w:rsidR="00442686" w:rsidRPr="00442686">
        <w:t xml:space="preserve">sudaryta pagal </w:t>
      </w:r>
      <w:r w:rsidRPr="00442686">
        <w:t>Boguslauskas</w:t>
      </w:r>
      <w:r w:rsidR="00442686">
        <w:t xml:space="preserve"> ir kt.</w:t>
      </w:r>
      <w:r w:rsidRPr="00442686">
        <w:t>, 2009</w:t>
      </w:r>
    </w:p>
    <w:p w:rsidR="00032AD4" w:rsidRPr="00442686" w:rsidRDefault="00032AD4" w:rsidP="003650CC">
      <w:pPr>
        <w:autoSpaceDE w:val="0"/>
        <w:autoSpaceDN w:val="0"/>
        <w:adjustRightInd w:val="0"/>
        <w:spacing w:line="360" w:lineRule="auto"/>
      </w:pPr>
    </w:p>
    <w:p w:rsidR="003650CC" w:rsidRPr="003650CC" w:rsidRDefault="003650CC" w:rsidP="003650CC">
      <w:pPr>
        <w:autoSpaceDE w:val="0"/>
        <w:autoSpaceDN w:val="0"/>
        <w:adjustRightInd w:val="0"/>
        <w:spacing w:line="360" w:lineRule="auto"/>
        <w:rPr>
          <w:sz w:val="24"/>
          <w:szCs w:val="24"/>
        </w:rPr>
      </w:pPr>
      <w:r w:rsidRPr="003650CC">
        <w:rPr>
          <w:sz w:val="24"/>
          <w:szCs w:val="24"/>
        </w:rPr>
        <w:t>Apskaičiavus ir įvertinus koreliacijos koeficientus, reikia patikrinti apskaičiuotų koreliacijos koeficientų įverčių reikšmingumą. Jie tikrinami naudojant t (Stjudento kriterijų) (Boguslauskas ir kt., 2009). Tikrinant suformuojamos hipotezės:</w:t>
      </w:r>
    </w:p>
    <w:p w:rsidR="003650CC" w:rsidRPr="003650CC" w:rsidRDefault="003650CC" w:rsidP="003650CC">
      <w:pPr>
        <w:autoSpaceDE w:val="0"/>
        <w:autoSpaceDN w:val="0"/>
        <w:adjustRightInd w:val="0"/>
        <w:spacing w:line="360" w:lineRule="auto"/>
        <w:rPr>
          <w:sz w:val="24"/>
          <w:szCs w:val="24"/>
        </w:rPr>
      </w:pPr>
      <w:r w:rsidRPr="003650CC">
        <w:rPr>
          <w:sz w:val="24"/>
          <w:szCs w:val="24"/>
        </w:rPr>
        <w:t>H</w:t>
      </w:r>
      <w:r w:rsidRPr="003650CC">
        <w:rPr>
          <w:sz w:val="24"/>
          <w:szCs w:val="24"/>
          <w:vertAlign w:val="subscript"/>
        </w:rPr>
        <w:t>0</w:t>
      </w:r>
      <w:r w:rsidRPr="003650CC">
        <w:rPr>
          <w:sz w:val="24"/>
          <w:szCs w:val="24"/>
        </w:rPr>
        <w:t>: r = 0</w:t>
      </w:r>
    </w:p>
    <w:p w:rsidR="003650CC" w:rsidRPr="003650CC" w:rsidRDefault="003650CC" w:rsidP="003650CC">
      <w:pPr>
        <w:autoSpaceDE w:val="0"/>
        <w:autoSpaceDN w:val="0"/>
        <w:adjustRightInd w:val="0"/>
        <w:spacing w:line="360" w:lineRule="auto"/>
        <w:rPr>
          <w:sz w:val="24"/>
          <w:szCs w:val="24"/>
        </w:rPr>
      </w:pPr>
      <w:r w:rsidRPr="003650CC">
        <w:rPr>
          <w:sz w:val="24"/>
          <w:szCs w:val="24"/>
        </w:rPr>
        <w:t>H</w:t>
      </w:r>
      <w:r w:rsidRPr="003650CC">
        <w:rPr>
          <w:sz w:val="24"/>
          <w:szCs w:val="24"/>
          <w:vertAlign w:val="subscript"/>
        </w:rPr>
        <w:t>1</w:t>
      </w:r>
      <w:r w:rsidRPr="003650CC">
        <w:rPr>
          <w:sz w:val="24"/>
          <w:szCs w:val="24"/>
        </w:rPr>
        <w:t>: r ≠ 0.</w:t>
      </w:r>
    </w:p>
    <w:p w:rsidR="003650CC" w:rsidRPr="003650CC" w:rsidRDefault="003650CC" w:rsidP="003650CC">
      <w:pPr>
        <w:autoSpaceDE w:val="0"/>
        <w:autoSpaceDN w:val="0"/>
        <w:adjustRightInd w:val="0"/>
        <w:spacing w:line="360" w:lineRule="auto"/>
        <w:rPr>
          <w:sz w:val="24"/>
          <w:szCs w:val="24"/>
        </w:rPr>
      </w:pPr>
      <w:r w:rsidRPr="003650CC">
        <w:rPr>
          <w:sz w:val="24"/>
          <w:szCs w:val="24"/>
        </w:rPr>
        <w:t>Toliau programa apskaičiuojamos kriterijaus statistikos bei iš statistinių lentelių nustatoma kritinė kriterijaus reikšmė pagal formulę:</w:t>
      </w:r>
    </w:p>
    <w:p w:rsidR="003650CC" w:rsidRDefault="00E12FF5" w:rsidP="003650CC">
      <w:pPr>
        <w:autoSpaceDE w:val="0"/>
        <w:autoSpaceDN w:val="0"/>
        <w:adjustRightInd w:val="0"/>
        <w:spacing w:line="360" w:lineRule="auto"/>
        <w:rPr>
          <w:sz w:val="24"/>
          <w:szCs w:val="24"/>
        </w:rPr>
      </w:pPr>
      <m:oMath>
        <m:sSub>
          <m:sSubPr>
            <m:ctrlPr>
              <w:rPr>
                <w:rFonts w:ascii="Cambria Math" w:hAnsi="Cambria Math"/>
                <w:i/>
                <w:sz w:val="24"/>
                <w:szCs w:val="24"/>
              </w:rPr>
            </m:ctrlPr>
          </m:sSubPr>
          <m:e>
            <m:r>
              <w:rPr>
                <w:rFonts w:ascii="Cambria Math" w:hAnsi="Cambria Math"/>
                <w:sz w:val="24"/>
                <w:szCs w:val="24"/>
              </w:rPr>
              <m:t>t</m:t>
            </m:r>
          </m:e>
          <m:sub>
            <m:f>
              <m:fPr>
                <m:ctrlPr>
                  <w:rPr>
                    <w:rFonts w:ascii="Cambria Math" w:hAnsi="Cambria Math"/>
                    <w:i/>
                    <w:sz w:val="24"/>
                    <w:szCs w:val="24"/>
                  </w:rPr>
                </m:ctrlPr>
              </m:fPr>
              <m:num>
                <m:r>
                  <w:rPr>
                    <w:rFonts w:ascii="Cambria Math" w:hAnsi="Cambria Math"/>
                    <w:sz w:val="24"/>
                    <w:szCs w:val="24"/>
                  </w:rPr>
                  <m:t>a</m:t>
                </m:r>
              </m:num>
              <m:den>
                <m:r>
                  <w:rPr>
                    <w:rFonts w:ascii="Cambria Math" w:hAnsi="Cambria Math"/>
                    <w:sz w:val="24"/>
                    <w:szCs w:val="24"/>
                  </w:rPr>
                  <m:t>2</m:t>
                </m:r>
              </m:den>
            </m:f>
            <m:r>
              <w:rPr>
                <w:rFonts w:ascii="Cambria Math" w:hAnsi="Cambria Math"/>
                <w:sz w:val="24"/>
                <w:szCs w:val="24"/>
              </w:rPr>
              <m:t>;(n-2)</m:t>
            </m:r>
          </m:sub>
        </m:sSub>
      </m:oMath>
      <w:r w:rsidR="00032AD4">
        <w:rPr>
          <w:sz w:val="24"/>
          <w:szCs w:val="24"/>
        </w:rPr>
        <w:t xml:space="preserve"> </w:t>
      </w:r>
      <w:r w:rsidR="004F38D9">
        <w:rPr>
          <w:sz w:val="24"/>
          <w:szCs w:val="24"/>
        </w:rPr>
        <w:t xml:space="preserve">               </w:t>
      </w:r>
      <w:r w:rsidR="00735FF5">
        <w:rPr>
          <w:sz w:val="24"/>
          <w:szCs w:val="24"/>
        </w:rPr>
        <w:t xml:space="preserve">                         </w:t>
      </w:r>
      <w:r w:rsidR="004F38D9">
        <w:rPr>
          <w:sz w:val="24"/>
          <w:szCs w:val="24"/>
        </w:rPr>
        <w:t xml:space="preserve">   (3)</w:t>
      </w:r>
    </w:p>
    <w:p w:rsidR="004F38D9" w:rsidRDefault="004F38D9" w:rsidP="003650CC">
      <w:pPr>
        <w:autoSpaceDE w:val="0"/>
        <w:autoSpaceDN w:val="0"/>
        <w:adjustRightInd w:val="0"/>
        <w:spacing w:line="360" w:lineRule="auto"/>
        <w:rPr>
          <w:sz w:val="24"/>
          <w:szCs w:val="24"/>
        </w:rPr>
      </w:pPr>
      <w:r>
        <w:rPr>
          <w:sz w:val="24"/>
          <w:szCs w:val="24"/>
        </w:rPr>
        <w:t>Čia: a – reikšmingumo lygis;</w:t>
      </w:r>
    </w:p>
    <w:p w:rsidR="004F38D9" w:rsidRPr="003650CC" w:rsidRDefault="004F38D9" w:rsidP="003650CC">
      <w:pPr>
        <w:autoSpaceDE w:val="0"/>
        <w:autoSpaceDN w:val="0"/>
        <w:adjustRightInd w:val="0"/>
        <w:spacing w:line="360" w:lineRule="auto"/>
        <w:rPr>
          <w:sz w:val="24"/>
          <w:szCs w:val="24"/>
        </w:rPr>
      </w:pPr>
      <w:r>
        <w:rPr>
          <w:sz w:val="24"/>
          <w:szCs w:val="24"/>
        </w:rPr>
        <w:t>n – stebinių skaičius.</w:t>
      </w:r>
    </w:p>
    <w:p w:rsidR="003650CC" w:rsidRPr="003650CC" w:rsidRDefault="003650CC" w:rsidP="003650CC">
      <w:pPr>
        <w:autoSpaceDE w:val="0"/>
        <w:autoSpaceDN w:val="0"/>
        <w:adjustRightInd w:val="0"/>
        <w:spacing w:line="360" w:lineRule="auto"/>
        <w:rPr>
          <w:sz w:val="24"/>
          <w:szCs w:val="24"/>
        </w:rPr>
      </w:pPr>
      <w:r w:rsidRPr="003650CC">
        <w:rPr>
          <w:sz w:val="24"/>
          <w:szCs w:val="24"/>
        </w:rPr>
        <w:t xml:space="preserve"> Nulinė hipotezė galioja tada, kai kriterijaus statistikos reikšmė yra </w:t>
      </w:r>
      <w:r w:rsidR="0032313F">
        <w:rPr>
          <w:sz w:val="24"/>
          <w:szCs w:val="24"/>
        </w:rPr>
        <w:t>didesnė</w:t>
      </w:r>
      <w:r w:rsidRPr="003650CC">
        <w:rPr>
          <w:sz w:val="24"/>
          <w:szCs w:val="24"/>
        </w:rPr>
        <w:t xml:space="preserve"> už kritinę reikšmę. Jeigu nulinė hipotezė atmetama, tuomet galima teigti, kad X reikšmingai koreliuoja su Y.</w:t>
      </w:r>
    </w:p>
    <w:p w:rsidR="003650CC" w:rsidRPr="003650CC" w:rsidRDefault="003650CC" w:rsidP="003650CC">
      <w:pPr>
        <w:autoSpaceDE w:val="0"/>
        <w:autoSpaceDN w:val="0"/>
        <w:adjustRightInd w:val="0"/>
        <w:spacing w:line="360" w:lineRule="auto"/>
        <w:rPr>
          <w:i/>
          <w:sz w:val="24"/>
          <w:szCs w:val="24"/>
        </w:rPr>
      </w:pPr>
      <w:r w:rsidRPr="003650CC">
        <w:rPr>
          <w:i/>
          <w:sz w:val="24"/>
          <w:szCs w:val="24"/>
        </w:rPr>
        <w:lastRenderedPageBreak/>
        <w:t>4 etapas. Prognozavimo modelio sudarymas ir jo įvertinimas</w:t>
      </w:r>
    </w:p>
    <w:p w:rsidR="003650CC" w:rsidRDefault="003650CC" w:rsidP="003650CC">
      <w:pPr>
        <w:autoSpaceDE w:val="0"/>
        <w:autoSpaceDN w:val="0"/>
        <w:adjustRightInd w:val="0"/>
        <w:spacing w:line="360" w:lineRule="auto"/>
        <w:rPr>
          <w:sz w:val="24"/>
          <w:szCs w:val="24"/>
        </w:rPr>
      </w:pPr>
      <w:r w:rsidRPr="003650CC">
        <w:rPr>
          <w:sz w:val="24"/>
          <w:szCs w:val="24"/>
        </w:rPr>
        <w:t xml:space="preserve">Įvertinus koreliacijos koeficientų reikšmingumą, atsirenkami tie veiksniai, kurie turi stipriausią ryšį su </w:t>
      </w:r>
      <w:r w:rsidR="0016686B">
        <w:rPr>
          <w:sz w:val="24"/>
          <w:szCs w:val="24"/>
        </w:rPr>
        <w:t>valstybės skola</w:t>
      </w:r>
      <w:r w:rsidRPr="003650CC">
        <w:rPr>
          <w:sz w:val="24"/>
          <w:szCs w:val="24"/>
        </w:rPr>
        <w:t xml:space="preserve">. </w:t>
      </w:r>
      <w:r w:rsidR="002E4BBA">
        <w:rPr>
          <w:sz w:val="24"/>
          <w:szCs w:val="24"/>
        </w:rPr>
        <w:t xml:space="preserve">Kadangi bus prognozuojama atsižvelgiant į kelių nepriklausomų kintamųjų įtaką priklausomam kintamajam, tai bus sudaromas </w:t>
      </w:r>
      <w:r w:rsidRPr="003650CC">
        <w:rPr>
          <w:sz w:val="24"/>
          <w:szCs w:val="24"/>
        </w:rPr>
        <w:t>daugialypės tiesinės regresijos modelis.</w:t>
      </w:r>
    </w:p>
    <w:p w:rsidR="002E4BBA" w:rsidRDefault="002E4BBA" w:rsidP="003650CC">
      <w:pPr>
        <w:autoSpaceDE w:val="0"/>
        <w:autoSpaceDN w:val="0"/>
        <w:adjustRightInd w:val="0"/>
        <w:spacing w:line="360" w:lineRule="auto"/>
        <w:rPr>
          <w:sz w:val="24"/>
          <w:szCs w:val="24"/>
        </w:rPr>
      </w:pPr>
      <w:r>
        <w:rPr>
          <w:sz w:val="24"/>
          <w:szCs w:val="24"/>
        </w:rPr>
        <w:t>Nustačius nepriklausomų kintamųjų skaičių, klasikinis DTR modelis užrašomas algebrine lygtimi:</w:t>
      </w:r>
    </w:p>
    <w:p w:rsidR="002E4BBA" w:rsidRDefault="002E4BBA" w:rsidP="003650CC">
      <w:pPr>
        <w:autoSpaceDE w:val="0"/>
        <w:autoSpaceDN w:val="0"/>
        <w:adjustRightInd w:val="0"/>
        <w:spacing w:line="360" w:lineRule="auto"/>
        <w:rPr>
          <w:sz w:val="24"/>
          <w:szCs w:val="24"/>
          <w:lang w:val="en-US"/>
        </w:rPr>
      </w:pPr>
      <w:r>
        <w:rPr>
          <w:sz w:val="24"/>
          <w:szCs w:val="24"/>
        </w:rPr>
        <w:t>Y</w:t>
      </w:r>
      <w:r>
        <w:rPr>
          <w:sz w:val="24"/>
          <w:szCs w:val="24"/>
          <w:lang w:val="en-US"/>
        </w:rPr>
        <w:t>=β</w:t>
      </w:r>
      <w:r>
        <w:rPr>
          <w:sz w:val="24"/>
          <w:szCs w:val="24"/>
          <w:vertAlign w:val="subscript"/>
          <w:lang w:val="en-US"/>
        </w:rPr>
        <w:t>1+</w:t>
      </w:r>
      <w:r>
        <w:rPr>
          <w:sz w:val="24"/>
          <w:szCs w:val="24"/>
          <w:lang w:val="en-US"/>
        </w:rPr>
        <w:t>β</w:t>
      </w:r>
      <w:r>
        <w:rPr>
          <w:sz w:val="24"/>
          <w:szCs w:val="24"/>
          <w:vertAlign w:val="subscript"/>
          <w:lang w:val="en-US"/>
        </w:rPr>
        <w:t>2</w:t>
      </w:r>
      <w:r>
        <w:rPr>
          <w:sz w:val="24"/>
          <w:szCs w:val="24"/>
          <w:lang w:val="en-US"/>
        </w:rPr>
        <w:t>x</w:t>
      </w:r>
      <w:r>
        <w:rPr>
          <w:sz w:val="24"/>
          <w:szCs w:val="24"/>
          <w:vertAlign w:val="subscript"/>
          <w:lang w:val="en-US"/>
        </w:rPr>
        <w:t>2</w:t>
      </w:r>
      <w:r>
        <w:rPr>
          <w:sz w:val="24"/>
          <w:szCs w:val="24"/>
          <w:lang w:val="en-US"/>
        </w:rPr>
        <w:t>+…..+β</w:t>
      </w:r>
      <w:r>
        <w:rPr>
          <w:sz w:val="24"/>
          <w:szCs w:val="24"/>
          <w:vertAlign w:val="subscript"/>
          <w:lang w:val="en-US"/>
        </w:rPr>
        <w:t>k</w:t>
      </w:r>
      <w:r>
        <w:rPr>
          <w:sz w:val="24"/>
          <w:szCs w:val="24"/>
          <w:lang w:val="en-US"/>
        </w:rPr>
        <w:t>x</w:t>
      </w:r>
      <w:r>
        <w:rPr>
          <w:sz w:val="24"/>
          <w:szCs w:val="24"/>
          <w:vertAlign w:val="subscript"/>
          <w:lang w:val="en-US"/>
        </w:rPr>
        <w:t>k</w:t>
      </w:r>
      <w:r>
        <w:rPr>
          <w:sz w:val="24"/>
          <w:szCs w:val="24"/>
          <w:lang w:val="en-US"/>
        </w:rPr>
        <w:t>+</w:t>
      </w:r>
      <w:r w:rsidR="004F38D9">
        <w:rPr>
          <w:sz w:val="24"/>
          <w:szCs w:val="24"/>
          <w:lang w:val="en-US"/>
        </w:rPr>
        <w:t xml:space="preserve">ε ;                                                              </w:t>
      </w:r>
      <w:r w:rsidR="00DE3601">
        <w:rPr>
          <w:sz w:val="24"/>
          <w:szCs w:val="24"/>
          <w:lang w:val="en-US"/>
        </w:rPr>
        <w:t xml:space="preserve">   </w:t>
      </w:r>
      <w:r w:rsidR="004F38D9">
        <w:rPr>
          <w:sz w:val="24"/>
          <w:szCs w:val="24"/>
          <w:lang w:val="en-US"/>
        </w:rPr>
        <w:t>(4)</w:t>
      </w:r>
    </w:p>
    <w:p w:rsidR="00C77175" w:rsidRDefault="004F38D9" w:rsidP="003650CC">
      <w:pPr>
        <w:autoSpaceDE w:val="0"/>
        <w:autoSpaceDN w:val="0"/>
        <w:adjustRightInd w:val="0"/>
        <w:spacing w:line="360" w:lineRule="auto"/>
        <w:rPr>
          <w:sz w:val="24"/>
          <w:szCs w:val="24"/>
        </w:rPr>
      </w:pPr>
      <w:r>
        <w:rPr>
          <w:sz w:val="24"/>
          <w:szCs w:val="24"/>
        </w:rPr>
        <w:t>Č</w:t>
      </w:r>
      <w:r w:rsidR="00C77175">
        <w:rPr>
          <w:sz w:val="24"/>
          <w:szCs w:val="24"/>
        </w:rPr>
        <w:t>ia</w:t>
      </w:r>
      <w:r>
        <w:rPr>
          <w:sz w:val="24"/>
          <w:szCs w:val="24"/>
        </w:rPr>
        <w:t>:</w:t>
      </w:r>
      <w:r w:rsidR="00C77175">
        <w:rPr>
          <w:sz w:val="24"/>
          <w:szCs w:val="24"/>
        </w:rPr>
        <w:t xml:space="preserve"> β – nežinomi, bet fiksuoti DTR modelio lygtyje parametrai</w:t>
      </w:r>
      <w:r>
        <w:rPr>
          <w:sz w:val="24"/>
          <w:szCs w:val="24"/>
        </w:rPr>
        <w:t>;</w:t>
      </w:r>
    </w:p>
    <w:p w:rsidR="00734843" w:rsidRDefault="00734843" w:rsidP="003650CC">
      <w:pPr>
        <w:autoSpaceDE w:val="0"/>
        <w:autoSpaceDN w:val="0"/>
        <w:adjustRightInd w:val="0"/>
        <w:spacing w:line="360" w:lineRule="auto"/>
        <w:rPr>
          <w:sz w:val="24"/>
          <w:szCs w:val="24"/>
        </w:rPr>
      </w:pPr>
      <w:r>
        <w:rPr>
          <w:sz w:val="24"/>
          <w:szCs w:val="24"/>
        </w:rPr>
        <w:t xml:space="preserve">       x – nepriklausomi kintamieji;</w:t>
      </w:r>
    </w:p>
    <w:p w:rsidR="00756E47" w:rsidRDefault="00C77175" w:rsidP="00756E47">
      <w:pPr>
        <w:autoSpaceDE w:val="0"/>
        <w:autoSpaceDN w:val="0"/>
        <w:adjustRightInd w:val="0"/>
        <w:spacing w:line="360" w:lineRule="auto"/>
        <w:rPr>
          <w:sz w:val="24"/>
          <w:szCs w:val="24"/>
        </w:rPr>
      </w:pPr>
      <w:r>
        <w:rPr>
          <w:sz w:val="24"/>
          <w:szCs w:val="24"/>
        </w:rPr>
        <w:t xml:space="preserve">    </w:t>
      </w:r>
      <w:r w:rsidR="00734843">
        <w:rPr>
          <w:sz w:val="24"/>
          <w:szCs w:val="24"/>
        </w:rPr>
        <w:t xml:space="preserve">  </w:t>
      </w:r>
      <w:r>
        <w:rPr>
          <w:sz w:val="24"/>
          <w:szCs w:val="24"/>
        </w:rPr>
        <w:t xml:space="preserve"> ε – atsitiktinė paklaida</w:t>
      </w:r>
      <w:r w:rsidR="004F38D9">
        <w:rPr>
          <w:sz w:val="24"/>
          <w:szCs w:val="24"/>
        </w:rPr>
        <w:t>.</w:t>
      </w:r>
    </w:p>
    <w:p w:rsidR="00C77175" w:rsidRPr="00756E47" w:rsidRDefault="00C77175" w:rsidP="00756E47">
      <w:pPr>
        <w:autoSpaceDE w:val="0"/>
        <w:autoSpaceDN w:val="0"/>
        <w:adjustRightInd w:val="0"/>
        <w:spacing w:line="360" w:lineRule="auto"/>
        <w:rPr>
          <w:sz w:val="24"/>
          <w:szCs w:val="24"/>
        </w:rPr>
      </w:pPr>
      <w:r>
        <w:rPr>
          <w:sz w:val="24"/>
          <w:szCs w:val="24"/>
        </w:rPr>
        <w:t>Apskaičiavus parametrų β</w:t>
      </w:r>
      <w:r>
        <w:rPr>
          <w:sz w:val="24"/>
          <w:szCs w:val="24"/>
          <w:vertAlign w:val="subscript"/>
        </w:rPr>
        <w:t xml:space="preserve">1, </w:t>
      </w:r>
      <w:r>
        <w:rPr>
          <w:sz w:val="24"/>
          <w:szCs w:val="24"/>
        </w:rPr>
        <w:t>β</w:t>
      </w:r>
      <w:r>
        <w:rPr>
          <w:sz w:val="24"/>
          <w:szCs w:val="24"/>
          <w:vertAlign w:val="subscript"/>
        </w:rPr>
        <w:t xml:space="preserve">2,... </w:t>
      </w:r>
      <w:r>
        <w:rPr>
          <w:sz w:val="24"/>
          <w:szCs w:val="24"/>
          <w:lang w:val="en-US"/>
        </w:rPr>
        <w:t>β</w:t>
      </w:r>
      <w:r>
        <w:rPr>
          <w:sz w:val="24"/>
          <w:szCs w:val="24"/>
          <w:vertAlign w:val="subscript"/>
          <w:lang w:val="en-US"/>
        </w:rPr>
        <w:t xml:space="preserve">k , </w:t>
      </w:r>
      <w:r>
        <w:rPr>
          <w:sz w:val="24"/>
          <w:szCs w:val="24"/>
          <w:lang w:val="en-US"/>
        </w:rPr>
        <w:t>įverčių b</w:t>
      </w:r>
      <w:r>
        <w:rPr>
          <w:sz w:val="24"/>
          <w:szCs w:val="24"/>
          <w:vertAlign w:val="subscript"/>
          <w:lang w:val="en-US"/>
        </w:rPr>
        <w:t>1</w:t>
      </w:r>
      <w:r>
        <w:rPr>
          <w:sz w:val="24"/>
          <w:szCs w:val="24"/>
          <w:lang w:val="en-US"/>
        </w:rPr>
        <w:t>, b</w:t>
      </w:r>
      <w:r>
        <w:rPr>
          <w:sz w:val="24"/>
          <w:szCs w:val="24"/>
          <w:vertAlign w:val="subscript"/>
          <w:lang w:val="en-US"/>
        </w:rPr>
        <w:t>2</w:t>
      </w:r>
      <w:r>
        <w:rPr>
          <w:sz w:val="24"/>
          <w:szCs w:val="24"/>
          <w:lang w:val="en-US"/>
        </w:rPr>
        <w:t>,….b</w:t>
      </w:r>
      <w:r>
        <w:rPr>
          <w:sz w:val="24"/>
          <w:szCs w:val="24"/>
          <w:vertAlign w:val="subscript"/>
          <w:lang w:val="en-US"/>
        </w:rPr>
        <w:t xml:space="preserve">k </w:t>
      </w:r>
      <w:r>
        <w:rPr>
          <w:sz w:val="24"/>
          <w:szCs w:val="24"/>
          <w:lang w:val="en-US"/>
        </w:rPr>
        <w:t>reikšmes, įvertinto klasikinio DTR modelio lygtis užrašoma taip:</w:t>
      </w:r>
    </w:p>
    <w:p w:rsidR="003650CC" w:rsidRPr="003650CC" w:rsidRDefault="003650CC" w:rsidP="003650CC">
      <w:pPr>
        <w:autoSpaceDE w:val="0"/>
        <w:autoSpaceDN w:val="0"/>
        <w:adjustRightInd w:val="0"/>
        <w:spacing w:line="360" w:lineRule="auto"/>
        <w:rPr>
          <w:sz w:val="24"/>
          <w:szCs w:val="24"/>
        </w:rPr>
      </w:pPr>
      <w:r w:rsidRPr="003650CC">
        <w:rPr>
          <w:sz w:val="24"/>
          <w:szCs w:val="24"/>
        </w:rPr>
        <w:t>y = b</w:t>
      </w:r>
      <w:r w:rsidRPr="003650CC">
        <w:rPr>
          <w:sz w:val="24"/>
          <w:szCs w:val="24"/>
          <w:vertAlign w:val="subscript"/>
        </w:rPr>
        <w:t xml:space="preserve">1 + </w:t>
      </w:r>
      <w:r w:rsidRPr="003650CC">
        <w:rPr>
          <w:sz w:val="24"/>
          <w:szCs w:val="24"/>
        </w:rPr>
        <w:t>b</w:t>
      </w:r>
      <w:r w:rsidRPr="003650CC">
        <w:rPr>
          <w:sz w:val="24"/>
          <w:szCs w:val="24"/>
          <w:vertAlign w:val="subscript"/>
        </w:rPr>
        <w:t>2</w:t>
      </w:r>
      <w:r w:rsidRPr="003650CC">
        <w:rPr>
          <w:sz w:val="24"/>
          <w:szCs w:val="24"/>
        </w:rPr>
        <w:t>x</w:t>
      </w:r>
      <w:r w:rsidRPr="003650CC">
        <w:rPr>
          <w:sz w:val="24"/>
          <w:szCs w:val="24"/>
          <w:vertAlign w:val="subscript"/>
        </w:rPr>
        <w:t xml:space="preserve">2 + ...+ </w:t>
      </w:r>
      <w:r w:rsidRPr="003650CC">
        <w:rPr>
          <w:sz w:val="24"/>
          <w:szCs w:val="24"/>
        </w:rPr>
        <w:t>b</w:t>
      </w:r>
      <w:r w:rsidRPr="003650CC">
        <w:rPr>
          <w:sz w:val="24"/>
          <w:szCs w:val="24"/>
          <w:vertAlign w:val="subscript"/>
        </w:rPr>
        <w:t>j</w:t>
      </w:r>
      <w:r w:rsidRPr="003650CC">
        <w:rPr>
          <w:sz w:val="24"/>
          <w:szCs w:val="24"/>
        </w:rPr>
        <w:t>x</w:t>
      </w:r>
      <w:r w:rsidRPr="003650CC">
        <w:rPr>
          <w:sz w:val="24"/>
          <w:szCs w:val="24"/>
          <w:vertAlign w:val="subscript"/>
        </w:rPr>
        <w:t xml:space="preserve">j + </w:t>
      </w:r>
      <w:r w:rsidRPr="003650CC">
        <w:rPr>
          <w:sz w:val="24"/>
          <w:szCs w:val="24"/>
        </w:rPr>
        <w:t>b</w:t>
      </w:r>
      <w:r w:rsidRPr="003650CC">
        <w:rPr>
          <w:sz w:val="24"/>
          <w:szCs w:val="24"/>
          <w:vertAlign w:val="subscript"/>
        </w:rPr>
        <w:t>k</w:t>
      </w:r>
      <w:r w:rsidRPr="003650CC">
        <w:rPr>
          <w:sz w:val="24"/>
          <w:szCs w:val="24"/>
        </w:rPr>
        <w:t>x</w:t>
      </w:r>
      <w:r w:rsidRPr="003650CC">
        <w:rPr>
          <w:sz w:val="24"/>
          <w:szCs w:val="24"/>
          <w:vertAlign w:val="subscript"/>
        </w:rPr>
        <w:t xml:space="preserve">k </w:t>
      </w:r>
      <w:r w:rsidRPr="003650CC">
        <w:rPr>
          <w:sz w:val="24"/>
          <w:szCs w:val="24"/>
        </w:rPr>
        <w:t>.</w:t>
      </w:r>
    </w:p>
    <w:p w:rsidR="003650CC" w:rsidRPr="003650CC" w:rsidRDefault="003650CC" w:rsidP="003650CC">
      <w:pPr>
        <w:autoSpaceDE w:val="0"/>
        <w:autoSpaceDN w:val="0"/>
        <w:adjustRightInd w:val="0"/>
        <w:spacing w:line="360" w:lineRule="auto"/>
        <w:contextualSpacing/>
        <w:rPr>
          <w:sz w:val="24"/>
          <w:szCs w:val="24"/>
        </w:rPr>
      </w:pPr>
      <w:r w:rsidRPr="003650CC">
        <w:rPr>
          <w:sz w:val="24"/>
          <w:szCs w:val="24"/>
        </w:rPr>
        <w:t>Daugialypės regresijos modelis nenusako priežastinio ryšio tarp priklausomo ir nepriklausomo kintamųjų, o tik įvertina ryšį tarp jų ir nusako, kaip vieno kintamojo kitimas susijęs su kito kintamojo pokyčiais (Boguslauskas ir kt., 2009).</w:t>
      </w:r>
    </w:p>
    <w:p w:rsidR="003650CC" w:rsidRPr="003650CC" w:rsidRDefault="003650CC" w:rsidP="003650CC">
      <w:pPr>
        <w:autoSpaceDE w:val="0"/>
        <w:autoSpaceDN w:val="0"/>
        <w:adjustRightInd w:val="0"/>
        <w:spacing w:line="360" w:lineRule="auto"/>
        <w:contextualSpacing/>
        <w:rPr>
          <w:sz w:val="24"/>
          <w:szCs w:val="24"/>
        </w:rPr>
      </w:pPr>
      <w:r w:rsidRPr="003650CC">
        <w:rPr>
          <w:sz w:val="24"/>
          <w:szCs w:val="24"/>
        </w:rPr>
        <w:t>Sudarius modelį reikia patikrinti ar jis yra reikšminis ir tinkamas naudoti prognozavimui. Tikrinant viso modelio reikšmingumą, visų pirma turi būti įvertinti modelio įverčių reikšmingumai. Modelio įverčių reikšmingumas tikrinamas taip pat, kaip ir koreliacijos koeficiento reikšmingumas naudojant t (Stjudento) kriterijų.  Modelio įvertis b</w:t>
      </w:r>
      <w:r w:rsidRPr="003650CC">
        <w:rPr>
          <w:sz w:val="24"/>
          <w:szCs w:val="24"/>
          <w:vertAlign w:val="subscript"/>
        </w:rPr>
        <w:t>j</w:t>
      </w:r>
      <w:r w:rsidRPr="003650CC">
        <w:rPr>
          <w:sz w:val="24"/>
          <w:szCs w:val="24"/>
        </w:rPr>
        <w:t xml:space="preserve"> parodo Y pokytį, kintamąjam X</w:t>
      </w:r>
      <w:r w:rsidRPr="003650CC">
        <w:rPr>
          <w:sz w:val="24"/>
          <w:szCs w:val="24"/>
          <w:vertAlign w:val="subscript"/>
        </w:rPr>
        <w:t>j</w:t>
      </w:r>
      <w:r w:rsidRPr="003650CC">
        <w:rPr>
          <w:sz w:val="24"/>
          <w:szCs w:val="24"/>
        </w:rPr>
        <w:t xml:space="preserve"> pakitus vienu vienetu, kai kiti kintamieji yra pastovūs (Karpuskienė, 2007)</w:t>
      </w:r>
    </w:p>
    <w:p w:rsidR="00756E47" w:rsidRDefault="003650CC" w:rsidP="00756E47">
      <w:pPr>
        <w:autoSpaceDE w:val="0"/>
        <w:autoSpaceDN w:val="0"/>
        <w:adjustRightInd w:val="0"/>
        <w:spacing w:line="360" w:lineRule="auto"/>
        <w:contextualSpacing/>
        <w:rPr>
          <w:sz w:val="24"/>
          <w:szCs w:val="24"/>
        </w:rPr>
      </w:pPr>
      <w:r w:rsidRPr="009C5DD3">
        <w:rPr>
          <w:sz w:val="24"/>
          <w:szCs w:val="24"/>
        </w:rPr>
        <w:t xml:space="preserve">Toliau tikrinamas modelio determinacijos koeficiento reikšmingumas. Determinacijos koeficientas charakterizuoja X ir Y tamprumo laipsnį t.y. charakterizuoja, kokia bendrosios rezultatinio požymio Y variacijos dalį paaiškina tiriamasis faktorius X (Bartosevičienė, 2001).  </w:t>
      </w:r>
    </w:p>
    <w:p w:rsidR="00D50F7C" w:rsidRPr="00D50F7C" w:rsidRDefault="00272BB2" w:rsidP="00756E47">
      <w:pPr>
        <w:autoSpaceDE w:val="0"/>
        <w:autoSpaceDN w:val="0"/>
        <w:adjustRightInd w:val="0"/>
        <w:spacing w:line="360" w:lineRule="auto"/>
        <w:contextualSpacing/>
        <w:rPr>
          <w:sz w:val="24"/>
          <w:szCs w:val="24"/>
        </w:rPr>
      </w:pPr>
      <w:r w:rsidRPr="009C5DD3">
        <w:rPr>
          <w:sz w:val="24"/>
          <w:szCs w:val="24"/>
        </w:rPr>
        <w:t>Daugialypės regresijos modelio įvertinimui, naudojamas pataisytas</w:t>
      </w:r>
      <w:r w:rsidR="00756E47">
        <w:rPr>
          <w:sz w:val="24"/>
          <w:szCs w:val="24"/>
        </w:rPr>
        <w:t xml:space="preserve"> determinacijos</w:t>
      </w:r>
      <w:r w:rsidRPr="009C5DD3">
        <w:rPr>
          <w:sz w:val="24"/>
          <w:szCs w:val="24"/>
          <w:vertAlign w:val="superscript"/>
        </w:rPr>
        <w:t xml:space="preserve"> </w:t>
      </w:r>
      <w:r w:rsidRPr="009C5DD3">
        <w:rPr>
          <w:sz w:val="24"/>
          <w:szCs w:val="24"/>
        </w:rPr>
        <w:t>koeficientas, kuris įvertina R</w:t>
      </w:r>
      <w:r w:rsidRPr="009C5DD3">
        <w:rPr>
          <w:sz w:val="24"/>
          <w:szCs w:val="24"/>
          <w:vertAlign w:val="superscript"/>
        </w:rPr>
        <w:t>2</w:t>
      </w:r>
      <w:r w:rsidRPr="009C5DD3">
        <w:rPr>
          <w:sz w:val="24"/>
          <w:szCs w:val="24"/>
        </w:rPr>
        <w:t xml:space="preserve"> reikšmės padidėjimą dėl papildomai naujai įtrauktų kintamųjų skaičiaus padidėjimo (Boguslauskas, 2009). Jis apskaičiuojmas taip:</w:t>
      </w:r>
      <w:r w:rsidR="007402A2" w:rsidRPr="00D50F7C">
        <w:rPr>
          <w:sz w:val="24"/>
          <w:szCs w:val="24"/>
        </w:rPr>
        <w:t xml:space="preserve">          </w:t>
      </w:r>
      <w:r w:rsidRPr="00D50F7C">
        <w:rPr>
          <w:sz w:val="24"/>
          <w:szCs w:val="24"/>
        </w:rPr>
        <w:t xml:space="preserve"> </w:t>
      </w:r>
    </w:p>
    <w:p w:rsidR="00032AD4" w:rsidRPr="00D50F7C" w:rsidRDefault="00D50F7C" w:rsidP="00D50F7C">
      <w:pPr>
        <w:spacing w:line="360" w:lineRule="auto"/>
        <w:ind w:firstLine="0"/>
        <w:contextualSpacing/>
        <w:rPr>
          <w:sz w:val="24"/>
          <w:szCs w:val="24"/>
        </w:rPr>
      </w:pPr>
      <w:r w:rsidRPr="00D50F7C">
        <w:rPr>
          <w:sz w:val="24"/>
          <w:szCs w:val="24"/>
          <w:lang w:eastAsia="lt-LT"/>
        </w:rPr>
        <w:t xml:space="preserve">          </w:t>
      </w:r>
      <m:oMath>
        <m:acc>
          <m:accPr>
            <m:chr m:val="̅"/>
            <m:ctrlPr>
              <w:rPr>
                <w:rFonts w:ascii="Cambria Math" w:hAnsi="Cambria Math"/>
                <w:i/>
                <w:sz w:val="24"/>
                <w:szCs w:val="24"/>
                <w:lang w:eastAsia="lt-LT"/>
              </w:rPr>
            </m:ctrlPr>
          </m:accPr>
          <m:e>
            <m:sSup>
              <m:sSupPr>
                <m:ctrlPr>
                  <w:rPr>
                    <w:rFonts w:ascii="Cambria Math" w:hAnsi="Cambria Math"/>
                    <w:i/>
                    <w:sz w:val="24"/>
                    <w:szCs w:val="24"/>
                    <w:lang w:eastAsia="lt-LT"/>
                  </w:rPr>
                </m:ctrlPr>
              </m:sSupPr>
              <m:e>
                <m:r>
                  <w:rPr>
                    <w:rFonts w:ascii="Cambria Math" w:hAnsi="Cambria Math"/>
                    <w:sz w:val="24"/>
                    <w:szCs w:val="24"/>
                  </w:rPr>
                  <m:t>R</m:t>
                </m:r>
              </m:e>
              <m:sup>
                <m:r>
                  <w:rPr>
                    <w:rFonts w:ascii="Cambria Math"/>
                    <w:sz w:val="24"/>
                    <w:szCs w:val="24"/>
                  </w:rPr>
                  <m:t xml:space="preserve">2 </m:t>
                </m:r>
              </m:sup>
            </m:sSup>
          </m:e>
        </m:acc>
        <m:r>
          <w:rPr>
            <w:rFonts w:ascii="Cambria Math"/>
            <w:sz w:val="24"/>
            <w:szCs w:val="24"/>
          </w:rPr>
          <m:t>=1</m:t>
        </m:r>
        <m:r>
          <w:rPr>
            <w:rFonts w:ascii="Cambria Math"/>
            <w:sz w:val="24"/>
            <w:szCs w:val="24"/>
          </w:rPr>
          <m:t>-</m:t>
        </m:r>
        <m:r>
          <w:rPr>
            <w:rFonts w:ascii="Cambria Math"/>
            <w:sz w:val="24"/>
            <w:szCs w:val="24"/>
          </w:rPr>
          <m:t>(1</m:t>
        </m:r>
        <m:r>
          <w:rPr>
            <w:rFonts w:ascii="Cambria Math"/>
            <w:sz w:val="24"/>
            <w:szCs w:val="24"/>
          </w:rPr>
          <m:t>-</m:t>
        </m:r>
        <m:sSup>
          <m:sSupPr>
            <m:ctrlPr>
              <w:rPr>
                <w:rFonts w:ascii="Cambria Math" w:hAnsi="Cambria Math"/>
                <w:i/>
                <w:sz w:val="24"/>
                <w:szCs w:val="24"/>
                <w:lang w:eastAsia="lt-LT"/>
              </w:rPr>
            </m:ctrlPr>
          </m:sSupPr>
          <m:e>
            <m:r>
              <w:rPr>
                <w:rFonts w:ascii="Cambria Math" w:hAnsi="Cambria Math"/>
                <w:sz w:val="24"/>
                <w:szCs w:val="24"/>
              </w:rPr>
              <m:t>R</m:t>
            </m:r>
          </m:e>
          <m:sup>
            <m:r>
              <w:rPr>
                <w:rFonts w:ascii="Cambria Math"/>
                <w:sz w:val="24"/>
                <w:szCs w:val="24"/>
              </w:rPr>
              <m:t>2</m:t>
            </m:r>
          </m:sup>
        </m:sSup>
      </m:oMath>
      <w:r w:rsidRPr="00D50F7C">
        <w:rPr>
          <w:sz w:val="24"/>
          <w:szCs w:val="24"/>
        </w:rPr>
        <w:t xml:space="preserve">) </w:t>
      </w:r>
      <m:oMath>
        <m:f>
          <m:fPr>
            <m:ctrlPr>
              <w:rPr>
                <w:rFonts w:ascii="Cambria Math" w:hAnsi="Cambria Math"/>
                <w:i/>
                <w:sz w:val="24"/>
                <w:szCs w:val="24"/>
                <w:lang w:eastAsia="lt-LT"/>
              </w:rPr>
            </m:ctrlPr>
          </m:fPr>
          <m:num>
            <m:r>
              <w:rPr>
                <w:rFonts w:ascii="Cambria Math" w:hAnsi="Cambria Math"/>
                <w:sz w:val="24"/>
                <w:szCs w:val="24"/>
              </w:rPr>
              <m:t>n-</m:t>
            </m:r>
            <m:r>
              <w:rPr>
                <w:rFonts w:ascii="Cambria Math"/>
                <w:sz w:val="24"/>
                <w:szCs w:val="24"/>
              </w:rPr>
              <m:t>1</m:t>
            </m:r>
          </m:num>
          <m:den>
            <m:r>
              <w:rPr>
                <w:rFonts w:ascii="Cambria Math" w:hAnsi="Cambria Math"/>
                <w:sz w:val="24"/>
                <w:szCs w:val="24"/>
              </w:rPr>
              <m:t>n-k</m:t>
            </m:r>
          </m:den>
        </m:f>
      </m:oMath>
      <w:r w:rsidRPr="00D50F7C">
        <w:rPr>
          <w:sz w:val="24"/>
          <w:szCs w:val="24"/>
        </w:rPr>
        <w:t xml:space="preserve">  </w:t>
      </w:r>
      <w:r w:rsidR="00272BB2" w:rsidRPr="00D50F7C">
        <w:rPr>
          <w:sz w:val="24"/>
          <w:szCs w:val="24"/>
        </w:rPr>
        <w:t xml:space="preserve"> </w:t>
      </w:r>
      <w:r w:rsidR="0061284F" w:rsidRPr="00D50F7C">
        <w:rPr>
          <w:sz w:val="24"/>
          <w:szCs w:val="24"/>
        </w:rPr>
        <w:t>;</w:t>
      </w:r>
      <w:r w:rsidR="00272BB2" w:rsidRPr="00D50F7C">
        <w:rPr>
          <w:sz w:val="24"/>
          <w:szCs w:val="24"/>
        </w:rPr>
        <w:t xml:space="preserve">      </w:t>
      </w:r>
      <w:r w:rsidR="0061284F" w:rsidRPr="00D50F7C">
        <w:rPr>
          <w:sz w:val="24"/>
          <w:szCs w:val="24"/>
        </w:rPr>
        <w:t xml:space="preserve">       </w:t>
      </w:r>
      <w:r w:rsidR="00DE3601">
        <w:rPr>
          <w:sz w:val="24"/>
          <w:szCs w:val="24"/>
        </w:rPr>
        <w:t xml:space="preserve">                                            </w:t>
      </w:r>
      <w:r w:rsidR="00272BB2" w:rsidRPr="00D50F7C">
        <w:rPr>
          <w:sz w:val="24"/>
          <w:szCs w:val="24"/>
        </w:rPr>
        <w:t>(5)</w:t>
      </w:r>
    </w:p>
    <w:p w:rsidR="0061284F" w:rsidRPr="00D50F7C" w:rsidRDefault="0061284F" w:rsidP="009C5DD3">
      <w:pPr>
        <w:spacing w:line="360" w:lineRule="auto"/>
        <w:contextualSpacing/>
        <w:rPr>
          <w:sz w:val="24"/>
          <w:szCs w:val="24"/>
        </w:rPr>
      </w:pPr>
      <w:r w:rsidRPr="00D50F7C">
        <w:rPr>
          <w:sz w:val="24"/>
          <w:szCs w:val="24"/>
        </w:rPr>
        <w:t xml:space="preserve">Čia: </w:t>
      </w:r>
      <w:r w:rsidR="00D50F7C" w:rsidRPr="00D50F7C">
        <w:rPr>
          <w:sz w:val="24"/>
          <w:szCs w:val="24"/>
        </w:rPr>
        <w:t>R</w:t>
      </w:r>
      <w:r w:rsidR="00D50F7C" w:rsidRPr="00D50F7C">
        <w:rPr>
          <w:sz w:val="24"/>
          <w:szCs w:val="24"/>
          <w:vertAlign w:val="superscript"/>
        </w:rPr>
        <w:t>2</w:t>
      </w:r>
      <w:r w:rsidR="00D50F7C" w:rsidRPr="00D50F7C">
        <w:rPr>
          <w:sz w:val="24"/>
          <w:szCs w:val="24"/>
        </w:rPr>
        <w:t xml:space="preserve"> – determinacijos koeficientas</w:t>
      </w:r>
    </w:p>
    <w:p w:rsidR="00734843" w:rsidRPr="00D50F7C" w:rsidRDefault="00734843" w:rsidP="00D50F7C">
      <w:pPr>
        <w:spacing w:line="360" w:lineRule="auto"/>
        <w:contextualSpacing/>
        <w:rPr>
          <w:sz w:val="24"/>
          <w:szCs w:val="24"/>
        </w:rPr>
      </w:pPr>
      <w:r w:rsidRPr="00D50F7C">
        <w:rPr>
          <w:sz w:val="24"/>
          <w:szCs w:val="24"/>
        </w:rPr>
        <w:t xml:space="preserve">       n – stebinių skaičius;</w:t>
      </w:r>
    </w:p>
    <w:p w:rsidR="003650CC" w:rsidRPr="003650CC" w:rsidRDefault="00756E47" w:rsidP="003650CC">
      <w:pPr>
        <w:spacing w:line="360" w:lineRule="auto"/>
        <w:contextualSpacing/>
        <w:rPr>
          <w:sz w:val="24"/>
          <w:szCs w:val="24"/>
        </w:rPr>
      </w:pPr>
      <w:r>
        <w:rPr>
          <w:sz w:val="24"/>
          <w:szCs w:val="24"/>
        </w:rPr>
        <w:t xml:space="preserve">Kadangi </w:t>
      </w:r>
      <w:r w:rsidR="003650CC" w:rsidRPr="003650CC">
        <w:rPr>
          <w:sz w:val="24"/>
          <w:szCs w:val="24"/>
        </w:rPr>
        <w:t xml:space="preserve">determinacijos koeficientai kinta nuo 0 iki 1, tad kuo jo reikšmė didesnė, tuo geresnis modelis. Šis koeficientas parodo, kokią dalį </w:t>
      </w:r>
      <w:r w:rsidR="0016686B">
        <w:rPr>
          <w:sz w:val="24"/>
          <w:szCs w:val="24"/>
        </w:rPr>
        <w:t>valstybės skolos</w:t>
      </w:r>
      <w:r w:rsidR="003650CC" w:rsidRPr="003650CC">
        <w:rPr>
          <w:sz w:val="24"/>
          <w:szCs w:val="24"/>
        </w:rPr>
        <w:t xml:space="preserve"> kitimo dispersijos nusako sudarytas modelis.</w:t>
      </w:r>
    </w:p>
    <w:p w:rsidR="003650CC" w:rsidRPr="003650CC" w:rsidRDefault="003650CC" w:rsidP="003650CC">
      <w:pPr>
        <w:spacing w:line="360" w:lineRule="auto"/>
        <w:contextualSpacing/>
        <w:rPr>
          <w:sz w:val="24"/>
          <w:szCs w:val="24"/>
        </w:rPr>
      </w:pPr>
      <w:r w:rsidRPr="003650CC">
        <w:rPr>
          <w:sz w:val="24"/>
          <w:szCs w:val="24"/>
        </w:rPr>
        <w:t xml:space="preserve">Determinacijos koeficiento reikšmingumui patikrinti naudojamas Fišerio kriterijus. Statistinės </w:t>
      </w:r>
      <w:r w:rsidRPr="003650CC">
        <w:rPr>
          <w:sz w:val="24"/>
          <w:szCs w:val="24"/>
        </w:rPr>
        <w:lastRenderedPageBreak/>
        <w:t>hipotezė formuojamos taip:</w:t>
      </w:r>
    </w:p>
    <w:p w:rsidR="003650CC" w:rsidRPr="003650CC" w:rsidRDefault="003650CC" w:rsidP="003650CC">
      <w:pPr>
        <w:spacing w:line="360" w:lineRule="auto"/>
        <w:contextualSpacing/>
        <w:rPr>
          <w:sz w:val="24"/>
          <w:szCs w:val="24"/>
        </w:rPr>
      </w:pPr>
      <w:r w:rsidRPr="003650CC">
        <w:rPr>
          <w:sz w:val="24"/>
          <w:szCs w:val="24"/>
        </w:rPr>
        <w:t>H</w:t>
      </w:r>
      <w:r w:rsidRPr="003650CC">
        <w:rPr>
          <w:sz w:val="24"/>
          <w:szCs w:val="24"/>
          <w:vertAlign w:val="subscript"/>
        </w:rPr>
        <w:t xml:space="preserve">0: </w:t>
      </w:r>
      <w:r w:rsidRPr="003650CC">
        <w:rPr>
          <w:sz w:val="24"/>
          <w:szCs w:val="24"/>
        </w:rPr>
        <w:t>R</w:t>
      </w:r>
      <w:r w:rsidRPr="003650CC">
        <w:rPr>
          <w:sz w:val="24"/>
          <w:szCs w:val="24"/>
          <w:vertAlign w:val="superscript"/>
        </w:rPr>
        <w:t>2</w:t>
      </w:r>
      <w:r w:rsidRPr="003650CC">
        <w:rPr>
          <w:sz w:val="24"/>
          <w:szCs w:val="24"/>
        </w:rPr>
        <w:t xml:space="preserve"> = 0</w:t>
      </w:r>
    </w:p>
    <w:p w:rsidR="00D50F7C" w:rsidRDefault="003650CC" w:rsidP="00D50F7C">
      <w:pPr>
        <w:spacing w:line="360" w:lineRule="auto"/>
        <w:contextualSpacing/>
        <w:rPr>
          <w:sz w:val="24"/>
          <w:szCs w:val="24"/>
        </w:rPr>
      </w:pPr>
      <w:r w:rsidRPr="003650CC">
        <w:rPr>
          <w:sz w:val="24"/>
          <w:szCs w:val="24"/>
        </w:rPr>
        <w:t>H</w:t>
      </w:r>
      <w:r w:rsidRPr="003650CC">
        <w:rPr>
          <w:sz w:val="24"/>
          <w:szCs w:val="24"/>
          <w:vertAlign w:val="subscript"/>
        </w:rPr>
        <w:t>1</w:t>
      </w:r>
      <w:r w:rsidRPr="003650CC">
        <w:rPr>
          <w:sz w:val="24"/>
          <w:szCs w:val="24"/>
        </w:rPr>
        <w:t>: R</w:t>
      </w:r>
      <w:r w:rsidRPr="003650CC">
        <w:rPr>
          <w:sz w:val="24"/>
          <w:szCs w:val="24"/>
          <w:vertAlign w:val="superscript"/>
        </w:rPr>
        <w:t>2</w:t>
      </w:r>
      <w:r w:rsidRPr="003650CC">
        <w:rPr>
          <w:sz w:val="24"/>
          <w:szCs w:val="24"/>
        </w:rPr>
        <w:t xml:space="preserve"> ≠ 0</w:t>
      </w:r>
    </w:p>
    <w:p w:rsidR="003650CC" w:rsidRPr="00D50F7C" w:rsidRDefault="003650CC" w:rsidP="00D50F7C">
      <w:pPr>
        <w:spacing w:line="360" w:lineRule="auto"/>
        <w:ind w:firstLine="0"/>
        <w:contextualSpacing/>
        <w:rPr>
          <w:sz w:val="24"/>
          <w:szCs w:val="24"/>
        </w:rPr>
      </w:pPr>
      <w:r w:rsidRPr="00D50F7C">
        <w:rPr>
          <w:sz w:val="24"/>
          <w:szCs w:val="24"/>
        </w:rPr>
        <w:t xml:space="preserve">Fišerio koeficientas apskaičiuojamas taip:  F = </w:t>
      </w:r>
      <m:oMath>
        <m:f>
          <m:fPr>
            <m:ctrlPr>
              <w:rPr>
                <w:rFonts w:ascii="Cambria Math" w:eastAsia="Calibri" w:hAnsi="Cambria Math"/>
                <w:i/>
                <w:sz w:val="24"/>
                <w:szCs w:val="24"/>
              </w:rPr>
            </m:ctrlPr>
          </m:fPr>
          <m:num>
            <m:f>
              <m:fPr>
                <m:ctrlPr>
                  <w:rPr>
                    <w:rFonts w:ascii="Cambria Math" w:eastAsia="Calibri" w:hAnsi="Cambria Math"/>
                    <w:i/>
                    <w:sz w:val="24"/>
                    <w:szCs w:val="24"/>
                  </w:rPr>
                </m:ctrlPr>
              </m:fPr>
              <m:num>
                <m:sSup>
                  <m:sSupPr>
                    <m:ctrlPr>
                      <w:rPr>
                        <w:rFonts w:ascii="Cambria Math" w:eastAsia="Calibri" w:hAnsi="Cambria Math"/>
                        <w:i/>
                        <w:sz w:val="24"/>
                        <w:szCs w:val="24"/>
                      </w:rPr>
                    </m:ctrlPr>
                  </m:sSupPr>
                  <m:e>
                    <m:r>
                      <w:rPr>
                        <w:rFonts w:ascii="Cambria Math" w:hAnsi="Cambria Math"/>
                        <w:sz w:val="24"/>
                        <w:szCs w:val="24"/>
                      </w:rPr>
                      <m:t>R</m:t>
                    </m:r>
                  </m:e>
                  <m:sup>
                    <m:r>
                      <w:rPr>
                        <w:rFonts w:ascii="Cambria Math"/>
                        <w:sz w:val="24"/>
                        <w:szCs w:val="24"/>
                      </w:rPr>
                      <m:t>2</m:t>
                    </m:r>
                  </m:sup>
                </m:sSup>
              </m:num>
              <m:den>
                <m:r>
                  <w:rPr>
                    <w:rFonts w:ascii="Cambria Math" w:hAnsi="Cambria Math"/>
                    <w:sz w:val="24"/>
                    <w:szCs w:val="24"/>
                  </w:rPr>
                  <m:t>k-</m:t>
                </m:r>
                <m:r>
                  <w:rPr>
                    <w:rFonts w:ascii="Cambria Math"/>
                    <w:sz w:val="24"/>
                    <w:szCs w:val="24"/>
                  </w:rPr>
                  <m:t>1</m:t>
                </m:r>
              </m:den>
            </m:f>
          </m:num>
          <m:den>
            <m:f>
              <m:fPr>
                <m:ctrlPr>
                  <w:rPr>
                    <w:rFonts w:ascii="Cambria Math" w:eastAsia="Calibri" w:hAnsi="Cambria Math"/>
                    <w:i/>
                    <w:sz w:val="24"/>
                    <w:szCs w:val="24"/>
                  </w:rPr>
                </m:ctrlPr>
              </m:fPr>
              <m:num>
                <m:r>
                  <w:rPr>
                    <w:rFonts w:ascii="Cambria Math"/>
                    <w:sz w:val="24"/>
                    <w:szCs w:val="24"/>
                  </w:rPr>
                  <m:t>1</m:t>
                </m:r>
                <m:r>
                  <w:rPr>
                    <w:rFonts w:ascii="Cambria Math" w:hAnsi="Cambria Math"/>
                    <w:sz w:val="24"/>
                    <w:szCs w:val="24"/>
                  </w:rPr>
                  <m:t>-</m:t>
                </m:r>
                <m:r>
                  <w:rPr>
                    <w:rFonts w:ascii="Cambria Math"/>
                    <w:sz w:val="24"/>
                    <w:szCs w:val="24"/>
                  </w:rPr>
                  <m:t xml:space="preserve"> </m:t>
                </m:r>
                <m:sSup>
                  <m:sSupPr>
                    <m:ctrlPr>
                      <w:rPr>
                        <w:rFonts w:ascii="Cambria Math" w:eastAsia="Calibri" w:hAnsi="Cambria Math"/>
                        <w:i/>
                        <w:sz w:val="24"/>
                        <w:szCs w:val="24"/>
                      </w:rPr>
                    </m:ctrlPr>
                  </m:sSupPr>
                  <m:e>
                    <m:r>
                      <w:rPr>
                        <w:rFonts w:ascii="Cambria Math" w:hAnsi="Cambria Math"/>
                        <w:sz w:val="24"/>
                        <w:szCs w:val="24"/>
                      </w:rPr>
                      <m:t>R</m:t>
                    </m:r>
                  </m:e>
                  <m:sup>
                    <m:r>
                      <w:rPr>
                        <w:rFonts w:ascii="Cambria Math"/>
                        <w:sz w:val="24"/>
                        <w:szCs w:val="24"/>
                      </w:rPr>
                      <m:t>2</m:t>
                    </m:r>
                  </m:sup>
                </m:sSup>
              </m:num>
              <m:den>
                <m:r>
                  <w:rPr>
                    <w:rFonts w:ascii="Cambria Math" w:hAnsi="Cambria Math"/>
                    <w:sz w:val="24"/>
                    <w:szCs w:val="24"/>
                  </w:rPr>
                  <m:t>n-k</m:t>
                </m:r>
              </m:den>
            </m:f>
          </m:den>
        </m:f>
      </m:oMath>
      <w:r w:rsidR="0061284F" w:rsidRPr="00D50F7C">
        <w:rPr>
          <w:sz w:val="24"/>
          <w:szCs w:val="24"/>
        </w:rPr>
        <w:t xml:space="preserve"> ;                         </w:t>
      </w:r>
      <w:r w:rsidR="00DE3601">
        <w:rPr>
          <w:sz w:val="24"/>
          <w:szCs w:val="24"/>
        </w:rPr>
        <w:t>(6</w:t>
      </w:r>
      <w:r w:rsidRPr="00D50F7C">
        <w:rPr>
          <w:sz w:val="24"/>
          <w:szCs w:val="24"/>
        </w:rPr>
        <w:t>)</w:t>
      </w:r>
    </w:p>
    <w:p w:rsidR="0061284F" w:rsidRPr="00D50F7C" w:rsidRDefault="0061284F" w:rsidP="00D50F7C">
      <w:pPr>
        <w:pStyle w:val="ListParagraph"/>
        <w:spacing w:line="360" w:lineRule="auto"/>
        <w:ind w:firstLine="562"/>
        <w:rPr>
          <w:sz w:val="24"/>
          <w:szCs w:val="24"/>
        </w:rPr>
      </w:pPr>
      <w:r w:rsidRPr="00D50F7C">
        <w:rPr>
          <w:sz w:val="24"/>
          <w:szCs w:val="24"/>
        </w:rPr>
        <w:t>Čia: R</w:t>
      </w:r>
      <w:r w:rsidRPr="00D50F7C">
        <w:rPr>
          <w:sz w:val="24"/>
          <w:szCs w:val="24"/>
          <w:vertAlign w:val="superscript"/>
        </w:rPr>
        <w:t xml:space="preserve">2 – </w:t>
      </w:r>
      <w:r w:rsidRPr="00D50F7C">
        <w:rPr>
          <w:sz w:val="24"/>
          <w:szCs w:val="24"/>
        </w:rPr>
        <w:t>determinacijos koeficientas</w:t>
      </w:r>
      <w:r w:rsidR="00D50F7C" w:rsidRPr="00D50F7C">
        <w:rPr>
          <w:sz w:val="24"/>
          <w:szCs w:val="24"/>
        </w:rPr>
        <w:t>;</w:t>
      </w:r>
    </w:p>
    <w:p w:rsidR="00032AD4" w:rsidRPr="00D50F7C" w:rsidRDefault="0061284F" w:rsidP="00D50F7C">
      <w:pPr>
        <w:pStyle w:val="ListParagraph"/>
        <w:spacing w:line="360" w:lineRule="auto"/>
        <w:ind w:firstLine="562"/>
        <w:rPr>
          <w:sz w:val="24"/>
          <w:szCs w:val="24"/>
        </w:rPr>
      </w:pPr>
      <w:r w:rsidRPr="00D50F7C">
        <w:rPr>
          <w:sz w:val="24"/>
          <w:szCs w:val="24"/>
        </w:rPr>
        <w:t xml:space="preserve">n – </w:t>
      </w:r>
      <w:r w:rsidR="00D50F7C" w:rsidRPr="00D50F7C">
        <w:rPr>
          <w:sz w:val="24"/>
          <w:szCs w:val="24"/>
        </w:rPr>
        <w:t>stebinių skaičius.</w:t>
      </w:r>
    </w:p>
    <w:p w:rsidR="003650CC" w:rsidRPr="003650CC" w:rsidRDefault="003650CC" w:rsidP="003650CC">
      <w:pPr>
        <w:spacing w:line="360" w:lineRule="auto"/>
        <w:contextualSpacing/>
        <w:rPr>
          <w:sz w:val="24"/>
          <w:szCs w:val="24"/>
        </w:rPr>
      </w:pPr>
      <w:r w:rsidRPr="003650CC">
        <w:rPr>
          <w:sz w:val="24"/>
          <w:szCs w:val="24"/>
        </w:rPr>
        <w:t xml:space="preserve">Jeigu apskaičiuota F reikšmė yra didesnė už statistinę F reikšmę, tai nulinė hipotezė atmetama ir laikoma, jog determinacijos koeficientas yra reikšminis. Įvertinus, kad tiek įverčiai, tiek determinacijos koeficientas yra reikšminiai, galima teigti, jog sudarytas modelis yra tinkamas prognozavimui. </w:t>
      </w:r>
    </w:p>
    <w:p w:rsidR="0016686B" w:rsidRDefault="003650CC" w:rsidP="0016686B">
      <w:pPr>
        <w:spacing w:line="360" w:lineRule="auto"/>
        <w:contextualSpacing/>
        <w:rPr>
          <w:sz w:val="24"/>
          <w:szCs w:val="24"/>
        </w:rPr>
      </w:pPr>
      <w:r w:rsidRPr="003650CC">
        <w:rPr>
          <w:i/>
          <w:sz w:val="24"/>
          <w:szCs w:val="24"/>
        </w:rPr>
        <w:t>5 etapas. Prognozavimas</w:t>
      </w:r>
      <w:r w:rsidR="0016686B" w:rsidRPr="0016686B">
        <w:rPr>
          <w:sz w:val="24"/>
          <w:szCs w:val="24"/>
        </w:rPr>
        <w:t xml:space="preserve"> </w:t>
      </w:r>
    </w:p>
    <w:p w:rsidR="00603DDF" w:rsidRDefault="0016686B" w:rsidP="00D871B3">
      <w:pPr>
        <w:spacing w:line="360" w:lineRule="auto"/>
        <w:contextualSpacing/>
        <w:rPr>
          <w:sz w:val="24"/>
          <w:szCs w:val="24"/>
        </w:rPr>
      </w:pPr>
      <w:r>
        <w:rPr>
          <w:sz w:val="24"/>
          <w:szCs w:val="24"/>
        </w:rPr>
        <w:t>Naudojantis programa sudarytomis</w:t>
      </w:r>
      <w:r w:rsidRPr="0087745A">
        <w:rPr>
          <w:sz w:val="24"/>
          <w:szCs w:val="24"/>
        </w:rPr>
        <w:t xml:space="preserve"> lygtimi</w:t>
      </w:r>
      <w:r>
        <w:rPr>
          <w:sz w:val="24"/>
          <w:szCs w:val="24"/>
        </w:rPr>
        <w:t>s bus prognozuojam</w:t>
      </w:r>
      <w:r w:rsidR="00FD6075">
        <w:rPr>
          <w:sz w:val="24"/>
          <w:szCs w:val="24"/>
        </w:rPr>
        <w:t>a</w:t>
      </w:r>
      <w:r w:rsidRPr="0087745A">
        <w:rPr>
          <w:sz w:val="24"/>
          <w:szCs w:val="24"/>
        </w:rPr>
        <w:t xml:space="preserve"> Lietuvos</w:t>
      </w:r>
      <w:r>
        <w:rPr>
          <w:sz w:val="24"/>
          <w:szCs w:val="24"/>
        </w:rPr>
        <w:t>, Latvijos ir Estijos valstybės skola</w:t>
      </w:r>
      <w:r w:rsidRPr="0087745A">
        <w:rPr>
          <w:sz w:val="24"/>
          <w:szCs w:val="24"/>
        </w:rPr>
        <w:t xml:space="preserve"> 2013</w:t>
      </w:r>
      <w:r>
        <w:rPr>
          <w:sz w:val="24"/>
          <w:szCs w:val="24"/>
        </w:rPr>
        <w:t xml:space="preserve"> - 2014</w:t>
      </w:r>
      <w:r w:rsidRPr="0087745A">
        <w:rPr>
          <w:sz w:val="24"/>
          <w:szCs w:val="24"/>
        </w:rPr>
        <w:t xml:space="preserve"> m</w:t>
      </w:r>
      <w:r>
        <w:rPr>
          <w:sz w:val="24"/>
          <w:szCs w:val="24"/>
        </w:rPr>
        <w:t>etams.</w:t>
      </w:r>
      <w:r w:rsidR="00D871B3">
        <w:rPr>
          <w:sz w:val="24"/>
          <w:szCs w:val="24"/>
        </w:rPr>
        <w:t xml:space="preserve"> Priklausomo kintamojo prognozuojamos reikšmės pasikliaujamieji intervalai nustatomi taip: </w:t>
      </w:r>
    </w:p>
    <w:p w:rsidR="00D871B3" w:rsidRDefault="00D871B3" w:rsidP="00D871B3">
      <w:pPr>
        <w:spacing w:line="360" w:lineRule="auto"/>
        <w:contextualSpacing/>
        <w:rPr>
          <w:sz w:val="24"/>
          <w:szCs w:val="24"/>
          <w:lang w:val="en-US"/>
        </w:rPr>
      </w:pPr>
      <w:r>
        <w:rPr>
          <w:sz w:val="24"/>
          <w:szCs w:val="24"/>
        </w:rPr>
        <w:t xml:space="preserve"> y</w:t>
      </w:r>
      <w:r>
        <w:rPr>
          <w:sz w:val="24"/>
          <w:szCs w:val="24"/>
          <w:vertAlign w:val="subscript"/>
        </w:rPr>
        <w:t>p</w:t>
      </w:r>
      <w:r>
        <w:rPr>
          <w:sz w:val="24"/>
          <w:szCs w:val="24"/>
          <w:lang w:val="en-US"/>
        </w:rPr>
        <w:t>±SE(y</w:t>
      </w:r>
      <w:r>
        <w:rPr>
          <w:sz w:val="24"/>
          <w:szCs w:val="24"/>
          <w:vertAlign w:val="subscript"/>
          <w:lang w:val="en-US"/>
        </w:rPr>
        <w:t>p</w:t>
      </w:r>
      <w:r>
        <w:rPr>
          <w:sz w:val="24"/>
          <w:szCs w:val="24"/>
          <w:lang w:val="en-US"/>
        </w:rPr>
        <w:t>)t</w:t>
      </w:r>
      <w:r>
        <w:rPr>
          <w:sz w:val="24"/>
          <w:szCs w:val="24"/>
          <w:vertAlign w:val="subscript"/>
          <w:lang w:val="en-US"/>
        </w:rPr>
        <w:t>a/2;n-k</w:t>
      </w:r>
      <w:r w:rsidR="0061284F">
        <w:rPr>
          <w:sz w:val="24"/>
          <w:szCs w:val="24"/>
          <w:lang w:val="en-US"/>
        </w:rPr>
        <w:t xml:space="preserve">;   </w:t>
      </w:r>
      <w:r w:rsidR="00DE3601">
        <w:rPr>
          <w:sz w:val="24"/>
          <w:szCs w:val="24"/>
          <w:lang w:val="en-US"/>
        </w:rPr>
        <w:t xml:space="preserve">                   </w:t>
      </w:r>
      <w:r w:rsidR="00603DDF">
        <w:rPr>
          <w:sz w:val="24"/>
          <w:szCs w:val="24"/>
          <w:lang w:val="en-US"/>
        </w:rPr>
        <w:t xml:space="preserve">                </w:t>
      </w:r>
      <w:r w:rsidR="00DE3601">
        <w:rPr>
          <w:sz w:val="24"/>
          <w:szCs w:val="24"/>
          <w:lang w:val="en-US"/>
        </w:rPr>
        <w:t>(7</w:t>
      </w:r>
      <w:r w:rsidR="0061284F">
        <w:rPr>
          <w:sz w:val="24"/>
          <w:szCs w:val="24"/>
          <w:lang w:val="en-US"/>
        </w:rPr>
        <w:t>)</w:t>
      </w:r>
    </w:p>
    <w:p w:rsidR="0061284F" w:rsidRDefault="0061284F" w:rsidP="00D871B3">
      <w:pPr>
        <w:spacing w:line="360" w:lineRule="auto"/>
        <w:contextualSpacing/>
        <w:rPr>
          <w:sz w:val="24"/>
          <w:szCs w:val="24"/>
          <w:lang w:val="en-US"/>
        </w:rPr>
      </w:pPr>
      <w:r>
        <w:rPr>
          <w:sz w:val="24"/>
          <w:szCs w:val="24"/>
          <w:lang w:val="en-US"/>
        </w:rPr>
        <w:t>Čia: y</w:t>
      </w:r>
      <w:r>
        <w:rPr>
          <w:sz w:val="24"/>
          <w:szCs w:val="24"/>
          <w:vertAlign w:val="subscript"/>
          <w:lang w:val="en-US"/>
        </w:rPr>
        <w:t xml:space="preserve">p – </w:t>
      </w:r>
      <w:r>
        <w:rPr>
          <w:sz w:val="24"/>
          <w:szCs w:val="24"/>
          <w:lang w:val="en-US"/>
        </w:rPr>
        <w:t>prognozuojama Y reikšmė;</w:t>
      </w:r>
    </w:p>
    <w:p w:rsidR="0061284F" w:rsidRDefault="0061284F" w:rsidP="0061284F">
      <w:pPr>
        <w:spacing w:line="360" w:lineRule="auto"/>
        <w:contextualSpacing/>
        <w:rPr>
          <w:sz w:val="24"/>
          <w:szCs w:val="24"/>
          <w:lang w:val="en-US"/>
        </w:rPr>
      </w:pPr>
      <w:r>
        <w:rPr>
          <w:sz w:val="24"/>
          <w:szCs w:val="24"/>
          <w:lang w:val="en-US"/>
        </w:rPr>
        <w:t>SE(y</w:t>
      </w:r>
      <w:r>
        <w:rPr>
          <w:sz w:val="24"/>
          <w:szCs w:val="24"/>
          <w:vertAlign w:val="subscript"/>
          <w:lang w:val="en-US"/>
        </w:rPr>
        <w:t>p</w:t>
      </w:r>
      <w:r>
        <w:rPr>
          <w:sz w:val="24"/>
          <w:szCs w:val="24"/>
          <w:lang w:val="en-US"/>
        </w:rPr>
        <w:t>) – standartinė regr</w:t>
      </w:r>
      <w:r w:rsidR="00DE3601">
        <w:rPr>
          <w:sz w:val="24"/>
          <w:szCs w:val="24"/>
          <w:lang w:val="en-US"/>
        </w:rPr>
        <w:t>esij</w:t>
      </w:r>
      <w:r>
        <w:rPr>
          <w:sz w:val="24"/>
          <w:szCs w:val="24"/>
          <w:lang w:val="en-US"/>
        </w:rPr>
        <w:t>os paklaida;</w:t>
      </w:r>
    </w:p>
    <w:p w:rsidR="0061284F" w:rsidRPr="0061284F" w:rsidRDefault="0061284F" w:rsidP="0061284F">
      <w:pPr>
        <w:spacing w:line="360" w:lineRule="auto"/>
        <w:contextualSpacing/>
        <w:rPr>
          <w:sz w:val="24"/>
          <w:szCs w:val="24"/>
          <w:lang w:val="en-US"/>
        </w:rPr>
      </w:pPr>
      <w:r>
        <w:rPr>
          <w:sz w:val="24"/>
          <w:szCs w:val="24"/>
          <w:lang w:val="en-US"/>
        </w:rPr>
        <w:t>t</w:t>
      </w:r>
      <w:r>
        <w:rPr>
          <w:sz w:val="24"/>
          <w:szCs w:val="24"/>
          <w:vertAlign w:val="subscript"/>
          <w:lang w:val="en-US"/>
        </w:rPr>
        <w:t xml:space="preserve">a/2;n-k </w:t>
      </w:r>
      <w:r>
        <w:rPr>
          <w:sz w:val="24"/>
          <w:szCs w:val="24"/>
          <w:lang w:val="en-US"/>
        </w:rPr>
        <w:t>– Stjudento kriterijus</w:t>
      </w:r>
    </w:p>
    <w:p w:rsidR="00BF639A" w:rsidRDefault="00BF639A" w:rsidP="00D73096">
      <w:pPr>
        <w:spacing w:line="360" w:lineRule="auto"/>
        <w:ind w:firstLine="720"/>
        <w:contextualSpacing/>
        <w:rPr>
          <w:sz w:val="24"/>
          <w:szCs w:val="24"/>
        </w:rPr>
      </w:pPr>
    </w:p>
    <w:p w:rsidR="002844CC" w:rsidRDefault="00F8291A" w:rsidP="00D73096">
      <w:pPr>
        <w:spacing w:line="360" w:lineRule="auto"/>
        <w:ind w:firstLine="720"/>
        <w:contextualSpacing/>
        <w:rPr>
          <w:sz w:val="24"/>
          <w:szCs w:val="24"/>
        </w:rPr>
      </w:pPr>
      <w:r>
        <w:rPr>
          <w:sz w:val="24"/>
          <w:szCs w:val="24"/>
        </w:rPr>
        <w:t>Palyginimui prognozavimas bus atliekamas pagal laik</w:t>
      </w:r>
      <w:r w:rsidR="00756E47">
        <w:rPr>
          <w:sz w:val="24"/>
          <w:szCs w:val="24"/>
        </w:rPr>
        <w:t>o eilutes naudojant ARIMA</w:t>
      </w:r>
      <w:r>
        <w:rPr>
          <w:sz w:val="24"/>
          <w:szCs w:val="24"/>
        </w:rPr>
        <w:t xml:space="preserve"> – autoregresijos slankiųjų vidurkių modelį. </w:t>
      </w:r>
      <w:r w:rsidR="00F570FF">
        <w:rPr>
          <w:sz w:val="24"/>
          <w:szCs w:val="24"/>
        </w:rPr>
        <w:t>ARIMA modelio</w:t>
      </w:r>
      <w:r w:rsidRPr="00F8291A">
        <w:rPr>
          <w:sz w:val="24"/>
          <w:szCs w:val="24"/>
        </w:rPr>
        <w:t xml:space="preserve"> tikslas – prognozuoti nagrinėjamus ekonominius reiškinius</w:t>
      </w:r>
      <w:r>
        <w:rPr>
          <w:sz w:val="24"/>
          <w:szCs w:val="24"/>
        </w:rPr>
        <w:t xml:space="preserve">. </w:t>
      </w:r>
      <w:r w:rsidRPr="00F8291A">
        <w:rPr>
          <w:sz w:val="24"/>
          <w:szCs w:val="24"/>
        </w:rPr>
        <w:t>Pagrindinė idėja – prognozės sudaromos panaudojant nagrinėj</w:t>
      </w:r>
      <w:r w:rsidR="00D73096">
        <w:rPr>
          <w:sz w:val="24"/>
          <w:szCs w:val="24"/>
        </w:rPr>
        <w:t xml:space="preserve">amo reiškinio pradinių duomenų </w:t>
      </w:r>
      <w:r w:rsidRPr="00F8291A">
        <w:rPr>
          <w:sz w:val="24"/>
          <w:szCs w:val="24"/>
        </w:rPr>
        <w:t xml:space="preserve">ir modelio paklaidų pokyčių ypatumus. </w:t>
      </w:r>
    </w:p>
    <w:p w:rsidR="00F8291A" w:rsidRPr="00F8291A" w:rsidRDefault="00F8291A" w:rsidP="00F8291A">
      <w:pPr>
        <w:spacing w:line="360" w:lineRule="auto"/>
        <w:ind w:firstLine="720"/>
        <w:contextualSpacing/>
        <w:rPr>
          <w:sz w:val="24"/>
          <w:szCs w:val="24"/>
        </w:rPr>
      </w:pPr>
      <w:r w:rsidRPr="00F8291A">
        <w:rPr>
          <w:sz w:val="24"/>
          <w:szCs w:val="24"/>
        </w:rPr>
        <w:t>Integruotą autoregresijos slankiųjų vidurkių modelį sudaro dvi atskiros dedamosios:</w:t>
      </w:r>
    </w:p>
    <w:p w:rsidR="00F8291A" w:rsidRPr="00F8291A" w:rsidRDefault="00F8291A" w:rsidP="00F8291A">
      <w:pPr>
        <w:pStyle w:val="ListParagraph"/>
        <w:widowControl/>
        <w:numPr>
          <w:ilvl w:val="0"/>
          <w:numId w:val="31"/>
        </w:numPr>
        <w:spacing w:line="360" w:lineRule="auto"/>
        <w:ind w:firstLine="720"/>
        <w:rPr>
          <w:sz w:val="24"/>
          <w:szCs w:val="24"/>
        </w:rPr>
      </w:pPr>
      <w:r w:rsidRPr="00F8291A">
        <w:rPr>
          <w:sz w:val="24"/>
          <w:szCs w:val="24"/>
        </w:rPr>
        <w:t>autoregresijos procesas AR(p);</w:t>
      </w:r>
    </w:p>
    <w:p w:rsidR="00F8291A" w:rsidRPr="00F8291A" w:rsidRDefault="00F8291A" w:rsidP="00F8291A">
      <w:pPr>
        <w:pStyle w:val="ListParagraph"/>
        <w:widowControl/>
        <w:numPr>
          <w:ilvl w:val="0"/>
          <w:numId w:val="31"/>
        </w:numPr>
        <w:spacing w:line="360" w:lineRule="auto"/>
        <w:ind w:firstLine="720"/>
        <w:rPr>
          <w:sz w:val="24"/>
          <w:szCs w:val="24"/>
        </w:rPr>
      </w:pPr>
      <w:r w:rsidRPr="00F8291A">
        <w:rPr>
          <w:sz w:val="24"/>
          <w:szCs w:val="24"/>
        </w:rPr>
        <w:t>slankiųjų vidurkių procesas MA(q).</w:t>
      </w:r>
    </w:p>
    <w:p w:rsidR="00F8291A" w:rsidRDefault="00F8291A" w:rsidP="00F8291A">
      <w:pPr>
        <w:spacing w:line="360" w:lineRule="auto"/>
        <w:ind w:firstLine="720"/>
        <w:contextualSpacing/>
        <w:rPr>
          <w:sz w:val="24"/>
          <w:szCs w:val="24"/>
        </w:rPr>
      </w:pPr>
      <w:r w:rsidRPr="00F8291A">
        <w:rPr>
          <w:sz w:val="24"/>
          <w:szCs w:val="24"/>
        </w:rPr>
        <w:t>Integruotumą nusako laiko eilutės diferencijavimo l</w:t>
      </w:r>
      <w:r w:rsidR="0035534D">
        <w:rPr>
          <w:sz w:val="24"/>
          <w:szCs w:val="24"/>
        </w:rPr>
        <w:t>aipsnis d</w:t>
      </w:r>
      <w:r w:rsidR="002844CC">
        <w:rPr>
          <w:sz w:val="24"/>
          <w:szCs w:val="24"/>
        </w:rPr>
        <w:t xml:space="preserve"> (Boguslauskas ir kt., 2009</w:t>
      </w:r>
      <w:r w:rsidRPr="00F8291A">
        <w:rPr>
          <w:sz w:val="24"/>
          <w:szCs w:val="24"/>
        </w:rPr>
        <w:t>)</w:t>
      </w:r>
      <w:r w:rsidR="0035534D">
        <w:rPr>
          <w:sz w:val="24"/>
          <w:szCs w:val="24"/>
        </w:rPr>
        <w:t>.</w:t>
      </w:r>
    </w:p>
    <w:p w:rsidR="002844CC" w:rsidRDefault="002844CC" w:rsidP="00F8291A">
      <w:pPr>
        <w:spacing w:line="360" w:lineRule="auto"/>
        <w:ind w:firstLine="720"/>
        <w:contextualSpacing/>
        <w:rPr>
          <w:sz w:val="24"/>
          <w:szCs w:val="24"/>
        </w:rPr>
      </w:pPr>
      <w:r>
        <w:rPr>
          <w:sz w:val="24"/>
          <w:szCs w:val="24"/>
        </w:rPr>
        <w:t xml:space="preserve">ARIMA modeliui sudaryti naudojama Bokso – Dženkinso metodas, kurio schema pateikiama </w:t>
      </w:r>
      <w:r w:rsidR="00BF639A">
        <w:rPr>
          <w:sz w:val="24"/>
          <w:szCs w:val="24"/>
        </w:rPr>
        <w:t>4</w:t>
      </w:r>
      <w:r w:rsidR="00C00525">
        <w:rPr>
          <w:sz w:val="24"/>
          <w:szCs w:val="24"/>
        </w:rPr>
        <w:t xml:space="preserve"> </w:t>
      </w:r>
      <w:r>
        <w:rPr>
          <w:sz w:val="24"/>
          <w:szCs w:val="24"/>
        </w:rPr>
        <w:t>paveiksle.</w:t>
      </w:r>
    </w:p>
    <w:p w:rsidR="002844CC" w:rsidRPr="00F8291A" w:rsidRDefault="002844CC" w:rsidP="00D73096">
      <w:pPr>
        <w:spacing w:line="360" w:lineRule="auto"/>
        <w:ind w:firstLine="0"/>
        <w:contextualSpacing/>
        <w:jc w:val="center"/>
        <w:rPr>
          <w:sz w:val="24"/>
          <w:szCs w:val="24"/>
        </w:rPr>
      </w:pPr>
      <w:r>
        <w:rPr>
          <w:noProof/>
          <w:sz w:val="24"/>
          <w:szCs w:val="24"/>
          <w:lang w:val="en-US"/>
        </w:rPr>
        <w:lastRenderedPageBreak/>
        <w:drawing>
          <wp:inline distT="0" distB="0" distL="0" distR="0">
            <wp:extent cx="2486025" cy="2486025"/>
            <wp:effectExtent l="19050" t="0" r="9525"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l="29860" t="34903" r="45270" b="25415"/>
                    <a:stretch>
                      <a:fillRect/>
                    </a:stretch>
                  </pic:blipFill>
                  <pic:spPr bwMode="auto">
                    <a:xfrm>
                      <a:off x="0" y="0"/>
                      <a:ext cx="2490472" cy="2490472"/>
                    </a:xfrm>
                    <a:prstGeom prst="rect">
                      <a:avLst/>
                    </a:prstGeom>
                    <a:noFill/>
                    <a:ln w="9525">
                      <a:noFill/>
                      <a:miter lim="800000"/>
                      <a:headEnd/>
                      <a:tailEnd/>
                    </a:ln>
                  </pic:spPr>
                </pic:pic>
              </a:graphicData>
            </a:graphic>
          </wp:inline>
        </w:drawing>
      </w:r>
    </w:p>
    <w:p w:rsidR="002B77E4" w:rsidRDefault="00463933" w:rsidP="002B77E4">
      <w:pPr>
        <w:spacing w:line="360" w:lineRule="auto"/>
        <w:ind w:firstLine="720"/>
        <w:contextualSpacing/>
      </w:pPr>
      <w:r>
        <w:rPr>
          <w:color w:val="FF0000"/>
        </w:rPr>
        <w:t xml:space="preserve">                                                </w:t>
      </w:r>
      <w:r w:rsidR="002844CC" w:rsidRPr="00442686">
        <w:t xml:space="preserve">Šaltinis: </w:t>
      </w:r>
      <w:r w:rsidR="00442686" w:rsidRPr="00442686">
        <w:t xml:space="preserve">sudaryta pagal </w:t>
      </w:r>
      <w:bookmarkStart w:id="109" w:name="_Toc373086892"/>
      <w:r w:rsidR="00442686" w:rsidRPr="00442686">
        <w:t>Boguslauskas ir kt.</w:t>
      </w:r>
      <w:r w:rsidR="001A1AD6">
        <w:t>, 2009</w:t>
      </w:r>
      <w:bookmarkStart w:id="110" w:name="_Toc374229449"/>
    </w:p>
    <w:p w:rsidR="00E6712C" w:rsidRPr="002B77E4" w:rsidRDefault="00F51A8C" w:rsidP="002B77E4">
      <w:pPr>
        <w:spacing w:line="360" w:lineRule="auto"/>
        <w:ind w:firstLine="720"/>
        <w:contextualSpacing/>
        <w:jc w:val="center"/>
      </w:pPr>
      <w:r>
        <w:rPr>
          <w:sz w:val="24"/>
          <w:szCs w:val="24"/>
        </w:rPr>
        <w:t>4</w:t>
      </w:r>
      <w:r w:rsidR="00C00525" w:rsidRPr="00E6712C">
        <w:rPr>
          <w:sz w:val="24"/>
          <w:szCs w:val="24"/>
        </w:rPr>
        <w:t xml:space="preserve"> p</w:t>
      </w:r>
      <w:r w:rsidR="002844CC" w:rsidRPr="00E6712C">
        <w:rPr>
          <w:sz w:val="24"/>
          <w:szCs w:val="24"/>
        </w:rPr>
        <w:t>av. Bokso – Dženkiso metodo schema</w:t>
      </w:r>
      <w:bookmarkEnd w:id="109"/>
      <w:bookmarkEnd w:id="110"/>
    </w:p>
    <w:p w:rsidR="001A1AD6" w:rsidRPr="00E6712C" w:rsidRDefault="001A1AD6" w:rsidP="001A1AD6">
      <w:pPr>
        <w:spacing w:line="360" w:lineRule="auto"/>
        <w:ind w:firstLine="720"/>
        <w:contextualSpacing/>
        <w:jc w:val="center"/>
      </w:pPr>
    </w:p>
    <w:p w:rsidR="00136E93" w:rsidRPr="007173EF" w:rsidRDefault="00136E93" w:rsidP="00136E93">
      <w:pPr>
        <w:spacing w:line="360" w:lineRule="auto"/>
        <w:ind w:firstLine="720"/>
        <w:contextualSpacing/>
        <w:rPr>
          <w:sz w:val="24"/>
          <w:szCs w:val="24"/>
          <w:lang w:eastAsia="lt-LT"/>
        </w:rPr>
      </w:pPr>
      <w:r w:rsidRPr="007173EF">
        <w:rPr>
          <w:sz w:val="24"/>
          <w:szCs w:val="24"/>
        </w:rPr>
        <w:t xml:space="preserve">Naudojantis pateikta scehma identifikuojamas laiko eilutės ARIMA modelis. Čia iškyla uždavinys </w:t>
      </w:r>
      <w:r w:rsidRPr="007173EF">
        <w:rPr>
          <w:sz w:val="24"/>
          <w:szCs w:val="24"/>
          <w:lang w:eastAsia="lt-LT"/>
        </w:rPr>
        <w:t xml:space="preserve">apsispręsti kokias reikšmes reikia suteikti koeficientams </w:t>
      </w:r>
      <w:r w:rsidRPr="007173EF">
        <w:rPr>
          <w:i/>
          <w:sz w:val="24"/>
          <w:szCs w:val="24"/>
          <w:lang w:eastAsia="lt-LT"/>
        </w:rPr>
        <w:t>p, d, q</w:t>
      </w:r>
      <w:r w:rsidRPr="007173EF">
        <w:rPr>
          <w:sz w:val="24"/>
          <w:szCs w:val="24"/>
          <w:lang w:eastAsia="lt-LT"/>
        </w:rPr>
        <w:t xml:space="preserve"> ir kaip pasirinkti pradinius parametrų įverčius. </w:t>
      </w:r>
      <w:r w:rsidR="002844CC" w:rsidRPr="007173EF">
        <w:rPr>
          <w:sz w:val="24"/>
          <w:szCs w:val="24"/>
        </w:rPr>
        <w:t>ARIMA modelį galima sudaryti tik stacionarioms laiko eilutėms.</w:t>
      </w:r>
      <w:r w:rsidR="009331DC" w:rsidRPr="007173EF">
        <w:rPr>
          <w:sz w:val="24"/>
          <w:szCs w:val="24"/>
        </w:rPr>
        <w:t xml:space="preserve"> Siekiant stacionarumo </w:t>
      </w:r>
      <w:r w:rsidRPr="007173EF">
        <w:rPr>
          <w:sz w:val="24"/>
          <w:szCs w:val="24"/>
        </w:rPr>
        <w:t xml:space="preserve">laiko eilutė turi būti diferencijuojama. Tai bus atliekama analizuojant eilutės korelogramų grafikus. </w:t>
      </w:r>
      <w:r w:rsidRPr="007173EF">
        <w:rPr>
          <w:sz w:val="24"/>
          <w:szCs w:val="24"/>
          <w:lang w:eastAsia="lt-LT"/>
        </w:rPr>
        <w:t>Nubraižius korelogramas ir pastebėjus, jog reikšmės išlenda už punktyrinių linijų, reikia atlikti auk</w:t>
      </w:r>
      <w:r w:rsidR="006D7F08">
        <w:rPr>
          <w:sz w:val="24"/>
          <w:szCs w:val="24"/>
          <w:lang w:eastAsia="lt-LT"/>
        </w:rPr>
        <w:t>štesnio laipsnio diferenciaciją, ir taip tol,</w:t>
      </w:r>
      <w:r w:rsidRPr="007173EF">
        <w:rPr>
          <w:sz w:val="24"/>
          <w:szCs w:val="24"/>
          <w:lang w:eastAsia="lt-LT"/>
        </w:rPr>
        <w:t xml:space="preserve"> tol kol bus gauta stacionari laiko eilutė.</w:t>
      </w:r>
    </w:p>
    <w:p w:rsidR="007173EF" w:rsidRPr="007173EF" w:rsidRDefault="00136E93" w:rsidP="007173EF">
      <w:pPr>
        <w:spacing w:line="360" w:lineRule="auto"/>
        <w:ind w:firstLine="720"/>
        <w:contextualSpacing/>
        <w:rPr>
          <w:sz w:val="24"/>
          <w:szCs w:val="24"/>
          <w:lang w:eastAsia="lt-LT"/>
        </w:rPr>
      </w:pPr>
      <w:r w:rsidRPr="007173EF">
        <w:rPr>
          <w:sz w:val="24"/>
          <w:szCs w:val="24"/>
          <w:lang w:eastAsia="lt-LT"/>
        </w:rPr>
        <w:t xml:space="preserve">Modelio parametrai įvertinami mažiausių kvadratų metodu. ARIMA modelio parametrai kiekvienas gali įgyti reikšmes nuo 0 iki 2. </w:t>
      </w:r>
      <w:r w:rsidR="007173EF" w:rsidRPr="007173EF">
        <w:rPr>
          <w:sz w:val="24"/>
          <w:szCs w:val="24"/>
          <w:lang w:eastAsia="lt-LT"/>
        </w:rPr>
        <w:t>Modelio tinkamumo įvertinimui naudojami du kriterijai</w:t>
      </w:r>
      <w:r w:rsidRPr="007173EF">
        <w:rPr>
          <w:sz w:val="24"/>
          <w:szCs w:val="24"/>
          <w:lang w:eastAsia="lt-LT"/>
        </w:rPr>
        <w:t xml:space="preserve"> „Akaike information criterion“ (AIC) ir „Schwarz information criterion“ (SIC). </w:t>
      </w:r>
      <w:r w:rsidR="007173EF" w:rsidRPr="007173EF">
        <w:rPr>
          <w:sz w:val="24"/>
          <w:szCs w:val="24"/>
          <w:lang w:eastAsia="lt-LT"/>
        </w:rPr>
        <w:t>Tikslas – parinkti modelį, kuris turi mažiausią paklaidų variaciją, t.y. mažiausias AIC ir SIC reikšmes. Taip pat parametrai p ir q turi būti parinkti taip, n</w:t>
      </w:r>
      <w:r w:rsidR="00D743FA">
        <w:rPr>
          <w:sz w:val="24"/>
          <w:szCs w:val="24"/>
          <w:lang w:eastAsia="lt-LT"/>
        </w:rPr>
        <w:t>ebūtų paklaidų autokoreliacijos bei įvertinti parametrai reikšmingai skirtųsi nuo 0, o paskaičiuotos šaknys „inverted roots“ turėtų būti vieneto ribose.</w:t>
      </w:r>
      <w:r w:rsidR="007173EF" w:rsidRPr="007173EF">
        <w:rPr>
          <w:sz w:val="24"/>
          <w:szCs w:val="24"/>
          <w:lang w:eastAsia="lt-LT"/>
        </w:rPr>
        <w:t xml:space="preserve"> Tai bus tikrinimama pagal modelio liekamųjų paklaidų korelogram</w:t>
      </w:r>
      <w:r w:rsidR="006D7F08">
        <w:rPr>
          <w:sz w:val="24"/>
          <w:szCs w:val="24"/>
          <w:lang w:eastAsia="lt-LT"/>
        </w:rPr>
        <w:t>as</w:t>
      </w:r>
      <w:r w:rsidR="00D743FA">
        <w:rPr>
          <w:sz w:val="24"/>
          <w:szCs w:val="24"/>
          <w:lang w:eastAsia="lt-LT"/>
        </w:rPr>
        <w:t xml:space="preserve"> (Boguslauskas ir kt., 2009).</w:t>
      </w:r>
    </w:p>
    <w:p w:rsidR="00DE3601" w:rsidRDefault="007173EF" w:rsidP="00B577D1">
      <w:pPr>
        <w:spacing w:line="360" w:lineRule="auto"/>
        <w:ind w:firstLine="720"/>
        <w:contextualSpacing/>
        <w:rPr>
          <w:sz w:val="24"/>
          <w:szCs w:val="24"/>
        </w:rPr>
      </w:pPr>
      <w:r w:rsidRPr="007173EF">
        <w:rPr>
          <w:sz w:val="24"/>
          <w:szCs w:val="24"/>
          <w:lang w:eastAsia="lt-LT"/>
        </w:rPr>
        <w:t>T</w:t>
      </w:r>
      <w:r w:rsidR="00136E93" w:rsidRPr="007173EF">
        <w:rPr>
          <w:sz w:val="24"/>
          <w:szCs w:val="24"/>
        </w:rPr>
        <w:t xml:space="preserve">inkamai </w:t>
      </w:r>
      <w:r w:rsidR="00603DDF">
        <w:rPr>
          <w:sz w:val="24"/>
          <w:szCs w:val="24"/>
        </w:rPr>
        <w:t xml:space="preserve">atrinkus modelį, </w:t>
      </w:r>
      <w:r w:rsidR="00136E93" w:rsidRPr="007173EF">
        <w:rPr>
          <w:sz w:val="24"/>
          <w:szCs w:val="24"/>
        </w:rPr>
        <w:t>atliekama prognozė</w:t>
      </w:r>
      <w:r w:rsidR="00756E47">
        <w:rPr>
          <w:sz w:val="24"/>
          <w:szCs w:val="24"/>
        </w:rPr>
        <w:t>. Kadangi prognozuojama</w:t>
      </w:r>
      <w:r>
        <w:rPr>
          <w:sz w:val="24"/>
          <w:szCs w:val="24"/>
        </w:rPr>
        <w:t xml:space="preserve"> dviems laikotar</w:t>
      </w:r>
      <w:r w:rsidR="006D7F08">
        <w:rPr>
          <w:sz w:val="24"/>
          <w:szCs w:val="24"/>
        </w:rPr>
        <w:t>piams į priekį, bus naudojamas d</w:t>
      </w:r>
      <w:r>
        <w:rPr>
          <w:sz w:val="24"/>
          <w:szCs w:val="24"/>
        </w:rPr>
        <w:t>inaminis metodas, kuris leidžia prognozuoti n reikšmių į priekį remiantis anksčiau prognozuotomis reikšmėm</w:t>
      </w:r>
      <w:r w:rsidR="00F8312B">
        <w:rPr>
          <w:sz w:val="24"/>
          <w:szCs w:val="24"/>
        </w:rPr>
        <w:t>is.</w:t>
      </w:r>
    </w:p>
    <w:p w:rsidR="00DE3601" w:rsidRDefault="00DE3601" w:rsidP="0035534D">
      <w:pPr>
        <w:spacing w:line="360" w:lineRule="auto"/>
        <w:ind w:firstLine="720"/>
        <w:contextualSpacing/>
        <w:rPr>
          <w:sz w:val="24"/>
          <w:szCs w:val="24"/>
        </w:rPr>
      </w:pPr>
    </w:p>
    <w:p w:rsidR="00FE59AA" w:rsidRDefault="00FE59AA" w:rsidP="0035534D">
      <w:pPr>
        <w:spacing w:line="360" w:lineRule="auto"/>
        <w:ind w:firstLine="720"/>
        <w:contextualSpacing/>
        <w:rPr>
          <w:sz w:val="24"/>
          <w:szCs w:val="24"/>
        </w:rPr>
      </w:pPr>
    </w:p>
    <w:p w:rsidR="00DE3601" w:rsidRDefault="00DE3601" w:rsidP="0035534D">
      <w:pPr>
        <w:spacing w:line="360" w:lineRule="auto"/>
        <w:ind w:firstLine="720"/>
        <w:contextualSpacing/>
        <w:rPr>
          <w:sz w:val="24"/>
          <w:szCs w:val="24"/>
        </w:rPr>
      </w:pPr>
    </w:p>
    <w:p w:rsidR="00FE6955" w:rsidRDefault="00FE6955" w:rsidP="0035534D">
      <w:pPr>
        <w:spacing w:line="360" w:lineRule="auto"/>
        <w:ind w:firstLine="720"/>
        <w:contextualSpacing/>
        <w:rPr>
          <w:sz w:val="24"/>
          <w:szCs w:val="24"/>
        </w:rPr>
      </w:pPr>
    </w:p>
    <w:p w:rsidR="005B6EE3" w:rsidRPr="0035534D" w:rsidRDefault="005B6EE3" w:rsidP="00BF639A">
      <w:pPr>
        <w:spacing w:line="360" w:lineRule="auto"/>
        <w:ind w:firstLine="0"/>
        <w:contextualSpacing/>
        <w:rPr>
          <w:sz w:val="24"/>
          <w:szCs w:val="24"/>
          <w:lang w:eastAsia="lt-LT"/>
        </w:rPr>
      </w:pPr>
    </w:p>
    <w:p w:rsidR="00DD42B3" w:rsidRPr="005349F5" w:rsidRDefault="00DD42B3" w:rsidP="001639E7">
      <w:pPr>
        <w:pStyle w:val="ListParagraph"/>
        <w:numPr>
          <w:ilvl w:val="0"/>
          <w:numId w:val="1"/>
        </w:numPr>
        <w:spacing w:line="360" w:lineRule="auto"/>
        <w:ind w:left="714" w:hanging="357"/>
        <w:jc w:val="center"/>
        <w:outlineLvl w:val="0"/>
        <w:rPr>
          <w:b/>
          <w:sz w:val="28"/>
          <w:szCs w:val="28"/>
        </w:rPr>
      </w:pPr>
      <w:bookmarkStart w:id="111" w:name="_Toc373086694"/>
      <w:bookmarkStart w:id="112" w:name="_Toc373086893"/>
      <w:bookmarkStart w:id="113" w:name="_Toc373275079"/>
      <w:bookmarkStart w:id="114" w:name="_Toc373421070"/>
      <w:bookmarkStart w:id="115" w:name="_Toc373448088"/>
      <w:bookmarkStart w:id="116" w:name="_Toc374228640"/>
      <w:bookmarkStart w:id="117" w:name="_Toc374229045"/>
      <w:bookmarkStart w:id="118" w:name="_Toc374229156"/>
      <w:bookmarkStart w:id="119" w:name="_Toc374229450"/>
      <w:r w:rsidRPr="005349F5">
        <w:rPr>
          <w:b/>
          <w:sz w:val="28"/>
          <w:szCs w:val="28"/>
        </w:rPr>
        <w:t>BALTIJOS ŠALIŲ VALSTYBĖS SKOLOS ANALIZĖ</w:t>
      </w:r>
      <w:r w:rsidR="005349F5" w:rsidRPr="005349F5">
        <w:rPr>
          <w:b/>
          <w:sz w:val="28"/>
          <w:szCs w:val="28"/>
        </w:rPr>
        <w:t xml:space="preserve"> IR PERSP</w:t>
      </w:r>
      <w:r w:rsidR="00AF3807">
        <w:rPr>
          <w:b/>
          <w:sz w:val="28"/>
          <w:szCs w:val="28"/>
        </w:rPr>
        <w:t>E</w:t>
      </w:r>
      <w:r w:rsidR="005349F5" w:rsidRPr="005349F5">
        <w:rPr>
          <w:b/>
          <w:sz w:val="28"/>
          <w:szCs w:val="28"/>
        </w:rPr>
        <w:t>KTYVŲ VERTINIMAS</w:t>
      </w:r>
      <w:bookmarkEnd w:id="111"/>
      <w:bookmarkEnd w:id="112"/>
      <w:bookmarkEnd w:id="113"/>
      <w:bookmarkEnd w:id="114"/>
      <w:bookmarkEnd w:id="115"/>
      <w:bookmarkEnd w:id="116"/>
      <w:bookmarkEnd w:id="117"/>
      <w:bookmarkEnd w:id="118"/>
      <w:bookmarkEnd w:id="119"/>
    </w:p>
    <w:p w:rsidR="005349F5" w:rsidRPr="005349F5" w:rsidRDefault="005349F5" w:rsidP="005349F5">
      <w:pPr>
        <w:pStyle w:val="ListParagraph"/>
        <w:ind w:firstLine="0"/>
        <w:rPr>
          <w:b/>
          <w:sz w:val="24"/>
          <w:szCs w:val="24"/>
        </w:rPr>
      </w:pPr>
    </w:p>
    <w:p w:rsidR="00DD42B3" w:rsidRDefault="00DD42B3" w:rsidP="006A7DDC">
      <w:pPr>
        <w:pStyle w:val="NormalWeb"/>
        <w:shd w:val="clear" w:color="auto" w:fill="FFFFFF"/>
        <w:spacing w:before="0" w:beforeAutospacing="0" w:after="0" w:afterAutospacing="0" w:line="360" w:lineRule="auto"/>
        <w:ind w:firstLine="720"/>
        <w:contextualSpacing/>
        <w:jc w:val="both"/>
        <w:rPr>
          <w:color w:val="111111"/>
        </w:rPr>
      </w:pPr>
      <w:r w:rsidRPr="006A7DDC">
        <w:t xml:space="preserve">Europos Sąjungos kontekste Baltijos šalys - Lietuva, Latvija bei Estija – laikomos jaunomis valstybėmis. Šiek tiek daugiau negu prieš dvidešimt metų atgavusios nepriklausomybę, šios šalys iš naujo pradėjo kurti savo politinę, teisinę ir ekonominę aplinkas. </w:t>
      </w:r>
      <w:r w:rsidR="00E67CE0" w:rsidRPr="006A7DDC">
        <w:t>Per vis</w:t>
      </w:r>
      <w:r w:rsidR="009740EF" w:rsidRPr="006A7DDC">
        <w:t>ą</w:t>
      </w:r>
      <w:r w:rsidR="00E67CE0" w:rsidRPr="006A7DDC">
        <w:t xml:space="preserve"> nepriklausomybės laikotarpį </w:t>
      </w:r>
      <w:r w:rsidR="008943EF" w:rsidRPr="006A7DDC">
        <w:t>Lietuva, Latvija ir Estija</w:t>
      </w:r>
      <w:r w:rsidR="00E67CE0" w:rsidRPr="006A7DDC">
        <w:t xml:space="preserve"> </w:t>
      </w:r>
      <w:r w:rsidR="008943EF" w:rsidRPr="006A7DDC">
        <w:t>išgyveno</w:t>
      </w:r>
      <w:r w:rsidR="00E67CE0" w:rsidRPr="006A7DDC">
        <w:t xml:space="preserve"> ir paki</w:t>
      </w:r>
      <w:r w:rsidR="008943EF" w:rsidRPr="006A7DDC">
        <w:t>limo, ir nuosmukio laikotarpių, tačiau išgyvendamos panašius ekonomikos ciklus, trys Baltijos šalys elgėsi skirtingai.</w:t>
      </w:r>
      <w:r w:rsidR="0087483E">
        <w:t xml:space="preserve"> </w:t>
      </w:r>
      <w:r w:rsidR="006A7DDC" w:rsidRPr="006A7DDC">
        <w:rPr>
          <w:color w:val="111111"/>
        </w:rPr>
        <w:t>Estija jau 2002 metais pirmą kartą sugebėjo</w:t>
      </w:r>
      <w:r w:rsidR="006A7DDC">
        <w:rPr>
          <w:color w:val="111111"/>
        </w:rPr>
        <w:t xml:space="preserve"> suplanuoti perviršinį biudžetą. </w:t>
      </w:r>
      <w:r w:rsidR="006A7DDC" w:rsidRPr="006A7DDC">
        <w:rPr>
          <w:color w:val="111111"/>
        </w:rPr>
        <w:t>Paskui teigiamas balansas kasmet po truputį augo, ir 2007 metais estai sugebėjo surinkti jau 2,6% daugiau lėšų nei išleido.</w:t>
      </w:r>
      <w:r w:rsidR="006A7DDC">
        <w:rPr>
          <w:color w:val="111111"/>
        </w:rPr>
        <w:t xml:space="preserve"> </w:t>
      </w:r>
      <w:r w:rsidR="006A7DDC" w:rsidRPr="006A7DDC">
        <w:rPr>
          <w:color w:val="111111"/>
        </w:rPr>
        <w:t xml:space="preserve">O Lietuvoje ir Latvijoje ekonomikos augimas reiškė tik dar didesnį išlaidavimą − biudžetas vis tiek likdavo deficitinis. </w:t>
      </w:r>
    </w:p>
    <w:p w:rsidR="008F7E5E" w:rsidRDefault="0087483E" w:rsidP="0087483E">
      <w:pPr>
        <w:spacing w:line="360" w:lineRule="auto"/>
        <w:ind w:firstLine="720"/>
        <w:contextualSpacing/>
        <w:rPr>
          <w:sz w:val="24"/>
          <w:szCs w:val="24"/>
        </w:rPr>
      </w:pPr>
      <w:r>
        <w:rPr>
          <w:sz w:val="24"/>
          <w:szCs w:val="24"/>
        </w:rPr>
        <w:t xml:space="preserve">Atliekant Baltijos šalių valstybės skolos analizę visų pirma būtų tikslinga apžvelgti šių šalių ekonominę situaciją, kadangi nuo jos priklauso šalies skolinimosi poreikis, skolinimosi sąlygos ir kiti su tuo susiję dalykai. </w:t>
      </w:r>
    </w:p>
    <w:p w:rsidR="000860BF" w:rsidRDefault="000860BF" w:rsidP="000860BF">
      <w:pPr>
        <w:ind w:firstLine="0"/>
        <w:jc w:val="left"/>
        <w:outlineLvl w:val="1"/>
        <w:rPr>
          <w:sz w:val="24"/>
          <w:szCs w:val="24"/>
          <w:lang w:val="en-US"/>
        </w:rPr>
      </w:pPr>
      <w:bookmarkStart w:id="120" w:name="_Toc373086695"/>
      <w:bookmarkStart w:id="121" w:name="_Toc373086894"/>
      <w:bookmarkStart w:id="122" w:name="_Toc373275080"/>
      <w:bookmarkStart w:id="123" w:name="_Toc373421071"/>
      <w:bookmarkStart w:id="124" w:name="_Toc373448089"/>
    </w:p>
    <w:p w:rsidR="00DD42B3" w:rsidRPr="000860BF" w:rsidRDefault="000860BF" w:rsidP="000860BF">
      <w:pPr>
        <w:jc w:val="left"/>
        <w:outlineLvl w:val="1"/>
        <w:rPr>
          <w:b/>
          <w:sz w:val="24"/>
          <w:szCs w:val="24"/>
        </w:rPr>
      </w:pPr>
      <w:bookmarkStart w:id="125" w:name="_Toc374228641"/>
      <w:bookmarkStart w:id="126" w:name="_Toc374229046"/>
      <w:bookmarkStart w:id="127" w:name="_Toc374229157"/>
      <w:bookmarkStart w:id="128" w:name="_Toc374229451"/>
      <w:r>
        <w:rPr>
          <w:b/>
          <w:sz w:val="24"/>
          <w:szCs w:val="24"/>
        </w:rPr>
        <w:t>3.1.</w:t>
      </w:r>
      <w:r w:rsidR="00DD42B3" w:rsidRPr="000860BF">
        <w:rPr>
          <w:b/>
          <w:sz w:val="24"/>
          <w:szCs w:val="24"/>
        </w:rPr>
        <w:t>Baltijos šalių ekonominės situacijos apžvalga</w:t>
      </w:r>
      <w:bookmarkEnd w:id="120"/>
      <w:bookmarkEnd w:id="121"/>
      <w:bookmarkEnd w:id="122"/>
      <w:bookmarkEnd w:id="123"/>
      <w:bookmarkEnd w:id="124"/>
      <w:bookmarkEnd w:id="125"/>
      <w:bookmarkEnd w:id="126"/>
      <w:bookmarkEnd w:id="127"/>
      <w:bookmarkEnd w:id="128"/>
    </w:p>
    <w:p w:rsidR="005349F5" w:rsidRPr="005349F5" w:rsidRDefault="005349F5" w:rsidP="005349F5">
      <w:pPr>
        <w:pStyle w:val="ListParagraph"/>
        <w:ind w:left="3600" w:firstLine="0"/>
        <w:rPr>
          <w:b/>
          <w:sz w:val="24"/>
          <w:szCs w:val="24"/>
          <w:lang w:val="en-US"/>
        </w:rPr>
      </w:pPr>
    </w:p>
    <w:p w:rsidR="00DD42B3" w:rsidRDefault="00DD42B3" w:rsidP="00DD42B3">
      <w:pPr>
        <w:spacing w:line="360" w:lineRule="auto"/>
        <w:ind w:firstLine="720"/>
        <w:contextualSpacing/>
        <w:rPr>
          <w:sz w:val="24"/>
          <w:szCs w:val="24"/>
        </w:rPr>
      </w:pPr>
      <w:r>
        <w:rPr>
          <w:sz w:val="24"/>
          <w:szCs w:val="24"/>
        </w:rPr>
        <w:t>Vienas svarbiausių šalies ekonominę situaciją bei ekonomikos išsivystymo lygį atspindinčių rodiklių yra ben</w:t>
      </w:r>
      <w:r w:rsidR="00F51A8C">
        <w:rPr>
          <w:sz w:val="24"/>
          <w:szCs w:val="24"/>
        </w:rPr>
        <w:t>drasis vidaus produktas (BVP). 5</w:t>
      </w:r>
      <w:r>
        <w:rPr>
          <w:sz w:val="24"/>
          <w:szCs w:val="24"/>
        </w:rPr>
        <w:t xml:space="preserve"> paveiksle pateikti realaus BVP augimo tempai Lietuvoje, Latvijoje ir Estijoje 2008-2012 metų laikotarpiu.</w:t>
      </w:r>
    </w:p>
    <w:p w:rsidR="00DD42B3" w:rsidRPr="00AD0CB0" w:rsidRDefault="00DD42B3" w:rsidP="00DD42B3">
      <w:pPr>
        <w:spacing w:line="360" w:lineRule="auto"/>
        <w:ind w:firstLine="720"/>
        <w:contextualSpacing/>
        <w:rPr>
          <w:sz w:val="24"/>
          <w:szCs w:val="24"/>
        </w:rPr>
      </w:pPr>
    </w:p>
    <w:p w:rsidR="00DD42B3" w:rsidRDefault="00DD42B3" w:rsidP="00DD42B3">
      <w:pPr>
        <w:jc w:val="center"/>
        <w:rPr>
          <w:sz w:val="24"/>
          <w:szCs w:val="24"/>
        </w:rPr>
      </w:pPr>
      <w:r w:rsidRPr="00952A59">
        <w:rPr>
          <w:noProof/>
          <w:sz w:val="24"/>
          <w:szCs w:val="24"/>
          <w:lang w:val="en-US"/>
        </w:rPr>
        <w:drawing>
          <wp:inline distT="0" distB="0" distL="0" distR="0">
            <wp:extent cx="5543550" cy="2276475"/>
            <wp:effectExtent l="19050" t="0" r="19050" b="0"/>
            <wp:docPr id="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B77E4" w:rsidRDefault="005B47AA" w:rsidP="002B77E4">
      <w:pPr>
        <w:spacing w:line="360" w:lineRule="auto"/>
      </w:pPr>
      <w:r>
        <w:t xml:space="preserve">          </w:t>
      </w:r>
      <w:r w:rsidR="00A936DF">
        <w:t>Šaltinis: sudaryta</w:t>
      </w:r>
      <w:r w:rsidR="00A936DF" w:rsidRPr="00A936DF">
        <w:t xml:space="preserve"> pagal</w:t>
      </w:r>
      <w:r w:rsidR="00AF3D67">
        <w:t xml:space="preserve"> Lietuvos ir Estijos finansų ministerij</w:t>
      </w:r>
      <w:r w:rsidR="00B80ED2">
        <w:t>ų</w:t>
      </w:r>
      <w:r w:rsidR="00AF3D67">
        <w:t xml:space="preserve"> bei Latvijos valstybės iždo duomenis</w:t>
      </w:r>
      <w:bookmarkStart w:id="129" w:name="_Toc373086895"/>
      <w:bookmarkStart w:id="130" w:name="_Toc373274434"/>
      <w:bookmarkStart w:id="131" w:name="_Toc373274648"/>
      <w:bookmarkStart w:id="132" w:name="_Toc373275081"/>
      <w:bookmarkStart w:id="133" w:name="_Toc374229452"/>
    </w:p>
    <w:p w:rsidR="00E6712C" w:rsidRPr="002B77E4" w:rsidRDefault="00F51A8C" w:rsidP="002B77E4">
      <w:pPr>
        <w:spacing w:line="360" w:lineRule="auto"/>
        <w:jc w:val="center"/>
      </w:pPr>
      <w:r>
        <w:rPr>
          <w:sz w:val="24"/>
          <w:szCs w:val="24"/>
        </w:rPr>
        <w:t>5</w:t>
      </w:r>
      <w:r w:rsidR="00DD42B3" w:rsidRPr="00047573">
        <w:rPr>
          <w:sz w:val="24"/>
          <w:szCs w:val="24"/>
        </w:rPr>
        <w:t xml:space="preserve"> pa</w:t>
      </w:r>
      <w:r w:rsidR="007747CD" w:rsidRPr="00047573">
        <w:rPr>
          <w:sz w:val="24"/>
          <w:szCs w:val="24"/>
        </w:rPr>
        <w:t>v. Realaus BVP metinis pokytis</w:t>
      </w:r>
      <w:r w:rsidR="0087483E" w:rsidRPr="00047573">
        <w:rPr>
          <w:sz w:val="24"/>
          <w:szCs w:val="24"/>
        </w:rPr>
        <w:t xml:space="preserve"> Baltijos šalyse</w:t>
      </w:r>
      <w:bookmarkEnd w:id="129"/>
      <w:bookmarkEnd w:id="130"/>
      <w:bookmarkEnd w:id="131"/>
      <w:bookmarkEnd w:id="132"/>
      <w:bookmarkEnd w:id="133"/>
    </w:p>
    <w:p w:rsidR="005B47AA" w:rsidRPr="001B5FE0" w:rsidRDefault="005B47AA" w:rsidP="001A1AD6">
      <w:pPr>
        <w:spacing w:line="360" w:lineRule="auto"/>
        <w:jc w:val="center"/>
      </w:pPr>
    </w:p>
    <w:p w:rsidR="00DD42B3" w:rsidRDefault="00F51A8C" w:rsidP="00303559">
      <w:pPr>
        <w:spacing w:line="360" w:lineRule="auto"/>
        <w:ind w:firstLine="720"/>
        <w:contextualSpacing/>
        <w:rPr>
          <w:sz w:val="24"/>
          <w:szCs w:val="24"/>
        </w:rPr>
      </w:pPr>
      <w:r>
        <w:rPr>
          <w:sz w:val="24"/>
          <w:szCs w:val="24"/>
        </w:rPr>
        <w:lastRenderedPageBreak/>
        <w:t>Kaip matyti 5</w:t>
      </w:r>
      <w:r w:rsidR="00DD42B3" w:rsidRPr="008B2A6D">
        <w:rPr>
          <w:sz w:val="24"/>
          <w:szCs w:val="24"/>
        </w:rPr>
        <w:t xml:space="preserve"> paveiksle, 2008 metais Lietuvos ekonomika, nors ir lėtai, bet</w:t>
      </w:r>
      <w:r w:rsidR="00DD42B3">
        <w:rPr>
          <w:sz w:val="24"/>
          <w:szCs w:val="24"/>
        </w:rPr>
        <w:t xml:space="preserve"> vis dar augo. L</w:t>
      </w:r>
      <w:r w:rsidR="00DD42B3" w:rsidRPr="008B2A6D">
        <w:rPr>
          <w:sz w:val="24"/>
          <w:szCs w:val="24"/>
        </w:rPr>
        <w:t xml:space="preserve">yginanat su 2007 metais </w:t>
      </w:r>
      <w:r w:rsidR="00DD42B3">
        <w:rPr>
          <w:sz w:val="24"/>
          <w:szCs w:val="24"/>
        </w:rPr>
        <w:t xml:space="preserve">Lietuvos </w:t>
      </w:r>
      <w:r w:rsidR="00DD42B3" w:rsidRPr="008B2A6D">
        <w:rPr>
          <w:sz w:val="24"/>
          <w:szCs w:val="24"/>
        </w:rPr>
        <w:t>BVP pa</w:t>
      </w:r>
      <w:r w:rsidR="00DD42B3">
        <w:rPr>
          <w:sz w:val="24"/>
          <w:szCs w:val="24"/>
        </w:rPr>
        <w:t>augo 2,9</w:t>
      </w:r>
      <w:r w:rsidR="00DD42B3" w:rsidRPr="008B2A6D">
        <w:rPr>
          <w:sz w:val="24"/>
          <w:szCs w:val="24"/>
        </w:rPr>
        <w:t xml:space="preserve"> proc., tuo tarpu Estijoje jis sumažėjo 4,2 proc., o Latvijoje – 2,8 proc.. 2008 metais prasidėjusi fina</w:t>
      </w:r>
      <w:r w:rsidR="0087483E">
        <w:rPr>
          <w:sz w:val="24"/>
          <w:szCs w:val="24"/>
        </w:rPr>
        <w:t xml:space="preserve">nsų pasaulinė krizė 2009 metais </w:t>
      </w:r>
      <w:r w:rsidR="00DD42B3" w:rsidRPr="008B2A6D">
        <w:rPr>
          <w:sz w:val="24"/>
          <w:szCs w:val="24"/>
        </w:rPr>
        <w:t>palietė ir Baltijos šalis. Šalių sukuriamas BVP lyginant su 2008 metais smarkiai sumažėjo: Lietuvoje - 14,8 proc., Latvijoje – 17,7 proc., o Estijoje – 14,1 proc.. Šitokį bendrojo vidaus produkto pokytį lėmė mažėjantis namų ūkio vartojimas,</w:t>
      </w:r>
      <w:r w:rsidR="00C9717B">
        <w:rPr>
          <w:sz w:val="24"/>
          <w:szCs w:val="24"/>
        </w:rPr>
        <w:t xml:space="preserve"> išaugęs nedarbo lygis,</w:t>
      </w:r>
      <w:r w:rsidR="00DD42B3" w:rsidRPr="008B2A6D">
        <w:rPr>
          <w:sz w:val="24"/>
          <w:szCs w:val="24"/>
        </w:rPr>
        <w:t xml:space="preserve"> mažėjančios investicijos, </w:t>
      </w:r>
      <w:r w:rsidR="00C9717B">
        <w:rPr>
          <w:sz w:val="24"/>
          <w:szCs w:val="24"/>
        </w:rPr>
        <w:t xml:space="preserve">smukusi pramonė bei sumažėjęs eksportas. </w:t>
      </w:r>
      <w:r w:rsidR="00DD42B3" w:rsidRPr="008B2A6D">
        <w:rPr>
          <w:sz w:val="24"/>
          <w:szCs w:val="24"/>
        </w:rPr>
        <w:t xml:space="preserve">2010 metais </w:t>
      </w:r>
      <w:r w:rsidR="00DD42B3">
        <w:rPr>
          <w:sz w:val="24"/>
          <w:szCs w:val="24"/>
        </w:rPr>
        <w:t xml:space="preserve">jau </w:t>
      </w:r>
      <w:r w:rsidR="00DD42B3" w:rsidRPr="008B2A6D">
        <w:rPr>
          <w:sz w:val="24"/>
          <w:szCs w:val="24"/>
        </w:rPr>
        <w:t>matoma geresnė situacija</w:t>
      </w:r>
      <w:r w:rsidR="004C4923">
        <w:rPr>
          <w:sz w:val="24"/>
          <w:szCs w:val="24"/>
        </w:rPr>
        <w:t>, pasijuto ūkio atsigavimas</w:t>
      </w:r>
      <w:r w:rsidR="00DD42B3" w:rsidRPr="008B2A6D">
        <w:rPr>
          <w:sz w:val="24"/>
          <w:szCs w:val="24"/>
        </w:rPr>
        <w:t>: Lietuvoje ir Latvijoje BVP lyginant su praė</w:t>
      </w:r>
      <w:r w:rsidR="00DD42B3">
        <w:rPr>
          <w:sz w:val="24"/>
          <w:szCs w:val="24"/>
        </w:rPr>
        <w:t>jusiais metais iš</w:t>
      </w:r>
      <w:r w:rsidR="00DD42B3" w:rsidRPr="008B2A6D">
        <w:rPr>
          <w:sz w:val="24"/>
          <w:szCs w:val="24"/>
        </w:rPr>
        <w:t>augo atitinkamai 1,6 ir 2,6 proc., tuo tarpu Latvijoje vis dar mažėjo (-1,3 proc.), tačiau net taip smarkiai kaip 2009 m.. Lietuvoje pagrindiniai ekonomikos augimo varikliai buvo eksportas ir įmonių atsargų atstatymas. Estijos BVP augimą sąlygojo didesnis namų ūkių ir įmonių vartojimas, padaugėjo investicijų, nes vėl pradėjo augti skolinimosi poreikis</w:t>
      </w:r>
      <w:r w:rsidR="004C4923">
        <w:rPr>
          <w:sz w:val="24"/>
          <w:szCs w:val="24"/>
        </w:rPr>
        <w:t xml:space="preserve"> </w:t>
      </w:r>
      <w:r w:rsidR="001B5FE0" w:rsidRPr="001B5FE0">
        <w:rPr>
          <w:sz w:val="24"/>
          <w:szCs w:val="24"/>
        </w:rPr>
        <w:t>[11</w:t>
      </w:r>
      <w:r w:rsidR="004C4923" w:rsidRPr="001B5FE0">
        <w:rPr>
          <w:sz w:val="24"/>
          <w:szCs w:val="24"/>
        </w:rPr>
        <w:t>].</w:t>
      </w:r>
      <w:r w:rsidR="00DD42B3">
        <w:rPr>
          <w:sz w:val="24"/>
          <w:szCs w:val="24"/>
        </w:rPr>
        <w:t xml:space="preserve"> 2011 m. BVP augimas užfiksuotas ir Latvijoje (5,3 proc.), Lietuvos ir Estijos BVP taip pat toliau augo (atitinkamai 6 proc. ir 9,6 proc.). 2012 metais ekonomikos augimas visose trijose šalyse sulėtėjo: Lietuvoje realaus BVP pokytis per metus siekė 3,7 proc., Latvijoje – 5 proc., Estijoje – 3,9 proc..</w:t>
      </w:r>
      <w:r w:rsidR="00D851D7">
        <w:rPr>
          <w:sz w:val="24"/>
          <w:szCs w:val="24"/>
        </w:rPr>
        <w:t xml:space="preserve"> Mažesnį Baltijos šalių ūkio augimą lėmė</w:t>
      </w:r>
      <w:r w:rsidR="002F5CED">
        <w:rPr>
          <w:sz w:val="24"/>
          <w:szCs w:val="24"/>
        </w:rPr>
        <w:t xml:space="preserve"> ner</w:t>
      </w:r>
      <w:r w:rsidR="0087483E">
        <w:rPr>
          <w:sz w:val="24"/>
          <w:szCs w:val="24"/>
        </w:rPr>
        <w:t>amumai pasaulio finansų rinkose bei</w:t>
      </w:r>
      <w:r w:rsidR="002F5CED">
        <w:rPr>
          <w:sz w:val="24"/>
          <w:szCs w:val="24"/>
        </w:rPr>
        <w:t xml:space="preserve"> Euro zonoje. </w:t>
      </w:r>
    </w:p>
    <w:p w:rsidR="00D73096" w:rsidRDefault="00DD42B3" w:rsidP="00B80ED2">
      <w:pPr>
        <w:spacing w:line="360" w:lineRule="auto"/>
        <w:ind w:firstLine="720"/>
        <w:contextualSpacing/>
        <w:rPr>
          <w:sz w:val="24"/>
          <w:szCs w:val="24"/>
        </w:rPr>
      </w:pPr>
      <w:r>
        <w:rPr>
          <w:sz w:val="24"/>
          <w:szCs w:val="24"/>
        </w:rPr>
        <w:t>Analizuojant Baltijos šalių ekonominę situaciją, reikėtų pažvelgti ir į nedarbo lygį šiose šalyse. Nedarbo lygis turi įtakos tiek prieš tai aptartam šalių sukuriamam BVP, tiek valstybių skolinimosi poreikiui. Nedarbo lygio pokyčiai įtakoja tiek valstybės biudžeto pajamas (esant didesniam dirbančiųjų skaičiui surenkama daugiau pajamų iš mokesčių, ir atvirkščiai), tiek išlaidas (esant didesniam nedarbo lygiui, valstybė daugiau biudžeto lėšų turi skirti pašalpoms), kas savaime lemia šalies biudžeto deficitą arba pertek</w:t>
      </w:r>
      <w:r w:rsidR="00F51A8C">
        <w:rPr>
          <w:sz w:val="24"/>
          <w:szCs w:val="24"/>
        </w:rPr>
        <w:t>lių. 6</w:t>
      </w:r>
      <w:r>
        <w:rPr>
          <w:sz w:val="24"/>
          <w:szCs w:val="24"/>
        </w:rPr>
        <w:t xml:space="preserve"> paveiksle pateikta Baltijos šalių nedarbo lygio kitim</w:t>
      </w:r>
      <w:r w:rsidR="00D73096">
        <w:rPr>
          <w:sz w:val="24"/>
          <w:szCs w:val="24"/>
        </w:rPr>
        <w:t>o dinamika 2008 – 2012  metais.</w:t>
      </w:r>
    </w:p>
    <w:p w:rsidR="001B5FE0" w:rsidRDefault="001B5FE0" w:rsidP="00B80ED2">
      <w:pPr>
        <w:spacing w:line="360" w:lineRule="auto"/>
        <w:ind w:firstLine="720"/>
        <w:contextualSpacing/>
        <w:rPr>
          <w:sz w:val="24"/>
          <w:szCs w:val="24"/>
        </w:rPr>
      </w:pPr>
    </w:p>
    <w:p w:rsidR="00DD42B3" w:rsidRDefault="00DD42B3" w:rsidP="0035534D">
      <w:pPr>
        <w:jc w:val="center"/>
        <w:rPr>
          <w:sz w:val="24"/>
          <w:szCs w:val="24"/>
        </w:rPr>
      </w:pPr>
      <w:r w:rsidRPr="00145273">
        <w:rPr>
          <w:noProof/>
          <w:sz w:val="24"/>
          <w:szCs w:val="24"/>
          <w:lang w:val="en-US"/>
        </w:rPr>
        <w:drawing>
          <wp:inline distT="0" distB="0" distL="0" distR="0">
            <wp:extent cx="5419725" cy="2219325"/>
            <wp:effectExtent l="19050" t="0" r="9525" b="0"/>
            <wp:docPr id="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936DF" w:rsidRDefault="00A936DF" w:rsidP="00DD42B3">
      <w:pPr>
        <w:jc w:val="center"/>
        <w:rPr>
          <w:sz w:val="24"/>
          <w:szCs w:val="24"/>
        </w:rPr>
      </w:pPr>
    </w:p>
    <w:p w:rsidR="002B77E4" w:rsidRDefault="0035534D" w:rsidP="002B77E4">
      <w:pPr>
        <w:spacing w:line="360" w:lineRule="auto"/>
      </w:pPr>
      <w:bookmarkStart w:id="134" w:name="_Toc373086896"/>
      <w:r>
        <w:t xml:space="preserve"> </w:t>
      </w:r>
      <w:r w:rsidR="005B47AA">
        <w:t xml:space="preserve">         </w:t>
      </w:r>
      <w:r w:rsidR="00B80ED2">
        <w:t xml:space="preserve">  Šaltinis:sudaryta</w:t>
      </w:r>
      <w:r w:rsidR="00B80ED2" w:rsidRPr="00A936DF">
        <w:t xml:space="preserve"> pagal</w:t>
      </w:r>
      <w:r w:rsidR="00B80ED2">
        <w:t xml:space="preserve"> Lietuvos ir Estijos finansų ministerijų bei Latvijos valstybės iždo duomenis</w:t>
      </w:r>
      <w:bookmarkStart w:id="135" w:name="_Toc374229453"/>
    </w:p>
    <w:p w:rsidR="00047573" w:rsidRPr="002B77E4" w:rsidRDefault="00F51A8C" w:rsidP="002B77E4">
      <w:pPr>
        <w:spacing w:line="360" w:lineRule="auto"/>
        <w:jc w:val="center"/>
      </w:pPr>
      <w:r>
        <w:rPr>
          <w:sz w:val="24"/>
          <w:szCs w:val="24"/>
        </w:rPr>
        <w:t>6</w:t>
      </w:r>
      <w:r w:rsidR="00DD42B3" w:rsidRPr="00E6712C">
        <w:rPr>
          <w:sz w:val="24"/>
          <w:szCs w:val="24"/>
        </w:rPr>
        <w:t xml:space="preserve"> pav. Nedarbo lygis</w:t>
      </w:r>
      <w:r w:rsidR="0087483E" w:rsidRPr="00E6712C">
        <w:rPr>
          <w:sz w:val="24"/>
          <w:szCs w:val="24"/>
        </w:rPr>
        <w:t xml:space="preserve"> Baltijos šalyse</w:t>
      </w:r>
      <w:bookmarkEnd w:id="134"/>
      <w:bookmarkEnd w:id="135"/>
    </w:p>
    <w:p w:rsidR="001A1AD6" w:rsidRPr="00B80ED2" w:rsidRDefault="001A1AD6" w:rsidP="002B77E4">
      <w:pPr>
        <w:pStyle w:val="Heading1"/>
      </w:pPr>
    </w:p>
    <w:p w:rsidR="00DD42B3" w:rsidRDefault="00F51A8C" w:rsidP="00870CF0">
      <w:pPr>
        <w:spacing w:line="360" w:lineRule="auto"/>
        <w:ind w:firstLine="720"/>
        <w:contextualSpacing/>
        <w:rPr>
          <w:sz w:val="24"/>
          <w:szCs w:val="24"/>
        </w:rPr>
      </w:pPr>
      <w:r>
        <w:rPr>
          <w:sz w:val="24"/>
          <w:szCs w:val="24"/>
        </w:rPr>
        <w:t>Kaip matyti iš 6</w:t>
      </w:r>
      <w:r w:rsidR="00DD42B3">
        <w:rPr>
          <w:sz w:val="24"/>
          <w:szCs w:val="24"/>
        </w:rPr>
        <w:t xml:space="preserve"> pav., didžiausias nedarbo lygis visu analizuotu laikotarpiu buvo Latvijoje, tačiau jo kitimo dinamika panaši visose trijose šalyse. Dėl prasidėjusios finansų krizės, kuomet verslas susidūr</w:t>
      </w:r>
      <w:r w:rsidR="00C62245">
        <w:rPr>
          <w:sz w:val="24"/>
          <w:szCs w:val="24"/>
        </w:rPr>
        <w:t>ė su dideliais sunkumais, kai</w:t>
      </w:r>
      <w:r w:rsidR="00DD42B3">
        <w:rPr>
          <w:sz w:val="24"/>
          <w:szCs w:val="24"/>
        </w:rPr>
        <w:t xml:space="preserve"> buvo atleidžiami darbuotojai, uždaromos įmonės, 2009 metais nedarbo lygis visose trijose šalyse smarkiai išaugo: Lietuvoje nuo 2008 metais buvusių 5,3 proc. iki 13,6 proc. 2009 m., Latvijoje – nuo 8 iki 18,2 proc., o Estijoje nuo 5,5 proc. iki 13,8 proc.. 2010 m. viso</w:t>
      </w:r>
      <w:r w:rsidR="0087483E">
        <w:rPr>
          <w:sz w:val="24"/>
          <w:szCs w:val="24"/>
        </w:rPr>
        <w:t>se trijose šalyse nedarbas pasiekė didžiausią lygį</w:t>
      </w:r>
      <w:r w:rsidR="00DD42B3">
        <w:rPr>
          <w:sz w:val="24"/>
          <w:szCs w:val="24"/>
        </w:rPr>
        <w:t xml:space="preserve"> per analizuotą laikotarpį ( Lietuvoje – 18 proc., Latvijoje – 19,8 proc., Estijoje – 16,9 proc.). Nuo 2011 m. atsigaunant  ekonomikai ir verslui, nedarbo lygis Balt</w:t>
      </w:r>
      <w:r w:rsidR="00E704C7">
        <w:rPr>
          <w:sz w:val="24"/>
          <w:szCs w:val="24"/>
        </w:rPr>
        <w:t>ijos šalyse ėmė mažėti, tačiau lyginant</w:t>
      </w:r>
      <w:r w:rsidR="00DD42B3">
        <w:rPr>
          <w:sz w:val="24"/>
          <w:szCs w:val="24"/>
        </w:rPr>
        <w:t xml:space="preserve"> su 2008 metais išliko </w:t>
      </w:r>
      <w:r w:rsidR="00E704C7">
        <w:rPr>
          <w:sz w:val="24"/>
          <w:szCs w:val="24"/>
        </w:rPr>
        <w:t xml:space="preserve">gana </w:t>
      </w:r>
      <w:r w:rsidR="00DD42B3">
        <w:rPr>
          <w:sz w:val="24"/>
          <w:szCs w:val="24"/>
        </w:rPr>
        <w:t>aukštas.</w:t>
      </w:r>
    </w:p>
    <w:p w:rsidR="00DD42B3" w:rsidRPr="00C11229" w:rsidRDefault="00DD42B3" w:rsidP="00DD42B3">
      <w:pPr>
        <w:spacing w:line="360" w:lineRule="auto"/>
        <w:ind w:firstLine="720"/>
        <w:contextualSpacing/>
        <w:rPr>
          <w:sz w:val="24"/>
          <w:szCs w:val="24"/>
        </w:rPr>
      </w:pPr>
      <w:r>
        <w:rPr>
          <w:sz w:val="24"/>
          <w:szCs w:val="24"/>
        </w:rPr>
        <w:t xml:space="preserve">Kalbant apie Baltijos šalių ūkius, galima išskirti vieną bendrą bruožą: visų trijų šalių vidaus rinkos yra mažos, ir priklausomos nuo ekonominės padėties šalyse, kurioms yra tiekiamos prekės ir paslaugos. Taigi šių šalių bendrasis vidaus produktas labai priklauso nuo eksporto. </w:t>
      </w:r>
      <w:r w:rsidRPr="00C11229">
        <w:rPr>
          <w:sz w:val="24"/>
          <w:szCs w:val="24"/>
        </w:rPr>
        <w:t xml:space="preserve">Baltijos šalių eksporto </w:t>
      </w:r>
      <w:r>
        <w:rPr>
          <w:sz w:val="24"/>
          <w:szCs w:val="24"/>
        </w:rPr>
        <w:t xml:space="preserve">ir BVP santykio </w:t>
      </w:r>
      <w:r w:rsidRPr="00C11229">
        <w:rPr>
          <w:sz w:val="24"/>
          <w:szCs w:val="24"/>
        </w:rPr>
        <w:t>din</w:t>
      </w:r>
      <w:r>
        <w:rPr>
          <w:sz w:val="24"/>
          <w:szCs w:val="24"/>
        </w:rPr>
        <w:t>amika 2008 – 2012 metais</w:t>
      </w:r>
      <w:r w:rsidR="00F51A8C">
        <w:rPr>
          <w:sz w:val="24"/>
          <w:szCs w:val="24"/>
        </w:rPr>
        <w:t xml:space="preserve"> pateikta 7</w:t>
      </w:r>
      <w:r w:rsidRPr="00C11229">
        <w:rPr>
          <w:sz w:val="24"/>
          <w:szCs w:val="24"/>
        </w:rPr>
        <w:t xml:space="preserve"> paveiksle.</w:t>
      </w:r>
    </w:p>
    <w:p w:rsidR="00DD42B3" w:rsidRDefault="00DD42B3" w:rsidP="00870CF0">
      <w:pPr>
        <w:spacing w:line="360" w:lineRule="auto"/>
        <w:ind w:firstLine="0"/>
        <w:contextualSpacing/>
        <w:rPr>
          <w:sz w:val="24"/>
          <w:szCs w:val="24"/>
        </w:rPr>
      </w:pPr>
    </w:p>
    <w:p w:rsidR="0035534D" w:rsidRDefault="002A6D73" w:rsidP="0035534D">
      <w:pPr>
        <w:spacing w:line="360" w:lineRule="auto"/>
        <w:ind w:firstLine="0"/>
        <w:contextualSpacing/>
        <w:jc w:val="center"/>
      </w:pPr>
      <w:r w:rsidRPr="002A6D73">
        <w:rPr>
          <w:noProof/>
          <w:sz w:val="24"/>
          <w:szCs w:val="24"/>
          <w:lang w:val="en-US"/>
        </w:rPr>
        <w:drawing>
          <wp:inline distT="0" distB="0" distL="0" distR="0">
            <wp:extent cx="5591175" cy="2562225"/>
            <wp:effectExtent l="19050" t="0" r="9525" b="0"/>
            <wp:docPr id="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B77E4" w:rsidRDefault="0035534D" w:rsidP="002B77E4">
      <w:pPr>
        <w:spacing w:line="360" w:lineRule="auto"/>
        <w:ind w:firstLine="0"/>
        <w:contextualSpacing/>
      </w:pPr>
      <w:r>
        <w:t xml:space="preserve">    </w:t>
      </w:r>
      <w:r w:rsidR="005B47AA">
        <w:t xml:space="preserve">          </w:t>
      </w:r>
      <w:r>
        <w:t xml:space="preserve"> </w:t>
      </w:r>
      <w:r w:rsidR="00A936DF" w:rsidRPr="00A936DF">
        <w:t>Šaltinis: sudaryta pagal Eurostat duomenis</w:t>
      </w:r>
      <w:bookmarkStart w:id="136" w:name="_Toc373086897"/>
      <w:bookmarkStart w:id="137" w:name="_Toc374229454"/>
    </w:p>
    <w:p w:rsidR="00C801EA" w:rsidRDefault="00F51A8C" w:rsidP="002B77E4">
      <w:pPr>
        <w:spacing w:line="360" w:lineRule="auto"/>
        <w:ind w:firstLine="0"/>
        <w:contextualSpacing/>
        <w:jc w:val="center"/>
        <w:rPr>
          <w:sz w:val="24"/>
          <w:szCs w:val="24"/>
        </w:rPr>
      </w:pPr>
      <w:r>
        <w:rPr>
          <w:sz w:val="24"/>
          <w:szCs w:val="24"/>
        </w:rPr>
        <w:t>7</w:t>
      </w:r>
      <w:r w:rsidR="00DD42B3" w:rsidRPr="00E6712C">
        <w:rPr>
          <w:sz w:val="24"/>
          <w:szCs w:val="24"/>
        </w:rPr>
        <w:t xml:space="preserve"> pav. Baltijos šalių eksporto santykis su BVP</w:t>
      </w:r>
      <w:bookmarkEnd w:id="136"/>
      <w:bookmarkEnd w:id="137"/>
    </w:p>
    <w:p w:rsidR="002B77E4" w:rsidRDefault="002B77E4" w:rsidP="002B77E4">
      <w:pPr>
        <w:spacing w:line="360" w:lineRule="auto"/>
        <w:ind w:firstLine="0"/>
        <w:contextualSpacing/>
        <w:jc w:val="center"/>
        <w:rPr>
          <w:sz w:val="24"/>
          <w:szCs w:val="24"/>
        </w:rPr>
      </w:pPr>
    </w:p>
    <w:p w:rsidR="00DD42B3" w:rsidRDefault="00DD42B3" w:rsidP="00DD42B3">
      <w:pPr>
        <w:spacing w:line="360" w:lineRule="auto"/>
        <w:ind w:firstLine="720"/>
        <w:contextualSpacing/>
        <w:rPr>
          <w:sz w:val="24"/>
          <w:szCs w:val="24"/>
        </w:rPr>
      </w:pPr>
      <w:r>
        <w:rPr>
          <w:sz w:val="24"/>
          <w:szCs w:val="24"/>
        </w:rPr>
        <w:t xml:space="preserve">Žvelgiant į Baltijos šalių eksporto apimtis valiutine išraiška </w:t>
      </w:r>
      <w:r w:rsidRPr="00E070EB">
        <w:rPr>
          <w:sz w:val="24"/>
          <w:szCs w:val="24"/>
        </w:rPr>
        <w:t>(žr.</w:t>
      </w:r>
      <w:r w:rsidR="001B5FE0">
        <w:rPr>
          <w:sz w:val="24"/>
          <w:szCs w:val="24"/>
        </w:rPr>
        <w:t xml:space="preserve"> 1 p</w:t>
      </w:r>
      <w:r w:rsidRPr="00E070EB">
        <w:rPr>
          <w:sz w:val="24"/>
          <w:szCs w:val="24"/>
        </w:rPr>
        <w:t>riedas</w:t>
      </w:r>
      <w:r w:rsidR="001B5FE0">
        <w:rPr>
          <w:sz w:val="24"/>
          <w:szCs w:val="24"/>
        </w:rPr>
        <w:t>, 2 lentelė</w:t>
      </w:r>
      <w:r w:rsidRPr="00E070EB">
        <w:rPr>
          <w:sz w:val="24"/>
          <w:szCs w:val="24"/>
        </w:rPr>
        <w:t>) matyti</w:t>
      </w:r>
      <w:r w:rsidRPr="00592880">
        <w:rPr>
          <w:sz w:val="24"/>
          <w:szCs w:val="24"/>
        </w:rPr>
        <w:t xml:space="preserve">, jog </w:t>
      </w:r>
      <w:r w:rsidR="002F5CED">
        <w:rPr>
          <w:sz w:val="24"/>
          <w:szCs w:val="24"/>
        </w:rPr>
        <w:t>visu analizuotu laikot</w:t>
      </w:r>
      <w:r>
        <w:rPr>
          <w:sz w:val="24"/>
          <w:szCs w:val="24"/>
        </w:rPr>
        <w:t>a</w:t>
      </w:r>
      <w:r w:rsidR="002F5CED">
        <w:rPr>
          <w:sz w:val="24"/>
          <w:szCs w:val="24"/>
        </w:rPr>
        <w:t>r</w:t>
      </w:r>
      <w:r>
        <w:rPr>
          <w:sz w:val="24"/>
          <w:szCs w:val="24"/>
        </w:rPr>
        <w:t xml:space="preserve">piu daugiausiai prekių ir paslaugų eksportavo Lietuva. Tačiau lyginimas valiutine išraiška nėra visiškai tikslus, kadangi neatspindi tikrojo šalies pajėgumo eksportuoti, nes pavyzdžiui Lietuvoje lyginant su Latvija ir Estija yra daugiau gyventojų, kurie gali pagaminti daugiau eksportui skirtų prekių. Todėl lyginant šalių eksporto apimtis, tikslinga būtų naudoti eksporto ir BVP santykį, kuris parodo, kiek šalyje pagamintos produkcijos yra eksportuojama. Lyginant šalis pagal šį rodiklį, analizuotu </w:t>
      </w:r>
      <w:r>
        <w:rPr>
          <w:sz w:val="24"/>
          <w:szCs w:val="24"/>
        </w:rPr>
        <w:lastRenderedPageBreak/>
        <w:t xml:space="preserve">2008 – 2012 metų laikotarpiu pirmavo Estija, tuo tarpu mažiausias eksporto ir BVP santykis buvo Latvijoje. </w:t>
      </w:r>
    </w:p>
    <w:p w:rsidR="00DD42B3" w:rsidRDefault="00DD42B3" w:rsidP="00303559">
      <w:pPr>
        <w:spacing w:line="360" w:lineRule="auto"/>
        <w:ind w:firstLine="720"/>
        <w:contextualSpacing/>
        <w:rPr>
          <w:sz w:val="24"/>
          <w:szCs w:val="24"/>
        </w:rPr>
      </w:pPr>
      <w:r>
        <w:rPr>
          <w:sz w:val="24"/>
          <w:szCs w:val="24"/>
        </w:rPr>
        <w:t>Analizuotu laikotarpiu eksporto i</w:t>
      </w:r>
      <w:r w:rsidR="002A6D73">
        <w:rPr>
          <w:sz w:val="24"/>
          <w:szCs w:val="24"/>
        </w:rPr>
        <w:t xml:space="preserve">r BVP santykio dinamika šalyse buvo </w:t>
      </w:r>
      <w:r w:rsidR="001F33BB">
        <w:rPr>
          <w:sz w:val="24"/>
          <w:szCs w:val="24"/>
        </w:rPr>
        <w:t xml:space="preserve">gana </w:t>
      </w:r>
      <w:r w:rsidR="002A6D73">
        <w:rPr>
          <w:sz w:val="24"/>
          <w:szCs w:val="24"/>
        </w:rPr>
        <w:t>panaši</w:t>
      </w:r>
      <w:r w:rsidR="00FC1D42">
        <w:rPr>
          <w:sz w:val="24"/>
          <w:szCs w:val="24"/>
        </w:rPr>
        <w:t>.</w:t>
      </w:r>
      <w:r w:rsidR="002F5CED">
        <w:rPr>
          <w:sz w:val="24"/>
          <w:szCs w:val="24"/>
        </w:rPr>
        <w:t xml:space="preserve"> </w:t>
      </w:r>
      <w:r w:rsidR="001F33BB">
        <w:rPr>
          <w:sz w:val="24"/>
          <w:szCs w:val="24"/>
        </w:rPr>
        <w:t xml:space="preserve">Kalbant apie Lietuvą 2009 m., kuomet šalies BVP </w:t>
      </w:r>
      <w:r w:rsidR="001F33BB">
        <w:rPr>
          <w:sz w:val="24"/>
          <w:szCs w:val="24"/>
          <w:lang w:val="en-US"/>
        </w:rPr>
        <w:t>lyginant su 2008 metais sumažėjo</w:t>
      </w:r>
      <w:r w:rsidR="00D80CCE">
        <w:rPr>
          <w:sz w:val="24"/>
          <w:szCs w:val="24"/>
        </w:rPr>
        <w:t xml:space="preserve"> 14,8</w:t>
      </w:r>
      <w:r w:rsidR="001F33BB">
        <w:rPr>
          <w:sz w:val="24"/>
          <w:szCs w:val="24"/>
        </w:rPr>
        <w:t xml:space="preserve"> proc., Lietuvos eksporto ir BVP santykis sumažėjo nuo 2008 m. buvusių 59,8 proc. iki 54,1 proc.</w:t>
      </w:r>
      <w:r w:rsidR="002F5CED">
        <w:rPr>
          <w:sz w:val="24"/>
          <w:szCs w:val="24"/>
        </w:rPr>
        <w:t>. E</w:t>
      </w:r>
      <w:r>
        <w:rPr>
          <w:sz w:val="24"/>
          <w:szCs w:val="24"/>
        </w:rPr>
        <w:t xml:space="preserve">ksportas valiutine išraiška lyginant 2009 metus su 2008 sumažėjo </w:t>
      </w:r>
      <w:r w:rsidR="001F33BB">
        <w:rPr>
          <w:sz w:val="24"/>
          <w:szCs w:val="24"/>
        </w:rPr>
        <w:t>25,2</w:t>
      </w:r>
      <w:r>
        <w:rPr>
          <w:sz w:val="24"/>
          <w:szCs w:val="24"/>
        </w:rPr>
        <w:t xml:space="preserve"> proc., t.y. nuo  nuo </w:t>
      </w:r>
      <w:r w:rsidR="001F33BB">
        <w:rPr>
          <w:sz w:val="24"/>
          <w:szCs w:val="24"/>
        </w:rPr>
        <w:t>19333</w:t>
      </w:r>
      <w:r w:rsidR="00A5678D">
        <w:rPr>
          <w:sz w:val="24"/>
          <w:szCs w:val="24"/>
        </w:rPr>
        <w:t xml:space="preserve"> mln. Eur</w:t>
      </w:r>
      <w:r>
        <w:rPr>
          <w:sz w:val="24"/>
          <w:szCs w:val="24"/>
        </w:rPr>
        <w:t xml:space="preserve"> iki </w:t>
      </w:r>
      <w:r w:rsidR="001F33BB">
        <w:rPr>
          <w:sz w:val="24"/>
          <w:szCs w:val="24"/>
        </w:rPr>
        <w:t>14453,5</w:t>
      </w:r>
      <w:r w:rsidR="00A5678D">
        <w:rPr>
          <w:sz w:val="24"/>
          <w:szCs w:val="24"/>
        </w:rPr>
        <w:t xml:space="preserve"> mln. Eur</w:t>
      </w:r>
      <w:r w:rsidR="001B5FE0">
        <w:rPr>
          <w:sz w:val="24"/>
          <w:szCs w:val="24"/>
        </w:rPr>
        <w:t xml:space="preserve"> (žr. 1</w:t>
      </w:r>
      <w:r w:rsidR="002F5CED">
        <w:rPr>
          <w:sz w:val="24"/>
          <w:szCs w:val="24"/>
        </w:rPr>
        <w:t xml:space="preserve"> priedas</w:t>
      </w:r>
      <w:r w:rsidR="001B5FE0">
        <w:rPr>
          <w:sz w:val="24"/>
          <w:szCs w:val="24"/>
        </w:rPr>
        <w:t>, 2 lentelė</w:t>
      </w:r>
      <w:r w:rsidR="002F5CED">
        <w:rPr>
          <w:sz w:val="24"/>
          <w:szCs w:val="24"/>
        </w:rPr>
        <w:t xml:space="preserve">). </w:t>
      </w:r>
      <w:r>
        <w:rPr>
          <w:sz w:val="24"/>
          <w:szCs w:val="24"/>
        </w:rPr>
        <w:t xml:space="preserve">2010 – 2012 metais, kasmet augant Lietuvos sukuriamam BVP bei eksportui, santykinis eksporto rodiklis didėjo ir 2012 m. siekė </w:t>
      </w:r>
      <w:r w:rsidR="001F33BB">
        <w:rPr>
          <w:sz w:val="24"/>
          <w:szCs w:val="24"/>
        </w:rPr>
        <w:t>84,3</w:t>
      </w:r>
      <w:r>
        <w:rPr>
          <w:sz w:val="24"/>
          <w:szCs w:val="24"/>
        </w:rPr>
        <w:t xml:space="preserve"> proc.. Lietuvos Respublikos Ūkio ministerijos teigimu, eksportas yra vienas svarbiausių Lietuvos ekonomikos augimo garantų. Būtent rekordiškai didėjantis eksportas 2010 m. padėjo atsigauti šalies ekonomikai. </w:t>
      </w:r>
    </w:p>
    <w:p w:rsidR="00D80CCE" w:rsidRDefault="00DD42B3" w:rsidP="00D80CCE">
      <w:pPr>
        <w:spacing w:line="360" w:lineRule="auto"/>
        <w:ind w:firstLine="720"/>
        <w:contextualSpacing/>
        <w:rPr>
          <w:sz w:val="24"/>
          <w:szCs w:val="24"/>
          <w:lang w:val="en-US"/>
        </w:rPr>
      </w:pPr>
      <w:r>
        <w:rPr>
          <w:sz w:val="24"/>
          <w:szCs w:val="24"/>
        </w:rPr>
        <w:t>Estijos atveju, 2009 m. lyginant su 2008 m. eksporto api</w:t>
      </w:r>
      <w:r w:rsidR="001F33BB">
        <w:rPr>
          <w:sz w:val="24"/>
          <w:szCs w:val="24"/>
        </w:rPr>
        <w:t>mtys valiutine išraiška smuko 22,7</w:t>
      </w:r>
      <w:r w:rsidR="00D80CCE">
        <w:rPr>
          <w:sz w:val="24"/>
          <w:szCs w:val="24"/>
        </w:rPr>
        <w:t xml:space="preserve"> </w:t>
      </w:r>
      <w:r>
        <w:rPr>
          <w:sz w:val="24"/>
          <w:szCs w:val="24"/>
        </w:rPr>
        <w:t xml:space="preserve">proc. (nuo </w:t>
      </w:r>
      <w:r w:rsidR="001F33BB">
        <w:rPr>
          <w:sz w:val="24"/>
          <w:szCs w:val="24"/>
          <w:lang w:val="en-US"/>
        </w:rPr>
        <w:t>11534,7</w:t>
      </w:r>
      <w:r>
        <w:rPr>
          <w:sz w:val="24"/>
          <w:szCs w:val="24"/>
          <w:lang w:val="en-US"/>
        </w:rPr>
        <w:t xml:space="preserve"> mln. eur. iki </w:t>
      </w:r>
      <w:r w:rsidR="001F33BB">
        <w:rPr>
          <w:sz w:val="24"/>
          <w:szCs w:val="24"/>
          <w:lang w:val="en-US"/>
        </w:rPr>
        <w:t>8920,8</w:t>
      </w:r>
      <w:r>
        <w:rPr>
          <w:sz w:val="24"/>
          <w:szCs w:val="24"/>
          <w:lang w:val="en-US"/>
        </w:rPr>
        <w:t xml:space="preserve"> mln.eur.), BVP smuko 14,1 proc., todėl  eksporto ir BVP santykis sumažėjo nuo 2008 m. buvusių </w:t>
      </w:r>
      <w:r w:rsidR="002A672C">
        <w:rPr>
          <w:sz w:val="24"/>
          <w:szCs w:val="24"/>
          <w:lang w:val="en-US"/>
        </w:rPr>
        <w:t>71,0</w:t>
      </w:r>
      <w:r>
        <w:rPr>
          <w:sz w:val="24"/>
          <w:szCs w:val="24"/>
          <w:lang w:val="en-US"/>
        </w:rPr>
        <w:t xml:space="preserve"> proc. iki </w:t>
      </w:r>
      <w:r w:rsidR="002A672C">
        <w:rPr>
          <w:sz w:val="24"/>
          <w:szCs w:val="24"/>
          <w:lang w:val="en-US"/>
        </w:rPr>
        <w:t>63,9 proc.. 2010 – 2012</w:t>
      </w:r>
      <w:r>
        <w:rPr>
          <w:sz w:val="24"/>
          <w:szCs w:val="24"/>
          <w:lang w:val="en-US"/>
        </w:rPr>
        <w:t xml:space="preserve"> m. augant Estijos BVP ir eksportui, santykinis eksporto ir BVP rodiklis vis didėjo</w:t>
      </w:r>
      <w:r w:rsidR="002A672C">
        <w:rPr>
          <w:sz w:val="24"/>
          <w:szCs w:val="24"/>
          <w:lang w:val="en-US"/>
        </w:rPr>
        <w:t xml:space="preserve"> ir 2012 metų gale siekė 90,6 proc..</w:t>
      </w:r>
    </w:p>
    <w:p w:rsidR="00D80CCE" w:rsidRDefault="00D80CCE" w:rsidP="00D80CCE">
      <w:pPr>
        <w:spacing w:line="360" w:lineRule="auto"/>
        <w:ind w:firstLine="720"/>
        <w:contextualSpacing/>
        <w:rPr>
          <w:sz w:val="24"/>
          <w:szCs w:val="24"/>
          <w:lang w:val="en-US"/>
        </w:rPr>
      </w:pPr>
      <w:r>
        <w:rPr>
          <w:sz w:val="24"/>
          <w:szCs w:val="24"/>
          <w:lang w:val="en-US"/>
        </w:rPr>
        <w:t>Kaip jau minėta anksčiau, Latvijos eksporto ir BVP santykis iš visų trijų Baltijos šalių yra mažiausias, tačiau visu analizuotu laikotarpiu didėjo. 2009 m. Latvijos BVP smukus 17,7 proc., o eksportui sumažėjus 17,5 proc. ( 200</w:t>
      </w:r>
      <w:r w:rsidR="00A5678D">
        <w:rPr>
          <w:sz w:val="24"/>
          <w:szCs w:val="24"/>
          <w:lang w:val="en-US"/>
        </w:rPr>
        <w:t xml:space="preserve">8 m. jis sudarė 9863,6 mln. Eur, o 2009 m. – 8136,2 mln. Eur </w:t>
      </w:r>
      <w:r>
        <w:rPr>
          <w:sz w:val="24"/>
          <w:szCs w:val="24"/>
          <w:lang w:val="en-US"/>
        </w:rPr>
        <w:t>), eksporto ir BVP santykis lyginant su 2008 m. padidėjo 0,5 proc. ir siekė 43,8 proc..</w:t>
      </w:r>
      <w:r w:rsidR="006546E0">
        <w:rPr>
          <w:sz w:val="24"/>
          <w:szCs w:val="24"/>
          <w:lang w:val="en-US"/>
        </w:rPr>
        <w:t xml:space="preserve"> </w:t>
      </w:r>
      <w:r w:rsidR="00D93A80">
        <w:rPr>
          <w:sz w:val="24"/>
          <w:szCs w:val="24"/>
          <w:lang w:val="en-US"/>
        </w:rPr>
        <w:t>2010 m. nors Latvijos BVP vis dar mažėjo,</w:t>
      </w:r>
      <w:r w:rsidR="003B13DE">
        <w:rPr>
          <w:sz w:val="24"/>
          <w:szCs w:val="24"/>
          <w:lang w:val="en-US"/>
        </w:rPr>
        <w:t xml:space="preserve"> tačiau augant šalies eksportui, santykinis </w:t>
      </w:r>
      <w:r w:rsidR="00D93A80">
        <w:rPr>
          <w:sz w:val="24"/>
          <w:szCs w:val="24"/>
          <w:lang w:val="en-US"/>
        </w:rPr>
        <w:t xml:space="preserve">eksporto ir BVP </w:t>
      </w:r>
      <w:r w:rsidR="003B13DE">
        <w:rPr>
          <w:sz w:val="24"/>
          <w:szCs w:val="24"/>
          <w:lang w:val="en-US"/>
        </w:rPr>
        <w:t>rodiklis</w:t>
      </w:r>
      <w:r w:rsidR="00D93A80">
        <w:rPr>
          <w:sz w:val="24"/>
          <w:szCs w:val="24"/>
          <w:lang w:val="en-US"/>
        </w:rPr>
        <w:t xml:space="preserve"> padidėjo iki 53,7 proc.. 2011 – 2012 m. aug</w:t>
      </w:r>
      <w:r w:rsidR="00C901D4">
        <w:rPr>
          <w:sz w:val="24"/>
          <w:szCs w:val="24"/>
          <w:lang w:val="en-US"/>
        </w:rPr>
        <w:t>ant tiek Latvijos BVP, tiek eksp</w:t>
      </w:r>
      <w:r w:rsidR="00D93A80">
        <w:rPr>
          <w:sz w:val="24"/>
          <w:szCs w:val="24"/>
          <w:lang w:val="en-US"/>
        </w:rPr>
        <w:t xml:space="preserve">ortui, šalies eksporto ir BVP santykis </w:t>
      </w:r>
      <w:r w:rsidR="00DD0A83">
        <w:rPr>
          <w:sz w:val="24"/>
          <w:szCs w:val="24"/>
          <w:lang w:val="en-US"/>
        </w:rPr>
        <w:t xml:space="preserve">toliau </w:t>
      </w:r>
      <w:r w:rsidR="00D93A80">
        <w:rPr>
          <w:sz w:val="24"/>
          <w:szCs w:val="24"/>
          <w:lang w:val="en-US"/>
        </w:rPr>
        <w:t>didėjo ir 2012 metais sudarė 62,1 proc..</w:t>
      </w:r>
    </w:p>
    <w:p w:rsidR="00DD42B3" w:rsidRPr="00C62245" w:rsidRDefault="00C62245" w:rsidP="00C62245">
      <w:pPr>
        <w:spacing w:line="360" w:lineRule="auto"/>
        <w:ind w:firstLine="720"/>
        <w:contextualSpacing/>
        <w:rPr>
          <w:sz w:val="24"/>
          <w:szCs w:val="24"/>
          <w:lang w:val="en-US"/>
        </w:rPr>
      </w:pPr>
      <w:r>
        <w:rPr>
          <w:sz w:val="24"/>
          <w:szCs w:val="24"/>
          <w:lang w:val="en-US"/>
        </w:rPr>
        <w:t>Apžvelgti makroekonominiai rodikliai turėjo įtakos Baltijo</w:t>
      </w:r>
      <w:r w:rsidR="00602302">
        <w:rPr>
          <w:sz w:val="24"/>
          <w:szCs w:val="24"/>
          <w:lang w:val="en-US"/>
        </w:rPr>
        <w:t>s šalių ekonominei situa</w:t>
      </w:r>
      <w:r>
        <w:rPr>
          <w:sz w:val="24"/>
          <w:szCs w:val="24"/>
          <w:lang w:val="en-US"/>
        </w:rPr>
        <w:t xml:space="preserve">cijai tam tikru laikotarpiu. Priklausomai nuo susidariusios ekonominės situacijos, jos </w:t>
      </w:r>
      <w:r w:rsidR="00DD42B3">
        <w:rPr>
          <w:sz w:val="24"/>
          <w:szCs w:val="24"/>
          <w:lang w:val="en-US"/>
        </w:rPr>
        <w:t xml:space="preserve">susidūrė su biudžeto balansavimo problemomis. </w:t>
      </w:r>
      <w:r w:rsidR="00DD42B3">
        <w:rPr>
          <w:sz w:val="24"/>
          <w:szCs w:val="24"/>
        </w:rPr>
        <w:t>Kaip jau buvo minėta atliekant literatūros analizę, dažniausiai valstybės skolinasi tam, k</w:t>
      </w:r>
      <w:r w:rsidR="0035534D">
        <w:rPr>
          <w:sz w:val="24"/>
          <w:szCs w:val="24"/>
        </w:rPr>
        <w:t>ad padengtų biudžeto deficitą. 8</w:t>
      </w:r>
      <w:r w:rsidR="00602302">
        <w:rPr>
          <w:sz w:val="24"/>
          <w:szCs w:val="24"/>
        </w:rPr>
        <w:t xml:space="preserve"> paveiksle pateikti</w:t>
      </w:r>
      <w:r w:rsidR="00DD42B3">
        <w:rPr>
          <w:sz w:val="24"/>
          <w:szCs w:val="24"/>
        </w:rPr>
        <w:t xml:space="preserve"> Baltijos šalių valstybės biudžeto deficitai/pertekliai 2008 – 2012 metų laikotarpiu. </w:t>
      </w:r>
    </w:p>
    <w:p w:rsidR="003B13DE" w:rsidRPr="0092662D" w:rsidRDefault="003B13DE" w:rsidP="001B5FE0">
      <w:pPr>
        <w:spacing w:line="360" w:lineRule="auto"/>
        <w:ind w:firstLine="0"/>
        <w:contextualSpacing/>
        <w:rPr>
          <w:sz w:val="24"/>
          <w:szCs w:val="24"/>
          <w:lang w:val="en-US"/>
        </w:rPr>
      </w:pPr>
    </w:p>
    <w:p w:rsidR="00DD42B3" w:rsidRDefault="00DD42B3" w:rsidP="0038225E">
      <w:pPr>
        <w:ind w:firstLine="0"/>
        <w:jc w:val="center"/>
        <w:rPr>
          <w:sz w:val="24"/>
          <w:szCs w:val="24"/>
          <w:lang w:val="en-US"/>
        </w:rPr>
      </w:pPr>
      <w:r w:rsidRPr="00145273">
        <w:rPr>
          <w:noProof/>
          <w:sz w:val="24"/>
          <w:szCs w:val="24"/>
          <w:lang w:val="en-US"/>
        </w:rPr>
        <w:lastRenderedPageBreak/>
        <w:drawing>
          <wp:inline distT="0" distB="0" distL="0" distR="0">
            <wp:extent cx="5562600" cy="2286000"/>
            <wp:effectExtent l="19050" t="0" r="19050" b="0"/>
            <wp:docPr id="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666E1" w:rsidRDefault="005B47AA" w:rsidP="005666E1">
      <w:pPr>
        <w:spacing w:line="360" w:lineRule="auto"/>
        <w:ind w:firstLine="0"/>
      </w:pPr>
      <w:bookmarkStart w:id="138" w:name="_Toc373086898"/>
      <w:r>
        <w:t xml:space="preserve">               </w:t>
      </w:r>
      <w:r w:rsidR="003B13DE">
        <w:t>Šaltinis:</w:t>
      </w:r>
      <w:r w:rsidR="005666E1">
        <w:t xml:space="preserve"> </w:t>
      </w:r>
      <w:r w:rsidR="003B13DE">
        <w:t>sudaryta</w:t>
      </w:r>
      <w:r w:rsidR="003B13DE" w:rsidRPr="00A936DF">
        <w:t xml:space="preserve"> pagal</w:t>
      </w:r>
      <w:r w:rsidR="003B13DE">
        <w:t xml:space="preserve"> Lietuvos ir Estijos finansų ministerijų bei Latvijos valstybės iždo duomeni</w:t>
      </w:r>
      <w:bookmarkStart w:id="139" w:name="_Toc374229455"/>
      <w:r w:rsidR="005666E1">
        <w:t>s</w:t>
      </w:r>
    </w:p>
    <w:p w:rsidR="00C901D4" w:rsidRDefault="0035534D" w:rsidP="005666E1">
      <w:pPr>
        <w:spacing w:line="360" w:lineRule="auto"/>
        <w:ind w:firstLine="0"/>
        <w:jc w:val="center"/>
        <w:rPr>
          <w:sz w:val="24"/>
          <w:szCs w:val="24"/>
          <w:lang w:val="en-US"/>
        </w:rPr>
      </w:pPr>
      <w:r>
        <w:rPr>
          <w:sz w:val="24"/>
          <w:szCs w:val="24"/>
          <w:lang w:val="en-US"/>
        </w:rPr>
        <w:t>8</w:t>
      </w:r>
      <w:r w:rsidR="00DD42B3" w:rsidRPr="00C901D4">
        <w:rPr>
          <w:sz w:val="24"/>
          <w:szCs w:val="24"/>
          <w:lang w:val="en-US"/>
        </w:rPr>
        <w:t xml:space="preserve"> pav. </w:t>
      </w:r>
      <w:r w:rsidR="003B27EA" w:rsidRPr="00C901D4">
        <w:rPr>
          <w:sz w:val="24"/>
          <w:szCs w:val="24"/>
          <w:lang w:val="en-US"/>
        </w:rPr>
        <w:t>Baltijos šalių v</w:t>
      </w:r>
      <w:r w:rsidR="00E02BF4" w:rsidRPr="00C901D4">
        <w:rPr>
          <w:sz w:val="24"/>
          <w:szCs w:val="24"/>
          <w:lang w:val="en-US"/>
        </w:rPr>
        <w:t>ald</w:t>
      </w:r>
      <w:r w:rsidR="00E02BF4" w:rsidRPr="00C901D4">
        <w:rPr>
          <w:sz w:val="24"/>
          <w:szCs w:val="24"/>
        </w:rPr>
        <w:t xml:space="preserve">žios sektoriaus </w:t>
      </w:r>
      <w:r w:rsidR="00DD42B3" w:rsidRPr="00C901D4">
        <w:rPr>
          <w:sz w:val="24"/>
          <w:szCs w:val="24"/>
          <w:lang w:val="en-US"/>
        </w:rPr>
        <w:t>deficitas/perteklius ( % nuo BVP)</w:t>
      </w:r>
      <w:bookmarkEnd w:id="138"/>
      <w:bookmarkEnd w:id="139"/>
    </w:p>
    <w:p w:rsidR="005666E1" w:rsidRPr="00C901D4" w:rsidRDefault="005666E1" w:rsidP="005666E1">
      <w:pPr>
        <w:spacing w:line="360" w:lineRule="auto"/>
        <w:ind w:firstLine="0"/>
        <w:jc w:val="center"/>
      </w:pPr>
    </w:p>
    <w:p w:rsidR="00221D0F" w:rsidRDefault="00DD42B3" w:rsidP="00DD42B3">
      <w:pPr>
        <w:spacing w:line="360" w:lineRule="auto"/>
        <w:ind w:firstLine="720"/>
        <w:contextualSpacing/>
        <w:rPr>
          <w:sz w:val="24"/>
          <w:szCs w:val="24"/>
        </w:rPr>
      </w:pPr>
      <w:r w:rsidRPr="00805260">
        <w:rPr>
          <w:sz w:val="24"/>
          <w:szCs w:val="24"/>
          <w:lang w:val="en-US"/>
        </w:rPr>
        <w:t>Kaip matyti iš paveikslo, analizuotu laikotarpiu vienint</w:t>
      </w:r>
      <w:r w:rsidR="009711AE">
        <w:rPr>
          <w:sz w:val="24"/>
          <w:szCs w:val="24"/>
          <w:lang w:val="en-US"/>
        </w:rPr>
        <w:t>elė Estija turėjo biudžeto pert</w:t>
      </w:r>
      <w:r w:rsidRPr="00805260">
        <w:rPr>
          <w:sz w:val="24"/>
          <w:szCs w:val="24"/>
          <w:lang w:val="en-US"/>
        </w:rPr>
        <w:t>e</w:t>
      </w:r>
      <w:r w:rsidR="009711AE">
        <w:rPr>
          <w:sz w:val="24"/>
          <w:szCs w:val="24"/>
          <w:lang w:val="en-US"/>
        </w:rPr>
        <w:t>k</w:t>
      </w:r>
      <w:r w:rsidRPr="00805260">
        <w:rPr>
          <w:sz w:val="24"/>
          <w:szCs w:val="24"/>
          <w:lang w:val="en-US"/>
        </w:rPr>
        <w:t>lių, tuo tarpu Latvijos ir Lietuvos biudžetai visada</w:t>
      </w:r>
      <w:r w:rsidR="00221D0F">
        <w:rPr>
          <w:sz w:val="24"/>
          <w:szCs w:val="24"/>
          <w:lang w:val="en-US"/>
        </w:rPr>
        <w:t xml:space="preserve"> buvo deficitiniai. 2009 metus lyginant su 2008 metais </w:t>
      </w:r>
      <w:r w:rsidRPr="00805260">
        <w:rPr>
          <w:sz w:val="24"/>
          <w:szCs w:val="24"/>
          <w:lang w:val="en-US"/>
        </w:rPr>
        <w:t>Lietuvos ir Latvijos biud</w:t>
      </w:r>
      <w:r w:rsidR="00602302">
        <w:rPr>
          <w:sz w:val="24"/>
          <w:szCs w:val="24"/>
          <w:lang w:val="en-US"/>
        </w:rPr>
        <w:t xml:space="preserve">žeto deficitai (proc. nuo BVP) </w:t>
      </w:r>
      <w:r w:rsidRPr="00805260">
        <w:rPr>
          <w:sz w:val="24"/>
          <w:szCs w:val="24"/>
          <w:lang w:val="en-US"/>
        </w:rPr>
        <w:t xml:space="preserve">smarkiai išaugo: Lietuvos nuo 3,3 proc. iki 9,4 proc., Latvijos nuo 4,2 proc. iki 9,8 proc., tuo tarpu Estija kriziniu laikotarpiu, kuomet smarkiai sumažėjo šalies sukuriamas BVP, </w:t>
      </w:r>
      <w:r>
        <w:rPr>
          <w:sz w:val="24"/>
          <w:szCs w:val="24"/>
          <w:lang w:val="en-US"/>
        </w:rPr>
        <w:t xml:space="preserve">netgi </w:t>
      </w:r>
      <w:r w:rsidRPr="00805260">
        <w:rPr>
          <w:sz w:val="24"/>
          <w:szCs w:val="24"/>
          <w:lang w:val="en-US"/>
        </w:rPr>
        <w:t xml:space="preserve">sugebėjo sumažinti valstybės biudžeto deficitą nuo 2008 metais buvusių 2,9 proc. iki 2 proc.. Estija nuo pat įstojimo į ES </w:t>
      </w:r>
      <w:r w:rsidRPr="00805260">
        <w:rPr>
          <w:color w:val="000000"/>
          <w:sz w:val="24"/>
          <w:szCs w:val="24"/>
        </w:rPr>
        <w:t xml:space="preserve">kryptingai vykdė gana konservatyvią biudžeto politiką, vietoj dosnaus išlaidavimo pasirinko rezervo kaupimą. Ir nors 2009 m. Estijos BVP krito 14,1 proc., krizė buvo įveikta greitai ir ne taip </w:t>
      </w:r>
      <w:r>
        <w:rPr>
          <w:color w:val="000000"/>
          <w:sz w:val="24"/>
          <w:szCs w:val="24"/>
        </w:rPr>
        <w:t>skaudžiai</w:t>
      </w:r>
      <w:r w:rsidR="00DB7964">
        <w:rPr>
          <w:color w:val="000000"/>
          <w:sz w:val="24"/>
          <w:szCs w:val="24"/>
        </w:rPr>
        <w:t xml:space="preserve">, kaip kitose šalyse </w:t>
      </w:r>
      <w:r w:rsidR="00147D42">
        <w:rPr>
          <w:sz w:val="24"/>
          <w:szCs w:val="24"/>
        </w:rPr>
        <w:t>[41</w:t>
      </w:r>
      <w:r w:rsidR="00DB7964" w:rsidRPr="001B5FE0">
        <w:rPr>
          <w:sz w:val="24"/>
          <w:szCs w:val="24"/>
        </w:rPr>
        <w:t>].</w:t>
      </w:r>
      <w:r w:rsidR="00DB7964">
        <w:rPr>
          <w:color w:val="000000"/>
          <w:sz w:val="24"/>
          <w:szCs w:val="24"/>
        </w:rPr>
        <w:t xml:space="preserve"> </w:t>
      </w:r>
      <w:r w:rsidRPr="00805260">
        <w:rPr>
          <w:color w:val="000000"/>
          <w:sz w:val="24"/>
          <w:szCs w:val="24"/>
        </w:rPr>
        <w:t>T</w:t>
      </w:r>
      <w:r w:rsidRPr="00805260">
        <w:rPr>
          <w:sz w:val="24"/>
          <w:szCs w:val="24"/>
        </w:rPr>
        <w:t xml:space="preserve">uomet </w:t>
      </w:r>
      <w:r w:rsidR="00844FC6">
        <w:rPr>
          <w:sz w:val="24"/>
          <w:szCs w:val="24"/>
        </w:rPr>
        <w:t xml:space="preserve">Estijos </w:t>
      </w:r>
      <w:r w:rsidRPr="00805260">
        <w:rPr>
          <w:sz w:val="24"/>
          <w:szCs w:val="24"/>
        </w:rPr>
        <w:t>vyriausybė paskelbė žiaurią taupymo programą: kelis kartus sumažino valdininkų skaičių, apribojo išlaidas sv</w:t>
      </w:r>
      <w:r w:rsidR="00221D0F">
        <w:rPr>
          <w:sz w:val="24"/>
          <w:szCs w:val="24"/>
        </w:rPr>
        <w:t xml:space="preserve">eikatos ir socialinei apsaugai. </w:t>
      </w:r>
      <w:r w:rsidRPr="00D35CB7">
        <w:rPr>
          <w:sz w:val="24"/>
          <w:szCs w:val="24"/>
        </w:rPr>
        <w:t>Verslininkai 40 proc. sumažino darbuotojų atlyginimus, pažadėdami juos atkurti tik ūkiui atsigavus. Ši strategija pasiteisino.</w:t>
      </w:r>
      <w:r w:rsidRPr="002D0FC4">
        <w:rPr>
          <w:sz w:val="24"/>
          <w:szCs w:val="24"/>
        </w:rPr>
        <w:t xml:space="preserve"> </w:t>
      </w:r>
      <w:r w:rsidRPr="00D35CB7">
        <w:rPr>
          <w:sz w:val="24"/>
          <w:szCs w:val="24"/>
        </w:rPr>
        <w:t>2010 metais Estijos ekonomika atitiko Ma</w:t>
      </w:r>
      <w:r>
        <w:rPr>
          <w:sz w:val="24"/>
          <w:szCs w:val="24"/>
        </w:rPr>
        <w:t xml:space="preserve">strichto sutarties reikalavimus, Estijos biudžetas buvo pertklinis ( + 0,2 proc. nuo BVP), o 2011 m. perteklius dar labiau išaugo iki 1,2 proc. BVP. Tais pačiais metais Estijos ekonomikos augimas buvo didžiausias visoje ES. </w:t>
      </w:r>
      <w:r w:rsidR="00221D0F">
        <w:rPr>
          <w:sz w:val="24"/>
          <w:szCs w:val="24"/>
        </w:rPr>
        <w:t>Apdairiai sukauptas rezervas leido ne tik lengviau išgyventi sunkmetį, bet ir nesiskolinti tarptautinėse rinkose, kuomet Baltijos regionas buvo laikomas labai riziking</w:t>
      </w:r>
      <w:r w:rsidR="00844FC6">
        <w:rPr>
          <w:sz w:val="24"/>
          <w:szCs w:val="24"/>
        </w:rPr>
        <w:t>u, o</w:t>
      </w:r>
      <w:r w:rsidR="00221D0F">
        <w:rPr>
          <w:sz w:val="24"/>
          <w:szCs w:val="24"/>
        </w:rPr>
        <w:t xml:space="preserve"> skolinimosi kaina smarkiai pakilusi. Visai tai leido Estijai įgyvedinti savo planą ir 2011 m. prisijungti prie Euro zonos. </w:t>
      </w:r>
    </w:p>
    <w:p w:rsidR="009711AE" w:rsidRDefault="00DD42B3" w:rsidP="00DD42B3">
      <w:pPr>
        <w:spacing w:line="360" w:lineRule="auto"/>
        <w:ind w:firstLine="720"/>
        <w:contextualSpacing/>
        <w:rPr>
          <w:sz w:val="24"/>
          <w:szCs w:val="24"/>
        </w:rPr>
      </w:pPr>
      <w:r>
        <w:rPr>
          <w:sz w:val="24"/>
          <w:szCs w:val="24"/>
        </w:rPr>
        <w:t xml:space="preserve">Lietuva ir Latvija 2010 - 2012 metų laikotarpiu palaipsniui </w:t>
      </w:r>
      <w:r>
        <w:rPr>
          <w:sz w:val="24"/>
          <w:szCs w:val="24"/>
          <w:lang w:val="en-US"/>
        </w:rPr>
        <w:t>mažino savo biudžetų deficitus: 2012 m. Lietuvos biužeto deficitas siekė 3,2 proc. BVP, o Latvijos – 1,2 proc..</w:t>
      </w:r>
      <w:r>
        <w:rPr>
          <w:sz w:val="24"/>
          <w:szCs w:val="24"/>
        </w:rPr>
        <w:t xml:space="preserve"> </w:t>
      </w:r>
      <w:r w:rsidRPr="00D35CB7">
        <w:rPr>
          <w:sz w:val="24"/>
          <w:szCs w:val="24"/>
        </w:rPr>
        <w:t>Latvija 2012 metais taip pat jau atitiko Mastrichto kriterijų, kuris reikalauja, kad šalies biudžeto deficitas neviršytų 3 proc. BVP.</w:t>
      </w:r>
      <w:r>
        <w:rPr>
          <w:sz w:val="24"/>
          <w:szCs w:val="24"/>
        </w:rPr>
        <w:t xml:space="preserve"> Tuo tarpu Estijos biužetas 2012 metais iš perteklinio tapo deficitiniu ( -</w:t>
      </w:r>
      <w:r w:rsidR="0019378F">
        <w:rPr>
          <w:sz w:val="24"/>
          <w:szCs w:val="24"/>
        </w:rPr>
        <w:t xml:space="preserve"> </w:t>
      </w:r>
      <w:r>
        <w:rPr>
          <w:sz w:val="24"/>
          <w:szCs w:val="24"/>
        </w:rPr>
        <w:t xml:space="preserve">0,3 proc. BVP). </w:t>
      </w:r>
    </w:p>
    <w:p w:rsidR="009F4143" w:rsidRDefault="009F4143" w:rsidP="00DD42B3">
      <w:pPr>
        <w:spacing w:line="360" w:lineRule="auto"/>
        <w:ind w:firstLine="720"/>
        <w:contextualSpacing/>
        <w:rPr>
          <w:sz w:val="24"/>
          <w:szCs w:val="24"/>
        </w:rPr>
      </w:pPr>
    </w:p>
    <w:p w:rsidR="00632CA6" w:rsidRDefault="00DD42B3" w:rsidP="00DD42B3">
      <w:pPr>
        <w:spacing w:line="360" w:lineRule="auto"/>
        <w:ind w:firstLine="720"/>
        <w:contextualSpacing/>
        <w:rPr>
          <w:sz w:val="24"/>
          <w:szCs w:val="24"/>
        </w:rPr>
      </w:pPr>
      <w:r>
        <w:rPr>
          <w:sz w:val="24"/>
          <w:szCs w:val="24"/>
        </w:rPr>
        <w:lastRenderedPageBreak/>
        <w:t>Apibendrinant apžvelgtus Baltijos šalių ekonominius rodiklius, būtų galima išskirti Estiją, kurios ekonominė situacija lyginant su Lietuva ir Latvija, atrodo geriausiai. Nepaisant to, kad 2009 m. visų trijų šalių BVP smar</w:t>
      </w:r>
      <w:r w:rsidR="00A5678D">
        <w:rPr>
          <w:sz w:val="24"/>
          <w:szCs w:val="24"/>
        </w:rPr>
        <w:t xml:space="preserve">kiai smuko, tačiau 2010 – 2011 </w:t>
      </w:r>
      <w:r>
        <w:rPr>
          <w:sz w:val="24"/>
          <w:szCs w:val="24"/>
        </w:rPr>
        <w:t xml:space="preserve">metais Estijos BVP augo sparčiausiai, taip pat visu analizuotu laikotarpiu nedarbo lygis čia buvo mažiausias, eksporto ir BVP santykis didžiausias, be to krizės laikotarpiu Estija sugebėjo </w:t>
      </w:r>
      <w:r w:rsidR="00844FC6">
        <w:rPr>
          <w:sz w:val="24"/>
          <w:szCs w:val="24"/>
        </w:rPr>
        <w:t xml:space="preserve">netgi </w:t>
      </w:r>
      <w:r>
        <w:rPr>
          <w:sz w:val="24"/>
          <w:szCs w:val="24"/>
        </w:rPr>
        <w:t xml:space="preserve">sumažinti biudžeto deficitą, o sekančiais metais </w:t>
      </w:r>
      <w:r w:rsidR="0019378F">
        <w:rPr>
          <w:sz w:val="24"/>
          <w:szCs w:val="24"/>
        </w:rPr>
        <w:t xml:space="preserve">jau </w:t>
      </w:r>
      <w:r w:rsidR="00E506BF">
        <w:rPr>
          <w:sz w:val="24"/>
          <w:szCs w:val="24"/>
        </w:rPr>
        <w:t xml:space="preserve">turėjo </w:t>
      </w:r>
      <w:r>
        <w:rPr>
          <w:sz w:val="24"/>
          <w:szCs w:val="24"/>
        </w:rPr>
        <w:t xml:space="preserve">perteklių. </w:t>
      </w:r>
    </w:p>
    <w:p w:rsidR="00DD42B3" w:rsidRDefault="00E506BF" w:rsidP="00E506BF">
      <w:pPr>
        <w:spacing w:line="360" w:lineRule="auto"/>
        <w:ind w:firstLine="720"/>
        <w:contextualSpacing/>
        <w:rPr>
          <w:sz w:val="24"/>
          <w:szCs w:val="24"/>
        </w:rPr>
      </w:pPr>
      <w:r>
        <w:rPr>
          <w:sz w:val="24"/>
          <w:szCs w:val="24"/>
        </w:rPr>
        <w:t>Latvijos padėtis taip pat galėtų būti vertinama palankiau negu Lietuvos. Latvija iš kitų Baltijos šalių išsiskyrė 2012 metais</w:t>
      </w:r>
      <w:r w:rsidR="000348D7">
        <w:rPr>
          <w:sz w:val="24"/>
          <w:szCs w:val="24"/>
        </w:rPr>
        <w:t>, kuomet ji</w:t>
      </w:r>
      <w:r>
        <w:rPr>
          <w:sz w:val="24"/>
          <w:szCs w:val="24"/>
        </w:rPr>
        <w:t xml:space="preserve"> sugebėjo išlaikyti</w:t>
      </w:r>
      <w:r w:rsidR="000860BF">
        <w:rPr>
          <w:sz w:val="24"/>
          <w:szCs w:val="24"/>
        </w:rPr>
        <w:t xml:space="preserve"> panašų BVP augimo tempą </w:t>
      </w:r>
      <w:r w:rsidR="00632CA6">
        <w:rPr>
          <w:sz w:val="24"/>
          <w:szCs w:val="24"/>
        </w:rPr>
        <w:t xml:space="preserve"> kaip 2011 m., kai tuo tarpu Lietuvos ir Estijos ūkio augimas lėtėjo. Be to sėkmingai vykdoma biudžeto konsolidavimo pol</w:t>
      </w:r>
      <w:r w:rsidR="000860BF">
        <w:rPr>
          <w:sz w:val="24"/>
          <w:szCs w:val="24"/>
        </w:rPr>
        <w:t>i</w:t>
      </w:r>
      <w:r w:rsidR="00632CA6">
        <w:rPr>
          <w:sz w:val="24"/>
          <w:szCs w:val="24"/>
        </w:rPr>
        <w:t>tika leido Latvijai sumažinti biudžeto deficitą iki Europos sąjungoje priimtinos ribos.</w:t>
      </w:r>
      <w:r w:rsidR="00B013F0">
        <w:rPr>
          <w:sz w:val="24"/>
          <w:szCs w:val="24"/>
        </w:rPr>
        <w:t xml:space="preserve"> Todėl 2013 m. Latvija gavo kvietimą nuo 2014 metų tapti Euro zonos nare. Tuo tarpu Lietuvai šis planas vis dar tebėra iššūkis.</w:t>
      </w:r>
    </w:p>
    <w:p w:rsidR="00DD42B3" w:rsidRDefault="00DD42B3" w:rsidP="00B511F6">
      <w:pPr>
        <w:spacing w:line="360" w:lineRule="auto"/>
        <w:ind w:firstLine="720"/>
        <w:contextualSpacing/>
        <w:rPr>
          <w:sz w:val="24"/>
          <w:szCs w:val="24"/>
        </w:rPr>
      </w:pPr>
      <w:r>
        <w:rPr>
          <w:sz w:val="24"/>
          <w:szCs w:val="24"/>
        </w:rPr>
        <w:t xml:space="preserve">Kaip jau minėta anksčiau, šalies ekonominė padėtis </w:t>
      </w:r>
      <w:r w:rsidR="009711AE">
        <w:rPr>
          <w:sz w:val="24"/>
          <w:szCs w:val="24"/>
        </w:rPr>
        <w:t>t</w:t>
      </w:r>
      <w:r w:rsidR="000348D7">
        <w:rPr>
          <w:sz w:val="24"/>
          <w:szCs w:val="24"/>
        </w:rPr>
        <w:t>uri įtakos valstybės skolinimuisi</w:t>
      </w:r>
      <w:r>
        <w:rPr>
          <w:sz w:val="24"/>
          <w:szCs w:val="24"/>
        </w:rPr>
        <w:t xml:space="preserve">, todėl toliau bus analizuojama </w:t>
      </w:r>
      <w:r w:rsidR="008B5C4E">
        <w:rPr>
          <w:sz w:val="24"/>
          <w:szCs w:val="24"/>
        </w:rPr>
        <w:t xml:space="preserve">ir lyginama </w:t>
      </w:r>
      <w:r w:rsidR="009711AE">
        <w:rPr>
          <w:sz w:val="24"/>
          <w:szCs w:val="24"/>
        </w:rPr>
        <w:t>šių trijų šalių valstybės skol</w:t>
      </w:r>
      <w:r w:rsidR="008B5C4E">
        <w:rPr>
          <w:sz w:val="24"/>
          <w:szCs w:val="24"/>
        </w:rPr>
        <w:t>a.</w:t>
      </w:r>
    </w:p>
    <w:p w:rsidR="00DD42B3" w:rsidRPr="00B511F6" w:rsidRDefault="00D9634E" w:rsidP="00D9634E">
      <w:pPr>
        <w:pStyle w:val="Heading2"/>
        <w:rPr>
          <w:rFonts w:ascii="Times New Roman" w:hAnsi="Times New Roman" w:cs="Times New Roman"/>
          <w:b w:val="0"/>
          <w:color w:val="auto"/>
          <w:sz w:val="24"/>
          <w:szCs w:val="24"/>
        </w:rPr>
      </w:pPr>
      <w:bookmarkStart w:id="140" w:name="_Toc373086700"/>
      <w:bookmarkStart w:id="141" w:name="_Toc373086899"/>
      <w:bookmarkStart w:id="142" w:name="_Toc373275082"/>
      <w:bookmarkStart w:id="143" w:name="_Toc373421072"/>
      <w:bookmarkStart w:id="144" w:name="_Toc373448094"/>
      <w:bookmarkStart w:id="145" w:name="_Toc374228642"/>
      <w:bookmarkStart w:id="146" w:name="_Toc374229047"/>
      <w:bookmarkStart w:id="147" w:name="_Toc374229158"/>
      <w:bookmarkStart w:id="148" w:name="_Toc374229456"/>
      <w:r>
        <w:rPr>
          <w:rFonts w:ascii="Times New Roman" w:hAnsi="Times New Roman" w:cs="Times New Roman"/>
          <w:color w:val="auto"/>
          <w:sz w:val="24"/>
          <w:szCs w:val="24"/>
        </w:rPr>
        <w:t>3.2.</w:t>
      </w:r>
      <w:r w:rsidR="000860BF">
        <w:rPr>
          <w:rFonts w:ascii="Times New Roman" w:hAnsi="Times New Roman" w:cs="Times New Roman"/>
          <w:color w:val="auto"/>
          <w:sz w:val="24"/>
          <w:szCs w:val="24"/>
        </w:rPr>
        <w:t xml:space="preserve"> </w:t>
      </w:r>
      <w:r w:rsidR="00DD42B3" w:rsidRPr="00B511F6">
        <w:rPr>
          <w:rFonts w:ascii="Times New Roman" w:hAnsi="Times New Roman" w:cs="Times New Roman"/>
          <w:color w:val="auto"/>
          <w:sz w:val="24"/>
          <w:szCs w:val="24"/>
        </w:rPr>
        <w:t>Baltijos šalių valstybės skolos dydis ir skolinimosi kaštai</w:t>
      </w:r>
      <w:bookmarkEnd w:id="140"/>
      <w:bookmarkEnd w:id="141"/>
      <w:bookmarkEnd w:id="142"/>
      <w:bookmarkEnd w:id="143"/>
      <w:bookmarkEnd w:id="144"/>
      <w:bookmarkEnd w:id="145"/>
      <w:bookmarkEnd w:id="146"/>
      <w:bookmarkEnd w:id="147"/>
      <w:bookmarkEnd w:id="148"/>
    </w:p>
    <w:p w:rsidR="00DD42B3" w:rsidRDefault="00DD42B3" w:rsidP="00DD42B3">
      <w:pPr>
        <w:spacing w:line="360" w:lineRule="auto"/>
        <w:ind w:firstLine="720"/>
        <w:contextualSpacing/>
        <w:jc w:val="center"/>
        <w:rPr>
          <w:b/>
          <w:sz w:val="24"/>
          <w:szCs w:val="24"/>
        </w:rPr>
      </w:pPr>
    </w:p>
    <w:p w:rsidR="00DD42B3" w:rsidRDefault="00DD42B3" w:rsidP="00DD42B3">
      <w:pPr>
        <w:spacing w:line="360" w:lineRule="auto"/>
        <w:ind w:firstLine="720"/>
        <w:contextualSpacing/>
        <w:rPr>
          <w:sz w:val="24"/>
          <w:szCs w:val="24"/>
        </w:rPr>
      </w:pPr>
      <w:r>
        <w:rPr>
          <w:sz w:val="24"/>
          <w:szCs w:val="24"/>
        </w:rPr>
        <w:t>Pirmiausiai bus apžvelgiama Baltijos šalių valstybės skolos dydžio ir skolinimosi kaštų kitimo dinamika bei tą lėmusios priežastys.</w:t>
      </w:r>
    </w:p>
    <w:p w:rsidR="00DD42B3" w:rsidRDefault="000860BF" w:rsidP="00DD42B3">
      <w:pPr>
        <w:spacing w:line="360" w:lineRule="auto"/>
        <w:ind w:firstLine="720"/>
        <w:contextualSpacing/>
        <w:rPr>
          <w:sz w:val="24"/>
          <w:szCs w:val="24"/>
        </w:rPr>
      </w:pPr>
      <w:r>
        <w:rPr>
          <w:sz w:val="24"/>
          <w:szCs w:val="24"/>
        </w:rPr>
        <w:t>9</w:t>
      </w:r>
      <w:r w:rsidR="00DD42B3">
        <w:rPr>
          <w:sz w:val="24"/>
          <w:szCs w:val="24"/>
        </w:rPr>
        <w:t xml:space="preserve"> paveiksle pateikta Baltijos šalių valstybės skola valiutine išraiška 2008 – 2012 m. laikotarpiu.</w:t>
      </w:r>
    </w:p>
    <w:p w:rsidR="00C901D4" w:rsidRPr="004B6500" w:rsidRDefault="00C901D4" w:rsidP="00DD42B3">
      <w:pPr>
        <w:spacing w:line="360" w:lineRule="auto"/>
        <w:ind w:firstLine="720"/>
        <w:contextualSpacing/>
        <w:rPr>
          <w:sz w:val="24"/>
          <w:szCs w:val="24"/>
        </w:rPr>
      </w:pPr>
    </w:p>
    <w:p w:rsidR="00DD42B3" w:rsidRDefault="00DD42B3" w:rsidP="00DD42B3">
      <w:pPr>
        <w:spacing w:line="360" w:lineRule="auto"/>
        <w:contextualSpacing/>
        <w:jc w:val="center"/>
        <w:rPr>
          <w:b/>
          <w:sz w:val="24"/>
          <w:szCs w:val="24"/>
        </w:rPr>
      </w:pPr>
      <w:r w:rsidRPr="00BD73FF">
        <w:rPr>
          <w:b/>
          <w:noProof/>
          <w:sz w:val="24"/>
          <w:szCs w:val="24"/>
          <w:lang w:val="en-US"/>
        </w:rPr>
        <w:drawing>
          <wp:inline distT="0" distB="0" distL="0" distR="0">
            <wp:extent cx="5534025" cy="2333625"/>
            <wp:effectExtent l="19050" t="0" r="9525" b="0"/>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901D4" w:rsidRDefault="005B47AA" w:rsidP="00C901D4">
      <w:pPr>
        <w:pStyle w:val="ListParagraph"/>
        <w:autoSpaceDE w:val="0"/>
        <w:autoSpaceDN w:val="0"/>
        <w:adjustRightInd w:val="0"/>
        <w:spacing w:line="360" w:lineRule="auto"/>
        <w:ind w:left="0"/>
      </w:pPr>
      <w:r>
        <w:t xml:space="preserve">          </w:t>
      </w:r>
      <w:r w:rsidR="00C801EA" w:rsidRPr="00C801EA">
        <w:t>Šaltinis: sudaryta au</w:t>
      </w:r>
      <w:bookmarkStart w:id="149" w:name="_Toc373086900"/>
      <w:r w:rsidR="0038225E">
        <w:t>torės pagal Eurostat duomenis</w:t>
      </w:r>
    </w:p>
    <w:p w:rsidR="0038225E" w:rsidRDefault="000860BF" w:rsidP="002B77E4">
      <w:pPr>
        <w:pStyle w:val="ListParagraph"/>
        <w:autoSpaceDE w:val="0"/>
        <w:autoSpaceDN w:val="0"/>
        <w:adjustRightInd w:val="0"/>
        <w:spacing w:line="360" w:lineRule="auto"/>
        <w:ind w:left="0"/>
        <w:jc w:val="center"/>
        <w:outlineLvl w:val="0"/>
        <w:rPr>
          <w:sz w:val="24"/>
          <w:szCs w:val="24"/>
        </w:rPr>
      </w:pPr>
      <w:bookmarkStart w:id="150" w:name="_Toc374228643"/>
      <w:bookmarkStart w:id="151" w:name="_Toc374229048"/>
      <w:bookmarkStart w:id="152" w:name="_Toc374229159"/>
      <w:bookmarkStart w:id="153" w:name="_Toc374229457"/>
      <w:r>
        <w:rPr>
          <w:sz w:val="24"/>
          <w:szCs w:val="24"/>
        </w:rPr>
        <w:t>9</w:t>
      </w:r>
      <w:r w:rsidR="00DD42B3" w:rsidRPr="00C901D4">
        <w:rPr>
          <w:sz w:val="24"/>
          <w:szCs w:val="24"/>
        </w:rPr>
        <w:t xml:space="preserve"> pav. Baltijos šalių valstybės skola</w:t>
      </w:r>
      <w:bookmarkEnd w:id="150"/>
      <w:bookmarkEnd w:id="151"/>
      <w:bookmarkEnd w:id="152"/>
      <w:bookmarkEnd w:id="153"/>
      <w:r w:rsidR="00DD42B3" w:rsidRPr="00C901D4">
        <w:rPr>
          <w:sz w:val="24"/>
          <w:szCs w:val="24"/>
        </w:rPr>
        <w:t xml:space="preserve"> </w:t>
      </w:r>
      <w:bookmarkEnd w:id="149"/>
    </w:p>
    <w:p w:rsidR="0038225E" w:rsidRDefault="0038225E" w:rsidP="002B77E4">
      <w:pPr>
        <w:pStyle w:val="ListParagraph"/>
        <w:autoSpaceDE w:val="0"/>
        <w:autoSpaceDN w:val="0"/>
        <w:adjustRightInd w:val="0"/>
        <w:spacing w:line="360" w:lineRule="auto"/>
        <w:ind w:left="0"/>
        <w:jc w:val="center"/>
        <w:outlineLvl w:val="0"/>
        <w:rPr>
          <w:sz w:val="24"/>
          <w:szCs w:val="24"/>
        </w:rPr>
      </w:pPr>
    </w:p>
    <w:p w:rsidR="003D07F3" w:rsidRPr="0038225E" w:rsidRDefault="00DD42B3" w:rsidP="0038225E">
      <w:pPr>
        <w:pStyle w:val="ListParagraph"/>
        <w:autoSpaceDE w:val="0"/>
        <w:autoSpaceDN w:val="0"/>
        <w:adjustRightInd w:val="0"/>
        <w:spacing w:line="360" w:lineRule="auto"/>
        <w:ind w:left="0"/>
      </w:pPr>
      <w:r w:rsidRPr="00500F24">
        <w:rPr>
          <w:sz w:val="24"/>
          <w:szCs w:val="24"/>
        </w:rPr>
        <w:t xml:space="preserve">Kaip matyti iš </w:t>
      </w:r>
      <w:r w:rsidR="000860BF">
        <w:rPr>
          <w:sz w:val="24"/>
          <w:szCs w:val="24"/>
        </w:rPr>
        <w:t>9</w:t>
      </w:r>
      <w:r w:rsidR="00C901D4">
        <w:rPr>
          <w:sz w:val="24"/>
          <w:szCs w:val="24"/>
        </w:rPr>
        <w:t xml:space="preserve"> </w:t>
      </w:r>
      <w:r w:rsidRPr="00500F24">
        <w:rPr>
          <w:sz w:val="24"/>
          <w:szCs w:val="24"/>
        </w:rPr>
        <w:t>paveikslo</w:t>
      </w:r>
      <w:r w:rsidR="00C901D4">
        <w:rPr>
          <w:sz w:val="24"/>
          <w:szCs w:val="24"/>
        </w:rPr>
        <w:t>,</w:t>
      </w:r>
      <w:r w:rsidRPr="00500F24">
        <w:rPr>
          <w:sz w:val="24"/>
          <w:szCs w:val="24"/>
        </w:rPr>
        <w:t xml:space="preserve"> didžiausią valstybės skolą analizuotu laikotarpiu turėjo Lietuva, tuo tarpu </w:t>
      </w:r>
      <w:r w:rsidRPr="00500F24">
        <w:rPr>
          <w:sz w:val="24"/>
          <w:szCs w:val="24"/>
        </w:rPr>
        <w:lastRenderedPageBreak/>
        <w:t xml:space="preserve">mažiausią - Estija. </w:t>
      </w:r>
      <w:r>
        <w:rPr>
          <w:sz w:val="24"/>
          <w:szCs w:val="24"/>
        </w:rPr>
        <w:t xml:space="preserve">2008 – 2012 m. </w:t>
      </w:r>
      <w:r w:rsidRPr="00500F24">
        <w:rPr>
          <w:sz w:val="24"/>
          <w:szCs w:val="24"/>
        </w:rPr>
        <w:t xml:space="preserve">visų trijų šalių valstybės skolos išaugo: Lietuvos valstybės skola padidėjo </w:t>
      </w:r>
      <w:r>
        <w:rPr>
          <w:sz w:val="24"/>
          <w:szCs w:val="24"/>
        </w:rPr>
        <w:t>beveik tris kartus</w:t>
      </w:r>
      <w:r w:rsidR="00A5678D">
        <w:rPr>
          <w:sz w:val="24"/>
          <w:szCs w:val="24"/>
        </w:rPr>
        <w:t xml:space="preserve"> (nuo 5 mlrd. Eur iki 13,3 mlrd. Eur</w:t>
      </w:r>
      <w:r w:rsidRPr="00500F24">
        <w:rPr>
          <w:sz w:val="24"/>
          <w:szCs w:val="24"/>
        </w:rPr>
        <w:t>)</w:t>
      </w:r>
      <w:r>
        <w:rPr>
          <w:sz w:val="24"/>
          <w:szCs w:val="24"/>
        </w:rPr>
        <w:t>,</w:t>
      </w:r>
      <w:r w:rsidRPr="00500F24">
        <w:rPr>
          <w:sz w:val="24"/>
          <w:szCs w:val="24"/>
        </w:rPr>
        <w:t xml:space="preserve"> Latvijos </w:t>
      </w:r>
      <w:r>
        <w:rPr>
          <w:sz w:val="24"/>
          <w:szCs w:val="24"/>
        </w:rPr>
        <w:t xml:space="preserve">ir Estijos šiek tiek daugiau negu dvigubai </w:t>
      </w:r>
      <w:r w:rsidRPr="00500F24">
        <w:rPr>
          <w:sz w:val="24"/>
          <w:szCs w:val="24"/>
        </w:rPr>
        <w:t>(</w:t>
      </w:r>
      <w:r>
        <w:rPr>
          <w:sz w:val="24"/>
          <w:szCs w:val="24"/>
        </w:rPr>
        <w:t xml:space="preserve">atitinkamai </w:t>
      </w:r>
      <w:r w:rsidR="00D01C23">
        <w:rPr>
          <w:sz w:val="24"/>
          <w:szCs w:val="24"/>
        </w:rPr>
        <w:t>nuo 4,5 mlrd. Eur</w:t>
      </w:r>
      <w:r w:rsidRPr="00500F24">
        <w:rPr>
          <w:sz w:val="24"/>
          <w:szCs w:val="24"/>
        </w:rPr>
        <w:t xml:space="preserve"> iki 9 mlrd.</w:t>
      </w:r>
      <w:r w:rsidR="00A5678D">
        <w:rPr>
          <w:sz w:val="24"/>
          <w:szCs w:val="24"/>
        </w:rPr>
        <w:t xml:space="preserve"> Eur</w:t>
      </w:r>
      <w:r>
        <w:rPr>
          <w:sz w:val="24"/>
          <w:szCs w:val="24"/>
        </w:rPr>
        <w:t xml:space="preserve"> bei </w:t>
      </w:r>
      <w:r w:rsidR="00A5678D">
        <w:rPr>
          <w:sz w:val="24"/>
          <w:szCs w:val="24"/>
        </w:rPr>
        <w:t>nuo 0,7 mlrd. E</w:t>
      </w:r>
      <w:r w:rsidRPr="00500F24">
        <w:rPr>
          <w:sz w:val="24"/>
          <w:szCs w:val="24"/>
        </w:rPr>
        <w:t>ur</w:t>
      </w:r>
      <w:r w:rsidR="00A5678D">
        <w:rPr>
          <w:sz w:val="24"/>
          <w:szCs w:val="24"/>
        </w:rPr>
        <w:t xml:space="preserve"> iki 1,7 mlrd. Eur</w:t>
      </w:r>
      <w:r w:rsidRPr="00500F24">
        <w:rPr>
          <w:sz w:val="24"/>
          <w:szCs w:val="24"/>
        </w:rPr>
        <w:t xml:space="preserve">). </w:t>
      </w:r>
      <w:r>
        <w:rPr>
          <w:sz w:val="24"/>
          <w:szCs w:val="24"/>
        </w:rPr>
        <w:t>Didžiausias valstybės skolos augimas Lietuvoje ir Latvijoje matomas 2009 metais: per metus Lietuvos valstybės skola padidėjo 55,3 proc., o Latvijos – 51,3 proc.. Šitokį valstybės skolos augimą lėmė smarkiai smukęs šalių sukuriamas BVP, išaugęs nedarbo lygis, padidėję valstybių biudžetų deficitai bei poreikis j</w:t>
      </w:r>
      <w:r w:rsidR="003D07F3">
        <w:rPr>
          <w:sz w:val="24"/>
          <w:szCs w:val="24"/>
        </w:rPr>
        <w:t xml:space="preserve">uos finansuoti. 2010 – 2012 m. </w:t>
      </w:r>
      <w:r>
        <w:rPr>
          <w:sz w:val="24"/>
          <w:szCs w:val="24"/>
        </w:rPr>
        <w:t>šių dvie</w:t>
      </w:r>
      <w:r w:rsidR="00A5678D">
        <w:rPr>
          <w:sz w:val="24"/>
          <w:szCs w:val="24"/>
        </w:rPr>
        <w:t xml:space="preserve">jų valstybių skolos ir toliau </w:t>
      </w:r>
      <w:r>
        <w:rPr>
          <w:sz w:val="24"/>
          <w:szCs w:val="24"/>
        </w:rPr>
        <w:t>didėjo, tačiau mažėjant valstybių biudžetų deficitams, skola augo ne tokiais dideliais tempais kaip 2009 m</w:t>
      </w:r>
      <w:r w:rsidRPr="0082364D">
        <w:rPr>
          <w:color w:val="FF0000"/>
          <w:sz w:val="24"/>
          <w:szCs w:val="24"/>
        </w:rPr>
        <w:t xml:space="preserve">. </w:t>
      </w:r>
      <w:r w:rsidRPr="00F23398">
        <w:rPr>
          <w:sz w:val="24"/>
          <w:szCs w:val="24"/>
        </w:rPr>
        <w:t xml:space="preserve">(žr. </w:t>
      </w:r>
      <w:r w:rsidR="001B5FE0">
        <w:rPr>
          <w:sz w:val="24"/>
          <w:szCs w:val="24"/>
        </w:rPr>
        <w:t>1</w:t>
      </w:r>
      <w:r w:rsidR="00E070EB" w:rsidRPr="00F23398">
        <w:rPr>
          <w:sz w:val="24"/>
          <w:szCs w:val="24"/>
        </w:rPr>
        <w:t xml:space="preserve"> p</w:t>
      </w:r>
      <w:r w:rsidRPr="00F23398">
        <w:rPr>
          <w:sz w:val="24"/>
          <w:szCs w:val="24"/>
        </w:rPr>
        <w:t>riedas</w:t>
      </w:r>
      <w:r w:rsidR="001B5FE0">
        <w:rPr>
          <w:sz w:val="24"/>
          <w:szCs w:val="24"/>
        </w:rPr>
        <w:t>, 4 lentelė</w:t>
      </w:r>
      <w:r w:rsidRPr="00F23398">
        <w:rPr>
          <w:sz w:val="24"/>
          <w:szCs w:val="24"/>
        </w:rPr>
        <w:t xml:space="preserve">). </w:t>
      </w:r>
      <w:r w:rsidR="003D07F3" w:rsidRPr="00F23398">
        <w:rPr>
          <w:sz w:val="24"/>
          <w:szCs w:val="24"/>
        </w:rPr>
        <w:t>Lietuvoje analizuotu laikotarpiu</w:t>
      </w:r>
      <w:r w:rsidR="003D07F3">
        <w:rPr>
          <w:sz w:val="24"/>
          <w:szCs w:val="24"/>
        </w:rPr>
        <w:t xml:space="preserve"> skolinimosi por</w:t>
      </w:r>
      <w:r w:rsidR="00D01C23">
        <w:rPr>
          <w:sz w:val="24"/>
          <w:szCs w:val="24"/>
        </w:rPr>
        <w:t xml:space="preserve">eikį lėmė tai, kad 2006 – 2008 </w:t>
      </w:r>
      <w:r w:rsidR="003D07F3">
        <w:rPr>
          <w:sz w:val="24"/>
          <w:szCs w:val="24"/>
        </w:rPr>
        <w:t xml:space="preserve">metais laikinos viršplaninės pajamos buvo naudojamos ne lėšų rezervui kaupti, o verčiamos nuolatiniais socialinais įsipareigojimais, kurie papildomai padidino valstybės išlaidas per </w:t>
      </w:r>
      <w:r w:rsidR="003D07F3" w:rsidRPr="001B5FE0">
        <w:rPr>
          <w:sz w:val="24"/>
          <w:szCs w:val="24"/>
        </w:rPr>
        <w:t xml:space="preserve">sunkmetį </w:t>
      </w:r>
      <w:r w:rsidR="00147D42">
        <w:rPr>
          <w:sz w:val="24"/>
          <w:szCs w:val="24"/>
        </w:rPr>
        <w:t>[34</w:t>
      </w:r>
      <w:r w:rsidR="003D07F3" w:rsidRPr="001B5FE0">
        <w:rPr>
          <w:sz w:val="24"/>
          <w:szCs w:val="24"/>
        </w:rPr>
        <w:t>].</w:t>
      </w:r>
      <w:r w:rsidR="003D07F3">
        <w:rPr>
          <w:color w:val="FF0000"/>
          <w:sz w:val="24"/>
          <w:szCs w:val="24"/>
        </w:rPr>
        <w:t xml:space="preserve"> </w:t>
      </w:r>
    </w:p>
    <w:p w:rsidR="00DD42B3" w:rsidRPr="00026FAA" w:rsidRDefault="00DD42B3" w:rsidP="00DD42B3">
      <w:pPr>
        <w:spacing w:line="360" w:lineRule="auto"/>
        <w:ind w:firstLine="720"/>
        <w:contextualSpacing/>
        <w:rPr>
          <w:sz w:val="24"/>
          <w:szCs w:val="24"/>
          <w:lang w:val="en-US"/>
        </w:rPr>
      </w:pPr>
      <w:r>
        <w:rPr>
          <w:sz w:val="24"/>
          <w:szCs w:val="24"/>
        </w:rPr>
        <w:t>Estijos valstybės skola 2009 m. lyginant su 2008 m. padidėjo 34,4 proc., t.y. nuo 0,7 mlrd.</w:t>
      </w:r>
      <w:r w:rsidR="00D01C23">
        <w:rPr>
          <w:sz w:val="24"/>
          <w:szCs w:val="24"/>
        </w:rPr>
        <w:t xml:space="preserve"> Eur iki 0,9 mlrd. Eur.</w:t>
      </w:r>
      <w:r>
        <w:rPr>
          <w:sz w:val="24"/>
          <w:szCs w:val="24"/>
        </w:rPr>
        <w:t xml:space="preserve"> Tačiau didžiausias valstybės skolos augimas Estijoje matomas 2012 m., kuomet per metus valstybės skola padidėjo 73 proc. arba </w:t>
      </w:r>
      <w:r>
        <w:rPr>
          <w:sz w:val="24"/>
          <w:szCs w:val="24"/>
          <w:lang w:val="en-US"/>
        </w:rPr>
        <w:t>0,7 mrld. Eur.</w:t>
      </w:r>
      <w:r>
        <w:rPr>
          <w:sz w:val="24"/>
          <w:szCs w:val="24"/>
        </w:rPr>
        <w:t xml:space="preserve"> </w:t>
      </w:r>
      <w:r w:rsidR="00C614C6">
        <w:rPr>
          <w:sz w:val="24"/>
          <w:szCs w:val="24"/>
        </w:rPr>
        <w:t>D</w:t>
      </w:r>
      <w:r>
        <w:rPr>
          <w:sz w:val="24"/>
          <w:szCs w:val="24"/>
        </w:rPr>
        <w:t>idžiąją dalimi skolos augimą lėmė narystė euro zonoje, nes šalis buvo pri</w:t>
      </w:r>
      <w:r w:rsidR="00C901D4">
        <w:rPr>
          <w:sz w:val="24"/>
          <w:szCs w:val="24"/>
        </w:rPr>
        <w:t>versta įnešti savo indėlį į EFSF</w:t>
      </w:r>
      <w:r>
        <w:rPr>
          <w:sz w:val="24"/>
          <w:szCs w:val="24"/>
        </w:rPr>
        <w:t xml:space="preserve"> (Europos finansinio stabilumo </w:t>
      </w:r>
      <w:r w:rsidR="00C901D4">
        <w:rPr>
          <w:sz w:val="24"/>
          <w:szCs w:val="24"/>
        </w:rPr>
        <w:t>fondas</w:t>
      </w:r>
      <w:r>
        <w:rPr>
          <w:sz w:val="24"/>
          <w:szCs w:val="24"/>
        </w:rPr>
        <w:t>), kuris skirtas gelbėti euro zonos nares, p</w:t>
      </w:r>
      <w:r w:rsidR="00C614C6">
        <w:rPr>
          <w:sz w:val="24"/>
          <w:szCs w:val="24"/>
        </w:rPr>
        <w:t>atiriančias finansinių sunkumų</w:t>
      </w:r>
      <w:r w:rsidR="00A138B5">
        <w:rPr>
          <w:sz w:val="24"/>
          <w:szCs w:val="24"/>
        </w:rPr>
        <w:t>.</w:t>
      </w:r>
      <w:r w:rsidR="00C614C6">
        <w:rPr>
          <w:sz w:val="24"/>
          <w:szCs w:val="24"/>
        </w:rPr>
        <w:t xml:space="preserve"> </w:t>
      </w:r>
      <w:r>
        <w:rPr>
          <w:sz w:val="24"/>
          <w:szCs w:val="24"/>
        </w:rPr>
        <w:t>Būtent dėl šitos priežasties 2012 m. Estijos biudžetas iš per</w:t>
      </w:r>
      <w:r w:rsidR="00E070EB">
        <w:rPr>
          <w:sz w:val="24"/>
          <w:szCs w:val="24"/>
        </w:rPr>
        <w:t>teklinio tapo deficitiniu (žr. 8</w:t>
      </w:r>
      <w:r>
        <w:rPr>
          <w:sz w:val="24"/>
          <w:szCs w:val="24"/>
        </w:rPr>
        <w:t xml:space="preserve"> pav.) ir šalis buvo privesta </w:t>
      </w:r>
      <w:r w:rsidR="00370B1E">
        <w:rPr>
          <w:sz w:val="24"/>
          <w:szCs w:val="24"/>
        </w:rPr>
        <w:t xml:space="preserve">daugiau </w:t>
      </w:r>
      <w:r>
        <w:rPr>
          <w:sz w:val="24"/>
          <w:szCs w:val="24"/>
        </w:rPr>
        <w:t>skolintis.</w:t>
      </w:r>
    </w:p>
    <w:p w:rsidR="00DD42B3" w:rsidRDefault="00D808E1" w:rsidP="00DD42B3">
      <w:pPr>
        <w:spacing w:line="360" w:lineRule="auto"/>
        <w:ind w:firstLine="720"/>
        <w:contextualSpacing/>
        <w:rPr>
          <w:sz w:val="24"/>
          <w:szCs w:val="24"/>
        </w:rPr>
      </w:pPr>
      <w:r>
        <w:rPr>
          <w:sz w:val="24"/>
          <w:szCs w:val="24"/>
        </w:rPr>
        <w:t>Vis dėl to</w:t>
      </w:r>
      <w:r w:rsidR="00C901D4">
        <w:rPr>
          <w:sz w:val="24"/>
          <w:szCs w:val="24"/>
        </w:rPr>
        <w:t xml:space="preserve"> šalių valstybės skolos nominalia išraiška palyginimas neatskleidžia tikslio</w:t>
      </w:r>
      <w:r w:rsidR="0038225E">
        <w:rPr>
          <w:sz w:val="24"/>
          <w:szCs w:val="24"/>
        </w:rPr>
        <w:t>s</w:t>
      </w:r>
      <w:r w:rsidR="00C901D4">
        <w:rPr>
          <w:sz w:val="24"/>
          <w:szCs w:val="24"/>
        </w:rPr>
        <w:t xml:space="preserve"> valstybių situacijos. </w:t>
      </w:r>
      <w:r w:rsidR="00D121E1">
        <w:rPr>
          <w:sz w:val="24"/>
          <w:szCs w:val="24"/>
        </w:rPr>
        <w:t xml:space="preserve">Vėlgi </w:t>
      </w:r>
      <w:r w:rsidR="00643531">
        <w:rPr>
          <w:sz w:val="24"/>
          <w:szCs w:val="24"/>
        </w:rPr>
        <w:t>geriau</w:t>
      </w:r>
      <w:r w:rsidR="00DD42B3">
        <w:rPr>
          <w:sz w:val="24"/>
          <w:szCs w:val="24"/>
        </w:rPr>
        <w:t xml:space="preserve"> būtų naudoti santykinį rodiklį, šiuo atveju valstybės skolos ir BVP santykį, kuris parodo ar šalies gamybos lygis gali užtikrinti galimybę grąžinti skolas. </w:t>
      </w:r>
      <w:r w:rsidR="000860BF">
        <w:rPr>
          <w:sz w:val="24"/>
          <w:szCs w:val="24"/>
        </w:rPr>
        <w:t>10</w:t>
      </w:r>
      <w:r w:rsidR="00E070EB">
        <w:rPr>
          <w:sz w:val="24"/>
          <w:szCs w:val="24"/>
        </w:rPr>
        <w:t xml:space="preserve"> </w:t>
      </w:r>
      <w:r w:rsidR="00DD42B3">
        <w:rPr>
          <w:sz w:val="24"/>
          <w:szCs w:val="24"/>
        </w:rPr>
        <w:t>paveiksle pateikta Baltijos šalių valstybės skolos ir BVP santykio kaita 2008 – 2012 metais.</w:t>
      </w:r>
    </w:p>
    <w:p w:rsidR="00DD42B3" w:rsidRDefault="00DD42B3" w:rsidP="00DD42B3">
      <w:pPr>
        <w:spacing w:line="360" w:lineRule="auto"/>
        <w:ind w:firstLine="720"/>
        <w:contextualSpacing/>
        <w:rPr>
          <w:sz w:val="24"/>
          <w:szCs w:val="24"/>
        </w:rPr>
      </w:pPr>
    </w:p>
    <w:p w:rsidR="00DD42B3" w:rsidRDefault="00DD42B3" w:rsidP="005B47AA">
      <w:pPr>
        <w:spacing w:line="360" w:lineRule="auto"/>
        <w:ind w:firstLine="720"/>
        <w:contextualSpacing/>
        <w:jc w:val="center"/>
        <w:rPr>
          <w:sz w:val="24"/>
          <w:szCs w:val="24"/>
        </w:rPr>
      </w:pPr>
      <w:r w:rsidRPr="002E0B4B">
        <w:rPr>
          <w:noProof/>
          <w:sz w:val="24"/>
          <w:szCs w:val="24"/>
          <w:lang w:val="en-US"/>
        </w:rPr>
        <w:drawing>
          <wp:inline distT="0" distB="0" distL="0" distR="0">
            <wp:extent cx="5210175" cy="2257425"/>
            <wp:effectExtent l="19050" t="0" r="9525" b="0"/>
            <wp:docPr id="1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901D4" w:rsidRDefault="005B47AA" w:rsidP="00C901D4">
      <w:pPr>
        <w:pStyle w:val="ListParagraph"/>
        <w:autoSpaceDE w:val="0"/>
        <w:autoSpaceDN w:val="0"/>
        <w:adjustRightInd w:val="0"/>
        <w:spacing w:line="360" w:lineRule="auto"/>
        <w:ind w:left="0"/>
      </w:pPr>
      <w:r>
        <w:t xml:space="preserve">                 </w:t>
      </w:r>
      <w:r w:rsidR="00C801EA" w:rsidRPr="00C801EA">
        <w:t>Šaltinis: sudaryta autorės remiantis Eurostat duomenimis</w:t>
      </w:r>
      <w:bookmarkStart w:id="154" w:name="_Toc373086901"/>
    </w:p>
    <w:p w:rsidR="001B5FE0" w:rsidRDefault="000860BF" w:rsidP="002B77E4">
      <w:pPr>
        <w:pStyle w:val="ListParagraph"/>
        <w:autoSpaceDE w:val="0"/>
        <w:autoSpaceDN w:val="0"/>
        <w:adjustRightInd w:val="0"/>
        <w:spacing w:line="360" w:lineRule="auto"/>
        <w:ind w:left="0"/>
        <w:jc w:val="center"/>
        <w:outlineLvl w:val="0"/>
        <w:rPr>
          <w:sz w:val="24"/>
          <w:szCs w:val="24"/>
          <w:lang w:val="en-US"/>
        </w:rPr>
      </w:pPr>
      <w:bookmarkStart w:id="155" w:name="_Toc374228644"/>
      <w:bookmarkStart w:id="156" w:name="_Toc374229049"/>
      <w:bookmarkStart w:id="157" w:name="_Toc374229160"/>
      <w:bookmarkStart w:id="158" w:name="_Toc374229458"/>
      <w:r>
        <w:rPr>
          <w:sz w:val="24"/>
          <w:szCs w:val="24"/>
        </w:rPr>
        <w:t>10</w:t>
      </w:r>
      <w:r w:rsidR="00DD42B3" w:rsidRPr="00C901D4">
        <w:rPr>
          <w:sz w:val="24"/>
          <w:szCs w:val="24"/>
        </w:rPr>
        <w:t xml:space="preserve"> pav. Baltijos šalių valstybės skolos ir BVP santykis</w:t>
      </w:r>
      <w:bookmarkEnd w:id="154"/>
      <w:bookmarkEnd w:id="155"/>
      <w:bookmarkEnd w:id="156"/>
      <w:bookmarkEnd w:id="157"/>
      <w:bookmarkEnd w:id="158"/>
    </w:p>
    <w:p w:rsidR="001B5FE0" w:rsidRDefault="001B5FE0" w:rsidP="001B5FE0">
      <w:pPr>
        <w:pStyle w:val="ListParagraph"/>
        <w:autoSpaceDE w:val="0"/>
        <w:autoSpaceDN w:val="0"/>
        <w:adjustRightInd w:val="0"/>
        <w:spacing w:line="360" w:lineRule="auto"/>
        <w:ind w:left="0"/>
        <w:jc w:val="center"/>
        <w:rPr>
          <w:sz w:val="24"/>
          <w:szCs w:val="24"/>
          <w:lang w:val="en-US"/>
        </w:rPr>
      </w:pPr>
    </w:p>
    <w:p w:rsidR="00DD42B3" w:rsidRDefault="00DD42B3" w:rsidP="001B5FE0">
      <w:pPr>
        <w:pStyle w:val="ListParagraph"/>
        <w:autoSpaceDE w:val="0"/>
        <w:autoSpaceDN w:val="0"/>
        <w:adjustRightInd w:val="0"/>
        <w:spacing w:line="360" w:lineRule="auto"/>
        <w:ind w:left="0"/>
        <w:rPr>
          <w:sz w:val="24"/>
          <w:szCs w:val="24"/>
        </w:rPr>
      </w:pPr>
      <w:r>
        <w:rPr>
          <w:sz w:val="24"/>
          <w:szCs w:val="24"/>
        </w:rPr>
        <w:t xml:space="preserve">Lyginant šalių valstybės skolas pagal šį rodiklį, kaip ir pagal </w:t>
      </w:r>
      <w:r w:rsidR="003B39DB">
        <w:rPr>
          <w:sz w:val="24"/>
          <w:szCs w:val="24"/>
        </w:rPr>
        <w:t>nominalias</w:t>
      </w:r>
      <w:r>
        <w:rPr>
          <w:sz w:val="24"/>
          <w:szCs w:val="24"/>
        </w:rPr>
        <w:t xml:space="preserve"> išraiškas, Estijos valstybės skola išlieka mažiausia. Per analizuotą 2008 – 2012 m. laikotarpį Estijos valstybės skolos ir BVP santykis padidėjo nuo 4,5 proc. iki 9,9 proc., ką lėmė 2012 m.</w:t>
      </w:r>
      <w:r w:rsidR="008B5C4E">
        <w:rPr>
          <w:sz w:val="24"/>
          <w:szCs w:val="24"/>
        </w:rPr>
        <w:t xml:space="preserve"> dėl jau minėtos priežasties</w:t>
      </w:r>
      <w:r>
        <w:rPr>
          <w:sz w:val="24"/>
          <w:szCs w:val="24"/>
        </w:rPr>
        <w:t xml:space="preserve"> smarkiai išaugusi valstyb</w:t>
      </w:r>
      <w:r w:rsidR="001B5FE0">
        <w:rPr>
          <w:sz w:val="24"/>
          <w:szCs w:val="24"/>
        </w:rPr>
        <w:t>ė</w:t>
      </w:r>
      <w:r w:rsidR="000860BF">
        <w:rPr>
          <w:sz w:val="24"/>
          <w:szCs w:val="24"/>
        </w:rPr>
        <w:t>s skola vertine išraiška (žr. 9</w:t>
      </w:r>
      <w:r>
        <w:rPr>
          <w:sz w:val="24"/>
          <w:szCs w:val="24"/>
        </w:rPr>
        <w:t xml:space="preserve"> pav.).  </w:t>
      </w:r>
    </w:p>
    <w:p w:rsidR="00DD42B3" w:rsidRDefault="00DD42B3" w:rsidP="00DD42B3">
      <w:pPr>
        <w:spacing w:line="360" w:lineRule="auto"/>
        <w:ind w:firstLine="720"/>
        <w:contextualSpacing/>
        <w:rPr>
          <w:sz w:val="24"/>
          <w:szCs w:val="24"/>
        </w:rPr>
      </w:pPr>
      <w:r>
        <w:rPr>
          <w:sz w:val="24"/>
          <w:szCs w:val="24"/>
        </w:rPr>
        <w:t>Kitokia situacija vertinant valstybės skolą pagal santykinį rodiklį atsiskleidžia Lietuvos ir Latvijos atvejais. Nors vertine išraiška Lietuvos valstybės skola yra didžiausia, tačiau vertinant pagal santykinį rodiklį,</w:t>
      </w:r>
      <w:r w:rsidR="003B39DB">
        <w:rPr>
          <w:sz w:val="24"/>
          <w:szCs w:val="24"/>
        </w:rPr>
        <w:t xml:space="preserve"> d</w:t>
      </w:r>
      <w:r w:rsidR="002321E1">
        <w:rPr>
          <w:sz w:val="24"/>
          <w:szCs w:val="24"/>
        </w:rPr>
        <w:t>idžiausią valstybės skolą turi</w:t>
      </w:r>
      <w:r>
        <w:rPr>
          <w:sz w:val="24"/>
          <w:szCs w:val="24"/>
        </w:rPr>
        <w:t xml:space="preserve"> Latvija. Nuo 2008 iki 2010 metų mažėjan</w:t>
      </w:r>
      <w:r w:rsidR="00C901D4">
        <w:rPr>
          <w:sz w:val="24"/>
          <w:szCs w:val="24"/>
        </w:rPr>
        <w:t>t Latvijos BVP ir augant skolai</w:t>
      </w:r>
      <w:r>
        <w:rPr>
          <w:sz w:val="24"/>
          <w:szCs w:val="24"/>
        </w:rPr>
        <w:t xml:space="preserve">, šalies valstybės skolos ir BVP santykis padidėjo nuo 19,8 proc. iki 44,4 proc., o 2011 – 2012 metais sumažėjus valstybės skolos augimo tempams ir padidėjus BVP augimui, jis mažėjo (2011 m. – 41,9 proc., 2012 m. – 40,7 proc.). Lietuvos valstybės skolos ir BVP santykis visu analizuotu laikotarpiu kasmet didėjo: 2008 m. jis siekė 15,5 proc., o 2012 m.  – 40,6 proc. ir </w:t>
      </w:r>
      <w:r w:rsidR="00D808E1">
        <w:rPr>
          <w:sz w:val="24"/>
          <w:szCs w:val="24"/>
        </w:rPr>
        <w:t xml:space="preserve">jau </w:t>
      </w:r>
      <w:r>
        <w:rPr>
          <w:sz w:val="24"/>
          <w:szCs w:val="24"/>
        </w:rPr>
        <w:t>buvo tik 0,1 proc. punkto mažesnis negu Latvijos. Tokią</w:t>
      </w:r>
      <w:r w:rsidR="00C626A3">
        <w:rPr>
          <w:sz w:val="24"/>
          <w:szCs w:val="24"/>
        </w:rPr>
        <w:t xml:space="preserve"> Lietuvos</w:t>
      </w:r>
      <w:r>
        <w:rPr>
          <w:sz w:val="24"/>
          <w:szCs w:val="24"/>
        </w:rPr>
        <w:t xml:space="preserve"> valstybės skolos ir BVP santykio dinamiką lėmė tai, jog visu analizuotu laikotarpiu Lietuvos valstybės skolos augimo tempai buvo gerokai didesni negu BVP augimas, kas </w:t>
      </w:r>
      <w:r w:rsidR="00BC76B9">
        <w:rPr>
          <w:sz w:val="24"/>
          <w:szCs w:val="24"/>
        </w:rPr>
        <w:t xml:space="preserve">turėtų būti </w:t>
      </w:r>
      <w:r>
        <w:rPr>
          <w:sz w:val="24"/>
          <w:szCs w:val="24"/>
        </w:rPr>
        <w:t xml:space="preserve">vertinama kaip </w:t>
      </w:r>
      <w:r w:rsidR="00D808E1">
        <w:rPr>
          <w:sz w:val="24"/>
          <w:szCs w:val="24"/>
        </w:rPr>
        <w:t>labai nepalanki ir nerimą kelianti</w:t>
      </w:r>
      <w:r>
        <w:rPr>
          <w:sz w:val="24"/>
          <w:szCs w:val="24"/>
        </w:rPr>
        <w:t xml:space="preserve"> tendencija.</w:t>
      </w:r>
    </w:p>
    <w:p w:rsidR="00DD42B3" w:rsidRDefault="00DD42B3" w:rsidP="00DD42B3">
      <w:pPr>
        <w:spacing w:line="360" w:lineRule="auto"/>
        <w:ind w:firstLine="720"/>
        <w:contextualSpacing/>
        <w:rPr>
          <w:sz w:val="24"/>
          <w:szCs w:val="24"/>
        </w:rPr>
      </w:pPr>
      <w:r>
        <w:rPr>
          <w:sz w:val="24"/>
          <w:szCs w:val="24"/>
        </w:rPr>
        <w:t>Lyginant šalių valstybės skolas, dažnai vertinamas ir valstybės skolos dydis, tenkantis</w:t>
      </w:r>
      <w:r w:rsidR="00BB541B">
        <w:rPr>
          <w:sz w:val="24"/>
          <w:szCs w:val="24"/>
        </w:rPr>
        <w:t xml:space="preserve"> vienam tos š</w:t>
      </w:r>
      <w:r w:rsidR="000860BF">
        <w:rPr>
          <w:sz w:val="24"/>
          <w:szCs w:val="24"/>
        </w:rPr>
        <w:t>alies gyventojui. 11</w:t>
      </w:r>
      <w:r>
        <w:rPr>
          <w:sz w:val="24"/>
          <w:szCs w:val="24"/>
        </w:rPr>
        <w:t xml:space="preserve"> paveiksle pateiktas Baltijos šalių valstybės skolos dydžio, tenkančio vienam gyventojui, dinamika 2008 – 2012 m.. </w:t>
      </w:r>
    </w:p>
    <w:p w:rsidR="001B5FE0" w:rsidRDefault="001B5FE0" w:rsidP="00DD42B3">
      <w:pPr>
        <w:spacing w:line="360" w:lineRule="auto"/>
        <w:ind w:firstLine="720"/>
        <w:contextualSpacing/>
        <w:rPr>
          <w:sz w:val="24"/>
          <w:szCs w:val="24"/>
        </w:rPr>
      </w:pPr>
    </w:p>
    <w:p w:rsidR="00DD42B3" w:rsidRPr="00570888" w:rsidRDefault="00DD42B3" w:rsidP="00DD42B3">
      <w:pPr>
        <w:spacing w:line="360" w:lineRule="auto"/>
        <w:contextualSpacing/>
        <w:jc w:val="center"/>
        <w:rPr>
          <w:b/>
          <w:sz w:val="24"/>
          <w:szCs w:val="24"/>
        </w:rPr>
      </w:pPr>
      <w:r w:rsidRPr="00126109">
        <w:rPr>
          <w:b/>
          <w:noProof/>
          <w:sz w:val="24"/>
          <w:szCs w:val="24"/>
          <w:lang w:val="en-US"/>
        </w:rPr>
        <w:drawing>
          <wp:inline distT="0" distB="0" distL="0" distR="0">
            <wp:extent cx="5543550" cy="2324100"/>
            <wp:effectExtent l="19050" t="0" r="1905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666E1" w:rsidRDefault="005B47AA" w:rsidP="005666E1">
      <w:pPr>
        <w:spacing w:line="360" w:lineRule="auto"/>
        <w:ind w:firstLine="720"/>
        <w:contextualSpacing/>
      </w:pPr>
      <w:r>
        <w:t xml:space="preserve">       </w:t>
      </w:r>
      <w:r w:rsidR="00DD7B3B" w:rsidRPr="00DD7B3B">
        <w:t>Šaltinis: sudaryta autorės remiantis Eurostat duomenimis ir autorės skaičiavimais.</w:t>
      </w:r>
      <w:bookmarkStart w:id="159" w:name="_Toc373086902"/>
      <w:bookmarkStart w:id="160" w:name="_Toc374229459"/>
    </w:p>
    <w:p w:rsidR="00435ED6" w:rsidRDefault="000860BF" w:rsidP="005666E1">
      <w:pPr>
        <w:spacing w:line="360" w:lineRule="auto"/>
        <w:ind w:firstLine="720"/>
        <w:contextualSpacing/>
        <w:jc w:val="center"/>
        <w:rPr>
          <w:sz w:val="24"/>
          <w:szCs w:val="24"/>
        </w:rPr>
      </w:pPr>
      <w:r>
        <w:rPr>
          <w:sz w:val="24"/>
          <w:szCs w:val="24"/>
        </w:rPr>
        <w:t>11</w:t>
      </w:r>
      <w:r w:rsidR="001B5FE0">
        <w:rPr>
          <w:sz w:val="24"/>
          <w:szCs w:val="24"/>
        </w:rPr>
        <w:t xml:space="preserve"> p</w:t>
      </w:r>
      <w:r w:rsidR="00DD42B3" w:rsidRPr="00C901D4">
        <w:rPr>
          <w:sz w:val="24"/>
          <w:szCs w:val="24"/>
        </w:rPr>
        <w:t>av. Baltijos šalių valstybės skola, tenkanti vienam gyventojui</w:t>
      </w:r>
      <w:bookmarkEnd w:id="159"/>
      <w:bookmarkEnd w:id="160"/>
    </w:p>
    <w:p w:rsidR="005666E1" w:rsidRPr="00C901D4" w:rsidRDefault="005666E1" w:rsidP="005666E1">
      <w:pPr>
        <w:spacing w:line="360" w:lineRule="auto"/>
        <w:ind w:firstLine="720"/>
        <w:contextualSpacing/>
        <w:jc w:val="center"/>
      </w:pPr>
    </w:p>
    <w:p w:rsidR="003D1758" w:rsidRDefault="000860BF" w:rsidP="00C901D4">
      <w:pPr>
        <w:spacing w:line="360" w:lineRule="auto"/>
        <w:ind w:firstLine="720"/>
        <w:contextualSpacing/>
        <w:rPr>
          <w:sz w:val="24"/>
          <w:szCs w:val="24"/>
        </w:rPr>
      </w:pPr>
      <w:r>
        <w:rPr>
          <w:sz w:val="24"/>
          <w:szCs w:val="24"/>
        </w:rPr>
        <w:t>11</w:t>
      </w:r>
      <w:r w:rsidR="00DD42B3">
        <w:rPr>
          <w:sz w:val="24"/>
          <w:szCs w:val="24"/>
        </w:rPr>
        <w:t xml:space="preserve"> paveiksle matyti, jog per analizuotą laikotarpį visose trijose šalyse valstybės skolos dydis, tenkantis vienam gyventojui, išaugo. Tą lėmė didėjanti valstybės skola bei dėl didelių emigracijos mąstų </w:t>
      </w:r>
      <w:r w:rsidR="00DD42B3">
        <w:rPr>
          <w:sz w:val="24"/>
          <w:szCs w:val="24"/>
        </w:rPr>
        <w:lastRenderedPageBreak/>
        <w:t>kasmet mažėjantis gyventojų skaičius Baltijos šalyse, ypa</w:t>
      </w:r>
      <w:r w:rsidR="00562A10">
        <w:rPr>
          <w:sz w:val="24"/>
          <w:szCs w:val="24"/>
        </w:rPr>
        <w:t xml:space="preserve">tingai Lietuvoje ir Latvijoje. </w:t>
      </w:r>
      <w:r w:rsidR="00DD42B3">
        <w:rPr>
          <w:sz w:val="24"/>
          <w:szCs w:val="24"/>
        </w:rPr>
        <w:t>Mažiausią valstybės skolą, tenkančią vienam gyventojui, visu analizuotu laikotarpiu turėjo Estija. 2008 m. Estijos valstybės skola tenkanti v</w:t>
      </w:r>
      <w:r w:rsidR="002321E1">
        <w:rPr>
          <w:sz w:val="24"/>
          <w:szCs w:val="24"/>
        </w:rPr>
        <w:t>ienam gyventoju siekė 549,8 Eur</w:t>
      </w:r>
      <w:r w:rsidR="00DD42B3">
        <w:rPr>
          <w:sz w:val="24"/>
          <w:szCs w:val="24"/>
        </w:rPr>
        <w:t xml:space="preserve">, tuo tarpu 2012 m. ji </w:t>
      </w:r>
      <w:r w:rsidR="002A0CCA">
        <w:rPr>
          <w:sz w:val="24"/>
          <w:szCs w:val="24"/>
        </w:rPr>
        <w:t>išaugo</w:t>
      </w:r>
      <w:r w:rsidR="00DD42B3">
        <w:rPr>
          <w:sz w:val="24"/>
          <w:szCs w:val="24"/>
        </w:rPr>
        <w:t xml:space="preserve"> bevei</w:t>
      </w:r>
      <w:r w:rsidR="00A138B5">
        <w:rPr>
          <w:sz w:val="24"/>
          <w:szCs w:val="24"/>
        </w:rPr>
        <w:t>k dvigubai ir sudarė 1292,2 Eur</w:t>
      </w:r>
      <w:r w:rsidR="00C626A3">
        <w:rPr>
          <w:sz w:val="24"/>
          <w:szCs w:val="24"/>
        </w:rPr>
        <w:t xml:space="preserve">. </w:t>
      </w:r>
      <w:r w:rsidR="00DD42B3">
        <w:rPr>
          <w:sz w:val="24"/>
          <w:szCs w:val="24"/>
        </w:rPr>
        <w:t xml:space="preserve">Šitokį padidėjimą lėmė tais metais smarkiai išaugusi Estijos valstybės skola vertine išraiška. Iki 2011 metų didžiausią valstybės skolą, tenkančią vienam gyventojui turėjo Latvija, tuo tarpu 2012 m. pagal šį rodiklį </w:t>
      </w:r>
      <w:r w:rsidR="00D54532">
        <w:rPr>
          <w:sz w:val="24"/>
          <w:szCs w:val="24"/>
        </w:rPr>
        <w:t xml:space="preserve">ją </w:t>
      </w:r>
      <w:r w:rsidR="00DD42B3">
        <w:rPr>
          <w:sz w:val="24"/>
          <w:szCs w:val="24"/>
        </w:rPr>
        <w:t xml:space="preserve">aplenkė </w:t>
      </w:r>
      <w:r w:rsidR="00D54532">
        <w:rPr>
          <w:sz w:val="24"/>
          <w:szCs w:val="24"/>
        </w:rPr>
        <w:t>Lietuva</w:t>
      </w:r>
      <w:r w:rsidR="00DD42B3">
        <w:rPr>
          <w:sz w:val="24"/>
          <w:szCs w:val="24"/>
        </w:rPr>
        <w:t>: minėtais metais Latvijos valstybės skolos dalis, tenkanti vie</w:t>
      </w:r>
      <w:r w:rsidR="00A138B5">
        <w:rPr>
          <w:sz w:val="24"/>
          <w:szCs w:val="24"/>
        </w:rPr>
        <w:t>nam gyventojui siekė 4422,3 Eur, o Lietuvos – 4439 Eur</w:t>
      </w:r>
      <w:r w:rsidR="00DD42B3">
        <w:rPr>
          <w:sz w:val="24"/>
          <w:szCs w:val="24"/>
        </w:rPr>
        <w:t>. Tą lėmė spartesni valstybės skolos augimo bei gyventojų skaič</w:t>
      </w:r>
      <w:r w:rsidR="00D54532">
        <w:rPr>
          <w:sz w:val="24"/>
          <w:szCs w:val="24"/>
        </w:rPr>
        <w:t xml:space="preserve">iaus mažėjimo tempai Lietuvoje. </w:t>
      </w:r>
      <w:r w:rsidR="001F381D">
        <w:rPr>
          <w:sz w:val="24"/>
          <w:szCs w:val="24"/>
        </w:rPr>
        <w:t xml:space="preserve">Auganti valstybės skola ir mažėjantis gyventojų skaičius lemia vis didėjančią skolos naštą ateities kartoms. </w:t>
      </w:r>
    </w:p>
    <w:p w:rsidR="00DD42B3" w:rsidRDefault="00DD42B3" w:rsidP="00DD42B3">
      <w:pPr>
        <w:spacing w:line="360" w:lineRule="auto"/>
        <w:ind w:firstLine="720"/>
        <w:contextualSpacing/>
        <w:rPr>
          <w:sz w:val="24"/>
          <w:szCs w:val="24"/>
        </w:rPr>
      </w:pPr>
      <w:r>
        <w:rPr>
          <w:sz w:val="24"/>
          <w:szCs w:val="24"/>
        </w:rPr>
        <w:t>Apžvelgiant Baltijos šalių valstybės skolos dydžius</w:t>
      </w:r>
      <w:r w:rsidRPr="0083401C">
        <w:rPr>
          <w:sz w:val="24"/>
          <w:szCs w:val="24"/>
        </w:rPr>
        <w:t xml:space="preserve">, įdomu pažiūrėti kaip šių šalių valstybės skolos atrodo kitų Europos Sąjungos šalių kontekste. </w:t>
      </w:r>
      <w:r w:rsidR="000860BF">
        <w:rPr>
          <w:sz w:val="24"/>
          <w:szCs w:val="24"/>
        </w:rPr>
        <w:t>12</w:t>
      </w:r>
      <w:r>
        <w:rPr>
          <w:sz w:val="24"/>
          <w:szCs w:val="24"/>
        </w:rPr>
        <w:t xml:space="preserve"> p</w:t>
      </w:r>
      <w:r w:rsidRPr="0083401C">
        <w:rPr>
          <w:sz w:val="24"/>
          <w:szCs w:val="24"/>
        </w:rPr>
        <w:t>aveiksle pateikta ES šalių valstybės skolos santykis su BVP 2012 metais</w:t>
      </w:r>
      <w:r>
        <w:rPr>
          <w:sz w:val="24"/>
          <w:szCs w:val="24"/>
        </w:rPr>
        <w:t xml:space="preserve">. </w:t>
      </w:r>
    </w:p>
    <w:p w:rsidR="00DD42B3" w:rsidRDefault="00DD42B3" w:rsidP="005B47AA">
      <w:pPr>
        <w:spacing w:line="360" w:lineRule="auto"/>
        <w:ind w:firstLine="0"/>
        <w:contextualSpacing/>
        <w:jc w:val="center"/>
        <w:rPr>
          <w:sz w:val="24"/>
          <w:szCs w:val="24"/>
        </w:rPr>
      </w:pPr>
      <w:r>
        <w:rPr>
          <w:noProof/>
          <w:sz w:val="24"/>
          <w:szCs w:val="24"/>
          <w:lang w:val="en-US"/>
        </w:rPr>
        <w:drawing>
          <wp:inline distT="0" distB="0" distL="0" distR="0">
            <wp:extent cx="5981657" cy="2771775"/>
            <wp:effectExtent l="19050" t="0" r="43"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88852" cy="2775109"/>
                    </a:xfrm>
                    <a:prstGeom prst="rect">
                      <a:avLst/>
                    </a:prstGeom>
                    <a:noFill/>
                    <a:ln>
                      <a:noFill/>
                    </a:ln>
                  </pic:spPr>
                </pic:pic>
              </a:graphicData>
            </a:graphic>
          </wp:inline>
        </w:drawing>
      </w:r>
    </w:p>
    <w:p w:rsidR="005666E1" w:rsidRDefault="00A65B03" w:rsidP="005666E1">
      <w:pPr>
        <w:spacing w:line="360" w:lineRule="auto"/>
        <w:contextualSpacing/>
      </w:pPr>
      <w:r w:rsidRPr="00A65B03">
        <w:t>Šalti</w:t>
      </w:r>
      <w:r w:rsidR="005C2201">
        <w:t xml:space="preserve">nis: sudaryta pagal </w:t>
      </w:r>
      <w:bookmarkStart w:id="161" w:name="_Toc373086903"/>
      <w:r w:rsidR="005C2201">
        <w:t>Eurostat duomenis</w:t>
      </w:r>
      <w:bookmarkStart w:id="162" w:name="_Toc374229460"/>
    </w:p>
    <w:p w:rsidR="00435ED6" w:rsidRDefault="000860BF" w:rsidP="005666E1">
      <w:pPr>
        <w:spacing w:line="360" w:lineRule="auto"/>
        <w:contextualSpacing/>
        <w:jc w:val="center"/>
        <w:rPr>
          <w:sz w:val="24"/>
          <w:szCs w:val="24"/>
        </w:rPr>
      </w:pPr>
      <w:r>
        <w:rPr>
          <w:sz w:val="24"/>
          <w:szCs w:val="24"/>
        </w:rPr>
        <w:t>12</w:t>
      </w:r>
      <w:r w:rsidR="00DD42B3" w:rsidRPr="005C2201">
        <w:rPr>
          <w:sz w:val="24"/>
          <w:szCs w:val="24"/>
        </w:rPr>
        <w:t xml:space="preserve"> pav. ES šalių valstybių skolos santykis su BVP 2012 metais</w:t>
      </w:r>
      <w:bookmarkEnd w:id="161"/>
      <w:bookmarkEnd w:id="162"/>
    </w:p>
    <w:p w:rsidR="005666E1" w:rsidRPr="005C2201" w:rsidRDefault="005666E1" w:rsidP="005666E1">
      <w:pPr>
        <w:spacing w:line="360" w:lineRule="auto"/>
        <w:contextualSpacing/>
        <w:jc w:val="center"/>
      </w:pPr>
    </w:p>
    <w:p w:rsidR="002F70B2" w:rsidRPr="002A0CCA" w:rsidRDefault="00DD42B3" w:rsidP="002A0CCA">
      <w:pPr>
        <w:spacing w:line="360" w:lineRule="auto"/>
        <w:ind w:firstLine="720"/>
        <w:contextualSpacing/>
        <w:rPr>
          <w:rStyle w:val="Strong"/>
          <w:b w:val="0"/>
          <w:bCs w:val="0"/>
          <w:sz w:val="24"/>
          <w:szCs w:val="24"/>
        </w:rPr>
      </w:pPr>
      <w:r w:rsidRPr="00D121E1">
        <w:rPr>
          <w:sz w:val="24"/>
          <w:szCs w:val="24"/>
        </w:rPr>
        <w:t xml:space="preserve">Kaip matyti iš </w:t>
      </w:r>
      <w:r w:rsidR="00BC76B9">
        <w:rPr>
          <w:sz w:val="24"/>
          <w:szCs w:val="24"/>
        </w:rPr>
        <w:t>paveikslo,</w:t>
      </w:r>
      <w:r w:rsidRPr="00D121E1">
        <w:rPr>
          <w:sz w:val="24"/>
          <w:szCs w:val="24"/>
        </w:rPr>
        <w:t xml:space="preserve"> Baltijos šalių valstybės skolos palyginti su kitomis ES šalimis yra nedidelės: už Lietuvą ir Latviją mažesnį valstybės skolos ir BVP santykį turi tik Švedija, Liuksemburgas, Bulgarija ir Rumunija, tuo tarpu Estijos valstybės skolos ir BVP santykis yra </w:t>
      </w:r>
      <w:r w:rsidR="002A0CCA">
        <w:rPr>
          <w:sz w:val="24"/>
          <w:szCs w:val="24"/>
        </w:rPr>
        <w:t xml:space="preserve">apskritai </w:t>
      </w:r>
      <w:r w:rsidRPr="00D121E1">
        <w:rPr>
          <w:sz w:val="24"/>
          <w:szCs w:val="24"/>
        </w:rPr>
        <w:t xml:space="preserve">mažiausias visoje ES. Nė viena iš Baltijos šalių nėra peržengusi 60 proc. valstybės skolos ir BVP santykio ribos (Mastrichto kriterijaus). </w:t>
      </w:r>
      <w:r w:rsidRPr="00D121E1">
        <w:rPr>
          <w:rStyle w:val="Strong"/>
          <w:b w:val="0"/>
          <w:sz w:val="24"/>
          <w:szCs w:val="24"/>
        </w:rPr>
        <w:t>Baltijos šalių padėtis, lyginant su senosiomis įsiskolinusiomis Europos Sąjungos šalimis, tokiomis kaip G</w:t>
      </w:r>
      <w:r w:rsidR="00C626A3">
        <w:rPr>
          <w:rStyle w:val="Strong"/>
          <w:b w:val="0"/>
          <w:sz w:val="24"/>
          <w:szCs w:val="24"/>
        </w:rPr>
        <w:t xml:space="preserve">raikija, Italija, Portugalija, </w:t>
      </w:r>
      <w:r w:rsidRPr="00D121E1">
        <w:rPr>
          <w:rStyle w:val="Strong"/>
          <w:b w:val="0"/>
          <w:sz w:val="24"/>
          <w:szCs w:val="24"/>
        </w:rPr>
        <w:t xml:space="preserve">yra geresnė, bendras skolos dydis yra gerokai mažesnis. </w:t>
      </w:r>
      <w:r w:rsidRPr="00D121E1">
        <w:rPr>
          <w:sz w:val="24"/>
          <w:szCs w:val="24"/>
        </w:rPr>
        <w:t>Tačiau reikėtų nepamiršti, kad Baltijos šalys palyginus su kitomis yra dar jaunos, atgavusios n</w:t>
      </w:r>
      <w:r w:rsidR="00AB0DF9">
        <w:rPr>
          <w:sz w:val="24"/>
          <w:szCs w:val="24"/>
        </w:rPr>
        <w:t>e</w:t>
      </w:r>
      <w:r w:rsidRPr="00D121E1">
        <w:rPr>
          <w:sz w:val="24"/>
          <w:szCs w:val="24"/>
        </w:rPr>
        <w:t xml:space="preserve">priklausomybę jos </w:t>
      </w:r>
      <w:r w:rsidRPr="00D121E1">
        <w:rPr>
          <w:sz w:val="24"/>
          <w:szCs w:val="24"/>
        </w:rPr>
        <w:lastRenderedPageBreak/>
        <w:t xml:space="preserve">nepaveldėjo jokių skolinių įsipareigojimų, taigi skolą pradėjo kaupti vėliau negu kitos ES šalys. Apskritai </w:t>
      </w:r>
      <w:r w:rsidRPr="00D121E1">
        <w:rPr>
          <w:rStyle w:val="Strong"/>
          <w:b w:val="0"/>
          <w:sz w:val="24"/>
          <w:szCs w:val="24"/>
        </w:rPr>
        <w:t xml:space="preserve">bankroto grėsmė šaliai dėl įsiskolinimo yra labiau lemiama ne skolos dydžio, o pasitikėjimo ta šalimi. Baltijos šalys, šiuo atveju konkrečiau Lietuva ir Latvija, šiuo atžvilgiu </w:t>
      </w:r>
      <w:r w:rsidR="002F70B2">
        <w:rPr>
          <w:rStyle w:val="Strong"/>
          <w:b w:val="0"/>
          <w:sz w:val="24"/>
          <w:szCs w:val="24"/>
        </w:rPr>
        <w:t>nėra</w:t>
      </w:r>
      <w:r w:rsidRPr="00D121E1">
        <w:rPr>
          <w:rStyle w:val="Strong"/>
          <w:b w:val="0"/>
          <w:sz w:val="24"/>
          <w:szCs w:val="24"/>
        </w:rPr>
        <w:t xml:space="preserve"> dėkingoje pozicijoje, todėl kad jų istorija yra labai trumpa, tik šiek tiek daugiau negu 20 metų nepriklausomybės, ir ta istorija nėra </w:t>
      </w:r>
      <w:r w:rsidRPr="00B77AF1">
        <w:rPr>
          <w:rStyle w:val="Strong"/>
          <w:b w:val="0"/>
          <w:sz w:val="24"/>
          <w:szCs w:val="24"/>
        </w:rPr>
        <w:t>gera. Per tuos metus Lietuva ir Latvija pastoviai turėjo nesubalansuotą valstybės biudžetą (išskyrus</w:t>
      </w:r>
      <w:r w:rsidRPr="00D121E1">
        <w:rPr>
          <w:rStyle w:val="Strong"/>
          <w:b w:val="0"/>
          <w:sz w:val="24"/>
          <w:szCs w:val="24"/>
        </w:rPr>
        <w:t xml:space="preserve"> 1997 m., kuomet Latvijos biudžetas buvo perteklinis ir 1998 m., kuomet jis buvo </w:t>
      </w:r>
      <w:r w:rsidRPr="001B5FE0">
        <w:rPr>
          <w:rStyle w:val="Strong"/>
          <w:b w:val="0"/>
          <w:sz w:val="24"/>
          <w:szCs w:val="24"/>
        </w:rPr>
        <w:t>subalansuotas)</w:t>
      </w:r>
      <w:r w:rsidR="00B25202" w:rsidRPr="001B5FE0">
        <w:rPr>
          <w:rStyle w:val="Strong"/>
          <w:b w:val="0"/>
          <w:sz w:val="24"/>
          <w:szCs w:val="24"/>
        </w:rPr>
        <w:t xml:space="preserve"> </w:t>
      </w:r>
      <w:r w:rsidR="00147D42">
        <w:rPr>
          <w:rStyle w:val="Strong"/>
          <w:b w:val="0"/>
          <w:sz w:val="24"/>
          <w:szCs w:val="24"/>
        </w:rPr>
        <w:t>[28</w:t>
      </w:r>
      <w:r w:rsidR="00800523" w:rsidRPr="001B5FE0">
        <w:rPr>
          <w:rStyle w:val="Strong"/>
          <w:b w:val="0"/>
          <w:sz w:val="24"/>
          <w:szCs w:val="24"/>
        </w:rPr>
        <w:t>]</w:t>
      </w:r>
      <w:r w:rsidRPr="001B5FE0">
        <w:rPr>
          <w:rStyle w:val="Strong"/>
          <w:b w:val="0"/>
          <w:sz w:val="24"/>
          <w:szCs w:val="24"/>
        </w:rPr>
        <w:t>.</w:t>
      </w:r>
      <w:r w:rsidRPr="00D121E1">
        <w:rPr>
          <w:rStyle w:val="Strong"/>
          <w:b w:val="0"/>
          <w:color w:val="FF0000"/>
          <w:sz w:val="24"/>
          <w:szCs w:val="24"/>
        </w:rPr>
        <w:t xml:space="preserve"> </w:t>
      </w:r>
      <w:r w:rsidRPr="00D121E1">
        <w:rPr>
          <w:rStyle w:val="Strong"/>
          <w:b w:val="0"/>
          <w:sz w:val="24"/>
          <w:szCs w:val="24"/>
        </w:rPr>
        <w:t>2012 metais Latvija šiuo požiūriu taip pat aplenkė Lietuvą, ir kaip jau minėta anksčiau</w:t>
      </w:r>
      <w:r w:rsidR="005C2201">
        <w:rPr>
          <w:rStyle w:val="Strong"/>
          <w:b w:val="0"/>
          <w:sz w:val="24"/>
          <w:szCs w:val="24"/>
        </w:rPr>
        <w:t>,</w:t>
      </w:r>
      <w:r w:rsidRPr="00D121E1">
        <w:rPr>
          <w:rStyle w:val="Strong"/>
          <w:b w:val="0"/>
          <w:sz w:val="24"/>
          <w:szCs w:val="24"/>
        </w:rPr>
        <w:t xml:space="preserve"> sumažino savo biudžeto deficitą iki dydžio, kuris neviršija nustatyt</w:t>
      </w:r>
      <w:r w:rsidR="0038225E">
        <w:rPr>
          <w:rStyle w:val="Strong"/>
          <w:b w:val="0"/>
          <w:sz w:val="24"/>
          <w:szCs w:val="24"/>
        </w:rPr>
        <w:t xml:space="preserve">os Mastrichto kriterijaus ribos. </w:t>
      </w:r>
    </w:p>
    <w:p w:rsidR="005C2EC2" w:rsidRDefault="00331524" w:rsidP="005C2EC2">
      <w:pPr>
        <w:spacing w:line="360" w:lineRule="auto"/>
        <w:ind w:firstLine="720"/>
        <w:contextualSpacing/>
        <w:rPr>
          <w:sz w:val="24"/>
          <w:szCs w:val="24"/>
        </w:rPr>
      </w:pPr>
      <w:r>
        <w:rPr>
          <w:rStyle w:val="Strong"/>
          <w:b w:val="0"/>
          <w:sz w:val="24"/>
          <w:szCs w:val="24"/>
        </w:rPr>
        <w:t>Šalių</w:t>
      </w:r>
      <w:r w:rsidR="0050273F" w:rsidRPr="00B77AF1">
        <w:rPr>
          <w:rStyle w:val="Strong"/>
          <w:b w:val="0"/>
          <w:sz w:val="24"/>
          <w:szCs w:val="24"/>
        </w:rPr>
        <w:t xml:space="preserve"> patik</w:t>
      </w:r>
      <w:r w:rsidR="009D25C0" w:rsidRPr="00B77AF1">
        <w:rPr>
          <w:rStyle w:val="Strong"/>
          <w:b w:val="0"/>
          <w:sz w:val="24"/>
          <w:szCs w:val="24"/>
        </w:rPr>
        <w:t xml:space="preserve">imumą </w:t>
      </w:r>
      <w:r>
        <w:rPr>
          <w:rStyle w:val="Strong"/>
          <w:b w:val="0"/>
          <w:sz w:val="24"/>
          <w:szCs w:val="24"/>
        </w:rPr>
        <w:t xml:space="preserve">bei kreditingumą </w:t>
      </w:r>
      <w:r w:rsidR="009D25C0" w:rsidRPr="00B77AF1">
        <w:rPr>
          <w:rStyle w:val="Strong"/>
          <w:b w:val="0"/>
          <w:sz w:val="24"/>
          <w:szCs w:val="24"/>
        </w:rPr>
        <w:t xml:space="preserve">atspindi </w:t>
      </w:r>
      <w:r w:rsidR="009D25C0" w:rsidRPr="00B77AF1">
        <w:rPr>
          <w:rStyle w:val="Strong"/>
          <w:b w:val="0"/>
          <w:i/>
          <w:sz w:val="24"/>
          <w:szCs w:val="24"/>
        </w:rPr>
        <w:t>kredito reitingas</w:t>
      </w:r>
      <w:r w:rsidR="0050273F" w:rsidRPr="00B77AF1">
        <w:rPr>
          <w:rStyle w:val="Strong"/>
          <w:b w:val="0"/>
          <w:sz w:val="24"/>
          <w:szCs w:val="24"/>
        </w:rPr>
        <w:t>.</w:t>
      </w:r>
      <w:r w:rsidR="00B77AF1" w:rsidRPr="00B77AF1">
        <w:rPr>
          <w:rStyle w:val="Strong"/>
          <w:b w:val="0"/>
          <w:sz w:val="24"/>
          <w:szCs w:val="24"/>
        </w:rPr>
        <w:t xml:space="preserve"> </w:t>
      </w:r>
      <w:r w:rsidR="00B77AF1" w:rsidRPr="00B77AF1">
        <w:rPr>
          <w:sz w:val="24"/>
          <w:szCs w:val="24"/>
          <w:shd w:val="clear" w:color="auto" w:fill="FFFFFF"/>
        </w:rPr>
        <w:t>Kredito reitingas yra svarbus rodiklis vertinant riziką, susijusią su skolinių įsipareigojimų emitento (skolininko) finansiniu pajėgumu. Investuotojams (kreditoriams) reitingas yra rodiklis, rodantis skolininko patikimumo lygį. Tuo tarpu emitentas, kuo jam nustatomi aukštesni kredito reitingai, tuo pigiau, t.y. už mažesnes pal</w:t>
      </w:r>
      <w:r w:rsidR="004B2091">
        <w:rPr>
          <w:sz w:val="24"/>
          <w:szCs w:val="24"/>
          <w:shd w:val="clear" w:color="auto" w:fill="FFFFFF"/>
        </w:rPr>
        <w:t>ūkanas (mažesnį rizikos priedą)</w:t>
      </w:r>
      <w:r w:rsidR="00B77AF1" w:rsidRPr="00B77AF1">
        <w:rPr>
          <w:sz w:val="24"/>
          <w:szCs w:val="24"/>
          <w:shd w:val="clear" w:color="auto" w:fill="FFFFFF"/>
        </w:rPr>
        <w:t xml:space="preserve"> jis gali pasiskolinti.</w:t>
      </w:r>
      <w:r w:rsidR="00B77AF1" w:rsidRPr="00B77AF1">
        <w:rPr>
          <w:rStyle w:val="Strong"/>
          <w:b w:val="0"/>
          <w:bCs w:val="0"/>
          <w:sz w:val="24"/>
          <w:szCs w:val="24"/>
          <w:shd w:val="clear" w:color="auto" w:fill="FFFFFF"/>
        </w:rPr>
        <w:t xml:space="preserve"> </w:t>
      </w:r>
      <w:r w:rsidR="00B77AF1" w:rsidRPr="00B77AF1">
        <w:rPr>
          <w:sz w:val="24"/>
          <w:szCs w:val="24"/>
          <w:shd w:val="clear" w:color="auto" w:fill="FFFFFF"/>
        </w:rPr>
        <w:t xml:space="preserve">Skolininkui gali būti suteikti reitingai nuo apibūdinančių aukščiausią saugumo lygį, kai skolininko pajėgumas laiku įvykdyti finansinius įsipareigojimus ypač didelis, iki atitinkančių finansinių įsipareigojimų </w:t>
      </w:r>
      <w:r w:rsidR="00B77AF1" w:rsidRPr="001B5FE0">
        <w:rPr>
          <w:sz w:val="24"/>
          <w:szCs w:val="24"/>
          <w:shd w:val="clear" w:color="auto" w:fill="FFFFFF"/>
        </w:rPr>
        <w:t>nevykdymą [</w:t>
      </w:r>
      <w:r w:rsidR="00147D42">
        <w:rPr>
          <w:sz w:val="24"/>
          <w:szCs w:val="24"/>
          <w:shd w:val="clear" w:color="auto" w:fill="FFFFFF"/>
        </w:rPr>
        <w:t>33</w:t>
      </w:r>
      <w:r w:rsidR="00B77AF1" w:rsidRPr="001B5FE0">
        <w:rPr>
          <w:sz w:val="24"/>
          <w:szCs w:val="24"/>
          <w:shd w:val="clear" w:color="auto" w:fill="FFFFFF"/>
        </w:rPr>
        <w:t>].</w:t>
      </w:r>
      <w:r w:rsidR="00B77AF1">
        <w:rPr>
          <w:rStyle w:val="Strong"/>
          <w:b w:val="0"/>
          <w:sz w:val="24"/>
          <w:szCs w:val="24"/>
        </w:rPr>
        <w:t xml:space="preserve"> </w:t>
      </w:r>
      <w:r w:rsidR="0050273F" w:rsidRPr="0050273F">
        <w:rPr>
          <w:sz w:val="24"/>
          <w:szCs w:val="24"/>
        </w:rPr>
        <w:t xml:space="preserve">Žinomiausios kredito reitingų </w:t>
      </w:r>
      <w:r w:rsidR="00F9408A">
        <w:rPr>
          <w:sz w:val="24"/>
          <w:szCs w:val="24"/>
        </w:rPr>
        <w:t>agentūros yra šios:</w:t>
      </w:r>
      <w:r w:rsidR="0050273F" w:rsidRPr="0050273F">
        <w:rPr>
          <w:sz w:val="24"/>
          <w:szCs w:val="24"/>
        </w:rPr>
        <w:t xml:space="preserve"> „</w:t>
      </w:r>
      <w:hyperlink r:id="rId30" w:tooltip="Moody's" w:history="1">
        <w:r w:rsidR="0050273F" w:rsidRPr="0050273F">
          <w:rPr>
            <w:rStyle w:val="Hyperlink"/>
            <w:color w:val="auto"/>
            <w:sz w:val="24"/>
            <w:szCs w:val="24"/>
            <w:u w:val="none"/>
          </w:rPr>
          <w:t>Moody's</w:t>
        </w:r>
      </w:hyperlink>
      <w:r w:rsidR="0050273F" w:rsidRPr="0050273F">
        <w:rPr>
          <w:sz w:val="24"/>
          <w:szCs w:val="24"/>
        </w:rPr>
        <w:t>“, „</w:t>
      </w:r>
      <w:hyperlink r:id="rId31" w:tooltip="Standard &amp; Poor's" w:history="1">
        <w:r w:rsidR="0050273F" w:rsidRPr="0050273F">
          <w:rPr>
            <w:rStyle w:val="Hyperlink"/>
            <w:color w:val="auto"/>
            <w:sz w:val="24"/>
            <w:szCs w:val="24"/>
            <w:u w:val="none"/>
          </w:rPr>
          <w:t>Standard &amp; Poor's</w:t>
        </w:r>
      </w:hyperlink>
      <w:r w:rsidR="0050273F" w:rsidRPr="0050273F">
        <w:rPr>
          <w:sz w:val="24"/>
          <w:szCs w:val="24"/>
        </w:rPr>
        <w:t>“, „</w:t>
      </w:r>
      <w:hyperlink r:id="rId32" w:tooltip="Fitch" w:history="1">
        <w:r w:rsidR="0050273F" w:rsidRPr="0050273F">
          <w:rPr>
            <w:rStyle w:val="Hyperlink"/>
            <w:color w:val="auto"/>
            <w:sz w:val="24"/>
            <w:szCs w:val="24"/>
            <w:u w:val="none"/>
          </w:rPr>
          <w:t>Fitch Ratings</w:t>
        </w:r>
      </w:hyperlink>
      <w:r w:rsidR="0050273F" w:rsidRPr="0050273F">
        <w:rPr>
          <w:sz w:val="24"/>
          <w:szCs w:val="24"/>
        </w:rPr>
        <w:t xml:space="preserve">“. </w:t>
      </w:r>
      <w:r w:rsidR="005C2EC2" w:rsidRPr="005C2EC2">
        <w:rPr>
          <w:sz w:val="24"/>
          <w:szCs w:val="24"/>
        </w:rPr>
        <w:t xml:space="preserve">Nors kredito reitingų kompanijos </w:t>
      </w:r>
      <w:r w:rsidR="005C2EC2">
        <w:rPr>
          <w:sz w:val="24"/>
          <w:szCs w:val="24"/>
        </w:rPr>
        <w:t>sulaukė</w:t>
      </w:r>
      <w:r w:rsidR="005C2EC2" w:rsidRPr="005C2EC2">
        <w:rPr>
          <w:sz w:val="24"/>
          <w:szCs w:val="24"/>
        </w:rPr>
        <w:t xml:space="preserve"> daug kritikos ir jų patikimumas, vieta ir reikšmė šiuolaikinėje pasaulio finansų sistemoje buvo aktyviai peržiūrimi, tačiau įvertinant Europos Komisijos aktyvią poziciją sprendžiant pastebėtas problemas, galima manyti, kad kredito reitingai ateityje </w:t>
      </w:r>
      <w:r w:rsidR="001E3A49">
        <w:rPr>
          <w:sz w:val="24"/>
          <w:szCs w:val="24"/>
        </w:rPr>
        <w:t>i</w:t>
      </w:r>
      <w:r w:rsidR="005C2EC2" w:rsidRPr="005C2EC2">
        <w:rPr>
          <w:sz w:val="24"/>
          <w:szCs w:val="24"/>
        </w:rPr>
        <w:t xml:space="preserve">šliks reikšminga finansinio pasaulio mozaikos sudedamąja </w:t>
      </w:r>
      <w:r w:rsidR="005C2EC2" w:rsidRPr="001B5FE0">
        <w:rPr>
          <w:sz w:val="24"/>
          <w:szCs w:val="24"/>
        </w:rPr>
        <w:t>dalimi [</w:t>
      </w:r>
      <w:r w:rsidR="00147D42">
        <w:rPr>
          <w:sz w:val="24"/>
          <w:szCs w:val="24"/>
        </w:rPr>
        <w:t>35</w:t>
      </w:r>
      <w:r w:rsidR="005C2EC2" w:rsidRPr="001B5FE0">
        <w:rPr>
          <w:sz w:val="24"/>
          <w:szCs w:val="24"/>
        </w:rPr>
        <w:t>].</w:t>
      </w:r>
    </w:p>
    <w:p w:rsidR="005666E1" w:rsidRDefault="0050273F" w:rsidP="005666E1">
      <w:pPr>
        <w:spacing w:line="360" w:lineRule="auto"/>
        <w:ind w:firstLine="720"/>
        <w:contextualSpacing/>
        <w:rPr>
          <w:sz w:val="24"/>
          <w:szCs w:val="24"/>
        </w:rPr>
      </w:pPr>
      <w:r w:rsidRPr="008F1BBD">
        <w:rPr>
          <w:sz w:val="24"/>
          <w:szCs w:val="24"/>
        </w:rPr>
        <w:t xml:space="preserve">Kredito reitingams išreikšti </w:t>
      </w:r>
      <w:r w:rsidR="005C2EC2" w:rsidRPr="008F1BBD">
        <w:rPr>
          <w:sz w:val="24"/>
          <w:szCs w:val="24"/>
        </w:rPr>
        <w:t>kredito reitingų agentūros</w:t>
      </w:r>
      <w:r w:rsidRPr="008F1BBD">
        <w:rPr>
          <w:sz w:val="24"/>
          <w:szCs w:val="24"/>
        </w:rPr>
        <w:t xml:space="preserve"> vartoja tam tikrą klasifikaciją ir simbolius. Šios reikšmės yra visuotinai pripažįstamos ir naudojamos kaip </w:t>
      </w:r>
      <w:hyperlink r:id="rId33" w:tooltip="Standartas" w:history="1">
        <w:r w:rsidRPr="008F1BBD">
          <w:rPr>
            <w:rStyle w:val="Hyperlink"/>
            <w:color w:val="auto"/>
            <w:sz w:val="24"/>
            <w:szCs w:val="24"/>
            <w:u w:val="none"/>
          </w:rPr>
          <w:t>standartas</w:t>
        </w:r>
      </w:hyperlink>
      <w:r w:rsidRPr="008F1BBD">
        <w:rPr>
          <w:sz w:val="24"/>
          <w:szCs w:val="24"/>
        </w:rPr>
        <w:t>.</w:t>
      </w:r>
      <w:r w:rsidR="00F9408A" w:rsidRPr="008F1BBD">
        <w:rPr>
          <w:sz w:val="24"/>
          <w:szCs w:val="24"/>
        </w:rPr>
        <w:t xml:space="preserve"> Kredito reitingų reikšmės pateiktos </w:t>
      </w:r>
      <w:r w:rsidR="001B5FE0">
        <w:rPr>
          <w:sz w:val="24"/>
          <w:szCs w:val="24"/>
        </w:rPr>
        <w:t>3</w:t>
      </w:r>
      <w:r w:rsidR="005C2201" w:rsidRPr="008F1BBD">
        <w:rPr>
          <w:sz w:val="24"/>
          <w:szCs w:val="24"/>
        </w:rPr>
        <w:t xml:space="preserve"> </w:t>
      </w:r>
      <w:r w:rsidR="00F9408A" w:rsidRPr="008F1BBD">
        <w:rPr>
          <w:sz w:val="24"/>
          <w:szCs w:val="24"/>
        </w:rPr>
        <w:t xml:space="preserve">priede. </w:t>
      </w:r>
      <w:r w:rsidR="005B47AA">
        <w:rPr>
          <w:sz w:val="24"/>
          <w:szCs w:val="24"/>
        </w:rPr>
        <w:t>4</w:t>
      </w:r>
      <w:r w:rsidR="00E76A0B" w:rsidRPr="008F1BBD">
        <w:rPr>
          <w:sz w:val="24"/>
          <w:szCs w:val="24"/>
        </w:rPr>
        <w:t xml:space="preserve"> lentelėje pateikti Baltijos šalių ilgalaikio skolinimosi užsienio valiuta kredito reitingai.</w:t>
      </w:r>
      <w:bookmarkStart w:id="163" w:name="_Toc374229050"/>
      <w:bookmarkStart w:id="164" w:name="_Toc374229161"/>
      <w:bookmarkStart w:id="165" w:name="_Toc374229461"/>
    </w:p>
    <w:p w:rsidR="00C626A3" w:rsidRDefault="005B47AA" w:rsidP="00AD00F8">
      <w:pPr>
        <w:spacing w:line="360" w:lineRule="auto"/>
        <w:ind w:firstLine="720"/>
        <w:contextualSpacing/>
        <w:jc w:val="center"/>
        <w:rPr>
          <w:sz w:val="24"/>
          <w:szCs w:val="24"/>
        </w:rPr>
      </w:pPr>
      <w:r>
        <w:rPr>
          <w:sz w:val="24"/>
          <w:szCs w:val="24"/>
        </w:rPr>
        <w:t>4</w:t>
      </w:r>
      <w:r w:rsidR="00D8496D" w:rsidRPr="00B12106">
        <w:rPr>
          <w:sz w:val="24"/>
          <w:szCs w:val="24"/>
        </w:rPr>
        <w:t xml:space="preserve"> lentelė. Baltijos šalių ilgalaikio skolinimosi užsienio valiuta kredito reitingai</w:t>
      </w:r>
      <w:bookmarkEnd w:id="163"/>
      <w:bookmarkEnd w:id="164"/>
      <w:bookmarkEnd w:id="165"/>
    </w:p>
    <w:p w:rsidR="00D06397" w:rsidRPr="00B12106" w:rsidRDefault="00D06397" w:rsidP="00AD00F8">
      <w:pPr>
        <w:spacing w:line="360" w:lineRule="auto"/>
        <w:ind w:firstLine="720"/>
        <w:contextualSpacing/>
        <w:jc w:val="center"/>
        <w:rPr>
          <w:sz w:val="24"/>
          <w:szCs w:val="24"/>
        </w:rPr>
      </w:pPr>
    </w:p>
    <w:tbl>
      <w:tblPr>
        <w:tblStyle w:val="TableGrid"/>
        <w:tblW w:w="0" w:type="auto"/>
        <w:jc w:val="center"/>
        <w:tblLook w:val="04A0"/>
      </w:tblPr>
      <w:tblGrid>
        <w:gridCol w:w="2463"/>
        <w:gridCol w:w="2463"/>
        <w:gridCol w:w="2464"/>
        <w:gridCol w:w="2464"/>
      </w:tblGrid>
      <w:tr w:rsidR="00D8496D" w:rsidTr="00AD00F8">
        <w:trPr>
          <w:jc w:val="center"/>
        </w:trPr>
        <w:tc>
          <w:tcPr>
            <w:tcW w:w="2463" w:type="dxa"/>
          </w:tcPr>
          <w:p w:rsidR="00D8496D" w:rsidRPr="00722A75" w:rsidRDefault="00D8496D" w:rsidP="00D8496D">
            <w:pPr>
              <w:spacing w:line="360" w:lineRule="auto"/>
              <w:ind w:firstLine="0"/>
              <w:contextualSpacing/>
              <w:jc w:val="center"/>
              <w:rPr>
                <w:rStyle w:val="Strong"/>
                <w:b w:val="0"/>
              </w:rPr>
            </w:pPr>
          </w:p>
        </w:tc>
        <w:tc>
          <w:tcPr>
            <w:tcW w:w="2463" w:type="dxa"/>
          </w:tcPr>
          <w:p w:rsidR="00D8496D" w:rsidRPr="00722A75" w:rsidRDefault="00D8496D" w:rsidP="00D8496D">
            <w:pPr>
              <w:spacing w:line="360" w:lineRule="auto"/>
              <w:ind w:firstLine="0"/>
              <w:contextualSpacing/>
              <w:jc w:val="center"/>
              <w:rPr>
                <w:rStyle w:val="Strong"/>
              </w:rPr>
            </w:pPr>
            <w:r w:rsidRPr="00722A75">
              <w:rPr>
                <w:rStyle w:val="Strong"/>
              </w:rPr>
              <w:t>Moody‘s</w:t>
            </w:r>
          </w:p>
        </w:tc>
        <w:tc>
          <w:tcPr>
            <w:tcW w:w="2464" w:type="dxa"/>
          </w:tcPr>
          <w:p w:rsidR="00D8496D" w:rsidRPr="00722A75" w:rsidRDefault="00D8496D" w:rsidP="00D8496D">
            <w:pPr>
              <w:spacing w:line="360" w:lineRule="auto"/>
              <w:ind w:firstLine="0"/>
              <w:contextualSpacing/>
              <w:jc w:val="center"/>
              <w:rPr>
                <w:rStyle w:val="Strong"/>
              </w:rPr>
            </w:pPr>
            <w:r w:rsidRPr="00722A75">
              <w:rPr>
                <w:rStyle w:val="Strong"/>
              </w:rPr>
              <w:t>Standard&amp;Poor‘s</w:t>
            </w:r>
          </w:p>
        </w:tc>
        <w:tc>
          <w:tcPr>
            <w:tcW w:w="2464" w:type="dxa"/>
          </w:tcPr>
          <w:p w:rsidR="00D8496D" w:rsidRPr="00722A75" w:rsidRDefault="00D8496D" w:rsidP="00D8496D">
            <w:pPr>
              <w:spacing w:line="360" w:lineRule="auto"/>
              <w:ind w:firstLine="0"/>
              <w:contextualSpacing/>
              <w:jc w:val="center"/>
              <w:rPr>
                <w:rStyle w:val="Strong"/>
              </w:rPr>
            </w:pPr>
            <w:r w:rsidRPr="00722A75">
              <w:rPr>
                <w:rStyle w:val="Strong"/>
              </w:rPr>
              <w:t>Fitch</w:t>
            </w:r>
          </w:p>
        </w:tc>
      </w:tr>
      <w:tr w:rsidR="00D8496D" w:rsidTr="00AD00F8">
        <w:trPr>
          <w:trHeight w:val="621"/>
          <w:jc w:val="center"/>
        </w:trPr>
        <w:tc>
          <w:tcPr>
            <w:tcW w:w="2463" w:type="dxa"/>
          </w:tcPr>
          <w:p w:rsidR="00D8496D" w:rsidRPr="00722A75" w:rsidRDefault="00D8496D" w:rsidP="00D8496D">
            <w:pPr>
              <w:spacing w:line="360" w:lineRule="auto"/>
              <w:ind w:firstLine="0"/>
              <w:contextualSpacing/>
              <w:jc w:val="center"/>
              <w:rPr>
                <w:rStyle w:val="Strong"/>
              </w:rPr>
            </w:pPr>
            <w:r w:rsidRPr="00722A75">
              <w:rPr>
                <w:rStyle w:val="Strong"/>
              </w:rPr>
              <w:t>Lietuva</w:t>
            </w:r>
          </w:p>
        </w:tc>
        <w:tc>
          <w:tcPr>
            <w:tcW w:w="2463" w:type="dxa"/>
          </w:tcPr>
          <w:p w:rsidR="00D8496D" w:rsidRPr="00722A75" w:rsidRDefault="00D8496D" w:rsidP="00D8496D">
            <w:pPr>
              <w:spacing w:line="360" w:lineRule="auto"/>
              <w:ind w:firstLine="0"/>
              <w:contextualSpacing/>
              <w:jc w:val="center"/>
              <w:rPr>
                <w:rStyle w:val="Strong"/>
                <w:b w:val="0"/>
              </w:rPr>
            </w:pPr>
            <w:r w:rsidRPr="00722A75">
              <w:rPr>
                <w:rStyle w:val="Strong"/>
                <w:b w:val="0"/>
              </w:rPr>
              <w:t>Baa1</w:t>
            </w:r>
            <w:r w:rsidR="005E62E5" w:rsidRPr="00722A75">
              <w:rPr>
                <w:rStyle w:val="Strong"/>
                <w:b w:val="0"/>
              </w:rPr>
              <w:t>/stab.</w:t>
            </w:r>
          </w:p>
          <w:p w:rsidR="005E62E5" w:rsidRPr="00722A75" w:rsidRDefault="005E62E5" w:rsidP="00D8496D">
            <w:pPr>
              <w:spacing w:line="360" w:lineRule="auto"/>
              <w:ind w:firstLine="0"/>
              <w:contextualSpacing/>
              <w:jc w:val="center"/>
              <w:rPr>
                <w:rStyle w:val="Strong"/>
                <w:b w:val="0"/>
              </w:rPr>
            </w:pPr>
            <w:r w:rsidRPr="00722A75">
              <w:rPr>
                <w:rStyle w:val="Strong"/>
                <w:b w:val="0"/>
              </w:rPr>
              <w:t>(nuo 2010 03)</w:t>
            </w:r>
          </w:p>
        </w:tc>
        <w:tc>
          <w:tcPr>
            <w:tcW w:w="2464" w:type="dxa"/>
          </w:tcPr>
          <w:p w:rsidR="00D8496D" w:rsidRPr="00722A75" w:rsidRDefault="00D8496D" w:rsidP="00D8496D">
            <w:pPr>
              <w:spacing w:line="360" w:lineRule="auto"/>
              <w:ind w:firstLine="0"/>
              <w:contextualSpacing/>
              <w:jc w:val="center"/>
              <w:rPr>
                <w:rStyle w:val="Strong"/>
                <w:b w:val="0"/>
              </w:rPr>
            </w:pPr>
            <w:r w:rsidRPr="00722A75">
              <w:rPr>
                <w:rStyle w:val="Strong"/>
                <w:b w:val="0"/>
              </w:rPr>
              <w:t>BBB</w:t>
            </w:r>
            <w:r w:rsidR="005E62E5" w:rsidRPr="00722A75">
              <w:rPr>
                <w:rStyle w:val="Strong"/>
                <w:b w:val="0"/>
              </w:rPr>
              <w:t>/teig</w:t>
            </w:r>
          </w:p>
          <w:p w:rsidR="005E62E5" w:rsidRPr="00722A75" w:rsidRDefault="005E62E5" w:rsidP="00D8496D">
            <w:pPr>
              <w:spacing w:line="360" w:lineRule="auto"/>
              <w:ind w:firstLine="0"/>
              <w:contextualSpacing/>
              <w:jc w:val="center"/>
              <w:rPr>
                <w:rStyle w:val="Strong"/>
                <w:b w:val="0"/>
              </w:rPr>
            </w:pPr>
            <w:r w:rsidRPr="00722A75">
              <w:rPr>
                <w:rStyle w:val="Strong"/>
                <w:b w:val="0"/>
              </w:rPr>
              <w:t>(nuo 2013 10)</w:t>
            </w:r>
          </w:p>
        </w:tc>
        <w:tc>
          <w:tcPr>
            <w:tcW w:w="2464" w:type="dxa"/>
          </w:tcPr>
          <w:p w:rsidR="00D8496D" w:rsidRPr="00722A75" w:rsidRDefault="00D8496D" w:rsidP="00D8496D">
            <w:pPr>
              <w:spacing w:line="360" w:lineRule="auto"/>
              <w:ind w:firstLine="0"/>
              <w:contextualSpacing/>
              <w:jc w:val="center"/>
              <w:rPr>
                <w:rStyle w:val="Strong"/>
                <w:b w:val="0"/>
              </w:rPr>
            </w:pPr>
            <w:r w:rsidRPr="00722A75">
              <w:rPr>
                <w:rStyle w:val="Strong"/>
                <w:b w:val="0"/>
              </w:rPr>
              <w:t>BBB+</w:t>
            </w:r>
            <w:r w:rsidR="005E62E5" w:rsidRPr="00722A75">
              <w:rPr>
                <w:rStyle w:val="Strong"/>
                <w:b w:val="0"/>
              </w:rPr>
              <w:t>/stab.</w:t>
            </w:r>
          </w:p>
          <w:p w:rsidR="005E62E5" w:rsidRPr="00722A75" w:rsidRDefault="005E62E5" w:rsidP="00D8496D">
            <w:pPr>
              <w:spacing w:line="360" w:lineRule="auto"/>
              <w:ind w:firstLine="0"/>
              <w:contextualSpacing/>
              <w:jc w:val="center"/>
              <w:rPr>
                <w:rStyle w:val="Strong"/>
                <w:b w:val="0"/>
              </w:rPr>
            </w:pPr>
            <w:r w:rsidRPr="00722A75">
              <w:rPr>
                <w:rStyle w:val="Strong"/>
                <w:b w:val="0"/>
              </w:rPr>
              <w:t>(nuo 2013 04)</w:t>
            </w:r>
          </w:p>
        </w:tc>
      </w:tr>
      <w:tr w:rsidR="00D8496D" w:rsidTr="00AD00F8">
        <w:trPr>
          <w:jc w:val="center"/>
        </w:trPr>
        <w:tc>
          <w:tcPr>
            <w:tcW w:w="2463" w:type="dxa"/>
          </w:tcPr>
          <w:p w:rsidR="00D8496D" w:rsidRPr="00722A75" w:rsidRDefault="00D8496D" w:rsidP="00D8496D">
            <w:pPr>
              <w:spacing w:line="360" w:lineRule="auto"/>
              <w:ind w:firstLine="0"/>
              <w:contextualSpacing/>
              <w:jc w:val="center"/>
              <w:rPr>
                <w:rStyle w:val="Strong"/>
              </w:rPr>
            </w:pPr>
            <w:r w:rsidRPr="00722A75">
              <w:rPr>
                <w:rStyle w:val="Strong"/>
              </w:rPr>
              <w:t>Latvija</w:t>
            </w:r>
          </w:p>
        </w:tc>
        <w:tc>
          <w:tcPr>
            <w:tcW w:w="2463" w:type="dxa"/>
          </w:tcPr>
          <w:p w:rsidR="00AD6736" w:rsidRPr="00722A75" w:rsidRDefault="00D8496D" w:rsidP="00D8496D">
            <w:pPr>
              <w:spacing w:line="360" w:lineRule="auto"/>
              <w:ind w:firstLine="0"/>
              <w:contextualSpacing/>
              <w:jc w:val="center"/>
              <w:rPr>
                <w:rStyle w:val="Strong"/>
                <w:b w:val="0"/>
              </w:rPr>
            </w:pPr>
            <w:r w:rsidRPr="00722A75">
              <w:rPr>
                <w:rStyle w:val="Strong"/>
                <w:b w:val="0"/>
              </w:rPr>
              <w:t>Baa2</w:t>
            </w:r>
            <w:r w:rsidR="00AD6736" w:rsidRPr="00722A75">
              <w:rPr>
                <w:rStyle w:val="Strong"/>
                <w:b w:val="0"/>
              </w:rPr>
              <w:t>/ teig.</w:t>
            </w:r>
            <w:r w:rsidR="0064789F" w:rsidRPr="00722A75">
              <w:rPr>
                <w:rStyle w:val="Strong"/>
                <w:b w:val="0"/>
              </w:rPr>
              <w:t xml:space="preserve"> </w:t>
            </w:r>
          </w:p>
          <w:p w:rsidR="00D8496D" w:rsidRPr="00722A75" w:rsidRDefault="0064789F" w:rsidP="00D8496D">
            <w:pPr>
              <w:spacing w:line="360" w:lineRule="auto"/>
              <w:ind w:firstLine="0"/>
              <w:contextualSpacing/>
              <w:jc w:val="center"/>
              <w:rPr>
                <w:rStyle w:val="Strong"/>
                <w:b w:val="0"/>
              </w:rPr>
            </w:pPr>
            <w:r w:rsidRPr="00722A75">
              <w:rPr>
                <w:rStyle w:val="Strong"/>
                <w:b w:val="0"/>
              </w:rPr>
              <w:t>(</w:t>
            </w:r>
            <w:r w:rsidR="00AD6736" w:rsidRPr="00722A75">
              <w:rPr>
                <w:rStyle w:val="Strong"/>
                <w:b w:val="0"/>
              </w:rPr>
              <w:t>nuo</w:t>
            </w:r>
            <w:r w:rsidRPr="00722A75">
              <w:rPr>
                <w:rStyle w:val="Strong"/>
                <w:b w:val="0"/>
              </w:rPr>
              <w:t xml:space="preserve"> 2013 05)</w:t>
            </w:r>
          </w:p>
        </w:tc>
        <w:tc>
          <w:tcPr>
            <w:tcW w:w="2464" w:type="dxa"/>
          </w:tcPr>
          <w:p w:rsidR="00AD6736" w:rsidRPr="00722A75" w:rsidRDefault="00D8496D" w:rsidP="00D8496D">
            <w:pPr>
              <w:spacing w:line="360" w:lineRule="auto"/>
              <w:ind w:firstLine="0"/>
              <w:contextualSpacing/>
              <w:jc w:val="center"/>
              <w:rPr>
                <w:rStyle w:val="Strong"/>
                <w:b w:val="0"/>
              </w:rPr>
            </w:pPr>
            <w:r w:rsidRPr="00722A75">
              <w:rPr>
                <w:rStyle w:val="Strong"/>
                <w:b w:val="0"/>
              </w:rPr>
              <w:t>BBB+</w:t>
            </w:r>
            <w:r w:rsidR="0064789F" w:rsidRPr="00722A75">
              <w:rPr>
                <w:rStyle w:val="Strong"/>
                <w:b w:val="0"/>
              </w:rPr>
              <w:t xml:space="preserve"> </w:t>
            </w:r>
            <w:r w:rsidR="00AD6736" w:rsidRPr="00722A75">
              <w:rPr>
                <w:rStyle w:val="Strong"/>
                <w:b w:val="0"/>
              </w:rPr>
              <w:t>/</w:t>
            </w:r>
            <w:r w:rsidR="0064789F" w:rsidRPr="00722A75">
              <w:rPr>
                <w:rStyle w:val="Strong"/>
                <w:b w:val="0"/>
              </w:rPr>
              <w:t>stab</w:t>
            </w:r>
            <w:r w:rsidR="00AD6736" w:rsidRPr="00722A75">
              <w:rPr>
                <w:rStyle w:val="Strong"/>
                <w:b w:val="0"/>
              </w:rPr>
              <w:t>.</w:t>
            </w:r>
            <w:r w:rsidR="0064789F" w:rsidRPr="00722A75">
              <w:rPr>
                <w:rStyle w:val="Strong"/>
                <w:b w:val="0"/>
              </w:rPr>
              <w:t xml:space="preserve"> </w:t>
            </w:r>
          </w:p>
          <w:p w:rsidR="00D8496D" w:rsidRPr="00722A75" w:rsidRDefault="00AD6736" w:rsidP="00D8496D">
            <w:pPr>
              <w:spacing w:line="360" w:lineRule="auto"/>
              <w:ind w:firstLine="0"/>
              <w:contextualSpacing/>
              <w:jc w:val="center"/>
              <w:rPr>
                <w:rStyle w:val="Strong"/>
                <w:b w:val="0"/>
              </w:rPr>
            </w:pPr>
            <w:r w:rsidRPr="00722A75">
              <w:rPr>
                <w:rStyle w:val="Strong"/>
                <w:b w:val="0"/>
              </w:rPr>
              <w:t xml:space="preserve">(nuo </w:t>
            </w:r>
            <w:r w:rsidR="0064789F" w:rsidRPr="00722A75">
              <w:rPr>
                <w:rStyle w:val="Strong"/>
                <w:b w:val="0"/>
              </w:rPr>
              <w:t>2013 07)</w:t>
            </w:r>
          </w:p>
        </w:tc>
        <w:tc>
          <w:tcPr>
            <w:tcW w:w="2464" w:type="dxa"/>
          </w:tcPr>
          <w:p w:rsidR="00AD6736" w:rsidRPr="00722A75" w:rsidRDefault="00D8496D" w:rsidP="00D8496D">
            <w:pPr>
              <w:spacing w:line="360" w:lineRule="auto"/>
              <w:ind w:firstLine="0"/>
              <w:contextualSpacing/>
              <w:jc w:val="center"/>
              <w:rPr>
                <w:rStyle w:val="Strong"/>
                <w:b w:val="0"/>
              </w:rPr>
            </w:pPr>
            <w:r w:rsidRPr="00722A75">
              <w:rPr>
                <w:rStyle w:val="Strong"/>
                <w:b w:val="0"/>
              </w:rPr>
              <w:t>BBB+</w:t>
            </w:r>
            <w:r w:rsidR="0064789F" w:rsidRPr="00722A75">
              <w:rPr>
                <w:rStyle w:val="Strong"/>
                <w:b w:val="0"/>
              </w:rPr>
              <w:t xml:space="preserve"> </w:t>
            </w:r>
            <w:r w:rsidR="00AD6736" w:rsidRPr="00722A75">
              <w:rPr>
                <w:rStyle w:val="Strong"/>
                <w:b w:val="0"/>
              </w:rPr>
              <w:t>/</w:t>
            </w:r>
            <w:r w:rsidR="0064789F" w:rsidRPr="00722A75">
              <w:rPr>
                <w:rStyle w:val="Strong"/>
                <w:b w:val="0"/>
              </w:rPr>
              <w:t>stab</w:t>
            </w:r>
            <w:r w:rsidR="00AD6736" w:rsidRPr="00722A75">
              <w:rPr>
                <w:rStyle w:val="Strong"/>
                <w:b w:val="0"/>
              </w:rPr>
              <w:t xml:space="preserve">. </w:t>
            </w:r>
          </w:p>
          <w:p w:rsidR="00D8496D" w:rsidRPr="00722A75" w:rsidRDefault="00AD6736" w:rsidP="00D8496D">
            <w:pPr>
              <w:spacing w:line="360" w:lineRule="auto"/>
              <w:ind w:firstLine="0"/>
              <w:contextualSpacing/>
              <w:jc w:val="center"/>
              <w:rPr>
                <w:rStyle w:val="Strong"/>
                <w:b w:val="0"/>
              </w:rPr>
            </w:pPr>
            <w:r w:rsidRPr="00722A75">
              <w:rPr>
                <w:rStyle w:val="Strong"/>
                <w:b w:val="0"/>
              </w:rPr>
              <w:t xml:space="preserve">(nuo </w:t>
            </w:r>
            <w:r w:rsidR="0064789F" w:rsidRPr="00722A75">
              <w:rPr>
                <w:rStyle w:val="Strong"/>
                <w:b w:val="0"/>
              </w:rPr>
              <w:t>2013 07)</w:t>
            </w:r>
          </w:p>
        </w:tc>
      </w:tr>
      <w:tr w:rsidR="00D8496D" w:rsidTr="00AD00F8">
        <w:trPr>
          <w:jc w:val="center"/>
        </w:trPr>
        <w:tc>
          <w:tcPr>
            <w:tcW w:w="2463" w:type="dxa"/>
          </w:tcPr>
          <w:p w:rsidR="00D8496D" w:rsidRPr="00722A75" w:rsidRDefault="00D8496D" w:rsidP="00D8496D">
            <w:pPr>
              <w:spacing w:line="360" w:lineRule="auto"/>
              <w:ind w:firstLine="0"/>
              <w:contextualSpacing/>
              <w:jc w:val="center"/>
              <w:rPr>
                <w:rStyle w:val="Strong"/>
              </w:rPr>
            </w:pPr>
            <w:r w:rsidRPr="00722A75">
              <w:rPr>
                <w:rStyle w:val="Strong"/>
              </w:rPr>
              <w:t>Estija</w:t>
            </w:r>
          </w:p>
        </w:tc>
        <w:tc>
          <w:tcPr>
            <w:tcW w:w="2463" w:type="dxa"/>
          </w:tcPr>
          <w:p w:rsidR="00D8496D" w:rsidRPr="00722A75" w:rsidRDefault="00D8496D" w:rsidP="00D8496D">
            <w:pPr>
              <w:spacing w:line="360" w:lineRule="auto"/>
              <w:ind w:firstLine="0"/>
              <w:contextualSpacing/>
              <w:jc w:val="center"/>
              <w:rPr>
                <w:rStyle w:val="Strong"/>
                <w:b w:val="0"/>
              </w:rPr>
            </w:pPr>
            <w:r w:rsidRPr="00722A75">
              <w:rPr>
                <w:rStyle w:val="Strong"/>
                <w:b w:val="0"/>
              </w:rPr>
              <w:t>A1</w:t>
            </w:r>
            <w:r w:rsidR="00146B5A" w:rsidRPr="00722A75">
              <w:rPr>
                <w:rStyle w:val="Strong"/>
                <w:b w:val="0"/>
              </w:rPr>
              <w:t>/stab.</w:t>
            </w:r>
          </w:p>
          <w:p w:rsidR="00003FCA" w:rsidRPr="00722A75" w:rsidRDefault="00CE5909" w:rsidP="00D8496D">
            <w:pPr>
              <w:spacing w:line="360" w:lineRule="auto"/>
              <w:ind w:firstLine="0"/>
              <w:contextualSpacing/>
              <w:jc w:val="center"/>
              <w:rPr>
                <w:rStyle w:val="Strong"/>
                <w:b w:val="0"/>
              </w:rPr>
            </w:pPr>
            <w:r w:rsidRPr="00722A75">
              <w:rPr>
                <w:rStyle w:val="Strong"/>
                <w:b w:val="0"/>
              </w:rPr>
              <w:t>(nuo 2012 07</w:t>
            </w:r>
            <w:r w:rsidR="00003FCA" w:rsidRPr="00722A75">
              <w:rPr>
                <w:rStyle w:val="Strong"/>
                <w:b w:val="0"/>
              </w:rPr>
              <w:t>)</w:t>
            </w:r>
          </w:p>
        </w:tc>
        <w:tc>
          <w:tcPr>
            <w:tcW w:w="2464" w:type="dxa"/>
          </w:tcPr>
          <w:p w:rsidR="00D8496D" w:rsidRPr="00722A75" w:rsidRDefault="00146B5A" w:rsidP="00D8496D">
            <w:pPr>
              <w:spacing w:line="360" w:lineRule="auto"/>
              <w:ind w:firstLine="0"/>
              <w:contextualSpacing/>
              <w:jc w:val="center"/>
              <w:rPr>
                <w:rStyle w:val="Strong"/>
                <w:b w:val="0"/>
              </w:rPr>
            </w:pPr>
            <w:r w:rsidRPr="00722A75">
              <w:rPr>
                <w:rStyle w:val="Strong"/>
                <w:b w:val="0"/>
              </w:rPr>
              <w:t>AA</w:t>
            </w:r>
            <w:r w:rsidR="00CE5909" w:rsidRPr="00722A75">
              <w:rPr>
                <w:rStyle w:val="Strong"/>
                <w:b w:val="0"/>
              </w:rPr>
              <w:t>-</w:t>
            </w:r>
            <w:r w:rsidRPr="00722A75">
              <w:rPr>
                <w:rStyle w:val="Strong"/>
                <w:b w:val="0"/>
              </w:rPr>
              <w:t>/stab.</w:t>
            </w:r>
          </w:p>
          <w:p w:rsidR="00003FCA" w:rsidRPr="00722A75" w:rsidRDefault="00CE5909" w:rsidP="00CE5909">
            <w:pPr>
              <w:spacing w:line="360" w:lineRule="auto"/>
              <w:ind w:firstLine="0"/>
              <w:contextualSpacing/>
              <w:jc w:val="center"/>
              <w:rPr>
                <w:rStyle w:val="Strong"/>
                <w:b w:val="0"/>
              </w:rPr>
            </w:pPr>
            <w:r w:rsidRPr="00722A75">
              <w:rPr>
                <w:rStyle w:val="Strong"/>
                <w:b w:val="0"/>
              </w:rPr>
              <w:t>(nuo 201</w:t>
            </w:r>
            <w:r w:rsidR="00BE363D" w:rsidRPr="00722A75">
              <w:rPr>
                <w:rStyle w:val="Strong"/>
                <w:b w:val="0"/>
              </w:rPr>
              <w:t>1 08</w:t>
            </w:r>
            <w:r w:rsidR="00003FCA" w:rsidRPr="00722A75">
              <w:rPr>
                <w:rStyle w:val="Strong"/>
                <w:b w:val="0"/>
              </w:rPr>
              <w:t>)</w:t>
            </w:r>
          </w:p>
        </w:tc>
        <w:tc>
          <w:tcPr>
            <w:tcW w:w="2464" w:type="dxa"/>
          </w:tcPr>
          <w:p w:rsidR="00D8496D" w:rsidRPr="00722A75" w:rsidRDefault="00D8496D" w:rsidP="00D8496D">
            <w:pPr>
              <w:spacing w:line="360" w:lineRule="auto"/>
              <w:ind w:firstLine="0"/>
              <w:contextualSpacing/>
              <w:jc w:val="center"/>
              <w:rPr>
                <w:rStyle w:val="Strong"/>
                <w:b w:val="0"/>
              </w:rPr>
            </w:pPr>
            <w:r w:rsidRPr="00722A75">
              <w:rPr>
                <w:rStyle w:val="Strong"/>
                <w:b w:val="0"/>
              </w:rPr>
              <w:t>A+</w:t>
            </w:r>
            <w:r w:rsidR="00003FCA" w:rsidRPr="00722A75">
              <w:rPr>
                <w:rStyle w:val="Strong"/>
                <w:b w:val="0"/>
              </w:rPr>
              <w:t>/stab.</w:t>
            </w:r>
          </w:p>
          <w:p w:rsidR="00003FCA" w:rsidRPr="00722A75" w:rsidRDefault="00CE5909" w:rsidP="00D8496D">
            <w:pPr>
              <w:spacing w:line="360" w:lineRule="auto"/>
              <w:ind w:firstLine="0"/>
              <w:contextualSpacing/>
              <w:jc w:val="center"/>
              <w:rPr>
                <w:rStyle w:val="Strong"/>
                <w:b w:val="0"/>
              </w:rPr>
            </w:pPr>
            <w:r w:rsidRPr="00722A75">
              <w:rPr>
                <w:rStyle w:val="Strong"/>
                <w:b w:val="0"/>
              </w:rPr>
              <w:t>(nuo 2012 06</w:t>
            </w:r>
            <w:r w:rsidR="00003FCA" w:rsidRPr="00722A75">
              <w:rPr>
                <w:rStyle w:val="Strong"/>
                <w:b w:val="0"/>
              </w:rPr>
              <w:t>)</w:t>
            </w:r>
          </w:p>
        </w:tc>
      </w:tr>
    </w:tbl>
    <w:p w:rsidR="00A65B03" w:rsidRDefault="005B47AA" w:rsidP="00A65B03">
      <w:pPr>
        <w:spacing w:line="360" w:lineRule="auto"/>
        <w:ind w:firstLine="0"/>
        <w:contextualSpacing/>
        <w:rPr>
          <w:sz w:val="24"/>
          <w:szCs w:val="24"/>
        </w:rPr>
      </w:pPr>
      <w:r>
        <w:t xml:space="preserve">    </w:t>
      </w:r>
      <w:r w:rsidR="00A65B03" w:rsidRPr="00A65B03">
        <w:t>Šaltinis: sudaryta autor</w:t>
      </w:r>
      <w:r w:rsidR="008E7BB3">
        <w:t>ės remiantis Lietuvos,</w:t>
      </w:r>
      <w:r w:rsidR="00A968C6">
        <w:t xml:space="preserve"> Estijos </w:t>
      </w:r>
      <w:r w:rsidR="00A65B03" w:rsidRPr="00A65B03">
        <w:t xml:space="preserve">finansų ministerijų </w:t>
      </w:r>
      <w:r w:rsidR="008E7BB3">
        <w:t xml:space="preserve"> bei Latvijos valstybės iždo</w:t>
      </w:r>
      <w:r w:rsidR="00A65B03" w:rsidRPr="00A65B03">
        <w:t>duomenimis</w:t>
      </w:r>
      <w:r w:rsidR="00A65B03">
        <w:rPr>
          <w:sz w:val="24"/>
          <w:szCs w:val="24"/>
        </w:rPr>
        <w:t>.</w:t>
      </w:r>
    </w:p>
    <w:p w:rsidR="005C2201" w:rsidRDefault="00C626A3" w:rsidP="008F1BBD">
      <w:pPr>
        <w:spacing w:line="360" w:lineRule="auto"/>
        <w:ind w:firstLine="0"/>
        <w:contextualSpacing/>
      </w:pPr>
      <w:r>
        <w:t xml:space="preserve">    </w:t>
      </w:r>
      <w:r w:rsidR="005C2201">
        <w:t>Pastaba: data rodo, kada paskutinį kartą buvo koreguota reitingo perspektyva.</w:t>
      </w:r>
    </w:p>
    <w:p w:rsidR="00047573" w:rsidRPr="008F1BBD" w:rsidRDefault="00047573" w:rsidP="008F1BBD">
      <w:pPr>
        <w:spacing w:line="360" w:lineRule="auto"/>
        <w:ind w:firstLine="0"/>
        <w:contextualSpacing/>
        <w:rPr>
          <w:rStyle w:val="Strong"/>
          <w:b w:val="0"/>
          <w:bCs w:val="0"/>
        </w:rPr>
      </w:pPr>
    </w:p>
    <w:p w:rsidR="00DA50BB" w:rsidRDefault="00BC76B9" w:rsidP="00DA50BB">
      <w:pPr>
        <w:spacing w:line="360" w:lineRule="auto"/>
        <w:ind w:firstLine="720"/>
        <w:contextualSpacing/>
        <w:rPr>
          <w:rStyle w:val="Strong"/>
          <w:b w:val="0"/>
          <w:sz w:val="24"/>
          <w:szCs w:val="24"/>
        </w:rPr>
      </w:pPr>
      <w:r>
        <w:rPr>
          <w:rStyle w:val="Strong"/>
          <w:b w:val="0"/>
          <w:sz w:val="24"/>
          <w:szCs w:val="24"/>
        </w:rPr>
        <w:t>G</w:t>
      </w:r>
      <w:r w:rsidR="00D141B6">
        <w:rPr>
          <w:rStyle w:val="Strong"/>
          <w:b w:val="0"/>
          <w:sz w:val="24"/>
          <w:szCs w:val="24"/>
        </w:rPr>
        <w:t>eriausiai pagal</w:t>
      </w:r>
      <w:r>
        <w:rPr>
          <w:rStyle w:val="Strong"/>
          <w:b w:val="0"/>
          <w:sz w:val="24"/>
          <w:szCs w:val="24"/>
        </w:rPr>
        <w:t xml:space="preserve"> </w:t>
      </w:r>
      <w:r w:rsidR="00D141B6">
        <w:rPr>
          <w:rStyle w:val="Strong"/>
          <w:b w:val="0"/>
          <w:sz w:val="24"/>
          <w:szCs w:val="24"/>
        </w:rPr>
        <w:t>kredito reitingus</w:t>
      </w:r>
      <w:r>
        <w:rPr>
          <w:rStyle w:val="Strong"/>
          <w:b w:val="0"/>
          <w:sz w:val="24"/>
          <w:szCs w:val="24"/>
        </w:rPr>
        <w:t xml:space="preserve"> iš Baltijos šalių </w:t>
      </w:r>
      <w:r w:rsidR="00D141B6">
        <w:rPr>
          <w:rStyle w:val="Strong"/>
          <w:b w:val="0"/>
          <w:sz w:val="24"/>
          <w:szCs w:val="24"/>
        </w:rPr>
        <w:t>yra įvertinta</w:t>
      </w:r>
      <w:r>
        <w:rPr>
          <w:rStyle w:val="Strong"/>
          <w:b w:val="0"/>
          <w:sz w:val="24"/>
          <w:szCs w:val="24"/>
        </w:rPr>
        <w:t xml:space="preserve"> Estija.</w:t>
      </w:r>
      <w:r w:rsidR="00424D0B">
        <w:rPr>
          <w:rStyle w:val="Strong"/>
          <w:b w:val="0"/>
          <w:sz w:val="24"/>
          <w:szCs w:val="24"/>
        </w:rPr>
        <w:t xml:space="preserve"> Moody‘s ir Fitch </w:t>
      </w:r>
      <w:r w:rsidR="003A4142">
        <w:rPr>
          <w:rStyle w:val="Strong"/>
          <w:b w:val="0"/>
          <w:sz w:val="24"/>
          <w:szCs w:val="24"/>
        </w:rPr>
        <w:t xml:space="preserve">kredito reitingų </w:t>
      </w:r>
      <w:r w:rsidR="00424D0B">
        <w:rPr>
          <w:rStyle w:val="Strong"/>
          <w:b w:val="0"/>
          <w:sz w:val="24"/>
          <w:szCs w:val="24"/>
        </w:rPr>
        <w:t xml:space="preserve">agentūros Estijai yra </w:t>
      </w:r>
      <w:r w:rsidR="0058699B">
        <w:rPr>
          <w:rStyle w:val="Strong"/>
          <w:b w:val="0"/>
          <w:sz w:val="24"/>
          <w:szCs w:val="24"/>
        </w:rPr>
        <w:t>suteikusios penktą investicinio saugumo lygį atspindinčius reitingus</w:t>
      </w:r>
      <w:r w:rsidR="007D5187">
        <w:rPr>
          <w:rStyle w:val="Strong"/>
          <w:b w:val="0"/>
          <w:sz w:val="24"/>
          <w:szCs w:val="24"/>
        </w:rPr>
        <w:t xml:space="preserve"> A1 ir A+</w:t>
      </w:r>
      <w:r w:rsidR="00424D0B">
        <w:rPr>
          <w:rStyle w:val="Strong"/>
          <w:b w:val="0"/>
          <w:sz w:val="24"/>
          <w:szCs w:val="24"/>
        </w:rPr>
        <w:t>, tuo tarpu Standard</w:t>
      </w:r>
      <w:r w:rsidR="00424D0B" w:rsidRPr="00D8496D">
        <w:rPr>
          <w:rStyle w:val="Strong"/>
          <w:b w:val="0"/>
          <w:sz w:val="24"/>
          <w:szCs w:val="24"/>
        </w:rPr>
        <w:t>&amp;</w:t>
      </w:r>
      <w:r w:rsidR="00424D0B">
        <w:rPr>
          <w:rStyle w:val="Strong"/>
          <w:b w:val="0"/>
          <w:sz w:val="24"/>
          <w:szCs w:val="24"/>
        </w:rPr>
        <w:t xml:space="preserve">Poor‘s </w:t>
      </w:r>
      <w:r w:rsidR="007D5187">
        <w:rPr>
          <w:rStyle w:val="Strong"/>
          <w:b w:val="0"/>
          <w:sz w:val="24"/>
          <w:szCs w:val="24"/>
        </w:rPr>
        <w:t>Estiją ve</w:t>
      </w:r>
      <w:r w:rsidR="00D141B6">
        <w:rPr>
          <w:rStyle w:val="Strong"/>
          <w:b w:val="0"/>
          <w:sz w:val="24"/>
          <w:szCs w:val="24"/>
        </w:rPr>
        <w:t>r</w:t>
      </w:r>
      <w:r w:rsidR="007D5187">
        <w:rPr>
          <w:rStyle w:val="Strong"/>
          <w:b w:val="0"/>
          <w:sz w:val="24"/>
          <w:szCs w:val="24"/>
        </w:rPr>
        <w:t xml:space="preserve">tina </w:t>
      </w:r>
      <w:r w:rsidR="00424D0B">
        <w:rPr>
          <w:rStyle w:val="Strong"/>
          <w:b w:val="0"/>
          <w:sz w:val="24"/>
          <w:szCs w:val="24"/>
        </w:rPr>
        <w:t>kaip aukšto saugu</w:t>
      </w:r>
      <w:r w:rsidR="007D5187">
        <w:rPr>
          <w:rStyle w:val="Strong"/>
          <w:b w:val="0"/>
          <w:sz w:val="24"/>
          <w:szCs w:val="24"/>
        </w:rPr>
        <w:t xml:space="preserve">mo lygiu pasižyminčią valstybę ir suteikė </w:t>
      </w:r>
      <w:r w:rsidR="0058699B">
        <w:rPr>
          <w:rStyle w:val="Strong"/>
          <w:b w:val="0"/>
          <w:sz w:val="24"/>
          <w:szCs w:val="24"/>
        </w:rPr>
        <w:t xml:space="preserve">investicinio </w:t>
      </w:r>
      <w:r w:rsidR="003A4142">
        <w:rPr>
          <w:rStyle w:val="Strong"/>
          <w:b w:val="0"/>
          <w:sz w:val="24"/>
          <w:szCs w:val="24"/>
        </w:rPr>
        <w:t xml:space="preserve">saugumo </w:t>
      </w:r>
      <w:r w:rsidR="0058699B">
        <w:rPr>
          <w:rStyle w:val="Strong"/>
          <w:b w:val="0"/>
          <w:sz w:val="24"/>
          <w:szCs w:val="24"/>
        </w:rPr>
        <w:t xml:space="preserve">ketvirtą </w:t>
      </w:r>
      <w:r w:rsidR="003A4142">
        <w:rPr>
          <w:rStyle w:val="Strong"/>
          <w:b w:val="0"/>
          <w:sz w:val="24"/>
          <w:szCs w:val="24"/>
        </w:rPr>
        <w:t>lyg</w:t>
      </w:r>
      <w:r w:rsidR="0058699B">
        <w:rPr>
          <w:rStyle w:val="Strong"/>
          <w:b w:val="0"/>
          <w:sz w:val="24"/>
          <w:szCs w:val="24"/>
        </w:rPr>
        <w:t>į rodantį kredito reitingą</w:t>
      </w:r>
      <w:r w:rsidR="00B77AF1">
        <w:rPr>
          <w:rStyle w:val="Strong"/>
          <w:b w:val="0"/>
          <w:sz w:val="24"/>
          <w:szCs w:val="24"/>
        </w:rPr>
        <w:t xml:space="preserve"> AA-</w:t>
      </w:r>
      <w:r w:rsidR="00DD225E">
        <w:rPr>
          <w:rStyle w:val="Strong"/>
          <w:b w:val="0"/>
          <w:sz w:val="24"/>
          <w:szCs w:val="24"/>
        </w:rPr>
        <w:t>. Suteikdama tokį kredito reitingą, agentūra</w:t>
      </w:r>
      <w:r w:rsidR="00A16B3E">
        <w:rPr>
          <w:rStyle w:val="Strong"/>
          <w:b w:val="0"/>
          <w:sz w:val="24"/>
          <w:szCs w:val="24"/>
        </w:rPr>
        <w:t xml:space="preserve"> išsakė savo nuomonę, jog Estij</w:t>
      </w:r>
      <w:r w:rsidR="006B6D54">
        <w:rPr>
          <w:rStyle w:val="Strong"/>
          <w:b w:val="0"/>
          <w:sz w:val="24"/>
          <w:szCs w:val="24"/>
        </w:rPr>
        <w:t>a dėl stabilios</w:t>
      </w:r>
      <w:r w:rsidR="00A16B3E">
        <w:rPr>
          <w:rStyle w:val="Strong"/>
          <w:b w:val="0"/>
          <w:sz w:val="24"/>
          <w:szCs w:val="24"/>
        </w:rPr>
        <w:t xml:space="preserve"> politinės aplinkos, griežtos viešųjų finansų kontrolės, lankstus privačiojo sektoriaus bei mažo skolinimosi yra pajėgi atlaikyti neramumu</w:t>
      </w:r>
      <w:r w:rsidR="006B6D54">
        <w:rPr>
          <w:rStyle w:val="Strong"/>
          <w:b w:val="0"/>
          <w:sz w:val="24"/>
          <w:szCs w:val="24"/>
        </w:rPr>
        <w:t>s</w:t>
      </w:r>
      <w:r w:rsidR="00A16B3E">
        <w:rPr>
          <w:rStyle w:val="Strong"/>
          <w:b w:val="0"/>
          <w:sz w:val="24"/>
          <w:szCs w:val="24"/>
        </w:rPr>
        <w:t xml:space="preserve"> Euro zonoje. </w:t>
      </w:r>
      <w:r w:rsidR="00BE363D">
        <w:rPr>
          <w:rStyle w:val="Strong"/>
          <w:b w:val="0"/>
          <w:sz w:val="24"/>
          <w:szCs w:val="24"/>
        </w:rPr>
        <w:t>Šis kredito reitingas yra auk</w:t>
      </w:r>
      <w:r w:rsidR="006B0E44">
        <w:rPr>
          <w:rStyle w:val="Strong"/>
          <w:b w:val="0"/>
          <w:sz w:val="24"/>
          <w:szCs w:val="24"/>
        </w:rPr>
        <w:t>š</w:t>
      </w:r>
      <w:r w:rsidR="00BE363D">
        <w:rPr>
          <w:rStyle w:val="Strong"/>
          <w:b w:val="0"/>
          <w:sz w:val="24"/>
          <w:szCs w:val="24"/>
        </w:rPr>
        <w:t xml:space="preserve">čiausias </w:t>
      </w:r>
      <w:r w:rsidR="0058699B">
        <w:rPr>
          <w:rStyle w:val="Strong"/>
          <w:b w:val="0"/>
          <w:sz w:val="24"/>
          <w:szCs w:val="24"/>
        </w:rPr>
        <w:t xml:space="preserve">iš visų agentūrų </w:t>
      </w:r>
      <w:r w:rsidR="00BE363D">
        <w:rPr>
          <w:rStyle w:val="Strong"/>
          <w:b w:val="0"/>
          <w:sz w:val="24"/>
          <w:szCs w:val="24"/>
        </w:rPr>
        <w:t xml:space="preserve">kada nors duotas Baltijos šaliai. </w:t>
      </w:r>
      <w:r w:rsidR="00DA50BB">
        <w:rPr>
          <w:rStyle w:val="Strong"/>
          <w:b w:val="0"/>
          <w:sz w:val="24"/>
          <w:szCs w:val="24"/>
        </w:rPr>
        <w:t>Visų Estijos kredito reitingų perspektyva yra stabili</w:t>
      </w:r>
      <w:r w:rsidR="006B0E44">
        <w:rPr>
          <w:rStyle w:val="Strong"/>
          <w:b w:val="0"/>
          <w:sz w:val="24"/>
          <w:szCs w:val="24"/>
        </w:rPr>
        <w:t>.</w:t>
      </w:r>
    </w:p>
    <w:p w:rsidR="00913CAF" w:rsidRDefault="00603701" w:rsidP="00BC54C3">
      <w:pPr>
        <w:spacing w:line="360" w:lineRule="auto"/>
        <w:ind w:firstLine="720"/>
        <w:contextualSpacing/>
        <w:rPr>
          <w:rStyle w:val="Strong"/>
          <w:b w:val="0"/>
          <w:sz w:val="24"/>
          <w:szCs w:val="24"/>
        </w:rPr>
      </w:pPr>
      <w:r>
        <w:rPr>
          <w:rStyle w:val="Strong"/>
          <w:b w:val="0"/>
          <w:sz w:val="24"/>
          <w:szCs w:val="24"/>
        </w:rPr>
        <w:t xml:space="preserve">Lietuva ir Latvija </w:t>
      </w:r>
      <w:r w:rsidR="00583471">
        <w:rPr>
          <w:rStyle w:val="Strong"/>
          <w:b w:val="0"/>
          <w:sz w:val="24"/>
          <w:szCs w:val="24"/>
        </w:rPr>
        <w:t xml:space="preserve">kredito reitingų agentūrų </w:t>
      </w:r>
      <w:r w:rsidR="00AE1259">
        <w:rPr>
          <w:rStyle w:val="Strong"/>
          <w:b w:val="0"/>
          <w:sz w:val="24"/>
          <w:szCs w:val="24"/>
        </w:rPr>
        <w:t xml:space="preserve">yra </w:t>
      </w:r>
      <w:r w:rsidR="000F2345">
        <w:rPr>
          <w:rStyle w:val="Strong"/>
          <w:b w:val="0"/>
          <w:sz w:val="24"/>
          <w:szCs w:val="24"/>
        </w:rPr>
        <w:t>vertinamos prasčiau.</w:t>
      </w:r>
      <w:r w:rsidR="00583471">
        <w:rPr>
          <w:rStyle w:val="Strong"/>
          <w:b w:val="0"/>
          <w:sz w:val="24"/>
          <w:szCs w:val="24"/>
        </w:rPr>
        <w:t xml:space="preserve"> Fitch agentūra abi šalis vertina vienodai ir yra suteikusi geriausią iš žemes</w:t>
      </w:r>
      <w:r w:rsidR="0046264C">
        <w:rPr>
          <w:rStyle w:val="Strong"/>
          <w:b w:val="0"/>
          <w:sz w:val="24"/>
          <w:szCs w:val="24"/>
        </w:rPr>
        <w:t>nių investicinių reitingų BBB+, tuo tarpu Moody‘</w:t>
      </w:r>
      <w:r w:rsidR="00277350">
        <w:rPr>
          <w:rStyle w:val="Strong"/>
          <w:b w:val="0"/>
          <w:sz w:val="24"/>
          <w:szCs w:val="24"/>
        </w:rPr>
        <w:t>s agentūra šiek ti</w:t>
      </w:r>
      <w:r w:rsidR="0046264C">
        <w:rPr>
          <w:rStyle w:val="Strong"/>
          <w:b w:val="0"/>
          <w:sz w:val="24"/>
          <w:szCs w:val="24"/>
        </w:rPr>
        <w:t>e</w:t>
      </w:r>
      <w:r w:rsidR="00277350">
        <w:rPr>
          <w:rStyle w:val="Strong"/>
          <w:b w:val="0"/>
          <w:sz w:val="24"/>
          <w:szCs w:val="24"/>
        </w:rPr>
        <w:t>k</w:t>
      </w:r>
      <w:r w:rsidR="0046264C">
        <w:rPr>
          <w:rStyle w:val="Strong"/>
          <w:b w:val="0"/>
          <w:sz w:val="24"/>
          <w:szCs w:val="24"/>
        </w:rPr>
        <w:t xml:space="preserve"> geriau vertina Lietuvą (Baa1 reitingas), o Standard</w:t>
      </w:r>
      <w:r w:rsidR="0046264C" w:rsidRPr="00D8496D">
        <w:rPr>
          <w:rStyle w:val="Strong"/>
          <w:b w:val="0"/>
          <w:sz w:val="24"/>
          <w:szCs w:val="24"/>
        </w:rPr>
        <w:t>&amp;</w:t>
      </w:r>
      <w:r w:rsidR="0046264C">
        <w:rPr>
          <w:rStyle w:val="Strong"/>
          <w:b w:val="0"/>
          <w:sz w:val="24"/>
          <w:szCs w:val="24"/>
        </w:rPr>
        <w:t>Poor‘s – Latviją (BBB+ reitingas).</w:t>
      </w:r>
      <w:r w:rsidR="001E3A49">
        <w:rPr>
          <w:rStyle w:val="Strong"/>
          <w:b w:val="0"/>
          <w:sz w:val="24"/>
          <w:szCs w:val="24"/>
        </w:rPr>
        <w:t xml:space="preserve"> </w:t>
      </w:r>
    </w:p>
    <w:p w:rsidR="00BC76B9" w:rsidRDefault="001E3A49" w:rsidP="00BC54C3">
      <w:pPr>
        <w:spacing w:line="360" w:lineRule="auto"/>
        <w:ind w:firstLine="720"/>
        <w:contextualSpacing/>
        <w:rPr>
          <w:sz w:val="24"/>
          <w:szCs w:val="24"/>
          <w:shd w:val="clear" w:color="auto" w:fill="FFFFFF"/>
        </w:rPr>
      </w:pPr>
      <w:r>
        <w:rPr>
          <w:rStyle w:val="Strong"/>
          <w:b w:val="0"/>
          <w:sz w:val="24"/>
          <w:szCs w:val="24"/>
        </w:rPr>
        <w:t xml:space="preserve">Kalbant apie Lietuvą, šiuo metu </w:t>
      </w:r>
      <w:r w:rsidR="00BC54C3">
        <w:rPr>
          <w:rStyle w:val="Strong"/>
          <w:b w:val="0"/>
          <w:sz w:val="24"/>
          <w:szCs w:val="24"/>
        </w:rPr>
        <w:t>jai suteiktų Moody‘s ir Fitch agentūrų kredito reitingų perspektyvos yra stabilios, o Standard</w:t>
      </w:r>
      <w:r w:rsidR="00BC54C3" w:rsidRPr="00D8496D">
        <w:rPr>
          <w:rStyle w:val="Strong"/>
          <w:b w:val="0"/>
          <w:sz w:val="24"/>
          <w:szCs w:val="24"/>
        </w:rPr>
        <w:t>&amp;</w:t>
      </w:r>
      <w:r w:rsidR="00BC54C3">
        <w:rPr>
          <w:rStyle w:val="Strong"/>
          <w:b w:val="0"/>
          <w:sz w:val="24"/>
          <w:szCs w:val="24"/>
        </w:rPr>
        <w:t>Poor‘s – teigiama. 2013 metai</w:t>
      </w:r>
      <w:r w:rsidR="006B0E44">
        <w:rPr>
          <w:rStyle w:val="Strong"/>
          <w:b w:val="0"/>
          <w:sz w:val="24"/>
          <w:szCs w:val="24"/>
        </w:rPr>
        <w:t>s Fitch agentūra pagerino</w:t>
      </w:r>
      <w:r w:rsidR="00BC54C3">
        <w:rPr>
          <w:rStyle w:val="Strong"/>
          <w:b w:val="0"/>
          <w:sz w:val="24"/>
          <w:szCs w:val="24"/>
        </w:rPr>
        <w:t xml:space="preserve"> Lietuvos kredito reitingą </w:t>
      </w:r>
      <w:r w:rsidR="006B0E44">
        <w:rPr>
          <w:rStyle w:val="Strong"/>
          <w:b w:val="0"/>
          <w:sz w:val="24"/>
          <w:szCs w:val="24"/>
        </w:rPr>
        <w:t xml:space="preserve">nuo BBB </w:t>
      </w:r>
      <w:r w:rsidR="00BC54C3">
        <w:rPr>
          <w:rStyle w:val="Strong"/>
          <w:b w:val="0"/>
          <w:sz w:val="24"/>
          <w:szCs w:val="24"/>
        </w:rPr>
        <w:t>i</w:t>
      </w:r>
      <w:r w:rsidR="006B0E44">
        <w:rPr>
          <w:rStyle w:val="Strong"/>
          <w:b w:val="0"/>
          <w:sz w:val="24"/>
          <w:szCs w:val="24"/>
        </w:rPr>
        <w:t>ki BBB+ su stabilia perspektyva</w:t>
      </w:r>
      <w:r w:rsidR="000860BF">
        <w:rPr>
          <w:rStyle w:val="Strong"/>
          <w:b w:val="0"/>
          <w:sz w:val="24"/>
          <w:szCs w:val="24"/>
        </w:rPr>
        <w:t>,</w:t>
      </w:r>
      <w:r w:rsidR="006B0E44">
        <w:rPr>
          <w:rStyle w:val="Strong"/>
          <w:b w:val="0"/>
          <w:sz w:val="24"/>
          <w:szCs w:val="24"/>
        </w:rPr>
        <w:t xml:space="preserve"> ir </w:t>
      </w:r>
      <w:r w:rsidR="00BC54C3">
        <w:rPr>
          <w:rStyle w:val="Strong"/>
          <w:b w:val="0"/>
          <w:sz w:val="24"/>
          <w:szCs w:val="24"/>
        </w:rPr>
        <w:t>k</w:t>
      </w:r>
      <w:r w:rsidR="00C21A35">
        <w:rPr>
          <w:rStyle w:val="Strong"/>
          <w:b w:val="0"/>
          <w:sz w:val="24"/>
          <w:szCs w:val="24"/>
        </w:rPr>
        <w:t xml:space="preserve">aip pagrindinę to priežastį įvardijo pokyčius šalies finansų srityje </w:t>
      </w:r>
      <w:r w:rsidR="000860BF">
        <w:rPr>
          <w:rStyle w:val="Strong"/>
          <w:b w:val="0"/>
          <w:sz w:val="24"/>
          <w:szCs w:val="24"/>
        </w:rPr>
        <w:t>bei</w:t>
      </w:r>
      <w:r w:rsidR="00C21A35">
        <w:rPr>
          <w:rStyle w:val="Strong"/>
          <w:b w:val="0"/>
          <w:sz w:val="24"/>
          <w:szCs w:val="24"/>
        </w:rPr>
        <w:t xml:space="preserve"> atkurtą konkurencingumą. Pagrindinės kliūtys dar labiau padidinti kredito reitingą įvardintos kaip nedidelės vietos kapitalo rinkos, aukštas ir struktūrinis nedarbas bei dideli emigracijos mąstai.</w:t>
      </w:r>
      <w:r w:rsidR="00913CAF">
        <w:rPr>
          <w:rStyle w:val="Strong"/>
          <w:b w:val="0"/>
          <w:sz w:val="24"/>
          <w:szCs w:val="24"/>
        </w:rPr>
        <w:t xml:space="preserve"> Standard</w:t>
      </w:r>
      <w:r w:rsidR="00913CAF" w:rsidRPr="00D8496D">
        <w:rPr>
          <w:rStyle w:val="Strong"/>
          <w:b w:val="0"/>
          <w:sz w:val="24"/>
          <w:szCs w:val="24"/>
        </w:rPr>
        <w:t>&amp;</w:t>
      </w:r>
      <w:r w:rsidR="00913CAF">
        <w:rPr>
          <w:rStyle w:val="Strong"/>
          <w:b w:val="0"/>
          <w:sz w:val="24"/>
          <w:szCs w:val="24"/>
        </w:rPr>
        <w:t xml:space="preserve">Poor‘s agentūra </w:t>
      </w:r>
      <w:r w:rsidR="006D4806">
        <w:rPr>
          <w:rStyle w:val="Strong"/>
          <w:b w:val="0"/>
          <w:sz w:val="24"/>
          <w:szCs w:val="24"/>
        </w:rPr>
        <w:t xml:space="preserve">tais pačiais metais </w:t>
      </w:r>
      <w:r w:rsidR="00913CAF">
        <w:rPr>
          <w:rStyle w:val="Strong"/>
          <w:b w:val="0"/>
          <w:sz w:val="24"/>
          <w:szCs w:val="24"/>
        </w:rPr>
        <w:t>pagerin</w:t>
      </w:r>
      <w:r w:rsidR="006D4806">
        <w:rPr>
          <w:rStyle w:val="Strong"/>
          <w:b w:val="0"/>
          <w:sz w:val="24"/>
          <w:szCs w:val="24"/>
        </w:rPr>
        <w:t>o</w:t>
      </w:r>
      <w:r w:rsidR="00913CAF">
        <w:rPr>
          <w:rStyle w:val="Strong"/>
          <w:b w:val="0"/>
          <w:sz w:val="24"/>
          <w:szCs w:val="24"/>
        </w:rPr>
        <w:t xml:space="preserve"> ilgalaikio skolinimosi reitingo </w:t>
      </w:r>
      <w:r w:rsidR="006D4806">
        <w:rPr>
          <w:rStyle w:val="Strong"/>
          <w:b w:val="0"/>
          <w:sz w:val="24"/>
          <w:szCs w:val="24"/>
        </w:rPr>
        <w:t xml:space="preserve">BBB </w:t>
      </w:r>
      <w:r w:rsidR="00913CAF">
        <w:rPr>
          <w:rStyle w:val="Strong"/>
          <w:b w:val="0"/>
          <w:sz w:val="24"/>
          <w:szCs w:val="24"/>
        </w:rPr>
        <w:t xml:space="preserve">perspektyvą iš stabilios į teigiamą, įvertinusi Vyriausybės politiką užtikrinant viešųjų finansų tvarumą ir numatomą šios politikos tęstinumą. </w:t>
      </w:r>
      <w:r w:rsidR="00913CAF" w:rsidRPr="00913CAF">
        <w:rPr>
          <w:color w:val="000000"/>
          <w:sz w:val="24"/>
          <w:szCs w:val="24"/>
          <w:shd w:val="clear" w:color="auto" w:fill="FFFFFF"/>
        </w:rPr>
        <w:t>Tam, kad reitingas būtų pagerintas, Lietuva turi laikytis politikos, kuri užtikrintų sveikus ir tvarius viešuosius finansus (juos atspindi Mastrichto kriterijai) ir leistų įsivesti eurą 2015 metais. „Standard &amp; Poor's“ taip pat galėtų pagerinti Lietuvos reitingą, jeigu šalies ekonomika ir toliau augtų taip sparčiai</w:t>
      </w:r>
      <w:r w:rsidR="00913CAF">
        <w:rPr>
          <w:color w:val="000000"/>
          <w:sz w:val="24"/>
          <w:szCs w:val="24"/>
          <w:shd w:val="clear" w:color="auto" w:fill="FFFFFF"/>
        </w:rPr>
        <w:t xml:space="preserve"> </w:t>
      </w:r>
      <w:r w:rsidR="001B5FE0" w:rsidRPr="001B5FE0">
        <w:rPr>
          <w:sz w:val="24"/>
          <w:szCs w:val="24"/>
          <w:shd w:val="clear" w:color="auto" w:fill="FFFFFF"/>
        </w:rPr>
        <w:t>[10</w:t>
      </w:r>
      <w:r w:rsidR="00913CAF" w:rsidRPr="001B5FE0">
        <w:rPr>
          <w:sz w:val="24"/>
          <w:szCs w:val="24"/>
          <w:shd w:val="clear" w:color="auto" w:fill="FFFFFF"/>
        </w:rPr>
        <w:t>].</w:t>
      </w:r>
      <w:r w:rsidR="006D4806">
        <w:rPr>
          <w:color w:val="FF0000"/>
          <w:sz w:val="24"/>
          <w:szCs w:val="24"/>
          <w:shd w:val="clear" w:color="auto" w:fill="FFFFFF"/>
        </w:rPr>
        <w:t xml:space="preserve"> </w:t>
      </w:r>
      <w:r w:rsidR="006D4806" w:rsidRPr="006D4806">
        <w:rPr>
          <w:sz w:val="24"/>
          <w:szCs w:val="24"/>
          <w:shd w:val="clear" w:color="auto" w:fill="FFFFFF"/>
        </w:rPr>
        <w:t>Kredito reitingų ir jų perspektyvų gerinimas rodo didėjantį pasitikėjimą valstyb</w:t>
      </w:r>
      <w:r w:rsidR="006D4806">
        <w:rPr>
          <w:sz w:val="24"/>
          <w:szCs w:val="24"/>
          <w:shd w:val="clear" w:color="auto" w:fill="FFFFFF"/>
        </w:rPr>
        <w:t>e ir sudaro prielaida</w:t>
      </w:r>
      <w:r w:rsidR="00D2107B">
        <w:rPr>
          <w:sz w:val="24"/>
          <w:szCs w:val="24"/>
          <w:shd w:val="clear" w:color="auto" w:fill="FFFFFF"/>
        </w:rPr>
        <w:t>s</w:t>
      </w:r>
      <w:r w:rsidR="006D4806">
        <w:rPr>
          <w:sz w:val="24"/>
          <w:szCs w:val="24"/>
          <w:shd w:val="clear" w:color="auto" w:fill="FFFFFF"/>
        </w:rPr>
        <w:t xml:space="preserve"> mažėti skolinimosi kainai.</w:t>
      </w:r>
    </w:p>
    <w:p w:rsidR="00ED488C" w:rsidRPr="006D4806" w:rsidRDefault="00ED488C" w:rsidP="00BC54C3">
      <w:pPr>
        <w:spacing w:line="360" w:lineRule="auto"/>
        <w:ind w:firstLine="720"/>
        <w:contextualSpacing/>
        <w:rPr>
          <w:rStyle w:val="Strong"/>
          <w:b w:val="0"/>
          <w:sz w:val="24"/>
          <w:szCs w:val="24"/>
        </w:rPr>
      </w:pPr>
      <w:r>
        <w:rPr>
          <w:sz w:val="24"/>
          <w:szCs w:val="24"/>
          <w:shd w:val="clear" w:color="auto" w:fill="FFFFFF"/>
        </w:rPr>
        <w:t xml:space="preserve">Latvijai </w:t>
      </w:r>
      <w:r>
        <w:rPr>
          <w:rStyle w:val="Strong"/>
          <w:b w:val="0"/>
          <w:sz w:val="24"/>
          <w:szCs w:val="24"/>
        </w:rPr>
        <w:t>Standard</w:t>
      </w:r>
      <w:r w:rsidRPr="00D8496D">
        <w:rPr>
          <w:rStyle w:val="Strong"/>
          <w:b w:val="0"/>
          <w:sz w:val="24"/>
          <w:szCs w:val="24"/>
        </w:rPr>
        <w:t>&amp;</w:t>
      </w:r>
      <w:r>
        <w:rPr>
          <w:rStyle w:val="Strong"/>
          <w:b w:val="0"/>
          <w:sz w:val="24"/>
          <w:szCs w:val="24"/>
        </w:rPr>
        <w:t>Poor‘s ir Fitch agentūrų suteiktų skolinimosi kreditų reitingų perspektyvos yra stabilio</w:t>
      </w:r>
      <w:r w:rsidR="00533B51">
        <w:rPr>
          <w:rStyle w:val="Strong"/>
          <w:b w:val="0"/>
          <w:sz w:val="24"/>
          <w:szCs w:val="24"/>
        </w:rPr>
        <w:t>s</w:t>
      </w:r>
      <w:r>
        <w:rPr>
          <w:rStyle w:val="Strong"/>
          <w:b w:val="0"/>
          <w:sz w:val="24"/>
          <w:szCs w:val="24"/>
        </w:rPr>
        <w:t>, o Moody‘s – teigiama.</w:t>
      </w:r>
      <w:r w:rsidR="00533B51">
        <w:rPr>
          <w:rStyle w:val="Strong"/>
          <w:b w:val="0"/>
          <w:sz w:val="24"/>
          <w:szCs w:val="24"/>
        </w:rPr>
        <w:t xml:space="preserve"> 2013 m. visos trys kredito reitingų agentūros pagerino Latvijos skolinimosi reitingus. Standard</w:t>
      </w:r>
      <w:r w:rsidR="00533B51" w:rsidRPr="00D8496D">
        <w:rPr>
          <w:rStyle w:val="Strong"/>
          <w:b w:val="0"/>
          <w:sz w:val="24"/>
          <w:szCs w:val="24"/>
        </w:rPr>
        <w:t>&amp;</w:t>
      </w:r>
      <w:r w:rsidR="00533B51">
        <w:rPr>
          <w:rStyle w:val="Strong"/>
          <w:b w:val="0"/>
          <w:sz w:val="24"/>
          <w:szCs w:val="24"/>
        </w:rPr>
        <w:t xml:space="preserve">Poor‘s ir Fitch agentūros kaip pagrindinę to priežastį įvardijo Latvijos prisijungimą prie Euro zonos 2014 metais. Agentūrų teigimu euro įvedimas padidins Latvijos ekonominės politikos nuoseklumą ir patikimumą, sumažins kredito riziką, susijusią </w:t>
      </w:r>
      <w:r w:rsidR="008904F6">
        <w:rPr>
          <w:rStyle w:val="Strong"/>
          <w:b w:val="0"/>
          <w:sz w:val="24"/>
          <w:szCs w:val="24"/>
        </w:rPr>
        <w:t xml:space="preserve">su </w:t>
      </w:r>
      <w:r w:rsidR="00AF102C">
        <w:rPr>
          <w:rStyle w:val="Strong"/>
          <w:b w:val="0"/>
          <w:sz w:val="24"/>
          <w:szCs w:val="24"/>
        </w:rPr>
        <w:t xml:space="preserve">mažu </w:t>
      </w:r>
      <w:r w:rsidR="008904F6">
        <w:rPr>
          <w:rStyle w:val="Strong"/>
          <w:b w:val="0"/>
          <w:sz w:val="24"/>
          <w:szCs w:val="24"/>
        </w:rPr>
        <w:t>užsienio valiut</w:t>
      </w:r>
      <w:r w:rsidR="00AF102C">
        <w:rPr>
          <w:rStyle w:val="Strong"/>
          <w:b w:val="0"/>
          <w:sz w:val="24"/>
          <w:szCs w:val="24"/>
        </w:rPr>
        <w:t>os kiekiu,</w:t>
      </w:r>
      <w:r w:rsidR="008904F6">
        <w:rPr>
          <w:rStyle w:val="Strong"/>
          <w:b w:val="0"/>
          <w:sz w:val="24"/>
          <w:szCs w:val="24"/>
        </w:rPr>
        <w:t xml:space="preserve"> esanči</w:t>
      </w:r>
      <w:r w:rsidR="00AF102C">
        <w:rPr>
          <w:rStyle w:val="Strong"/>
          <w:b w:val="0"/>
          <w:sz w:val="24"/>
          <w:szCs w:val="24"/>
        </w:rPr>
        <w:t>u</w:t>
      </w:r>
      <w:r w:rsidR="008904F6">
        <w:rPr>
          <w:rStyle w:val="Strong"/>
          <w:b w:val="0"/>
          <w:sz w:val="24"/>
          <w:szCs w:val="24"/>
        </w:rPr>
        <w:t xml:space="preserve"> bankų sistemoje bei taipogi sumažins šalies grynosios užsienio skolos lygį</w:t>
      </w:r>
      <w:r w:rsidR="00AF102C">
        <w:rPr>
          <w:rStyle w:val="Strong"/>
          <w:b w:val="0"/>
          <w:sz w:val="24"/>
          <w:szCs w:val="24"/>
        </w:rPr>
        <w:t xml:space="preserve">. Prisijungimas prie Euro zonos atvers Latvijai kelią į platesnes aukšto išsivystymo lygio kapitalo rinkas, kuriose dominuoja euras. </w:t>
      </w:r>
      <w:r w:rsidR="00332C9E">
        <w:rPr>
          <w:rStyle w:val="Strong"/>
          <w:b w:val="0"/>
          <w:sz w:val="24"/>
          <w:szCs w:val="24"/>
        </w:rPr>
        <w:t>Stabilus Latvijos ekonomikos augimas bei sėkminga fiskalinė konsolidacija taip pat minimi kaip svarbūs veiksniai, lėmę skoli</w:t>
      </w:r>
      <w:r w:rsidR="006B0E44">
        <w:rPr>
          <w:rStyle w:val="Strong"/>
          <w:b w:val="0"/>
          <w:sz w:val="24"/>
          <w:szCs w:val="24"/>
        </w:rPr>
        <w:t>n</w:t>
      </w:r>
      <w:r w:rsidR="00332C9E">
        <w:rPr>
          <w:rStyle w:val="Strong"/>
          <w:b w:val="0"/>
          <w:sz w:val="24"/>
          <w:szCs w:val="24"/>
        </w:rPr>
        <w:t>imosi reitingų pagerinimą.</w:t>
      </w:r>
    </w:p>
    <w:p w:rsidR="008F1BBD" w:rsidRDefault="00C626A3" w:rsidP="001B5FE0">
      <w:pPr>
        <w:spacing w:line="360" w:lineRule="auto"/>
        <w:ind w:firstLine="720"/>
        <w:contextualSpacing/>
        <w:rPr>
          <w:rStyle w:val="Strong"/>
          <w:b w:val="0"/>
          <w:sz w:val="24"/>
          <w:szCs w:val="24"/>
        </w:rPr>
      </w:pPr>
      <w:r>
        <w:rPr>
          <w:rStyle w:val="Strong"/>
          <w:b w:val="0"/>
          <w:sz w:val="24"/>
          <w:szCs w:val="24"/>
        </w:rPr>
        <w:lastRenderedPageBreak/>
        <w:t xml:space="preserve">Kaip jau buvo </w:t>
      </w:r>
      <w:r w:rsidR="006B0E44">
        <w:rPr>
          <w:rStyle w:val="Strong"/>
          <w:b w:val="0"/>
          <w:sz w:val="24"/>
          <w:szCs w:val="24"/>
        </w:rPr>
        <w:t>minėta, š</w:t>
      </w:r>
      <w:r w:rsidR="00DD42B3" w:rsidRPr="00D121E1">
        <w:rPr>
          <w:rStyle w:val="Strong"/>
          <w:b w:val="0"/>
          <w:sz w:val="24"/>
          <w:szCs w:val="24"/>
        </w:rPr>
        <w:t>alies įvaizdis</w:t>
      </w:r>
      <w:r w:rsidR="005410A6">
        <w:rPr>
          <w:rStyle w:val="Strong"/>
          <w:b w:val="0"/>
          <w:sz w:val="24"/>
          <w:szCs w:val="24"/>
        </w:rPr>
        <w:t xml:space="preserve"> tarptautinėse finansų rinkose</w:t>
      </w:r>
      <w:r w:rsidR="00DD42B3" w:rsidRPr="00D121E1">
        <w:rPr>
          <w:rStyle w:val="Strong"/>
          <w:b w:val="0"/>
          <w:sz w:val="24"/>
          <w:szCs w:val="24"/>
        </w:rPr>
        <w:t xml:space="preserve"> bei pasitikėjimas ja yra svarbus veiksnys, lemiantis valstybės skolinimosi kainą, kas yra labai svarbu, kadangi skolos aptarnavimo kaštai</w:t>
      </w:r>
      <w:r w:rsidR="006B0E44">
        <w:rPr>
          <w:rStyle w:val="Strong"/>
          <w:b w:val="0"/>
          <w:sz w:val="24"/>
          <w:szCs w:val="24"/>
        </w:rPr>
        <w:t xml:space="preserve"> turi įta</w:t>
      </w:r>
      <w:r w:rsidR="005C7DC7">
        <w:rPr>
          <w:rStyle w:val="Strong"/>
          <w:b w:val="0"/>
          <w:sz w:val="24"/>
          <w:szCs w:val="24"/>
        </w:rPr>
        <w:t>kos valstybės biudžetui.</w:t>
      </w:r>
      <w:r w:rsidR="00DD42B3" w:rsidRPr="00D121E1">
        <w:rPr>
          <w:rStyle w:val="Strong"/>
          <w:b w:val="0"/>
          <w:sz w:val="24"/>
          <w:szCs w:val="24"/>
        </w:rPr>
        <w:t xml:space="preserve"> Todėl svarbu palyginti ne tik Baltijos šalių valstybės skolos dydžius, bet</w:t>
      </w:r>
      <w:r w:rsidR="00562A10">
        <w:rPr>
          <w:rStyle w:val="Strong"/>
          <w:b w:val="0"/>
          <w:sz w:val="24"/>
          <w:szCs w:val="24"/>
        </w:rPr>
        <w:t xml:space="preserve"> </w:t>
      </w:r>
      <w:r w:rsidR="00755997">
        <w:rPr>
          <w:rStyle w:val="Strong"/>
          <w:b w:val="0"/>
          <w:sz w:val="24"/>
          <w:szCs w:val="24"/>
        </w:rPr>
        <w:t>ir skolos aptarnavimo kaštus. 13</w:t>
      </w:r>
      <w:r w:rsidR="00DD42B3" w:rsidRPr="00D121E1">
        <w:rPr>
          <w:rStyle w:val="Strong"/>
          <w:b w:val="0"/>
          <w:sz w:val="24"/>
          <w:szCs w:val="24"/>
        </w:rPr>
        <w:t xml:space="preserve"> paveiksle pateikta Baltijos šalių išlaidos palūkanoms už valstybės skolą 2008 – 2012 m.. </w:t>
      </w:r>
    </w:p>
    <w:p w:rsidR="00435ED6" w:rsidRPr="00D121E1" w:rsidRDefault="00435ED6" w:rsidP="001B5FE0">
      <w:pPr>
        <w:spacing w:line="360" w:lineRule="auto"/>
        <w:ind w:firstLine="720"/>
        <w:contextualSpacing/>
        <w:rPr>
          <w:rStyle w:val="Strong"/>
          <w:b w:val="0"/>
          <w:sz w:val="24"/>
          <w:szCs w:val="24"/>
        </w:rPr>
      </w:pPr>
    </w:p>
    <w:p w:rsidR="00DD42B3" w:rsidRDefault="00DD42B3" w:rsidP="001B5FE0">
      <w:pPr>
        <w:spacing w:line="360" w:lineRule="auto"/>
        <w:ind w:firstLine="0"/>
        <w:contextualSpacing/>
        <w:jc w:val="center"/>
        <w:rPr>
          <w:sz w:val="24"/>
          <w:szCs w:val="24"/>
        </w:rPr>
      </w:pPr>
      <w:r w:rsidRPr="00845E1C">
        <w:rPr>
          <w:noProof/>
          <w:sz w:val="24"/>
          <w:szCs w:val="24"/>
          <w:lang w:val="en-US"/>
        </w:rPr>
        <w:drawing>
          <wp:inline distT="0" distB="0" distL="0" distR="0">
            <wp:extent cx="5753100" cy="2390775"/>
            <wp:effectExtent l="19050" t="0" r="19050" b="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666E1" w:rsidRDefault="005B47AA" w:rsidP="005666E1">
      <w:pPr>
        <w:spacing w:line="360" w:lineRule="auto"/>
        <w:ind w:firstLine="0"/>
        <w:contextualSpacing/>
      </w:pPr>
      <w:r>
        <w:t xml:space="preserve">             </w:t>
      </w:r>
      <w:r w:rsidR="00A65B03" w:rsidRPr="00A65B03">
        <w:t>Šaltinis: sudaryta autorės remiantis Eurostat duomenimis.</w:t>
      </w:r>
      <w:bookmarkStart w:id="166" w:name="_Toc373086904"/>
      <w:bookmarkStart w:id="167" w:name="_Toc374229462"/>
    </w:p>
    <w:p w:rsidR="00435ED6" w:rsidRPr="005666E1" w:rsidRDefault="00755997" w:rsidP="005666E1">
      <w:pPr>
        <w:spacing w:line="360" w:lineRule="auto"/>
        <w:ind w:firstLine="0"/>
        <w:contextualSpacing/>
        <w:jc w:val="center"/>
      </w:pPr>
      <w:r>
        <w:rPr>
          <w:sz w:val="24"/>
          <w:szCs w:val="24"/>
        </w:rPr>
        <w:t>13</w:t>
      </w:r>
      <w:r w:rsidR="00DD42B3" w:rsidRPr="00402784">
        <w:rPr>
          <w:sz w:val="24"/>
          <w:szCs w:val="24"/>
        </w:rPr>
        <w:t xml:space="preserve"> pav. Baltijos šalių mokamos palūkanos už valstybės skolini</w:t>
      </w:r>
      <w:bookmarkEnd w:id="166"/>
      <w:r w:rsidR="00435ED6">
        <w:rPr>
          <w:sz w:val="24"/>
          <w:szCs w:val="24"/>
        </w:rPr>
        <w:t>mąsi</w:t>
      </w:r>
      <w:bookmarkEnd w:id="167"/>
    </w:p>
    <w:p w:rsidR="005B47AA" w:rsidRPr="00435ED6" w:rsidRDefault="005B47AA" w:rsidP="00435ED6">
      <w:pPr>
        <w:spacing w:line="360" w:lineRule="auto"/>
        <w:ind w:firstLine="0"/>
        <w:contextualSpacing/>
        <w:jc w:val="center"/>
        <w:rPr>
          <w:sz w:val="24"/>
          <w:szCs w:val="24"/>
        </w:rPr>
      </w:pPr>
    </w:p>
    <w:p w:rsidR="00DD42B3" w:rsidRPr="003D1758" w:rsidRDefault="00DD42B3" w:rsidP="00DD42B3">
      <w:pPr>
        <w:spacing w:line="360" w:lineRule="auto"/>
        <w:ind w:firstLine="720"/>
        <w:contextualSpacing/>
        <w:rPr>
          <w:rStyle w:val="Strong"/>
          <w:b w:val="0"/>
          <w:sz w:val="24"/>
          <w:szCs w:val="24"/>
        </w:rPr>
      </w:pPr>
      <w:r w:rsidRPr="003D1758">
        <w:rPr>
          <w:rStyle w:val="Strong"/>
          <w:b w:val="0"/>
          <w:sz w:val="24"/>
          <w:szCs w:val="24"/>
        </w:rPr>
        <w:t xml:space="preserve">Visu analizuotu laikotarpiu, didžiausias išlaidas palūkanoms už valstybės skolinimąsi turėjo Lietuva, o mažiausias – Estija. </w:t>
      </w:r>
    </w:p>
    <w:p w:rsidR="00DD42B3" w:rsidRPr="00AF3807" w:rsidRDefault="00DD42B3" w:rsidP="00DD42B3">
      <w:pPr>
        <w:spacing w:line="360" w:lineRule="auto"/>
        <w:ind w:firstLine="720"/>
        <w:contextualSpacing/>
        <w:rPr>
          <w:rStyle w:val="Strong"/>
          <w:b w:val="0"/>
          <w:sz w:val="24"/>
          <w:szCs w:val="24"/>
        </w:rPr>
      </w:pPr>
      <w:r w:rsidRPr="003D1758">
        <w:rPr>
          <w:rStyle w:val="Strong"/>
          <w:b w:val="0"/>
          <w:sz w:val="24"/>
          <w:szCs w:val="24"/>
        </w:rPr>
        <w:t>Kalbant apie Lietuvą</w:t>
      </w:r>
      <w:r w:rsidRPr="003D1758">
        <w:rPr>
          <w:rStyle w:val="Strong"/>
          <w:b w:val="0"/>
          <w:sz w:val="24"/>
          <w:szCs w:val="24"/>
          <w:lang w:val="en-US"/>
        </w:rPr>
        <w:t>, per analizuotą laikotarpį jos išlaidos palūkanoms išaugo beveik tris kartus</w:t>
      </w:r>
      <w:r w:rsidRPr="003D1758">
        <w:rPr>
          <w:rStyle w:val="Strong"/>
          <w:b w:val="0"/>
          <w:sz w:val="24"/>
          <w:szCs w:val="24"/>
        </w:rPr>
        <w:t>. Sparčiausiai išlaidų palūkanoms suma padidėjo kriziniu laikotarpiu: 2008 m. išlaido</w:t>
      </w:r>
      <w:r w:rsidR="00A138B5">
        <w:rPr>
          <w:rStyle w:val="Strong"/>
          <w:b w:val="0"/>
          <w:sz w:val="24"/>
          <w:szCs w:val="24"/>
        </w:rPr>
        <w:t>s palūkanoms siekė 220 mln. Eur</w:t>
      </w:r>
      <w:r w:rsidRPr="003D1758">
        <w:rPr>
          <w:rStyle w:val="Strong"/>
          <w:b w:val="0"/>
          <w:sz w:val="24"/>
          <w:szCs w:val="24"/>
        </w:rPr>
        <w:t>, o 2009 m. jos buvo 53,5 proc. di</w:t>
      </w:r>
      <w:r w:rsidR="00A138B5">
        <w:rPr>
          <w:rStyle w:val="Strong"/>
          <w:b w:val="0"/>
          <w:sz w:val="24"/>
          <w:szCs w:val="24"/>
        </w:rPr>
        <w:t>desnės ir sudarė 337,8 mln. Eur</w:t>
      </w:r>
      <w:r w:rsidRPr="003D1758">
        <w:rPr>
          <w:rStyle w:val="Strong"/>
          <w:b w:val="0"/>
          <w:sz w:val="24"/>
          <w:szCs w:val="24"/>
        </w:rPr>
        <w:t>. 2010 m. išlaidų palūkanoms suma toliau sparči</w:t>
      </w:r>
      <w:r w:rsidR="00A138B5">
        <w:rPr>
          <w:rStyle w:val="Strong"/>
          <w:b w:val="0"/>
          <w:sz w:val="24"/>
          <w:szCs w:val="24"/>
        </w:rPr>
        <w:t>ai didėjo ir siekė 492 mln. Eur</w:t>
      </w:r>
      <w:r w:rsidRPr="003D1758">
        <w:rPr>
          <w:rStyle w:val="Strong"/>
          <w:b w:val="0"/>
          <w:sz w:val="24"/>
          <w:szCs w:val="24"/>
        </w:rPr>
        <w:t xml:space="preserve">. Tokį spartų jų augimą lėmė Lietuvos </w:t>
      </w:r>
      <w:r w:rsidR="008F1BBD">
        <w:rPr>
          <w:rStyle w:val="Strong"/>
          <w:b w:val="0"/>
          <w:sz w:val="24"/>
          <w:szCs w:val="24"/>
        </w:rPr>
        <w:t>priimtas sprendimas</w:t>
      </w:r>
      <w:r w:rsidRPr="003D1758">
        <w:rPr>
          <w:rStyle w:val="Strong"/>
          <w:b w:val="0"/>
          <w:sz w:val="24"/>
          <w:szCs w:val="24"/>
        </w:rPr>
        <w:t xml:space="preserve"> </w:t>
      </w:r>
      <w:r w:rsidR="008F1BBD">
        <w:rPr>
          <w:rStyle w:val="Strong"/>
          <w:b w:val="0"/>
          <w:sz w:val="24"/>
          <w:szCs w:val="24"/>
        </w:rPr>
        <w:t>nesiskolinti</w:t>
      </w:r>
      <w:r w:rsidRPr="003D1758">
        <w:rPr>
          <w:rStyle w:val="Strong"/>
          <w:b w:val="0"/>
          <w:sz w:val="24"/>
          <w:szCs w:val="24"/>
        </w:rPr>
        <w:t xml:space="preserve"> iš Tarptautinio valiutos fondo (TVF)</w:t>
      </w:r>
      <w:r w:rsidR="008F1BBD">
        <w:rPr>
          <w:rStyle w:val="Strong"/>
          <w:b w:val="0"/>
          <w:sz w:val="24"/>
          <w:szCs w:val="24"/>
        </w:rPr>
        <w:t>, o tai</w:t>
      </w:r>
      <w:r w:rsidRPr="003D1758">
        <w:rPr>
          <w:rStyle w:val="Strong"/>
          <w:b w:val="0"/>
          <w:sz w:val="24"/>
          <w:szCs w:val="24"/>
        </w:rPr>
        <w:t xml:space="preserve"> </w:t>
      </w:r>
      <w:r w:rsidR="008F1BBD">
        <w:rPr>
          <w:rStyle w:val="Strong"/>
          <w:b w:val="0"/>
          <w:sz w:val="24"/>
          <w:szCs w:val="24"/>
        </w:rPr>
        <w:t>daryti tarpautinėse finansų rinkose</w:t>
      </w:r>
      <w:r w:rsidRPr="003D1758">
        <w:rPr>
          <w:rStyle w:val="Strong"/>
          <w:b w:val="0"/>
          <w:sz w:val="24"/>
          <w:szCs w:val="24"/>
        </w:rPr>
        <w:t xml:space="preserve">. </w:t>
      </w:r>
      <w:r w:rsidR="00107CC0">
        <w:rPr>
          <w:sz w:val="24"/>
          <w:szCs w:val="24"/>
        </w:rPr>
        <w:t>Šis sprendimas tarp ekonomistų bei visuomenėje sutiktas</w:t>
      </w:r>
      <w:r w:rsidRPr="003D1758">
        <w:rPr>
          <w:sz w:val="24"/>
          <w:szCs w:val="24"/>
        </w:rPr>
        <w:t xml:space="preserve"> prieštaringai. Tokio sprendimo šalininkai, teigė, jog iš TVF skolinasi tik tokios šalys, kurios nebesugeba kontroliuoti situacijos, todėl pasiskolinusi iš TVF, Lietuva būtų smarkiai pakenktų savo įvaizdžiui</w:t>
      </w:r>
      <w:r w:rsidRPr="00B05341">
        <w:rPr>
          <w:sz w:val="24"/>
          <w:szCs w:val="24"/>
        </w:rPr>
        <w:t xml:space="preserve"> ir galimybei ateityje skolintis finansų rinkose. Taipogi buvo teigiama, jog suteikdamas paskolą valstybei, TVF kelia didelius reikalavimus bei sie</w:t>
      </w:r>
      <w:r>
        <w:rPr>
          <w:sz w:val="24"/>
          <w:szCs w:val="24"/>
        </w:rPr>
        <w:t xml:space="preserve">kia kištis </w:t>
      </w:r>
      <w:r w:rsidR="008F1BBD">
        <w:rPr>
          <w:sz w:val="24"/>
          <w:szCs w:val="24"/>
        </w:rPr>
        <w:t xml:space="preserve">į </w:t>
      </w:r>
      <w:r>
        <w:rPr>
          <w:sz w:val="24"/>
          <w:szCs w:val="24"/>
        </w:rPr>
        <w:t>valstybės politiką (</w:t>
      </w:r>
      <w:r w:rsidRPr="00B05341">
        <w:rPr>
          <w:sz w:val="24"/>
          <w:szCs w:val="24"/>
        </w:rPr>
        <w:t>reikalauja keisti mokesčių politiką, ieškoti biudžeto didinimo galimybių</w:t>
      </w:r>
      <w:r>
        <w:rPr>
          <w:sz w:val="24"/>
          <w:szCs w:val="24"/>
        </w:rPr>
        <w:t>, mažinti išlaidas</w:t>
      </w:r>
      <w:r w:rsidRPr="00B05341">
        <w:rPr>
          <w:sz w:val="24"/>
          <w:szCs w:val="24"/>
        </w:rPr>
        <w:t xml:space="preserve"> ir pan.). </w:t>
      </w:r>
      <w:r>
        <w:rPr>
          <w:sz w:val="24"/>
          <w:szCs w:val="24"/>
        </w:rPr>
        <w:t>Be to, paskolos trukmė sv</w:t>
      </w:r>
      <w:r w:rsidR="003D1758">
        <w:rPr>
          <w:sz w:val="24"/>
          <w:szCs w:val="24"/>
        </w:rPr>
        <w:t>yravo</w:t>
      </w:r>
      <w:r>
        <w:rPr>
          <w:sz w:val="24"/>
          <w:szCs w:val="24"/>
        </w:rPr>
        <w:t xml:space="preserve"> tik nuo trejų su puse iki penkerių metų. </w:t>
      </w:r>
      <w:r w:rsidRPr="00B05341">
        <w:rPr>
          <w:sz w:val="24"/>
          <w:szCs w:val="24"/>
        </w:rPr>
        <w:t xml:space="preserve">Tuo tarpu, tokio sprendimo priešininkai teigė, jog vis dėl to pagrindinis dėmesys turėtų </w:t>
      </w:r>
      <w:r w:rsidRPr="00B05341">
        <w:rPr>
          <w:sz w:val="24"/>
          <w:szCs w:val="24"/>
        </w:rPr>
        <w:lastRenderedPageBreak/>
        <w:t xml:space="preserve">būti skiriamas skolos kainai ir skolintis iš TVF valstybei būtų žymiai palankiau, kadangi iš TVF būtų galima pasiskolinti už 3 </w:t>
      </w:r>
      <w:r w:rsidRPr="00C77F17">
        <w:rPr>
          <w:sz w:val="24"/>
          <w:szCs w:val="24"/>
        </w:rPr>
        <w:t xml:space="preserve">proc. metines palūkanas, tuo tarpu skolinantis iš finansų rinkų palūkanos svyruoja nuo 5 – 9 proc.. </w:t>
      </w:r>
      <w:r>
        <w:rPr>
          <w:sz w:val="24"/>
          <w:szCs w:val="24"/>
        </w:rPr>
        <w:t>Taigi valdžia sunk</w:t>
      </w:r>
      <w:r w:rsidRPr="00AF3807">
        <w:rPr>
          <w:sz w:val="24"/>
          <w:szCs w:val="24"/>
        </w:rPr>
        <w:t xml:space="preserve">mečiu dėl išaugusio Lietuvos rizikos </w:t>
      </w:r>
      <w:r w:rsidR="00107CC0">
        <w:rPr>
          <w:sz w:val="24"/>
          <w:szCs w:val="24"/>
        </w:rPr>
        <w:t>priedo ir sudėtingos situacijos</w:t>
      </w:r>
      <w:r w:rsidRPr="00AF3807">
        <w:rPr>
          <w:sz w:val="24"/>
          <w:szCs w:val="24"/>
        </w:rPr>
        <w:t xml:space="preserve"> fianansų rinkose, brangiai skolinosi daugiausiai iš komercinių bankų, kadangi kito šaltinio pasiskolinti beveik neturėjo. </w:t>
      </w:r>
      <w:r w:rsidRPr="00AF3807">
        <w:rPr>
          <w:rStyle w:val="Strong"/>
          <w:b w:val="0"/>
          <w:sz w:val="24"/>
          <w:szCs w:val="24"/>
        </w:rPr>
        <w:t>2011 – 2012 m. palūkanų už valstybės skolinimąsi suma ir toliau augo, tačiau jau ne tokiu dideliu</w:t>
      </w:r>
      <w:r w:rsidR="005C7DC7">
        <w:rPr>
          <w:rStyle w:val="Strong"/>
          <w:b w:val="0"/>
          <w:sz w:val="24"/>
          <w:szCs w:val="24"/>
        </w:rPr>
        <w:t xml:space="preserve"> tempu kaip ankstesniais metais.</w:t>
      </w:r>
    </w:p>
    <w:p w:rsidR="00DD42B3" w:rsidRPr="00AF3807" w:rsidRDefault="00DD42B3" w:rsidP="00DD42B3">
      <w:pPr>
        <w:spacing w:line="360" w:lineRule="auto"/>
        <w:ind w:firstLine="720"/>
        <w:contextualSpacing/>
        <w:rPr>
          <w:rStyle w:val="Strong"/>
          <w:b w:val="0"/>
          <w:sz w:val="24"/>
          <w:szCs w:val="24"/>
        </w:rPr>
      </w:pPr>
      <w:r w:rsidRPr="00AF3807">
        <w:rPr>
          <w:rStyle w:val="Strong"/>
          <w:b w:val="0"/>
          <w:sz w:val="24"/>
          <w:szCs w:val="24"/>
        </w:rPr>
        <w:t xml:space="preserve">Kitokį sprendimą </w:t>
      </w:r>
      <w:r w:rsidR="008F1BBD">
        <w:rPr>
          <w:rStyle w:val="Strong"/>
          <w:b w:val="0"/>
          <w:sz w:val="24"/>
          <w:szCs w:val="24"/>
        </w:rPr>
        <w:t>krizės</w:t>
      </w:r>
      <w:r w:rsidR="005C7DC7">
        <w:rPr>
          <w:rStyle w:val="Strong"/>
          <w:b w:val="0"/>
          <w:sz w:val="24"/>
          <w:szCs w:val="24"/>
        </w:rPr>
        <w:t xml:space="preserve"> metu priėmė </w:t>
      </w:r>
      <w:r w:rsidRPr="00AF3807">
        <w:rPr>
          <w:rStyle w:val="Strong"/>
          <w:b w:val="0"/>
          <w:sz w:val="24"/>
          <w:szCs w:val="24"/>
        </w:rPr>
        <w:t xml:space="preserve">Latvija. </w:t>
      </w:r>
      <w:r w:rsidR="005C7DC7">
        <w:rPr>
          <w:rStyle w:val="Strong"/>
          <w:b w:val="0"/>
          <w:sz w:val="24"/>
          <w:szCs w:val="24"/>
        </w:rPr>
        <w:t>Ji</w:t>
      </w:r>
      <w:r w:rsidRPr="00AF3807">
        <w:rPr>
          <w:rStyle w:val="Strong"/>
          <w:b w:val="0"/>
          <w:sz w:val="24"/>
          <w:szCs w:val="24"/>
        </w:rPr>
        <w:t xml:space="preserve"> nusprendė kreiptis pagalbos į TVF ir skolinosi žymiai pigiau. Akivaizdu, kad skirtingi sprendimai davė ir skirtingus rezultatus. 2009 m. skirtumas tarp Lietuvos bei Latvijos išlaidų palūkanoms nebuvo didelis ir sudarė 57,8 mln. Eur., tuo tarpu 2010 m. Lietuvos išlaidos palūkanų mokėjimams tapo beveik dvigubai didesnės negu Latvijos. Latvijos finansų ministro teigimu, palankiu momentu, nors ir trumpam laikui, gavusi paskolą iš TVF Latvija optimizavo palūkanų mokėjimus artimiausiais metais. Tuo tarpu Lietuvos sprendimas skolintis brangiau kasmet reikalavo vis didesnių valstybės biudžeto lėšų palūkanoms mokėti.</w:t>
      </w:r>
    </w:p>
    <w:p w:rsidR="00B12106" w:rsidRDefault="00DD42B3" w:rsidP="00B12106">
      <w:pPr>
        <w:spacing w:line="360" w:lineRule="auto"/>
        <w:ind w:firstLine="720"/>
        <w:contextualSpacing/>
        <w:rPr>
          <w:rStyle w:val="Strong"/>
          <w:b w:val="0"/>
          <w:sz w:val="24"/>
          <w:szCs w:val="24"/>
        </w:rPr>
      </w:pPr>
      <w:r w:rsidRPr="00AF3807">
        <w:rPr>
          <w:rStyle w:val="Strong"/>
          <w:b w:val="0"/>
          <w:sz w:val="24"/>
          <w:szCs w:val="24"/>
        </w:rPr>
        <w:t xml:space="preserve">Estijos išlaidos palūkanų mokėjimams už valstybės skolą, kaip ir pati valstybės skola, iš visų trijų Baltijos šalių </w:t>
      </w:r>
      <w:r w:rsidR="009D3BD9">
        <w:rPr>
          <w:rStyle w:val="Strong"/>
          <w:b w:val="0"/>
          <w:sz w:val="24"/>
          <w:szCs w:val="24"/>
        </w:rPr>
        <w:t xml:space="preserve">buvo </w:t>
      </w:r>
      <w:r w:rsidRPr="00AF3807">
        <w:rPr>
          <w:rStyle w:val="Strong"/>
          <w:b w:val="0"/>
          <w:sz w:val="24"/>
          <w:szCs w:val="24"/>
        </w:rPr>
        <w:t xml:space="preserve">mažiausios bei </w:t>
      </w:r>
      <w:r w:rsidR="003D1758">
        <w:rPr>
          <w:rStyle w:val="Strong"/>
          <w:b w:val="0"/>
          <w:sz w:val="24"/>
          <w:szCs w:val="24"/>
        </w:rPr>
        <w:t>mažėjo net kriziniu laikotarpi</w:t>
      </w:r>
      <w:r w:rsidR="00B86D19">
        <w:rPr>
          <w:rStyle w:val="Strong"/>
          <w:b w:val="0"/>
          <w:sz w:val="24"/>
          <w:szCs w:val="24"/>
        </w:rPr>
        <w:t>u</w:t>
      </w:r>
      <w:r w:rsidRPr="00AF3807">
        <w:rPr>
          <w:rStyle w:val="Strong"/>
          <w:b w:val="0"/>
          <w:sz w:val="24"/>
          <w:szCs w:val="24"/>
        </w:rPr>
        <w:t xml:space="preserve">: </w:t>
      </w:r>
      <w:r w:rsidR="00A138B5">
        <w:rPr>
          <w:rStyle w:val="Strong"/>
          <w:b w:val="0"/>
          <w:sz w:val="24"/>
          <w:szCs w:val="24"/>
        </w:rPr>
        <w:t>2008 m. jos siekė 33,2 mln. Eur, 2009 m. – 29,1 mln. Eur</w:t>
      </w:r>
      <w:r w:rsidRPr="00AF3807">
        <w:rPr>
          <w:rStyle w:val="Strong"/>
          <w:b w:val="0"/>
          <w:sz w:val="24"/>
          <w:szCs w:val="24"/>
        </w:rPr>
        <w:t>, o 2010 m. buvo mažiausios per visą nagrinėtą lai</w:t>
      </w:r>
      <w:r w:rsidR="00A138B5">
        <w:rPr>
          <w:rStyle w:val="Strong"/>
          <w:b w:val="0"/>
          <w:sz w:val="24"/>
          <w:szCs w:val="24"/>
        </w:rPr>
        <w:t>kotarpį ir sudarė 19,9 mln. Eur</w:t>
      </w:r>
      <w:r w:rsidRPr="00AF3807">
        <w:rPr>
          <w:rStyle w:val="Strong"/>
          <w:b w:val="0"/>
          <w:sz w:val="24"/>
          <w:szCs w:val="24"/>
        </w:rPr>
        <w:t xml:space="preserve">. 2011 – 2012 m. Estijos išlaidos palūkanoms </w:t>
      </w:r>
      <w:r w:rsidR="00B86D19">
        <w:rPr>
          <w:rStyle w:val="Strong"/>
          <w:b w:val="0"/>
          <w:sz w:val="24"/>
          <w:szCs w:val="24"/>
        </w:rPr>
        <w:t>iš</w:t>
      </w:r>
      <w:r w:rsidRPr="00AF3807">
        <w:rPr>
          <w:rStyle w:val="Strong"/>
          <w:b w:val="0"/>
          <w:sz w:val="24"/>
          <w:szCs w:val="24"/>
        </w:rPr>
        <w:t xml:space="preserve">augo </w:t>
      </w:r>
      <w:r w:rsidR="00A138B5">
        <w:rPr>
          <w:rStyle w:val="Strong"/>
          <w:b w:val="0"/>
          <w:sz w:val="24"/>
          <w:szCs w:val="24"/>
        </w:rPr>
        <w:t>ir 2012 m. sudarė 28,5 mln. Eur</w:t>
      </w:r>
      <w:r w:rsidRPr="00AF3807">
        <w:rPr>
          <w:rStyle w:val="Strong"/>
          <w:b w:val="0"/>
          <w:sz w:val="24"/>
          <w:szCs w:val="24"/>
        </w:rPr>
        <w:t>.</w:t>
      </w:r>
    </w:p>
    <w:p w:rsidR="00DD42B3" w:rsidRDefault="00DD42B3" w:rsidP="00B12106">
      <w:pPr>
        <w:spacing w:line="360" w:lineRule="auto"/>
        <w:ind w:firstLine="720"/>
        <w:contextualSpacing/>
        <w:rPr>
          <w:rStyle w:val="Strong"/>
          <w:b w:val="0"/>
          <w:sz w:val="24"/>
          <w:szCs w:val="24"/>
        </w:rPr>
      </w:pPr>
      <w:r w:rsidRPr="00AF3807">
        <w:rPr>
          <w:rStyle w:val="Strong"/>
          <w:b w:val="0"/>
          <w:sz w:val="24"/>
          <w:szCs w:val="24"/>
        </w:rPr>
        <w:t xml:space="preserve">Remiantis Europos statistikos departamento 2012 m. duomenimis, Lietuva apskritai yra viena iš brangiausiai besiskolinančių valstybių visoje Europos sąjungoje (brangiau už </w:t>
      </w:r>
      <w:r w:rsidR="003D1758">
        <w:rPr>
          <w:rStyle w:val="Strong"/>
          <w:b w:val="0"/>
          <w:sz w:val="24"/>
          <w:szCs w:val="24"/>
        </w:rPr>
        <w:t>L</w:t>
      </w:r>
      <w:r w:rsidRPr="00AF3807">
        <w:rPr>
          <w:rStyle w:val="Strong"/>
          <w:b w:val="0"/>
          <w:sz w:val="24"/>
          <w:szCs w:val="24"/>
        </w:rPr>
        <w:t xml:space="preserve">ietuvą skolinasi tik Vengrija ir Rumunija), tuo tarpu Latvija ir Estija yra pigiausiai besiskolinančios šalys. Vidutinė </w:t>
      </w:r>
      <w:r w:rsidR="00487F7F">
        <w:rPr>
          <w:rStyle w:val="Strong"/>
          <w:b w:val="0"/>
          <w:sz w:val="24"/>
          <w:szCs w:val="24"/>
        </w:rPr>
        <w:t>palūkanų norma, už kurią skolino</w:t>
      </w:r>
      <w:r w:rsidRPr="00AF3807">
        <w:rPr>
          <w:rStyle w:val="Strong"/>
          <w:b w:val="0"/>
          <w:sz w:val="24"/>
          <w:szCs w:val="24"/>
        </w:rPr>
        <w:t>si Lietuva 2012 m. siekė apie 5 proc., tuo tarpu Latvijos -  1,9 proc.</w:t>
      </w:r>
      <w:r w:rsidR="003D1758">
        <w:rPr>
          <w:rStyle w:val="Strong"/>
          <w:b w:val="0"/>
          <w:sz w:val="24"/>
          <w:szCs w:val="24"/>
        </w:rPr>
        <w:t xml:space="preserve">, o Estijos </w:t>
      </w:r>
      <w:r w:rsidRPr="00AF3807">
        <w:rPr>
          <w:rStyle w:val="Strong"/>
          <w:b w:val="0"/>
          <w:sz w:val="24"/>
          <w:szCs w:val="24"/>
        </w:rPr>
        <w:t xml:space="preserve">šiek tiek daugiau negu </w:t>
      </w:r>
      <w:r w:rsidR="003D1758">
        <w:rPr>
          <w:rStyle w:val="Strong"/>
          <w:b w:val="0"/>
          <w:sz w:val="24"/>
          <w:szCs w:val="24"/>
        </w:rPr>
        <w:t>2 proc.. Toks skolinimosi kainų</w:t>
      </w:r>
      <w:r w:rsidR="00CB4E3F">
        <w:rPr>
          <w:rStyle w:val="Strong"/>
          <w:b w:val="0"/>
          <w:sz w:val="24"/>
          <w:szCs w:val="24"/>
        </w:rPr>
        <w:t xml:space="preserve"> skirtumas</w:t>
      </w:r>
      <w:r w:rsidRPr="00AF3807">
        <w:rPr>
          <w:rStyle w:val="Strong"/>
          <w:b w:val="0"/>
          <w:sz w:val="24"/>
          <w:szCs w:val="24"/>
        </w:rPr>
        <w:t xml:space="preserve"> lemia jau aptartus Baltijos šalių išlaidų palūkanoms skirtumus.</w:t>
      </w:r>
    </w:p>
    <w:p w:rsidR="00156D82" w:rsidRDefault="00156D82" w:rsidP="00DD42B3">
      <w:pPr>
        <w:spacing w:line="360" w:lineRule="auto"/>
        <w:ind w:firstLine="720"/>
        <w:contextualSpacing/>
        <w:rPr>
          <w:rStyle w:val="Strong"/>
          <w:b w:val="0"/>
          <w:sz w:val="24"/>
          <w:szCs w:val="24"/>
        </w:rPr>
      </w:pPr>
    </w:p>
    <w:p w:rsidR="008B7F49" w:rsidRDefault="00156D82" w:rsidP="00DD42B3">
      <w:pPr>
        <w:spacing w:line="360" w:lineRule="auto"/>
        <w:ind w:firstLine="720"/>
        <w:contextualSpacing/>
        <w:rPr>
          <w:sz w:val="24"/>
          <w:szCs w:val="24"/>
        </w:rPr>
      </w:pPr>
      <w:r>
        <w:rPr>
          <w:sz w:val="24"/>
          <w:szCs w:val="24"/>
        </w:rPr>
        <w:t>Taigi Estijoje esant geriausiai ekonominei situacijai iš visų trijų šalių, atit</w:t>
      </w:r>
      <w:r w:rsidR="00417E95">
        <w:rPr>
          <w:sz w:val="24"/>
          <w:szCs w:val="24"/>
        </w:rPr>
        <w:t>i</w:t>
      </w:r>
      <w:r>
        <w:rPr>
          <w:sz w:val="24"/>
          <w:szCs w:val="24"/>
        </w:rPr>
        <w:t>nkamai ir valstybės skola šioje šalyje yra maž</w:t>
      </w:r>
      <w:r w:rsidR="00B112DA">
        <w:rPr>
          <w:sz w:val="24"/>
          <w:szCs w:val="24"/>
        </w:rPr>
        <w:t xml:space="preserve">iausia tiek absoliučia vertine </w:t>
      </w:r>
      <w:r>
        <w:rPr>
          <w:sz w:val="24"/>
          <w:szCs w:val="24"/>
        </w:rPr>
        <w:t>išraiška, tiek skolos santykiu su BVP, tiek skola, tenkančia vienam gyventojui.</w:t>
      </w:r>
      <w:r w:rsidR="00B112DA">
        <w:rPr>
          <w:sz w:val="24"/>
          <w:szCs w:val="24"/>
        </w:rPr>
        <w:t xml:space="preserve"> Griežta taupymo politika krizin</w:t>
      </w:r>
      <w:r w:rsidR="00417E95">
        <w:rPr>
          <w:sz w:val="24"/>
          <w:szCs w:val="24"/>
        </w:rPr>
        <w:t xml:space="preserve">iu laikotarpiu leido Estijai </w:t>
      </w:r>
      <w:r w:rsidR="00035F38">
        <w:rPr>
          <w:sz w:val="24"/>
          <w:szCs w:val="24"/>
        </w:rPr>
        <w:t xml:space="preserve">smarkiai </w:t>
      </w:r>
      <w:r w:rsidR="00417E95">
        <w:rPr>
          <w:sz w:val="24"/>
          <w:szCs w:val="24"/>
        </w:rPr>
        <w:t>ne</w:t>
      </w:r>
      <w:r w:rsidR="00035F38">
        <w:rPr>
          <w:sz w:val="24"/>
          <w:szCs w:val="24"/>
        </w:rPr>
        <w:t>pa</w:t>
      </w:r>
      <w:r w:rsidR="00417E95">
        <w:rPr>
          <w:sz w:val="24"/>
          <w:szCs w:val="24"/>
        </w:rPr>
        <w:t>didinti valstybės skolos</w:t>
      </w:r>
      <w:r w:rsidR="00B112DA">
        <w:rPr>
          <w:sz w:val="24"/>
          <w:szCs w:val="24"/>
        </w:rPr>
        <w:t>. Tuo tarpu Lietuvoje ir Latvijoje finansų krizė lėmė valstybės biudžeto deficitų didėjimą bei</w:t>
      </w:r>
      <w:r w:rsidR="00417E95">
        <w:rPr>
          <w:sz w:val="24"/>
          <w:szCs w:val="24"/>
        </w:rPr>
        <w:t xml:space="preserve"> spartų</w:t>
      </w:r>
      <w:r w:rsidR="00B112DA">
        <w:rPr>
          <w:sz w:val="24"/>
          <w:szCs w:val="24"/>
        </w:rPr>
        <w:t xml:space="preserve"> valstybės skolos augimą. </w:t>
      </w:r>
      <w:r w:rsidR="00417E95">
        <w:rPr>
          <w:sz w:val="24"/>
          <w:szCs w:val="24"/>
        </w:rPr>
        <w:t>Tačiau ž</w:t>
      </w:r>
      <w:r w:rsidR="00B112DA">
        <w:rPr>
          <w:sz w:val="24"/>
          <w:szCs w:val="24"/>
        </w:rPr>
        <w:t>v</w:t>
      </w:r>
      <w:r w:rsidR="00417E95">
        <w:rPr>
          <w:sz w:val="24"/>
          <w:szCs w:val="24"/>
        </w:rPr>
        <w:t>elgiant į paskutinius analizuoto</w:t>
      </w:r>
      <w:r w:rsidR="00CC3CF5">
        <w:rPr>
          <w:sz w:val="24"/>
          <w:szCs w:val="24"/>
        </w:rPr>
        <w:t xml:space="preserve"> laikotarpio</w:t>
      </w:r>
      <w:r w:rsidR="00417E95">
        <w:rPr>
          <w:sz w:val="24"/>
          <w:szCs w:val="24"/>
        </w:rPr>
        <w:t xml:space="preserve"> metus, būtų galima teigti, jog Latvijai </w:t>
      </w:r>
      <w:r w:rsidR="00A109B6">
        <w:rPr>
          <w:sz w:val="24"/>
          <w:szCs w:val="24"/>
        </w:rPr>
        <w:t>sudėtingą valstybės finansinę situaciją</w:t>
      </w:r>
      <w:r w:rsidR="00417E95">
        <w:rPr>
          <w:sz w:val="24"/>
          <w:szCs w:val="24"/>
        </w:rPr>
        <w:t xml:space="preserve"> sekėsi įveikti lengviau. Pasirinkusi pigesnį skolinimosi variantą, Latvija sumažino išlaidas palūkanų mokėjimams, atitinkamai ir valstybės biudžeto deficitą iki nustatytos priimtinos ribos bei tokiu būdu sulėtino valstybės skolos augimo </w:t>
      </w:r>
      <w:r w:rsidR="00417E95">
        <w:rPr>
          <w:sz w:val="24"/>
          <w:szCs w:val="24"/>
        </w:rPr>
        <w:lastRenderedPageBreak/>
        <w:t xml:space="preserve">tempus. </w:t>
      </w:r>
      <w:r w:rsidR="00CC3CF5">
        <w:rPr>
          <w:sz w:val="24"/>
          <w:szCs w:val="24"/>
        </w:rPr>
        <w:t>Tuo tarpu Lietuva sunkmečiu pasirinkusi brangesnį skolinimosi būdą, kasmet vis didesnę biudžeto išlaidų dalį</w:t>
      </w:r>
      <w:r w:rsidR="00035F38">
        <w:rPr>
          <w:sz w:val="24"/>
          <w:szCs w:val="24"/>
        </w:rPr>
        <w:t xml:space="preserve"> turėjo </w:t>
      </w:r>
      <w:r w:rsidR="00CC3CF5">
        <w:rPr>
          <w:sz w:val="24"/>
          <w:szCs w:val="24"/>
        </w:rPr>
        <w:t>skirti palūkanų mokėjimams, ir toliau spartesniais tempais negu kitos dvi Baltijos šalys augin</w:t>
      </w:r>
      <w:r w:rsidR="009F4143">
        <w:rPr>
          <w:sz w:val="24"/>
          <w:szCs w:val="24"/>
        </w:rPr>
        <w:t>o</w:t>
      </w:r>
      <w:r w:rsidR="00CC3CF5">
        <w:rPr>
          <w:sz w:val="24"/>
          <w:szCs w:val="24"/>
        </w:rPr>
        <w:t xml:space="preserve"> </w:t>
      </w:r>
      <w:r w:rsidR="00A109B6">
        <w:rPr>
          <w:sz w:val="24"/>
          <w:szCs w:val="24"/>
        </w:rPr>
        <w:t>valstybė</w:t>
      </w:r>
      <w:r w:rsidR="008B7F49">
        <w:rPr>
          <w:sz w:val="24"/>
          <w:szCs w:val="24"/>
        </w:rPr>
        <w:t>s</w:t>
      </w:r>
      <w:r w:rsidR="00A109B6">
        <w:rPr>
          <w:sz w:val="24"/>
          <w:szCs w:val="24"/>
        </w:rPr>
        <w:t xml:space="preserve"> </w:t>
      </w:r>
      <w:r w:rsidR="00CC3CF5">
        <w:rPr>
          <w:sz w:val="24"/>
          <w:szCs w:val="24"/>
        </w:rPr>
        <w:t xml:space="preserve">skolą. Skolos augimo tempams esant gerokai didesniems negu BVP augimas, </w:t>
      </w:r>
      <w:r w:rsidR="008B7F49">
        <w:rPr>
          <w:sz w:val="24"/>
          <w:szCs w:val="24"/>
        </w:rPr>
        <w:t>vienintelės Lietuvos valstybės skolos ir BVP  santykis kasmet vis didėjo.</w:t>
      </w:r>
    </w:p>
    <w:p w:rsidR="008B7F49" w:rsidRDefault="008B7F49" w:rsidP="00DD42B3">
      <w:pPr>
        <w:spacing w:line="360" w:lineRule="auto"/>
        <w:ind w:firstLine="720"/>
        <w:contextualSpacing/>
        <w:rPr>
          <w:sz w:val="24"/>
          <w:szCs w:val="24"/>
        </w:rPr>
      </w:pPr>
    </w:p>
    <w:p w:rsidR="00047573" w:rsidRDefault="00A109B6" w:rsidP="00463933">
      <w:pPr>
        <w:spacing w:line="360" w:lineRule="auto"/>
        <w:ind w:firstLine="720"/>
        <w:contextualSpacing/>
        <w:rPr>
          <w:rStyle w:val="Strong"/>
          <w:b w:val="0"/>
          <w:bCs w:val="0"/>
          <w:color w:val="FF0000"/>
          <w:sz w:val="24"/>
          <w:szCs w:val="24"/>
        </w:rPr>
      </w:pPr>
      <w:r>
        <w:rPr>
          <w:sz w:val="24"/>
          <w:szCs w:val="24"/>
        </w:rPr>
        <w:t>Toliau s</w:t>
      </w:r>
      <w:r w:rsidR="00DD42B3" w:rsidRPr="00AF3807">
        <w:rPr>
          <w:sz w:val="24"/>
          <w:szCs w:val="24"/>
        </w:rPr>
        <w:t xml:space="preserve">iekiant </w:t>
      </w:r>
      <w:r w:rsidR="00DD4F73">
        <w:rPr>
          <w:sz w:val="24"/>
          <w:szCs w:val="24"/>
        </w:rPr>
        <w:t xml:space="preserve">giliau </w:t>
      </w:r>
      <w:r w:rsidR="00DD42B3" w:rsidRPr="00AF3807">
        <w:rPr>
          <w:sz w:val="24"/>
          <w:szCs w:val="24"/>
        </w:rPr>
        <w:t>išsiaiškinti Baltijos</w:t>
      </w:r>
      <w:r w:rsidR="00DD4F73">
        <w:rPr>
          <w:sz w:val="24"/>
          <w:szCs w:val="24"/>
        </w:rPr>
        <w:t xml:space="preserve"> šalių požiūrį į valstybės skolinimąsi</w:t>
      </w:r>
      <w:r w:rsidR="00DD42B3" w:rsidRPr="00AF3807">
        <w:rPr>
          <w:sz w:val="24"/>
          <w:szCs w:val="24"/>
        </w:rPr>
        <w:t xml:space="preserve"> bei skolos formavimo ir valdymo politiką, reikalinga apžvelgti ne tik valstybės </w:t>
      </w:r>
      <w:r w:rsidR="00DD42B3">
        <w:rPr>
          <w:sz w:val="24"/>
          <w:szCs w:val="24"/>
        </w:rPr>
        <w:t>skolos dydžius, bet ir struktūrą. Tai bus atliekama</w:t>
      </w:r>
      <w:r w:rsidR="00CC3CF5">
        <w:rPr>
          <w:sz w:val="24"/>
          <w:szCs w:val="24"/>
        </w:rPr>
        <w:t xml:space="preserve"> sekančiame</w:t>
      </w:r>
      <w:r w:rsidR="00DD42B3">
        <w:rPr>
          <w:sz w:val="24"/>
          <w:szCs w:val="24"/>
        </w:rPr>
        <w:t xml:space="preserve"> darbo poskyryje.</w:t>
      </w:r>
    </w:p>
    <w:p w:rsidR="00047573" w:rsidRDefault="00047573" w:rsidP="00DD42B3">
      <w:pPr>
        <w:spacing w:line="360" w:lineRule="auto"/>
        <w:ind w:firstLine="720"/>
        <w:contextualSpacing/>
        <w:rPr>
          <w:sz w:val="24"/>
          <w:szCs w:val="24"/>
        </w:rPr>
      </w:pPr>
    </w:p>
    <w:p w:rsidR="008042EC" w:rsidRDefault="00DD42B3" w:rsidP="00047573">
      <w:pPr>
        <w:pStyle w:val="ListParagraph"/>
        <w:numPr>
          <w:ilvl w:val="1"/>
          <w:numId w:val="30"/>
        </w:numPr>
        <w:spacing w:line="360" w:lineRule="auto"/>
        <w:outlineLvl w:val="1"/>
        <w:rPr>
          <w:b/>
          <w:sz w:val="24"/>
          <w:szCs w:val="24"/>
        </w:rPr>
      </w:pPr>
      <w:bookmarkStart w:id="168" w:name="_Toc373086706"/>
      <w:bookmarkStart w:id="169" w:name="_Toc373086905"/>
      <w:bookmarkStart w:id="170" w:name="_Toc373275084"/>
      <w:bookmarkStart w:id="171" w:name="_Toc373421073"/>
      <w:bookmarkStart w:id="172" w:name="_Toc373448100"/>
      <w:bookmarkStart w:id="173" w:name="_Toc374228645"/>
      <w:bookmarkStart w:id="174" w:name="_Toc374229051"/>
      <w:bookmarkStart w:id="175" w:name="_Toc374229162"/>
      <w:bookmarkStart w:id="176" w:name="_Toc374229463"/>
      <w:r w:rsidRPr="008042EC">
        <w:rPr>
          <w:b/>
          <w:sz w:val="24"/>
          <w:szCs w:val="24"/>
        </w:rPr>
        <w:t>Baltijos šalių valstybės skolos str</w:t>
      </w:r>
      <w:r w:rsidR="00CB4E3F" w:rsidRPr="008042EC">
        <w:rPr>
          <w:b/>
          <w:sz w:val="24"/>
          <w:szCs w:val="24"/>
        </w:rPr>
        <w:t>uktūra</w:t>
      </w:r>
      <w:bookmarkEnd w:id="168"/>
      <w:bookmarkEnd w:id="169"/>
      <w:bookmarkEnd w:id="170"/>
      <w:bookmarkEnd w:id="171"/>
      <w:bookmarkEnd w:id="172"/>
      <w:bookmarkEnd w:id="173"/>
      <w:bookmarkEnd w:id="174"/>
      <w:bookmarkEnd w:id="175"/>
      <w:bookmarkEnd w:id="176"/>
    </w:p>
    <w:p w:rsidR="00047573" w:rsidRPr="00047573" w:rsidRDefault="00047573" w:rsidP="00047573">
      <w:pPr>
        <w:pStyle w:val="ListParagraph"/>
        <w:spacing w:line="360" w:lineRule="auto"/>
        <w:ind w:left="360" w:firstLine="0"/>
        <w:outlineLvl w:val="1"/>
        <w:rPr>
          <w:b/>
          <w:sz w:val="24"/>
          <w:szCs w:val="24"/>
        </w:rPr>
      </w:pPr>
    </w:p>
    <w:p w:rsidR="00DD42B3" w:rsidRPr="00CB4E3F" w:rsidRDefault="00156D82" w:rsidP="009F4143">
      <w:pPr>
        <w:spacing w:line="360" w:lineRule="auto"/>
        <w:ind w:firstLine="720"/>
        <w:contextualSpacing/>
        <w:rPr>
          <w:sz w:val="24"/>
          <w:szCs w:val="24"/>
        </w:rPr>
      </w:pPr>
      <w:r w:rsidRPr="00CB4E3F">
        <w:rPr>
          <w:sz w:val="24"/>
          <w:szCs w:val="24"/>
        </w:rPr>
        <w:t>Kaip jau buvo</w:t>
      </w:r>
      <w:r w:rsidR="00521DA3">
        <w:rPr>
          <w:sz w:val="24"/>
          <w:szCs w:val="24"/>
        </w:rPr>
        <w:t xml:space="preserve"> minėta atliekant li</w:t>
      </w:r>
      <w:r w:rsidRPr="00CB4E3F">
        <w:rPr>
          <w:sz w:val="24"/>
          <w:szCs w:val="24"/>
        </w:rPr>
        <w:t xml:space="preserve">teratūros analizę, valstybės skola gali būti klasifikuojama pagal įvairius kriterijus. </w:t>
      </w:r>
      <w:r w:rsidR="00DD42B3" w:rsidRPr="00CB4E3F">
        <w:rPr>
          <w:sz w:val="24"/>
          <w:szCs w:val="24"/>
        </w:rPr>
        <w:t xml:space="preserve">Šioje darbo dalyje Baltijos </w:t>
      </w:r>
      <w:r w:rsidRPr="00CB4E3F">
        <w:rPr>
          <w:sz w:val="24"/>
          <w:szCs w:val="24"/>
        </w:rPr>
        <w:t>šalių valstybės skolos struktūra</w:t>
      </w:r>
      <w:r w:rsidR="00DD42B3" w:rsidRPr="00CB4E3F">
        <w:rPr>
          <w:sz w:val="24"/>
          <w:szCs w:val="24"/>
        </w:rPr>
        <w:t xml:space="preserve"> bus analizuojama pagal subsektorių,</w:t>
      </w:r>
      <w:r w:rsidR="00E52B8B">
        <w:rPr>
          <w:sz w:val="24"/>
          <w:szCs w:val="24"/>
        </w:rPr>
        <w:t xml:space="preserve"> pagal rinką, kurioje formuojama skola,</w:t>
      </w:r>
      <w:r w:rsidR="00DD42B3" w:rsidRPr="00CB4E3F">
        <w:rPr>
          <w:sz w:val="24"/>
          <w:szCs w:val="24"/>
        </w:rPr>
        <w:t xml:space="preserve"> pagal tru</w:t>
      </w:r>
      <w:r w:rsidR="00CB4E3F" w:rsidRPr="00CB4E3F">
        <w:rPr>
          <w:sz w:val="24"/>
          <w:szCs w:val="24"/>
        </w:rPr>
        <w:t>kmę, pagal skolinomosi priemonę</w:t>
      </w:r>
      <w:r w:rsidR="00E52B8B">
        <w:rPr>
          <w:sz w:val="24"/>
          <w:szCs w:val="24"/>
        </w:rPr>
        <w:t xml:space="preserve"> bei </w:t>
      </w:r>
      <w:r w:rsidR="00CB4E3F" w:rsidRPr="00CB4E3F">
        <w:rPr>
          <w:sz w:val="24"/>
          <w:szCs w:val="24"/>
        </w:rPr>
        <w:t xml:space="preserve">pagal </w:t>
      </w:r>
      <w:r w:rsidR="00E52B8B">
        <w:rPr>
          <w:sz w:val="24"/>
          <w:szCs w:val="24"/>
        </w:rPr>
        <w:t>valiutą, kuria skolinamasi.</w:t>
      </w:r>
    </w:p>
    <w:p w:rsidR="00DD42B3" w:rsidRPr="004A538C" w:rsidRDefault="00755997" w:rsidP="00DD42B3">
      <w:pPr>
        <w:spacing w:line="360" w:lineRule="auto"/>
        <w:ind w:firstLine="720"/>
        <w:contextualSpacing/>
        <w:rPr>
          <w:sz w:val="24"/>
          <w:szCs w:val="24"/>
        </w:rPr>
      </w:pPr>
      <w:r>
        <w:rPr>
          <w:sz w:val="24"/>
          <w:szCs w:val="24"/>
        </w:rPr>
        <w:t>14</w:t>
      </w:r>
      <w:r w:rsidR="00DD42B3">
        <w:rPr>
          <w:sz w:val="24"/>
          <w:szCs w:val="24"/>
        </w:rPr>
        <w:t xml:space="preserve"> paveiksle pateikta Baltijos šalių valstybės skolos struktūra pagal subsektorių 2008 – 2012 m.. </w:t>
      </w:r>
    </w:p>
    <w:p w:rsidR="00DD42B3" w:rsidRDefault="00C4444C" w:rsidP="005B47AA">
      <w:pPr>
        <w:spacing w:line="360" w:lineRule="auto"/>
        <w:ind w:firstLine="0"/>
        <w:contextualSpacing/>
        <w:jc w:val="center"/>
        <w:rPr>
          <w:sz w:val="24"/>
          <w:szCs w:val="24"/>
        </w:rPr>
      </w:pPr>
      <w:r w:rsidRPr="00C4444C">
        <w:rPr>
          <w:noProof/>
          <w:sz w:val="24"/>
          <w:szCs w:val="24"/>
          <w:lang w:val="en-US"/>
        </w:rPr>
        <w:drawing>
          <wp:inline distT="0" distB="0" distL="0" distR="0">
            <wp:extent cx="5943600" cy="2495550"/>
            <wp:effectExtent l="0" t="0" r="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666E1" w:rsidRDefault="00A65B03" w:rsidP="005666E1">
      <w:pPr>
        <w:spacing w:line="360" w:lineRule="auto"/>
        <w:contextualSpacing/>
      </w:pPr>
      <w:r w:rsidRPr="00A65B03">
        <w:t xml:space="preserve">Šaltinis: sudaryta autorės remiantis Eurostat, Lietuvos finansų ministerijos ir Estijos </w:t>
      </w:r>
      <w:bookmarkStart w:id="177" w:name="_Toc373086906"/>
      <w:r w:rsidR="00046AD8">
        <w:t>finansų ministerijos duomenimis</w:t>
      </w:r>
      <w:bookmarkStart w:id="178" w:name="_Toc374229464"/>
    </w:p>
    <w:p w:rsidR="00046AD8" w:rsidRDefault="00755997" w:rsidP="005666E1">
      <w:pPr>
        <w:spacing w:line="360" w:lineRule="auto"/>
        <w:contextualSpacing/>
        <w:jc w:val="center"/>
        <w:rPr>
          <w:sz w:val="24"/>
          <w:szCs w:val="24"/>
        </w:rPr>
      </w:pPr>
      <w:r>
        <w:rPr>
          <w:sz w:val="24"/>
          <w:szCs w:val="24"/>
        </w:rPr>
        <w:t>14</w:t>
      </w:r>
      <w:r w:rsidR="00DD42B3" w:rsidRPr="00046AD8">
        <w:rPr>
          <w:sz w:val="24"/>
          <w:szCs w:val="24"/>
        </w:rPr>
        <w:t xml:space="preserve"> pav. Baltijos šalių valstybės skolos struktūra pagal subsektorių</w:t>
      </w:r>
      <w:bookmarkEnd w:id="177"/>
      <w:bookmarkEnd w:id="178"/>
    </w:p>
    <w:p w:rsidR="005666E1" w:rsidRPr="00046AD8" w:rsidRDefault="005666E1" w:rsidP="005666E1">
      <w:pPr>
        <w:spacing w:line="360" w:lineRule="auto"/>
        <w:contextualSpacing/>
        <w:jc w:val="center"/>
      </w:pPr>
    </w:p>
    <w:p w:rsidR="00DD42B3" w:rsidRDefault="00C00525" w:rsidP="00DD42B3">
      <w:pPr>
        <w:spacing w:line="360" w:lineRule="auto"/>
        <w:ind w:firstLine="720"/>
        <w:contextualSpacing/>
        <w:rPr>
          <w:sz w:val="24"/>
          <w:szCs w:val="24"/>
        </w:rPr>
      </w:pPr>
      <w:r>
        <w:rPr>
          <w:sz w:val="24"/>
          <w:szCs w:val="24"/>
        </w:rPr>
        <w:t xml:space="preserve">Kaip matyti </w:t>
      </w:r>
      <w:r w:rsidR="00755997">
        <w:rPr>
          <w:sz w:val="24"/>
          <w:szCs w:val="24"/>
        </w:rPr>
        <w:t>iš 14</w:t>
      </w:r>
      <w:r w:rsidR="00DD42B3" w:rsidRPr="00B9743C">
        <w:rPr>
          <w:sz w:val="24"/>
          <w:szCs w:val="24"/>
        </w:rPr>
        <w:t xml:space="preserve"> paveikslo, Lietuvos ir Latvijos valstybės skolos struktūroje visu analizuotu laikotarpiu didžiąją dalį sudarė centrinės valdžios skola. Centrinės valdžios skola valstybės skolos struktūroje yra didžiausia, nes centrinė va</w:t>
      </w:r>
      <w:r w:rsidR="00DD42B3">
        <w:rPr>
          <w:sz w:val="24"/>
          <w:szCs w:val="24"/>
        </w:rPr>
        <w:t>l</w:t>
      </w:r>
      <w:r w:rsidR="00DD42B3" w:rsidRPr="00B9743C">
        <w:rPr>
          <w:sz w:val="24"/>
          <w:szCs w:val="24"/>
        </w:rPr>
        <w:t xml:space="preserve">džia pasiskolintas lėšas naudoja biudžeto deficitui finansuoti, kuris dažniausiai yra valstybės skolinimosi priežastis. </w:t>
      </w:r>
    </w:p>
    <w:p w:rsidR="005624E8" w:rsidRPr="002329DC" w:rsidRDefault="00DD42B3" w:rsidP="002329DC">
      <w:pPr>
        <w:spacing w:line="360" w:lineRule="auto"/>
        <w:ind w:firstLine="720"/>
        <w:contextualSpacing/>
        <w:rPr>
          <w:sz w:val="24"/>
          <w:szCs w:val="24"/>
        </w:rPr>
      </w:pPr>
      <w:r>
        <w:rPr>
          <w:sz w:val="24"/>
          <w:szCs w:val="24"/>
        </w:rPr>
        <w:lastRenderedPageBreak/>
        <w:t xml:space="preserve">Kalbant apie Lietuvą, centrinės valdžios skolos dalis analizuotu laikotarpiu </w:t>
      </w:r>
      <w:r w:rsidR="00C4444C">
        <w:rPr>
          <w:sz w:val="24"/>
          <w:szCs w:val="24"/>
        </w:rPr>
        <w:t xml:space="preserve">palaipsniui mažėjo. 2008 m. ji sudarė 92 proc. visos valstybės skolos, tuo tarpu 2012 m. – 78,1 proc.. </w:t>
      </w:r>
      <w:r>
        <w:rPr>
          <w:sz w:val="24"/>
          <w:szCs w:val="24"/>
        </w:rPr>
        <w:t xml:space="preserve">Tačiau žiūrint į centrinės valdžios skolą vertine išraiška (žr. </w:t>
      </w:r>
      <w:r w:rsidR="00C55ECB">
        <w:rPr>
          <w:sz w:val="24"/>
          <w:szCs w:val="24"/>
        </w:rPr>
        <w:t>4</w:t>
      </w:r>
      <w:r w:rsidR="00562A10">
        <w:rPr>
          <w:sz w:val="24"/>
          <w:szCs w:val="24"/>
        </w:rPr>
        <w:t xml:space="preserve"> p</w:t>
      </w:r>
      <w:r>
        <w:rPr>
          <w:sz w:val="24"/>
          <w:szCs w:val="24"/>
        </w:rPr>
        <w:t>riedas</w:t>
      </w:r>
      <w:r w:rsidR="0023445A">
        <w:rPr>
          <w:sz w:val="24"/>
          <w:szCs w:val="24"/>
        </w:rPr>
        <w:t xml:space="preserve"> 1 lentelė</w:t>
      </w:r>
      <w:r>
        <w:rPr>
          <w:sz w:val="24"/>
          <w:szCs w:val="24"/>
        </w:rPr>
        <w:t>), matyti jog jis kasmet augo. Didžiausias augimas buvo 2009 m., kuomet centrinės valdžios skola lyginant su 2008 metais padidėjo beveik</w:t>
      </w:r>
      <w:r w:rsidR="00A138B5">
        <w:rPr>
          <w:sz w:val="24"/>
          <w:szCs w:val="24"/>
        </w:rPr>
        <w:t xml:space="preserve"> 60 proc. ir siekė 4649,1 mln. Eur</w:t>
      </w:r>
      <w:r>
        <w:rPr>
          <w:sz w:val="24"/>
          <w:szCs w:val="24"/>
        </w:rPr>
        <w:t xml:space="preserve">. Iki 2012 metų centrinės valdžios skola kasmet toliau didėjo, tačiau mažesniais tempais, </w:t>
      </w:r>
      <w:r w:rsidR="00A138B5">
        <w:rPr>
          <w:sz w:val="24"/>
          <w:szCs w:val="24"/>
        </w:rPr>
        <w:t>ir 2012 m. sudarė 12491,7 mln. Eur</w:t>
      </w:r>
      <w:r>
        <w:rPr>
          <w:sz w:val="24"/>
          <w:szCs w:val="24"/>
        </w:rPr>
        <w:t xml:space="preserve">. Per 2008 – 2012 m. laikotarpį centrinės valdžios skola bendrai </w:t>
      </w:r>
      <w:r>
        <w:rPr>
          <w:sz w:val="24"/>
          <w:szCs w:val="24"/>
          <w:lang w:val="en-US"/>
        </w:rPr>
        <w:t>padidėjo beveik tris kartus. Vietos valdžios skola Lietuvos valstybės skolos struktūroje didžiaus</w:t>
      </w:r>
      <w:r w:rsidR="00054AAC">
        <w:rPr>
          <w:sz w:val="24"/>
          <w:szCs w:val="24"/>
          <w:lang w:val="en-US"/>
        </w:rPr>
        <w:t>ią dalį sudarė 2008 metais (</w:t>
      </w:r>
      <w:r w:rsidR="00C4444C">
        <w:rPr>
          <w:sz w:val="24"/>
          <w:szCs w:val="24"/>
          <w:lang w:val="en-US"/>
        </w:rPr>
        <w:t>7,6</w:t>
      </w:r>
      <w:r>
        <w:rPr>
          <w:sz w:val="24"/>
          <w:szCs w:val="24"/>
          <w:lang w:val="en-US"/>
        </w:rPr>
        <w:t xml:space="preserve"> proc. visos valstybės skolos), tuo tarpu 2012 met</w:t>
      </w:r>
      <w:r w:rsidR="00C4444C">
        <w:rPr>
          <w:sz w:val="24"/>
          <w:szCs w:val="24"/>
          <w:lang w:val="en-US"/>
        </w:rPr>
        <w:t xml:space="preserve">ais ji </w:t>
      </w:r>
      <w:r w:rsidR="00410AC8">
        <w:rPr>
          <w:sz w:val="24"/>
          <w:szCs w:val="24"/>
          <w:lang w:val="en-US"/>
        </w:rPr>
        <w:t xml:space="preserve">jau </w:t>
      </w:r>
      <w:r w:rsidR="00C4444C">
        <w:rPr>
          <w:sz w:val="24"/>
          <w:szCs w:val="24"/>
          <w:lang w:val="en-US"/>
        </w:rPr>
        <w:t>buvo mažesnė ir siekė 4</w:t>
      </w:r>
      <w:r>
        <w:rPr>
          <w:sz w:val="24"/>
          <w:szCs w:val="24"/>
          <w:lang w:val="en-US"/>
        </w:rPr>
        <w:t xml:space="preserve"> proc.. Valiutine išraiška vietos valdžios skola per analizuotą laiko</w:t>
      </w:r>
      <w:r w:rsidR="00A138B5">
        <w:rPr>
          <w:sz w:val="24"/>
          <w:szCs w:val="24"/>
          <w:lang w:val="en-US"/>
        </w:rPr>
        <w:t>tarpį išaugo nuo 358.1 mln. Eur</w:t>
      </w:r>
      <w:r>
        <w:rPr>
          <w:sz w:val="24"/>
          <w:szCs w:val="24"/>
          <w:lang w:val="en-US"/>
        </w:rPr>
        <w:t xml:space="preserve"> iki 576,6 mln. Eur</w:t>
      </w:r>
      <w:r w:rsidRPr="009F4143">
        <w:rPr>
          <w:sz w:val="24"/>
          <w:szCs w:val="24"/>
          <w:lang w:val="en-US"/>
        </w:rPr>
        <w:t xml:space="preserve">. Lietuvos valstybės skolos struktūra iš kitų Baltijos šalių išsiskiria tuo, jog joje socialinių apsaugos fondų skola sudarė </w:t>
      </w:r>
      <w:r w:rsidR="00F66C91">
        <w:rPr>
          <w:sz w:val="24"/>
          <w:szCs w:val="24"/>
          <w:lang w:val="en-US"/>
        </w:rPr>
        <w:t xml:space="preserve">didesnę </w:t>
      </w:r>
      <w:r w:rsidRPr="009F4143">
        <w:rPr>
          <w:sz w:val="24"/>
          <w:szCs w:val="24"/>
          <w:lang w:val="en-US"/>
        </w:rPr>
        <w:t>dalį</w:t>
      </w:r>
      <w:r w:rsidR="009F4143" w:rsidRPr="009F4143">
        <w:rPr>
          <w:sz w:val="24"/>
          <w:szCs w:val="24"/>
          <w:lang w:val="en-US"/>
        </w:rPr>
        <w:t xml:space="preserve"> negu kitose dviejose šalyse</w:t>
      </w:r>
      <w:r w:rsidR="009F4143">
        <w:rPr>
          <w:sz w:val="24"/>
          <w:szCs w:val="24"/>
          <w:lang w:val="en-US"/>
        </w:rPr>
        <w:t>.</w:t>
      </w:r>
      <w:r>
        <w:rPr>
          <w:sz w:val="24"/>
          <w:szCs w:val="24"/>
          <w:lang w:val="en-US"/>
        </w:rPr>
        <w:t xml:space="preserve"> 2008</w:t>
      </w:r>
      <w:r w:rsidR="00C4444C">
        <w:rPr>
          <w:sz w:val="24"/>
          <w:szCs w:val="24"/>
          <w:lang w:val="en-US"/>
        </w:rPr>
        <w:t xml:space="preserve"> </w:t>
      </w:r>
      <w:r>
        <w:rPr>
          <w:sz w:val="24"/>
          <w:szCs w:val="24"/>
          <w:lang w:val="en-US"/>
        </w:rPr>
        <w:t>m. ši dalis buvo nedidelė ir sudarė mažiau negu 1 proc. vis</w:t>
      </w:r>
      <w:r w:rsidR="00C4444C">
        <w:rPr>
          <w:sz w:val="24"/>
          <w:szCs w:val="24"/>
          <w:lang w:val="en-US"/>
        </w:rPr>
        <w:t>os valstybės skolos, tačiau 2009</w:t>
      </w:r>
      <w:r>
        <w:rPr>
          <w:sz w:val="24"/>
          <w:szCs w:val="24"/>
          <w:lang w:val="en-US"/>
        </w:rPr>
        <w:t xml:space="preserve"> metais smarkiai išaugus socialinių apsaugos fondų skolai </w:t>
      </w:r>
      <w:r w:rsidRPr="00410AC8">
        <w:rPr>
          <w:sz w:val="24"/>
          <w:szCs w:val="24"/>
          <w:lang w:val="en-US"/>
        </w:rPr>
        <w:t>val</w:t>
      </w:r>
      <w:r w:rsidR="00C4444C" w:rsidRPr="00410AC8">
        <w:rPr>
          <w:sz w:val="24"/>
          <w:szCs w:val="24"/>
          <w:lang w:val="en-US"/>
        </w:rPr>
        <w:t>iutine išr</w:t>
      </w:r>
      <w:r w:rsidR="00A138B5">
        <w:rPr>
          <w:sz w:val="24"/>
          <w:szCs w:val="24"/>
          <w:lang w:val="en-US"/>
        </w:rPr>
        <w:t>aiška ( 2008 m. – 24,9 mln. Eur</w:t>
      </w:r>
      <w:r w:rsidR="00C4444C" w:rsidRPr="00410AC8">
        <w:rPr>
          <w:sz w:val="24"/>
          <w:szCs w:val="24"/>
          <w:lang w:val="en-US"/>
        </w:rPr>
        <w:t xml:space="preserve">, o 2009 </w:t>
      </w:r>
      <w:r w:rsidR="00410AC8">
        <w:rPr>
          <w:sz w:val="24"/>
          <w:szCs w:val="24"/>
          <w:lang w:val="en-US"/>
        </w:rPr>
        <w:t>m. – 8</w:t>
      </w:r>
      <w:r w:rsidR="00C4444C" w:rsidRPr="00410AC8">
        <w:rPr>
          <w:sz w:val="24"/>
          <w:szCs w:val="24"/>
          <w:lang w:val="en-US"/>
        </w:rPr>
        <w:t>71,8</w:t>
      </w:r>
      <w:r w:rsidR="00A138B5">
        <w:rPr>
          <w:sz w:val="24"/>
          <w:szCs w:val="24"/>
          <w:lang w:val="en-US"/>
        </w:rPr>
        <w:t xml:space="preserve">  mln. Eur</w:t>
      </w:r>
      <w:r w:rsidRPr="00410AC8">
        <w:rPr>
          <w:sz w:val="24"/>
          <w:szCs w:val="24"/>
          <w:lang w:val="en-US"/>
        </w:rPr>
        <w:t xml:space="preserve">), ši dalis padidėjo iki </w:t>
      </w:r>
      <w:r w:rsidR="00C4444C" w:rsidRPr="00410AC8">
        <w:rPr>
          <w:sz w:val="24"/>
          <w:szCs w:val="24"/>
          <w:lang w:val="en-US"/>
        </w:rPr>
        <w:t>10</w:t>
      </w:r>
      <w:r w:rsidR="00410AC8" w:rsidRPr="00410AC8">
        <w:rPr>
          <w:sz w:val="24"/>
          <w:szCs w:val="24"/>
          <w:lang w:val="en-US"/>
        </w:rPr>
        <w:t xml:space="preserve"> </w:t>
      </w:r>
      <w:r w:rsidRPr="00410AC8">
        <w:rPr>
          <w:sz w:val="24"/>
          <w:szCs w:val="24"/>
          <w:lang w:val="en-US"/>
        </w:rPr>
        <w:t>pr</w:t>
      </w:r>
      <w:r w:rsidR="00C4444C" w:rsidRPr="00410AC8">
        <w:rPr>
          <w:sz w:val="24"/>
          <w:szCs w:val="24"/>
          <w:lang w:val="en-US"/>
        </w:rPr>
        <w:t>oc. visos valstybės skolos.</w:t>
      </w:r>
      <w:r w:rsidR="00410AC8" w:rsidRPr="00410AC8">
        <w:rPr>
          <w:sz w:val="24"/>
          <w:szCs w:val="24"/>
          <w:lang w:val="en-US"/>
        </w:rPr>
        <w:t xml:space="preserve"> </w:t>
      </w:r>
      <w:r w:rsidR="00410AC8" w:rsidRPr="00410AC8">
        <w:rPr>
          <w:sz w:val="24"/>
          <w:szCs w:val="24"/>
        </w:rPr>
        <w:t xml:space="preserve">Tam </w:t>
      </w:r>
      <w:r w:rsidR="002329DC">
        <w:rPr>
          <w:sz w:val="24"/>
          <w:szCs w:val="24"/>
        </w:rPr>
        <w:t>įtakos turėjo Lietuvos Seimo priimtas sprendimas didinti pensijas, motinystės ir tėvystės pašalpas</w:t>
      </w:r>
      <w:r w:rsidR="00755997">
        <w:rPr>
          <w:sz w:val="24"/>
          <w:szCs w:val="24"/>
        </w:rPr>
        <w:t>, kas labai padidino 2008 metam</w:t>
      </w:r>
      <w:r w:rsidR="002329DC">
        <w:rPr>
          <w:sz w:val="24"/>
          <w:szCs w:val="24"/>
        </w:rPr>
        <w:t xml:space="preserve">s suplanuotas Valstybinio socialinio draudimo fondo (VSDF) biudžeto išlaidas. Jau 2008 metais VSDF biudžetas buvo deficitinis, tačiau tais metais deficitas buvo padengtas sukauptu rezervu, todėl 2008 metais socialinės apsaugos fondų skola </w:t>
      </w:r>
      <w:r w:rsidR="008F1BBD">
        <w:rPr>
          <w:sz w:val="24"/>
          <w:szCs w:val="24"/>
        </w:rPr>
        <w:t xml:space="preserve">dar </w:t>
      </w:r>
      <w:r w:rsidR="002329DC">
        <w:rPr>
          <w:sz w:val="24"/>
          <w:szCs w:val="24"/>
        </w:rPr>
        <w:t>neaugo. Tačiau 2009 m. kuomet rezervo jau beveik neliko, ekonomika smuko,</w:t>
      </w:r>
      <w:r w:rsidR="00186D1E">
        <w:rPr>
          <w:sz w:val="24"/>
          <w:szCs w:val="24"/>
        </w:rPr>
        <w:t xml:space="preserve"> i</w:t>
      </w:r>
      <w:r w:rsidR="00054AAC">
        <w:rPr>
          <w:sz w:val="24"/>
          <w:szCs w:val="24"/>
        </w:rPr>
        <w:t>šaugo nedarbas, mažėjo atlygini</w:t>
      </w:r>
      <w:r w:rsidR="00186D1E">
        <w:rPr>
          <w:sz w:val="24"/>
          <w:szCs w:val="24"/>
        </w:rPr>
        <w:t>m</w:t>
      </w:r>
      <w:r w:rsidR="00054AAC">
        <w:rPr>
          <w:sz w:val="24"/>
          <w:szCs w:val="24"/>
        </w:rPr>
        <w:t>a</w:t>
      </w:r>
      <w:r w:rsidR="00186D1E">
        <w:rPr>
          <w:sz w:val="24"/>
          <w:szCs w:val="24"/>
        </w:rPr>
        <w:t>i,</w:t>
      </w:r>
      <w:r w:rsidR="002329DC">
        <w:rPr>
          <w:sz w:val="24"/>
          <w:szCs w:val="24"/>
        </w:rPr>
        <w:t xml:space="preserve"> surinktų įmokų į fondą neužteko, todėl valstybiniui soc. draudimui finansuoti lėšų reikėjo ieškoti kitur. </w:t>
      </w:r>
      <w:r w:rsidR="00C4444C" w:rsidRPr="00410AC8">
        <w:rPr>
          <w:sz w:val="24"/>
          <w:szCs w:val="24"/>
          <w:lang w:val="en-US"/>
        </w:rPr>
        <w:t>2010 - 2012</w:t>
      </w:r>
      <w:r w:rsidRPr="00410AC8">
        <w:rPr>
          <w:sz w:val="24"/>
          <w:szCs w:val="24"/>
          <w:lang w:val="en-US"/>
        </w:rPr>
        <w:t xml:space="preserve"> m. socialinių apsaugos fondų skola toliau augo, o jos dalis bendroje valstybės sko</w:t>
      </w:r>
      <w:r w:rsidR="00C4444C" w:rsidRPr="00410AC8">
        <w:rPr>
          <w:sz w:val="24"/>
          <w:szCs w:val="24"/>
          <w:lang w:val="en-US"/>
        </w:rPr>
        <w:t>los struktūroje padidėjo iki 17,8</w:t>
      </w:r>
      <w:r w:rsidRPr="00410AC8">
        <w:rPr>
          <w:sz w:val="24"/>
          <w:szCs w:val="24"/>
          <w:lang w:val="en-US"/>
        </w:rPr>
        <w:t xml:space="preserve"> proc.</w:t>
      </w:r>
      <w:r w:rsidR="00410AC8" w:rsidRPr="00410AC8">
        <w:rPr>
          <w:sz w:val="24"/>
          <w:szCs w:val="24"/>
          <w:lang w:val="en-US"/>
        </w:rPr>
        <w:t>.</w:t>
      </w:r>
    </w:p>
    <w:p w:rsidR="00DD42B3" w:rsidRDefault="00DD42B3" w:rsidP="00F66C91">
      <w:pPr>
        <w:spacing w:line="360" w:lineRule="auto"/>
        <w:ind w:firstLine="720"/>
        <w:contextualSpacing/>
        <w:rPr>
          <w:sz w:val="24"/>
          <w:szCs w:val="24"/>
          <w:lang w:val="en-US"/>
        </w:rPr>
      </w:pPr>
      <w:r>
        <w:rPr>
          <w:sz w:val="24"/>
          <w:szCs w:val="24"/>
          <w:lang w:val="en-US"/>
        </w:rPr>
        <w:t>Latvij</w:t>
      </w:r>
      <w:r w:rsidR="00F66C91">
        <w:rPr>
          <w:sz w:val="24"/>
          <w:szCs w:val="24"/>
          <w:lang w:val="en-US"/>
        </w:rPr>
        <w:t>os valstybės skolos struktūra pagal subsektori</w:t>
      </w:r>
      <w:r w:rsidR="00B34DA4">
        <w:rPr>
          <w:sz w:val="24"/>
          <w:szCs w:val="24"/>
          <w:lang w:val="en-US"/>
        </w:rPr>
        <w:t>u</w:t>
      </w:r>
      <w:r w:rsidR="00F66C91">
        <w:rPr>
          <w:sz w:val="24"/>
          <w:szCs w:val="24"/>
          <w:lang w:val="en-US"/>
        </w:rPr>
        <w:t xml:space="preserve">s analizuotu laikotarpiu smarkiai nekito: vidutiniškai 87 proc. visos valstybės skolos sudarė centrinės valdžios skola, tuo tarpu likusią dalį – vietinės valdžios skola. </w:t>
      </w:r>
      <w:r>
        <w:rPr>
          <w:sz w:val="24"/>
          <w:szCs w:val="24"/>
          <w:lang w:val="en-US"/>
        </w:rPr>
        <w:t xml:space="preserve">Socialinių apsaugos fondų skola Latvijos valstybės skolos struktūroje visu analizuotu laikotarpiu buvo nežymi arba iš viso jos nebuvo. </w:t>
      </w:r>
    </w:p>
    <w:p w:rsidR="00DD42B3" w:rsidRDefault="00054AAC" w:rsidP="0064747A">
      <w:pPr>
        <w:spacing w:line="360" w:lineRule="auto"/>
        <w:ind w:firstLine="720"/>
        <w:contextualSpacing/>
        <w:rPr>
          <w:sz w:val="24"/>
          <w:szCs w:val="24"/>
        </w:rPr>
      </w:pPr>
      <w:r>
        <w:rPr>
          <w:sz w:val="24"/>
          <w:szCs w:val="24"/>
          <w:lang w:val="en-US"/>
        </w:rPr>
        <w:t>Estija</w:t>
      </w:r>
      <w:r w:rsidR="00DD42B3">
        <w:rPr>
          <w:sz w:val="24"/>
          <w:szCs w:val="24"/>
          <w:lang w:val="en-US"/>
        </w:rPr>
        <w:t xml:space="preserve"> savo valstybės skolos struktūra pagal subsektorius išsiskiria </w:t>
      </w:r>
      <w:r w:rsidR="00F60F2D">
        <w:rPr>
          <w:sz w:val="24"/>
          <w:szCs w:val="24"/>
          <w:lang w:val="en-US"/>
        </w:rPr>
        <w:t>iš Baltijos šalių. Kaip matyti 14</w:t>
      </w:r>
      <w:r w:rsidR="00DD42B3">
        <w:rPr>
          <w:sz w:val="24"/>
          <w:szCs w:val="24"/>
          <w:lang w:val="en-US"/>
        </w:rPr>
        <w:t xml:space="preserve"> paveiksle, 2008 – 2011 metų laikotarpiu didžiąją Estijos valstybės skolos dalį sudarė vietos valdžios skola, tačiau ta dalis kasmet mažėjo: 2008 m. ji sudarė 64,3 proc. visos Estijos val</w:t>
      </w:r>
      <w:r w:rsidR="00F60F2D">
        <w:rPr>
          <w:sz w:val="24"/>
          <w:szCs w:val="24"/>
          <w:lang w:val="en-US"/>
        </w:rPr>
        <w:t>stybės skolos, o 2011 m.  – 50,8</w:t>
      </w:r>
      <w:r w:rsidR="00DD42B3">
        <w:rPr>
          <w:sz w:val="24"/>
          <w:szCs w:val="24"/>
          <w:lang w:val="en-US"/>
        </w:rPr>
        <w:t xml:space="preserve"> proc..</w:t>
      </w:r>
      <w:r w:rsidR="00B34DA4">
        <w:rPr>
          <w:sz w:val="24"/>
          <w:szCs w:val="24"/>
          <w:lang w:val="en-US"/>
        </w:rPr>
        <w:t xml:space="preserve"> </w:t>
      </w:r>
      <w:r w:rsidR="00C25E27">
        <w:rPr>
          <w:sz w:val="24"/>
          <w:szCs w:val="24"/>
          <w:lang w:val="en-US"/>
        </w:rPr>
        <w:t xml:space="preserve">Vietos valdžios finansai bendroje Estijos valstybės finansų sistemoje apskritai užimą reikšmingą dalį – konsoliduota vietos valdžios išlaidų dalis sudaro apie 25 proc. visų valstybės </w:t>
      </w:r>
      <w:r w:rsidR="00C25E27" w:rsidRPr="00C55ECB">
        <w:rPr>
          <w:sz w:val="24"/>
          <w:szCs w:val="24"/>
          <w:lang w:val="en-US"/>
        </w:rPr>
        <w:t>išlaidų</w:t>
      </w:r>
      <w:r w:rsidR="000E60C3" w:rsidRPr="00C55ECB">
        <w:rPr>
          <w:sz w:val="24"/>
          <w:szCs w:val="24"/>
          <w:lang w:val="en-US"/>
        </w:rPr>
        <w:t xml:space="preserve"> </w:t>
      </w:r>
      <w:r w:rsidR="00C55ECB" w:rsidRPr="00C55ECB">
        <w:rPr>
          <w:sz w:val="24"/>
          <w:szCs w:val="24"/>
          <w:lang w:val="en-US"/>
        </w:rPr>
        <w:t>[12</w:t>
      </w:r>
      <w:r w:rsidR="000E60C3" w:rsidRPr="00C55ECB">
        <w:rPr>
          <w:sz w:val="24"/>
          <w:szCs w:val="24"/>
          <w:lang w:val="en-US"/>
        </w:rPr>
        <w:t>],</w:t>
      </w:r>
      <w:r w:rsidR="000E60C3">
        <w:rPr>
          <w:sz w:val="24"/>
          <w:szCs w:val="24"/>
          <w:lang w:val="en-US"/>
        </w:rPr>
        <w:t xml:space="preserve"> todėl </w:t>
      </w:r>
      <w:r w:rsidR="00505B5A">
        <w:rPr>
          <w:sz w:val="24"/>
          <w:szCs w:val="24"/>
          <w:lang w:val="en-US"/>
        </w:rPr>
        <w:t>apskritai</w:t>
      </w:r>
      <w:r w:rsidR="000E60C3">
        <w:rPr>
          <w:sz w:val="24"/>
          <w:szCs w:val="24"/>
          <w:lang w:val="en-US"/>
        </w:rPr>
        <w:t xml:space="preserve"> esant nedidelei Estijos valstyb</w:t>
      </w:r>
      <w:r w:rsidR="000E60C3">
        <w:rPr>
          <w:sz w:val="24"/>
          <w:szCs w:val="24"/>
        </w:rPr>
        <w:t>ės skolai,</w:t>
      </w:r>
      <w:r w:rsidR="0064747A">
        <w:rPr>
          <w:sz w:val="24"/>
          <w:szCs w:val="24"/>
          <w:lang w:val="en-US"/>
        </w:rPr>
        <w:t xml:space="preserve"> vietos valdžios skola išryškėja bendroje valstybes skolos struktūroje. </w:t>
      </w:r>
      <w:r w:rsidR="00DD42B3">
        <w:rPr>
          <w:sz w:val="24"/>
          <w:szCs w:val="24"/>
          <w:lang w:val="en-US"/>
        </w:rPr>
        <w:t>2012 metais, kuomet smarkiai išaugo Estijos centrinės valdžios skola</w:t>
      </w:r>
      <w:r w:rsidR="00DD42B3">
        <w:rPr>
          <w:sz w:val="24"/>
          <w:szCs w:val="24"/>
        </w:rPr>
        <w:t xml:space="preserve"> </w:t>
      </w:r>
      <w:r w:rsidR="00B34DA4">
        <w:rPr>
          <w:sz w:val="24"/>
          <w:szCs w:val="24"/>
        </w:rPr>
        <w:lastRenderedPageBreak/>
        <w:t>nominalia išraiška (</w:t>
      </w:r>
      <w:r w:rsidR="00C55ECB">
        <w:rPr>
          <w:sz w:val="24"/>
          <w:szCs w:val="24"/>
        </w:rPr>
        <w:t>žr. 4</w:t>
      </w:r>
      <w:r w:rsidR="00634841">
        <w:rPr>
          <w:sz w:val="24"/>
          <w:szCs w:val="24"/>
        </w:rPr>
        <w:t xml:space="preserve"> priedas</w:t>
      </w:r>
      <w:r w:rsidR="00505B5A">
        <w:rPr>
          <w:sz w:val="24"/>
          <w:szCs w:val="24"/>
        </w:rPr>
        <w:t xml:space="preserve"> 1 lentelė</w:t>
      </w:r>
      <w:r w:rsidR="00DD42B3">
        <w:rPr>
          <w:sz w:val="24"/>
          <w:szCs w:val="24"/>
        </w:rPr>
        <w:t>), jos dalis bendroje valstybės skol</w:t>
      </w:r>
      <w:r w:rsidR="00F60F2D">
        <w:rPr>
          <w:sz w:val="24"/>
          <w:szCs w:val="24"/>
        </w:rPr>
        <w:t>os struktūroje padidėjo iki 68,8</w:t>
      </w:r>
      <w:r w:rsidR="00DD42B3">
        <w:rPr>
          <w:sz w:val="24"/>
          <w:szCs w:val="24"/>
        </w:rPr>
        <w:t xml:space="preserve"> proc., tuo tarpu vietos valdžios skolos dal</w:t>
      </w:r>
      <w:r w:rsidR="00F60F2D">
        <w:rPr>
          <w:sz w:val="24"/>
          <w:szCs w:val="24"/>
        </w:rPr>
        <w:t>is atitinkamai sumažėjo iki 31,2</w:t>
      </w:r>
      <w:r w:rsidR="00DD42B3">
        <w:rPr>
          <w:sz w:val="24"/>
          <w:szCs w:val="24"/>
        </w:rPr>
        <w:t xml:space="preserve"> proc.. Socialinių apsaugos fondų skola Estijos valstybės skolos struktūroje, kaip ir Latvijoje, visu analizuotu laikotarpiu sudarė nežymią dalį arba iš viso </w:t>
      </w:r>
      <w:r w:rsidR="00755997">
        <w:rPr>
          <w:sz w:val="24"/>
          <w:szCs w:val="24"/>
        </w:rPr>
        <w:t xml:space="preserve">jos </w:t>
      </w:r>
      <w:r w:rsidR="00DD42B3">
        <w:rPr>
          <w:sz w:val="24"/>
          <w:szCs w:val="24"/>
        </w:rPr>
        <w:t xml:space="preserve">nebuvo. </w:t>
      </w:r>
    </w:p>
    <w:p w:rsidR="00E52B8B" w:rsidRDefault="00E52B8B" w:rsidP="0064747A">
      <w:pPr>
        <w:spacing w:line="360" w:lineRule="auto"/>
        <w:ind w:firstLine="720"/>
        <w:contextualSpacing/>
        <w:rPr>
          <w:sz w:val="24"/>
          <w:szCs w:val="24"/>
        </w:rPr>
      </w:pPr>
      <w:r>
        <w:rPr>
          <w:sz w:val="24"/>
          <w:szCs w:val="24"/>
        </w:rPr>
        <w:t>15 paveiksle pateikta Baltijos šalių valstybės skolos stuktūra pagal rinką, kurioje skola formuojama.</w:t>
      </w:r>
    </w:p>
    <w:p w:rsidR="006D0A88" w:rsidRDefault="006D0A88" w:rsidP="005B47AA">
      <w:pPr>
        <w:spacing w:line="360" w:lineRule="auto"/>
        <w:ind w:firstLine="720"/>
        <w:contextualSpacing/>
        <w:jc w:val="center"/>
        <w:rPr>
          <w:sz w:val="24"/>
          <w:szCs w:val="24"/>
          <w:lang w:val="en-US"/>
        </w:rPr>
      </w:pPr>
      <w:r>
        <w:rPr>
          <w:noProof/>
          <w:lang w:val="en-US"/>
        </w:rPr>
        <w:drawing>
          <wp:inline distT="0" distB="0" distL="0" distR="0">
            <wp:extent cx="5495925" cy="235267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666E1" w:rsidRDefault="005B47AA" w:rsidP="005666E1">
      <w:pPr>
        <w:spacing w:line="360" w:lineRule="auto"/>
        <w:ind w:firstLine="720"/>
        <w:contextualSpacing/>
        <w:rPr>
          <w:lang w:val="en-US"/>
        </w:rPr>
      </w:pPr>
      <w:r>
        <w:rPr>
          <w:lang w:val="en-US"/>
        </w:rPr>
        <w:t xml:space="preserve">          </w:t>
      </w:r>
      <w:r w:rsidR="006D0A88" w:rsidRPr="006D0A88">
        <w:rPr>
          <w:lang w:val="en-US"/>
        </w:rPr>
        <w:t>Šaltinis: sudaryta remiantis Lietvos ir Estijos finansų ministerijų bei Latvijos valstybės iždo duomenimis.</w:t>
      </w:r>
      <w:bookmarkStart w:id="179" w:name="_Toc374229465"/>
    </w:p>
    <w:p w:rsidR="00054AAC" w:rsidRDefault="00054AAC" w:rsidP="00054AAC">
      <w:pPr>
        <w:tabs>
          <w:tab w:val="center" w:pos="5493"/>
          <w:tab w:val="left" w:pos="8760"/>
        </w:tabs>
        <w:spacing w:line="360" w:lineRule="auto"/>
        <w:ind w:firstLine="720"/>
        <w:contextualSpacing/>
        <w:jc w:val="left"/>
        <w:rPr>
          <w:sz w:val="24"/>
          <w:szCs w:val="24"/>
          <w:lang w:val="en-US"/>
        </w:rPr>
      </w:pPr>
      <w:r>
        <w:rPr>
          <w:sz w:val="24"/>
          <w:szCs w:val="24"/>
          <w:lang w:val="en-US"/>
        </w:rPr>
        <w:tab/>
      </w:r>
      <w:r w:rsidR="00E52B8B">
        <w:rPr>
          <w:sz w:val="24"/>
          <w:szCs w:val="24"/>
          <w:lang w:val="en-US"/>
        </w:rPr>
        <w:t>15 p</w:t>
      </w:r>
      <w:r w:rsidR="006D0A88">
        <w:rPr>
          <w:sz w:val="24"/>
          <w:szCs w:val="24"/>
          <w:lang w:val="en-US"/>
        </w:rPr>
        <w:t>av. Baltijos šalių valstybės skolos stuktūrą pagal rinką</w:t>
      </w:r>
      <w:bookmarkEnd w:id="179"/>
      <w:r>
        <w:rPr>
          <w:sz w:val="24"/>
          <w:szCs w:val="24"/>
          <w:lang w:val="en-US"/>
        </w:rPr>
        <w:tab/>
      </w:r>
    </w:p>
    <w:p w:rsidR="00054AAC" w:rsidRDefault="00054AAC" w:rsidP="00054AAC">
      <w:pPr>
        <w:tabs>
          <w:tab w:val="center" w:pos="5493"/>
          <w:tab w:val="left" w:pos="8760"/>
        </w:tabs>
        <w:spacing w:line="360" w:lineRule="auto"/>
        <w:ind w:firstLine="720"/>
        <w:contextualSpacing/>
        <w:jc w:val="left"/>
        <w:rPr>
          <w:lang w:val="en-US"/>
        </w:rPr>
      </w:pPr>
    </w:p>
    <w:p w:rsidR="006D0A88" w:rsidRPr="00054AAC" w:rsidRDefault="00E52B8B" w:rsidP="00054AAC">
      <w:pPr>
        <w:spacing w:line="360" w:lineRule="auto"/>
        <w:ind w:firstLine="720"/>
        <w:contextualSpacing/>
        <w:rPr>
          <w:lang w:val="en-US"/>
        </w:rPr>
      </w:pPr>
      <w:r>
        <w:rPr>
          <w:sz w:val="24"/>
          <w:szCs w:val="24"/>
          <w:lang w:val="en-US"/>
        </w:rPr>
        <w:t>Kaip matyti iš paveikslo Lietu</w:t>
      </w:r>
      <w:r w:rsidR="00C4299B">
        <w:rPr>
          <w:sz w:val="24"/>
          <w:szCs w:val="24"/>
          <w:lang w:val="en-US"/>
        </w:rPr>
        <w:t>vos ir Latvijos a</w:t>
      </w:r>
      <w:r w:rsidR="006F61BA">
        <w:rPr>
          <w:sz w:val="24"/>
          <w:szCs w:val="24"/>
          <w:lang w:val="en-US"/>
        </w:rPr>
        <w:t>t</w:t>
      </w:r>
      <w:r w:rsidR="00C4299B">
        <w:rPr>
          <w:sz w:val="24"/>
          <w:szCs w:val="24"/>
          <w:lang w:val="en-US"/>
        </w:rPr>
        <w:t>vejais didžiąją</w:t>
      </w:r>
      <w:r>
        <w:rPr>
          <w:sz w:val="24"/>
          <w:szCs w:val="24"/>
          <w:lang w:val="en-US"/>
        </w:rPr>
        <w:t xml:space="preserve"> dalį valstybė</w:t>
      </w:r>
      <w:r w:rsidR="00C4299B">
        <w:rPr>
          <w:sz w:val="24"/>
          <w:szCs w:val="24"/>
          <w:lang w:val="en-US"/>
        </w:rPr>
        <w:t>s skolos sudaro užsienio skola, ir ta dalis kasmet vis didėja. Lietuvoje per</w:t>
      </w:r>
      <w:r w:rsidR="00F71100">
        <w:rPr>
          <w:sz w:val="24"/>
          <w:szCs w:val="24"/>
          <w:lang w:val="en-US"/>
        </w:rPr>
        <w:t xml:space="preserve"> 2008 – 2012 m. laikotarpį užsie</w:t>
      </w:r>
      <w:r w:rsidR="00C4299B">
        <w:rPr>
          <w:sz w:val="24"/>
          <w:szCs w:val="24"/>
          <w:lang w:val="en-US"/>
        </w:rPr>
        <w:t>nio skolos dalis bendroje valstybės skolos s</w:t>
      </w:r>
      <w:r w:rsidR="006F61BA">
        <w:rPr>
          <w:sz w:val="24"/>
          <w:szCs w:val="24"/>
          <w:lang w:val="en-US"/>
        </w:rPr>
        <w:t>t</w:t>
      </w:r>
      <w:r w:rsidR="00C4299B">
        <w:rPr>
          <w:sz w:val="24"/>
          <w:szCs w:val="24"/>
          <w:lang w:val="en-US"/>
        </w:rPr>
        <w:t xml:space="preserve">ruktūroje išaugo nuo 64,2 proc. iki 73,8 proc., o Latvijoje – nuo 48 proc. iki 88 proc.. </w:t>
      </w:r>
      <w:r w:rsidR="00AD79BA">
        <w:rPr>
          <w:sz w:val="24"/>
          <w:szCs w:val="24"/>
          <w:lang w:val="en-US"/>
        </w:rPr>
        <w:t>Latvijoje 2009 m. smarkų užsienio skolos dalies padidėjimą bendroje valstybės skolos st</w:t>
      </w:r>
      <w:r w:rsidR="006F61BA">
        <w:rPr>
          <w:sz w:val="24"/>
          <w:szCs w:val="24"/>
          <w:lang w:val="en-US"/>
        </w:rPr>
        <w:t>r</w:t>
      </w:r>
      <w:r w:rsidR="00AD79BA">
        <w:rPr>
          <w:sz w:val="24"/>
          <w:szCs w:val="24"/>
          <w:lang w:val="en-US"/>
        </w:rPr>
        <w:t>uktū</w:t>
      </w:r>
      <w:r w:rsidR="00521DA3">
        <w:rPr>
          <w:sz w:val="24"/>
          <w:szCs w:val="24"/>
          <w:lang w:val="en-US"/>
        </w:rPr>
        <w:t>r</w:t>
      </w:r>
      <w:r w:rsidR="00AD79BA">
        <w:rPr>
          <w:sz w:val="24"/>
          <w:szCs w:val="24"/>
          <w:lang w:val="en-US"/>
        </w:rPr>
        <w:t xml:space="preserve">oje lėmė iš TVF gauta paskola. </w:t>
      </w:r>
      <w:r w:rsidR="006F61BA">
        <w:rPr>
          <w:sz w:val="24"/>
          <w:szCs w:val="24"/>
          <w:lang w:val="en-US"/>
        </w:rPr>
        <w:t>Estijoje, priešingai nei Latvijoje ir Lietuvoje, didžiąją valstybės skolos dalį 2008</w:t>
      </w:r>
      <w:r w:rsidR="00F71100">
        <w:rPr>
          <w:sz w:val="24"/>
          <w:szCs w:val="24"/>
          <w:lang w:val="en-US"/>
        </w:rPr>
        <w:t xml:space="preserve"> – 2011 m. sudarė vidaus skola, vidutiniškai ji siekė 60 proc. visos valstybės skolos. Tik 2012 m. išaugus užsienio valstybės skolai (žr. 4 priedas 5 lentelė), jos dalis bendroje valstybės skolos struktūroje padidėjo iki 64,2 proc., o vidaus skolos dalis atitinkamai sumažėjo iki 35,8 proc..</w:t>
      </w:r>
      <w:r w:rsidR="00521DA3">
        <w:rPr>
          <w:sz w:val="24"/>
          <w:szCs w:val="24"/>
          <w:lang w:val="en-US"/>
        </w:rPr>
        <w:t xml:space="preserve"> Vidaus rinkoje </w:t>
      </w:r>
      <w:r w:rsidR="00B353EE">
        <w:rPr>
          <w:sz w:val="24"/>
          <w:szCs w:val="24"/>
          <w:lang w:val="en-US"/>
        </w:rPr>
        <w:t xml:space="preserve">valstybėms </w:t>
      </w:r>
      <w:r w:rsidR="00521DA3">
        <w:rPr>
          <w:sz w:val="24"/>
          <w:szCs w:val="24"/>
          <w:lang w:val="en-US"/>
        </w:rPr>
        <w:t xml:space="preserve">skolintis yra </w:t>
      </w:r>
      <w:r w:rsidR="00B353EE">
        <w:rPr>
          <w:sz w:val="24"/>
          <w:szCs w:val="24"/>
          <w:lang w:val="en-US"/>
        </w:rPr>
        <w:t>naudingiau, kadangi palūkanos</w:t>
      </w:r>
      <w:r w:rsidR="00054AAC">
        <w:rPr>
          <w:sz w:val="24"/>
          <w:szCs w:val="24"/>
          <w:lang w:val="en-US"/>
        </w:rPr>
        <w:t xml:space="preserve"> sumokamos toje pačioje šalyje, pinigai neišeina už šalies ribų, taip </w:t>
      </w:r>
      <w:r w:rsidR="00B353EE">
        <w:rPr>
          <w:sz w:val="24"/>
          <w:szCs w:val="24"/>
          <w:lang w:val="en-US"/>
        </w:rPr>
        <w:t>skatinamas ekonomikos augimas.</w:t>
      </w:r>
    </w:p>
    <w:p w:rsidR="00DD42B3" w:rsidRPr="006569A5" w:rsidRDefault="00521DA3" w:rsidP="00054AAC">
      <w:pPr>
        <w:spacing w:line="360" w:lineRule="auto"/>
        <w:ind w:firstLine="720"/>
        <w:contextualSpacing/>
        <w:rPr>
          <w:sz w:val="24"/>
          <w:szCs w:val="24"/>
        </w:rPr>
      </w:pPr>
      <w:r>
        <w:rPr>
          <w:sz w:val="24"/>
          <w:szCs w:val="24"/>
        </w:rPr>
        <w:t>16</w:t>
      </w:r>
      <w:r w:rsidR="00DD42B3">
        <w:rPr>
          <w:sz w:val="24"/>
          <w:szCs w:val="24"/>
        </w:rPr>
        <w:t xml:space="preserve"> paveiksle pateikta Baltijos šalių valstybės skola pagal skolinimosi priemones 2008 – 2012 metais.</w:t>
      </w:r>
    </w:p>
    <w:p w:rsidR="00A65B03" w:rsidRDefault="00F63880" w:rsidP="005B47AA">
      <w:pPr>
        <w:spacing w:line="360" w:lineRule="auto"/>
        <w:ind w:firstLine="0"/>
        <w:contextualSpacing/>
        <w:jc w:val="center"/>
        <w:rPr>
          <w:sz w:val="24"/>
          <w:szCs w:val="24"/>
        </w:rPr>
      </w:pPr>
      <w:r w:rsidRPr="00F63880">
        <w:rPr>
          <w:noProof/>
          <w:sz w:val="24"/>
          <w:szCs w:val="24"/>
          <w:lang w:val="en-US"/>
        </w:rPr>
        <w:lastRenderedPageBreak/>
        <w:drawing>
          <wp:inline distT="0" distB="0" distL="0" distR="0">
            <wp:extent cx="5905500" cy="2514600"/>
            <wp:effectExtent l="0" t="0" r="0" b="0"/>
            <wp:docPr id="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666E1" w:rsidRDefault="005B47AA" w:rsidP="005666E1">
      <w:pPr>
        <w:spacing w:line="360" w:lineRule="auto"/>
        <w:ind w:firstLine="0"/>
        <w:contextualSpacing/>
      </w:pPr>
      <w:r>
        <w:t xml:space="preserve">          </w:t>
      </w:r>
      <w:r w:rsidR="00A65B03" w:rsidRPr="00A65B03">
        <w:t>Šaltinis: sudaryta autorė</w:t>
      </w:r>
      <w:bookmarkStart w:id="180" w:name="_Toc373086907"/>
      <w:r w:rsidR="000E60C3">
        <w:t>s remiantis Eurostat duomenimis</w:t>
      </w:r>
      <w:bookmarkStart w:id="181" w:name="_Toc374229466"/>
    </w:p>
    <w:p w:rsidR="00435ED6" w:rsidRDefault="00521DA3" w:rsidP="005666E1">
      <w:pPr>
        <w:spacing w:line="360" w:lineRule="auto"/>
        <w:ind w:firstLine="0"/>
        <w:contextualSpacing/>
        <w:jc w:val="center"/>
        <w:rPr>
          <w:sz w:val="24"/>
          <w:szCs w:val="24"/>
        </w:rPr>
      </w:pPr>
      <w:r>
        <w:rPr>
          <w:sz w:val="24"/>
          <w:szCs w:val="24"/>
        </w:rPr>
        <w:t>16</w:t>
      </w:r>
      <w:r w:rsidR="00DD42B3" w:rsidRPr="000E60C3">
        <w:rPr>
          <w:sz w:val="24"/>
          <w:szCs w:val="24"/>
        </w:rPr>
        <w:t xml:space="preserve"> pav.  Baltijos šalių valstybės skolos struktūra pagal skolinimosi priemones</w:t>
      </w:r>
      <w:bookmarkEnd w:id="180"/>
      <w:bookmarkEnd w:id="181"/>
    </w:p>
    <w:p w:rsidR="005666E1" w:rsidRPr="00435ED6" w:rsidRDefault="005666E1" w:rsidP="005666E1">
      <w:pPr>
        <w:spacing w:line="360" w:lineRule="auto"/>
        <w:ind w:firstLine="0"/>
        <w:contextualSpacing/>
        <w:jc w:val="center"/>
      </w:pPr>
    </w:p>
    <w:p w:rsidR="00DD42B3" w:rsidRPr="00F63880" w:rsidRDefault="00DD42B3" w:rsidP="00F63880">
      <w:pPr>
        <w:spacing w:line="360" w:lineRule="auto"/>
        <w:ind w:firstLine="720"/>
        <w:contextualSpacing/>
        <w:rPr>
          <w:b/>
          <w:color w:val="FF0000"/>
          <w:sz w:val="24"/>
          <w:szCs w:val="24"/>
          <w:lang w:val="en-US"/>
        </w:rPr>
      </w:pPr>
      <w:r>
        <w:rPr>
          <w:sz w:val="24"/>
          <w:szCs w:val="24"/>
        </w:rPr>
        <w:t>Žvelgiant į Baltijos šalių valstybės skolos struktūrą pagal skolinimosi priemones, matyti, jog čia išsiskiria Lietuva. Analizuotu laikotarpiu Lietuvos valstybė daugiausiai skolinosi leisdama vertybinius popierius. Valstybės skolos dalis, gauta platinant vertybinius popierius, vidutiniškai sudarė 83,1 proc. visos valstybės skolos. Nors valstybės skola, gaunama platinant vertybiniu</w:t>
      </w:r>
      <w:r w:rsidR="00505B5A">
        <w:rPr>
          <w:sz w:val="24"/>
          <w:szCs w:val="24"/>
        </w:rPr>
        <w:t>s</w:t>
      </w:r>
      <w:r w:rsidR="00C55ECB">
        <w:rPr>
          <w:sz w:val="24"/>
          <w:szCs w:val="24"/>
        </w:rPr>
        <w:t xml:space="preserve"> popierius, kasmet didėjo (žr. 4</w:t>
      </w:r>
      <w:r w:rsidR="0023445A">
        <w:rPr>
          <w:sz w:val="24"/>
          <w:szCs w:val="24"/>
        </w:rPr>
        <w:t xml:space="preserve"> p</w:t>
      </w:r>
      <w:r>
        <w:rPr>
          <w:sz w:val="24"/>
          <w:szCs w:val="24"/>
        </w:rPr>
        <w:t>riedas</w:t>
      </w:r>
      <w:r w:rsidR="0023445A">
        <w:rPr>
          <w:sz w:val="24"/>
          <w:szCs w:val="24"/>
        </w:rPr>
        <w:t xml:space="preserve"> 3 lentelė</w:t>
      </w:r>
      <w:r>
        <w:rPr>
          <w:sz w:val="24"/>
          <w:szCs w:val="24"/>
        </w:rPr>
        <w:t xml:space="preserve">), tačiau jos dalis bendroje valstybės skolos struktūroje turėjo mažėjimo tendenciją, tuo tarpu </w:t>
      </w:r>
      <w:r w:rsidR="00AB0D70">
        <w:rPr>
          <w:sz w:val="24"/>
          <w:szCs w:val="24"/>
        </w:rPr>
        <w:t>iš</w:t>
      </w:r>
      <w:r>
        <w:rPr>
          <w:sz w:val="24"/>
          <w:szCs w:val="24"/>
        </w:rPr>
        <w:t xml:space="preserve"> paskolų susidariusi valstybės skolos dalis </w:t>
      </w:r>
      <w:r w:rsidR="00075DB5">
        <w:rPr>
          <w:sz w:val="24"/>
          <w:szCs w:val="24"/>
        </w:rPr>
        <w:t>padidėjo</w:t>
      </w:r>
      <w:r>
        <w:rPr>
          <w:sz w:val="24"/>
          <w:szCs w:val="24"/>
        </w:rPr>
        <w:t xml:space="preserve"> (2008 m. ji sudarė 12,5 proc. visos valstybės skolos, o 2012 m. – 18,5 proc.). Tai galima paaiškinti tuo, jog atėjus krizei, dėl neramumų finansų rinkose, dėl atsargesnio investuotojų požiūrio, Vyriausybei vertybinius popierius išplatinti sekėsi sunkiau, todėl imta intensyviau naudotis kitu skolinimosi šaltiniu, t.y. paskolomis. Taip pat Lietuva iš Baltijos šalių išsiskiria tuo, jog 2012 m. labai smarkiai išaugo valstybės skola, finansuojama indėliais ir valiuta: 2011 metais tokia skola siekė 7,6 mln. eur., tuo tarpu 2012 m. išaugo iki 196,9 mln. Eur.. Atitinkamai ir jos dalis bendroje valstybės skolos struktūroje padidėjo iki 1,5 proc.</w:t>
      </w:r>
      <w:r w:rsidR="00F9731A">
        <w:rPr>
          <w:sz w:val="24"/>
          <w:szCs w:val="24"/>
        </w:rPr>
        <w:t>. Tą</w:t>
      </w:r>
      <w:r w:rsidR="00F63880">
        <w:rPr>
          <w:sz w:val="24"/>
          <w:szCs w:val="24"/>
        </w:rPr>
        <w:t xml:space="preserve"> lėmė 2012 m. smarkiai padidėjusi lėšų suma, gauta išplatinus taupymo lakštus.</w:t>
      </w:r>
      <w:r w:rsidR="00F63880" w:rsidRPr="00F63880">
        <w:t xml:space="preserve"> </w:t>
      </w:r>
      <w:r w:rsidR="00F63880" w:rsidRPr="00F63880">
        <w:rPr>
          <w:sz w:val="24"/>
          <w:szCs w:val="24"/>
        </w:rPr>
        <w:t xml:space="preserve">Tikėtina, kad tokį taupymo lakštų populiarumą lėmė išaugęs jų, kaip investicinės priemonės, populiarumas dėl šiek tiek didesnių </w:t>
      </w:r>
      <w:r w:rsidR="00F63880" w:rsidRPr="00C55ECB">
        <w:rPr>
          <w:sz w:val="24"/>
          <w:szCs w:val="24"/>
        </w:rPr>
        <w:t>palūkanų normų, palyginti su siūlomomis už panašios trukmės indėlius komerciniuose bankuose [</w:t>
      </w:r>
      <w:r w:rsidR="00147D42">
        <w:rPr>
          <w:sz w:val="24"/>
          <w:szCs w:val="24"/>
        </w:rPr>
        <w:t>30</w:t>
      </w:r>
      <w:r w:rsidR="00F63880" w:rsidRPr="00C55ECB">
        <w:rPr>
          <w:sz w:val="24"/>
          <w:szCs w:val="24"/>
        </w:rPr>
        <w:t>].</w:t>
      </w:r>
    </w:p>
    <w:p w:rsidR="00DD42B3" w:rsidRDefault="00DD42B3" w:rsidP="00DD42B3">
      <w:pPr>
        <w:spacing w:line="360" w:lineRule="auto"/>
        <w:ind w:firstLine="720"/>
        <w:contextualSpacing/>
        <w:rPr>
          <w:sz w:val="24"/>
          <w:szCs w:val="24"/>
        </w:rPr>
      </w:pPr>
      <w:r>
        <w:rPr>
          <w:sz w:val="24"/>
          <w:szCs w:val="24"/>
        </w:rPr>
        <w:t xml:space="preserve">Latvijos valstybės skolos struktūroje pagal skolinimosi priemones analizuotu 2008 – 2012 metų laikotarpiu </w:t>
      </w:r>
      <w:r w:rsidR="00505B5A">
        <w:rPr>
          <w:sz w:val="24"/>
          <w:szCs w:val="24"/>
        </w:rPr>
        <w:t>taip pat matoma akivaizdesnių</w:t>
      </w:r>
      <w:r w:rsidR="000E60C3">
        <w:rPr>
          <w:sz w:val="24"/>
          <w:szCs w:val="24"/>
        </w:rPr>
        <w:t xml:space="preserve"> </w:t>
      </w:r>
      <w:r w:rsidR="00505B5A">
        <w:rPr>
          <w:sz w:val="24"/>
          <w:szCs w:val="24"/>
        </w:rPr>
        <w:t>pokyčių</w:t>
      </w:r>
      <w:r>
        <w:rPr>
          <w:sz w:val="24"/>
          <w:szCs w:val="24"/>
        </w:rPr>
        <w:t xml:space="preserve">. 2008 m. 60,6 proc. visos Latvijos valstybės skolos sudarė skola susidariusi platinant </w:t>
      </w:r>
      <w:r w:rsidRPr="00D84E14">
        <w:rPr>
          <w:sz w:val="24"/>
          <w:szCs w:val="24"/>
        </w:rPr>
        <w:t xml:space="preserve">vertybinius popierius, tuo tarpu likusi valstybės skolos dalis buvo gauta iš paskolų. 2009 m. Latvijos valstybės skola susidariusi iš išplatintų vertybinių popierių, sumažėjo, tuo tarpu smarkiai išaugo </w:t>
      </w:r>
      <w:r w:rsidR="00762F79">
        <w:rPr>
          <w:sz w:val="24"/>
          <w:szCs w:val="24"/>
        </w:rPr>
        <w:t>iš paskolų susidariusi skola</w:t>
      </w:r>
      <w:r w:rsidRPr="00D84E14">
        <w:rPr>
          <w:sz w:val="24"/>
          <w:szCs w:val="24"/>
        </w:rPr>
        <w:t xml:space="preserve"> ( žr. </w:t>
      </w:r>
      <w:r w:rsidR="00C55ECB">
        <w:rPr>
          <w:sz w:val="24"/>
          <w:szCs w:val="24"/>
        </w:rPr>
        <w:t>4</w:t>
      </w:r>
      <w:r w:rsidR="0023445A">
        <w:rPr>
          <w:sz w:val="24"/>
          <w:szCs w:val="24"/>
        </w:rPr>
        <w:t xml:space="preserve"> p</w:t>
      </w:r>
      <w:r w:rsidRPr="00D84E14">
        <w:rPr>
          <w:sz w:val="24"/>
          <w:szCs w:val="24"/>
        </w:rPr>
        <w:t>riedas</w:t>
      </w:r>
      <w:r w:rsidR="0023445A">
        <w:rPr>
          <w:sz w:val="24"/>
          <w:szCs w:val="24"/>
        </w:rPr>
        <w:t xml:space="preserve"> 3 lentelė</w:t>
      </w:r>
      <w:r w:rsidRPr="00D84E14">
        <w:rPr>
          <w:sz w:val="24"/>
          <w:szCs w:val="24"/>
        </w:rPr>
        <w:t xml:space="preserve">), todėl pasikeitė ir valstybės </w:t>
      </w:r>
      <w:r w:rsidRPr="00D84E14">
        <w:rPr>
          <w:sz w:val="24"/>
          <w:szCs w:val="24"/>
        </w:rPr>
        <w:lastRenderedPageBreak/>
        <w:t xml:space="preserve">skolos struktūra: iš vertybinių popierių susidariusi skola sudarė 29,9 proc. visos Latvijos valstybės skolos, o iš paskolų – 70,1 proc.. Tam įtakos turėjo Tarptautinio valiutos fondo ir kitų institucijų pritarimas dėl 7,5 mlrd. eurų paskolos Latvijai, kuri buvo suteikta 2008 – 2011 metų laikotarpiui. </w:t>
      </w:r>
      <w:r>
        <w:rPr>
          <w:sz w:val="24"/>
          <w:szCs w:val="24"/>
        </w:rPr>
        <w:t xml:space="preserve">2012 m. </w:t>
      </w:r>
      <w:r w:rsidR="00762F79">
        <w:rPr>
          <w:sz w:val="24"/>
          <w:szCs w:val="24"/>
        </w:rPr>
        <w:t xml:space="preserve">Latvijai grąžinus paskolą TVF, </w:t>
      </w:r>
      <w:r>
        <w:rPr>
          <w:sz w:val="24"/>
          <w:szCs w:val="24"/>
        </w:rPr>
        <w:t>paskolomis finansuojama Latvijos valstybės skola lyginant su 2011 m. sumažėjo, atitinkamai sumažėjo ir tokios skolos dalis, bendroje valstybės skolos struktūroje.</w:t>
      </w:r>
    </w:p>
    <w:p w:rsidR="00DD42B3" w:rsidRDefault="00DD42B3" w:rsidP="00DD42B3">
      <w:pPr>
        <w:spacing w:line="360" w:lineRule="auto"/>
        <w:ind w:firstLine="720"/>
        <w:contextualSpacing/>
        <w:rPr>
          <w:sz w:val="24"/>
          <w:szCs w:val="24"/>
        </w:rPr>
      </w:pPr>
      <w:r>
        <w:rPr>
          <w:sz w:val="24"/>
          <w:szCs w:val="24"/>
        </w:rPr>
        <w:t xml:space="preserve">Estija visu analizuotu laikotarpiu daugiausia skolinosi imdama paskolas. 2008 – 2012 m. Estijos valstybės skolos dalis, finansuojama paskolomis vidutiniškai sudarė 77,6 proc. ir tik ketvirtadalis Estijos valstybės skolos dalies buvo finansuojama leidžiant vertybinius popierius. </w:t>
      </w:r>
    </w:p>
    <w:p w:rsidR="00DD42B3" w:rsidRDefault="00521DA3" w:rsidP="00DD42B3">
      <w:pPr>
        <w:spacing w:line="360" w:lineRule="auto"/>
        <w:ind w:firstLine="720"/>
        <w:contextualSpacing/>
        <w:rPr>
          <w:sz w:val="24"/>
          <w:szCs w:val="24"/>
        </w:rPr>
      </w:pPr>
      <w:r>
        <w:rPr>
          <w:sz w:val="24"/>
          <w:szCs w:val="24"/>
        </w:rPr>
        <w:t>17</w:t>
      </w:r>
      <w:r w:rsidR="00DD42B3">
        <w:rPr>
          <w:sz w:val="24"/>
          <w:szCs w:val="24"/>
        </w:rPr>
        <w:t xml:space="preserve"> paveiksle pateikta Baltijos šalių valstybės skolos struktūra pagal trukmę 2008 – 2012 metais.</w:t>
      </w:r>
    </w:p>
    <w:p w:rsidR="00F9731A" w:rsidRPr="00E03BA9" w:rsidRDefault="00F9731A" w:rsidP="00DD42B3">
      <w:pPr>
        <w:spacing w:line="360" w:lineRule="auto"/>
        <w:ind w:firstLine="720"/>
        <w:contextualSpacing/>
        <w:rPr>
          <w:sz w:val="24"/>
          <w:szCs w:val="24"/>
        </w:rPr>
      </w:pPr>
    </w:p>
    <w:p w:rsidR="00DD42B3" w:rsidRDefault="00DD42B3" w:rsidP="005B47AA">
      <w:pPr>
        <w:spacing w:line="360" w:lineRule="auto"/>
        <w:ind w:firstLine="0"/>
        <w:contextualSpacing/>
        <w:jc w:val="center"/>
        <w:rPr>
          <w:sz w:val="24"/>
          <w:szCs w:val="24"/>
        </w:rPr>
      </w:pPr>
      <w:r w:rsidRPr="00493E19">
        <w:rPr>
          <w:noProof/>
          <w:sz w:val="24"/>
          <w:szCs w:val="24"/>
          <w:lang w:val="en-US"/>
        </w:rPr>
        <w:drawing>
          <wp:inline distT="0" distB="0" distL="0" distR="0">
            <wp:extent cx="5876925" cy="2381250"/>
            <wp:effectExtent l="0" t="0" r="0" b="0"/>
            <wp:docPr id="1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666E1" w:rsidRDefault="006831AD" w:rsidP="005666E1">
      <w:pPr>
        <w:spacing w:line="360" w:lineRule="auto"/>
        <w:contextualSpacing/>
        <w:rPr>
          <w:sz w:val="24"/>
          <w:szCs w:val="24"/>
        </w:rPr>
      </w:pPr>
      <w:r w:rsidRPr="006831AD">
        <w:t>Šaltinis: sudaryta autorės remiantis Eurostat duomenimis</w:t>
      </w:r>
      <w:r>
        <w:rPr>
          <w:sz w:val="24"/>
          <w:szCs w:val="24"/>
        </w:rPr>
        <w:t>.</w:t>
      </w:r>
      <w:bookmarkStart w:id="182" w:name="_Toc373086908"/>
      <w:bookmarkStart w:id="183" w:name="_Toc374229467"/>
    </w:p>
    <w:p w:rsidR="006831AD" w:rsidRDefault="00C00525" w:rsidP="005666E1">
      <w:pPr>
        <w:spacing w:line="360" w:lineRule="auto"/>
        <w:contextualSpacing/>
        <w:jc w:val="center"/>
        <w:rPr>
          <w:sz w:val="24"/>
          <w:szCs w:val="24"/>
        </w:rPr>
      </w:pPr>
      <w:r w:rsidRPr="00962D8C">
        <w:rPr>
          <w:sz w:val="24"/>
          <w:szCs w:val="24"/>
        </w:rPr>
        <w:t>1</w:t>
      </w:r>
      <w:r w:rsidR="00521DA3">
        <w:rPr>
          <w:sz w:val="24"/>
          <w:szCs w:val="24"/>
        </w:rPr>
        <w:t>7</w:t>
      </w:r>
      <w:r w:rsidRPr="00962D8C">
        <w:rPr>
          <w:sz w:val="24"/>
          <w:szCs w:val="24"/>
        </w:rPr>
        <w:t xml:space="preserve"> </w:t>
      </w:r>
      <w:r w:rsidR="00DD42B3" w:rsidRPr="00962D8C">
        <w:rPr>
          <w:sz w:val="24"/>
          <w:szCs w:val="24"/>
        </w:rPr>
        <w:t>pav. Baltijos šalių valstybės skolos struktūra pagal trukmę</w:t>
      </w:r>
      <w:bookmarkEnd w:id="182"/>
      <w:bookmarkEnd w:id="183"/>
    </w:p>
    <w:p w:rsidR="005666E1" w:rsidRPr="00962D8C" w:rsidRDefault="005666E1" w:rsidP="005666E1">
      <w:pPr>
        <w:spacing w:line="360" w:lineRule="auto"/>
        <w:contextualSpacing/>
        <w:jc w:val="center"/>
        <w:rPr>
          <w:sz w:val="24"/>
          <w:szCs w:val="24"/>
        </w:rPr>
      </w:pPr>
    </w:p>
    <w:p w:rsidR="00DD42B3" w:rsidRDefault="00DD42B3" w:rsidP="00DD42B3">
      <w:pPr>
        <w:spacing w:line="360" w:lineRule="auto"/>
        <w:ind w:firstLine="720"/>
        <w:contextualSpacing/>
        <w:rPr>
          <w:sz w:val="24"/>
          <w:szCs w:val="24"/>
        </w:rPr>
      </w:pPr>
      <w:r>
        <w:rPr>
          <w:sz w:val="24"/>
          <w:szCs w:val="24"/>
        </w:rPr>
        <w:t xml:space="preserve">Vertinant Baltijos šalių valstybės skolos struktūrą pagal trukmę, galima pastebėti bendrą bruožą, jog daugiausia skola yra dengiama ilgalaikėmis finansavimo priemonėmis. </w:t>
      </w:r>
      <w:r w:rsidR="00D22168">
        <w:rPr>
          <w:sz w:val="24"/>
          <w:szCs w:val="24"/>
        </w:rPr>
        <w:t>Nepaisant to, kad tai yra brangesnis skolinimosi būdas, tačiau va</w:t>
      </w:r>
      <w:r>
        <w:rPr>
          <w:sz w:val="24"/>
          <w:szCs w:val="24"/>
        </w:rPr>
        <w:t xml:space="preserve">lstybėms </w:t>
      </w:r>
      <w:r w:rsidR="00D22168">
        <w:rPr>
          <w:sz w:val="24"/>
          <w:szCs w:val="24"/>
        </w:rPr>
        <w:t xml:space="preserve">jis </w:t>
      </w:r>
      <w:r>
        <w:rPr>
          <w:sz w:val="24"/>
          <w:szCs w:val="24"/>
        </w:rPr>
        <w:t xml:space="preserve">yra patogesnis, kadangi skolos nereikia grąžinti greitai. </w:t>
      </w:r>
    </w:p>
    <w:p w:rsidR="00977B64" w:rsidRDefault="00977B64" w:rsidP="00DD42B3">
      <w:pPr>
        <w:spacing w:line="360" w:lineRule="auto"/>
        <w:ind w:firstLine="720"/>
        <w:contextualSpacing/>
        <w:rPr>
          <w:sz w:val="24"/>
          <w:szCs w:val="24"/>
          <w:lang w:val="en-US"/>
        </w:rPr>
      </w:pPr>
      <w:r>
        <w:rPr>
          <w:sz w:val="24"/>
          <w:szCs w:val="24"/>
        </w:rPr>
        <w:t>Lietuvos ir Estijos valstybės skolos struktūra pagal trukm</w:t>
      </w:r>
      <w:r w:rsidR="00063AFA">
        <w:rPr>
          <w:sz w:val="24"/>
          <w:szCs w:val="24"/>
        </w:rPr>
        <w:t>ę</w:t>
      </w:r>
      <w:r>
        <w:rPr>
          <w:sz w:val="24"/>
          <w:szCs w:val="24"/>
        </w:rPr>
        <w:t xml:space="preserve"> analizuotu laikotarpiu beveik nekito: vidutiniškai apie 94 proc. Lietuvos valstybės skolos sudarė ilgalaikė skola, o likusią dalį – trumpalaikė, tuo tarpu Estijos ilgalaikė skola vid</w:t>
      </w:r>
      <w:r w:rsidR="00310E8E">
        <w:rPr>
          <w:sz w:val="24"/>
          <w:szCs w:val="24"/>
        </w:rPr>
        <w:t>u</w:t>
      </w:r>
      <w:r>
        <w:rPr>
          <w:sz w:val="24"/>
          <w:szCs w:val="24"/>
        </w:rPr>
        <w:t>tiniškai visu laikotarpiu siekė net 99 proc., ir tik apie 1 proc. visos skolos sudarė trumpalaikė skola.</w:t>
      </w:r>
      <w:r w:rsidR="00063AFA">
        <w:rPr>
          <w:sz w:val="24"/>
          <w:szCs w:val="24"/>
        </w:rPr>
        <w:t xml:space="preserve"> Šiuo atveju šiek tiek išsiskiria Latvija. </w:t>
      </w:r>
      <w:r w:rsidR="00FD6AFA">
        <w:rPr>
          <w:sz w:val="24"/>
          <w:szCs w:val="24"/>
        </w:rPr>
        <w:t xml:space="preserve">2008 m. Latvijos valstybės skolos struktūroje ilgalaikė skola sudarė 64,1 proc., tuo tarpu trumpalaikė – 35,9 proc.. </w:t>
      </w:r>
      <w:r w:rsidR="00EC52A6">
        <w:rPr>
          <w:sz w:val="24"/>
          <w:szCs w:val="24"/>
          <w:lang w:val="en-US"/>
        </w:rPr>
        <w:t xml:space="preserve">Trumpalaikių skolų augimą bendroje Latvijos valstybės skolos struktūroje </w:t>
      </w:r>
      <w:r w:rsidR="006E26D9">
        <w:rPr>
          <w:sz w:val="24"/>
          <w:szCs w:val="24"/>
          <w:lang w:val="en-US"/>
        </w:rPr>
        <w:t xml:space="preserve">vėlgi </w:t>
      </w:r>
      <w:r w:rsidR="00EC52A6">
        <w:rPr>
          <w:sz w:val="24"/>
          <w:szCs w:val="24"/>
          <w:lang w:val="en-US"/>
        </w:rPr>
        <w:t xml:space="preserve">lėmė 2008 m. iš TVF paimta trumpalaikė </w:t>
      </w:r>
      <w:r w:rsidR="00EC52A6">
        <w:rPr>
          <w:sz w:val="24"/>
          <w:szCs w:val="24"/>
          <w:lang w:val="en-US"/>
        </w:rPr>
        <w:lastRenderedPageBreak/>
        <w:t>paskola.</w:t>
      </w:r>
      <w:r w:rsidR="00DA53A5">
        <w:rPr>
          <w:sz w:val="24"/>
          <w:szCs w:val="24"/>
          <w:lang w:val="en-US"/>
        </w:rPr>
        <w:t xml:space="preserve"> </w:t>
      </w:r>
      <w:r w:rsidR="000A7E90">
        <w:rPr>
          <w:sz w:val="24"/>
          <w:szCs w:val="24"/>
          <w:lang w:val="en-US"/>
        </w:rPr>
        <w:t>2009 – 2012 metų laikotarpiu trumpalaikių skolų dalis bendroje Latvijos valstybės skolos struktūroje kasmet mažėjo</w:t>
      </w:r>
      <w:r w:rsidR="00310E8E">
        <w:rPr>
          <w:sz w:val="24"/>
          <w:szCs w:val="24"/>
          <w:lang w:val="en-US"/>
        </w:rPr>
        <w:t>.</w:t>
      </w:r>
      <w:r w:rsidR="000A7E90">
        <w:rPr>
          <w:sz w:val="24"/>
          <w:szCs w:val="24"/>
          <w:lang w:val="en-US"/>
        </w:rPr>
        <w:t xml:space="preserve"> 2012 m.</w:t>
      </w:r>
      <w:r w:rsidR="00310E8E">
        <w:rPr>
          <w:sz w:val="24"/>
          <w:szCs w:val="24"/>
          <w:lang w:val="en-US"/>
        </w:rPr>
        <w:t>, kuomet Latvija anksčiau laiko grąžino visą iš Tarptautinio valiutos fondo paskolą, trumpalaikių skolų dalis</w:t>
      </w:r>
      <w:r w:rsidR="000A7E90">
        <w:rPr>
          <w:sz w:val="24"/>
          <w:szCs w:val="24"/>
          <w:lang w:val="en-US"/>
        </w:rPr>
        <w:t xml:space="preserve"> </w:t>
      </w:r>
      <w:r w:rsidR="00310E8E">
        <w:rPr>
          <w:sz w:val="24"/>
          <w:szCs w:val="24"/>
          <w:lang w:val="en-US"/>
        </w:rPr>
        <w:t xml:space="preserve">sudarė </w:t>
      </w:r>
      <w:r w:rsidR="000A7E90">
        <w:rPr>
          <w:sz w:val="24"/>
          <w:szCs w:val="24"/>
          <w:lang w:val="en-US"/>
        </w:rPr>
        <w:t xml:space="preserve">6,2 proc. visos skolos, tuo tarpu ilgalaikės skolos dalis </w:t>
      </w:r>
      <w:r w:rsidR="00F9731A">
        <w:rPr>
          <w:sz w:val="24"/>
          <w:szCs w:val="24"/>
          <w:lang w:val="en-US"/>
        </w:rPr>
        <w:t>i</w:t>
      </w:r>
      <w:r w:rsidR="00310E8E">
        <w:rPr>
          <w:sz w:val="24"/>
          <w:szCs w:val="24"/>
          <w:lang w:val="en-US"/>
        </w:rPr>
        <w:t>šaugo</w:t>
      </w:r>
      <w:r w:rsidR="000A7E90">
        <w:rPr>
          <w:sz w:val="24"/>
          <w:szCs w:val="24"/>
          <w:lang w:val="en-US"/>
        </w:rPr>
        <w:t xml:space="preserve"> iki 93,8 proc.</w:t>
      </w:r>
      <w:r w:rsidR="00310E8E">
        <w:rPr>
          <w:sz w:val="24"/>
          <w:szCs w:val="24"/>
          <w:lang w:val="en-US"/>
        </w:rPr>
        <w:t xml:space="preserve"> visos Latvijos valstybės skolos.</w:t>
      </w:r>
    </w:p>
    <w:p w:rsidR="00160D55" w:rsidRDefault="00160D55" w:rsidP="00DD42B3">
      <w:pPr>
        <w:spacing w:line="360" w:lineRule="auto"/>
        <w:ind w:firstLine="720"/>
        <w:contextualSpacing/>
        <w:rPr>
          <w:sz w:val="24"/>
          <w:szCs w:val="24"/>
          <w:lang w:val="en-US"/>
        </w:rPr>
      </w:pPr>
      <w:r>
        <w:rPr>
          <w:sz w:val="24"/>
          <w:szCs w:val="24"/>
          <w:lang w:val="en-US"/>
        </w:rPr>
        <w:t>Tokia Baltijos šalių</w:t>
      </w:r>
      <w:r w:rsidR="00FA4950">
        <w:rPr>
          <w:sz w:val="24"/>
          <w:szCs w:val="24"/>
          <w:lang w:val="en-US"/>
        </w:rPr>
        <w:t xml:space="preserve"> valstybės skolos</w:t>
      </w:r>
      <w:r>
        <w:rPr>
          <w:sz w:val="24"/>
          <w:szCs w:val="24"/>
          <w:lang w:val="en-US"/>
        </w:rPr>
        <w:t xml:space="preserve"> struktūra, kuomet didžiąją dalį sudaro ilgalaikė skol</w:t>
      </w:r>
      <w:r w:rsidR="00FA4950">
        <w:rPr>
          <w:sz w:val="24"/>
          <w:szCs w:val="24"/>
          <w:lang w:val="en-US"/>
        </w:rPr>
        <w:t xml:space="preserve">a, </w:t>
      </w:r>
      <w:r>
        <w:rPr>
          <w:sz w:val="24"/>
          <w:szCs w:val="24"/>
          <w:lang w:val="en-US"/>
        </w:rPr>
        <w:t xml:space="preserve">turėtų būti vertinama palankiai. Priešingu atveju, jeigu didesnę dalį sudarytų trumpalaikė skola, tai </w:t>
      </w:r>
      <w:r w:rsidR="00C3623E">
        <w:rPr>
          <w:sz w:val="24"/>
          <w:szCs w:val="24"/>
          <w:lang w:val="en-US"/>
        </w:rPr>
        <w:t>didėtų</w:t>
      </w:r>
      <w:r w:rsidR="001476A8">
        <w:rPr>
          <w:sz w:val="24"/>
          <w:szCs w:val="24"/>
          <w:lang w:val="en-US"/>
        </w:rPr>
        <w:t xml:space="preserve"> rizika, jog </w:t>
      </w:r>
      <w:r w:rsidR="00145698">
        <w:rPr>
          <w:sz w:val="24"/>
          <w:szCs w:val="24"/>
          <w:lang w:val="en-US"/>
        </w:rPr>
        <w:t xml:space="preserve">esant ekonomikos nestabilumui, </w:t>
      </w:r>
      <w:r w:rsidR="001476A8">
        <w:rPr>
          <w:sz w:val="24"/>
          <w:szCs w:val="24"/>
          <w:lang w:val="en-US"/>
        </w:rPr>
        <w:t>šalys susidurtų su sunkumais refinansuojant ar grąžinant skolas.</w:t>
      </w:r>
    </w:p>
    <w:p w:rsidR="00C33218" w:rsidRDefault="00521DA3" w:rsidP="001C098F">
      <w:pPr>
        <w:spacing w:line="360" w:lineRule="auto"/>
        <w:ind w:firstLine="720"/>
        <w:contextualSpacing/>
        <w:rPr>
          <w:sz w:val="24"/>
          <w:szCs w:val="24"/>
        </w:rPr>
      </w:pPr>
      <w:r>
        <w:rPr>
          <w:sz w:val="24"/>
          <w:szCs w:val="24"/>
          <w:lang w:val="en-US"/>
        </w:rPr>
        <w:t>18</w:t>
      </w:r>
      <w:r w:rsidR="001C098F">
        <w:rPr>
          <w:sz w:val="24"/>
          <w:szCs w:val="24"/>
          <w:lang w:val="en-US"/>
        </w:rPr>
        <w:t xml:space="preserve"> paveiksle pateikta </w:t>
      </w:r>
      <w:r w:rsidR="001C098F">
        <w:rPr>
          <w:sz w:val="24"/>
          <w:szCs w:val="24"/>
        </w:rPr>
        <w:t>Baltijos šalių valstybės skolos struktūra pagal valiutą 2008 – 2012 metais.</w:t>
      </w:r>
    </w:p>
    <w:p w:rsidR="005B47AA" w:rsidRDefault="005B47AA" w:rsidP="001C098F">
      <w:pPr>
        <w:spacing w:line="360" w:lineRule="auto"/>
        <w:ind w:firstLine="720"/>
        <w:contextualSpacing/>
        <w:rPr>
          <w:sz w:val="24"/>
          <w:szCs w:val="24"/>
          <w:lang w:val="en-US"/>
        </w:rPr>
      </w:pPr>
    </w:p>
    <w:p w:rsidR="00C33218" w:rsidRDefault="00C33218" w:rsidP="005B47AA">
      <w:pPr>
        <w:spacing w:line="360" w:lineRule="auto"/>
        <w:ind w:firstLine="0"/>
        <w:contextualSpacing/>
        <w:jc w:val="center"/>
        <w:rPr>
          <w:sz w:val="24"/>
          <w:szCs w:val="24"/>
        </w:rPr>
      </w:pPr>
      <w:r>
        <w:rPr>
          <w:noProof/>
          <w:lang w:val="en-US"/>
        </w:rPr>
        <w:drawing>
          <wp:inline distT="0" distB="0" distL="0" distR="0">
            <wp:extent cx="5962650" cy="245745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666E1" w:rsidRDefault="009A0CC3" w:rsidP="005666E1">
      <w:pPr>
        <w:spacing w:line="360" w:lineRule="auto"/>
        <w:contextualSpacing/>
      </w:pPr>
      <w:r w:rsidRPr="009A0CC3">
        <w:t>Šaltinis: sudaryta autorės remiantis Eurostat duomenimis.</w:t>
      </w:r>
      <w:bookmarkStart w:id="184" w:name="_Toc373086909"/>
      <w:bookmarkStart w:id="185" w:name="_Toc374229468"/>
    </w:p>
    <w:p w:rsidR="00962D8C" w:rsidRPr="005666E1" w:rsidRDefault="00521DA3" w:rsidP="005666E1">
      <w:pPr>
        <w:spacing w:line="360" w:lineRule="auto"/>
        <w:contextualSpacing/>
        <w:jc w:val="center"/>
      </w:pPr>
      <w:r>
        <w:rPr>
          <w:sz w:val="24"/>
          <w:szCs w:val="24"/>
        </w:rPr>
        <w:t>18</w:t>
      </w:r>
      <w:r w:rsidR="00C33218" w:rsidRPr="00962D8C">
        <w:rPr>
          <w:sz w:val="24"/>
          <w:szCs w:val="24"/>
        </w:rPr>
        <w:t xml:space="preserve"> pav. Baltijos šalių valstybės skolos struktūra pagal valiutą</w:t>
      </w:r>
      <w:bookmarkEnd w:id="184"/>
      <w:bookmarkEnd w:id="185"/>
    </w:p>
    <w:p w:rsidR="00C3623E" w:rsidRPr="00962D8C" w:rsidRDefault="00C3623E" w:rsidP="00435ED6">
      <w:pPr>
        <w:spacing w:line="360" w:lineRule="auto"/>
        <w:contextualSpacing/>
        <w:jc w:val="center"/>
      </w:pPr>
    </w:p>
    <w:p w:rsidR="00C33218" w:rsidRDefault="002F0E5A" w:rsidP="005C626A">
      <w:pPr>
        <w:spacing w:line="360" w:lineRule="auto"/>
        <w:ind w:firstLine="720"/>
        <w:contextualSpacing/>
        <w:rPr>
          <w:sz w:val="24"/>
          <w:szCs w:val="24"/>
        </w:rPr>
      </w:pPr>
      <w:r>
        <w:rPr>
          <w:sz w:val="24"/>
          <w:szCs w:val="24"/>
        </w:rPr>
        <w:t xml:space="preserve">Žvelgiant į Baltijos šalių struktūrą pagal valiutas, matyti, jog mažiausiai keitėsi Lietuvos valstybės skolos struktūra. Vis analizuotu laikotarpiu didžiąją dalį </w:t>
      </w:r>
      <w:r w:rsidR="00044F62">
        <w:rPr>
          <w:sz w:val="24"/>
          <w:szCs w:val="24"/>
        </w:rPr>
        <w:t xml:space="preserve">Lietuvos </w:t>
      </w:r>
      <w:r>
        <w:rPr>
          <w:sz w:val="24"/>
          <w:szCs w:val="24"/>
        </w:rPr>
        <w:t xml:space="preserve">valstybės skolos sudarė skola užsienio valiuta: ši dalis vidutiniškai siekė 86,3 proc. visos Lietuvos valstybės skolos, tuo tarpu skola nacionaline valiuta sudarė tik 13,7 proc.. </w:t>
      </w:r>
      <w:r w:rsidR="005C626A">
        <w:rPr>
          <w:sz w:val="24"/>
          <w:szCs w:val="24"/>
        </w:rPr>
        <w:t>Didžiausia skolos dalis užsienio valiuta bendroje valstybės skolos struktūroje buvo 2009 m.: ji sudarė 91,5 proc., o nacionaline valiuta – 8,5 proc.. Tai galima paaiškinti, tuo, kad prasidėjus finansų krizei, išaugus biudžeto deficitui, skolos suma vis augo ir ją vis sunkiau sekėsi pa</w:t>
      </w:r>
      <w:r w:rsidR="00940D59">
        <w:rPr>
          <w:sz w:val="24"/>
          <w:szCs w:val="24"/>
        </w:rPr>
        <w:t>d</w:t>
      </w:r>
      <w:r w:rsidR="005C626A">
        <w:rPr>
          <w:sz w:val="24"/>
          <w:szCs w:val="24"/>
        </w:rPr>
        <w:t>engti skolinantis vidaus rinkoje.</w:t>
      </w:r>
    </w:p>
    <w:p w:rsidR="002F0E5A" w:rsidRDefault="002F0E5A" w:rsidP="00DD42B3">
      <w:pPr>
        <w:spacing w:line="360" w:lineRule="auto"/>
        <w:ind w:firstLine="720"/>
        <w:contextualSpacing/>
        <w:rPr>
          <w:sz w:val="24"/>
          <w:szCs w:val="24"/>
        </w:rPr>
      </w:pPr>
      <w:r>
        <w:rPr>
          <w:sz w:val="24"/>
          <w:szCs w:val="24"/>
        </w:rPr>
        <w:t xml:space="preserve">Latvijos valstybės skolos strukūroje didesi pokyčiai matomi 2009 metus lyginant su 2008 m.. 2008 m. skolos dalis nacionaline valiuta bendroje Latvijos valstybės skolos struktūroje sudarė 41,4 proc., likusią dalį sudarė skola užsienio valiuta. Tačiau 2009 m. beveik du kartus išaugus valstybės skolai užsienio valiuta, o valstybės skolai nacionaline valiuta </w:t>
      </w:r>
      <w:r w:rsidRPr="00930122">
        <w:rPr>
          <w:sz w:val="24"/>
          <w:szCs w:val="24"/>
        </w:rPr>
        <w:t>sumažėjus (žr.</w:t>
      </w:r>
      <w:r w:rsidR="00C55ECB">
        <w:rPr>
          <w:sz w:val="24"/>
          <w:szCs w:val="24"/>
        </w:rPr>
        <w:t xml:space="preserve"> 4</w:t>
      </w:r>
      <w:r w:rsidR="0023445A" w:rsidRPr="00930122">
        <w:rPr>
          <w:sz w:val="24"/>
          <w:szCs w:val="24"/>
        </w:rPr>
        <w:t xml:space="preserve"> p</w:t>
      </w:r>
      <w:r w:rsidRPr="00930122">
        <w:rPr>
          <w:sz w:val="24"/>
          <w:szCs w:val="24"/>
        </w:rPr>
        <w:t>riedas</w:t>
      </w:r>
      <w:r w:rsidR="0023445A" w:rsidRPr="00930122">
        <w:rPr>
          <w:sz w:val="24"/>
          <w:szCs w:val="24"/>
        </w:rPr>
        <w:t xml:space="preserve"> 4 lentelė</w:t>
      </w:r>
      <w:r w:rsidRPr="00930122">
        <w:rPr>
          <w:sz w:val="24"/>
          <w:szCs w:val="24"/>
        </w:rPr>
        <w:t xml:space="preserve">), </w:t>
      </w:r>
      <w:r w:rsidR="000078E0" w:rsidRPr="00930122">
        <w:rPr>
          <w:sz w:val="24"/>
          <w:szCs w:val="24"/>
        </w:rPr>
        <w:t xml:space="preserve">skolos dalis užsienio </w:t>
      </w:r>
      <w:r w:rsidR="000078E0" w:rsidRPr="00930122">
        <w:rPr>
          <w:sz w:val="24"/>
          <w:szCs w:val="24"/>
        </w:rPr>
        <w:lastRenderedPageBreak/>
        <w:t>valiuta bendroje Latvijos valstybės skolos stuktūroje padidėjo</w:t>
      </w:r>
      <w:r w:rsidR="000078E0">
        <w:rPr>
          <w:sz w:val="24"/>
          <w:szCs w:val="24"/>
        </w:rPr>
        <w:t xml:space="preserve"> iki 74,7 poc., o nacionaline valiuta sumažėjo iki 25,3 proc..</w:t>
      </w:r>
      <w:r w:rsidR="005C3517">
        <w:rPr>
          <w:sz w:val="24"/>
          <w:szCs w:val="24"/>
        </w:rPr>
        <w:t xml:space="preserve"> 2010 – 2012 m. laikotarpiu skolos dalis nacionaline valiuta bendroje valstybės skolos struktūroje kasmet keliais procentais mažėjo, o skolos dalis užsienio valiuta atitinkamai didėjo.</w:t>
      </w:r>
    </w:p>
    <w:p w:rsidR="0012160C" w:rsidRDefault="004D3959" w:rsidP="0012160C">
      <w:pPr>
        <w:spacing w:line="360" w:lineRule="auto"/>
        <w:ind w:firstLine="720"/>
        <w:contextualSpacing/>
        <w:rPr>
          <w:sz w:val="24"/>
          <w:szCs w:val="24"/>
        </w:rPr>
      </w:pPr>
      <w:r>
        <w:rPr>
          <w:sz w:val="24"/>
          <w:szCs w:val="24"/>
        </w:rPr>
        <w:t xml:space="preserve">Estijos valstybės skolos suktūroje pagal valiutas akivaizdūs pokyčiai matomi 2011 m.. </w:t>
      </w:r>
      <w:r w:rsidR="001B4CBD">
        <w:rPr>
          <w:sz w:val="24"/>
          <w:szCs w:val="24"/>
        </w:rPr>
        <w:t>Nuo 2008 i</w:t>
      </w:r>
      <w:r>
        <w:rPr>
          <w:sz w:val="24"/>
          <w:szCs w:val="24"/>
        </w:rPr>
        <w:t xml:space="preserve">ki 2011 metų Estijos valstybės skolos struktūra buvo panaši kaip Latvijos ir </w:t>
      </w:r>
      <w:r w:rsidR="00930122">
        <w:rPr>
          <w:sz w:val="24"/>
          <w:szCs w:val="24"/>
        </w:rPr>
        <w:t xml:space="preserve">Lietuvos, </w:t>
      </w:r>
      <w:r>
        <w:rPr>
          <w:sz w:val="24"/>
          <w:szCs w:val="24"/>
        </w:rPr>
        <w:t xml:space="preserve"> joje di</w:t>
      </w:r>
      <w:r w:rsidR="001B4CBD">
        <w:rPr>
          <w:sz w:val="24"/>
          <w:szCs w:val="24"/>
        </w:rPr>
        <w:t>d</w:t>
      </w:r>
      <w:r>
        <w:rPr>
          <w:sz w:val="24"/>
          <w:szCs w:val="24"/>
        </w:rPr>
        <w:t>žiąją dalį skolos sudarė skola užsienio valiu</w:t>
      </w:r>
      <w:r w:rsidR="001B4CBD">
        <w:rPr>
          <w:sz w:val="24"/>
          <w:szCs w:val="24"/>
        </w:rPr>
        <w:t>ta (vidu</w:t>
      </w:r>
      <w:r w:rsidR="00044F62">
        <w:rPr>
          <w:sz w:val="24"/>
          <w:szCs w:val="24"/>
        </w:rPr>
        <w:t>t</w:t>
      </w:r>
      <w:r w:rsidR="001B4CBD">
        <w:rPr>
          <w:sz w:val="24"/>
          <w:szCs w:val="24"/>
        </w:rPr>
        <w:t>iniškai 89 proc. visos valstybės skolos).</w:t>
      </w:r>
      <w:r>
        <w:rPr>
          <w:sz w:val="24"/>
          <w:szCs w:val="24"/>
        </w:rPr>
        <w:t xml:space="preserve"> Tačiau 2011 m. </w:t>
      </w:r>
      <w:r w:rsidR="004F164D">
        <w:rPr>
          <w:sz w:val="24"/>
          <w:szCs w:val="24"/>
        </w:rPr>
        <w:t xml:space="preserve">Estijai tapus Euro zonos nare ir įsivedus eurą, </w:t>
      </w:r>
      <w:r w:rsidR="00930122">
        <w:rPr>
          <w:sz w:val="24"/>
          <w:szCs w:val="24"/>
        </w:rPr>
        <w:t>100 proc. valstybės skolos sudarė skola eurais</w:t>
      </w:r>
      <w:r w:rsidR="004F164D">
        <w:rPr>
          <w:sz w:val="24"/>
          <w:szCs w:val="24"/>
        </w:rPr>
        <w:t xml:space="preserve">. </w:t>
      </w:r>
      <w:r w:rsidR="002E1955">
        <w:rPr>
          <w:sz w:val="24"/>
          <w:szCs w:val="24"/>
        </w:rPr>
        <w:t>Tokia pati Estijos valstybės skolos s</w:t>
      </w:r>
      <w:r w:rsidR="0012160C">
        <w:rPr>
          <w:sz w:val="24"/>
          <w:szCs w:val="24"/>
        </w:rPr>
        <w:t>tr</w:t>
      </w:r>
      <w:r w:rsidR="002E1955">
        <w:rPr>
          <w:sz w:val="24"/>
          <w:szCs w:val="24"/>
        </w:rPr>
        <w:t>uktūrą išliko ir 2012 metais.</w:t>
      </w:r>
    </w:p>
    <w:p w:rsidR="00C84A29" w:rsidRDefault="0012160C" w:rsidP="00C55ECB">
      <w:pPr>
        <w:spacing w:line="360" w:lineRule="auto"/>
        <w:ind w:firstLine="720"/>
        <w:contextualSpacing/>
        <w:rPr>
          <w:sz w:val="24"/>
          <w:szCs w:val="24"/>
        </w:rPr>
      </w:pPr>
      <w:r>
        <w:rPr>
          <w:sz w:val="24"/>
          <w:szCs w:val="24"/>
        </w:rPr>
        <w:t xml:space="preserve">Lietuvos ir Latvijos atvejais, kuomet didelę dalį vastybės skolinių įsipareigojimų yra prisiimti </w:t>
      </w:r>
      <w:r w:rsidR="00841899">
        <w:rPr>
          <w:sz w:val="24"/>
          <w:szCs w:val="24"/>
        </w:rPr>
        <w:t xml:space="preserve">užsienio valiuta, iškyla didesnė valiutų kursų svyravimo rizikos grėsmė. </w:t>
      </w:r>
      <w:r w:rsidR="001069E9">
        <w:rPr>
          <w:sz w:val="24"/>
          <w:szCs w:val="24"/>
        </w:rPr>
        <w:t>Europos statistikos departamento duomenimis, 2012 m. daugiau negu 50 proc. Lietuvos valstybės skolos užsienio valiuta sudarė skola kitomis valiutomis negu eurai, o Latvijos šiek tiek daugiau negu 40 proc..</w:t>
      </w:r>
      <w:r w:rsidR="00E66791">
        <w:rPr>
          <w:sz w:val="24"/>
          <w:szCs w:val="24"/>
        </w:rPr>
        <w:t xml:space="preserve"> </w:t>
      </w:r>
      <w:r w:rsidR="00841899">
        <w:rPr>
          <w:sz w:val="24"/>
          <w:szCs w:val="24"/>
        </w:rPr>
        <w:t xml:space="preserve">Skolos dalį, tomis valiutomis, kurių kursas nėra fiksuotas, gali įtakoti valiutų kursų </w:t>
      </w:r>
      <w:r w:rsidR="00841899" w:rsidRPr="00C51665">
        <w:rPr>
          <w:sz w:val="24"/>
          <w:szCs w:val="24"/>
        </w:rPr>
        <w:t>svyravimai bei sukelti neigiamą poveikį skolos aptarnavimo išlaidoms.</w:t>
      </w:r>
      <w:r w:rsidR="001202D2" w:rsidRPr="00C51665">
        <w:rPr>
          <w:sz w:val="24"/>
          <w:szCs w:val="24"/>
        </w:rPr>
        <w:t xml:space="preserve"> </w:t>
      </w:r>
      <w:r w:rsidR="00886D06" w:rsidRPr="00C51665">
        <w:rPr>
          <w:sz w:val="24"/>
          <w:szCs w:val="24"/>
        </w:rPr>
        <w:t>Pavyzdžiui</w:t>
      </w:r>
      <w:r w:rsidR="00930122">
        <w:rPr>
          <w:sz w:val="24"/>
          <w:szCs w:val="24"/>
        </w:rPr>
        <w:t>,</w:t>
      </w:r>
      <w:r w:rsidR="00886D06" w:rsidRPr="00C51665">
        <w:rPr>
          <w:sz w:val="24"/>
          <w:szCs w:val="24"/>
        </w:rPr>
        <w:t xml:space="preserve"> 2009 metais</w:t>
      </w:r>
      <w:r w:rsidR="00C51665">
        <w:rPr>
          <w:sz w:val="24"/>
          <w:szCs w:val="24"/>
        </w:rPr>
        <w:t xml:space="preserve"> </w:t>
      </w:r>
      <w:r w:rsidR="00886D06" w:rsidRPr="00C51665">
        <w:rPr>
          <w:sz w:val="24"/>
          <w:szCs w:val="24"/>
        </w:rPr>
        <w:t>Lietuvos Vyriausybė džiaugėsi išplatinusi obligacija</w:t>
      </w:r>
      <w:r w:rsidR="00C51665">
        <w:rPr>
          <w:sz w:val="24"/>
          <w:szCs w:val="24"/>
        </w:rPr>
        <w:t>s</w:t>
      </w:r>
      <w:r w:rsidR="00886D06" w:rsidRPr="00C51665">
        <w:rPr>
          <w:sz w:val="24"/>
          <w:szCs w:val="24"/>
        </w:rPr>
        <w:t xml:space="preserve"> JAV ir pasiskolinusi 1,5 mlr</w:t>
      </w:r>
      <w:r w:rsidR="00930122">
        <w:rPr>
          <w:sz w:val="24"/>
          <w:szCs w:val="24"/>
        </w:rPr>
        <w:t>d</w:t>
      </w:r>
      <w:r w:rsidR="00886D06" w:rsidRPr="00C51665">
        <w:rPr>
          <w:sz w:val="24"/>
          <w:szCs w:val="24"/>
        </w:rPr>
        <w:t xml:space="preserve">. dolerių. Bet </w:t>
      </w:r>
      <w:r w:rsidR="00886D06" w:rsidRPr="00C51665">
        <w:rPr>
          <w:sz w:val="24"/>
          <w:szCs w:val="24"/>
          <w:shd w:val="clear" w:color="auto" w:fill="FFFFFF"/>
        </w:rPr>
        <w:t xml:space="preserve">kaip žinia, per pusmetį dolerio kursas lito atžvilgiu smarkiai išaugo, taigi išaugo ir pasiskolintų pinigų kaina. </w:t>
      </w:r>
      <w:r w:rsidR="001202D2" w:rsidRPr="00C51665">
        <w:rPr>
          <w:sz w:val="24"/>
          <w:szCs w:val="24"/>
        </w:rPr>
        <w:t>Taigi valstybėms siekiant išvengti šios rizikos, yra naudi</w:t>
      </w:r>
      <w:r w:rsidR="00930122">
        <w:rPr>
          <w:sz w:val="24"/>
          <w:szCs w:val="24"/>
        </w:rPr>
        <w:t>ngiau skolintis vidaus valiuta arba ta valiuta, kurios kursas yra fiksuotas vietinės valiutos atžvilgiu.</w:t>
      </w:r>
    </w:p>
    <w:p w:rsidR="00A17D08" w:rsidRDefault="00A17D08" w:rsidP="00C55ECB">
      <w:pPr>
        <w:spacing w:line="360" w:lineRule="auto"/>
        <w:ind w:firstLine="720"/>
        <w:contextualSpacing/>
        <w:rPr>
          <w:sz w:val="24"/>
          <w:szCs w:val="24"/>
        </w:rPr>
      </w:pPr>
    </w:p>
    <w:p w:rsidR="001113F9" w:rsidRDefault="00F40D1A" w:rsidP="001113F9">
      <w:pPr>
        <w:spacing w:line="360" w:lineRule="auto"/>
        <w:ind w:firstLine="720"/>
        <w:contextualSpacing/>
        <w:rPr>
          <w:sz w:val="24"/>
          <w:szCs w:val="24"/>
          <w:shd w:val="clear" w:color="auto" w:fill="FFFFFF"/>
        </w:rPr>
      </w:pPr>
      <w:r w:rsidRPr="001113F9">
        <w:rPr>
          <w:sz w:val="24"/>
          <w:szCs w:val="24"/>
        </w:rPr>
        <w:t>Apibendrinant Baltijos šalių valstybės skolos struktūros analizę</w:t>
      </w:r>
      <w:r w:rsidR="001113F9" w:rsidRPr="001113F9">
        <w:rPr>
          <w:sz w:val="24"/>
          <w:szCs w:val="24"/>
        </w:rPr>
        <w:t>,</w:t>
      </w:r>
      <w:r w:rsidR="001113F9">
        <w:rPr>
          <w:sz w:val="24"/>
          <w:szCs w:val="24"/>
        </w:rPr>
        <w:t xml:space="preserve"> Lietuvoje problemine sritimi</w:t>
      </w:r>
      <w:r w:rsidR="001113F9" w:rsidRPr="001113F9">
        <w:rPr>
          <w:sz w:val="24"/>
          <w:szCs w:val="24"/>
        </w:rPr>
        <w:t xml:space="preserve"> reikėtų išskirti valstybės socialinių apsaugos fondų padėt</w:t>
      </w:r>
      <w:r w:rsidR="001113F9">
        <w:rPr>
          <w:sz w:val="24"/>
          <w:szCs w:val="24"/>
        </w:rPr>
        <w:t>į</w:t>
      </w:r>
      <w:r w:rsidR="001113F9" w:rsidRPr="001113F9">
        <w:rPr>
          <w:sz w:val="24"/>
          <w:szCs w:val="24"/>
        </w:rPr>
        <w:t xml:space="preserve">, kadangi kasmet jų skola auga. Jeigu šių fondų biudžetai ir toliau liks deficitiniai, tai </w:t>
      </w:r>
      <w:r w:rsidR="00930122">
        <w:rPr>
          <w:sz w:val="24"/>
          <w:szCs w:val="24"/>
        </w:rPr>
        <w:t>jie vis didins valstybės skolą</w:t>
      </w:r>
      <w:r w:rsidR="008C3D46">
        <w:rPr>
          <w:sz w:val="24"/>
          <w:szCs w:val="24"/>
        </w:rPr>
        <w:t xml:space="preserve">, </w:t>
      </w:r>
      <w:r w:rsidR="001113F9" w:rsidRPr="001113F9">
        <w:rPr>
          <w:sz w:val="24"/>
          <w:szCs w:val="24"/>
        </w:rPr>
        <w:t xml:space="preserve"> </w:t>
      </w:r>
      <w:r w:rsidR="001113F9" w:rsidRPr="001113F9">
        <w:rPr>
          <w:sz w:val="24"/>
          <w:szCs w:val="24"/>
          <w:shd w:val="clear" w:color="auto" w:fill="FFFFFF"/>
        </w:rPr>
        <w:t>atitinkamai didės tikimybė ateityje sulaukti mažesnių socialinių išmokų arba didesnių mokesčių. Galima numanyti, jog socialinių apsaugos fondų deficitas Lietuvoje atsirado ne tik dėl ekonominės krizės, tačiau ir dėl demografinių pokyčių, kuomet visuomenė senėja ir mažėja darbingų gyventojų skaiči</w:t>
      </w:r>
      <w:r w:rsidR="00DF7A34">
        <w:rPr>
          <w:sz w:val="24"/>
          <w:szCs w:val="24"/>
          <w:shd w:val="clear" w:color="auto" w:fill="FFFFFF"/>
        </w:rPr>
        <w:t>us</w:t>
      </w:r>
      <w:r w:rsidR="001113F9" w:rsidRPr="001113F9">
        <w:rPr>
          <w:sz w:val="24"/>
          <w:szCs w:val="24"/>
          <w:shd w:val="clear" w:color="auto" w:fill="FFFFFF"/>
        </w:rPr>
        <w:t>, išaugusio soci</w:t>
      </w:r>
      <w:r w:rsidR="00DF7A34">
        <w:rPr>
          <w:sz w:val="24"/>
          <w:szCs w:val="24"/>
          <w:shd w:val="clear" w:color="auto" w:fill="FFFFFF"/>
        </w:rPr>
        <w:t>a</w:t>
      </w:r>
      <w:r w:rsidR="001113F9" w:rsidRPr="001113F9">
        <w:rPr>
          <w:sz w:val="24"/>
          <w:szCs w:val="24"/>
          <w:shd w:val="clear" w:color="auto" w:fill="FFFFFF"/>
        </w:rPr>
        <w:t xml:space="preserve">linių išmokų </w:t>
      </w:r>
      <w:r w:rsidR="00DF7A34">
        <w:rPr>
          <w:sz w:val="24"/>
          <w:szCs w:val="24"/>
          <w:shd w:val="clear" w:color="auto" w:fill="FFFFFF"/>
        </w:rPr>
        <w:t xml:space="preserve">gavėjų </w:t>
      </w:r>
      <w:r w:rsidR="001113F9" w:rsidRPr="001113F9">
        <w:rPr>
          <w:sz w:val="24"/>
          <w:szCs w:val="24"/>
          <w:shd w:val="clear" w:color="auto" w:fill="FFFFFF"/>
        </w:rPr>
        <w:t xml:space="preserve">skaičiaus </w:t>
      </w:r>
      <w:r w:rsidR="00DF7A34">
        <w:rPr>
          <w:sz w:val="24"/>
          <w:szCs w:val="24"/>
          <w:shd w:val="clear" w:color="auto" w:fill="FFFFFF"/>
        </w:rPr>
        <w:t>bei</w:t>
      </w:r>
      <w:r w:rsidR="001113F9" w:rsidRPr="001113F9">
        <w:rPr>
          <w:sz w:val="24"/>
          <w:szCs w:val="24"/>
          <w:shd w:val="clear" w:color="auto" w:fill="FFFFFF"/>
        </w:rPr>
        <w:t xml:space="preserve"> dėl emigracijos mąstų. Šitoks </w:t>
      </w:r>
      <w:r w:rsidR="003646CD">
        <w:rPr>
          <w:sz w:val="24"/>
          <w:szCs w:val="24"/>
          <w:shd w:val="clear" w:color="auto" w:fill="FFFFFF"/>
        </w:rPr>
        <w:t>procesas, jeigu jis nekontroliuojamas,</w:t>
      </w:r>
      <w:r w:rsidR="001113F9" w:rsidRPr="001113F9">
        <w:rPr>
          <w:sz w:val="24"/>
          <w:szCs w:val="24"/>
          <w:shd w:val="clear" w:color="auto" w:fill="FFFFFF"/>
        </w:rPr>
        <w:t xml:space="preserve"> gali būti labai pavojingas ateities kartoms.</w:t>
      </w:r>
    </w:p>
    <w:p w:rsidR="00A17D08" w:rsidRPr="009A31DE" w:rsidRDefault="00C84A29" w:rsidP="00A17D08">
      <w:pPr>
        <w:spacing w:line="360" w:lineRule="auto"/>
        <w:ind w:firstLine="720"/>
        <w:contextualSpacing/>
        <w:rPr>
          <w:sz w:val="24"/>
          <w:szCs w:val="24"/>
          <w:shd w:val="clear" w:color="auto" w:fill="FFFFFF"/>
        </w:rPr>
      </w:pPr>
      <w:r>
        <w:rPr>
          <w:sz w:val="24"/>
          <w:szCs w:val="24"/>
          <w:shd w:val="clear" w:color="auto" w:fill="FFFFFF"/>
        </w:rPr>
        <w:t xml:space="preserve">Teigiamai vertinama tai, jog visų trijų Baltijos šalių valstybės skolos struktūrose didžiąją dalį sudaro ilgalaikės paskolos, kadangi tai padeda išvengti rizikos, kad esant finansiniams sunkumams šalis greitai nesugebės grąžinti paskolos arba jos refinansuoti. Valiutos kurso svyravimo rizika kyla Latvijai ir Lietuvai, kadangi šios šalys daugiausiai skolinasi užsienio valiuta. 2014 metais </w:t>
      </w:r>
      <w:r w:rsidR="00B23710">
        <w:rPr>
          <w:sz w:val="24"/>
          <w:szCs w:val="24"/>
          <w:shd w:val="clear" w:color="auto" w:fill="FFFFFF"/>
        </w:rPr>
        <w:t xml:space="preserve">įsisvedusi eurą, Latvija šią riziką susimažins. </w:t>
      </w:r>
      <w:r w:rsidR="00A17D08">
        <w:rPr>
          <w:sz w:val="24"/>
          <w:szCs w:val="24"/>
          <w:shd w:val="clear" w:color="auto" w:fill="FFFFFF"/>
        </w:rPr>
        <w:t xml:space="preserve">Nepalankiai vertinama tai, jog didžiąją dalį Lietuvos ir Latvijos valstybės skolos sudaro užsienio skola, kadangi už tą skolą sumokamos palūkanos iškeliauja svetur. Skolinantis vidaus rinkoje, </w:t>
      </w:r>
      <w:r w:rsidR="00A17D08">
        <w:rPr>
          <w:sz w:val="24"/>
          <w:szCs w:val="24"/>
          <w:shd w:val="clear" w:color="auto" w:fill="FFFFFF"/>
        </w:rPr>
        <w:lastRenderedPageBreak/>
        <w:t>pinigai neišeitų už valstybės ribų ir tokių būdu prisidėtų prie šalies ekonomikos augimo.</w:t>
      </w:r>
    </w:p>
    <w:p w:rsidR="003541B7" w:rsidRPr="001639E7" w:rsidRDefault="00C3623E" w:rsidP="008B056E">
      <w:pPr>
        <w:pStyle w:val="Heading2"/>
        <w:numPr>
          <w:ilvl w:val="1"/>
          <w:numId w:val="30"/>
        </w:numPr>
        <w:rPr>
          <w:rFonts w:ascii="Times New Roman" w:hAnsi="Times New Roman" w:cs="Times New Roman"/>
          <w:b w:val="0"/>
          <w:color w:val="auto"/>
          <w:sz w:val="24"/>
          <w:szCs w:val="24"/>
        </w:rPr>
      </w:pPr>
      <w:bookmarkStart w:id="186" w:name="_Toc373086711"/>
      <w:bookmarkStart w:id="187" w:name="_Toc373086910"/>
      <w:bookmarkStart w:id="188" w:name="_Toc373275085"/>
      <w:bookmarkStart w:id="189" w:name="_Toc373421074"/>
      <w:bookmarkStart w:id="190" w:name="_Toc373448105"/>
      <w:r w:rsidRPr="00C3623E">
        <w:rPr>
          <w:rFonts w:ascii="Times New Roman" w:hAnsi="Times New Roman" w:cs="Times New Roman"/>
          <w:color w:val="auto"/>
          <w:sz w:val="24"/>
          <w:szCs w:val="24"/>
        </w:rPr>
        <w:t xml:space="preserve"> </w:t>
      </w:r>
      <w:bookmarkStart w:id="191" w:name="_Toc374228646"/>
      <w:bookmarkStart w:id="192" w:name="_Toc374229052"/>
      <w:bookmarkStart w:id="193" w:name="_Toc374229163"/>
      <w:bookmarkStart w:id="194" w:name="_Toc374229469"/>
      <w:r w:rsidR="006700F0" w:rsidRPr="00C3623E">
        <w:rPr>
          <w:rFonts w:ascii="Times New Roman" w:hAnsi="Times New Roman" w:cs="Times New Roman"/>
          <w:color w:val="auto"/>
          <w:sz w:val="24"/>
          <w:szCs w:val="24"/>
        </w:rPr>
        <w:t>Baltijos</w:t>
      </w:r>
      <w:r w:rsidR="006700F0" w:rsidRPr="001639E7">
        <w:rPr>
          <w:rFonts w:ascii="Times New Roman" w:hAnsi="Times New Roman" w:cs="Times New Roman"/>
          <w:color w:val="auto"/>
          <w:sz w:val="24"/>
          <w:szCs w:val="24"/>
        </w:rPr>
        <w:t xml:space="preserve"> šalių valstybės skolos vertinimas</w:t>
      </w:r>
      <w:bookmarkEnd w:id="186"/>
      <w:bookmarkEnd w:id="187"/>
      <w:bookmarkEnd w:id="188"/>
      <w:bookmarkEnd w:id="189"/>
      <w:bookmarkEnd w:id="190"/>
      <w:bookmarkEnd w:id="191"/>
      <w:bookmarkEnd w:id="192"/>
      <w:bookmarkEnd w:id="193"/>
      <w:bookmarkEnd w:id="194"/>
    </w:p>
    <w:p w:rsidR="00D34215" w:rsidRDefault="00D34215" w:rsidP="00880652">
      <w:pPr>
        <w:spacing w:line="360" w:lineRule="auto"/>
        <w:ind w:firstLine="284"/>
        <w:jc w:val="center"/>
        <w:rPr>
          <w:b/>
          <w:sz w:val="24"/>
          <w:szCs w:val="24"/>
        </w:rPr>
      </w:pPr>
    </w:p>
    <w:p w:rsidR="008619BA" w:rsidRDefault="005B13A7" w:rsidP="008619BA">
      <w:pPr>
        <w:spacing w:line="360" w:lineRule="auto"/>
        <w:rPr>
          <w:sz w:val="24"/>
          <w:szCs w:val="24"/>
        </w:rPr>
      </w:pPr>
      <w:r>
        <w:rPr>
          <w:sz w:val="24"/>
          <w:szCs w:val="24"/>
        </w:rPr>
        <w:t>V</w:t>
      </w:r>
      <w:r w:rsidR="00880652">
        <w:rPr>
          <w:sz w:val="24"/>
          <w:szCs w:val="24"/>
        </w:rPr>
        <w:t xml:space="preserve">ertinant ir lyginant šalių valstybės skolas neužtenka žvelgti į absoliučias </w:t>
      </w:r>
      <w:r>
        <w:rPr>
          <w:sz w:val="24"/>
          <w:szCs w:val="24"/>
        </w:rPr>
        <w:t>jų</w:t>
      </w:r>
      <w:r w:rsidR="00880652">
        <w:rPr>
          <w:sz w:val="24"/>
          <w:szCs w:val="24"/>
        </w:rPr>
        <w:t xml:space="preserve"> sumas</w:t>
      </w:r>
      <w:r w:rsidR="008619BA">
        <w:rPr>
          <w:sz w:val="24"/>
          <w:szCs w:val="24"/>
        </w:rPr>
        <w:t>. Šalies valstybės skolos dydis turėtų būti vertinamas atsižvelgiant į tos šalies ekonominę situaciją, jos tendencijas bei perspekt</w:t>
      </w:r>
      <w:r w:rsidR="00AC7C8D">
        <w:rPr>
          <w:sz w:val="24"/>
          <w:szCs w:val="24"/>
        </w:rPr>
        <w:t>y</w:t>
      </w:r>
      <w:r w:rsidR="008619BA">
        <w:rPr>
          <w:sz w:val="24"/>
          <w:szCs w:val="24"/>
        </w:rPr>
        <w:t>vas. Taigi objektyviau šalių valstybės skolos situaciją atskleidžia tam tikri santykini</w:t>
      </w:r>
      <w:r w:rsidR="00FC1D42">
        <w:rPr>
          <w:sz w:val="24"/>
          <w:szCs w:val="24"/>
        </w:rPr>
        <w:t>ai rodikliai, kurie parodo kokią valstybės skolos naštą</w:t>
      </w:r>
      <w:r w:rsidR="008619BA">
        <w:rPr>
          <w:sz w:val="24"/>
          <w:szCs w:val="24"/>
        </w:rPr>
        <w:t xml:space="preserve"> </w:t>
      </w:r>
      <w:r w:rsidR="00FC1D42">
        <w:rPr>
          <w:sz w:val="24"/>
          <w:szCs w:val="24"/>
        </w:rPr>
        <w:t>turi valstybė</w:t>
      </w:r>
      <w:r w:rsidR="008619BA">
        <w:rPr>
          <w:sz w:val="24"/>
          <w:szCs w:val="24"/>
        </w:rPr>
        <w:t xml:space="preserve"> ir, ar šalyje vykdoma skolinimosi politika </w:t>
      </w:r>
      <w:r w:rsidR="002F2718">
        <w:rPr>
          <w:sz w:val="24"/>
          <w:szCs w:val="24"/>
        </w:rPr>
        <w:t>yra suderinta su valstybėje</w:t>
      </w:r>
      <w:r w:rsidR="008619BA">
        <w:rPr>
          <w:sz w:val="24"/>
          <w:szCs w:val="24"/>
        </w:rPr>
        <w:t xml:space="preserve"> vykstančiais ekonominiais procesais.</w:t>
      </w:r>
    </w:p>
    <w:p w:rsidR="005666E1" w:rsidRDefault="005B47AA" w:rsidP="005666E1">
      <w:pPr>
        <w:spacing w:line="360" w:lineRule="auto"/>
        <w:rPr>
          <w:sz w:val="24"/>
          <w:szCs w:val="24"/>
        </w:rPr>
      </w:pPr>
      <w:r>
        <w:rPr>
          <w:sz w:val="24"/>
          <w:szCs w:val="24"/>
        </w:rPr>
        <w:t>5</w:t>
      </w:r>
      <w:r w:rsidR="00D15B28">
        <w:rPr>
          <w:sz w:val="24"/>
          <w:szCs w:val="24"/>
        </w:rPr>
        <w:t xml:space="preserve"> lentelėje pateikti </w:t>
      </w:r>
      <w:r w:rsidR="00CF0D51">
        <w:rPr>
          <w:sz w:val="24"/>
          <w:szCs w:val="24"/>
        </w:rPr>
        <w:t xml:space="preserve">apskaičiuoti </w:t>
      </w:r>
      <w:r w:rsidR="00D15B28">
        <w:rPr>
          <w:sz w:val="24"/>
          <w:szCs w:val="24"/>
        </w:rPr>
        <w:t>Baltijos šalių skolos ver</w:t>
      </w:r>
      <w:r w:rsidR="00CF0D51">
        <w:rPr>
          <w:sz w:val="24"/>
          <w:szCs w:val="24"/>
        </w:rPr>
        <w:t>t</w:t>
      </w:r>
      <w:r w:rsidR="00D15B28">
        <w:rPr>
          <w:sz w:val="24"/>
          <w:szCs w:val="24"/>
        </w:rPr>
        <w:t>inimo rodikliai, kurių reikšmė</w:t>
      </w:r>
      <w:r w:rsidR="00803576">
        <w:rPr>
          <w:sz w:val="24"/>
          <w:szCs w:val="24"/>
        </w:rPr>
        <w:t xml:space="preserve">s jau buvo aptartos </w:t>
      </w:r>
      <w:r w:rsidR="00C3623E">
        <w:rPr>
          <w:sz w:val="24"/>
          <w:szCs w:val="24"/>
        </w:rPr>
        <w:t>me</w:t>
      </w:r>
      <w:r w:rsidR="007F1382">
        <w:rPr>
          <w:sz w:val="24"/>
          <w:szCs w:val="24"/>
        </w:rPr>
        <w:t>t</w:t>
      </w:r>
      <w:r w:rsidR="00C3623E">
        <w:rPr>
          <w:sz w:val="24"/>
          <w:szCs w:val="24"/>
        </w:rPr>
        <w:t>odologinėje</w:t>
      </w:r>
      <w:r w:rsidR="00803576">
        <w:rPr>
          <w:sz w:val="24"/>
          <w:szCs w:val="24"/>
        </w:rPr>
        <w:t xml:space="preserve"> darbo dalyje</w:t>
      </w:r>
      <w:r w:rsidR="00CF0D51">
        <w:rPr>
          <w:sz w:val="24"/>
          <w:szCs w:val="24"/>
        </w:rPr>
        <w:t xml:space="preserve">. </w:t>
      </w:r>
      <w:bookmarkStart w:id="195" w:name="_Toc374229053"/>
      <w:bookmarkStart w:id="196" w:name="_Toc374229164"/>
      <w:bookmarkStart w:id="197" w:name="_Toc374229470"/>
    </w:p>
    <w:p w:rsidR="00FC7028" w:rsidRDefault="00FC7028" w:rsidP="005666E1">
      <w:pPr>
        <w:spacing w:line="360" w:lineRule="auto"/>
        <w:rPr>
          <w:sz w:val="24"/>
          <w:szCs w:val="24"/>
        </w:rPr>
      </w:pPr>
    </w:p>
    <w:p w:rsidR="005B13A7" w:rsidRPr="00B12106" w:rsidRDefault="005B47AA" w:rsidP="00AD00F8">
      <w:pPr>
        <w:spacing w:line="360" w:lineRule="auto"/>
        <w:jc w:val="center"/>
        <w:rPr>
          <w:sz w:val="24"/>
          <w:szCs w:val="24"/>
        </w:rPr>
      </w:pPr>
      <w:r>
        <w:rPr>
          <w:sz w:val="24"/>
          <w:szCs w:val="24"/>
        </w:rPr>
        <w:t>5</w:t>
      </w:r>
      <w:r w:rsidR="00D34215" w:rsidRPr="00B12106">
        <w:rPr>
          <w:sz w:val="24"/>
          <w:szCs w:val="24"/>
        </w:rPr>
        <w:t xml:space="preserve"> lentelė. </w:t>
      </w:r>
      <w:r w:rsidR="00D46190" w:rsidRPr="00B12106">
        <w:rPr>
          <w:sz w:val="24"/>
          <w:szCs w:val="24"/>
        </w:rPr>
        <w:t xml:space="preserve">Apskaičiuoti </w:t>
      </w:r>
      <w:r w:rsidR="00D34215" w:rsidRPr="00B12106">
        <w:rPr>
          <w:sz w:val="24"/>
          <w:szCs w:val="24"/>
        </w:rPr>
        <w:t>Baltijos šalių valstybės skolos vertinimo rodikli</w:t>
      </w:r>
      <w:r w:rsidR="005B13A7">
        <w:rPr>
          <w:sz w:val="24"/>
          <w:szCs w:val="24"/>
        </w:rPr>
        <w:t>ai</w:t>
      </w:r>
      <w:bookmarkEnd w:id="195"/>
      <w:bookmarkEnd w:id="196"/>
      <w:bookmarkEnd w:id="197"/>
    </w:p>
    <w:p w:rsidR="009F58E5" w:rsidRDefault="009F58E5" w:rsidP="00D34215">
      <w:pPr>
        <w:ind w:firstLine="0"/>
        <w:rPr>
          <w:b/>
          <w:sz w:val="24"/>
          <w:szCs w:val="24"/>
        </w:rPr>
      </w:pPr>
    </w:p>
    <w:tbl>
      <w:tblPr>
        <w:tblStyle w:val="TableGrid"/>
        <w:tblW w:w="0" w:type="auto"/>
        <w:jc w:val="center"/>
        <w:tblLook w:val="04A0"/>
      </w:tblPr>
      <w:tblGrid>
        <w:gridCol w:w="1642"/>
        <w:gridCol w:w="1642"/>
        <w:gridCol w:w="1642"/>
        <w:gridCol w:w="1642"/>
        <w:gridCol w:w="1643"/>
        <w:gridCol w:w="1643"/>
      </w:tblGrid>
      <w:tr w:rsidR="009F58E5" w:rsidRPr="009F44DA" w:rsidTr="00AD00F8">
        <w:trPr>
          <w:jc w:val="center"/>
        </w:trPr>
        <w:tc>
          <w:tcPr>
            <w:tcW w:w="9854" w:type="dxa"/>
            <w:gridSpan w:val="6"/>
          </w:tcPr>
          <w:p w:rsidR="009F58E5" w:rsidRPr="009F44DA" w:rsidRDefault="009F58E5" w:rsidP="006700F0">
            <w:pPr>
              <w:ind w:firstLine="0"/>
              <w:jc w:val="center"/>
              <w:rPr>
                <w:b/>
                <w:sz w:val="22"/>
                <w:szCs w:val="22"/>
              </w:rPr>
            </w:pPr>
            <w:r w:rsidRPr="009F44DA">
              <w:rPr>
                <w:b/>
                <w:sz w:val="22"/>
                <w:szCs w:val="22"/>
              </w:rPr>
              <w:t>Valstybės skolos ir BVP santykis</w:t>
            </w:r>
            <w:r w:rsidR="001B1937" w:rsidRPr="009F44DA">
              <w:rPr>
                <w:b/>
                <w:sz w:val="22"/>
                <w:szCs w:val="22"/>
              </w:rPr>
              <w:t>, %</w:t>
            </w:r>
          </w:p>
        </w:tc>
      </w:tr>
      <w:tr w:rsidR="009F58E5" w:rsidRPr="009F44DA" w:rsidTr="00AD00F8">
        <w:trPr>
          <w:jc w:val="center"/>
        </w:trPr>
        <w:tc>
          <w:tcPr>
            <w:tcW w:w="1642" w:type="dxa"/>
          </w:tcPr>
          <w:p w:rsidR="009F58E5" w:rsidRPr="009F44DA" w:rsidRDefault="009F58E5" w:rsidP="006700F0">
            <w:pPr>
              <w:ind w:firstLine="0"/>
              <w:jc w:val="center"/>
              <w:rPr>
                <w:b/>
                <w:sz w:val="22"/>
                <w:szCs w:val="22"/>
              </w:rPr>
            </w:pPr>
          </w:p>
        </w:tc>
        <w:tc>
          <w:tcPr>
            <w:tcW w:w="1642" w:type="dxa"/>
          </w:tcPr>
          <w:p w:rsidR="009F58E5" w:rsidRPr="009F44DA" w:rsidRDefault="009F58E5" w:rsidP="006700F0">
            <w:pPr>
              <w:ind w:firstLine="0"/>
              <w:jc w:val="center"/>
              <w:rPr>
                <w:b/>
                <w:sz w:val="22"/>
                <w:szCs w:val="22"/>
              </w:rPr>
            </w:pPr>
            <w:r w:rsidRPr="009F44DA">
              <w:rPr>
                <w:b/>
                <w:sz w:val="22"/>
                <w:szCs w:val="22"/>
              </w:rPr>
              <w:t>2008</w:t>
            </w:r>
          </w:p>
        </w:tc>
        <w:tc>
          <w:tcPr>
            <w:tcW w:w="1642" w:type="dxa"/>
          </w:tcPr>
          <w:p w:rsidR="009F58E5" w:rsidRPr="009F44DA" w:rsidRDefault="009F58E5" w:rsidP="006700F0">
            <w:pPr>
              <w:ind w:firstLine="0"/>
              <w:jc w:val="center"/>
              <w:rPr>
                <w:b/>
                <w:sz w:val="22"/>
                <w:szCs w:val="22"/>
              </w:rPr>
            </w:pPr>
            <w:r w:rsidRPr="009F44DA">
              <w:rPr>
                <w:b/>
                <w:sz w:val="22"/>
                <w:szCs w:val="22"/>
              </w:rPr>
              <w:t>2009</w:t>
            </w:r>
          </w:p>
        </w:tc>
        <w:tc>
          <w:tcPr>
            <w:tcW w:w="1642" w:type="dxa"/>
          </w:tcPr>
          <w:p w:rsidR="009F58E5" w:rsidRPr="009F44DA" w:rsidRDefault="009F58E5" w:rsidP="006700F0">
            <w:pPr>
              <w:ind w:firstLine="0"/>
              <w:jc w:val="center"/>
              <w:rPr>
                <w:b/>
                <w:sz w:val="22"/>
                <w:szCs w:val="22"/>
              </w:rPr>
            </w:pPr>
            <w:r w:rsidRPr="009F44DA">
              <w:rPr>
                <w:b/>
                <w:sz w:val="22"/>
                <w:szCs w:val="22"/>
              </w:rPr>
              <w:t>2010</w:t>
            </w:r>
          </w:p>
        </w:tc>
        <w:tc>
          <w:tcPr>
            <w:tcW w:w="1643" w:type="dxa"/>
          </w:tcPr>
          <w:p w:rsidR="009F58E5" w:rsidRPr="009F44DA" w:rsidRDefault="009F58E5" w:rsidP="006700F0">
            <w:pPr>
              <w:ind w:firstLine="0"/>
              <w:jc w:val="center"/>
              <w:rPr>
                <w:b/>
                <w:sz w:val="22"/>
                <w:szCs w:val="22"/>
              </w:rPr>
            </w:pPr>
            <w:r w:rsidRPr="009F44DA">
              <w:rPr>
                <w:b/>
                <w:sz w:val="22"/>
                <w:szCs w:val="22"/>
              </w:rPr>
              <w:t>2011</w:t>
            </w:r>
          </w:p>
        </w:tc>
        <w:tc>
          <w:tcPr>
            <w:tcW w:w="1643" w:type="dxa"/>
          </w:tcPr>
          <w:p w:rsidR="009F58E5" w:rsidRPr="009F44DA" w:rsidRDefault="009F58E5" w:rsidP="006700F0">
            <w:pPr>
              <w:ind w:firstLine="0"/>
              <w:jc w:val="center"/>
              <w:rPr>
                <w:b/>
                <w:sz w:val="22"/>
                <w:szCs w:val="22"/>
              </w:rPr>
            </w:pPr>
            <w:r w:rsidRPr="009F44DA">
              <w:rPr>
                <w:b/>
                <w:sz w:val="22"/>
                <w:szCs w:val="22"/>
              </w:rPr>
              <w:t>2012</w:t>
            </w:r>
          </w:p>
        </w:tc>
      </w:tr>
      <w:tr w:rsidR="009F58E5" w:rsidRPr="009F44DA" w:rsidTr="00AD00F8">
        <w:trPr>
          <w:jc w:val="center"/>
        </w:trPr>
        <w:tc>
          <w:tcPr>
            <w:tcW w:w="1642" w:type="dxa"/>
          </w:tcPr>
          <w:p w:rsidR="009F58E5" w:rsidRPr="009F44DA" w:rsidRDefault="009F58E5" w:rsidP="006700F0">
            <w:pPr>
              <w:ind w:firstLine="0"/>
              <w:jc w:val="center"/>
              <w:rPr>
                <w:b/>
                <w:sz w:val="22"/>
                <w:szCs w:val="22"/>
              </w:rPr>
            </w:pPr>
            <w:r w:rsidRPr="009F44DA">
              <w:rPr>
                <w:b/>
                <w:sz w:val="22"/>
                <w:szCs w:val="22"/>
              </w:rPr>
              <w:t>Lietuva</w:t>
            </w:r>
          </w:p>
        </w:tc>
        <w:tc>
          <w:tcPr>
            <w:tcW w:w="1642" w:type="dxa"/>
          </w:tcPr>
          <w:p w:rsidR="009F58E5" w:rsidRPr="009F44DA" w:rsidRDefault="009F58E5" w:rsidP="006700F0">
            <w:pPr>
              <w:ind w:firstLine="0"/>
              <w:jc w:val="center"/>
              <w:rPr>
                <w:sz w:val="22"/>
                <w:szCs w:val="22"/>
              </w:rPr>
            </w:pPr>
            <w:r w:rsidRPr="009F44DA">
              <w:rPr>
                <w:sz w:val="22"/>
                <w:szCs w:val="22"/>
              </w:rPr>
              <w:t>15,5</w:t>
            </w:r>
          </w:p>
        </w:tc>
        <w:tc>
          <w:tcPr>
            <w:tcW w:w="1642" w:type="dxa"/>
          </w:tcPr>
          <w:p w:rsidR="009F58E5" w:rsidRPr="009F44DA" w:rsidRDefault="009F58E5" w:rsidP="006700F0">
            <w:pPr>
              <w:ind w:firstLine="0"/>
              <w:jc w:val="center"/>
              <w:rPr>
                <w:sz w:val="22"/>
                <w:szCs w:val="22"/>
              </w:rPr>
            </w:pPr>
            <w:r w:rsidRPr="009F44DA">
              <w:rPr>
                <w:sz w:val="22"/>
                <w:szCs w:val="22"/>
              </w:rPr>
              <w:t>29,3</w:t>
            </w:r>
          </w:p>
        </w:tc>
        <w:tc>
          <w:tcPr>
            <w:tcW w:w="1642" w:type="dxa"/>
          </w:tcPr>
          <w:p w:rsidR="009F58E5" w:rsidRPr="009F44DA" w:rsidRDefault="009F58E5" w:rsidP="006700F0">
            <w:pPr>
              <w:ind w:firstLine="0"/>
              <w:jc w:val="center"/>
              <w:rPr>
                <w:sz w:val="22"/>
                <w:szCs w:val="22"/>
              </w:rPr>
            </w:pPr>
            <w:r w:rsidRPr="009F44DA">
              <w:rPr>
                <w:sz w:val="22"/>
                <w:szCs w:val="22"/>
              </w:rPr>
              <w:t>37,9</w:t>
            </w:r>
          </w:p>
        </w:tc>
        <w:tc>
          <w:tcPr>
            <w:tcW w:w="1643" w:type="dxa"/>
          </w:tcPr>
          <w:p w:rsidR="009F58E5" w:rsidRPr="009F44DA" w:rsidRDefault="009F58E5" w:rsidP="006700F0">
            <w:pPr>
              <w:ind w:firstLine="0"/>
              <w:jc w:val="center"/>
              <w:rPr>
                <w:sz w:val="22"/>
                <w:szCs w:val="22"/>
              </w:rPr>
            </w:pPr>
            <w:r w:rsidRPr="009F44DA">
              <w:rPr>
                <w:sz w:val="22"/>
                <w:szCs w:val="22"/>
              </w:rPr>
              <w:t>38,5</w:t>
            </w:r>
          </w:p>
        </w:tc>
        <w:tc>
          <w:tcPr>
            <w:tcW w:w="1643" w:type="dxa"/>
          </w:tcPr>
          <w:p w:rsidR="009F58E5" w:rsidRPr="009F44DA" w:rsidRDefault="009F58E5" w:rsidP="006700F0">
            <w:pPr>
              <w:ind w:firstLine="0"/>
              <w:jc w:val="center"/>
              <w:rPr>
                <w:sz w:val="22"/>
                <w:szCs w:val="22"/>
              </w:rPr>
            </w:pPr>
            <w:r w:rsidRPr="009F44DA">
              <w:rPr>
                <w:sz w:val="22"/>
                <w:szCs w:val="22"/>
              </w:rPr>
              <w:t>40,6</w:t>
            </w:r>
          </w:p>
        </w:tc>
      </w:tr>
      <w:tr w:rsidR="009F58E5" w:rsidRPr="009F44DA" w:rsidTr="00AD00F8">
        <w:trPr>
          <w:jc w:val="center"/>
        </w:trPr>
        <w:tc>
          <w:tcPr>
            <w:tcW w:w="1642" w:type="dxa"/>
          </w:tcPr>
          <w:p w:rsidR="009F58E5" w:rsidRPr="009F44DA" w:rsidRDefault="009F58E5" w:rsidP="006700F0">
            <w:pPr>
              <w:ind w:firstLine="0"/>
              <w:jc w:val="center"/>
              <w:rPr>
                <w:b/>
                <w:sz w:val="22"/>
                <w:szCs w:val="22"/>
              </w:rPr>
            </w:pPr>
            <w:r w:rsidRPr="009F44DA">
              <w:rPr>
                <w:b/>
                <w:sz w:val="22"/>
                <w:szCs w:val="22"/>
              </w:rPr>
              <w:t>Latvija</w:t>
            </w:r>
          </w:p>
        </w:tc>
        <w:tc>
          <w:tcPr>
            <w:tcW w:w="1642" w:type="dxa"/>
          </w:tcPr>
          <w:p w:rsidR="009F58E5" w:rsidRPr="009F44DA" w:rsidRDefault="009F58E5" w:rsidP="006700F0">
            <w:pPr>
              <w:ind w:firstLine="0"/>
              <w:jc w:val="center"/>
              <w:rPr>
                <w:sz w:val="22"/>
                <w:szCs w:val="22"/>
              </w:rPr>
            </w:pPr>
            <w:r w:rsidRPr="009F44DA">
              <w:rPr>
                <w:sz w:val="22"/>
                <w:szCs w:val="22"/>
              </w:rPr>
              <w:t>19,8</w:t>
            </w:r>
          </w:p>
        </w:tc>
        <w:tc>
          <w:tcPr>
            <w:tcW w:w="1642" w:type="dxa"/>
          </w:tcPr>
          <w:p w:rsidR="009F58E5" w:rsidRPr="009F44DA" w:rsidRDefault="009F58E5" w:rsidP="006700F0">
            <w:pPr>
              <w:ind w:firstLine="0"/>
              <w:jc w:val="center"/>
              <w:rPr>
                <w:sz w:val="22"/>
                <w:szCs w:val="22"/>
              </w:rPr>
            </w:pPr>
            <w:r w:rsidRPr="009F44DA">
              <w:rPr>
                <w:sz w:val="22"/>
                <w:szCs w:val="22"/>
              </w:rPr>
              <w:t>36,9</w:t>
            </w:r>
          </w:p>
        </w:tc>
        <w:tc>
          <w:tcPr>
            <w:tcW w:w="1642" w:type="dxa"/>
          </w:tcPr>
          <w:p w:rsidR="009F58E5" w:rsidRPr="009F44DA" w:rsidRDefault="009F58E5" w:rsidP="006700F0">
            <w:pPr>
              <w:ind w:firstLine="0"/>
              <w:jc w:val="center"/>
              <w:rPr>
                <w:sz w:val="22"/>
                <w:szCs w:val="22"/>
              </w:rPr>
            </w:pPr>
            <w:r w:rsidRPr="009F44DA">
              <w:rPr>
                <w:sz w:val="22"/>
                <w:szCs w:val="22"/>
              </w:rPr>
              <w:t>44,4</w:t>
            </w:r>
          </w:p>
        </w:tc>
        <w:tc>
          <w:tcPr>
            <w:tcW w:w="1643" w:type="dxa"/>
          </w:tcPr>
          <w:p w:rsidR="009F58E5" w:rsidRPr="009F44DA" w:rsidRDefault="009F58E5" w:rsidP="006700F0">
            <w:pPr>
              <w:ind w:firstLine="0"/>
              <w:jc w:val="center"/>
              <w:rPr>
                <w:sz w:val="22"/>
                <w:szCs w:val="22"/>
              </w:rPr>
            </w:pPr>
            <w:r w:rsidRPr="009F44DA">
              <w:rPr>
                <w:sz w:val="22"/>
                <w:szCs w:val="22"/>
              </w:rPr>
              <w:t>41,9</w:t>
            </w:r>
          </w:p>
        </w:tc>
        <w:tc>
          <w:tcPr>
            <w:tcW w:w="1643" w:type="dxa"/>
          </w:tcPr>
          <w:p w:rsidR="009F58E5" w:rsidRPr="009F44DA" w:rsidRDefault="009F58E5" w:rsidP="006700F0">
            <w:pPr>
              <w:ind w:firstLine="0"/>
              <w:jc w:val="center"/>
              <w:rPr>
                <w:sz w:val="22"/>
                <w:szCs w:val="22"/>
              </w:rPr>
            </w:pPr>
            <w:r w:rsidRPr="009F44DA">
              <w:rPr>
                <w:sz w:val="22"/>
                <w:szCs w:val="22"/>
              </w:rPr>
              <w:t>40,7</w:t>
            </w:r>
          </w:p>
        </w:tc>
      </w:tr>
      <w:tr w:rsidR="009F58E5" w:rsidRPr="009F44DA" w:rsidTr="00AD00F8">
        <w:trPr>
          <w:jc w:val="center"/>
        </w:trPr>
        <w:tc>
          <w:tcPr>
            <w:tcW w:w="1642" w:type="dxa"/>
          </w:tcPr>
          <w:p w:rsidR="009F58E5" w:rsidRPr="009F44DA" w:rsidRDefault="009F58E5" w:rsidP="006700F0">
            <w:pPr>
              <w:ind w:firstLine="0"/>
              <w:jc w:val="center"/>
              <w:rPr>
                <w:b/>
                <w:sz w:val="22"/>
                <w:szCs w:val="22"/>
              </w:rPr>
            </w:pPr>
            <w:r w:rsidRPr="009F44DA">
              <w:rPr>
                <w:b/>
                <w:sz w:val="22"/>
                <w:szCs w:val="22"/>
              </w:rPr>
              <w:t>Estija</w:t>
            </w:r>
          </w:p>
        </w:tc>
        <w:tc>
          <w:tcPr>
            <w:tcW w:w="1642" w:type="dxa"/>
          </w:tcPr>
          <w:p w:rsidR="009F58E5" w:rsidRPr="009F44DA" w:rsidRDefault="009F58E5" w:rsidP="006700F0">
            <w:pPr>
              <w:ind w:firstLine="0"/>
              <w:jc w:val="center"/>
              <w:rPr>
                <w:sz w:val="22"/>
                <w:szCs w:val="22"/>
              </w:rPr>
            </w:pPr>
            <w:r w:rsidRPr="009F44DA">
              <w:rPr>
                <w:sz w:val="22"/>
                <w:szCs w:val="22"/>
              </w:rPr>
              <w:t>4,5</w:t>
            </w:r>
          </w:p>
        </w:tc>
        <w:tc>
          <w:tcPr>
            <w:tcW w:w="1642" w:type="dxa"/>
          </w:tcPr>
          <w:p w:rsidR="009F58E5" w:rsidRPr="009F44DA" w:rsidRDefault="009F58E5" w:rsidP="006700F0">
            <w:pPr>
              <w:ind w:firstLine="0"/>
              <w:jc w:val="center"/>
              <w:rPr>
                <w:sz w:val="22"/>
                <w:szCs w:val="22"/>
              </w:rPr>
            </w:pPr>
            <w:r w:rsidRPr="009F44DA">
              <w:rPr>
                <w:sz w:val="22"/>
                <w:szCs w:val="22"/>
              </w:rPr>
              <w:t>7,1</w:t>
            </w:r>
          </w:p>
        </w:tc>
        <w:tc>
          <w:tcPr>
            <w:tcW w:w="1642" w:type="dxa"/>
          </w:tcPr>
          <w:p w:rsidR="009F58E5" w:rsidRPr="009F44DA" w:rsidRDefault="009F58E5" w:rsidP="006700F0">
            <w:pPr>
              <w:ind w:firstLine="0"/>
              <w:jc w:val="center"/>
              <w:rPr>
                <w:sz w:val="22"/>
                <w:szCs w:val="22"/>
              </w:rPr>
            </w:pPr>
            <w:r w:rsidRPr="009F44DA">
              <w:rPr>
                <w:sz w:val="22"/>
                <w:szCs w:val="22"/>
              </w:rPr>
              <w:t>6,7</w:t>
            </w:r>
          </w:p>
        </w:tc>
        <w:tc>
          <w:tcPr>
            <w:tcW w:w="1643" w:type="dxa"/>
          </w:tcPr>
          <w:p w:rsidR="009F58E5" w:rsidRPr="009F44DA" w:rsidRDefault="009F58E5" w:rsidP="006700F0">
            <w:pPr>
              <w:ind w:firstLine="0"/>
              <w:jc w:val="center"/>
              <w:rPr>
                <w:sz w:val="22"/>
                <w:szCs w:val="22"/>
              </w:rPr>
            </w:pPr>
            <w:r w:rsidRPr="009F44DA">
              <w:rPr>
                <w:sz w:val="22"/>
                <w:szCs w:val="22"/>
              </w:rPr>
              <w:t>6,1</w:t>
            </w:r>
          </w:p>
        </w:tc>
        <w:tc>
          <w:tcPr>
            <w:tcW w:w="1643" w:type="dxa"/>
          </w:tcPr>
          <w:p w:rsidR="009F58E5" w:rsidRPr="009F44DA" w:rsidRDefault="009F58E5" w:rsidP="006700F0">
            <w:pPr>
              <w:ind w:firstLine="0"/>
              <w:jc w:val="center"/>
              <w:rPr>
                <w:sz w:val="22"/>
                <w:szCs w:val="22"/>
              </w:rPr>
            </w:pPr>
            <w:r w:rsidRPr="009F44DA">
              <w:rPr>
                <w:sz w:val="22"/>
                <w:szCs w:val="22"/>
              </w:rPr>
              <w:t>9,9</w:t>
            </w:r>
          </w:p>
        </w:tc>
      </w:tr>
      <w:tr w:rsidR="009F58E5" w:rsidRPr="009F44DA" w:rsidTr="00AD00F8">
        <w:trPr>
          <w:jc w:val="center"/>
        </w:trPr>
        <w:tc>
          <w:tcPr>
            <w:tcW w:w="9854" w:type="dxa"/>
            <w:gridSpan w:val="6"/>
          </w:tcPr>
          <w:p w:rsidR="009F58E5" w:rsidRPr="009F44DA" w:rsidRDefault="009F58E5" w:rsidP="006700F0">
            <w:pPr>
              <w:ind w:firstLine="0"/>
              <w:jc w:val="center"/>
              <w:rPr>
                <w:b/>
                <w:sz w:val="22"/>
                <w:szCs w:val="22"/>
              </w:rPr>
            </w:pPr>
            <w:r w:rsidRPr="009F44DA">
              <w:rPr>
                <w:b/>
                <w:sz w:val="22"/>
                <w:szCs w:val="22"/>
              </w:rPr>
              <w:t>Palūkanų už valstybės skolą ir valstybės skolos santykis</w:t>
            </w:r>
            <w:r w:rsidR="001B1937" w:rsidRPr="009F44DA">
              <w:rPr>
                <w:b/>
                <w:sz w:val="22"/>
                <w:szCs w:val="22"/>
              </w:rPr>
              <w:t>,%</w:t>
            </w:r>
          </w:p>
        </w:tc>
      </w:tr>
      <w:tr w:rsidR="009F58E5" w:rsidRPr="009F44DA" w:rsidTr="00AD00F8">
        <w:trPr>
          <w:jc w:val="center"/>
        </w:trPr>
        <w:tc>
          <w:tcPr>
            <w:tcW w:w="1642" w:type="dxa"/>
          </w:tcPr>
          <w:p w:rsidR="009F58E5" w:rsidRPr="009F44DA" w:rsidRDefault="009F58E5" w:rsidP="001B1937">
            <w:pPr>
              <w:ind w:firstLine="0"/>
              <w:jc w:val="center"/>
              <w:rPr>
                <w:b/>
                <w:sz w:val="22"/>
                <w:szCs w:val="22"/>
              </w:rPr>
            </w:pPr>
          </w:p>
        </w:tc>
        <w:tc>
          <w:tcPr>
            <w:tcW w:w="1642" w:type="dxa"/>
          </w:tcPr>
          <w:p w:rsidR="009F58E5" w:rsidRPr="009F44DA" w:rsidRDefault="009F58E5" w:rsidP="001B1937">
            <w:pPr>
              <w:ind w:firstLine="0"/>
              <w:jc w:val="center"/>
              <w:rPr>
                <w:b/>
                <w:sz w:val="22"/>
                <w:szCs w:val="22"/>
              </w:rPr>
            </w:pPr>
            <w:r w:rsidRPr="009F44DA">
              <w:rPr>
                <w:b/>
                <w:sz w:val="22"/>
                <w:szCs w:val="22"/>
              </w:rPr>
              <w:t>2008</w:t>
            </w:r>
          </w:p>
        </w:tc>
        <w:tc>
          <w:tcPr>
            <w:tcW w:w="1642" w:type="dxa"/>
          </w:tcPr>
          <w:p w:rsidR="009F58E5" w:rsidRPr="009F44DA" w:rsidRDefault="009F58E5" w:rsidP="001B1937">
            <w:pPr>
              <w:ind w:firstLine="0"/>
              <w:jc w:val="center"/>
              <w:rPr>
                <w:b/>
                <w:sz w:val="22"/>
                <w:szCs w:val="22"/>
              </w:rPr>
            </w:pPr>
            <w:r w:rsidRPr="009F44DA">
              <w:rPr>
                <w:b/>
                <w:sz w:val="22"/>
                <w:szCs w:val="22"/>
              </w:rPr>
              <w:t>2009</w:t>
            </w:r>
          </w:p>
        </w:tc>
        <w:tc>
          <w:tcPr>
            <w:tcW w:w="1642" w:type="dxa"/>
          </w:tcPr>
          <w:p w:rsidR="009F58E5" w:rsidRPr="009F44DA" w:rsidRDefault="009F58E5" w:rsidP="001B1937">
            <w:pPr>
              <w:ind w:firstLine="0"/>
              <w:jc w:val="center"/>
              <w:rPr>
                <w:b/>
                <w:sz w:val="22"/>
                <w:szCs w:val="22"/>
              </w:rPr>
            </w:pPr>
            <w:r w:rsidRPr="009F44DA">
              <w:rPr>
                <w:b/>
                <w:sz w:val="22"/>
                <w:szCs w:val="22"/>
              </w:rPr>
              <w:t>2010</w:t>
            </w:r>
          </w:p>
        </w:tc>
        <w:tc>
          <w:tcPr>
            <w:tcW w:w="1643" w:type="dxa"/>
          </w:tcPr>
          <w:p w:rsidR="009F58E5" w:rsidRPr="009F44DA" w:rsidRDefault="009F58E5" w:rsidP="001B1937">
            <w:pPr>
              <w:ind w:firstLine="0"/>
              <w:jc w:val="center"/>
              <w:rPr>
                <w:b/>
                <w:sz w:val="22"/>
                <w:szCs w:val="22"/>
              </w:rPr>
            </w:pPr>
            <w:r w:rsidRPr="009F44DA">
              <w:rPr>
                <w:b/>
                <w:sz w:val="22"/>
                <w:szCs w:val="22"/>
              </w:rPr>
              <w:t>2011</w:t>
            </w:r>
          </w:p>
        </w:tc>
        <w:tc>
          <w:tcPr>
            <w:tcW w:w="1643" w:type="dxa"/>
          </w:tcPr>
          <w:p w:rsidR="009F58E5" w:rsidRPr="009F44DA" w:rsidRDefault="009F58E5" w:rsidP="001B1937">
            <w:pPr>
              <w:ind w:firstLine="0"/>
              <w:jc w:val="center"/>
              <w:rPr>
                <w:b/>
                <w:sz w:val="22"/>
                <w:szCs w:val="22"/>
              </w:rPr>
            </w:pPr>
            <w:r w:rsidRPr="009F44DA">
              <w:rPr>
                <w:b/>
                <w:sz w:val="22"/>
                <w:szCs w:val="22"/>
              </w:rPr>
              <w:t>2012</w:t>
            </w:r>
          </w:p>
        </w:tc>
      </w:tr>
      <w:tr w:rsidR="009F58E5" w:rsidRPr="009F44DA" w:rsidTr="00AD00F8">
        <w:trPr>
          <w:jc w:val="center"/>
        </w:trPr>
        <w:tc>
          <w:tcPr>
            <w:tcW w:w="1642" w:type="dxa"/>
          </w:tcPr>
          <w:p w:rsidR="009F58E5" w:rsidRPr="009F44DA" w:rsidRDefault="009F58E5" w:rsidP="001B1937">
            <w:pPr>
              <w:ind w:firstLine="0"/>
              <w:jc w:val="center"/>
              <w:rPr>
                <w:b/>
                <w:sz w:val="22"/>
                <w:szCs w:val="22"/>
              </w:rPr>
            </w:pPr>
            <w:r w:rsidRPr="009F44DA">
              <w:rPr>
                <w:b/>
                <w:sz w:val="22"/>
                <w:szCs w:val="22"/>
              </w:rPr>
              <w:t>Lietuva</w:t>
            </w:r>
          </w:p>
        </w:tc>
        <w:tc>
          <w:tcPr>
            <w:tcW w:w="1642" w:type="dxa"/>
          </w:tcPr>
          <w:p w:rsidR="009F58E5" w:rsidRPr="009F44DA" w:rsidRDefault="00530A7E" w:rsidP="001B1937">
            <w:pPr>
              <w:ind w:firstLine="0"/>
              <w:jc w:val="center"/>
              <w:rPr>
                <w:sz w:val="22"/>
                <w:szCs w:val="22"/>
              </w:rPr>
            </w:pPr>
            <w:r w:rsidRPr="009F44DA">
              <w:rPr>
                <w:sz w:val="22"/>
                <w:szCs w:val="22"/>
              </w:rPr>
              <w:t>4,4</w:t>
            </w:r>
          </w:p>
        </w:tc>
        <w:tc>
          <w:tcPr>
            <w:tcW w:w="1642" w:type="dxa"/>
          </w:tcPr>
          <w:p w:rsidR="009F58E5" w:rsidRPr="009F44DA" w:rsidRDefault="00530A7E" w:rsidP="001B1937">
            <w:pPr>
              <w:ind w:firstLine="0"/>
              <w:jc w:val="center"/>
              <w:rPr>
                <w:sz w:val="22"/>
                <w:szCs w:val="22"/>
              </w:rPr>
            </w:pPr>
            <w:r w:rsidRPr="009F44DA">
              <w:rPr>
                <w:sz w:val="22"/>
                <w:szCs w:val="22"/>
              </w:rPr>
              <w:t>4,3</w:t>
            </w:r>
          </w:p>
        </w:tc>
        <w:tc>
          <w:tcPr>
            <w:tcW w:w="1642" w:type="dxa"/>
          </w:tcPr>
          <w:p w:rsidR="009F58E5" w:rsidRPr="009F44DA" w:rsidRDefault="00530A7E" w:rsidP="001B1937">
            <w:pPr>
              <w:ind w:firstLine="0"/>
              <w:jc w:val="center"/>
              <w:rPr>
                <w:sz w:val="22"/>
                <w:szCs w:val="22"/>
              </w:rPr>
            </w:pPr>
            <w:r w:rsidRPr="009F44DA">
              <w:rPr>
                <w:sz w:val="22"/>
                <w:szCs w:val="22"/>
              </w:rPr>
              <w:t>4,7</w:t>
            </w:r>
          </w:p>
        </w:tc>
        <w:tc>
          <w:tcPr>
            <w:tcW w:w="1643" w:type="dxa"/>
          </w:tcPr>
          <w:p w:rsidR="009F58E5" w:rsidRPr="009F44DA" w:rsidRDefault="00530A7E" w:rsidP="001B1937">
            <w:pPr>
              <w:ind w:firstLine="0"/>
              <w:jc w:val="center"/>
              <w:rPr>
                <w:sz w:val="22"/>
                <w:szCs w:val="22"/>
              </w:rPr>
            </w:pPr>
            <w:r w:rsidRPr="009F44DA">
              <w:rPr>
                <w:sz w:val="22"/>
                <w:szCs w:val="22"/>
              </w:rPr>
              <w:t>4,6</w:t>
            </w:r>
          </w:p>
        </w:tc>
        <w:tc>
          <w:tcPr>
            <w:tcW w:w="1643" w:type="dxa"/>
          </w:tcPr>
          <w:p w:rsidR="009F58E5" w:rsidRPr="009F44DA" w:rsidRDefault="00530A7E" w:rsidP="001B1937">
            <w:pPr>
              <w:ind w:firstLine="0"/>
              <w:jc w:val="center"/>
              <w:rPr>
                <w:sz w:val="22"/>
                <w:szCs w:val="22"/>
              </w:rPr>
            </w:pPr>
            <w:r w:rsidRPr="009F44DA">
              <w:rPr>
                <w:sz w:val="22"/>
                <w:szCs w:val="22"/>
              </w:rPr>
              <w:t>4,5</w:t>
            </w:r>
          </w:p>
        </w:tc>
      </w:tr>
      <w:tr w:rsidR="009F58E5" w:rsidRPr="009F44DA" w:rsidTr="00AD00F8">
        <w:trPr>
          <w:jc w:val="center"/>
        </w:trPr>
        <w:tc>
          <w:tcPr>
            <w:tcW w:w="1642" w:type="dxa"/>
          </w:tcPr>
          <w:p w:rsidR="009F58E5" w:rsidRPr="009F44DA" w:rsidRDefault="009F58E5" w:rsidP="001B1937">
            <w:pPr>
              <w:ind w:firstLine="0"/>
              <w:jc w:val="center"/>
              <w:rPr>
                <w:b/>
                <w:sz w:val="22"/>
                <w:szCs w:val="22"/>
              </w:rPr>
            </w:pPr>
            <w:r w:rsidRPr="009F44DA">
              <w:rPr>
                <w:b/>
                <w:sz w:val="22"/>
                <w:szCs w:val="22"/>
              </w:rPr>
              <w:t>Latvija</w:t>
            </w:r>
          </w:p>
        </w:tc>
        <w:tc>
          <w:tcPr>
            <w:tcW w:w="1642" w:type="dxa"/>
          </w:tcPr>
          <w:p w:rsidR="009F58E5" w:rsidRPr="009F44DA" w:rsidRDefault="00530A7E" w:rsidP="001B1937">
            <w:pPr>
              <w:ind w:firstLine="0"/>
              <w:jc w:val="center"/>
              <w:rPr>
                <w:sz w:val="22"/>
                <w:szCs w:val="22"/>
              </w:rPr>
            </w:pPr>
            <w:r w:rsidRPr="009F44DA">
              <w:rPr>
                <w:sz w:val="22"/>
                <w:szCs w:val="22"/>
              </w:rPr>
              <w:t>3,0</w:t>
            </w:r>
          </w:p>
        </w:tc>
        <w:tc>
          <w:tcPr>
            <w:tcW w:w="1642" w:type="dxa"/>
          </w:tcPr>
          <w:p w:rsidR="009F58E5" w:rsidRPr="009F44DA" w:rsidRDefault="00530A7E" w:rsidP="001B1937">
            <w:pPr>
              <w:ind w:firstLine="0"/>
              <w:jc w:val="center"/>
              <w:rPr>
                <w:sz w:val="22"/>
                <w:szCs w:val="22"/>
              </w:rPr>
            </w:pPr>
            <w:r w:rsidRPr="009F44DA">
              <w:rPr>
                <w:sz w:val="22"/>
                <w:szCs w:val="22"/>
              </w:rPr>
              <w:t>4,1</w:t>
            </w:r>
          </w:p>
        </w:tc>
        <w:tc>
          <w:tcPr>
            <w:tcW w:w="1642" w:type="dxa"/>
          </w:tcPr>
          <w:p w:rsidR="009F58E5" w:rsidRPr="009F44DA" w:rsidRDefault="00530A7E" w:rsidP="001B1937">
            <w:pPr>
              <w:ind w:firstLine="0"/>
              <w:jc w:val="center"/>
              <w:rPr>
                <w:sz w:val="22"/>
                <w:szCs w:val="22"/>
              </w:rPr>
            </w:pPr>
            <w:r w:rsidRPr="009F44DA">
              <w:rPr>
                <w:sz w:val="22"/>
                <w:szCs w:val="22"/>
              </w:rPr>
              <w:t>3,2</w:t>
            </w:r>
          </w:p>
        </w:tc>
        <w:tc>
          <w:tcPr>
            <w:tcW w:w="1643" w:type="dxa"/>
          </w:tcPr>
          <w:p w:rsidR="009F58E5" w:rsidRPr="009F44DA" w:rsidRDefault="00530A7E" w:rsidP="001B1937">
            <w:pPr>
              <w:ind w:firstLine="0"/>
              <w:jc w:val="center"/>
              <w:rPr>
                <w:sz w:val="22"/>
                <w:szCs w:val="22"/>
              </w:rPr>
            </w:pPr>
            <w:r w:rsidRPr="009F44DA">
              <w:rPr>
                <w:sz w:val="22"/>
                <w:szCs w:val="22"/>
              </w:rPr>
              <w:t>3,5</w:t>
            </w:r>
          </w:p>
        </w:tc>
        <w:tc>
          <w:tcPr>
            <w:tcW w:w="1643" w:type="dxa"/>
          </w:tcPr>
          <w:p w:rsidR="009F58E5" w:rsidRPr="009F44DA" w:rsidRDefault="00530A7E" w:rsidP="001B1937">
            <w:pPr>
              <w:ind w:firstLine="0"/>
              <w:jc w:val="center"/>
              <w:rPr>
                <w:sz w:val="22"/>
                <w:szCs w:val="22"/>
              </w:rPr>
            </w:pPr>
            <w:r w:rsidRPr="009F44DA">
              <w:rPr>
                <w:sz w:val="22"/>
                <w:szCs w:val="22"/>
              </w:rPr>
              <w:t>3,3</w:t>
            </w:r>
          </w:p>
        </w:tc>
      </w:tr>
      <w:tr w:rsidR="009F58E5" w:rsidRPr="009F44DA" w:rsidTr="00AD00F8">
        <w:trPr>
          <w:jc w:val="center"/>
        </w:trPr>
        <w:tc>
          <w:tcPr>
            <w:tcW w:w="1642" w:type="dxa"/>
          </w:tcPr>
          <w:p w:rsidR="009F58E5" w:rsidRPr="009F44DA" w:rsidRDefault="009F58E5" w:rsidP="001B1937">
            <w:pPr>
              <w:ind w:firstLine="0"/>
              <w:jc w:val="center"/>
              <w:rPr>
                <w:b/>
                <w:sz w:val="22"/>
                <w:szCs w:val="22"/>
              </w:rPr>
            </w:pPr>
            <w:r w:rsidRPr="009F44DA">
              <w:rPr>
                <w:b/>
                <w:sz w:val="22"/>
                <w:szCs w:val="22"/>
              </w:rPr>
              <w:t>Estija</w:t>
            </w:r>
          </w:p>
        </w:tc>
        <w:tc>
          <w:tcPr>
            <w:tcW w:w="1642" w:type="dxa"/>
          </w:tcPr>
          <w:p w:rsidR="009F58E5" w:rsidRPr="009F44DA" w:rsidRDefault="00530A7E" w:rsidP="001B1937">
            <w:pPr>
              <w:ind w:firstLine="0"/>
              <w:jc w:val="center"/>
              <w:rPr>
                <w:sz w:val="22"/>
                <w:szCs w:val="22"/>
              </w:rPr>
            </w:pPr>
            <w:r w:rsidRPr="009F44DA">
              <w:rPr>
                <w:sz w:val="22"/>
                <w:szCs w:val="22"/>
              </w:rPr>
              <w:t>4,5</w:t>
            </w:r>
          </w:p>
        </w:tc>
        <w:tc>
          <w:tcPr>
            <w:tcW w:w="1642" w:type="dxa"/>
          </w:tcPr>
          <w:p w:rsidR="009F58E5" w:rsidRPr="009F44DA" w:rsidRDefault="00530A7E" w:rsidP="001B1937">
            <w:pPr>
              <w:ind w:firstLine="0"/>
              <w:jc w:val="center"/>
              <w:rPr>
                <w:sz w:val="22"/>
                <w:szCs w:val="22"/>
              </w:rPr>
            </w:pPr>
            <w:r w:rsidRPr="009F44DA">
              <w:rPr>
                <w:sz w:val="22"/>
                <w:szCs w:val="22"/>
              </w:rPr>
              <w:t>2,9</w:t>
            </w:r>
          </w:p>
        </w:tc>
        <w:tc>
          <w:tcPr>
            <w:tcW w:w="1642" w:type="dxa"/>
          </w:tcPr>
          <w:p w:rsidR="009F58E5" w:rsidRPr="009F44DA" w:rsidRDefault="00530A7E" w:rsidP="001B1937">
            <w:pPr>
              <w:ind w:firstLine="0"/>
              <w:jc w:val="center"/>
              <w:rPr>
                <w:sz w:val="22"/>
                <w:szCs w:val="22"/>
              </w:rPr>
            </w:pPr>
            <w:r w:rsidRPr="009F44DA">
              <w:rPr>
                <w:sz w:val="22"/>
                <w:szCs w:val="22"/>
              </w:rPr>
              <w:t>2,1</w:t>
            </w:r>
          </w:p>
        </w:tc>
        <w:tc>
          <w:tcPr>
            <w:tcW w:w="1643" w:type="dxa"/>
          </w:tcPr>
          <w:p w:rsidR="009F58E5" w:rsidRPr="009F44DA" w:rsidRDefault="00530A7E" w:rsidP="001B1937">
            <w:pPr>
              <w:ind w:firstLine="0"/>
              <w:jc w:val="center"/>
              <w:rPr>
                <w:sz w:val="22"/>
                <w:szCs w:val="22"/>
              </w:rPr>
            </w:pPr>
            <w:r w:rsidRPr="009F44DA">
              <w:rPr>
                <w:sz w:val="22"/>
                <w:szCs w:val="22"/>
              </w:rPr>
              <w:t>2,3</w:t>
            </w:r>
          </w:p>
        </w:tc>
        <w:tc>
          <w:tcPr>
            <w:tcW w:w="1643" w:type="dxa"/>
          </w:tcPr>
          <w:p w:rsidR="009F58E5" w:rsidRPr="009F44DA" w:rsidRDefault="00530A7E" w:rsidP="001B1937">
            <w:pPr>
              <w:ind w:firstLine="0"/>
              <w:jc w:val="center"/>
              <w:rPr>
                <w:sz w:val="22"/>
                <w:szCs w:val="22"/>
              </w:rPr>
            </w:pPr>
            <w:r w:rsidRPr="009F44DA">
              <w:rPr>
                <w:sz w:val="22"/>
                <w:szCs w:val="22"/>
              </w:rPr>
              <w:t>1,7</w:t>
            </w:r>
          </w:p>
        </w:tc>
      </w:tr>
      <w:tr w:rsidR="009F58E5" w:rsidRPr="009F44DA" w:rsidTr="00AD00F8">
        <w:trPr>
          <w:jc w:val="center"/>
        </w:trPr>
        <w:tc>
          <w:tcPr>
            <w:tcW w:w="9854" w:type="dxa"/>
            <w:gridSpan w:val="6"/>
          </w:tcPr>
          <w:p w:rsidR="009F58E5" w:rsidRPr="009F44DA" w:rsidRDefault="009F58E5" w:rsidP="006700F0">
            <w:pPr>
              <w:ind w:firstLine="0"/>
              <w:jc w:val="center"/>
              <w:rPr>
                <w:b/>
                <w:sz w:val="22"/>
                <w:szCs w:val="22"/>
              </w:rPr>
            </w:pPr>
            <w:r w:rsidRPr="009F44DA">
              <w:rPr>
                <w:b/>
                <w:sz w:val="22"/>
                <w:szCs w:val="22"/>
              </w:rPr>
              <w:t>Palūkanų už valstybės skolą ir BVP santykis</w:t>
            </w:r>
            <w:r w:rsidR="001B1937" w:rsidRPr="009F44DA">
              <w:rPr>
                <w:b/>
                <w:sz w:val="22"/>
                <w:szCs w:val="22"/>
              </w:rPr>
              <w:t>, %</w:t>
            </w:r>
          </w:p>
        </w:tc>
      </w:tr>
      <w:tr w:rsidR="009F58E5" w:rsidRPr="009F44DA" w:rsidTr="00AD00F8">
        <w:trPr>
          <w:jc w:val="center"/>
        </w:trPr>
        <w:tc>
          <w:tcPr>
            <w:tcW w:w="1642" w:type="dxa"/>
          </w:tcPr>
          <w:p w:rsidR="009F58E5" w:rsidRPr="009F44DA" w:rsidRDefault="009F58E5" w:rsidP="001B1937">
            <w:pPr>
              <w:ind w:firstLine="0"/>
              <w:jc w:val="center"/>
              <w:rPr>
                <w:b/>
                <w:sz w:val="22"/>
                <w:szCs w:val="22"/>
              </w:rPr>
            </w:pPr>
          </w:p>
        </w:tc>
        <w:tc>
          <w:tcPr>
            <w:tcW w:w="1642" w:type="dxa"/>
          </w:tcPr>
          <w:p w:rsidR="009F58E5" w:rsidRPr="009F44DA" w:rsidRDefault="009F58E5" w:rsidP="001B1937">
            <w:pPr>
              <w:ind w:firstLine="0"/>
              <w:jc w:val="center"/>
              <w:rPr>
                <w:b/>
                <w:sz w:val="22"/>
                <w:szCs w:val="22"/>
              </w:rPr>
            </w:pPr>
            <w:r w:rsidRPr="009F44DA">
              <w:rPr>
                <w:b/>
                <w:sz w:val="22"/>
                <w:szCs w:val="22"/>
              </w:rPr>
              <w:t>2008</w:t>
            </w:r>
          </w:p>
        </w:tc>
        <w:tc>
          <w:tcPr>
            <w:tcW w:w="1642" w:type="dxa"/>
          </w:tcPr>
          <w:p w:rsidR="009F58E5" w:rsidRPr="009F44DA" w:rsidRDefault="009F58E5" w:rsidP="001B1937">
            <w:pPr>
              <w:ind w:firstLine="0"/>
              <w:jc w:val="center"/>
              <w:rPr>
                <w:b/>
                <w:sz w:val="22"/>
                <w:szCs w:val="22"/>
              </w:rPr>
            </w:pPr>
            <w:r w:rsidRPr="009F44DA">
              <w:rPr>
                <w:b/>
                <w:sz w:val="22"/>
                <w:szCs w:val="22"/>
              </w:rPr>
              <w:t>2009</w:t>
            </w:r>
          </w:p>
        </w:tc>
        <w:tc>
          <w:tcPr>
            <w:tcW w:w="1642" w:type="dxa"/>
          </w:tcPr>
          <w:p w:rsidR="009F58E5" w:rsidRPr="009F44DA" w:rsidRDefault="009F58E5" w:rsidP="001B1937">
            <w:pPr>
              <w:ind w:firstLine="0"/>
              <w:jc w:val="center"/>
              <w:rPr>
                <w:b/>
                <w:sz w:val="22"/>
                <w:szCs w:val="22"/>
              </w:rPr>
            </w:pPr>
            <w:r w:rsidRPr="009F44DA">
              <w:rPr>
                <w:b/>
                <w:sz w:val="22"/>
                <w:szCs w:val="22"/>
              </w:rPr>
              <w:t>2010</w:t>
            </w:r>
          </w:p>
        </w:tc>
        <w:tc>
          <w:tcPr>
            <w:tcW w:w="1643" w:type="dxa"/>
          </w:tcPr>
          <w:p w:rsidR="009F58E5" w:rsidRPr="009F44DA" w:rsidRDefault="009F58E5" w:rsidP="001B1937">
            <w:pPr>
              <w:ind w:firstLine="0"/>
              <w:jc w:val="center"/>
              <w:rPr>
                <w:b/>
                <w:sz w:val="22"/>
                <w:szCs w:val="22"/>
              </w:rPr>
            </w:pPr>
            <w:r w:rsidRPr="009F44DA">
              <w:rPr>
                <w:b/>
                <w:sz w:val="22"/>
                <w:szCs w:val="22"/>
              </w:rPr>
              <w:t>2011</w:t>
            </w:r>
          </w:p>
        </w:tc>
        <w:tc>
          <w:tcPr>
            <w:tcW w:w="1643" w:type="dxa"/>
          </w:tcPr>
          <w:p w:rsidR="009F58E5" w:rsidRPr="009F44DA" w:rsidRDefault="009F58E5" w:rsidP="001B1937">
            <w:pPr>
              <w:ind w:firstLine="0"/>
              <w:jc w:val="center"/>
              <w:rPr>
                <w:b/>
                <w:sz w:val="22"/>
                <w:szCs w:val="22"/>
              </w:rPr>
            </w:pPr>
            <w:r w:rsidRPr="009F44DA">
              <w:rPr>
                <w:b/>
                <w:sz w:val="22"/>
                <w:szCs w:val="22"/>
              </w:rPr>
              <w:t>2012</w:t>
            </w:r>
          </w:p>
        </w:tc>
      </w:tr>
      <w:tr w:rsidR="009F58E5" w:rsidRPr="009F44DA" w:rsidTr="00AD00F8">
        <w:trPr>
          <w:jc w:val="center"/>
        </w:trPr>
        <w:tc>
          <w:tcPr>
            <w:tcW w:w="1642" w:type="dxa"/>
          </w:tcPr>
          <w:p w:rsidR="009F58E5" w:rsidRPr="009F44DA" w:rsidRDefault="009F58E5" w:rsidP="001B1937">
            <w:pPr>
              <w:ind w:firstLine="0"/>
              <w:jc w:val="center"/>
              <w:rPr>
                <w:b/>
                <w:sz w:val="22"/>
                <w:szCs w:val="22"/>
              </w:rPr>
            </w:pPr>
            <w:r w:rsidRPr="009F44DA">
              <w:rPr>
                <w:b/>
                <w:sz w:val="22"/>
                <w:szCs w:val="22"/>
              </w:rPr>
              <w:t>Lietuva</w:t>
            </w:r>
          </w:p>
        </w:tc>
        <w:tc>
          <w:tcPr>
            <w:tcW w:w="1642" w:type="dxa"/>
          </w:tcPr>
          <w:p w:rsidR="009F58E5" w:rsidRPr="009F44DA" w:rsidRDefault="008C5A69" w:rsidP="001B1937">
            <w:pPr>
              <w:ind w:firstLine="0"/>
              <w:jc w:val="center"/>
              <w:rPr>
                <w:sz w:val="22"/>
                <w:szCs w:val="22"/>
              </w:rPr>
            </w:pPr>
            <w:r w:rsidRPr="009F44DA">
              <w:rPr>
                <w:sz w:val="22"/>
                <w:szCs w:val="22"/>
              </w:rPr>
              <w:t>0,7</w:t>
            </w:r>
          </w:p>
        </w:tc>
        <w:tc>
          <w:tcPr>
            <w:tcW w:w="1642" w:type="dxa"/>
          </w:tcPr>
          <w:p w:rsidR="009F58E5" w:rsidRPr="009F44DA" w:rsidRDefault="008C5A69" w:rsidP="001B1937">
            <w:pPr>
              <w:ind w:firstLine="0"/>
              <w:jc w:val="center"/>
              <w:rPr>
                <w:sz w:val="22"/>
                <w:szCs w:val="22"/>
              </w:rPr>
            </w:pPr>
            <w:r w:rsidRPr="009F44DA">
              <w:rPr>
                <w:sz w:val="22"/>
                <w:szCs w:val="22"/>
              </w:rPr>
              <w:t>1,3</w:t>
            </w:r>
          </w:p>
        </w:tc>
        <w:tc>
          <w:tcPr>
            <w:tcW w:w="1642" w:type="dxa"/>
          </w:tcPr>
          <w:p w:rsidR="009F58E5" w:rsidRPr="009F44DA" w:rsidRDefault="008C5A69" w:rsidP="001B1937">
            <w:pPr>
              <w:ind w:firstLine="0"/>
              <w:jc w:val="center"/>
              <w:rPr>
                <w:sz w:val="22"/>
                <w:szCs w:val="22"/>
              </w:rPr>
            </w:pPr>
            <w:r w:rsidRPr="009F44DA">
              <w:rPr>
                <w:sz w:val="22"/>
                <w:szCs w:val="22"/>
              </w:rPr>
              <w:t>1,8</w:t>
            </w:r>
          </w:p>
        </w:tc>
        <w:tc>
          <w:tcPr>
            <w:tcW w:w="1643" w:type="dxa"/>
          </w:tcPr>
          <w:p w:rsidR="009F58E5" w:rsidRPr="009F44DA" w:rsidRDefault="008C5A69" w:rsidP="001B1937">
            <w:pPr>
              <w:ind w:firstLine="0"/>
              <w:jc w:val="center"/>
              <w:rPr>
                <w:sz w:val="22"/>
                <w:szCs w:val="22"/>
              </w:rPr>
            </w:pPr>
            <w:r w:rsidRPr="009F44DA">
              <w:rPr>
                <w:sz w:val="22"/>
                <w:szCs w:val="22"/>
              </w:rPr>
              <w:t>1,8</w:t>
            </w:r>
          </w:p>
        </w:tc>
        <w:tc>
          <w:tcPr>
            <w:tcW w:w="1643" w:type="dxa"/>
          </w:tcPr>
          <w:p w:rsidR="009F58E5" w:rsidRPr="009F44DA" w:rsidRDefault="008C5A69" w:rsidP="001B1937">
            <w:pPr>
              <w:ind w:firstLine="0"/>
              <w:jc w:val="center"/>
              <w:rPr>
                <w:sz w:val="22"/>
                <w:szCs w:val="22"/>
              </w:rPr>
            </w:pPr>
            <w:r w:rsidRPr="009F44DA">
              <w:rPr>
                <w:sz w:val="22"/>
                <w:szCs w:val="22"/>
              </w:rPr>
              <w:t>1,8</w:t>
            </w:r>
          </w:p>
        </w:tc>
      </w:tr>
      <w:tr w:rsidR="009F58E5" w:rsidRPr="009F44DA" w:rsidTr="00AD00F8">
        <w:trPr>
          <w:jc w:val="center"/>
        </w:trPr>
        <w:tc>
          <w:tcPr>
            <w:tcW w:w="1642" w:type="dxa"/>
          </w:tcPr>
          <w:p w:rsidR="009F58E5" w:rsidRPr="009F44DA" w:rsidRDefault="009F58E5" w:rsidP="001B1937">
            <w:pPr>
              <w:ind w:firstLine="0"/>
              <w:jc w:val="center"/>
              <w:rPr>
                <w:b/>
                <w:sz w:val="22"/>
                <w:szCs w:val="22"/>
              </w:rPr>
            </w:pPr>
            <w:r w:rsidRPr="009F44DA">
              <w:rPr>
                <w:b/>
                <w:sz w:val="22"/>
                <w:szCs w:val="22"/>
              </w:rPr>
              <w:t>Latvija</w:t>
            </w:r>
          </w:p>
        </w:tc>
        <w:tc>
          <w:tcPr>
            <w:tcW w:w="1642" w:type="dxa"/>
          </w:tcPr>
          <w:p w:rsidR="009F58E5" w:rsidRPr="009F44DA" w:rsidRDefault="008C5A69" w:rsidP="001B1937">
            <w:pPr>
              <w:ind w:firstLine="0"/>
              <w:jc w:val="center"/>
              <w:rPr>
                <w:sz w:val="22"/>
                <w:szCs w:val="22"/>
              </w:rPr>
            </w:pPr>
            <w:r w:rsidRPr="009F44DA">
              <w:rPr>
                <w:sz w:val="22"/>
                <w:szCs w:val="22"/>
              </w:rPr>
              <w:t>0,6</w:t>
            </w:r>
          </w:p>
        </w:tc>
        <w:tc>
          <w:tcPr>
            <w:tcW w:w="1642" w:type="dxa"/>
          </w:tcPr>
          <w:p w:rsidR="009F58E5" w:rsidRPr="009F44DA" w:rsidRDefault="008C5A69" w:rsidP="001B1937">
            <w:pPr>
              <w:ind w:firstLine="0"/>
              <w:jc w:val="center"/>
              <w:rPr>
                <w:sz w:val="22"/>
                <w:szCs w:val="22"/>
              </w:rPr>
            </w:pPr>
            <w:r w:rsidRPr="009F44DA">
              <w:rPr>
                <w:sz w:val="22"/>
                <w:szCs w:val="22"/>
              </w:rPr>
              <w:t>1,5</w:t>
            </w:r>
          </w:p>
        </w:tc>
        <w:tc>
          <w:tcPr>
            <w:tcW w:w="1642" w:type="dxa"/>
          </w:tcPr>
          <w:p w:rsidR="009F58E5" w:rsidRPr="009F44DA" w:rsidRDefault="008C5A69" w:rsidP="001B1937">
            <w:pPr>
              <w:ind w:firstLine="0"/>
              <w:jc w:val="center"/>
              <w:rPr>
                <w:sz w:val="22"/>
                <w:szCs w:val="22"/>
              </w:rPr>
            </w:pPr>
            <w:r w:rsidRPr="009F44DA">
              <w:rPr>
                <w:sz w:val="22"/>
                <w:szCs w:val="22"/>
              </w:rPr>
              <w:t>1,4</w:t>
            </w:r>
          </w:p>
        </w:tc>
        <w:tc>
          <w:tcPr>
            <w:tcW w:w="1643" w:type="dxa"/>
          </w:tcPr>
          <w:p w:rsidR="009F58E5" w:rsidRPr="009F44DA" w:rsidRDefault="008C5A69" w:rsidP="001B1937">
            <w:pPr>
              <w:ind w:firstLine="0"/>
              <w:jc w:val="center"/>
              <w:rPr>
                <w:sz w:val="22"/>
                <w:szCs w:val="22"/>
              </w:rPr>
            </w:pPr>
            <w:r w:rsidRPr="009F44DA">
              <w:rPr>
                <w:sz w:val="22"/>
                <w:szCs w:val="22"/>
              </w:rPr>
              <w:t>1,5</w:t>
            </w:r>
          </w:p>
        </w:tc>
        <w:tc>
          <w:tcPr>
            <w:tcW w:w="1643" w:type="dxa"/>
          </w:tcPr>
          <w:p w:rsidR="009F58E5" w:rsidRPr="009F44DA" w:rsidRDefault="008C5A69" w:rsidP="001B1937">
            <w:pPr>
              <w:ind w:firstLine="0"/>
              <w:jc w:val="center"/>
              <w:rPr>
                <w:sz w:val="22"/>
                <w:szCs w:val="22"/>
              </w:rPr>
            </w:pPr>
            <w:r w:rsidRPr="009F44DA">
              <w:rPr>
                <w:sz w:val="22"/>
                <w:szCs w:val="22"/>
              </w:rPr>
              <w:t>1,3</w:t>
            </w:r>
          </w:p>
        </w:tc>
      </w:tr>
      <w:tr w:rsidR="009F58E5" w:rsidRPr="009F44DA" w:rsidTr="00AD00F8">
        <w:trPr>
          <w:jc w:val="center"/>
        </w:trPr>
        <w:tc>
          <w:tcPr>
            <w:tcW w:w="1642" w:type="dxa"/>
          </w:tcPr>
          <w:p w:rsidR="009F58E5" w:rsidRPr="009F44DA" w:rsidRDefault="009F58E5" w:rsidP="001B1937">
            <w:pPr>
              <w:ind w:firstLine="0"/>
              <w:jc w:val="center"/>
              <w:rPr>
                <w:b/>
                <w:sz w:val="22"/>
                <w:szCs w:val="22"/>
              </w:rPr>
            </w:pPr>
            <w:r w:rsidRPr="009F44DA">
              <w:rPr>
                <w:b/>
                <w:sz w:val="22"/>
                <w:szCs w:val="22"/>
              </w:rPr>
              <w:t>Estija</w:t>
            </w:r>
          </w:p>
        </w:tc>
        <w:tc>
          <w:tcPr>
            <w:tcW w:w="1642" w:type="dxa"/>
          </w:tcPr>
          <w:p w:rsidR="009F58E5" w:rsidRPr="009F44DA" w:rsidRDefault="008C5A69" w:rsidP="001B1937">
            <w:pPr>
              <w:ind w:firstLine="0"/>
              <w:jc w:val="center"/>
              <w:rPr>
                <w:sz w:val="22"/>
                <w:szCs w:val="22"/>
              </w:rPr>
            </w:pPr>
            <w:r w:rsidRPr="009F44DA">
              <w:rPr>
                <w:sz w:val="22"/>
                <w:szCs w:val="22"/>
              </w:rPr>
              <w:t>0,2</w:t>
            </w:r>
          </w:p>
        </w:tc>
        <w:tc>
          <w:tcPr>
            <w:tcW w:w="1642" w:type="dxa"/>
          </w:tcPr>
          <w:p w:rsidR="009F58E5" w:rsidRPr="009F44DA" w:rsidRDefault="008C5A69" w:rsidP="001B1937">
            <w:pPr>
              <w:ind w:firstLine="0"/>
              <w:jc w:val="center"/>
              <w:rPr>
                <w:sz w:val="22"/>
                <w:szCs w:val="22"/>
              </w:rPr>
            </w:pPr>
            <w:r w:rsidRPr="009F44DA">
              <w:rPr>
                <w:sz w:val="22"/>
                <w:szCs w:val="22"/>
              </w:rPr>
              <w:t>0,2</w:t>
            </w:r>
          </w:p>
        </w:tc>
        <w:tc>
          <w:tcPr>
            <w:tcW w:w="1642" w:type="dxa"/>
          </w:tcPr>
          <w:p w:rsidR="009F58E5" w:rsidRPr="009F44DA" w:rsidRDefault="008C5A69" w:rsidP="001B1937">
            <w:pPr>
              <w:ind w:firstLine="0"/>
              <w:jc w:val="center"/>
              <w:rPr>
                <w:sz w:val="22"/>
                <w:szCs w:val="22"/>
              </w:rPr>
            </w:pPr>
            <w:r w:rsidRPr="009F44DA">
              <w:rPr>
                <w:sz w:val="22"/>
                <w:szCs w:val="22"/>
              </w:rPr>
              <w:t>0,1</w:t>
            </w:r>
          </w:p>
        </w:tc>
        <w:tc>
          <w:tcPr>
            <w:tcW w:w="1643" w:type="dxa"/>
          </w:tcPr>
          <w:p w:rsidR="009F58E5" w:rsidRPr="009F44DA" w:rsidRDefault="008C5A69" w:rsidP="001B1937">
            <w:pPr>
              <w:ind w:firstLine="0"/>
              <w:jc w:val="center"/>
              <w:rPr>
                <w:sz w:val="22"/>
                <w:szCs w:val="22"/>
              </w:rPr>
            </w:pPr>
            <w:r w:rsidRPr="009F44DA">
              <w:rPr>
                <w:sz w:val="22"/>
                <w:szCs w:val="22"/>
              </w:rPr>
              <w:t>0,1</w:t>
            </w:r>
          </w:p>
        </w:tc>
        <w:tc>
          <w:tcPr>
            <w:tcW w:w="1643" w:type="dxa"/>
          </w:tcPr>
          <w:p w:rsidR="009F58E5" w:rsidRPr="009F44DA" w:rsidRDefault="008C5A69" w:rsidP="001B1937">
            <w:pPr>
              <w:ind w:firstLine="0"/>
              <w:jc w:val="center"/>
              <w:rPr>
                <w:sz w:val="22"/>
                <w:szCs w:val="22"/>
              </w:rPr>
            </w:pPr>
            <w:r w:rsidRPr="009F44DA">
              <w:rPr>
                <w:sz w:val="22"/>
                <w:szCs w:val="22"/>
              </w:rPr>
              <w:t>0,2</w:t>
            </w:r>
          </w:p>
        </w:tc>
      </w:tr>
      <w:tr w:rsidR="009F58E5" w:rsidRPr="009F44DA" w:rsidTr="00AD00F8">
        <w:trPr>
          <w:jc w:val="center"/>
        </w:trPr>
        <w:tc>
          <w:tcPr>
            <w:tcW w:w="9854" w:type="dxa"/>
            <w:gridSpan w:val="6"/>
          </w:tcPr>
          <w:p w:rsidR="009F58E5" w:rsidRPr="009F44DA" w:rsidRDefault="009F58E5" w:rsidP="009F58E5">
            <w:pPr>
              <w:ind w:firstLine="0"/>
              <w:jc w:val="center"/>
              <w:rPr>
                <w:b/>
                <w:sz w:val="22"/>
                <w:szCs w:val="22"/>
              </w:rPr>
            </w:pPr>
            <w:r w:rsidRPr="009F44DA">
              <w:rPr>
                <w:b/>
                <w:sz w:val="22"/>
                <w:szCs w:val="22"/>
              </w:rPr>
              <w:t>Palūkanų už vals</w:t>
            </w:r>
            <w:r w:rsidR="006C6944">
              <w:rPr>
                <w:b/>
                <w:sz w:val="22"/>
                <w:szCs w:val="22"/>
              </w:rPr>
              <w:t>tybės skolą ir valstybės pajamų</w:t>
            </w:r>
            <w:r w:rsidRPr="009F44DA">
              <w:rPr>
                <w:b/>
                <w:sz w:val="22"/>
                <w:szCs w:val="22"/>
              </w:rPr>
              <w:t xml:space="preserve"> santykis</w:t>
            </w:r>
            <w:r w:rsidR="001B1937" w:rsidRPr="009F44DA">
              <w:rPr>
                <w:b/>
                <w:sz w:val="22"/>
                <w:szCs w:val="22"/>
              </w:rPr>
              <w:t>, %</w:t>
            </w:r>
          </w:p>
        </w:tc>
      </w:tr>
      <w:tr w:rsidR="009F58E5" w:rsidRPr="009F44DA" w:rsidTr="00AD00F8">
        <w:trPr>
          <w:jc w:val="center"/>
        </w:trPr>
        <w:tc>
          <w:tcPr>
            <w:tcW w:w="1642" w:type="dxa"/>
          </w:tcPr>
          <w:p w:rsidR="009F58E5" w:rsidRPr="009F44DA" w:rsidRDefault="009F58E5" w:rsidP="001B1937">
            <w:pPr>
              <w:ind w:firstLine="0"/>
              <w:jc w:val="center"/>
              <w:rPr>
                <w:b/>
                <w:sz w:val="22"/>
                <w:szCs w:val="22"/>
              </w:rPr>
            </w:pPr>
          </w:p>
        </w:tc>
        <w:tc>
          <w:tcPr>
            <w:tcW w:w="1642" w:type="dxa"/>
          </w:tcPr>
          <w:p w:rsidR="009F58E5" w:rsidRPr="009F44DA" w:rsidRDefault="009F58E5" w:rsidP="001B1937">
            <w:pPr>
              <w:ind w:firstLine="0"/>
              <w:jc w:val="center"/>
              <w:rPr>
                <w:b/>
                <w:sz w:val="22"/>
                <w:szCs w:val="22"/>
              </w:rPr>
            </w:pPr>
            <w:r w:rsidRPr="009F44DA">
              <w:rPr>
                <w:b/>
                <w:sz w:val="22"/>
                <w:szCs w:val="22"/>
              </w:rPr>
              <w:t>2008</w:t>
            </w:r>
          </w:p>
        </w:tc>
        <w:tc>
          <w:tcPr>
            <w:tcW w:w="1642" w:type="dxa"/>
          </w:tcPr>
          <w:p w:rsidR="009F58E5" w:rsidRPr="009F44DA" w:rsidRDefault="009F58E5" w:rsidP="001B1937">
            <w:pPr>
              <w:ind w:firstLine="0"/>
              <w:jc w:val="center"/>
              <w:rPr>
                <w:b/>
                <w:sz w:val="22"/>
                <w:szCs w:val="22"/>
              </w:rPr>
            </w:pPr>
            <w:r w:rsidRPr="009F44DA">
              <w:rPr>
                <w:b/>
                <w:sz w:val="22"/>
                <w:szCs w:val="22"/>
              </w:rPr>
              <w:t>2009</w:t>
            </w:r>
          </w:p>
        </w:tc>
        <w:tc>
          <w:tcPr>
            <w:tcW w:w="1642" w:type="dxa"/>
          </w:tcPr>
          <w:p w:rsidR="009F58E5" w:rsidRPr="009F44DA" w:rsidRDefault="009F58E5" w:rsidP="001B1937">
            <w:pPr>
              <w:ind w:firstLine="0"/>
              <w:jc w:val="center"/>
              <w:rPr>
                <w:b/>
                <w:sz w:val="22"/>
                <w:szCs w:val="22"/>
              </w:rPr>
            </w:pPr>
            <w:r w:rsidRPr="009F44DA">
              <w:rPr>
                <w:b/>
                <w:sz w:val="22"/>
                <w:szCs w:val="22"/>
              </w:rPr>
              <w:t>2010</w:t>
            </w:r>
          </w:p>
        </w:tc>
        <w:tc>
          <w:tcPr>
            <w:tcW w:w="1643" w:type="dxa"/>
          </w:tcPr>
          <w:p w:rsidR="009F58E5" w:rsidRPr="009F44DA" w:rsidRDefault="009F58E5" w:rsidP="001B1937">
            <w:pPr>
              <w:ind w:firstLine="0"/>
              <w:jc w:val="center"/>
              <w:rPr>
                <w:b/>
                <w:sz w:val="22"/>
                <w:szCs w:val="22"/>
              </w:rPr>
            </w:pPr>
            <w:r w:rsidRPr="009F44DA">
              <w:rPr>
                <w:b/>
                <w:sz w:val="22"/>
                <w:szCs w:val="22"/>
              </w:rPr>
              <w:t>2011</w:t>
            </w:r>
          </w:p>
        </w:tc>
        <w:tc>
          <w:tcPr>
            <w:tcW w:w="1643" w:type="dxa"/>
          </w:tcPr>
          <w:p w:rsidR="009F58E5" w:rsidRPr="009F44DA" w:rsidRDefault="009F58E5" w:rsidP="001B1937">
            <w:pPr>
              <w:ind w:firstLine="0"/>
              <w:jc w:val="center"/>
              <w:rPr>
                <w:b/>
                <w:sz w:val="22"/>
                <w:szCs w:val="22"/>
              </w:rPr>
            </w:pPr>
            <w:r w:rsidRPr="009F44DA">
              <w:rPr>
                <w:b/>
                <w:sz w:val="22"/>
                <w:szCs w:val="22"/>
              </w:rPr>
              <w:t>2012</w:t>
            </w:r>
          </w:p>
        </w:tc>
      </w:tr>
      <w:tr w:rsidR="009F58E5" w:rsidRPr="009F44DA" w:rsidTr="00AD00F8">
        <w:trPr>
          <w:jc w:val="center"/>
        </w:trPr>
        <w:tc>
          <w:tcPr>
            <w:tcW w:w="1642" w:type="dxa"/>
          </w:tcPr>
          <w:p w:rsidR="009F58E5" w:rsidRPr="009F44DA" w:rsidRDefault="009F58E5" w:rsidP="001B1937">
            <w:pPr>
              <w:ind w:firstLine="0"/>
              <w:jc w:val="center"/>
              <w:rPr>
                <w:b/>
                <w:sz w:val="22"/>
                <w:szCs w:val="22"/>
              </w:rPr>
            </w:pPr>
            <w:r w:rsidRPr="009F44DA">
              <w:rPr>
                <w:b/>
                <w:sz w:val="22"/>
                <w:szCs w:val="22"/>
              </w:rPr>
              <w:t>Lietuva</w:t>
            </w:r>
          </w:p>
        </w:tc>
        <w:tc>
          <w:tcPr>
            <w:tcW w:w="1642" w:type="dxa"/>
          </w:tcPr>
          <w:p w:rsidR="009F58E5" w:rsidRPr="009F44DA" w:rsidRDefault="006C6944" w:rsidP="001B1937">
            <w:pPr>
              <w:ind w:firstLine="0"/>
              <w:jc w:val="center"/>
              <w:rPr>
                <w:sz w:val="22"/>
                <w:szCs w:val="22"/>
              </w:rPr>
            </w:pPr>
            <w:r>
              <w:rPr>
                <w:sz w:val="22"/>
                <w:szCs w:val="22"/>
              </w:rPr>
              <w:t>2,0</w:t>
            </w:r>
          </w:p>
        </w:tc>
        <w:tc>
          <w:tcPr>
            <w:tcW w:w="1642" w:type="dxa"/>
          </w:tcPr>
          <w:p w:rsidR="009F58E5" w:rsidRPr="009F44DA" w:rsidRDefault="006C6944" w:rsidP="006C6944">
            <w:pPr>
              <w:ind w:firstLine="0"/>
              <w:jc w:val="center"/>
              <w:rPr>
                <w:sz w:val="22"/>
                <w:szCs w:val="22"/>
              </w:rPr>
            </w:pPr>
            <w:r>
              <w:rPr>
                <w:sz w:val="22"/>
                <w:szCs w:val="22"/>
              </w:rPr>
              <w:t>3,6</w:t>
            </w:r>
          </w:p>
        </w:tc>
        <w:tc>
          <w:tcPr>
            <w:tcW w:w="1642" w:type="dxa"/>
          </w:tcPr>
          <w:p w:rsidR="009F58E5" w:rsidRPr="009F44DA" w:rsidRDefault="006C6944" w:rsidP="001B1937">
            <w:pPr>
              <w:ind w:firstLine="0"/>
              <w:jc w:val="center"/>
              <w:rPr>
                <w:sz w:val="22"/>
                <w:szCs w:val="22"/>
              </w:rPr>
            </w:pPr>
            <w:r>
              <w:rPr>
                <w:sz w:val="22"/>
                <w:szCs w:val="22"/>
              </w:rPr>
              <w:t>5,1</w:t>
            </w:r>
          </w:p>
        </w:tc>
        <w:tc>
          <w:tcPr>
            <w:tcW w:w="1643" w:type="dxa"/>
          </w:tcPr>
          <w:p w:rsidR="009F58E5" w:rsidRPr="009F44DA" w:rsidRDefault="006C6944" w:rsidP="001B1937">
            <w:pPr>
              <w:ind w:firstLine="0"/>
              <w:jc w:val="center"/>
              <w:rPr>
                <w:sz w:val="22"/>
                <w:szCs w:val="22"/>
              </w:rPr>
            </w:pPr>
            <w:r>
              <w:rPr>
                <w:sz w:val="22"/>
                <w:szCs w:val="22"/>
              </w:rPr>
              <w:t>5,3</w:t>
            </w:r>
          </w:p>
        </w:tc>
        <w:tc>
          <w:tcPr>
            <w:tcW w:w="1643" w:type="dxa"/>
          </w:tcPr>
          <w:p w:rsidR="009F58E5" w:rsidRPr="009F44DA" w:rsidRDefault="008C5A69" w:rsidP="001B1937">
            <w:pPr>
              <w:ind w:firstLine="0"/>
              <w:jc w:val="center"/>
              <w:rPr>
                <w:sz w:val="22"/>
                <w:szCs w:val="22"/>
              </w:rPr>
            </w:pPr>
            <w:r w:rsidRPr="009F44DA">
              <w:rPr>
                <w:sz w:val="22"/>
                <w:szCs w:val="22"/>
              </w:rPr>
              <w:t>5,</w:t>
            </w:r>
            <w:r w:rsidR="006C6944">
              <w:rPr>
                <w:sz w:val="22"/>
                <w:szCs w:val="22"/>
              </w:rPr>
              <w:t>6</w:t>
            </w:r>
          </w:p>
        </w:tc>
      </w:tr>
      <w:tr w:rsidR="009F58E5" w:rsidRPr="009F44DA" w:rsidTr="00AD00F8">
        <w:trPr>
          <w:jc w:val="center"/>
        </w:trPr>
        <w:tc>
          <w:tcPr>
            <w:tcW w:w="1642" w:type="dxa"/>
          </w:tcPr>
          <w:p w:rsidR="009F58E5" w:rsidRPr="009F44DA" w:rsidRDefault="009F58E5" w:rsidP="001B1937">
            <w:pPr>
              <w:ind w:firstLine="0"/>
              <w:jc w:val="center"/>
              <w:rPr>
                <w:b/>
                <w:sz w:val="22"/>
                <w:szCs w:val="22"/>
              </w:rPr>
            </w:pPr>
            <w:r w:rsidRPr="009F44DA">
              <w:rPr>
                <w:b/>
                <w:sz w:val="22"/>
                <w:szCs w:val="22"/>
              </w:rPr>
              <w:t>Latvija</w:t>
            </w:r>
          </w:p>
        </w:tc>
        <w:tc>
          <w:tcPr>
            <w:tcW w:w="1642" w:type="dxa"/>
          </w:tcPr>
          <w:p w:rsidR="009F58E5" w:rsidRPr="009F44DA" w:rsidRDefault="008C5A69" w:rsidP="001B1937">
            <w:pPr>
              <w:ind w:firstLine="0"/>
              <w:jc w:val="center"/>
              <w:rPr>
                <w:sz w:val="22"/>
                <w:szCs w:val="22"/>
              </w:rPr>
            </w:pPr>
            <w:r w:rsidRPr="009F44DA">
              <w:rPr>
                <w:sz w:val="22"/>
                <w:szCs w:val="22"/>
              </w:rPr>
              <w:t>1,</w:t>
            </w:r>
            <w:r w:rsidR="006C6944">
              <w:rPr>
                <w:sz w:val="22"/>
                <w:szCs w:val="22"/>
              </w:rPr>
              <w:t>7</w:t>
            </w:r>
          </w:p>
        </w:tc>
        <w:tc>
          <w:tcPr>
            <w:tcW w:w="1642" w:type="dxa"/>
          </w:tcPr>
          <w:p w:rsidR="009F58E5" w:rsidRPr="009F44DA" w:rsidRDefault="006C6944" w:rsidP="001B1937">
            <w:pPr>
              <w:ind w:firstLine="0"/>
              <w:jc w:val="center"/>
              <w:rPr>
                <w:sz w:val="22"/>
                <w:szCs w:val="22"/>
              </w:rPr>
            </w:pPr>
            <w:r>
              <w:rPr>
                <w:sz w:val="22"/>
                <w:szCs w:val="22"/>
              </w:rPr>
              <w:t>4,4</w:t>
            </w:r>
          </w:p>
        </w:tc>
        <w:tc>
          <w:tcPr>
            <w:tcW w:w="1642" w:type="dxa"/>
          </w:tcPr>
          <w:p w:rsidR="009F58E5" w:rsidRPr="009F44DA" w:rsidRDefault="006C6944" w:rsidP="001B1937">
            <w:pPr>
              <w:ind w:firstLine="0"/>
              <w:jc w:val="center"/>
              <w:rPr>
                <w:sz w:val="22"/>
                <w:szCs w:val="22"/>
              </w:rPr>
            </w:pPr>
            <w:r>
              <w:rPr>
                <w:sz w:val="22"/>
                <w:szCs w:val="22"/>
              </w:rPr>
              <w:t>4,0</w:t>
            </w:r>
          </w:p>
        </w:tc>
        <w:tc>
          <w:tcPr>
            <w:tcW w:w="1643" w:type="dxa"/>
          </w:tcPr>
          <w:p w:rsidR="009F58E5" w:rsidRPr="009F44DA" w:rsidRDefault="006C6944" w:rsidP="001B1937">
            <w:pPr>
              <w:ind w:firstLine="0"/>
              <w:jc w:val="center"/>
              <w:rPr>
                <w:sz w:val="22"/>
                <w:szCs w:val="22"/>
              </w:rPr>
            </w:pPr>
            <w:r>
              <w:rPr>
                <w:sz w:val="22"/>
                <w:szCs w:val="22"/>
              </w:rPr>
              <w:t>4,2</w:t>
            </w:r>
          </w:p>
        </w:tc>
        <w:tc>
          <w:tcPr>
            <w:tcW w:w="1643" w:type="dxa"/>
          </w:tcPr>
          <w:p w:rsidR="009F58E5" w:rsidRPr="009F44DA" w:rsidRDefault="008C5A69" w:rsidP="001B1937">
            <w:pPr>
              <w:ind w:firstLine="0"/>
              <w:jc w:val="center"/>
              <w:rPr>
                <w:sz w:val="22"/>
                <w:szCs w:val="22"/>
              </w:rPr>
            </w:pPr>
            <w:r w:rsidRPr="009F44DA">
              <w:rPr>
                <w:sz w:val="22"/>
                <w:szCs w:val="22"/>
              </w:rPr>
              <w:t>3,</w:t>
            </w:r>
            <w:r w:rsidR="006C6944">
              <w:rPr>
                <w:sz w:val="22"/>
                <w:szCs w:val="22"/>
              </w:rPr>
              <w:t>8</w:t>
            </w:r>
          </w:p>
        </w:tc>
      </w:tr>
      <w:tr w:rsidR="009F58E5" w:rsidRPr="009F44DA" w:rsidTr="00AD00F8">
        <w:trPr>
          <w:jc w:val="center"/>
        </w:trPr>
        <w:tc>
          <w:tcPr>
            <w:tcW w:w="1642" w:type="dxa"/>
          </w:tcPr>
          <w:p w:rsidR="009F58E5" w:rsidRPr="009F44DA" w:rsidRDefault="009F58E5" w:rsidP="001B1937">
            <w:pPr>
              <w:ind w:firstLine="0"/>
              <w:jc w:val="center"/>
              <w:rPr>
                <w:b/>
                <w:sz w:val="22"/>
                <w:szCs w:val="22"/>
              </w:rPr>
            </w:pPr>
            <w:r w:rsidRPr="009F44DA">
              <w:rPr>
                <w:b/>
                <w:sz w:val="22"/>
                <w:szCs w:val="22"/>
              </w:rPr>
              <w:t>Estija</w:t>
            </w:r>
          </w:p>
        </w:tc>
        <w:tc>
          <w:tcPr>
            <w:tcW w:w="1642" w:type="dxa"/>
          </w:tcPr>
          <w:p w:rsidR="009F58E5" w:rsidRPr="009F44DA" w:rsidRDefault="008C5A69" w:rsidP="001B1937">
            <w:pPr>
              <w:ind w:firstLine="0"/>
              <w:jc w:val="center"/>
              <w:rPr>
                <w:sz w:val="22"/>
                <w:szCs w:val="22"/>
              </w:rPr>
            </w:pPr>
            <w:r w:rsidRPr="009F44DA">
              <w:rPr>
                <w:sz w:val="22"/>
                <w:szCs w:val="22"/>
              </w:rPr>
              <w:t>0,</w:t>
            </w:r>
            <w:r w:rsidR="006C6944">
              <w:rPr>
                <w:sz w:val="22"/>
                <w:szCs w:val="22"/>
              </w:rPr>
              <w:t>6</w:t>
            </w:r>
          </w:p>
        </w:tc>
        <w:tc>
          <w:tcPr>
            <w:tcW w:w="1642" w:type="dxa"/>
          </w:tcPr>
          <w:p w:rsidR="009F58E5" w:rsidRPr="009F44DA" w:rsidRDefault="008C5A69" w:rsidP="001B1937">
            <w:pPr>
              <w:ind w:firstLine="0"/>
              <w:jc w:val="center"/>
              <w:rPr>
                <w:sz w:val="22"/>
                <w:szCs w:val="22"/>
              </w:rPr>
            </w:pPr>
            <w:r w:rsidRPr="009F44DA">
              <w:rPr>
                <w:sz w:val="22"/>
                <w:szCs w:val="22"/>
              </w:rPr>
              <w:t>0,5</w:t>
            </w:r>
          </w:p>
        </w:tc>
        <w:tc>
          <w:tcPr>
            <w:tcW w:w="1642" w:type="dxa"/>
          </w:tcPr>
          <w:p w:rsidR="009F58E5" w:rsidRPr="009F44DA" w:rsidRDefault="008C5A69" w:rsidP="001B1937">
            <w:pPr>
              <w:ind w:firstLine="0"/>
              <w:jc w:val="center"/>
              <w:rPr>
                <w:sz w:val="22"/>
                <w:szCs w:val="22"/>
              </w:rPr>
            </w:pPr>
            <w:r w:rsidRPr="009F44DA">
              <w:rPr>
                <w:sz w:val="22"/>
                <w:szCs w:val="22"/>
              </w:rPr>
              <w:t>0,3</w:t>
            </w:r>
          </w:p>
        </w:tc>
        <w:tc>
          <w:tcPr>
            <w:tcW w:w="1643" w:type="dxa"/>
          </w:tcPr>
          <w:p w:rsidR="009F58E5" w:rsidRPr="009F44DA" w:rsidRDefault="008C5A69" w:rsidP="001B1937">
            <w:pPr>
              <w:ind w:firstLine="0"/>
              <w:jc w:val="center"/>
              <w:rPr>
                <w:sz w:val="22"/>
                <w:szCs w:val="22"/>
              </w:rPr>
            </w:pPr>
            <w:r w:rsidRPr="009F44DA">
              <w:rPr>
                <w:sz w:val="22"/>
                <w:szCs w:val="22"/>
              </w:rPr>
              <w:t>0,4</w:t>
            </w:r>
          </w:p>
        </w:tc>
        <w:tc>
          <w:tcPr>
            <w:tcW w:w="1643" w:type="dxa"/>
          </w:tcPr>
          <w:p w:rsidR="009F58E5" w:rsidRPr="009F44DA" w:rsidRDefault="008C5A69" w:rsidP="001B1937">
            <w:pPr>
              <w:ind w:firstLine="0"/>
              <w:jc w:val="center"/>
              <w:rPr>
                <w:sz w:val="22"/>
                <w:szCs w:val="22"/>
              </w:rPr>
            </w:pPr>
            <w:r w:rsidRPr="009F44DA">
              <w:rPr>
                <w:sz w:val="22"/>
                <w:szCs w:val="22"/>
              </w:rPr>
              <w:t>0,4</w:t>
            </w:r>
          </w:p>
        </w:tc>
      </w:tr>
      <w:tr w:rsidR="009F58E5" w:rsidRPr="009F44DA" w:rsidTr="00AD00F8">
        <w:trPr>
          <w:jc w:val="center"/>
        </w:trPr>
        <w:tc>
          <w:tcPr>
            <w:tcW w:w="9854" w:type="dxa"/>
            <w:gridSpan w:val="6"/>
          </w:tcPr>
          <w:p w:rsidR="009F58E5" w:rsidRPr="009F44DA" w:rsidRDefault="009F58E5" w:rsidP="009F58E5">
            <w:pPr>
              <w:ind w:firstLine="0"/>
              <w:jc w:val="center"/>
              <w:rPr>
                <w:b/>
                <w:sz w:val="22"/>
                <w:szCs w:val="22"/>
              </w:rPr>
            </w:pPr>
            <w:r w:rsidRPr="009F44DA">
              <w:rPr>
                <w:b/>
                <w:sz w:val="22"/>
                <w:szCs w:val="22"/>
              </w:rPr>
              <w:t>Užsienio skolos ir valstybės eksporto santykis</w:t>
            </w:r>
            <w:r w:rsidR="001B1937" w:rsidRPr="009F44DA">
              <w:rPr>
                <w:b/>
                <w:sz w:val="22"/>
                <w:szCs w:val="22"/>
              </w:rPr>
              <w:t>, %</w:t>
            </w:r>
          </w:p>
        </w:tc>
      </w:tr>
      <w:tr w:rsidR="009F58E5" w:rsidRPr="009F44DA" w:rsidTr="00AD00F8">
        <w:trPr>
          <w:jc w:val="center"/>
        </w:trPr>
        <w:tc>
          <w:tcPr>
            <w:tcW w:w="1642" w:type="dxa"/>
          </w:tcPr>
          <w:p w:rsidR="009F58E5" w:rsidRPr="009F44DA" w:rsidRDefault="009F58E5" w:rsidP="001B1937">
            <w:pPr>
              <w:ind w:firstLine="0"/>
              <w:jc w:val="center"/>
              <w:rPr>
                <w:b/>
                <w:sz w:val="22"/>
                <w:szCs w:val="22"/>
              </w:rPr>
            </w:pPr>
          </w:p>
        </w:tc>
        <w:tc>
          <w:tcPr>
            <w:tcW w:w="1642" w:type="dxa"/>
          </w:tcPr>
          <w:p w:rsidR="009F58E5" w:rsidRPr="009F44DA" w:rsidRDefault="009F58E5" w:rsidP="001B1937">
            <w:pPr>
              <w:ind w:firstLine="0"/>
              <w:jc w:val="center"/>
              <w:rPr>
                <w:b/>
                <w:sz w:val="22"/>
                <w:szCs w:val="22"/>
              </w:rPr>
            </w:pPr>
            <w:r w:rsidRPr="009F44DA">
              <w:rPr>
                <w:b/>
                <w:sz w:val="22"/>
                <w:szCs w:val="22"/>
              </w:rPr>
              <w:t>2008</w:t>
            </w:r>
          </w:p>
        </w:tc>
        <w:tc>
          <w:tcPr>
            <w:tcW w:w="1642" w:type="dxa"/>
          </w:tcPr>
          <w:p w:rsidR="009F58E5" w:rsidRPr="009F44DA" w:rsidRDefault="009F58E5" w:rsidP="001B1937">
            <w:pPr>
              <w:ind w:firstLine="0"/>
              <w:jc w:val="center"/>
              <w:rPr>
                <w:b/>
                <w:sz w:val="22"/>
                <w:szCs w:val="22"/>
              </w:rPr>
            </w:pPr>
            <w:r w:rsidRPr="009F44DA">
              <w:rPr>
                <w:b/>
                <w:sz w:val="22"/>
                <w:szCs w:val="22"/>
              </w:rPr>
              <w:t>2009</w:t>
            </w:r>
          </w:p>
        </w:tc>
        <w:tc>
          <w:tcPr>
            <w:tcW w:w="1642" w:type="dxa"/>
          </w:tcPr>
          <w:p w:rsidR="009F58E5" w:rsidRPr="009F44DA" w:rsidRDefault="009F58E5" w:rsidP="001B1937">
            <w:pPr>
              <w:ind w:firstLine="0"/>
              <w:jc w:val="center"/>
              <w:rPr>
                <w:b/>
                <w:sz w:val="22"/>
                <w:szCs w:val="22"/>
              </w:rPr>
            </w:pPr>
            <w:r w:rsidRPr="009F44DA">
              <w:rPr>
                <w:b/>
                <w:sz w:val="22"/>
                <w:szCs w:val="22"/>
              </w:rPr>
              <w:t>2010</w:t>
            </w:r>
          </w:p>
        </w:tc>
        <w:tc>
          <w:tcPr>
            <w:tcW w:w="1643" w:type="dxa"/>
          </w:tcPr>
          <w:p w:rsidR="009F58E5" w:rsidRPr="009F44DA" w:rsidRDefault="009F58E5" w:rsidP="001B1937">
            <w:pPr>
              <w:ind w:firstLine="0"/>
              <w:jc w:val="center"/>
              <w:rPr>
                <w:b/>
                <w:sz w:val="22"/>
                <w:szCs w:val="22"/>
              </w:rPr>
            </w:pPr>
            <w:r w:rsidRPr="009F44DA">
              <w:rPr>
                <w:b/>
                <w:sz w:val="22"/>
                <w:szCs w:val="22"/>
              </w:rPr>
              <w:t>2011</w:t>
            </w:r>
          </w:p>
        </w:tc>
        <w:tc>
          <w:tcPr>
            <w:tcW w:w="1643" w:type="dxa"/>
          </w:tcPr>
          <w:p w:rsidR="009F58E5" w:rsidRPr="009F44DA" w:rsidRDefault="009F58E5" w:rsidP="001B1937">
            <w:pPr>
              <w:ind w:firstLine="0"/>
              <w:jc w:val="center"/>
              <w:rPr>
                <w:b/>
                <w:sz w:val="22"/>
                <w:szCs w:val="22"/>
              </w:rPr>
            </w:pPr>
            <w:r w:rsidRPr="009F44DA">
              <w:rPr>
                <w:b/>
                <w:sz w:val="22"/>
                <w:szCs w:val="22"/>
              </w:rPr>
              <w:t>2012</w:t>
            </w:r>
          </w:p>
        </w:tc>
      </w:tr>
      <w:tr w:rsidR="009F58E5" w:rsidRPr="009F44DA" w:rsidTr="00AD00F8">
        <w:trPr>
          <w:jc w:val="center"/>
        </w:trPr>
        <w:tc>
          <w:tcPr>
            <w:tcW w:w="1642" w:type="dxa"/>
          </w:tcPr>
          <w:p w:rsidR="009F58E5" w:rsidRPr="009F44DA" w:rsidRDefault="009F58E5" w:rsidP="001B1937">
            <w:pPr>
              <w:ind w:firstLine="0"/>
              <w:jc w:val="center"/>
              <w:rPr>
                <w:b/>
                <w:sz w:val="22"/>
                <w:szCs w:val="22"/>
              </w:rPr>
            </w:pPr>
            <w:r w:rsidRPr="009F44DA">
              <w:rPr>
                <w:b/>
                <w:sz w:val="22"/>
                <w:szCs w:val="22"/>
              </w:rPr>
              <w:t>Lietuva</w:t>
            </w:r>
          </w:p>
        </w:tc>
        <w:tc>
          <w:tcPr>
            <w:tcW w:w="1642" w:type="dxa"/>
          </w:tcPr>
          <w:p w:rsidR="009F58E5" w:rsidRPr="009F44DA" w:rsidRDefault="00817936" w:rsidP="001B1937">
            <w:pPr>
              <w:ind w:firstLine="0"/>
              <w:jc w:val="center"/>
              <w:rPr>
                <w:sz w:val="22"/>
                <w:szCs w:val="22"/>
              </w:rPr>
            </w:pPr>
            <w:r>
              <w:rPr>
                <w:sz w:val="22"/>
                <w:szCs w:val="22"/>
              </w:rPr>
              <w:t>16,7</w:t>
            </w:r>
          </w:p>
        </w:tc>
        <w:tc>
          <w:tcPr>
            <w:tcW w:w="1642" w:type="dxa"/>
          </w:tcPr>
          <w:p w:rsidR="009F58E5" w:rsidRPr="009F44DA" w:rsidRDefault="00817936" w:rsidP="001B1937">
            <w:pPr>
              <w:ind w:firstLine="0"/>
              <w:jc w:val="center"/>
              <w:rPr>
                <w:sz w:val="22"/>
                <w:szCs w:val="22"/>
              </w:rPr>
            </w:pPr>
            <w:r>
              <w:rPr>
                <w:sz w:val="22"/>
                <w:szCs w:val="22"/>
              </w:rPr>
              <w:t>38,2</w:t>
            </w:r>
          </w:p>
        </w:tc>
        <w:tc>
          <w:tcPr>
            <w:tcW w:w="1642" w:type="dxa"/>
          </w:tcPr>
          <w:p w:rsidR="009F58E5" w:rsidRPr="009F44DA" w:rsidRDefault="00817936" w:rsidP="001B1937">
            <w:pPr>
              <w:ind w:firstLine="0"/>
              <w:jc w:val="center"/>
              <w:rPr>
                <w:sz w:val="22"/>
                <w:szCs w:val="22"/>
              </w:rPr>
            </w:pPr>
            <w:r>
              <w:rPr>
                <w:sz w:val="22"/>
                <w:szCs w:val="22"/>
              </w:rPr>
              <w:t>41,6</w:t>
            </w:r>
          </w:p>
        </w:tc>
        <w:tc>
          <w:tcPr>
            <w:tcW w:w="1643" w:type="dxa"/>
          </w:tcPr>
          <w:p w:rsidR="009F58E5" w:rsidRPr="009F44DA" w:rsidRDefault="00817936" w:rsidP="001B1937">
            <w:pPr>
              <w:ind w:firstLine="0"/>
              <w:jc w:val="center"/>
              <w:rPr>
                <w:sz w:val="22"/>
                <w:szCs w:val="22"/>
              </w:rPr>
            </w:pPr>
            <w:r>
              <w:rPr>
                <w:sz w:val="22"/>
                <w:szCs w:val="22"/>
              </w:rPr>
              <w:t>37,4</w:t>
            </w:r>
          </w:p>
        </w:tc>
        <w:tc>
          <w:tcPr>
            <w:tcW w:w="1643" w:type="dxa"/>
          </w:tcPr>
          <w:p w:rsidR="009F58E5" w:rsidRPr="009F44DA" w:rsidRDefault="00817936" w:rsidP="001B1937">
            <w:pPr>
              <w:ind w:firstLine="0"/>
              <w:jc w:val="center"/>
              <w:rPr>
                <w:sz w:val="22"/>
                <w:szCs w:val="22"/>
              </w:rPr>
            </w:pPr>
            <w:r>
              <w:rPr>
                <w:sz w:val="22"/>
                <w:szCs w:val="22"/>
              </w:rPr>
              <w:t>36,9</w:t>
            </w:r>
          </w:p>
        </w:tc>
      </w:tr>
      <w:tr w:rsidR="009F58E5" w:rsidRPr="009F44DA" w:rsidTr="00AD00F8">
        <w:trPr>
          <w:jc w:val="center"/>
        </w:trPr>
        <w:tc>
          <w:tcPr>
            <w:tcW w:w="1642" w:type="dxa"/>
          </w:tcPr>
          <w:p w:rsidR="009F58E5" w:rsidRPr="009F44DA" w:rsidRDefault="009F58E5" w:rsidP="001B1937">
            <w:pPr>
              <w:ind w:firstLine="0"/>
              <w:jc w:val="center"/>
              <w:rPr>
                <w:b/>
                <w:sz w:val="22"/>
                <w:szCs w:val="22"/>
              </w:rPr>
            </w:pPr>
            <w:r w:rsidRPr="009F44DA">
              <w:rPr>
                <w:b/>
                <w:sz w:val="22"/>
                <w:szCs w:val="22"/>
              </w:rPr>
              <w:t>Latvija</w:t>
            </w:r>
          </w:p>
        </w:tc>
        <w:tc>
          <w:tcPr>
            <w:tcW w:w="1642" w:type="dxa"/>
          </w:tcPr>
          <w:p w:rsidR="009F58E5" w:rsidRPr="009F44DA" w:rsidRDefault="00817936" w:rsidP="001B1937">
            <w:pPr>
              <w:ind w:firstLine="0"/>
              <w:jc w:val="center"/>
              <w:rPr>
                <w:sz w:val="22"/>
                <w:szCs w:val="22"/>
              </w:rPr>
            </w:pPr>
            <w:r>
              <w:rPr>
                <w:sz w:val="22"/>
                <w:szCs w:val="22"/>
              </w:rPr>
              <w:t>21,9</w:t>
            </w:r>
          </w:p>
        </w:tc>
        <w:tc>
          <w:tcPr>
            <w:tcW w:w="1642" w:type="dxa"/>
          </w:tcPr>
          <w:p w:rsidR="009F58E5" w:rsidRPr="009F44DA" w:rsidRDefault="00817936" w:rsidP="001B1937">
            <w:pPr>
              <w:ind w:firstLine="0"/>
              <w:jc w:val="center"/>
              <w:rPr>
                <w:sz w:val="22"/>
                <w:szCs w:val="22"/>
              </w:rPr>
            </w:pPr>
            <w:r>
              <w:rPr>
                <w:sz w:val="22"/>
                <w:szCs w:val="22"/>
              </w:rPr>
              <w:t>64,4</w:t>
            </w:r>
          </w:p>
        </w:tc>
        <w:tc>
          <w:tcPr>
            <w:tcW w:w="1642" w:type="dxa"/>
          </w:tcPr>
          <w:p w:rsidR="009F58E5" w:rsidRPr="009F44DA" w:rsidRDefault="00817936" w:rsidP="001B1937">
            <w:pPr>
              <w:ind w:firstLine="0"/>
              <w:jc w:val="center"/>
              <w:rPr>
                <w:sz w:val="22"/>
                <w:szCs w:val="22"/>
              </w:rPr>
            </w:pPr>
            <w:r>
              <w:rPr>
                <w:sz w:val="22"/>
                <w:szCs w:val="22"/>
              </w:rPr>
              <w:t>69,6</w:t>
            </w:r>
          </w:p>
        </w:tc>
        <w:tc>
          <w:tcPr>
            <w:tcW w:w="1643" w:type="dxa"/>
          </w:tcPr>
          <w:p w:rsidR="009F58E5" w:rsidRPr="009F44DA" w:rsidRDefault="008B534E" w:rsidP="001B1937">
            <w:pPr>
              <w:ind w:firstLine="0"/>
              <w:jc w:val="center"/>
              <w:rPr>
                <w:sz w:val="22"/>
                <w:szCs w:val="22"/>
              </w:rPr>
            </w:pPr>
            <w:r>
              <w:rPr>
                <w:sz w:val="22"/>
                <w:szCs w:val="22"/>
              </w:rPr>
              <w:t>61,8</w:t>
            </w:r>
          </w:p>
        </w:tc>
        <w:tc>
          <w:tcPr>
            <w:tcW w:w="1643" w:type="dxa"/>
          </w:tcPr>
          <w:p w:rsidR="00817936" w:rsidRPr="009F44DA" w:rsidRDefault="00817936" w:rsidP="00817936">
            <w:pPr>
              <w:ind w:firstLine="0"/>
              <w:jc w:val="center"/>
              <w:rPr>
                <w:sz w:val="22"/>
                <w:szCs w:val="22"/>
              </w:rPr>
            </w:pPr>
            <w:r>
              <w:rPr>
                <w:sz w:val="22"/>
                <w:szCs w:val="22"/>
              </w:rPr>
              <w:t>58,1</w:t>
            </w:r>
          </w:p>
        </w:tc>
      </w:tr>
      <w:tr w:rsidR="009F58E5" w:rsidRPr="009F44DA" w:rsidTr="00AD00F8">
        <w:trPr>
          <w:jc w:val="center"/>
        </w:trPr>
        <w:tc>
          <w:tcPr>
            <w:tcW w:w="1642" w:type="dxa"/>
          </w:tcPr>
          <w:p w:rsidR="009F58E5" w:rsidRPr="009F44DA" w:rsidRDefault="009F58E5" w:rsidP="001B1937">
            <w:pPr>
              <w:ind w:firstLine="0"/>
              <w:jc w:val="center"/>
              <w:rPr>
                <w:b/>
                <w:sz w:val="22"/>
                <w:szCs w:val="22"/>
              </w:rPr>
            </w:pPr>
            <w:r w:rsidRPr="009F44DA">
              <w:rPr>
                <w:b/>
                <w:sz w:val="22"/>
                <w:szCs w:val="22"/>
              </w:rPr>
              <w:t>Estija</w:t>
            </w:r>
          </w:p>
        </w:tc>
        <w:tc>
          <w:tcPr>
            <w:tcW w:w="1642" w:type="dxa"/>
          </w:tcPr>
          <w:p w:rsidR="009F58E5" w:rsidRPr="009F44DA" w:rsidRDefault="008910BF" w:rsidP="001B1937">
            <w:pPr>
              <w:ind w:firstLine="0"/>
              <w:jc w:val="center"/>
              <w:rPr>
                <w:sz w:val="22"/>
                <w:szCs w:val="22"/>
              </w:rPr>
            </w:pPr>
            <w:r>
              <w:rPr>
                <w:sz w:val="22"/>
                <w:szCs w:val="22"/>
              </w:rPr>
              <w:t>2,4</w:t>
            </w:r>
          </w:p>
        </w:tc>
        <w:tc>
          <w:tcPr>
            <w:tcW w:w="1642" w:type="dxa"/>
          </w:tcPr>
          <w:p w:rsidR="009F58E5" w:rsidRPr="009F44DA" w:rsidRDefault="008910BF" w:rsidP="001B1937">
            <w:pPr>
              <w:ind w:firstLine="0"/>
              <w:jc w:val="center"/>
              <w:rPr>
                <w:sz w:val="22"/>
                <w:szCs w:val="22"/>
              </w:rPr>
            </w:pPr>
            <w:r>
              <w:rPr>
                <w:sz w:val="22"/>
                <w:szCs w:val="22"/>
              </w:rPr>
              <w:t>5,1</w:t>
            </w:r>
          </w:p>
        </w:tc>
        <w:tc>
          <w:tcPr>
            <w:tcW w:w="1642" w:type="dxa"/>
          </w:tcPr>
          <w:p w:rsidR="009F58E5" w:rsidRPr="009F44DA" w:rsidRDefault="008910BF" w:rsidP="001B1937">
            <w:pPr>
              <w:ind w:firstLine="0"/>
              <w:jc w:val="center"/>
              <w:rPr>
                <w:sz w:val="22"/>
                <w:szCs w:val="22"/>
              </w:rPr>
            </w:pPr>
            <w:r>
              <w:rPr>
                <w:sz w:val="22"/>
                <w:szCs w:val="22"/>
              </w:rPr>
              <w:t>3,2</w:t>
            </w:r>
          </w:p>
        </w:tc>
        <w:tc>
          <w:tcPr>
            <w:tcW w:w="1643" w:type="dxa"/>
          </w:tcPr>
          <w:p w:rsidR="009F58E5" w:rsidRPr="009F44DA" w:rsidRDefault="008910BF" w:rsidP="001B1937">
            <w:pPr>
              <w:ind w:firstLine="0"/>
              <w:jc w:val="center"/>
              <w:rPr>
                <w:sz w:val="22"/>
                <w:szCs w:val="22"/>
              </w:rPr>
            </w:pPr>
            <w:r>
              <w:rPr>
                <w:sz w:val="22"/>
                <w:szCs w:val="22"/>
              </w:rPr>
              <w:t>2,7</w:t>
            </w:r>
          </w:p>
        </w:tc>
        <w:tc>
          <w:tcPr>
            <w:tcW w:w="1643" w:type="dxa"/>
          </w:tcPr>
          <w:p w:rsidR="009F58E5" w:rsidRPr="009F44DA" w:rsidRDefault="008910BF" w:rsidP="001B1937">
            <w:pPr>
              <w:ind w:firstLine="0"/>
              <w:jc w:val="center"/>
              <w:rPr>
                <w:sz w:val="22"/>
                <w:szCs w:val="22"/>
              </w:rPr>
            </w:pPr>
            <w:r>
              <w:rPr>
                <w:sz w:val="22"/>
                <w:szCs w:val="22"/>
              </w:rPr>
              <w:t>7,0</w:t>
            </w:r>
          </w:p>
        </w:tc>
      </w:tr>
      <w:tr w:rsidR="009F58E5" w:rsidRPr="009F44DA" w:rsidTr="00AD00F8">
        <w:trPr>
          <w:jc w:val="center"/>
        </w:trPr>
        <w:tc>
          <w:tcPr>
            <w:tcW w:w="9854" w:type="dxa"/>
            <w:gridSpan w:val="6"/>
          </w:tcPr>
          <w:p w:rsidR="009F58E5" w:rsidRPr="009F44DA" w:rsidRDefault="009F58E5" w:rsidP="009F58E5">
            <w:pPr>
              <w:ind w:firstLine="0"/>
              <w:jc w:val="center"/>
              <w:rPr>
                <w:b/>
                <w:sz w:val="22"/>
                <w:szCs w:val="22"/>
              </w:rPr>
            </w:pPr>
            <w:r w:rsidRPr="009F44DA">
              <w:rPr>
                <w:b/>
                <w:sz w:val="22"/>
                <w:szCs w:val="22"/>
              </w:rPr>
              <w:t>Užsienio skolos ir BVP santykis</w:t>
            </w:r>
            <w:r w:rsidR="001B1937" w:rsidRPr="009F44DA">
              <w:rPr>
                <w:b/>
                <w:sz w:val="22"/>
                <w:szCs w:val="22"/>
              </w:rPr>
              <w:t>, %</w:t>
            </w:r>
          </w:p>
        </w:tc>
      </w:tr>
      <w:tr w:rsidR="009F58E5" w:rsidRPr="009F44DA" w:rsidTr="00AD00F8">
        <w:trPr>
          <w:jc w:val="center"/>
        </w:trPr>
        <w:tc>
          <w:tcPr>
            <w:tcW w:w="1642" w:type="dxa"/>
          </w:tcPr>
          <w:p w:rsidR="009F58E5" w:rsidRPr="009F44DA" w:rsidRDefault="009F58E5" w:rsidP="001B1937">
            <w:pPr>
              <w:ind w:firstLine="0"/>
              <w:jc w:val="center"/>
              <w:rPr>
                <w:b/>
                <w:sz w:val="22"/>
                <w:szCs w:val="22"/>
              </w:rPr>
            </w:pPr>
          </w:p>
        </w:tc>
        <w:tc>
          <w:tcPr>
            <w:tcW w:w="1642" w:type="dxa"/>
          </w:tcPr>
          <w:p w:rsidR="009F58E5" w:rsidRPr="009F44DA" w:rsidRDefault="009F58E5" w:rsidP="001B1937">
            <w:pPr>
              <w:ind w:firstLine="0"/>
              <w:jc w:val="center"/>
              <w:rPr>
                <w:b/>
                <w:sz w:val="22"/>
                <w:szCs w:val="22"/>
              </w:rPr>
            </w:pPr>
            <w:r w:rsidRPr="009F44DA">
              <w:rPr>
                <w:b/>
                <w:sz w:val="22"/>
                <w:szCs w:val="22"/>
              </w:rPr>
              <w:t>2008</w:t>
            </w:r>
          </w:p>
        </w:tc>
        <w:tc>
          <w:tcPr>
            <w:tcW w:w="1642" w:type="dxa"/>
          </w:tcPr>
          <w:p w:rsidR="009F58E5" w:rsidRPr="009F44DA" w:rsidRDefault="009F58E5" w:rsidP="001B1937">
            <w:pPr>
              <w:ind w:firstLine="0"/>
              <w:jc w:val="center"/>
              <w:rPr>
                <w:b/>
                <w:sz w:val="22"/>
                <w:szCs w:val="22"/>
              </w:rPr>
            </w:pPr>
            <w:r w:rsidRPr="009F44DA">
              <w:rPr>
                <w:b/>
                <w:sz w:val="22"/>
                <w:szCs w:val="22"/>
              </w:rPr>
              <w:t>2009</w:t>
            </w:r>
          </w:p>
        </w:tc>
        <w:tc>
          <w:tcPr>
            <w:tcW w:w="1642" w:type="dxa"/>
          </w:tcPr>
          <w:p w:rsidR="009F58E5" w:rsidRPr="009F44DA" w:rsidRDefault="009F58E5" w:rsidP="001B1937">
            <w:pPr>
              <w:ind w:firstLine="0"/>
              <w:jc w:val="center"/>
              <w:rPr>
                <w:b/>
                <w:sz w:val="22"/>
                <w:szCs w:val="22"/>
              </w:rPr>
            </w:pPr>
            <w:r w:rsidRPr="009F44DA">
              <w:rPr>
                <w:b/>
                <w:sz w:val="22"/>
                <w:szCs w:val="22"/>
              </w:rPr>
              <w:t>2010</w:t>
            </w:r>
          </w:p>
        </w:tc>
        <w:tc>
          <w:tcPr>
            <w:tcW w:w="1643" w:type="dxa"/>
          </w:tcPr>
          <w:p w:rsidR="009F58E5" w:rsidRPr="009F44DA" w:rsidRDefault="009F58E5" w:rsidP="001B1937">
            <w:pPr>
              <w:ind w:firstLine="0"/>
              <w:jc w:val="center"/>
              <w:rPr>
                <w:b/>
                <w:sz w:val="22"/>
                <w:szCs w:val="22"/>
              </w:rPr>
            </w:pPr>
            <w:r w:rsidRPr="009F44DA">
              <w:rPr>
                <w:b/>
                <w:sz w:val="22"/>
                <w:szCs w:val="22"/>
              </w:rPr>
              <w:t>2011</w:t>
            </w:r>
          </w:p>
        </w:tc>
        <w:tc>
          <w:tcPr>
            <w:tcW w:w="1643" w:type="dxa"/>
          </w:tcPr>
          <w:p w:rsidR="009F58E5" w:rsidRPr="009F44DA" w:rsidRDefault="009F58E5" w:rsidP="001B1937">
            <w:pPr>
              <w:ind w:firstLine="0"/>
              <w:jc w:val="center"/>
              <w:rPr>
                <w:b/>
                <w:sz w:val="22"/>
                <w:szCs w:val="22"/>
              </w:rPr>
            </w:pPr>
            <w:r w:rsidRPr="009F44DA">
              <w:rPr>
                <w:b/>
                <w:sz w:val="22"/>
                <w:szCs w:val="22"/>
              </w:rPr>
              <w:t>2012</w:t>
            </w:r>
          </w:p>
        </w:tc>
      </w:tr>
      <w:tr w:rsidR="009F58E5" w:rsidRPr="009F44DA" w:rsidTr="00AD00F8">
        <w:trPr>
          <w:jc w:val="center"/>
        </w:trPr>
        <w:tc>
          <w:tcPr>
            <w:tcW w:w="1642" w:type="dxa"/>
          </w:tcPr>
          <w:p w:rsidR="009F58E5" w:rsidRPr="009F44DA" w:rsidRDefault="009F58E5" w:rsidP="001B1937">
            <w:pPr>
              <w:ind w:firstLine="0"/>
              <w:jc w:val="center"/>
              <w:rPr>
                <w:b/>
                <w:sz w:val="22"/>
                <w:szCs w:val="22"/>
              </w:rPr>
            </w:pPr>
            <w:r w:rsidRPr="009F44DA">
              <w:rPr>
                <w:b/>
                <w:sz w:val="22"/>
                <w:szCs w:val="22"/>
              </w:rPr>
              <w:t>Lietuva</w:t>
            </w:r>
          </w:p>
        </w:tc>
        <w:tc>
          <w:tcPr>
            <w:tcW w:w="1642" w:type="dxa"/>
          </w:tcPr>
          <w:p w:rsidR="009F58E5" w:rsidRPr="009F44DA" w:rsidRDefault="000D04E8" w:rsidP="001B1937">
            <w:pPr>
              <w:ind w:firstLine="0"/>
              <w:jc w:val="center"/>
              <w:rPr>
                <w:sz w:val="22"/>
                <w:szCs w:val="22"/>
              </w:rPr>
            </w:pPr>
            <w:r w:rsidRPr="009F44DA">
              <w:rPr>
                <w:sz w:val="22"/>
                <w:szCs w:val="22"/>
              </w:rPr>
              <w:t>10,0</w:t>
            </w:r>
          </w:p>
        </w:tc>
        <w:tc>
          <w:tcPr>
            <w:tcW w:w="1642" w:type="dxa"/>
          </w:tcPr>
          <w:p w:rsidR="009F58E5" w:rsidRPr="009F44DA" w:rsidRDefault="000D04E8" w:rsidP="001B1937">
            <w:pPr>
              <w:ind w:firstLine="0"/>
              <w:jc w:val="center"/>
              <w:rPr>
                <w:sz w:val="22"/>
                <w:szCs w:val="22"/>
              </w:rPr>
            </w:pPr>
            <w:r w:rsidRPr="009F44DA">
              <w:rPr>
                <w:sz w:val="22"/>
                <w:szCs w:val="22"/>
              </w:rPr>
              <w:t>20,7</w:t>
            </w:r>
          </w:p>
        </w:tc>
        <w:tc>
          <w:tcPr>
            <w:tcW w:w="1642" w:type="dxa"/>
          </w:tcPr>
          <w:p w:rsidR="009F58E5" w:rsidRPr="009F44DA" w:rsidRDefault="000D04E8" w:rsidP="001B1937">
            <w:pPr>
              <w:ind w:firstLine="0"/>
              <w:jc w:val="center"/>
              <w:rPr>
                <w:sz w:val="22"/>
                <w:szCs w:val="22"/>
              </w:rPr>
            </w:pPr>
            <w:r w:rsidRPr="009F44DA">
              <w:rPr>
                <w:sz w:val="22"/>
                <w:szCs w:val="22"/>
              </w:rPr>
              <w:t>28,1</w:t>
            </w:r>
          </w:p>
        </w:tc>
        <w:tc>
          <w:tcPr>
            <w:tcW w:w="1643" w:type="dxa"/>
          </w:tcPr>
          <w:p w:rsidR="009F58E5" w:rsidRPr="009F44DA" w:rsidRDefault="000D04E8" w:rsidP="001B1937">
            <w:pPr>
              <w:ind w:firstLine="0"/>
              <w:jc w:val="center"/>
              <w:rPr>
                <w:sz w:val="22"/>
                <w:szCs w:val="22"/>
              </w:rPr>
            </w:pPr>
            <w:r w:rsidRPr="009F44DA">
              <w:rPr>
                <w:sz w:val="22"/>
                <w:szCs w:val="22"/>
              </w:rPr>
              <w:t>28,9</w:t>
            </w:r>
          </w:p>
        </w:tc>
        <w:tc>
          <w:tcPr>
            <w:tcW w:w="1643" w:type="dxa"/>
          </w:tcPr>
          <w:p w:rsidR="009F58E5" w:rsidRPr="009F44DA" w:rsidRDefault="000D04E8" w:rsidP="001B1937">
            <w:pPr>
              <w:ind w:firstLine="0"/>
              <w:jc w:val="center"/>
              <w:rPr>
                <w:sz w:val="22"/>
                <w:szCs w:val="22"/>
              </w:rPr>
            </w:pPr>
            <w:r w:rsidRPr="009F44DA">
              <w:rPr>
                <w:sz w:val="22"/>
                <w:szCs w:val="22"/>
              </w:rPr>
              <w:t>31,1</w:t>
            </w:r>
          </w:p>
        </w:tc>
      </w:tr>
      <w:tr w:rsidR="009F58E5" w:rsidRPr="009F44DA" w:rsidTr="00AD00F8">
        <w:trPr>
          <w:jc w:val="center"/>
        </w:trPr>
        <w:tc>
          <w:tcPr>
            <w:tcW w:w="1642" w:type="dxa"/>
          </w:tcPr>
          <w:p w:rsidR="009F58E5" w:rsidRPr="009F44DA" w:rsidRDefault="009F58E5" w:rsidP="001B1937">
            <w:pPr>
              <w:ind w:firstLine="0"/>
              <w:jc w:val="center"/>
              <w:rPr>
                <w:b/>
                <w:sz w:val="22"/>
                <w:szCs w:val="22"/>
              </w:rPr>
            </w:pPr>
            <w:r w:rsidRPr="009F44DA">
              <w:rPr>
                <w:b/>
                <w:sz w:val="22"/>
                <w:szCs w:val="22"/>
              </w:rPr>
              <w:t>Latvija</w:t>
            </w:r>
          </w:p>
        </w:tc>
        <w:tc>
          <w:tcPr>
            <w:tcW w:w="1642" w:type="dxa"/>
          </w:tcPr>
          <w:p w:rsidR="009F58E5" w:rsidRPr="009F44DA" w:rsidRDefault="000D04E8" w:rsidP="001B1937">
            <w:pPr>
              <w:ind w:firstLine="0"/>
              <w:jc w:val="center"/>
              <w:rPr>
                <w:sz w:val="22"/>
                <w:szCs w:val="22"/>
              </w:rPr>
            </w:pPr>
            <w:r w:rsidRPr="009F44DA">
              <w:rPr>
                <w:sz w:val="22"/>
                <w:szCs w:val="22"/>
              </w:rPr>
              <w:t>9,5</w:t>
            </w:r>
          </w:p>
        </w:tc>
        <w:tc>
          <w:tcPr>
            <w:tcW w:w="1642" w:type="dxa"/>
          </w:tcPr>
          <w:p w:rsidR="009F58E5" w:rsidRPr="009F44DA" w:rsidRDefault="000D04E8" w:rsidP="001B1937">
            <w:pPr>
              <w:ind w:firstLine="0"/>
              <w:jc w:val="center"/>
              <w:rPr>
                <w:sz w:val="22"/>
                <w:szCs w:val="22"/>
              </w:rPr>
            </w:pPr>
            <w:r w:rsidRPr="009F44DA">
              <w:rPr>
                <w:sz w:val="22"/>
                <w:szCs w:val="22"/>
              </w:rPr>
              <w:t>28,2</w:t>
            </w:r>
          </w:p>
        </w:tc>
        <w:tc>
          <w:tcPr>
            <w:tcW w:w="1642" w:type="dxa"/>
          </w:tcPr>
          <w:p w:rsidR="009F58E5" w:rsidRPr="009F44DA" w:rsidRDefault="000D04E8" w:rsidP="001B1937">
            <w:pPr>
              <w:ind w:firstLine="0"/>
              <w:jc w:val="center"/>
              <w:rPr>
                <w:sz w:val="22"/>
                <w:szCs w:val="22"/>
              </w:rPr>
            </w:pPr>
            <w:r w:rsidRPr="009F44DA">
              <w:rPr>
                <w:sz w:val="22"/>
                <w:szCs w:val="22"/>
              </w:rPr>
              <w:t>37,4</w:t>
            </w:r>
          </w:p>
        </w:tc>
        <w:tc>
          <w:tcPr>
            <w:tcW w:w="1643" w:type="dxa"/>
          </w:tcPr>
          <w:p w:rsidR="009F58E5" w:rsidRPr="009F44DA" w:rsidRDefault="000D04E8" w:rsidP="001B1937">
            <w:pPr>
              <w:ind w:firstLine="0"/>
              <w:jc w:val="center"/>
              <w:rPr>
                <w:sz w:val="22"/>
                <w:szCs w:val="22"/>
              </w:rPr>
            </w:pPr>
            <w:r w:rsidRPr="009F44DA">
              <w:rPr>
                <w:sz w:val="22"/>
                <w:szCs w:val="22"/>
              </w:rPr>
              <w:t>37,8</w:t>
            </w:r>
          </w:p>
        </w:tc>
        <w:tc>
          <w:tcPr>
            <w:tcW w:w="1643" w:type="dxa"/>
          </w:tcPr>
          <w:p w:rsidR="000D04E8" w:rsidRPr="009F44DA" w:rsidRDefault="000D04E8" w:rsidP="000D04E8">
            <w:pPr>
              <w:ind w:firstLine="0"/>
              <w:jc w:val="center"/>
              <w:rPr>
                <w:sz w:val="22"/>
                <w:szCs w:val="22"/>
              </w:rPr>
            </w:pPr>
            <w:r w:rsidRPr="009F44DA">
              <w:rPr>
                <w:sz w:val="22"/>
                <w:szCs w:val="22"/>
              </w:rPr>
              <w:t>36,0</w:t>
            </w:r>
          </w:p>
        </w:tc>
      </w:tr>
      <w:tr w:rsidR="009F58E5" w:rsidRPr="009F44DA" w:rsidTr="00AD00F8">
        <w:trPr>
          <w:jc w:val="center"/>
        </w:trPr>
        <w:tc>
          <w:tcPr>
            <w:tcW w:w="1642" w:type="dxa"/>
          </w:tcPr>
          <w:p w:rsidR="009F58E5" w:rsidRPr="009F44DA" w:rsidRDefault="009F58E5" w:rsidP="001B1937">
            <w:pPr>
              <w:ind w:firstLine="0"/>
              <w:jc w:val="center"/>
              <w:rPr>
                <w:b/>
                <w:sz w:val="22"/>
                <w:szCs w:val="22"/>
              </w:rPr>
            </w:pPr>
            <w:r w:rsidRPr="009F44DA">
              <w:rPr>
                <w:b/>
                <w:sz w:val="22"/>
                <w:szCs w:val="22"/>
              </w:rPr>
              <w:t>Estija</w:t>
            </w:r>
          </w:p>
        </w:tc>
        <w:tc>
          <w:tcPr>
            <w:tcW w:w="1642" w:type="dxa"/>
          </w:tcPr>
          <w:p w:rsidR="009F58E5" w:rsidRPr="009F44DA" w:rsidRDefault="008910BF" w:rsidP="001B1937">
            <w:pPr>
              <w:ind w:firstLine="0"/>
              <w:jc w:val="center"/>
              <w:rPr>
                <w:sz w:val="22"/>
                <w:szCs w:val="22"/>
              </w:rPr>
            </w:pPr>
            <w:r>
              <w:rPr>
                <w:sz w:val="22"/>
                <w:szCs w:val="22"/>
              </w:rPr>
              <w:t>1,7</w:t>
            </w:r>
          </w:p>
        </w:tc>
        <w:tc>
          <w:tcPr>
            <w:tcW w:w="1642" w:type="dxa"/>
          </w:tcPr>
          <w:p w:rsidR="009F58E5" w:rsidRPr="009F44DA" w:rsidRDefault="008910BF" w:rsidP="001B1937">
            <w:pPr>
              <w:ind w:firstLine="0"/>
              <w:jc w:val="center"/>
              <w:rPr>
                <w:sz w:val="22"/>
                <w:szCs w:val="22"/>
              </w:rPr>
            </w:pPr>
            <w:r>
              <w:rPr>
                <w:sz w:val="22"/>
                <w:szCs w:val="22"/>
              </w:rPr>
              <w:t>3,3</w:t>
            </w:r>
          </w:p>
        </w:tc>
        <w:tc>
          <w:tcPr>
            <w:tcW w:w="1642" w:type="dxa"/>
          </w:tcPr>
          <w:p w:rsidR="009F58E5" w:rsidRPr="009F44DA" w:rsidRDefault="008910BF" w:rsidP="001B1937">
            <w:pPr>
              <w:ind w:firstLine="0"/>
              <w:jc w:val="center"/>
              <w:rPr>
                <w:sz w:val="22"/>
                <w:szCs w:val="22"/>
              </w:rPr>
            </w:pPr>
            <w:r>
              <w:rPr>
                <w:sz w:val="22"/>
                <w:szCs w:val="22"/>
              </w:rPr>
              <w:t>2,5</w:t>
            </w:r>
          </w:p>
        </w:tc>
        <w:tc>
          <w:tcPr>
            <w:tcW w:w="1643" w:type="dxa"/>
          </w:tcPr>
          <w:p w:rsidR="009F58E5" w:rsidRPr="009F44DA" w:rsidRDefault="008910BF" w:rsidP="001B1937">
            <w:pPr>
              <w:ind w:firstLine="0"/>
              <w:jc w:val="center"/>
              <w:rPr>
                <w:sz w:val="22"/>
                <w:szCs w:val="22"/>
              </w:rPr>
            </w:pPr>
            <w:r>
              <w:rPr>
                <w:sz w:val="22"/>
                <w:szCs w:val="22"/>
              </w:rPr>
              <w:t>2,4</w:t>
            </w:r>
          </w:p>
        </w:tc>
        <w:tc>
          <w:tcPr>
            <w:tcW w:w="1643" w:type="dxa"/>
          </w:tcPr>
          <w:p w:rsidR="008910BF" w:rsidRPr="009F44DA" w:rsidRDefault="008910BF" w:rsidP="008910BF">
            <w:pPr>
              <w:ind w:firstLine="0"/>
              <w:jc w:val="center"/>
              <w:rPr>
                <w:sz w:val="22"/>
                <w:szCs w:val="22"/>
              </w:rPr>
            </w:pPr>
            <w:r>
              <w:rPr>
                <w:sz w:val="22"/>
                <w:szCs w:val="22"/>
              </w:rPr>
              <w:t>6,3</w:t>
            </w:r>
          </w:p>
        </w:tc>
      </w:tr>
    </w:tbl>
    <w:p w:rsidR="009F58E5" w:rsidRPr="00A2248B" w:rsidRDefault="009A0CC3" w:rsidP="00A2248B">
      <w:pPr>
        <w:spacing w:line="360" w:lineRule="auto"/>
        <w:ind w:firstLine="0"/>
      </w:pPr>
      <w:r w:rsidRPr="009A0CC3">
        <w:t>Šaltinis: sudaryta remiantis autorės skaičiavimais.</w:t>
      </w:r>
    </w:p>
    <w:p w:rsidR="009F58E5" w:rsidRPr="009F44DA" w:rsidRDefault="009F58E5" w:rsidP="00192C98">
      <w:pPr>
        <w:ind w:firstLine="0"/>
        <w:rPr>
          <w:b/>
          <w:sz w:val="22"/>
          <w:szCs w:val="22"/>
        </w:rPr>
      </w:pPr>
    </w:p>
    <w:p w:rsidR="009F58E5" w:rsidRDefault="005B47AA" w:rsidP="001F1A45">
      <w:pPr>
        <w:spacing w:line="360" w:lineRule="auto"/>
        <w:rPr>
          <w:sz w:val="24"/>
          <w:szCs w:val="24"/>
        </w:rPr>
      </w:pPr>
      <w:r>
        <w:rPr>
          <w:sz w:val="24"/>
          <w:szCs w:val="24"/>
        </w:rPr>
        <w:t>5</w:t>
      </w:r>
      <w:r w:rsidR="001F1A45">
        <w:rPr>
          <w:sz w:val="24"/>
          <w:szCs w:val="24"/>
        </w:rPr>
        <w:t xml:space="preserve"> lentelėje pateikto </w:t>
      </w:r>
      <w:r w:rsidR="002F2718">
        <w:rPr>
          <w:sz w:val="24"/>
          <w:szCs w:val="24"/>
        </w:rPr>
        <w:t xml:space="preserve">pirmojo </w:t>
      </w:r>
      <w:r w:rsidR="001F1A45">
        <w:rPr>
          <w:sz w:val="24"/>
          <w:szCs w:val="24"/>
        </w:rPr>
        <w:t xml:space="preserve">rodiklio, </w:t>
      </w:r>
      <w:r w:rsidR="001F1A45" w:rsidRPr="001F1A45">
        <w:rPr>
          <w:sz w:val="24"/>
          <w:szCs w:val="24"/>
        </w:rPr>
        <w:t xml:space="preserve">Baltijos šalių valstybės skolos </w:t>
      </w:r>
      <w:r w:rsidR="001F1A45">
        <w:rPr>
          <w:sz w:val="24"/>
          <w:szCs w:val="24"/>
        </w:rPr>
        <w:t>ir BVP santykio, dinamika jau buvo aptarta</w:t>
      </w:r>
      <w:r w:rsidR="002F2718">
        <w:rPr>
          <w:sz w:val="24"/>
          <w:szCs w:val="24"/>
        </w:rPr>
        <w:t xml:space="preserve"> 3.2</w:t>
      </w:r>
      <w:r w:rsidR="001F1A45">
        <w:rPr>
          <w:sz w:val="24"/>
          <w:szCs w:val="24"/>
        </w:rPr>
        <w:t xml:space="preserve"> darbo dalyje, todėl plačiau apie ją </w:t>
      </w:r>
      <w:r w:rsidR="00057B8D">
        <w:rPr>
          <w:sz w:val="24"/>
          <w:szCs w:val="24"/>
        </w:rPr>
        <w:t xml:space="preserve">čia </w:t>
      </w:r>
      <w:r w:rsidR="001F1A45">
        <w:rPr>
          <w:sz w:val="24"/>
          <w:szCs w:val="24"/>
        </w:rPr>
        <w:t>nebebus kalbama.</w:t>
      </w:r>
    </w:p>
    <w:p w:rsidR="00AC7C8D" w:rsidRDefault="00CD733C" w:rsidP="005F0B21">
      <w:pPr>
        <w:spacing w:line="360" w:lineRule="auto"/>
        <w:rPr>
          <w:sz w:val="24"/>
          <w:szCs w:val="24"/>
        </w:rPr>
      </w:pPr>
      <w:r>
        <w:rPr>
          <w:sz w:val="24"/>
          <w:szCs w:val="24"/>
        </w:rPr>
        <w:t xml:space="preserve">Sekantys trys rodikliai leidžia geriau palyginti šalių </w:t>
      </w:r>
      <w:r w:rsidR="003A3F76">
        <w:rPr>
          <w:sz w:val="24"/>
          <w:szCs w:val="24"/>
        </w:rPr>
        <w:t>valstybės skolinimosi</w:t>
      </w:r>
      <w:r>
        <w:rPr>
          <w:sz w:val="24"/>
          <w:szCs w:val="24"/>
        </w:rPr>
        <w:t xml:space="preserve"> kaštus.</w:t>
      </w:r>
      <w:r w:rsidR="0057103C">
        <w:rPr>
          <w:sz w:val="24"/>
          <w:szCs w:val="24"/>
        </w:rPr>
        <w:t xml:space="preserve"> </w:t>
      </w:r>
      <w:r w:rsidR="00EA0280">
        <w:rPr>
          <w:sz w:val="24"/>
          <w:szCs w:val="24"/>
        </w:rPr>
        <w:t>P</w:t>
      </w:r>
      <w:r w:rsidR="0057103C">
        <w:rPr>
          <w:sz w:val="24"/>
          <w:szCs w:val="24"/>
        </w:rPr>
        <w:t xml:space="preserve">alūkanų už valstybės skolą ir valstybės </w:t>
      </w:r>
      <w:r w:rsidR="00EA0280">
        <w:rPr>
          <w:sz w:val="24"/>
          <w:szCs w:val="24"/>
        </w:rPr>
        <w:t xml:space="preserve">skolos santykis tik patvirtina jau anksčiau minėtą faktą, kad iš visų trijų Baltijos šalių </w:t>
      </w:r>
      <w:r w:rsidR="00057B8D">
        <w:rPr>
          <w:sz w:val="24"/>
          <w:szCs w:val="24"/>
        </w:rPr>
        <w:t xml:space="preserve">Lietuva </w:t>
      </w:r>
      <w:r w:rsidR="00EA0280">
        <w:rPr>
          <w:sz w:val="24"/>
          <w:szCs w:val="24"/>
        </w:rPr>
        <w:t>už skolą moka brangiausiai.</w:t>
      </w:r>
      <w:r w:rsidR="00057B8D">
        <w:rPr>
          <w:sz w:val="24"/>
          <w:szCs w:val="24"/>
        </w:rPr>
        <w:t xml:space="preserve"> Šis santykis beveik visu analizuotu laiko</w:t>
      </w:r>
      <w:r w:rsidR="00382160">
        <w:rPr>
          <w:sz w:val="24"/>
          <w:szCs w:val="24"/>
        </w:rPr>
        <w:t>t</w:t>
      </w:r>
      <w:r w:rsidR="00057B8D">
        <w:rPr>
          <w:sz w:val="24"/>
          <w:szCs w:val="24"/>
        </w:rPr>
        <w:t xml:space="preserve">arpiu buvo didžiausias Lietuvoje, </w:t>
      </w:r>
      <w:r w:rsidR="0057103C">
        <w:rPr>
          <w:sz w:val="24"/>
          <w:szCs w:val="24"/>
        </w:rPr>
        <w:t xml:space="preserve">išskyrus 2008 m., kuomet </w:t>
      </w:r>
      <w:r w:rsidR="00057B8D">
        <w:rPr>
          <w:sz w:val="24"/>
          <w:szCs w:val="24"/>
        </w:rPr>
        <w:t>jis</w:t>
      </w:r>
      <w:r w:rsidR="00192C98">
        <w:rPr>
          <w:sz w:val="24"/>
          <w:szCs w:val="24"/>
        </w:rPr>
        <w:t xml:space="preserve"> buvo didžiausias Estijoje.</w:t>
      </w:r>
      <w:r w:rsidR="00100AB7">
        <w:rPr>
          <w:sz w:val="24"/>
          <w:szCs w:val="24"/>
        </w:rPr>
        <w:t xml:space="preserve"> Tais metais Estijos valstybės skola buvo mažiausia per visą analizuotą laikotarpį, tuo tarpu palūkanos – didžiausios.</w:t>
      </w:r>
      <w:r w:rsidR="00192C98">
        <w:rPr>
          <w:sz w:val="24"/>
          <w:szCs w:val="24"/>
        </w:rPr>
        <w:t xml:space="preserve"> Tačiau </w:t>
      </w:r>
      <w:r w:rsidR="00FC1D42">
        <w:rPr>
          <w:sz w:val="24"/>
          <w:szCs w:val="24"/>
        </w:rPr>
        <w:t>per likusį laikotarpį</w:t>
      </w:r>
      <w:r w:rsidR="00192C98">
        <w:rPr>
          <w:sz w:val="24"/>
          <w:szCs w:val="24"/>
        </w:rPr>
        <w:t xml:space="preserve"> Estijos palūkanų už valstybės skolą ir valstybės skolos santykis kasmet vis mažėjo</w:t>
      </w:r>
      <w:r w:rsidR="00FC1D42">
        <w:rPr>
          <w:sz w:val="24"/>
          <w:szCs w:val="24"/>
        </w:rPr>
        <w:t xml:space="preserve"> ir 2012 metais siekė 1,7 proc..</w:t>
      </w:r>
      <w:r w:rsidR="00382160">
        <w:rPr>
          <w:sz w:val="24"/>
          <w:szCs w:val="24"/>
        </w:rPr>
        <w:t xml:space="preserve"> </w:t>
      </w:r>
    </w:p>
    <w:p w:rsidR="00370D56" w:rsidRDefault="009C453D" w:rsidP="005F0B21">
      <w:pPr>
        <w:spacing w:line="360" w:lineRule="auto"/>
        <w:rPr>
          <w:sz w:val="24"/>
          <w:szCs w:val="24"/>
        </w:rPr>
      </w:pPr>
      <w:r>
        <w:rPr>
          <w:sz w:val="24"/>
          <w:szCs w:val="24"/>
        </w:rPr>
        <w:t>Palūkanų už skolą ir BVP santykis vėlgi parodo geriausią situaciją esant Estijoje.</w:t>
      </w:r>
      <w:r w:rsidR="005B2432">
        <w:rPr>
          <w:sz w:val="24"/>
          <w:szCs w:val="24"/>
        </w:rPr>
        <w:t xml:space="preserve"> Visu analizuotu laikotarpiu Estijoje šis santykis svyravo tik tarp 0,1 - 0,2 proc., o tai parodo, kad tik labai maža dalis šali</w:t>
      </w:r>
      <w:r w:rsidR="00F9731A">
        <w:rPr>
          <w:sz w:val="24"/>
          <w:szCs w:val="24"/>
        </w:rPr>
        <w:t>e</w:t>
      </w:r>
      <w:r w:rsidR="005B2432">
        <w:rPr>
          <w:sz w:val="24"/>
          <w:szCs w:val="24"/>
        </w:rPr>
        <w:t>s sukuriamo BVP yra reikalinga palūkanoms už valstybės skolą padengti.</w:t>
      </w:r>
      <w:r w:rsidR="00A35F73">
        <w:rPr>
          <w:sz w:val="24"/>
          <w:szCs w:val="24"/>
        </w:rPr>
        <w:t xml:space="preserve"> Paskutinius tris analizuoto laiko</w:t>
      </w:r>
      <w:r w:rsidR="00844920">
        <w:rPr>
          <w:sz w:val="24"/>
          <w:szCs w:val="24"/>
        </w:rPr>
        <w:t>tarpio</w:t>
      </w:r>
      <w:r w:rsidR="00A35F73">
        <w:rPr>
          <w:sz w:val="24"/>
          <w:szCs w:val="24"/>
        </w:rPr>
        <w:t xml:space="preserve"> metus (2010 – 2012 m.) di</w:t>
      </w:r>
      <w:r w:rsidR="001376FC">
        <w:rPr>
          <w:sz w:val="24"/>
          <w:szCs w:val="24"/>
        </w:rPr>
        <w:t>d</w:t>
      </w:r>
      <w:r w:rsidR="00A35F73">
        <w:rPr>
          <w:sz w:val="24"/>
          <w:szCs w:val="24"/>
        </w:rPr>
        <w:t>žiausias palūkanų už valstybės skolą ir BVP santykis buvo Lietuvoje ir siekė</w:t>
      </w:r>
      <w:r w:rsidR="005F0B21">
        <w:rPr>
          <w:sz w:val="24"/>
          <w:szCs w:val="24"/>
        </w:rPr>
        <w:t xml:space="preserve"> 1,8 proc., tuo tarpu La</w:t>
      </w:r>
      <w:r w:rsidR="00AC7C8D">
        <w:rPr>
          <w:sz w:val="24"/>
          <w:szCs w:val="24"/>
        </w:rPr>
        <w:t>t</w:t>
      </w:r>
      <w:r w:rsidR="005F0B21">
        <w:rPr>
          <w:sz w:val="24"/>
          <w:szCs w:val="24"/>
        </w:rPr>
        <w:t>vijoje jis buvo mažesnis ir kasmet svyravo (2010 m. – 1,4 proc., 2011 – 1,5 poc., 2012 m. – 1,3 poc.).</w:t>
      </w:r>
      <w:r w:rsidR="00F8103F">
        <w:rPr>
          <w:sz w:val="24"/>
          <w:szCs w:val="24"/>
        </w:rPr>
        <w:t xml:space="preserve"> </w:t>
      </w:r>
    </w:p>
    <w:p w:rsidR="009A4172" w:rsidRDefault="00F8103F" w:rsidP="009A4172">
      <w:pPr>
        <w:spacing w:line="360" w:lineRule="auto"/>
        <w:rPr>
          <w:sz w:val="24"/>
          <w:szCs w:val="24"/>
        </w:rPr>
      </w:pPr>
      <w:r>
        <w:rPr>
          <w:sz w:val="24"/>
          <w:szCs w:val="24"/>
        </w:rPr>
        <w:t xml:space="preserve">Palūkanų už valstybės skolą ir valstybės </w:t>
      </w:r>
      <w:r w:rsidR="00961C17">
        <w:rPr>
          <w:sz w:val="24"/>
          <w:szCs w:val="24"/>
        </w:rPr>
        <w:t>pajamų</w:t>
      </w:r>
      <w:r>
        <w:rPr>
          <w:sz w:val="24"/>
          <w:szCs w:val="24"/>
        </w:rPr>
        <w:t xml:space="preserve"> santykis visu analizuotu laikotarpiu </w:t>
      </w:r>
      <w:r w:rsidR="00A97DE7">
        <w:rPr>
          <w:sz w:val="24"/>
          <w:szCs w:val="24"/>
        </w:rPr>
        <w:t xml:space="preserve">taip pat </w:t>
      </w:r>
      <w:r w:rsidR="00370D56">
        <w:rPr>
          <w:sz w:val="24"/>
          <w:szCs w:val="24"/>
        </w:rPr>
        <w:t xml:space="preserve">didžiausias </w:t>
      </w:r>
      <w:r>
        <w:rPr>
          <w:sz w:val="24"/>
          <w:szCs w:val="24"/>
        </w:rPr>
        <w:t xml:space="preserve">buvo Lietuvoje </w:t>
      </w:r>
      <w:r w:rsidR="002F2718">
        <w:rPr>
          <w:sz w:val="24"/>
          <w:szCs w:val="24"/>
        </w:rPr>
        <w:t>bei</w:t>
      </w:r>
      <w:r>
        <w:rPr>
          <w:sz w:val="24"/>
          <w:szCs w:val="24"/>
        </w:rPr>
        <w:t xml:space="preserve"> kasmet</w:t>
      </w:r>
      <w:r w:rsidR="00961C17">
        <w:rPr>
          <w:sz w:val="24"/>
          <w:szCs w:val="24"/>
        </w:rPr>
        <w:t xml:space="preserve"> vis didėjo. 2008 m. jis siekė 2</w:t>
      </w:r>
      <w:r>
        <w:rPr>
          <w:sz w:val="24"/>
          <w:szCs w:val="24"/>
        </w:rPr>
        <w:t xml:space="preserve"> proc., o 2012 m. </w:t>
      </w:r>
      <w:r w:rsidR="00370D56">
        <w:rPr>
          <w:sz w:val="24"/>
          <w:szCs w:val="24"/>
        </w:rPr>
        <w:t xml:space="preserve">jau </w:t>
      </w:r>
      <w:r w:rsidR="00961C17">
        <w:rPr>
          <w:sz w:val="24"/>
          <w:szCs w:val="24"/>
        </w:rPr>
        <w:t>buvo išaugęs iki 5,6</w:t>
      </w:r>
      <w:r>
        <w:rPr>
          <w:sz w:val="24"/>
          <w:szCs w:val="24"/>
        </w:rPr>
        <w:t xml:space="preserve"> proc..</w:t>
      </w:r>
      <w:r w:rsidR="00861289">
        <w:rPr>
          <w:sz w:val="24"/>
          <w:szCs w:val="24"/>
        </w:rPr>
        <w:t xml:space="preserve"> </w:t>
      </w:r>
      <w:r w:rsidR="009A4172">
        <w:rPr>
          <w:sz w:val="24"/>
          <w:szCs w:val="24"/>
        </w:rPr>
        <w:t>Š</w:t>
      </w:r>
      <w:r w:rsidR="00CE758F">
        <w:rPr>
          <w:sz w:val="24"/>
          <w:szCs w:val="24"/>
        </w:rPr>
        <w:t xml:space="preserve">itoks palūkanų už valstybės skolą ir valstybės biudžeto pajamų santykis </w:t>
      </w:r>
      <w:r w:rsidR="009A4172">
        <w:rPr>
          <w:sz w:val="24"/>
          <w:szCs w:val="24"/>
        </w:rPr>
        <w:t>rodo</w:t>
      </w:r>
      <w:r w:rsidR="007629FE">
        <w:rPr>
          <w:sz w:val="24"/>
          <w:szCs w:val="24"/>
        </w:rPr>
        <w:t>,</w:t>
      </w:r>
      <w:r w:rsidR="009A4172">
        <w:rPr>
          <w:sz w:val="24"/>
          <w:szCs w:val="24"/>
        </w:rPr>
        <w:t xml:space="preserve"> jog </w:t>
      </w:r>
      <w:r w:rsidR="00CE758F">
        <w:rPr>
          <w:sz w:val="24"/>
          <w:szCs w:val="24"/>
        </w:rPr>
        <w:t xml:space="preserve">šalies įsiskolinimo lygis </w:t>
      </w:r>
      <w:r w:rsidR="009A4172">
        <w:rPr>
          <w:sz w:val="24"/>
          <w:szCs w:val="24"/>
        </w:rPr>
        <w:t xml:space="preserve">yra </w:t>
      </w:r>
      <w:r w:rsidR="00CE758F">
        <w:rPr>
          <w:sz w:val="24"/>
          <w:szCs w:val="24"/>
        </w:rPr>
        <w:t>vidutinis</w:t>
      </w:r>
      <w:r w:rsidR="009A4172">
        <w:rPr>
          <w:sz w:val="24"/>
          <w:szCs w:val="24"/>
        </w:rPr>
        <w:t xml:space="preserve"> (pagal </w:t>
      </w:r>
      <w:r w:rsidR="00C55ECB">
        <w:rPr>
          <w:sz w:val="24"/>
          <w:szCs w:val="24"/>
        </w:rPr>
        <w:t>5 priede</w:t>
      </w:r>
      <w:r w:rsidR="009A4172">
        <w:rPr>
          <w:sz w:val="24"/>
          <w:szCs w:val="24"/>
        </w:rPr>
        <w:t xml:space="preserve"> pateiktas rodiklių vertinimo reikšmes).</w:t>
      </w:r>
      <w:r w:rsidR="00CE758F">
        <w:rPr>
          <w:sz w:val="24"/>
          <w:szCs w:val="24"/>
        </w:rPr>
        <w:t xml:space="preserve"> </w:t>
      </w:r>
      <w:r w:rsidR="00861289">
        <w:rPr>
          <w:sz w:val="24"/>
          <w:szCs w:val="24"/>
        </w:rPr>
        <w:t xml:space="preserve">Vis didėjanti biudžeto </w:t>
      </w:r>
      <w:r w:rsidR="009A4172">
        <w:rPr>
          <w:sz w:val="24"/>
          <w:szCs w:val="24"/>
        </w:rPr>
        <w:t>pajamų</w:t>
      </w:r>
      <w:r w:rsidR="00861289">
        <w:rPr>
          <w:sz w:val="24"/>
          <w:szCs w:val="24"/>
        </w:rPr>
        <w:t xml:space="preserve"> dalis skirta valstybės skolos aptarnavimui</w:t>
      </w:r>
      <w:r w:rsidR="00A97DE7">
        <w:rPr>
          <w:sz w:val="24"/>
          <w:szCs w:val="24"/>
        </w:rPr>
        <w:t xml:space="preserve"> neigiamai atsiliepia šalies biudžetui, kadangi mažiau lėšų lieka kitoms, svarbesnėms sritims. Pavyzdžiui palyginimui, 2012 metų valstybės biudžete tokioms sritims kaip viešoji tvarka ir visuomenės apsauga ar gynyba skirtų lėšų dalis buvo mažesnė negu skolos valdymui (ati</w:t>
      </w:r>
      <w:r w:rsidR="009A4172">
        <w:rPr>
          <w:sz w:val="24"/>
          <w:szCs w:val="24"/>
        </w:rPr>
        <w:t>t</w:t>
      </w:r>
      <w:r w:rsidR="00A97DE7">
        <w:rPr>
          <w:sz w:val="24"/>
          <w:szCs w:val="24"/>
        </w:rPr>
        <w:t>inkamai 4,4 proc. ir 3 proc. biudžeto lėšų).</w:t>
      </w:r>
      <w:r w:rsidR="00D20EA6">
        <w:rPr>
          <w:sz w:val="24"/>
          <w:szCs w:val="24"/>
        </w:rPr>
        <w:t xml:space="preserve"> </w:t>
      </w:r>
      <w:r w:rsidR="009A4172">
        <w:rPr>
          <w:sz w:val="24"/>
          <w:szCs w:val="24"/>
        </w:rPr>
        <w:t>2013 m. valsty</w:t>
      </w:r>
      <w:r w:rsidR="00EA3123">
        <w:rPr>
          <w:sz w:val="24"/>
          <w:szCs w:val="24"/>
        </w:rPr>
        <w:t>bės skolos valdymo išlaidoms pla</w:t>
      </w:r>
      <w:r w:rsidR="009A4172">
        <w:rPr>
          <w:sz w:val="24"/>
          <w:szCs w:val="24"/>
        </w:rPr>
        <w:t xml:space="preserve">nuojama skirti biudžeto pajamų dalis buvo dar didesnė negu 2012 m.. </w:t>
      </w:r>
    </w:p>
    <w:p w:rsidR="009A4172" w:rsidRDefault="009A4172" w:rsidP="009A4172">
      <w:pPr>
        <w:spacing w:line="360" w:lineRule="auto"/>
        <w:rPr>
          <w:sz w:val="24"/>
          <w:szCs w:val="24"/>
        </w:rPr>
      </w:pPr>
      <w:r>
        <w:rPr>
          <w:sz w:val="24"/>
          <w:szCs w:val="24"/>
        </w:rPr>
        <w:t>Latvija pagal mokamų palūkanų už valstybės skolą ir biudžeto pajamų santykį gal būti vertinama kaip mažo įsiskolinimo šalis</w:t>
      </w:r>
      <w:r w:rsidR="002E4DC6">
        <w:rPr>
          <w:sz w:val="24"/>
          <w:szCs w:val="24"/>
        </w:rPr>
        <w:t>. Nors 2009 metais šis rodiklis Latvijoje lyginant su 2008 metais išaugo daugiau negu dvigubai, tačiau sekančiais metais išlaidos palūkanoms už valstybės skolą stabilizavos</w:t>
      </w:r>
      <w:r w:rsidR="00F11C71">
        <w:rPr>
          <w:sz w:val="24"/>
          <w:szCs w:val="24"/>
        </w:rPr>
        <w:t>i ir smarkiai nebekito.</w:t>
      </w:r>
    </w:p>
    <w:p w:rsidR="00F15B11" w:rsidRDefault="00D20EA6" w:rsidP="009A4172">
      <w:pPr>
        <w:spacing w:line="360" w:lineRule="auto"/>
        <w:rPr>
          <w:sz w:val="24"/>
          <w:szCs w:val="24"/>
        </w:rPr>
      </w:pPr>
      <w:r>
        <w:rPr>
          <w:sz w:val="24"/>
          <w:szCs w:val="24"/>
        </w:rPr>
        <w:t xml:space="preserve">Estijoje analizuotu laikotarpiu palūkanų už valstybės skolą ir valstybės išlaidų santykis </w:t>
      </w:r>
      <w:r w:rsidR="00A55CB3">
        <w:rPr>
          <w:sz w:val="24"/>
          <w:szCs w:val="24"/>
        </w:rPr>
        <w:t xml:space="preserve">buvo mažiausias iš visų trijų </w:t>
      </w:r>
      <w:r w:rsidR="00EE75DC">
        <w:rPr>
          <w:sz w:val="24"/>
          <w:szCs w:val="24"/>
        </w:rPr>
        <w:t xml:space="preserve">šalių ir svyravo tarp 0,3 – 0,6 </w:t>
      </w:r>
      <w:r w:rsidR="00A55CB3">
        <w:rPr>
          <w:sz w:val="24"/>
          <w:szCs w:val="24"/>
        </w:rPr>
        <w:t>proc..</w:t>
      </w:r>
      <w:r w:rsidR="00AD3A18">
        <w:rPr>
          <w:sz w:val="24"/>
          <w:szCs w:val="24"/>
        </w:rPr>
        <w:t xml:space="preserve"> </w:t>
      </w:r>
      <w:r w:rsidR="00EE75DC">
        <w:rPr>
          <w:sz w:val="24"/>
          <w:szCs w:val="24"/>
        </w:rPr>
        <w:t>Šitokia rodiklio reikšmė rodo, kad t</w:t>
      </w:r>
      <w:r w:rsidR="00C3623E">
        <w:rPr>
          <w:sz w:val="24"/>
          <w:szCs w:val="24"/>
        </w:rPr>
        <w:t xml:space="preserve">ik labai maža valstybės pajamų </w:t>
      </w:r>
      <w:r w:rsidR="00EE75DC">
        <w:rPr>
          <w:sz w:val="24"/>
          <w:szCs w:val="24"/>
        </w:rPr>
        <w:t>dalis yra s</w:t>
      </w:r>
      <w:r w:rsidR="008568F1">
        <w:rPr>
          <w:sz w:val="24"/>
          <w:szCs w:val="24"/>
        </w:rPr>
        <w:t xml:space="preserve">unaudojama skolos aptarnavimui, o valstybės biudžeto pajamos gali būti skiriamos svarbesnėms šalies ūkio šakoms. </w:t>
      </w:r>
    </w:p>
    <w:p w:rsidR="00516EE9" w:rsidRPr="008568F1" w:rsidRDefault="00AA5277" w:rsidP="00DD2FB5">
      <w:pPr>
        <w:spacing w:line="360" w:lineRule="auto"/>
        <w:rPr>
          <w:sz w:val="24"/>
          <w:szCs w:val="24"/>
        </w:rPr>
      </w:pPr>
      <w:r>
        <w:rPr>
          <w:sz w:val="24"/>
          <w:szCs w:val="24"/>
        </w:rPr>
        <w:lastRenderedPageBreak/>
        <w:t xml:space="preserve">Paskutiniai </w:t>
      </w:r>
      <w:r w:rsidR="00844920">
        <w:rPr>
          <w:sz w:val="24"/>
          <w:szCs w:val="24"/>
        </w:rPr>
        <w:t>du rodikliai skaičiuojami</w:t>
      </w:r>
      <w:r>
        <w:rPr>
          <w:sz w:val="24"/>
          <w:szCs w:val="24"/>
        </w:rPr>
        <w:t xml:space="preserve"> siekant įvertinti valstybės užsienio skolą.</w:t>
      </w:r>
      <w:r w:rsidR="003A14AB">
        <w:rPr>
          <w:sz w:val="24"/>
          <w:szCs w:val="24"/>
        </w:rPr>
        <w:t xml:space="preserve"> Užsienio skolos ir valstybės eksporto santykis parodo užsienio skolos padengimo lygį. Kuo didesnis šis santykis, tuo didesnė eksporto dalis reikalinga padengti valstybės </w:t>
      </w:r>
      <w:r w:rsidR="00434D6D">
        <w:rPr>
          <w:sz w:val="24"/>
          <w:szCs w:val="24"/>
        </w:rPr>
        <w:t xml:space="preserve">užsienio </w:t>
      </w:r>
      <w:r w:rsidR="003A14AB">
        <w:rPr>
          <w:sz w:val="24"/>
          <w:szCs w:val="24"/>
        </w:rPr>
        <w:t xml:space="preserve">skolai. 2008 m. Lietuvoje šis rodiklis siekė 16,7 proc., tuo tarpu 2009 m. </w:t>
      </w:r>
      <w:r w:rsidR="00434D6D">
        <w:rPr>
          <w:sz w:val="24"/>
          <w:szCs w:val="24"/>
        </w:rPr>
        <w:t xml:space="preserve">lyginant su 2008 m. valstybės užsienio skolai </w:t>
      </w:r>
      <w:r w:rsidR="00516EE9">
        <w:rPr>
          <w:sz w:val="24"/>
          <w:szCs w:val="24"/>
        </w:rPr>
        <w:t xml:space="preserve">išaugus </w:t>
      </w:r>
      <w:r w:rsidR="00434D6D">
        <w:rPr>
          <w:sz w:val="24"/>
          <w:szCs w:val="24"/>
        </w:rPr>
        <w:t>70,6 proc.</w:t>
      </w:r>
      <w:r w:rsidR="00516EE9">
        <w:rPr>
          <w:sz w:val="24"/>
          <w:szCs w:val="24"/>
        </w:rPr>
        <w:t xml:space="preserve"> (žr.</w:t>
      </w:r>
      <w:r w:rsidR="00C55ECB">
        <w:rPr>
          <w:sz w:val="24"/>
          <w:szCs w:val="24"/>
        </w:rPr>
        <w:t xml:space="preserve"> 4</w:t>
      </w:r>
      <w:r w:rsidR="008568F1">
        <w:rPr>
          <w:sz w:val="24"/>
          <w:szCs w:val="24"/>
        </w:rPr>
        <w:t xml:space="preserve"> p</w:t>
      </w:r>
      <w:r w:rsidR="00516EE9">
        <w:rPr>
          <w:sz w:val="24"/>
          <w:szCs w:val="24"/>
        </w:rPr>
        <w:t>riedas</w:t>
      </w:r>
      <w:r w:rsidR="008568F1">
        <w:rPr>
          <w:sz w:val="24"/>
          <w:szCs w:val="24"/>
        </w:rPr>
        <w:t xml:space="preserve"> 5 lentelė</w:t>
      </w:r>
      <w:r w:rsidR="00516EE9">
        <w:rPr>
          <w:sz w:val="24"/>
          <w:szCs w:val="24"/>
        </w:rPr>
        <w:t xml:space="preserve">) </w:t>
      </w:r>
      <w:r w:rsidR="003A14AB">
        <w:rPr>
          <w:sz w:val="24"/>
          <w:szCs w:val="24"/>
        </w:rPr>
        <w:t xml:space="preserve">bei sumažėjus eksportui, </w:t>
      </w:r>
      <w:r w:rsidR="00516EE9">
        <w:rPr>
          <w:sz w:val="24"/>
          <w:szCs w:val="24"/>
        </w:rPr>
        <w:t>užsienio skolos ir valstybės eks</w:t>
      </w:r>
      <w:r w:rsidR="008568F1">
        <w:rPr>
          <w:sz w:val="24"/>
          <w:szCs w:val="24"/>
        </w:rPr>
        <w:t xml:space="preserve">porto santykis padidėjo iki 38 </w:t>
      </w:r>
      <w:r w:rsidR="00E72FAC">
        <w:rPr>
          <w:sz w:val="24"/>
          <w:szCs w:val="24"/>
        </w:rPr>
        <w:t>proc., o 2010 m. pasiekta  didžiausia šio rodiklio reikšmė per visą analizuotą laikotarpį – 41,6 proc.. Likusiu laikotarpiu sulėtėjus užsienio skolos augimo tempams ir p</w:t>
      </w:r>
      <w:r w:rsidR="008568F1">
        <w:rPr>
          <w:sz w:val="24"/>
          <w:szCs w:val="24"/>
        </w:rPr>
        <w:t>a</w:t>
      </w:r>
      <w:r w:rsidR="00E72FAC">
        <w:rPr>
          <w:sz w:val="24"/>
          <w:szCs w:val="24"/>
        </w:rPr>
        <w:t xml:space="preserve">greitėjus eksporto augimui, šio rodiklio reikšmė mažėjo ir 2012 m. siekė 36,9 proc.. </w:t>
      </w:r>
      <w:r w:rsidR="00516EE9">
        <w:rPr>
          <w:sz w:val="24"/>
          <w:szCs w:val="24"/>
        </w:rPr>
        <w:t>Latvijoje užsienio valstybės skolos ir eksporto santykis visu analizuotu laikotarpiu buvo didesnis negu Lietuvoje</w:t>
      </w:r>
      <w:r w:rsidR="008B534E">
        <w:rPr>
          <w:sz w:val="24"/>
          <w:szCs w:val="24"/>
        </w:rPr>
        <w:t>, tačiau jo kitimo dinamika buvo panaši.</w:t>
      </w:r>
      <w:r w:rsidR="00516EE9">
        <w:rPr>
          <w:sz w:val="24"/>
          <w:szCs w:val="24"/>
        </w:rPr>
        <w:t xml:space="preserve"> 2009 m. lyginant su 2008 m. Latvijos užsienio valstybės skolos ir eksporto santykis </w:t>
      </w:r>
      <w:r w:rsidR="008B534E">
        <w:rPr>
          <w:sz w:val="24"/>
          <w:szCs w:val="24"/>
        </w:rPr>
        <w:t>išaugo tris kartus ir siekė 64,4 proc., o 2010 m. dar labiau padidėjo iki 69,6 proc.. 2011</w:t>
      </w:r>
      <w:r w:rsidR="00E72FAC">
        <w:rPr>
          <w:sz w:val="24"/>
          <w:szCs w:val="24"/>
        </w:rPr>
        <w:t xml:space="preserve"> </w:t>
      </w:r>
      <w:r w:rsidR="008B534E">
        <w:rPr>
          <w:sz w:val="24"/>
          <w:szCs w:val="24"/>
        </w:rPr>
        <w:t>- 2012 m. sulėtėjus Latvijos valstybės užsienio s</w:t>
      </w:r>
      <w:r w:rsidR="00F9731A">
        <w:rPr>
          <w:sz w:val="24"/>
          <w:szCs w:val="24"/>
        </w:rPr>
        <w:t>kolos tempams</w:t>
      </w:r>
      <w:r w:rsidR="008B534E">
        <w:rPr>
          <w:sz w:val="24"/>
          <w:szCs w:val="24"/>
        </w:rPr>
        <w:t xml:space="preserve"> bei augant eksportui, šis rodiklis mažėjo ir 2012 m. siekė 58,1 proc..</w:t>
      </w:r>
      <w:r w:rsidR="00E72FAC">
        <w:rPr>
          <w:sz w:val="24"/>
          <w:szCs w:val="24"/>
        </w:rPr>
        <w:t xml:space="preserve"> </w:t>
      </w:r>
      <w:r w:rsidR="007F1382">
        <w:rPr>
          <w:sz w:val="24"/>
          <w:szCs w:val="24"/>
        </w:rPr>
        <w:t xml:space="preserve">Estijoje užsienio skolos ir eksporto santykis visu analizuotu laikotarpiu buvo mažiausias iš visų Baltijos šalių. Didžiausia šio rodiklio reikšmė (7 proc.) pasiekta 2012 m., kuomet Estijos valstybės užsienio skola </w:t>
      </w:r>
      <w:r w:rsidR="00DD2FB5">
        <w:rPr>
          <w:sz w:val="24"/>
          <w:szCs w:val="24"/>
        </w:rPr>
        <w:t xml:space="preserve">lyginant su 2011 m. išaugo beveik tris kartus. </w:t>
      </w:r>
      <w:r w:rsidR="00E72FAC">
        <w:rPr>
          <w:sz w:val="24"/>
          <w:szCs w:val="24"/>
        </w:rPr>
        <w:t>Pagal rodikli</w:t>
      </w:r>
      <w:r w:rsidR="00C55ECB">
        <w:rPr>
          <w:sz w:val="24"/>
          <w:szCs w:val="24"/>
        </w:rPr>
        <w:t>ų vertinimo reikšmes pateiktas 5 priede</w:t>
      </w:r>
      <w:r w:rsidR="00E72FAC">
        <w:rPr>
          <w:sz w:val="24"/>
          <w:szCs w:val="24"/>
        </w:rPr>
        <w:t xml:space="preserve">, </w:t>
      </w:r>
      <w:r w:rsidR="00135993">
        <w:rPr>
          <w:sz w:val="24"/>
          <w:szCs w:val="24"/>
        </w:rPr>
        <w:t>visų trijų Baltijos</w:t>
      </w:r>
      <w:r w:rsidR="00EE4F6A">
        <w:rPr>
          <w:sz w:val="24"/>
          <w:szCs w:val="24"/>
        </w:rPr>
        <w:t xml:space="preserve"> šalių įsiskolinimo lygiai turėtų būti vertinami kaip maži.</w:t>
      </w:r>
    </w:p>
    <w:p w:rsidR="00342C3D" w:rsidRDefault="00D31DF2" w:rsidP="00A2248B">
      <w:pPr>
        <w:spacing w:line="360" w:lineRule="auto"/>
        <w:rPr>
          <w:color w:val="FF0000"/>
          <w:sz w:val="24"/>
          <w:szCs w:val="24"/>
        </w:rPr>
      </w:pPr>
      <w:r>
        <w:rPr>
          <w:sz w:val="24"/>
          <w:szCs w:val="24"/>
        </w:rPr>
        <w:t xml:space="preserve">Užsienio skolos ir BVP santykis </w:t>
      </w:r>
      <w:r w:rsidR="00BE0B30">
        <w:rPr>
          <w:sz w:val="24"/>
          <w:szCs w:val="24"/>
        </w:rPr>
        <w:t>per analizuotą</w:t>
      </w:r>
      <w:r>
        <w:rPr>
          <w:sz w:val="24"/>
          <w:szCs w:val="24"/>
        </w:rPr>
        <w:t xml:space="preserve"> </w:t>
      </w:r>
      <w:r w:rsidR="00BE0B30">
        <w:rPr>
          <w:sz w:val="24"/>
          <w:szCs w:val="24"/>
        </w:rPr>
        <w:t>2008 – 2012 metų laikotarpį</w:t>
      </w:r>
      <w:r>
        <w:rPr>
          <w:sz w:val="24"/>
          <w:szCs w:val="24"/>
        </w:rPr>
        <w:t xml:space="preserve"> </w:t>
      </w:r>
      <w:r w:rsidR="00CC0CBC">
        <w:rPr>
          <w:sz w:val="24"/>
          <w:szCs w:val="24"/>
        </w:rPr>
        <w:t>visose trijose</w:t>
      </w:r>
      <w:r>
        <w:rPr>
          <w:sz w:val="24"/>
          <w:szCs w:val="24"/>
        </w:rPr>
        <w:t xml:space="preserve"> šalyse </w:t>
      </w:r>
      <w:r w:rsidR="00BE0B30">
        <w:rPr>
          <w:sz w:val="24"/>
          <w:szCs w:val="24"/>
        </w:rPr>
        <w:t>padi</w:t>
      </w:r>
      <w:r w:rsidR="00CC0CBC">
        <w:rPr>
          <w:sz w:val="24"/>
          <w:szCs w:val="24"/>
        </w:rPr>
        <w:t>dėjo: Lietuvoje - tris kartus, o</w:t>
      </w:r>
      <w:r w:rsidR="00BE0B30">
        <w:rPr>
          <w:sz w:val="24"/>
          <w:szCs w:val="24"/>
        </w:rPr>
        <w:t xml:space="preserve"> Latvijoje </w:t>
      </w:r>
      <w:r w:rsidR="00CC0CBC">
        <w:rPr>
          <w:sz w:val="24"/>
          <w:szCs w:val="24"/>
        </w:rPr>
        <w:t xml:space="preserve">ir Estijoje </w:t>
      </w:r>
      <w:r w:rsidR="00BE0B30">
        <w:rPr>
          <w:sz w:val="24"/>
          <w:szCs w:val="24"/>
        </w:rPr>
        <w:t xml:space="preserve">- beveik keturis. </w:t>
      </w:r>
      <w:r w:rsidR="00D37344">
        <w:rPr>
          <w:sz w:val="24"/>
          <w:szCs w:val="24"/>
        </w:rPr>
        <w:t xml:space="preserve">Dėl </w:t>
      </w:r>
      <w:r w:rsidR="00223071">
        <w:rPr>
          <w:sz w:val="24"/>
          <w:szCs w:val="24"/>
        </w:rPr>
        <w:t>smarkaus užsie</w:t>
      </w:r>
      <w:r w:rsidR="00D37344">
        <w:rPr>
          <w:sz w:val="24"/>
          <w:szCs w:val="24"/>
        </w:rPr>
        <w:t xml:space="preserve">nio skolos padidėjimo, Estijoje šis rodiklis ženkliai išaugo 2012 m. ir siekė 6,3 proc., tačiau toks rodiklis nėra auštas ir Estija vetinama kaip žemo įsiskolinimo šalis. Lietuvoje ir Latvijoje </w:t>
      </w:r>
      <w:r w:rsidR="00223071">
        <w:rPr>
          <w:sz w:val="24"/>
          <w:szCs w:val="24"/>
        </w:rPr>
        <w:t xml:space="preserve">užsienio skolos ir BVP santykio augimą </w:t>
      </w:r>
      <w:r w:rsidR="00BE0B30">
        <w:rPr>
          <w:sz w:val="24"/>
          <w:szCs w:val="24"/>
        </w:rPr>
        <w:t xml:space="preserve">lėmė sulėtėjęs ekonomikos augimas ir išaugęs valstybių skolinimąsis. </w:t>
      </w:r>
      <w:r w:rsidR="00FC4691">
        <w:rPr>
          <w:sz w:val="24"/>
          <w:szCs w:val="24"/>
        </w:rPr>
        <w:t xml:space="preserve">Analizuotu laikotarpiu </w:t>
      </w:r>
      <w:r w:rsidR="00BE0B30">
        <w:rPr>
          <w:sz w:val="24"/>
          <w:szCs w:val="24"/>
        </w:rPr>
        <w:t>Lietuvoje šis rodiklis kasmet didėjo ir 2012 m. pasiekė 31,1 proc.. Latvijoje šis rodiklis augo iki 2011 m., o 2012 m. sulėtėjus užs</w:t>
      </w:r>
      <w:r w:rsidR="00103AA5">
        <w:rPr>
          <w:sz w:val="24"/>
          <w:szCs w:val="24"/>
        </w:rPr>
        <w:t>ienio skolos augimo tempui</w:t>
      </w:r>
      <w:r w:rsidR="00BE0B30">
        <w:rPr>
          <w:sz w:val="24"/>
          <w:szCs w:val="24"/>
        </w:rPr>
        <w:t>, jis sumažėjo ir siekė 36 proc</w:t>
      </w:r>
      <w:r w:rsidR="00BE0B30" w:rsidRPr="002C07F3">
        <w:rPr>
          <w:sz w:val="24"/>
          <w:szCs w:val="24"/>
        </w:rPr>
        <w:t xml:space="preserve">.. </w:t>
      </w:r>
      <w:r w:rsidR="00C55ECB">
        <w:rPr>
          <w:sz w:val="24"/>
          <w:szCs w:val="24"/>
        </w:rPr>
        <w:t xml:space="preserve">Žvelgiant į šio rodiklio 2012 </w:t>
      </w:r>
      <w:r w:rsidR="003E5398">
        <w:rPr>
          <w:sz w:val="24"/>
          <w:szCs w:val="24"/>
        </w:rPr>
        <w:t xml:space="preserve">metų reikšmes abi šalys turėtų būti vertinamos kaip vidutinio įsiskolinimo. </w:t>
      </w:r>
      <w:r w:rsidR="002C07F3">
        <w:rPr>
          <w:sz w:val="24"/>
          <w:szCs w:val="24"/>
        </w:rPr>
        <w:t>Pastovus š</w:t>
      </w:r>
      <w:r w:rsidR="002C07F3" w:rsidRPr="002C07F3">
        <w:rPr>
          <w:sz w:val="24"/>
          <w:szCs w:val="24"/>
        </w:rPr>
        <w:t xml:space="preserve">io rodiklio augimas signalizuoja, kad ateityje šaliai gali būti sunku įvykdyti savo užsienio įsipareigojimus. Dažnai nedidėjantis užsienio skolos ir BVP santykis yra laikomas viena iš svarbiausių einamosios sąskaitos deficito priimtinumo sąlygų. </w:t>
      </w:r>
      <w:r w:rsidR="007708AE">
        <w:rPr>
          <w:sz w:val="24"/>
          <w:szCs w:val="24"/>
        </w:rPr>
        <w:t xml:space="preserve">Taigi </w:t>
      </w:r>
      <w:r w:rsidR="002C07F3" w:rsidRPr="002C07F3">
        <w:rPr>
          <w:sz w:val="24"/>
          <w:szCs w:val="24"/>
        </w:rPr>
        <w:t xml:space="preserve">Baltijos šalims </w:t>
      </w:r>
      <w:r w:rsidR="003E5398">
        <w:rPr>
          <w:sz w:val="24"/>
          <w:szCs w:val="24"/>
        </w:rPr>
        <w:t xml:space="preserve">labai </w:t>
      </w:r>
      <w:r w:rsidR="002C07F3" w:rsidRPr="002C07F3">
        <w:rPr>
          <w:sz w:val="24"/>
          <w:szCs w:val="24"/>
        </w:rPr>
        <w:t>svarbu yra augantis BVP, nes jis atitinkamai didins šalies potencialą vykdyti savo įsipareigojimus užsieniui ir mažin</w:t>
      </w:r>
      <w:r w:rsidR="007708AE">
        <w:rPr>
          <w:sz w:val="24"/>
          <w:szCs w:val="24"/>
        </w:rPr>
        <w:t>s</w:t>
      </w:r>
      <w:r w:rsidR="003E5398">
        <w:rPr>
          <w:sz w:val="24"/>
          <w:szCs w:val="24"/>
        </w:rPr>
        <w:t xml:space="preserve"> užsienio skolos ir BVP </w:t>
      </w:r>
      <w:r w:rsidR="003E5398" w:rsidRPr="002C6E71">
        <w:rPr>
          <w:sz w:val="24"/>
          <w:szCs w:val="24"/>
        </w:rPr>
        <w:t>santykį</w:t>
      </w:r>
      <w:r w:rsidR="00AB7E3C" w:rsidRPr="002C6E71">
        <w:rPr>
          <w:sz w:val="24"/>
          <w:szCs w:val="24"/>
        </w:rPr>
        <w:t xml:space="preserve"> </w:t>
      </w:r>
      <w:r w:rsidR="002C6E71" w:rsidRPr="002C6E71">
        <w:rPr>
          <w:sz w:val="24"/>
          <w:szCs w:val="24"/>
        </w:rPr>
        <w:t>(Misiūnas, A., Rukšaitė A., 2005).</w:t>
      </w:r>
    </w:p>
    <w:p w:rsidR="00A2248B" w:rsidRDefault="00A2248B" w:rsidP="00A2248B">
      <w:pPr>
        <w:spacing w:line="360" w:lineRule="auto"/>
        <w:rPr>
          <w:color w:val="FF0000"/>
          <w:sz w:val="24"/>
          <w:szCs w:val="24"/>
        </w:rPr>
      </w:pPr>
    </w:p>
    <w:p w:rsidR="005666E1" w:rsidRDefault="007C7636" w:rsidP="00FC4691">
      <w:pPr>
        <w:tabs>
          <w:tab w:val="left" w:pos="1065"/>
        </w:tabs>
        <w:spacing w:line="360" w:lineRule="auto"/>
        <w:rPr>
          <w:sz w:val="24"/>
          <w:szCs w:val="24"/>
        </w:rPr>
      </w:pPr>
      <w:r w:rsidRPr="007C7636">
        <w:rPr>
          <w:sz w:val="24"/>
          <w:szCs w:val="24"/>
        </w:rPr>
        <w:t xml:space="preserve">Apibendrinant </w:t>
      </w:r>
      <w:r>
        <w:rPr>
          <w:sz w:val="24"/>
          <w:szCs w:val="24"/>
        </w:rPr>
        <w:t xml:space="preserve">reikėtų pasakyti, jog apskaičiuoti santykiniai rodikliai dar kartą patvirtina faktą, jog didžiausią skolos naštą turi Lietuva. Už valstybės skolinimąsi mokama palūkanų suma Lietuvoje yra </w:t>
      </w:r>
      <w:r>
        <w:rPr>
          <w:sz w:val="24"/>
          <w:szCs w:val="24"/>
        </w:rPr>
        <w:lastRenderedPageBreak/>
        <w:t xml:space="preserve">didžiausia ne tik nominalia verte, bet ir vertinant jos santykį su pačiu skolos dydžiu, su BVP bei su valstybės biudžeto pajamomis. Visu analizuotu laikotarpiu užienios skolos vertinimui skirti rodikliai </w:t>
      </w:r>
      <w:r w:rsidR="00135993">
        <w:rPr>
          <w:sz w:val="24"/>
          <w:szCs w:val="24"/>
        </w:rPr>
        <w:t xml:space="preserve">prasčiausi buvo </w:t>
      </w:r>
      <w:r w:rsidR="003E702A">
        <w:rPr>
          <w:sz w:val="24"/>
          <w:szCs w:val="24"/>
        </w:rPr>
        <w:t>Latvijoje</w:t>
      </w:r>
      <w:r>
        <w:rPr>
          <w:sz w:val="24"/>
          <w:szCs w:val="24"/>
        </w:rPr>
        <w:t xml:space="preserve">, tačiau </w:t>
      </w:r>
      <w:r w:rsidR="00135993">
        <w:rPr>
          <w:sz w:val="24"/>
          <w:szCs w:val="24"/>
        </w:rPr>
        <w:t xml:space="preserve">matoma jų </w:t>
      </w:r>
      <w:r w:rsidR="005666E1">
        <w:rPr>
          <w:sz w:val="24"/>
          <w:szCs w:val="24"/>
        </w:rPr>
        <w:t>gerėjimo tendencija.</w:t>
      </w:r>
      <w:r w:rsidR="00103AA5">
        <w:rPr>
          <w:sz w:val="24"/>
          <w:szCs w:val="24"/>
        </w:rPr>
        <w:t xml:space="preserve"> Estija pagal visas apskaičiuotų rodiklių reikšmes turėtų būti vertinama kai mažo įsiskolinimo šalis, tuo tarpu Lietuvos ir Latvijos užsienio skolos ir BVP santykio rodikliai rodo esant vidutiniam šalių įsiskolinimo lygiui. Lietuva kaip vidutinio įsisiskolinimo lygio šalis turėtų būti vertinama ir pagal palūkanų už valstybės skolą ir biudžeto pajamų santykį.</w:t>
      </w:r>
    </w:p>
    <w:p w:rsidR="005B47AA" w:rsidRPr="008B056E" w:rsidRDefault="005B47AA" w:rsidP="008B056E">
      <w:pPr>
        <w:tabs>
          <w:tab w:val="left" w:pos="1065"/>
        </w:tabs>
        <w:spacing w:line="360" w:lineRule="auto"/>
        <w:rPr>
          <w:sz w:val="24"/>
          <w:szCs w:val="24"/>
        </w:rPr>
      </w:pPr>
    </w:p>
    <w:p w:rsidR="00732429" w:rsidRPr="00E52B8B" w:rsidRDefault="00732429" w:rsidP="00E52B8B">
      <w:pPr>
        <w:pStyle w:val="ListParagraph"/>
        <w:numPr>
          <w:ilvl w:val="1"/>
          <w:numId w:val="30"/>
        </w:numPr>
        <w:rPr>
          <w:b/>
          <w:sz w:val="24"/>
          <w:szCs w:val="24"/>
        </w:rPr>
      </w:pPr>
      <w:bookmarkStart w:id="198" w:name="_Toc373086712"/>
      <w:bookmarkStart w:id="199" w:name="_Toc373086911"/>
      <w:bookmarkStart w:id="200" w:name="_Toc373275087"/>
      <w:bookmarkStart w:id="201" w:name="_Toc373421075"/>
      <w:bookmarkStart w:id="202" w:name="_Toc373448106"/>
      <w:r w:rsidRPr="00E52B8B">
        <w:rPr>
          <w:b/>
          <w:sz w:val="24"/>
          <w:szCs w:val="24"/>
        </w:rPr>
        <w:t>V</w:t>
      </w:r>
      <w:r w:rsidR="002128BD" w:rsidRPr="00E52B8B">
        <w:rPr>
          <w:b/>
          <w:sz w:val="24"/>
          <w:szCs w:val="24"/>
        </w:rPr>
        <w:t>als</w:t>
      </w:r>
      <w:r w:rsidR="00D0610D" w:rsidRPr="00E52B8B">
        <w:rPr>
          <w:b/>
          <w:sz w:val="24"/>
          <w:szCs w:val="24"/>
        </w:rPr>
        <w:t xml:space="preserve">tybės skolos valdymo </w:t>
      </w:r>
      <w:r w:rsidR="002128BD" w:rsidRPr="00E52B8B">
        <w:rPr>
          <w:b/>
          <w:sz w:val="24"/>
          <w:szCs w:val="24"/>
        </w:rPr>
        <w:t xml:space="preserve"> </w:t>
      </w:r>
      <w:r w:rsidR="0013727B" w:rsidRPr="00E52B8B">
        <w:rPr>
          <w:b/>
          <w:sz w:val="24"/>
          <w:szCs w:val="24"/>
        </w:rPr>
        <w:t xml:space="preserve">ypatumai ir </w:t>
      </w:r>
      <w:r w:rsidR="002128BD" w:rsidRPr="00E52B8B">
        <w:rPr>
          <w:b/>
          <w:sz w:val="24"/>
          <w:szCs w:val="24"/>
        </w:rPr>
        <w:t>problemos</w:t>
      </w:r>
      <w:r w:rsidRPr="00E52B8B">
        <w:rPr>
          <w:b/>
          <w:sz w:val="24"/>
          <w:szCs w:val="24"/>
        </w:rPr>
        <w:t xml:space="preserve"> Baltijos šalyse</w:t>
      </w:r>
      <w:bookmarkEnd w:id="198"/>
      <w:bookmarkEnd w:id="199"/>
      <w:bookmarkEnd w:id="200"/>
      <w:bookmarkEnd w:id="201"/>
      <w:bookmarkEnd w:id="202"/>
    </w:p>
    <w:p w:rsidR="008B6180" w:rsidRPr="008B12E7" w:rsidRDefault="008B6180" w:rsidP="008B6180"/>
    <w:p w:rsidR="00732429" w:rsidRPr="008B12E7" w:rsidRDefault="00732429" w:rsidP="008B6180">
      <w:pPr>
        <w:pStyle w:val="Heading2"/>
        <w:spacing w:line="360" w:lineRule="auto"/>
        <w:ind w:firstLine="720"/>
        <w:contextualSpacing/>
        <w:rPr>
          <w:rFonts w:ascii="Times New Roman" w:hAnsi="Times New Roman" w:cs="Times New Roman"/>
          <w:b w:val="0"/>
          <w:color w:val="auto"/>
          <w:sz w:val="24"/>
          <w:szCs w:val="24"/>
        </w:rPr>
      </w:pPr>
      <w:bookmarkStart w:id="203" w:name="_Toc372667984"/>
      <w:bookmarkStart w:id="204" w:name="_Toc373086713"/>
      <w:bookmarkStart w:id="205" w:name="_Toc373086912"/>
      <w:bookmarkStart w:id="206" w:name="_Toc373274439"/>
      <w:bookmarkStart w:id="207" w:name="_Toc373274653"/>
      <w:bookmarkStart w:id="208" w:name="_Toc373275088"/>
      <w:bookmarkStart w:id="209" w:name="_Toc373421076"/>
      <w:bookmarkStart w:id="210" w:name="_Toc373448107"/>
      <w:bookmarkStart w:id="211" w:name="_Toc374228647"/>
      <w:bookmarkStart w:id="212" w:name="_Toc374229054"/>
      <w:bookmarkStart w:id="213" w:name="_Toc374229165"/>
      <w:bookmarkStart w:id="214" w:name="_Toc374229471"/>
      <w:r w:rsidRPr="008B12E7">
        <w:rPr>
          <w:rFonts w:ascii="Times New Roman" w:hAnsi="Times New Roman" w:cs="Times New Roman"/>
          <w:b w:val="0"/>
          <w:color w:val="auto"/>
          <w:sz w:val="24"/>
          <w:szCs w:val="24"/>
        </w:rPr>
        <w:t>Atliktos Baltijos šalių valstybės skolos d</w:t>
      </w:r>
      <w:r w:rsidR="00402CC9">
        <w:rPr>
          <w:rFonts w:ascii="Times New Roman" w:hAnsi="Times New Roman" w:cs="Times New Roman"/>
          <w:b w:val="0"/>
          <w:color w:val="auto"/>
          <w:sz w:val="24"/>
          <w:szCs w:val="24"/>
        </w:rPr>
        <w:t>inaminė ir struktūrinė analizės</w:t>
      </w:r>
      <w:r w:rsidRPr="008B12E7">
        <w:rPr>
          <w:rFonts w:ascii="Times New Roman" w:hAnsi="Times New Roman" w:cs="Times New Roman"/>
          <w:b w:val="0"/>
          <w:color w:val="auto"/>
          <w:sz w:val="24"/>
          <w:szCs w:val="24"/>
        </w:rPr>
        <w:t xml:space="preserve"> bei apskaičiuoti santykiniai rodikliai atskleidė skirtingas Lietuvos, Latvijos ir Estijos valstybės skolos situacijas.</w:t>
      </w:r>
      <w:r w:rsidR="008B6180" w:rsidRPr="008B12E7">
        <w:rPr>
          <w:rFonts w:ascii="Times New Roman" w:hAnsi="Times New Roman" w:cs="Times New Roman"/>
          <w:b w:val="0"/>
          <w:color w:val="auto"/>
          <w:sz w:val="24"/>
          <w:szCs w:val="24"/>
        </w:rPr>
        <w:t xml:space="preserve"> Todėl  kyla poreikis apžvelgti </w:t>
      </w:r>
      <w:bookmarkEnd w:id="203"/>
      <w:r w:rsidR="0089513C" w:rsidRPr="008B12E7">
        <w:rPr>
          <w:rFonts w:ascii="Times New Roman" w:hAnsi="Times New Roman" w:cs="Times New Roman"/>
          <w:b w:val="0"/>
          <w:color w:val="auto"/>
          <w:sz w:val="24"/>
          <w:szCs w:val="24"/>
        </w:rPr>
        <w:t xml:space="preserve">kaip šios šalys valdo </w:t>
      </w:r>
      <w:r w:rsidR="008B12E7" w:rsidRPr="008B12E7">
        <w:rPr>
          <w:rFonts w:ascii="Times New Roman" w:hAnsi="Times New Roman" w:cs="Times New Roman"/>
          <w:b w:val="0"/>
          <w:color w:val="auto"/>
          <w:sz w:val="24"/>
          <w:szCs w:val="24"/>
        </w:rPr>
        <w:t>valstybės skolą.</w:t>
      </w:r>
      <w:bookmarkEnd w:id="204"/>
      <w:bookmarkEnd w:id="205"/>
      <w:bookmarkEnd w:id="206"/>
      <w:bookmarkEnd w:id="207"/>
      <w:bookmarkEnd w:id="208"/>
      <w:bookmarkEnd w:id="209"/>
      <w:bookmarkEnd w:id="210"/>
      <w:bookmarkEnd w:id="211"/>
      <w:bookmarkEnd w:id="212"/>
      <w:bookmarkEnd w:id="213"/>
      <w:bookmarkEnd w:id="214"/>
      <w:r w:rsidR="008B12E7" w:rsidRPr="008B12E7">
        <w:rPr>
          <w:rFonts w:ascii="Times New Roman" w:hAnsi="Times New Roman" w:cs="Times New Roman"/>
          <w:b w:val="0"/>
          <w:color w:val="auto"/>
          <w:sz w:val="24"/>
          <w:szCs w:val="24"/>
        </w:rPr>
        <w:t xml:space="preserve"> </w:t>
      </w:r>
    </w:p>
    <w:p w:rsidR="008B6180" w:rsidRPr="008B12E7" w:rsidRDefault="008B6180" w:rsidP="008B6180">
      <w:pPr>
        <w:spacing w:line="360" w:lineRule="auto"/>
        <w:contextualSpacing/>
        <w:rPr>
          <w:sz w:val="24"/>
          <w:szCs w:val="24"/>
        </w:rPr>
      </w:pPr>
      <w:r w:rsidRPr="008B12E7">
        <w:rPr>
          <w:sz w:val="24"/>
          <w:szCs w:val="24"/>
        </w:rPr>
        <w:t>Kaip jau minėta atliekant mokslinės literatūros analizę, pasaulinėje praktikoje dažniausiai sutinkami du valstybės skolos vald</w:t>
      </w:r>
      <w:r w:rsidR="00420A87" w:rsidRPr="008B12E7">
        <w:rPr>
          <w:sz w:val="24"/>
          <w:szCs w:val="24"/>
        </w:rPr>
        <w:t xml:space="preserve">ymo ir administravimo modeliai: už skolos valdymą yra atsakinga Finansų ministerija/Iždas arba nepriklausomos skolos ir valstybės piniginių išteklių valdymo agentūros. </w:t>
      </w:r>
      <w:r w:rsidR="00596DD8" w:rsidRPr="008B12E7">
        <w:rPr>
          <w:sz w:val="24"/>
          <w:szCs w:val="24"/>
        </w:rPr>
        <w:t>Visose trijose Baltijos šalyse veikia pirmasis modelis: Lietuvoje ir Estijoje už skolos valdymą yra atsakinga Finansų ministerija, o Latvijoje –</w:t>
      </w:r>
      <w:r w:rsidR="00AA620D" w:rsidRPr="008B12E7">
        <w:rPr>
          <w:sz w:val="24"/>
          <w:szCs w:val="24"/>
        </w:rPr>
        <w:t xml:space="preserve"> Valstybės</w:t>
      </w:r>
      <w:r w:rsidR="00596DD8" w:rsidRPr="008B12E7">
        <w:rPr>
          <w:sz w:val="24"/>
          <w:szCs w:val="24"/>
        </w:rPr>
        <w:t xml:space="preserve"> </w:t>
      </w:r>
      <w:r w:rsidR="00AA620D" w:rsidRPr="008B12E7">
        <w:rPr>
          <w:sz w:val="24"/>
          <w:szCs w:val="24"/>
        </w:rPr>
        <w:t>i</w:t>
      </w:r>
      <w:r w:rsidR="00596DD8" w:rsidRPr="008B12E7">
        <w:rPr>
          <w:sz w:val="24"/>
          <w:szCs w:val="24"/>
        </w:rPr>
        <w:t xml:space="preserve">ždas. </w:t>
      </w:r>
    </w:p>
    <w:p w:rsidR="00CA0B69" w:rsidRDefault="009565FD" w:rsidP="003B670D">
      <w:pPr>
        <w:spacing w:line="360" w:lineRule="auto"/>
        <w:contextualSpacing/>
        <w:rPr>
          <w:sz w:val="24"/>
          <w:szCs w:val="24"/>
        </w:rPr>
      </w:pPr>
      <w:r w:rsidRPr="008B12E7">
        <w:rPr>
          <w:sz w:val="24"/>
          <w:szCs w:val="24"/>
        </w:rPr>
        <w:t xml:space="preserve">Lietuvos </w:t>
      </w:r>
      <w:r w:rsidR="0064789F" w:rsidRPr="008B12E7">
        <w:rPr>
          <w:sz w:val="24"/>
          <w:szCs w:val="24"/>
        </w:rPr>
        <w:t>Fi</w:t>
      </w:r>
      <w:r w:rsidR="00431D97">
        <w:rPr>
          <w:sz w:val="24"/>
          <w:szCs w:val="24"/>
        </w:rPr>
        <w:t>nansų ministerija</w:t>
      </w:r>
      <w:r w:rsidRPr="008B12E7">
        <w:rPr>
          <w:sz w:val="24"/>
          <w:szCs w:val="24"/>
        </w:rPr>
        <w:t xml:space="preserve"> </w:t>
      </w:r>
      <w:r w:rsidR="00431D97">
        <w:rPr>
          <w:sz w:val="24"/>
          <w:szCs w:val="24"/>
        </w:rPr>
        <w:t>kaip</w:t>
      </w:r>
      <w:r w:rsidRPr="008B12E7">
        <w:rPr>
          <w:sz w:val="24"/>
          <w:szCs w:val="24"/>
        </w:rPr>
        <w:t xml:space="preserve"> v</w:t>
      </w:r>
      <w:r w:rsidR="00431D97">
        <w:rPr>
          <w:sz w:val="24"/>
          <w:szCs w:val="24"/>
        </w:rPr>
        <w:t>alstybės skolos valdymo priemonę</w:t>
      </w:r>
      <w:r w:rsidRPr="008B12E7">
        <w:rPr>
          <w:sz w:val="24"/>
          <w:szCs w:val="24"/>
        </w:rPr>
        <w:t xml:space="preserve"> </w:t>
      </w:r>
      <w:r w:rsidR="00431D97">
        <w:rPr>
          <w:sz w:val="24"/>
          <w:szCs w:val="24"/>
        </w:rPr>
        <w:t>įvardija skolinimosi limitus</w:t>
      </w:r>
      <w:r w:rsidRPr="008B12E7">
        <w:rPr>
          <w:sz w:val="24"/>
          <w:szCs w:val="24"/>
        </w:rPr>
        <w:t xml:space="preserve">, kuriuos nustato Seimas. </w:t>
      </w:r>
      <w:r w:rsidR="00246E7C">
        <w:rPr>
          <w:sz w:val="24"/>
          <w:szCs w:val="24"/>
        </w:rPr>
        <w:t>Limitai yra skirti</w:t>
      </w:r>
      <w:r w:rsidR="007C34DC">
        <w:rPr>
          <w:sz w:val="24"/>
          <w:szCs w:val="24"/>
        </w:rPr>
        <w:t xml:space="preserve"> valstybės skolos portfelio struktūrai bei mokėtinoms palūkanoms</w:t>
      </w:r>
      <w:r w:rsidR="00DC2D2D">
        <w:rPr>
          <w:sz w:val="24"/>
          <w:szCs w:val="24"/>
        </w:rPr>
        <w:t xml:space="preserve"> kontroliuoti</w:t>
      </w:r>
      <w:r w:rsidR="007C34DC">
        <w:rPr>
          <w:sz w:val="24"/>
          <w:szCs w:val="24"/>
        </w:rPr>
        <w:t>. Latvija savo skolinimosi strategijoje</w:t>
      </w:r>
      <w:r w:rsidR="003B670D">
        <w:rPr>
          <w:sz w:val="24"/>
          <w:szCs w:val="24"/>
        </w:rPr>
        <w:t xml:space="preserve"> taip yra nustačiusi </w:t>
      </w:r>
      <w:r w:rsidR="00431D97">
        <w:rPr>
          <w:sz w:val="24"/>
          <w:szCs w:val="24"/>
        </w:rPr>
        <w:t xml:space="preserve">tokius limitus. </w:t>
      </w:r>
      <w:r w:rsidR="006D6542">
        <w:rPr>
          <w:sz w:val="24"/>
          <w:szCs w:val="24"/>
        </w:rPr>
        <w:t xml:space="preserve">Lietuvos ir Latvijos </w:t>
      </w:r>
      <w:r w:rsidR="00C07820">
        <w:rPr>
          <w:sz w:val="24"/>
          <w:szCs w:val="24"/>
        </w:rPr>
        <w:t xml:space="preserve">2013 m. </w:t>
      </w:r>
      <w:r w:rsidR="006D6542">
        <w:rPr>
          <w:sz w:val="24"/>
          <w:szCs w:val="24"/>
        </w:rPr>
        <w:t xml:space="preserve">skolinimosi limitai pateikti </w:t>
      </w:r>
      <w:r w:rsidR="00C55ECB">
        <w:rPr>
          <w:sz w:val="24"/>
          <w:szCs w:val="24"/>
        </w:rPr>
        <w:t>6</w:t>
      </w:r>
      <w:r w:rsidR="00046915" w:rsidRPr="00046915">
        <w:rPr>
          <w:sz w:val="24"/>
          <w:szCs w:val="24"/>
        </w:rPr>
        <w:t xml:space="preserve"> </w:t>
      </w:r>
      <w:r w:rsidR="006D6542" w:rsidRPr="00046915">
        <w:rPr>
          <w:sz w:val="24"/>
          <w:szCs w:val="24"/>
        </w:rPr>
        <w:t>priede</w:t>
      </w:r>
      <w:r w:rsidR="006D6542">
        <w:rPr>
          <w:sz w:val="24"/>
          <w:szCs w:val="24"/>
        </w:rPr>
        <w:t xml:space="preserve">. </w:t>
      </w:r>
      <w:r w:rsidR="002359C8">
        <w:rPr>
          <w:sz w:val="24"/>
          <w:szCs w:val="24"/>
        </w:rPr>
        <w:t>Estijos valstybės skolinimosi limitų rasti nepavyko.</w:t>
      </w:r>
    </w:p>
    <w:p w:rsidR="00431D97" w:rsidRDefault="006D6542" w:rsidP="00DC099D">
      <w:pPr>
        <w:spacing w:line="360" w:lineRule="auto"/>
        <w:contextualSpacing/>
        <w:rPr>
          <w:sz w:val="24"/>
          <w:szCs w:val="24"/>
        </w:rPr>
      </w:pPr>
      <w:r>
        <w:rPr>
          <w:sz w:val="24"/>
          <w:szCs w:val="24"/>
        </w:rPr>
        <w:t xml:space="preserve">Kaip </w:t>
      </w:r>
      <w:r w:rsidRPr="00046915">
        <w:rPr>
          <w:sz w:val="24"/>
          <w:szCs w:val="24"/>
        </w:rPr>
        <w:t xml:space="preserve">matyti iš </w:t>
      </w:r>
      <w:r w:rsidR="00C55ECB">
        <w:rPr>
          <w:sz w:val="24"/>
          <w:szCs w:val="24"/>
        </w:rPr>
        <w:t>6</w:t>
      </w:r>
      <w:r w:rsidR="00046915" w:rsidRPr="00046915">
        <w:rPr>
          <w:sz w:val="24"/>
          <w:szCs w:val="24"/>
        </w:rPr>
        <w:t xml:space="preserve"> </w:t>
      </w:r>
      <w:r w:rsidRPr="00046915">
        <w:rPr>
          <w:sz w:val="24"/>
          <w:szCs w:val="24"/>
        </w:rPr>
        <w:t>priede pateiktos informacijos</w:t>
      </w:r>
      <w:r w:rsidR="004647C6" w:rsidRPr="00046915">
        <w:rPr>
          <w:sz w:val="24"/>
          <w:szCs w:val="24"/>
        </w:rPr>
        <w:t>, šalys yra nustačiusios tam tikrus limitus skolos portfelio struktūrai pagal valiutą</w:t>
      </w:r>
      <w:r w:rsidR="004647C6">
        <w:rPr>
          <w:sz w:val="24"/>
          <w:szCs w:val="24"/>
        </w:rPr>
        <w:t>, pagal trukmę, taip pat nustatyti reikalavimai skolos dydžiui pagal kintamą ir fiksuotą palūkanų normą</w:t>
      </w:r>
      <w:r w:rsidR="00CA0B69">
        <w:rPr>
          <w:sz w:val="24"/>
          <w:szCs w:val="24"/>
        </w:rPr>
        <w:t>. Limitai abiejose šalyse yra gana panašūs. Valstybės trumpalaikės ( iki 1 metų) skolos dalis bendroje valstybės skolos struktūroje negali viršyti 25 proc., Latvija dar išskiria</w:t>
      </w:r>
      <w:r w:rsidR="002359C8">
        <w:rPr>
          <w:sz w:val="24"/>
          <w:szCs w:val="24"/>
        </w:rPr>
        <w:t xml:space="preserve"> tai</w:t>
      </w:r>
      <w:r w:rsidR="00CA0B69">
        <w:rPr>
          <w:sz w:val="24"/>
          <w:szCs w:val="24"/>
        </w:rPr>
        <w:t>, jog skolos iki 3 metų likutinė dalis negali sudaryti daugiau negu 50 proc. visos valstybės skolos.</w:t>
      </w:r>
      <w:r w:rsidR="00651062">
        <w:rPr>
          <w:sz w:val="24"/>
          <w:szCs w:val="24"/>
        </w:rPr>
        <w:t xml:space="preserve"> Nustatytas limitas valstybės skolos portfelio </w:t>
      </w:r>
      <w:r w:rsidR="00651062" w:rsidRPr="00651062">
        <w:rPr>
          <w:i/>
          <w:sz w:val="24"/>
          <w:szCs w:val="24"/>
        </w:rPr>
        <w:t>Macaulay</w:t>
      </w:r>
      <w:r w:rsidR="00651062">
        <w:rPr>
          <w:sz w:val="24"/>
          <w:szCs w:val="24"/>
        </w:rPr>
        <w:t xml:space="preserve"> trukmei (angl. Macaulay duration) Lietuvoje yra nuo 2,5 – 5 metų, o Latvijoje nuo 3,4 – 5 metų. </w:t>
      </w:r>
      <w:r w:rsidR="00651062" w:rsidRPr="00651062">
        <w:rPr>
          <w:sz w:val="24"/>
          <w:szCs w:val="24"/>
        </w:rPr>
        <w:t xml:space="preserve">Finansinė </w:t>
      </w:r>
      <w:r w:rsidR="007629FE">
        <w:rPr>
          <w:sz w:val="24"/>
          <w:szCs w:val="24"/>
        </w:rPr>
        <w:t xml:space="preserve">Macaulay </w:t>
      </w:r>
      <w:r w:rsidR="00651062" w:rsidRPr="00651062">
        <w:rPr>
          <w:sz w:val="24"/>
          <w:szCs w:val="24"/>
        </w:rPr>
        <w:t>trukmė parodo vidutinį svertinį laikotarpį,</w:t>
      </w:r>
      <w:r w:rsidR="00651062">
        <w:rPr>
          <w:sz w:val="24"/>
          <w:szCs w:val="24"/>
        </w:rPr>
        <w:t xml:space="preserve"> </w:t>
      </w:r>
      <w:r w:rsidR="00651062" w:rsidRPr="00651062">
        <w:rPr>
          <w:sz w:val="24"/>
          <w:szCs w:val="24"/>
        </w:rPr>
        <w:t>kuriuo portfelio palūkanų norma yra fiksuota. Darant</w:t>
      </w:r>
      <w:r w:rsidR="00651062">
        <w:rPr>
          <w:sz w:val="24"/>
          <w:szCs w:val="24"/>
        </w:rPr>
        <w:t xml:space="preserve"> </w:t>
      </w:r>
      <w:r w:rsidR="00651062" w:rsidRPr="00651062">
        <w:rPr>
          <w:sz w:val="24"/>
          <w:szCs w:val="24"/>
        </w:rPr>
        <w:t>prielaidą, kad trumpalaikės palūkanų normos yra mažesnės</w:t>
      </w:r>
      <w:r w:rsidR="00651062">
        <w:rPr>
          <w:sz w:val="24"/>
          <w:szCs w:val="24"/>
        </w:rPr>
        <w:t xml:space="preserve"> </w:t>
      </w:r>
      <w:r w:rsidR="00651062" w:rsidRPr="00651062">
        <w:rPr>
          <w:sz w:val="24"/>
          <w:szCs w:val="24"/>
        </w:rPr>
        <w:t>už ilgalaikes, trumpa trukmė dažniausiai lemia mažesnius</w:t>
      </w:r>
      <w:r w:rsidR="00651062">
        <w:rPr>
          <w:sz w:val="24"/>
          <w:szCs w:val="24"/>
        </w:rPr>
        <w:t xml:space="preserve"> </w:t>
      </w:r>
      <w:r w:rsidR="00651062" w:rsidRPr="00651062">
        <w:rPr>
          <w:sz w:val="24"/>
          <w:szCs w:val="24"/>
        </w:rPr>
        <w:t>kaštus. Kita vertus, trumpa trukmė reiškia didesnę</w:t>
      </w:r>
      <w:r w:rsidR="00651062">
        <w:rPr>
          <w:sz w:val="24"/>
          <w:szCs w:val="24"/>
        </w:rPr>
        <w:t xml:space="preserve"> </w:t>
      </w:r>
      <w:r w:rsidR="00651062" w:rsidRPr="00651062">
        <w:rPr>
          <w:sz w:val="24"/>
          <w:szCs w:val="24"/>
        </w:rPr>
        <w:t xml:space="preserve">palūkanų normų kitimo </w:t>
      </w:r>
      <w:r w:rsidR="007552CF">
        <w:rPr>
          <w:sz w:val="24"/>
          <w:szCs w:val="24"/>
        </w:rPr>
        <w:t>riziką, nes gana greitai didelei port</w:t>
      </w:r>
      <w:r w:rsidR="00651062" w:rsidRPr="00651062">
        <w:rPr>
          <w:sz w:val="24"/>
          <w:szCs w:val="24"/>
        </w:rPr>
        <w:t xml:space="preserve">felio daliai </w:t>
      </w:r>
      <w:r w:rsidR="00651062" w:rsidRPr="00651062">
        <w:rPr>
          <w:sz w:val="24"/>
          <w:szCs w:val="24"/>
        </w:rPr>
        <w:lastRenderedPageBreak/>
        <w:t>palūkanų norma yra fiksuojama iš naujo, o</w:t>
      </w:r>
      <w:r w:rsidR="007552CF">
        <w:rPr>
          <w:sz w:val="24"/>
          <w:szCs w:val="24"/>
        </w:rPr>
        <w:t xml:space="preserve"> </w:t>
      </w:r>
      <w:r w:rsidR="00651062" w:rsidRPr="00651062">
        <w:rPr>
          <w:sz w:val="24"/>
          <w:szCs w:val="24"/>
        </w:rPr>
        <w:t>tai sukelia riziką. Taigi finansinė Macaulay trukmė parodo</w:t>
      </w:r>
      <w:r w:rsidR="007552CF">
        <w:rPr>
          <w:sz w:val="24"/>
          <w:szCs w:val="24"/>
        </w:rPr>
        <w:t xml:space="preserve"> </w:t>
      </w:r>
      <w:r w:rsidR="00651062" w:rsidRPr="00651062">
        <w:rPr>
          <w:sz w:val="24"/>
          <w:szCs w:val="24"/>
        </w:rPr>
        <w:t xml:space="preserve">skolos portfelio rizikos ir kaštų </w:t>
      </w:r>
      <w:r w:rsidR="00651062" w:rsidRPr="00C55ECB">
        <w:rPr>
          <w:sz w:val="24"/>
          <w:szCs w:val="24"/>
        </w:rPr>
        <w:t>derinį</w:t>
      </w:r>
      <w:r w:rsidR="002359C8" w:rsidRPr="00C55ECB">
        <w:rPr>
          <w:sz w:val="24"/>
          <w:szCs w:val="24"/>
        </w:rPr>
        <w:t xml:space="preserve"> </w:t>
      </w:r>
      <w:r w:rsidR="00147D42">
        <w:rPr>
          <w:sz w:val="24"/>
          <w:szCs w:val="24"/>
        </w:rPr>
        <w:t>[35</w:t>
      </w:r>
      <w:r w:rsidR="002359C8" w:rsidRPr="00C55ECB">
        <w:rPr>
          <w:sz w:val="24"/>
          <w:szCs w:val="24"/>
        </w:rPr>
        <w:t>]. Lietuva</w:t>
      </w:r>
      <w:r w:rsidR="002359C8">
        <w:rPr>
          <w:sz w:val="24"/>
          <w:szCs w:val="24"/>
        </w:rPr>
        <w:t xml:space="preserve"> </w:t>
      </w:r>
      <w:r w:rsidR="00C07820">
        <w:rPr>
          <w:sz w:val="24"/>
          <w:szCs w:val="24"/>
        </w:rPr>
        <w:t xml:space="preserve">dar </w:t>
      </w:r>
      <w:r w:rsidR="002359C8">
        <w:rPr>
          <w:sz w:val="24"/>
          <w:szCs w:val="24"/>
        </w:rPr>
        <w:t xml:space="preserve">yra nustačiusi limitą, jog skolos pagal kintamą palūkanų normą ir visos skolos santykis negali būti daugiau negu 10 proc., o Latvija kelia sau reikalavimą, kad skolos dalis pagal pastovią palūkanų normą </w:t>
      </w:r>
      <w:r w:rsidR="0093504B">
        <w:rPr>
          <w:sz w:val="24"/>
          <w:szCs w:val="24"/>
        </w:rPr>
        <w:t>būtų nemažiau 60 proc..</w:t>
      </w:r>
      <w:r w:rsidR="00A4674C">
        <w:rPr>
          <w:sz w:val="24"/>
          <w:szCs w:val="24"/>
        </w:rPr>
        <w:t xml:space="preserve"> Be to Latvija </w:t>
      </w:r>
      <w:r w:rsidR="00C07820">
        <w:rPr>
          <w:sz w:val="24"/>
          <w:szCs w:val="24"/>
        </w:rPr>
        <w:t>siekia</w:t>
      </w:r>
      <w:r w:rsidR="00A4674C">
        <w:rPr>
          <w:sz w:val="24"/>
          <w:szCs w:val="24"/>
        </w:rPr>
        <w:t>, kad valstybės skolos nacionaline valiuta ir užsienio valiuta santykis būtų nemažiau 35 proc., o vidaus skolos dalis bendroje skolos struktūroje einamųjų metų gale būtų nemažesnė negu praėjusių metų gale.</w:t>
      </w:r>
      <w:r w:rsidR="00431D97">
        <w:rPr>
          <w:sz w:val="24"/>
          <w:szCs w:val="24"/>
        </w:rPr>
        <w:t xml:space="preserve"> </w:t>
      </w:r>
      <w:r w:rsidR="000511E2">
        <w:rPr>
          <w:sz w:val="24"/>
          <w:szCs w:val="24"/>
        </w:rPr>
        <w:t>Nors nustatytų ribų paisymas padeda kontroliuoti valstybės skolos portfelio riziką, v</w:t>
      </w:r>
      <w:r w:rsidR="00431D97">
        <w:rPr>
          <w:sz w:val="24"/>
          <w:szCs w:val="24"/>
        </w:rPr>
        <w:t>is dėl to autorės nuomone, šalių nusistatyti limitai yra labiau teoriniai, tačiau praktiškai tai nėra priemonė, kuri padėtų išvengti skolos augimo ar skolos krizės</w:t>
      </w:r>
      <w:r w:rsidR="00F81635">
        <w:rPr>
          <w:sz w:val="24"/>
          <w:szCs w:val="24"/>
        </w:rPr>
        <w:t>.</w:t>
      </w:r>
    </w:p>
    <w:p w:rsidR="000514A5" w:rsidRDefault="0092669F" w:rsidP="000514A5">
      <w:pPr>
        <w:spacing w:line="360" w:lineRule="auto"/>
        <w:contextualSpacing/>
        <w:rPr>
          <w:sz w:val="24"/>
          <w:szCs w:val="24"/>
        </w:rPr>
      </w:pPr>
      <w:r>
        <w:rPr>
          <w:sz w:val="24"/>
          <w:szCs w:val="24"/>
        </w:rPr>
        <w:t xml:space="preserve">Kaip ir nemažos dalies mokslininkų teigimu, </w:t>
      </w:r>
      <w:r w:rsidR="00DD6284">
        <w:rPr>
          <w:sz w:val="24"/>
          <w:szCs w:val="24"/>
        </w:rPr>
        <w:t xml:space="preserve">taip pat ir </w:t>
      </w:r>
      <w:r>
        <w:rPr>
          <w:sz w:val="24"/>
          <w:szCs w:val="24"/>
        </w:rPr>
        <w:t>autorės nuomone</w:t>
      </w:r>
      <w:r w:rsidR="00DD6284">
        <w:rPr>
          <w:sz w:val="24"/>
          <w:szCs w:val="24"/>
        </w:rPr>
        <w:t>,</w:t>
      </w:r>
      <w:r>
        <w:rPr>
          <w:sz w:val="24"/>
          <w:szCs w:val="24"/>
        </w:rPr>
        <w:t xml:space="preserve"> viena iš pagrindinių sėkmingo valstybės skolos valdymo priemonių yra jos derinimas su bendrai šalyje vykdoma fiskaline politika. </w:t>
      </w:r>
      <w:r w:rsidR="00CC2AB7">
        <w:rPr>
          <w:sz w:val="24"/>
          <w:szCs w:val="24"/>
        </w:rPr>
        <w:t>Žvelgiant į Baltijos šalių situacijas tai tik pasitvirtina.</w:t>
      </w:r>
      <w:r w:rsidR="000514A5">
        <w:rPr>
          <w:sz w:val="24"/>
          <w:szCs w:val="24"/>
        </w:rPr>
        <w:t xml:space="preserve"> Paskutinė finansų krizė labai gerai atskleidė šalių požiūrius į valstybės skolinimąsi bei tokių požiūrių pasėkmes. </w:t>
      </w:r>
    </w:p>
    <w:p w:rsidR="00DC099D" w:rsidRDefault="00E45EDD" w:rsidP="003A2E3B">
      <w:pPr>
        <w:spacing w:line="360" w:lineRule="auto"/>
        <w:contextualSpacing/>
        <w:rPr>
          <w:sz w:val="24"/>
          <w:szCs w:val="24"/>
        </w:rPr>
      </w:pPr>
      <w:r>
        <w:rPr>
          <w:sz w:val="24"/>
          <w:szCs w:val="24"/>
        </w:rPr>
        <w:t>Kaip jau minėta anksčiau, Estija nuo pat įstojimo į ES vykdė taupią biudžeto politiką ir turėjo pertekl</w:t>
      </w:r>
      <w:r w:rsidR="00D13401">
        <w:rPr>
          <w:sz w:val="24"/>
          <w:szCs w:val="24"/>
        </w:rPr>
        <w:t xml:space="preserve">ių, kurį galėjo kaupti </w:t>
      </w:r>
      <w:r w:rsidR="006D4267">
        <w:rPr>
          <w:sz w:val="24"/>
          <w:szCs w:val="24"/>
        </w:rPr>
        <w:t>„</w:t>
      </w:r>
      <w:r w:rsidR="00D13401">
        <w:rPr>
          <w:sz w:val="24"/>
          <w:szCs w:val="24"/>
        </w:rPr>
        <w:t>juodai</w:t>
      </w:r>
      <w:r w:rsidR="006D4267">
        <w:rPr>
          <w:sz w:val="24"/>
          <w:szCs w:val="24"/>
        </w:rPr>
        <w:t xml:space="preserve"> dienai“.</w:t>
      </w:r>
      <w:r w:rsidR="00D13401">
        <w:rPr>
          <w:sz w:val="24"/>
          <w:szCs w:val="24"/>
        </w:rPr>
        <w:t xml:space="preserve"> </w:t>
      </w:r>
      <w:r w:rsidR="003A2E3B">
        <w:rPr>
          <w:sz w:val="24"/>
          <w:szCs w:val="24"/>
        </w:rPr>
        <w:t>Vienos Talino technologijų universiteto dėstytojos teigimu, Estijoje yra tiesiog išsyvystęs kultūrinis suvokimas, kad didelė vadžios sektoriaus skola yra negalima, o Estijos va</w:t>
      </w:r>
      <w:r w:rsidR="00DC099D">
        <w:rPr>
          <w:sz w:val="24"/>
          <w:szCs w:val="24"/>
        </w:rPr>
        <w:t>l</w:t>
      </w:r>
      <w:r w:rsidR="003A2E3B">
        <w:rPr>
          <w:sz w:val="24"/>
          <w:szCs w:val="24"/>
        </w:rPr>
        <w:t xml:space="preserve">džia vadovaujasi pricipu, jog negalima leisti pinigų, kurių </w:t>
      </w:r>
      <w:r w:rsidR="003A2E3B" w:rsidRPr="00C55ECB">
        <w:rPr>
          <w:sz w:val="24"/>
          <w:szCs w:val="24"/>
        </w:rPr>
        <w:t>neturi [</w:t>
      </w:r>
      <w:r w:rsidR="00147D42">
        <w:rPr>
          <w:sz w:val="24"/>
          <w:szCs w:val="24"/>
        </w:rPr>
        <w:t>52</w:t>
      </w:r>
      <w:r w:rsidR="003A2E3B" w:rsidRPr="00C55ECB">
        <w:rPr>
          <w:sz w:val="24"/>
          <w:szCs w:val="24"/>
        </w:rPr>
        <w:t>].</w:t>
      </w:r>
      <w:r w:rsidR="003A2E3B">
        <w:rPr>
          <w:sz w:val="24"/>
          <w:szCs w:val="24"/>
        </w:rPr>
        <w:t xml:space="preserve"> </w:t>
      </w:r>
      <w:r w:rsidR="00D13401">
        <w:rPr>
          <w:sz w:val="24"/>
          <w:szCs w:val="24"/>
        </w:rPr>
        <w:t>T</w:t>
      </w:r>
      <w:r>
        <w:rPr>
          <w:sz w:val="24"/>
          <w:szCs w:val="24"/>
        </w:rPr>
        <w:t>uo tarpu tiek Lietuva, tiek Latvija net augant jų ekonomikoms</w:t>
      </w:r>
      <w:r w:rsidR="000524B7">
        <w:rPr>
          <w:sz w:val="24"/>
          <w:szCs w:val="24"/>
        </w:rPr>
        <w:t xml:space="preserve"> gyveno ne pagal pajamas ir skolinosi. </w:t>
      </w:r>
      <w:r w:rsidR="00D13401">
        <w:rPr>
          <w:sz w:val="24"/>
          <w:szCs w:val="24"/>
        </w:rPr>
        <w:t>Augant ekonomikai, šalies BVP, skolos augimas neatrodė didelė problema, kadangi valstybės skolos ir BVP santyki</w:t>
      </w:r>
      <w:r w:rsidR="00D0790E">
        <w:rPr>
          <w:sz w:val="24"/>
          <w:szCs w:val="24"/>
        </w:rPr>
        <w:t>nis rodiklis</w:t>
      </w:r>
      <w:r w:rsidR="00D13401">
        <w:rPr>
          <w:sz w:val="24"/>
          <w:szCs w:val="24"/>
        </w:rPr>
        <w:t xml:space="preserve"> </w:t>
      </w:r>
      <w:r w:rsidR="00046915">
        <w:rPr>
          <w:sz w:val="24"/>
          <w:szCs w:val="24"/>
        </w:rPr>
        <w:t>nebuvo</w:t>
      </w:r>
      <w:r w:rsidR="00D13401">
        <w:rPr>
          <w:sz w:val="24"/>
          <w:szCs w:val="24"/>
        </w:rPr>
        <w:t xml:space="preserve"> didelis. </w:t>
      </w:r>
      <w:r w:rsidR="00D0790E">
        <w:rPr>
          <w:sz w:val="24"/>
          <w:szCs w:val="24"/>
        </w:rPr>
        <w:t>Kilus finansų krizei, Estijos</w:t>
      </w:r>
      <w:r w:rsidR="000514A5">
        <w:rPr>
          <w:sz w:val="24"/>
          <w:szCs w:val="24"/>
        </w:rPr>
        <w:t>, kaip ir Lietuvos bei Latvijos</w:t>
      </w:r>
      <w:r w:rsidR="00D0790E">
        <w:rPr>
          <w:sz w:val="24"/>
          <w:szCs w:val="24"/>
        </w:rPr>
        <w:t xml:space="preserve"> ekonomi</w:t>
      </w:r>
      <w:r w:rsidR="000514A5">
        <w:rPr>
          <w:sz w:val="24"/>
          <w:szCs w:val="24"/>
        </w:rPr>
        <w:t>kos,</w:t>
      </w:r>
      <w:r w:rsidR="00D0790E">
        <w:rPr>
          <w:sz w:val="24"/>
          <w:szCs w:val="24"/>
        </w:rPr>
        <w:t xml:space="preserve"> smarkiai nukentėjo, tačiau </w:t>
      </w:r>
      <w:r w:rsidR="000514A5">
        <w:rPr>
          <w:sz w:val="24"/>
          <w:szCs w:val="24"/>
        </w:rPr>
        <w:t>pakilimo laikotarpiu sukauptas rezervas lab</w:t>
      </w:r>
      <w:r w:rsidR="00402CC9">
        <w:rPr>
          <w:sz w:val="24"/>
          <w:szCs w:val="24"/>
        </w:rPr>
        <w:t>ai padėjo Estijai įveikti krizę</w:t>
      </w:r>
      <w:r w:rsidR="00ED3A03">
        <w:rPr>
          <w:sz w:val="24"/>
          <w:szCs w:val="24"/>
        </w:rPr>
        <w:t>,</w:t>
      </w:r>
      <w:r w:rsidR="00402CC9">
        <w:rPr>
          <w:sz w:val="24"/>
          <w:szCs w:val="24"/>
        </w:rPr>
        <w:t xml:space="preserve"> </w:t>
      </w:r>
      <w:r w:rsidR="00686757">
        <w:rPr>
          <w:sz w:val="24"/>
          <w:szCs w:val="24"/>
        </w:rPr>
        <w:t>t</w:t>
      </w:r>
      <w:r w:rsidR="00046915">
        <w:rPr>
          <w:sz w:val="24"/>
          <w:szCs w:val="24"/>
        </w:rPr>
        <w:t>uo tarpu Lietuva ir Latvija</w:t>
      </w:r>
      <w:r w:rsidR="000511E2">
        <w:rPr>
          <w:sz w:val="24"/>
          <w:szCs w:val="24"/>
        </w:rPr>
        <w:t xml:space="preserve">, </w:t>
      </w:r>
      <w:r w:rsidR="000514A5">
        <w:rPr>
          <w:sz w:val="24"/>
          <w:szCs w:val="24"/>
        </w:rPr>
        <w:t>neturėj</w:t>
      </w:r>
      <w:r w:rsidR="00251814">
        <w:rPr>
          <w:sz w:val="24"/>
          <w:szCs w:val="24"/>
        </w:rPr>
        <w:t>o kitos išeities, tik smarkiais tempais</w:t>
      </w:r>
      <w:r w:rsidR="000514A5">
        <w:rPr>
          <w:sz w:val="24"/>
          <w:szCs w:val="24"/>
        </w:rPr>
        <w:t xml:space="preserve"> didinti savo valstybės skolas. </w:t>
      </w:r>
      <w:r w:rsidR="00053286">
        <w:rPr>
          <w:sz w:val="24"/>
          <w:szCs w:val="24"/>
        </w:rPr>
        <w:t xml:space="preserve">Tačiau </w:t>
      </w:r>
      <w:r w:rsidR="00251814">
        <w:rPr>
          <w:sz w:val="24"/>
          <w:szCs w:val="24"/>
        </w:rPr>
        <w:t>auganti skola ir smunkanti ekonomika</w:t>
      </w:r>
      <w:r w:rsidR="000511E2">
        <w:rPr>
          <w:sz w:val="24"/>
          <w:szCs w:val="24"/>
        </w:rPr>
        <w:t>, skolos naštą darė vis sunkesne</w:t>
      </w:r>
      <w:r w:rsidR="00251814">
        <w:rPr>
          <w:sz w:val="24"/>
          <w:szCs w:val="24"/>
        </w:rPr>
        <w:t xml:space="preserve">. </w:t>
      </w:r>
      <w:r w:rsidR="00046915">
        <w:rPr>
          <w:sz w:val="24"/>
          <w:szCs w:val="24"/>
        </w:rPr>
        <w:t>Taigi v</w:t>
      </w:r>
      <w:r w:rsidR="002128BD">
        <w:rPr>
          <w:sz w:val="24"/>
          <w:szCs w:val="24"/>
        </w:rPr>
        <w:t>alstybės skolinimosi keliamų grėsmių ir rizikų nesuvokimas</w:t>
      </w:r>
      <w:r w:rsidR="00046915">
        <w:rPr>
          <w:sz w:val="24"/>
          <w:szCs w:val="24"/>
        </w:rPr>
        <w:t xml:space="preserve"> pakilimo laikotarpiu, Latvijos ir Lietuvos padėtį</w:t>
      </w:r>
      <w:r w:rsidR="002128BD">
        <w:rPr>
          <w:sz w:val="24"/>
          <w:szCs w:val="24"/>
        </w:rPr>
        <w:t xml:space="preserve"> finansų krizės </w:t>
      </w:r>
      <w:r w:rsidR="00046915">
        <w:rPr>
          <w:sz w:val="24"/>
          <w:szCs w:val="24"/>
        </w:rPr>
        <w:t xml:space="preserve">metu tik dar labiau </w:t>
      </w:r>
      <w:r w:rsidR="002128BD">
        <w:rPr>
          <w:sz w:val="24"/>
          <w:szCs w:val="24"/>
        </w:rPr>
        <w:t xml:space="preserve"> </w:t>
      </w:r>
      <w:r w:rsidR="000511E2">
        <w:rPr>
          <w:sz w:val="24"/>
          <w:szCs w:val="24"/>
        </w:rPr>
        <w:t>pablogino.</w:t>
      </w:r>
    </w:p>
    <w:p w:rsidR="00F90A04" w:rsidRDefault="00DC099D" w:rsidP="0013727B">
      <w:pPr>
        <w:spacing w:line="360" w:lineRule="auto"/>
        <w:contextualSpacing/>
        <w:rPr>
          <w:rFonts w:ascii="Georgia" w:hAnsi="Georgia"/>
          <w:color w:val="333333"/>
          <w:shd w:val="clear" w:color="auto" w:fill="FFFFFF"/>
        </w:rPr>
      </w:pPr>
      <w:r>
        <w:rPr>
          <w:sz w:val="24"/>
          <w:szCs w:val="24"/>
        </w:rPr>
        <w:t>Tačiau p</w:t>
      </w:r>
      <w:r w:rsidR="00686757">
        <w:rPr>
          <w:sz w:val="24"/>
          <w:szCs w:val="24"/>
        </w:rPr>
        <w:t>riimti skirtingi, jau anksčiau darbe aptarti, Lietuvos ir Latvijos sprendimai dėl skolinimosi šaltinių sunkmečiu</w:t>
      </w:r>
      <w:r w:rsidR="007629FE">
        <w:rPr>
          <w:sz w:val="24"/>
          <w:szCs w:val="24"/>
        </w:rPr>
        <w:t>,</w:t>
      </w:r>
      <w:r w:rsidR="00686757">
        <w:rPr>
          <w:sz w:val="24"/>
          <w:szCs w:val="24"/>
        </w:rPr>
        <w:t xml:space="preserve"> parodė, jog vis dėl to Latvijos ir Lietuvos požiūriai dėl valstybės skolos valdymo </w:t>
      </w:r>
      <w:r w:rsidR="00EA29F1">
        <w:rPr>
          <w:sz w:val="24"/>
          <w:szCs w:val="24"/>
        </w:rPr>
        <w:t xml:space="preserve">irgi </w:t>
      </w:r>
      <w:r w:rsidR="00686757">
        <w:rPr>
          <w:sz w:val="24"/>
          <w:szCs w:val="24"/>
        </w:rPr>
        <w:t xml:space="preserve">skiriasi. </w:t>
      </w:r>
      <w:r w:rsidR="00ED3A03">
        <w:rPr>
          <w:sz w:val="24"/>
          <w:szCs w:val="24"/>
        </w:rPr>
        <w:t xml:space="preserve">Latvija kreipėsi pagalbos į tarptautines institucijas bei tokiu būdu sumažino valstybės skolos valdymo išlaidas, tuo tarpu Lietuvos sprendimas </w:t>
      </w:r>
      <w:r>
        <w:rPr>
          <w:sz w:val="24"/>
          <w:szCs w:val="24"/>
        </w:rPr>
        <w:t>pasirodyti</w:t>
      </w:r>
      <w:r w:rsidR="00ED3A03">
        <w:rPr>
          <w:sz w:val="24"/>
          <w:szCs w:val="24"/>
        </w:rPr>
        <w:t xml:space="preserve"> savarankiška</w:t>
      </w:r>
      <w:r w:rsidR="00F90A04">
        <w:rPr>
          <w:sz w:val="24"/>
          <w:szCs w:val="24"/>
        </w:rPr>
        <w:t>i brangiai kainavo</w:t>
      </w:r>
      <w:r w:rsidR="00ED3A03">
        <w:rPr>
          <w:sz w:val="24"/>
          <w:szCs w:val="24"/>
        </w:rPr>
        <w:t xml:space="preserve"> ir vis dar kainuoja</w:t>
      </w:r>
      <w:r w:rsidR="000D4E95">
        <w:rPr>
          <w:sz w:val="24"/>
          <w:szCs w:val="24"/>
        </w:rPr>
        <w:t>: nepaisant to, kad šalies rizikos priedas yra sumažėjęs</w:t>
      </w:r>
      <w:r w:rsidR="007E314B">
        <w:rPr>
          <w:sz w:val="24"/>
          <w:szCs w:val="24"/>
        </w:rPr>
        <w:t xml:space="preserve"> lyginant su kriziniu laikotarpiu</w:t>
      </w:r>
      <w:r w:rsidR="00B06D37">
        <w:rPr>
          <w:sz w:val="24"/>
          <w:szCs w:val="24"/>
        </w:rPr>
        <w:t>, tačiau skolos aptar</w:t>
      </w:r>
      <w:r w:rsidR="000D4E95">
        <w:rPr>
          <w:sz w:val="24"/>
          <w:szCs w:val="24"/>
        </w:rPr>
        <w:t xml:space="preserve">navimo išlaidos kasmet didėja. </w:t>
      </w:r>
      <w:r w:rsidR="00D0610D">
        <w:rPr>
          <w:sz w:val="24"/>
          <w:szCs w:val="24"/>
        </w:rPr>
        <w:t xml:space="preserve">Tai galėtų būti įvardijama kaip pagrindinė ir didžiausia Lietuvos valstybės skolos valdymo problema. </w:t>
      </w:r>
      <w:r w:rsidR="00D0610D">
        <w:rPr>
          <w:rStyle w:val="apple-converted-space"/>
          <w:rFonts w:ascii="Georgia" w:hAnsi="Georgia"/>
          <w:color w:val="333333"/>
          <w:shd w:val="clear" w:color="auto" w:fill="FFFFFF"/>
        </w:rPr>
        <w:t> </w:t>
      </w:r>
      <w:r w:rsidR="00F90A04">
        <w:rPr>
          <w:sz w:val="24"/>
          <w:szCs w:val="24"/>
          <w:shd w:val="clear" w:color="auto" w:fill="FFFFFF"/>
        </w:rPr>
        <w:t>Didėjant skolos tvarkymo išlaidom</w:t>
      </w:r>
      <w:r w:rsidR="00D0610D" w:rsidRPr="003A2E3B">
        <w:rPr>
          <w:sz w:val="24"/>
          <w:szCs w:val="24"/>
          <w:shd w:val="clear" w:color="auto" w:fill="FFFFFF"/>
        </w:rPr>
        <w:t xml:space="preserve">s, tarp kurių pagrindinę </w:t>
      </w:r>
      <w:r w:rsidR="00D0610D" w:rsidRPr="003A2E3B">
        <w:rPr>
          <w:sz w:val="24"/>
          <w:szCs w:val="24"/>
          <w:shd w:val="clear" w:color="auto" w:fill="FFFFFF"/>
        </w:rPr>
        <w:lastRenderedPageBreak/>
        <w:t>d</w:t>
      </w:r>
      <w:r w:rsidR="00F90A04">
        <w:rPr>
          <w:sz w:val="24"/>
          <w:szCs w:val="24"/>
          <w:shd w:val="clear" w:color="auto" w:fill="FFFFFF"/>
        </w:rPr>
        <w:t xml:space="preserve">alį sudaro palūkanų mokėjimai, </w:t>
      </w:r>
      <w:r w:rsidR="00D0610D" w:rsidRPr="003A2E3B">
        <w:rPr>
          <w:sz w:val="24"/>
          <w:szCs w:val="24"/>
          <w:shd w:val="clear" w:color="auto" w:fill="FFFFFF"/>
        </w:rPr>
        <w:t>sa</w:t>
      </w:r>
      <w:r w:rsidR="00F90A04">
        <w:rPr>
          <w:sz w:val="24"/>
          <w:szCs w:val="24"/>
          <w:shd w:val="clear" w:color="auto" w:fill="FFFFFF"/>
        </w:rPr>
        <w:t xml:space="preserve">vaime didėja biudžeto išlaidos, </w:t>
      </w:r>
      <w:r w:rsidR="00D0610D" w:rsidRPr="003A2E3B">
        <w:rPr>
          <w:sz w:val="24"/>
          <w:szCs w:val="24"/>
          <w:shd w:val="clear" w:color="auto" w:fill="FFFFFF"/>
        </w:rPr>
        <w:t>o jei nesikeičia biudžeto pajamų lygis</w:t>
      </w:r>
      <w:r w:rsidR="007629FE">
        <w:rPr>
          <w:sz w:val="24"/>
          <w:szCs w:val="24"/>
          <w:shd w:val="clear" w:color="auto" w:fill="FFFFFF"/>
        </w:rPr>
        <w:t>,</w:t>
      </w:r>
      <w:r w:rsidR="00D0610D" w:rsidRPr="003A2E3B">
        <w:rPr>
          <w:sz w:val="24"/>
          <w:szCs w:val="24"/>
          <w:shd w:val="clear" w:color="auto" w:fill="FFFFFF"/>
        </w:rPr>
        <w:t xml:space="preserve"> didėja deficitas. Didėjant deficitui</w:t>
      </w:r>
      <w:r w:rsidR="00EA29F1">
        <w:rPr>
          <w:sz w:val="24"/>
          <w:szCs w:val="24"/>
          <w:shd w:val="clear" w:color="auto" w:fill="FFFFFF"/>
        </w:rPr>
        <w:t>,</w:t>
      </w:r>
      <w:r w:rsidR="00D0610D" w:rsidRPr="003A2E3B">
        <w:rPr>
          <w:sz w:val="24"/>
          <w:szCs w:val="24"/>
          <w:shd w:val="clear" w:color="auto" w:fill="FFFFFF"/>
        </w:rPr>
        <w:t xml:space="preserve"> auga ir skolinimosi poreikis</w:t>
      </w:r>
      <w:r w:rsidR="00D0610D">
        <w:rPr>
          <w:rFonts w:ascii="Georgia" w:hAnsi="Georgia"/>
          <w:color w:val="333333"/>
          <w:shd w:val="clear" w:color="auto" w:fill="FFFFFF"/>
        </w:rPr>
        <w:t xml:space="preserve">. </w:t>
      </w:r>
    </w:p>
    <w:p w:rsidR="0013727B" w:rsidRDefault="00D0610D" w:rsidP="0013727B">
      <w:pPr>
        <w:spacing w:line="360" w:lineRule="auto"/>
        <w:contextualSpacing/>
        <w:rPr>
          <w:sz w:val="24"/>
          <w:szCs w:val="24"/>
        </w:rPr>
      </w:pPr>
      <w:r>
        <w:rPr>
          <w:sz w:val="24"/>
          <w:szCs w:val="24"/>
        </w:rPr>
        <w:t xml:space="preserve">Šitoks Lietuvos priimtas sprendimas, autorės nuomone, vertinamas neigiamai. Nors </w:t>
      </w:r>
      <w:r w:rsidR="000511E2">
        <w:rPr>
          <w:sz w:val="24"/>
          <w:szCs w:val="24"/>
        </w:rPr>
        <w:t xml:space="preserve">ir </w:t>
      </w:r>
      <w:r>
        <w:rPr>
          <w:sz w:val="24"/>
          <w:szCs w:val="24"/>
        </w:rPr>
        <w:t>buvo teigiama</w:t>
      </w:r>
      <w:r w:rsidR="000511E2">
        <w:rPr>
          <w:sz w:val="24"/>
          <w:szCs w:val="24"/>
        </w:rPr>
        <w:t>,</w:t>
      </w:r>
      <w:r>
        <w:rPr>
          <w:sz w:val="24"/>
          <w:szCs w:val="24"/>
        </w:rPr>
        <w:t xml:space="preserve"> kad suteikdamas paskolą TVF kels labai di</w:t>
      </w:r>
      <w:r w:rsidR="006C70D8">
        <w:rPr>
          <w:sz w:val="24"/>
          <w:szCs w:val="24"/>
        </w:rPr>
        <w:t>delius reikalavimus, reikalaus griežtos taupymo politikos, tačiau Lietuva net ir nesikre</w:t>
      </w:r>
      <w:r w:rsidR="000511E2">
        <w:rPr>
          <w:sz w:val="24"/>
          <w:szCs w:val="24"/>
        </w:rPr>
        <w:t>i</w:t>
      </w:r>
      <w:r w:rsidR="006C70D8">
        <w:rPr>
          <w:sz w:val="24"/>
          <w:szCs w:val="24"/>
        </w:rPr>
        <w:t xml:space="preserve">pusi į fondą pagalbos </w:t>
      </w:r>
      <w:r>
        <w:rPr>
          <w:sz w:val="24"/>
          <w:szCs w:val="24"/>
        </w:rPr>
        <w:t xml:space="preserve">2009 – 2010 </w:t>
      </w:r>
      <w:r w:rsidR="006C70D8">
        <w:rPr>
          <w:sz w:val="24"/>
          <w:szCs w:val="24"/>
        </w:rPr>
        <w:t xml:space="preserve">m. </w:t>
      </w:r>
      <w:r>
        <w:rPr>
          <w:sz w:val="24"/>
          <w:szCs w:val="24"/>
        </w:rPr>
        <w:t xml:space="preserve">vistiek smarkiai mažino </w:t>
      </w:r>
      <w:r w:rsidR="00EA29F1">
        <w:rPr>
          <w:sz w:val="24"/>
          <w:szCs w:val="24"/>
        </w:rPr>
        <w:t xml:space="preserve">valstybės </w:t>
      </w:r>
      <w:r>
        <w:rPr>
          <w:sz w:val="24"/>
          <w:szCs w:val="24"/>
        </w:rPr>
        <w:t>išlaidas bei didino mokesčius.</w:t>
      </w:r>
      <w:r w:rsidR="00EE1B88">
        <w:rPr>
          <w:sz w:val="24"/>
          <w:szCs w:val="24"/>
        </w:rPr>
        <w:t xml:space="preserve"> </w:t>
      </w:r>
      <w:r w:rsidR="000511E2">
        <w:rPr>
          <w:sz w:val="24"/>
          <w:szCs w:val="24"/>
        </w:rPr>
        <w:t>Be to, Latvijos atveju, būtų galima manyti, kad griežti TVF re</w:t>
      </w:r>
      <w:r w:rsidR="00F90A04">
        <w:rPr>
          <w:sz w:val="24"/>
          <w:szCs w:val="24"/>
        </w:rPr>
        <w:t>ikalavimai turėjo įtakos sėkmin</w:t>
      </w:r>
      <w:r w:rsidR="000511E2">
        <w:rPr>
          <w:sz w:val="24"/>
          <w:szCs w:val="24"/>
        </w:rPr>
        <w:t xml:space="preserve">gai Latvijos vykdomai biudžeto konsolidavimo politikai. </w:t>
      </w:r>
      <w:r w:rsidR="0056665C">
        <w:rPr>
          <w:sz w:val="24"/>
          <w:szCs w:val="24"/>
        </w:rPr>
        <w:t>V</w:t>
      </w:r>
      <w:r w:rsidR="00EE1B88">
        <w:rPr>
          <w:sz w:val="24"/>
          <w:szCs w:val="24"/>
        </w:rPr>
        <w:t xml:space="preserve">aldžios argumentas, kad šalis labai susilpnins savo įvaizdį tarptautinėse rinkose, </w:t>
      </w:r>
      <w:r w:rsidR="0056665C">
        <w:rPr>
          <w:sz w:val="24"/>
          <w:szCs w:val="24"/>
        </w:rPr>
        <w:t>taip pat</w:t>
      </w:r>
      <w:r w:rsidR="00EE1B88">
        <w:rPr>
          <w:sz w:val="24"/>
          <w:szCs w:val="24"/>
        </w:rPr>
        <w:t xml:space="preserve"> nebuvo visiškai teisingas. Latvijos įvaizdis finansų rinkose šiuo metu nėra prastesnis negu Lietuvos. Tą įrodo, jog 2012 m. nepaisant neramumų finansų rinkose, Latvija parodė savo nepriklausomumą išleisdama dvi obligacijų emisijas JAV doleriais ( 1 mlrd. JAV dolerių ir 1,225 mlrd. JAV dolerių). Antroji emisija buvo </w:t>
      </w:r>
      <w:r w:rsidR="006D4267">
        <w:rPr>
          <w:sz w:val="24"/>
          <w:szCs w:val="24"/>
        </w:rPr>
        <w:t>išplatinta už žemiausią palūkanų</w:t>
      </w:r>
      <w:r w:rsidR="00EE1B88">
        <w:rPr>
          <w:sz w:val="24"/>
          <w:szCs w:val="24"/>
        </w:rPr>
        <w:t xml:space="preserve"> normą ( 2,75 proc.) per visą Latvijos dalyvavimo tarptautinėse finansų rinkose laikotarpį.</w:t>
      </w:r>
    </w:p>
    <w:p w:rsidR="00D81442" w:rsidRPr="003A2E3B" w:rsidRDefault="00B06D37" w:rsidP="0013727B">
      <w:pPr>
        <w:spacing w:line="360" w:lineRule="auto"/>
        <w:contextualSpacing/>
        <w:rPr>
          <w:sz w:val="24"/>
          <w:szCs w:val="24"/>
        </w:rPr>
      </w:pPr>
      <w:r>
        <w:rPr>
          <w:sz w:val="24"/>
          <w:szCs w:val="24"/>
        </w:rPr>
        <w:t>Taigi, akivaizdu, jog griežta fiskalinė politika yra pagrindinė priemo</w:t>
      </w:r>
      <w:r w:rsidR="0013727B">
        <w:rPr>
          <w:sz w:val="24"/>
          <w:szCs w:val="24"/>
        </w:rPr>
        <w:t>nė</w:t>
      </w:r>
      <w:r>
        <w:rPr>
          <w:sz w:val="24"/>
          <w:szCs w:val="24"/>
        </w:rPr>
        <w:t xml:space="preserve"> valstybės skolos </w:t>
      </w:r>
      <w:r w:rsidR="0013727B">
        <w:rPr>
          <w:sz w:val="24"/>
          <w:szCs w:val="24"/>
        </w:rPr>
        <w:t xml:space="preserve">augimo </w:t>
      </w:r>
      <w:r>
        <w:rPr>
          <w:sz w:val="24"/>
          <w:szCs w:val="24"/>
        </w:rPr>
        <w:t>valdymui.</w:t>
      </w:r>
      <w:r w:rsidR="00B91CE3">
        <w:rPr>
          <w:sz w:val="24"/>
          <w:szCs w:val="24"/>
        </w:rPr>
        <w:t xml:space="preserve"> Estija yra puikus to pavyzdys</w:t>
      </w:r>
      <w:r w:rsidR="003A2E3B">
        <w:rPr>
          <w:sz w:val="24"/>
          <w:szCs w:val="24"/>
        </w:rPr>
        <w:t>, žemas</w:t>
      </w:r>
      <w:r w:rsidR="0013727B">
        <w:rPr>
          <w:sz w:val="24"/>
          <w:szCs w:val="24"/>
        </w:rPr>
        <w:t xml:space="preserve"> šios šalies</w:t>
      </w:r>
      <w:r w:rsidR="000514A5">
        <w:rPr>
          <w:sz w:val="24"/>
          <w:szCs w:val="24"/>
        </w:rPr>
        <w:t xml:space="preserve"> valstybės skolos lygis yra būtent protingo ir pagrįsto šalies viešųjų finansų tvarkymo rezultata</w:t>
      </w:r>
      <w:r w:rsidR="003A2E3B">
        <w:rPr>
          <w:sz w:val="24"/>
          <w:szCs w:val="24"/>
        </w:rPr>
        <w:t>s.</w:t>
      </w:r>
      <w:r w:rsidR="0013727B">
        <w:rPr>
          <w:sz w:val="24"/>
          <w:szCs w:val="24"/>
        </w:rPr>
        <w:t xml:space="preserve"> Valstybių nustatomi skolinimosi limitai gali būti vertinami tik kaip tam tikros gairės, kurių šalys </w:t>
      </w:r>
      <w:r w:rsidR="006D4267">
        <w:rPr>
          <w:sz w:val="24"/>
          <w:szCs w:val="24"/>
        </w:rPr>
        <w:t>besiskolinamos</w:t>
      </w:r>
      <w:r w:rsidR="0013727B">
        <w:rPr>
          <w:sz w:val="24"/>
          <w:szCs w:val="24"/>
        </w:rPr>
        <w:t xml:space="preserve"> turėtų laikytis tam, kad mažintų </w:t>
      </w:r>
      <w:r w:rsidR="00F90A04">
        <w:rPr>
          <w:sz w:val="24"/>
          <w:szCs w:val="24"/>
        </w:rPr>
        <w:t xml:space="preserve">valstybės skolos portfelio </w:t>
      </w:r>
      <w:r w:rsidR="0013727B">
        <w:rPr>
          <w:sz w:val="24"/>
          <w:szCs w:val="24"/>
        </w:rPr>
        <w:t>riziką, tačiau tai nėra efektyvios skolos valdymo priemonės.</w:t>
      </w:r>
    </w:p>
    <w:p w:rsidR="00D81442" w:rsidRDefault="00D81442" w:rsidP="001639E7">
      <w:pPr>
        <w:tabs>
          <w:tab w:val="left" w:pos="3585"/>
        </w:tabs>
        <w:ind w:firstLine="0"/>
        <w:rPr>
          <w:sz w:val="22"/>
          <w:szCs w:val="22"/>
        </w:rPr>
      </w:pPr>
    </w:p>
    <w:p w:rsidR="001619F7" w:rsidRPr="001639E7" w:rsidRDefault="006D7F08" w:rsidP="00B06D37">
      <w:pPr>
        <w:pStyle w:val="Heading2"/>
        <w:ind w:firstLine="0"/>
        <w:rPr>
          <w:rFonts w:ascii="Times New Roman" w:hAnsi="Times New Roman" w:cs="Times New Roman"/>
          <w:color w:val="auto"/>
          <w:sz w:val="24"/>
          <w:szCs w:val="24"/>
        </w:rPr>
      </w:pPr>
      <w:bookmarkStart w:id="215" w:name="_Toc373086714"/>
      <w:bookmarkStart w:id="216" w:name="_Toc373086913"/>
      <w:bookmarkStart w:id="217" w:name="_Toc373275089"/>
      <w:bookmarkStart w:id="218" w:name="_Toc373421077"/>
      <w:bookmarkStart w:id="219" w:name="_Toc373448108"/>
      <w:bookmarkStart w:id="220" w:name="_Toc374228648"/>
      <w:bookmarkStart w:id="221" w:name="_Toc374229055"/>
      <w:bookmarkStart w:id="222" w:name="_Toc374229166"/>
      <w:bookmarkStart w:id="223" w:name="_Toc374229472"/>
      <w:r>
        <w:rPr>
          <w:rFonts w:ascii="Times New Roman" w:hAnsi="Times New Roman" w:cs="Times New Roman"/>
          <w:color w:val="auto"/>
          <w:sz w:val="24"/>
          <w:szCs w:val="24"/>
        </w:rPr>
        <w:t>3.6.</w:t>
      </w:r>
      <w:r w:rsidR="000543E3" w:rsidRPr="001639E7">
        <w:rPr>
          <w:rFonts w:ascii="Times New Roman" w:hAnsi="Times New Roman" w:cs="Times New Roman"/>
          <w:color w:val="auto"/>
          <w:sz w:val="24"/>
          <w:szCs w:val="24"/>
        </w:rPr>
        <w:t xml:space="preserve">Baltijos šalių valstybės skolos </w:t>
      </w:r>
      <w:r w:rsidR="00150BD1">
        <w:rPr>
          <w:rFonts w:ascii="Times New Roman" w:hAnsi="Times New Roman" w:cs="Times New Roman"/>
          <w:color w:val="auto"/>
          <w:sz w:val="24"/>
          <w:szCs w:val="24"/>
        </w:rPr>
        <w:t>perspektyvų vertinimas</w:t>
      </w:r>
      <w:bookmarkEnd w:id="215"/>
      <w:bookmarkEnd w:id="216"/>
      <w:bookmarkEnd w:id="217"/>
      <w:bookmarkEnd w:id="218"/>
      <w:bookmarkEnd w:id="219"/>
      <w:bookmarkEnd w:id="220"/>
      <w:bookmarkEnd w:id="221"/>
      <w:bookmarkEnd w:id="222"/>
      <w:bookmarkEnd w:id="223"/>
    </w:p>
    <w:p w:rsidR="003541B7" w:rsidRPr="000543E3" w:rsidRDefault="003541B7" w:rsidP="003541B7">
      <w:pPr>
        <w:tabs>
          <w:tab w:val="left" w:pos="3585"/>
        </w:tabs>
        <w:rPr>
          <w:b/>
          <w:sz w:val="22"/>
          <w:szCs w:val="22"/>
        </w:rPr>
      </w:pPr>
    </w:p>
    <w:p w:rsidR="00E606E1" w:rsidRDefault="00E606E1" w:rsidP="00E606E1">
      <w:pPr>
        <w:tabs>
          <w:tab w:val="left" w:pos="3585"/>
        </w:tabs>
        <w:ind w:firstLine="0"/>
        <w:rPr>
          <w:sz w:val="24"/>
          <w:szCs w:val="24"/>
        </w:rPr>
      </w:pPr>
    </w:p>
    <w:p w:rsidR="000543E3" w:rsidRDefault="000543E3" w:rsidP="000543E3">
      <w:pPr>
        <w:spacing w:line="360" w:lineRule="auto"/>
        <w:contextualSpacing/>
        <w:rPr>
          <w:sz w:val="24"/>
          <w:szCs w:val="24"/>
        </w:rPr>
      </w:pPr>
      <w:r w:rsidRPr="000543E3">
        <w:rPr>
          <w:sz w:val="24"/>
          <w:szCs w:val="24"/>
        </w:rPr>
        <w:t xml:space="preserve">Šioje darbo dalyje </w:t>
      </w:r>
      <w:r>
        <w:rPr>
          <w:sz w:val="24"/>
          <w:szCs w:val="24"/>
        </w:rPr>
        <w:t xml:space="preserve">bus </w:t>
      </w:r>
      <w:r w:rsidRPr="000543E3">
        <w:rPr>
          <w:sz w:val="24"/>
          <w:szCs w:val="24"/>
        </w:rPr>
        <w:t>tiriama</w:t>
      </w:r>
      <w:r w:rsidR="00FD2B5B">
        <w:rPr>
          <w:sz w:val="24"/>
          <w:szCs w:val="24"/>
        </w:rPr>
        <w:t>s</w:t>
      </w:r>
      <w:r w:rsidRPr="000543E3">
        <w:rPr>
          <w:sz w:val="24"/>
          <w:szCs w:val="24"/>
        </w:rPr>
        <w:t xml:space="preserve"> pasirinktų veiksnių </w:t>
      </w:r>
      <w:r w:rsidR="00FD2B5B">
        <w:rPr>
          <w:sz w:val="24"/>
          <w:szCs w:val="24"/>
        </w:rPr>
        <w:t xml:space="preserve">ryšys su valstybės skola, bei remiantis tais veiksniais </w:t>
      </w:r>
      <w:r w:rsidRPr="000543E3">
        <w:rPr>
          <w:sz w:val="24"/>
          <w:szCs w:val="24"/>
        </w:rPr>
        <w:t xml:space="preserve">atliekama </w:t>
      </w:r>
      <w:r>
        <w:rPr>
          <w:sz w:val="24"/>
          <w:szCs w:val="24"/>
        </w:rPr>
        <w:t>Baltijos šalių valstybės skolos</w:t>
      </w:r>
      <w:r w:rsidRPr="000543E3">
        <w:rPr>
          <w:sz w:val="24"/>
          <w:szCs w:val="24"/>
        </w:rPr>
        <w:t xml:space="preserve"> prognozė </w:t>
      </w:r>
      <w:r w:rsidR="00FD2B5B">
        <w:rPr>
          <w:sz w:val="24"/>
          <w:szCs w:val="24"/>
        </w:rPr>
        <w:t>2013 – 2014 metams.</w:t>
      </w:r>
    </w:p>
    <w:p w:rsidR="000543E3" w:rsidRDefault="000543E3" w:rsidP="000543E3">
      <w:pPr>
        <w:spacing w:line="360" w:lineRule="auto"/>
        <w:contextualSpacing/>
        <w:rPr>
          <w:sz w:val="24"/>
          <w:szCs w:val="24"/>
        </w:rPr>
      </w:pPr>
      <w:r>
        <w:rPr>
          <w:sz w:val="24"/>
          <w:szCs w:val="24"/>
        </w:rPr>
        <w:t xml:space="preserve">Kaip jau minėta anksčiau, tyrimui pasirinkti </w:t>
      </w:r>
      <w:r w:rsidR="00D91BE0">
        <w:rPr>
          <w:sz w:val="24"/>
          <w:szCs w:val="24"/>
        </w:rPr>
        <w:t>penki</w:t>
      </w:r>
      <w:r>
        <w:rPr>
          <w:sz w:val="24"/>
          <w:szCs w:val="24"/>
        </w:rPr>
        <w:t xml:space="preserve"> kintamieji:</w:t>
      </w:r>
    </w:p>
    <w:p w:rsidR="00182AAD" w:rsidRPr="000543E3" w:rsidRDefault="000543E3" w:rsidP="000543E3">
      <w:pPr>
        <w:pStyle w:val="ListParagraph"/>
        <w:numPr>
          <w:ilvl w:val="0"/>
          <w:numId w:val="20"/>
        </w:numPr>
        <w:tabs>
          <w:tab w:val="left" w:pos="3585"/>
        </w:tabs>
        <w:spacing w:line="360" w:lineRule="auto"/>
        <w:rPr>
          <w:sz w:val="24"/>
          <w:szCs w:val="24"/>
        </w:rPr>
      </w:pPr>
      <w:r w:rsidRPr="000543E3">
        <w:rPr>
          <w:sz w:val="24"/>
          <w:szCs w:val="24"/>
        </w:rPr>
        <w:t>Valstybės skola (mln. Eur.)</w:t>
      </w:r>
      <w:r>
        <w:rPr>
          <w:sz w:val="24"/>
          <w:szCs w:val="24"/>
        </w:rPr>
        <w:t xml:space="preserve"> - Y</w:t>
      </w:r>
    </w:p>
    <w:p w:rsidR="000543E3" w:rsidRPr="000543E3" w:rsidRDefault="000543E3" w:rsidP="000543E3">
      <w:pPr>
        <w:pStyle w:val="ListParagraph"/>
        <w:numPr>
          <w:ilvl w:val="0"/>
          <w:numId w:val="20"/>
        </w:numPr>
        <w:tabs>
          <w:tab w:val="left" w:pos="3585"/>
        </w:tabs>
        <w:spacing w:line="360" w:lineRule="auto"/>
        <w:rPr>
          <w:sz w:val="24"/>
          <w:szCs w:val="24"/>
        </w:rPr>
      </w:pPr>
      <w:r w:rsidRPr="000543E3">
        <w:rPr>
          <w:sz w:val="24"/>
          <w:szCs w:val="24"/>
        </w:rPr>
        <w:t>BVP (mln. Eur.)</w:t>
      </w:r>
      <w:r>
        <w:rPr>
          <w:sz w:val="24"/>
          <w:szCs w:val="24"/>
        </w:rPr>
        <w:t xml:space="preserve"> – X1</w:t>
      </w:r>
    </w:p>
    <w:p w:rsidR="00901A54" w:rsidRDefault="000543E3" w:rsidP="00901A54">
      <w:pPr>
        <w:pStyle w:val="ListParagraph"/>
        <w:numPr>
          <w:ilvl w:val="0"/>
          <w:numId w:val="20"/>
        </w:numPr>
        <w:tabs>
          <w:tab w:val="left" w:pos="3585"/>
        </w:tabs>
        <w:spacing w:line="360" w:lineRule="auto"/>
        <w:rPr>
          <w:sz w:val="24"/>
          <w:szCs w:val="24"/>
        </w:rPr>
      </w:pPr>
      <w:r w:rsidRPr="000543E3">
        <w:rPr>
          <w:sz w:val="24"/>
          <w:szCs w:val="24"/>
        </w:rPr>
        <w:t>Biudžeto deficitas/perteklius (mln. Eur.)</w:t>
      </w:r>
      <w:r>
        <w:rPr>
          <w:sz w:val="24"/>
          <w:szCs w:val="24"/>
        </w:rPr>
        <w:t xml:space="preserve"> – X2</w:t>
      </w:r>
    </w:p>
    <w:p w:rsidR="005E518A" w:rsidRDefault="005E518A" w:rsidP="00901A54">
      <w:pPr>
        <w:pStyle w:val="ListParagraph"/>
        <w:numPr>
          <w:ilvl w:val="0"/>
          <w:numId w:val="20"/>
        </w:numPr>
        <w:tabs>
          <w:tab w:val="left" w:pos="3585"/>
        </w:tabs>
        <w:spacing w:line="360" w:lineRule="auto"/>
        <w:rPr>
          <w:sz w:val="24"/>
          <w:szCs w:val="24"/>
        </w:rPr>
      </w:pPr>
      <w:r w:rsidRPr="00901A54">
        <w:rPr>
          <w:sz w:val="24"/>
          <w:szCs w:val="24"/>
        </w:rPr>
        <w:t>Einamosios sąs</w:t>
      </w:r>
      <w:r w:rsidR="00901A54">
        <w:rPr>
          <w:sz w:val="24"/>
          <w:szCs w:val="24"/>
        </w:rPr>
        <w:t>kaitos deficitas/pertkelius (mln. Eur.) – X3</w:t>
      </w:r>
    </w:p>
    <w:p w:rsidR="00901A54" w:rsidRPr="00901A54" w:rsidRDefault="00901A54" w:rsidP="00901A54">
      <w:pPr>
        <w:pStyle w:val="ListParagraph"/>
        <w:numPr>
          <w:ilvl w:val="0"/>
          <w:numId w:val="20"/>
        </w:numPr>
        <w:tabs>
          <w:tab w:val="left" w:pos="3585"/>
        </w:tabs>
        <w:spacing w:line="360" w:lineRule="auto"/>
        <w:rPr>
          <w:sz w:val="24"/>
          <w:szCs w:val="24"/>
        </w:rPr>
      </w:pPr>
      <w:r>
        <w:rPr>
          <w:sz w:val="24"/>
          <w:szCs w:val="24"/>
        </w:rPr>
        <w:t>Valstybės skolos valdymo išlaidos (palūkanoms) (mln. Eur.) –</w:t>
      </w:r>
      <w:r w:rsidR="005F1CAB">
        <w:rPr>
          <w:sz w:val="24"/>
          <w:szCs w:val="24"/>
        </w:rPr>
        <w:t xml:space="preserve"> X</w:t>
      </w:r>
      <w:r>
        <w:rPr>
          <w:sz w:val="24"/>
          <w:szCs w:val="24"/>
        </w:rPr>
        <w:t>4</w:t>
      </w:r>
    </w:p>
    <w:p w:rsidR="00182AAD" w:rsidRPr="00FD2B5B" w:rsidRDefault="00FD2B5B" w:rsidP="00FD2B5B">
      <w:pPr>
        <w:tabs>
          <w:tab w:val="left" w:pos="3585"/>
        </w:tabs>
        <w:spacing w:line="360" w:lineRule="auto"/>
        <w:ind w:firstLine="720"/>
        <w:contextualSpacing/>
        <w:rPr>
          <w:color w:val="FF0000"/>
          <w:sz w:val="24"/>
          <w:szCs w:val="24"/>
        </w:rPr>
      </w:pPr>
      <w:r>
        <w:rPr>
          <w:sz w:val="24"/>
          <w:szCs w:val="24"/>
        </w:rPr>
        <w:t xml:space="preserve">Kintamųjų reikšmės </w:t>
      </w:r>
      <w:r w:rsidRPr="00303ADD">
        <w:rPr>
          <w:sz w:val="24"/>
          <w:szCs w:val="24"/>
        </w:rPr>
        <w:t xml:space="preserve">pateiktos </w:t>
      </w:r>
      <w:r w:rsidR="00C55ECB">
        <w:rPr>
          <w:sz w:val="24"/>
          <w:szCs w:val="24"/>
        </w:rPr>
        <w:t>7</w:t>
      </w:r>
      <w:r w:rsidR="0023445A" w:rsidRPr="00303ADD">
        <w:rPr>
          <w:sz w:val="24"/>
          <w:szCs w:val="24"/>
        </w:rPr>
        <w:t xml:space="preserve"> </w:t>
      </w:r>
      <w:r w:rsidRPr="00303ADD">
        <w:rPr>
          <w:sz w:val="24"/>
          <w:szCs w:val="24"/>
        </w:rPr>
        <w:t>priede.</w:t>
      </w:r>
    </w:p>
    <w:p w:rsidR="00B2177D" w:rsidRDefault="00B2177D" w:rsidP="00B2177D">
      <w:pPr>
        <w:spacing w:line="360" w:lineRule="auto"/>
        <w:contextualSpacing/>
        <w:rPr>
          <w:sz w:val="24"/>
          <w:szCs w:val="24"/>
        </w:rPr>
      </w:pPr>
      <w:r w:rsidRPr="00303ADD">
        <w:rPr>
          <w:sz w:val="24"/>
          <w:szCs w:val="24"/>
        </w:rPr>
        <w:t xml:space="preserve">Pažvelgus į  </w:t>
      </w:r>
      <w:r w:rsidR="00C55ECB">
        <w:rPr>
          <w:sz w:val="24"/>
          <w:szCs w:val="24"/>
        </w:rPr>
        <w:t>8 - 10</w:t>
      </w:r>
      <w:r w:rsidR="0023445A" w:rsidRPr="00303ADD">
        <w:rPr>
          <w:sz w:val="24"/>
          <w:szCs w:val="24"/>
        </w:rPr>
        <w:t xml:space="preserve"> </w:t>
      </w:r>
      <w:r w:rsidRPr="00303ADD">
        <w:rPr>
          <w:sz w:val="24"/>
          <w:szCs w:val="24"/>
        </w:rPr>
        <w:t>pried</w:t>
      </w:r>
      <w:r w:rsidR="0023445A" w:rsidRPr="00303ADD">
        <w:rPr>
          <w:sz w:val="24"/>
          <w:szCs w:val="24"/>
        </w:rPr>
        <w:t>uose (1</w:t>
      </w:r>
      <w:r w:rsidR="00175D82" w:rsidRPr="00303ADD">
        <w:rPr>
          <w:sz w:val="24"/>
          <w:szCs w:val="24"/>
        </w:rPr>
        <w:t xml:space="preserve"> </w:t>
      </w:r>
      <w:r w:rsidR="00D57FE3">
        <w:rPr>
          <w:sz w:val="24"/>
          <w:szCs w:val="24"/>
        </w:rPr>
        <w:t>–</w:t>
      </w:r>
      <w:r w:rsidR="00175D82" w:rsidRPr="00303ADD">
        <w:rPr>
          <w:sz w:val="24"/>
          <w:szCs w:val="24"/>
        </w:rPr>
        <w:t xml:space="preserve"> </w:t>
      </w:r>
      <w:r w:rsidR="00D91BE0">
        <w:rPr>
          <w:sz w:val="24"/>
          <w:szCs w:val="24"/>
        </w:rPr>
        <w:t>5</w:t>
      </w:r>
      <w:r w:rsidR="00D57FE3">
        <w:rPr>
          <w:sz w:val="24"/>
          <w:szCs w:val="24"/>
        </w:rPr>
        <w:t xml:space="preserve"> paveiksluose</w:t>
      </w:r>
      <w:r w:rsidR="0023445A" w:rsidRPr="00303ADD">
        <w:rPr>
          <w:sz w:val="24"/>
          <w:szCs w:val="24"/>
        </w:rPr>
        <w:t>)</w:t>
      </w:r>
      <w:r w:rsidRPr="00303ADD">
        <w:rPr>
          <w:sz w:val="24"/>
          <w:szCs w:val="24"/>
        </w:rPr>
        <w:t xml:space="preserve"> pateiktas</w:t>
      </w:r>
      <w:r w:rsidRPr="00B2177D">
        <w:rPr>
          <w:sz w:val="24"/>
          <w:szCs w:val="24"/>
        </w:rPr>
        <w:t xml:space="preserve"> kintamųjų histogramas, matyti, jog visi kintamieji atitinka normaliojo skirstinio histogramos formą. Hipotezė apie duomenų normalumą patikslinama naudojantis JB </w:t>
      </w:r>
      <w:r w:rsidRPr="00303ADD">
        <w:rPr>
          <w:sz w:val="24"/>
          <w:szCs w:val="24"/>
        </w:rPr>
        <w:t xml:space="preserve">kriterijumi. </w:t>
      </w:r>
      <w:r w:rsidR="00C55ECB">
        <w:rPr>
          <w:sz w:val="24"/>
          <w:szCs w:val="24"/>
        </w:rPr>
        <w:t>8 - 10</w:t>
      </w:r>
      <w:r w:rsidR="00175D82" w:rsidRPr="00303ADD">
        <w:rPr>
          <w:sz w:val="24"/>
          <w:szCs w:val="24"/>
        </w:rPr>
        <w:t xml:space="preserve"> </w:t>
      </w:r>
      <w:r w:rsidRPr="00303ADD">
        <w:rPr>
          <w:sz w:val="24"/>
          <w:szCs w:val="24"/>
        </w:rPr>
        <w:t>pried</w:t>
      </w:r>
      <w:r w:rsidR="00175D82" w:rsidRPr="00303ADD">
        <w:rPr>
          <w:sz w:val="24"/>
          <w:szCs w:val="24"/>
        </w:rPr>
        <w:t>uose (</w:t>
      </w:r>
      <w:r w:rsidR="00C55ECB">
        <w:rPr>
          <w:sz w:val="24"/>
          <w:szCs w:val="24"/>
        </w:rPr>
        <w:t>1 - 5</w:t>
      </w:r>
      <w:r w:rsidR="002D103A" w:rsidRPr="00303ADD">
        <w:rPr>
          <w:sz w:val="24"/>
          <w:szCs w:val="24"/>
        </w:rPr>
        <w:t xml:space="preserve"> pav</w:t>
      </w:r>
      <w:r w:rsidR="00175D82" w:rsidRPr="00303ADD">
        <w:rPr>
          <w:sz w:val="24"/>
          <w:szCs w:val="24"/>
        </w:rPr>
        <w:t>.)</w:t>
      </w:r>
      <w:r w:rsidRPr="00303ADD">
        <w:rPr>
          <w:sz w:val="24"/>
          <w:szCs w:val="24"/>
        </w:rPr>
        <w:t xml:space="preserve"> matyti, jog kitoje eilutėje po JB </w:t>
      </w:r>
      <w:r w:rsidRPr="00303ADD">
        <w:rPr>
          <w:sz w:val="24"/>
          <w:szCs w:val="24"/>
        </w:rPr>
        <w:lastRenderedPageBreak/>
        <w:t>kriterijaus, visų kintamųjų nurodytos tikimybės viršija 0,05, vadinasi</w:t>
      </w:r>
      <w:r w:rsidRPr="00B2177D">
        <w:rPr>
          <w:sz w:val="24"/>
          <w:szCs w:val="24"/>
        </w:rPr>
        <w:t xml:space="preserve"> </w:t>
      </w:r>
      <w:r>
        <w:rPr>
          <w:sz w:val="24"/>
          <w:szCs w:val="24"/>
        </w:rPr>
        <w:t>visi kintamieji tenkina normalumo sąlygą.</w:t>
      </w:r>
    </w:p>
    <w:p w:rsidR="005666E1" w:rsidRDefault="00FF36B3" w:rsidP="005666E1">
      <w:pPr>
        <w:spacing w:line="360" w:lineRule="auto"/>
        <w:contextualSpacing/>
        <w:rPr>
          <w:sz w:val="24"/>
          <w:szCs w:val="24"/>
        </w:rPr>
      </w:pPr>
      <w:r w:rsidRPr="00FF36B3">
        <w:rPr>
          <w:sz w:val="24"/>
          <w:szCs w:val="24"/>
        </w:rPr>
        <w:t xml:space="preserve">Toliau </w:t>
      </w:r>
      <w:r w:rsidR="00326EAA">
        <w:rPr>
          <w:sz w:val="24"/>
          <w:szCs w:val="24"/>
        </w:rPr>
        <w:t>programa Eviews 8</w:t>
      </w:r>
      <w:r w:rsidRPr="00FF36B3">
        <w:rPr>
          <w:sz w:val="24"/>
          <w:szCs w:val="24"/>
        </w:rPr>
        <w:t xml:space="preserve"> buvo apskaičiuoti kintamųjų</w:t>
      </w:r>
      <w:r>
        <w:rPr>
          <w:sz w:val="24"/>
          <w:szCs w:val="24"/>
        </w:rPr>
        <w:t xml:space="preserve"> koreliacijos koeficientai. Jie pateikti </w:t>
      </w:r>
      <w:r w:rsidR="005B47AA">
        <w:rPr>
          <w:sz w:val="24"/>
          <w:szCs w:val="24"/>
        </w:rPr>
        <w:t>6 - 8</w:t>
      </w:r>
      <w:r w:rsidR="002D103A">
        <w:rPr>
          <w:sz w:val="24"/>
          <w:szCs w:val="24"/>
        </w:rPr>
        <w:t xml:space="preserve"> </w:t>
      </w:r>
      <w:r w:rsidR="00B577D1">
        <w:rPr>
          <w:sz w:val="24"/>
          <w:szCs w:val="24"/>
        </w:rPr>
        <w:t>lentelės.</w:t>
      </w:r>
    </w:p>
    <w:p w:rsidR="00FF36B3" w:rsidRDefault="005B47AA" w:rsidP="001E568C">
      <w:pPr>
        <w:spacing w:line="360" w:lineRule="auto"/>
        <w:ind w:firstLine="0"/>
        <w:contextualSpacing/>
        <w:jc w:val="center"/>
        <w:rPr>
          <w:sz w:val="24"/>
          <w:szCs w:val="24"/>
        </w:rPr>
      </w:pPr>
      <w:bookmarkStart w:id="224" w:name="_Toc374229056"/>
      <w:bookmarkStart w:id="225" w:name="_Toc374229167"/>
      <w:bookmarkStart w:id="226" w:name="_Toc374229473"/>
      <w:r>
        <w:rPr>
          <w:sz w:val="24"/>
          <w:szCs w:val="24"/>
        </w:rPr>
        <w:t>6</w:t>
      </w:r>
      <w:r w:rsidR="0023445A" w:rsidRPr="00055C95">
        <w:rPr>
          <w:sz w:val="24"/>
          <w:szCs w:val="24"/>
        </w:rPr>
        <w:t xml:space="preserve"> l</w:t>
      </w:r>
      <w:r w:rsidR="00FF36B3" w:rsidRPr="00055C95">
        <w:rPr>
          <w:sz w:val="24"/>
          <w:szCs w:val="24"/>
        </w:rPr>
        <w:t>entelė. Lietuvos koreliacinė analizė</w:t>
      </w:r>
      <w:bookmarkEnd w:id="224"/>
      <w:bookmarkEnd w:id="225"/>
      <w:bookmarkEnd w:id="226"/>
    </w:p>
    <w:tbl>
      <w:tblPr>
        <w:tblW w:w="5760" w:type="dxa"/>
        <w:jc w:val="center"/>
        <w:tblInd w:w="93" w:type="dxa"/>
        <w:tblLook w:val="04A0"/>
      </w:tblPr>
      <w:tblGrid>
        <w:gridCol w:w="960"/>
        <w:gridCol w:w="960"/>
        <w:gridCol w:w="960"/>
        <w:gridCol w:w="960"/>
        <w:gridCol w:w="960"/>
        <w:gridCol w:w="960"/>
      </w:tblGrid>
      <w:tr w:rsidR="00901A54" w:rsidRPr="00901A54" w:rsidTr="00901A54">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1A54" w:rsidRPr="001E568C" w:rsidRDefault="00901A54" w:rsidP="00901A54">
            <w:pPr>
              <w:widowControl/>
              <w:ind w:firstLine="0"/>
              <w:jc w:val="left"/>
              <w:rPr>
                <w:color w:val="000000"/>
                <w:sz w:val="22"/>
                <w:szCs w:val="22"/>
                <w:lang w:val="en-US"/>
              </w:rPr>
            </w:pPr>
            <w:r w:rsidRPr="001E568C">
              <w:rPr>
                <w:color w:val="000000"/>
                <w:sz w:val="22"/>
                <w:szCs w:val="22"/>
                <w:lang w:val="en-US"/>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01A54" w:rsidRPr="001E568C" w:rsidRDefault="00901A54" w:rsidP="00901A54">
            <w:pPr>
              <w:widowControl/>
              <w:ind w:firstLine="0"/>
              <w:jc w:val="left"/>
              <w:rPr>
                <w:color w:val="000000"/>
                <w:sz w:val="22"/>
                <w:szCs w:val="22"/>
                <w:lang w:val="en-US"/>
              </w:rPr>
            </w:pPr>
            <w:r w:rsidRPr="001E568C">
              <w:rPr>
                <w:color w:val="000000"/>
                <w:sz w:val="22"/>
                <w:szCs w:val="22"/>
                <w:lang w:val="en-US"/>
              </w:rPr>
              <w:t>Y</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01A54" w:rsidRPr="001E568C" w:rsidRDefault="00901A54" w:rsidP="00901A54">
            <w:pPr>
              <w:widowControl/>
              <w:ind w:firstLine="0"/>
              <w:jc w:val="left"/>
              <w:rPr>
                <w:color w:val="000000"/>
                <w:sz w:val="22"/>
                <w:szCs w:val="22"/>
                <w:lang w:val="en-US"/>
              </w:rPr>
            </w:pPr>
            <w:r w:rsidRPr="001E568C">
              <w:rPr>
                <w:color w:val="000000"/>
                <w:sz w:val="22"/>
                <w:szCs w:val="22"/>
                <w:lang w:val="en-US"/>
              </w:rPr>
              <w:t>X1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01A54" w:rsidRPr="001E568C" w:rsidRDefault="00901A54" w:rsidP="00901A54">
            <w:pPr>
              <w:widowControl/>
              <w:ind w:firstLine="0"/>
              <w:jc w:val="left"/>
              <w:rPr>
                <w:color w:val="000000"/>
                <w:sz w:val="22"/>
                <w:szCs w:val="22"/>
                <w:lang w:val="en-US"/>
              </w:rPr>
            </w:pPr>
            <w:r w:rsidRPr="001E568C">
              <w:rPr>
                <w:color w:val="000000"/>
                <w:sz w:val="22"/>
                <w:szCs w:val="22"/>
                <w:lang w:val="en-US"/>
              </w:rPr>
              <w:t>X2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01A54" w:rsidRPr="001E568C" w:rsidRDefault="00901A54" w:rsidP="00901A54">
            <w:pPr>
              <w:widowControl/>
              <w:ind w:firstLine="0"/>
              <w:jc w:val="left"/>
              <w:rPr>
                <w:color w:val="000000"/>
                <w:sz w:val="22"/>
                <w:szCs w:val="22"/>
                <w:lang w:val="en-US"/>
              </w:rPr>
            </w:pPr>
            <w:r w:rsidRPr="001E568C">
              <w:rPr>
                <w:color w:val="000000"/>
                <w:sz w:val="22"/>
                <w:szCs w:val="22"/>
                <w:lang w:val="en-US"/>
              </w:rPr>
              <w:t>X3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01A54" w:rsidRPr="001E568C" w:rsidRDefault="00901A54" w:rsidP="00901A54">
            <w:pPr>
              <w:widowControl/>
              <w:ind w:firstLine="0"/>
              <w:jc w:val="left"/>
              <w:rPr>
                <w:color w:val="000000"/>
                <w:sz w:val="22"/>
                <w:szCs w:val="22"/>
                <w:lang w:val="en-US"/>
              </w:rPr>
            </w:pPr>
            <w:r w:rsidRPr="001E568C">
              <w:rPr>
                <w:color w:val="000000"/>
                <w:sz w:val="22"/>
                <w:szCs w:val="22"/>
                <w:lang w:val="en-US"/>
              </w:rPr>
              <w:t>X4</w:t>
            </w:r>
          </w:p>
        </w:tc>
      </w:tr>
      <w:tr w:rsidR="00901A54" w:rsidRPr="00901A54" w:rsidTr="00901A5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01A54" w:rsidRPr="001E568C" w:rsidRDefault="00901A54" w:rsidP="00901A54">
            <w:pPr>
              <w:widowControl/>
              <w:ind w:firstLine="0"/>
              <w:jc w:val="left"/>
              <w:rPr>
                <w:color w:val="000000"/>
                <w:sz w:val="22"/>
                <w:szCs w:val="22"/>
                <w:lang w:val="en-US"/>
              </w:rPr>
            </w:pPr>
            <w:r w:rsidRPr="001E568C">
              <w:rPr>
                <w:color w:val="000000"/>
                <w:sz w:val="22"/>
                <w:szCs w:val="22"/>
                <w:lang w:val="en-US"/>
              </w:rPr>
              <w:t>Y</w:t>
            </w:r>
          </w:p>
        </w:tc>
        <w:tc>
          <w:tcPr>
            <w:tcW w:w="960" w:type="dxa"/>
            <w:tcBorders>
              <w:top w:val="nil"/>
              <w:left w:val="nil"/>
              <w:bottom w:val="single" w:sz="4" w:space="0" w:color="auto"/>
              <w:right w:val="single" w:sz="4" w:space="0" w:color="auto"/>
            </w:tcBorders>
            <w:shd w:val="clear" w:color="auto" w:fill="auto"/>
            <w:noWrap/>
            <w:vAlign w:val="bottom"/>
            <w:hideMark/>
          </w:tcPr>
          <w:p w:rsidR="00901A54" w:rsidRPr="001E568C" w:rsidRDefault="00901A54" w:rsidP="00901A54">
            <w:pPr>
              <w:widowControl/>
              <w:ind w:firstLine="0"/>
              <w:jc w:val="right"/>
              <w:rPr>
                <w:color w:val="000000"/>
                <w:sz w:val="22"/>
                <w:szCs w:val="22"/>
                <w:lang w:val="en-US"/>
              </w:rPr>
            </w:pPr>
            <w:r w:rsidRPr="001E568C">
              <w:rPr>
                <w:color w:val="000000"/>
                <w:sz w:val="22"/>
                <w:szCs w:val="22"/>
                <w:lang w:val="en-US"/>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901A54" w:rsidRPr="001E568C" w:rsidRDefault="00901A54" w:rsidP="00901A54">
            <w:pPr>
              <w:widowControl/>
              <w:ind w:firstLine="0"/>
              <w:jc w:val="right"/>
              <w:rPr>
                <w:color w:val="000000"/>
                <w:sz w:val="22"/>
                <w:szCs w:val="22"/>
                <w:lang w:val="en-US"/>
              </w:rPr>
            </w:pPr>
            <w:r w:rsidRPr="001E568C">
              <w:rPr>
                <w:color w:val="000000"/>
                <w:sz w:val="22"/>
                <w:szCs w:val="22"/>
                <w:lang w:val="en-US"/>
              </w:rPr>
              <w:t>0,7543</w:t>
            </w:r>
          </w:p>
        </w:tc>
        <w:tc>
          <w:tcPr>
            <w:tcW w:w="960" w:type="dxa"/>
            <w:tcBorders>
              <w:top w:val="nil"/>
              <w:left w:val="nil"/>
              <w:bottom w:val="single" w:sz="4" w:space="0" w:color="auto"/>
              <w:right w:val="single" w:sz="4" w:space="0" w:color="auto"/>
            </w:tcBorders>
            <w:shd w:val="clear" w:color="auto" w:fill="auto"/>
            <w:noWrap/>
            <w:vAlign w:val="bottom"/>
            <w:hideMark/>
          </w:tcPr>
          <w:p w:rsidR="00901A54" w:rsidRPr="001E568C" w:rsidRDefault="00901A54" w:rsidP="00901A54">
            <w:pPr>
              <w:widowControl/>
              <w:ind w:firstLine="0"/>
              <w:jc w:val="right"/>
              <w:rPr>
                <w:color w:val="000000"/>
                <w:sz w:val="22"/>
                <w:szCs w:val="22"/>
                <w:lang w:val="en-US"/>
              </w:rPr>
            </w:pPr>
            <w:r w:rsidRPr="001E568C">
              <w:rPr>
                <w:color w:val="000000"/>
                <w:sz w:val="22"/>
                <w:szCs w:val="22"/>
                <w:lang w:val="en-US"/>
              </w:rPr>
              <w:t>-0,7154</w:t>
            </w:r>
          </w:p>
        </w:tc>
        <w:tc>
          <w:tcPr>
            <w:tcW w:w="960" w:type="dxa"/>
            <w:tcBorders>
              <w:top w:val="nil"/>
              <w:left w:val="nil"/>
              <w:bottom w:val="single" w:sz="4" w:space="0" w:color="auto"/>
              <w:right w:val="single" w:sz="4" w:space="0" w:color="auto"/>
            </w:tcBorders>
            <w:shd w:val="clear" w:color="auto" w:fill="auto"/>
            <w:noWrap/>
            <w:vAlign w:val="bottom"/>
            <w:hideMark/>
          </w:tcPr>
          <w:p w:rsidR="00901A54" w:rsidRPr="001E568C" w:rsidRDefault="00901A54" w:rsidP="00901A54">
            <w:pPr>
              <w:widowControl/>
              <w:ind w:firstLine="0"/>
              <w:jc w:val="right"/>
              <w:rPr>
                <w:color w:val="000000"/>
                <w:sz w:val="22"/>
                <w:szCs w:val="22"/>
                <w:lang w:val="en-US"/>
              </w:rPr>
            </w:pPr>
            <w:r w:rsidRPr="001E568C">
              <w:rPr>
                <w:color w:val="000000"/>
                <w:sz w:val="22"/>
                <w:szCs w:val="22"/>
                <w:lang w:val="en-US"/>
              </w:rPr>
              <w:t>0,3977</w:t>
            </w:r>
          </w:p>
        </w:tc>
        <w:tc>
          <w:tcPr>
            <w:tcW w:w="960" w:type="dxa"/>
            <w:tcBorders>
              <w:top w:val="nil"/>
              <w:left w:val="nil"/>
              <w:bottom w:val="single" w:sz="4" w:space="0" w:color="auto"/>
              <w:right w:val="single" w:sz="4" w:space="0" w:color="auto"/>
            </w:tcBorders>
            <w:shd w:val="clear" w:color="auto" w:fill="auto"/>
            <w:noWrap/>
            <w:vAlign w:val="bottom"/>
            <w:hideMark/>
          </w:tcPr>
          <w:p w:rsidR="00901A54" w:rsidRPr="001E568C" w:rsidRDefault="00901A54" w:rsidP="00901A54">
            <w:pPr>
              <w:widowControl/>
              <w:ind w:firstLine="0"/>
              <w:jc w:val="right"/>
              <w:rPr>
                <w:color w:val="000000"/>
                <w:sz w:val="22"/>
                <w:szCs w:val="22"/>
                <w:lang w:val="en-US"/>
              </w:rPr>
            </w:pPr>
            <w:r w:rsidRPr="001E568C">
              <w:rPr>
                <w:color w:val="000000"/>
                <w:sz w:val="22"/>
                <w:szCs w:val="22"/>
                <w:lang w:val="en-US"/>
              </w:rPr>
              <w:t>0,9793</w:t>
            </w:r>
          </w:p>
        </w:tc>
      </w:tr>
      <w:tr w:rsidR="00901A54" w:rsidRPr="00901A54" w:rsidTr="00901A5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01A54" w:rsidRPr="001E568C" w:rsidRDefault="00901A54" w:rsidP="00901A54">
            <w:pPr>
              <w:widowControl/>
              <w:ind w:firstLine="0"/>
              <w:jc w:val="left"/>
              <w:rPr>
                <w:color w:val="000000"/>
                <w:sz w:val="22"/>
                <w:szCs w:val="22"/>
                <w:lang w:val="en-US"/>
              </w:rPr>
            </w:pPr>
            <w:r w:rsidRPr="001E568C">
              <w:rPr>
                <w:color w:val="000000"/>
                <w:sz w:val="22"/>
                <w:szCs w:val="22"/>
                <w:lang w:val="en-US"/>
              </w:rPr>
              <w:t>X1</w:t>
            </w:r>
          </w:p>
        </w:tc>
        <w:tc>
          <w:tcPr>
            <w:tcW w:w="960" w:type="dxa"/>
            <w:tcBorders>
              <w:top w:val="nil"/>
              <w:left w:val="nil"/>
              <w:bottom w:val="single" w:sz="4" w:space="0" w:color="auto"/>
              <w:right w:val="single" w:sz="4" w:space="0" w:color="auto"/>
            </w:tcBorders>
            <w:shd w:val="clear" w:color="auto" w:fill="auto"/>
            <w:noWrap/>
            <w:vAlign w:val="bottom"/>
            <w:hideMark/>
          </w:tcPr>
          <w:p w:rsidR="00901A54" w:rsidRPr="001E568C" w:rsidRDefault="00901A54" w:rsidP="00901A54">
            <w:pPr>
              <w:widowControl/>
              <w:ind w:firstLine="0"/>
              <w:jc w:val="right"/>
              <w:rPr>
                <w:color w:val="000000"/>
                <w:sz w:val="22"/>
                <w:szCs w:val="22"/>
                <w:lang w:val="en-US"/>
              </w:rPr>
            </w:pPr>
            <w:r w:rsidRPr="001E568C">
              <w:rPr>
                <w:color w:val="000000"/>
                <w:sz w:val="22"/>
                <w:szCs w:val="22"/>
                <w:lang w:val="en-US"/>
              </w:rPr>
              <w:t>0,7543</w:t>
            </w:r>
          </w:p>
        </w:tc>
        <w:tc>
          <w:tcPr>
            <w:tcW w:w="960" w:type="dxa"/>
            <w:tcBorders>
              <w:top w:val="nil"/>
              <w:left w:val="nil"/>
              <w:bottom w:val="single" w:sz="4" w:space="0" w:color="auto"/>
              <w:right w:val="single" w:sz="4" w:space="0" w:color="auto"/>
            </w:tcBorders>
            <w:shd w:val="clear" w:color="auto" w:fill="auto"/>
            <w:noWrap/>
            <w:vAlign w:val="bottom"/>
            <w:hideMark/>
          </w:tcPr>
          <w:p w:rsidR="00901A54" w:rsidRPr="001E568C" w:rsidRDefault="00901A54" w:rsidP="00901A54">
            <w:pPr>
              <w:widowControl/>
              <w:ind w:firstLine="0"/>
              <w:jc w:val="right"/>
              <w:rPr>
                <w:color w:val="000000"/>
                <w:sz w:val="22"/>
                <w:szCs w:val="22"/>
                <w:lang w:val="en-US"/>
              </w:rPr>
            </w:pPr>
            <w:r w:rsidRPr="001E568C">
              <w:rPr>
                <w:color w:val="000000"/>
                <w:sz w:val="22"/>
                <w:szCs w:val="22"/>
                <w:lang w:val="en-US"/>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901A54" w:rsidRPr="001E568C" w:rsidRDefault="00901A54" w:rsidP="00901A54">
            <w:pPr>
              <w:widowControl/>
              <w:ind w:firstLine="0"/>
              <w:jc w:val="right"/>
              <w:rPr>
                <w:color w:val="000000"/>
                <w:sz w:val="22"/>
                <w:szCs w:val="22"/>
                <w:lang w:val="en-US"/>
              </w:rPr>
            </w:pPr>
            <w:r w:rsidRPr="001E568C">
              <w:rPr>
                <w:color w:val="000000"/>
                <w:sz w:val="22"/>
                <w:szCs w:val="22"/>
                <w:lang w:val="en-US"/>
              </w:rPr>
              <w:t>-0,5591</w:t>
            </w:r>
          </w:p>
        </w:tc>
        <w:tc>
          <w:tcPr>
            <w:tcW w:w="960" w:type="dxa"/>
            <w:tcBorders>
              <w:top w:val="nil"/>
              <w:left w:val="nil"/>
              <w:bottom w:val="single" w:sz="4" w:space="0" w:color="auto"/>
              <w:right w:val="single" w:sz="4" w:space="0" w:color="auto"/>
            </w:tcBorders>
            <w:shd w:val="clear" w:color="auto" w:fill="auto"/>
            <w:noWrap/>
            <w:vAlign w:val="bottom"/>
            <w:hideMark/>
          </w:tcPr>
          <w:p w:rsidR="00901A54" w:rsidRPr="001E568C" w:rsidRDefault="00901A54" w:rsidP="00901A54">
            <w:pPr>
              <w:widowControl/>
              <w:ind w:firstLine="0"/>
              <w:jc w:val="right"/>
              <w:rPr>
                <w:color w:val="000000"/>
                <w:sz w:val="22"/>
                <w:szCs w:val="22"/>
                <w:lang w:val="en-US"/>
              </w:rPr>
            </w:pPr>
            <w:r w:rsidRPr="001E568C">
              <w:rPr>
                <w:color w:val="000000"/>
                <w:sz w:val="22"/>
                <w:szCs w:val="22"/>
                <w:lang w:val="en-US"/>
              </w:rPr>
              <w:t>-0,2648</w:t>
            </w:r>
          </w:p>
        </w:tc>
        <w:tc>
          <w:tcPr>
            <w:tcW w:w="960" w:type="dxa"/>
            <w:tcBorders>
              <w:top w:val="nil"/>
              <w:left w:val="nil"/>
              <w:bottom w:val="single" w:sz="4" w:space="0" w:color="auto"/>
              <w:right w:val="single" w:sz="4" w:space="0" w:color="auto"/>
            </w:tcBorders>
            <w:shd w:val="clear" w:color="auto" w:fill="auto"/>
            <w:noWrap/>
            <w:vAlign w:val="bottom"/>
            <w:hideMark/>
          </w:tcPr>
          <w:p w:rsidR="00901A54" w:rsidRPr="001E568C" w:rsidRDefault="00901A54" w:rsidP="00901A54">
            <w:pPr>
              <w:widowControl/>
              <w:ind w:firstLine="0"/>
              <w:jc w:val="right"/>
              <w:rPr>
                <w:color w:val="000000"/>
                <w:sz w:val="22"/>
                <w:szCs w:val="22"/>
                <w:lang w:val="en-US"/>
              </w:rPr>
            </w:pPr>
            <w:r w:rsidRPr="001E568C">
              <w:rPr>
                <w:color w:val="000000"/>
                <w:sz w:val="22"/>
                <w:szCs w:val="22"/>
                <w:lang w:val="en-US"/>
              </w:rPr>
              <w:t>0,6287</w:t>
            </w:r>
          </w:p>
        </w:tc>
      </w:tr>
      <w:tr w:rsidR="00901A54" w:rsidRPr="00901A54" w:rsidTr="00901A5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01A54" w:rsidRPr="001E568C" w:rsidRDefault="00901A54" w:rsidP="00901A54">
            <w:pPr>
              <w:widowControl/>
              <w:ind w:firstLine="0"/>
              <w:jc w:val="left"/>
              <w:rPr>
                <w:color w:val="000000"/>
                <w:sz w:val="22"/>
                <w:szCs w:val="22"/>
                <w:lang w:val="en-US"/>
              </w:rPr>
            </w:pPr>
            <w:r w:rsidRPr="001E568C">
              <w:rPr>
                <w:color w:val="000000"/>
                <w:sz w:val="22"/>
                <w:szCs w:val="22"/>
                <w:lang w:val="en-US"/>
              </w:rPr>
              <w:t>X2</w:t>
            </w:r>
          </w:p>
        </w:tc>
        <w:tc>
          <w:tcPr>
            <w:tcW w:w="960" w:type="dxa"/>
            <w:tcBorders>
              <w:top w:val="nil"/>
              <w:left w:val="nil"/>
              <w:bottom w:val="single" w:sz="4" w:space="0" w:color="auto"/>
              <w:right w:val="single" w:sz="4" w:space="0" w:color="auto"/>
            </w:tcBorders>
            <w:shd w:val="clear" w:color="auto" w:fill="auto"/>
            <w:noWrap/>
            <w:vAlign w:val="bottom"/>
            <w:hideMark/>
          </w:tcPr>
          <w:p w:rsidR="00901A54" w:rsidRPr="001E568C" w:rsidRDefault="00901A54" w:rsidP="00901A54">
            <w:pPr>
              <w:widowControl/>
              <w:ind w:firstLine="0"/>
              <w:jc w:val="right"/>
              <w:rPr>
                <w:color w:val="000000"/>
                <w:sz w:val="22"/>
                <w:szCs w:val="22"/>
                <w:lang w:val="en-US"/>
              </w:rPr>
            </w:pPr>
            <w:r w:rsidRPr="001E568C">
              <w:rPr>
                <w:color w:val="000000"/>
                <w:sz w:val="22"/>
                <w:szCs w:val="22"/>
                <w:lang w:val="en-US"/>
              </w:rPr>
              <w:t>-0,7154</w:t>
            </w:r>
          </w:p>
        </w:tc>
        <w:tc>
          <w:tcPr>
            <w:tcW w:w="960" w:type="dxa"/>
            <w:tcBorders>
              <w:top w:val="nil"/>
              <w:left w:val="nil"/>
              <w:bottom w:val="single" w:sz="4" w:space="0" w:color="auto"/>
              <w:right w:val="single" w:sz="4" w:space="0" w:color="auto"/>
            </w:tcBorders>
            <w:shd w:val="clear" w:color="auto" w:fill="auto"/>
            <w:noWrap/>
            <w:vAlign w:val="bottom"/>
            <w:hideMark/>
          </w:tcPr>
          <w:p w:rsidR="00901A54" w:rsidRPr="001E568C" w:rsidRDefault="00901A54" w:rsidP="00901A54">
            <w:pPr>
              <w:widowControl/>
              <w:ind w:firstLine="0"/>
              <w:jc w:val="right"/>
              <w:rPr>
                <w:color w:val="000000"/>
                <w:sz w:val="22"/>
                <w:szCs w:val="22"/>
                <w:lang w:val="en-US"/>
              </w:rPr>
            </w:pPr>
            <w:r w:rsidRPr="001E568C">
              <w:rPr>
                <w:color w:val="000000"/>
                <w:sz w:val="22"/>
                <w:szCs w:val="22"/>
                <w:lang w:val="en-US"/>
              </w:rPr>
              <w:t>-0,5591</w:t>
            </w:r>
          </w:p>
        </w:tc>
        <w:tc>
          <w:tcPr>
            <w:tcW w:w="960" w:type="dxa"/>
            <w:tcBorders>
              <w:top w:val="nil"/>
              <w:left w:val="nil"/>
              <w:bottom w:val="single" w:sz="4" w:space="0" w:color="auto"/>
              <w:right w:val="single" w:sz="4" w:space="0" w:color="auto"/>
            </w:tcBorders>
            <w:shd w:val="clear" w:color="auto" w:fill="auto"/>
            <w:noWrap/>
            <w:vAlign w:val="bottom"/>
            <w:hideMark/>
          </w:tcPr>
          <w:p w:rsidR="00901A54" w:rsidRPr="001E568C" w:rsidRDefault="00901A54" w:rsidP="00901A54">
            <w:pPr>
              <w:widowControl/>
              <w:ind w:firstLine="0"/>
              <w:jc w:val="right"/>
              <w:rPr>
                <w:color w:val="000000"/>
                <w:sz w:val="22"/>
                <w:szCs w:val="22"/>
                <w:lang w:val="en-US"/>
              </w:rPr>
            </w:pPr>
            <w:r w:rsidRPr="001E568C">
              <w:rPr>
                <w:color w:val="000000"/>
                <w:sz w:val="22"/>
                <w:szCs w:val="22"/>
                <w:lang w:val="en-US"/>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901A54" w:rsidRPr="001E568C" w:rsidRDefault="00901A54" w:rsidP="00901A54">
            <w:pPr>
              <w:widowControl/>
              <w:ind w:firstLine="0"/>
              <w:jc w:val="right"/>
              <w:rPr>
                <w:color w:val="000000"/>
                <w:sz w:val="22"/>
                <w:szCs w:val="22"/>
                <w:lang w:val="en-US"/>
              </w:rPr>
            </w:pPr>
            <w:r w:rsidRPr="001E568C">
              <w:rPr>
                <w:color w:val="000000"/>
                <w:sz w:val="22"/>
                <w:szCs w:val="22"/>
                <w:lang w:val="en-US"/>
              </w:rPr>
              <w:t>-0,3240</w:t>
            </w:r>
          </w:p>
        </w:tc>
        <w:tc>
          <w:tcPr>
            <w:tcW w:w="960" w:type="dxa"/>
            <w:tcBorders>
              <w:top w:val="nil"/>
              <w:left w:val="nil"/>
              <w:bottom w:val="single" w:sz="4" w:space="0" w:color="auto"/>
              <w:right w:val="single" w:sz="4" w:space="0" w:color="auto"/>
            </w:tcBorders>
            <w:shd w:val="clear" w:color="auto" w:fill="auto"/>
            <w:noWrap/>
            <w:vAlign w:val="bottom"/>
            <w:hideMark/>
          </w:tcPr>
          <w:p w:rsidR="00901A54" w:rsidRPr="001E568C" w:rsidRDefault="00901A54" w:rsidP="00901A54">
            <w:pPr>
              <w:widowControl/>
              <w:ind w:firstLine="0"/>
              <w:jc w:val="right"/>
              <w:rPr>
                <w:color w:val="000000"/>
                <w:sz w:val="22"/>
                <w:szCs w:val="22"/>
                <w:lang w:val="en-US"/>
              </w:rPr>
            </w:pPr>
            <w:r w:rsidRPr="001E568C">
              <w:rPr>
                <w:color w:val="000000"/>
                <w:sz w:val="22"/>
                <w:szCs w:val="22"/>
                <w:lang w:val="en-US"/>
              </w:rPr>
              <w:t>-0,7004</w:t>
            </w:r>
          </w:p>
        </w:tc>
      </w:tr>
      <w:tr w:rsidR="00901A54" w:rsidRPr="00901A54" w:rsidTr="00901A5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01A54" w:rsidRPr="001E568C" w:rsidRDefault="00901A54" w:rsidP="00901A54">
            <w:pPr>
              <w:widowControl/>
              <w:ind w:firstLine="0"/>
              <w:jc w:val="left"/>
              <w:rPr>
                <w:color w:val="000000"/>
                <w:sz w:val="22"/>
                <w:szCs w:val="22"/>
                <w:lang w:val="en-US"/>
              </w:rPr>
            </w:pPr>
            <w:r w:rsidRPr="001E568C">
              <w:rPr>
                <w:color w:val="000000"/>
                <w:sz w:val="22"/>
                <w:szCs w:val="22"/>
                <w:lang w:val="en-US"/>
              </w:rPr>
              <w:t>X3</w:t>
            </w:r>
          </w:p>
        </w:tc>
        <w:tc>
          <w:tcPr>
            <w:tcW w:w="960" w:type="dxa"/>
            <w:tcBorders>
              <w:top w:val="nil"/>
              <w:left w:val="nil"/>
              <w:bottom w:val="single" w:sz="4" w:space="0" w:color="auto"/>
              <w:right w:val="single" w:sz="4" w:space="0" w:color="auto"/>
            </w:tcBorders>
            <w:shd w:val="clear" w:color="auto" w:fill="auto"/>
            <w:noWrap/>
            <w:vAlign w:val="bottom"/>
            <w:hideMark/>
          </w:tcPr>
          <w:p w:rsidR="00901A54" w:rsidRPr="001E568C" w:rsidRDefault="00901A54" w:rsidP="00901A54">
            <w:pPr>
              <w:widowControl/>
              <w:ind w:firstLine="0"/>
              <w:jc w:val="right"/>
              <w:rPr>
                <w:color w:val="000000"/>
                <w:sz w:val="22"/>
                <w:szCs w:val="22"/>
                <w:lang w:val="en-US"/>
              </w:rPr>
            </w:pPr>
            <w:r w:rsidRPr="001E568C">
              <w:rPr>
                <w:color w:val="000000"/>
                <w:sz w:val="22"/>
                <w:szCs w:val="22"/>
                <w:lang w:val="en-US"/>
              </w:rPr>
              <w:t>0,3977</w:t>
            </w:r>
          </w:p>
        </w:tc>
        <w:tc>
          <w:tcPr>
            <w:tcW w:w="960" w:type="dxa"/>
            <w:tcBorders>
              <w:top w:val="nil"/>
              <w:left w:val="nil"/>
              <w:bottom w:val="single" w:sz="4" w:space="0" w:color="auto"/>
              <w:right w:val="single" w:sz="4" w:space="0" w:color="auto"/>
            </w:tcBorders>
            <w:shd w:val="clear" w:color="auto" w:fill="auto"/>
            <w:noWrap/>
            <w:vAlign w:val="bottom"/>
            <w:hideMark/>
          </w:tcPr>
          <w:p w:rsidR="00901A54" w:rsidRPr="001E568C" w:rsidRDefault="00901A54" w:rsidP="00901A54">
            <w:pPr>
              <w:widowControl/>
              <w:ind w:firstLine="0"/>
              <w:jc w:val="right"/>
              <w:rPr>
                <w:color w:val="000000"/>
                <w:sz w:val="22"/>
                <w:szCs w:val="22"/>
                <w:lang w:val="en-US"/>
              </w:rPr>
            </w:pPr>
            <w:r w:rsidRPr="001E568C">
              <w:rPr>
                <w:color w:val="000000"/>
                <w:sz w:val="22"/>
                <w:szCs w:val="22"/>
                <w:lang w:val="en-US"/>
              </w:rPr>
              <w:t>-0,2648</w:t>
            </w:r>
          </w:p>
        </w:tc>
        <w:tc>
          <w:tcPr>
            <w:tcW w:w="960" w:type="dxa"/>
            <w:tcBorders>
              <w:top w:val="nil"/>
              <w:left w:val="nil"/>
              <w:bottom w:val="single" w:sz="4" w:space="0" w:color="auto"/>
              <w:right w:val="single" w:sz="4" w:space="0" w:color="auto"/>
            </w:tcBorders>
            <w:shd w:val="clear" w:color="auto" w:fill="auto"/>
            <w:noWrap/>
            <w:vAlign w:val="bottom"/>
            <w:hideMark/>
          </w:tcPr>
          <w:p w:rsidR="00901A54" w:rsidRPr="001E568C" w:rsidRDefault="00901A54" w:rsidP="00901A54">
            <w:pPr>
              <w:widowControl/>
              <w:ind w:firstLine="0"/>
              <w:jc w:val="right"/>
              <w:rPr>
                <w:color w:val="000000"/>
                <w:sz w:val="22"/>
                <w:szCs w:val="22"/>
                <w:lang w:val="en-US"/>
              </w:rPr>
            </w:pPr>
            <w:r w:rsidRPr="001E568C">
              <w:rPr>
                <w:color w:val="000000"/>
                <w:sz w:val="22"/>
                <w:szCs w:val="22"/>
                <w:lang w:val="en-US"/>
              </w:rPr>
              <w:t>-0,3240</w:t>
            </w:r>
          </w:p>
        </w:tc>
        <w:tc>
          <w:tcPr>
            <w:tcW w:w="960" w:type="dxa"/>
            <w:tcBorders>
              <w:top w:val="nil"/>
              <w:left w:val="nil"/>
              <w:bottom w:val="single" w:sz="4" w:space="0" w:color="auto"/>
              <w:right w:val="single" w:sz="4" w:space="0" w:color="auto"/>
            </w:tcBorders>
            <w:shd w:val="clear" w:color="auto" w:fill="auto"/>
            <w:noWrap/>
            <w:vAlign w:val="bottom"/>
            <w:hideMark/>
          </w:tcPr>
          <w:p w:rsidR="00901A54" w:rsidRPr="001E568C" w:rsidRDefault="00901A54" w:rsidP="00901A54">
            <w:pPr>
              <w:widowControl/>
              <w:ind w:firstLine="0"/>
              <w:jc w:val="right"/>
              <w:rPr>
                <w:color w:val="000000"/>
                <w:sz w:val="22"/>
                <w:szCs w:val="22"/>
                <w:lang w:val="en-US"/>
              </w:rPr>
            </w:pPr>
            <w:r w:rsidRPr="001E568C">
              <w:rPr>
                <w:color w:val="000000"/>
                <w:sz w:val="22"/>
                <w:szCs w:val="22"/>
                <w:lang w:val="en-US"/>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901A54" w:rsidRPr="001E568C" w:rsidRDefault="00901A54" w:rsidP="00901A54">
            <w:pPr>
              <w:widowControl/>
              <w:ind w:firstLine="0"/>
              <w:jc w:val="right"/>
              <w:rPr>
                <w:color w:val="000000"/>
                <w:sz w:val="22"/>
                <w:szCs w:val="22"/>
                <w:lang w:val="en-US"/>
              </w:rPr>
            </w:pPr>
            <w:r w:rsidRPr="001E568C">
              <w:rPr>
                <w:color w:val="000000"/>
                <w:sz w:val="22"/>
                <w:szCs w:val="22"/>
                <w:lang w:val="en-US"/>
              </w:rPr>
              <w:t>0,5162</w:t>
            </w:r>
          </w:p>
        </w:tc>
      </w:tr>
      <w:tr w:rsidR="00901A54" w:rsidRPr="00901A54" w:rsidTr="00901A5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01A54" w:rsidRPr="001E568C" w:rsidRDefault="00901A54" w:rsidP="00901A54">
            <w:pPr>
              <w:widowControl/>
              <w:ind w:firstLine="0"/>
              <w:jc w:val="left"/>
              <w:rPr>
                <w:color w:val="000000"/>
                <w:sz w:val="22"/>
                <w:szCs w:val="22"/>
                <w:lang w:val="en-US"/>
              </w:rPr>
            </w:pPr>
            <w:r w:rsidRPr="001E568C">
              <w:rPr>
                <w:color w:val="000000"/>
                <w:sz w:val="22"/>
                <w:szCs w:val="22"/>
                <w:lang w:val="en-US"/>
              </w:rPr>
              <w:t>X4</w:t>
            </w:r>
          </w:p>
        </w:tc>
        <w:tc>
          <w:tcPr>
            <w:tcW w:w="960" w:type="dxa"/>
            <w:tcBorders>
              <w:top w:val="nil"/>
              <w:left w:val="nil"/>
              <w:bottom w:val="single" w:sz="4" w:space="0" w:color="auto"/>
              <w:right w:val="single" w:sz="4" w:space="0" w:color="auto"/>
            </w:tcBorders>
            <w:shd w:val="clear" w:color="auto" w:fill="auto"/>
            <w:noWrap/>
            <w:vAlign w:val="bottom"/>
            <w:hideMark/>
          </w:tcPr>
          <w:p w:rsidR="00901A54" w:rsidRPr="001E568C" w:rsidRDefault="00901A54" w:rsidP="00901A54">
            <w:pPr>
              <w:widowControl/>
              <w:ind w:firstLine="0"/>
              <w:jc w:val="right"/>
              <w:rPr>
                <w:color w:val="000000"/>
                <w:sz w:val="22"/>
                <w:szCs w:val="22"/>
                <w:lang w:val="en-US"/>
              </w:rPr>
            </w:pPr>
            <w:r w:rsidRPr="001E568C">
              <w:rPr>
                <w:color w:val="000000"/>
                <w:sz w:val="22"/>
                <w:szCs w:val="22"/>
                <w:lang w:val="en-US"/>
              </w:rPr>
              <w:t>0,9793</w:t>
            </w:r>
          </w:p>
        </w:tc>
        <w:tc>
          <w:tcPr>
            <w:tcW w:w="960" w:type="dxa"/>
            <w:tcBorders>
              <w:top w:val="nil"/>
              <w:left w:val="nil"/>
              <w:bottom w:val="single" w:sz="4" w:space="0" w:color="auto"/>
              <w:right w:val="single" w:sz="4" w:space="0" w:color="auto"/>
            </w:tcBorders>
            <w:shd w:val="clear" w:color="auto" w:fill="auto"/>
            <w:noWrap/>
            <w:vAlign w:val="bottom"/>
            <w:hideMark/>
          </w:tcPr>
          <w:p w:rsidR="00901A54" w:rsidRPr="001E568C" w:rsidRDefault="00901A54" w:rsidP="00901A54">
            <w:pPr>
              <w:widowControl/>
              <w:ind w:firstLine="0"/>
              <w:jc w:val="right"/>
              <w:rPr>
                <w:color w:val="000000"/>
                <w:sz w:val="22"/>
                <w:szCs w:val="22"/>
                <w:lang w:val="en-US"/>
              </w:rPr>
            </w:pPr>
            <w:r w:rsidRPr="001E568C">
              <w:rPr>
                <w:color w:val="000000"/>
                <w:sz w:val="22"/>
                <w:szCs w:val="22"/>
                <w:lang w:val="en-US"/>
              </w:rPr>
              <w:t>0,6287</w:t>
            </w:r>
          </w:p>
        </w:tc>
        <w:tc>
          <w:tcPr>
            <w:tcW w:w="960" w:type="dxa"/>
            <w:tcBorders>
              <w:top w:val="nil"/>
              <w:left w:val="nil"/>
              <w:bottom w:val="single" w:sz="4" w:space="0" w:color="auto"/>
              <w:right w:val="single" w:sz="4" w:space="0" w:color="auto"/>
            </w:tcBorders>
            <w:shd w:val="clear" w:color="auto" w:fill="auto"/>
            <w:noWrap/>
            <w:vAlign w:val="bottom"/>
            <w:hideMark/>
          </w:tcPr>
          <w:p w:rsidR="00901A54" w:rsidRPr="001E568C" w:rsidRDefault="00901A54" w:rsidP="00901A54">
            <w:pPr>
              <w:widowControl/>
              <w:ind w:firstLine="0"/>
              <w:jc w:val="right"/>
              <w:rPr>
                <w:color w:val="000000"/>
                <w:sz w:val="22"/>
                <w:szCs w:val="22"/>
                <w:lang w:val="en-US"/>
              </w:rPr>
            </w:pPr>
            <w:r w:rsidRPr="001E568C">
              <w:rPr>
                <w:color w:val="000000"/>
                <w:sz w:val="22"/>
                <w:szCs w:val="22"/>
                <w:lang w:val="en-US"/>
              </w:rPr>
              <w:t>-0,7004</w:t>
            </w:r>
          </w:p>
        </w:tc>
        <w:tc>
          <w:tcPr>
            <w:tcW w:w="960" w:type="dxa"/>
            <w:tcBorders>
              <w:top w:val="nil"/>
              <w:left w:val="nil"/>
              <w:bottom w:val="single" w:sz="4" w:space="0" w:color="auto"/>
              <w:right w:val="single" w:sz="4" w:space="0" w:color="auto"/>
            </w:tcBorders>
            <w:shd w:val="clear" w:color="auto" w:fill="auto"/>
            <w:noWrap/>
            <w:vAlign w:val="bottom"/>
            <w:hideMark/>
          </w:tcPr>
          <w:p w:rsidR="00901A54" w:rsidRPr="001E568C" w:rsidRDefault="00901A54" w:rsidP="00901A54">
            <w:pPr>
              <w:widowControl/>
              <w:ind w:firstLine="0"/>
              <w:jc w:val="right"/>
              <w:rPr>
                <w:color w:val="000000"/>
                <w:sz w:val="22"/>
                <w:szCs w:val="22"/>
                <w:lang w:val="en-US"/>
              </w:rPr>
            </w:pPr>
            <w:r w:rsidRPr="001E568C">
              <w:rPr>
                <w:color w:val="000000"/>
                <w:sz w:val="22"/>
                <w:szCs w:val="22"/>
                <w:lang w:val="en-US"/>
              </w:rPr>
              <w:t>0,5162</w:t>
            </w:r>
          </w:p>
        </w:tc>
        <w:tc>
          <w:tcPr>
            <w:tcW w:w="960" w:type="dxa"/>
            <w:tcBorders>
              <w:top w:val="nil"/>
              <w:left w:val="nil"/>
              <w:bottom w:val="single" w:sz="4" w:space="0" w:color="auto"/>
              <w:right w:val="single" w:sz="4" w:space="0" w:color="auto"/>
            </w:tcBorders>
            <w:shd w:val="clear" w:color="auto" w:fill="auto"/>
            <w:noWrap/>
            <w:vAlign w:val="bottom"/>
            <w:hideMark/>
          </w:tcPr>
          <w:p w:rsidR="00901A54" w:rsidRPr="001E568C" w:rsidRDefault="00901A54" w:rsidP="00901A54">
            <w:pPr>
              <w:widowControl/>
              <w:ind w:firstLine="0"/>
              <w:jc w:val="right"/>
              <w:rPr>
                <w:color w:val="000000"/>
                <w:sz w:val="22"/>
                <w:szCs w:val="22"/>
                <w:lang w:val="en-US"/>
              </w:rPr>
            </w:pPr>
            <w:r w:rsidRPr="001E568C">
              <w:rPr>
                <w:color w:val="000000"/>
                <w:sz w:val="22"/>
                <w:szCs w:val="22"/>
                <w:lang w:val="en-US"/>
              </w:rPr>
              <w:t>1,0000</w:t>
            </w:r>
          </w:p>
        </w:tc>
      </w:tr>
    </w:tbl>
    <w:p w:rsidR="004520F2" w:rsidRDefault="001C07E4" w:rsidP="004520F2">
      <w:pPr>
        <w:spacing w:line="360" w:lineRule="auto"/>
        <w:ind w:firstLine="0"/>
        <w:contextualSpacing/>
      </w:pPr>
      <w:r>
        <w:rPr>
          <w:sz w:val="24"/>
          <w:szCs w:val="24"/>
        </w:rPr>
        <w:t xml:space="preserve">                               </w:t>
      </w:r>
      <w:r w:rsidR="001267EB" w:rsidRPr="001267EB">
        <w:t xml:space="preserve">Šaltinis: </w:t>
      </w:r>
      <w:r w:rsidR="001267EB">
        <w:t>sudaryta pagal programos Eviews 8 skaičiavimus</w:t>
      </w:r>
      <w:bookmarkStart w:id="227" w:name="_Toc374229057"/>
      <w:bookmarkStart w:id="228" w:name="_Toc374229168"/>
      <w:bookmarkStart w:id="229" w:name="_Toc374229474"/>
    </w:p>
    <w:p w:rsidR="00326EAA" w:rsidRPr="005666E1" w:rsidRDefault="005B47AA" w:rsidP="001E568C">
      <w:pPr>
        <w:spacing w:line="360" w:lineRule="auto"/>
        <w:ind w:firstLine="0"/>
        <w:contextualSpacing/>
        <w:jc w:val="center"/>
      </w:pPr>
      <w:r>
        <w:rPr>
          <w:sz w:val="24"/>
          <w:szCs w:val="24"/>
        </w:rPr>
        <w:t>7</w:t>
      </w:r>
      <w:r w:rsidR="00207E1C">
        <w:rPr>
          <w:sz w:val="24"/>
          <w:szCs w:val="24"/>
        </w:rPr>
        <w:t xml:space="preserve"> </w:t>
      </w:r>
      <w:r w:rsidR="0023445A">
        <w:rPr>
          <w:sz w:val="24"/>
          <w:szCs w:val="24"/>
        </w:rPr>
        <w:t>l</w:t>
      </w:r>
      <w:r w:rsidR="008A7F73">
        <w:rPr>
          <w:sz w:val="24"/>
          <w:szCs w:val="24"/>
        </w:rPr>
        <w:t xml:space="preserve">entelė. </w:t>
      </w:r>
      <w:r w:rsidR="00132F5F">
        <w:rPr>
          <w:sz w:val="24"/>
          <w:szCs w:val="24"/>
        </w:rPr>
        <w:t>Latvijos koreliacinė analizė</w:t>
      </w:r>
      <w:bookmarkEnd w:id="227"/>
      <w:bookmarkEnd w:id="228"/>
      <w:bookmarkEnd w:id="229"/>
    </w:p>
    <w:tbl>
      <w:tblPr>
        <w:tblW w:w="5760" w:type="dxa"/>
        <w:jc w:val="center"/>
        <w:tblInd w:w="93" w:type="dxa"/>
        <w:tblLook w:val="04A0"/>
      </w:tblPr>
      <w:tblGrid>
        <w:gridCol w:w="960"/>
        <w:gridCol w:w="960"/>
        <w:gridCol w:w="960"/>
        <w:gridCol w:w="960"/>
        <w:gridCol w:w="960"/>
        <w:gridCol w:w="960"/>
      </w:tblGrid>
      <w:tr w:rsidR="000F384A" w:rsidRPr="000F384A" w:rsidTr="000F384A">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384A" w:rsidRPr="001E568C" w:rsidRDefault="000F384A" w:rsidP="000F384A">
            <w:pPr>
              <w:widowControl/>
              <w:ind w:firstLine="0"/>
              <w:jc w:val="left"/>
              <w:rPr>
                <w:color w:val="000000"/>
                <w:sz w:val="22"/>
                <w:szCs w:val="22"/>
                <w:lang w:val="en-US"/>
              </w:rPr>
            </w:pPr>
            <w:r w:rsidRPr="001E568C">
              <w:rPr>
                <w:color w:val="000000"/>
                <w:sz w:val="22"/>
                <w:szCs w:val="22"/>
                <w:lang w:val="en-US"/>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F384A" w:rsidRPr="001E568C" w:rsidRDefault="000F384A" w:rsidP="000F384A">
            <w:pPr>
              <w:widowControl/>
              <w:ind w:firstLine="0"/>
              <w:jc w:val="left"/>
              <w:rPr>
                <w:color w:val="000000"/>
                <w:sz w:val="22"/>
                <w:szCs w:val="22"/>
                <w:lang w:val="en-US"/>
              </w:rPr>
            </w:pPr>
            <w:r w:rsidRPr="001E568C">
              <w:rPr>
                <w:color w:val="000000"/>
                <w:sz w:val="22"/>
                <w:szCs w:val="22"/>
                <w:lang w:val="en-US"/>
              </w:rPr>
              <w:t>Y</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F384A" w:rsidRPr="001E568C" w:rsidRDefault="000F384A" w:rsidP="000F384A">
            <w:pPr>
              <w:widowControl/>
              <w:ind w:firstLine="0"/>
              <w:jc w:val="left"/>
              <w:rPr>
                <w:color w:val="000000"/>
                <w:sz w:val="22"/>
                <w:szCs w:val="22"/>
                <w:lang w:val="en-US"/>
              </w:rPr>
            </w:pPr>
            <w:r w:rsidRPr="001E568C">
              <w:rPr>
                <w:color w:val="000000"/>
                <w:sz w:val="22"/>
                <w:szCs w:val="22"/>
                <w:lang w:val="en-US"/>
              </w:rPr>
              <w:t>X1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F384A" w:rsidRPr="001E568C" w:rsidRDefault="000F384A" w:rsidP="000F384A">
            <w:pPr>
              <w:widowControl/>
              <w:ind w:firstLine="0"/>
              <w:jc w:val="left"/>
              <w:rPr>
                <w:color w:val="000000"/>
                <w:sz w:val="22"/>
                <w:szCs w:val="22"/>
                <w:lang w:val="en-US"/>
              </w:rPr>
            </w:pPr>
            <w:r w:rsidRPr="001E568C">
              <w:rPr>
                <w:color w:val="000000"/>
                <w:sz w:val="22"/>
                <w:szCs w:val="22"/>
                <w:lang w:val="en-US"/>
              </w:rPr>
              <w:t>X2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F384A" w:rsidRPr="001E568C" w:rsidRDefault="000F384A" w:rsidP="000F384A">
            <w:pPr>
              <w:widowControl/>
              <w:ind w:firstLine="0"/>
              <w:jc w:val="left"/>
              <w:rPr>
                <w:color w:val="000000"/>
                <w:sz w:val="22"/>
                <w:szCs w:val="22"/>
                <w:lang w:val="en-US"/>
              </w:rPr>
            </w:pPr>
            <w:r w:rsidRPr="001E568C">
              <w:rPr>
                <w:color w:val="000000"/>
                <w:sz w:val="22"/>
                <w:szCs w:val="22"/>
                <w:lang w:val="en-US"/>
              </w:rPr>
              <w:t>X3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F384A" w:rsidRPr="001E568C" w:rsidRDefault="000F384A" w:rsidP="000F384A">
            <w:pPr>
              <w:widowControl/>
              <w:ind w:firstLine="0"/>
              <w:jc w:val="left"/>
              <w:rPr>
                <w:color w:val="000000"/>
                <w:sz w:val="22"/>
                <w:szCs w:val="22"/>
                <w:lang w:val="en-US"/>
              </w:rPr>
            </w:pPr>
            <w:r w:rsidRPr="001E568C">
              <w:rPr>
                <w:color w:val="000000"/>
                <w:sz w:val="22"/>
                <w:szCs w:val="22"/>
                <w:lang w:val="en-US"/>
              </w:rPr>
              <w:t>X4</w:t>
            </w:r>
          </w:p>
        </w:tc>
      </w:tr>
      <w:tr w:rsidR="000F384A" w:rsidRPr="000F384A" w:rsidTr="000F384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F384A" w:rsidRPr="001E568C" w:rsidRDefault="000F384A" w:rsidP="000F384A">
            <w:pPr>
              <w:widowControl/>
              <w:ind w:firstLine="0"/>
              <w:jc w:val="left"/>
              <w:rPr>
                <w:color w:val="000000"/>
                <w:sz w:val="22"/>
                <w:szCs w:val="22"/>
                <w:lang w:val="en-US"/>
              </w:rPr>
            </w:pPr>
            <w:r w:rsidRPr="001E568C">
              <w:rPr>
                <w:color w:val="000000"/>
                <w:sz w:val="22"/>
                <w:szCs w:val="22"/>
                <w:lang w:val="en-US"/>
              </w:rPr>
              <w:t>Y</w:t>
            </w:r>
          </w:p>
        </w:tc>
        <w:tc>
          <w:tcPr>
            <w:tcW w:w="960" w:type="dxa"/>
            <w:tcBorders>
              <w:top w:val="nil"/>
              <w:left w:val="nil"/>
              <w:bottom w:val="single" w:sz="4" w:space="0" w:color="auto"/>
              <w:right w:val="single" w:sz="4" w:space="0" w:color="auto"/>
            </w:tcBorders>
            <w:shd w:val="clear" w:color="auto" w:fill="auto"/>
            <w:noWrap/>
            <w:vAlign w:val="bottom"/>
            <w:hideMark/>
          </w:tcPr>
          <w:p w:rsidR="000F384A" w:rsidRPr="001E568C" w:rsidRDefault="000F384A" w:rsidP="000F384A">
            <w:pPr>
              <w:widowControl/>
              <w:ind w:firstLine="0"/>
              <w:jc w:val="right"/>
              <w:rPr>
                <w:color w:val="000000"/>
                <w:sz w:val="22"/>
                <w:szCs w:val="22"/>
                <w:lang w:val="en-US"/>
              </w:rPr>
            </w:pPr>
            <w:r w:rsidRPr="001E568C">
              <w:rPr>
                <w:color w:val="000000"/>
                <w:sz w:val="22"/>
                <w:szCs w:val="22"/>
                <w:lang w:val="en-US"/>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0F384A" w:rsidRPr="001E568C" w:rsidRDefault="000F384A" w:rsidP="000F384A">
            <w:pPr>
              <w:widowControl/>
              <w:ind w:firstLine="0"/>
              <w:jc w:val="right"/>
              <w:rPr>
                <w:color w:val="000000"/>
                <w:sz w:val="22"/>
                <w:szCs w:val="22"/>
                <w:lang w:val="en-US"/>
              </w:rPr>
            </w:pPr>
            <w:r w:rsidRPr="001E568C">
              <w:rPr>
                <w:color w:val="000000"/>
                <w:sz w:val="22"/>
                <w:szCs w:val="22"/>
                <w:lang w:val="en-US"/>
              </w:rPr>
              <w:t>0,7301</w:t>
            </w:r>
          </w:p>
        </w:tc>
        <w:tc>
          <w:tcPr>
            <w:tcW w:w="960" w:type="dxa"/>
            <w:tcBorders>
              <w:top w:val="nil"/>
              <w:left w:val="nil"/>
              <w:bottom w:val="single" w:sz="4" w:space="0" w:color="auto"/>
              <w:right w:val="single" w:sz="4" w:space="0" w:color="auto"/>
            </w:tcBorders>
            <w:shd w:val="clear" w:color="auto" w:fill="auto"/>
            <w:noWrap/>
            <w:vAlign w:val="bottom"/>
            <w:hideMark/>
          </w:tcPr>
          <w:p w:rsidR="000F384A" w:rsidRPr="001E568C" w:rsidRDefault="000F384A" w:rsidP="000F384A">
            <w:pPr>
              <w:widowControl/>
              <w:ind w:firstLine="0"/>
              <w:jc w:val="right"/>
              <w:rPr>
                <w:color w:val="000000"/>
                <w:sz w:val="22"/>
                <w:szCs w:val="22"/>
                <w:lang w:val="en-US"/>
              </w:rPr>
            </w:pPr>
            <w:r w:rsidRPr="001E568C">
              <w:rPr>
                <w:color w:val="000000"/>
                <w:sz w:val="22"/>
                <w:szCs w:val="22"/>
                <w:lang w:val="en-US"/>
              </w:rPr>
              <w:t>-0,6721</w:t>
            </w:r>
          </w:p>
        </w:tc>
        <w:tc>
          <w:tcPr>
            <w:tcW w:w="960" w:type="dxa"/>
            <w:tcBorders>
              <w:top w:val="nil"/>
              <w:left w:val="nil"/>
              <w:bottom w:val="single" w:sz="4" w:space="0" w:color="auto"/>
              <w:right w:val="single" w:sz="4" w:space="0" w:color="auto"/>
            </w:tcBorders>
            <w:shd w:val="clear" w:color="auto" w:fill="auto"/>
            <w:noWrap/>
            <w:vAlign w:val="bottom"/>
            <w:hideMark/>
          </w:tcPr>
          <w:p w:rsidR="000F384A" w:rsidRPr="001E568C" w:rsidRDefault="000F384A" w:rsidP="000F384A">
            <w:pPr>
              <w:widowControl/>
              <w:ind w:firstLine="0"/>
              <w:jc w:val="right"/>
              <w:rPr>
                <w:color w:val="000000"/>
                <w:sz w:val="22"/>
                <w:szCs w:val="22"/>
                <w:lang w:val="en-US"/>
              </w:rPr>
            </w:pPr>
            <w:r w:rsidRPr="001E568C">
              <w:rPr>
                <w:color w:val="000000"/>
                <w:sz w:val="22"/>
                <w:szCs w:val="22"/>
                <w:lang w:val="en-US"/>
              </w:rPr>
              <w:t>0,3750</w:t>
            </w:r>
          </w:p>
        </w:tc>
        <w:tc>
          <w:tcPr>
            <w:tcW w:w="960" w:type="dxa"/>
            <w:tcBorders>
              <w:top w:val="nil"/>
              <w:left w:val="nil"/>
              <w:bottom w:val="single" w:sz="4" w:space="0" w:color="auto"/>
              <w:right w:val="single" w:sz="4" w:space="0" w:color="auto"/>
            </w:tcBorders>
            <w:shd w:val="clear" w:color="auto" w:fill="auto"/>
            <w:noWrap/>
            <w:vAlign w:val="bottom"/>
            <w:hideMark/>
          </w:tcPr>
          <w:p w:rsidR="000F384A" w:rsidRPr="001E568C" w:rsidRDefault="000F384A" w:rsidP="000F384A">
            <w:pPr>
              <w:widowControl/>
              <w:ind w:firstLine="0"/>
              <w:jc w:val="right"/>
              <w:rPr>
                <w:color w:val="000000"/>
                <w:sz w:val="22"/>
                <w:szCs w:val="22"/>
                <w:lang w:val="en-US"/>
              </w:rPr>
            </w:pPr>
            <w:r w:rsidRPr="001E568C">
              <w:rPr>
                <w:color w:val="000000"/>
                <w:sz w:val="22"/>
                <w:szCs w:val="22"/>
                <w:lang w:val="en-US"/>
              </w:rPr>
              <w:t>0,9811</w:t>
            </w:r>
          </w:p>
        </w:tc>
      </w:tr>
      <w:tr w:rsidR="000F384A" w:rsidRPr="000F384A" w:rsidTr="000F384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F384A" w:rsidRPr="001E568C" w:rsidRDefault="000F384A" w:rsidP="000F384A">
            <w:pPr>
              <w:widowControl/>
              <w:ind w:firstLine="0"/>
              <w:jc w:val="left"/>
              <w:rPr>
                <w:color w:val="000000"/>
                <w:sz w:val="22"/>
                <w:szCs w:val="22"/>
                <w:lang w:val="en-US"/>
              </w:rPr>
            </w:pPr>
            <w:r w:rsidRPr="001E568C">
              <w:rPr>
                <w:color w:val="000000"/>
                <w:sz w:val="22"/>
                <w:szCs w:val="22"/>
                <w:lang w:val="en-US"/>
              </w:rPr>
              <w:t>X1</w:t>
            </w:r>
          </w:p>
        </w:tc>
        <w:tc>
          <w:tcPr>
            <w:tcW w:w="960" w:type="dxa"/>
            <w:tcBorders>
              <w:top w:val="nil"/>
              <w:left w:val="nil"/>
              <w:bottom w:val="single" w:sz="4" w:space="0" w:color="auto"/>
              <w:right w:val="single" w:sz="4" w:space="0" w:color="auto"/>
            </w:tcBorders>
            <w:shd w:val="clear" w:color="auto" w:fill="auto"/>
            <w:noWrap/>
            <w:vAlign w:val="bottom"/>
            <w:hideMark/>
          </w:tcPr>
          <w:p w:rsidR="000F384A" w:rsidRPr="001E568C" w:rsidRDefault="000F384A" w:rsidP="000F384A">
            <w:pPr>
              <w:widowControl/>
              <w:ind w:firstLine="0"/>
              <w:jc w:val="right"/>
              <w:rPr>
                <w:color w:val="000000"/>
                <w:sz w:val="22"/>
                <w:szCs w:val="22"/>
                <w:lang w:val="en-US"/>
              </w:rPr>
            </w:pPr>
            <w:r w:rsidRPr="001E568C">
              <w:rPr>
                <w:color w:val="000000"/>
                <w:sz w:val="22"/>
                <w:szCs w:val="22"/>
                <w:lang w:val="en-US"/>
              </w:rPr>
              <w:t>0,7301</w:t>
            </w:r>
          </w:p>
        </w:tc>
        <w:tc>
          <w:tcPr>
            <w:tcW w:w="960" w:type="dxa"/>
            <w:tcBorders>
              <w:top w:val="nil"/>
              <w:left w:val="nil"/>
              <w:bottom w:val="single" w:sz="4" w:space="0" w:color="auto"/>
              <w:right w:val="single" w:sz="4" w:space="0" w:color="auto"/>
            </w:tcBorders>
            <w:shd w:val="clear" w:color="auto" w:fill="auto"/>
            <w:noWrap/>
            <w:vAlign w:val="bottom"/>
            <w:hideMark/>
          </w:tcPr>
          <w:p w:rsidR="000F384A" w:rsidRPr="001E568C" w:rsidRDefault="000F384A" w:rsidP="000F384A">
            <w:pPr>
              <w:widowControl/>
              <w:ind w:firstLine="0"/>
              <w:jc w:val="right"/>
              <w:rPr>
                <w:color w:val="000000"/>
                <w:sz w:val="22"/>
                <w:szCs w:val="22"/>
                <w:lang w:val="en-US"/>
              </w:rPr>
            </w:pPr>
            <w:r w:rsidRPr="001E568C">
              <w:rPr>
                <w:color w:val="000000"/>
                <w:sz w:val="22"/>
                <w:szCs w:val="22"/>
                <w:lang w:val="en-US"/>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0F384A" w:rsidRPr="001E568C" w:rsidRDefault="000F384A" w:rsidP="000F384A">
            <w:pPr>
              <w:widowControl/>
              <w:ind w:firstLine="0"/>
              <w:jc w:val="right"/>
              <w:rPr>
                <w:color w:val="000000"/>
                <w:sz w:val="22"/>
                <w:szCs w:val="22"/>
                <w:lang w:val="en-US"/>
              </w:rPr>
            </w:pPr>
            <w:r w:rsidRPr="001E568C">
              <w:rPr>
                <w:color w:val="000000"/>
                <w:sz w:val="22"/>
                <w:szCs w:val="22"/>
                <w:lang w:val="en-US"/>
              </w:rPr>
              <w:t>-0,4587</w:t>
            </w:r>
          </w:p>
        </w:tc>
        <w:tc>
          <w:tcPr>
            <w:tcW w:w="960" w:type="dxa"/>
            <w:tcBorders>
              <w:top w:val="nil"/>
              <w:left w:val="nil"/>
              <w:bottom w:val="single" w:sz="4" w:space="0" w:color="auto"/>
              <w:right w:val="single" w:sz="4" w:space="0" w:color="auto"/>
            </w:tcBorders>
            <w:shd w:val="clear" w:color="auto" w:fill="auto"/>
            <w:noWrap/>
            <w:vAlign w:val="bottom"/>
            <w:hideMark/>
          </w:tcPr>
          <w:p w:rsidR="000F384A" w:rsidRPr="001E568C" w:rsidRDefault="000F384A" w:rsidP="000F384A">
            <w:pPr>
              <w:widowControl/>
              <w:ind w:firstLine="0"/>
              <w:jc w:val="right"/>
              <w:rPr>
                <w:color w:val="000000"/>
                <w:sz w:val="22"/>
                <w:szCs w:val="22"/>
                <w:lang w:val="en-US"/>
              </w:rPr>
            </w:pPr>
            <w:r w:rsidRPr="001E568C">
              <w:rPr>
                <w:color w:val="000000"/>
                <w:sz w:val="22"/>
                <w:szCs w:val="22"/>
                <w:lang w:val="en-US"/>
              </w:rPr>
              <w:t>-0,3329</w:t>
            </w:r>
          </w:p>
        </w:tc>
        <w:tc>
          <w:tcPr>
            <w:tcW w:w="960" w:type="dxa"/>
            <w:tcBorders>
              <w:top w:val="nil"/>
              <w:left w:val="nil"/>
              <w:bottom w:val="single" w:sz="4" w:space="0" w:color="auto"/>
              <w:right w:val="single" w:sz="4" w:space="0" w:color="auto"/>
            </w:tcBorders>
            <w:shd w:val="clear" w:color="auto" w:fill="auto"/>
            <w:noWrap/>
            <w:vAlign w:val="bottom"/>
            <w:hideMark/>
          </w:tcPr>
          <w:p w:rsidR="000F384A" w:rsidRPr="001E568C" w:rsidRDefault="000F384A" w:rsidP="000F384A">
            <w:pPr>
              <w:widowControl/>
              <w:ind w:firstLine="0"/>
              <w:jc w:val="right"/>
              <w:rPr>
                <w:color w:val="000000"/>
                <w:sz w:val="22"/>
                <w:szCs w:val="22"/>
                <w:lang w:val="en-US"/>
              </w:rPr>
            </w:pPr>
            <w:r w:rsidRPr="001E568C">
              <w:rPr>
                <w:color w:val="000000"/>
                <w:sz w:val="22"/>
                <w:szCs w:val="22"/>
                <w:lang w:val="en-US"/>
              </w:rPr>
              <w:t>0,6516</w:t>
            </w:r>
          </w:p>
        </w:tc>
      </w:tr>
      <w:tr w:rsidR="000F384A" w:rsidRPr="000F384A" w:rsidTr="000F384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F384A" w:rsidRPr="001E568C" w:rsidRDefault="000F384A" w:rsidP="000F384A">
            <w:pPr>
              <w:widowControl/>
              <w:ind w:firstLine="0"/>
              <w:jc w:val="left"/>
              <w:rPr>
                <w:color w:val="000000"/>
                <w:sz w:val="22"/>
                <w:szCs w:val="22"/>
                <w:lang w:val="en-US"/>
              </w:rPr>
            </w:pPr>
            <w:r w:rsidRPr="001E568C">
              <w:rPr>
                <w:color w:val="000000"/>
                <w:sz w:val="22"/>
                <w:szCs w:val="22"/>
                <w:lang w:val="en-US"/>
              </w:rPr>
              <w:t>X2</w:t>
            </w:r>
          </w:p>
        </w:tc>
        <w:tc>
          <w:tcPr>
            <w:tcW w:w="960" w:type="dxa"/>
            <w:tcBorders>
              <w:top w:val="nil"/>
              <w:left w:val="nil"/>
              <w:bottom w:val="single" w:sz="4" w:space="0" w:color="auto"/>
              <w:right w:val="single" w:sz="4" w:space="0" w:color="auto"/>
            </w:tcBorders>
            <w:shd w:val="clear" w:color="auto" w:fill="auto"/>
            <w:noWrap/>
            <w:vAlign w:val="bottom"/>
            <w:hideMark/>
          </w:tcPr>
          <w:p w:rsidR="000F384A" w:rsidRPr="001E568C" w:rsidRDefault="000F384A" w:rsidP="000F384A">
            <w:pPr>
              <w:widowControl/>
              <w:ind w:firstLine="0"/>
              <w:jc w:val="right"/>
              <w:rPr>
                <w:color w:val="000000"/>
                <w:sz w:val="22"/>
                <w:szCs w:val="22"/>
                <w:lang w:val="en-US"/>
              </w:rPr>
            </w:pPr>
            <w:r w:rsidRPr="001E568C">
              <w:rPr>
                <w:color w:val="000000"/>
                <w:sz w:val="22"/>
                <w:szCs w:val="22"/>
                <w:lang w:val="en-US"/>
              </w:rPr>
              <w:t>-0,6721</w:t>
            </w:r>
          </w:p>
        </w:tc>
        <w:tc>
          <w:tcPr>
            <w:tcW w:w="960" w:type="dxa"/>
            <w:tcBorders>
              <w:top w:val="nil"/>
              <w:left w:val="nil"/>
              <w:bottom w:val="single" w:sz="4" w:space="0" w:color="auto"/>
              <w:right w:val="single" w:sz="4" w:space="0" w:color="auto"/>
            </w:tcBorders>
            <w:shd w:val="clear" w:color="auto" w:fill="auto"/>
            <w:noWrap/>
            <w:vAlign w:val="bottom"/>
            <w:hideMark/>
          </w:tcPr>
          <w:p w:rsidR="000F384A" w:rsidRPr="001E568C" w:rsidRDefault="000F384A" w:rsidP="000F384A">
            <w:pPr>
              <w:widowControl/>
              <w:ind w:firstLine="0"/>
              <w:jc w:val="right"/>
              <w:rPr>
                <w:color w:val="000000"/>
                <w:sz w:val="22"/>
                <w:szCs w:val="22"/>
                <w:lang w:val="en-US"/>
              </w:rPr>
            </w:pPr>
            <w:r w:rsidRPr="001E568C">
              <w:rPr>
                <w:color w:val="000000"/>
                <w:sz w:val="22"/>
                <w:szCs w:val="22"/>
                <w:lang w:val="en-US"/>
              </w:rPr>
              <w:t>-0,4587</w:t>
            </w:r>
          </w:p>
        </w:tc>
        <w:tc>
          <w:tcPr>
            <w:tcW w:w="960" w:type="dxa"/>
            <w:tcBorders>
              <w:top w:val="nil"/>
              <w:left w:val="nil"/>
              <w:bottom w:val="single" w:sz="4" w:space="0" w:color="auto"/>
              <w:right w:val="single" w:sz="4" w:space="0" w:color="auto"/>
            </w:tcBorders>
            <w:shd w:val="clear" w:color="auto" w:fill="auto"/>
            <w:noWrap/>
            <w:vAlign w:val="bottom"/>
            <w:hideMark/>
          </w:tcPr>
          <w:p w:rsidR="000F384A" w:rsidRPr="001E568C" w:rsidRDefault="000F384A" w:rsidP="000F384A">
            <w:pPr>
              <w:widowControl/>
              <w:ind w:firstLine="0"/>
              <w:jc w:val="right"/>
              <w:rPr>
                <w:color w:val="000000"/>
                <w:sz w:val="22"/>
                <w:szCs w:val="22"/>
                <w:lang w:val="en-US"/>
              </w:rPr>
            </w:pPr>
            <w:r w:rsidRPr="001E568C">
              <w:rPr>
                <w:color w:val="000000"/>
                <w:sz w:val="22"/>
                <w:szCs w:val="22"/>
                <w:lang w:val="en-US"/>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0F384A" w:rsidRPr="001E568C" w:rsidRDefault="000F384A" w:rsidP="000F384A">
            <w:pPr>
              <w:widowControl/>
              <w:ind w:firstLine="0"/>
              <w:jc w:val="right"/>
              <w:rPr>
                <w:color w:val="000000"/>
                <w:sz w:val="22"/>
                <w:szCs w:val="22"/>
                <w:lang w:val="en-US"/>
              </w:rPr>
            </w:pPr>
            <w:r w:rsidRPr="001E568C">
              <w:rPr>
                <w:color w:val="000000"/>
                <w:sz w:val="22"/>
                <w:szCs w:val="22"/>
                <w:lang w:val="en-US"/>
              </w:rPr>
              <w:t>-0,4060</w:t>
            </w:r>
          </w:p>
        </w:tc>
        <w:tc>
          <w:tcPr>
            <w:tcW w:w="960" w:type="dxa"/>
            <w:tcBorders>
              <w:top w:val="nil"/>
              <w:left w:val="nil"/>
              <w:bottom w:val="single" w:sz="4" w:space="0" w:color="auto"/>
              <w:right w:val="single" w:sz="4" w:space="0" w:color="auto"/>
            </w:tcBorders>
            <w:shd w:val="clear" w:color="auto" w:fill="auto"/>
            <w:noWrap/>
            <w:vAlign w:val="bottom"/>
            <w:hideMark/>
          </w:tcPr>
          <w:p w:rsidR="000F384A" w:rsidRPr="001E568C" w:rsidRDefault="000F384A" w:rsidP="000F384A">
            <w:pPr>
              <w:widowControl/>
              <w:ind w:firstLine="0"/>
              <w:jc w:val="right"/>
              <w:rPr>
                <w:color w:val="000000"/>
                <w:sz w:val="22"/>
                <w:szCs w:val="22"/>
                <w:lang w:val="en-US"/>
              </w:rPr>
            </w:pPr>
            <w:r w:rsidRPr="001E568C">
              <w:rPr>
                <w:color w:val="000000"/>
                <w:sz w:val="22"/>
                <w:szCs w:val="22"/>
                <w:lang w:val="en-US"/>
              </w:rPr>
              <w:t>-0,7052</w:t>
            </w:r>
          </w:p>
        </w:tc>
      </w:tr>
      <w:tr w:rsidR="000F384A" w:rsidRPr="000F384A" w:rsidTr="000F384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F384A" w:rsidRPr="001E568C" w:rsidRDefault="000F384A" w:rsidP="000F384A">
            <w:pPr>
              <w:widowControl/>
              <w:ind w:firstLine="0"/>
              <w:jc w:val="left"/>
              <w:rPr>
                <w:color w:val="000000"/>
                <w:sz w:val="22"/>
                <w:szCs w:val="22"/>
                <w:lang w:val="en-US"/>
              </w:rPr>
            </w:pPr>
            <w:r w:rsidRPr="001E568C">
              <w:rPr>
                <w:color w:val="000000"/>
                <w:sz w:val="22"/>
                <w:szCs w:val="22"/>
                <w:lang w:val="en-US"/>
              </w:rPr>
              <w:t>X3</w:t>
            </w:r>
          </w:p>
        </w:tc>
        <w:tc>
          <w:tcPr>
            <w:tcW w:w="960" w:type="dxa"/>
            <w:tcBorders>
              <w:top w:val="nil"/>
              <w:left w:val="nil"/>
              <w:bottom w:val="single" w:sz="4" w:space="0" w:color="auto"/>
              <w:right w:val="single" w:sz="4" w:space="0" w:color="auto"/>
            </w:tcBorders>
            <w:shd w:val="clear" w:color="auto" w:fill="auto"/>
            <w:noWrap/>
            <w:vAlign w:val="bottom"/>
            <w:hideMark/>
          </w:tcPr>
          <w:p w:rsidR="000F384A" w:rsidRPr="001E568C" w:rsidRDefault="000F384A" w:rsidP="000F384A">
            <w:pPr>
              <w:widowControl/>
              <w:ind w:firstLine="0"/>
              <w:jc w:val="right"/>
              <w:rPr>
                <w:color w:val="000000"/>
                <w:sz w:val="22"/>
                <w:szCs w:val="22"/>
                <w:lang w:val="en-US"/>
              </w:rPr>
            </w:pPr>
            <w:r w:rsidRPr="001E568C">
              <w:rPr>
                <w:color w:val="000000"/>
                <w:sz w:val="22"/>
                <w:szCs w:val="22"/>
                <w:lang w:val="en-US"/>
              </w:rPr>
              <w:t>0,3750</w:t>
            </w:r>
          </w:p>
        </w:tc>
        <w:tc>
          <w:tcPr>
            <w:tcW w:w="960" w:type="dxa"/>
            <w:tcBorders>
              <w:top w:val="nil"/>
              <w:left w:val="nil"/>
              <w:bottom w:val="single" w:sz="4" w:space="0" w:color="auto"/>
              <w:right w:val="single" w:sz="4" w:space="0" w:color="auto"/>
            </w:tcBorders>
            <w:shd w:val="clear" w:color="auto" w:fill="auto"/>
            <w:noWrap/>
            <w:vAlign w:val="bottom"/>
            <w:hideMark/>
          </w:tcPr>
          <w:p w:rsidR="000F384A" w:rsidRPr="001E568C" w:rsidRDefault="000F384A" w:rsidP="000F384A">
            <w:pPr>
              <w:widowControl/>
              <w:ind w:firstLine="0"/>
              <w:jc w:val="right"/>
              <w:rPr>
                <w:color w:val="000000"/>
                <w:sz w:val="22"/>
                <w:szCs w:val="22"/>
                <w:lang w:val="en-US"/>
              </w:rPr>
            </w:pPr>
            <w:r w:rsidRPr="001E568C">
              <w:rPr>
                <w:color w:val="000000"/>
                <w:sz w:val="22"/>
                <w:szCs w:val="22"/>
                <w:lang w:val="en-US"/>
              </w:rPr>
              <w:t>-0,3329</w:t>
            </w:r>
          </w:p>
        </w:tc>
        <w:tc>
          <w:tcPr>
            <w:tcW w:w="960" w:type="dxa"/>
            <w:tcBorders>
              <w:top w:val="nil"/>
              <w:left w:val="nil"/>
              <w:bottom w:val="single" w:sz="4" w:space="0" w:color="auto"/>
              <w:right w:val="single" w:sz="4" w:space="0" w:color="auto"/>
            </w:tcBorders>
            <w:shd w:val="clear" w:color="auto" w:fill="auto"/>
            <w:noWrap/>
            <w:vAlign w:val="bottom"/>
            <w:hideMark/>
          </w:tcPr>
          <w:p w:rsidR="000F384A" w:rsidRPr="001E568C" w:rsidRDefault="000F384A" w:rsidP="000F384A">
            <w:pPr>
              <w:widowControl/>
              <w:ind w:firstLine="0"/>
              <w:jc w:val="right"/>
              <w:rPr>
                <w:color w:val="000000"/>
                <w:sz w:val="22"/>
                <w:szCs w:val="22"/>
                <w:lang w:val="en-US"/>
              </w:rPr>
            </w:pPr>
            <w:r w:rsidRPr="001E568C">
              <w:rPr>
                <w:color w:val="000000"/>
                <w:sz w:val="22"/>
                <w:szCs w:val="22"/>
                <w:lang w:val="en-US"/>
              </w:rPr>
              <w:t>-0,4060</w:t>
            </w:r>
          </w:p>
        </w:tc>
        <w:tc>
          <w:tcPr>
            <w:tcW w:w="960" w:type="dxa"/>
            <w:tcBorders>
              <w:top w:val="nil"/>
              <w:left w:val="nil"/>
              <w:bottom w:val="single" w:sz="4" w:space="0" w:color="auto"/>
              <w:right w:val="single" w:sz="4" w:space="0" w:color="auto"/>
            </w:tcBorders>
            <w:shd w:val="clear" w:color="auto" w:fill="auto"/>
            <w:noWrap/>
            <w:vAlign w:val="bottom"/>
            <w:hideMark/>
          </w:tcPr>
          <w:p w:rsidR="000F384A" w:rsidRPr="001E568C" w:rsidRDefault="000F384A" w:rsidP="000F384A">
            <w:pPr>
              <w:widowControl/>
              <w:ind w:firstLine="0"/>
              <w:jc w:val="right"/>
              <w:rPr>
                <w:color w:val="000000"/>
                <w:sz w:val="22"/>
                <w:szCs w:val="22"/>
                <w:lang w:val="en-US"/>
              </w:rPr>
            </w:pPr>
            <w:r w:rsidRPr="001E568C">
              <w:rPr>
                <w:color w:val="000000"/>
                <w:sz w:val="22"/>
                <w:szCs w:val="22"/>
                <w:lang w:val="en-US"/>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0F384A" w:rsidRPr="001E568C" w:rsidRDefault="000F384A" w:rsidP="000F384A">
            <w:pPr>
              <w:widowControl/>
              <w:ind w:firstLine="0"/>
              <w:jc w:val="right"/>
              <w:rPr>
                <w:color w:val="000000"/>
                <w:sz w:val="22"/>
                <w:szCs w:val="22"/>
                <w:lang w:val="en-US"/>
              </w:rPr>
            </w:pPr>
            <w:r w:rsidRPr="001E568C">
              <w:rPr>
                <w:color w:val="000000"/>
                <w:sz w:val="22"/>
                <w:szCs w:val="22"/>
                <w:lang w:val="en-US"/>
              </w:rPr>
              <w:t>0,4716</w:t>
            </w:r>
          </w:p>
        </w:tc>
      </w:tr>
      <w:tr w:rsidR="000F384A" w:rsidRPr="000F384A" w:rsidTr="000F384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F384A" w:rsidRPr="001E568C" w:rsidRDefault="000F384A" w:rsidP="000F384A">
            <w:pPr>
              <w:widowControl/>
              <w:ind w:firstLine="0"/>
              <w:jc w:val="left"/>
              <w:rPr>
                <w:color w:val="000000"/>
                <w:sz w:val="22"/>
                <w:szCs w:val="22"/>
                <w:lang w:val="en-US"/>
              </w:rPr>
            </w:pPr>
            <w:r w:rsidRPr="001E568C">
              <w:rPr>
                <w:color w:val="000000"/>
                <w:sz w:val="22"/>
                <w:szCs w:val="22"/>
                <w:lang w:val="en-US"/>
              </w:rPr>
              <w:t>X4</w:t>
            </w:r>
          </w:p>
        </w:tc>
        <w:tc>
          <w:tcPr>
            <w:tcW w:w="960" w:type="dxa"/>
            <w:tcBorders>
              <w:top w:val="nil"/>
              <w:left w:val="nil"/>
              <w:bottom w:val="single" w:sz="4" w:space="0" w:color="auto"/>
              <w:right w:val="single" w:sz="4" w:space="0" w:color="auto"/>
            </w:tcBorders>
            <w:shd w:val="clear" w:color="auto" w:fill="auto"/>
            <w:noWrap/>
            <w:vAlign w:val="bottom"/>
            <w:hideMark/>
          </w:tcPr>
          <w:p w:rsidR="000F384A" w:rsidRPr="001E568C" w:rsidRDefault="000F384A" w:rsidP="000F384A">
            <w:pPr>
              <w:widowControl/>
              <w:ind w:firstLine="0"/>
              <w:jc w:val="right"/>
              <w:rPr>
                <w:color w:val="000000"/>
                <w:sz w:val="22"/>
                <w:szCs w:val="22"/>
                <w:lang w:val="en-US"/>
              </w:rPr>
            </w:pPr>
            <w:r w:rsidRPr="001E568C">
              <w:rPr>
                <w:color w:val="000000"/>
                <w:sz w:val="22"/>
                <w:szCs w:val="22"/>
                <w:lang w:val="en-US"/>
              </w:rPr>
              <w:t>0,9811</w:t>
            </w:r>
          </w:p>
        </w:tc>
        <w:tc>
          <w:tcPr>
            <w:tcW w:w="960" w:type="dxa"/>
            <w:tcBorders>
              <w:top w:val="nil"/>
              <w:left w:val="nil"/>
              <w:bottom w:val="single" w:sz="4" w:space="0" w:color="auto"/>
              <w:right w:val="single" w:sz="4" w:space="0" w:color="auto"/>
            </w:tcBorders>
            <w:shd w:val="clear" w:color="auto" w:fill="auto"/>
            <w:noWrap/>
            <w:vAlign w:val="bottom"/>
            <w:hideMark/>
          </w:tcPr>
          <w:p w:rsidR="000F384A" w:rsidRPr="001E568C" w:rsidRDefault="000F384A" w:rsidP="000F384A">
            <w:pPr>
              <w:widowControl/>
              <w:ind w:firstLine="0"/>
              <w:jc w:val="right"/>
              <w:rPr>
                <w:color w:val="000000"/>
                <w:sz w:val="22"/>
                <w:szCs w:val="22"/>
                <w:lang w:val="en-US"/>
              </w:rPr>
            </w:pPr>
            <w:r w:rsidRPr="001E568C">
              <w:rPr>
                <w:color w:val="000000"/>
                <w:sz w:val="22"/>
                <w:szCs w:val="22"/>
                <w:lang w:val="en-US"/>
              </w:rPr>
              <w:t>0,6516</w:t>
            </w:r>
          </w:p>
        </w:tc>
        <w:tc>
          <w:tcPr>
            <w:tcW w:w="960" w:type="dxa"/>
            <w:tcBorders>
              <w:top w:val="nil"/>
              <w:left w:val="nil"/>
              <w:bottom w:val="single" w:sz="4" w:space="0" w:color="auto"/>
              <w:right w:val="single" w:sz="4" w:space="0" w:color="auto"/>
            </w:tcBorders>
            <w:shd w:val="clear" w:color="auto" w:fill="auto"/>
            <w:noWrap/>
            <w:vAlign w:val="bottom"/>
            <w:hideMark/>
          </w:tcPr>
          <w:p w:rsidR="000F384A" w:rsidRPr="001E568C" w:rsidRDefault="000F384A" w:rsidP="000F384A">
            <w:pPr>
              <w:widowControl/>
              <w:ind w:firstLine="0"/>
              <w:jc w:val="right"/>
              <w:rPr>
                <w:color w:val="000000"/>
                <w:sz w:val="22"/>
                <w:szCs w:val="22"/>
                <w:lang w:val="en-US"/>
              </w:rPr>
            </w:pPr>
            <w:r w:rsidRPr="001E568C">
              <w:rPr>
                <w:color w:val="000000"/>
                <w:sz w:val="22"/>
                <w:szCs w:val="22"/>
                <w:lang w:val="en-US"/>
              </w:rPr>
              <w:t>-0,7052</w:t>
            </w:r>
          </w:p>
        </w:tc>
        <w:tc>
          <w:tcPr>
            <w:tcW w:w="960" w:type="dxa"/>
            <w:tcBorders>
              <w:top w:val="nil"/>
              <w:left w:val="nil"/>
              <w:bottom w:val="single" w:sz="4" w:space="0" w:color="auto"/>
              <w:right w:val="single" w:sz="4" w:space="0" w:color="auto"/>
            </w:tcBorders>
            <w:shd w:val="clear" w:color="auto" w:fill="auto"/>
            <w:noWrap/>
            <w:vAlign w:val="bottom"/>
            <w:hideMark/>
          </w:tcPr>
          <w:p w:rsidR="000F384A" w:rsidRPr="001E568C" w:rsidRDefault="000F384A" w:rsidP="000F384A">
            <w:pPr>
              <w:widowControl/>
              <w:ind w:firstLine="0"/>
              <w:jc w:val="right"/>
              <w:rPr>
                <w:color w:val="000000"/>
                <w:sz w:val="22"/>
                <w:szCs w:val="22"/>
                <w:lang w:val="en-US"/>
              </w:rPr>
            </w:pPr>
            <w:r w:rsidRPr="001E568C">
              <w:rPr>
                <w:color w:val="000000"/>
                <w:sz w:val="22"/>
                <w:szCs w:val="22"/>
                <w:lang w:val="en-US"/>
              </w:rPr>
              <w:t>0,4716</w:t>
            </w:r>
          </w:p>
        </w:tc>
        <w:tc>
          <w:tcPr>
            <w:tcW w:w="960" w:type="dxa"/>
            <w:tcBorders>
              <w:top w:val="nil"/>
              <w:left w:val="nil"/>
              <w:bottom w:val="single" w:sz="4" w:space="0" w:color="auto"/>
              <w:right w:val="single" w:sz="4" w:space="0" w:color="auto"/>
            </w:tcBorders>
            <w:shd w:val="clear" w:color="auto" w:fill="auto"/>
            <w:noWrap/>
            <w:vAlign w:val="bottom"/>
            <w:hideMark/>
          </w:tcPr>
          <w:p w:rsidR="000F384A" w:rsidRPr="001E568C" w:rsidRDefault="000F384A" w:rsidP="000F384A">
            <w:pPr>
              <w:widowControl/>
              <w:ind w:firstLine="0"/>
              <w:jc w:val="right"/>
              <w:rPr>
                <w:color w:val="000000"/>
                <w:sz w:val="22"/>
                <w:szCs w:val="22"/>
                <w:lang w:val="en-US"/>
              </w:rPr>
            </w:pPr>
            <w:r w:rsidRPr="001E568C">
              <w:rPr>
                <w:color w:val="000000"/>
                <w:sz w:val="22"/>
                <w:szCs w:val="22"/>
                <w:lang w:val="en-US"/>
              </w:rPr>
              <w:t>1,0000</w:t>
            </w:r>
          </w:p>
        </w:tc>
      </w:tr>
    </w:tbl>
    <w:p w:rsidR="005666E1" w:rsidRDefault="00E04D30" w:rsidP="005666E1">
      <w:pPr>
        <w:tabs>
          <w:tab w:val="left" w:pos="3585"/>
        </w:tabs>
        <w:ind w:firstLine="0"/>
        <w:jc w:val="center"/>
      </w:pPr>
      <w:r w:rsidRPr="001267EB">
        <w:t xml:space="preserve">Šaltinis: </w:t>
      </w:r>
      <w:r>
        <w:t>sudaryta pagal</w:t>
      </w:r>
      <w:r w:rsidR="00B12106">
        <w:t xml:space="preserve"> programos Eviews 8 skaičiavimus</w:t>
      </w:r>
      <w:bookmarkStart w:id="230" w:name="_Toc374229058"/>
      <w:bookmarkStart w:id="231" w:name="_Toc374229169"/>
      <w:bookmarkStart w:id="232" w:name="_Toc374229475"/>
    </w:p>
    <w:p w:rsidR="005666E1" w:rsidRDefault="005666E1" w:rsidP="005666E1">
      <w:pPr>
        <w:tabs>
          <w:tab w:val="left" w:pos="3585"/>
        </w:tabs>
        <w:ind w:firstLine="0"/>
        <w:jc w:val="right"/>
      </w:pPr>
    </w:p>
    <w:p w:rsidR="00CD733C" w:rsidRPr="005666E1" w:rsidRDefault="005B47AA" w:rsidP="001E568C">
      <w:pPr>
        <w:tabs>
          <w:tab w:val="left" w:pos="3585"/>
        </w:tabs>
        <w:ind w:firstLine="0"/>
        <w:jc w:val="center"/>
      </w:pPr>
      <w:r>
        <w:rPr>
          <w:sz w:val="24"/>
          <w:szCs w:val="24"/>
        </w:rPr>
        <w:t>8</w:t>
      </w:r>
      <w:r w:rsidR="0023445A">
        <w:rPr>
          <w:sz w:val="24"/>
          <w:szCs w:val="24"/>
        </w:rPr>
        <w:t xml:space="preserve"> l</w:t>
      </w:r>
      <w:r w:rsidR="00132F5F">
        <w:rPr>
          <w:sz w:val="24"/>
          <w:szCs w:val="24"/>
        </w:rPr>
        <w:t>entelė. Estijos koreliacinė analizė</w:t>
      </w:r>
      <w:bookmarkEnd w:id="230"/>
      <w:bookmarkEnd w:id="231"/>
      <w:bookmarkEnd w:id="232"/>
    </w:p>
    <w:tbl>
      <w:tblPr>
        <w:tblW w:w="5760" w:type="dxa"/>
        <w:jc w:val="center"/>
        <w:tblInd w:w="93" w:type="dxa"/>
        <w:tblLook w:val="04A0"/>
      </w:tblPr>
      <w:tblGrid>
        <w:gridCol w:w="960"/>
        <w:gridCol w:w="960"/>
        <w:gridCol w:w="960"/>
        <w:gridCol w:w="960"/>
        <w:gridCol w:w="960"/>
        <w:gridCol w:w="960"/>
      </w:tblGrid>
      <w:tr w:rsidR="001C4062" w:rsidRPr="001E568C" w:rsidTr="001C4062">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4062" w:rsidRPr="001E568C" w:rsidRDefault="001C4062" w:rsidP="001C4062">
            <w:pPr>
              <w:widowControl/>
              <w:ind w:firstLine="0"/>
              <w:jc w:val="left"/>
              <w:rPr>
                <w:color w:val="000000"/>
                <w:sz w:val="22"/>
                <w:szCs w:val="22"/>
                <w:lang w:val="en-US"/>
              </w:rPr>
            </w:pPr>
            <w:r w:rsidRPr="001E568C">
              <w:rPr>
                <w:color w:val="000000"/>
                <w:sz w:val="22"/>
                <w:szCs w:val="22"/>
                <w:lang w:val="en-US"/>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C4062" w:rsidRPr="001E568C" w:rsidRDefault="001C4062" w:rsidP="001C4062">
            <w:pPr>
              <w:widowControl/>
              <w:ind w:firstLine="0"/>
              <w:jc w:val="left"/>
              <w:rPr>
                <w:color w:val="000000"/>
                <w:sz w:val="22"/>
                <w:szCs w:val="22"/>
                <w:lang w:val="en-US"/>
              </w:rPr>
            </w:pPr>
            <w:r w:rsidRPr="001E568C">
              <w:rPr>
                <w:color w:val="000000"/>
                <w:sz w:val="22"/>
                <w:szCs w:val="22"/>
                <w:lang w:val="en-US"/>
              </w:rPr>
              <w:t>Y</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C4062" w:rsidRPr="001E568C" w:rsidRDefault="001C4062" w:rsidP="001C4062">
            <w:pPr>
              <w:widowControl/>
              <w:ind w:firstLine="0"/>
              <w:jc w:val="left"/>
              <w:rPr>
                <w:color w:val="000000"/>
                <w:sz w:val="22"/>
                <w:szCs w:val="22"/>
                <w:lang w:val="en-US"/>
              </w:rPr>
            </w:pPr>
            <w:r w:rsidRPr="001E568C">
              <w:rPr>
                <w:color w:val="000000"/>
                <w:sz w:val="22"/>
                <w:szCs w:val="22"/>
                <w:lang w:val="en-US"/>
              </w:rPr>
              <w:t>X1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C4062" w:rsidRPr="001E568C" w:rsidRDefault="001C4062" w:rsidP="001C4062">
            <w:pPr>
              <w:widowControl/>
              <w:ind w:firstLine="0"/>
              <w:jc w:val="left"/>
              <w:rPr>
                <w:color w:val="000000"/>
                <w:sz w:val="22"/>
                <w:szCs w:val="22"/>
                <w:lang w:val="en-US"/>
              </w:rPr>
            </w:pPr>
            <w:r w:rsidRPr="001E568C">
              <w:rPr>
                <w:color w:val="000000"/>
                <w:sz w:val="22"/>
                <w:szCs w:val="22"/>
                <w:lang w:val="en-US"/>
              </w:rPr>
              <w:t>X2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C4062" w:rsidRPr="001E568C" w:rsidRDefault="001C4062" w:rsidP="001C4062">
            <w:pPr>
              <w:widowControl/>
              <w:ind w:firstLine="0"/>
              <w:jc w:val="left"/>
              <w:rPr>
                <w:color w:val="000000"/>
                <w:sz w:val="22"/>
                <w:szCs w:val="22"/>
                <w:lang w:val="en-US"/>
              </w:rPr>
            </w:pPr>
            <w:r w:rsidRPr="001E568C">
              <w:rPr>
                <w:color w:val="000000"/>
                <w:sz w:val="22"/>
                <w:szCs w:val="22"/>
                <w:lang w:val="en-US"/>
              </w:rPr>
              <w:t>X3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C4062" w:rsidRPr="001E568C" w:rsidRDefault="001C4062" w:rsidP="001C4062">
            <w:pPr>
              <w:widowControl/>
              <w:ind w:firstLine="0"/>
              <w:jc w:val="left"/>
              <w:rPr>
                <w:color w:val="000000"/>
                <w:sz w:val="22"/>
                <w:szCs w:val="22"/>
                <w:lang w:val="en-US"/>
              </w:rPr>
            </w:pPr>
            <w:r w:rsidRPr="001E568C">
              <w:rPr>
                <w:color w:val="000000"/>
                <w:sz w:val="22"/>
                <w:szCs w:val="22"/>
                <w:lang w:val="en-US"/>
              </w:rPr>
              <w:t>X4</w:t>
            </w:r>
          </w:p>
        </w:tc>
      </w:tr>
      <w:tr w:rsidR="001C4062" w:rsidRPr="001E568C" w:rsidTr="001C406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4062" w:rsidRPr="001E568C" w:rsidRDefault="001C4062" w:rsidP="001C4062">
            <w:pPr>
              <w:widowControl/>
              <w:ind w:firstLine="0"/>
              <w:jc w:val="left"/>
              <w:rPr>
                <w:color w:val="000000"/>
                <w:sz w:val="22"/>
                <w:szCs w:val="22"/>
                <w:lang w:val="en-US"/>
              </w:rPr>
            </w:pPr>
            <w:r w:rsidRPr="001E568C">
              <w:rPr>
                <w:color w:val="000000"/>
                <w:sz w:val="22"/>
                <w:szCs w:val="22"/>
                <w:lang w:val="en-US"/>
              </w:rPr>
              <w:t>Y</w:t>
            </w:r>
          </w:p>
        </w:tc>
        <w:tc>
          <w:tcPr>
            <w:tcW w:w="960" w:type="dxa"/>
            <w:tcBorders>
              <w:top w:val="nil"/>
              <w:left w:val="nil"/>
              <w:bottom w:val="single" w:sz="4" w:space="0" w:color="auto"/>
              <w:right w:val="single" w:sz="4" w:space="0" w:color="auto"/>
            </w:tcBorders>
            <w:shd w:val="clear" w:color="auto" w:fill="auto"/>
            <w:noWrap/>
            <w:vAlign w:val="bottom"/>
            <w:hideMark/>
          </w:tcPr>
          <w:p w:rsidR="001C4062" w:rsidRPr="001E568C" w:rsidRDefault="001C4062" w:rsidP="001C4062">
            <w:pPr>
              <w:widowControl/>
              <w:ind w:firstLine="0"/>
              <w:jc w:val="right"/>
              <w:rPr>
                <w:color w:val="000000"/>
                <w:sz w:val="22"/>
                <w:szCs w:val="22"/>
                <w:lang w:val="en-US"/>
              </w:rPr>
            </w:pPr>
            <w:r w:rsidRPr="001E568C">
              <w:rPr>
                <w:color w:val="000000"/>
                <w:sz w:val="22"/>
                <w:szCs w:val="22"/>
                <w:lang w:val="en-US"/>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1C4062" w:rsidRPr="001E568C" w:rsidRDefault="001C4062" w:rsidP="001C4062">
            <w:pPr>
              <w:widowControl/>
              <w:ind w:firstLine="0"/>
              <w:jc w:val="right"/>
              <w:rPr>
                <w:color w:val="000000"/>
                <w:sz w:val="22"/>
                <w:szCs w:val="22"/>
                <w:lang w:val="en-US"/>
              </w:rPr>
            </w:pPr>
            <w:r w:rsidRPr="001E568C">
              <w:rPr>
                <w:color w:val="000000"/>
                <w:sz w:val="22"/>
                <w:szCs w:val="22"/>
                <w:lang w:val="en-US"/>
              </w:rPr>
              <w:t>0,8214</w:t>
            </w:r>
          </w:p>
        </w:tc>
        <w:tc>
          <w:tcPr>
            <w:tcW w:w="960" w:type="dxa"/>
            <w:tcBorders>
              <w:top w:val="nil"/>
              <w:left w:val="nil"/>
              <w:bottom w:val="single" w:sz="4" w:space="0" w:color="auto"/>
              <w:right w:val="single" w:sz="4" w:space="0" w:color="auto"/>
            </w:tcBorders>
            <w:shd w:val="clear" w:color="auto" w:fill="auto"/>
            <w:noWrap/>
            <w:vAlign w:val="bottom"/>
            <w:hideMark/>
          </w:tcPr>
          <w:p w:rsidR="001C4062" w:rsidRPr="001E568C" w:rsidRDefault="001C4062" w:rsidP="001C4062">
            <w:pPr>
              <w:widowControl/>
              <w:ind w:firstLine="0"/>
              <w:jc w:val="right"/>
              <w:rPr>
                <w:color w:val="000000"/>
                <w:sz w:val="22"/>
                <w:szCs w:val="22"/>
                <w:lang w:val="en-US"/>
              </w:rPr>
            </w:pPr>
            <w:r w:rsidRPr="001E568C">
              <w:rPr>
                <w:color w:val="000000"/>
                <w:sz w:val="22"/>
                <w:szCs w:val="22"/>
                <w:lang w:val="en-US"/>
              </w:rPr>
              <w:t>-0,2051</w:t>
            </w:r>
          </w:p>
        </w:tc>
        <w:tc>
          <w:tcPr>
            <w:tcW w:w="960" w:type="dxa"/>
            <w:tcBorders>
              <w:top w:val="nil"/>
              <w:left w:val="nil"/>
              <w:bottom w:val="single" w:sz="4" w:space="0" w:color="auto"/>
              <w:right w:val="single" w:sz="4" w:space="0" w:color="auto"/>
            </w:tcBorders>
            <w:shd w:val="clear" w:color="auto" w:fill="auto"/>
            <w:noWrap/>
            <w:vAlign w:val="bottom"/>
            <w:hideMark/>
          </w:tcPr>
          <w:p w:rsidR="001C4062" w:rsidRPr="001E568C" w:rsidRDefault="001C4062" w:rsidP="001C4062">
            <w:pPr>
              <w:widowControl/>
              <w:ind w:firstLine="0"/>
              <w:jc w:val="right"/>
              <w:rPr>
                <w:color w:val="000000"/>
                <w:sz w:val="22"/>
                <w:szCs w:val="22"/>
                <w:lang w:val="en-US"/>
              </w:rPr>
            </w:pPr>
            <w:r w:rsidRPr="001E568C">
              <w:rPr>
                <w:color w:val="000000"/>
                <w:sz w:val="22"/>
                <w:szCs w:val="22"/>
                <w:lang w:val="en-US"/>
              </w:rPr>
              <w:t>0,6558</w:t>
            </w:r>
          </w:p>
        </w:tc>
        <w:tc>
          <w:tcPr>
            <w:tcW w:w="960" w:type="dxa"/>
            <w:tcBorders>
              <w:top w:val="nil"/>
              <w:left w:val="nil"/>
              <w:bottom w:val="single" w:sz="4" w:space="0" w:color="auto"/>
              <w:right w:val="single" w:sz="4" w:space="0" w:color="auto"/>
            </w:tcBorders>
            <w:shd w:val="clear" w:color="auto" w:fill="auto"/>
            <w:noWrap/>
            <w:vAlign w:val="bottom"/>
            <w:hideMark/>
          </w:tcPr>
          <w:p w:rsidR="001C4062" w:rsidRPr="001E568C" w:rsidRDefault="001C4062" w:rsidP="001C4062">
            <w:pPr>
              <w:widowControl/>
              <w:ind w:firstLine="0"/>
              <w:jc w:val="right"/>
              <w:rPr>
                <w:color w:val="000000"/>
                <w:sz w:val="22"/>
                <w:szCs w:val="22"/>
                <w:lang w:val="en-US"/>
              </w:rPr>
            </w:pPr>
            <w:r w:rsidRPr="001E568C">
              <w:rPr>
                <w:color w:val="000000"/>
                <w:sz w:val="22"/>
                <w:szCs w:val="22"/>
                <w:lang w:val="en-US"/>
              </w:rPr>
              <w:t>0,6843</w:t>
            </w:r>
          </w:p>
        </w:tc>
      </w:tr>
      <w:tr w:rsidR="001C4062" w:rsidRPr="001E568C" w:rsidTr="001C406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4062" w:rsidRPr="001E568C" w:rsidRDefault="001C4062" w:rsidP="001C4062">
            <w:pPr>
              <w:widowControl/>
              <w:ind w:firstLine="0"/>
              <w:jc w:val="left"/>
              <w:rPr>
                <w:color w:val="000000"/>
                <w:sz w:val="22"/>
                <w:szCs w:val="22"/>
                <w:lang w:val="en-US"/>
              </w:rPr>
            </w:pPr>
            <w:r w:rsidRPr="001E568C">
              <w:rPr>
                <w:color w:val="000000"/>
                <w:sz w:val="22"/>
                <w:szCs w:val="22"/>
                <w:lang w:val="en-US"/>
              </w:rPr>
              <w:t>X1</w:t>
            </w:r>
          </w:p>
        </w:tc>
        <w:tc>
          <w:tcPr>
            <w:tcW w:w="960" w:type="dxa"/>
            <w:tcBorders>
              <w:top w:val="nil"/>
              <w:left w:val="nil"/>
              <w:bottom w:val="single" w:sz="4" w:space="0" w:color="auto"/>
              <w:right w:val="single" w:sz="4" w:space="0" w:color="auto"/>
            </w:tcBorders>
            <w:shd w:val="clear" w:color="auto" w:fill="auto"/>
            <w:noWrap/>
            <w:vAlign w:val="bottom"/>
            <w:hideMark/>
          </w:tcPr>
          <w:p w:rsidR="001C4062" w:rsidRPr="001E568C" w:rsidRDefault="001C4062" w:rsidP="001C4062">
            <w:pPr>
              <w:widowControl/>
              <w:ind w:firstLine="0"/>
              <w:jc w:val="right"/>
              <w:rPr>
                <w:color w:val="000000"/>
                <w:sz w:val="22"/>
                <w:szCs w:val="22"/>
                <w:lang w:val="en-US"/>
              </w:rPr>
            </w:pPr>
            <w:r w:rsidRPr="001E568C">
              <w:rPr>
                <w:color w:val="000000"/>
                <w:sz w:val="22"/>
                <w:szCs w:val="22"/>
                <w:lang w:val="en-US"/>
              </w:rPr>
              <w:t>0,8214</w:t>
            </w:r>
          </w:p>
        </w:tc>
        <w:tc>
          <w:tcPr>
            <w:tcW w:w="960" w:type="dxa"/>
            <w:tcBorders>
              <w:top w:val="nil"/>
              <w:left w:val="nil"/>
              <w:bottom w:val="single" w:sz="4" w:space="0" w:color="auto"/>
              <w:right w:val="single" w:sz="4" w:space="0" w:color="auto"/>
            </w:tcBorders>
            <w:shd w:val="clear" w:color="auto" w:fill="auto"/>
            <w:noWrap/>
            <w:vAlign w:val="bottom"/>
            <w:hideMark/>
          </w:tcPr>
          <w:p w:rsidR="001C4062" w:rsidRPr="001E568C" w:rsidRDefault="001C4062" w:rsidP="001C4062">
            <w:pPr>
              <w:widowControl/>
              <w:ind w:firstLine="0"/>
              <w:jc w:val="right"/>
              <w:rPr>
                <w:color w:val="000000"/>
                <w:sz w:val="22"/>
                <w:szCs w:val="22"/>
                <w:lang w:val="en-US"/>
              </w:rPr>
            </w:pPr>
            <w:r w:rsidRPr="001E568C">
              <w:rPr>
                <w:color w:val="000000"/>
                <w:sz w:val="22"/>
                <w:szCs w:val="22"/>
                <w:lang w:val="en-US"/>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1C4062" w:rsidRPr="001E568C" w:rsidRDefault="001C4062" w:rsidP="001C4062">
            <w:pPr>
              <w:widowControl/>
              <w:ind w:firstLine="0"/>
              <w:jc w:val="right"/>
              <w:rPr>
                <w:color w:val="000000"/>
                <w:sz w:val="22"/>
                <w:szCs w:val="22"/>
                <w:lang w:val="en-US"/>
              </w:rPr>
            </w:pPr>
            <w:r w:rsidRPr="001E568C">
              <w:rPr>
                <w:color w:val="000000"/>
                <w:sz w:val="22"/>
                <w:szCs w:val="22"/>
                <w:lang w:val="en-US"/>
              </w:rPr>
              <w:t>0,3150</w:t>
            </w:r>
          </w:p>
        </w:tc>
        <w:tc>
          <w:tcPr>
            <w:tcW w:w="960" w:type="dxa"/>
            <w:tcBorders>
              <w:top w:val="nil"/>
              <w:left w:val="nil"/>
              <w:bottom w:val="single" w:sz="4" w:space="0" w:color="auto"/>
              <w:right w:val="single" w:sz="4" w:space="0" w:color="auto"/>
            </w:tcBorders>
            <w:shd w:val="clear" w:color="auto" w:fill="auto"/>
            <w:noWrap/>
            <w:vAlign w:val="bottom"/>
            <w:hideMark/>
          </w:tcPr>
          <w:p w:rsidR="001C4062" w:rsidRPr="001E568C" w:rsidRDefault="001C4062" w:rsidP="001C4062">
            <w:pPr>
              <w:widowControl/>
              <w:ind w:firstLine="0"/>
              <w:jc w:val="right"/>
              <w:rPr>
                <w:color w:val="000000"/>
                <w:sz w:val="22"/>
                <w:szCs w:val="22"/>
                <w:lang w:val="en-US"/>
              </w:rPr>
            </w:pPr>
            <w:r w:rsidRPr="001E568C">
              <w:rPr>
                <w:color w:val="000000"/>
                <w:sz w:val="22"/>
                <w:szCs w:val="22"/>
                <w:lang w:val="en-US"/>
              </w:rPr>
              <w:t>0,1651</w:t>
            </w:r>
          </w:p>
        </w:tc>
        <w:tc>
          <w:tcPr>
            <w:tcW w:w="960" w:type="dxa"/>
            <w:tcBorders>
              <w:top w:val="nil"/>
              <w:left w:val="nil"/>
              <w:bottom w:val="single" w:sz="4" w:space="0" w:color="auto"/>
              <w:right w:val="single" w:sz="4" w:space="0" w:color="auto"/>
            </w:tcBorders>
            <w:shd w:val="clear" w:color="auto" w:fill="auto"/>
            <w:noWrap/>
            <w:vAlign w:val="bottom"/>
            <w:hideMark/>
          </w:tcPr>
          <w:p w:rsidR="001C4062" w:rsidRPr="001E568C" w:rsidRDefault="001C4062" w:rsidP="001C4062">
            <w:pPr>
              <w:widowControl/>
              <w:ind w:firstLine="0"/>
              <w:jc w:val="right"/>
              <w:rPr>
                <w:color w:val="000000"/>
                <w:sz w:val="22"/>
                <w:szCs w:val="22"/>
                <w:lang w:val="en-US"/>
              </w:rPr>
            </w:pPr>
            <w:r w:rsidRPr="001E568C">
              <w:rPr>
                <w:color w:val="000000"/>
                <w:sz w:val="22"/>
                <w:szCs w:val="22"/>
                <w:lang w:val="en-US"/>
              </w:rPr>
              <w:t>0,8273</w:t>
            </w:r>
          </w:p>
        </w:tc>
      </w:tr>
      <w:tr w:rsidR="001C4062" w:rsidRPr="001E568C" w:rsidTr="001C406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4062" w:rsidRPr="001E568C" w:rsidRDefault="001C4062" w:rsidP="001C4062">
            <w:pPr>
              <w:widowControl/>
              <w:ind w:firstLine="0"/>
              <w:jc w:val="left"/>
              <w:rPr>
                <w:color w:val="000000"/>
                <w:sz w:val="22"/>
                <w:szCs w:val="22"/>
                <w:lang w:val="en-US"/>
              </w:rPr>
            </w:pPr>
            <w:r w:rsidRPr="001E568C">
              <w:rPr>
                <w:color w:val="000000"/>
                <w:sz w:val="22"/>
                <w:szCs w:val="22"/>
                <w:lang w:val="en-US"/>
              </w:rPr>
              <w:t>X2</w:t>
            </w:r>
          </w:p>
        </w:tc>
        <w:tc>
          <w:tcPr>
            <w:tcW w:w="960" w:type="dxa"/>
            <w:tcBorders>
              <w:top w:val="nil"/>
              <w:left w:val="nil"/>
              <w:bottom w:val="single" w:sz="4" w:space="0" w:color="auto"/>
              <w:right w:val="single" w:sz="4" w:space="0" w:color="auto"/>
            </w:tcBorders>
            <w:shd w:val="clear" w:color="auto" w:fill="auto"/>
            <w:noWrap/>
            <w:vAlign w:val="bottom"/>
            <w:hideMark/>
          </w:tcPr>
          <w:p w:rsidR="001C4062" w:rsidRPr="001E568C" w:rsidRDefault="001C4062" w:rsidP="001C4062">
            <w:pPr>
              <w:widowControl/>
              <w:ind w:firstLine="0"/>
              <w:jc w:val="right"/>
              <w:rPr>
                <w:color w:val="000000"/>
                <w:sz w:val="22"/>
                <w:szCs w:val="22"/>
                <w:lang w:val="en-US"/>
              </w:rPr>
            </w:pPr>
            <w:r w:rsidRPr="001E568C">
              <w:rPr>
                <w:color w:val="000000"/>
                <w:sz w:val="22"/>
                <w:szCs w:val="22"/>
                <w:lang w:val="en-US"/>
              </w:rPr>
              <w:t>-0,2051</w:t>
            </w:r>
          </w:p>
        </w:tc>
        <w:tc>
          <w:tcPr>
            <w:tcW w:w="960" w:type="dxa"/>
            <w:tcBorders>
              <w:top w:val="nil"/>
              <w:left w:val="nil"/>
              <w:bottom w:val="single" w:sz="4" w:space="0" w:color="auto"/>
              <w:right w:val="single" w:sz="4" w:space="0" w:color="auto"/>
            </w:tcBorders>
            <w:shd w:val="clear" w:color="auto" w:fill="auto"/>
            <w:noWrap/>
            <w:vAlign w:val="bottom"/>
            <w:hideMark/>
          </w:tcPr>
          <w:p w:rsidR="001C4062" w:rsidRPr="001E568C" w:rsidRDefault="001C4062" w:rsidP="001C4062">
            <w:pPr>
              <w:widowControl/>
              <w:ind w:firstLine="0"/>
              <w:jc w:val="right"/>
              <w:rPr>
                <w:color w:val="000000"/>
                <w:sz w:val="22"/>
                <w:szCs w:val="22"/>
                <w:lang w:val="en-US"/>
              </w:rPr>
            </w:pPr>
            <w:r w:rsidRPr="001E568C">
              <w:rPr>
                <w:color w:val="000000"/>
                <w:sz w:val="22"/>
                <w:szCs w:val="22"/>
                <w:lang w:val="en-US"/>
              </w:rPr>
              <w:t>0,3150</w:t>
            </w:r>
          </w:p>
        </w:tc>
        <w:tc>
          <w:tcPr>
            <w:tcW w:w="960" w:type="dxa"/>
            <w:tcBorders>
              <w:top w:val="nil"/>
              <w:left w:val="nil"/>
              <w:bottom w:val="single" w:sz="4" w:space="0" w:color="auto"/>
              <w:right w:val="single" w:sz="4" w:space="0" w:color="auto"/>
            </w:tcBorders>
            <w:shd w:val="clear" w:color="auto" w:fill="auto"/>
            <w:noWrap/>
            <w:vAlign w:val="bottom"/>
            <w:hideMark/>
          </w:tcPr>
          <w:p w:rsidR="001C4062" w:rsidRPr="001E568C" w:rsidRDefault="001C4062" w:rsidP="001C4062">
            <w:pPr>
              <w:widowControl/>
              <w:ind w:firstLine="0"/>
              <w:jc w:val="right"/>
              <w:rPr>
                <w:color w:val="000000"/>
                <w:sz w:val="22"/>
                <w:szCs w:val="22"/>
                <w:lang w:val="en-US"/>
              </w:rPr>
            </w:pPr>
            <w:r w:rsidRPr="001E568C">
              <w:rPr>
                <w:color w:val="000000"/>
                <w:sz w:val="22"/>
                <w:szCs w:val="22"/>
                <w:lang w:val="en-US"/>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1C4062" w:rsidRPr="001E568C" w:rsidRDefault="001C4062" w:rsidP="001C4062">
            <w:pPr>
              <w:widowControl/>
              <w:ind w:firstLine="0"/>
              <w:jc w:val="right"/>
              <w:rPr>
                <w:color w:val="000000"/>
                <w:sz w:val="22"/>
                <w:szCs w:val="22"/>
                <w:lang w:val="en-US"/>
              </w:rPr>
            </w:pPr>
            <w:r w:rsidRPr="001E568C">
              <w:rPr>
                <w:color w:val="000000"/>
                <w:sz w:val="22"/>
                <w:szCs w:val="22"/>
                <w:lang w:val="en-US"/>
              </w:rPr>
              <w:t>-0,7270</w:t>
            </w:r>
          </w:p>
        </w:tc>
        <w:tc>
          <w:tcPr>
            <w:tcW w:w="960" w:type="dxa"/>
            <w:tcBorders>
              <w:top w:val="nil"/>
              <w:left w:val="nil"/>
              <w:bottom w:val="single" w:sz="4" w:space="0" w:color="auto"/>
              <w:right w:val="single" w:sz="4" w:space="0" w:color="auto"/>
            </w:tcBorders>
            <w:shd w:val="clear" w:color="auto" w:fill="auto"/>
            <w:noWrap/>
            <w:vAlign w:val="bottom"/>
            <w:hideMark/>
          </w:tcPr>
          <w:p w:rsidR="001C4062" w:rsidRPr="001E568C" w:rsidRDefault="001C4062" w:rsidP="001C4062">
            <w:pPr>
              <w:widowControl/>
              <w:ind w:firstLine="0"/>
              <w:jc w:val="right"/>
              <w:rPr>
                <w:color w:val="000000"/>
                <w:sz w:val="22"/>
                <w:szCs w:val="22"/>
                <w:lang w:val="en-US"/>
              </w:rPr>
            </w:pPr>
            <w:r w:rsidRPr="001E568C">
              <w:rPr>
                <w:color w:val="000000"/>
                <w:sz w:val="22"/>
                <w:szCs w:val="22"/>
                <w:lang w:val="en-US"/>
              </w:rPr>
              <w:t>0,1668</w:t>
            </w:r>
          </w:p>
        </w:tc>
      </w:tr>
      <w:tr w:rsidR="001C4062" w:rsidRPr="001E568C" w:rsidTr="001C406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4062" w:rsidRPr="001E568C" w:rsidRDefault="001C4062" w:rsidP="001C4062">
            <w:pPr>
              <w:widowControl/>
              <w:ind w:firstLine="0"/>
              <w:jc w:val="left"/>
              <w:rPr>
                <w:color w:val="000000"/>
                <w:sz w:val="22"/>
                <w:szCs w:val="22"/>
                <w:lang w:val="en-US"/>
              </w:rPr>
            </w:pPr>
            <w:r w:rsidRPr="001E568C">
              <w:rPr>
                <w:color w:val="000000"/>
                <w:sz w:val="22"/>
                <w:szCs w:val="22"/>
                <w:lang w:val="en-US"/>
              </w:rPr>
              <w:t>X3</w:t>
            </w:r>
          </w:p>
        </w:tc>
        <w:tc>
          <w:tcPr>
            <w:tcW w:w="960" w:type="dxa"/>
            <w:tcBorders>
              <w:top w:val="nil"/>
              <w:left w:val="nil"/>
              <w:bottom w:val="single" w:sz="4" w:space="0" w:color="auto"/>
              <w:right w:val="single" w:sz="4" w:space="0" w:color="auto"/>
            </w:tcBorders>
            <w:shd w:val="clear" w:color="auto" w:fill="auto"/>
            <w:noWrap/>
            <w:vAlign w:val="bottom"/>
            <w:hideMark/>
          </w:tcPr>
          <w:p w:rsidR="001C4062" w:rsidRPr="001E568C" w:rsidRDefault="001C4062" w:rsidP="001C4062">
            <w:pPr>
              <w:widowControl/>
              <w:ind w:firstLine="0"/>
              <w:jc w:val="right"/>
              <w:rPr>
                <w:color w:val="000000"/>
                <w:sz w:val="22"/>
                <w:szCs w:val="22"/>
                <w:lang w:val="en-US"/>
              </w:rPr>
            </w:pPr>
            <w:r w:rsidRPr="001E568C">
              <w:rPr>
                <w:color w:val="000000"/>
                <w:sz w:val="22"/>
                <w:szCs w:val="22"/>
                <w:lang w:val="en-US"/>
              </w:rPr>
              <w:t>0,6558</w:t>
            </w:r>
          </w:p>
        </w:tc>
        <w:tc>
          <w:tcPr>
            <w:tcW w:w="960" w:type="dxa"/>
            <w:tcBorders>
              <w:top w:val="nil"/>
              <w:left w:val="nil"/>
              <w:bottom w:val="single" w:sz="4" w:space="0" w:color="auto"/>
              <w:right w:val="single" w:sz="4" w:space="0" w:color="auto"/>
            </w:tcBorders>
            <w:shd w:val="clear" w:color="auto" w:fill="auto"/>
            <w:noWrap/>
            <w:vAlign w:val="bottom"/>
            <w:hideMark/>
          </w:tcPr>
          <w:p w:rsidR="001C4062" w:rsidRPr="001E568C" w:rsidRDefault="001C4062" w:rsidP="001C4062">
            <w:pPr>
              <w:widowControl/>
              <w:ind w:firstLine="0"/>
              <w:jc w:val="right"/>
              <w:rPr>
                <w:color w:val="000000"/>
                <w:sz w:val="22"/>
                <w:szCs w:val="22"/>
                <w:lang w:val="en-US"/>
              </w:rPr>
            </w:pPr>
            <w:r w:rsidRPr="001E568C">
              <w:rPr>
                <w:color w:val="000000"/>
                <w:sz w:val="22"/>
                <w:szCs w:val="22"/>
                <w:lang w:val="en-US"/>
              </w:rPr>
              <w:t>0,1651</w:t>
            </w:r>
          </w:p>
        </w:tc>
        <w:tc>
          <w:tcPr>
            <w:tcW w:w="960" w:type="dxa"/>
            <w:tcBorders>
              <w:top w:val="nil"/>
              <w:left w:val="nil"/>
              <w:bottom w:val="single" w:sz="4" w:space="0" w:color="auto"/>
              <w:right w:val="single" w:sz="4" w:space="0" w:color="auto"/>
            </w:tcBorders>
            <w:shd w:val="clear" w:color="auto" w:fill="auto"/>
            <w:noWrap/>
            <w:vAlign w:val="bottom"/>
            <w:hideMark/>
          </w:tcPr>
          <w:p w:rsidR="001C4062" w:rsidRPr="001E568C" w:rsidRDefault="001C4062" w:rsidP="001C4062">
            <w:pPr>
              <w:widowControl/>
              <w:ind w:firstLine="0"/>
              <w:jc w:val="right"/>
              <w:rPr>
                <w:color w:val="000000"/>
                <w:sz w:val="22"/>
                <w:szCs w:val="22"/>
                <w:lang w:val="en-US"/>
              </w:rPr>
            </w:pPr>
            <w:r w:rsidRPr="001E568C">
              <w:rPr>
                <w:color w:val="000000"/>
                <w:sz w:val="22"/>
                <w:szCs w:val="22"/>
                <w:lang w:val="en-US"/>
              </w:rPr>
              <w:t>-0,7270</w:t>
            </w:r>
          </w:p>
        </w:tc>
        <w:tc>
          <w:tcPr>
            <w:tcW w:w="960" w:type="dxa"/>
            <w:tcBorders>
              <w:top w:val="nil"/>
              <w:left w:val="nil"/>
              <w:bottom w:val="single" w:sz="4" w:space="0" w:color="auto"/>
              <w:right w:val="single" w:sz="4" w:space="0" w:color="auto"/>
            </w:tcBorders>
            <w:shd w:val="clear" w:color="auto" w:fill="auto"/>
            <w:noWrap/>
            <w:vAlign w:val="bottom"/>
            <w:hideMark/>
          </w:tcPr>
          <w:p w:rsidR="001C4062" w:rsidRPr="001E568C" w:rsidRDefault="001C4062" w:rsidP="001C4062">
            <w:pPr>
              <w:widowControl/>
              <w:ind w:firstLine="0"/>
              <w:jc w:val="right"/>
              <w:rPr>
                <w:color w:val="000000"/>
                <w:sz w:val="22"/>
                <w:szCs w:val="22"/>
                <w:lang w:val="en-US"/>
              </w:rPr>
            </w:pPr>
            <w:r w:rsidRPr="001E568C">
              <w:rPr>
                <w:color w:val="000000"/>
                <w:sz w:val="22"/>
                <w:szCs w:val="22"/>
                <w:lang w:val="en-US"/>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1C4062" w:rsidRPr="001E568C" w:rsidRDefault="001C4062" w:rsidP="001C4062">
            <w:pPr>
              <w:widowControl/>
              <w:ind w:firstLine="0"/>
              <w:jc w:val="right"/>
              <w:rPr>
                <w:color w:val="000000"/>
                <w:sz w:val="22"/>
                <w:szCs w:val="22"/>
                <w:lang w:val="en-US"/>
              </w:rPr>
            </w:pPr>
            <w:r w:rsidRPr="001E568C">
              <w:rPr>
                <w:color w:val="000000"/>
                <w:sz w:val="22"/>
                <w:szCs w:val="22"/>
                <w:lang w:val="en-US"/>
              </w:rPr>
              <w:t>0,0004</w:t>
            </w:r>
          </w:p>
        </w:tc>
      </w:tr>
      <w:tr w:rsidR="001C4062" w:rsidRPr="001E568C" w:rsidTr="001C406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4062" w:rsidRPr="001E568C" w:rsidRDefault="001C4062" w:rsidP="001C4062">
            <w:pPr>
              <w:widowControl/>
              <w:ind w:firstLine="0"/>
              <w:jc w:val="left"/>
              <w:rPr>
                <w:color w:val="000000"/>
                <w:sz w:val="22"/>
                <w:szCs w:val="22"/>
                <w:lang w:val="en-US"/>
              </w:rPr>
            </w:pPr>
            <w:r w:rsidRPr="001E568C">
              <w:rPr>
                <w:color w:val="000000"/>
                <w:sz w:val="22"/>
                <w:szCs w:val="22"/>
                <w:lang w:val="en-US"/>
              </w:rPr>
              <w:t>X4</w:t>
            </w:r>
          </w:p>
        </w:tc>
        <w:tc>
          <w:tcPr>
            <w:tcW w:w="960" w:type="dxa"/>
            <w:tcBorders>
              <w:top w:val="nil"/>
              <w:left w:val="nil"/>
              <w:bottom w:val="single" w:sz="4" w:space="0" w:color="auto"/>
              <w:right w:val="single" w:sz="4" w:space="0" w:color="auto"/>
            </w:tcBorders>
            <w:shd w:val="clear" w:color="auto" w:fill="auto"/>
            <w:noWrap/>
            <w:vAlign w:val="bottom"/>
            <w:hideMark/>
          </w:tcPr>
          <w:p w:rsidR="001C4062" w:rsidRPr="001E568C" w:rsidRDefault="001C4062" w:rsidP="001C4062">
            <w:pPr>
              <w:widowControl/>
              <w:ind w:firstLine="0"/>
              <w:jc w:val="right"/>
              <w:rPr>
                <w:color w:val="000000"/>
                <w:sz w:val="22"/>
                <w:szCs w:val="22"/>
                <w:lang w:val="en-US"/>
              </w:rPr>
            </w:pPr>
            <w:r w:rsidRPr="001E568C">
              <w:rPr>
                <w:color w:val="000000"/>
                <w:sz w:val="22"/>
                <w:szCs w:val="22"/>
                <w:lang w:val="en-US"/>
              </w:rPr>
              <w:t>0,6843</w:t>
            </w:r>
          </w:p>
        </w:tc>
        <w:tc>
          <w:tcPr>
            <w:tcW w:w="960" w:type="dxa"/>
            <w:tcBorders>
              <w:top w:val="nil"/>
              <w:left w:val="nil"/>
              <w:bottom w:val="single" w:sz="4" w:space="0" w:color="auto"/>
              <w:right w:val="single" w:sz="4" w:space="0" w:color="auto"/>
            </w:tcBorders>
            <w:shd w:val="clear" w:color="auto" w:fill="auto"/>
            <w:noWrap/>
            <w:vAlign w:val="bottom"/>
            <w:hideMark/>
          </w:tcPr>
          <w:p w:rsidR="001C4062" w:rsidRPr="001E568C" w:rsidRDefault="001C4062" w:rsidP="001C4062">
            <w:pPr>
              <w:widowControl/>
              <w:ind w:firstLine="0"/>
              <w:jc w:val="right"/>
              <w:rPr>
                <w:color w:val="000000"/>
                <w:sz w:val="22"/>
                <w:szCs w:val="22"/>
                <w:lang w:val="en-US"/>
              </w:rPr>
            </w:pPr>
            <w:r w:rsidRPr="001E568C">
              <w:rPr>
                <w:color w:val="000000"/>
                <w:sz w:val="22"/>
                <w:szCs w:val="22"/>
                <w:lang w:val="en-US"/>
              </w:rPr>
              <w:t>0,8273</w:t>
            </w:r>
          </w:p>
        </w:tc>
        <w:tc>
          <w:tcPr>
            <w:tcW w:w="960" w:type="dxa"/>
            <w:tcBorders>
              <w:top w:val="nil"/>
              <w:left w:val="nil"/>
              <w:bottom w:val="single" w:sz="4" w:space="0" w:color="auto"/>
              <w:right w:val="single" w:sz="4" w:space="0" w:color="auto"/>
            </w:tcBorders>
            <w:shd w:val="clear" w:color="auto" w:fill="auto"/>
            <w:noWrap/>
            <w:vAlign w:val="bottom"/>
            <w:hideMark/>
          </w:tcPr>
          <w:p w:rsidR="001C4062" w:rsidRPr="001E568C" w:rsidRDefault="001C4062" w:rsidP="001C4062">
            <w:pPr>
              <w:widowControl/>
              <w:ind w:firstLine="0"/>
              <w:jc w:val="right"/>
              <w:rPr>
                <w:color w:val="000000"/>
                <w:sz w:val="22"/>
                <w:szCs w:val="22"/>
                <w:lang w:val="en-US"/>
              </w:rPr>
            </w:pPr>
            <w:r w:rsidRPr="001E568C">
              <w:rPr>
                <w:color w:val="000000"/>
                <w:sz w:val="22"/>
                <w:szCs w:val="22"/>
                <w:lang w:val="en-US"/>
              </w:rPr>
              <w:t>0,1668</w:t>
            </w:r>
          </w:p>
        </w:tc>
        <w:tc>
          <w:tcPr>
            <w:tcW w:w="960" w:type="dxa"/>
            <w:tcBorders>
              <w:top w:val="nil"/>
              <w:left w:val="nil"/>
              <w:bottom w:val="single" w:sz="4" w:space="0" w:color="auto"/>
              <w:right w:val="single" w:sz="4" w:space="0" w:color="auto"/>
            </w:tcBorders>
            <w:shd w:val="clear" w:color="auto" w:fill="auto"/>
            <w:noWrap/>
            <w:vAlign w:val="bottom"/>
            <w:hideMark/>
          </w:tcPr>
          <w:p w:rsidR="001C4062" w:rsidRPr="001E568C" w:rsidRDefault="001C4062" w:rsidP="001C4062">
            <w:pPr>
              <w:widowControl/>
              <w:ind w:firstLine="0"/>
              <w:jc w:val="right"/>
              <w:rPr>
                <w:color w:val="000000"/>
                <w:sz w:val="22"/>
                <w:szCs w:val="22"/>
                <w:lang w:val="en-US"/>
              </w:rPr>
            </w:pPr>
            <w:r w:rsidRPr="001E568C">
              <w:rPr>
                <w:color w:val="000000"/>
                <w:sz w:val="22"/>
                <w:szCs w:val="22"/>
                <w:lang w:val="en-US"/>
              </w:rPr>
              <w:t>0,0004</w:t>
            </w:r>
          </w:p>
        </w:tc>
        <w:tc>
          <w:tcPr>
            <w:tcW w:w="960" w:type="dxa"/>
            <w:tcBorders>
              <w:top w:val="nil"/>
              <w:left w:val="nil"/>
              <w:bottom w:val="single" w:sz="4" w:space="0" w:color="auto"/>
              <w:right w:val="single" w:sz="4" w:space="0" w:color="auto"/>
            </w:tcBorders>
            <w:shd w:val="clear" w:color="auto" w:fill="auto"/>
            <w:noWrap/>
            <w:vAlign w:val="bottom"/>
            <w:hideMark/>
          </w:tcPr>
          <w:p w:rsidR="001C4062" w:rsidRPr="001E568C" w:rsidRDefault="001C4062" w:rsidP="001C4062">
            <w:pPr>
              <w:widowControl/>
              <w:ind w:firstLine="0"/>
              <w:jc w:val="right"/>
              <w:rPr>
                <w:color w:val="000000"/>
                <w:sz w:val="22"/>
                <w:szCs w:val="22"/>
                <w:lang w:val="en-US"/>
              </w:rPr>
            </w:pPr>
            <w:r w:rsidRPr="001E568C">
              <w:rPr>
                <w:color w:val="000000"/>
                <w:sz w:val="22"/>
                <w:szCs w:val="22"/>
                <w:lang w:val="en-US"/>
              </w:rPr>
              <w:t>1,0000</w:t>
            </w:r>
          </w:p>
        </w:tc>
      </w:tr>
    </w:tbl>
    <w:p w:rsidR="00CD733C" w:rsidRDefault="00E04D30" w:rsidP="001C4062">
      <w:pPr>
        <w:tabs>
          <w:tab w:val="left" w:pos="3585"/>
        </w:tabs>
        <w:spacing w:line="360" w:lineRule="auto"/>
        <w:ind w:firstLine="0"/>
        <w:jc w:val="center"/>
      </w:pPr>
      <w:r w:rsidRPr="001267EB">
        <w:t xml:space="preserve">Šaltinis: </w:t>
      </w:r>
      <w:r>
        <w:t>sudaryta pagal programos Eviews 8 skaičiavimus</w:t>
      </w:r>
    </w:p>
    <w:p w:rsidR="00E04D30" w:rsidRDefault="00E04D30" w:rsidP="00E04D30">
      <w:pPr>
        <w:tabs>
          <w:tab w:val="left" w:pos="3585"/>
        </w:tabs>
        <w:spacing w:line="360" w:lineRule="auto"/>
        <w:jc w:val="center"/>
        <w:rPr>
          <w:sz w:val="24"/>
          <w:szCs w:val="24"/>
        </w:rPr>
      </w:pPr>
    </w:p>
    <w:p w:rsidR="00CD733C" w:rsidRDefault="00575B00" w:rsidP="00042C6F">
      <w:pPr>
        <w:tabs>
          <w:tab w:val="left" w:pos="3585"/>
        </w:tabs>
        <w:spacing w:line="360" w:lineRule="auto"/>
        <w:ind w:firstLine="720"/>
        <w:contextualSpacing/>
        <w:rPr>
          <w:sz w:val="24"/>
          <w:szCs w:val="24"/>
        </w:rPr>
      </w:pPr>
      <w:r>
        <w:rPr>
          <w:sz w:val="24"/>
          <w:szCs w:val="24"/>
        </w:rPr>
        <w:t xml:space="preserve">Lietuvos atveju </w:t>
      </w:r>
      <w:r w:rsidR="00333881">
        <w:rPr>
          <w:sz w:val="24"/>
          <w:szCs w:val="24"/>
        </w:rPr>
        <w:t xml:space="preserve">stiprus tiesinis teigiamas ryšys sieja </w:t>
      </w:r>
      <w:r>
        <w:rPr>
          <w:sz w:val="24"/>
          <w:szCs w:val="24"/>
        </w:rPr>
        <w:t xml:space="preserve">valstybės skolą ir </w:t>
      </w:r>
      <w:r w:rsidR="00225C25">
        <w:rPr>
          <w:sz w:val="24"/>
          <w:szCs w:val="24"/>
        </w:rPr>
        <w:t>valstybės skolos valdymo išlaidas</w:t>
      </w:r>
      <w:r>
        <w:rPr>
          <w:sz w:val="24"/>
          <w:szCs w:val="24"/>
        </w:rPr>
        <w:t xml:space="preserve"> </w:t>
      </w:r>
      <w:r w:rsidR="00225C25">
        <w:rPr>
          <w:sz w:val="24"/>
          <w:szCs w:val="24"/>
        </w:rPr>
        <w:t>(koreliacijos koeficientas 0,</w:t>
      </w:r>
      <w:r w:rsidR="00333881">
        <w:rPr>
          <w:sz w:val="24"/>
          <w:szCs w:val="24"/>
        </w:rPr>
        <w:t>9</w:t>
      </w:r>
      <w:r w:rsidR="00225C25">
        <w:rPr>
          <w:sz w:val="24"/>
          <w:szCs w:val="24"/>
        </w:rPr>
        <w:t>7</w:t>
      </w:r>
      <w:r>
        <w:rPr>
          <w:sz w:val="24"/>
          <w:szCs w:val="24"/>
        </w:rPr>
        <w:t xml:space="preserve">), </w:t>
      </w:r>
      <w:r w:rsidR="00D91BE0">
        <w:rPr>
          <w:sz w:val="24"/>
          <w:szCs w:val="24"/>
        </w:rPr>
        <w:t>tarp valstybės skolos ir BVP bei</w:t>
      </w:r>
      <w:r w:rsidR="005A3D91">
        <w:rPr>
          <w:sz w:val="24"/>
          <w:szCs w:val="24"/>
        </w:rPr>
        <w:t xml:space="preserve"> tarp </w:t>
      </w:r>
      <w:r w:rsidR="00D91BE0">
        <w:rPr>
          <w:sz w:val="24"/>
          <w:szCs w:val="24"/>
        </w:rPr>
        <w:t xml:space="preserve">valstybės skolos ir biudžeto deficito </w:t>
      </w:r>
      <w:r>
        <w:rPr>
          <w:sz w:val="24"/>
          <w:szCs w:val="24"/>
        </w:rPr>
        <w:t>matomas stiprus tiesinis ryšys (koreliacijos koeficientai atiti</w:t>
      </w:r>
      <w:r w:rsidR="00042C6F">
        <w:rPr>
          <w:sz w:val="24"/>
          <w:szCs w:val="24"/>
        </w:rPr>
        <w:t xml:space="preserve">nkamai 0,75 ir -0,72), o tarp valstybės skolos ir einamosios sąskaitos </w:t>
      </w:r>
      <w:r w:rsidR="004A3336">
        <w:rPr>
          <w:sz w:val="24"/>
          <w:szCs w:val="24"/>
        </w:rPr>
        <w:t>deficito/pertekliaus</w:t>
      </w:r>
      <w:r w:rsidR="00042C6F">
        <w:rPr>
          <w:sz w:val="24"/>
          <w:szCs w:val="24"/>
        </w:rPr>
        <w:t xml:space="preserve"> koreliacija yra silpna (0,40).</w:t>
      </w:r>
    </w:p>
    <w:p w:rsidR="00DB7FF1" w:rsidRDefault="00DB7FF1" w:rsidP="00333881">
      <w:pPr>
        <w:tabs>
          <w:tab w:val="left" w:pos="3585"/>
        </w:tabs>
        <w:spacing w:line="360" w:lineRule="auto"/>
        <w:ind w:firstLine="720"/>
        <w:contextualSpacing/>
        <w:rPr>
          <w:sz w:val="24"/>
          <w:szCs w:val="24"/>
        </w:rPr>
      </w:pPr>
      <w:r>
        <w:rPr>
          <w:sz w:val="24"/>
          <w:szCs w:val="24"/>
        </w:rPr>
        <w:t>Latvijos atveju situacija panaši kaip ir Liet</w:t>
      </w:r>
      <w:r w:rsidR="00042C6F">
        <w:rPr>
          <w:sz w:val="24"/>
          <w:szCs w:val="24"/>
        </w:rPr>
        <w:t>u</w:t>
      </w:r>
      <w:r>
        <w:rPr>
          <w:sz w:val="24"/>
          <w:szCs w:val="24"/>
        </w:rPr>
        <w:t xml:space="preserve">vos: tarp valstybės skolos ir </w:t>
      </w:r>
      <w:r w:rsidR="00333881">
        <w:rPr>
          <w:sz w:val="24"/>
          <w:szCs w:val="24"/>
        </w:rPr>
        <w:t>skolos valdymo išlaidų egzistuoja labai stiprus tiesinis tiesioginis ryšys (0,98). T</w:t>
      </w:r>
      <w:r>
        <w:rPr>
          <w:sz w:val="24"/>
          <w:szCs w:val="24"/>
        </w:rPr>
        <w:t>arp valstybės skolos ir BVP matoma stipri tiesinė teigiama priklausomybė (</w:t>
      </w:r>
      <w:r w:rsidR="00333881">
        <w:rPr>
          <w:sz w:val="24"/>
          <w:szCs w:val="24"/>
        </w:rPr>
        <w:t>0,73),</w:t>
      </w:r>
      <w:r>
        <w:rPr>
          <w:sz w:val="24"/>
          <w:szCs w:val="24"/>
        </w:rPr>
        <w:t xml:space="preserve"> tu</w:t>
      </w:r>
      <w:r w:rsidR="000B296A">
        <w:rPr>
          <w:sz w:val="24"/>
          <w:szCs w:val="24"/>
        </w:rPr>
        <w:t>o</w:t>
      </w:r>
      <w:r w:rsidR="00042C6F">
        <w:rPr>
          <w:sz w:val="24"/>
          <w:szCs w:val="24"/>
        </w:rPr>
        <w:t xml:space="preserve"> tarpu</w:t>
      </w:r>
      <w:r>
        <w:rPr>
          <w:sz w:val="24"/>
          <w:szCs w:val="24"/>
        </w:rPr>
        <w:t xml:space="preserve"> </w:t>
      </w:r>
      <w:r w:rsidR="000B296A">
        <w:rPr>
          <w:sz w:val="24"/>
          <w:szCs w:val="24"/>
        </w:rPr>
        <w:t xml:space="preserve">priklausomybę </w:t>
      </w:r>
      <w:r>
        <w:rPr>
          <w:sz w:val="24"/>
          <w:szCs w:val="24"/>
        </w:rPr>
        <w:t xml:space="preserve">tarp valstybės skolos ir biudžeto </w:t>
      </w:r>
      <w:r w:rsidR="000B296A">
        <w:rPr>
          <w:sz w:val="24"/>
          <w:szCs w:val="24"/>
        </w:rPr>
        <w:t>deficito jau būtų g</w:t>
      </w:r>
      <w:r w:rsidR="004520F2">
        <w:rPr>
          <w:sz w:val="24"/>
          <w:szCs w:val="24"/>
        </w:rPr>
        <w:t>alima įvardinti kaip vidutinę (</w:t>
      </w:r>
      <w:r w:rsidR="000B296A">
        <w:rPr>
          <w:sz w:val="24"/>
          <w:szCs w:val="24"/>
        </w:rPr>
        <w:t>-0,67).</w:t>
      </w:r>
      <w:r w:rsidR="00042C6F">
        <w:rPr>
          <w:sz w:val="24"/>
          <w:szCs w:val="24"/>
        </w:rPr>
        <w:t xml:space="preserve"> Ryšys tarp Latvijos valstybės skolos ir einamosios sąskaitos </w:t>
      </w:r>
      <w:r w:rsidR="004A3336">
        <w:rPr>
          <w:sz w:val="24"/>
          <w:szCs w:val="24"/>
        </w:rPr>
        <w:t>deficito/pertekliaus</w:t>
      </w:r>
      <w:r w:rsidR="00042C6F">
        <w:rPr>
          <w:sz w:val="24"/>
          <w:szCs w:val="24"/>
        </w:rPr>
        <w:t>, kaip ir Lietuvoje, yra silpnas (0,40).</w:t>
      </w:r>
    </w:p>
    <w:p w:rsidR="00CD733C" w:rsidRDefault="00E74BF7" w:rsidP="00E21372">
      <w:pPr>
        <w:tabs>
          <w:tab w:val="left" w:pos="3585"/>
        </w:tabs>
        <w:spacing w:line="360" w:lineRule="auto"/>
        <w:ind w:firstLine="720"/>
        <w:contextualSpacing/>
        <w:rPr>
          <w:sz w:val="24"/>
          <w:szCs w:val="24"/>
        </w:rPr>
      </w:pPr>
      <w:r>
        <w:rPr>
          <w:sz w:val="24"/>
          <w:szCs w:val="24"/>
        </w:rPr>
        <w:lastRenderedPageBreak/>
        <w:t>Estijos atveju</w:t>
      </w:r>
      <w:r w:rsidR="00E21372">
        <w:rPr>
          <w:sz w:val="24"/>
          <w:szCs w:val="24"/>
        </w:rPr>
        <w:t xml:space="preserve"> </w:t>
      </w:r>
      <w:r>
        <w:rPr>
          <w:sz w:val="24"/>
          <w:szCs w:val="24"/>
        </w:rPr>
        <w:t>stipri</w:t>
      </w:r>
      <w:r w:rsidR="00E21372">
        <w:rPr>
          <w:sz w:val="24"/>
          <w:szCs w:val="24"/>
        </w:rPr>
        <w:t xml:space="preserve"> tiesinė teigiama priklausomybė sieja valstybės skolą ir </w:t>
      </w:r>
      <w:r w:rsidR="00333881">
        <w:rPr>
          <w:sz w:val="24"/>
          <w:szCs w:val="24"/>
        </w:rPr>
        <w:t>BVP (0,82), Vidutinio stiprumo tiesinė teigiama priklausomybė sieja valstybės skolą ir einamosios sąskaitos deficitą/perteklių bei valstybės skolą ir skolos valdymo išlaidas (0,66 ir 0,68).</w:t>
      </w:r>
      <w:r w:rsidR="00E21372">
        <w:rPr>
          <w:sz w:val="24"/>
          <w:szCs w:val="24"/>
        </w:rPr>
        <w:t xml:space="preserve"> </w:t>
      </w:r>
      <w:r>
        <w:rPr>
          <w:sz w:val="24"/>
          <w:szCs w:val="24"/>
        </w:rPr>
        <w:t>T</w:t>
      </w:r>
      <w:r w:rsidR="00E21372">
        <w:rPr>
          <w:sz w:val="24"/>
          <w:szCs w:val="24"/>
        </w:rPr>
        <w:t>uo tarpu biudžeto deficitą/perteklių kitaip negu Lietuvoje ir Latvijoj</w:t>
      </w:r>
      <w:r w:rsidR="00C43892">
        <w:rPr>
          <w:sz w:val="24"/>
          <w:szCs w:val="24"/>
        </w:rPr>
        <w:t>e, Estijoje sieja labai silpna</w:t>
      </w:r>
      <w:r w:rsidR="00333881">
        <w:rPr>
          <w:sz w:val="24"/>
          <w:szCs w:val="24"/>
        </w:rPr>
        <w:t xml:space="preserve"> tiesinė priklausomybė (-0,21</w:t>
      </w:r>
      <w:r>
        <w:rPr>
          <w:sz w:val="24"/>
          <w:szCs w:val="24"/>
        </w:rPr>
        <w:t>).</w:t>
      </w:r>
    </w:p>
    <w:p w:rsidR="009735B1" w:rsidRDefault="004A3336" w:rsidP="009735B1">
      <w:pPr>
        <w:tabs>
          <w:tab w:val="left" w:pos="3585"/>
        </w:tabs>
        <w:spacing w:line="360" w:lineRule="auto"/>
        <w:ind w:firstLine="720"/>
        <w:contextualSpacing/>
        <w:rPr>
          <w:sz w:val="24"/>
          <w:szCs w:val="24"/>
        </w:rPr>
      </w:pPr>
      <w:r>
        <w:rPr>
          <w:sz w:val="24"/>
          <w:szCs w:val="24"/>
        </w:rPr>
        <w:t xml:space="preserve">Lietuvos ir Latvijos atvejais stiprus neigiamas tiesinis ryšys atsiskleidė </w:t>
      </w:r>
      <w:r w:rsidR="00716D33">
        <w:rPr>
          <w:sz w:val="24"/>
          <w:szCs w:val="24"/>
        </w:rPr>
        <w:t xml:space="preserve">ir </w:t>
      </w:r>
      <w:r>
        <w:rPr>
          <w:sz w:val="24"/>
          <w:szCs w:val="24"/>
        </w:rPr>
        <w:t>tarp dviejų nepriklausomų kintamųjų: valstybės skolos valdymo</w:t>
      </w:r>
      <w:r w:rsidR="004520F2">
        <w:rPr>
          <w:sz w:val="24"/>
          <w:szCs w:val="24"/>
        </w:rPr>
        <w:t xml:space="preserve"> išlaidų ir biudžeto deficito (</w:t>
      </w:r>
      <w:r>
        <w:rPr>
          <w:sz w:val="24"/>
          <w:szCs w:val="24"/>
        </w:rPr>
        <w:t xml:space="preserve">abiejose šalyse koreliacijos koeficientai -0,7). Tai </w:t>
      </w:r>
      <w:r w:rsidR="00716D33">
        <w:rPr>
          <w:sz w:val="24"/>
          <w:szCs w:val="24"/>
        </w:rPr>
        <w:t>į</w:t>
      </w:r>
      <w:r>
        <w:rPr>
          <w:sz w:val="24"/>
          <w:szCs w:val="24"/>
        </w:rPr>
        <w:t xml:space="preserve">rodo, jog </w:t>
      </w:r>
      <w:r w:rsidR="00B12CB5">
        <w:rPr>
          <w:sz w:val="24"/>
          <w:szCs w:val="24"/>
        </w:rPr>
        <w:t>didėjant</w:t>
      </w:r>
      <w:r>
        <w:rPr>
          <w:sz w:val="24"/>
          <w:szCs w:val="24"/>
        </w:rPr>
        <w:t xml:space="preserve"> valstybės skolos aptarnavimo išlaidoms, </w:t>
      </w:r>
      <w:r w:rsidR="00B8746F">
        <w:rPr>
          <w:sz w:val="24"/>
          <w:szCs w:val="24"/>
        </w:rPr>
        <w:t xml:space="preserve">biudžeto </w:t>
      </w:r>
      <w:r w:rsidR="001E053A">
        <w:rPr>
          <w:sz w:val="24"/>
          <w:szCs w:val="24"/>
        </w:rPr>
        <w:t xml:space="preserve">deficitas </w:t>
      </w:r>
      <w:r w:rsidR="00B12CB5">
        <w:rPr>
          <w:sz w:val="24"/>
          <w:szCs w:val="24"/>
        </w:rPr>
        <w:t>didėja</w:t>
      </w:r>
      <w:r w:rsidR="001E053A">
        <w:rPr>
          <w:sz w:val="24"/>
          <w:szCs w:val="24"/>
        </w:rPr>
        <w:t xml:space="preserve"> (</w:t>
      </w:r>
      <w:r w:rsidR="00B12CB5">
        <w:rPr>
          <w:sz w:val="24"/>
          <w:szCs w:val="24"/>
        </w:rPr>
        <w:t>t.y. skaičius mažėja, atsiranda vis didesnis minusas</w:t>
      </w:r>
      <w:r w:rsidR="005A3D91">
        <w:rPr>
          <w:sz w:val="24"/>
          <w:szCs w:val="24"/>
        </w:rPr>
        <w:t>)</w:t>
      </w:r>
      <w:r w:rsidR="00B12CB5">
        <w:rPr>
          <w:sz w:val="24"/>
          <w:szCs w:val="24"/>
        </w:rPr>
        <w:t xml:space="preserve"> ir atvirkščiai.</w:t>
      </w:r>
    </w:p>
    <w:p w:rsidR="00632A5D" w:rsidRPr="001C07E4" w:rsidRDefault="00C33064" w:rsidP="007038EF">
      <w:pPr>
        <w:tabs>
          <w:tab w:val="left" w:pos="3585"/>
        </w:tabs>
        <w:spacing w:line="360" w:lineRule="auto"/>
        <w:ind w:firstLine="720"/>
        <w:contextualSpacing/>
        <w:rPr>
          <w:sz w:val="24"/>
          <w:szCs w:val="24"/>
          <w:lang w:val="en-US"/>
        </w:rPr>
      </w:pPr>
      <w:r w:rsidRPr="00C33064">
        <w:rPr>
          <w:sz w:val="24"/>
          <w:szCs w:val="24"/>
        </w:rPr>
        <w:t xml:space="preserve">Siekiant įvertinti koreliacijos koeficientų reikšmingumą, naudotąsi t (Stjudento) kriterijumi. Programa apskaičiuotos šio kriterijaus </w:t>
      </w:r>
      <w:r w:rsidRPr="00303ADD">
        <w:rPr>
          <w:sz w:val="24"/>
          <w:szCs w:val="24"/>
        </w:rPr>
        <w:t xml:space="preserve">statistikos (žr. </w:t>
      </w:r>
      <w:r w:rsidR="00C55ECB">
        <w:rPr>
          <w:sz w:val="24"/>
          <w:szCs w:val="24"/>
        </w:rPr>
        <w:t xml:space="preserve"> 8 – 10 </w:t>
      </w:r>
      <w:r w:rsidR="002D103A" w:rsidRPr="00303ADD">
        <w:rPr>
          <w:sz w:val="24"/>
          <w:szCs w:val="24"/>
        </w:rPr>
        <w:t>p</w:t>
      </w:r>
      <w:r w:rsidRPr="00303ADD">
        <w:rPr>
          <w:sz w:val="24"/>
          <w:szCs w:val="24"/>
        </w:rPr>
        <w:t>rieda</w:t>
      </w:r>
      <w:r w:rsidR="002D103A" w:rsidRPr="00303ADD">
        <w:rPr>
          <w:sz w:val="24"/>
          <w:szCs w:val="24"/>
        </w:rPr>
        <w:t>i, 6 pav.</w:t>
      </w:r>
      <w:r w:rsidR="00632A5D" w:rsidRPr="00303ADD">
        <w:rPr>
          <w:sz w:val="24"/>
          <w:szCs w:val="24"/>
        </w:rPr>
        <w:t xml:space="preserve">), </w:t>
      </w:r>
      <w:r w:rsidRPr="00303ADD">
        <w:rPr>
          <w:sz w:val="24"/>
          <w:szCs w:val="24"/>
        </w:rPr>
        <w:t>o iš statistinių lentelių nustatyta kritinė teorinė kriterijaus reikšmė ( pasirenkamas pasikliautinumo lygmuo</w:t>
      </w:r>
      <w:r w:rsidRPr="00C33064">
        <w:rPr>
          <w:sz w:val="24"/>
          <w:szCs w:val="24"/>
        </w:rPr>
        <w:t xml:space="preserve"> -  0,05): t</w:t>
      </w:r>
      <w:r w:rsidR="00632A5D">
        <w:rPr>
          <w:sz w:val="24"/>
          <w:szCs w:val="24"/>
          <w:vertAlign w:val="subscript"/>
        </w:rPr>
        <w:t>0,025;11</w:t>
      </w:r>
      <w:r w:rsidRPr="00C33064">
        <w:rPr>
          <w:sz w:val="24"/>
          <w:szCs w:val="24"/>
          <w:vertAlign w:val="subscript"/>
        </w:rPr>
        <w:t xml:space="preserve"> </w:t>
      </w:r>
      <w:r w:rsidRPr="00C33064">
        <w:rPr>
          <w:sz w:val="24"/>
          <w:szCs w:val="24"/>
        </w:rPr>
        <w:t>= 2,</w:t>
      </w:r>
      <w:r w:rsidR="00632A5D">
        <w:rPr>
          <w:sz w:val="24"/>
          <w:szCs w:val="24"/>
        </w:rPr>
        <w:t>201</w:t>
      </w:r>
      <w:r w:rsidR="008563CF">
        <w:rPr>
          <w:sz w:val="24"/>
          <w:szCs w:val="24"/>
        </w:rPr>
        <w:t>, t</w:t>
      </w:r>
      <w:r w:rsidR="008563CF">
        <w:rPr>
          <w:sz w:val="24"/>
          <w:szCs w:val="24"/>
          <w:vertAlign w:val="subscript"/>
        </w:rPr>
        <w:t>0,025;10</w:t>
      </w:r>
      <w:r w:rsidR="008563CF">
        <w:rPr>
          <w:sz w:val="24"/>
          <w:szCs w:val="24"/>
          <w:lang w:val="en-US"/>
        </w:rPr>
        <w:t>=2,228.</w:t>
      </w:r>
      <w:r w:rsidRPr="00C33064">
        <w:rPr>
          <w:sz w:val="24"/>
          <w:szCs w:val="24"/>
        </w:rPr>
        <w:t xml:space="preserve"> </w:t>
      </w:r>
      <w:r w:rsidR="00632A5D">
        <w:rPr>
          <w:sz w:val="24"/>
          <w:szCs w:val="24"/>
        </w:rPr>
        <w:t>R</w:t>
      </w:r>
      <w:r w:rsidRPr="00C33064">
        <w:rPr>
          <w:sz w:val="24"/>
          <w:szCs w:val="24"/>
        </w:rPr>
        <w:t>eikšminiais galima laikyti</w:t>
      </w:r>
      <w:r w:rsidR="00632A5D">
        <w:rPr>
          <w:sz w:val="24"/>
          <w:szCs w:val="24"/>
        </w:rPr>
        <w:t xml:space="preserve"> tuos</w:t>
      </w:r>
      <w:r w:rsidRPr="00C33064">
        <w:rPr>
          <w:sz w:val="24"/>
          <w:szCs w:val="24"/>
        </w:rPr>
        <w:t xml:space="preserve"> koreliacijos koeficentus</w:t>
      </w:r>
      <w:r w:rsidR="00632A5D">
        <w:rPr>
          <w:sz w:val="24"/>
          <w:szCs w:val="24"/>
        </w:rPr>
        <w:t xml:space="preserve">, kurių apskaičiuota t kriterijaus reikšmė yra didesnė negu teorinė. </w:t>
      </w:r>
      <w:r w:rsidR="00B12CB5">
        <w:rPr>
          <w:sz w:val="24"/>
          <w:szCs w:val="24"/>
        </w:rPr>
        <w:t>Lietuvos ir Latvijos</w:t>
      </w:r>
      <w:r w:rsidR="007038EF">
        <w:rPr>
          <w:sz w:val="24"/>
          <w:szCs w:val="24"/>
        </w:rPr>
        <w:t xml:space="preserve"> atvejais nereikšminiais galima laikyti koreliacijos koeficientus tarp valstybės skolos ir einamosios sąskaitos </w:t>
      </w:r>
      <w:r w:rsidR="008D614D">
        <w:rPr>
          <w:sz w:val="24"/>
          <w:szCs w:val="24"/>
        </w:rPr>
        <w:t>deficito/pertekliaus</w:t>
      </w:r>
      <w:r w:rsidR="007038EF">
        <w:rPr>
          <w:sz w:val="24"/>
          <w:szCs w:val="24"/>
        </w:rPr>
        <w:t xml:space="preserve">, </w:t>
      </w:r>
      <w:r w:rsidR="00632A5D">
        <w:rPr>
          <w:sz w:val="24"/>
          <w:szCs w:val="24"/>
        </w:rPr>
        <w:t>tuo tarpu Estijoje nereikšminiu koreliacijos koeficientu turėtų būti laikomas koeficientas tarp valstybės skolos ir biudžeto deficito/pertekliaus</w:t>
      </w:r>
      <w:r w:rsidR="007038EF">
        <w:rPr>
          <w:sz w:val="24"/>
          <w:szCs w:val="24"/>
        </w:rPr>
        <w:t>.</w:t>
      </w:r>
    </w:p>
    <w:p w:rsidR="00405039" w:rsidRDefault="00987AD7" w:rsidP="00405039">
      <w:pPr>
        <w:tabs>
          <w:tab w:val="left" w:pos="3585"/>
        </w:tabs>
        <w:spacing w:line="360" w:lineRule="auto"/>
        <w:ind w:firstLine="720"/>
        <w:contextualSpacing/>
        <w:rPr>
          <w:sz w:val="24"/>
          <w:szCs w:val="24"/>
        </w:rPr>
      </w:pPr>
      <w:r w:rsidRPr="0035197E">
        <w:rPr>
          <w:sz w:val="24"/>
          <w:szCs w:val="24"/>
        </w:rPr>
        <w:t xml:space="preserve">Toliau atsižvelgiant į koreliacijos koeficientus ir jų reikšmingumus, valstybės skolos prognozavimui atsirenkami nepriklausomi kintamieji. </w:t>
      </w:r>
      <w:r w:rsidR="00DE604F" w:rsidRPr="0035197E">
        <w:rPr>
          <w:sz w:val="24"/>
          <w:szCs w:val="24"/>
        </w:rPr>
        <w:t xml:space="preserve">Kadangi visų trijų šalių atveju stiprus tiesinis ryšys sieja valstybės skolą ir BVP, tai valstybės skolos prognozavimui </w:t>
      </w:r>
      <w:r w:rsidRPr="0035197E">
        <w:rPr>
          <w:sz w:val="24"/>
          <w:szCs w:val="24"/>
        </w:rPr>
        <w:t xml:space="preserve">vienu iš kintamųjų </w:t>
      </w:r>
      <w:r w:rsidR="003A4375" w:rsidRPr="0035197E">
        <w:rPr>
          <w:sz w:val="24"/>
          <w:szCs w:val="24"/>
        </w:rPr>
        <w:t xml:space="preserve">bus </w:t>
      </w:r>
      <w:r w:rsidRPr="0035197E">
        <w:rPr>
          <w:sz w:val="24"/>
          <w:szCs w:val="24"/>
        </w:rPr>
        <w:t>pasirenkamas</w:t>
      </w:r>
      <w:r w:rsidR="00DE604F" w:rsidRPr="0035197E">
        <w:rPr>
          <w:sz w:val="24"/>
          <w:szCs w:val="24"/>
        </w:rPr>
        <w:t xml:space="preserve"> BVP. Lietuvoje ir Latvijoje į prognozavimui skirtą modelį bus įtraukiamos </w:t>
      </w:r>
      <w:r w:rsidR="002E4BBA">
        <w:rPr>
          <w:sz w:val="24"/>
          <w:szCs w:val="24"/>
        </w:rPr>
        <w:t xml:space="preserve">ir </w:t>
      </w:r>
      <w:r w:rsidR="00DE604F" w:rsidRPr="0035197E">
        <w:rPr>
          <w:sz w:val="24"/>
          <w:szCs w:val="24"/>
        </w:rPr>
        <w:t xml:space="preserve">valstybės skolos valdymo išlaidos, kadangi jas ir valstybės skolą </w:t>
      </w:r>
      <w:r w:rsidR="002E4BBA">
        <w:rPr>
          <w:sz w:val="24"/>
          <w:szCs w:val="24"/>
        </w:rPr>
        <w:t>čia</w:t>
      </w:r>
      <w:r w:rsidR="00DE604F" w:rsidRPr="0035197E">
        <w:rPr>
          <w:sz w:val="24"/>
          <w:szCs w:val="24"/>
        </w:rPr>
        <w:t xml:space="preserve"> sieja labai stiprus tiesinis ryšys. </w:t>
      </w:r>
      <w:r w:rsidR="00405039">
        <w:rPr>
          <w:sz w:val="24"/>
          <w:szCs w:val="24"/>
        </w:rPr>
        <w:t>Estijos atveju antru nepriklausomu kintamuoju buvo pasirinktas einamosios sąskai</w:t>
      </w:r>
      <w:r w:rsidR="002E4BBA">
        <w:rPr>
          <w:sz w:val="24"/>
          <w:szCs w:val="24"/>
        </w:rPr>
        <w:t>t</w:t>
      </w:r>
      <w:r w:rsidR="00405039">
        <w:rPr>
          <w:sz w:val="24"/>
          <w:szCs w:val="24"/>
        </w:rPr>
        <w:t>os deficitas/perteklius, o ne skolos aptarnavimo išlaidos, kadangi skolos aptarnavimo išlaidas ir kitą nepriklausomą kintamąjį BVP sieja stiprus tarpusavio ryšys ( koreliacijos koeficientas 0,82</w:t>
      </w:r>
      <w:r w:rsidR="00405039" w:rsidRPr="00405039">
        <w:rPr>
          <w:sz w:val="24"/>
          <w:szCs w:val="24"/>
        </w:rPr>
        <w:t xml:space="preserve">), todėl </w:t>
      </w:r>
      <w:r w:rsidR="00F26200">
        <w:rPr>
          <w:sz w:val="24"/>
          <w:szCs w:val="24"/>
        </w:rPr>
        <w:t>atsirastų multikolinearumo p</w:t>
      </w:r>
      <w:r w:rsidR="004520F2">
        <w:rPr>
          <w:sz w:val="24"/>
          <w:szCs w:val="24"/>
        </w:rPr>
        <w:t>r</w:t>
      </w:r>
      <w:r w:rsidR="00F26200">
        <w:rPr>
          <w:sz w:val="24"/>
          <w:szCs w:val="24"/>
        </w:rPr>
        <w:t xml:space="preserve">oblema ir </w:t>
      </w:r>
      <w:r w:rsidR="00405039" w:rsidRPr="00405039">
        <w:rPr>
          <w:sz w:val="24"/>
          <w:szCs w:val="24"/>
        </w:rPr>
        <w:t>jo įtraukimas į modelį galėtų prognozuojamą rezultatą daryti mažiau tiksliu.</w:t>
      </w:r>
    </w:p>
    <w:p w:rsidR="00045F2C" w:rsidRPr="0035197E" w:rsidRDefault="0035197E" w:rsidP="00405039">
      <w:pPr>
        <w:tabs>
          <w:tab w:val="left" w:pos="3585"/>
        </w:tabs>
        <w:spacing w:line="360" w:lineRule="auto"/>
        <w:ind w:firstLine="720"/>
        <w:contextualSpacing/>
        <w:rPr>
          <w:sz w:val="24"/>
          <w:szCs w:val="24"/>
        </w:rPr>
      </w:pPr>
      <w:r w:rsidRPr="0035197E">
        <w:rPr>
          <w:sz w:val="24"/>
          <w:szCs w:val="24"/>
        </w:rPr>
        <w:t>Kadangi visose trijose šalyse valstybės skolos prognozavimui atrinkt</w:t>
      </w:r>
      <w:r w:rsidR="00D353CC">
        <w:rPr>
          <w:sz w:val="24"/>
          <w:szCs w:val="24"/>
        </w:rPr>
        <w:t>a po</w:t>
      </w:r>
      <w:r w:rsidRPr="0035197E">
        <w:rPr>
          <w:sz w:val="24"/>
          <w:szCs w:val="24"/>
        </w:rPr>
        <w:t xml:space="preserve"> du </w:t>
      </w:r>
      <w:r w:rsidR="00D353CC">
        <w:rPr>
          <w:sz w:val="24"/>
          <w:szCs w:val="24"/>
        </w:rPr>
        <w:t>nepriklausomus kintamuosius</w:t>
      </w:r>
      <w:r w:rsidR="00926CEC" w:rsidRPr="0035197E">
        <w:rPr>
          <w:sz w:val="24"/>
          <w:szCs w:val="24"/>
        </w:rPr>
        <w:t>, tai bus naudojamas daugialypės tie</w:t>
      </w:r>
      <w:r w:rsidRPr="0035197E">
        <w:rPr>
          <w:sz w:val="24"/>
          <w:szCs w:val="24"/>
        </w:rPr>
        <w:t xml:space="preserve">sinės regresijos modelis (DTR). </w:t>
      </w:r>
    </w:p>
    <w:p w:rsidR="002E4BBA" w:rsidRDefault="002E4BBA" w:rsidP="006613E5">
      <w:pPr>
        <w:tabs>
          <w:tab w:val="left" w:pos="3585"/>
        </w:tabs>
        <w:spacing w:line="360" w:lineRule="auto"/>
        <w:ind w:firstLine="0"/>
        <w:contextualSpacing/>
        <w:rPr>
          <w:b/>
          <w:i/>
          <w:sz w:val="24"/>
          <w:szCs w:val="24"/>
        </w:rPr>
      </w:pPr>
    </w:p>
    <w:p w:rsidR="004A43BF" w:rsidRDefault="00DA5921" w:rsidP="004A43BF">
      <w:pPr>
        <w:tabs>
          <w:tab w:val="left" w:pos="3585"/>
        </w:tabs>
        <w:spacing w:line="360" w:lineRule="auto"/>
        <w:ind w:firstLine="720"/>
        <w:contextualSpacing/>
        <w:rPr>
          <w:b/>
          <w:i/>
          <w:sz w:val="24"/>
          <w:szCs w:val="24"/>
        </w:rPr>
      </w:pPr>
      <w:r w:rsidRPr="00DA5921">
        <w:rPr>
          <w:b/>
          <w:i/>
          <w:sz w:val="24"/>
          <w:szCs w:val="24"/>
        </w:rPr>
        <w:t>Lietuvos valstybės skolos prognozavimas</w:t>
      </w:r>
      <w:r w:rsidR="00150BD1">
        <w:rPr>
          <w:b/>
          <w:i/>
          <w:sz w:val="24"/>
          <w:szCs w:val="24"/>
        </w:rPr>
        <w:t xml:space="preserve"> DTR modeliu</w:t>
      </w:r>
    </w:p>
    <w:p w:rsidR="001C07E4" w:rsidRDefault="001C07E4" w:rsidP="004A43BF">
      <w:pPr>
        <w:tabs>
          <w:tab w:val="left" w:pos="3585"/>
        </w:tabs>
        <w:spacing w:line="360" w:lineRule="auto"/>
        <w:ind w:firstLine="720"/>
        <w:contextualSpacing/>
        <w:rPr>
          <w:b/>
          <w:i/>
          <w:sz w:val="24"/>
          <w:szCs w:val="24"/>
        </w:rPr>
      </w:pPr>
    </w:p>
    <w:p w:rsidR="00DA5921" w:rsidRPr="0085424C" w:rsidRDefault="004A43BF" w:rsidP="00AF6A0D">
      <w:pPr>
        <w:tabs>
          <w:tab w:val="left" w:pos="3585"/>
        </w:tabs>
        <w:spacing w:line="360" w:lineRule="auto"/>
        <w:ind w:firstLine="720"/>
        <w:contextualSpacing/>
        <w:rPr>
          <w:b/>
          <w:i/>
          <w:sz w:val="24"/>
          <w:szCs w:val="24"/>
        </w:rPr>
      </w:pPr>
      <w:r w:rsidRPr="004A43BF">
        <w:rPr>
          <w:sz w:val="24"/>
          <w:szCs w:val="24"/>
        </w:rPr>
        <w:t>„Eviews</w:t>
      </w:r>
      <w:r>
        <w:rPr>
          <w:sz w:val="24"/>
          <w:szCs w:val="24"/>
        </w:rPr>
        <w:t xml:space="preserve"> 8</w:t>
      </w:r>
      <w:r w:rsidRPr="004A43BF">
        <w:rPr>
          <w:sz w:val="24"/>
          <w:szCs w:val="24"/>
        </w:rPr>
        <w:t>“</w:t>
      </w:r>
      <w:r>
        <w:rPr>
          <w:sz w:val="24"/>
          <w:szCs w:val="24"/>
        </w:rPr>
        <w:t xml:space="preserve"> programa buvo sukurtas D</w:t>
      </w:r>
      <w:r w:rsidRPr="004A43BF">
        <w:rPr>
          <w:sz w:val="24"/>
          <w:szCs w:val="24"/>
        </w:rPr>
        <w:t xml:space="preserve">TR modelis Lietuvos valstybės </w:t>
      </w:r>
      <w:r w:rsidRPr="0085424C">
        <w:rPr>
          <w:sz w:val="24"/>
          <w:szCs w:val="24"/>
        </w:rPr>
        <w:t>skolai prognozuoti.</w:t>
      </w:r>
      <w:r w:rsidRPr="0085424C">
        <w:rPr>
          <w:b/>
          <w:i/>
          <w:sz w:val="24"/>
          <w:szCs w:val="24"/>
        </w:rPr>
        <w:t xml:space="preserve"> </w:t>
      </w:r>
      <w:r w:rsidR="00DA5921" w:rsidRPr="0085424C">
        <w:rPr>
          <w:sz w:val="24"/>
          <w:szCs w:val="24"/>
        </w:rPr>
        <w:t>Patikrinus sudaryto modelio polinkių ir determinacijos k</w:t>
      </w:r>
      <w:r w:rsidRPr="0085424C">
        <w:rPr>
          <w:sz w:val="24"/>
          <w:szCs w:val="24"/>
        </w:rPr>
        <w:t>oeficiento reikšmingumus</w:t>
      </w:r>
      <w:r w:rsidR="006C22B2" w:rsidRPr="0085424C">
        <w:rPr>
          <w:sz w:val="24"/>
          <w:szCs w:val="24"/>
        </w:rPr>
        <w:t xml:space="preserve"> (žr. </w:t>
      </w:r>
      <w:r w:rsidR="00A95662">
        <w:rPr>
          <w:sz w:val="24"/>
          <w:szCs w:val="24"/>
        </w:rPr>
        <w:t xml:space="preserve">8 </w:t>
      </w:r>
      <w:r w:rsidR="002D103A" w:rsidRPr="0085424C">
        <w:rPr>
          <w:sz w:val="24"/>
          <w:szCs w:val="24"/>
        </w:rPr>
        <w:t>p</w:t>
      </w:r>
      <w:r w:rsidR="006C22B2" w:rsidRPr="0085424C">
        <w:rPr>
          <w:sz w:val="24"/>
          <w:szCs w:val="24"/>
        </w:rPr>
        <w:t>riedas).</w:t>
      </w:r>
      <w:r w:rsidRPr="0085424C">
        <w:rPr>
          <w:sz w:val="24"/>
          <w:szCs w:val="24"/>
        </w:rPr>
        <w:t xml:space="preserve">, </w:t>
      </w:r>
      <w:r w:rsidR="00DA5921" w:rsidRPr="0085424C">
        <w:rPr>
          <w:sz w:val="24"/>
          <w:szCs w:val="24"/>
        </w:rPr>
        <w:lastRenderedPageBreak/>
        <w:t>išsiaiškinta, jog šie yra reikšminiai, vadinasi ir sudarytas daugialypės regresijos modelis yra reikšminis ir tinkamas prognozavimui</w:t>
      </w:r>
      <w:r w:rsidR="00451FEC">
        <w:rPr>
          <w:sz w:val="24"/>
          <w:szCs w:val="24"/>
        </w:rPr>
        <w:t>.</w:t>
      </w:r>
    </w:p>
    <w:p w:rsidR="004A43BF" w:rsidRDefault="004A43BF" w:rsidP="00AF6A0D">
      <w:pPr>
        <w:spacing w:line="360" w:lineRule="auto"/>
        <w:contextualSpacing/>
        <w:rPr>
          <w:sz w:val="24"/>
          <w:szCs w:val="24"/>
        </w:rPr>
      </w:pPr>
      <w:r w:rsidRPr="0085424C">
        <w:rPr>
          <w:sz w:val="24"/>
          <w:szCs w:val="24"/>
        </w:rPr>
        <w:t xml:space="preserve">Sudaryto modelio </w:t>
      </w:r>
      <w:r w:rsidR="00225C25">
        <w:rPr>
          <w:sz w:val="24"/>
          <w:szCs w:val="24"/>
        </w:rPr>
        <w:t xml:space="preserve">pataisyto </w:t>
      </w:r>
      <w:r w:rsidRPr="0085424C">
        <w:rPr>
          <w:sz w:val="24"/>
          <w:szCs w:val="24"/>
        </w:rPr>
        <w:t>determinacijos k</w:t>
      </w:r>
      <w:r w:rsidR="00225C25">
        <w:rPr>
          <w:sz w:val="24"/>
          <w:szCs w:val="24"/>
        </w:rPr>
        <w:t>oeficiento reikšmė lygi 0,988956</w:t>
      </w:r>
      <w:r w:rsidR="0087745A" w:rsidRPr="0085424C">
        <w:rPr>
          <w:sz w:val="24"/>
          <w:szCs w:val="24"/>
        </w:rPr>
        <w:t xml:space="preserve"> (</w:t>
      </w:r>
      <w:r w:rsidR="00C55ECB">
        <w:rPr>
          <w:sz w:val="24"/>
          <w:szCs w:val="24"/>
        </w:rPr>
        <w:t>8</w:t>
      </w:r>
      <w:r w:rsidR="0085424C">
        <w:rPr>
          <w:sz w:val="24"/>
          <w:szCs w:val="24"/>
        </w:rPr>
        <w:t xml:space="preserve"> </w:t>
      </w:r>
      <w:r w:rsidR="0087745A" w:rsidRPr="0085424C">
        <w:rPr>
          <w:sz w:val="24"/>
          <w:szCs w:val="24"/>
        </w:rPr>
        <w:t>priedas</w:t>
      </w:r>
      <w:r w:rsidR="002D103A" w:rsidRPr="0085424C">
        <w:rPr>
          <w:sz w:val="24"/>
          <w:szCs w:val="24"/>
        </w:rPr>
        <w:t>, 7 pav.</w:t>
      </w:r>
      <w:r w:rsidR="0087745A" w:rsidRPr="0085424C">
        <w:rPr>
          <w:sz w:val="24"/>
          <w:szCs w:val="24"/>
        </w:rPr>
        <w:t>)</w:t>
      </w:r>
      <w:r w:rsidRPr="0085424C">
        <w:rPr>
          <w:sz w:val="24"/>
          <w:szCs w:val="24"/>
        </w:rPr>
        <w:t>, o tai</w:t>
      </w:r>
      <w:r w:rsidRPr="004A43BF">
        <w:rPr>
          <w:sz w:val="24"/>
          <w:szCs w:val="24"/>
        </w:rPr>
        <w:t xml:space="preserve"> rodo, kad </w:t>
      </w:r>
      <w:r>
        <w:rPr>
          <w:sz w:val="24"/>
          <w:szCs w:val="24"/>
        </w:rPr>
        <w:t>Lietuvos vals</w:t>
      </w:r>
      <w:r w:rsidR="00225C25">
        <w:rPr>
          <w:sz w:val="24"/>
          <w:szCs w:val="24"/>
        </w:rPr>
        <w:t>tybės skolos dydžio kitimui 98,9</w:t>
      </w:r>
      <w:r>
        <w:rPr>
          <w:sz w:val="24"/>
          <w:szCs w:val="24"/>
        </w:rPr>
        <w:t xml:space="preserve"> proc. poveikį daro </w:t>
      </w:r>
      <w:r w:rsidR="007F17C4">
        <w:rPr>
          <w:sz w:val="24"/>
          <w:szCs w:val="24"/>
        </w:rPr>
        <w:t xml:space="preserve">BVP ir valstybės skolos valdymo išlaidų </w:t>
      </w:r>
      <w:r w:rsidR="00225C25">
        <w:rPr>
          <w:sz w:val="24"/>
          <w:szCs w:val="24"/>
        </w:rPr>
        <w:t>pokyčiai, tuo tarpu 1,1</w:t>
      </w:r>
      <w:r>
        <w:rPr>
          <w:sz w:val="24"/>
          <w:szCs w:val="24"/>
        </w:rPr>
        <w:t xml:space="preserve"> proc. – kiti neįvertinti veiksniai.</w:t>
      </w:r>
    </w:p>
    <w:p w:rsidR="00CD733C" w:rsidRPr="00E64C65" w:rsidRDefault="0087745A" w:rsidP="00225C25">
      <w:pPr>
        <w:spacing w:line="360" w:lineRule="auto"/>
        <w:contextualSpacing/>
        <w:rPr>
          <w:sz w:val="24"/>
          <w:szCs w:val="24"/>
        </w:rPr>
      </w:pPr>
      <w:r w:rsidRPr="0087745A">
        <w:rPr>
          <w:sz w:val="24"/>
          <w:szCs w:val="24"/>
        </w:rPr>
        <w:t xml:space="preserve">Naudojantis programa sudaryta </w:t>
      </w:r>
      <w:r w:rsidRPr="0085424C">
        <w:rPr>
          <w:sz w:val="24"/>
          <w:szCs w:val="24"/>
        </w:rPr>
        <w:t>lygtimi (</w:t>
      </w:r>
      <w:r w:rsidR="00C55ECB">
        <w:rPr>
          <w:sz w:val="24"/>
          <w:szCs w:val="24"/>
        </w:rPr>
        <w:t>žr. 8</w:t>
      </w:r>
      <w:r w:rsidR="002D103A" w:rsidRPr="0085424C">
        <w:rPr>
          <w:sz w:val="24"/>
          <w:szCs w:val="24"/>
        </w:rPr>
        <w:t xml:space="preserve"> </w:t>
      </w:r>
      <w:r w:rsidRPr="0085424C">
        <w:rPr>
          <w:sz w:val="24"/>
          <w:szCs w:val="24"/>
        </w:rPr>
        <w:t>priedas</w:t>
      </w:r>
      <w:r w:rsidR="002D103A" w:rsidRPr="0085424C">
        <w:rPr>
          <w:sz w:val="24"/>
          <w:szCs w:val="24"/>
        </w:rPr>
        <w:t>, 8 pav.</w:t>
      </w:r>
      <w:r w:rsidRPr="0085424C">
        <w:rPr>
          <w:sz w:val="24"/>
          <w:szCs w:val="24"/>
        </w:rPr>
        <w:t>) prognozuojama</w:t>
      </w:r>
      <w:r w:rsidRPr="0087745A">
        <w:rPr>
          <w:sz w:val="24"/>
          <w:szCs w:val="24"/>
        </w:rPr>
        <w:t xml:space="preserve"> Lietuvos valstybės skola 2013 m</w:t>
      </w:r>
      <w:r>
        <w:rPr>
          <w:sz w:val="24"/>
          <w:szCs w:val="24"/>
        </w:rPr>
        <w:t>etams.</w:t>
      </w:r>
      <w:r w:rsidRPr="0087745A">
        <w:rPr>
          <w:sz w:val="24"/>
          <w:szCs w:val="24"/>
        </w:rPr>
        <w:t xml:space="preserve"> </w:t>
      </w:r>
      <w:r w:rsidR="001A245F">
        <w:rPr>
          <w:sz w:val="24"/>
          <w:szCs w:val="24"/>
        </w:rPr>
        <w:t xml:space="preserve">Įstačius į lygtį 2013 m. prognozuojamas Lietuvos </w:t>
      </w:r>
      <w:r w:rsidR="00225C25">
        <w:rPr>
          <w:sz w:val="24"/>
          <w:szCs w:val="24"/>
        </w:rPr>
        <w:t>BVP ir išlaidas palūkanoms</w:t>
      </w:r>
      <w:r w:rsidR="004648A6">
        <w:rPr>
          <w:sz w:val="24"/>
          <w:szCs w:val="24"/>
        </w:rPr>
        <w:t xml:space="preserve"> už valstybės skolą </w:t>
      </w:r>
      <w:r w:rsidR="001A245F">
        <w:rPr>
          <w:sz w:val="24"/>
          <w:szCs w:val="24"/>
        </w:rPr>
        <w:t xml:space="preserve">(pagal Europos statistikos departamentą 2013 m. </w:t>
      </w:r>
      <w:r w:rsidR="00225C25">
        <w:rPr>
          <w:sz w:val="24"/>
          <w:szCs w:val="24"/>
        </w:rPr>
        <w:t>BVP</w:t>
      </w:r>
      <w:r w:rsidR="001A245F">
        <w:rPr>
          <w:sz w:val="24"/>
          <w:szCs w:val="24"/>
        </w:rPr>
        <w:t xml:space="preserve"> – </w:t>
      </w:r>
      <w:r w:rsidR="003619BB">
        <w:rPr>
          <w:sz w:val="24"/>
          <w:szCs w:val="24"/>
        </w:rPr>
        <w:t>34704,9</w:t>
      </w:r>
      <w:r w:rsidR="001A245F">
        <w:rPr>
          <w:sz w:val="24"/>
          <w:szCs w:val="24"/>
        </w:rPr>
        <w:t xml:space="preserve"> mln. E</w:t>
      </w:r>
      <w:r w:rsidR="009735B1">
        <w:rPr>
          <w:sz w:val="24"/>
          <w:szCs w:val="24"/>
        </w:rPr>
        <w:t>ur</w:t>
      </w:r>
      <w:r w:rsidR="001A245F">
        <w:rPr>
          <w:sz w:val="24"/>
          <w:szCs w:val="24"/>
        </w:rPr>
        <w:t xml:space="preserve">, o </w:t>
      </w:r>
      <w:r w:rsidR="00225C25">
        <w:rPr>
          <w:sz w:val="24"/>
          <w:szCs w:val="24"/>
        </w:rPr>
        <w:t>išlaidos palūkanoms pagal Finansų ministeriją – 666,1</w:t>
      </w:r>
      <w:r w:rsidR="00127520">
        <w:rPr>
          <w:sz w:val="24"/>
          <w:szCs w:val="24"/>
        </w:rPr>
        <w:t xml:space="preserve"> mln. Eur</w:t>
      </w:r>
      <w:r w:rsidR="001A245F">
        <w:rPr>
          <w:sz w:val="24"/>
          <w:szCs w:val="24"/>
        </w:rPr>
        <w:t xml:space="preserve">), </w:t>
      </w:r>
      <w:r>
        <w:rPr>
          <w:sz w:val="24"/>
          <w:szCs w:val="24"/>
        </w:rPr>
        <w:t xml:space="preserve">gauname Lietuvos valstybės skolos dydį </w:t>
      </w:r>
      <w:r>
        <w:rPr>
          <w:sz w:val="24"/>
          <w:szCs w:val="24"/>
          <w:lang w:val="en-US"/>
        </w:rPr>
        <w:t>2013 metais:</w:t>
      </w:r>
      <w:r w:rsidR="00EB711A">
        <w:rPr>
          <w:sz w:val="24"/>
          <w:szCs w:val="24"/>
          <w:lang w:val="en-US"/>
        </w:rPr>
        <w:t xml:space="preserve"> </w:t>
      </w:r>
    </w:p>
    <w:p w:rsidR="00C55ECB" w:rsidRDefault="00225C25" w:rsidP="00C55ECB">
      <w:pPr>
        <w:spacing w:line="360" w:lineRule="auto"/>
        <w:ind w:firstLine="0"/>
        <w:contextualSpacing/>
        <w:jc w:val="center"/>
        <w:rPr>
          <w:rFonts w:eastAsiaTheme="minorHAnsi"/>
          <w:color w:val="000000"/>
          <w:sz w:val="24"/>
          <w:szCs w:val="24"/>
          <w:lang w:val="en-US"/>
        </w:rPr>
      </w:pPr>
      <w:r>
        <w:rPr>
          <w:rFonts w:eastAsiaTheme="minorHAnsi"/>
          <w:color w:val="000000"/>
          <w:sz w:val="24"/>
          <w:szCs w:val="24"/>
          <w:lang w:val="en-US"/>
        </w:rPr>
        <w:t>Y</w:t>
      </w:r>
      <w:r w:rsidRPr="00225C25">
        <w:rPr>
          <w:rFonts w:eastAsiaTheme="minorHAnsi"/>
          <w:color w:val="000000"/>
          <w:sz w:val="24"/>
          <w:szCs w:val="24"/>
          <w:lang w:val="en-US"/>
        </w:rPr>
        <w:t>=</w:t>
      </w:r>
      <w:r w:rsidR="00300C9A">
        <w:rPr>
          <w:rFonts w:eastAsiaTheme="minorHAnsi"/>
          <w:color w:val="000000"/>
          <w:sz w:val="24"/>
          <w:szCs w:val="24"/>
          <w:lang w:val="en-US"/>
        </w:rPr>
        <w:t xml:space="preserve"> </w:t>
      </w:r>
      <w:r w:rsidRPr="00225C25">
        <w:rPr>
          <w:rFonts w:eastAsiaTheme="minorHAnsi"/>
          <w:color w:val="000000"/>
          <w:sz w:val="24"/>
          <w:szCs w:val="24"/>
          <w:lang w:val="en-US"/>
        </w:rPr>
        <w:t>-</w:t>
      </w:r>
      <w:r>
        <w:rPr>
          <w:rFonts w:eastAsiaTheme="minorHAnsi"/>
          <w:color w:val="000000"/>
          <w:sz w:val="24"/>
          <w:szCs w:val="24"/>
          <w:lang w:val="en-US"/>
        </w:rPr>
        <w:t>2245,35688856+0,113058772402*</w:t>
      </w:r>
      <w:r w:rsidR="009058FB">
        <w:rPr>
          <w:rFonts w:eastAsiaTheme="minorHAnsi"/>
          <w:color w:val="000000"/>
          <w:sz w:val="24"/>
          <w:szCs w:val="24"/>
          <w:lang w:val="en-US"/>
        </w:rPr>
        <w:t>34704,9</w:t>
      </w:r>
      <w:r>
        <w:rPr>
          <w:rFonts w:eastAsiaTheme="minorHAnsi"/>
          <w:color w:val="000000"/>
          <w:sz w:val="24"/>
          <w:szCs w:val="24"/>
          <w:lang w:val="en-US"/>
        </w:rPr>
        <w:t>+19,60</w:t>
      </w:r>
      <w:r w:rsidR="006E2E4F">
        <w:rPr>
          <w:rFonts w:eastAsiaTheme="minorHAnsi"/>
          <w:color w:val="000000"/>
          <w:sz w:val="24"/>
          <w:szCs w:val="24"/>
          <w:lang w:val="en-US"/>
        </w:rPr>
        <w:t>10039867*666,1=14734,6 mln. Eur</w:t>
      </w:r>
    </w:p>
    <w:p w:rsidR="00273D2A" w:rsidRPr="00273D2A" w:rsidRDefault="00273D2A" w:rsidP="009058FB">
      <w:pPr>
        <w:spacing w:line="360" w:lineRule="auto"/>
        <w:ind w:firstLine="720"/>
        <w:contextualSpacing/>
        <w:rPr>
          <w:rFonts w:eastAsiaTheme="minorHAnsi"/>
          <w:color w:val="000000"/>
          <w:sz w:val="24"/>
          <w:szCs w:val="24"/>
        </w:rPr>
      </w:pPr>
      <w:r>
        <w:rPr>
          <w:rFonts w:eastAsiaTheme="minorHAnsi"/>
          <w:color w:val="000000"/>
          <w:sz w:val="24"/>
          <w:szCs w:val="24"/>
          <w:lang w:val="en-US"/>
        </w:rPr>
        <w:t>Esant reik</w:t>
      </w:r>
      <w:r>
        <w:rPr>
          <w:rFonts w:eastAsiaTheme="minorHAnsi"/>
          <w:color w:val="000000"/>
          <w:sz w:val="24"/>
          <w:szCs w:val="24"/>
        </w:rPr>
        <w:t xml:space="preserve">šmingumo lygiui </w:t>
      </w:r>
      <w:r w:rsidRPr="00273D2A">
        <w:rPr>
          <w:rFonts w:eastAsiaTheme="minorHAnsi"/>
          <w:i/>
          <w:color w:val="000000"/>
          <w:sz w:val="24"/>
          <w:szCs w:val="24"/>
        </w:rPr>
        <w:t>a</w:t>
      </w:r>
      <w:r w:rsidRPr="00273D2A">
        <w:rPr>
          <w:rFonts w:eastAsiaTheme="minorHAnsi"/>
          <w:i/>
          <w:color w:val="000000"/>
          <w:sz w:val="24"/>
          <w:szCs w:val="24"/>
          <w:lang w:val="en-US"/>
        </w:rPr>
        <w:t>=0,05</w:t>
      </w:r>
      <w:r>
        <w:rPr>
          <w:rFonts w:eastAsiaTheme="minorHAnsi"/>
          <w:i/>
          <w:color w:val="000000"/>
          <w:sz w:val="24"/>
          <w:szCs w:val="24"/>
          <w:lang w:val="en-US"/>
        </w:rPr>
        <w:t xml:space="preserve">, </w:t>
      </w:r>
      <w:r>
        <w:rPr>
          <w:rFonts w:eastAsiaTheme="minorHAnsi"/>
          <w:color w:val="000000"/>
          <w:sz w:val="24"/>
          <w:szCs w:val="24"/>
        </w:rPr>
        <w:t>ši prognozuojama reikšmė gali kisti intervale nuo 13895,4 iki 15573,8 mln. Eur</w:t>
      </w:r>
      <w:r w:rsidR="009058FB">
        <w:rPr>
          <w:rFonts w:eastAsiaTheme="minorHAnsi"/>
          <w:color w:val="000000"/>
          <w:sz w:val="24"/>
          <w:szCs w:val="24"/>
        </w:rPr>
        <w:t xml:space="preserve"> ( žr. </w:t>
      </w:r>
      <w:r w:rsidR="009058FB">
        <w:rPr>
          <w:rFonts w:eastAsiaTheme="minorHAnsi"/>
          <w:color w:val="000000"/>
          <w:sz w:val="24"/>
          <w:szCs w:val="24"/>
          <w:lang w:val="en-US"/>
        </w:rPr>
        <w:t>8 priedas, pasikliautin</w:t>
      </w:r>
      <w:r w:rsidR="009058FB">
        <w:rPr>
          <w:rFonts w:eastAsiaTheme="minorHAnsi"/>
          <w:color w:val="000000"/>
          <w:sz w:val="24"/>
          <w:szCs w:val="24"/>
        </w:rPr>
        <w:t>ųjų intervalų skaičiavimas).</w:t>
      </w:r>
    </w:p>
    <w:p w:rsidR="00E77600" w:rsidRDefault="00A8056B" w:rsidP="00AF6A0D">
      <w:pPr>
        <w:spacing w:line="360" w:lineRule="auto"/>
        <w:ind w:firstLine="720"/>
        <w:contextualSpacing/>
        <w:rPr>
          <w:sz w:val="24"/>
          <w:szCs w:val="24"/>
        </w:rPr>
      </w:pPr>
      <w:r>
        <w:rPr>
          <w:sz w:val="24"/>
          <w:szCs w:val="24"/>
        </w:rPr>
        <w:t>Toliau šis gautas Lietuvos valstybės skolos dydi</w:t>
      </w:r>
      <w:r w:rsidR="00130408">
        <w:rPr>
          <w:sz w:val="24"/>
          <w:szCs w:val="24"/>
        </w:rPr>
        <w:t>s</w:t>
      </w:r>
      <w:r w:rsidR="00E77600" w:rsidRPr="00E77600">
        <w:rPr>
          <w:sz w:val="24"/>
          <w:szCs w:val="24"/>
        </w:rPr>
        <w:t xml:space="preserve"> bei prognozuojamos </w:t>
      </w:r>
      <w:r w:rsidR="00225C25">
        <w:rPr>
          <w:sz w:val="24"/>
          <w:szCs w:val="24"/>
        </w:rPr>
        <w:t>BVP</w:t>
      </w:r>
      <w:r w:rsidR="001A245F">
        <w:rPr>
          <w:sz w:val="24"/>
          <w:szCs w:val="24"/>
        </w:rPr>
        <w:t xml:space="preserve"> </w:t>
      </w:r>
      <w:r w:rsidR="00225C25">
        <w:rPr>
          <w:sz w:val="24"/>
          <w:szCs w:val="24"/>
        </w:rPr>
        <w:t xml:space="preserve">ir išlaidų palūkanoms </w:t>
      </w:r>
      <w:r w:rsidR="001A245F">
        <w:rPr>
          <w:sz w:val="24"/>
          <w:szCs w:val="24"/>
        </w:rPr>
        <w:t>reikšmės 2013</w:t>
      </w:r>
      <w:r w:rsidR="00875DC9">
        <w:rPr>
          <w:sz w:val="24"/>
          <w:szCs w:val="24"/>
        </w:rPr>
        <w:t xml:space="preserve"> metams </w:t>
      </w:r>
      <w:r w:rsidR="00E77600">
        <w:rPr>
          <w:sz w:val="24"/>
          <w:szCs w:val="24"/>
        </w:rPr>
        <w:t xml:space="preserve">imamos kaip faktinės, sudaroma nauja lygtis (žr. </w:t>
      </w:r>
      <w:r w:rsidR="00A95662">
        <w:rPr>
          <w:sz w:val="24"/>
          <w:szCs w:val="24"/>
        </w:rPr>
        <w:t>8</w:t>
      </w:r>
      <w:r w:rsidR="002D103A">
        <w:rPr>
          <w:sz w:val="24"/>
          <w:szCs w:val="24"/>
        </w:rPr>
        <w:t xml:space="preserve"> p</w:t>
      </w:r>
      <w:r w:rsidR="00E77600">
        <w:rPr>
          <w:sz w:val="24"/>
          <w:szCs w:val="24"/>
        </w:rPr>
        <w:t>riedas</w:t>
      </w:r>
      <w:r w:rsidR="002D103A">
        <w:rPr>
          <w:sz w:val="24"/>
          <w:szCs w:val="24"/>
        </w:rPr>
        <w:t>, 9 pav.</w:t>
      </w:r>
      <w:r w:rsidR="00E77600">
        <w:rPr>
          <w:sz w:val="24"/>
          <w:szCs w:val="24"/>
        </w:rPr>
        <w:t xml:space="preserve">), į lygtį </w:t>
      </w:r>
      <w:r>
        <w:rPr>
          <w:sz w:val="24"/>
          <w:szCs w:val="24"/>
        </w:rPr>
        <w:t>statomos</w:t>
      </w:r>
      <w:r w:rsidR="001A245F">
        <w:rPr>
          <w:sz w:val="24"/>
          <w:szCs w:val="24"/>
        </w:rPr>
        <w:t xml:space="preserve"> 2014 m. prognozuojamos </w:t>
      </w:r>
      <w:r w:rsidR="004648A6">
        <w:rPr>
          <w:sz w:val="24"/>
          <w:szCs w:val="24"/>
        </w:rPr>
        <w:t>BVP bei išlaidų palūkanoms</w:t>
      </w:r>
      <w:r w:rsidR="001A245F">
        <w:rPr>
          <w:sz w:val="24"/>
          <w:szCs w:val="24"/>
        </w:rPr>
        <w:t xml:space="preserve"> reikšmės, </w:t>
      </w:r>
      <w:r w:rsidR="00E77600">
        <w:rPr>
          <w:sz w:val="24"/>
          <w:szCs w:val="24"/>
        </w:rPr>
        <w:t>gaunama</w:t>
      </w:r>
      <w:r w:rsidR="00130408">
        <w:rPr>
          <w:sz w:val="24"/>
          <w:szCs w:val="24"/>
        </w:rPr>
        <w:t>s</w:t>
      </w:r>
      <w:r w:rsidR="00E77600">
        <w:rPr>
          <w:sz w:val="24"/>
          <w:szCs w:val="24"/>
        </w:rPr>
        <w:t xml:space="preserve"> valstybės skolos prognozuojamas dydis 2014 metams:</w:t>
      </w:r>
    </w:p>
    <w:p w:rsidR="003619BB" w:rsidRDefault="003619BB" w:rsidP="004648A6">
      <w:pPr>
        <w:spacing w:line="360" w:lineRule="auto"/>
        <w:ind w:firstLine="720"/>
        <w:contextualSpacing/>
        <w:jc w:val="left"/>
        <w:rPr>
          <w:rFonts w:eastAsiaTheme="minorHAnsi"/>
          <w:color w:val="000000"/>
          <w:sz w:val="24"/>
          <w:szCs w:val="24"/>
          <w:lang w:val="en-US"/>
        </w:rPr>
      </w:pPr>
      <w:r>
        <w:rPr>
          <w:rFonts w:eastAsiaTheme="minorHAnsi"/>
          <w:color w:val="000000"/>
          <w:sz w:val="24"/>
          <w:szCs w:val="24"/>
          <w:lang w:val="en-US"/>
        </w:rPr>
        <w:t>Y</w:t>
      </w:r>
      <w:r w:rsidRPr="003619BB">
        <w:rPr>
          <w:rFonts w:eastAsiaTheme="minorHAnsi"/>
          <w:color w:val="000000"/>
          <w:sz w:val="24"/>
          <w:szCs w:val="24"/>
          <w:lang w:val="en-US"/>
        </w:rPr>
        <w:t>=</w:t>
      </w:r>
      <w:r w:rsidR="00300C9A">
        <w:rPr>
          <w:rFonts w:eastAsiaTheme="minorHAnsi"/>
          <w:color w:val="000000"/>
          <w:sz w:val="24"/>
          <w:szCs w:val="24"/>
          <w:lang w:val="en-US"/>
        </w:rPr>
        <w:t xml:space="preserve"> </w:t>
      </w:r>
      <w:r w:rsidRPr="003619BB">
        <w:rPr>
          <w:rFonts w:eastAsiaTheme="minorHAnsi"/>
          <w:color w:val="000000"/>
          <w:sz w:val="24"/>
          <w:szCs w:val="24"/>
          <w:lang w:val="en-US"/>
        </w:rPr>
        <w:t>-</w:t>
      </w:r>
      <w:r>
        <w:rPr>
          <w:rFonts w:eastAsiaTheme="minorHAnsi"/>
          <w:color w:val="000000"/>
          <w:sz w:val="24"/>
          <w:szCs w:val="24"/>
          <w:lang w:val="en-US"/>
        </w:rPr>
        <w:t>2245,35688856+0,1130</w:t>
      </w:r>
      <w:r w:rsidR="009058FB">
        <w:rPr>
          <w:rFonts w:eastAsiaTheme="minorHAnsi"/>
          <w:color w:val="000000"/>
          <w:sz w:val="24"/>
          <w:szCs w:val="24"/>
          <w:lang w:val="en-US"/>
        </w:rPr>
        <w:t>58772402*36835,4+19,6010039867*6</w:t>
      </w:r>
      <w:r>
        <w:rPr>
          <w:rFonts w:eastAsiaTheme="minorHAnsi"/>
          <w:color w:val="000000"/>
          <w:sz w:val="24"/>
          <w:szCs w:val="24"/>
          <w:lang w:val="en-US"/>
        </w:rPr>
        <w:t>66,1=14975,4</w:t>
      </w:r>
      <w:r w:rsidR="004648A6">
        <w:rPr>
          <w:rFonts w:eastAsiaTheme="minorHAnsi"/>
          <w:color w:val="000000"/>
          <w:sz w:val="24"/>
          <w:szCs w:val="24"/>
          <w:lang w:val="en-US"/>
        </w:rPr>
        <w:t xml:space="preserve"> mln.</w:t>
      </w:r>
      <w:r w:rsidR="00300C9A">
        <w:rPr>
          <w:rFonts w:eastAsiaTheme="minorHAnsi"/>
          <w:color w:val="000000"/>
          <w:sz w:val="24"/>
          <w:szCs w:val="24"/>
          <w:lang w:val="en-US"/>
        </w:rPr>
        <w:t xml:space="preserve"> </w:t>
      </w:r>
      <w:r>
        <w:rPr>
          <w:rFonts w:eastAsiaTheme="minorHAnsi"/>
          <w:color w:val="000000"/>
          <w:sz w:val="24"/>
          <w:szCs w:val="24"/>
          <w:lang w:val="en-US"/>
        </w:rPr>
        <w:t>Eur</w:t>
      </w:r>
    </w:p>
    <w:p w:rsidR="00E71E48" w:rsidRPr="009058FB" w:rsidRDefault="00E71E48" w:rsidP="00E71E48">
      <w:pPr>
        <w:spacing w:line="360" w:lineRule="auto"/>
        <w:ind w:firstLine="720"/>
        <w:contextualSpacing/>
        <w:rPr>
          <w:rFonts w:eastAsiaTheme="minorHAnsi"/>
          <w:color w:val="000000"/>
          <w:sz w:val="24"/>
          <w:szCs w:val="24"/>
        </w:rPr>
      </w:pPr>
      <w:r>
        <w:rPr>
          <w:rFonts w:eastAsiaTheme="minorHAnsi"/>
          <w:color w:val="000000"/>
          <w:sz w:val="24"/>
          <w:szCs w:val="24"/>
          <w:lang w:val="en-US"/>
        </w:rPr>
        <w:t>Esant reik</w:t>
      </w:r>
      <w:r>
        <w:rPr>
          <w:rFonts w:eastAsiaTheme="minorHAnsi"/>
          <w:color w:val="000000"/>
          <w:sz w:val="24"/>
          <w:szCs w:val="24"/>
        </w:rPr>
        <w:t xml:space="preserve">šmingumo lygiui </w:t>
      </w:r>
      <w:r w:rsidRPr="00273D2A">
        <w:rPr>
          <w:rFonts w:eastAsiaTheme="minorHAnsi"/>
          <w:i/>
          <w:color w:val="000000"/>
          <w:sz w:val="24"/>
          <w:szCs w:val="24"/>
        </w:rPr>
        <w:t>a</w:t>
      </w:r>
      <w:r w:rsidRPr="00273D2A">
        <w:rPr>
          <w:rFonts w:eastAsiaTheme="minorHAnsi"/>
          <w:i/>
          <w:color w:val="000000"/>
          <w:sz w:val="24"/>
          <w:szCs w:val="24"/>
          <w:lang w:val="en-US"/>
        </w:rPr>
        <w:t>=0,05</w:t>
      </w:r>
      <w:r>
        <w:rPr>
          <w:rFonts w:eastAsiaTheme="minorHAnsi"/>
          <w:i/>
          <w:color w:val="000000"/>
          <w:sz w:val="24"/>
          <w:szCs w:val="24"/>
          <w:lang w:val="en-US"/>
        </w:rPr>
        <w:t xml:space="preserve">, </w:t>
      </w:r>
      <w:r>
        <w:rPr>
          <w:rFonts w:eastAsiaTheme="minorHAnsi"/>
          <w:color w:val="000000"/>
          <w:sz w:val="24"/>
          <w:szCs w:val="24"/>
        </w:rPr>
        <w:t>ši prognozuojama reikšmė gali kisti intervale nuo</w:t>
      </w:r>
      <w:r w:rsidR="009B7EAF">
        <w:rPr>
          <w:rFonts w:eastAsiaTheme="minorHAnsi"/>
          <w:color w:val="000000"/>
          <w:sz w:val="24"/>
          <w:szCs w:val="24"/>
        </w:rPr>
        <w:t xml:space="preserve"> 141</w:t>
      </w:r>
      <w:r w:rsidR="00F04AA0">
        <w:rPr>
          <w:rFonts w:eastAsiaTheme="minorHAnsi"/>
          <w:color w:val="000000"/>
          <w:sz w:val="24"/>
          <w:szCs w:val="24"/>
        </w:rPr>
        <w:t>83,3</w:t>
      </w:r>
      <w:r>
        <w:rPr>
          <w:rFonts w:eastAsiaTheme="minorHAnsi"/>
          <w:color w:val="000000"/>
          <w:sz w:val="24"/>
          <w:szCs w:val="24"/>
        </w:rPr>
        <w:t xml:space="preserve"> iki </w:t>
      </w:r>
      <w:r w:rsidR="009B7EAF">
        <w:rPr>
          <w:rFonts w:eastAsiaTheme="minorHAnsi"/>
          <w:color w:val="000000"/>
          <w:sz w:val="24"/>
          <w:szCs w:val="24"/>
        </w:rPr>
        <w:t>157</w:t>
      </w:r>
      <w:r w:rsidR="00F04AA0">
        <w:rPr>
          <w:rFonts w:eastAsiaTheme="minorHAnsi"/>
          <w:color w:val="000000"/>
          <w:sz w:val="24"/>
          <w:szCs w:val="24"/>
        </w:rPr>
        <w:t>67,5</w:t>
      </w:r>
      <w:r>
        <w:rPr>
          <w:rFonts w:eastAsiaTheme="minorHAnsi"/>
          <w:color w:val="000000"/>
          <w:sz w:val="24"/>
          <w:szCs w:val="24"/>
        </w:rPr>
        <w:t xml:space="preserve"> mln. Eur</w:t>
      </w:r>
      <w:r w:rsidR="009058FB">
        <w:rPr>
          <w:rFonts w:eastAsiaTheme="minorHAnsi"/>
          <w:color w:val="000000"/>
          <w:sz w:val="24"/>
          <w:szCs w:val="24"/>
        </w:rPr>
        <w:t xml:space="preserve"> ( žr. </w:t>
      </w:r>
      <w:r w:rsidR="009058FB">
        <w:rPr>
          <w:rFonts w:eastAsiaTheme="minorHAnsi"/>
          <w:color w:val="000000"/>
          <w:sz w:val="24"/>
          <w:szCs w:val="24"/>
          <w:lang w:val="en-US"/>
        </w:rPr>
        <w:t>8 priedas, pasikliautin</w:t>
      </w:r>
      <w:r w:rsidR="009058FB">
        <w:rPr>
          <w:rFonts w:eastAsiaTheme="minorHAnsi"/>
          <w:color w:val="000000"/>
          <w:sz w:val="24"/>
          <w:szCs w:val="24"/>
        </w:rPr>
        <w:t>ųjų intervalų skaičiavimas).</w:t>
      </w:r>
    </w:p>
    <w:p w:rsidR="003619BB" w:rsidRDefault="003619BB" w:rsidP="002D272E">
      <w:pPr>
        <w:spacing w:line="360" w:lineRule="auto"/>
        <w:ind w:firstLine="0"/>
        <w:contextualSpacing/>
        <w:rPr>
          <w:sz w:val="24"/>
          <w:szCs w:val="24"/>
        </w:rPr>
      </w:pPr>
    </w:p>
    <w:p w:rsidR="00CD733C" w:rsidRPr="001C07E4" w:rsidRDefault="00480B2B" w:rsidP="001C07E4">
      <w:pPr>
        <w:spacing w:line="360" w:lineRule="auto"/>
        <w:ind w:firstLine="720"/>
        <w:contextualSpacing/>
        <w:rPr>
          <w:sz w:val="24"/>
          <w:szCs w:val="24"/>
        </w:rPr>
      </w:pPr>
      <w:r w:rsidRPr="00480B2B">
        <w:rPr>
          <w:b/>
          <w:i/>
          <w:sz w:val="24"/>
          <w:szCs w:val="24"/>
        </w:rPr>
        <w:t>Latvijos valstybės skolos prognozavimas</w:t>
      </w:r>
      <w:r w:rsidR="00150BD1">
        <w:rPr>
          <w:b/>
          <w:i/>
          <w:sz w:val="24"/>
          <w:szCs w:val="24"/>
        </w:rPr>
        <w:t xml:space="preserve"> DTR modeliu</w:t>
      </w:r>
    </w:p>
    <w:p w:rsidR="00480B2B" w:rsidRPr="00480B2B" w:rsidRDefault="00480B2B" w:rsidP="00E606E1">
      <w:pPr>
        <w:tabs>
          <w:tab w:val="left" w:pos="3585"/>
        </w:tabs>
        <w:ind w:firstLine="0"/>
        <w:rPr>
          <w:b/>
          <w:i/>
          <w:sz w:val="24"/>
          <w:szCs w:val="24"/>
        </w:rPr>
      </w:pPr>
    </w:p>
    <w:p w:rsidR="00CD733C" w:rsidRDefault="00480B2B" w:rsidP="00480B2B">
      <w:pPr>
        <w:tabs>
          <w:tab w:val="left" w:pos="3585"/>
        </w:tabs>
        <w:spacing w:line="360" w:lineRule="auto"/>
        <w:ind w:firstLine="720"/>
        <w:contextualSpacing/>
        <w:rPr>
          <w:sz w:val="24"/>
          <w:szCs w:val="24"/>
        </w:rPr>
      </w:pPr>
      <w:r w:rsidRPr="004A43BF">
        <w:rPr>
          <w:sz w:val="24"/>
          <w:szCs w:val="24"/>
        </w:rPr>
        <w:t>„Eviews</w:t>
      </w:r>
      <w:r>
        <w:rPr>
          <w:sz w:val="24"/>
          <w:szCs w:val="24"/>
        </w:rPr>
        <w:t xml:space="preserve"> 8</w:t>
      </w:r>
      <w:r w:rsidRPr="004A43BF">
        <w:rPr>
          <w:sz w:val="24"/>
          <w:szCs w:val="24"/>
        </w:rPr>
        <w:t>“</w:t>
      </w:r>
      <w:r>
        <w:rPr>
          <w:sz w:val="24"/>
          <w:szCs w:val="24"/>
        </w:rPr>
        <w:t xml:space="preserve"> programa buvo sukurtas D</w:t>
      </w:r>
      <w:r w:rsidRPr="004A43BF">
        <w:rPr>
          <w:sz w:val="24"/>
          <w:szCs w:val="24"/>
        </w:rPr>
        <w:t xml:space="preserve">TR modelis </w:t>
      </w:r>
      <w:r>
        <w:rPr>
          <w:sz w:val="24"/>
          <w:szCs w:val="24"/>
        </w:rPr>
        <w:t>Latvijos</w:t>
      </w:r>
      <w:r w:rsidRPr="004A43BF">
        <w:rPr>
          <w:sz w:val="24"/>
          <w:szCs w:val="24"/>
        </w:rPr>
        <w:t xml:space="preserve"> valstybės skolai prognozuoti.</w:t>
      </w:r>
      <w:r>
        <w:rPr>
          <w:b/>
          <w:i/>
          <w:sz w:val="24"/>
          <w:szCs w:val="24"/>
        </w:rPr>
        <w:t xml:space="preserve"> </w:t>
      </w:r>
      <w:r w:rsidRPr="00DA5921">
        <w:rPr>
          <w:sz w:val="24"/>
          <w:szCs w:val="24"/>
        </w:rPr>
        <w:t>Patikrinus sudaryto modelio polinkių ir determinacijos k</w:t>
      </w:r>
      <w:r>
        <w:rPr>
          <w:sz w:val="24"/>
          <w:szCs w:val="24"/>
        </w:rPr>
        <w:t xml:space="preserve">oeficiento </w:t>
      </w:r>
      <w:r w:rsidRPr="0085424C">
        <w:rPr>
          <w:sz w:val="24"/>
          <w:szCs w:val="24"/>
        </w:rPr>
        <w:t xml:space="preserve">reikšmingumus (žr. </w:t>
      </w:r>
      <w:r w:rsidR="00A95662">
        <w:rPr>
          <w:sz w:val="24"/>
          <w:szCs w:val="24"/>
        </w:rPr>
        <w:t>9</w:t>
      </w:r>
      <w:r w:rsidR="0057646A">
        <w:rPr>
          <w:sz w:val="24"/>
          <w:szCs w:val="24"/>
        </w:rPr>
        <w:t xml:space="preserve"> </w:t>
      </w:r>
      <w:r w:rsidR="0021041E" w:rsidRPr="0085424C">
        <w:rPr>
          <w:sz w:val="24"/>
          <w:szCs w:val="24"/>
        </w:rPr>
        <w:t>p</w:t>
      </w:r>
      <w:r w:rsidR="00C37463">
        <w:rPr>
          <w:sz w:val="24"/>
          <w:szCs w:val="24"/>
        </w:rPr>
        <w:t>riedas)</w:t>
      </w:r>
      <w:r w:rsidRPr="0085424C">
        <w:rPr>
          <w:sz w:val="24"/>
          <w:szCs w:val="24"/>
        </w:rPr>
        <w:t>, išsiaiškinta, jog šie yra reikšminiai, vadinasi ir sudarytas daugialypės regresijos modelis yra</w:t>
      </w:r>
      <w:r w:rsidRPr="00DA5921">
        <w:rPr>
          <w:sz w:val="24"/>
          <w:szCs w:val="24"/>
        </w:rPr>
        <w:t xml:space="preserve"> reikšminis ir tinkamas prognozavimui</w:t>
      </w:r>
      <w:r w:rsidR="00C37463">
        <w:rPr>
          <w:sz w:val="24"/>
          <w:szCs w:val="24"/>
        </w:rPr>
        <w:t>.</w:t>
      </w:r>
    </w:p>
    <w:p w:rsidR="00480B2B" w:rsidRPr="0085424C" w:rsidRDefault="00480B2B" w:rsidP="00480B2B">
      <w:pPr>
        <w:spacing w:line="360" w:lineRule="auto"/>
        <w:contextualSpacing/>
        <w:rPr>
          <w:sz w:val="24"/>
          <w:szCs w:val="24"/>
        </w:rPr>
      </w:pPr>
      <w:r w:rsidRPr="004A43BF">
        <w:rPr>
          <w:sz w:val="24"/>
          <w:szCs w:val="24"/>
        </w:rPr>
        <w:t xml:space="preserve">Sudaryto modelio </w:t>
      </w:r>
      <w:r w:rsidR="00B463EE">
        <w:rPr>
          <w:sz w:val="24"/>
          <w:szCs w:val="24"/>
        </w:rPr>
        <w:t xml:space="preserve">pataisyto </w:t>
      </w:r>
      <w:r w:rsidRPr="004A43BF">
        <w:rPr>
          <w:sz w:val="24"/>
          <w:szCs w:val="24"/>
        </w:rPr>
        <w:t>determinacijos koeficiento reikšmė lygi 0,</w:t>
      </w:r>
      <w:r w:rsidR="00B463EE">
        <w:rPr>
          <w:sz w:val="24"/>
          <w:szCs w:val="24"/>
        </w:rPr>
        <w:t>972224</w:t>
      </w:r>
      <w:r>
        <w:rPr>
          <w:sz w:val="24"/>
          <w:szCs w:val="24"/>
        </w:rPr>
        <w:t xml:space="preserve"> (</w:t>
      </w:r>
      <w:r w:rsidR="00A95662">
        <w:rPr>
          <w:sz w:val="24"/>
          <w:szCs w:val="24"/>
        </w:rPr>
        <w:t>žr. 9</w:t>
      </w:r>
      <w:r w:rsidR="0021041E">
        <w:rPr>
          <w:sz w:val="24"/>
          <w:szCs w:val="24"/>
        </w:rPr>
        <w:t xml:space="preserve"> </w:t>
      </w:r>
      <w:r>
        <w:rPr>
          <w:sz w:val="24"/>
          <w:szCs w:val="24"/>
        </w:rPr>
        <w:t>priedas</w:t>
      </w:r>
      <w:r w:rsidR="0021041E">
        <w:rPr>
          <w:sz w:val="24"/>
          <w:szCs w:val="24"/>
        </w:rPr>
        <w:t>, 7 pav.</w:t>
      </w:r>
      <w:r>
        <w:rPr>
          <w:sz w:val="24"/>
          <w:szCs w:val="24"/>
        </w:rPr>
        <w:t>)</w:t>
      </w:r>
      <w:r w:rsidRPr="004A43BF">
        <w:rPr>
          <w:sz w:val="24"/>
          <w:szCs w:val="24"/>
        </w:rPr>
        <w:t xml:space="preserve"> , o tai rodo, kad </w:t>
      </w:r>
      <w:r>
        <w:rPr>
          <w:sz w:val="24"/>
          <w:szCs w:val="24"/>
        </w:rPr>
        <w:t>Latvijos vals</w:t>
      </w:r>
      <w:r w:rsidR="00B463EE">
        <w:rPr>
          <w:sz w:val="24"/>
          <w:szCs w:val="24"/>
        </w:rPr>
        <w:t>tybės skolos dydžio kitimui 97,2</w:t>
      </w:r>
      <w:r>
        <w:rPr>
          <w:sz w:val="24"/>
          <w:szCs w:val="24"/>
        </w:rPr>
        <w:t xml:space="preserve"> proc. poveikį daro </w:t>
      </w:r>
      <w:r w:rsidR="007F17C4">
        <w:rPr>
          <w:sz w:val="24"/>
          <w:szCs w:val="24"/>
        </w:rPr>
        <w:t xml:space="preserve">BVP bei valstybės skolos aptarnavimo išlaidų </w:t>
      </w:r>
      <w:r w:rsidR="00B463EE">
        <w:rPr>
          <w:sz w:val="24"/>
          <w:szCs w:val="24"/>
        </w:rPr>
        <w:t>pokyčiai, tuo tarpu 2</w:t>
      </w:r>
      <w:r>
        <w:rPr>
          <w:sz w:val="24"/>
          <w:szCs w:val="24"/>
        </w:rPr>
        <w:t xml:space="preserve">,8 proc. – kiti </w:t>
      </w:r>
      <w:r w:rsidRPr="0085424C">
        <w:rPr>
          <w:sz w:val="24"/>
          <w:szCs w:val="24"/>
        </w:rPr>
        <w:t>neįvertinti veiksniai.</w:t>
      </w:r>
    </w:p>
    <w:p w:rsidR="00395684" w:rsidRPr="00E64C65" w:rsidRDefault="00395684" w:rsidP="008524AA">
      <w:pPr>
        <w:spacing w:line="360" w:lineRule="auto"/>
        <w:contextualSpacing/>
        <w:rPr>
          <w:sz w:val="24"/>
          <w:szCs w:val="24"/>
        </w:rPr>
      </w:pPr>
      <w:r w:rsidRPr="0085424C">
        <w:rPr>
          <w:sz w:val="24"/>
          <w:szCs w:val="24"/>
        </w:rPr>
        <w:t>Naudojantis programa sudaryta lygtimi (</w:t>
      </w:r>
      <w:r w:rsidR="00A95662">
        <w:rPr>
          <w:sz w:val="24"/>
          <w:szCs w:val="24"/>
        </w:rPr>
        <w:t>žr. 9</w:t>
      </w:r>
      <w:r w:rsidR="0021041E" w:rsidRPr="0085424C">
        <w:rPr>
          <w:sz w:val="24"/>
          <w:szCs w:val="24"/>
        </w:rPr>
        <w:t xml:space="preserve"> </w:t>
      </w:r>
      <w:r w:rsidRPr="0085424C">
        <w:rPr>
          <w:sz w:val="24"/>
          <w:szCs w:val="24"/>
        </w:rPr>
        <w:t>priedas</w:t>
      </w:r>
      <w:r w:rsidR="0021041E" w:rsidRPr="0085424C">
        <w:rPr>
          <w:sz w:val="24"/>
          <w:szCs w:val="24"/>
        </w:rPr>
        <w:t>, 8 pav.</w:t>
      </w:r>
      <w:r w:rsidRPr="0085424C">
        <w:rPr>
          <w:sz w:val="24"/>
          <w:szCs w:val="24"/>
        </w:rPr>
        <w:t xml:space="preserve">) prognozuojama Latvijos valstybės skola 2013 metams. </w:t>
      </w:r>
      <w:r w:rsidR="0085424C">
        <w:rPr>
          <w:sz w:val="24"/>
          <w:szCs w:val="24"/>
        </w:rPr>
        <w:t>Čia</w:t>
      </w:r>
      <w:r w:rsidR="009058FB">
        <w:rPr>
          <w:sz w:val="24"/>
          <w:szCs w:val="24"/>
        </w:rPr>
        <w:t>,</w:t>
      </w:r>
      <w:r w:rsidR="0085424C">
        <w:rPr>
          <w:sz w:val="24"/>
          <w:szCs w:val="24"/>
        </w:rPr>
        <w:t xml:space="preserve"> kaip ir Lietuvos atveju</w:t>
      </w:r>
      <w:r w:rsidR="009058FB">
        <w:rPr>
          <w:sz w:val="24"/>
          <w:szCs w:val="24"/>
        </w:rPr>
        <w:t>,</w:t>
      </w:r>
      <w:r w:rsidR="0085424C">
        <w:rPr>
          <w:sz w:val="24"/>
          <w:szCs w:val="24"/>
        </w:rPr>
        <w:t xml:space="preserve"> </w:t>
      </w:r>
      <w:r w:rsidR="008524AA">
        <w:rPr>
          <w:sz w:val="24"/>
          <w:szCs w:val="24"/>
        </w:rPr>
        <w:t xml:space="preserve">prognozavimui bus naudojamos Europos statistikos departamento pateikiamos 2013 m. Latvijos </w:t>
      </w:r>
      <w:r w:rsidR="00C37463">
        <w:rPr>
          <w:sz w:val="24"/>
          <w:szCs w:val="24"/>
        </w:rPr>
        <w:t xml:space="preserve">BVP bei </w:t>
      </w:r>
      <w:r w:rsidR="00B463EE">
        <w:rPr>
          <w:sz w:val="24"/>
          <w:szCs w:val="24"/>
        </w:rPr>
        <w:t>valstybės skolos aptarnavimo išlaidų</w:t>
      </w:r>
      <w:r w:rsidR="008524AA">
        <w:rPr>
          <w:sz w:val="24"/>
          <w:szCs w:val="24"/>
        </w:rPr>
        <w:t xml:space="preserve"> reikšmės. </w:t>
      </w:r>
      <w:r>
        <w:rPr>
          <w:sz w:val="24"/>
          <w:szCs w:val="24"/>
        </w:rPr>
        <w:lastRenderedPageBreak/>
        <w:t>Įstačius šias reikšmes į</w:t>
      </w:r>
      <w:r w:rsidRPr="0087745A">
        <w:rPr>
          <w:sz w:val="24"/>
          <w:szCs w:val="24"/>
        </w:rPr>
        <w:t xml:space="preserve"> daugialypės tiesinės regresijos modelio lygtį</w:t>
      </w:r>
      <w:r>
        <w:rPr>
          <w:sz w:val="24"/>
          <w:szCs w:val="24"/>
        </w:rPr>
        <w:t xml:space="preserve">, gauname </w:t>
      </w:r>
      <w:r w:rsidR="00C43892">
        <w:rPr>
          <w:sz w:val="24"/>
          <w:szCs w:val="24"/>
        </w:rPr>
        <w:t>Latvijos</w:t>
      </w:r>
      <w:r>
        <w:rPr>
          <w:sz w:val="24"/>
          <w:szCs w:val="24"/>
        </w:rPr>
        <w:t xml:space="preserve"> valstybės skolos dydį </w:t>
      </w:r>
      <w:r>
        <w:rPr>
          <w:sz w:val="24"/>
          <w:szCs w:val="24"/>
          <w:lang w:val="en-US"/>
        </w:rPr>
        <w:t xml:space="preserve">2013 metais: </w:t>
      </w:r>
    </w:p>
    <w:p w:rsidR="000556DC" w:rsidRDefault="00AF182C" w:rsidP="001B03C7">
      <w:pPr>
        <w:widowControl/>
        <w:tabs>
          <w:tab w:val="left" w:pos="0"/>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 w:val="left" w:pos="7440"/>
        </w:tabs>
        <w:autoSpaceDE w:val="0"/>
        <w:autoSpaceDN w:val="0"/>
        <w:adjustRightInd w:val="0"/>
        <w:spacing w:line="360" w:lineRule="auto"/>
        <w:ind w:firstLine="720"/>
        <w:contextualSpacing/>
        <w:jc w:val="left"/>
        <w:rPr>
          <w:rFonts w:eastAsiaTheme="minorHAnsi"/>
          <w:color w:val="000000"/>
          <w:sz w:val="24"/>
          <w:szCs w:val="24"/>
          <w:lang w:val="en-US"/>
        </w:rPr>
      </w:pPr>
      <w:r>
        <w:rPr>
          <w:rFonts w:eastAsiaTheme="minorHAnsi"/>
          <w:color w:val="000000"/>
          <w:sz w:val="24"/>
          <w:szCs w:val="24"/>
          <w:lang w:val="en-US"/>
        </w:rPr>
        <w:t>Y</w:t>
      </w:r>
      <w:r w:rsidRPr="00AF182C">
        <w:rPr>
          <w:rFonts w:eastAsiaTheme="minorHAnsi"/>
          <w:color w:val="000000"/>
          <w:sz w:val="24"/>
          <w:szCs w:val="24"/>
          <w:lang w:val="en-US"/>
        </w:rPr>
        <w:t>=</w:t>
      </w:r>
      <w:r w:rsidR="00C37463">
        <w:rPr>
          <w:rFonts w:eastAsiaTheme="minorHAnsi"/>
          <w:color w:val="000000"/>
          <w:sz w:val="24"/>
          <w:szCs w:val="24"/>
          <w:lang w:val="en-US"/>
        </w:rPr>
        <w:t xml:space="preserve"> </w:t>
      </w:r>
      <w:r w:rsidRPr="00AF182C">
        <w:rPr>
          <w:rFonts w:eastAsiaTheme="minorHAnsi"/>
          <w:color w:val="000000"/>
          <w:sz w:val="24"/>
          <w:szCs w:val="24"/>
          <w:lang w:val="en-US"/>
        </w:rPr>
        <w:t>-1</w:t>
      </w:r>
      <w:r>
        <w:rPr>
          <w:rFonts w:eastAsiaTheme="minorHAnsi"/>
          <w:color w:val="000000"/>
          <w:sz w:val="24"/>
          <w:szCs w:val="24"/>
          <w:lang w:val="en-US"/>
        </w:rPr>
        <w:t>827,21907017+0,0931813097769*23375,2+28,6150612958*282,7=</w:t>
      </w:r>
      <w:r w:rsidR="0005529A">
        <w:rPr>
          <w:rFonts w:eastAsiaTheme="minorHAnsi"/>
          <w:color w:val="000000"/>
          <w:sz w:val="24"/>
          <w:szCs w:val="24"/>
          <w:lang w:val="en-US"/>
        </w:rPr>
        <w:t>8439,4</w:t>
      </w:r>
      <w:r w:rsidR="00C37463">
        <w:rPr>
          <w:rFonts w:eastAsiaTheme="minorHAnsi"/>
          <w:color w:val="000000"/>
          <w:sz w:val="24"/>
          <w:szCs w:val="24"/>
          <w:lang w:val="en-US"/>
        </w:rPr>
        <w:t xml:space="preserve"> </w:t>
      </w:r>
      <w:r>
        <w:rPr>
          <w:rFonts w:eastAsiaTheme="minorHAnsi"/>
          <w:color w:val="000000"/>
          <w:sz w:val="24"/>
          <w:szCs w:val="24"/>
          <w:lang w:val="en-US"/>
        </w:rPr>
        <w:t xml:space="preserve">mln. </w:t>
      </w:r>
      <w:r w:rsidR="00C37463">
        <w:rPr>
          <w:rFonts w:eastAsiaTheme="minorHAnsi"/>
          <w:color w:val="000000"/>
          <w:sz w:val="24"/>
          <w:szCs w:val="24"/>
          <w:lang w:val="en-US"/>
        </w:rPr>
        <w:t>Eur</w:t>
      </w:r>
    </w:p>
    <w:p w:rsidR="00EA11BB" w:rsidRPr="00EA11BB" w:rsidRDefault="00EA11BB" w:rsidP="003F707D">
      <w:pPr>
        <w:spacing w:line="360" w:lineRule="auto"/>
        <w:ind w:firstLine="720"/>
        <w:contextualSpacing/>
        <w:rPr>
          <w:rFonts w:eastAsiaTheme="minorHAnsi"/>
          <w:color w:val="000000"/>
          <w:sz w:val="24"/>
          <w:szCs w:val="24"/>
        </w:rPr>
      </w:pPr>
      <w:r>
        <w:rPr>
          <w:rFonts w:eastAsiaTheme="minorHAnsi"/>
          <w:color w:val="000000"/>
          <w:sz w:val="24"/>
          <w:szCs w:val="24"/>
          <w:lang w:val="en-US"/>
        </w:rPr>
        <w:t>Esant reik</w:t>
      </w:r>
      <w:r>
        <w:rPr>
          <w:rFonts w:eastAsiaTheme="minorHAnsi"/>
          <w:color w:val="000000"/>
          <w:sz w:val="24"/>
          <w:szCs w:val="24"/>
        </w:rPr>
        <w:t xml:space="preserve">šmingumo lygiui </w:t>
      </w:r>
      <w:r w:rsidRPr="00273D2A">
        <w:rPr>
          <w:rFonts w:eastAsiaTheme="minorHAnsi"/>
          <w:i/>
          <w:color w:val="000000"/>
          <w:sz w:val="24"/>
          <w:szCs w:val="24"/>
        </w:rPr>
        <w:t>a</w:t>
      </w:r>
      <w:r w:rsidRPr="00273D2A">
        <w:rPr>
          <w:rFonts w:eastAsiaTheme="minorHAnsi"/>
          <w:i/>
          <w:color w:val="000000"/>
          <w:sz w:val="24"/>
          <w:szCs w:val="24"/>
          <w:lang w:val="en-US"/>
        </w:rPr>
        <w:t>=0,05</w:t>
      </w:r>
      <w:r>
        <w:rPr>
          <w:rFonts w:eastAsiaTheme="minorHAnsi"/>
          <w:i/>
          <w:color w:val="000000"/>
          <w:sz w:val="24"/>
          <w:szCs w:val="24"/>
          <w:lang w:val="en-US"/>
        </w:rPr>
        <w:t xml:space="preserve">, </w:t>
      </w:r>
      <w:r>
        <w:rPr>
          <w:rFonts w:eastAsiaTheme="minorHAnsi"/>
          <w:color w:val="000000"/>
          <w:sz w:val="24"/>
          <w:szCs w:val="24"/>
        </w:rPr>
        <w:t xml:space="preserve">ši prognozuojama reikšmė gali kisti intervale </w:t>
      </w:r>
      <w:r w:rsidR="00127520">
        <w:rPr>
          <w:rFonts w:eastAsiaTheme="minorHAnsi"/>
          <w:color w:val="000000"/>
          <w:sz w:val="24"/>
          <w:szCs w:val="24"/>
        </w:rPr>
        <w:t>nuo 7274,9 iki 9603,9 mln. Eur</w:t>
      </w:r>
      <w:r w:rsidR="003E5374" w:rsidRPr="003E5374">
        <w:rPr>
          <w:rFonts w:eastAsiaTheme="minorHAnsi"/>
          <w:color w:val="000000"/>
          <w:sz w:val="24"/>
          <w:szCs w:val="24"/>
        </w:rPr>
        <w:t xml:space="preserve"> </w:t>
      </w:r>
      <w:r w:rsidR="003E5374">
        <w:rPr>
          <w:rFonts w:eastAsiaTheme="minorHAnsi"/>
          <w:color w:val="000000"/>
          <w:sz w:val="24"/>
          <w:szCs w:val="24"/>
        </w:rPr>
        <w:t xml:space="preserve">( žr. </w:t>
      </w:r>
      <w:r w:rsidR="003E5374">
        <w:rPr>
          <w:rFonts w:eastAsiaTheme="minorHAnsi"/>
          <w:color w:val="000000"/>
          <w:sz w:val="24"/>
          <w:szCs w:val="24"/>
          <w:lang w:val="en-US"/>
        </w:rPr>
        <w:t>9 priedas, pasikliautin</w:t>
      </w:r>
      <w:r w:rsidR="003E5374">
        <w:rPr>
          <w:rFonts w:eastAsiaTheme="minorHAnsi"/>
          <w:color w:val="000000"/>
          <w:sz w:val="24"/>
          <w:szCs w:val="24"/>
        </w:rPr>
        <w:t>ųjų intervalų skaičiavimas).</w:t>
      </w:r>
    </w:p>
    <w:p w:rsidR="00F975CC" w:rsidRDefault="00395684" w:rsidP="00F70ABC">
      <w:pPr>
        <w:spacing w:line="360" w:lineRule="auto"/>
        <w:ind w:firstLine="720"/>
        <w:contextualSpacing/>
        <w:rPr>
          <w:sz w:val="24"/>
          <w:szCs w:val="24"/>
        </w:rPr>
      </w:pPr>
      <w:r>
        <w:rPr>
          <w:sz w:val="24"/>
          <w:szCs w:val="24"/>
        </w:rPr>
        <w:t>Toliau šis gautas Latvijos valstybės skolos dydis</w:t>
      </w:r>
      <w:r w:rsidRPr="00E77600">
        <w:rPr>
          <w:sz w:val="24"/>
          <w:szCs w:val="24"/>
        </w:rPr>
        <w:t xml:space="preserve"> bei prognozuojamos </w:t>
      </w:r>
      <w:r w:rsidR="00B463EE">
        <w:rPr>
          <w:sz w:val="24"/>
          <w:szCs w:val="24"/>
        </w:rPr>
        <w:t>BVP ir valstybės skolos valdymo išlaidų</w:t>
      </w:r>
      <w:r>
        <w:rPr>
          <w:sz w:val="24"/>
          <w:szCs w:val="24"/>
        </w:rPr>
        <w:t xml:space="preserve"> reikšmės 2013 metams imamos kaip faktinės, sudaroma nauja lygtis (žr. </w:t>
      </w:r>
      <w:r w:rsidR="00A95662">
        <w:rPr>
          <w:sz w:val="24"/>
          <w:szCs w:val="24"/>
        </w:rPr>
        <w:t>9</w:t>
      </w:r>
      <w:r w:rsidR="0021041E">
        <w:rPr>
          <w:sz w:val="24"/>
          <w:szCs w:val="24"/>
        </w:rPr>
        <w:t xml:space="preserve"> p</w:t>
      </w:r>
      <w:r>
        <w:rPr>
          <w:sz w:val="24"/>
          <w:szCs w:val="24"/>
        </w:rPr>
        <w:t>riedas</w:t>
      </w:r>
      <w:r w:rsidR="003F707D">
        <w:rPr>
          <w:sz w:val="24"/>
          <w:szCs w:val="24"/>
        </w:rPr>
        <w:t>, 9 pav.</w:t>
      </w:r>
      <w:r w:rsidR="008524AA">
        <w:rPr>
          <w:sz w:val="24"/>
          <w:szCs w:val="24"/>
        </w:rPr>
        <w:t xml:space="preserve">), į lygtį </w:t>
      </w:r>
      <w:r>
        <w:rPr>
          <w:sz w:val="24"/>
          <w:szCs w:val="24"/>
        </w:rPr>
        <w:t xml:space="preserve">statomos </w:t>
      </w:r>
      <w:r w:rsidR="003F707D">
        <w:rPr>
          <w:sz w:val="24"/>
          <w:szCs w:val="24"/>
        </w:rPr>
        <w:t>2014 m. prognozuojamo</w:t>
      </w:r>
      <w:r w:rsidR="007F17C4">
        <w:rPr>
          <w:sz w:val="24"/>
          <w:szCs w:val="24"/>
        </w:rPr>
        <w:t>s Latvijos BVP bei valstybės skolos valdymo išlaidų</w:t>
      </w:r>
      <w:r w:rsidR="008524AA">
        <w:rPr>
          <w:sz w:val="24"/>
          <w:szCs w:val="24"/>
        </w:rPr>
        <w:t xml:space="preserve"> reikšmės,</w:t>
      </w:r>
      <w:r>
        <w:rPr>
          <w:sz w:val="24"/>
          <w:szCs w:val="24"/>
        </w:rPr>
        <w:t xml:space="preserve"> gaunamas </w:t>
      </w:r>
      <w:r w:rsidR="00854472">
        <w:rPr>
          <w:sz w:val="24"/>
          <w:szCs w:val="24"/>
        </w:rPr>
        <w:t xml:space="preserve">Latvijos </w:t>
      </w:r>
      <w:r>
        <w:rPr>
          <w:sz w:val="24"/>
          <w:szCs w:val="24"/>
        </w:rPr>
        <w:t>valstybės skolos p</w:t>
      </w:r>
      <w:r w:rsidR="00F70ABC">
        <w:rPr>
          <w:sz w:val="24"/>
          <w:szCs w:val="24"/>
        </w:rPr>
        <w:t>rognozuojamas dydis 2014 metams:</w:t>
      </w:r>
    </w:p>
    <w:p w:rsidR="0005529A" w:rsidRDefault="0005529A" w:rsidP="00EA11BB">
      <w:pPr>
        <w:spacing w:line="360" w:lineRule="auto"/>
        <w:ind w:firstLine="720"/>
        <w:contextualSpacing/>
        <w:jc w:val="left"/>
        <w:rPr>
          <w:sz w:val="24"/>
          <w:szCs w:val="24"/>
        </w:rPr>
      </w:pPr>
      <w:r>
        <w:rPr>
          <w:sz w:val="24"/>
          <w:szCs w:val="24"/>
        </w:rPr>
        <w:t>Y</w:t>
      </w:r>
      <w:r w:rsidRPr="0005529A">
        <w:rPr>
          <w:sz w:val="24"/>
          <w:szCs w:val="24"/>
        </w:rPr>
        <w:t>=</w:t>
      </w:r>
      <w:r w:rsidR="00300C9A">
        <w:rPr>
          <w:sz w:val="24"/>
          <w:szCs w:val="24"/>
        </w:rPr>
        <w:t xml:space="preserve"> </w:t>
      </w:r>
      <w:r w:rsidRPr="0005529A">
        <w:rPr>
          <w:sz w:val="24"/>
          <w:szCs w:val="24"/>
        </w:rPr>
        <w:t>-1</w:t>
      </w:r>
      <w:r>
        <w:rPr>
          <w:sz w:val="24"/>
          <w:szCs w:val="24"/>
        </w:rPr>
        <w:t>827,21907016+0,0931813097767*</w:t>
      </w:r>
      <w:r w:rsidR="00181EBD">
        <w:rPr>
          <w:sz w:val="24"/>
          <w:szCs w:val="24"/>
        </w:rPr>
        <w:t>24841,6+</w:t>
      </w:r>
      <w:r w:rsidR="00EA11BB">
        <w:rPr>
          <w:sz w:val="24"/>
          <w:szCs w:val="24"/>
        </w:rPr>
        <w:t xml:space="preserve">28,6150612958*292,1=8846,6 mln. </w:t>
      </w:r>
      <w:r w:rsidR="00C37463">
        <w:rPr>
          <w:sz w:val="24"/>
          <w:szCs w:val="24"/>
        </w:rPr>
        <w:t>Eur</w:t>
      </w:r>
    </w:p>
    <w:p w:rsidR="003E5374" w:rsidRPr="00273D2A" w:rsidRDefault="00EA11BB" w:rsidP="003E5374">
      <w:pPr>
        <w:spacing w:line="360" w:lineRule="auto"/>
        <w:ind w:firstLine="720"/>
        <w:contextualSpacing/>
        <w:rPr>
          <w:rFonts w:eastAsiaTheme="minorHAnsi"/>
          <w:color w:val="000000"/>
          <w:sz w:val="24"/>
          <w:szCs w:val="24"/>
        </w:rPr>
      </w:pPr>
      <w:r>
        <w:rPr>
          <w:rFonts w:eastAsiaTheme="minorHAnsi"/>
          <w:color w:val="000000"/>
          <w:sz w:val="24"/>
          <w:szCs w:val="24"/>
          <w:lang w:val="en-US"/>
        </w:rPr>
        <w:t>Esant reik</w:t>
      </w:r>
      <w:r>
        <w:rPr>
          <w:rFonts w:eastAsiaTheme="minorHAnsi"/>
          <w:color w:val="000000"/>
          <w:sz w:val="24"/>
          <w:szCs w:val="24"/>
        </w:rPr>
        <w:t xml:space="preserve">šmingumo lygiui </w:t>
      </w:r>
      <w:r w:rsidRPr="00273D2A">
        <w:rPr>
          <w:rFonts w:eastAsiaTheme="minorHAnsi"/>
          <w:i/>
          <w:color w:val="000000"/>
          <w:sz w:val="24"/>
          <w:szCs w:val="24"/>
        </w:rPr>
        <w:t>a</w:t>
      </w:r>
      <w:r w:rsidRPr="00273D2A">
        <w:rPr>
          <w:rFonts w:eastAsiaTheme="minorHAnsi"/>
          <w:i/>
          <w:color w:val="000000"/>
          <w:sz w:val="24"/>
          <w:szCs w:val="24"/>
          <w:lang w:val="en-US"/>
        </w:rPr>
        <w:t>=0,05</w:t>
      </w:r>
      <w:r>
        <w:rPr>
          <w:rFonts w:eastAsiaTheme="minorHAnsi"/>
          <w:i/>
          <w:color w:val="000000"/>
          <w:sz w:val="24"/>
          <w:szCs w:val="24"/>
          <w:lang w:val="en-US"/>
        </w:rPr>
        <w:t xml:space="preserve">, </w:t>
      </w:r>
      <w:r>
        <w:rPr>
          <w:rFonts w:eastAsiaTheme="minorHAnsi"/>
          <w:color w:val="000000"/>
          <w:sz w:val="24"/>
          <w:szCs w:val="24"/>
        </w:rPr>
        <w:t>ši prognozuojama reikšmė gali kisti intervale nu</w:t>
      </w:r>
      <w:r w:rsidR="003E5374">
        <w:rPr>
          <w:rFonts w:eastAsiaTheme="minorHAnsi"/>
          <w:color w:val="000000"/>
          <w:sz w:val="24"/>
          <w:szCs w:val="24"/>
        </w:rPr>
        <w:t>o 7747,3  iki  9945,9 mln. Eur.</w:t>
      </w:r>
      <w:r w:rsidR="003E5374" w:rsidRPr="003E5374">
        <w:rPr>
          <w:rFonts w:eastAsiaTheme="minorHAnsi"/>
          <w:color w:val="000000"/>
          <w:sz w:val="24"/>
          <w:szCs w:val="24"/>
        </w:rPr>
        <w:t xml:space="preserve"> </w:t>
      </w:r>
      <w:r w:rsidR="003E5374">
        <w:rPr>
          <w:rFonts w:eastAsiaTheme="minorHAnsi"/>
          <w:color w:val="000000"/>
          <w:sz w:val="24"/>
          <w:szCs w:val="24"/>
        </w:rPr>
        <w:t xml:space="preserve">( žr. </w:t>
      </w:r>
      <w:r w:rsidR="003E5374">
        <w:rPr>
          <w:rFonts w:eastAsiaTheme="minorHAnsi"/>
          <w:color w:val="000000"/>
          <w:sz w:val="24"/>
          <w:szCs w:val="24"/>
          <w:lang w:val="en-US"/>
        </w:rPr>
        <w:t>9 priedas, pasikliautin</w:t>
      </w:r>
      <w:r w:rsidR="003E5374">
        <w:rPr>
          <w:rFonts w:eastAsiaTheme="minorHAnsi"/>
          <w:color w:val="000000"/>
          <w:sz w:val="24"/>
          <w:szCs w:val="24"/>
        </w:rPr>
        <w:t>ųjų intervalų skaičiavimas).</w:t>
      </w:r>
    </w:p>
    <w:p w:rsidR="00EA11BB" w:rsidRDefault="00EA11BB" w:rsidP="003E5374">
      <w:pPr>
        <w:spacing w:line="360" w:lineRule="auto"/>
        <w:ind w:firstLine="0"/>
        <w:contextualSpacing/>
        <w:rPr>
          <w:sz w:val="24"/>
          <w:szCs w:val="24"/>
        </w:rPr>
      </w:pPr>
    </w:p>
    <w:p w:rsidR="00480B2B" w:rsidRPr="001C07E4" w:rsidRDefault="001C07E4" w:rsidP="001C07E4">
      <w:pPr>
        <w:spacing w:line="360" w:lineRule="auto"/>
        <w:ind w:firstLine="720"/>
        <w:contextualSpacing/>
        <w:rPr>
          <w:sz w:val="24"/>
          <w:szCs w:val="24"/>
        </w:rPr>
      </w:pPr>
      <w:r>
        <w:rPr>
          <w:b/>
          <w:i/>
          <w:sz w:val="24"/>
          <w:szCs w:val="24"/>
        </w:rPr>
        <w:t>Es</w:t>
      </w:r>
      <w:r w:rsidR="00480B2B">
        <w:rPr>
          <w:b/>
          <w:i/>
          <w:sz w:val="24"/>
          <w:szCs w:val="24"/>
        </w:rPr>
        <w:t>tijos</w:t>
      </w:r>
      <w:r w:rsidR="00480B2B" w:rsidRPr="00480B2B">
        <w:rPr>
          <w:b/>
          <w:i/>
          <w:sz w:val="24"/>
          <w:szCs w:val="24"/>
        </w:rPr>
        <w:t xml:space="preserve"> valstybės skolos prognozavimas</w:t>
      </w:r>
      <w:r w:rsidR="007F17C4">
        <w:rPr>
          <w:b/>
          <w:i/>
          <w:sz w:val="24"/>
          <w:szCs w:val="24"/>
        </w:rPr>
        <w:t xml:space="preserve"> D</w:t>
      </w:r>
      <w:r w:rsidR="00150BD1">
        <w:rPr>
          <w:b/>
          <w:i/>
          <w:sz w:val="24"/>
          <w:szCs w:val="24"/>
        </w:rPr>
        <w:t>TR modeliu</w:t>
      </w:r>
    </w:p>
    <w:p w:rsidR="00480B2B" w:rsidRPr="00480B2B" w:rsidRDefault="00480B2B" w:rsidP="00480B2B">
      <w:pPr>
        <w:tabs>
          <w:tab w:val="left" w:pos="3585"/>
        </w:tabs>
        <w:ind w:firstLine="0"/>
        <w:rPr>
          <w:b/>
          <w:i/>
          <w:sz w:val="24"/>
          <w:szCs w:val="24"/>
        </w:rPr>
      </w:pPr>
    </w:p>
    <w:p w:rsidR="00480B2B" w:rsidRPr="0085424C" w:rsidRDefault="00480B2B" w:rsidP="00480B2B">
      <w:pPr>
        <w:tabs>
          <w:tab w:val="left" w:pos="3585"/>
        </w:tabs>
        <w:spacing w:line="360" w:lineRule="auto"/>
        <w:ind w:firstLine="720"/>
        <w:contextualSpacing/>
        <w:rPr>
          <w:sz w:val="24"/>
          <w:szCs w:val="24"/>
        </w:rPr>
      </w:pPr>
      <w:r w:rsidRPr="004A43BF">
        <w:rPr>
          <w:sz w:val="24"/>
          <w:szCs w:val="24"/>
        </w:rPr>
        <w:t>„Eviews</w:t>
      </w:r>
      <w:r>
        <w:rPr>
          <w:sz w:val="24"/>
          <w:szCs w:val="24"/>
        </w:rPr>
        <w:t xml:space="preserve"> 8</w:t>
      </w:r>
      <w:r w:rsidRPr="004A43BF">
        <w:rPr>
          <w:sz w:val="24"/>
          <w:szCs w:val="24"/>
        </w:rPr>
        <w:t>“</w:t>
      </w:r>
      <w:r>
        <w:rPr>
          <w:sz w:val="24"/>
          <w:szCs w:val="24"/>
        </w:rPr>
        <w:t xml:space="preserve"> programa b</w:t>
      </w:r>
      <w:r w:rsidR="007F17C4">
        <w:rPr>
          <w:sz w:val="24"/>
          <w:szCs w:val="24"/>
        </w:rPr>
        <w:t>uvo sukurtas D</w:t>
      </w:r>
      <w:r w:rsidRPr="004A43BF">
        <w:rPr>
          <w:sz w:val="24"/>
          <w:szCs w:val="24"/>
        </w:rPr>
        <w:t xml:space="preserve">TR modelis </w:t>
      </w:r>
      <w:r w:rsidR="00854472">
        <w:rPr>
          <w:sz w:val="24"/>
          <w:szCs w:val="24"/>
        </w:rPr>
        <w:t>Estijos</w:t>
      </w:r>
      <w:r w:rsidRPr="004A43BF">
        <w:rPr>
          <w:sz w:val="24"/>
          <w:szCs w:val="24"/>
        </w:rPr>
        <w:t xml:space="preserve"> </w:t>
      </w:r>
      <w:r w:rsidRPr="0085424C">
        <w:rPr>
          <w:sz w:val="24"/>
          <w:szCs w:val="24"/>
        </w:rPr>
        <w:t>valstybės skolai prognozuoti.</w:t>
      </w:r>
      <w:r w:rsidRPr="0085424C">
        <w:rPr>
          <w:b/>
          <w:i/>
          <w:sz w:val="24"/>
          <w:szCs w:val="24"/>
        </w:rPr>
        <w:t xml:space="preserve"> </w:t>
      </w:r>
      <w:r w:rsidRPr="0085424C">
        <w:rPr>
          <w:sz w:val="24"/>
          <w:szCs w:val="24"/>
        </w:rPr>
        <w:t xml:space="preserve">Patikrinus sudaryto modelio polinkių ir determinacijos koeficiento reikšmingumus (žr. </w:t>
      </w:r>
      <w:r w:rsidR="00A95662">
        <w:rPr>
          <w:sz w:val="24"/>
          <w:szCs w:val="24"/>
        </w:rPr>
        <w:t>10</w:t>
      </w:r>
      <w:r w:rsidR="0021041E" w:rsidRPr="0085424C">
        <w:rPr>
          <w:sz w:val="24"/>
          <w:szCs w:val="24"/>
        </w:rPr>
        <w:t xml:space="preserve"> p</w:t>
      </w:r>
      <w:r w:rsidR="0057646A">
        <w:rPr>
          <w:sz w:val="24"/>
          <w:szCs w:val="24"/>
        </w:rPr>
        <w:t>riedas)</w:t>
      </w:r>
      <w:r w:rsidRPr="0085424C">
        <w:rPr>
          <w:sz w:val="24"/>
          <w:szCs w:val="24"/>
        </w:rPr>
        <w:t xml:space="preserve">, išsiaiškinta, jog šie yra reikšminiai, vadinasi ir sudarytas </w:t>
      </w:r>
      <w:r w:rsidR="007F17C4">
        <w:rPr>
          <w:sz w:val="24"/>
          <w:szCs w:val="24"/>
        </w:rPr>
        <w:t xml:space="preserve">daugialypės </w:t>
      </w:r>
      <w:r w:rsidR="000C072D" w:rsidRPr="0085424C">
        <w:rPr>
          <w:sz w:val="24"/>
          <w:szCs w:val="24"/>
        </w:rPr>
        <w:t>tiesinės</w:t>
      </w:r>
      <w:r w:rsidRPr="0085424C">
        <w:rPr>
          <w:sz w:val="24"/>
          <w:szCs w:val="24"/>
        </w:rPr>
        <w:t xml:space="preserve"> regresijos modelis yra reikšminis ir tinkamas prognozavimui</w:t>
      </w:r>
      <w:r w:rsidR="00C37463">
        <w:rPr>
          <w:sz w:val="24"/>
          <w:szCs w:val="24"/>
        </w:rPr>
        <w:t xml:space="preserve">. </w:t>
      </w:r>
    </w:p>
    <w:p w:rsidR="00480B2B" w:rsidRPr="0085424C" w:rsidRDefault="00480B2B" w:rsidP="007F17C4">
      <w:pPr>
        <w:spacing w:line="360" w:lineRule="auto"/>
        <w:contextualSpacing/>
        <w:rPr>
          <w:sz w:val="24"/>
          <w:szCs w:val="24"/>
        </w:rPr>
      </w:pPr>
      <w:r w:rsidRPr="0085424C">
        <w:rPr>
          <w:sz w:val="24"/>
          <w:szCs w:val="24"/>
        </w:rPr>
        <w:t xml:space="preserve">Sudaryto modelio determinacijos koeficiento reikšmė lygi </w:t>
      </w:r>
      <w:r w:rsidR="007F17C4">
        <w:rPr>
          <w:sz w:val="24"/>
          <w:szCs w:val="24"/>
        </w:rPr>
        <w:t>0,680208</w:t>
      </w:r>
      <w:r w:rsidRPr="0085424C">
        <w:rPr>
          <w:sz w:val="24"/>
          <w:szCs w:val="24"/>
        </w:rPr>
        <w:t xml:space="preserve"> (</w:t>
      </w:r>
      <w:r w:rsidR="00A95662">
        <w:rPr>
          <w:sz w:val="24"/>
          <w:szCs w:val="24"/>
        </w:rPr>
        <w:t>žr. 10</w:t>
      </w:r>
      <w:r w:rsidR="0021041E" w:rsidRPr="0085424C">
        <w:rPr>
          <w:sz w:val="24"/>
          <w:szCs w:val="24"/>
        </w:rPr>
        <w:t xml:space="preserve"> </w:t>
      </w:r>
      <w:r w:rsidRPr="0085424C">
        <w:rPr>
          <w:sz w:val="24"/>
          <w:szCs w:val="24"/>
        </w:rPr>
        <w:t>priedas</w:t>
      </w:r>
      <w:r w:rsidR="0021041E" w:rsidRPr="0085424C">
        <w:rPr>
          <w:sz w:val="24"/>
          <w:szCs w:val="24"/>
        </w:rPr>
        <w:t>, 7 pav.</w:t>
      </w:r>
      <w:r w:rsidR="00A95662">
        <w:rPr>
          <w:sz w:val="24"/>
          <w:szCs w:val="24"/>
        </w:rPr>
        <w:t>)</w:t>
      </w:r>
      <w:r w:rsidRPr="0085424C">
        <w:rPr>
          <w:sz w:val="24"/>
          <w:szCs w:val="24"/>
        </w:rPr>
        <w:t xml:space="preserve">, o tai rodo, kad </w:t>
      </w:r>
      <w:r w:rsidR="009352DE" w:rsidRPr="0085424C">
        <w:rPr>
          <w:sz w:val="24"/>
          <w:szCs w:val="24"/>
        </w:rPr>
        <w:t>Estijos</w:t>
      </w:r>
      <w:r w:rsidRPr="0085424C">
        <w:rPr>
          <w:sz w:val="24"/>
          <w:szCs w:val="24"/>
        </w:rPr>
        <w:t xml:space="preserve"> valstybės skolos dydžio kitimui </w:t>
      </w:r>
      <w:r w:rsidR="007F17C4">
        <w:rPr>
          <w:sz w:val="24"/>
          <w:szCs w:val="24"/>
        </w:rPr>
        <w:t>68</w:t>
      </w:r>
      <w:r w:rsidRPr="0085424C">
        <w:rPr>
          <w:sz w:val="24"/>
          <w:szCs w:val="24"/>
        </w:rPr>
        <w:t xml:space="preserve"> proc. poveikį daro </w:t>
      </w:r>
      <w:r w:rsidR="007F17C4">
        <w:rPr>
          <w:sz w:val="24"/>
          <w:szCs w:val="24"/>
        </w:rPr>
        <w:t>BVP bei einamosios sąskaitos deficito/pertekliaus</w:t>
      </w:r>
      <w:r w:rsidRPr="0085424C">
        <w:rPr>
          <w:sz w:val="24"/>
          <w:szCs w:val="24"/>
        </w:rPr>
        <w:t xml:space="preserve"> pokyčiai, tuo tarpu </w:t>
      </w:r>
      <w:r w:rsidR="007F17C4">
        <w:rPr>
          <w:sz w:val="24"/>
          <w:szCs w:val="24"/>
        </w:rPr>
        <w:t>32</w:t>
      </w:r>
      <w:r w:rsidRPr="0085424C">
        <w:rPr>
          <w:sz w:val="24"/>
          <w:szCs w:val="24"/>
        </w:rPr>
        <w:t xml:space="preserve"> proc. – kiti neįvertinti veiksniai.</w:t>
      </w:r>
    </w:p>
    <w:p w:rsidR="00480B2B" w:rsidRPr="00B7563C" w:rsidRDefault="00480B2B" w:rsidP="00B7563C">
      <w:pPr>
        <w:spacing w:line="360" w:lineRule="auto"/>
        <w:contextualSpacing/>
        <w:rPr>
          <w:sz w:val="24"/>
          <w:szCs w:val="24"/>
        </w:rPr>
      </w:pPr>
      <w:r w:rsidRPr="0085424C">
        <w:rPr>
          <w:sz w:val="24"/>
          <w:szCs w:val="24"/>
        </w:rPr>
        <w:t>Naudojantis programa sudaryta lygtimi (</w:t>
      </w:r>
      <w:r w:rsidR="00A95662">
        <w:rPr>
          <w:sz w:val="24"/>
          <w:szCs w:val="24"/>
        </w:rPr>
        <w:t>10</w:t>
      </w:r>
      <w:r w:rsidR="0021041E" w:rsidRPr="0085424C">
        <w:rPr>
          <w:sz w:val="24"/>
          <w:szCs w:val="24"/>
        </w:rPr>
        <w:t xml:space="preserve"> </w:t>
      </w:r>
      <w:r w:rsidRPr="0085424C">
        <w:rPr>
          <w:sz w:val="24"/>
          <w:szCs w:val="24"/>
        </w:rPr>
        <w:t>priedas</w:t>
      </w:r>
      <w:r w:rsidR="0021041E" w:rsidRPr="0085424C">
        <w:rPr>
          <w:sz w:val="24"/>
          <w:szCs w:val="24"/>
        </w:rPr>
        <w:t>, 8 pav.</w:t>
      </w:r>
      <w:r w:rsidRPr="0085424C">
        <w:rPr>
          <w:sz w:val="24"/>
          <w:szCs w:val="24"/>
        </w:rPr>
        <w:t xml:space="preserve">) prognozuojama </w:t>
      </w:r>
      <w:r w:rsidR="009352DE" w:rsidRPr="0085424C">
        <w:rPr>
          <w:sz w:val="24"/>
          <w:szCs w:val="24"/>
        </w:rPr>
        <w:t>Estijos</w:t>
      </w:r>
      <w:r w:rsidRPr="0085424C">
        <w:rPr>
          <w:sz w:val="24"/>
          <w:szCs w:val="24"/>
        </w:rPr>
        <w:t xml:space="preserve"> valstybės skola 2013 metams. Į </w:t>
      </w:r>
      <w:r w:rsidR="00DC6D96" w:rsidRPr="0085424C">
        <w:rPr>
          <w:sz w:val="24"/>
          <w:szCs w:val="24"/>
        </w:rPr>
        <w:t>porinės</w:t>
      </w:r>
      <w:r w:rsidRPr="0085424C">
        <w:rPr>
          <w:sz w:val="24"/>
          <w:szCs w:val="24"/>
        </w:rPr>
        <w:t xml:space="preserve"> tiesinės regresijos modelio lygtį</w:t>
      </w:r>
      <w:r w:rsidR="0065061F" w:rsidRPr="0085424C">
        <w:rPr>
          <w:sz w:val="24"/>
          <w:szCs w:val="24"/>
        </w:rPr>
        <w:t xml:space="preserve"> įstačius </w:t>
      </w:r>
      <w:r w:rsidR="00B7563C">
        <w:rPr>
          <w:sz w:val="24"/>
          <w:szCs w:val="24"/>
        </w:rPr>
        <w:t xml:space="preserve">2013 </w:t>
      </w:r>
      <w:r w:rsidR="007F17C4">
        <w:rPr>
          <w:sz w:val="24"/>
          <w:szCs w:val="24"/>
        </w:rPr>
        <w:t>m. prognozuojamas BVP i</w:t>
      </w:r>
      <w:r w:rsidR="003F707D">
        <w:rPr>
          <w:sz w:val="24"/>
          <w:szCs w:val="24"/>
        </w:rPr>
        <w:t xml:space="preserve">r einamosios sąskaitos </w:t>
      </w:r>
      <w:r w:rsidR="007F17C4">
        <w:rPr>
          <w:sz w:val="24"/>
          <w:szCs w:val="24"/>
        </w:rPr>
        <w:t>pertekliaus reikšmes</w:t>
      </w:r>
      <w:r w:rsidR="0065061F" w:rsidRPr="0085424C">
        <w:rPr>
          <w:sz w:val="24"/>
          <w:szCs w:val="24"/>
        </w:rPr>
        <w:t>, gauname Estijos</w:t>
      </w:r>
      <w:r w:rsidRPr="0085424C">
        <w:rPr>
          <w:sz w:val="24"/>
          <w:szCs w:val="24"/>
        </w:rPr>
        <w:t xml:space="preserve"> valstybės skolos dydį </w:t>
      </w:r>
      <w:r w:rsidRPr="0085424C">
        <w:rPr>
          <w:sz w:val="24"/>
          <w:szCs w:val="24"/>
          <w:lang w:val="en-US"/>
        </w:rPr>
        <w:t xml:space="preserve">2013 metais: </w:t>
      </w:r>
    </w:p>
    <w:p w:rsidR="00864A19" w:rsidRDefault="00864A19" w:rsidP="00B105AE">
      <w:pPr>
        <w:widowControl/>
        <w:tabs>
          <w:tab w:val="left" w:pos="0"/>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585"/>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 w:val="left" w:pos="7440"/>
        </w:tabs>
        <w:autoSpaceDE w:val="0"/>
        <w:autoSpaceDN w:val="0"/>
        <w:adjustRightInd w:val="0"/>
        <w:spacing w:line="360" w:lineRule="auto"/>
        <w:ind w:firstLine="720"/>
        <w:contextualSpacing/>
        <w:rPr>
          <w:rFonts w:eastAsiaTheme="minorHAnsi"/>
          <w:color w:val="000000"/>
          <w:sz w:val="24"/>
          <w:szCs w:val="24"/>
          <w:lang w:val="en-US"/>
        </w:rPr>
      </w:pPr>
      <w:r>
        <w:rPr>
          <w:rFonts w:eastAsiaTheme="minorHAnsi"/>
          <w:color w:val="000000"/>
          <w:sz w:val="24"/>
          <w:szCs w:val="24"/>
          <w:lang w:val="en-US"/>
        </w:rPr>
        <w:t>Y</w:t>
      </w:r>
      <w:r w:rsidRPr="00864A19">
        <w:rPr>
          <w:rFonts w:eastAsiaTheme="minorHAnsi"/>
          <w:color w:val="000000"/>
          <w:sz w:val="24"/>
          <w:szCs w:val="24"/>
          <w:lang w:val="en-US"/>
        </w:rPr>
        <w:t>=</w:t>
      </w:r>
      <w:r w:rsidR="00300C9A">
        <w:rPr>
          <w:rFonts w:eastAsiaTheme="minorHAnsi"/>
          <w:color w:val="000000"/>
          <w:sz w:val="24"/>
          <w:szCs w:val="24"/>
          <w:lang w:val="en-US"/>
        </w:rPr>
        <w:t xml:space="preserve"> </w:t>
      </w:r>
      <w:r w:rsidRPr="00864A19">
        <w:rPr>
          <w:rFonts w:eastAsiaTheme="minorHAnsi"/>
          <w:color w:val="000000"/>
          <w:sz w:val="24"/>
          <w:szCs w:val="24"/>
          <w:lang w:val="en-US"/>
        </w:rPr>
        <w:t>-7</w:t>
      </w:r>
      <w:r>
        <w:rPr>
          <w:rFonts w:eastAsiaTheme="minorHAnsi"/>
          <w:color w:val="000000"/>
          <w:sz w:val="24"/>
          <w:szCs w:val="24"/>
          <w:lang w:val="en-US"/>
        </w:rPr>
        <w:t xml:space="preserve">4,6906799473+0,0689721032539*18494,5+0,190721148555*16,3=1204 mln. </w:t>
      </w:r>
      <w:r w:rsidR="00C37463">
        <w:rPr>
          <w:rFonts w:eastAsiaTheme="minorHAnsi"/>
          <w:color w:val="000000"/>
          <w:sz w:val="24"/>
          <w:szCs w:val="24"/>
          <w:lang w:val="en-US"/>
        </w:rPr>
        <w:t>Eur</w:t>
      </w:r>
    </w:p>
    <w:p w:rsidR="004422C3" w:rsidRPr="004422C3" w:rsidRDefault="004422C3" w:rsidP="003E5374">
      <w:pPr>
        <w:spacing w:line="360" w:lineRule="auto"/>
        <w:ind w:firstLine="720"/>
        <w:contextualSpacing/>
        <w:rPr>
          <w:rFonts w:eastAsiaTheme="minorHAnsi"/>
          <w:color w:val="000000"/>
          <w:sz w:val="24"/>
          <w:szCs w:val="24"/>
        </w:rPr>
      </w:pPr>
      <w:r>
        <w:rPr>
          <w:rFonts w:eastAsiaTheme="minorHAnsi"/>
          <w:color w:val="000000"/>
          <w:sz w:val="24"/>
          <w:szCs w:val="24"/>
          <w:lang w:val="en-US"/>
        </w:rPr>
        <w:t>Esant reik</w:t>
      </w:r>
      <w:r>
        <w:rPr>
          <w:rFonts w:eastAsiaTheme="minorHAnsi"/>
          <w:color w:val="000000"/>
          <w:sz w:val="24"/>
          <w:szCs w:val="24"/>
        </w:rPr>
        <w:t xml:space="preserve">šmingumo lygiui </w:t>
      </w:r>
      <w:r w:rsidRPr="00273D2A">
        <w:rPr>
          <w:rFonts w:eastAsiaTheme="minorHAnsi"/>
          <w:i/>
          <w:color w:val="000000"/>
          <w:sz w:val="24"/>
          <w:szCs w:val="24"/>
        </w:rPr>
        <w:t>a</w:t>
      </w:r>
      <w:r w:rsidRPr="00273D2A">
        <w:rPr>
          <w:rFonts w:eastAsiaTheme="minorHAnsi"/>
          <w:i/>
          <w:color w:val="000000"/>
          <w:sz w:val="24"/>
          <w:szCs w:val="24"/>
          <w:lang w:val="en-US"/>
        </w:rPr>
        <w:t>=0,05</w:t>
      </w:r>
      <w:r>
        <w:rPr>
          <w:rFonts w:eastAsiaTheme="minorHAnsi"/>
          <w:i/>
          <w:color w:val="000000"/>
          <w:sz w:val="24"/>
          <w:szCs w:val="24"/>
          <w:lang w:val="en-US"/>
        </w:rPr>
        <w:t xml:space="preserve">, </w:t>
      </w:r>
      <w:r>
        <w:rPr>
          <w:rFonts w:eastAsiaTheme="minorHAnsi"/>
          <w:color w:val="000000"/>
          <w:sz w:val="24"/>
          <w:szCs w:val="24"/>
        </w:rPr>
        <w:t>ši prognozuojama reikšmė gali kisti intervale</w:t>
      </w:r>
      <w:r w:rsidR="003E5374">
        <w:rPr>
          <w:rFonts w:eastAsiaTheme="minorHAnsi"/>
          <w:color w:val="000000"/>
          <w:sz w:val="24"/>
          <w:szCs w:val="24"/>
        </w:rPr>
        <w:t xml:space="preserve"> nuo 728,1 iki  1679  mln. Eur. ( žr. </w:t>
      </w:r>
      <w:r w:rsidR="003E5374">
        <w:rPr>
          <w:rFonts w:eastAsiaTheme="minorHAnsi"/>
          <w:color w:val="000000"/>
          <w:sz w:val="24"/>
          <w:szCs w:val="24"/>
          <w:lang w:val="en-US"/>
        </w:rPr>
        <w:t>10 priedas, pasikliautin</w:t>
      </w:r>
      <w:r w:rsidR="003E5374">
        <w:rPr>
          <w:rFonts w:eastAsiaTheme="minorHAnsi"/>
          <w:color w:val="000000"/>
          <w:sz w:val="24"/>
          <w:szCs w:val="24"/>
        </w:rPr>
        <w:t>ųjų intervalų skaičiavimas).</w:t>
      </w:r>
    </w:p>
    <w:p w:rsidR="00B7563C" w:rsidRDefault="0065061F" w:rsidP="007F17C4">
      <w:pPr>
        <w:widowControl/>
        <w:tabs>
          <w:tab w:val="left" w:pos="0"/>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585"/>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 w:val="left" w:pos="7440"/>
        </w:tabs>
        <w:autoSpaceDE w:val="0"/>
        <w:autoSpaceDN w:val="0"/>
        <w:adjustRightInd w:val="0"/>
        <w:spacing w:line="360" w:lineRule="auto"/>
        <w:ind w:firstLine="720"/>
        <w:contextualSpacing/>
        <w:rPr>
          <w:sz w:val="24"/>
          <w:szCs w:val="24"/>
        </w:rPr>
      </w:pPr>
      <w:r>
        <w:rPr>
          <w:sz w:val="24"/>
          <w:szCs w:val="24"/>
        </w:rPr>
        <w:t>Toliau šis gautas Estijos valstybės skolos dydis</w:t>
      </w:r>
      <w:r w:rsidRPr="00E77600">
        <w:rPr>
          <w:sz w:val="24"/>
          <w:szCs w:val="24"/>
        </w:rPr>
        <w:t xml:space="preserve"> bei </w:t>
      </w:r>
      <w:r w:rsidR="007F17C4">
        <w:rPr>
          <w:sz w:val="24"/>
          <w:szCs w:val="24"/>
        </w:rPr>
        <w:t>2013 m. prognozuojamos BVP be</w:t>
      </w:r>
      <w:r w:rsidR="003F707D">
        <w:rPr>
          <w:sz w:val="24"/>
          <w:szCs w:val="24"/>
        </w:rPr>
        <w:t xml:space="preserve">i einamosios sąskaitos </w:t>
      </w:r>
      <w:r w:rsidR="007F17C4">
        <w:rPr>
          <w:sz w:val="24"/>
          <w:szCs w:val="24"/>
        </w:rPr>
        <w:t>pertekliaus reikšmės</w:t>
      </w:r>
      <w:r w:rsidR="00DC6D96">
        <w:rPr>
          <w:sz w:val="24"/>
          <w:szCs w:val="24"/>
        </w:rPr>
        <w:t xml:space="preserve"> imami kaip faktiniai</w:t>
      </w:r>
      <w:r>
        <w:rPr>
          <w:sz w:val="24"/>
          <w:szCs w:val="24"/>
        </w:rPr>
        <w:t xml:space="preserve">, sudaroma nauja lygtis (žr. </w:t>
      </w:r>
      <w:r w:rsidR="00A95662">
        <w:rPr>
          <w:sz w:val="24"/>
          <w:szCs w:val="24"/>
        </w:rPr>
        <w:t>10</w:t>
      </w:r>
      <w:r w:rsidR="0021041E">
        <w:rPr>
          <w:sz w:val="24"/>
          <w:szCs w:val="24"/>
        </w:rPr>
        <w:t xml:space="preserve"> p</w:t>
      </w:r>
      <w:r>
        <w:rPr>
          <w:sz w:val="24"/>
          <w:szCs w:val="24"/>
        </w:rPr>
        <w:t>riedas</w:t>
      </w:r>
      <w:r w:rsidR="0021041E">
        <w:rPr>
          <w:sz w:val="24"/>
          <w:szCs w:val="24"/>
        </w:rPr>
        <w:t>, 9 pav.</w:t>
      </w:r>
      <w:r>
        <w:rPr>
          <w:sz w:val="24"/>
          <w:szCs w:val="24"/>
        </w:rPr>
        <w:t xml:space="preserve">), į lygtį </w:t>
      </w:r>
      <w:r w:rsidR="007F17C4">
        <w:rPr>
          <w:sz w:val="24"/>
          <w:szCs w:val="24"/>
        </w:rPr>
        <w:t xml:space="preserve">statoma 2014 m. prognozuojamas BVP ir einamosios sąskaitos deficitas/perteklius, </w:t>
      </w:r>
      <w:r>
        <w:rPr>
          <w:sz w:val="24"/>
          <w:szCs w:val="24"/>
        </w:rPr>
        <w:t>gaunamas Estijos valstybės skolos p</w:t>
      </w:r>
      <w:r w:rsidR="00B7563C">
        <w:rPr>
          <w:sz w:val="24"/>
          <w:szCs w:val="24"/>
        </w:rPr>
        <w:t>rognozuojamas dydis 2014 metams.</w:t>
      </w:r>
    </w:p>
    <w:p w:rsidR="00B7563C" w:rsidRDefault="00864A19" w:rsidP="00BD6AE5">
      <w:pPr>
        <w:widowControl/>
        <w:tabs>
          <w:tab w:val="left" w:pos="0"/>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585"/>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 w:val="left" w:pos="7440"/>
        </w:tabs>
        <w:autoSpaceDE w:val="0"/>
        <w:autoSpaceDN w:val="0"/>
        <w:adjustRightInd w:val="0"/>
        <w:spacing w:line="360" w:lineRule="auto"/>
        <w:ind w:firstLine="720"/>
        <w:contextualSpacing/>
        <w:jc w:val="left"/>
        <w:rPr>
          <w:rFonts w:eastAsiaTheme="minorHAnsi"/>
          <w:color w:val="000000"/>
          <w:sz w:val="24"/>
          <w:szCs w:val="24"/>
          <w:lang w:val="en-US"/>
        </w:rPr>
      </w:pPr>
      <w:r>
        <w:rPr>
          <w:rFonts w:eastAsiaTheme="minorHAnsi"/>
          <w:color w:val="000000"/>
          <w:sz w:val="24"/>
          <w:szCs w:val="24"/>
          <w:lang w:val="en-US"/>
        </w:rPr>
        <w:t>Y</w:t>
      </w:r>
      <w:r w:rsidRPr="00864A19">
        <w:rPr>
          <w:rFonts w:eastAsiaTheme="minorHAnsi"/>
          <w:color w:val="000000"/>
          <w:sz w:val="24"/>
          <w:szCs w:val="24"/>
          <w:lang w:val="en-US"/>
        </w:rPr>
        <w:t>=-7</w:t>
      </w:r>
      <w:r>
        <w:rPr>
          <w:rFonts w:eastAsiaTheme="minorHAnsi"/>
          <w:color w:val="000000"/>
          <w:sz w:val="24"/>
          <w:szCs w:val="24"/>
          <w:lang w:val="en-US"/>
        </w:rPr>
        <w:t>4,6906799474+0,0689721032539*19</w:t>
      </w:r>
      <w:r w:rsidR="00FA06AE">
        <w:rPr>
          <w:rFonts w:eastAsiaTheme="minorHAnsi"/>
          <w:color w:val="000000"/>
          <w:sz w:val="24"/>
          <w:szCs w:val="24"/>
          <w:lang w:val="en-US"/>
        </w:rPr>
        <w:t>689,4+0,19</w:t>
      </w:r>
      <w:r w:rsidR="00C37463">
        <w:rPr>
          <w:rFonts w:eastAsiaTheme="minorHAnsi"/>
          <w:color w:val="000000"/>
          <w:sz w:val="24"/>
          <w:szCs w:val="24"/>
          <w:lang w:val="en-US"/>
        </w:rPr>
        <w:t>0721148555*26,2=1288,3 mln. Eur</w:t>
      </w:r>
    </w:p>
    <w:p w:rsidR="005D683A" w:rsidRPr="005D683A" w:rsidRDefault="004422C3" w:rsidP="003E5374">
      <w:pPr>
        <w:spacing w:line="360" w:lineRule="auto"/>
        <w:ind w:firstLine="720"/>
        <w:contextualSpacing/>
        <w:rPr>
          <w:rFonts w:eastAsiaTheme="minorHAnsi"/>
          <w:color w:val="000000"/>
          <w:sz w:val="24"/>
          <w:szCs w:val="24"/>
        </w:rPr>
      </w:pPr>
      <w:r>
        <w:rPr>
          <w:rFonts w:eastAsiaTheme="minorHAnsi"/>
          <w:color w:val="000000"/>
          <w:sz w:val="24"/>
          <w:szCs w:val="24"/>
          <w:lang w:val="en-US"/>
        </w:rPr>
        <w:lastRenderedPageBreak/>
        <w:t>Esant reik</w:t>
      </w:r>
      <w:r>
        <w:rPr>
          <w:rFonts w:eastAsiaTheme="minorHAnsi"/>
          <w:color w:val="000000"/>
          <w:sz w:val="24"/>
          <w:szCs w:val="24"/>
        </w:rPr>
        <w:t xml:space="preserve">šmingumo lygiui </w:t>
      </w:r>
      <w:r w:rsidRPr="00273D2A">
        <w:rPr>
          <w:rFonts w:eastAsiaTheme="minorHAnsi"/>
          <w:i/>
          <w:color w:val="000000"/>
          <w:sz w:val="24"/>
          <w:szCs w:val="24"/>
        </w:rPr>
        <w:t>a</w:t>
      </w:r>
      <w:r w:rsidRPr="00273D2A">
        <w:rPr>
          <w:rFonts w:eastAsiaTheme="minorHAnsi"/>
          <w:i/>
          <w:color w:val="000000"/>
          <w:sz w:val="24"/>
          <w:szCs w:val="24"/>
          <w:lang w:val="en-US"/>
        </w:rPr>
        <w:t>=0,05</w:t>
      </w:r>
      <w:r>
        <w:rPr>
          <w:rFonts w:eastAsiaTheme="minorHAnsi"/>
          <w:i/>
          <w:color w:val="000000"/>
          <w:sz w:val="24"/>
          <w:szCs w:val="24"/>
          <w:lang w:val="en-US"/>
        </w:rPr>
        <w:t xml:space="preserve">, </w:t>
      </w:r>
      <w:r>
        <w:rPr>
          <w:rFonts w:eastAsiaTheme="minorHAnsi"/>
          <w:color w:val="000000"/>
          <w:sz w:val="24"/>
          <w:szCs w:val="24"/>
        </w:rPr>
        <w:t>ši prognozuojama reikšmė gali kisti intervale nuo 839</w:t>
      </w:r>
      <w:r w:rsidR="003F707D">
        <w:rPr>
          <w:rFonts w:eastAsiaTheme="minorHAnsi"/>
          <w:color w:val="000000"/>
          <w:sz w:val="24"/>
          <w:szCs w:val="24"/>
        </w:rPr>
        <w:t xml:space="preserve"> </w:t>
      </w:r>
      <w:r w:rsidR="003E5374">
        <w:rPr>
          <w:rFonts w:eastAsiaTheme="minorHAnsi"/>
          <w:color w:val="000000"/>
          <w:sz w:val="24"/>
          <w:szCs w:val="24"/>
        </w:rPr>
        <w:t xml:space="preserve">iki  1737,6  mln. Eur. ( žr. </w:t>
      </w:r>
      <w:r w:rsidR="003E5374">
        <w:rPr>
          <w:rFonts w:eastAsiaTheme="minorHAnsi"/>
          <w:color w:val="000000"/>
          <w:sz w:val="24"/>
          <w:szCs w:val="24"/>
          <w:lang w:val="en-US"/>
        </w:rPr>
        <w:t>10 priedas, pasikliautin</w:t>
      </w:r>
      <w:r w:rsidR="003E5374">
        <w:rPr>
          <w:rFonts w:eastAsiaTheme="minorHAnsi"/>
          <w:color w:val="000000"/>
          <w:sz w:val="24"/>
          <w:szCs w:val="24"/>
        </w:rPr>
        <w:t>ųjų intervalų skaičiavimas).</w:t>
      </w:r>
    </w:p>
    <w:p w:rsidR="000C072D" w:rsidRDefault="00C00525" w:rsidP="005D683A">
      <w:pPr>
        <w:tabs>
          <w:tab w:val="left" w:pos="3585"/>
        </w:tabs>
        <w:spacing w:line="360" w:lineRule="auto"/>
        <w:ind w:firstLine="720"/>
        <w:contextualSpacing/>
        <w:rPr>
          <w:rFonts w:eastAsiaTheme="minorHAnsi"/>
          <w:color w:val="000000"/>
          <w:sz w:val="24"/>
          <w:szCs w:val="24"/>
          <w:lang w:val="en-US"/>
        </w:rPr>
      </w:pPr>
      <w:r>
        <w:rPr>
          <w:rFonts w:eastAsiaTheme="minorHAnsi"/>
          <w:color w:val="000000"/>
          <w:sz w:val="24"/>
          <w:szCs w:val="24"/>
          <w:lang w:val="en-US"/>
        </w:rPr>
        <w:t>19</w:t>
      </w:r>
      <w:r w:rsidR="004030B1">
        <w:rPr>
          <w:rFonts w:eastAsiaTheme="minorHAnsi"/>
          <w:color w:val="000000"/>
          <w:sz w:val="24"/>
          <w:szCs w:val="24"/>
          <w:lang w:val="en-US"/>
        </w:rPr>
        <w:t xml:space="preserve"> </w:t>
      </w:r>
      <w:r w:rsidR="007A10D6">
        <w:rPr>
          <w:rFonts w:eastAsiaTheme="minorHAnsi"/>
          <w:color w:val="000000"/>
          <w:sz w:val="24"/>
          <w:szCs w:val="24"/>
          <w:lang w:val="en-US"/>
        </w:rPr>
        <w:t>paveiksle pateikti</w:t>
      </w:r>
      <w:r w:rsidR="000C072D">
        <w:rPr>
          <w:rFonts w:eastAsiaTheme="minorHAnsi"/>
          <w:color w:val="000000"/>
          <w:sz w:val="24"/>
          <w:szCs w:val="24"/>
          <w:lang w:val="en-US"/>
        </w:rPr>
        <w:t xml:space="preserve"> visų trij</w:t>
      </w:r>
      <w:r w:rsidR="0085424C">
        <w:rPr>
          <w:rFonts w:eastAsiaTheme="minorHAnsi"/>
          <w:color w:val="000000"/>
          <w:sz w:val="24"/>
          <w:szCs w:val="24"/>
          <w:lang w:val="en-US"/>
        </w:rPr>
        <w:t>ų Baltijos šalių valstybės skolos</w:t>
      </w:r>
      <w:r w:rsidR="00530D9D">
        <w:rPr>
          <w:rFonts w:eastAsiaTheme="minorHAnsi"/>
          <w:color w:val="000000"/>
          <w:sz w:val="24"/>
          <w:szCs w:val="24"/>
          <w:lang w:val="en-US"/>
        </w:rPr>
        <w:t xml:space="preserve"> </w:t>
      </w:r>
      <w:r w:rsidR="008F3D9D">
        <w:rPr>
          <w:rFonts w:eastAsiaTheme="minorHAnsi"/>
          <w:color w:val="000000"/>
          <w:sz w:val="24"/>
          <w:szCs w:val="24"/>
          <w:lang w:val="en-US"/>
        </w:rPr>
        <w:t xml:space="preserve">metiniai augimo tempai </w:t>
      </w:r>
      <w:r w:rsidR="00530D9D">
        <w:rPr>
          <w:rFonts w:eastAsiaTheme="minorHAnsi"/>
          <w:color w:val="000000"/>
          <w:sz w:val="24"/>
          <w:szCs w:val="24"/>
          <w:lang w:val="en-US"/>
        </w:rPr>
        <w:t xml:space="preserve">su prognozuojamomis reikšmėmis pagal </w:t>
      </w:r>
      <w:r w:rsidR="00BD6AE5">
        <w:rPr>
          <w:rFonts w:eastAsiaTheme="minorHAnsi"/>
          <w:color w:val="000000"/>
          <w:sz w:val="24"/>
          <w:szCs w:val="24"/>
          <w:lang w:val="en-US"/>
        </w:rPr>
        <w:t xml:space="preserve">daugialypės </w:t>
      </w:r>
      <w:r w:rsidR="00530D9D">
        <w:rPr>
          <w:rFonts w:eastAsiaTheme="minorHAnsi"/>
          <w:color w:val="000000"/>
          <w:sz w:val="24"/>
          <w:szCs w:val="24"/>
          <w:lang w:val="en-US"/>
        </w:rPr>
        <w:t>tiesin</w:t>
      </w:r>
      <w:r w:rsidR="00530D9D">
        <w:rPr>
          <w:rFonts w:eastAsiaTheme="minorHAnsi"/>
          <w:color w:val="000000"/>
          <w:sz w:val="24"/>
          <w:szCs w:val="24"/>
        </w:rPr>
        <w:t>ės regresijos modelį.</w:t>
      </w:r>
      <w:r w:rsidR="000C072D">
        <w:rPr>
          <w:rFonts w:eastAsiaTheme="minorHAnsi"/>
          <w:color w:val="000000"/>
          <w:sz w:val="24"/>
          <w:szCs w:val="24"/>
          <w:lang w:val="en-US"/>
        </w:rPr>
        <w:t xml:space="preserve"> </w:t>
      </w:r>
    </w:p>
    <w:p w:rsidR="001C07E4" w:rsidRPr="002854E1" w:rsidRDefault="001C07E4" w:rsidP="000C072D">
      <w:pPr>
        <w:tabs>
          <w:tab w:val="left" w:pos="3585"/>
        </w:tabs>
        <w:spacing w:line="360" w:lineRule="auto"/>
        <w:ind w:firstLine="720"/>
        <w:contextualSpacing/>
        <w:rPr>
          <w:sz w:val="24"/>
          <w:szCs w:val="24"/>
        </w:rPr>
      </w:pPr>
    </w:p>
    <w:p w:rsidR="002210AF" w:rsidRDefault="008F3D9D" w:rsidP="005B47AA">
      <w:pPr>
        <w:tabs>
          <w:tab w:val="left" w:pos="3585"/>
          <w:tab w:val="left" w:pos="3855"/>
          <w:tab w:val="center" w:pos="4819"/>
        </w:tabs>
        <w:spacing w:line="360" w:lineRule="auto"/>
        <w:ind w:firstLine="0"/>
        <w:contextualSpacing/>
        <w:jc w:val="center"/>
      </w:pPr>
      <w:r w:rsidRPr="008F3D9D">
        <w:rPr>
          <w:noProof/>
          <w:lang w:val="en-US"/>
        </w:rPr>
        <w:drawing>
          <wp:inline distT="0" distB="0" distL="0" distR="0">
            <wp:extent cx="5857875" cy="2486025"/>
            <wp:effectExtent l="19050" t="0" r="9525" b="0"/>
            <wp:docPr id="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666E1" w:rsidRDefault="001C07E4" w:rsidP="005666E1">
      <w:pPr>
        <w:tabs>
          <w:tab w:val="left" w:pos="3585"/>
          <w:tab w:val="left" w:pos="3855"/>
          <w:tab w:val="center" w:pos="4819"/>
        </w:tabs>
        <w:spacing w:line="360" w:lineRule="auto"/>
        <w:ind w:firstLine="0"/>
        <w:contextualSpacing/>
        <w:jc w:val="left"/>
      </w:pPr>
      <w:r>
        <w:t xml:space="preserve">      </w:t>
      </w:r>
      <w:r w:rsidR="005D683A">
        <w:t xml:space="preserve">    </w:t>
      </w:r>
      <w:r w:rsidR="005B47AA">
        <w:t xml:space="preserve">    </w:t>
      </w:r>
      <w:r>
        <w:t xml:space="preserve"> </w:t>
      </w:r>
      <w:r w:rsidR="009A0CC3" w:rsidRPr="009A0CC3">
        <w:t xml:space="preserve">Šaltinis: sudaryta </w:t>
      </w:r>
      <w:r w:rsidR="007A10D6">
        <w:t>remiantis</w:t>
      </w:r>
      <w:r w:rsidR="009A0CC3" w:rsidRPr="009A0CC3">
        <w:t xml:space="preserve"> autorės skaičiavimais</w:t>
      </w:r>
      <w:bookmarkStart w:id="233" w:name="_Toc373086914"/>
      <w:bookmarkStart w:id="234" w:name="_Toc374229476"/>
    </w:p>
    <w:p w:rsidR="005B47AA" w:rsidRDefault="00C00525" w:rsidP="005666E1">
      <w:pPr>
        <w:tabs>
          <w:tab w:val="left" w:pos="3585"/>
          <w:tab w:val="left" w:pos="3855"/>
          <w:tab w:val="center" w:pos="4819"/>
        </w:tabs>
        <w:spacing w:line="360" w:lineRule="auto"/>
        <w:ind w:firstLine="0"/>
        <w:contextualSpacing/>
        <w:jc w:val="center"/>
        <w:rPr>
          <w:sz w:val="24"/>
          <w:szCs w:val="24"/>
        </w:rPr>
      </w:pPr>
      <w:r w:rsidRPr="00E77967">
        <w:rPr>
          <w:sz w:val="24"/>
          <w:szCs w:val="24"/>
        </w:rPr>
        <w:t>19</w:t>
      </w:r>
      <w:r w:rsidR="003F4852" w:rsidRPr="00E77967">
        <w:rPr>
          <w:sz w:val="24"/>
          <w:szCs w:val="24"/>
        </w:rPr>
        <w:t xml:space="preserve"> pav</w:t>
      </w:r>
      <w:r w:rsidR="008F3D9D">
        <w:rPr>
          <w:sz w:val="24"/>
          <w:szCs w:val="24"/>
        </w:rPr>
        <w:t>. Baltijos šalių valstybės skolos metiniai augimo tempai</w:t>
      </w:r>
      <w:r w:rsidR="003F4852" w:rsidRPr="00E77967">
        <w:rPr>
          <w:sz w:val="24"/>
          <w:szCs w:val="24"/>
        </w:rPr>
        <w:t xml:space="preserve"> </w:t>
      </w:r>
      <w:r w:rsidR="009A0CC3" w:rsidRPr="00E77967">
        <w:rPr>
          <w:sz w:val="24"/>
          <w:szCs w:val="24"/>
        </w:rPr>
        <w:t xml:space="preserve">su prognozuojamomis reikšmėmis </w:t>
      </w:r>
      <w:r w:rsidR="006D7F08" w:rsidRPr="00E77967">
        <w:rPr>
          <w:sz w:val="24"/>
          <w:szCs w:val="24"/>
        </w:rPr>
        <w:t>p</w:t>
      </w:r>
      <w:r w:rsidR="00303ADD" w:rsidRPr="00E77967">
        <w:rPr>
          <w:sz w:val="24"/>
          <w:szCs w:val="24"/>
        </w:rPr>
        <w:t xml:space="preserve">agal </w:t>
      </w:r>
      <w:r w:rsidR="00BD6AE5">
        <w:rPr>
          <w:sz w:val="24"/>
          <w:szCs w:val="24"/>
        </w:rPr>
        <w:t xml:space="preserve">daugialypės </w:t>
      </w:r>
      <w:r w:rsidR="00303ADD" w:rsidRPr="00E77967">
        <w:rPr>
          <w:sz w:val="24"/>
          <w:szCs w:val="24"/>
        </w:rPr>
        <w:t>tiesinės regresijos</w:t>
      </w:r>
      <w:r w:rsidR="00645C3A" w:rsidRPr="00E77967">
        <w:rPr>
          <w:sz w:val="24"/>
          <w:szCs w:val="24"/>
        </w:rPr>
        <w:t xml:space="preserve"> </w:t>
      </w:r>
      <w:r w:rsidR="00303ADD" w:rsidRPr="00E77967">
        <w:rPr>
          <w:sz w:val="24"/>
          <w:szCs w:val="24"/>
        </w:rPr>
        <w:t>modelį</w:t>
      </w:r>
      <w:bookmarkEnd w:id="233"/>
      <w:bookmarkEnd w:id="234"/>
    </w:p>
    <w:p w:rsidR="005666E1" w:rsidRPr="00435ED6" w:rsidRDefault="005666E1" w:rsidP="005666E1">
      <w:pPr>
        <w:tabs>
          <w:tab w:val="left" w:pos="3585"/>
          <w:tab w:val="left" w:pos="3855"/>
          <w:tab w:val="center" w:pos="4819"/>
        </w:tabs>
        <w:spacing w:line="360" w:lineRule="auto"/>
        <w:ind w:firstLine="0"/>
        <w:contextualSpacing/>
        <w:jc w:val="center"/>
      </w:pPr>
    </w:p>
    <w:p w:rsidR="00AF6A0D" w:rsidRDefault="000C072D" w:rsidP="00AF6A0D">
      <w:pPr>
        <w:tabs>
          <w:tab w:val="left" w:pos="3585"/>
          <w:tab w:val="left" w:pos="3855"/>
          <w:tab w:val="center" w:pos="4819"/>
        </w:tabs>
        <w:spacing w:line="360" w:lineRule="auto"/>
        <w:ind w:firstLine="720"/>
        <w:contextualSpacing/>
        <w:rPr>
          <w:sz w:val="24"/>
          <w:szCs w:val="24"/>
        </w:rPr>
      </w:pPr>
      <w:r>
        <w:rPr>
          <w:sz w:val="24"/>
          <w:szCs w:val="24"/>
        </w:rPr>
        <w:t xml:space="preserve">Kaip matyti iš </w:t>
      </w:r>
      <w:r w:rsidR="0057646A">
        <w:rPr>
          <w:sz w:val="24"/>
          <w:szCs w:val="24"/>
        </w:rPr>
        <w:t xml:space="preserve">19 </w:t>
      </w:r>
      <w:r>
        <w:rPr>
          <w:sz w:val="24"/>
          <w:szCs w:val="24"/>
        </w:rPr>
        <w:t>paveikslo, remiantis gautomis prognozėmis</w:t>
      </w:r>
      <w:r w:rsidR="00BD6AE5">
        <w:rPr>
          <w:sz w:val="24"/>
          <w:szCs w:val="24"/>
        </w:rPr>
        <w:t xml:space="preserve">, Lietuvos valstybės skola 2013 – 2014 m. turėtų padidėti, tuo tarpu Latvijos ir Estijos 2013 m. sumažėti, o 2014 m. – </w:t>
      </w:r>
      <w:r w:rsidR="00F261DA">
        <w:rPr>
          <w:sz w:val="24"/>
          <w:szCs w:val="24"/>
        </w:rPr>
        <w:t>vėl paaugti.</w:t>
      </w:r>
      <w:r w:rsidR="00BD6AE5">
        <w:rPr>
          <w:sz w:val="24"/>
          <w:szCs w:val="24"/>
        </w:rPr>
        <w:t xml:space="preserve"> </w:t>
      </w:r>
      <w:r>
        <w:rPr>
          <w:sz w:val="24"/>
          <w:szCs w:val="24"/>
        </w:rPr>
        <w:t xml:space="preserve"> </w:t>
      </w:r>
    </w:p>
    <w:p w:rsidR="0033649A" w:rsidRPr="00BD6AE5" w:rsidRDefault="00530D9D" w:rsidP="00CF6673">
      <w:pPr>
        <w:tabs>
          <w:tab w:val="left" w:pos="8445"/>
        </w:tabs>
        <w:autoSpaceDE w:val="0"/>
        <w:autoSpaceDN w:val="0"/>
        <w:adjustRightInd w:val="0"/>
        <w:spacing w:line="360" w:lineRule="auto"/>
        <w:rPr>
          <w:sz w:val="24"/>
          <w:szCs w:val="24"/>
        </w:rPr>
      </w:pPr>
      <w:r>
        <w:rPr>
          <w:sz w:val="24"/>
          <w:szCs w:val="24"/>
        </w:rPr>
        <w:t>Lietuvos atveju</w:t>
      </w:r>
      <w:r w:rsidR="001D2A6A">
        <w:rPr>
          <w:sz w:val="24"/>
          <w:szCs w:val="24"/>
        </w:rPr>
        <w:t xml:space="preserve">, </w:t>
      </w:r>
      <w:r w:rsidR="00DB3AD9">
        <w:rPr>
          <w:sz w:val="24"/>
          <w:szCs w:val="24"/>
        </w:rPr>
        <w:t>2013 m. lyginant su 2012 m.</w:t>
      </w:r>
      <w:r w:rsidR="001D2A6A">
        <w:rPr>
          <w:sz w:val="24"/>
          <w:szCs w:val="24"/>
        </w:rPr>
        <w:t xml:space="preserve"> esant lėtesniam šalies BVP augimui bei didesnėms valstybės skolos </w:t>
      </w:r>
      <w:r w:rsidR="00F261DA">
        <w:rPr>
          <w:sz w:val="24"/>
          <w:szCs w:val="24"/>
        </w:rPr>
        <w:t xml:space="preserve">valdymo </w:t>
      </w:r>
      <w:r w:rsidR="001D2A6A">
        <w:rPr>
          <w:sz w:val="24"/>
          <w:szCs w:val="24"/>
        </w:rPr>
        <w:t xml:space="preserve">išlaidoms, </w:t>
      </w:r>
      <w:r w:rsidR="00F261DA">
        <w:rPr>
          <w:sz w:val="24"/>
          <w:szCs w:val="24"/>
        </w:rPr>
        <w:t xml:space="preserve">DTR modeliu gauta prognozė rodo, kad Lietuvos </w:t>
      </w:r>
      <w:r w:rsidR="001D2A6A">
        <w:rPr>
          <w:sz w:val="24"/>
          <w:szCs w:val="24"/>
        </w:rPr>
        <w:t xml:space="preserve">valstybės skola turėtų </w:t>
      </w:r>
      <w:r w:rsidR="00BD6AE5">
        <w:rPr>
          <w:sz w:val="24"/>
          <w:szCs w:val="24"/>
        </w:rPr>
        <w:t>padidėti 10,5 proc.</w:t>
      </w:r>
      <w:r w:rsidR="005140A5">
        <w:rPr>
          <w:sz w:val="24"/>
          <w:szCs w:val="24"/>
        </w:rPr>
        <w:t xml:space="preserve"> </w:t>
      </w:r>
      <w:r w:rsidR="00127520">
        <w:rPr>
          <w:sz w:val="24"/>
          <w:szCs w:val="24"/>
        </w:rPr>
        <w:t>ir sudaryti 14735 mln. Eur</w:t>
      </w:r>
      <w:r w:rsidR="00BD6AE5">
        <w:rPr>
          <w:sz w:val="24"/>
          <w:szCs w:val="24"/>
        </w:rPr>
        <w:t xml:space="preserve">, o 2014 m. </w:t>
      </w:r>
      <w:r w:rsidR="00F261DA">
        <w:rPr>
          <w:sz w:val="24"/>
          <w:szCs w:val="24"/>
        </w:rPr>
        <w:t>paspartėjus BVP augimui</w:t>
      </w:r>
      <w:r w:rsidR="001449C0">
        <w:rPr>
          <w:sz w:val="24"/>
          <w:szCs w:val="24"/>
        </w:rPr>
        <w:t xml:space="preserve"> bei </w:t>
      </w:r>
      <w:r w:rsidR="00F261DA">
        <w:rPr>
          <w:sz w:val="24"/>
          <w:szCs w:val="24"/>
        </w:rPr>
        <w:t xml:space="preserve"> valstybės skolos aptarnavimo išlaidoms liekant tokioms pačioms kaip 2013 m., valstybės skola turėtų </w:t>
      </w:r>
      <w:r w:rsidR="00CF6673">
        <w:rPr>
          <w:sz w:val="24"/>
          <w:szCs w:val="24"/>
        </w:rPr>
        <w:t xml:space="preserve">augti </w:t>
      </w:r>
      <w:r w:rsidR="001449C0">
        <w:rPr>
          <w:sz w:val="24"/>
          <w:szCs w:val="24"/>
        </w:rPr>
        <w:t xml:space="preserve">žymiai </w:t>
      </w:r>
      <w:r w:rsidR="00CF6673">
        <w:rPr>
          <w:sz w:val="24"/>
          <w:szCs w:val="24"/>
        </w:rPr>
        <w:t>lėčiau (</w:t>
      </w:r>
      <w:r w:rsidR="00F261DA">
        <w:rPr>
          <w:sz w:val="24"/>
          <w:szCs w:val="24"/>
        </w:rPr>
        <w:t>1,6 proc.</w:t>
      </w:r>
      <w:r w:rsidR="00CF6673">
        <w:rPr>
          <w:sz w:val="24"/>
          <w:szCs w:val="24"/>
        </w:rPr>
        <w:t xml:space="preserve"> augimas)</w:t>
      </w:r>
      <w:r w:rsidR="00127520">
        <w:rPr>
          <w:sz w:val="24"/>
          <w:szCs w:val="24"/>
        </w:rPr>
        <w:t xml:space="preserve"> bei siekti 14975 mln. Eur</w:t>
      </w:r>
      <w:r w:rsidR="00F261DA">
        <w:rPr>
          <w:sz w:val="24"/>
          <w:szCs w:val="24"/>
        </w:rPr>
        <w:t xml:space="preserve">. </w:t>
      </w:r>
      <w:r w:rsidR="005A4D0A" w:rsidRPr="00E72A5E">
        <w:rPr>
          <w:sz w:val="24"/>
          <w:szCs w:val="24"/>
        </w:rPr>
        <w:t xml:space="preserve">Anot paskutinių </w:t>
      </w:r>
      <w:r w:rsidR="00CA5966">
        <w:rPr>
          <w:sz w:val="24"/>
          <w:szCs w:val="24"/>
        </w:rPr>
        <w:t xml:space="preserve">Lietuvos </w:t>
      </w:r>
      <w:r w:rsidR="005A4D0A" w:rsidRPr="00E72A5E">
        <w:rPr>
          <w:sz w:val="24"/>
          <w:szCs w:val="24"/>
        </w:rPr>
        <w:t xml:space="preserve">Finansų Ministerijos prognozių, biudžeto deficitas 2013 metais </w:t>
      </w:r>
      <w:r w:rsidR="00A87445" w:rsidRPr="00E72A5E">
        <w:rPr>
          <w:sz w:val="24"/>
          <w:szCs w:val="24"/>
        </w:rPr>
        <w:t xml:space="preserve">turėtų </w:t>
      </w:r>
      <w:r w:rsidR="005A4D0A" w:rsidRPr="00E72A5E">
        <w:rPr>
          <w:sz w:val="24"/>
          <w:szCs w:val="24"/>
        </w:rPr>
        <w:t xml:space="preserve">siekti 2,9 proc. BVP, o 2014 metais – 1,9 proc. BVP. </w:t>
      </w:r>
      <w:r w:rsidR="001D2A6A">
        <w:rPr>
          <w:sz w:val="24"/>
          <w:szCs w:val="24"/>
        </w:rPr>
        <w:t>Lietuvos banko teigimu</w:t>
      </w:r>
      <w:r w:rsidR="00CF6673">
        <w:rPr>
          <w:sz w:val="24"/>
          <w:szCs w:val="24"/>
        </w:rPr>
        <w:t>,</w:t>
      </w:r>
      <w:r w:rsidR="001D2A6A">
        <w:rPr>
          <w:sz w:val="24"/>
          <w:szCs w:val="24"/>
        </w:rPr>
        <w:t xml:space="preserve"> šalies BVP augimas 2013 – 2014 m. turėtų būti lėtesnis negu 2012 m. ir atitinkamai </w:t>
      </w:r>
      <w:r w:rsidR="00D868FF">
        <w:rPr>
          <w:sz w:val="24"/>
          <w:szCs w:val="24"/>
        </w:rPr>
        <w:t>siekti 2,8 proc. ir 3,5 proc.</w:t>
      </w:r>
      <w:r w:rsidR="005200A4">
        <w:rPr>
          <w:sz w:val="24"/>
          <w:szCs w:val="24"/>
        </w:rPr>
        <w:t xml:space="preserve"> </w:t>
      </w:r>
      <w:r w:rsidR="00147D42">
        <w:rPr>
          <w:sz w:val="24"/>
          <w:szCs w:val="24"/>
        </w:rPr>
        <w:t>[31</w:t>
      </w:r>
      <w:r w:rsidR="00D868FF">
        <w:rPr>
          <w:sz w:val="24"/>
          <w:szCs w:val="24"/>
        </w:rPr>
        <w:t>].</w:t>
      </w:r>
      <w:r w:rsidR="001D2A6A">
        <w:rPr>
          <w:sz w:val="24"/>
          <w:szCs w:val="24"/>
        </w:rPr>
        <w:t xml:space="preserve"> </w:t>
      </w:r>
      <w:r w:rsidR="00DB0365">
        <w:rPr>
          <w:sz w:val="24"/>
          <w:szCs w:val="24"/>
        </w:rPr>
        <w:t>Taip pat Finansų ministerija prognozuoja, jog valstybės skolos valdymo išlaidos 2013 m. bus 0,2 mlrd. Lt didesnės negu 2012 m. ir sieks 2,3 mlrd. Lt (666,1 mln. Eur.), o 2014 m. jos jau neturėtų didėti ir sudaryti tiek pat, kiek 2013 m..</w:t>
      </w:r>
      <w:r w:rsidR="005140A5">
        <w:rPr>
          <w:sz w:val="24"/>
          <w:szCs w:val="24"/>
        </w:rPr>
        <w:t xml:space="preserve"> Be to</w:t>
      </w:r>
      <w:r w:rsidR="007A10D6">
        <w:rPr>
          <w:sz w:val="24"/>
          <w:szCs w:val="24"/>
        </w:rPr>
        <w:t>,</w:t>
      </w:r>
      <w:r w:rsidR="005140A5">
        <w:rPr>
          <w:sz w:val="24"/>
          <w:szCs w:val="24"/>
        </w:rPr>
        <w:t xml:space="preserve"> 2013 m. pirmo pusmečio duomenis lyginant su 2012 m., Lietuvos valstybės skola paaugo</w:t>
      </w:r>
      <w:r w:rsidR="009E43E0">
        <w:rPr>
          <w:sz w:val="24"/>
          <w:szCs w:val="24"/>
        </w:rPr>
        <w:t xml:space="preserve"> 2,6 proc.</w:t>
      </w:r>
      <w:r w:rsidR="005140A5">
        <w:rPr>
          <w:sz w:val="24"/>
          <w:szCs w:val="24"/>
        </w:rPr>
        <w:t xml:space="preserve">. </w:t>
      </w:r>
      <w:r w:rsidR="00DB0365">
        <w:rPr>
          <w:sz w:val="24"/>
          <w:szCs w:val="24"/>
        </w:rPr>
        <w:t>Taigi atsižvelgiant į tokias pateikiamas šalies ekonomikos perspektyvas</w:t>
      </w:r>
      <w:r w:rsidR="00CF6673">
        <w:rPr>
          <w:sz w:val="24"/>
          <w:szCs w:val="24"/>
        </w:rPr>
        <w:t xml:space="preserve">, DTR modeliu gauta valstybės skolos </w:t>
      </w:r>
      <w:r w:rsidR="00514D0E">
        <w:rPr>
          <w:sz w:val="24"/>
          <w:szCs w:val="24"/>
        </w:rPr>
        <w:t>augimo</w:t>
      </w:r>
      <w:r w:rsidR="00CF6673">
        <w:rPr>
          <w:sz w:val="24"/>
          <w:szCs w:val="24"/>
        </w:rPr>
        <w:t xml:space="preserve"> prognozė </w:t>
      </w:r>
      <w:r w:rsidR="00CF6673">
        <w:rPr>
          <w:sz w:val="24"/>
          <w:szCs w:val="24"/>
        </w:rPr>
        <w:lastRenderedPageBreak/>
        <w:t>atrodo tikėtina.</w:t>
      </w:r>
      <w:r w:rsidR="003800A7">
        <w:rPr>
          <w:sz w:val="24"/>
          <w:szCs w:val="24"/>
        </w:rPr>
        <w:t>Valstybės skolos augimą nominalia išraiška prognozuoja ir LR Finansų ministerija.</w:t>
      </w:r>
      <w:r w:rsidR="00C37D9C">
        <w:rPr>
          <w:sz w:val="24"/>
          <w:szCs w:val="24"/>
        </w:rPr>
        <w:t xml:space="preserve"> </w:t>
      </w:r>
    </w:p>
    <w:p w:rsidR="00CA5966" w:rsidRDefault="009477F2" w:rsidP="00CA5966">
      <w:pPr>
        <w:tabs>
          <w:tab w:val="left" w:pos="3585"/>
          <w:tab w:val="left" w:pos="3855"/>
          <w:tab w:val="center" w:pos="4819"/>
        </w:tabs>
        <w:spacing w:line="360" w:lineRule="auto"/>
        <w:ind w:firstLine="720"/>
        <w:contextualSpacing/>
        <w:rPr>
          <w:sz w:val="24"/>
          <w:szCs w:val="24"/>
        </w:rPr>
      </w:pPr>
      <w:r>
        <w:rPr>
          <w:sz w:val="24"/>
          <w:szCs w:val="24"/>
        </w:rPr>
        <w:t>Pagal</w:t>
      </w:r>
      <w:r w:rsidR="00A84C4B">
        <w:rPr>
          <w:sz w:val="24"/>
          <w:szCs w:val="24"/>
        </w:rPr>
        <w:t xml:space="preserve"> daugial</w:t>
      </w:r>
      <w:r>
        <w:rPr>
          <w:sz w:val="24"/>
          <w:szCs w:val="24"/>
        </w:rPr>
        <w:t>ypės tiesinės regresijos modeliu gautą</w:t>
      </w:r>
      <w:r w:rsidR="00A84C4B">
        <w:rPr>
          <w:sz w:val="24"/>
          <w:szCs w:val="24"/>
        </w:rPr>
        <w:t xml:space="preserve"> La</w:t>
      </w:r>
      <w:r>
        <w:rPr>
          <w:sz w:val="24"/>
          <w:szCs w:val="24"/>
        </w:rPr>
        <w:t>tvijos valstybės skolos prognozę</w:t>
      </w:r>
      <w:r w:rsidR="00A84C4B">
        <w:rPr>
          <w:sz w:val="24"/>
          <w:szCs w:val="24"/>
        </w:rPr>
        <w:t xml:space="preserve">, </w:t>
      </w:r>
      <w:r w:rsidR="0033649A">
        <w:rPr>
          <w:sz w:val="24"/>
          <w:szCs w:val="24"/>
        </w:rPr>
        <w:t>2013 metus lyginant su 2012 m.</w:t>
      </w:r>
      <w:r w:rsidR="00D868FF">
        <w:rPr>
          <w:sz w:val="24"/>
          <w:szCs w:val="24"/>
        </w:rPr>
        <w:t>, sumažėjus valstybės skolos valdymo išlaidoms</w:t>
      </w:r>
      <w:r w:rsidR="005200A4">
        <w:rPr>
          <w:sz w:val="24"/>
          <w:szCs w:val="24"/>
        </w:rPr>
        <w:t xml:space="preserve"> bei augant šalies BVP</w:t>
      </w:r>
      <w:r w:rsidR="009E43E0">
        <w:rPr>
          <w:sz w:val="24"/>
          <w:szCs w:val="24"/>
          <w:lang w:val="en-US"/>
        </w:rPr>
        <w:t>,</w:t>
      </w:r>
      <w:r w:rsidR="00CA5966">
        <w:rPr>
          <w:sz w:val="24"/>
          <w:szCs w:val="24"/>
        </w:rPr>
        <w:t xml:space="preserve"> </w:t>
      </w:r>
      <w:r w:rsidR="009E43E0">
        <w:rPr>
          <w:sz w:val="24"/>
          <w:szCs w:val="24"/>
        </w:rPr>
        <w:t>Latvijos valstybės skola</w:t>
      </w:r>
      <w:r w:rsidR="001449C0">
        <w:rPr>
          <w:sz w:val="24"/>
          <w:szCs w:val="24"/>
        </w:rPr>
        <w:t xml:space="preserve"> turėtų sumažėti 6,6</w:t>
      </w:r>
      <w:r w:rsidR="0033649A">
        <w:rPr>
          <w:sz w:val="24"/>
          <w:szCs w:val="24"/>
        </w:rPr>
        <w:t xml:space="preserve"> proc. ir sudaryti </w:t>
      </w:r>
      <w:r w:rsidR="001449C0">
        <w:rPr>
          <w:sz w:val="24"/>
          <w:szCs w:val="24"/>
        </w:rPr>
        <w:t>8439</w:t>
      </w:r>
      <w:r w:rsidR="00127520">
        <w:rPr>
          <w:sz w:val="24"/>
          <w:szCs w:val="24"/>
        </w:rPr>
        <w:t>,0 mln. Eur</w:t>
      </w:r>
      <w:r w:rsidR="00D07EDB">
        <w:rPr>
          <w:sz w:val="24"/>
          <w:szCs w:val="24"/>
        </w:rPr>
        <w:t xml:space="preserve">, o 2014 m. </w:t>
      </w:r>
      <w:r w:rsidR="009E43E0">
        <w:rPr>
          <w:sz w:val="24"/>
          <w:szCs w:val="24"/>
        </w:rPr>
        <w:t xml:space="preserve">išaugus valstybės skolos valdymo išlaidoms, valstybės skola turėtų </w:t>
      </w:r>
      <w:r w:rsidR="00D07EDB">
        <w:rPr>
          <w:sz w:val="24"/>
          <w:szCs w:val="24"/>
        </w:rPr>
        <w:t xml:space="preserve">padidėti </w:t>
      </w:r>
      <w:r w:rsidR="001449C0">
        <w:rPr>
          <w:sz w:val="24"/>
          <w:szCs w:val="24"/>
        </w:rPr>
        <w:t>4,8</w:t>
      </w:r>
      <w:r w:rsidR="00132D7B">
        <w:rPr>
          <w:sz w:val="24"/>
          <w:szCs w:val="24"/>
        </w:rPr>
        <w:t xml:space="preserve"> proc. ir pasiekti </w:t>
      </w:r>
      <w:r w:rsidR="001449C0">
        <w:rPr>
          <w:sz w:val="24"/>
          <w:szCs w:val="24"/>
        </w:rPr>
        <w:t>8847</w:t>
      </w:r>
      <w:r w:rsidR="00132D7B">
        <w:rPr>
          <w:sz w:val="24"/>
          <w:szCs w:val="24"/>
        </w:rPr>
        <w:t xml:space="preserve"> </w:t>
      </w:r>
      <w:r w:rsidR="00127520">
        <w:rPr>
          <w:sz w:val="24"/>
          <w:szCs w:val="24"/>
        </w:rPr>
        <w:t>mln. Eur</w:t>
      </w:r>
      <w:r w:rsidR="00132D7B">
        <w:rPr>
          <w:sz w:val="24"/>
          <w:szCs w:val="24"/>
        </w:rPr>
        <w:t>.</w:t>
      </w:r>
      <w:r w:rsidR="00F90DCC">
        <w:rPr>
          <w:sz w:val="24"/>
          <w:szCs w:val="24"/>
          <w:lang w:val="en-US"/>
        </w:rPr>
        <w:t xml:space="preserve"> </w:t>
      </w:r>
      <w:r w:rsidR="00A679B7">
        <w:rPr>
          <w:sz w:val="24"/>
          <w:szCs w:val="24"/>
        </w:rPr>
        <w:t xml:space="preserve">Remiantis Latvijos </w:t>
      </w:r>
      <w:r w:rsidR="00E74E2C">
        <w:rPr>
          <w:sz w:val="24"/>
          <w:szCs w:val="24"/>
        </w:rPr>
        <w:t>finansų ministerijos</w:t>
      </w:r>
      <w:r w:rsidR="00A679B7">
        <w:rPr>
          <w:sz w:val="24"/>
          <w:szCs w:val="24"/>
        </w:rPr>
        <w:t xml:space="preserve"> duomenimis, </w:t>
      </w:r>
      <w:r w:rsidR="009E43E0">
        <w:rPr>
          <w:sz w:val="24"/>
          <w:szCs w:val="24"/>
        </w:rPr>
        <w:t>p</w:t>
      </w:r>
      <w:r w:rsidR="00D453A8">
        <w:rPr>
          <w:sz w:val="24"/>
          <w:szCs w:val="24"/>
        </w:rPr>
        <w:t>er devynis 2013 metų mėnesius Latvijos valstybės biu</w:t>
      </w:r>
      <w:r w:rsidR="00EC6C39">
        <w:rPr>
          <w:sz w:val="24"/>
          <w:szCs w:val="24"/>
        </w:rPr>
        <w:t>džeto pajamos viršijo iš</w:t>
      </w:r>
      <w:r w:rsidR="007E33C6">
        <w:rPr>
          <w:sz w:val="24"/>
          <w:szCs w:val="24"/>
        </w:rPr>
        <w:t>laidas ir susidarė perteklius, t</w:t>
      </w:r>
      <w:r w:rsidR="00EC6C39">
        <w:rPr>
          <w:sz w:val="24"/>
          <w:szCs w:val="24"/>
        </w:rPr>
        <w:t xml:space="preserve">ačiau Latvijos </w:t>
      </w:r>
      <w:r w:rsidR="00E74E2C">
        <w:rPr>
          <w:sz w:val="24"/>
          <w:szCs w:val="24"/>
        </w:rPr>
        <w:t>Finansų ministerija</w:t>
      </w:r>
      <w:r w:rsidR="00EC6C39">
        <w:rPr>
          <w:sz w:val="24"/>
          <w:szCs w:val="24"/>
        </w:rPr>
        <w:t xml:space="preserve"> </w:t>
      </w:r>
      <w:r w:rsidR="00D453A8">
        <w:rPr>
          <w:sz w:val="24"/>
          <w:szCs w:val="24"/>
        </w:rPr>
        <w:t>metų pabaig</w:t>
      </w:r>
      <w:r w:rsidR="0013596B">
        <w:rPr>
          <w:sz w:val="24"/>
          <w:szCs w:val="24"/>
        </w:rPr>
        <w:t>ai</w:t>
      </w:r>
      <w:r w:rsidR="00EC6C39">
        <w:rPr>
          <w:sz w:val="24"/>
          <w:szCs w:val="24"/>
        </w:rPr>
        <w:t xml:space="preserve"> prognozuoja </w:t>
      </w:r>
      <w:r w:rsidR="00760F2A">
        <w:rPr>
          <w:sz w:val="24"/>
          <w:szCs w:val="24"/>
        </w:rPr>
        <w:t xml:space="preserve">padidėjusias </w:t>
      </w:r>
      <w:r w:rsidR="00F05762">
        <w:rPr>
          <w:sz w:val="24"/>
          <w:szCs w:val="24"/>
        </w:rPr>
        <w:t>valstybės išlaida</w:t>
      </w:r>
      <w:r w:rsidR="00D453A8">
        <w:rPr>
          <w:sz w:val="24"/>
          <w:szCs w:val="24"/>
        </w:rPr>
        <w:t xml:space="preserve">s, todėl susidaręs </w:t>
      </w:r>
      <w:r w:rsidR="0013596B">
        <w:rPr>
          <w:sz w:val="24"/>
          <w:szCs w:val="24"/>
        </w:rPr>
        <w:t>p</w:t>
      </w:r>
      <w:r w:rsidR="00EC6C39">
        <w:rPr>
          <w:sz w:val="24"/>
          <w:szCs w:val="24"/>
        </w:rPr>
        <w:t>erteklius turėtų išnykti ir susidaryti 1,6 proc. nuo BVP biudžeto deficitas</w:t>
      </w:r>
      <w:r w:rsidR="00F05762">
        <w:rPr>
          <w:sz w:val="24"/>
          <w:szCs w:val="24"/>
        </w:rPr>
        <w:t>.</w:t>
      </w:r>
      <w:r w:rsidR="00E74E2C">
        <w:rPr>
          <w:sz w:val="24"/>
          <w:szCs w:val="24"/>
        </w:rPr>
        <w:t xml:space="preserve"> Be to per devynis 2013 m. mėnesius Latvijos valstybės skola lyginant su 2012 metų pabaiga buvo </w:t>
      </w:r>
      <w:r w:rsidR="007E33C6">
        <w:rPr>
          <w:sz w:val="24"/>
          <w:szCs w:val="24"/>
        </w:rPr>
        <w:t>paaugusi</w:t>
      </w:r>
      <w:r w:rsidR="00E74E2C">
        <w:rPr>
          <w:sz w:val="24"/>
          <w:szCs w:val="24"/>
        </w:rPr>
        <w:t xml:space="preserve"> </w:t>
      </w:r>
      <w:r w:rsidR="007E33C6">
        <w:rPr>
          <w:sz w:val="24"/>
          <w:szCs w:val="24"/>
        </w:rPr>
        <w:t xml:space="preserve">apie </w:t>
      </w:r>
      <w:r w:rsidR="00E74E2C">
        <w:rPr>
          <w:sz w:val="24"/>
          <w:szCs w:val="24"/>
        </w:rPr>
        <w:t>3 proc..</w:t>
      </w:r>
      <w:r w:rsidR="0057646A">
        <w:rPr>
          <w:sz w:val="24"/>
          <w:szCs w:val="24"/>
        </w:rPr>
        <w:t xml:space="preserve"> Latvijos valstybės iždas, </w:t>
      </w:r>
      <w:r w:rsidR="00F05762">
        <w:rPr>
          <w:sz w:val="24"/>
          <w:szCs w:val="24"/>
        </w:rPr>
        <w:t xml:space="preserve">atsižvelgdamas į rizikas susijusias su išorine aplinka ( su situacija Euro zonoje, žaliavų kainų pokyčiais ir pan.) </w:t>
      </w:r>
      <w:r w:rsidR="0057646A">
        <w:rPr>
          <w:sz w:val="24"/>
          <w:szCs w:val="24"/>
        </w:rPr>
        <w:t xml:space="preserve">Latvijos augimo perspektyvas vertina gana atsargiai </w:t>
      </w:r>
      <w:r w:rsidR="00F05762">
        <w:rPr>
          <w:sz w:val="24"/>
          <w:szCs w:val="24"/>
        </w:rPr>
        <w:t>bei 2013 – 2014 m. progno</w:t>
      </w:r>
      <w:r w:rsidR="00FB779B">
        <w:rPr>
          <w:sz w:val="24"/>
          <w:szCs w:val="24"/>
        </w:rPr>
        <w:t xml:space="preserve">zuoja lėtesnį ekonomikos augimą </w:t>
      </w:r>
      <w:r w:rsidR="00F05762">
        <w:rPr>
          <w:sz w:val="24"/>
          <w:szCs w:val="24"/>
        </w:rPr>
        <w:t>(atitinkamai 3,7 proc. ir 4 proc.).</w:t>
      </w:r>
      <w:r w:rsidR="007E33C6">
        <w:rPr>
          <w:sz w:val="24"/>
          <w:szCs w:val="24"/>
        </w:rPr>
        <w:t xml:space="preserve"> Taigi atsižvelgiant į minėtus faktus, DTR modeliu gauta</w:t>
      </w:r>
      <w:r w:rsidR="00E40F28">
        <w:rPr>
          <w:sz w:val="24"/>
          <w:szCs w:val="24"/>
        </w:rPr>
        <w:t>s prognozuojama</w:t>
      </w:r>
      <w:r w:rsidR="00760F2A">
        <w:rPr>
          <w:sz w:val="24"/>
          <w:szCs w:val="24"/>
        </w:rPr>
        <w:t>s</w:t>
      </w:r>
      <w:r w:rsidR="007E33C6">
        <w:rPr>
          <w:sz w:val="24"/>
          <w:szCs w:val="24"/>
        </w:rPr>
        <w:t xml:space="preserve"> Latvijos valstybės skolos </w:t>
      </w:r>
      <w:r w:rsidR="00E40F28">
        <w:rPr>
          <w:sz w:val="24"/>
          <w:szCs w:val="24"/>
        </w:rPr>
        <w:t xml:space="preserve">sumažėjimas </w:t>
      </w:r>
      <w:r w:rsidR="00CA5966">
        <w:rPr>
          <w:sz w:val="24"/>
          <w:szCs w:val="24"/>
        </w:rPr>
        <w:t xml:space="preserve">2013 m. </w:t>
      </w:r>
      <w:r w:rsidR="00514D0E">
        <w:rPr>
          <w:sz w:val="24"/>
          <w:szCs w:val="24"/>
        </w:rPr>
        <w:t xml:space="preserve">šiek tiek </w:t>
      </w:r>
      <w:r w:rsidR="009E43E0">
        <w:rPr>
          <w:sz w:val="24"/>
          <w:szCs w:val="24"/>
        </w:rPr>
        <w:t>kelia abejonių.</w:t>
      </w:r>
    </w:p>
    <w:p w:rsidR="00FE31C0" w:rsidRDefault="008A4B51" w:rsidP="00FE31C0">
      <w:pPr>
        <w:tabs>
          <w:tab w:val="left" w:pos="3585"/>
          <w:tab w:val="left" w:pos="3855"/>
          <w:tab w:val="center" w:pos="4819"/>
        </w:tabs>
        <w:spacing w:line="360" w:lineRule="auto"/>
        <w:ind w:firstLine="720"/>
        <w:contextualSpacing/>
        <w:rPr>
          <w:sz w:val="24"/>
          <w:szCs w:val="24"/>
        </w:rPr>
      </w:pPr>
      <w:r>
        <w:rPr>
          <w:sz w:val="24"/>
          <w:szCs w:val="24"/>
        </w:rPr>
        <w:t>Daugialypės</w:t>
      </w:r>
      <w:r w:rsidR="00CE761E">
        <w:rPr>
          <w:sz w:val="24"/>
          <w:szCs w:val="24"/>
        </w:rPr>
        <w:t xml:space="preserve"> tiesinės regresijos modeliu gauta Estijos valstybės skolos prognozė rodo, jog Estijos v</w:t>
      </w:r>
      <w:r w:rsidR="00C7626D">
        <w:rPr>
          <w:sz w:val="24"/>
          <w:szCs w:val="24"/>
        </w:rPr>
        <w:t xml:space="preserve">alstybės skola 2013 m. turėtų </w:t>
      </w:r>
      <w:r>
        <w:rPr>
          <w:sz w:val="24"/>
          <w:szCs w:val="24"/>
        </w:rPr>
        <w:t>net 29,7</w:t>
      </w:r>
      <w:r w:rsidR="00CE761E">
        <w:rPr>
          <w:sz w:val="24"/>
          <w:szCs w:val="24"/>
        </w:rPr>
        <w:t xml:space="preserve"> proc. sumažėti lyginant su 2012 m., o 2014</w:t>
      </w:r>
      <w:r w:rsidR="00C7626D">
        <w:rPr>
          <w:sz w:val="24"/>
          <w:szCs w:val="24"/>
        </w:rPr>
        <w:t xml:space="preserve"> m. padidėti </w:t>
      </w:r>
      <w:r>
        <w:rPr>
          <w:sz w:val="24"/>
          <w:szCs w:val="24"/>
        </w:rPr>
        <w:t>7 proc. ir sudaryti 1288</w:t>
      </w:r>
      <w:r w:rsidR="00127520">
        <w:rPr>
          <w:sz w:val="24"/>
          <w:szCs w:val="24"/>
        </w:rPr>
        <w:t xml:space="preserve"> mln. Eur</w:t>
      </w:r>
      <w:r w:rsidR="00CE761E">
        <w:rPr>
          <w:sz w:val="24"/>
          <w:szCs w:val="24"/>
        </w:rPr>
        <w:t>.</w:t>
      </w:r>
      <w:r w:rsidR="00AD7813">
        <w:rPr>
          <w:sz w:val="24"/>
          <w:szCs w:val="24"/>
        </w:rPr>
        <w:t xml:space="preserve"> Estijos atveju prognozė buvo atliekama remiantis </w:t>
      </w:r>
      <w:r>
        <w:rPr>
          <w:sz w:val="24"/>
          <w:szCs w:val="24"/>
        </w:rPr>
        <w:t>BVP ir einamosios sąskaitos deficito/pertekliaus pokyčiais.</w:t>
      </w:r>
      <w:r w:rsidR="002D6AB4">
        <w:rPr>
          <w:sz w:val="24"/>
          <w:szCs w:val="24"/>
        </w:rPr>
        <w:t xml:space="preserve"> </w:t>
      </w:r>
      <w:r w:rsidR="00DB43EE">
        <w:rPr>
          <w:sz w:val="24"/>
          <w:szCs w:val="24"/>
        </w:rPr>
        <w:t>Anot</w:t>
      </w:r>
      <w:r w:rsidR="00B61192">
        <w:rPr>
          <w:sz w:val="24"/>
          <w:szCs w:val="24"/>
        </w:rPr>
        <w:t xml:space="preserve"> Estijos finansų ministerijos prognoz</w:t>
      </w:r>
      <w:r w:rsidR="00DB43EE">
        <w:rPr>
          <w:sz w:val="24"/>
          <w:szCs w:val="24"/>
        </w:rPr>
        <w:t>ių</w:t>
      </w:r>
      <w:r w:rsidR="00B61192">
        <w:rPr>
          <w:sz w:val="24"/>
          <w:szCs w:val="24"/>
        </w:rPr>
        <w:t xml:space="preserve">, </w:t>
      </w:r>
      <w:r w:rsidR="002D6AB4">
        <w:rPr>
          <w:sz w:val="24"/>
          <w:szCs w:val="24"/>
        </w:rPr>
        <w:t>2013 – 2014 m. Estijos</w:t>
      </w:r>
      <w:r w:rsidR="00D0494D">
        <w:rPr>
          <w:sz w:val="24"/>
          <w:szCs w:val="24"/>
        </w:rPr>
        <w:t xml:space="preserve"> BVP augimas turėtų būti lėtesnis negu 2012 m.,</w:t>
      </w:r>
      <w:r w:rsidR="00FA361C">
        <w:rPr>
          <w:sz w:val="24"/>
          <w:szCs w:val="24"/>
        </w:rPr>
        <w:t xml:space="preserve"> </w:t>
      </w:r>
      <w:r w:rsidR="002D6AB4">
        <w:rPr>
          <w:sz w:val="24"/>
          <w:szCs w:val="24"/>
        </w:rPr>
        <w:t>ei</w:t>
      </w:r>
      <w:r w:rsidR="00FA361C">
        <w:rPr>
          <w:sz w:val="24"/>
          <w:szCs w:val="24"/>
        </w:rPr>
        <w:t>namosios sąskaitos perteklius mažesnis</w:t>
      </w:r>
      <w:r w:rsidR="00DB43EE">
        <w:rPr>
          <w:sz w:val="24"/>
          <w:szCs w:val="24"/>
        </w:rPr>
        <w:t xml:space="preserve">, o </w:t>
      </w:r>
      <w:r w:rsidR="003C1FB5">
        <w:rPr>
          <w:sz w:val="24"/>
          <w:szCs w:val="24"/>
        </w:rPr>
        <w:t>valsty</w:t>
      </w:r>
      <w:r w:rsidR="00DB43EE">
        <w:rPr>
          <w:sz w:val="24"/>
          <w:szCs w:val="24"/>
        </w:rPr>
        <w:t>bės biudžetas išlikti deficitiniu</w:t>
      </w:r>
      <w:r w:rsidR="003C1FB5">
        <w:rPr>
          <w:sz w:val="24"/>
          <w:szCs w:val="24"/>
        </w:rPr>
        <w:t xml:space="preserve"> (atitinkamai -0,2 proc. n</w:t>
      </w:r>
      <w:r w:rsidR="00127520">
        <w:rPr>
          <w:sz w:val="24"/>
          <w:szCs w:val="24"/>
        </w:rPr>
        <w:t xml:space="preserve">uo BVP ir </w:t>
      </w:r>
      <w:r w:rsidR="003219F1">
        <w:rPr>
          <w:sz w:val="24"/>
          <w:szCs w:val="24"/>
        </w:rPr>
        <w:t xml:space="preserve">-0,6 proc. nuo BVP), tačiau deficitui padengti valstybė jau turi </w:t>
      </w:r>
      <w:r w:rsidR="00D11C55">
        <w:rPr>
          <w:sz w:val="24"/>
          <w:szCs w:val="24"/>
        </w:rPr>
        <w:t>s</w:t>
      </w:r>
      <w:r w:rsidR="00306E0B">
        <w:rPr>
          <w:sz w:val="24"/>
          <w:szCs w:val="24"/>
        </w:rPr>
        <w:t>u</w:t>
      </w:r>
      <w:r w:rsidR="003219F1">
        <w:rPr>
          <w:sz w:val="24"/>
          <w:szCs w:val="24"/>
        </w:rPr>
        <w:t>kaupusi rezervą.</w:t>
      </w:r>
      <w:r w:rsidR="00DB43EE">
        <w:rPr>
          <w:sz w:val="24"/>
          <w:szCs w:val="24"/>
        </w:rPr>
        <w:t xml:space="preserve"> Estijos finansų ministerija prognozuoja, kad 2013 m. valstybės skola padidės dėl likusio įnašo į Europos finansinio stabilumo fondą. Ta pati priežastis turės įtakos skolos augimui ir 2014 m., tačiau </w:t>
      </w:r>
      <w:r w:rsidR="009D7034">
        <w:rPr>
          <w:sz w:val="24"/>
          <w:szCs w:val="24"/>
        </w:rPr>
        <w:t xml:space="preserve">kitiems valstybės skolos komponentams mažėjant sparčiau, bendra valstybės skola jau ims mažėti. </w:t>
      </w:r>
      <w:r w:rsidR="00D10969">
        <w:rPr>
          <w:sz w:val="24"/>
          <w:szCs w:val="24"/>
        </w:rPr>
        <w:t xml:space="preserve">Taigi dėl paminėtų priežasčių, </w:t>
      </w:r>
      <w:r w:rsidR="00256EC4">
        <w:rPr>
          <w:sz w:val="24"/>
          <w:szCs w:val="24"/>
        </w:rPr>
        <w:t>reikėtų</w:t>
      </w:r>
      <w:r w:rsidR="00E21246">
        <w:rPr>
          <w:sz w:val="24"/>
          <w:szCs w:val="24"/>
        </w:rPr>
        <w:t xml:space="preserve"> manyt</w:t>
      </w:r>
      <w:r w:rsidR="00760F2A">
        <w:rPr>
          <w:sz w:val="24"/>
          <w:szCs w:val="24"/>
        </w:rPr>
        <w:t>i</w:t>
      </w:r>
      <w:r w:rsidR="00D10969">
        <w:rPr>
          <w:sz w:val="24"/>
          <w:szCs w:val="24"/>
        </w:rPr>
        <w:t xml:space="preserve">, jog </w:t>
      </w:r>
      <w:r w:rsidR="009D7034">
        <w:rPr>
          <w:sz w:val="24"/>
          <w:szCs w:val="24"/>
        </w:rPr>
        <w:t>DTR modeliu gautas prognozuojamas Estijos valstybės skolos smarkus sumažėjimas 2013 – 2014 m. nėra labai tikėtinas.</w:t>
      </w:r>
      <w:r w:rsidR="00514D0E">
        <w:rPr>
          <w:sz w:val="24"/>
          <w:szCs w:val="24"/>
        </w:rPr>
        <w:t xml:space="preserve"> </w:t>
      </w:r>
      <w:r w:rsidR="003219F1">
        <w:rPr>
          <w:sz w:val="24"/>
          <w:szCs w:val="24"/>
        </w:rPr>
        <w:t>Estijos atveju prognozavimo pasikliautinasis intervalas gavosi labai platus, todėl prognozė nėra tiksli.</w:t>
      </w:r>
    </w:p>
    <w:p w:rsidR="00150BD1" w:rsidRPr="00EC3B75" w:rsidRDefault="00150BD1" w:rsidP="00FE31C0">
      <w:pPr>
        <w:tabs>
          <w:tab w:val="left" w:pos="3585"/>
          <w:tab w:val="left" w:pos="3855"/>
          <w:tab w:val="center" w:pos="4819"/>
        </w:tabs>
        <w:spacing w:line="360" w:lineRule="auto"/>
        <w:ind w:firstLine="720"/>
        <w:contextualSpacing/>
        <w:rPr>
          <w:sz w:val="24"/>
          <w:szCs w:val="24"/>
        </w:rPr>
      </w:pPr>
      <w:r>
        <w:rPr>
          <w:sz w:val="24"/>
          <w:szCs w:val="24"/>
        </w:rPr>
        <w:t>Palyginimui atliktas Baltijos šalių valstybės sko</w:t>
      </w:r>
      <w:r w:rsidR="007D3C44">
        <w:rPr>
          <w:sz w:val="24"/>
          <w:szCs w:val="24"/>
        </w:rPr>
        <w:t>los prognozavimas ARIMA metodu</w:t>
      </w:r>
      <w:r w:rsidR="00514D0E">
        <w:rPr>
          <w:sz w:val="24"/>
          <w:szCs w:val="24"/>
        </w:rPr>
        <w:t>,</w:t>
      </w:r>
      <w:r w:rsidR="007D3C44">
        <w:rPr>
          <w:sz w:val="24"/>
          <w:szCs w:val="24"/>
        </w:rPr>
        <w:t xml:space="preserve"> naudojant tik laiko eilutes ir nevertinant veiksnių įtakos valstybės skolos pokyčiams. </w:t>
      </w:r>
      <w:r>
        <w:rPr>
          <w:sz w:val="24"/>
          <w:szCs w:val="24"/>
        </w:rPr>
        <w:t xml:space="preserve">Prognozavimui naudojami Baltijos šalių valstybės skolos dydžiai 2000 – 2012 metais. </w:t>
      </w:r>
    </w:p>
    <w:p w:rsidR="0057646A" w:rsidRDefault="00127520" w:rsidP="00127520">
      <w:pPr>
        <w:tabs>
          <w:tab w:val="left" w:pos="4819"/>
        </w:tabs>
        <w:spacing w:line="360" w:lineRule="auto"/>
        <w:ind w:firstLine="720"/>
        <w:contextualSpacing/>
        <w:jc w:val="left"/>
        <w:rPr>
          <w:b/>
          <w:i/>
          <w:sz w:val="24"/>
          <w:szCs w:val="24"/>
          <w:lang w:val="en-US"/>
        </w:rPr>
      </w:pPr>
      <w:r>
        <w:rPr>
          <w:b/>
          <w:i/>
          <w:sz w:val="24"/>
          <w:szCs w:val="24"/>
          <w:lang w:val="en-US"/>
        </w:rPr>
        <w:tab/>
      </w:r>
    </w:p>
    <w:p w:rsidR="00127520" w:rsidRDefault="00127520" w:rsidP="00127520">
      <w:pPr>
        <w:tabs>
          <w:tab w:val="left" w:pos="4819"/>
        </w:tabs>
        <w:spacing w:line="360" w:lineRule="auto"/>
        <w:ind w:firstLine="720"/>
        <w:contextualSpacing/>
        <w:jc w:val="left"/>
        <w:rPr>
          <w:b/>
          <w:i/>
          <w:sz w:val="24"/>
          <w:szCs w:val="24"/>
          <w:lang w:val="en-US"/>
        </w:rPr>
      </w:pPr>
    </w:p>
    <w:p w:rsidR="00127520" w:rsidRDefault="00127520" w:rsidP="00127520">
      <w:pPr>
        <w:tabs>
          <w:tab w:val="left" w:pos="4819"/>
        </w:tabs>
        <w:spacing w:line="360" w:lineRule="auto"/>
        <w:ind w:firstLine="720"/>
        <w:contextualSpacing/>
        <w:jc w:val="left"/>
        <w:rPr>
          <w:b/>
          <w:i/>
          <w:sz w:val="24"/>
          <w:szCs w:val="24"/>
          <w:lang w:val="en-US"/>
        </w:rPr>
      </w:pPr>
    </w:p>
    <w:p w:rsidR="00150BD1" w:rsidRDefault="00150BD1" w:rsidP="00463933">
      <w:pPr>
        <w:tabs>
          <w:tab w:val="left" w:pos="2385"/>
        </w:tabs>
        <w:spacing w:line="360" w:lineRule="auto"/>
        <w:ind w:firstLine="720"/>
        <w:contextualSpacing/>
        <w:jc w:val="left"/>
        <w:rPr>
          <w:b/>
          <w:i/>
          <w:sz w:val="24"/>
          <w:szCs w:val="24"/>
          <w:lang w:val="en-US"/>
        </w:rPr>
      </w:pPr>
      <w:r w:rsidRPr="00150BD1">
        <w:rPr>
          <w:b/>
          <w:i/>
          <w:sz w:val="24"/>
          <w:szCs w:val="24"/>
          <w:lang w:val="en-US"/>
        </w:rPr>
        <w:lastRenderedPageBreak/>
        <w:t>Lietuvos valstybės skolos pr</w:t>
      </w:r>
      <w:r w:rsidR="00D743FA">
        <w:rPr>
          <w:b/>
          <w:i/>
          <w:sz w:val="24"/>
          <w:szCs w:val="24"/>
          <w:lang w:val="en-US"/>
        </w:rPr>
        <w:t>o</w:t>
      </w:r>
      <w:r w:rsidRPr="00150BD1">
        <w:rPr>
          <w:b/>
          <w:i/>
          <w:sz w:val="24"/>
          <w:szCs w:val="24"/>
          <w:lang w:val="en-US"/>
        </w:rPr>
        <w:t>gnozavimas</w:t>
      </w:r>
      <w:r w:rsidR="00463933">
        <w:rPr>
          <w:b/>
          <w:i/>
          <w:sz w:val="24"/>
          <w:szCs w:val="24"/>
          <w:lang w:val="en-US"/>
        </w:rPr>
        <w:t xml:space="preserve"> ARIMA metodu.</w:t>
      </w:r>
    </w:p>
    <w:p w:rsidR="00A2248B" w:rsidRPr="00463933" w:rsidRDefault="00A2248B" w:rsidP="00A2248B">
      <w:pPr>
        <w:tabs>
          <w:tab w:val="left" w:pos="2385"/>
        </w:tabs>
        <w:spacing w:line="360" w:lineRule="auto"/>
        <w:contextualSpacing/>
        <w:jc w:val="left"/>
        <w:rPr>
          <w:b/>
          <w:i/>
          <w:sz w:val="24"/>
          <w:szCs w:val="24"/>
          <w:lang w:val="en-US"/>
        </w:rPr>
      </w:pPr>
    </w:p>
    <w:p w:rsidR="00150BD1" w:rsidRDefault="00D743FA" w:rsidP="00D743FA">
      <w:pPr>
        <w:tabs>
          <w:tab w:val="left" w:pos="3585"/>
          <w:tab w:val="left" w:pos="3855"/>
          <w:tab w:val="center" w:pos="4819"/>
          <w:tab w:val="left" w:pos="6840"/>
        </w:tabs>
        <w:spacing w:line="360" w:lineRule="auto"/>
        <w:ind w:firstLine="720"/>
        <w:contextualSpacing/>
        <w:rPr>
          <w:sz w:val="24"/>
          <w:szCs w:val="24"/>
          <w:lang w:val="en-US"/>
        </w:rPr>
      </w:pPr>
      <w:r>
        <w:rPr>
          <w:sz w:val="24"/>
          <w:szCs w:val="24"/>
          <w:lang w:val="en-US"/>
        </w:rPr>
        <w:t xml:space="preserve">Kaip jau buvo minėta </w:t>
      </w:r>
      <w:r w:rsidR="0057646A">
        <w:rPr>
          <w:sz w:val="24"/>
          <w:szCs w:val="24"/>
          <w:lang w:val="en-US"/>
        </w:rPr>
        <w:t xml:space="preserve">metodologinėje darbo </w:t>
      </w:r>
      <w:r w:rsidR="00760F2A">
        <w:rPr>
          <w:sz w:val="24"/>
          <w:szCs w:val="24"/>
          <w:lang w:val="en-US"/>
        </w:rPr>
        <w:t xml:space="preserve">dalyje, </w:t>
      </w:r>
      <w:r>
        <w:rPr>
          <w:sz w:val="24"/>
          <w:szCs w:val="24"/>
          <w:lang w:val="en-US"/>
        </w:rPr>
        <w:t xml:space="preserve">prognozei šiuo metodu gali būti naudojama tik stacionari laiko eilutė. Lietuvos atveju laiko eilutė tapo stacionaria, ją diferencijavus pirmuoju laipsniu (žr. </w:t>
      </w:r>
      <w:r w:rsidR="00A95662">
        <w:rPr>
          <w:sz w:val="24"/>
          <w:szCs w:val="24"/>
          <w:lang w:val="en-US"/>
        </w:rPr>
        <w:t>11</w:t>
      </w:r>
      <w:r w:rsidR="00760F2A">
        <w:rPr>
          <w:sz w:val="24"/>
          <w:szCs w:val="24"/>
          <w:lang w:val="en-US"/>
        </w:rPr>
        <w:t xml:space="preserve"> p</w:t>
      </w:r>
      <w:r>
        <w:rPr>
          <w:sz w:val="24"/>
          <w:szCs w:val="24"/>
          <w:lang w:val="en-US"/>
        </w:rPr>
        <w:t>riedas</w:t>
      </w:r>
      <w:r w:rsidR="00A61C16">
        <w:rPr>
          <w:sz w:val="24"/>
          <w:szCs w:val="24"/>
          <w:lang w:val="en-US"/>
        </w:rPr>
        <w:t>,</w:t>
      </w:r>
      <w:r w:rsidR="00760F2A">
        <w:rPr>
          <w:sz w:val="24"/>
          <w:szCs w:val="24"/>
          <w:lang w:val="en-US"/>
        </w:rPr>
        <w:t xml:space="preserve"> 1 pav.</w:t>
      </w:r>
      <w:r>
        <w:rPr>
          <w:sz w:val="24"/>
          <w:szCs w:val="24"/>
          <w:lang w:val="en-US"/>
        </w:rPr>
        <w:t xml:space="preserve">). </w:t>
      </w:r>
    </w:p>
    <w:p w:rsidR="00816B8B" w:rsidRDefault="00D743FA" w:rsidP="00816B8B">
      <w:pPr>
        <w:tabs>
          <w:tab w:val="left" w:pos="3585"/>
          <w:tab w:val="left" w:pos="3855"/>
          <w:tab w:val="center" w:pos="4819"/>
          <w:tab w:val="left" w:pos="6840"/>
        </w:tabs>
        <w:spacing w:line="360" w:lineRule="auto"/>
        <w:ind w:firstLine="720"/>
        <w:contextualSpacing/>
        <w:rPr>
          <w:sz w:val="24"/>
          <w:szCs w:val="24"/>
          <w:lang w:val="en-US"/>
        </w:rPr>
      </w:pPr>
      <w:r>
        <w:rPr>
          <w:sz w:val="24"/>
          <w:szCs w:val="24"/>
          <w:lang w:val="en-US"/>
        </w:rPr>
        <w:t>Sudarius visus galimus A</w:t>
      </w:r>
      <w:r w:rsidR="00760F2A">
        <w:rPr>
          <w:sz w:val="24"/>
          <w:szCs w:val="24"/>
          <w:lang w:val="en-US"/>
        </w:rPr>
        <w:t>RIMA modelius (kai Y diferencijuojamas 1 laipsniu</w:t>
      </w:r>
      <w:r>
        <w:rPr>
          <w:sz w:val="24"/>
          <w:szCs w:val="24"/>
          <w:lang w:val="en-US"/>
        </w:rPr>
        <w:t>)</w:t>
      </w:r>
      <w:r w:rsidR="00816B8B">
        <w:rPr>
          <w:sz w:val="24"/>
          <w:szCs w:val="24"/>
          <w:lang w:val="en-US"/>
        </w:rPr>
        <w:t xml:space="preserve">, paaiškėjo, jog du modeliai yra iš viso netinkami (ARIMA(2;1;1) ir ARIMA (2;2;1)), kadangi jų paskaičiuotos šaknys viršijo 1. Kaip </w:t>
      </w:r>
      <w:r>
        <w:rPr>
          <w:sz w:val="24"/>
          <w:szCs w:val="24"/>
          <w:lang w:val="en-US"/>
        </w:rPr>
        <w:t>tinkamiausias modelis</w:t>
      </w:r>
      <w:r w:rsidR="00816B8B">
        <w:rPr>
          <w:sz w:val="24"/>
          <w:szCs w:val="24"/>
          <w:lang w:val="en-US"/>
        </w:rPr>
        <w:t xml:space="preserve"> parinktas ARIMA(1;1;2)</w:t>
      </w:r>
      <w:r>
        <w:rPr>
          <w:sz w:val="24"/>
          <w:szCs w:val="24"/>
          <w:lang w:val="en-US"/>
        </w:rPr>
        <w:t xml:space="preserve">, </w:t>
      </w:r>
      <w:r w:rsidR="00816B8B">
        <w:rPr>
          <w:sz w:val="24"/>
          <w:szCs w:val="24"/>
          <w:lang w:val="en-US"/>
        </w:rPr>
        <w:t>kadangi</w:t>
      </w:r>
      <w:r>
        <w:rPr>
          <w:sz w:val="24"/>
          <w:szCs w:val="24"/>
          <w:lang w:val="en-US"/>
        </w:rPr>
        <w:t xml:space="preserve"> jo AIC ir SIC reikšmės mažiausios</w:t>
      </w:r>
      <w:r w:rsidR="00816B8B">
        <w:rPr>
          <w:sz w:val="24"/>
          <w:szCs w:val="24"/>
          <w:lang w:val="en-US"/>
        </w:rPr>
        <w:t xml:space="preserve"> (žr. </w:t>
      </w:r>
      <w:r w:rsidR="00A95662">
        <w:rPr>
          <w:sz w:val="24"/>
          <w:szCs w:val="24"/>
          <w:lang w:val="en-US"/>
        </w:rPr>
        <w:t>11</w:t>
      </w:r>
      <w:r w:rsidR="00760F2A">
        <w:rPr>
          <w:sz w:val="24"/>
          <w:szCs w:val="24"/>
          <w:lang w:val="en-US"/>
        </w:rPr>
        <w:t xml:space="preserve"> p</w:t>
      </w:r>
      <w:r w:rsidR="00816B8B">
        <w:rPr>
          <w:sz w:val="24"/>
          <w:szCs w:val="24"/>
          <w:lang w:val="en-US"/>
        </w:rPr>
        <w:t>riedas</w:t>
      </w:r>
      <w:r w:rsidR="00A61C16">
        <w:rPr>
          <w:sz w:val="24"/>
          <w:szCs w:val="24"/>
          <w:lang w:val="en-US"/>
        </w:rPr>
        <w:t>, 1 lentelė</w:t>
      </w:r>
      <w:r w:rsidR="00816B8B">
        <w:rPr>
          <w:sz w:val="24"/>
          <w:szCs w:val="24"/>
          <w:lang w:val="en-US"/>
        </w:rPr>
        <w:t>). Įvertinus tai, kad tarp modelio paklaidų nėra autokoreliacijos</w:t>
      </w:r>
      <w:r w:rsidR="00A95662">
        <w:rPr>
          <w:sz w:val="24"/>
          <w:szCs w:val="24"/>
          <w:lang w:val="en-US"/>
        </w:rPr>
        <w:t xml:space="preserve"> (žr. 11</w:t>
      </w:r>
      <w:r w:rsidR="00A61C16">
        <w:rPr>
          <w:sz w:val="24"/>
          <w:szCs w:val="24"/>
          <w:lang w:val="en-US"/>
        </w:rPr>
        <w:t xml:space="preserve"> priedas, 3</w:t>
      </w:r>
      <w:r w:rsidR="0057646A">
        <w:rPr>
          <w:sz w:val="24"/>
          <w:szCs w:val="24"/>
          <w:lang w:val="en-US"/>
        </w:rPr>
        <w:t xml:space="preserve"> </w:t>
      </w:r>
      <w:r w:rsidR="00A61C16">
        <w:rPr>
          <w:sz w:val="24"/>
          <w:szCs w:val="24"/>
          <w:lang w:val="en-US"/>
        </w:rPr>
        <w:t>pav.)</w:t>
      </w:r>
      <w:r w:rsidR="00816B8B">
        <w:rPr>
          <w:sz w:val="24"/>
          <w:szCs w:val="24"/>
          <w:lang w:val="en-US"/>
        </w:rPr>
        <w:t xml:space="preserve">, modelis panaudotas Lietuvos valstybės skolos prognozavimui. </w:t>
      </w:r>
      <w:r w:rsidR="00C00525">
        <w:rPr>
          <w:sz w:val="24"/>
          <w:szCs w:val="24"/>
          <w:lang w:val="en-US"/>
        </w:rPr>
        <w:t>20 p</w:t>
      </w:r>
      <w:r w:rsidR="00816B8B">
        <w:rPr>
          <w:sz w:val="24"/>
          <w:szCs w:val="24"/>
          <w:lang w:val="en-US"/>
        </w:rPr>
        <w:t xml:space="preserve">aveiksle pateiktas Lietuvos dinaminės prognozės langas su prognozavimo intervalais. </w:t>
      </w:r>
    </w:p>
    <w:p w:rsidR="00816B8B" w:rsidRDefault="00816B8B" w:rsidP="00816B8B">
      <w:pPr>
        <w:tabs>
          <w:tab w:val="left" w:pos="3585"/>
          <w:tab w:val="left" w:pos="3855"/>
          <w:tab w:val="center" w:pos="4819"/>
          <w:tab w:val="left" w:pos="6840"/>
        </w:tabs>
        <w:spacing w:line="360" w:lineRule="auto"/>
        <w:ind w:firstLine="720"/>
        <w:contextualSpacing/>
        <w:rPr>
          <w:sz w:val="24"/>
          <w:szCs w:val="24"/>
          <w:lang w:val="en-US"/>
        </w:rPr>
      </w:pPr>
    </w:p>
    <w:p w:rsidR="001C07E4" w:rsidRDefault="00D06397" w:rsidP="00463933">
      <w:pPr>
        <w:tabs>
          <w:tab w:val="left" w:pos="3585"/>
          <w:tab w:val="left" w:pos="3855"/>
          <w:tab w:val="center" w:pos="4819"/>
          <w:tab w:val="left" w:pos="6840"/>
        </w:tabs>
        <w:spacing w:line="360" w:lineRule="auto"/>
        <w:ind w:firstLine="720"/>
        <w:contextualSpacing/>
        <w:jc w:val="center"/>
        <w:rPr>
          <w:sz w:val="24"/>
          <w:szCs w:val="24"/>
          <w:lang w:val="en-US"/>
        </w:rPr>
      </w:pPr>
      <w:r>
        <w:rPr>
          <w:noProof/>
          <w:sz w:val="24"/>
          <w:szCs w:val="24"/>
          <w:lang w:val="en-US"/>
        </w:rPr>
        <w:drawing>
          <wp:anchor distT="0" distB="0" distL="114300" distR="114300" simplePos="0" relativeHeight="251658240" behindDoc="0" locked="0" layoutInCell="1" allowOverlap="1">
            <wp:simplePos x="0" y="0"/>
            <wp:positionH relativeFrom="column">
              <wp:posOffset>1978660</wp:posOffset>
            </wp:positionH>
            <wp:positionV relativeFrom="paragraph">
              <wp:posOffset>64135</wp:posOffset>
            </wp:positionV>
            <wp:extent cx="2744470" cy="2281555"/>
            <wp:effectExtent l="1905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srcRect l="27564" t="36251" r="38782" b="11632"/>
                    <a:stretch>
                      <a:fillRect/>
                    </a:stretch>
                  </pic:blipFill>
                  <pic:spPr bwMode="auto">
                    <a:xfrm>
                      <a:off x="0" y="0"/>
                      <a:ext cx="2744470" cy="2281555"/>
                    </a:xfrm>
                    <a:prstGeom prst="rect">
                      <a:avLst/>
                    </a:prstGeom>
                    <a:noFill/>
                    <a:ln w="9525">
                      <a:noFill/>
                      <a:miter lim="800000"/>
                      <a:headEnd/>
                      <a:tailEnd/>
                    </a:ln>
                  </pic:spPr>
                </pic:pic>
              </a:graphicData>
            </a:graphic>
          </wp:anchor>
        </w:drawing>
      </w:r>
    </w:p>
    <w:p w:rsidR="006211DC" w:rsidRDefault="006211DC" w:rsidP="00463933">
      <w:pPr>
        <w:tabs>
          <w:tab w:val="left" w:pos="3585"/>
          <w:tab w:val="left" w:pos="3855"/>
          <w:tab w:val="center" w:pos="4819"/>
          <w:tab w:val="left" w:pos="6840"/>
        </w:tabs>
        <w:spacing w:line="360" w:lineRule="auto"/>
        <w:ind w:firstLine="720"/>
        <w:contextualSpacing/>
        <w:jc w:val="center"/>
        <w:rPr>
          <w:sz w:val="24"/>
          <w:szCs w:val="24"/>
          <w:lang w:val="en-US"/>
        </w:rPr>
      </w:pPr>
    </w:p>
    <w:p w:rsidR="006211DC" w:rsidRDefault="006211DC" w:rsidP="00463933">
      <w:pPr>
        <w:tabs>
          <w:tab w:val="left" w:pos="3585"/>
          <w:tab w:val="left" w:pos="3855"/>
          <w:tab w:val="center" w:pos="4819"/>
          <w:tab w:val="left" w:pos="6840"/>
        </w:tabs>
        <w:spacing w:line="360" w:lineRule="auto"/>
        <w:ind w:firstLine="720"/>
        <w:contextualSpacing/>
        <w:jc w:val="center"/>
        <w:rPr>
          <w:sz w:val="24"/>
          <w:szCs w:val="24"/>
          <w:lang w:val="en-US"/>
        </w:rPr>
      </w:pPr>
    </w:p>
    <w:p w:rsidR="001C07E4" w:rsidRDefault="001C07E4" w:rsidP="00463933">
      <w:pPr>
        <w:tabs>
          <w:tab w:val="left" w:pos="3585"/>
          <w:tab w:val="left" w:pos="3855"/>
          <w:tab w:val="center" w:pos="4819"/>
          <w:tab w:val="left" w:pos="6840"/>
        </w:tabs>
        <w:spacing w:line="360" w:lineRule="auto"/>
        <w:ind w:firstLine="720"/>
        <w:contextualSpacing/>
        <w:jc w:val="center"/>
        <w:rPr>
          <w:sz w:val="24"/>
          <w:szCs w:val="24"/>
          <w:lang w:val="en-US"/>
        </w:rPr>
      </w:pPr>
    </w:p>
    <w:p w:rsidR="006211DC" w:rsidRDefault="006211DC" w:rsidP="00463933">
      <w:pPr>
        <w:tabs>
          <w:tab w:val="left" w:pos="3585"/>
          <w:tab w:val="left" w:pos="3855"/>
          <w:tab w:val="center" w:pos="4819"/>
          <w:tab w:val="left" w:pos="6840"/>
        </w:tabs>
        <w:spacing w:line="360" w:lineRule="auto"/>
        <w:ind w:firstLine="720"/>
        <w:contextualSpacing/>
        <w:jc w:val="center"/>
        <w:rPr>
          <w:sz w:val="24"/>
          <w:szCs w:val="24"/>
          <w:lang w:val="en-US"/>
        </w:rPr>
      </w:pPr>
    </w:p>
    <w:p w:rsidR="001C07E4" w:rsidRDefault="001C07E4" w:rsidP="00463933">
      <w:pPr>
        <w:tabs>
          <w:tab w:val="left" w:pos="3585"/>
          <w:tab w:val="left" w:pos="3855"/>
          <w:tab w:val="center" w:pos="4819"/>
          <w:tab w:val="left" w:pos="6840"/>
        </w:tabs>
        <w:spacing w:line="360" w:lineRule="auto"/>
        <w:ind w:firstLine="720"/>
        <w:contextualSpacing/>
        <w:jc w:val="center"/>
        <w:rPr>
          <w:sz w:val="24"/>
          <w:szCs w:val="24"/>
          <w:lang w:val="en-US"/>
        </w:rPr>
      </w:pPr>
    </w:p>
    <w:p w:rsidR="006211DC" w:rsidRDefault="006211DC" w:rsidP="00435ED6">
      <w:pPr>
        <w:tabs>
          <w:tab w:val="left" w:pos="3585"/>
          <w:tab w:val="left" w:pos="3855"/>
          <w:tab w:val="center" w:pos="4819"/>
          <w:tab w:val="left" w:pos="6840"/>
        </w:tabs>
        <w:spacing w:line="360" w:lineRule="auto"/>
        <w:ind w:firstLine="720"/>
        <w:contextualSpacing/>
        <w:jc w:val="center"/>
        <w:rPr>
          <w:sz w:val="24"/>
          <w:szCs w:val="24"/>
          <w:lang w:val="en-US"/>
        </w:rPr>
      </w:pPr>
    </w:p>
    <w:p w:rsidR="006613E5" w:rsidRDefault="006613E5" w:rsidP="00435ED6">
      <w:pPr>
        <w:tabs>
          <w:tab w:val="left" w:pos="3585"/>
          <w:tab w:val="left" w:pos="3855"/>
          <w:tab w:val="center" w:pos="4819"/>
          <w:tab w:val="left" w:pos="6840"/>
        </w:tabs>
        <w:spacing w:line="360" w:lineRule="auto"/>
        <w:ind w:firstLine="720"/>
        <w:contextualSpacing/>
        <w:jc w:val="center"/>
        <w:rPr>
          <w:sz w:val="24"/>
          <w:szCs w:val="24"/>
          <w:lang w:val="en-US"/>
        </w:rPr>
      </w:pPr>
    </w:p>
    <w:p w:rsidR="00306E0B" w:rsidRDefault="00306E0B" w:rsidP="00435ED6">
      <w:pPr>
        <w:tabs>
          <w:tab w:val="left" w:pos="3585"/>
          <w:tab w:val="left" w:pos="3855"/>
          <w:tab w:val="center" w:pos="4819"/>
          <w:tab w:val="left" w:pos="6840"/>
        </w:tabs>
        <w:spacing w:line="360" w:lineRule="auto"/>
        <w:ind w:firstLine="720"/>
        <w:contextualSpacing/>
        <w:jc w:val="center"/>
        <w:rPr>
          <w:sz w:val="24"/>
          <w:szCs w:val="24"/>
          <w:lang w:val="en-US"/>
        </w:rPr>
      </w:pPr>
    </w:p>
    <w:p w:rsidR="005666E1" w:rsidRDefault="006613E5" w:rsidP="005666E1">
      <w:pPr>
        <w:tabs>
          <w:tab w:val="left" w:pos="3585"/>
          <w:tab w:val="left" w:pos="3855"/>
          <w:tab w:val="center" w:pos="4819"/>
          <w:tab w:val="left" w:pos="6840"/>
        </w:tabs>
        <w:spacing w:line="360" w:lineRule="auto"/>
        <w:ind w:firstLine="720"/>
        <w:contextualSpacing/>
        <w:jc w:val="left"/>
        <w:rPr>
          <w:lang w:val="en-US"/>
        </w:rPr>
      </w:pPr>
      <w:r>
        <w:rPr>
          <w:sz w:val="24"/>
          <w:szCs w:val="24"/>
          <w:lang w:val="en-US"/>
        </w:rPr>
        <w:t xml:space="preserve">                                   </w:t>
      </w:r>
      <w:r w:rsidR="00D06397">
        <w:rPr>
          <w:sz w:val="24"/>
          <w:szCs w:val="24"/>
          <w:lang w:val="en-US"/>
        </w:rPr>
        <w:t xml:space="preserve">     </w:t>
      </w:r>
      <w:r>
        <w:rPr>
          <w:sz w:val="24"/>
          <w:szCs w:val="24"/>
          <w:lang w:val="en-US"/>
        </w:rPr>
        <w:t xml:space="preserve"> </w:t>
      </w:r>
      <w:r w:rsidR="00463933">
        <w:rPr>
          <w:lang w:val="en-US"/>
        </w:rPr>
        <w:t>Šaltini</w:t>
      </w:r>
      <w:r w:rsidR="00816B8B" w:rsidRPr="00816B8B">
        <w:rPr>
          <w:lang w:val="en-US"/>
        </w:rPr>
        <w:t>s: Eviews 8 programa.</w:t>
      </w:r>
      <w:bookmarkStart w:id="235" w:name="_Toc373086915"/>
      <w:bookmarkStart w:id="236" w:name="_Toc374229477"/>
    </w:p>
    <w:p w:rsidR="00150BD1" w:rsidRPr="000D3D87" w:rsidRDefault="00C00525" w:rsidP="005666E1">
      <w:pPr>
        <w:tabs>
          <w:tab w:val="left" w:pos="3585"/>
          <w:tab w:val="left" w:pos="3855"/>
          <w:tab w:val="center" w:pos="4819"/>
          <w:tab w:val="left" w:pos="6840"/>
        </w:tabs>
        <w:spacing w:line="360" w:lineRule="auto"/>
        <w:ind w:firstLine="720"/>
        <w:contextualSpacing/>
        <w:jc w:val="center"/>
        <w:rPr>
          <w:lang w:val="en-US"/>
        </w:rPr>
      </w:pPr>
      <w:r w:rsidRPr="000D3D87">
        <w:rPr>
          <w:sz w:val="24"/>
          <w:szCs w:val="24"/>
          <w:lang w:val="en-US"/>
        </w:rPr>
        <w:t>20 p</w:t>
      </w:r>
      <w:r w:rsidR="00816B8B" w:rsidRPr="000D3D87">
        <w:rPr>
          <w:sz w:val="24"/>
          <w:szCs w:val="24"/>
          <w:lang w:val="en-US"/>
        </w:rPr>
        <w:t>av. Lietuvos valstybės skolos dinamin</w:t>
      </w:r>
      <w:r w:rsidR="00E74A12" w:rsidRPr="000D3D87">
        <w:rPr>
          <w:sz w:val="24"/>
          <w:szCs w:val="24"/>
          <w:lang w:val="en-US"/>
        </w:rPr>
        <w:t xml:space="preserve">ė </w:t>
      </w:r>
      <w:r w:rsidR="00816B8B" w:rsidRPr="000D3D87">
        <w:rPr>
          <w:sz w:val="24"/>
          <w:szCs w:val="24"/>
          <w:lang w:val="en-US"/>
        </w:rPr>
        <w:t>prognozė pagal ARIMA (1;1;2) modelį</w:t>
      </w:r>
      <w:bookmarkEnd w:id="235"/>
      <w:bookmarkEnd w:id="236"/>
    </w:p>
    <w:p w:rsidR="00150BD1" w:rsidRPr="000D3D87" w:rsidRDefault="00150BD1" w:rsidP="000D3D87">
      <w:pPr>
        <w:tabs>
          <w:tab w:val="left" w:pos="3585"/>
          <w:tab w:val="left" w:pos="3855"/>
          <w:tab w:val="center" w:pos="4819"/>
          <w:tab w:val="left" w:pos="6840"/>
        </w:tabs>
        <w:spacing w:line="360" w:lineRule="auto"/>
        <w:ind w:firstLine="720"/>
        <w:contextualSpacing/>
        <w:jc w:val="center"/>
        <w:rPr>
          <w:sz w:val="24"/>
          <w:szCs w:val="24"/>
          <w:lang w:val="en-US"/>
        </w:rPr>
      </w:pPr>
    </w:p>
    <w:p w:rsidR="00150BD1" w:rsidRDefault="001A725B" w:rsidP="00E74A12">
      <w:pPr>
        <w:tabs>
          <w:tab w:val="left" w:pos="3585"/>
          <w:tab w:val="left" w:pos="3855"/>
          <w:tab w:val="center" w:pos="4819"/>
          <w:tab w:val="left" w:pos="6840"/>
        </w:tabs>
        <w:spacing w:line="360" w:lineRule="auto"/>
        <w:ind w:firstLine="720"/>
        <w:contextualSpacing/>
        <w:jc w:val="left"/>
        <w:rPr>
          <w:sz w:val="24"/>
          <w:szCs w:val="24"/>
          <w:lang w:val="en-US"/>
        </w:rPr>
      </w:pPr>
      <w:r>
        <w:rPr>
          <w:sz w:val="24"/>
          <w:szCs w:val="24"/>
          <w:lang w:val="en-US"/>
        </w:rPr>
        <w:t>ARIMA modeliu gauta</w:t>
      </w:r>
      <w:r w:rsidR="009773F5">
        <w:rPr>
          <w:sz w:val="24"/>
          <w:szCs w:val="24"/>
          <w:lang w:val="en-US"/>
        </w:rPr>
        <w:t xml:space="preserve">s </w:t>
      </w:r>
      <w:r>
        <w:rPr>
          <w:sz w:val="24"/>
          <w:szCs w:val="24"/>
          <w:lang w:val="en-US"/>
        </w:rPr>
        <w:t xml:space="preserve">2013 metams prognozuojamas Lietuvos valstybės </w:t>
      </w:r>
      <w:r w:rsidR="00127520">
        <w:rPr>
          <w:sz w:val="24"/>
          <w:szCs w:val="24"/>
          <w:lang w:val="en-US"/>
        </w:rPr>
        <w:t>skolos dydis yra 15326 mln. Eur</w:t>
      </w:r>
      <w:r>
        <w:rPr>
          <w:sz w:val="24"/>
          <w:szCs w:val="24"/>
          <w:lang w:val="en-US"/>
        </w:rPr>
        <w:t>,</w:t>
      </w:r>
      <w:r w:rsidR="00127520">
        <w:rPr>
          <w:sz w:val="24"/>
          <w:szCs w:val="24"/>
          <w:lang w:val="en-US"/>
        </w:rPr>
        <w:t xml:space="preserve"> o 2014 metais – 16853 mln. Eur</w:t>
      </w:r>
      <w:r>
        <w:rPr>
          <w:sz w:val="24"/>
          <w:szCs w:val="24"/>
          <w:lang w:val="en-US"/>
        </w:rPr>
        <w:t>.</w:t>
      </w:r>
    </w:p>
    <w:p w:rsidR="00624269" w:rsidRDefault="00624269" w:rsidP="00E74A12">
      <w:pPr>
        <w:tabs>
          <w:tab w:val="left" w:pos="3585"/>
          <w:tab w:val="left" w:pos="3855"/>
          <w:tab w:val="center" w:pos="4819"/>
          <w:tab w:val="left" w:pos="6840"/>
        </w:tabs>
        <w:spacing w:line="360" w:lineRule="auto"/>
        <w:ind w:firstLine="720"/>
        <w:contextualSpacing/>
        <w:jc w:val="left"/>
        <w:rPr>
          <w:sz w:val="24"/>
          <w:szCs w:val="24"/>
          <w:lang w:val="en-US"/>
        </w:rPr>
      </w:pPr>
    </w:p>
    <w:p w:rsidR="00624269" w:rsidRDefault="00624269" w:rsidP="00624269">
      <w:pPr>
        <w:tabs>
          <w:tab w:val="left" w:pos="2385"/>
        </w:tabs>
        <w:spacing w:line="360" w:lineRule="auto"/>
        <w:ind w:firstLine="720"/>
        <w:contextualSpacing/>
        <w:jc w:val="left"/>
        <w:rPr>
          <w:b/>
          <w:i/>
          <w:sz w:val="24"/>
          <w:szCs w:val="24"/>
          <w:lang w:val="en-US"/>
        </w:rPr>
      </w:pPr>
      <w:r>
        <w:rPr>
          <w:b/>
          <w:i/>
          <w:sz w:val="24"/>
          <w:szCs w:val="24"/>
          <w:lang w:val="en-US"/>
        </w:rPr>
        <w:t>Latvijos</w:t>
      </w:r>
      <w:r w:rsidRPr="00150BD1">
        <w:rPr>
          <w:b/>
          <w:i/>
          <w:sz w:val="24"/>
          <w:szCs w:val="24"/>
          <w:lang w:val="en-US"/>
        </w:rPr>
        <w:t xml:space="preserve"> valstybės skolos pr</w:t>
      </w:r>
      <w:r>
        <w:rPr>
          <w:b/>
          <w:i/>
          <w:sz w:val="24"/>
          <w:szCs w:val="24"/>
          <w:lang w:val="en-US"/>
        </w:rPr>
        <w:t>o</w:t>
      </w:r>
      <w:r w:rsidRPr="00150BD1">
        <w:rPr>
          <w:b/>
          <w:i/>
          <w:sz w:val="24"/>
          <w:szCs w:val="24"/>
          <w:lang w:val="en-US"/>
        </w:rPr>
        <w:t>gnozavimas ARIMA metodu.</w:t>
      </w:r>
    </w:p>
    <w:p w:rsidR="00A2248B" w:rsidRDefault="00A2248B" w:rsidP="00624269">
      <w:pPr>
        <w:tabs>
          <w:tab w:val="left" w:pos="2385"/>
        </w:tabs>
        <w:spacing w:line="360" w:lineRule="auto"/>
        <w:ind w:firstLine="720"/>
        <w:contextualSpacing/>
        <w:jc w:val="left"/>
        <w:rPr>
          <w:b/>
          <w:i/>
          <w:sz w:val="24"/>
          <w:szCs w:val="24"/>
          <w:lang w:val="en-US"/>
        </w:rPr>
      </w:pPr>
    </w:p>
    <w:p w:rsidR="00624269" w:rsidRDefault="00624269" w:rsidP="00624269">
      <w:pPr>
        <w:tabs>
          <w:tab w:val="left" w:pos="3585"/>
          <w:tab w:val="left" w:pos="3855"/>
          <w:tab w:val="center" w:pos="4819"/>
          <w:tab w:val="left" w:pos="6840"/>
        </w:tabs>
        <w:spacing w:line="360" w:lineRule="auto"/>
        <w:ind w:firstLine="720"/>
        <w:contextualSpacing/>
        <w:jc w:val="left"/>
        <w:rPr>
          <w:sz w:val="24"/>
          <w:szCs w:val="24"/>
          <w:lang w:val="en-US"/>
        </w:rPr>
      </w:pPr>
      <w:r>
        <w:rPr>
          <w:sz w:val="24"/>
          <w:szCs w:val="24"/>
          <w:lang w:val="en-US"/>
        </w:rPr>
        <w:t>Latvijos atveju, taip pat kaip ir Lietuvos, laiko eilutė tapo stacionaria ją diferencijavus pirmu laipsniu (žr.</w:t>
      </w:r>
      <w:r w:rsidR="00A95662">
        <w:rPr>
          <w:sz w:val="24"/>
          <w:szCs w:val="24"/>
          <w:lang w:val="en-US"/>
        </w:rPr>
        <w:t xml:space="preserve"> 12</w:t>
      </w:r>
      <w:r w:rsidR="00A61C16">
        <w:rPr>
          <w:sz w:val="24"/>
          <w:szCs w:val="24"/>
          <w:lang w:val="en-US"/>
        </w:rPr>
        <w:t xml:space="preserve"> p</w:t>
      </w:r>
      <w:r>
        <w:rPr>
          <w:sz w:val="24"/>
          <w:szCs w:val="24"/>
          <w:lang w:val="en-US"/>
        </w:rPr>
        <w:t>riedas</w:t>
      </w:r>
      <w:r w:rsidR="00A61C16">
        <w:rPr>
          <w:sz w:val="24"/>
          <w:szCs w:val="24"/>
          <w:lang w:val="en-US"/>
        </w:rPr>
        <w:t>, 1 pav.</w:t>
      </w:r>
      <w:r>
        <w:rPr>
          <w:sz w:val="24"/>
          <w:szCs w:val="24"/>
          <w:lang w:val="en-US"/>
        </w:rPr>
        <w:t>).</w:t>
      </w:r>
    </w:p>
    <w:p w:rsidR="00624269" w:rsidRDefault="00624269" w:rsidP="00624269">
      <w:pPr>
        <w:tabs>
          <w:tab w:val="left" w:pos="3585"/>
          <w:tab w:val="left" w:pos="3855"/>
          <w:tab w:val="center" w:pos="4819"/>
          <w:tab w:val="left" w:pos="6840"/>
        </w:tabs>
        <w:spacing w:line="360" w:lineRule="auto"/>
        <w:ind w:firstLine="720"/>
        <w:contextualSpacing/>
        <w:rPr>
          <w:sz w:val="24"/>
          <w:szCs w:val="24"/>
          <w:lang w:val="en-US"/>
        </w:rPr>
      </w:pPr>
      <w:r>
        <w:rPr>
          <w:sz w:val="24"/>
          <w:szCs w:val="24"/>
          <w:lang w:val="en-US"/>
        </w:rPr>
        <w:t xml:space="preserve">Sudarius visus galimus ARIMA modelius (su pirmo laipsnio </w:t>
      </w:r>
      <w:r w:rsidR="00A61C16">
        <w:rPr>
          <w:sz w:val="24"/>
          <w:szCs w:val="24"/>
          <w:lang w:val="en-US"/>
        </w:rPr>
        <w:t xml:space="preserve">Y </w:t>
      </w:r>
      <w:r>
        <w:rPr>
          <w:sz w:val="24"/>
          <w:szCs w:val="24"/>
          <w:lang w:val="en-US"/>
        </w:rPr>
        <w:t xml:space="preserve">diferencijacija), kaip tinkamiausias parinktas ARIMA(1;1;2) modelis, kadangi jo AIC ir SIC reikšmės mažiausios (žr. </w:t>
      </w:r>
      <w:r w:rsidR="00A95662">
        <w:rPr>
          <w:sz w:val="24"/>
          <w:szCs w:val="24"/>
          <w:lang w:val="en-US"/>
        </w:rPr>
        <w:t>12</w:t>
      </w:r>
      <w:r w:rsidR="00A61C16">
        <w:rPr>
          <w:sz w:val="24"/>
          <w:szCs w:val="24"/>
          <w:lang w:val="en-US"/>
        </w:rPr>
        <w:t xml:space="preserve"> p</w:t>
      </w:r>
      <w:r>
        <w:rPr>
          <w:sz w:val="24"/>
          <w:szCs w:val="24"/>
          <w:lang w:val="en-US"/>
        </w:rPr>
        <w:t>riedas</w:t>
      </w:r>
      <w:r w:rsidR="00A61C16">
        <w:rPr>
          <w:sz w:val="24"/>
          <w:szCs w:val="24"/>
          <w:lang w:val="en-US"/>
        </w:rPr>
        <w:t>, 1 lentelė</w:t>
      </w:r>
      <w:r>
        <w:rPr>
          <w:sz w:val="24"/>
          <w:szCs w:val="24"/>
          <w:lang w:val="en-US"/>
        </w:rPr>
        <w:t xml:space="preserve">). </w:t>
      </w:r>
      <w:r>
        <w:rPr>
          <w:sz w:val="24"/>
          <w:szCs w:val="24"/>
          <w:lang w:val="en-US"/>
        </w:rPr>
        <w:lastRenderedPageBreak/>
        <w:t>Įvertinus tai, kad tarp modelio paklaidų nėra autokor</w:t>
      </w:r>
      <w:r w:rsidR="0057646A">
        <w:rPr>
          <w:sz w:val="24"/>
          <w:szCs w:val="24"/>
          <w:lang w:val="en-US"/>
        </w:rPr>
        <w:t>eliaci</w:t>
      </w:r>
      <w:r w:rsidR="00A95662">
        <w:rPr>
          <w:sz w:val="24"/>
          <w:szCs w:val="24"/>
          <w:lang w:val="en-US"/>
        </w:rPr>
        <w:t>jos (žr. 12</w:t>
      </w:r>
      <w:r w:rsidR="00A61C16">
        <w:rPr>
          <w:sz w:val="24"/>
          <w:szCs w:val="24"/>
          <w:lang w:val="en-US"/>
        </w:rPr>
        <w:t xml:space="preserve"> priedas, 3 pav.), modelis panaudotas L</w:t>
      </w:r>
      <w:r>
        <w:rPr>
          <w:sz w:val="24"/>
          <w:szCs w:val="24"/>
          <w:lang w:val="en-US"/>
        </w:rPr>
        <w:t xml:space="preserve">atvijos valstybės skolos prognozavimui. </w:t>
      </w:r>
      <w:r w:rsidR="00C00525">
        <w:rPr>
          <w:sz w:val="24"/>
          <w:szCs w:val="24"/>
          <w:lang w:val="en-US"/>
        </w:rPr>
        <w:t>21 p</w:t>
      </w:r>
      <w:r>
        <w:rPr>
          <w:sz w:val="24"/>
          <w:szCs w:val="24"/>
          <w:lang w:val="en-US"/>
        </w:rPr>
        <w:t xml:space="preserve">aveiksle pateiktas Latvijos dinaminės prognozės langas su prognozavimo intervalais. </w:t>
      </w:r>
    </w:p>
    <w:p w:rsidR="00624269" w:rsidRDefault="00624269" w:rsidP="00624269">
      <w:pPr>
        <w:tabs>
          <w:tab w:val="left" w:pos="3585"/>
          <w:tab w:val="left" w:pos="3855"/>
          <w:tab w:val="center" w:pos="4819"/>
          <w:tab w:val="left" w:pos="6840"/>
        </w:tabs>
        <w:spacing w:line="360" w:lineRule="auto"/>
        <w:ind w:firstLine="720"/>
        <w:contextualSpacing/>
        <w:rPr>
          <w:sz w:val="24"/>
          <w:szCs w:val="24"/>
          <w:lang w:val="en-US"/>
        </w:rPr>
      </w:pPr>
    </w:p>
    <w:p w:rsidR="00463933" w:rsidRDefault="00624269" w:rsidP="006613E5">
      <w:pPr>
        <w:tabs>
          <w:tab w:val="left" w:pos="3585"/>
          <w:tab w:val="left" w:pos="3855"/>
          <w:tab w:val="center" w:pos="4819"/>
          <w:tab w:val="left" w:pos="6840"/>
        </w:tabs>
        <w:spacing w:line="360" w:lineRule="auto"/>
        <w:ind w:firstLine="720"/>
        <w:contextualSpacing/>
        <w:jc w:val="center"/>
        <w:rPr>
          <w:sz w:val="24"/>
          <w:szCs w:val="24"/>
          <w:lang w:val="en-US"/>
        </w:rPr>
      </w:pPr>
      <w:r w:rsidRPr="00624269">
        <w:rPr>
          <w:noProof/>
          <w:sz w:val="24"/>
          <w:szCs w:val="24"/>
          <w:lang w:val="en-US"/>
        </w:rPr>
        <w:drawing>
          <wp:inline distT="0" distB="0" distL="0" distR="0">
            <wp:extent cx="2807198" cy="23241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srcRect l="43750" t="34208" r="21795" b="15051"/>
                    <a:stretch>
                      <a:fillRect/>
                    </a:stretch>
                  </pic:blipFill>
                  <pic:spPr bwMode="auto">
                    <a:xfrm>
                      <a:off x="0" y="0"/>
                      <a:ext cx="2811931" cy="2328018"/>
                    </a:xfrm>
                    <a:prstGeom prst="rect">
                      <a:avLst/>
                    </a:prstGeom>
                    <a:noFill/>
                    <a:ln w="9525">
                      <a:noFill/>
                      <a:miter lim="800000"/>
                      <a:headEnd/>
                      <a:tailEnd/>
                    </a:ln>
                  </pic:spPr>
                </pic:pic>
              </a:graphicData>
            </a:graphic>
          </wp:inline>
        </w:drawing>
      </w:r>
    </w:p>
    <w:p w:rsidR="005666E1" w:rsidRDefault="00463933" w:rsidP="005666E1">
      <w:pPr>
        <w:tabs>
          <w:tab w:val="left" w:pos="3585"/>
          <w:tab w:val="left" w:pos="3855"/>
          <w:tab w:val="center" w:pos="4819"/>
          <w:tab w:val="left" w:pos="6840"/>
        </w:tabs>
        <w:spacing w:line="360" w:lineRule="auto"/>
        <w:ind w:firstLine="0"/>
        <w:contextualSpacing/>
        <w:jc w:val="left"/>
        <w:rPr>
          <w:lang w:val="en-US"/>
        </w:rPr>
      </w:pPr>
      <w:r>
        <w:rPr>
          <w:lang w:val="en-US"/>
        </w:rPr>
        <w:t xml:space="preserve">                                                     </w:t>
      </w:r>
      <w:r w:rsidR="006613E5">
        <w:rPr>
          <w:lang w:val="en-US"/>
        </w:rPr>
        <w:t xml:space="preserve">       </w:t>
      </w:r>
      <w:r w:rsidR="005B47AA">
        <w:rPr>
          <w:lang w:val="en-US"/>
        </w:rPr>
        <w:t xml:space="preserve">  </w:t>
      </w:r>
      <w:r w:rsidR="00D06397">
        <w:rPr>
          <w:lang w:val="en-US"/>
        </w:rPr>
        <w:t xml:space="preserve">     </w:t>
      </w:r>
      <w:r w:rsidR="00624269" w:rsidRPr="00816B8B">
        <w:rPr>
          <w:lang w:val="en-US"/>
        </w:rPr>
        <w:t>Šaltinis: Eviews 8 programa.</w:t>
      </w:r>
      <w:bookmarkStart w:id="237" w:name="_Toc373086916"/>
      <w:bookmarkStart w:id="238" w:name="_Toc374229478"/>
    </w:p>
    <w:p w:rsidR="009773F5" w:rsidRPr="005666E1" w:rsidRDefault="00C00525" w:rsidP="005666E1">
      <w:pPr>
        <w:tabs>
          <w:tab w:val="left" w:pos="3585"/>
          <w:tab w:val="left" w:pos="3855"/>
          <w:tab w:val="center" w:pos="4819"/>
          <w:tab w:val="left" w:pos="6840"/>
        </w:tabs>
        <w:spacing w:line="360" w:lineRule="auto"/>
        <w:ind w:firstLine="0"/>
        <w:contextualSpacing/>
        <w:jc w:val="center"/>
        <w:rPr>
          <w:lang w:val="en-US"/>
        </w:rPr>
      </w:pPr>
      <w:r w:rsidRPr="003D5D35">
        <w:rPr>
          <w:sz w:val="24"/>
          <w:szCs w:val="24"/>
          <w:lang w:val="en-US"/>
        </w:rPr>
        <w:t>21 p</w:t>
      </w:r>
      <w:r w:rsidR="00624269" w:rsidRPr="003D5D35">
        <w:rPr>
          <w:sz w:val="24"/>
          <w:szCs w:val="24"/>
          <w:lang w:val="en-US"/>
        </w:rPr>
        <w:t>av. Latvijos valstybės skolos dinaminė prognozė pagal ARIMA (1;1;2) modelį</w:t>
      </w:r>
      <w:bookmarkEnd w:id="237"/>
      <w:bookmarkEnd w:id="238"/>
    </w:p>
    <w:p w:rsidR="00435ED6" w:rsidRPr="00435ED6" w:rsidRDefault="00435ED6" w:rsidP="00435ED6">
      <w:pPr>
        <w:tabs>
          <w:tab w:val="left" w:pos="3585"/>
          <w:tab w:val="left" w:pos="3855"/>
          <w:tab w:val="center" w:pos="4819"/>
          <w:tab w:val="left" w:pos="6840"/>
        </w:tabs>
        <w:spacing w:line="360" w:lineRule="auto"/>
        <w:ind w:firstLine="0"/>
        <w:contextualSpacing/>
        <w:jc w:val="center"/>
        <w:rPr>
          <w:lang w:val="en-US"/>
        </w:rPr>
      </w:pPr>
    </w:p>
    <w:p w:rsidR="00306E0B" w:rsidRDefault="009773F5" w:rsidP="00306E0B">
      <w:pPr>
        <w:tabs>
          <w:tab w:val="left" w:pos="3585"/>
          <w:tab w:val="left" w:pos="3855"/>
          <w:tab w:val="center" w:pos="4819"/>
          <w:tab w:val="left" w:pos="6840"/>
        </w:tabs>
        <w:spacing w:line="360" w:lineRule="auto"/>
        <w:ind w:firstLine="720"/>
        <w:contextualSpacing/>
        <w:jc w:val="left"/>
        <w:rPr>
          <w:sz w:val="24"/>
          <w:szCs w:val="24"/>
          <w:lang w:val="en-US"/>
        </w:rPr>
      </w:pPr>
      <w:r>
        <w:rPr>
          <w:sz w:val="24"/>
          <w:szCs w:val="24"/>
          <w:lang w:val="en-US"/>
        </w:rPr>
        <w:t xml:space="preserve">ARIMA modeliu gautas 2013 metams prognozuojamas </w:t>
      </w:r>
      <w:r w:rsidR="004D771A">
        <w:rPr>
          <w:sz w:val="24"/>
          <w:szCs w:val="24"/>
          <w:lang w:val="en-US"/>
        </w:rPr>
        <w:t xml:space="preserve">Latvijos </w:t>
      </w:r>
      <w:r>
        <w:rPr>
          <w:sz w:val="24"/>
          <w:szCs w:val="24"/>
          <w:lang w:val="en-US"/>
        </w:rPr>
        <w:t xml:space="preserve">valstybės </w:t>
      </w:r>
      <w:r w:rsidR="00127520">
        <w:rPr>
          <w:sz w:val="24"/>
          <w:szCs w:val="24"/>
          <w:lang w:val="en-US"/>
        </w:rPr>
        <w:t>skolos dydis yra 10456 mln. Eur</w:t>
      </w:r>
      <w:r>
        <w:rPr>
          <w:sz w:val="24"/>
          <w:szCs w:val="24"/>
          <w:lang w:val="en-US"/>
        </w:rPr>
        <w:t>,</w:t>
      </w:r>
      <w:r w:rsidR="00127520">
        <w:rPr>
          <w:sz w:val="24"/>
          <w:szCs w:val="24"/>
          <w:lang w:val="en-US"/>
        </w:rPr>
        <w:t xml:space="preserve"> o 2014 metais – 11556 mln. Eur</w:t>
      </w:r>
      <w:r>
        <w:rPr>
          <w:sz w:val="24"/>
          <w:szCs w:val="24"/>
          <w:lang w:val="en-US"/>
        </w:rPr>
        <w:t>.</w:t>
      </w:r>
    </w:p>
    <w:p w:rsidR="00306E0B" w:rsidRDefault="00306E0B" w:rsidP="00306E0B">
      <w:pPr>
        <w:tabs>
          <w:tab w:val="left" w:pos="3585"/>
          <w:tab w:val="left" w:pos="3855"/>
          <w:tab w:val="center" w:pos="4819"/>
          <w:tab w:val="left" w:pos="6840"/>
        </w:tabs>
        <w:spacing w:line="360" w:lineRule="auto"/>
        <w:ind w:firstLine="720"/>
        <w:contextualSpacing/>
        <w:jc w:val="left"/>
        <w:rPr>
          <w:sz w:val="24"/>
          <w:szCs w:val="24"/>
          <w:lang w:val="en-US"/>
        </w:rPr>
      </w:pPr>
    </w:p>
    <w:p w:rsidR="001C07E4" w:rsidRPr="00306E0B" w:rsidRDefault="00A41B5F" w:rsidP="00306E0B">
      <w:pPr>
        <w:tabs>
          <w:tab w:val="left" w:pos="3585"/>
          <w:tab w:val="left" w:pos="3855"/>
          <w:tab w:val="center" w:pos="4819"/>
          <w:tab w:val="left" w:pos="6840"/>
        </w:tabs>
        <w:spacing w:line="360" w:lineRule="auto"/>
        <w:ind w:firstLine="720"/>
        <w:contextualSpacing/>
        <w:jc w:val="left"/>
        <w:rPr>
          <w:sz w:val="24"/>
          <w:szCs w:val="24"/>
          <w:lang w:val="en-US"/>
        </w:rPr>
      </w:pPr>
      <w:r>
        <w:rPr>
          <w:b/>
          <w:i/>
          <w:sz w:val="24"/>
          <w:szCs w:val="24"/>
          <w:lang w:val="en-US"/>
        </w:rPr>
        <w:t>Estijos</w:t>
      </w:r>
      <w:r w:rsidRPr="00150BD1">
        <w:rPr>
          <w:b/>
          <w:i/>
          <w:sz w:val="24"/>
          <w:szCs w:val="24"/>
          <w:lang w:val="en-US"/>
        </w:rPr>
        <w:t xml:space="preserve"> valstybės skolos pr</w:t>
      </w:r>
      <w:r>
        <w:rPr>
          <w:b/>
          <w:i/>
          <w:sz w:val="24"/>
          <w:szCs w:val="24"/>
          <w:lang w:val="en-US"/>
        </w:rPr>
        <w:t>o</w:t>
      </w:r>
      <w:r w:rsidRPr="00150BD1">
        <w:rPr>
          <w:b/>
          <w:i/>
          <w:sz w:val="24"/>
          <w:szCs w:val="24"/>
          <w:lang w:val="en-US"/>
        </w:rPr>
        <w:t>gnozavimas ARIMA metodu.</w:t>
      </w:r>
    </w:p>
    <w:p w:rsidR="001C07E4" w:rsidRDefault="001C07E4" w:rsidP="001C07E4">
      <w:pPr>
        <w:tabs>
          <w:tab w:val="left" w:pos="2385"/>
        </w:tabs>
        <w:spacing w:line="360" w:lineRule="auto"/>
        <w:ind w:firstLine="720"/>
        <w:contextualSpacing/>
        <w:jc w:val="left"/>
        <w:rPr>
          <w:b/>
          <w:i/>
          <w:sz w:val="24"/>
          <w:szCs w:val="24"/>
          <w:lang w:val="en-US"/>
        </w:rPr>
      </w:pPr>
    </w:p>
    <w:p w:rsidR="00363DB7" w:rsidRPr="001C07E4" w:rsidRDefault="00363DB7" w:rsidP="001C07E4">
      <w:pPr>
        <w:tabs>
          <w:tab w:val="left" w:pos="2385"/>
        </w:tabs>
        <w:spacing w:line="360" w:lineRule="auto"/>
        <w:ind w:firstLine="720"/>
        <w:contextualSpacing/>
        <w:rPr>
          <w:b/>
          <w:i/>
          <w:sz w:val="24"/>
          <w:szCs w:val="24"/>
          <w:lang w:val="en-US"/>
        </w:rPr>
      </w:pPr>
      <w:r>
        <w:rPr>
          <w:sz w:val="24"/>
          <w:szCs w:val="24"/>
          <w:lang w:val="en-US"/>
        </w:rPr>
        <w:t xml:space="preserve">Estijos atveju laiko eilutė pasirodė esanti stacionari iš karto, todėl ji nebuvo diferencijuojama (žr. </w:t>
      </w:r>
      <w:r w:rsidR="00A95662">
        <w:rPr>
          <w:sz w:val="24"/>
          <w:szCs w:val="24"/>
          <w:lang w:val="en-US"/>
        </w:rPr>
        <w:t>13</w:t>
      </w:r>
      <w:r w:rsidR="00A61C16">
        <w:rPr>
          <w:sz w:val="24"/>
          <w:szCs w:val="24"/>
          <w:lang w:val="en-US"/>
        </w:rPr>
        <w:t xml:space="preserve"> p</w:t>
      </w:r>
      <w:r>
        <w:rPr>
          <w:sz w:val="24"/>
          <w:szCs w:val="24"/>
          <w:lang w:val="en-US"/>
        </w:rPr>
        <w:t>riedas</w:t>
      </w:r>
      <w:r w:rsidR="00A61C16">
        <w:rPr>
          <w:sz w:val="24"/>
          <w:szCs w:val="24"/>
          <w:lang w:val="en-US"/>
        </w:rPr>
        <w:t>, 1 pav.</w:t>
      </w:r>
      <w:r>
        <w:rPr>
          <w:sz w:val="24"/>
          <w:szCs w:val="24"/>
          <w:lang w:val="en-US"/>
        </w:rPr>
        <w:t>).</w:t>
      </w:r>
    </w:p>
    <w:p w:rsidR="00363DB7" w:rsidRDefault="00363DB7" w:rsidP="00363DB7">
      <w:pPr>
        <w:tabs>
          <w:tab w:val="left" w:pos="3585"/>
          <w:tab w:val="left" w:pos="3855"/>
          <w:tab w:val="center" w:pos="4819"/>
          <w:tab w:val="left" w:pos="6840"/>
        </w:tabs>
        <w:spacing w:line="360" w:lineRule="auto"/>
        <w:ind w:firstLine="720"/>
        <w:contextualSpacing/>
        <w:rPr>
          <w:sz w:val="24"/>
          <w:szCs w:val="24"/>
          <w:lang w:val="en-US"/>
        </w:rPr>
      </w:pPr>
      <w:r>
        <w:rPr>
          <w:sz w:val="24"/>
          <w:szCs w:val="24"/>
          <w:lang w:val="en-US"/>
        </w:rPr>
        <w:t>Sudarius visus galimus ARMA modelius (kai y nediferencijuojamas), paaiškėjo, jog 5 modeliai yra iš viso netinkami, kadangi jų paskaičiuotos šaknys viršijo 1. Kaip tinkamiausias parinktas ARMA(2;0) modelis, kadangi jo AIC ir SIC reikšmės mažiausios (žr.</w:t>
      </w:r>
      <w:r w:rsidR="00A95662">
        <w:rPr>
          <w:sz w:val="24"/>
          <w:szCs w:val="24"/>
          <w:lang w:val="en-US"/>
        </w:rPr>
        <w:t xml:space="preserve"> 13</w:t>
      </w:r>
      <w:r w:rsidR="00A61C16">
        <w:rPr>
          <w:sz w:val="24"/>
          <w:szCs w:val="24"/>
          <w:lang w:val="en-US"/>
        </w:rPr>
        <w:t xml:space="preserve"> p</w:t>
      </w:r>
      <w:r>
        <w:rPr>
          <w:sz w:val="24"/>
          <w:szCs w:val="24"/>
          <w:lang w:val="en-US"/>
        </w:rPr>
        <w:t>riedas</w:t>
      </w:r>
      <w:r w:rsidR="00A61C16">
        <w:rPr>
          <w:sz w:val="24"/>
          <w:szCs w:val="24"/>
          <w:lang w:val="en-US"/>
        </w:rPr>
        <w:t>, 1 lentelė</w:t>
      </w:r>
      <w:r>
        <w:rPr>
          <w:sz w:val="24"/>
          <w:szCs w:val="24"/>
          <w:lang w:val="en-US"/>
        </w:rPr>
        <w:t>). Įvertinus tai, kad tarp modelio paklaidų nėra autokoreliacijos</w:t>
      </w:r>
      <w:r w:rsidR="00A95662">
        <w:rPr>
          <w:sz w:val="24"/>
          <w:szCs w:val="24"/>
          <w:lang w:val="en-US"/>
        </w:rPr>
        <w:t xml:space="preserve"> (žr. 13</w:t>
      </w:r>
      <w:r w:rsidR="00A61C16">
        <w:rPr>
          <w:sz w:val="24"/>
          <w:szCs w:val="24"/>
          <w:lang w:val="en-US"/>
        </w:rPr>
        <w:t xml:space="preserve"> priedas, 3 pav.)</w:t>
      </w:r>
      <w:r>
        <w:rPr>
          <w:sz w:val="24"/>
          <w:szCs w:val="24"/>
          <w:lang w:val="en-US"/>
        </w:rPr>
        <w:t xml:space="preserve">, modelis panaudotas Estijos valstybės skolos prognozavimui. </w:t>
      </w:r>
      <w:r w:rsidR="00C00525">
        <w:rPr>
          <w:sz w:val="24"/>
          <w:szCs w:val="24"/>
          <w:lang w:val="en-US"/>
        </w:rPr>
        <w:t>22 p</w:t>
      </w:r>
      <w:r>
        <w:rPr>
          <w:sz w:val="24"/>
          <w:szCs w:val="24"/>
          <w:lang w:val="en-US"/>
        </w:rPr>
        <w:t xml:space="preserve">aveiksle pateiktas Estijos dinaminės prognozės langas su prognozavimo intervalais. </w:t>
      </w:r>
    </w:p>
    <w:p w:rsidR="00150BD1" w:rsidRDefault="00363DB7" w:rsidP="00D06397">
      <w:pPr>
        <w:tabs>
          <w:tab w:val="left" w:pos="3585"/>
          <w:tab w:val="left" w:pos="3855"/>
          <w:tab w:val="center" w:pos="4819"/>
          <w:tab w:val="left" w:pos="6840"/>
        </w:tabs>
        <w:spacing w:line="360" w:lineRule="auto"/>
        <w:ind w:firstLine="0"/>
        <w:contextualSpacing/>
        <w:jc w:val="center"/>
        <w:rPr>
          <w:sz w:val="24"/>
          <w:szCs w:val="24"/>
          <w:lang w:val="en-US"/>
        </w:rPr>
      </w:pPr>
      <w:r w:rsidRPr="00363DB7">
        <w:rPr>
          <w:noProof/>
          <w:sz w:val="24"/>
          <w:szCs w:val="24"/>
          <w:lang w:val="en-US"/>
        </w:rPr>
        <w:lastRenderedPageBreak/>
        <w:drawing>
          <wp:inline distT="0" distB="0" distL="0" distR="0">
            <wp:extent cx="2858666" cy="2171700"/>
            <wp:effectExtent l="19050" t="0" r="0"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l="41506" t="37914" r="24359" b="15906"/>
                    <a:stretch>
                      <a:fillRect/>
                    </a:stretch>
                  </pic:blipFill>
                  <pic:spPr bwMode="auto">
                    <a:xfrm>
                      <a:off x="0" y="0"/>
                      <a:ext cx="2858666" cy="2171700"/>
                    </a:xfrm>
                    <a:prstGeom prst="rect">
                      <a:avLst/>
                    </a:prstGeom>
                    <a:noFill/>
                    <a:ln w="9525">
                      <a:noFill/>
                      <a:miter lim="800000"/>
                      <a:headEnd/>
                      <a:tailEnd/>
                    </a:ln>
                  </pic:spPr>
                </pic:pic>
              </a:graphicData>
            </a:graphic>
          </wp:inline>
        </w:drawing>
      </w:r>
    </w:p>
    <w:p w:rsidR="00D06397" w:rsidRDefault="00463933" w:rsidP="00D06397">
      <w:pPr>
        <w:tabs>
          <w:tab w:val="left" w:pos="3585"/>
          <w:tab w:val="left" w:pos="3855"/>
          <w:tab w:val="center" w:pos="4819"/>
          <w:tab w:val="left" w:pos="6840"/>
        </w:tabs>
        <w:spacing w:line="360" w:lineRule="auto"/>
        <w:ind w:firstLine="0"/>
        <w:contextualSpacing/>
        <w:jc w:val="left"/>
        <w:rPr>
          <w:lang w:val="en-US"/>
        </w:rPr>
      </w:pPr>
      <w:bookmarkStart w:id="239" w:name="_Toc373086917"/>
      <w:r>
        <w:rPr>
          <w:lang w:val="en-US"/>
        </w:rPr>
        <w:t xml:space="preserve">                            </w:t>
      </w:r>
      <w:r w:rsidR="00D06397">
        <w:rPr>
          <w:lang w:val="en-US"/>
        </w:rPr>
        <w:t xml:space="preserve">                              </w:t>
      </w:r>
      <w:r>
        <w:rPr>
          <w:lang w:val="en-US"/>
        </w:rPr>
        <w:t xml:space="preserve"> </w:t>
      </w:r>
      <w:r w:rsidR="003D5D35">
        <w:rPr>
          <w:lang w:val="en-US"/>
        </w:rPr>
        <w:t>Šaltinis: E</w:t>
      </w:r>
      <w:bookmarkStart w:id="240" w:name="_Toc374229479"/>
      <w:r w:rsidR="005666E1">
        <w:rPr>
          <w:lang w:val="en-US"/>
        </w:rPr>
        <w:t>views 8 programa</w:t>
      </w:r>
    </w:p>
    <w:p w:rsidR="004D771A" w:rsidRPr="003D5D35" w:rsidRDefault="00C00525" w:rsidP="00D06397">
      <w:pPr>
        <w:tabs>
          <w:tab w:val="left" w:pos="3585"/>
          <w:tab w:val="left" w:pos="3855"/>
          <w:tab w:val="center" w:pos="4819"/>
          <w:tab w:val="left" w:pos="6840"/>
        </w:tabs>
        <w:spacing w:line="360" w:lineRule="auto"/>
        <w:ind w:firstLine="0"/>
        <w:contextualSpacing/>
        <w:jc w:val="center"/>
        <w:rPr>
          <w:lang w:val="en-US"/>
        </w:rPr>
      </w:pPr>
      <w:r w:rsidRPr="003D5D35">
        <w:rPr>
          <w:sz w:val="24"/>
          <w:szCs w:val="24"/>
          <w:lang w:val="en-US"/>
        </w:rPr>
        <w:t>22 p</w:t>
      </w:r>
      <w:r w:rsidR="00363DB7" w:rsidRPr="003D5D35">
        <w:rPr>
          <w:sz w:val="24"/>
          <w:szCs w:val="24"/>
          <w:lang w:val="en-US"/>
        </w:rPr>
        <w:t>av. Estijos valstybės skolos dinaminė prognozė pagal ARMA (2;0) modelį</w:t>
      </w:r>
      <w:bookmarkEnd w:id="239"/>
      <w:bookmarkEnd w:id="240"/>
    </w:p>
    <w:p w:rsidR="004D771A" w:rsidRPr="003D5D35" w:rsidRDefault="004D771A" w:rsidP="007215DB">
      <w:pPr>
        <w:tabs>
          <w:tab w:val="left" w:pos="3585"/>
          <w:tab w:val="left" w:pos="3855"/>
          <w:tab w:val="center" w:pos="4819"/>
          <w:tab w:val="left" w:pos="6840"/>
        </w:tabs>
        <w:spacing w:line="360" w:lineRule="auto"/>
        <w:ind w:firstLine="720"/>
        <w:contextualSpacing/>
        <w:rPr>
          <w:sz w:val="24"/>
          <w:szCs w:val="24"/>
          <w:lang w:val="en-US"/>
        </w:rPr>
      </w:pPr>
    </w:p>
    <w:p w:rsidR="004D771A" w:rsidRDefault="004D771A" w:rsidP="007215DB">
      <w:pPr>
        <w:tabs>
          <w:tab w:val="left" w:pos="3585"/>
          <w:tab w:val="left" w:pos="3855"/>
          <w:tab w:val="center" w:pos="4819"/>
          <w:tab w:val="left" w:pos="6840"/>
        </w:tabs>
        <w:spacing w:line="360" w:lineRule="auto"/>
        <w:ind w:firstLine="720"/>
        <w:contextualSpacing/>
        <w:rPr>
          <w:sz w:val="24"/>
          <w:szCs w:val="24"/>
          <w:lang w:val="en-US"/>
        </w:rPr>
      </w:pPr>
      <w:r>
        <w:rPr>
          <w:sz w:val="24"/>
          <w:szCs w:val="24"/>
          <w:lang w:val="en-US"/>
        </w:rPr>
        <w:t>ARIMA modeliu gautas 2013 metams prognozuojamas Estijos valstybės</w:t>
      </w:r>
      <w:r w:rsidR="00127520">
        <w:rPr>
          <w:sz w:val="24"/>
          <w:szCs w:val="24"/>
          <w:lang w:val="en-US"/>
        </w:rPr>
        <w:t xml:space="preserve"> skolos dydis yra 1440 mln. Eur</w:t>
      </w:r>
      <w:r>
        <w:rPr>
          <w:sz w:val="24"/>
          <w:szCs w:val="24"/>
          <w:lang w:val="en-US"/>
        </w:rPr>
        <w:t>, o 2014 metais – 1604 mln. Eur..</w:t>
      </w:r>
    </w:p>
    <w:p w:rsidR="00150BD1" w:rsidRDefault="004D771A" w:rsidP="007215DB">
      <w:pPr>
        <w:spacing w:line="360" w:lineRule="auto"/>
        <w:ind w:firstLine="720"/>
        <w:contextualSpacing/>
        <w:rPr>
          <w:sz w:val="24"/>
          <w:szCs w:val="24"/>
          <w:lang w:val="en-US"/>
        </w:rPr>
      </w:pPr>
      <w:r w:rsidRPr="007215DB">
        <w:rPr>
          <w:sz w:val="24"/>
          <w:szCs w:val="24"/>
          <w:lang w:val="en-US"/>
        </w:rPr>
        <w:tab/>
      </w:r>
      <w:r w:rsidR="00C00525">
        <w:rPr>
          <w:sz w:val="24"/>
          <w:szCs w:val="24"/>
          <w:lang w:val="en-US"/>
        </w:rPr>
        <w:t>23 p</w:t>
      </w:r>
      <w:r w:rsidR="007215DB" w:rsidRPr="007215DB">
        <w:rPr>
          <w:sz w:val="24"/>
          <w:szCs w:val="24"/>
          <w:lang w:val="en-US"/>
        </w:rPr>
        <w:t xml:space="preserve">aveiksle pateikti visų trijų Baltijos šalių </w:t>
      </w:r>
      <w:r w:rsidR="00127520">
        <w:rPr>
          <w:sz w:val="24"/>
          <w:szCs w:val="24"/>
          <w:lang w:val="en-US"/>
        </w:rPr>
        <w:t>valstybės skolos metiniai kitimo tempai su prognozuojamomis reikšmėmis pagal ARIMA metodą.</w:t>
      </w:r>
    </w:p>
    <w:p w:rsidR="0080429E" w:rsidRDefault="0080429E" w:rsidP="007215DB">
      <w:pPr>
        <w:spacing w:line="360" w:lineRule="auto"/>
        <w:ind w:firstLine="720"/>
        <w:contextualSpacing/>
        <w:rPr>
          <w:sz w:val="24"/>
          <w:szCs w:val="24"/>
          <w:lang w:val="en-US"/>
        </w:rPr>
      </w:pPr>
    </w:p>
    <w:p w:rsidR="0080429E" w:rsidRDefault="0080429E" w:rsidP="0080429E">
      <w:pPr>
        <w:tabs>
          <w:tab w:val="left" w:pos="3585"/>
          <w:tab w:val="left" w:pos="3855"/>
          <w:tab w:val="center" w:pos="4819"/>
        </w:tabs>
        <w:spacing w:line="360" w:lineRule="auto"/>
        <w:ind w:firstLine="0"/>
        <w:contextualSpacing/>
        <w:jc w:val="center"/>
      </w:pPr>
      <w:r w:rsidRPr="0080429E">
        <w:rPr>
          <w:noProof/>
          <w:lang w:val="en-US"/>
        </w:rPr>
        <w:drawing>
          <wp:inline distT="0" distB="0" distL="0" distR="0">
            <wp:extent cx="5648325" cy="2428875"/>
            <wp:effectExtent l="19050" t="0" r="9525" b="0"/>
            <wp:docPr id="2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666E1" w:rsidRDefault="0080429E" w:rsidP="0080429E">
      <w:pPr>
        <w:tabs>
          <w:tab w:val="left" w:pos="3585"/>
          <w:tab w:val="left" w:pos="3855"/>
          <w:tab w:val="center" w:pos="4819"/>
        </w:tabs>
        <w:spacing w:line="360" w:lineRule="auto"/>
        <w:ind w:firstLine="0"/>
        <w:contextualSpacing/>
      </w:pPr>
      <w:r>
        <w:t xml:space="preserve">             </w:t>
      </w:r>
      <w:r w:rsidR="00445324" w:rsidRPr="009A0CC3">
        <w:t>Šaltinis: sudaryta remiantis Eurostat duomenimis ir autorės skaičiavimais</w:t>
      </w:r>
      <w:bookmarkStart w:id="241" w:name="_Toc374229480"/>
    </w:p>
    <w:p w:rsidR="003D5D35" w:rsidRDefault="00C00525" w:rsidP="005666E1">
      <w:pPr>
        <w:tabs>
          <w:tab w:val="left" w:pos="3585"/>
          <w:tab w:val="left" w:pos="3855"/>
          <w:tab w:val="center" w:pos="4819"/>
        </w:tabs>
        <w:spacing w:line="360" w:lineRule="auto"/>
        <w:ind w:firstLine="0"/>
        <w:contextualSpacing/>
        <w:jc w:val="center"/>
        <w:rPr>
          <w:sz w:val="24"/>
          <w:szCs w:val="24"/>
        </w:rPr>
      </w:pPr>
      <w:r>
        <w:rPr>
          <w:sz w:val="24"/>
          <w:szCs w:val="24"/>
        </w:rPr>
        <w:t xml:space="preserve">23 </w:t>
      </w:r>
      <w:r w:rsidR="00445324">
        <w:rPr>
          <w:sz w:val="24"/>
          <w:szCs w:val="24"/>
        </w:rPr>
        <w:t>pav</w:t>
      </w:r>
      <w:r w:rsidR="008152F5">
        <w:rPr>
          <w:sz w:val="24"/>
          <w:szCs w:val="24"/>
        </w:rPr>
        <w:t>. Baltijos šalių valstybės skolos metiniai augimo tempai</w:t>
      </w:r>
      <w:r w:rsidR="00445324">
        <w:rPr>
          <w:sz w:val="24"/>
          <w:szCs w:val="24"/>
        </w:rPr>
        <w:t xml:space="preserve"> su prognozuojamomis reikšmėmis pagal ARIMA modelį</w:t>
      </w:r>
      <w:bookmarkEnd w:id="241"/>
    </w:p>
    <w:p w:rsidR="005666E1" w:rsidRPr="005666E1" w:rsidRDefault="005666E1" w:rsidP="005666E1">
      <w:pPr>
        <w:tabs>
          <w:tab w:val="left" w:pos="3585"/>
          <w:tab w:val="left" w:pos="3855"/>
          <w:tab w:val="center" w:pos="4819"/>
        </w:tabs>
        <w:spacing w:line="360" w:lineRule="auto"/>
        <w:ind w:firstLine="0"/>
        <w:contextualSpacing/>
        <w:jc w:val="center"/>
      </w:pPr>
    </w:p>
    <w:p w:rsidR="006211DC" w:rsidRDefault="006211DC" w:rsidP="00E31F14">
      <w:pPr>
        <w:tabs>
          <w:tab w:val="left" w:pos="3585"/>
          <w:tab w:val="left" w:pos="3855"/>
          <w:tab w:val="center" w:pos="4819"/>
          <w:tab w:val="left" w:pos="6840"/>
        </w:tabs>
        <w:spacing w:line="360" w:lineRule="auto"/>
        <w:ind w:firstLine="720"/>
        <w:contextualSpacing/>
        <w:rPr>
          <w:sz w:val="24"/>
          <w:szCs w:val="24"/>
        </w:rPr>
      </w:pPr>
      <w:r>
        <w:rPr>
          <w:sz w:val="24"/>
          <w:szCs w:val="24"/>
        </w:rPr>
        <w:t>Lietuvos ir Estijos atvejais, ARIMA metodu gauta valstybės skolos prognozė yra artima DTR modeliu gautai prognozei, tuo tarpu Latvijos valstybės skolos pokyčių prognozės gautos skirtingais metodais skirisi.</w:t>
      </w:r>
    </w:p>
    <w:p w:rsidR="00C57911" w:rsidRDefault="00C57911" w:rsidP="00E31F14">
      <w:pPr>
        <w:tabs>
          <w:tab w:val="left" w:pos="3585"/>
          <w:tab w:val="left" w:pos="3855"/>
          <w:tab w:val="center" w:pos="4819"/>
          <w:tab w:val="left" w:pos="6840"/>
        </w:tabs>
        <w:spacing w:line="360" w:lineRule="auto"/>
        <w:ind w:firstLine="720"/>
        <w:contextualSpacing/>
        <w:rPr>
          <w:sz w:val="24"/>
          <w:szCs w:val="24"/>
        </w:rPr>
      </w:pPr>
      <w:r>
        <w:rPr>
          <w:sz w:val="24"/>
          <w:szCs w:val="24"/>
        </w:rPr>
        <w:lastRenderedPageBreak/>
        <w:t xml:space="preserve">Lietuvos atveju ARIMA metodu gauta prognozė rodo, jog 2013 m. Lietuvos valstybės skola turėtų būti </w:t>
      </w:r>
      <w:r>
        <w:rPr>
          <w:sz w:val="24"/>
          <w:szCs w:val="24"/>
          <w:lang w:val="en-US"/>
        </w:rPr>
        <w:t xml:space="preserve">14,9 proc. </w:t>
      </w:r>
      <w:r>
        <w:rPr>
          <w:sz w:val="24"/>
          <w:szCs w:val="24"/>
        </w:rPr>
        <w:t>didesnė negu 2012 m. ir sudaryti 15326 mln. Eur, o 2014 m. dar paaugti 10 pr</w:t>
      </w:r>
      <w:r w:rsidR="00127520">
        <w:rPr>
          <w:sz w:val="24"/>
          <w:szCs w:val="24"/>
        </w:rPr>
        <w:t xml:space="preserve">oc. ir pasiekti 16853 mln. Eur </w:t>
      </w:r>
      <w:r>
        <w:rPr>
          <w:sz w:val="24"/>
          <w:szCs w:val="24"/>
        </w:rPr>
        <w:t>sumą.</w:t>
      </w:r>
      <w:r w:rsidR="00E11682">
        <w:rPr>
          <w:sz w:val="24"/>
          <w:szCs w:val="24"/>
        </w:rPr>
        <w:t xml:space="preserve"> Atsižvelgiant į jau paminėtus faktus apie Lietuvos ekonominio augimo perspektyvas, apie </w:t>
      </w:r>
      <w:r w:rsidR="006211DC">
        <w:rPr>
          <w:sz w:val="24"/>
          <w:szCs w:val="24"/>
        </w:rPr>
        <w:t xml:space="preserve">valstybės </w:t>
      </w:r>
      <w:r w:rsidR="00E11682">
        <w:rPr>
          <w:sz w:val="24"/>
          <w:szCs w:val="24"/>
        </w:rPr>
        <w:t xml:space="preserve">biudžeto situaciją bei į tai, jog </w:t>
      </w:r>
      <w:r w:rsidR="003E1C98">
        <w:rPr>
          <w:sz w:val="24"/>
          <w:szCs w:val="24"/>
        </w:rPr>
        <w:t xml:space="preserve">2014 m. planuojamas skolinimosi poreikis yra didesnis negu 2013 m., tikėtina, jog valstybės skola </w:t>
      </w:r>
      <w:r w:rsidR="005A28E4">
        <w:rPr>
          <w:sz w:val="24"/>
          <w:szCs w:val="24"/>
        </w:rPr>
        <w:t xml:space="preserve">nominalia verte </w:t>
      </w:r>
      <w:r w:rsidR="003D5D35">
        <w:rPr>
          <w:sz w:val="24"/>
          <w:szCs w:val="24"/>
        </w:rPr>
        <w:t>ateinančius metus augs.</w:t>
      </w:r>
    </w:p>
    <w:p w:rsidR="00E11682" w:rsidRDefault="003E1C98" w:rsidP="00E31F14">
      <w:pPr>
        <w:tabs>
          <w:tab w:val="left" w:pos="3585"/>
          <w:tab w:val="left" w:pos="3855"/>
          <w:tab w:val="center" w:pos="4819"/>
          <w:tab w:val="left" w:pos="6840"/>
        </w:tabs>
        <w:spacing w:line="360" w:lineRule="auto"/>
        <w:ind w:firstLine="720"/>
        <w:contextualSpacing/>
        <w:rPr>
          <w:sz w:val="24"/>
          <w:szCs w:val="24"/>
        </w:rPr>
      </w:pPr>
      <w:r>
        <w:rPr>
          <w:sz w:val="24"/>
          <w:szCs w:val="24"/>
        </w:rPr>
        <w:t>ARIMA metodu gauta Latvijos valstybės skolos prognozė</w:t>
      </w:r>
      <w:r w:rsidR="003B4C74">
        <w:rPr>
          <w:sz w:val="24"/>
          <w:szCs w:val="24"/>
        </w:rPr>
        <w:t>, priešingai negu prognozė DTR modeliu,</w:t>
      </w:r>
      <w:r>
        <w:rPr>
          <w:sz w:val="24"/>
          <w:szCs w:val="24"/>
        </w:rPr>
        <w:t xml:space="preserve"> rodo, kad 2013 m. Latvijos valstybės skola turėtų būti didesnė 15,7 pro</w:t>
      </w:r>
      <w:r w:rsidR="00127520">
        <w:rPr>
          <w:sz w:val="24"/>
          <w:szCs w:val="24"/>
        </w:rPr>
        <w:t>c. ir sudaryti 10456 mln. Eur</w:t>
      </w:r>
      <w:r>
        <w:rPr>
          <w:sz w:val="24"/>
          <w:szCs w:val="24"/>
        </w:rPr>
        <w:t>, o 2014 m. dar paaugti 10,5</w:t>
      </w:r>
      <w:r w:rsidR="00127520">
        <w:rPr>
          <w:sz w:val="24"/>
          <w:szCs w:val="24"/>
        </w:rPr>
        <w:t xml:space="preserve"> proc. ir siekti 11556 mln. Eur</w:t>
      </w:r>
      <w:r>
        <w:rPr>
          <w:sz w:val="24"/>
          <w:szCs w:val="24"/>
        </w:rPr>
        <w:t xml:space="preserve">. Čia vėl atsižvelgiant į Latvijos Finansų ministerijos, Valstybės iždo pateikiamas </w:t>
      </w:r>
      <w:r w:rsidR="008D00C3">
        <w:rPr>
          <w:sz w:val="24"/>
          <w:szCs w:val="24"/>
        </w:rPr>
        <w:t xml:space="preserve">atsargesnes </w:t>
      </w:r>
      <w:r>
        <w:rPr>
          <w:sz w:val="24"/>
          <w:szCs w:val="24"/>
        </w:rPr>
        <w:t>prognoze</w:t>
      </w:r>
      <w:r w:rsidR="008D00C3">
        <w:rPr>
          <w:sz w:val="24"/>
          <w:szCs w:val="24"/>
        </w:rPr>
        <w:t xml:space="preserve">s apie šalies ekonomikos augimą, galima manyti, jog Latvijos valstybės skola ateinančius metus </w:t>
      </w:r>
      <w:r w:rsidR="003D5D35">
        <w:rPr>
          <w:sz w:val="24"/>
          <w:szCs w:val="24"/>
        </w:rPr>
        <w:t>didės</w:t>
      </w:r>
      <w:r w:rsidR="008D00C3">
        <w:rPr>
          <w:sz w:val="24"/>
          <w:szCs w:val="24"/>
        </w:rPr>
        <w:t>.</w:t>
      </w:r>
      <w:r w:rsidR="003A414F">
        <w:rPr>
          <w:sz w:val="24"/>
          <w:szCs w:val="24"/>
        </w:rPr>
        <w:t xml:space="preserve"> Latvijos valstybės skolos augimui įtakos gali turėti ir prisijungimas prie Euro zonos, kaip, kad nutiko Estijai, kuomet tapusi Euro zonos nare ji privalėjo prisidėti prie Europos finansinio stabilumo fondo. </w:t>
      </w:r>
    </w:p>
    <w:p w:rsidR="00983B1F" w:rsidRDefault="008D00C3" w:rsidP="00983B1F">
      <w:pPr>
        <w:tabs>
          <w:tab w:val="left" w:pos="3585"/>
          <w:tab w:val="left" w:pos="3855"/>
          <w:tab w:val="center" w:pos="4819"/>
          <w:tab w:val="left" w:pos="6840"/>
        </w:tabs>
        <w:spacing w:line="360" w:lineRule="auto"/>
        <w:ind w:firstLine="720"/>
        <w:contextualSpacing/>
        <w:rPr>
          <w:sz w:val="24"/>
          <w:szCs w:val="24"/>
        </w:rPr>
      </w:pPr>
      <w:r>
        <w:rPr>
          <w:sz w:val="24"/>
          <w:szCs w:val="24"/>
        </w:rPr>
        <w:t xml:space="preserve">Estijos atveju ARIMA metodu </w:t>
      </w:r>
      <w:r w:rsidR="000B57BB">
        <w:rPr>
          <w:sz w:val="24"/>
          <w:szCs w:val="24"/>
        </w:rPr>
        <w:t>gauti rezultatai yra panašūs į D</w:t>
      </w:r>
      <w:r>
        <w:rPr>
          <w:sz w:val="24"/>
          <w:szCs w:val="24"/>
        </w:rPr>
        <w:t>TR modeliu gautus rezultatus: 2013 m. Estijos valstybės skola lyginant su 2012 m. turėtų būti sumažėjusi, o 2014 m. padidėti. Tik skiriasi pokyčių tempai: ARIMA metodu gauta prognozė rodo, kad 2013 m. Estijos valstybės skol</w:t>
      </w:r>
      <w:r w:rsidR="008C233C">
        <w:rPr>
          <w:sz w:val="24"/>
          <w:szCs w:val="24"/>
        </w:rPr>
        <w:t>a</w:t>
      </w:r>
      <w:r>
        <w:rPr>
          <w:sz w:val="24"/>
          <w:szCs w:val="24"/>
        </w:rPr>
        <w:t xml:space="preserve"> turėtų būti 15,9 proc. mažesnė negu 2012 m., o 2014 m. paaugti 13,</w:t>
      </w:r>
      <w:r w:rsidR="00127520">
        <w:rPr>
          <w:sz w:val="24"/>
          <w:szCs w:val="24"/>
        </w:rPr>
        <w:t>9 proc. ir sudaryti 1640 mln. Eur</w:t>
      </w:r>
      <w:r>
        <w:rPr>
          <w:sz w:val="24"/>
          <w:szCs w:val="24"/>
        </w:rPr>
        <w:t>.</w:t>
      </w:r>
      <w:r w:rsidR="008C233C">
        <w:rPr>
          <w:sz w:val="24"/>
          <w:szCs w:val="24"/>
        </w:rPr>
        <w:t xml:space="preserve"> Kaip jau minėta anksčiau</w:t>
      </w:r>
      <w:r w:rsidR="003B4C74">
        <w:rPr>
          <w:sz w:val="24"/>
          <w:szCs w:val="24"/>
        </w:rPr>
        <w:t>,</w:t>
      </w:r>
      <w:r w:rsidR="008C233C">
        <w:rPr>
          <w:sz w:val="24"/>
          <w:szCs w:val="24"/>
        </w:rPr>
        <w:t xml:space="preserve"> </w:t>
      </w:r>
      <w:r w:rsidR="003B4C74">
        <w:rPr>
          <w:sz w:val="24"/>
          <w:szCs w:val="24"/>
        </w:rPr>
        <w:t>Est</w:t>
      </w:r>
      <w:r w:rsidR="00C23BB5">
        <w:rPr>
          <w:sz w:val="24"/>
          <w:szCs w:val="24"/>
        </w:rPr>
        <w:t>ijo</w:t>
      </w:r>
      <w:r w:rsidR="003B4C74">
        <w:rPr>
          <w:sz w:val="24"/>
          <w:szCs w:val="24"/>
        </w:rPr>
        <w:t>s finansų ministerijos teigimu, Estijos valstybės skola 2013 – 2014</w:t>
      </w:r>
      <w:r w:rsidR="00983B1F">
        <w:rPr>
          <w:sz w:val="24"/>
          <w:szCs w:val="24"/>
        </w:rPr>
        <w:t xml:space="preserve"> m.</w:t>
      </w:r>
      <w:r w:rsidR="003B4C74">
        <w:rPr>
          <w:sz w:val="24"/>
          <w:szCs w:val="24"/>
        </w:rPr>
        <w:t xml:space="preserve"> dar turėtų didėti dėl įnašų į Europos finansinio stabilumo fondą.</w:t>
      </w:r>
      <w:r w:rsidR="00C93D9A">
        <w:rPr>
          <w:sz w:val="24"/>
          <w:szCs w:val="24"/>
        </w:rPr>
        <w:t xml:space="preserve"> </w:t>
      </w:r>
      <w:r w:rsidR="00983B1F">
        <w:rPr>
          <w:sz w:val="24"/>
          <w:szCs w:val="24"/>
        </w:rPr>
        <w:t xml:space="preserve">Taigi ARIMA </w:t>
      </w:r>
      <w:r w:rsidR="00C93D9A">
        <w:rPr>
          <w:sz w:val="24"/>
          <w:szCs w:val="24"/>
        </w:rPr>
        <w:t xml:space="preserve">metodu gauta Estijos valstybės skolos prognozė </w:t>
      </w:r>
      <w:r w:rsidR="00983B1F">
        <w:rPr>
          <w:sz w:val="24"/>
          <w:szCs w:val="24"/>
        </w:rPr>
        <w:t xml:space="preserve">taip pat </w:t>
      </w:r>
      <w:r w:rsidR="00C93D9A">
        <w:rPr>
          <w:sz w:val="24"/>
          <w:szCs w:val="24"/>
        </w:rPr>
        <w:t>kelia abejonių.</w:t>
      </w:r>
    </w:p>
    <w:p w:rsidR="00983B1F" w:rsidRDefault="00983B1F" w:rsidP="00983B1F">
      <w:pPr>
        <w:tabs>
          <w:tab w:val="left" w:pos="3585"/>
          <w:tab w:val="left" w:pos="3855"/>
          <w:tab w:val="center" w:pos="4819"/>
          <w:tab w:val="left" w:pos="6840"/>
        </w:tabs>
        <w:spacing w:line="360" w:lineRule="auto"/>
        <w:ind w:firstLine="720"/>
        <w:contextualSpacing/>
        <w:rPr>
          <w:sz w:val="24"/>
          <w:szCs w:val="24"/>
        </w:rPr>
      </w:pPr>
    </w:p>
    <w:p w:rsidR="00983B1F" w:rsidRDefault="00C041DB" w:rsidP="00132D71">
      <w:pPr>
        <w:tabs>
          <w:tab w:val="left" w:pos="3585"/>
          <w:tab w:val="left" w:pos="3855"/>
          <w:tab w:val="center" w:pos="4819"/>
          <w:tab w:val="left" w:pos="6840"/>
        </w:tabs>
        <w:spacing w:line="360" w:lineRule="auto"/>
        <w:ind w:firstLine="720"/>
        <w:contextualSpacing/>
        <w:rPr>
          <w:sz w:val="24"/>
          <w:szCs w:val="24"/>
        </w:rPr>
      </w:pPr>
      <w:r w:rsidRPr="00463933">
        <w:rPr>
          <w:sz w:val="24"/>
          <w:szCs w:val="24"/>
        </w:rPr>
        <w:t>Latvijos ir L</w:t>
      </w:r>
      <w:r w:rsidR="00A12B6B" w:rsidRPr="00463933">
        <w:rPr>
          <w:sz w:val="24"/>
          <w:szCs w:val="24"/>
        </w:rPr>
        <w:t>i</w:t>
      </w:r>
      <w:r w:rsidRPr="00463933">
        <w:rPr>
          <w:sz w:val="24"/>
          <w:szCs w:val="24"/>
        </w:rPr>
        <w:t>etuvos</w:t>
      </w:r>
      <w:r w:rsidR="000C2306" w:rsidRPr="00463933">
        <w:rPr>
          <w:sz w:val="24"/>
          <w:szCs w:val="24"/>
        </w:rPr>
        <w:t xml:space="preserve"> atvejais atsižvelgiant į aptartas ekonominės situacijos perspektyvas, bei į tai, kad net mažėjant šalių biudžeto deficitams bei augant </w:t>
      </w:r>
      <w:r w:rsidR="006211DC">
        <w:rPr>
          <w:sz w:val="24"/>
          <w:szCs w:val="24"/>
        </w:rPr>
        <w:t>BVP</w:t>
      </w:r>
      <w:r w:rsidR="000C2306" w:rsidRPr="00463933">
        <w:rPr>
          <w:sz w:val="24"/>
          <w:szCs w:val="24"/>
        </w:rPr>
        <w:t xml:space="preserve"> valstybės skola šalyse augo, artimiausius metus </w:t>
      </w:r>
      <w:r w:rsidR="00A13488">
        <w:rPr>
          <w:sz w:val="24"/>
          <w:szCs w:val="24"/>
        </w:rPr>
        <w:t xml:space="preserve">vis dėl to dar </w:t>
      </w:r>
      <w:r w:rsidR="000C2306" w:rsidRPr="00463933">
        <w:rPr>
          <w:sz w:val="24"/>
          <w:szCs w:val="24"/>
        </w:rPr>
        <w:t xml:space="preserve">nereikėtų tikėtis valstybės skolos </w:t>
      </w:r>
      <w:r w:rsidRPr="00463933">
        <w:rPr>
          <w:sz w:val="24"/>
          <w:szCs w:val="24"/>
        </w:rPr>
        <w:t xml:space="preserve">nominalia verte </w:t>
      </w:r>
      <w:r w:rsidR="000C2306" w:rsidRPr="00463933">
        <w:rPr>
          <w:sz w:val="24"/>
          <w:szCs w:val="24"/>
        </w:rPr>
        <w:t xml:space="preserve">sumažėjimo. </w:t>
      </w:r>
      <w:r w:rsidR="000B57BB">
        <w:rPr>
          <w:sz w:val="24"/>
          <w:szCs w:val="24"/>
        </w:rPr>
        <w:t>Lietuvos atveju abu prognozavimo metod</w:t>
      </w:r>
      <w:r w:rsidR="00A13488">
        <w:rPr>
          <w:sz w:val="24"/>
          <w:szCs w:val="24"/>
        </w:rPr>
        <w:t>ai rodo valstybės skolos augimą.</w:t>
      </w:r>
      <w:r w:rsidR="000B57BB">
        <w:rPr>
          <w:sz w:val="24"/>
          <w:szCs w:val="24"/>
        </w:rPr>
        <w:t xml:space="preserve"> </w:t>
      </w:r>
      <w:r w:rsidR="00A13488">
        <w:rPr>
          <w:sz w:val="24"/>
          <w:szCs w:val="24"/>
        </w:rPr>
        <w:t xml:space="preserve">Kad valstybės skola dar didės, teigia ir LR Finansų ministerija. Latvijos atveju, mažėjančios valstybės skolos aptarnavimo išlaidos yra veiksnys, kuris gali turėti įtakos valstybės skolos mažėjimui. </w:t>
      </w:r>
      <w:r w:rsidR="00132D71">
        <w:rPr>
          <w:sz w:val="24"/>
          <w:szCs w:val="24"/>
        </w:rPr>
        <w:t>Tačiau vis dėl to atsargus Latvijos ekonomikos augimo ve</w:t>
      </w:r>
      <w:r w:rsidR="00127520">
        <w:rPr>
          <w:sz w:val="24"/>
          <w:szCs w:val="24"/>
        </w:rPr>
        <w:t>r</w:t>
      </w:r>
      <w:r w:rsidR="00132D71">
        <w:rPr>
          <w:sz w:val="24"/>
          <w:szCs w:val="24"/>
        </w:rPr>
        <w:t>tinimas ir Latvijos iždo prognozuojamas valstybės skolos augimas artimiausius metus, verčia manyti</w:t>
      </w:r>
      <w:r w:rsidR="000B57BB">
        <w:rPr>
          <w:sz w:val="24"/>
          <w:szCs w:val="24"/>
        </w:rPr>
        <w:t xml:space="preserve">, jog </w:t>
      </w:r>
      <w:r w:rsidR="00132D71">
        <w:rPr>
          <w:sz w:val="24"/>
          <w:szCs w:val="24"/>
        </w:rPr>
        <w:t xml:space="preserve">Latvijos </w:t>
      </w:r>
      <w:r w:rsidR="000B57BB">
        <w:rPr>
          <w:sz w:val="24"/>
          <w:szCs w:val="24"/>
        </w:rPr>
        <w:t xml:space="preserve">valstybės skolos kitimo tendecija bus labiau </w:t>
      </w:r>
      <w:r w:rsidR="000C2306" w:rsidRPr="00463933">
        <w:rPr>
          <w:sz w:val="24"/>
          <w:szCs w:val="24"/>
        </w:rPr>
        <w:t>artima ARIMA mode</w:t>
      </w:r>
      <w:r w:rsidR="00983B1F">
        <w:rPr>
          <w:sz w:val="24"/>
          <w:szCs w:val="24"/>
        </w:rPr>
        <w:t>liu gautai prognozei, kuri rodo, jog valstybės skola</w:t>
      </w:r>
      <w:r w:rsidR="00132D71">
        <w:rPr>
          <w:sz w:val="24"/>
          <w:szCs w:val="24"/>
        </w:rPr>
        <w:t xml:space="preserve"> nominalia verte dar</w:t>
      </w:r>
      <w:r w:rsidR="00983B1F">
        <w:rPr>
          <w:sz w:val="24"/>
          <w:szCs w:val="24"/>
        </w:rPr>
        <w:t xml:space="preserve"> </w:t>
      </w:r>
      <w:r w:rsidR="00FC621F">
        <w:rPr>
          <w:sz w:val="24"/>
          <w:szCs w:val="24"/>
        </w:rPr>
        <w:t>pa</w:t>
      </w:r>
      <w:r w:rsidR="00983B1F">
        <w:rPr>
          <w:sz w:val="24"/>
          <w:szCs w:val="24"/>
        </w:rPr>
        <w:t xml:space="preserve">augs. </w:t>
      </w:r>
      <w:r w:rsidR="000B57BB">
        <w:rPr>
          <w:sz w:val="24"/>
          <w:szCs w:val="24"/>
        </w:rPr>
        <w:t xml:space="preserve">Estijos atveju abu prognozavimo metodai rodo, kad 2013 m. valstybės skola bus ženkliai mažesnė negu 2012 m., o 2014 m. paaugs. Vis dėl </w:t>
      </w:r>
      <w:r w:rsidR="00FC621F">
        <w:rPr>
          <w:sz w:val="24"/>
          <w:szCs w:val="24"/>
        </w:rPr>
        <w:t xml:space="preserve">to </w:t>
      </w:r>
      <w:r w:rsidR="00955E75">
        <w:rPr>
          <w:sz w:val="24"/>
          <w:szCs w:val="24"/>
        </w:rPr>
        <w:t>atsižvelgiant į tai</w:t>
      </w:r>
      <w:r w:rsidR="000B57BB">
        <w:rPr>
          <w:sz w:val="24"/>
          <w:szCs w:val="24"/>
        </w:rPr>
        <w:t>, kad Estija 2013-2014 m. turės įnešti likusias dalis į EFSF, kyla abejonių d</w:t>
      </w:r>
      <w:r w:rsidR="002A77A9">
        <w:rPr>
          <w:sz w:val="24"/>
          <w:szCs w:val="24"/>
        </w:rPr>
        <w:t>ėl gautų Estijos valstybės skolos</w:t>
      </w:r>
      <w:r w:rsidR="000B57BB">
        <w:rPr>
          <w:sz w:val="24"/>
          <w:szCs w:val="24"/>
        </w:rPr>
        <w:t xml:space="preserve"> su</w:t>
      </w:r>
      <w:r w:rsidR="00955E75">
        <w:rPr>
          <w:sz w:val="24"/>
          <w:szCs w:val="24"/>
        </w:rPr>
        <w:t>mažėjimo prognozių.</w:t>
      </w:r>
      <w:r w:rsidR="002D42ED">
        <w:rPr>
          <w:sz w:val="24"/>
          <w:szCs w:val="24"/>
        </w:rPr>
        <w:t xml:space="preserve"> </w:t>
      </w:r>
      <w:r w:rsidR="00955E75">
        <w:rPr>
          <w:sz w:val="24"/>
          <w:szCs w:val="24"/>
        </w:rPr>
        <w:t xml:space="preserve">Estijos atveju apskritai abiem metodais gautos prognozės yra mažiau </w:t>
      </w:r>
      <w:r w:rsidR="00955E75">
        <w:rPr>
          <w:sz w:val="24"/>
          <w:szCs w:val="24"/>
        </w:rPr>
        <w:lastRenderedPageBreak/>
        <w:t>tikslios negu Lietuvos ir Latvijos atvejais, kadangi</w:t>
      </w:r>
      <w:r w:rsidR="008215C5">
        <w:rPr>
          <w:sz w:val="24"/>
          <w:szCs w:val="24"/>
        </w:rPr>
        <w:t xml:space="preserve"> kaip parodė atlikta analizė,</w:t>
      </w:r>
      <w:r w:rsidR="00955E75">
        <w:rPr>
          <w:sz w:val="24"/>
          <w:szCs w:val="24"/>
        </w:rPr>
        <w:t xml:space="preserve"> </w:t>
      </w:r>
      <w:r w:rsidR="002D42ED">
        <w:rPr>
          <w:sz w:val="24"/>
          <w:szCs w:val="24"/>
        </w:rPr>
        <w:t>Es</w:t>
      </w:r>
      <w:r w:rsidR="00955E75">
        <w:rPr>
          <w:sz w:val="24"/>
          <w:szCs w:val="24"/>
        </w:rPr>
        <w:t>tijos valstybės skolos</w:t>
      </w:r>
      <w:r w:rsidR="002D42ED">
        <w:rPr>
          <w:sz w:val="24"/>
          <w:szCs w:val="24"/>
        </w:rPr>
        <w:t xml:space="preserve"> augimas labiau yra lemiamas </w:t>
      </w:r>
      <w:r w:rsidR="00983B1F">
        <w:rPr>
          <w:sz w:val="24"/>
          <w:szCs w:val="24"/>
        </w:rPr>
        <w:t xml:space="preserve">ne ekonominių situacijos svyravimų, o </w:t>
      </w:r>
      <w:r w:rsidR="000C781C">
        <w:rPr>
          <w:sz w:val="24"/>
          <w:szCs w:val="24"/>
        </w:rPr>
        <w:t xml:space="preserve">tik </w:t>
      </w:r>
      <w:r w:rsidR="00C23BB5">
        <w:rPr>
          <w:sz w:val="24"/>
          <w:szCs w:val="24"/>
        </w:rPr>
        <w:t xml:space="preserve">tam tikrų išskirtinių </w:t>
      </w:r>
      <w:r w:rsidR="000C781C">
        <w:rPr>
          <w:sz w:val="24"/>
          <w:szCs w:val="24"/>
        </w:rPr>
        <w:t>veiksnių</w:t>
      </w:r>
      <w:r w:rsidR="00C23BB5">
        <w:rPr>
          <w:sz w:val="24"/>
          <w:szCs w:val="24"/>
        </w:rPr>
        <w:t xml:space="preserve"> </w:t>
      </w:r>
      <w:r w:rsidR="00983B1F">
        <w:rPr>
          <w:sz w:val="24"/>
          <w:szCs w:val="24"/>
        </w:rPr>
        <w:t>(pvz. įnašas į ESFS)</w:t>
      </w:r>
      <w:r w:rsidR="00C23BB5">
        <w:rPr>
          <w:sz w:val="24"/>
          <w:szCs w:val="24"/>
        </w:rPr>
        <w:t>.</w:t>
      </w:r>
    </w:p>
    <w:p w:rsidR="00C37463" w:rsidRDefault="00C37463" w:rsidP="00955E75">
      <w:pPr>
        <w:spacing w:line="360" w:lineRule="auto"/>
        <w:ind w:firstLine="0"/>
        <w:contextualSpacing/>
        <w:rPr>
          <w:sz w:val="24"/>
          <w:szCs w:val="24"/>
        </w:rPr>
      </w:pPr>
    </w:p>
    <w:p w:rsidR="00132D71" w:rsidRDefault="00132D71" w:rsidP="00955E75">
      <w:pPr>
        <w:spacing w:line="360" w:lineRule="auto"/>
        <w:ind w:firstLine="0"/>
        <w:contextualSpacing/>
        <w:rPr>
          <w:sz w:val="24"/>
          <w:szCs w:val="24"/>
        </w:rPr>
      </w:pPr>
    </w:p>
    <w:p w:rsidR="00132D71" w:rsidRDefault="00132D71" w:rsidP="00955E75">
      <w:pPr>
        <w:spacing w:line="360" w:lineRule="auto"/>
        <w:ind w:firstLine="0"/>
        <w:contextualSpacing/>
        <w:rPr>
          <w:sz w:val="24"/>
          <w:szCs w:val="24"/>
        </w:rPr>
      </w:pPr>
    </w:p>
    <w:p w:rsidR="00132D71" w:rsidRDefault="00132D71" w:rsidP="00955E75">
      <w:pPr>
        <w:spacing w:line="360" w:lineRule="auto"/>
        <w:ind w:firstLine="0"/>
        <w:contextualSpacing/>
        <w:rPr>
          <w:sz w:val="24"/>
          <w:szCs w:val="24"/>
        </w:rPr>
      </w:pPr>
    </w:p>
    <w:p w:rsidR="00132D71" w:rsidRDefault="00132D71" w:rsidP="00955E75">
      <w:pPr>
        <w:spacing w:line="360" w:lineRule="auto"/>
        <w:ind w:firstLine="0"/>
        <w:contextualSpacing/>
        <w:rPr>
          <w:sz w:val="24"/>
          <w:szCs w:val="24"/>
        </w:rPr>
      </w:pPr>
    </w:p>
    <w:p w:rsidR="00132D71" w:rsidRDefault="00132D71" w:rsidP="00955E75">
      <w:pPr>
        <w:spacing w:line="360" w:lineRule="auto"/>
        <w:ind w:firstLine="0"/>
        <w:contextualSpacing/>
        <w:rPr>
          <w:sz w:val="24"/>
          <w:szCs w:val="24"/>
        </w:rPr>
      </w:pPr>
    </w:p>
    <w:p w:rsidR="00132D71" w:rsidRDefault="00132D71" w:rsidP="00955E75">
      <w:pPr>
        <w:spacing w:line="360" w:lineRule="auto"/>
        <w:ind w:firstLine="0"/>
        <w:contextualSpacing/>
        <w:rPr>
          <w:sz w:val="24"/>
          <w:szCs w:val="24"/>
        </w:rPr>
      </w:pPr>
    </w:p>
    <w:p w:rsidR="00132D71" w:rsidRDefault="00132D71" w:rsidP="00955E75">
      <w:pPr>
        <w:spacing w:line="360" w:lineRule="auto"/>
        <w:ind w:firstLine="0"/>
        <w:contextualSpacing/>
        <w:rPr>
          <w:sz w:val="24"/>
          <w:szCs w:val="24"/>
        </w:rPr>
      </w:pPr>
    </w:p>
    <w:p w:rsidR="00132D71" w:rsidRDefault="00132D71" w:rsidP="00955E75">
      <w:pPr>
        <w:spacing w:line="360" w:lineRule="auto"/>
        <w:ind w:firstLine="0"/>
        <w:contextualSpacing/>
        <w:rPr>
          <w:sz w:val="24"/>
          <w:szCs w:val="24"/>
        </w:rPr>
      </w:pPr>
    </w:p>
    <w:p w:rsidR="00132D71" w:rsidRDefault="00132D71" w:rsidP="00955E75">
      <w:pPr>
        <w:spacing w:line="360" w:lineRule="auto"/>
        <w:ind w:firstLine="0"/>
        <w:contextualSpacing/>
        <w:rPr>
          <w:sz w:val="24"/>
          <w:szCs w:val="24"/>
        </w:rPr>
      </w:pPr>
    </w:p>
    <w:p w:rsidR="00132D71" w:rsidRDefault="00132D71" w:rsidP="00955E75">
      <w:pPr>
        <w:spacing w:line="360" w:lineRule="auto"/>
        <w:ind w:firstLine="0"/>
        <w:contextualSpacing/>
        <w:rPr>
          <w:sz w:val="24"/>
          <w:szCs w:val="24"/>
        </w:rPr>
      </w:pPr>
    </w:p>
    <w:p w:rsidR="00132D71" w:rsidRDefault="00132D71" w:rsidP="00955E75">
      <w:pPr>
        <w:spacing w:line="360" w:lineRule="auto"/>
        <w:ind w:firstLine="0"/>
        <w:contextualSpacing/>
        <w:rPr>
          <w:sz w:val="24"/>
          <w:szCs w:val="24"/>
        </w:rPr>
      </w:pPr>
    </w:p>
    <w:p w:rsidR="00132D71" w:rsidRDefault="00132D71" w:rsidP="00955E75">
      <w:pPr>
        <w:spacing w:line="360" w:lineRule="auto"/>
        <w:ind w:firstLine="0"/>
        <w:contextualSpacing/>
        <w:rPr>
          <w:sz w:val="24"/>
          <w:szCs w:val="24"/>
        </w:rPr>
      </w:pPr>
    </w:p>
    <w:p w:rsidR="00132D71" w:rsidRDefault="00132D71" w:rsidP="00955E75">
      <w:pPr>
        <w:spacing w:line="360" w:lineRule="auto"/>
        <w:ind w:firstLine="0"/>
        <w:contextualSpacing/>
        <w:rPr>
          <w:sz w:val="24"/>
          <w:szCs w:val="24"/>
        </w:rPr>
      </w:pPr>
    </w:p>
    <w:p w:rsidR="00132D71" w:rsidRDefault="00132D71" w:rsidP="00955E75">
      <w:pPr>
        <w:spacing w:line="360" w:lineRule="auto"/>
        <w:ind w:firstLine="0"/>
        <w:contextualSpacing/>
        <w:rPr>
          <w:sz w:val="24"/>
          <w:szCs w:val="24"/>
        </w:rPr>
      </w:pPr>
    </w:p>
    <w:p w:rsidR="00132D71" w:rsidRDefault="00132D71" w:rsidP="00955E75">
      <w:pPr>
        <w:spacing w:line="360" w:lineRule="auto"/>
        <w:ind w:firstLine="0"/>
        <w:contextualSpacing/>
        <w:rPr>
          <w:sz w:val="24"/>
          <w:szCs w:val="24"/>
        </w:rPr>
      </w:pPr>
    </w:p>
    <w:p w:rsidR="00132D71" w:rsidRDefault="00132D71" w:rsidP="00955E75">
      <w:pPr>
        <w:spacing w:line="360" w:lineRule="auto"/>
        <w:ind w:firstLine="0"/>
        <w:contextualSpacing/>
        <w:rPr>
          <w:sz w:val="24"/>
          <w:szCs w:val="24"/>
        </w:rPr>
      </w:pPr>
    </w:p>
    <w:p w:rsidR="00132D71" w:rsidRDefault="00132D71" w:rsidP="00955E75">
      <w:pPr>
        <w:spacing w:line="360" w:lineRule="auto"/>
        <w:ind w:firstLine="0"/>
        <w:contextualSpacing/>
        <w:rPr>
          <w:sz w:val="24"/>
          <w:szCs w:val="24"/>
        </w:rPr>
      </w:pPr>
    </w:p>
    <w:p w:rsidR="00132D71" w:rsidRDefault="00132D71" w:rsidP="00955E75">
      <w:pPr>
        <w:spacing w:line="360" w:lineRule="auto"/>
        <w:ind w:firstLine="0"/>
        <w:contextualSpacing/>
        <w:rPr>
          <w:sz w:val="24"/>
          <w:szCs w:val="24"/>
        </w:rPr>
      </w:pPr>
    </w:p>
    <w:p w:rsidR="00132D71" w:rsidRDefault="00132D71" w:rsidP="00955E75">
      <w:pPr>
        <w:spacing w:line="360" w:lineRule="auto"/>
        <w:ind w:firstLine="0"/>
        <w:contextualSpacing/>
        <w:rPr>
          <w:sz w:val="24"/>
          <w:szCs w:val="24"/>
        </w:rPr>
      </w:pPr>
    </w:p>
    <w:p w:rsidR="00132D71" w:rsidRDefault="00132D71" w:rsidP="00955E75">
      <w:pPr>
        <w:spacing w:line="360" w:lineRule="auto"/>
        <w:ind w:firstLine="0"/>
        <w:contextualSpacing/>
        <w:rPr>
          <w:sz w:val="24"/>
          <w:szCs w:val="24"/>
        </w:rPr>
      </w:pPr>
    </w:p>
    <w:p w:rsidR="00132D71" w:rsidRDefault="00132D71" w:rsidP="00955E75">
      <w:pPr>
        <w:spacing w:line="360" w:lineRule="auto"/>
        <w:ind w:firstLine="0"/>
        <w:contextualSpacing/>
        <w:rPr>
          <w:sz w:val="24"/>
          <w:szCs w:val="24"/>
        </w:rPr>
      </w:pPr>
    </w:p>
    <w:p w:rsidR="00132D71" w:rsidRDefault="00132D71" w:rsidP="00955E75">
      <w:pPr>
        <w:spacing w:line="360" w:lineRule="auto"/>
        <w:ind w:firstLine="0"/>
        <w:contextualSpacing/>
        <w:rPr>
          <w:sz w:val="24"/>
          <w:szCs w:val="24"/>
        </w:rPr>
      </w:pPr>
    </w:p>
    <w:p w:rsidR="00132D71" w:rsidRDefault="00132D71" w:rsidP="00955E75">
      <w:pPr>
        <w:spacing w:line="360" w:lineRule="auto"/>
        <w:ind w:firstLine="0"/>
        <w:contextualSpacing/>
        <w:rPr>
          <w:sz w:val="24"/>
          <w:szCs w:val="24"/>
        </w:rPr>
      </w:pPr>
    </w:p>
    <w:p w:rsidR="00132D71" w:rsidRDefault="00132D71" w:rsidP="00955E75">
      <w:pPr>
        <w:spacing w:line="360" w:lineRule="auto"/>
        <w:ind w:firstLine="0"/>
        <w:contextualSpacing/>
        <w:rPr>
          <w:sz w:val="24"/>
          <w:szCs w:val="24"/>
        </w:rPr>
      </w:pPr>
    </w:p>
    <w:p w:rsidR="00132D71" w:rsidRDefault="00132D71" w:rsidP="00955E75">
      <w:pPr>
        <w:spacing w:line="360" w:lineRule="auto"/>
        <w:ind w:firstLine="0"/>
        <w:contextualSpacing/>
        <w:rPr>
          <w:sz w:val="24"/>
          <w:szCs w:val="24"/>
        </w:rPr>
      </w:pPr>
    </w:p>
    <w:p w:rsidR="00132D71" w:rsidRDefault="00132D71" w:rsidP="00955E75">
      <w:pPr>
        <w:spacing w:line="360" w:lineRule="auto"/>
        <w:ind w:firstLine="0"/>
        <w:contextualSpacing/>
        <w:rPr>
          <w:sz w:val="24"/>
          <w:szCs w:val="24"/>
        </w:rPr>
      </w:pPr>
    </w:p>
    <w:p w:rsidR="00132D71" w:rsidRDefault="00132D71" w:rsidP="00955E75">
      <w:pPr>
        <w:spacing w:line="360" w:lineRule="auto"/>
        <w:ind w:firstLine="0"/>
        <w:contextualSpacing/>
        <w:rPr>
          <w:sz w:val="24"/>
          <w:szCs w:val="24"/>
        </w:rPr>
      </w:pPr>
    </w:p>
    <w:p w:rsidR="00132D71" w:rsidRPr="00463933" w:rsidRDefault="00132D71" w:rsidP="00955E75">
      <w:pPr>
        <w:spacing w:line="360" w:lineRule="auto"/>
        <w:ind w:firstLine="0"/>
        <w:contextualSpacing/>
        <w:rPr>
          <w:sz w:val="24"/>
          <w:szCs w:val="24"/>
        </w:rPr>
      </w:pPr>
    </w:p>
    <w:p w:rsidR="003541B7" w:rsidRDefault="00207E1C" w:rsidP="00B12106">
      <w:pPr>
        <w:pStyle w:val="Heading1"/>
        <w:ind w:firstLine="0"/>
        <w:jc w:val="center"/>
        <w:rPr>
          <w:rFonts w:ascii="Times New Roman" w:hAnsi="Times New Roman" w:cs="Times New Roman"/>
          <w:color w:val="auto"/>
        </w:rPr>
      </w:pPr>
      <w:bookmarkStart w:id="242" w:name="_Toc373086719"/>
      <w:bookmarkStart w:id="243" w:name="_Toc373086918"/>
      <w:bookmarkStart w:id="244" w:name="_Toc373275093"/>
      <w:bookmarkStart w:id="245" w:name="_Toc373421078"/>
      <w:bookmarkStart w:id="246" w:name="_Toc373448114"/>
      <w:bookmarkStart w:id="247" w:name="_Toc374228649"/>
      <w:bookmarkStart w:id="248" w:name="_Toc374229059"/>
      <w:bookmarkStart w:id="249" w:name="_Toc374229170"/>
      <w:bookmarkStart w:id="250" w:name="_Toc374229481"/>
      <w:r>
        <w:rPr>
          <w:rFonts w:ascii="Times New Roman" w:hAnsi="Times New Roman" w:cs="Times New Roman"/>
          <w:color w:val="auto"/>
        </w:rPr>
        <w:lastRenderedPageBreak/>
        <w:t>IŠV</w:t>
      </w:r>
      <w:r w:rsidR="003541B7" w:rsidRPr="001639E7">
        <w:rPr>
          <w:rFonts w:ascii="Times New Roman" w:hAnsi="Times New Roman" w:cs="Times New Roman"/>
          <w:color w:val="auto"/>
        </w:rPr>
        <w:t>ADOS</w:t>
      </w:r>
      <w:bookmarkEnd w:id="242"/>
      <w:bookmarkEnd w:id="243"/>
      <w:bookmarkEnd w:id="244"/>
      <w:bookmarkEnd w:id="245"/>
      <w:r w:rsidR="000D6F93">
        <w:rPr>
          <w:rFonts w:ascii="Times New Roman" w:hAnsi="Times New Roman" w:cs="Times New Roman"/>
          <w:color w:val="auto"/>
        </w:rPr>
        <w:t xml:space="preserve"> IR REKOMENDACIJOS</w:t>
      </w:r>
      <w:bookmarkEnd w:id="246"/>
      <w:bookmarkEnd w:id="247"/>
      <w:bookmarkEnd w:id="248"/>
      <w:bookmarkEnd w:id="249"/>
      <w:bookmarkEnd w:id="250"/>
      <w:r w:rsidR="000D6F93">
        <w:rPr>
          <w:rFonts w:ascii="Times New Roman" w:hAnsi="Times New Roman" w:cs="Times New Roman"/>
          <w:color w:val="auto"/>
        </w:rPr>
        <w:t xml:space="preserve"> </w:t>
      </w:r>
    </w:p>
    <w:p w:rsidR="00E72606" w:rsidRPr="00E72606" w:rsidRDefault="00E72606" w:rsidP="00E72606"/>
    <w:p w:rsidR="00E72606" w:rsidRDefault="00E72606" w:rsidP="00E72606">
      <w:pPr>
        <w:pStyle w:val="ListParagraph"/>
        <w:numPr>
          <w:ilvl w:val="0"/>
          <w:numId w:val="37"/>
        </w:numPr>
        <w:spacing w:line="360" w:lineRule="auto"/>
        <w:ind w:left="720"/>
        <w:rPr>
          <w:sz w:val="24"/>
          <w:szCs w:val="24"/>
        </w:rPr>
      </w:pPr>
      <w:r w:rsidRPr="002D0CF9">
        <w:rPr>
          <w:sz w:val="24"/>
          <w:szCs w:val="24"/>
        </w:rPr>
        <w:t>Apžvelgus mokslinę literatūrą valstybės skolos tema, pastebėta, jog autoriai valstybės skolinimąsi įvardija kaip priemonę, dažniausiai naudojamą biudžeto deficitui dengti ir skoloms refinansuoti, kuri tuo pačiu yra ir atsakinga bei labai svarbi valstybės veikla, turinti įtakos šalies finansiniam stabilumui ir bendrai ekonominei situacijai. Analizuojant valstybės skolos struktūrą yra svarbu į ją pažvelgti įvairiapusiškai: pagal skolos valiutą, pagal rinką, pagal trukmę, pagal sektorių, pagal skolinimosi priemones ir pan.. Dažniausiai mokslinink</w:t>
      </w:r>
      <w:r>
        <w:rPr>
          <w:sz w:val="24"/>
          <w:szCs w:val="24"/>
        </w:rPr>
        <w:t>ai tirdami valstybės skolos ir ekonominių rodiklių ryšį,  analizuoja</w:t>
      </w:r>
      <w:r w:rsidRPr="002D0CF9">
        <w:rPr>
          <w:sz w:val="24"/>
          <w:szCs w:val="24"/>
        </w:rPr>
        <w:t xml:space="preserve"> </w:t>
      </w:r>
      <w:r>
        <w:rPr>
          <w:sz w:val="24"/>
          <w:szCs w:val="24"/>
        </w:rPr>
        <w:t>priklausomybę</w:t>
      </w:r>
      <w:r w:rsidRPr="002D0CF9">
        <w:rPr>
          <w:sz w:val="24"/>
          <w:szCs w:val="24"/>
        </w:rPr>
        <w:t xml:space="preserve"> tarp valstybės skolos, BVP augimo ir biudžeto deficito.</w:t>
      </w:r>
    </w:p>
    <w:p w:rsidR="00E72606" w:rsidRDefault="00E72606" w:rsidP="00E72606">
      <w:pPr>
        <w:pStyle w:val="ListParagraph"/>
        <w:numPr>
          <w:ilvl w:val="0"/>
          <w:numId w:val="37"/>
        </w:numPr>
        <w:spacing w:line="360" w:lineRule="auto"/>
        <w:ind w:left="720"/>
        <w:rPr>
          <w:sz w:val="24"/>
          <w:szCs w:val="24"/>
        </w:rPr>
      </w:pPr>
      <w:r w:rsidRPr="00905B0C">
        <w:rPr>
          <w:sz w:val="24"/>
          <w:szCs w:val="24"/>
        </w:rPr>
        <w:t xml:space="preserve">Atlikta Baltijos šalių makroekonominių rodiklių apžvalga  2008 – 2012 metų laikotarpiu geriausiai leidžia vertinti Estijos ekonominę situaciją. Nors 2009 m. pasaulinei finansų krizei palietus visas tris Baltijos šalis, smarkiai smuko šalių sukuriamas BVP, išaugo nedarbas, sumažėjo eksporto apimtys, tačiau vienintelė Estija net tokiu sudėtingu laikotarpiu sugebėjo mažinti biudžeto deficitą, o sekančiais metais jau turėjo perteklių. Tuo tarpu Lietuvoje ir Latvijoje </w:t>
      </w:r>
      <w:r>
        <w:rPr>
          <w:sz w:val="24"/>
          <w:szCs w:val="24"/>
        </w:rPr>
        <w:t>krizės metu smarkiai išaugę biudžeto deficitai tapo dide</w:t>
      </w:r>
      <w:r w:rsidRPr="00905B0C">
        <w:rPr>
          <w:sz w:val="24"/>
          <w:szCs w:val="24"/>
        </w:rPr>
        <w:t>le problema</w:t>
      </w:r>
      <w:r>
        <w:rPr>
          <w:sz w:val="24"/>
          <w:szCs w:val="24"/>
        </w:rPr>
        <w:t>.</w:t>
      </w:r>
    </w:p>
    <w:p w:rsidR="00E72606" w:rsidRPr="001064F3" w:rsidRDefault="00E72606" w:rsidP="00E72606">
      <w:pPr>
        <w:pStyle w:val="ListParagraph"/>
        <w:numPr>
          <w:ilvl w:val="0"/>
          <w:numId w:val="37"/>
        </w:numPr>
        <w:spacing w:line="360" w:lineRule="auto"/>
        <w:ind w:left="720"/>
        <w:rPr>
          <w:sz w:val="24"/>
          <w:szCs w:val="24"/>
        </w:rPr>
      </w:pPr>
      <w:r w:rsidRPr="001064F3">
        <w:rPr>
          <w:sz w:val="24"/>
          <w:szCs w:val="24"/>
        </w:rPr>
        <w:t xml:space="preserve">Estijoje esant geriausiai ekonominei situacijai, atitinkamai ir valstybės skola joje yra mažiausia tiek nominalia verte, tiek pagal santykį su BVP, tiek skolos dalimi tenkančia vienam gyventojui. Sėkmingas biudžeto deficito mažinimas krizės laikotarpiu leido Estijai smarkiai </w:t>
      </w:r>
      <w:r>
        <w:rPr>
          <w:sz w:val="24"/>
          <w:szCs w:val="24"/>
        </w:rPr>
        <w:t>neužsiauginti</w:t>
      </w:r>
      <w:r w:rsidR="001050CC">
        <w:rPr>
          <w:sz w:val="24"/>
          <w:szCs w:val="24"/>
        </w:rPr>
        <w:t xml:space="preserve"> valstybės skolos, t</w:t>
      </w:r>
      <w:r w:rsidRPr="001064F3">
        <w:rPr>
          <w:sz w:val="24"/>
          <w:szCs w:val="24"/>
        </w:rPr>
        <w:t>uo tarpu Lavijoje per 2008 – 2012 metų laikotarpį valstybės skola išaugo dvigubai, o Lietuvoje beveik trigubai. Vis d</w:t>
      </w:r>
      <w:r>
        <w:rPr>
          <w:sz w:val="24"/>
          <w:szCs w:val="24"/>
        </w:rPr>
        <w:t xml:space="preserve">ėl to 2009 m. </w:t>
      </w:r>
      <w:r w:rsidR="00686726">
        <w:rPr>
          <w:sz w:val="24"/>
          <w:szCs w:val="24"/>
        </w:rPr>
        <w:t xml:space="preserve">vykdant TVF reikalavimus, </w:t>
      </w:r>
      <w:r>
        <w:rPr>
          <w:sz w:val="24"/>
          <w:szCs w:val="24"/>
        </w:rPr>
        <w:t>Latvijoje pradėta</w:t>
      </w:r>
      <w:r w:rsidRPr="001064F3">
        <w:rPr>
          <w:sz w:val="24"/>
          <w:szCs w:val="24"/>
        </w:rPr>
        <w:t xml:space="preserve"> vykdyti </w:t>
      </w:r>
      <w:r>
        <w:rPr>
          <w:sz w:val="24"/>
          <w:szCs w:val="24"/>
        </w:rPr>
        <w:t>griežta biudžeto karpymo programa</w:t>
      </w:r>
      <w:r w:rsidRPr="001064F3">
        <w:rPr>
          <w:sz w:val="24"/>
          <w:szCs w:val="24"/>
        </w:rPr>
        <w:t>, mokesčių didinimas bei struktūrinės reformos padėjo Latvijai 2012 m. p</w:t>
      </w:r>
      <w:r w:rsidR="001050CC">
        <w:rPr>
          <w:sz w:val="24"/>
          <w:szCs w:val="24"/>
        </w:rPr>
        <w:t>asiekti biužeto deficito ribą (</w:t>
      </w:r>
      <w:r w:rsidRPr="001064F3">
        <w:rPr>
          <w:sz w:val="24"/>
          <w:szCs w:val="24"/>
        </w:rPr>
        <w:t>-1,2 proc. BVP), neviršijančią ES nustatytų reikalavimų. Atitinkama</w:t>
      </w:r>
      <w:r>
        <w:rPr>
          <w:sz w:val="24"/>
          <w:szCs w:val="24"/>
        </w:rPr>
        <w:t>i 2012 m. Latvijos valstybės sk</w:t>
      </w:r>
      <w:r w:rsidRPr="001064F3">
        <w:rPr>
          <w:sz w:val="24"/>
          <w:szCs w:val="24"/>
        </w:rPr>
        <w:t xml:space="preserve">olos ir BVP santykis sumažėjo, tuo tarpu Lietuvoje skolos augimo tempams </w:t>
      </w:r>
      <w:r>
        <w:rPr>
          <w:sz w:val="24"/>
          <w:szCs w:val="24"/>
        </w:rPr>
        <w:t>nuolat viršijant BVP augimą</w:t>
      </w:r>
      <w:r w:rsidRPr="001064F3">
        <w:rPr>
          <w:sz w:val="24"/>
          <w:szCs w:val="24"/>
        </w:rPr>
        <w:t xml:space="preserve">, santykinis skolos ir BVP rodiklis vis </w:t>
      </w:r>
      <w:r>
        <w:rPr>
          <w:sz w:val="24"/>
          <w:szCs w:val="24"/>
        </w:rPr>
        <w:t>didėja.</w:t>
      </w:r>
    </w:p>
    <w:p w:rsidR="00E72606" w:rsidRPr="009E6C2A" w:rsidRDefault="00E72606" w:rsidP="00E72606">
      <w:pPr>
        <w:pStyle w:val="ListParagraph"/>
        <w:numPr>
          <w:ilvl w:val="0"/>
          <w:numId w:val="37"/>
        </w:numPr>
        <w:spacing w:line="360" w:lineRule="auto"/>
        <w:ind w:left="720"/>
      </w:pPr>
      <w:r w:rsidRPr="00D17008">
        <w:rPr>
          <w:sz w:val="24"/>
          <w:szCs w:val="24"/>
        </w:rPr>
        <w:t>Atlikta Baltijos šalių valstybės skolos struktūrinė analizė parodė, jog šalių valstybės skolos portfelio formavimo principai</w:t>
      </w:r>
      <w:r>
        <w:rPr>
          <w:sz w:val="24"/>
          <w:szCs w:val="24"/>
        </w:rPr>
        <w:t xml:space="preserve"> skiriasi</w:t>
      </w:r>
      <w:r w:rsidRPr="00D17008">
        <w:rPr>
          <w:sz w:val="24"/>
          <w:szCs w:val="24"/>
        </w:rPr>
        <w:t xml:space="preserve">. Lietuva iššsiskiria palyginus didele socialinių apsaugos fondų skolos dalimi bendroje </w:t>
      </w:r>
      <w:r>
        <w:rPr>
          <w:sz w:val="24"/>
          <w:szCs w:val="24"/>
        </w:rPr>
        <w:t xml:space="preserve">valstybės </w:t>
      </w:r>
      <w:r w:rsidRPr="00D17008">
        <w:rPr>
          <w:sz w:val="24"/>
          <w:szCs w:val="24"/>
        </w:rPr>
        <w:t>skolos struktūroje</w:t>
      </w:r>
      <w:r>
        <w:rPr>
          <w:sz w:val="24"/>
          <w:szCs w:val="24"/>
        </w:rPr>
        <w:t xml:space="preserve"> (2012 m. j</w:t>
      </w:r>
      <w:r w:rsidRPr="00D17008">
        <w:rPr>
          <w:sz w:val="24"/>
          <w:szCs w:val="24"/>
        </w:rPr>
        <w:t xml:space="preserve">i sudarė 17,8 proc. visos skolos), Estija – </w:t>
      </w:r>
      <w:r>
        <w:rPr>
          <w:sz w:val="24"/>
          <w:szCs w:val="24"/>
        </w:rPr>
        <w:t xml:space="preserve">didele </w:t>
      </w:r>
      <w:r w:rsidRPr="00D17008">
        <w:rPr>
          <w:sz w:val="24"/>
          <w:szCs w:val="24"/>
        </w:rPr>
        <w:t>vietinės valdžios</w:t>
      </w:r>
      <w:r>
        <w:rPr>
          <w:sz w:val="24"/>
          <w:szCs w:val="24"/>
        </w:rPr>
        <w:t xml:space="preserve"> skolos dalimi</w:t>
      </w:r>
      <w:r w:rsidRPr="00D17008">
        <w:rPr>
          <w:sz w:val="24"/>
          <w:szCs w:val="24"/>
        </w:rPr>
        <w:t xml:space="preserve"> (2008 –</w:t>
      </w:r>
      <w:r>
        <w:rPr>
          <w:sz w:val="24"/>
          <w:szCs w:val="24"/>
        </w:rPr>
        <w:t xml:space="preserve"> 2012 </w:t>
      </w:r>
      <w:r w:rsidRPr="00D17008">
        <w:rPr>
          <w:sz w:val="24"/>
          <w:szCs w:val="24"/>
        </w:rPr>
        <w:t xml:space="preserve">metų laikotarpiu ji vidutiniškai sudarė apie 50 proc. visos skolos). </w:t>
      </w:r>
      <w:r>
        <w:rPr>
          <w:sz w:val="24"/>
          <w:szCs w:val="24"/>
        </w:rPr>
        <w:t>Lietuva daugiausiai skolinasi leisdama vertybinius popierius (vidutiniškai 83 proc. visos skolos), kai tuo tarpu Latvija ir Estija analizuotu laikotarpiu daugiau skolinosi imdamos paskolas.</w:t>
      </w:r>
      <w:r w:rsidR="001050CC">
        <w:rPr>
          <w:sz w:val="24"/>
          <w:szCs w:val="24"/>
        </w:rPr>
        <w:t xml:space="preserve"> </w:t>
      </w:r>
      <w:r>
        <w:rPr>
          <w:sz w:val="24"/>
          <w:szCs w:val="24"/>
        </w:rPr>
        <w:t>Lietuvos ir Latvijos valstybės skolos portfeliuose didžiąją dal</w:t>
      </w:r>
      <w:r w:rsidR="001050CC">
        <w:rPr>
          <w:sz w:val="24"/>
          <w:szCs w:val="24"/>
        </w:rPr>
        <w:t>į sudaro užsienio skola, kai tuo tarpu Estija daugiau skolinasi vidaus rinkoje.</w:t>
      </w:r>
      <w:r>
        <w:rPr>
          <w:sz w:val="24"/>
          <w:szCs w:val="24"/>
        </w:rPr>
        <w:t xml:space="preserve"> Visų trijų šalių </w:t>
      </w:r>
      <w:r>
        <w:rPr>
          <w:sz w:val="24"/>
          <w:szCs w:val="24"/>
        </w:rPr>
        <w:lastRenderedPageBreak/>
        <w:t>valstybės skolos struktūra yra panaši tik pagal skolos trukmę, kadangi daugiausiai visose šalyse skolinamasi ilgam laikotarpiui.</w:t>
      </w:r>
    </w:p>
    <w:p w:rsidR="00E72606" w:rsidRPr="00AF145A" w:rsidRDefault="00E72606" w:rsidP="00EE0E23">
      <w:pPr>
        <w:pStyle w:val="ListParagraph"/>
        <w:numPr>
          <w:ilvl w:val="0"/>
          <w:numId w:val="37"/>
        </w:numPr>
        <w:spacing w:line="360" w:lineRule="auto"/>
        <w:ind w:left="720"/>
        <w:rPr>
          <w:sz w:val="24"/>
          <w:szCs w:val="24"/>
        </w:rPr>
      </w:pPr>
      <w:r w:rsidRPr="00AF145A">
        <w:rPr>
          <w:sz w:val="24"/>
          <w:szCs w:val="24"/>
        </w:rPr>
        <w:t>Atliktas Baltijos šalių valstybės skolos vertinimas pagal santykinius skolos rodiklius, atskleidė pagrindinę Lietuvos valstybės skolos problemą – didžiulę skolos naštą. Lietuvos už valstybės skolinimąsi mokama palūkanų suma lyginant su kitomis Balijos šalimis yra didžiausia ne tik nominalia verte, bet ir pagal santykį su pačiu skolos dydžiu, su BVP bei su valstybės pajamomis. Kasmet augančios valstybės skolos valdymo išlaidos, 2012 m. sudarė 1,8 proc. šalies BVP arba 5,6 proc. visų valstybės pajamų. Blogiausia, kad kasmet šie rodikliai vis didėja. Santykiniai užsienio skolos padengimo lygį parodantys rodikliai visu analizuotu laikotarpiu buvo</w:t>
      </w:r>
      <w:r w:rsidR="006E698A" w:rsidRPr="00AF145A">
        <w:rPr>
          <w:sz w:val="24"/>
          <w:szCs w:val="24"/>
        </w:rPr>
        <w:t xml:space="preserve"> prasčiausi  Latvijoje</w:t>
      </w:r>
      <w:r w:rsidRPr="00AF145A">
        <w:rPr>
          <w:sz w:val="24"/>
          <w:szCs w:val="24"/>
        </w:rPr>
        <w:t xml:space="preserve">, tačiau pastebima jų gerėjimo tendencija. </w:t>
      </w:r>
    </w:p>
    <w:p w:rsidR="00EE0E23" w:rsidRDefault="00E72606" w:rsidP="00EE0E23">
      <w:pPr>
        <w:pStyle w:val="ListParagraph"/>
        <w:numPr>
          <w:ilvl w:val="0"/>
          <w:numId w:val="37"/>
        </w:numPr>
        <w:spacing w:line="360" w:lineRule="auto"/>
        <w:ind w:left="720"/>
        <w:rPr>
          <w:sz w:val="24"/>
          <w:szCs w:val="24"/>
        </w:rPr>
      </w:pPr>
      <w:r w:rsidRPr="00AF145A">
        <w:rPr>
          <w:sz w:val="24"/>
          <w:szCs w:val="24"/>
        </w:rPr>
        <w:t>Baltijos šalių patirtis tiek pakilimo, tiek nuosmukio laikotarpiais patvirtina mintį, jog viena iš pagrindinių valstybės skolos valdymo priemonių yra protingas ir pagrįstas fiskalinės politikos vykdymas. Ekonomikos pakilimo metu konservatyvi Estijos biudžeto politika, o krizės metu itin griežtas taupymo rėžimas yra pagrindinė priežastis, kodėl Estija yra mažiausią skolą visoje ES turinti valstybė. Tuo tarpu Lietuvos ir Latvijos pastovus gyvenimas ne pagal pajamas bei skolinimosi rizikos nevertinimas, krizės metu šalių situacijas smarkiai apsunkino.</w:t>
      </w:r>
    </w:p>
    <w:p w:rsidR="006E698A" w:rsidRDefault="006E698A" w:rsidP="00EE0E23">
      <w:pPr>
        <w:pStyle w:val="ListParagraph"/>
        <w:numPr>
          <w:ilvl w:val="0"/>
          <w:numId w:val="37"/>
        </w:numPr>
        <w:spacing w:line="360" w:lineRule="auto"/>
        <w:ind w:left="720"/>
        <w:rPr>
          <w:sz w:val="24"/>
          <w:szCs w:val="24"/>
        </w:rPr>
      </w:pPr>
      <w:r>
        <w:rPr>
          <w:sz w:val="24"/>
          <w:szCs w:val="24"/>
        </w:rPr>
        <w:t>Paminėti faktai apie Baltijos šalių valstybės skolos struktūrą bei požiūrį į skolos valdymą leidžia patvirtinti darbo pradžioje keltą hipotezę, jog mažesnę Estijos valstybės skolą lemia geriau formuojama valstybės skolos portfelio struktūra bei griežtesnės valstybės skolos valdymo priemonės.</w:t>
      </w:r>
    </w:p>
    <w:p w:rsidR="00EE0E23" w:rsidRDefault="00EE0E23" w:rsidP="00EE0E23">
      <w:pPr>
        <w:pStyle w:val="ListParagraph"/>
        <w:numPr>
          <w:ilvl w:val="0"/>
          <w:numId w:val="37"/>
        </w:numPr>
        <w:spacing w:line="360" w:lineRule="auto"/>
        <w:ind w:left="720"/>
        <w:rPr>
          <w:sz w:val="24"/>
          <w:szCs w:val="24"/>
        </w:rPr>
      </w:pPr>
      <w:r w:rsidRPr="00EE0E23">
        <w:rPr>
          <w:sz w:val="24"/>
          <w:szCs w:val="24"/>
        </w:rPr>
        <w:t>Apskaičiavus koreliacijos koeficientus tarp Baltijos šalių valstybės skolos ir BVP, biudžeto deficito</w:t>
      </w:r>
      <w:r w:rsidR="006E698A">
        <w:rPr>
          <w:sz w:val="24"/>
          <w:szCs w:val="24"/>
        </w:rPr>
        <w:t>/pertekliaus</w:t>
      </w:r>
      <w:r w:rsidRPr="00EE0E23">
        <w:rPr>
          <w:sz w:val="24"/>
          <w:szCs w:val="24"/>
        </w:rPr>
        <w:t xml:space="preserve">, einamosios sąskaitos balanso bei valstybės skolos valdymo išlaidų, paaiškėjo, jog Lietuvos ir Latvijos atvejais labai stiprus teigiamas tiesinis ryšys sieja valstybės skolą ir valstybės skolos valdymo išlaidas ( koreliacijos koeficientai 0,97 ir 0,98), valstybės skolą ir BVP sieja vidutinio stiprumo tiesinis ryšys (koreliacijos koeficientai 0,75 ir 0,73), stiprus/vidutinis neigiamas ryšys sieja valstybės skolą bei biudžeto deficitą (koreliacijos koeficientai atitinkamai -0,72 ir -0,67), o ryšys tarp valstybės skolos ir einamosios sąskaitos deficito/pertekliaus yra </w:t>
      </w:r>
      <w:r w:rsidR="009C2DAE">
        <w:rPr>
          <w:sz w:val="24"/>
          <w:szCs w:val="24"/>
        </w:rPr>
        <w:t>nereikšminis.</w:t>
      </w:r>
      <w:r w:rsidRPr="00EE0E23">
        <w:rPr>
          <w:sz w:val="24"/>
          <w:szCs w:val="24"/>
        </w:rPr>
        <w:t xml:space="preserve"> Estijoje stipriausias teigiamas tiesinis ryšys sieja valstybės skolą ir BVP (0,82), valstybės skolą ir einamosios sąskaitos deficitą/perteklių bei valstybės skolą ir valstybės skolos valdymo išlaidas sieja vidutinio stiprumo ryšys ( koreliacijos koeficientai atitinkamai 0,66 ir 0,68), tuo  tarpu ryšys tarp valstybės skolos bei biudžeto deficito</w:t>
      </w:r>
      <w:r w:rsidR="009C2DAE">
        <w:rPr>
          <w:sz w:val="24"/>
          <w:szCs w:val="24"/>
        </w:rPr>
        <w:t>/pertekliaus</w:t>
      </w:r>
      <w:r w:rsidRPr="00EE0E23">
        <w:rPr>
          <w:sz w:val="24"/>
          <w:szCs w:val="24"/>
        </w:rPr>
        <w:t xml:space="preserve"> pasirodė esąs silpnas (-0,20).</w:t>
      </w:r>
    </w:p>
    <w:p w:rsidR="00EE0E23" w:rsidRPr="00EE0E23" w:rsidRDefault="00EE0E23" w:rsidP="00EE0E23">
      <w:pPr>
        <w:pStyle w:val="ListParagraph"/>
        <w:numPr>
          <w:ilvl w:val="0"/>
          <w:numId w:val="37"/>
        </w:numPr>
        <w:spacing w:line="360" w:lineRule="auto"/>
        <w:ind w:left="720"/>
        <w:rPr>
          <w:sz w:val="24"/>
          <w:szCs w:val="24"/>
        </w:rPr>
      </w:pPr>
      <w:r w:rsidRPr="00EE0E23">
        <w:rPr>
          <w:sz w:val="24"/>
          <w:szCs w:val="24"/>
        </w:rPr>
        <w:t xml:space="preserve">Pritaikius daugialypės tiesinės regresijos modelį, kuriame įvertinama BVP ir valstybės skolos </w:t>
      </w:r>
      <w:r w:rsidRPr="00EE0E23">
        <w:rPr>
          <w:sz w:val="24"/>
          <w:szCs w:val="24"/>
        </w:rPr>
        <w:lastRenderedPageBreak/>
        <w:t>valdymo išlaidų įtaka valstybės skolos pokyčiams, gauta prognozė rodo, kad 2013 m. Lietuvos valstybės skola lyginant su 2012 m. turėtų būti didesnė 10,5 proc., o 2014 m. padidėti tik 1,6 proc., tuo tarpu Latvijoje 2013 m. valstybės skola turėtų sumažėti sumažėti 6,6 proc., o 201</w:t>
      </w:r>
      <w:r w:rsidR="00EB4259">
        <w:rPr>
          <w:sz w:val="24"/>
          <w:szCs w:val="24"/>
        </w:rPr>
        <w:t xml:space="preserve">4 m. padidėti 4,8 proc.. </w:t>
      </w:r>
      <w:r w:rsidRPr="00EE0E23">
        <w:rPr>
          <w:sz w:val="24"/>
          <w:szCs w:val="24"/>
        </w:rPr>
        <w:t>Daugialypės tiesinės regresijos modeliu, kuriame įvertinama BVP ir einamosios sąskaitos pertekliaus/deficito įtaka valstybės skolos pokyčiams, atlikta Estijos valstybės skolos prognozė rodo, jog 2013 m. Estijos valstybės skola turėtų net 29,7 proc. sumažėti, o 2014 m. padidėti 7 proc..</w:t>
      </w:r>
    </w:p>
    <w:p w:rsidR="00EE0E23" w:rsidRDefault="00EE0E23" w:rsidP="003C13F3">
      <w:pPr>
        <w:pStyle w:val="ListParagraph"/>
        <w:numPr>
          <w:ilvl w:val="0"/>
          <w:numId w:val="37"/>
        </w:numPr>
        <w:spacing w:line="360" w:lineRule="auto"/>
        <w:ind w:left="720"/>
        <w:rPr>
          <w:sz w:val="24"/>
          <w:szCs w:val="24"/>
        </w:rPr>
      </w:pPr>
      <w:r>
        <w:rPr>
          <w:sz w:val="24"/>
          <w:szCs w:val="24"/>
        </w:rPr>
        <w:t xml:space="preserve">ARIMA metodu gauta Estijos </w:t>
      </w:r>
      <w:r w:rsidR="00112E91">
        <w:rPr>
          <w:sz w:val="24"/>
          <w:szCs w:val="24"/>
        </w:rPr>
        <w:t xml:space="preserve">ir Lietuvos </w:t>
      </w:r>
      <w:r w:rsidR="003C13F3">
        <w:rPr>
          <w:sz w:val="24"/>
          <w:szCs w:val="24"/>
        </w:rPr>
        <w:t xml:space="preserve">valstybės skolos kitimo perspektyva </w:t>
      </w:r>
      <w:r>
        <w:rPr>
          <w:sz w:val="24"/>
          <w:szCs w:val="24"/>
        </w:rPr>
        <w:t xml:space="preserve">yra panaši kaip ir </w:t>
      </w:r>
      <w:r w:rsidR="009C2DAE">
        <w:rPr>
          <w:sz w:val="24"/>
          <w:szCs w:val="24"/>
        </w:rPr>
        <w:t>DTR modeliu</w:t>
      </w:r>
      <w:r w:rsidR="003C13F3">
        <w:rPr>
          <w:sz w:val="24"/>
          <w:szCs w:val="24"/>
        </w:rPr>
        <w:t xml:space="preserve"> gauta prognozė, </w:t>
      </w:r>
      <w:r>
        <w:rPr>
          <w:sz w:val="24"/>
          <w:szCs w:val="24"/>
        </w:rPr>
        <w:t>tik šiek tiek skiriasi kitimo tempai. ARIMA metodu gauta prognozė rodo, jog 2013 m. Estijos valstybės skola turėtų sumažėti 15,9 pr</w:t>
      </w:r>
      <w:r w:rsidR="003C13F3">
        <w:rPr>
          <w:sz w:val="24"/>
          <w:szCs w:val="24"/>
        </w:rPr>
        <w:t>oc., 2014 padidėti 13,9 proc., o Lietuvos valstybės skola 2013 m. išaugti 14,9 proc., o 2014 m. padidėti dar 10 proc..</w:t>
      </w:r>
      <w:r w:rsidRPr="003C13F3">
        <w:rPr>
          <w:sz w:val="24"/>
          <w:szCs w:val="24"/>
        </w:rPr>
        <w:t xml:space="preserve"> Latvijos valstybės skolos kitimo tendecija skiriasi nuo </w:t>
      </w:r>
      <w:r w:rsidR="003C13F3">
        <w:rPr>
          <w:sz w:val="24"/>
          <w:szCs w:val="24"/>
        </w:rPr>
        <w:t>DTR</w:t>
      </w:r>
      <w:r w:rsidRPr="003C13F3">
        <w:rPr>
          <w:sz w:val="24"/>
          <w:szCs w:val="24"/>
        </w:rPr>
        <w:t xml:space="preserve"> modeliu gautos prognozės. Šiuo atveju 2013 m. prognozuojamas Latvijos valstybės skolos augimas: 2013 m. </w:t>
      </w:r>
      <w:r w:rsidR="003C13F3">
        <w:rPr>
          <w:sz w:val="24"/>
          <w:szCs w:val="24"/>
        </w:rPr>
        <w:t xml:space="preserve">Latvijos valstybės skola turėtų </w:t>
      </w:r>
      <w:r w:rsidRPr="003C13F3">
        <w:rPr>
          <w:sz w:val="24"/>
          <w:szCs w:val="24"/>
        </w:rPr>
        <w:t xml:space="preserve"> padidėti 15,7 proc.</w:t>
      </w:r>
      <w:r w:rsidR="003C13F3">
        <w:rPr>
          <w:sz w:val="24"/>
          <w:szCs w:val="24"/>
        </w:rPr>
        <w:t>, o 2014 m. išaugti dar</w:t>
      </w:r>
      <w:r w:rsidRPr="003C13F3">
        <w:rPr>
          <w:sz w:val="24"/>
          <w:szCs w:val="24"/>
        </w:rPr>
        <w:t xml:space="preserve"> 10,5 proc..</w:t>
      </w:r>
    </w:p>
    <w:p w:rsidR="00587BC1" w:rsidRDefault="003C13F3" w:rsidP="003C13F3">
      <w:pPr>
        <w:pStyle w:val="ListParagraph"/>
        <w:numPr>
          <w:ilvl w:val="0"/>
          <w:numId w:val="37"/>
        </w:numPr>
        <w:spacing w:line="360" w:lineRule="auto"/>
        <w:ind w:left="720"/>
        <w:rPr>
          <w:sz w:val="24"/>
          <w:szCs w:val="24"/>
        </w:rPr>
      </w:pPr>
      <w:r w:rsidRPr="00587BC1">
        <w:rPr>
          <w:sz w:val="24"/>
          <w:szCs w:val="24"/>
        </w:rPr>
        <w:t xml:space="preserve">Atsižvelgiant į atsargias analitikų bei Finansų ministerijų pateikiamas Lietuvos ir Latvijos ekonomikos augimo prognozes, bei į tai, kad net augant šalių BVP ir mažėjant deficitui, valstybės skola šalyse vistiek didėjo, </w:t>
      </w:r>
      <w:r w:rsidR="00EE0E23" w:rsidRPr="00587BC1">
        <w:rPr>
          <w:sz w:val="24"/>
          <w:szCs w:val="24"/>
        </w:rPr>
        <w:t xml:space="preserve">artimiausius metus </w:t>
      </w:r>
      <w:r w:rsidR="000C781C" w:rsidRPr="00587BC1">
        <w:rPr>
          <w:sz w:val="24"/>
          <w:szCs w:val="24"/>
        </w:rPr>
        <w:t xml:space="preserve">dar </w:t>
      </w:r>
      <w:r w:rsidR="00EE0E23" w:rsidRPr="00587BC1">
        <w:rPr>
          <w:sz w:val="24"/>
          <w:szCs w:val="24"/>
        </w:rPr>
        <w:t xml:space="preserve">nereikėtų tikėtis valstybės skolos nominalia verte sumažėjimo. </w:t>
      </w:r>
      <w:r w:rsidR="000C781C" w:rsidRPr="00587BC1">
        <w:rPr>
          <w:sz w:val="24"/>
          <w:szCs w:val="24"/>
        </w:rPr>
        <w:t xml:space="preserve">Lietuvos valstybės skolos augimą rodo abu prognozavimo metodai, o Latvijos atveju labiau tikėtina ARIMA metodu gauta valstybės skolos </w:t>
      </w:r>
      <w:r w:rsidR="00587BC1" w:rsidRPr="00587BC1">
        <w:rPr>
          <w:sz w:val="24"/>
          <w:szCs w:val="24"/>
        </w:rPr>
        <w:t>augimo</w:t>
      </w:r>
      <w:r w:rsidR="000C781C" w:rsidRPr="00587BC1">
        <w:rPr>
          <w:sz w:val="24"/>
          <w:szCs w:val="24"/>
        </w:rPr>
        <w:t xml:space="preserve"> tendencija. Estijos atveju abiem prognozavimo metodais gauta valstybės </w:t>
      </w:r>
      <w:r w:rsidR="00587BC1" w:rsidRPr="00587BC1">
        <w:rPr>
          <w:sz w:val="24"/>
          <w:szCs w:val="24"/>
        </w:rPr>
        <w:t>skolos mažėjimo tendencija kelia abejonių, kadangi žinoma, jog 2013 – 2014  m. Estija dar turės įnešti dalį įnašo į EFSF, o tam, Estijos finansų ministerijos teigimu, reikės skolintis.</w:t>
      </w:r>
      <w:r w:rsidR="00587BC1">
        <w:rPr>
          <w:sz w:val="24"/>
          <w:szCs w:val="24"/>
        </w:rPr>
        <w:t xml:space="preserve"> Atlikta analizė parodė, jog Estijos valstybės skolos augimui didesnę įtaką turi </w:t>
      </w:r>
      <w:r w:rsidR="00111FC4">
        <w:rPr>
          <w:sz w:val="24"/>
          <w:szCs w:val="24"/>
        </w:rPr>
        <w:t>kitokie</w:t>
      </w:r>
      <w:r w:rsidR="00587BC1">
        <w:rPr>
          <w:sz w:val="24"/>
          <w:szCs w:val="24"/>
        </w:rPr>
        <w:t xml:space="preserve"> veiksniai</w:t>
      </w:r>
      <w:r w:rsidR="00111FC4">
        <w:rPr>
          <w:sz w:val="24"/>
          <w:szCs w:val="24"/>
        </w:rPr>
        <w:t xml:space="preserve"> negu</w:t>
      </w:r>
      <w:r w:rsidR="00587BC1">
        <w:rPr>
          <w:sz w:val="24"/>
          <w:szCs w:val="24"/>
        </w:rPr>
        <w:t xml:space="preserve"> ekonominės sit</w:t>
      </w:r>
      <w:r w:rsidR="00111FC4">
        <w:rPr>
          <w:sz w:val="24"/>
          <w:szCs w:val="24"/>
        </w:rPr>
        <w:t>ua</w:t>
      </w:r>
      <w:r w:rsidR="00587BC1">
        <w:rPr>
          <w:sz w:val="24"/>
          <w:szCs w:val="24"/>
        </w:rPr>
        <w:t>cijos svyravimai, todėl prognozuoti valstybės skolą remiantis praeities duomenimis</w:t>
      </w:r>
      <w:r w:rsidR="002A77A9">
        <w:rPr>
          <w:sz w:val="24"/>
          <w:szCs w:val="24"/>
        </w:rPr>
        <w:t xml:space="preserve"> ar ekonominiais veiksniais</w:t>
      </w:r>
      <w:r w:rsidR="00587BC1">
        <w:rPr>
          <w:sz w:val="24"/>
          <w:szCs w:val="24"/>
        </w:rPr>
        <w:t xml:space="preserve"> yra sunkiau.</w:t>
      </w:r>
    </w:p>
    <w:p w:rsidR="000C781C" w:rsidRPr="000C781C" w:rsidRDefault="000C781C" w:rsidP="000C781C">
      <w:pPr>
        <w:pStyle w:val="ListParagraph"/>
        <w:spacing w:line="360" w:lineRule="auto"/>
        <w:ind w:firstLine="0"/>
        <w:rPr>
          <w:sz w:val="24"/>
          <w:szCs w:val="24"/>
        </w:rPr>
      </w:pPr>
    </w:p>
    <w:p w:rsidR="00E72606" w:rsidRDefault="000D6F93" w:rsidP="00E72606">
      <w:pPr>
        <w:spacing w:line="360" w:lineRule="auto"/>
        <w:ind w:left="360" w:firstLine="0"/>
        <w:rPr>
          <w:sz w:val="24"/>
          <w:szCs w:val="24"/>
        </w:rPr>
      </w:pPr>
      <w:r>
        <w:rPr>
          <w:sz w:val="24"/>
          <w:szCs w:val="24"/>
        </w:rPr>
        <w:t>Rekomendacijos valstybės skolos augimo mažinimui ir efektyvesniam skolos valdymui:</w:t>
      </w:r>
    </w:p>
    <w:p w:rsidR="00111FC4" w:rsidRDefault="00111FC4" w:rsidP="00111FC4">
      <w:pPr>
        <w:pStyle w:val="ListParagraph"/>
        <w:widowControl/>
        <w:numPr>
          <w:ilvl w:val="0"/>
          <w:numId w:val="38"/>
        </w:numPr>
        <w:autoSpaceDE w:val="0"/>
        <w:autoSpaceDN w:val="0"/>
        <w:adjustRightInd w:val="0"/>
        <w:spacing w:line="360" w:lineRule="auto"/>
        <w:rPr>
          <w:rFonts w:eastAsiaTheme="minorHAnsi"/>
          <w:sz w:val="24"/>
          <w:szCs w:val="24"/>
          <w:lang w:val="en-US"/>
        </w:rPr>
      </w:pPr>
      <w:r>
        <w:rPr>
          <w:rFonts w:eastAsiaTheme="minorHAnsi"/>
          <w:sz w:val="24"/>
          <w:szCs w:val="24"/>
          <w:lang w:val="en-US"/>
        </w:rPr>
        <w:t>Pagrindinė šalių viešųjų finansų valdymo siekiamybė turėtų būti valstybės biudžeto konsolidavimas, kadangi tai yra pagrindinė priemonė valstybės skolos mažinimui.</w:t>
      </w:r>
    </w:p>
    <w:p w:rsidR="00210179" w:rsidRPr="00E25143" w:rsidRDefault="00210179" w:rsidP="00E25143">
      <w:pPr>
        <w:pStyle w:val="ListParagraph"/>
        <w:widowControl/>
        <w:numPr>
          <w:ilvl w:val="0"/>
          <w:numId w:val="38"/>
        </w:numPr>
        <w:autoSpaceDE w:val="0"/>
        <w:autoSpaceDN w:val="0"/>
        <w:adjustRightInd w:val="0"/>
        <w:spacing w:line="360" w:lineRule="auto"/>
        <w:rPr>
          <w:rFonts w:eastAsiaTheme="minorHAnsi"/>
          <w:sz w:val="24"/>
          <w:szCs w:val="24"/>
          <w:lang w:val="en-US"/>
        </w:rPr>
      </w:pPr>
      <w:r w:rsidRPr="00E25143">
        <w:rPr>
          <w:rFonts w:eastAsiaTheme="minorHAnsi"/>
          <w:sz w:val="24"/>
          <w:szCs w:val="24"/>
          <w:lang w:val="en-US"/>
        </w:rPr>
        <w:t>Valstybės turėtų reguliariai atlikti skolos struktūros testus (angl. “stress test”). Šitokie testai atliekami siekiant įvertinti valstybės skolos portfelio riziką esant nepalankiausioms sąlygoms dėl ekonominių ir finansinių sukrėtimų.</w:t>
      </w:r>
    </w:p>
    <w:p w:rsidR="00210179" w:rsidRDefault="00323CB2" w:rsidP="00BD5E6C">
      <w:pPr>
        <w:pStyle w:val="ListParagraph"/>
        <w:widowControl/>
        <w:numPr>
          <w:ilvl w:val="0"/>
          <w:numId w:val="38"/>
        </w:numPr>
        <w:autoSpaceDE w:val="0"/>
        <w:autoSpaceDN w:val="0"/>
        <w:adjustRightInd w:val="0"/>
        <w:spacing w:line="360" w:lineRule="auto"/>
        <w:rPr>
          <w:rFonts w:eastAsiaTheme="minorHAnsi"/>
          <w:sz w:val="24"/>
          <w:szCs w:val="24"/>
          <w:lang w:val="en-US"/>
        </w:rPr>
      </w:pPr>
      <w:r>
        <w:rPr>
          <w:rFonts w:eastAsiaTheme="minorHAnsi"/>
          <w:sz w:val="24"/>
          <w:szCs w:val="24"/>
          <w:lang w:val="en-US"/>
        </w:rPr>
        <w:lastRenderedPageBreak/>
        <w:t>Efektyviau vystyti vidaus VVP rinkas, tam kad padidinti vidaus skolos dalį bendroje skolos struktūroje ( Lietuvos ir Latvijos atvejais)</w:t>
      </w:r>
    </w:p>
    <w:p w:rsidR="00323CB2" w:rsidRDefault="00323CB2" w:rsidP="00323CB2">
      <w:pPr>
        <w:pStyle w:val="ListParagraph"/>
        <w:widowControl/>
        <w:numPr>
          <w:ilvl w:val="0"/>
          <w:numId w:val="38"/>
        </w:numPr>
        <w:autoSpaceDE w:val="0"/>
        <w:autoSpaceDN w:val="0"/>
        <w:adjustRightInd w:val="0"/>
        <w:spacing w:line="360" w:lineRule="auto"/>
        <w:rPr>
          <w:rFonts w:eastAsiaTheme="minorHAnsi"/>
          <w:sz w:val="24"/>
          <w:szCs w:val="24"/>
          <w:lang w:val="en-US"/>
        </w:rPr>
      </w:pPr>
      <w:r>
        <w:rPr>
          <w:rFonts w:eastAsiaTheme="minorHAnsi"/>
          <w:sz w:val="24"/>
          <w:szCs w:val="24"/>
          <w:lang w:val="en-US"/>
        </w:rPr>
        <w:t>Mažinti skolą valiutomis, kurių kursas nėra fiksuotas su vietos valiuta, tokiu būdu mažinant valiutų kursų svyravimų riziką (Lietuvos ir Latvijos atvejais).</w:t>
      </w:r>
    </w:p>
    <w:p w:rsidR="00A2248B" w:rsidRDefault="002B28B5" w:rsidP="00C37463">
      <w:pPr>
        <w:pStyle w:val="ListParagraph"/>
        <w:widowControl/>
        <w:numPr>
          <w:ilvl w:val="0"/>
          <w:numId w:val="38"/>
        </w:numPr>
        <w:autoSpaceDE w:val="0"/>
        <w:autoSpaceDN w:val="0"/>
        <w:adjustRightInd w:val="0"/>
        <w:spacing w:line="360" w:lineRule="auto"/>
        <w:rPr>
          <w:rFonts w:eastAsiaTheme="minorHAnsi"/>
          <w:sz w:val="24"/>
          <w:szCs w:val="24"/>
          <w:lang w:val="en-US"/>
        </w:rPr>
      </w:pPr>
      <w:r>
        <w:rPr>
          <w:rFonts w:eastAsiaTheme="minorHAnsi"/>
          <w:sz w:val="24"/>
          <w:szCs w:val="24"/>
          <w:lang w:val="en-US"/>
        </w:rPr>
        <w:t xml:space="preserve">Lietuvoje vis didėjant </w:t>
      </w:r>
      <w:r w:rsidR="00D7032C">
        <w:rPr>
          <w:rFonts w:eastAsiaTheme="minorHAnsi"/>
          <w:sz w:val="24"/>
          <w:szCs w:val="24"/>
          <w:lang w:val="en-US"/>
        </w:rPr>
        <w:t>valstybinio socialinio draudimo fondų skolos daliai bendroje valstybės skolos struktūroje, reikalingos efektyvios priemonės “Sodros” deficito mažinimui. Kadangi pajamos į šį fondą yra surenkamos iš mokesčių nuo darbo užmokesčio, turbūt pagrindinė priemonė būtų darbo vietų kūrimas, nes daugėjant dirbančiųjų skaičiui, mokesčių bus surenkama daugiau, atiti</w:t>
      </w:r>
      <w:r w:rsidR="00C37463">
        <w:rPr>
          <w:rFonts w:eastAsiaTheme="minorHAnsi"/>
          <w:sz w:val="24"/>
          <w:szCs w:val="24"/>
          <w:lang w:val="en-US"/>
        </w:rPr>
        <w:t>nkamai mažės ir fondo deficitas.</w:t>
      </w:r>
    </w:p>
    <w:p w:rsidR="00B577D1" w:rsidRDefault="00B577D1" w:rsidP="00B577D1">
      <w:pPr>
        <w:widowControl/>
        <w:autoSpaceDE w:val="0"/>
        <w:autoSpaceDN w:val="0"/>
        <w:adjustRightInd w:val="0"/>
        <w:spacing w:line="360" w:lineRule="auto"/>
        <w:rPr>
          <w:rFonts w:eastAsiaTheme="minorHAnsi"/>
          <w:sz w:val="24"/>
          <w:szCs w:val="24"/>
          <w:lang w:val="en-US"/>
        </w:rPr>
      </w:pPr>
    </w:p>
    <w:p w:rsidR="00B577D1" w:rsidRDefault="00B577D1" w:rsidP="00B577D1">
      <w:pPr>
        <w:widowControl/>
        <w:autoSpaceDE w:val="0"/>
        <w:autoSpaceDN w:val="0"/>
        <w:adjustRightInd w:val="0"/>
        <w:spacing w:line="360" w:lineRule="auto"/>
        <w:rPr>
          <w:rFonts w:eastAsiaTheme="minorHAnsi"/>
          <w:sz w:val="24"/>
          <w:szCs w:val="24"/>
          <w:lang w:val="en-US"/>
        </w:rPr>
      </w:pPr>
    </w:p>
    <w:p w:rsidR="00B577D1" w:rsidRDefault="00B577D1" w:rsidP="00B577D1">
      <w:pPr>
        <w:widowControl/>
        <w:autoSpaceDE w:val="0"/>
        <w:autoSpaceDN w:val="0"/>
        <w:adjustRightInd w:val="0"/>
        <w:spacing w:line="360" w:lineRule="auto"/>
        <w:rPr>
          <w:rFonts w:eastAsiaTheme="minorHAnsi"/>
          <w:sz w:val="24"/>
          <w:szCs w:val="24"/>
          <w:lang w:val="en-US"/>
        </w:rPr>
      </w:pPr>
    </w:p>
    <w:p w:rsidR="00B577D1" w:rsidRDefault="00B577D1" w:rsidP="00B577D1">
      <w:pPr>
        <w:widowControl/>
        <w:autoSpaceDE w:val="0"/>
        <w:autoSpaceDN w:val="0"/>
        <w:adjustRightInd w:val="0"/>
        <w:spacing w:line="360" w:lineRule="auto"/>
        <w:rPr>
          <w:rFonts w:eastAsiaTheme="minorHAnsi"/>
          <w:sz w:val="24"/>
          <w:szCs w:val="24"/>
          <w:lang w:val="en-US"/>
        </w:rPr>
      </w:pPr>
    </w:p>
    <w:p w:rsidR="00B577D1" w:rsidRDefault="00B577D1" w:rsidP="00B577D1">
      <w:pPr>
        <w:widowControl/>
        <w:autoSpaceDE w:val="0"/>
        <w:autoSpaceDN w:val="0"/>
        <w:adjustRightInd w:val="0"/>
        <w:spacing w:line="360" w:lineRule="auto"/>
        <w:rPr>
          <w:rFonts w:eastAsiaTheme="minorHAnsi"/>
          <w:sz w:val="24"/>
          <w:szCs w:val="24"/>
          <w:lang w:val="en-US"/>
        </w:rPr>
      </w:pPr>
    </w:p>
    <w:p w:rsidR="00B577D1" w:rsidRDefault="00B577D1" w:rsidP="00B577D1">
      <w:pPr>
        <w:widowControl/>
        <w:autoSpaceDE w:val="0"/>
        <w:autoSpaceDN w:val="0"/>
        <w:adjustRightInd w:val="0"/>
        <w:spacing w:line="360" w:lineRule="auto"/>
        <w:rPr>
          <w:rFonts w:eastAsiaTheme="minorHAnsi"/>
          <w:sz w:val="24"/>
          <w:szCs w:val="24"/>
          <w:lang w:val="en-US"/>
        </w:rPr>
      </w:pPr>
    </w:p>
    <w:p w:rsidR="00B577D1" w:rsidRDefault="00B577D1" w:rsidP="00B577D1">
      <w:pPr>
        <w:widowControl/>
        <w:autoSpaceDE w:val="0"/>
        <w:autoSpaceDN w:val="0"/>
        <w:adjustRightInd w:val="0"/>
        <w:spacing w:line="360" w:lineRule="auto"/>
        <w:rPr>
          <w:rFonts w:eastAsiaTheme="minorHAnsi"/>
          <w:sz w:val="24"/>
          <w:szCs w:val="24"/>
          <w:lang w:val="en-US"/>
        </w:rPr>
      </w:pPr>
    </w:p>
    <w:p w:rsidR="00B577D1" w:rsidRDefault="00B577D1" w:rsidP="00B577D1">
      <w:pPr>
        <w:widowControl/>
        <w:autoSpaceDE w:val="0"/>
        <w:autoSpaceDN w:val="0"/>
        <w:adjustRightInd w:val="0"/>
        <w:spacing w:line="360" w:lineRule="auto"/>
        <w:rPr>
          <w:rFonts w:eastAsiaTheme="minorHAnsi"/>
          <w:sz w:val="24"/>
          <w:szCs w:val="24"/>
          <w:lang w:val="en-US"/>
        </w:rPr>
      </w:pPr>
    </w:p>
    <w:p w:rsidR="00B577D1" w:rsidRDefault="00B577D1" w:rsidP="00B577D1">
      <w:pPr>
        <w:widowControl/>
        <w:autoSpaceDE w:val="0"/>
        <w:autoSpaceDN w:val="0"/>
        <w:adjustRightInd w:val="0"/>
        <w:spacing w:line="360" w:lineRule="auto"/>
        <w:rPr>
          <w:rFonts w:eastAsiaTheme="minorHAnsi"/>
          <w:sz w:val="24"/>
          <w:szCs w:val="24"/>
          <w:lang w:val="en-US"/>
        </w:rPr>
      </w:pPr>
    </w:p>
    <w:p w:rsidR="00B577D1" w:rsidRPr="00B577D1" w:rsidRDefault="00B577D1" w:rsidP="00B577D1">
      <w:pPr>
        <w:widowControl/>
        <w:autoSpaceDE w:val="0"/>
        <w:autoSpaceDN w:val="0"/>
        <w:adjustRightInd w:val="0"/>
        <w:spacing w:line="360" w:lineRule="auto"/>
        <w:rPr>
          <w:rFonts w:eastAsiaTheme="minorHAnsi"/>
          <w:sz w:val="24"/>
          <w:szCs w:val="24"/>
          <w:lang w:val="en-US"/>
        </w:rPr>
      </w:pPr>
    </w:p>
    <w:p w:rsidR="00FE6955" w:rsidRDefault="00FE6955" w:rsidP="00B12106">
      <w:pPr>
        <w:pStyle w:val="Heading1"/>
        <w:ind w:firstLine="0"/>
        <w:jc w:val="center"/>
        <w:rPr>
          <w:rFonts w:ascii="Times New Roman" w:hAnsi="Times New Roman" w:cs="Times New Roman"/>
          <w:color w:val="auto"/>
        </w:rPr>
      </w:pPr>
      <w:bookmarkStart w:id="251" w:name="_Toc373086720"/>
      <w:bookmarkStart w:id="252" w:name="_Toc373086919"/>
      <w:bookmarkStart w:id="253" w:name="_Toc373275094"/>
      <w:bookmarkStart w:id="254" w:name="_Toc373421079"/>
      <w:bookmarkStart w:id="255" w:name="_Toc373448115"/>
    </w:p>
    <w:p w:rsidR="00FE6955" w:rsidRDefault="00FE6955" w:rsidP="00B12106">
      <w:pPr>
        <w:pStyle w:val="Heading1"/>
        <w:ind w:firstLine="0"/>
        <w:jc w:val="center"/>
        <w:rPr>
          <w:rFonts w:ascii="Times New Roman" w:hAnsi="Times New Roman" w:cs="Times New Roman"/>
          <w:color w:val="auto"/>
        </w:rPr>
      </w:pPr>
    </w:p>
    <w:p w:rsidR="00E25143" w:rsidRDefault="00E25143" w:rsidP="00E25143"/>
    <w:p w:rsidR="00E25143" w:rsidRDefault="00E25143" w:rsidP="00E25143"/>
    <w:p w:rsidR="00E25143" w:rsidRDefault="00E25143" w:rsidP="00E25143"/>
    <w:p w:rsidR="00E25143" w:rsidRDefault="00E25143" w:rsidP="00E25143"/>
    <w:p w:rsidR="00E25143" w:rsidRDefault="00E25143" w:rsidP="00E25143"/>
    <w:p w:rsidR="00E25143" w:rsidRDefault="00E25143" w:rsidP="00E25143"/>
    <w:p w:rsidR="00E25143" w:rsidRDefault="00E25143" w:rsidP="00E25143"/>
    <w:p w:rsidR="00E25143" w:rsidRPr="00E25143" w:rsidRDefault="00E25143" w:rsidP="00E25143"/>
    <w:p w:rsidR="00FE6955" w:rsidRDefault="00FE6955" w:rsidP="00FE6955"/>
    <w:p w:rsidR="005666E1" w:rsidRDefault="005666E1" w:rsidP="00A13488">
      <w:pPr>
        <w:ind w:firstLine="0"/>
      </w:pPr>
      <w:bookmarkStart w:id="256" w:name="_Toc374228650"/>
      <w:bookmarkStart w:id="257" w:name="_Toc374229060"/>
      <w:bookmarkStart w:id="258" w:name="_Toc374229171"/>
      <w:bookmarkStart w:id="259" w:name="_Toc374229482"/>
    </w:p>
    <w:p w:rsidR="005666E1" w:rsidRDefault="005666E1" w:rsidP="005666E1"/>
    <w:p w:rsidR="00434D86" w:rsidRPr="005666E1" w:rsidRDefault="00434D86" w:rsidP="00686726">
      <w:pPr>
        <w:ind w:firstLine="0"/>
      </w:pPr>
    </w:p>
    <w:p w:rsidR="005C38B2" w:rsidRDefault="005C38B2" w:rsidP="00B12106">
      <w:pPr>
        <w:pStyle w:val="Heading1"/>
        <w:ind w:firstLine="0"/>
        <w:jc w:val="center"/>
        <w:rPr>
          <w:rFonts w:ascii="Times New Roman" w:hAnsi="Times New Roman" w:cs="Times New Roman"/>
          <w:color w:val="auto"/>
        </w:rPr>
      </w:pPr>
    </w:p>
    <w:p w:rsidR="005C38B2" w:rsidRDefault="005C38B2" w:rsidP="005C38B2"/>
    <w:p w:rsidR="005C38B2" w:rsidRDefault="005C38B2" w:rsidP="005C38B2"/>
    <w:p w:rsidR="003541B7" w:rsidRPr="005C38B2" w:rsidRDefault="003541B7" w:rsidP="005C38B2">
      <w:pPr>
        <w:jc w:val="center"/>
        <w:rPr>
          <w:b/>
          <w:sz w:val="24"/>
          <w:szCs w:val="24"/>
        </w:rPr>
      </w:pPr>
      <w:r w:rsidRPr="005C38B2">
        <w:rPr>
          <w:b/>
          <w:sz w:val="24"/>
          <w:szCs w:val="24"/>
        </w:rPr>
        <w:lastRenderedPageBreak/>
        <w:t>LITERATŪR</w:t>
      </w:r>
      <w:bookmarkEnd w:id="251"/>
      <w:bookmarkEnd w:id="252"/>
      <w:bookmarkEnd w:id="253"/>
      <w:r w:rsidR="00B12106" w:rsidRPr="005C38B2">
        <w:rPr>
          <w:b/>
          <w:sz w:val="24"/>
          <w:szCs w:val="24"/>
        </w:rPr>
        <w:t>A</w:t>
      </w:r>
      <w:bookmarkEnd w:id="254"/>
      <w:bookmarkEnd w:id="255"/>
      <w:bookmarkEnd w:id="256"/>
      <w:bookmarkEnd w:id="257"/>
      <w:bookmarkEnd w:id="258"/>
      <w:bookmarkEnd w:id="259"/>
    </w:p>
    <w:p w:rsidR="00BA4205" w:rsidRPr="00BA4205" w:rsidRDefault="00BA4205" w:rsidP="00BA4205"/>
    <w:p w:rsidR="00F84F9D" w:rsidRPr="00F84F9D" w:rsidRDefault="00F84F9D" w:rsidP="00F84F9D">
      <w:pPr>
        <w:widowControl/>
        <w:numPr>
          <w:ilvl w:val="0"/>
          <w:numId w:val="33"/>
        </w:numPr>
        <w:spacing w:after="200"/>
        <w:contextualSpacing/>
        <w:jc w:val="left"/>
        <w:rPr>
          <w:sz w:val="24"/>
          <w:szCs w:val="24"/>
        </w:rPr>
      </w:pPr>
      <w:r w:rsidRPr="00F84F9D">
        <w:rPr>
          <w:sz w:val="24"/>
          <w:szCs w:val="24"/>
        </w:rPr>
        <w:t>Bartosevičienė, V.</w:t>
      </w:r>
      <w:r w:rsidRPr="00F84F9D">
        <w:rPr>
          <w:i/>
          <w:sz w:val="24"/>
          <w:szCs w:val="24"/>
        </w:rPr>
        <w:t xml:space="preserve"> </w:t>
      </w:r>
      <w:r w:rsidRPr="00F84F9D">
        <w:rPr>
          <w:sz w:val="24"/>
          <w:szCs w:val="24"/>
        </w:rPr>
        <w:t>Ekonominė statistika. Mokomoji knyga. - Kaunas: Technologija, 2002. p. 61-64</w:t>
      </w:r>
    </w:p>
    <w:p w:rsidR="00F84F9D" w:rsidRPr="00F84F9D" w:rsidRDefault="00F84F9D" w:rsidP="00F84F9D">
      <w:pPr>
        <w:widowControl/>
        <w:numPr>
          <w:ilvl w:val="0"/>
          <w:numId w:val="33"/>
        </w:numPr>
        <w:spacing w:after="200"/>
        <w:contextualSpacing/>
        <w:jc w:val="left"/>
        <w:rPr>
          <w:sz w:val="24"/>
          <w:szCs w:val="24"/>
        </w:rPr>
      </w:pPr>
      <w:r w:rsidRPr="00F84F9D">
        <w:rPr>
          <w:sz w:val="24"/>
          <w:szCs w:val="24"/>
        </w:rPr>
        <w:t>Boguslaukas ir kt. Ekonometrija. Regresijos modeliai. Mokomoji knyga. - Kaunas: Technologija, 2009, 5-34, 51 -55 p.</w:t>
      </w:r>
    </w:p>
    <w:p w:rsidR="00F84F9D" w:rsidRPr="00F84F9D" w:rsidRDefault="00F84F9D" w:rsidP="00F84F9D">
      <w:pPr>
        <w:widowControl/>
        <w:numPr>
          <w:ilvl w:val="0"/>
          <w:numId w:val="33"/>
        </w:numPr>
        <w:spacing w:after="200"/>
        <w:contextualSpacing/>
        <w:jc w:val="left"/>
        <w:rPr>
          <w:sz w:val="24"/>
          <w:szCs w:val="24"/>
        </w:rPr>
      </w:pPr>
      <w:r w:rsidRPr="00F84F9D">
        <w:rPr>
          <w:sz w:val="24"/>
          <w:szCs w:val="24"/>
        </w:rPr>
        <w:t>Buckiūnienė O. Finansų teorijos pagrindai. Mokomoji knyga.- Vilnius, 2011. 118, 121 – 122 p.</w:t>
      </w:r>
    </w:p>
    <w:p w:rsidR="00F84F9D" w:rsidRPr="00F84F9D" w:rsidRDefault="00F84F9D" w:rsidP="00F84F9D">
      <w:pPr>
        <w:widowControl/>
        <w:numPr>
          <w:ilvl w:val="0"/>
          <w:numId w:val="33"/>
        </w:numPr>
        <w:spacing w:after="200"/>
        <w:contextualSpacing/>
        <w:jc w:val="left"/>
        <w:rPr>
          <w:sz w:val="24"/>
          <w:szCs w:val="24"/>
        </w:rPr>
      </w:pPr>
      <w:r w:rsidRPr="00F84F9D">
        <w:rPr>
          <w:sz w:val="24"/>
          <w:szCs w:val="24"/>
        </w:rPr>
        <w:t>Buckiūnienė O. ir kt. Lietuvos finansų sistema. - Vilnius: Teisinės informacijos centras, 2003.  121 p.</w:t>
      </w:r>
    </w:p>
    <w:p w:rsidR="00F84F9D" w:rsidRPr="00F84F9D" w:rsidRDefault="00F84F9D" w:rsidP="00F84F9D">
      <w:pPr>
        <w:pStyle w:val="ListParagraph"/>
        <w:numPr>
          <w:ilvl w:val="0"/>
          <w:numId w:val="33"/>
        </w:numPr>
        <w:autoSpaceDE w:val="0"/>
        <w:autoSpaceDN w:val="0"/>
        <w:adjustRightInd w:val="0"/>
        <w:jc w:val="left"/>
        <w:rPr>
          <w:sz w:val="24"/>
          <w:szCs w:val="24"/>
        </w:rPr>
      </w:pPr>
      <w:r w:rsidRPr="00F84F9D">
        <w:rPr>
          <w:sz w:val="24"/>
          <w:szCs w:val="24"/>
        </w:rPr>
        <w:t xml:space="preserve">Budrytė, A., Tursa, L. Valstybės skolos raida, rizika ir priimtinumo lygis. // Pinigų studijos, 2002/4, 39 p. URL: </w:t>
      </w:r>
      <w:hyperlink r:id="rId45" w:history="1">
        <w:r w:rsidRPr="00F84F9D">
          <w:rPr>
            <w:rStyle w:val="Hyperlink"/>
            <w:color w:val="auto"/>
            <w:sz w:val="24"/>
            <w:szCs w:val="24"/>
            <w:u w:val="none"/>
          </w:rPr>
          <w:t>http://www.elibrary.lt/resursai/DB/LB/LB_pinigu_studijos/Pinigu_studijos_2002_04_pilnas.pdf</w:t>
        </w:r>
      </w:hyperlink>
      <w:r w:rsidRPr="00F84F9D">
        <w:rPr>
          <w:sz w:val="24"/>
          <w:szCs w:val="24"/>
        </w:rPr>
        <w:t xml:space="preserve"> [žiūrėta 2013 06 05]</w:t>
      </w:r>
    </w:p>
    <w:p w:rsidR="00F84F9D" w:rsidRPr="00F84F9D" w:rsidRDefault="00F84F9D" w:rsidP="00F84F9D">
      <w:pPr>
        <w:widowControl/>
        <w:numPr>
          <w:ilvl w:val="0"/>
          <w:numId w:val="33"/>
        </w:numPr>
        <w:spacing w:after="200"/>
        <w:contextualSpacing/>
        <w:jc w:val="left"/>
        <w:rPr>
          <w:sz w:val="24"/>
          <w:szCs w:val="24"/>
        </w:rPr>
      </w:pPr>
      <w:r w:rsidRPr="00F84F9D">
        <w:rPr>
          <w:sz w:val="24"/>
          <w:szCs w:val="24"/>
        </w:rPr>
        <w:t>Buškevičiūtė E.  Viešieji finansai - Kaunas: Technologija, 2008. -332 – 343 p.</w:t>
      </w:r>
    </w:p>
    <w:p w:rsidR="00F84F9D" w:rsidRPr="00F84F9D" w:rsidRDefault="00F84F9D" w:rsidP="00F84F9D">
      <w:pPr>
        <w:pStyle w:val="ListParagraph"/>
        <w:numPr>
          <w:ilvl w:val="0"/>
          <w:numId w:val="33"/>
        </w:numPr>
        <w:autoSpaceDE w:val="0"/>
        <w:autoSpaceDN w:val="0"/>
        <w:adjustRightInd w:val="0"/>
        <w:jc w:val="left"/>
        <w:rPr>
          <w:sz w:val="24"/>
          <w:szCs w:val="24"/>
        </w:rPr>
      </w:pPr>
      <w:r w:rsidRPr="00F84F9D">
        <w:rPr>
          <w:sz w:val="24"/>
          <w:szCs w:val="24"/>
        </w:rPr>
        <w:t xml:space="preserve">Checherita, C., Rother, P. The impact of high and growing government debt on economic growth. An empirical investigation on Euro area. // European central bank,  Working paper series No.1237, 2010, p. 6 URL: </w:t>
      </w:r>
      <w:hyperlink r:id="rId46" w:history="1">
        <w:r w:rsidRPr="00F84F9D">
          <w:rPr>
            <w:rStyle w:val="Hyperlink"/>
            <w:color w:val="auto"/>
            <w:sz w:val="24"/>
            <w:szCs w:val="24"/>
            <w:u w:val="none"/>
          </w:rPr>
          <w:t>http://www.ecb.int/pub/pdf/scpwps/ecbwp1237.pdf</w:t>
        </w:r>
      </w:hyperlink>
      <w:r w:rsidRPr="00F84F9D">
        <w:rPr>
          <w:sz w:val="24"/>
          <w:szCs w:val="24"/>
        </w:rPr>
        <w:t xml:space="preserve"> [žiūrėta 2013 06 07]</w:t>
      </w:r>
    </w:p>
    <w:p w:rsidR="00F84F9D" w:rsidRPr="00F84F9D" w:rsidRDefault="00F84F9D" w:rsidP="00F84F9D">
      <w:pPr>
        <w:pStyle w:val="ListParagraph"/>
        <w:numPr>
          <w:ilvl w:val="0"/>
          <w:numId w:val="33"/>
        </w:numPr>
        <w:autoSpaceDE w:val="0"/>
        <w:autoSpaceDN w:val="0"/>
        <w:adjustRightInd w:val="0"/>
        <w:jc w:val="left"/>
        <w:rPr>
          <w:sz w:val="24"/>
          <w:szCs w:val="24"/>
        </w:rPr>
      </w:pPr>
      <w:r w:rsidRPr="00F84F9D">
        <w:rPr>
          <w:iCs/>
          <w:sz w:val="24"/>
          <w:szCs w:val="24"/>
        </w:rPr>
        <w:t xml:space="preserve">Clements, B. ir kt. External Debt, Public Investment and Growth in Low- income countries. // International Monetary Fund, IMF Working Paper, 2003, WP/03/249, 18 – 19 p. </w:t>
      </w:r>
      <w:r w:rsidRPr="00F84F9D">
        <w:rPr>
          <w:sz w:val="24"/>
          <w:szCs w:val="24"/>
        </w:rPr>
        <w:t xml:space="preserve">URL: </w:t>
      </w:r>
      <w:hyperlink r:id="rId47" w:history="1">
        <w:r w:rsidRPr="00F84F9D">
          <w:rPr>
            <w:rStyle w:val="Hyperlink"/>
            <w:color w:val="auto"/>
            <w:sz w:val="24"/>
            <w:szCs w:val="24"/>
            <w:u w:val="none"/>
          </w:rPr>
          <w:t>http://www.imf.org/external/pubs/ft/wp/2003/wp03249.pdf</w:t>
        </w:r>
      </w:hyperlink>
      <w:r w:rsidRPr="00F84F9D">
        <w:rPr>
          <w:sz w:val="24"/>
          <w:szCs w:val="24"/>
        </w:rPr>
        <w:t xml:space="preserve"> [žiūrėta 2013 06 05]</w:t>
      </w:r>
    </w:p>
    <w:p w:rsidR="00F84F9D" w:rsidRPr="00F84F9D" w:rsidRDefault="00F84F9D" w:rsidP="00F84F9D">
      <w:pPr>
        <w:pStyle w:val="ListParagraph"/>
        <w:numPr>
          <w:ilvl w:val="0"/>
          <w:numId w:val="33"/>
        </w:numPr>
        <w:autoSpaceDE w:val="0"/>
        <w:autoSpaceDN w:val="0"/>
        <w:adjustRightInd w:val="0"/>
        <w:rPr>
          <w:sz w:val="24"/>
          <w:szCs w:val="24"/>
        </w:rPr>
      </w:pPr>
      <w:r w:rsidRPr="00F84F9D">
        <w:rPr>
          <w:sz w:val="24"/>
          <w:szCs w:val="24"/>
        </w:rPr>
        <w:t>Čiburienė, J., Povilaitis, M. Valstybės skolos poveikis ekonomikai. // Organizacijų vadyba: sisteminiai tyrimai, 2005. 23-35 p.</w:t>
      </w:r>
    </w:p>
    <w:p w:rsidR="00F84F9D" w:rsidRPr="00F84F9D" w:rsidRDefault="00F84F9D" w:rsidP="00F84F9D">
      <w:pPr>
        <w:pStyle w:val="ListParagraph"/>
        <w:numPr>
          <w:ilvl w:val="0"/>
          <w:numId w:val="33"/>
        </w:numPr>
        <w:autoSpaceDE w:val="0"/>
        <w:autoSpaceDN w:val="0"/>
        <w:adjustRightInd w:val="0"/>
        <w:jc w:val="left"/>
        <w:rPr>
          <w:sz w:val="24"/>
          <w:szCs w:val="24"/>
        </w:rPr>
      </w:pPr>
      <w:r w:rsidRPr="00F84F9D">
        <w:rPr>
          <w:sz w:val="24"/>
          <w:szCs w:val="24"/>
        </w:rPr>
        <w:t xml:space="preserve">Elta. „Standard&amp;Poor‘s“ pagerino Lietuvos skolinimosi reitingo perspektyvą. </w:t>
      </w:r>
      <w:hyperlink r:id="rId48" w:history="1">
        <w:r w:rsidRPr="00F84F9D">
          <w:rPr>
            <w:rStyle w:val="Hyperlink"/>
            <w:color w:val="auto"/>
            <w:sz w:val="24"/>
            <w:szCs w:val="24"/>
            <w:u w:val="none"/>
          </w:rPr>
          <w:t>http://www.lrytas.lt/verslas/rinkos-pulsas/standard-poor-s-pagerino-lietuvos-skolinimosi-reitingo-perspektyva.htm</w:t>
        </w:r>
      </w:hyperlink>
      <w:r w:rsidRPr="00F84F9D">
        <w:rPr>
          <w:sz w:val="24"/>
          <w:szCs w:val="24"/>
        </w:rPr>
        <w:t xml:space="preserve"> [žiūrėta 2013 11 05] </w:t>
      </w:r>
    </w:p>
    <w:p w:rsidR="00F84F9D" w:rsidRPr="00F84F9D" w:rsidRDefault="00F84F9D" w:rsidP="00F84F9D">
      <w:pPr>
        <w:pStyle w:val="ListParagraph"/>
        <w:numPr>
          <w:ilvl w:val="0"/>
          <w:numId w:val="33"/>
        </w:numPr>
        <w:autoSpaceDE w:val="0"/>
        <w:autoSpaceDN w:val="0"/>
        <w:adjustRightInd w:val="0"/>
        <w:jc w:val="left"/>
        <w:rPr>
          <w:sz w:val="24"/>
          <w:szCs w:val="24"/>
        </w:rPr>
      </w:pPr>
      <w:r w:rsidRPr="00F84F9D">
        <w:rPr>
          <w:sz w:val="24"/>
          <w:szCs w:val="24"/>
        </w:rPr>
        <w:t xml:space="preserve">Estijos bankas. Estonian Economy and Monetary Policy, 2011. 2. 4 p. </w:t>
      </w:r>
      <w:hyperlink r:id="rId49" w:history="1">
        <w:r w:rsidRPr="00F84F9D">
          <w:rPr>
            <w:rStyle w:val="Hyperlink"/>
            <w:color w:val="auto"/>
            <w:sz w:val="24"/>
            <w:szCs w:val="24"/>
            <w:u w:val="none"/>
          </w:rPr>
          <w:t>http://www.eestipank.ee/en/publication/estonian-economy-and-monetary-policy/2011/estonian-economy-and-monetary-policy-22011</w:t>
        </w:r>
      </w:hyperlink>
      <w:r w:rsidRPr="00F84F9D">
        <w:rPr>
          <w:sz w:val="24"/>
          <w:szCs w:val="24"/>
        </w:rPr>
        <w:t xml:space="preserve">[žiūrėta 2013 11 05] </w:t>
      </w:r>
    </w:p>
    <w:p w:rsidR="00F84F9D" w:rsidRPr="00F84F9D" w:rsidRDefault="00F84F9D" w:rsidP="00F84F9D">
      <w:pPr>
        <w:pStyle w:val="ListParagraph"/>
        <w:numPr>
          <w:ilvl w:val="0"/>
          <w:numId w:val="33"/>
        </w:numPr>
        <w:autoSpaceDE w:val="0"/>
        <w:autoSpaceDN w:val="0"/>
        <w:adjustRightInd w:val="0"/>
        <w:jc w:val="left"/>
        <w:rPr>
          <w:sz w:val="24"/>
          <w:szCs w:val="24"/>
        </w:rPr>
      </w:pPr>
      <w:r w:rsidRPr="00F84F9D">
        <w:rPr>
          <w:sz w:val="24"/>
          <w:szCs w:val="24"/>
        </w:rPr>
        <w:t xml:space="preserve">Estijos Finansų ministerija. Local government finances. </w:t>
      </w:r>
      <w:hyperlink r:id="rId50" w:history="1">
        <w:r w:rsidRPr="00F84F9D">
          <w:rPr>
            <w:rStyle w:val="Hyperlink"/>
            <w:color w:val="auto"/>
            <w:sz w:val="24"/>
            <w:szCs w:val="24"/>
            <w:u w:val="none"/>
          </w:rPr>
          <w:t>http://www.fin.ee/local-government-finances</w:t>
        </w:r>
      </w:hyperlink>
      <w:r w:rsidRPr="00F84F9D">
        <w:rPr>
          <w:sz w:val="24"/>
          <w:szCs w:val="24"/>
        </w:rPr>
        <w:t xml:space="preserve"> [žiūrėta 2013 14 23]. </w:t>
      </w:r>
    </w:p>
    <w:p w:rsidR="00F84F9D" w:rsidRPr="00F84F9D" w:rsidRDefault="00F84F9D" w:rsidP="00F84F9D">
      <w:pPr>
        <w:pStyle w:val="ListParagraph"/>
        <w:numPr>
          <w:ilvl w:val="0"/>
          <w:numId w:val="33"/>
        </w:numPr>
        <w:autoSpaceDE w:val="0"/>
        <w:autoSpaceDN w:val="0"/>
        <w:adjustRightInd w:val="0"/>
        <w:jc w:val="left"/>
        <w:rPr>
          <w:sz w:val="24"/>
          <w:szCs w:val="24"/>
        </w:rPr>
      </w:pPr>
      <w:r w:rsidRPr="00F84F9D">
        <w:rPr>
          <w:sz w:val="24"/>
          <w:szCs w:val="24"/>
        </w:rPr>
        <w:t xml:space="preserve">Fitc Ratings. Fitch upgrades Latvia to „BBB+“ outlook stable. </w:t>
      </w:r>
      <w:hyperlink r:id="rId51" w:history="1">
        <w:r w:rsidRPr="00F84F9D">
          <w:rPr>
            <w:rStyle w:val="Hyperlink"/>
            <w:color w:val="auto"/>
            <w:sz w:val="24"/>
            <w:szCs w:val="24"/>
            <w:u w:val="none"/>
          </w:rPr>
          <w:t>http://www.kase.gov.lv/texts_files/FITCH%2009.07.2013.pdf</w:t>
        </w:r>
      </w:hyperlink>
      <w:r w:rsidRPr="00F84F9D">
        <w:rPr>
          <w:sz w:val="24"/>
          <w:szCs w:val="24"/>
        </w:rPr>
        <w:t xml:space="preserve">  [žiūrėta 2013 11 24]</w:t>
      </w:r>
    </w:p>
    <w:p w:rsidR="00F84F9D" w:rsidRPr="00F84F9D" w:rsidRDefault="00F84F9D" w:rsidP="00F84F9D">
      <w:pPr>
        <w:pStyle w:val="ListParagraph"/>
        <w:numPr>
          <w:ilvl w:val="0"/>
          <w:numId w:val="33"/>
        </w:numPr>
        <w:autoSpaceDE w:val="0"/>
        <w:autoSpaceDN w:val="0"/>
        <w:adjustRightInd w:val="0"/>
        <w:jc w:val="left"/>
        <w:rPr>
          <w:sz w:val="24"/>
          <w:szCs w:val="24"/>
        </w:rPr>
      </w:pPr>
      <w:r w:rsidRPr="00F84F9D">
        <w:rPr>
          <w:sz w:val="24"/>
          <w:szCs w:val="24"/>
        </w:rPr>
        <w:t xml:space="preserve">General government gross debt, anual data (percentage of GDP) </w:t>
      </w:r>
      <w:hyperlink r:id="rId52" w:history="1">
        <w:r w:rsidRPr="00F84F9D">
          <w:rPr>
            <w:rStyle w:val="Hyperlink"/>
            <w:color w:val="auto"/>
            <w:sz w:val="24"/>
            <w:szCs w:val="24"/>
            <w:u w:val="none"/>
          </w:rPr>
          <w:t>http://epp.eurostat.ec.europa.eu/tgm/table.do?tab=table&amp;init=1&amp;language=en&amp;pcode=teina225&amp;plugin=0</w:t>
        </w:r>
      </w:hyperlink>
      <w:r w:rsidRPr="00F84F9D">
        <w:rPr>
          <w:sz w:val="24"/>
          <w:szCs w:val="24"/>
        </w:rPr>
        <w:t xml:space="preserve"> [žiūrėta 2013 10 15]</w:t>
      </w:r>
    </w:p>
    <w:p w:rsidR="00F84F9D" w:rsidRPr="00F84F9D" w:rsidRDefault="00F84F9D" w:rsidP="00F84F9D">
      <w:pPr>
        <w:pStyle w:val="ListParagraph"/>
        <w:numPr>
          <w:ilvl w:val="0"/>
          <w:numId w:val="33"/>
        </w:numPr>
        <w:autoSpaceDE w:val="0"/>
        <w:autoSpaceDN w:val="0"/>
        <w:adjustRightInd w:val="0"/>
        <w:jc w:val="left"/>
        <w:rPr>
          <w:sz w:val="24"/>
          <w:szCs w:val="24"/>
        </w:rPr>
      </w:pPr>
      <w:r w:rsidRPr="00F84F9D">
        <w:rPr>
          <w:sz w:val="24"/>
          <w:szCs w:val="24"/>
          <w:shd w:val="clear" w:color="auto" w:fill="F9F9F9"/>
        </w:rPr>
        <w:t xml:space="preserve">General government gross debt by financial instrument </w:t>
      </w:r>
      <w:hyperlink r:id="rId53" w:history="1">
        <w:r w:rsidRPr="00F84F9D">
          <w:rPr>
            <w:rStyle w:val="Hyperlink"/>
            <w:color w:val="auto"/>
            <w:sz w:val="24"/>
            <w:szCs w:val="24"/>
            <w:u w:val="none"/>
          </w:rPr>
          <w:t>http://appsso.eurostat.ec.europa.eu/nui/show.do?dataset=gov_dd_ggd&amp;lang=en</w:t>
        </w:r>
      </w:hyperlink>
      <w:r w:rsidRPr="00F84F9D">
        <w:rPr>
          <w:sz w:val="24"/>
          <w:szCs w:val="24"/>
        </w:rPr>
        <w:t xml:space="preserve"> [žiūrėta 2013 10 15]</w:t>
      </w:r>
    </w:p>
    <w:p w:rsidR="00F84F9D" w:rsidRPr="00F84F9D" w:rsidRDefault="00F84F9D" w:rsidP="00F84F9D">
      <w:pPr>
        <w:pStyle w:val="ListParagraph"/>
        <w:numPr>
          <w:ilvl w:val="0"/>
          <w:numId w:val="33"/>
        </w:numPr>
        <w:autoSpaceDE w:val="0"/>
        <w:autoSpaceDN w:val="0"/>
        <w:adjustRightInd w:val="0"/>
        <w:jc w:val="left"/>
        <w:rPr>
          <w:sz w:val="24"/>
          <w:szCs w:val="24"/>
        </w:rPr>
      </w:pPr>
      <w:r w:rsidRPr="00F84F9D">
        <w:rPr>
          <w:sz w:val="24"/>
          <w:szCs w:val="24"/>
          <w:shd w:val="clear" w:color="auto" w:fill="F9F9F9"/>
        </w:rPr>
        <w:t xml:space="preserve">General government gross debt by maturity. </w:t>
      </w:r>
      <w:hyperlink r:id="rId54" w:history="1">
        <w:r w:rsidRPr="00F84F9D">
          <w:rPr>
            <w:rStyle w:val="Hyperlink"/>
            <w:color w:val="auto"/>
            <w:sz w:val="24"/>
            <w:szCs w:val="24"/>
            <w:u w:val="none"/>
          </w:rPr>
          <w:t>http://appsso.eurostat.ec.europa.eu/nui/show.do?dataset=gov_dd_ggd&amp;lang=en</w:t>
        </w:r>
      </w:hyperlink>
      <w:r w:rsidRPr="00F84F9D">
        <w:rPr>
          <w:sz w:val="24"/>
          <w:szCs w:val="24"/>
        </w:rPr>
        <w:t xml:space="preserve">  [žiūrėta 2013 10 15]</w:t>
      </w:r>
    </w:p>
    <w:p w:rsidR="00F84F9D" w:rsidRPr="00F84F9D" w:rsidRDefault="00F84F9D" w:rsidP="00F84F9D">
      <w:pPr>
        <w:pStyle w:val="ListParagraph"/>
        <w:numPr>
          <w:ilvl w:val="0"/>
          <w:numId w:val="33"/>
        </w:numPr>
        <w:autoSpaceDE w:val="0"/>
        <w:autoSpaceDN w:val="0"/>
        <w:adjustRightInd w:val="0"/>
        <w:jc w:val="left"/>
        <w:rPr>
          <w:sz w:val="24"/>
          <w:szCs w:val="24"/>
        </w:rPr>
      </w:pPr>
      <w:r w:rsidRPr="00F84F9D">
        <w:rPr>
          <w:sz w:val="24"/>
          <w:szCs w:val="24"/>
        </w:rPr>
        <w:t xml:space="preserve">Government gross debt by sub-sector – central govenrment debt </w:t>
      </w:r>
      <w:hyperlink r:id="rId55" w:history="1">
        <w:r w:rsidRPr="00F84F9D">
          <w:rPr>
            <w:rStyle w:val="Hyperlink"/>
            <w:color w:val="auto"/>
            <w:sz w:val="24"/>
            <w:szCs w:val="24"/>
            <w:u w:val="none"/>
          </w:rPr>
          <w:t>http://appsso.eurostat.ec.europa.eu/nui/show.do?dataset=gov_dd_cgd&amp;lang=en</w:t>
        </w:r>
      </w:hyperlink>
      <w:r w:rsidRPr="00F84F9D">
        <w:rPr>
          <w:sz w:val="24"/>
          <w:szCs w:val="24"/>
        </w:rPr>
        <w:t xml:space="preserve"> [žiūrėta 2013 10 15]</w:t>
      </w:r>
    </w:p>
    <w:p w:rsidR="00F84F9D" w:rsidRPr="00F84F9D" w:rsidRDefault="00F84F9D" w:rsidP="00F84F9D">
      <w:pPr>
        <w:pStyle w:val="ListParagraph"/>
        <w:numPr>
          <w:ilvl w:val="0"/>
          <w:numId w:val="33"/>
        </w:numPr>
        <w:autoSpaceDE w:val="0"/>
        <w:autoSpaceDN w:val="0"/>
        <w:adjustRightInd w:val="0"/>
        <w:jc w:val="left"/>
        <w:rPr>
          <w:sz w:val="24"/>
          <w:szCs w:val="24"/>
        </w:rPr>
      </w:pPr>
      <w:r w:rsidRPr="00F84F9D">
        <w:rPr>
          <w:sz w:val="24"/>
          <w:szCs w:val="24"/>
        </w:rPr>
        <w:t xml:space="preserve">Government gross debt by sub-sector – state and local govenrment debt </w:t>
      </w:r>
      <w:hyperlink r:id="rId56" w:history="1">
        <w:r w:rsidRPr="00F84F9D">
          <w:rPr>
            <w:rStyle w:val="Hyperlink"/>
            <w:color w:val="auto"/>
            <w:sz w:val="24"/>
            <w:szCs w:val="24"/>
            <w:u w:val="none"/>
          </w:rPr>
          <w:t>http://appsso.eurostat.ec.europa.eu/nui/show.do?dataset=gov_dd_slgd&amp;lang=en</w:t>
        </w:r>
      </w:hyperlink>
      <w:r w:rsidRPr="00F84F9D">
        <w:rPr>
          <w:sz w:val="24"/>
          <w:szCs w:val="24"/>
        </w:rPr>
        <w:t xml:space="preserve"> [žiūrėta 2013 10 15]</w:t>
      </w:r>
    </w:p>
    <w:p w:rsidR="00F84F9D" w:rsidRPr="00F84F9D" w:rsidRDefault="00F84F9D" w:rsidP="00F84F9D">
      <w:pPr>
        <w:pStyle w:val="ListParagraph"/>
        <w:numPr>
          <w:ilvl w:val="0"/>
          <w:numId w:val="33"/>
        </w:numPr>
        <w:autoSpaceDE w:val="0"/>
        <w:autoSpaceDN w:val="0"/>
        <w:adjustRightInd w:val="0"/>
        <w:jc w:val="left"/>
        <w:rPr>
          <w:sz w:val="24"/>
          <w:szCs w:val="24"/>
        </w:rPr>
      </w:pPr>
      <w:r w:rsidRPr="00F84F9D">
        <w:rPr>
          <w:sz w:val="24"/>
          <w:szCs w:val="24"/>
        </w:rPr>
        <w:t xml:space="preserve">Government gross debt by sub-sector – social security funds debt debt </w:t>
      </w:r>
      <w:hyperlink r:id="rId57" w:history="1">
        <w:r w:rsidRPr="00F84F9D">
          <w:rPr>
            <w:rStyle w:val="Hyperlink"/>
            <w:color w:val="auto"/>
            <w:sz w:val="24"/>
            <w:szCs w:val="24"/>
            <w:u w:val="none"/>
          </w:rPr>
          <w:t>http://appsso.eurostat.ec.europa.eu/nui/show.do?dataset=gov_dd_ssfd&amp;lang=en</w:t>
        </w:r>
      </w:hyperlink>
      <w:r w:rsidRPr="00F84F9D">
        <w:rPr>
          <w:sz w:val="24"/>
          <w:szCs w:val="24"/>
        </w:rPr>
        <w:t xml:space="preserve"> [žiūrėta 2013 10 15]</w:t>
      </w:r>
    </w:p>
    <w:p w:rsidR="00F84F9D" w:rsidRPr="00F84F9D" w:rsidRDefault="00F84F9D" w:rsidP="00F84F9D">
      <w:pPr>
        <w:pStyle w:val="ListParagraph"/>
        <w:numPr>
          <w:ilvl w:val="0"/>
          <w:numId w:val="33"/>
        </w:numPr>
        <w:autoSpaceDE w:val="0"/>
        <w:autoSpaceDN w:val="0"/>
        <w:adjustRightInd w:val="0"/>
        <w:jc w:val="left"/>
        <w:rPr>
          <w:sz w:val="24"/>
          <w:szCs w:val="24"/>
        </w:rPr>
      </w:pPr>
      <w:r w:rsidRPr="00F84F9D">
        <w:rPr>
          <w:sz w:val="24"/>
          <w:szCs w:val="24"/>
        </w:rPr>
        <w:t>Guidelines for Public Debt Management. // International Monetary Fund, World bank, 2001, 27 p.</w:t>
      </w:r>
      <w:r w:rsidRPr="00F84F9D">
        <w:rPr>
          <w:iCs/>
          <w:sz w:val="24"/>
          <w:szCs w:val="24"/>
        </w:rPr>
        <w:t xml:space="preserve"> </w:t>
      </w:r>
      <w:r w:rsidRPr="00F84F9D">
        <w:rPr>
          <w:sz w:val="24"/>
          <w:szCs w:val="24"/>
        </w:rPr>
        <w:t xml:space="preserve">URL: </w:t>
      </w:r>
      <w:hyperlink r:id="rId58" w:anchor="I" w:history="1">
        <w:r w:rsidRPr="00F84F9D">
          <w:rPr>
            <w:rStyle w:val="Hyperlink"/>
            <w:color w:val="auto"/>
            <w:sz w:val="24"/>
            <w:szCs w:val="24"/>
            <w:u w:val="none"/>
          </w:rPr>
          <w:t>https://www.imf.org/external/np/mae/pdebt/2000/eng/index.htm#I</w:t>
        </w:r>
      </w:hyperlink>
      <w:r w:rsidRPr="00F84F9D">
        <w:rPr>
          <w:sz w:val="24"/>
          <w:szCs w:val="24"/>
        </w:rPr>
        <w:t xml:space="preserve"> [žiūrėta 2013 06 10]</w:t>
      </w:r>
    </w:p>
    <w:p w:rsidR="00F84F9D" w:rsidRPr="00F84F9D" w:rsidRDefault="00F84F9D" w:rsidP="00F84F9D">
      <w:pPr>
        <w:pStyle w:val="ListParagraph"/>
        <w:numPr>
          <w:ilvl w:val="0"/>
          <w:numId w:val="33"/>
        </w:numPr>
        <w:autoSpaceDE w:val="0"/>
        <w:autoSpaceDN w:val="0"/>
        <w:adjustRightInd w:val="0"/>
        <w:jc w:val="left"/>
        <w:rPr>
          <w:sz w:val="24"/>
          <w:szCs w:val="24"/>
        </w:rPr>
      </w:pPr>
      <w:r w:rsidRPr="00F84F9D">
        <w:rPr>
          <w:sz w:val="24"/>
          <w:szCs w:val="24"/>
        </w:rPr>
        <w:t xml:space="preserve">Interests including flows on swaps and FRAs. </w:t>
      </w:r>
      <w:hyperlink r:id="rId59" w:history="1">
        <w:r w:rsidRPr="00F84F9D">
          <w:rPr>
            <w:rStyle w:val="Hyperlink"/>
            <w:color w:val="auto"/>
            <w:sz w:val="24"/>
            <w:szCs w:val="24"/>
            <w:u w:val="none"/>
          </w:rPr>
          <w:t>http://appsso.eurostat.ec.europa.eu/nui/submitViewTableAction.do</w:t>
        </w:r>
      </w:hyperlink>
      <w:r w:rsidRPr="00F84F9D">
        <w:rPr>
          <w:sz w:val="24"/>
          <w:szCs w:val="24"/>
        </w:rPr>
        <w:t xml:space="preserve"> [žiūrėta 2013 11 20]</w:t>
      </w:r>
    </w:p>
    <w:p w:rsidR="00F84F9D" w:rsidRPr="00F84F9D" w:rsidRDefault="00F84F9D" w:rsidP="00F84F9D">
      <w:pPr>
        <w:pStyle w:val="ListParagraph"/>
        <w:numPr>
          <w:ilvl w:val="0"/>
          <w:numId w:val="33"/>
        </w:numPr>
        <w:autoSpaceDE w:val="0"/>
        <w:autoSpaceDN w:val="0"/>
        <w:adjustRightInd w:val="0"/>
        <w:jc w:val="left"/>
        <w:rPr>
          <w:sz w:val="24"/>
          <w:szCs w:val="24"/>
        </w:rPr>
      </w:pPr>
      <w:r w:rsidRPr="00F84F9D">
        <w:rPr>
          <w:sz w:val="24"/>
          <w:szCs w:val="24"/>
        </w:rPr>
        <w:t xml:space="preserve">Karazijienė Ž, Sabonienė A. Valstybės skolos struktūra ir valstybės skolinimosi įtaka Lietuvos ekonomikai. // Ekonomika ir vadyba, 2009, Nr. 14., p. 272 ISNN 1822-6515 </w:t>
      </w:r>
      <w:hyperlink r:id="rId60" w:history="1">
        <w:r w:rsidRPr="00F84F9D">
          <w:rPr>
            <w:rStyle w:val="Hyperlink"/>
            <w:color w:val="auto"/>
            <w:sz w:val="24"/>
            <w:szCs w:val="24"/>
            <w:u w:val="none"/>
          </w:rPr>
          <w:t>http://www.ktu.lt/lt/mokslas/zurnalai/ekovad/14/1822-6515-2009-271.pdf</w:t>
        </w:r>
      </w:hyperlink>
      <w:r w:rsidRPr="00F84F9D">
        <w:rPr>
          <w:sz w:val="24"/>
          <w:szCs w:val="24"/>
        </w:rPr>
        <w:t xml:space="preserve"> [žiūrėta 2013 06 10]</w:t>
      </w:r>
    </w:p>
    <w:p w:rsidR="00F84F9D" w:rsidRPr="00F84F9D" w:rsidRDefault="00F84F9D" w:rsidP="00F84F9D">
      <w:pPr>
        <w:pStyle w:val="ListParagraph"/>
        <w:numPr>
          <w:ilvl w:val="0"/>
          <w:numId w:val="33"/>
        </w:numPr>
        <w:autoSpaceDE w:val="0"/>
        <w:autoSpaceDN w:val="0"/>
        <w:adjustRightInd w:val="0"/>
        <w:jc w:val="left"/>
        <w:rPr>
          <w:sz w:val="24"/>
          <w:szCs w:val="24"/>
        </w:rPr>
      </w:pPr>
      <w:r w:rsidRPr="00F84F9D">
        <w:rPr>
          <w:rFonts w:eastAsia="Calibri"/>
          <w:sz w:val="24"/>
          <w:szCs w:val="24"/>
        </w:rPr>
        <w:t xml:space="preserve">Karazijienė Ž. Valstybės skolos dydžio prognozavimo galimybės. // Ekonomika ir vadyba, 2011, Nr. 16., p. 528 – 529 ISNN 1822- 6515 </w:t>
      </w:r>
      <w:hyperlink r:id="rId61" w:history="1">
        <w:r w:rsidRPr="00F84F9D">
          <w:rPr>
            <w:rStyle w:val="Hyperlink"/>
            <w:color w:val="auto"/>
            <w:sz w:val="24"/>
            <w:szCs w:val="24"/>
            <w:u w:val="none"/>
          </w:rPr>
          <w:t>http://www.ktu.lt/lt/mokslas/zurnalai/ekovad/16/1822-6515-2011-0527.pdf</w:t>
        </w:r>
      </w:hyperlink>
      <w:r w:rsidRPr="00F84F9D">
        <w:rPr>
          <w:sz w:val="24"/>
          <w:szCs w:val="24"/>
        </w:rPr>
        <w:t xml:space="preserve"> [žiūrėta 2013 06 10]</w:t>
      </w:r>
    </w:p>
    <w:p w:rsidR="00F84F9D" w:rsidRPr="00F84F9D" w:rsidRDefault="00F84F9D" w:rsidP="00F84F9D">
      <w:pPr>
        <w:pStyle w:val="ListParagraph"/>
        <w:numPr>
          <w:ilvl w:val="0"/>
          <w:numId w:val="33"/>
        </w:numPr>
        <w:autoSpaceDE w:val="0"/>
        <w:autoSpaceDN w:val="0"/>
        <w:adjustRightInd w:val="0"/>
        <w:jc w:val="left"/>
        <w:rPr>
          <w:sz w:val="24"/>
          <w:szCs w:val="24"/>
        </w:rPr>
      </w:pPr>
      <w:r w:rsidRPr="00F84F9D">
        <w:rPr>
          <w:sz w:val="24"/>
          <w:szCs w:val="24"/>
        </w:rPr>
        <w:t xml:space="preserve">Karpuskienė, V. Ekonometrija. Paskaitų konspektas, - Vilnius: Vilniaus universitetas, Eknomikos fakultetas, 2007 URL: </w:t>
      </w:r>
      <w:hyperlink r:id="rId62" w:history="1">
        <w:r w:rsidRPr="00F84F9D">
          <w:rPr>
            <w:rStyle w:val="Hyperlink"/>
            <w:color w:val="auto"/>
            <w:sz w:val="24"/>
            <w:szCs w:val="24"/>
            <w:u w:val="none"/>
          </w:rPr>
          <w:t>http://www.scritube.com/limba/lituaniana/EKONOMETRIJA-Paskait-konspekta921019172.php</w:t>
        </w:r>
      </w:hyperlink>
      <w:r w:rsidRPr="00F84F9D">
        <w:rPr>
          <w:sz w:val="24"/>
          <w:szCs w:val="24"/>
        </w:rPr>
        <w:t xml:space="preserve"> [žiūrėta 2013 11 17]</w:t>
      </w:r>
    </w:p>
    <w:p w:rsidR="00F84F9D" w:rsidRPr="00F84F9D" w:rsidRDefault="00F84F9D" w:rsidP="00F84F9D">
      <w:pPr>
        <w:pStyle w:val="ListParagraph"/>
        <w:numPr>
          <w:ilvl w:val="0"/>
          <w:numId w:val="33"/>
        </w:numPr>
        <w:autoSpaceDE w:val="0"/>
        <w:autoSpaceDN w:val="0"/>
        <w:adjustRightInd w:val="0"/>
        <w:rPr>
          <w:sz w:val="24"/>
          <w:szCs w:val="24"/>
        </w:rPr>
      </w:pPr>
      <w:r w:rsidRPr="00F84F9D">
        <w:rPr>
          <w:sz w:val="24"/>
          <w:szCs w:val="24"/>
        </w:rPr>
        <w:t>Kazlauskienė V. Finansai. - Kaunas: Technologija, 2012. - 106 -113 p.</w:t>
      </w:r>
    </w:p>
    <w:p w:rsidR="00F84F9D" w:rsidRPr="00F84F9D" w:rsidRDefault="00F84F9D" w:rsidP="00F84F9D">
      <w:pPr>
        <w:pStyle w:val="ListParagraph"/>
        <w:numPr>
          <w:ilvl w:val="0"/>
          <w:numId w:val="33"/>
        </w:numPr>
        <w:autoSpaceDE w:val="0"/>
        <w:autoSpaceDN w:val="0"/>
        <w:adjustRightInd w:val="0"/>
        <w:jc w:val="left"/>
        <w:rPr>
          <w:sz w:val="24"/>
          <w:szCs w:val="24"/>
        </w:rPr>
      </w:pPr>
      <w:r w:rsidRPr="00F84F9D">
        <w:rPr>
          <w:sz w:val="24"/>
          <w:szCs w:val="24"/>
          <w:lang w:val="en-US"/>
        </w:rPr>
        <w:t>Kumar, M.S., Woo, J. Public debt and growth. // International monetary fund, 2010, IMF working paper, WP/10/174, 5 - 6 p.</w:t>
      </w:r>
      <w:r w:rsidRPr="00F84F9D">
        <w:rPr>
          <w:sz w:val="24"/>
          <w:szCs w:val="24"/>
        </w:rPr>
        <w:t xml:space="preserve"> URL:  </w:t>
      </w:r>
      <w:hyperlink r:id="rId63" w:history="1">
        <w:r w:rsidRPr="00F84F9D">
          <w:rPr>
            <w:rStyle w:val="Hyperlink"/>
            <w:color w:val="auto"/>
            <w:sz w:val="24"/>
            <w:szCs w:val="24"/>
            <w:u w:val="none"/>
          </w:rPr>
          <w:t>http://www.imf.org/external/pubs/ft/wp/2010/wp10174.pdf</w:t>
        </w:r>
      </w:hyperlink>
      <w:r w:rsidRPr="00F84F9D">
        <w:rPr>
          <w:sz w:val="24"/>
          <w:szCs w:val="24"/>
        </w:rPr>
        <w:t xml:space="preserve">  [žiūrėta 2013 06 05]</w:t>
      </w:r>
    </w:p>
    <w:p w:rsidR="00F84F9D" w:rsidRPr="00F84F9D" w:rsidRDefault="00F84F9D" w:rsidP="00F84F9D">
      <w:pPr>
        <w:pStyle w:val="ListParagraph"/>
        <w:numPr>
          <w:ilvl w:val="0"/>
          <w:numId w:val="33"/>
        </w:numPr>
        <w:autoSpaceDE w:val="0"/>
        <w:autoSpaceDN w:val="0"/>
        <w:adjustRightInd w:val="0"/>
        <w:jc w:val="left"/>
        <w:rPr>
          <w:sz w:val="24"/>
          <w:szCs w:val="24"/>
        </w:rPr>
      </w:pPr>
      <w:r w:rsidRPr="00F84F9D">
        <w:rPr>
          <w:sz w:val="24"/>
          <w:szCs w:val="24"/>
        </w:rPr>
        <w:t xml:space="preserve">Latvijos finansų ministerija. Macroecomomic and budgetary review, 2013 September. </w:t>
      </w:r>
      <w:hyperlink r:id="rId64" w:history="1">
        <w:r w:rsidRPr="00F84F9D">
          <w:rPr>
            <w:rStyle w:val="Hyperlink"/>
            <w:color w:val="auto"/>
            <w:sz w:val="24"/>
            <w:szCs w:val="24"/>
            <w:u w:val="none"/>
          </w:rPr>
          <w:t>http://www.fm.gov.lv/files/tausaimnieciba/Apskats_ENG_septembris_2013.pdf</w:t>
        </w:r>
      </w:hyperlink>
      <w:r w:rsidRPr="00F84F9D">
        <w:rPr>
          <w:sz w:val="24"/>
          <w:szCs w:val="24"/>
        </w:rPr>
        <w:t xml:space="preserve"> [žiūrėta 2013 11 17] </w:t>
      </w:r>
    </w:p>
    <w:p w:rsidR="00F84F9D" w:rsidRPr="00F84F9D" w:rsidRDefault="00F84F9D" w:rsidP="00F84F9D">
      <w:pPr>
        <w:pStyle w:val="ListParagraph"/>
        <w:numPr>
          <w:ilvl w:val="0"/>
          <w:numId w:val="33"/>
        </w:numPr>
        <w:autoSpaceDE w:val="0"/>
        <w:autoSpaceDN w:val="0"/>
        <w:adjustRightInd w:val="0"/>
        <w:jc w:val="left"/>
        <w:rPr>
          <w:sz w:val="24"/>
          <w:szCs w:val="24"/>
        </w:rPr>
      </w:pPr>
      <w:r w:rsidRPr="00F84F9D">
        <w:rPr>
          <w:sz w:val="24"/>
          <w:szCs w:val="24"/>
        </w:rPr>
        <w:t xml:space="preserve">Levickaitė, R. Valstybių bankrotas – kas po to? </w:t>
      </w:r>
      <w:hyperlink r:id="rId65" w:history="1">
        <w:r w:rsidRPr="00F84F9D">
          <w:rPr>
            <w:rStyle w:val="Hyperlink"/>
            <w:color w:val="auto"/>
            <w:sz w:val="24"/>
            <w:szCs w:val="24"/>
            <w:u w:val="none"/>
          </w:rPr>
          <w:t>http://www.balsas.lt/naujiena/553685/valstybiu-bankrotas-kas-po-to/3</w:t>
        </w:r>
      </w:hyperlink>
      <w:r w:rsidRPr="00F84F9D">
        <w:rPr>
          <w:sz w:val="24"/>
          <w:szCs w:val="24"/>
        </w:rPr>
        <w:t xml:space="preserve"> [žiūrėta 2013 11 17]  </w:t>
      </w:r>
    </w:p>
    <w:p w:rsidR="00F84F9D" w:rsidRPr="00F84F9D" w:rsidRDefault="00F84F9D" w:rsidP="00F84F9D">
      <w:pPr>
        <w:pStyle w:val="ListParagraph"/>
        <w:numPr>
          <w:ilvl w:val="0"/>
          <w:numId w:val="33"/>
        </w:numPr>
        <w:autoSpaceDE w:val="0"/>
        <w:autoSpaceDN w:val="0"/>
        <w:adjustRightInd w:val="0"/>
        <w:jc w:val="left"/>
        <w:rPr>
          <w:sz w:val="24"/>
          <w:szCs w:val="24"/>
        </w:rPr>
      </w:pPr>
      <w:r w:rsidRPr="00F84F9D">
        <w:rPr>
          <w:sz w:val="24"/>
          <w:szCs w:val="24"/>
        </w:rPr>
        <w:t>Levišauskaitė K., Rūškys G. Valstybės finansai - Kaunas: VDU leidykla, 2003. - 135 – 142 p.</w:t>
      </w:r>
    </w:p>
    <w:p w:rsidR="00F84F9D" w:rsidRPr="00F84F9D" w:rsidRDefault="00F84F9D" w:rsidP="00F84F9D">
      <w:pPr>
        <w:pStyle w:val="ListParagraph"/>
        <w:numPr>
          <w:ilvl w:val="0"/>
          <w:numId w:val="33"/>
        </w:numPr>
        <w:autoSpaceDE w:val="0"/>
        <w:autoSpaceDN w:val="0"/>
        <w:adjustRightInd w:val="0"/>
        <w:jc w:val="left"/>
        <w:rPr>
          <w:sz w:val="24"/>
          <w:szCs w:val="24"/>
        </w:rPr>
      </w:pPr>
      <w:r w:rsidRPr="00F84F9D">
        <w:rPr>
          <w:sz w:val="24"/>
          <w:szCs w:val="24"/>
        </w:rPr>
        <w:t xml:space="preserve">Lietuvos banko ekonomikos apžvalga (2013 m. gegužės mėn.), 19 p. </w:t>
      </w:r>
      <w:hyperlink r:id="rId66" w:history="1">
        <w:r w:rsidRPr="00F84F9D">
          <w:rPr>
            <w:rStyle w:val="Hyperlink"/>
            <w:color w:val="auto"/>
            <w:sz w:val="24"/>
            <w:szCs w:val="24"/>
            <w:u w:val="none"/>
          </w:rPr>
          <w:t>http://www.lb.lt/lietuvos_ekonomikos_apzvalga_2013_m_geguzes_men</w:t>
        </w:r>
      </w:hyperlink>
      <w:r w:rsidRPr="00F84F9D">
        <w:rPr>
          <w:sz w:val="24"/>
          <w:szCs w:val="24"/>
        </w:rPr>
        <w:t xml:space="preserve"> [žiūrėta 2013 11 17]  </w:t>
      </w:r>
    </w:p>
    <w:p w:rsidR="00F84F9D" w:rsidRPr="00F84F9D" w:rsidRDefault="00F84F9D" w:rsidP="00F84F9D">
      <w:pPr>
        <w:pStyle w:val="ListParagraph"/>
        <w:numPr>
          <w:ilvl w:val="0"/>
          <w:numId w:val="33"/>
        </w:numPr>
        <w:autoSpaceDE w:val="0"/>
        <w:autoSpaceDN w:val="0"/>
        <w:adjustRightInd w:val="0"/>
        <w:jc w:val="left"/>
        <w:rPr>
          <w:sz w:val="24"/>
          <w:szCs w:val="24"/>
        </w:rPr>
      </w:pPr>
      <w:r w:rsidRPr="00F84F9D">
        <w:rPr>
          <w:sz w:val="24"/>
          <w:szCs w:val="24"/>
        </w:rPr>
        <w:t xml:space="preserve">Lietuvos banko makroekonominės prognozės (2013 m. rugpjūčio mėn. 19 d.) </w:t>
      </w:r>
      <w:hyperlink r:id="rId67" w:history="1">
        <w:r w:rsidRPr="00F84F9D">
          <w:rPr>
            <w:rStyle w:val="Hyperlink"/>
            <w:color w:val="auto"/>
            <w:sz w:val="24"/>
            <w:szCs w:val="24"/>
            <w:u w:val="none"/>
          </w:rPr>
          <w:t>http://lb.lt/makroekonomines_prognozes</w:t>
        </w:r>
      </w:hyperlink>
      <w:r w:rsidRPr="00F84F9D">
        <w:rPr>
          <w:sz w:val="24"/>
          <w:szCs w:val="24"/>
        </w:rPr>
        <w:t xml:space="preserve"> [žiūrėta 2013 11 24] </w:t>
      </w:r>
    </w:p>
    <w:p w:rsidR="00F84F9D" w:rsidRPr="00F84F9D" w:rsidRDefault="00F84F9D" w:rsidP="00F84F9D">
      <w:pPr>
        <w:pStyle w:val="ListParagraph"/>
        <w:numPr>
          <w:ilvl w:val="0"/>
          <w:numId w:val="33"/>
        </w:numPr>
        <w:autoSpaceDE w:val="0"/>
        <w:autoSpaceDN w:val="0"/>
        <w:adjustRightInd w:val="0"/>
        <w:jc w:val="left"/>
        <w:rPr>
          <w:sz w:val="24"/>
          <w:szCs w:val="24"/>
        </w:rPr>
      </w:pPr>
      <w:r w:rsidRPr="00F84F9D">
        <w:rPr>
          <w:sz w:val="24"/>
          <w:szCs w:val="24"/>
        </w:rPr>
        <w:t xml:space="preserve">Lietuvos valstybės skolos įstatymas. </w:t>
      </w:r>
      <w:hyperlink r:id="rId68" w:history="1">
        <w:r w:rsidRPr="00F84F9D">
          <w:rPr>
            <w:rStyle w:val="Hyperlink"/>
            <w:color w:val="auto"/>
            <w:sz w:val="24"/>
            <w:szCs w:val="24"/>
            <w:u w:val="none"/>
          </w:rPr>
          <w:t>http://www3.lrs.lt/pls/inter3/dokpaieska.showdoc_l?p_id=440679</w:t>
        </w:r>
      </w:hyperlink>
      <w:r w:rsidRPr="00F84F9D">
        <w:rPr>
          <w:sz w:val="24"/>
          <w:szCs w:val="24"/>
        </w:rPr>
        <w:t xml:space="preserve"> [žiūrėta 2013 06 05]</w:t>
      </w:r>
    </w:p>
    <w:p w:rsidR="00F84F9D" w:rsidRPr="00F84F9D" w:rsidRDefault="00F84F9D" w:rsidP="00F84F9D">
      <w:pPr>
        <w:pStyle w:val="FootnoteText"/>
        <w:numPr>
          <w:ilvl w:val="0"/>
          <w:numId w:val="33"/>
        </w:numPr>
        <w:autoSpaceDE w:val="0"/>
        <w:autoSpaceDN w:val="0"/>
        <w:adjustRightInd w:val="0"/>
        <w:contextualSpacing/>
        <w:jc w:val="left"/>
        <w:rPr>
          <w:iCs/>
          <w:sz w:val="24"/>
          <w:szCs w:val="24"/>
          <w:lang w:val="en-US"/>
        </w:rPr>
      </w:pPr>
      <w:r w:rsidRPr="00F84F9D">
        <w:rPr>
          <w:sz w:val="24"/>
          <w:szCs w:val="24"/>
        </w:rPr>
        <w:t xml:space="preserve">LR Finansų ministerija. Kredito reitingai. </w:t>
      </w:r>
      <w:hyperlink r:id="rId69" w:history="1">
        <w:r w:rsidRPr="00F84F9D">
          <w:rPr>
            <w:rStyle w:val="Hyperlink"/>
            <w:color w:val="auto"/>
            <w:sz w:val="24"/>
            <w:szCs w:val="24"/>
            <w:u w:val="none"/>
          </w:rPr>
          <w:t>http://www.finmin.lt/c/portal/layout?p_l_id=PUB.1.69</w:t>
        </w:r>
      </w:hyperlink>
      <w:r w:rsidRPr="00F84F9D">
        <w:rPr>
          <w:sz w:val="24"/>
          <w:szCs w:val="24"/>
        </w:rPr>
        <w:t xml:space="preserve"> [žiūrėta 2013 11 20] </w:t>
      </w:r>
    </w:p>
    <w:p w:rsidR="00F84F9D" w:rsidRPr="00F84F9D" w:rsidRDefault="00F84F9D" w:rsidP="00F84F9D">
      <w:pPr>
        <w:pStyle w:val="FootnoteText"/>
        <w:numPr>
          <w:ilvl w:val="0"/>
          <w:numId w:val="33"/>
        </w:numPr>
        <w:autoSpaceDE w:val="0"/>
        <w:autoSpaceDN w:val="0"/>
        <w:adjustRightInd w:val="0"/>
        <w:contextualSpacing/>
        <w:jc w:val="left"/>
        <w:rPr>
          <w:iCs/>
          <w:sz w:val="24"/>
          <w:szCs w:val="24"/>
          <w:lang w:val="en-US"/>
        </w:rPr>
      </w:pPr>
      <w:r w:rsidRPr="00F84F9D">
        <w:rPr>
          <w:iCs/>
          <w:sz w:val="24"/>
          <w:szCs w:val="24"/>
          <w:lang w:val="en-US"/>
        </w:rPr>
        <w:t xml:space="preserve">LR Finansų ministerija. Valstybės skola, 2010, 3 p. </w:t>
      </w:r>
      <w:hyperlink r:id="rId70" w:history="1">
        <w:r w:rsidRPr="00F84F9D">
          <w:rPr>
            <w:rStyle w:val="Hyperlink"/>
            <w:color w:val="auto"/>
            <w:sz w:val="24"/>
            <w:szCs w:val="24"/>
            <w:u w:val="none"/>
          </w:rPr>
          <w:t>http://www.finmin.lt/finmin.lt/failai/leidiniai/failai/FM_Skolos_leidinys_2010.pdf</w:t>
        </w:r>
      </w:hyperlink>
      <w:r w:rsidRPr="00F84F9D">
        <w:rPr>
          <w:sz w:val="24"/>
          <w:szCs w:val="24"/>
        </w:rPr>
        <w:t xml:space="preserve"> [žiūrėta 2013 11 15] </w:t>
      </w:r>
    </w:p>
    <w:p w:rsidR="00F84F9D" w:rsidRPr="00F84F9D" w:rsidRDefault="00F84F9D" w:rsidP="00F84F9D">
      <w:pPr>
        <w:pStyle w:val="FootnoteText"/>
        <w:numPr>
          <w:ilvl w:val="0"/>
          <w:numId w:val="33"/>
        </w:numPr>
        <w:autoSpaceDE w:val="0"/>
        <w:autoSpaceDN w:val="0"/>
        <w:adjustRightInd w:val="0"/>
        <w:contextualSpacing/>
        <w:jc w:val="left"/>
        <w:rPr>
          <w:iCs/>
          <w:sz w:val="24"/>
          <w:szCs w:val="24"/>
          <w:lang w:val="en-US"/>
        </w:rPr>
      </w:pPr>
      <w:r w:rsidRPr="00F84F9D">
        <w:rPr>
          <w:iCs/>
          <w:sz w:val="24"/>
          <w:szCs w:val="24"/>
          <w:lang w:val="en-US"/>
        </w:rPr>
        <w:t xml:space="preserve">LR Finansų ministerija. Valstybės skola, 2011, 5 p. </w:t>
      </w:r>
      <w:hyperlink r:id="rId71" w:history="1">
        <w:r w:rsidRPr="00F84F9D">
          <w:rPr>
            <w:rStyle w:val="Hyperlink"/>
            <w:color w:val="auto"/>
            <w:sz w:val="24"/>
            <w:szCs w:val="24"/>
            <w:u w:val="none"/>
          </w:rPr>
          <w:t>http://www.finmin.lt/finmin.lt/failai/leidiniai/failai/fm_valstybes_skola_2011.pdf</w:t>
        </w:r>
      </w:hyperlink>
      <w:r w:rsidRPr="00F84F9D">
        <w:rPr>
          <w:sz w:val="24"/>
          <w:szCs w:val="24"/>
        </w:rPr>
        <w:t xml:space="preserve"> [žiūrėta 2013 11 15] </w:t>
      </w:r>
    </w:p>
    <w:p w:rsidR="00F84F9D" w:rsidRPr="00F84F9D" w:rsidRDefault="00F84F9D" w:rsidP="00F84F9D">
      <w:pPr>
        <w:pStyle w:val="ListParagraph"/>
        <w:numPr>
          <w:ilvl w:val="0"/>
          <w:numId w:val="33"/>
        </w:numPr>
        <w:autoSpaceDE w:val="0"/>
        <w:autoSpaceDN w:val="0"/>
        <w:adjustRightInd w:val="0"/>
        <w:jc w:val="left"/>
        <w:rPr>
          <w:sz w:val="24"/>
          <w:szCs w:val="24"/>
        </w:rPr>
      </w:pPr>
      <w:r w:rsidRPr="00F84F9D">
        <w:rPr>
          <w:iCs/>
          <w:sz w:val="24"/>
          <w:szCs w:val="24"/>
          <w:lang w:val="en-US"/>
        </w:rPr>
        <w:t xml:space="preserve">Manual on Effective Debt Management. Economic and Social Commission for Asia and the Pasific. // New York: United Nations, 2006, 78-83 p. URL: </w:t>
      </w:r>
      <w:hyperlink r:id="rId72" w:history="1">
        <w:r w:rsidRPr="00F84F9D">
          <w:rPr>
            <w:rStyle w:val="Hyperlink"/>
            <w:color w:val="auto"/>
            <w:sz w:val="24"/>
            <w:szCs w:val="24"/>
            <w:u w:val="none"/>
          </w:rPr>
          <w:t>http://www.unescap.org/pdd/publications/Debt_manual/Manual_debt.pdf</w:t>
        </w:r>
      </w:hyperlink>
      <w:r w:rsidRPr="00F84F9D">
        <w:rPr>
          <w:sz w:val="24"/>
          <w:szCs w:val="24"/>
        </w:rPr>
        <w:t xml:space="preserve"> [žiūrėta 2013 11 15]</w:t>
      </w:r>
    </w:p>
    <w:p w:rsidR="00F84F9D" w:rsidRPr="00F84F9D" w:rsidRDefault="00F84F9D" w:rsidP="00F84F9D">
      <w:pPr>
        <w:pStyle w:val="ListParagraph"/>
        <w:numPr>
          <w:ilvl w:val="0"/>
          <w:numId w:val="33"/>
        </w:numPr>
        <w:autoSpaceDE w:val="0"/>
        <w:autoSpaceDN w:val="0"/>
        <w:adjustRightInd w:val="0"/>
        <w:jc w:val="left"/>
        <w:rPr>
          <w:sz w:val="24"/>
          <w:szCs w:val="24"/>
        </w:rPr>
      </w:pPr>
      <w:r w:rsidRPr="00F84F9D">
        <w:rPr>
          <w:sz w:val="24"/>
          <w:szCs w:val="24"/>
        </w:rPr>
        <w:t xml:space="preserve">Martin, F.M. A positive theory of government debt. - Simon Fraser university, 2009, March 9., 1 p. URL: </w:t>
      </w:r>
      <w:hyperlink r:id="rId73" w:history="1">
        <w:r w:rsidRPr="00F84F9D">
          <w:rPr>
            <w:rStyle w:val="Hyperlink"/>
            <w:color w:val="auto"/>
            <w:sz w:val="24"/>
            <w:szCs w:val="24"/>
            <w:u w:val="none"/>
          </w:rPr>
          <w:t>http://www.sfu.ca/~fmartin/Documents/debt.pdf</w:t>
        </w:r>
      </w:hyperlink>
      <w:r w:rsidRPr="00F84F9D">
        <w:rPr>
          <w:sz w:val="24"/>
          <w:szCs w:val="24"/>
        </w:rPr>
        <w:t xml:space="preserve"> [žiūrėta 2013 06 05]</w:t>
      </w:r>
    </w:p>
    <w:p w:rsidR="00F84F9D" w:rsidRPr="00F84F9D" w:rsidRDefault="00F84F9D" w:rsidP="00F84F9D">
      <w:pPr>
        <w:pStyle w:val="ListParagraph"/>
        <w:numPr>
          <w:ilvl w:val="0"/>
          <w:numId w:val="33"/>
        </w:numPr>
        <w:autoSpaceDE w:val="0"/>
        <w:autoSpaceDN w:val="0"/>
        <w:adjustRightInd w:val="0"/>
        <w:jc w:val="left"/>
        <w:rPr>
          <w:sz w:val="24"/>
          <w:szCs w:val="24"/>
        </w:rPr>
      </w:pPr>
      <w:r w:rsidRPr="00F84F9D">
        <w:rPr>
          <w:sz w:val="24"/>
          <w:szCs w:val="24"/>
        </w:rPr>
        <w:t xml:space="preserve">Misiūnas A., Rukšaitė A.  Sutrikimų ekonomikoje vertinimo galimybės. – Vilniaus universitetas, 2005, 257 p. URL: </w:t>
      </w:r>
      <w:hyperlink r:id="rId74" w:history="1">
        <w:r w:rsidRPr="00F84F9D">
          <w:rPr>
            <w:rStyle w:val="Hyperlink"/>
            <w:color w:val="auto"/>
            <w:sz w:val="24"/>
            <w:szCs w:val="24"/>
            <w:u w:val="none"/>
          </w:rPr>
          <w:t>http://etalpykla.lituanistikdb.lt/fedora/objects/LT-LDB-0001:J.04~2005~1367151300204/datastreams/DS.002.0.01.ARTIC/content</w:t>
        </w:r>
      </w:hyperlink>
      <w:r w:rsidRPr="00F84F9D">
        <w:rPr>
          <w:sz w:val="24"/>
          <w:szCs w:val="24"/>
        </w:rPr>
        <w:t xml:space="preserve"> [žiūrėta 2013 10 30]</w:t>
      </w:r>
    </w:p>
    <w:p w:rsidR="00F84F9D" w:rsidRPr="00F84F9D" w:rsidRDefault="00F84F9D" w:rsidP="00F84F9D">
      <w:pPr>
        <w:pStyle w:val="ListParagraph"/>
        <w:numPr>
          <w:ilvl w:val="0"/>
          <w:numId w:val="33"/>
        </w:numPr>
        <w:autoSpaceDE w:val="0"/>
        <w:autoSpaceDN w:val="0"/>
        <w:adjustRightInd w:val="0"/>
        <w:jc w:val="left"/>
        <w:rPr>
          <w:sz w:val="24"/>
          <w:szCs w:val="24"/>
        </w:rPr>
      </w:pPr>
      <w:r w:rsidRPr="00F84F9D">
        <w:rPr>
          <w:sz w:val="24"/>
          <w:szCs w:val="24"/>
        </w:rPr>
        <w:t xml:space="preserve">Navickas V., Štuopytė T. Valstybės skolos ir biudžeto deficito įtaka šalies ekonomikai // </w:t>
      </w:r>
      <w:r w:rsidRPr="00F84F9D">
        <w:rPr>
          <w:sz w:val="24"/>
          <w:szCs w:val="24"/>
        </w:rPr>
        <w:lastRenderedPageBreak/>
        <w:t xml:space="preserve">Socialiniai mokslai, 2000, Nr. 5, 36 - 37 p. URL: </w:t>
      </w:r>
      <w:hyperlink r:id="rId75" w:history="1">
        <w:r w:rsidRPr="00F84F9D">
          <w:rPr>
            <w:rStyle w:val="Hyperlink"/>
            <w:color w:val="auto"/>
            <w:sz w:val="24"/>
            <w:szCs w:val="24"/>
            <w:u w:val="none"/>
          </w:rPr>
          <w:t>http://info.smf.ktu.lt/Edukin/zurnalas/archive/pdf/2000%205%20(26)/4%20Navickas,Stuopyte.pdf</w:t>
        </w:r>
      </w:hyperlink>
      <w:r w:rsidRPr="00F84F9D">
        <w:rPr>
          <w:sz w:val="24"/>
          <w:szCs w:val="24"/>
        </w:rPr>
        <w:t xml:space="preserve"> [žiūrėta 2013 06 10]</w:t>
      </w:r>
    </w:p>
    <w:p w:rsidR="00F84F9D" w:rsidRPr="00F84F9D" w:rsidRDefault="00F84F9D" w:rsidP="00F84F9D">
      <w:pPr>
        <w:pStyle w:val="ListParagraph"/>
        <w:numPr>
          <w:ilvl w:val="0"/>
          <w:numId w:val="33"/>
        </w:numPr>
        <w:autoSpaceDE w:val="0"/>
        <w:autoSpaceDN w:val="0"/>
        <w:adjustRightInd w:val="0"/>
        <w:jc w:val="left"/>
        <w:rPr>
          <w:sz w:val="24"/>
          <w:szCs w:val="24"/>
        </w:rPr>
      </w:pPr>
      <w:r w:rsidRPr="00F84F9D">
        <w:rPr>
          <w:sz w:val="24"/>
          <w:szCs w:val="24"/>
        </w:rPr>
        <w:t xml:space="preserve">Population on January 1. </w:t>
      </w:r>
      <w:hyperlink r:id="rId76" w:history="1">
        <w:r w:rsidRPr="00F84F9D">
          <w:rPr>
            <w:rStyle w:val="Hyperlink"/>
            <w:color w:val="auto"/>
            <w:sz w:val="24"/>
            <w:szCs w:val="24"/>
            <w:u w:val="none"/>
          </w:rPr>
          <w:t>http://epp.eurostat.ec.europa.eu/tgm/table.do?tab=table&amp;language=en&amp;pcode=tps00001&amp;tableSelection=1&amp;footnotes=yes&amp;labeling=labels&amp;plugin=1</w:t>
        </w:r>
      </w:hyperlink>
      <w:r w:rsidRPr="00F84F9D">
        <w:rPr>
          <w:sz w:val="24"/>
          <w:szCs w:val="24"/>
        </w:rPr>
        <w:t xml:space="preserve"> [žiūrėta 2013 10 25]</w:t>
      </w:r>
    </w:p>
    <w:p w:rsidR="00F84F9D" w:rsidRPr="00F84F9D" w:rsidRDefault="00F84F9D" w:rsidP="00F84F9D">
      <w:pPr>
        <w:pStyle w:val="ListParagraph"/>
        <w:numPr>
          <w:ilvl w:val="0"/>
          <w:numId w:val="33"/>
        </w:numPr>
        <w:autoSpaceDE w:val="0"/>
        <w:autoSpaceDN w:val="0"/>
        <w:adjustRightInd w:val="0"/>
        <w:jc w:val="left"/>
        <w:rPr>
          <w:sz w:val="24"/>
          <w:szCs w:val="24"/>
        </w:rPr>
      </w:pPr>
      <w:r w:rsidRPr="00F84F9D">
        <w:rPr>
          <w:sz w:val="24"/>
          <w:szCs w:val="24"/>
        </w:rPr>
        <w:t xml:space="preserve">Radzevičiūtė, A. Estija ir Baltarusija: pasirinktas kelias. </w:t>
      </w:r>
      <w:hyperlink r:id="rId77" w:history="1">
        <w:r w:rsidRPr="00F84F9D">
          <w:rPr>
            <w:rStyle w:val="Hyperlink"/>
            <w:color w:val="auto"/>
            <w:sz w:val="24"/>
            <w:szCs w:val="24"/>
            <w:u w:val="none"/>
          </w:rPr>
          <w:t>http://www.delfi.lt/verslas/verslas/estija-ir-baltarusija-pasirinktas-kelias.d?id=59758815</w:t>
        </w:r>
      </w:hyperlink>
      <w:r w:rsidRPr="00F84F9D">
        <w:rPr>
          <w:sz w:val="24"/>
          <w:szCs w:val="24"/>
        </w:rPr>
        <w:t xml:space="preserve"> [žiūrėta 2013 11 10] </w:t>
      </w:r>
    </w:p>
    <w:p w:rsidR="00F84F9D" w:rsidRPr="00F84F9D" w:rsidRDefault="00F84F9D" w:rsidP="00F84F9D">
      <w:pPr>
        <w:pStyle w:val="ListParagraph"/>
        <w:numPr>
          <w:ilvl w:val="0"/>
          <w:numId w:val="33"/>
        </w:numPr>
        <w:autoSpaceDE w:val="0"/>
        <w:autoSpaceDN w:val="0"/>
        <w:adjustRightInd w:val="0"/>
        <w:jc w:val="left"/>
        <w:rPr>
          <w:sz w:val="24"/>
          <w:szCs w:val="24"/>
        </w:rPr>
      </w:pPr>
      <w:r w:rsidRPr="00F84F9D">
        <w:rPr>
          <w:sz w:val="24"/>
          <w:szCs w:val="24"/>
          <w:lang w:val="en-US"/>
        </w:rPr>
        <w:t xml:space="preserve">Reinhart, C.M., Rogoff, K.S. Growth in a time of debt. // </w:t>
      </w:r>
      <w:r w:rsidRPr="00F84F9D">
        <w:rPr>
          <w:iCs/>
          <w:sz w:val="24"/>
          <w:szCs w:val="24"/>
        </w:rPr>
        <w:t xml:space="preserve">American Economic Review: Papers &amp; Proceedings 100, 2000, May, 573–578 p. </w:t>
      </w:r>
      <w:r w:rsidRPr="00F84F9D">
        <w:rPr>
          <w:sz w:val="24"/>
          <w:szCs w:val="24"/>
        </w:rPr>
        <w:t xml:space="preserve">URL: </w:t>
      </w:r>
      <w:hyperlink r:id="rId78" w:history="1">
        <w:r w:rsidRPr="00F84F9D">
          <w:rPr>
            <w:rStyle w:val="Hyperlink"/>
            <w:color w:val="auto"/>
            <w:sz w:val="24"/>
            <w:szCs w:val="24"/>
            <w:u w:val="none"/>
          </w:rPr>
          <w:t>http://www.ycsg.yale.edu/center/forms/growth-debt.pdf</w:t>
        </w:r>
      </w:hyperlink>
      <w:r w:rsidRPr="00F84F9D">
        <w:rPr>
          <w:sz w:val="24"/>
          <w:szCs w:val="24"/>
        </w:rPr>
        <w:t xml:space="preserve"> [žiūrėta 2013 06 05]</w:t>
      </w:r>
    </w:p>
    <w:p w:rsidR="00F84F9D" w:rsidRPr="00F84F9D" w:rsidRDefault="00F84F9D" w:rsidP="00F84F9D">
      <w:pPr>
        <w:pStyle w:val="ListParagraph"/>
        <w:numPr>
          <w:ilvl w:val="0"/>
          <w:numId w:val="33"/>
        </w:numPr>
        <w:autoSpaceDE w:val="0"/>
        <w:autoSpaceDN w:val="0"/>
        <w:adjustRightInd w:val="0"/>
        <w:jc w:val="left"/>
        <w:rPr>
          <w:sz w:val="24"/>
          <w:szCs w:val="24"/>
        </w:rPr>
      </w:pPr>
      <w:r w:rsidRPr="00F84F9D">
        <w:rPr>
          <w:sz w:val="24"/>
          <w:szCs w:val="24"/>
        </w:rPr>
        <w:t xml:space="preserve">State budget strategy 2013 – 2016, Republic of Estonia, Tallin, 2012, 52 p. URL: </w:t>
      </w:r>
      <w:hyperlink r:id="rId79" w:history="1">
        <w:r w:rsidRPr="00F84F9D">
          <w:rPr>
            <w:rStyle w:val="Hyperlink"/>
            <w:color w:val="auto"/>
            <w:sz w:val="24"/>
            <w:szCs w:val="24"/>
            <w:u w:val="none"/>
          </w:rPr>
          <w:t>http://www.fin.ee/budgeting</w:t>
        </w:r>
      </w:hyperlink>
      <w:r w:rsidRPr="00F84F9D">
        <w:rPr>
          <w:sz w:val="24"/>
          <w:szCs w:val="24"/>
        </w:rPr>
        <w:t xml:space="preserve"> [žiūrėta 2013 11 30]</w:t>
      </w:r>
    </w:p>
    <w:p w:rsidR="00F84F9D" w:rsidRPr="00F84F9D" w:rsidRDefault="00F84F9D" w:rsidP="00F84F9D">
      <w:pPr>
        <w:pStyle w:val="ListParagraph"/>
        <w:numPr>
          <w:ilvl w:val="0"/>
          <w:numId w:val="33"/>
        </w:numPr>
        <w:autoSpaceDE w:val="0"/>
        <w:autoSpaceDN w:val="0"/>
        <w:adjustRightInd w:val="0"/>
        <w:jc w:val="left"/>
        <w:rPr>
          <w:sz w:val="24"/>
          <w:szCs w:val="24"/>
        </w:rPr>
      </w:pPr>
      <w:r w:rsidRPr="00F84F9D">
        <w:rPr>
          <w:sz w:val="24"/>
          <w:szCs w:val="24"/>
        </w:rPr>
        <w:t xml:space="preserve">State budget strategy 2014 – 2017, Republic of Estonia, Tallin, 2013, 62 – 63 p. URL: </w:t>
      </w:r>
      <w:hyperlink r:id="rId80" w:history="1">
        <w:r w:rsidRPr="00F84F9D">
          <w:rPr>
            <w:rStyle w:val="Hyperlink"/>
            <w:color w:val="auto"/>
            <w:sz w:val="24"/>
            <w:szCs w:val="24"/>
            <w:u w:val="none"/>
          </w:rPr>
          <w:t>http://www.fin.ee/budgeting</w:t>
        </w:r>
      </w:hyperlink>
      <w:r w:rsidRPr="00F84F9D">
        <w:rPr>
          <w:sz w:val="24"/>
          <w:szCs w:val="24"/>
        </w:rPr>
        <w:t xml:space="preserve">  [žiūrėta 2013 11 30]</w:t>
      </w:r>
    </w:p>
    <w:p w:rsidR="00F84F9D" w:rsidRPr="00F84F9D" w:rsidRDefault="00F84F9D" w:rsidP="00F84F9D">
      <w:pPr>
        <w:pStyle w:val="ListParagraph"/>
        <w:numPr>
          <w:ilvl w:val="0"/>
          <w:numId w:val="33"/>
        </w:numPr>
        <w:autoSpaceDE w:val="0"/>
        <w:autoSpaceDN w:val="0"/>
        <w:adjustRightInd w:val="0"/>
        <w:jc w:val="left"/>
        <w:rPr>
          <w:sz w:val="24"/>
          <w:szCs w:val="24"/>
        </w:rPr>
      </w:pPr>
      <w:r w:rsidRPr="00F84F9D">
        <w:rPr>
          <w:sz w:val="24"/>
          <w:szCs w:val="24"/>
        </w:rPr>
        <w:t>Štuopytė, Ž. Valstybės skolinimosi poveikio verslo aplinkai prognozavimas. Mokomoji knyga - Kaunas: Technologija, 2004. - 18 – 27 p.</w:t>
      </w:r>
    </w:p>
    <w:p w:rsidR="00F84F9D" w:rsidRPr="00F84F9D" w:rsidRDefault="00F84F9D" w:rsidP="00F84F9D">
      <w:pPr>
        <w:pStyle w:val="ListParagraph"/>
        <w:numPr>
          <w:ilvl w:val="0"/>
          <w:numId w:val="33"/>
        </w:numPr>
        <w:autoSpaceDE w:val="0"/>
        <w:autoSpaceDN w:val="0"/>
        <w:adjustRightInd w:val="0"/>
        <w:jc w:val="left"/>
        <w:rPr>
          <w:sz w:val="24"/>
          <w:szCs w:val="24"/>
        </w:rPr>
      </w:pPr>
      <w:r w:rsidRPr="00F84F9D">
        <w:rPr>
          <w:sz w:val="24"/>
          <w:szCs w:val="24"/>
        </w:rPr>
        <w:t xml:space="preserve">The Treasury of the Republic of Latvia. Report of central Government debt management 2012. </w:t>
      </w:r>
      <w:hyperlink r:id="rId81" w:history="1">
        <w:r w:rsidRPr="00F84F9D">
          <w:rPr>
            <w:rStyle w:val="Hyperlink"/>
            <w:color w:val="auto"/>
            <w:sz w:val="24"/>
            <w:szCs w:val="24"/>
            <w:u w:val="none"/>
          </w:rPr>
          <w:t>http://www.kase.gov.lv/uploaded_files/Parskati/VK_2012.pdf</w:t>
        </w:r>
      </w:hyperlink>
      <w:r w:rsidRPr="00F84F9D">
        <w:rPr>
          <w:sz w:val="24"/>
          <w:szCs w:val="24"/>
        </w:rPr>
        <w:t xml:space="preserve"> [žiūrėta 2013 11 23]</w:t>
      </w:r>
    </w:p>
    <w:p w:rsidR="00F84F9D" w:rsidRPr="00F84F9D" w:rsidRDefault="00F84F9D" w:rsidP="00F84F9D">
      <w:pPr>
        <w:pStyle w:val="ListParagraph"/>
        <w:numPr>
          <w:ilvl w:val="0"/>
          <w:numId w:val="33"/>
        </w:numPr>
        <w:autoSpaceDE w:val="0"/>
        <w:autoSpaceDN w:val="0"/>
        <w:adjustRightInd w:val="0"/>
        <w:jc w:val="left"/>
        <w:rPr>
          <w:sz w:val="24"/>
          <w:szCs w:val="24"/>
        </w:rPr>
      </w:pPr>
      <w:r w:rsidRPr="00F84F9D">
        <w:rPr>
          <w:sz w:val="24"/>
          <w:szCs w:val="24"/>
        </w:rPr>
        <w:t xml:space="preserve">The Treasury of the Republic of Latvia. Rating. </w:t>
      </w:r>
      <w:hyperlink r:id="rId82" w:history="1">
        <w:r w:rsidRPr="00F84F9D">
          <w:rPr>
            <w:rStyle w:val="Hyperlink"/>
            <w:color w:val="auto"/>
            <w:sz w:val="24"/>
            <w:szCs w:val="24"/>
            <w:u w:val="none"/>
          </w:rPr>
          <w:t>http://www.kase.gov.lv/l/rating/273</w:t>
        </w:r>
      </w:hyperlink>
      <w:r w:rsidRPr="00F84F9D">
        <w:rPr>
          <w:sz w:val="24"/>
          <w:szCs w:val="24"/>
        </w:rPr>
        <w:t xml:space="preserve"> [žiūrėta 2013 11 23]</w:t>
      </w:r>
    </w:p>
    <w:p w:rsidR="00F84F9D" w:rsidRPr="00F84F9D" w:rsidRDefault="00F84F9D" w:rsidP="00F84F9D">
      <w:pPr>
        <w:pStyle w:val="ListParagraph"/>
        <w:numPr>
          <w:ilvl w:val="0"/>
          <w:numId w:val="33"/>
        </w:numPr>
        <w:autoSpaceDE w:val="0"/>
        <w:autoSpaceDN w:val="0"/>
        <w:adjustRightInd w:val="0"/>
        <w:jc w:val="left"/>
        <w:rPr>
          <w:sz w:val="24"/>
          <w:szCs w:val="24"/>
        </w:rPr>
      </w:pPr>
      <w:r w:rsidRPr="00F84F9D">
        <w:rPr>
          <w:iCs/>
          <w:sz w:val="24"/>
          <w:szCs w:val="24"/>
        </w:rPr>
        <w:t xml:space="preserve">Togo, E.. Coordinating public debt management with fiscal and monetary policies: an analytical framework. //  The World Bank, Banking and debt management department, Debt management advisory services, 2007, Policy Research working paper 4369, 5 p. </w:t>
      </w:r>
      <w:r w:rsidRPr="00F84F9D">
        <w:rPr>
          <w:sz w:val="24"/>
          <w:szCs w:val="24"/>
        </w:rPr>
        <w:t xml:space="preserve">URL: </w:t>
      </w:r>
      <w:hyperlink r:id="rId83" w:history="1">
        <w:r w:rsidRPr="00F84F9D">
          <w:rPr>
            <w:rStyle w:val="Hyperlink"/>
            <w:color w:val="auto"/>
            <w:sz w:val="24"/>
            <w:szCs w:val="24"/>
            <w:u w:val="none"/>
          </w:rPr>
          <w:t>http://treasury.worldbank.org/bdm/pdf/3_CoordinatingPDMwithFiscalandMonetaryPolicies_Togo.pdf</w:t>
        </w:r>
      </w:hyperlink>
      <w:r w:rsidRPr="00F84F9D">
        <w:rPr>
          <w:sz w:val="24"/>
          <w:szCs w:val="24"/>
        </w:rPr>
        <w:t xml:space="preserve"> [žiūrėta 2013 06 07]</w:t>
      </w:r>
    </w:p>
    <w:p w:rsidR="00F84F9D" w:rsidRPr="00F84F9D" w:rsidRDefault="00F84F9D" w:rsidP="00F84F9D">
      <w:pPr>
        <w:pStyle w:val="ListParagraph"/>
        <w:numPr>
          <w:ilvl w:val="0"/>
          <w:numId w:val="33"/>
        </w:numPr>
        <w:autoSpaceDE w:val="0"/>
        <w:autoSpaceDN w:val="0"/>
        <w:adjustRightInd w:val="0"/>
        <w:jc w:val="left"/>
        <w:rPr>
          <w:sz w:val="24"/>
          <w:szCs w:val="24"/>
        </w:rPr>
      </w:pPr>
      <w:r w:rsidRPr="00F84F9D">
        <w:rPr>
          <w:sz w:val="24"/>
          <w:szCs w:val="24"/>
        </w:rPr>
        <w:t xml:space="preserve">Total population on January 1 </w:t>
      </w:r>
      <w:hyperlink r:id="rId84" w:history="1">
        <w:r w:rsidRPr="00F84F9D">
          <w:rPr>
            <w:rStyle w:val="Hyperlink"/>
            <w:color w:val="auto"/>
            <w:sz w:val="24"/>
            <w:szCs w:val="24"/>
            <w:u w:val="none"/>
          </w:rPr>
          <w:t>http://epp.eurostat.ec.europa.eu/tgm/table.do?tab=table&amp;language=en&amp;pcode=tps00001&amp;tableSelection=1&amp;footnotes=yes&amp;labeling=labels&amp;plugin=1</w:t>
        </w:r>
      </w:hyperlink>
      <w:r w:rsidRPr="00F84F9D">
        <w:rPr>
          <w:sz w:val="24"/>
          <w:szCs w:val="24"/>
        </w:rPr>
        <w:t xml:space="preserve"> [žiūrėta 2013 06 07]</w:t>
      </w:r>
    </w:p>
    <w:p w:rsidR="00F84F9D" w:rsidRPr="00F84F9D" w:rsidRDefault="00F84F9D" w:rsidP="00F84F9D">
      <w:pPr>
        <w:pStyle w:val="ListParagraph"/>
        <w:numPr>
          <w:ilvl w:val="0"/>
          <w:numId w:val="33"/>
        </w:numPr>
        <w:autoSpaceDE w:val="0"/>
        <w:autoSpaceDN w:val="0"/>
        <w:adjustRightInd w:val="0"/>
        <w:jc w:val="left"/>
        <w:rPr>
          <w:sz w:val="24"/>
          <w:szCs w:val="24"/>
        </w:rPr>
      </w:pPr>
      <w:r w:rsidRPr="00F84F9D">
        <w:rPr>
          <w:iCs/>
          <w:sz w:val="24"/>
          <w:szCs w:val="24"/>
        </w:rPr>
        <w:t xml:space="preserve">Wolswijk, G., Haan, J. Government debt management in the Euro area. Recent theoretical developments and changes in practises. // European central bank, Occasional paper series, 2005, No. 25, 6 – 7 p. </w:t>
      </w:r>
      <w:r w:rsidRPr="00F84F9D">
        <w:rPr>
          <w:sz w:val="24"/>
          <w:szCs w:val="24"/>
        </w:rPr>
        <w:t xml:space="preserve">URL: </w:t>
      </w:r>
      <w:hyperlink r:id="rId85" w:history="1">
        <w:r w:rsidRPr="00F84F9D">
          <w:rPr>
            <w:rStyle w:val="Hyperlink"/>
            <w:iCs/>
            <w:color w:val="auto"/>
            <w:sz w:val="24"/>
            <w:szCs w:val="24"/>
            <w:u w:val="none"/>
          </w:rPr>
          <w:t>http://www.ecb.int/pub/pdf/scpops/ecbocp25.pdf</w:t>
        </w:r>
      </w:hyperlink>
      <w:r w:rsidRPr="00F84F9D">
        <w:rPr>
          <w:sz w:val="24"/>
          <w:szCs w:val="24"/>
        </w:rPr>
        <w:t xml:space="preserve"> </w:t>
      </w:r>
    </w:p>
    <w:p w:rsidR="00F84F9D" w:rsidRPr="00F84F9D" w:rsidRDefault="00F84F9D" w:rsidP="00F84F9D">
      <w:pPr>
        <w:pStyle w:val="ListParagraph"/>
        <w:numPr>
          <w:ilvl w:val="0"/>
          <w:numId w:val="33"/>
        </w:numPr>
        <w:autoSpaceDE w:val="0"/>
        <w:autoSpaceDN w:val="0"/>
        <w:adjustRightInd w:val="0"/>
        <w:jc w:val="left"/>
        <w:rPr>
          <w:sz w:val="24"/>
          <w:szCs w:val="24"/>
        </w:rPr>
      </w:pPr>
      <w:r w:rsidRPr="00F84F9D">
        <w:rPr>
          <w:sz w:val="24"/>
          <w:szCs w:val="24"/>
        </w:rPr>
        <w:t xml:space="preserve">Verslo žinios. Fitch pagerino Lietuvos skolinimosi reitingus. </w:t>
      </w:r>
      <w:hyperlink r:id="rId86" w:history="1">
        <w:r w:rsidRPr="00F84F9D">
          <w:rPr>
            <w:rStyle w:val="Hyperlink"/>
            <w:color w:val="auto"/>
            <w:sz w:val="24"/>
            <w:szCs w:val="24"/>
            <w:u w:val="none"/>
          </w:rPr>
          <w:t>http://vz.lt/article/2013/4/5/fitch-pagerino-lietuvos-skolinimosi-reitingus</w:t>
        </w:r>
      </w:hyperlink>
      <w:r w:rsidRPr="00F84F9D">
        <w:rPr>
          <w:sz w:val="24"/>
          <w:szCs w:val="24"/>
        </w:rPr>
        <w:t xml:space="preserve"> [žiūrėta 2013 11 24]</w:t>
      </w:r>
    </w:p>
    <w:p w:rsidR="00F84F9D" w:rsidRPr="00F84F9D" w:rsidRDefault="00F84F9D" w:rsidP="00F84F9D">
      <w:pPr>
        <w:pStyle w:val="ListParagraph"/>
        <w:numPr>
          <w:ilvl w:val="0"/>
          <w:numId w:val="33"/>
        </w:numPr>
        <w:autoSpaceDE w:val="0"/>
        <w:autoSpaceDN w:val="0"/>
        <w:adjustRightInd w:val="0"/>
        <w:jc w:val="left"/>
        <w:rPr>
          <w:sz w:val="24"/>
          <w:szCs w:val="24"/>
        </w:rPr>
      </w:pPr>
      <w:r w:rsidRPr="00F84F9D">
        <w:rPr>
          <w:sz w:val="24"/>
          <w:szCs w:val="24"/>
        </w:rPr>
        <w:t xml:space="preserve">Warnica, R. Is the „Estonian miracle“ just smart management? </w:t>
      </w:r>
      <w:hyperlink r:id="rId87" w:history="1">
        <w:r w:rsidRPr="00F84F9D">
          <w:rPr>
            <w:rStyle w:val="Hyperlink"/>
            <w:color w:val="auto"/>
            <w:sz w:val="24"/>
            <w:szCs w:val="24"/>
            <w:u w:val="none"/>
          </w:rPr>
          <w:t>http://www2.macleans.ca/2011/11/15/miracle%E2%80%94or-just-smart-management/</w:t>
        </w:r>
      </w:hyperlink>
      <w:r w:rsidRPr="00F84F9D">
        <w:rPr>
          <w:sz w:val="24"/>
          <w:szCs w:val="24"/>
        </w:rPr>
        <w:t xml:space="preserve"> [žiūrėta 2013 11 26]</w:t>
      </w:r>
    </w:p>
    <w:p w:rsidR="00F84F9D" w:rsidRPr="00F84F9D" w:rsidRDefault="00F84F9D" w:rsidP="00F84F9D">
      <w:pPr>
        <w:autoSpaceDE w:val="0"/>
        <w:autoSpaceDN w:val="0"/>
        <w:adjustRightInd w:val="0"/>
        <w:spacing w:line="360" w:lineRule="auto"/>
        <w:ind w:firstLine="0"/>
        <w:rPr>
          <w:b/>
          <w:iCs/>
          <w:sz w:val="24"/>
          <w:szCs w:val="24"/>
          <w:lang w:val="en-US"/>
        </w:rPr>
      </w:pPr>
    </w:p>
    <w:p w:rsidR="00F84F9D" w:rsidRPr="00F84F9D" w:rsidRDefault="00F84F9D" w:rsidP="00F84F9D">
      <w:pPr>
        <w:autoSpaceDE w:val="0"/>
        <w:autoSpaceDN w:val="0"/>
        <w:adjustRightInd w:val="0"/>
        <w:spacing w:line="360" w:lineRule="auto"/>
        <w:ind w:firstLine="0"/>
        <w:rPr>
          <w:b/>
          <w:iCs/>
          <w:sz w:val="24"/>
          <w:szCs w:val="24"/>
          <w:lang w:val="en-US"/>
        </w:rPr>
      </w:pPr>
    </w:p>
    <w:p w:rsidR="00F84F9D" w:rsidRPr="00F84F9D" w:rsidRDefault="00F84F9D" w:rsidP="00F84F9D">
      <w:pPr>
        <w:autoSpaceDE w:val="0"/>
        <w:autoSpaceDN w:val="0"/>
        <w:adjustRightInd w:val="0"/>
        <w:spacing w:line="360" w:lineRule="auto"/>
        <w:ind w:firstLine="0"/>
        <w:rPr>
          <w:b/>
          <w:iCs/>
          <w:sz w:val="24"/>
          <w:szCs w:val="24"/>
          <w:lang w:val="en-US"/>
        </w:rPr>
      </w:pPr>
    </w:p>
    <w:p w:rsidR="00F84F9D" w:rsidRPr="00F84F9D" w:rsidRDefault="00F84F9D" w:rsidP="00F84F9D">
      <w:pPr>
        <w:autoSpaceDE w:val="0"/>
        <w:autoSpaceDN w:val="0"/>
        <w:adjustRightInd w:val="0"/>
        <w:spacing w:line="360" w:lineRule="auto"/>
        <w:ind w:firstLine="0"/>
        <w:rPr>
          <w:b/>
          <w:iCs/>
          <w:sz w:val="24"/>
          <w:szCs w:val="24"/>
          <w:lang w:val="en-US"/>
        </w:rPr>
      </w:pPr>
    </w:p>
    <w:p w:rsidR="00F84F9D" w:rsidRPr="00267AC1" w:rsidRDefault="00F84F9D" w:rsidP="00F84F9D">
      <w:pPr>
        <w:autoSpaceDE w:val="0"/>
        <w:autoSpaceDN w:val="0"/>
        <w:adjustRightInd w:val="0"/>
        <w:spacing w:line="360" w:lineRule="auto"/>
        <w:ind w:firstLine="0"/>
        <w:rPr>
          <w:b/>
          <w:iCs/>
          <w:sz w:val="24"/>
          <w:szCs w:val="24"/>
          <w:lang w:val="en-US"/>
        </w:rPr>
      </w:pPr>
    </w:p>
    <w:p w:rsidR="00FE6955" w:rsidRDefault="00FE6955" w:rsidP="0031404D">
      <w:pPr>
        <w:autoSpaceDE w:val="0"/>
        <w:autoSpaceDN w:val="0"/>
        <w:adjustRightInd w:val="0"/>
        <w:spacing w:line="360" w:lineRule="auto"/>
        <w:ind w:firstLine="0"/>
        <w:rPr>
          <w:b/>
          <w:iCs/>
          <w:sz w:val="24"/>
          <w:szCs w:val="24"/>
          <w:lang w:val="en-US"/>
        </w:rPr>
      </w:pPr>
    </w:p>
    <w:p w:rsidR="00F84F9D" w:rsidRDefault="00F84F9D" w:rsidP="0031404D">
      <w:pPr>
        <w:autoSpaceDE w:val="0"/>
        <w:autoSpaceDN w:val="0"/>
        <w:adjustRightInd w:val="0"/>
        <w:spacing w:line="360" w:lineRule="auto"/>
        <w:ind w:firstLine="0"/>
        <w:rPr>
          <w:b/>
          <w:iCs/>
          <w:sz w:val="24"/>
          <w:szCs w:val="24"/>
          <w:lang w:val="en-US"/>
        </w:rPr>
      </w:pPr>
    </w:p>
    <w:p w:rsidR="00FE6955" w:rsidRPr="00435ED6" w:rsidRDefault="00FE6955" w:rsidP="0031404D">
      <w:pPr>
        <w:autoSpaceDE w:val="0"/>
        <w:autoSpaceDN w:val="0"/>
        <w:adjustRightInd w:val="0"/>
        <w:spacing w:line="360" w:lineRule="auto"/>
        <w:ind w:firstLine="0"/>
        <w:rPr>
          <w:b/>
          <w:iCs/>
          <w:sz w:val="24"/>
          <w:szCs w:val="24"/>
          <w:lang w:val="en-US"/>
        </w:rPr>
      </w:pPr>
    </w:p>
    <w:p w:rsidR="00E606E1" w:rsidRDefault="00E606E1" w:rsidP="00AD00F8">
      <w:pPr>
        <w:pStyle w:val="Heading1"/>
        <w:ind w:firstLine="0"/>
        <w:jc w:val="center"/>
        <w:rPr>
          <w:rFonts w:ascii="Times New Roman" w:hAnsi="Times New Roman" w:cs="Times New Roman"/>
          <w:iCs/>
          <w:color w:val="auto"/>
          <w:lang w:val="en-US"/>
        </w:rPr>
      </w:pPr>
      <w:bookmarkStart w:id="260" w:name="_Toc373421080"/>
      <w:bookmarkStart w:id="261" w:name="_Toc373448116"/>
      <w:bookmarkStart w:id="262" w:name="_Toc374228651"/>
      <w:bookmarkStart w:id="263" w:name="_Toc374229061"/>
      <w:bookmarkStart w:id="264" w:name="_Toc374229172"/>
      <w:bookmarkStart w:id="265" w:name="_Toc374229483"/>
      <w:r w:rsidRPr="00485D2E">
        <w:rPr>
          <w:rFonts w:ascii="Times New Roman" w:hAnsi="Times New Roman" w:cs="Times New Roman"/>
          <w:iCs/>
          <w:color w:val="auto"/>
          <w:lang w:val="en-US"/>
        </w:rPr>
        <w:lastRenderedPageBreak/>
        <w:t>ANOTACIJA</w:t>
      </w:r>
      <w:bookmarkEnd w:id="260"/>
      <w:bookmarkEnd w:id="261"/>
      <w:bookmarkEnd w:id="262"/>
      <w:bookmarkEnd w:id="263"/>
      <w:bookmarkEnd w:id="264"/>
      <w:bookmarkEnd w:id="265"/>
    </w:p>
    <w:p w:rsidR="00485D2E" w:rsidRPr="00485D2E" w:rsidRDefault="00485D2E" w:rsidP="00485D2E">
      <w:pPr>
        <w:rPr>
          <w:lang w:val="en-US"/>
        </w:rPr>
      </w:pPr>
    </w:p>
    <w:p w:rsidR="006436C0" w:rsidRDefault="006436C0" w:rsidP="006436C0">
      <w:pPr>
        <w:autoSpaceDE w:val="0"/>
        <w:autoSpaceDN w:val="0"/>
        <w:adjustRightInd w:val="0"/>
        <w:spacing w:line="360" w:lineRule="auto"/>
        <w:rPr>
          <w:iCs/>
          <w:sz w:val="24"/>
          <w:szCs w:val="24"/>
          <w:lang w:val="en-US"/>
        </w:rPr>
      </w:pPr>
      <w:r>
        <w:rPr>
          <w:b/>
          <w:iCs/>
          <w:sz w:val="24"/>
          <w:szCs w:val="24"/>
          <w:lang w:val="en-US"/>
        </w:rPr>
        <w:t xml:space="preserve">Donėlaitė G. </w:t>
      </w:r>
      <w:r w:rsidRPr="00655A05">
        <w:rPr>
          <w:iCs/>
          <w:sz w:val="24"/>
          <w:szCs w:val="24"/>
          <w:lang w:val="en-US"/>
        </w:rPr>
        <w:t>Valstybės skola ir jos valdymas: Baltijos šalių lyginamoji analizė / Finansų valdymo magistro baigiamasis darbas. Vadovas dr. A. Balkevičius.</w:t>
      </w:r>
      <w:r w:rsidR="00655A05" w:rsidRPr="00655A05">
        <w:rPr>
          <w:iCs/>
          <w:sz w:val="24"/>
          <w:szCs w:val="24"/>
          <w:lang w:val="en-US"/>
        </w:rPr>
        <w:t xml:space="preserve"> – Vilnius: Mykolo Romerio universitetas, Ekonomikos ir finansų valdymo fakultetas, 2013. </w:t>
      </w:r>
      <w:r w:rsidR="00CC10F5">
        <w:rPr>
          <w:iCs/>
          <w:sz w:val="24"/>
          <w:szCs w:val="24"/>
          <w:lang w:val="en-US"/>
        </w:rPr>
        <w:t>–</w:t>
      </w:r>
      <w:r w:rsidR="00655A05" w:rsidRPr="00655A05">
        <w:rPr>
          <w:iCs/>
          <w:sz w:val="24"/>
          <w:szCs w:val="24"/>
          <w:lang w:val="en-US"/>
        </w:rPr>
        <w:t xml:space="preserve"> </w:t>
      </w:r>
      <w:r w:rsidR="00C27726">
        <w:rPr>
          <w:iCs/>
          <w:sz w:val="24"/>
          <w:szCs w:val="24"/>
          <w:lang w:val="en-US"/>
        </w:rPr>
        <w:t>75</w:t>
      </w:r>
      <w:r w:rsidR="00B01484" w:rsidRPr="00B01484">
        <w:rPr>
          <w:iCs/>
          <w:sz w:val="24"/>
          <w:szCs w:val="24"/>
          <w:lang w:val="en-US"/>
        </w:rPr>
        <w:t xml:space="preserve"> </w:t>
      </w:r>
      <w:r w:rsidR="0041655D" w:rsidRPr="00B01484">
        <w:rPr>
          <w:iCs/>
          <w:sz w:val="24"/>
          <w:szCs w:val="24"/>
          <w:lang w:val="en-US"/>
        </w:rPr>
        <w:t>p.</w:t>
      </w:r>
    </w:p>
    <w:p w:rsidR="00CC10F5" w:rsidRDefault="00CC10F5" w:rsidP="006436C0">
      <w:pPr>
        <w:autoSpaceDE w:val="0"/>
        <w:autoSpaceDN w:val="0"/>
        <w:adjustRightInd w:val="0"/>
        <w:spacing w:line="360" w:lineRule="auto"/>
        <w:rPr>
          <w:iCs/>
          <w:sz w:val="24"/>
          <w:szCs w:val="24"/>
          <w:lang w:val="en-US"/>
        </w:rPr>
      </w:pPr>
    </w:p>
    <w:p w:rsidR="00327A66" w:rsidRDefault="0041655D" w:rsidP="00327A66">
      <w:pPr>
        <w:spacing w:line="360" w:lineRule="auto"/>
        <w:rPr>
          <w:color w:val="000000"/>
          <w:sz w:val="24"/>
          <w:szCs w:val="24"/>
        </w:rPr>
      </w:pPr>
      <w:r>
        <w:rPr>
          <w:iCs/>
          <w:sz w:val="24"/>
          <w:szCs w:val="24"/>
          <w:lang w:val="en-US"/>
        </w:rPr>
        <w:t xml:space="preserve">Magistro baigiamąjame darbe atlikta Baltijos šalių valstybės skolos ir jos valdymo lyginamoji analizė. </w:t>
      </w:r>
      <w:r w:rsidR="009B4352">
        <w:rPr>
          <w:iCs/>
          <w:sz w:val="24"/>
          <w:szCs w:val="24"/>
          <w:lang w:val="en-US"/>
        </w:rPr>
        <w:t xml:space="preserve">Darbą sudaro trys dalys. </w:t>
      </w:r>
      <w:r>
        <w:rPr>
          <w:iCs/>
          <w:sz w:val="24"/>
          <w:szCs w:val="24"/>
          <w:lang w:val="en-US"/>
        </w:rPr>
        <w:t xml:space="preserve">Pirmoje darbo dalyje apžvelgiami teoriniai valstybės skolos ir jos valdymo aspektai: pateikiamas valstybės skolos klasifikavimas, skolinimosi instrumentai, </w:t>
      </w:r>
      <w:bookmarkStart w:id="266" w:name="_Toc373275095"/>
      <w:r>
        <w:rPr>
          <w:color w:val="000000"/>
          <w:sz w:val="24"/>
          <w:szCs w:val="24"/>
        </w:rPr>
        <w:t xml:space="preserve">veiksniai, leimiantys valstybės skolinimosi poreikį, valstybės skolos vertinimo rodikliai, apžvelgiama kokį poveikį šalies ekonomikai daro valstybės skolinimasis, taip pat valstybės skolos valdymo problemos bei kylančios rizikos. Antrojoje darbo dalyje pateikiama Baltjos šalių valstybės skolos analizės, vertinimo bei prognozavimo metodologija. Trečiojoje darbo dalyje atliekama Baltijos šalių ekonominės situacijos, lemiančios valstybės skolinimosi poreikį, analizė. Taip pat analizuojamas Baltijos šalių valstybės skolos dydis, jį lemiantys veiksniai, skolos struktūra, atliekamas valstybės skolos vertinimas pagal santykinius rodiklius bei apžvelgiami skolos valdymo ypatumai. Pritaikant koreliacinę analizę tiriamas Baltijos šalių valstybės skolos ir </w:t>
      </w:r>
      <w:r w:rsidR="00327A66">
        <w:rPr>
          <w:color w:val="000000"/>
          <w:sz w:val="24"/>
          <w:szCs w:val="24"/>
        </w:rPr>
        <w:t xml:space="preserve">pasirinktų veiksnių </w:t>
      </w:r>
      <w:r>
        <w:rPr>
          <w:color w:val="000000"/>
          <w:sz w:val="24"/>
          <w:szCs w:val="24"/>
        </w:rPr>
        <w:t>ryšys. Panaudojant</w:t>
      </w:r>
      <w:r w:rsidR="00327A66">
        <w:rPr>
          <w:color w:val="000000"/>
          <w:sz w:val="24"/>
          <w:szCs w:val="24"/>
        </w:rPr>
        <w:t xml:space="preserve"> </w:t>
      </w:r>
      <w:r w:rsidR="00B01484">
        <w:rPr>
          <w:color w:val="000000"/>
          <w:sz w:val="24"/>
          <w:szCs w:val="24"/>
        </w:rPr>
        <w:t xml:space="preserve">daugialypės </w:t>
      </w:r>
      <w:r w:rsidR="00327A66">
        <w:rPr>
          <w:color w:val="000000"/>
          <w:sz w:val="24"/>
          <w:szCs w:val="24"/>
        </w:rPr>
        <w:t>tiesinės regresijos bei aut</w:t>
      </w:r>
      <w:r w:rsidR="002A77A9">
        <w:rPr>
          <w:color w:val="000000"/>
          <w:sz w:val="24"/>
          <w:szCs w:val="24"/>
        </w:rPr>
        <w:t xml:space="preserve">oregresijos slankiųjų vidurkių </w:t>
      </w:r>
      <w:r w:rsidR="00327A66">
        <w:rPr>
          <w:color w:val="000000"/>
          <w:sz w:val="24"/>
          <w:szCs w:val="24"/>
        </w:rPr>
        <w:t xml:space="preserve">metodus, prognozuojama Baltijos šalių valstybės skola </w:t>
      </w:r>
      <w:r w:rsidR="00327A66" w:rsidRPr="002C4347">
        <w:rPr>
          <w:color w:val="000000"/>
          <w:sz w:val="24"/>
          <w:szCs w:val="24"/>
        </w:rPr>
        <w:t>2</w:t>
      </w:r>
      <w:r w:rsidR="00327A66">
        <w:rPr>
          <w:color w:val="000000"/>
          <w:sz w:val="24"/>
          <w:szCs w:val="24"/>
        </w:rPr>
        <w:t>013 - 2014 metams. Galiausiai pateikiamos išvados ir siūlymai.</w:t>
      </w:r>
      <w:r w:rsidR="00C51259">
        <w:rPr>
          <w:color w:val="000000"/>
          <w:sz w:val="24"/>
          <w:szCs w:val="24"/>
        </w:rPr>
        <w:t xml:space="preserve"> </w:t>
      </w:r>
    </w:p>
    <w:p w:rsidR="002747F5" w:rsidRDefault="002747F5" w:rsidP="00327A66">
      <w:pPr>
        <w:autoSpaceDE w:val="0"/>
        <w:autoSpaceDN w:val="0"/>
        <w:adjustRightInd w:val="0"/>
        <w:spacing w:line="360" w:lineRule="auto"/>
        <w:rPr>
          <w:iCs/>
          <w:sz w:val="24"/>
          <w:szCs w:val="24"/>
          <w:lang w:val="en-US"/>
        </w:rPr>
      </w:pPr>
    </w:p>
    <w:p w:rsidR="00762E6A" w:rsidRPr="00762E6A" w:rsidRDefault="00762E6A" w:rsidP="00327A66">
      <w:pPr>
        <w:autoSpaceDE w:val="0"/>
        <w:autoSpaceDN w:val="0"/>
        <w:adjustRightInd w:val="0"/>
        <w:spacing w:line="360" w:lineRule="auto"/>
        <w:rPr>
          <w:iCs/>
          <w:sz w:val="24"/>
          <w:szCs w:val="24"/>
          <w:lang w:val="en-US"/>
        </w:rPr>
      </w:pPr>
      <w:r w:rsidRPr="00762E6A">
        <w:rPr>
          <w:b/>
          <w:iCs/>
          <w:sz w:val="24"/>
          <w:szCs w:val="24"/>
          <w:lang w:val="en-US"/>
        </w:rPr>
        <w:t xml:space="preserve">Pagrindiniai žodžiai: </w:t>
      </w:r>
      <w:r>
        <w:rPr>
          <w:iCs/>
          <w:sz w:val="24"/>
          <w:szCs w:val="24"/>
          <w:lang w:val="en-US"/>
        </w:rPr>
        <w:t>valstybės skola, Baltijos šalys</w:t>
      </w:r>
      <w:r w:rsidR="009B4352">
        <w:rPr>
          <w:iCs/>
          <w:sz w:val="24"/>
          <w:szCs w:val="24"/>
          <w:lang w:val="en-US"/>
        </w:rPr>
        <w:t>, valstybės skolos struktūra</w:t>
      </w:r>
      <w:r w:rsidR="00497D48">
        <w:rPr>
          <w:iCs/>
          <w:sz w:val="24"/>
          <w:szCs w:val="24"/>
          <w:lang w:val="en-US"/>
        </w:rPr>
        <w:t>, valstybės skolos vertinimas</w:t>
      </w:r>
      <w:r w:rsidR="00B01484">
        <w:rPr>
          <w:iCs/>
          <w:sz w:val="24"/>
          <w:szCs w:val="24"/>
          <w:lang w:val="en-US"/>
        </w:rPr>
        <w:t>, biudžeto deficitas.</w:t>
      </w:r>
    </w:p>
    <w:p w:rsidR="00C80D63" w:rsidRDefault="00C80D63" w:rsidP="0031404D">
      <w:pPr>
        <w:pStyle w:val="Heading1"/>
        <w:ind w:firstLine="0"/>
        <w:rPr>
          <w:rFonts w:ascii="Times New Roman" w:hAnsi="Times New Roman" w:cs="Times New Roman"/>
          <w:iCs/>
          <w:color w:val="auto"/>
          <w:sz w:val="24"/>
          <w:szCs w:val="24"/>
          <w:lang w:val="en-US"/>
        </w:rPr>
      </w:pPr>
    </w:p>
    <w:p w:rsidR="0031404D" w:rsidRDefault="0031404D" w:rsidP="0031404D">
      <w:pPr>
        <w:rPr>
          <w:lang w:val="en-US"/>
        </w:rPr>
      </w:pPr>
    </w:p>
    <w:p w:rsidR="0031404D" w:rsidRDefault="0031404D" w:rsidP="0031404D">
      <w:pPr>
        <w:rPr>
          <w:lang w:val="en-US"/>
        </w:rPr>
      </w:pPr>
    </w:p>
    <w:p w:rsidR="0031404D" w:rsidRDefault="0031404D" w:rsidP="0031404D">
      <w:pPr>
        <w:rPr>
          <w:lang w:val="en-US"/>
        </w:rPr>
      </w:pPr>
    </w:p>
    <w:p w:rsidR="0031404D" w:rsidRDefault="0031404D" w:rsidP="0031404D">
      <w:pPr>
        <w:rPr>
          <w:lang w:val="en-US"/>
        </w:rPr>
      </w:pPr>
    </w:p>
    <w:p w:rsidR="0031404D" w:rsidRDefault="0031404D" w:rsidP="0031404D">
      <w:pPr>
        <w:rPr>
          <w:lang w:val="en-US"/>
        </w:rPr>
      </w:pPr>
    </w:p>
    <w:p w:rsidR="0031404D" w:rsidRDefault="0031404D" w:rsidP="0031404D">
      <w:pPr>
        <w:rPr>
          <w:lang w:val="en-US"/>
        </w:rPr>
      </w:pPr>
    </w:p>
    <w:p w:rsidR="0031404D" w:rsidRDefault="0031404D" w:rsidP="0031404D">
      <w:pPr>
        <w:rPr>
          <w:lang w:val="en-US"/>
        </w:rPr>
      </w:pPr>
    </w:p>
    <w:p w:rsidR="0031404D" w:rsidRDefault="0031404D" w:rsidP="0031404D">
      <w:pPr>
        <w:rPr>
          <w:lang w:val="en-US"/>
        </w:rPr>
      </w:pPr>
    </w:p>
    <w:p w:rsidR="00C27726" w:rsidRDefault="00C27726" w:rsidP="00AD00F8">
      <w:pPr>
        <w:pStyle w:val="Heading1"/>
        <w:ind w:firstLine="0"/>
        <w:rPr>
          <w:rFonts w:ascii="Times New Roman" w:eastAsia="Times New Roman" w:hAnsi="Times New Roman" w:cs="Times New Roman"/>
          <w:b w:val="0"/>
          <w:bCs w:val="0"/>
          <w:color w:val="auto"/>
          <w:sz w:val="20"/>
          <w:szCs w:val="20"/>
          <w:lang w:val="en-US"/>
        </w:rPr>
      </w:pPr>
      <w:bookmarkStart w:id="267" w:name="_Toc373421081"/>
      <w:bookmarkStart w:id="268" w:name="_Toc373448117"/>
      <w:bookmarkStart w:id="269" w:name="_Toc374228652"/>
      <w:bookmarkStart w:id="270" w:name="_Toc374229062"/>
      <w:bookmarkStart w:id="271" w:name="_Toc374229173"/>
      <w:bookmarkStart w:id="272" w:name="_Toc374229484"/>
    </w:p>
    <w:p w:rsidR="00AD00F8" w:rsidRDefault="00AD00F8" w:rsidP="00AD00F8">
      <w:pPr>
        <w:rPr>
          <w:lang w:val="en-US"/>
        </w:rPr>
      </w:pPr>
    </w:p>
    <w:p w:rsidR="00AD00F8" w:rsidRPr="00AD00F8" w:rsidRDefault="00AD00F8" w:rsidP="00AD00F8">
      <w:pPr>
        <w:rPr>
          <w:lang w:val="en-US"/>
        </w:rPr>
      </w:pPr>
    </w:p>
    <w:p w:rsidR="00E606E1" w:rsidRPr="00485D2E" w:rsidRDefault="00E606E1" w:rsidP="003B322B">
      <w:pPr>
        <w:pStyle w:val="Heading1"/>
        <w:ind w:firstLine="0"/>
        <w:jc w:val="center"/>
        <w:rPr>
          <w:rFonts w:ascii="Times New Roman" w:hAnsi="Times New Roman" w:cs="Times New Roman"/>
          <w:color w:val="auto"/>
          <w:lang w:val="en-US"/>
        </w:rPr>
      </w:pPr>
      <w:r w:rsidRPr="00485D2E">
        <w:rPr>
          <w:rFonts w:ascii="Times New Roman" w:hAnsi="Times New Roman" w:cs="Times New Roman"/>
          <w:color w:val="auto"/>
          <w:lang w:val="en-US"/>
        </w:rPr>
        <w:lastRenderedPageBreak/>
        <w:t>ANOTATION</w:t>
      </w:r>
      <w:bookmarkEnd w:id="266"/>
      <w:bookmarkEnd w:id="267"/>
      <w:bookmarkEnd w:id="268"/>
      <w:bookmarkEnd w:id="269"/>
      <w:bookmarkEnd w:id="270"/>
      <w:bookmarkEnd w:id="271"/>
      <w:bookmarkEnd w:id="272"/>
    </w:p>
    <w:p w:rsidR="00C80D63" w:rsidRPr="00C80D63" w:rsidRDefault="00C80D63" w:rsidP="00C80D63">
      <w:pPr>
        <w:jc w:val="center"/>
        <w:rPr>
          <w:b/>
          <w:sz w:val="24"/>
          <w:szCs w:val="24"/>
          <w:lang w:val="en-US"/>
        </w:rPr>
      </w:pPr>
    </w:p>
    <w:p w:rsidR="00883900" w:rsidRPr="009B4352" w:rsidRDefault="00883900" w:rsidP="00883900">
      <w:pPr>
        <w:autoSpaceDE w:val="0"/>
        <w:autoSpaceDN w:val="0"/>
        <w:adjustRightInd w:val="0"/>
        <w:spacing w:line="360" w:lineRule="auto"/>
        <w:rPr>
          <w:iCs/>
          <w:color w:val="FF0000"/>
          <w:sz w:val="24"/>
          <w:szCs w:val="24"/>
          <w:lang w:val="en-US"/>
        </w:rPr>
      </w:pPr>
      <w:r>
        <w:rPr>
          <w:b/>
          <w:iCs/>
          <w:sz w:val="24"/>
          <w:szCs w:val="24"/>
          <w:lang w:val="en-US"/>
        </w:rPr>
        <w:t xml:space="preserve">Donėlaitė G. </w:t>
      </w:r>
      <w:r>
        <w:rPr>
          <w:iCs/>
          <w:sz w:val="24"/>
          <w:szCs w:val="24"/>
          <w:lang w:val="en-US"/>
        </w:rPr>
        <w:t>Gover</w:t>
      </w:r>
      <w:r w:rsidR="00275AFF">
        <w:rPr>
          <w:iCs/>
          <w:sz w:val="24"/>
          <w:szCs w:val="24"/>
          <w:lang w:val="en-US"/>
        </w:rPr>
        <w:t>nment debt and its management: C</w:t>
      </w:r>
      <w:r>
        <w:rPr>
          <w:iCs/>
          <w:sz w:val="24"/>
          <w:szCs w:val="24"/>
          <w:lang w:val="en-US"/>
        </w:rPr>
        <w:t>ompar</w:t>
      </w:r>
      <w:r w:rsidR="00A9648C">
        <w:rPr>
          <w:iCs/>
          <w:sz w:val="24"/>
          <w:szCs w:val="24"/>
          <w:lang w:val="en-US"/>
        </w:rPr>
        <w:t xml:space="preserve">ative analysis of Baltic states / Master’s work in Finance management. Supervisor dr. A. Balkevičius. Vilnius: Faculty of Economics and Finance Management, Mykolas Romeris University, 2013. </w:t>
      </w:r>
      <w:r w:rsidR="003B322B" w:rsidRPr="003B322B">
        <w:rPr>
          <w:iCs/>
          <w:sz w:val="24"/>
          <w:szCs w:val="24"/>
          <w:lang w:val="en-US"/>
        </w:rPr>
        <w:t>–</w:t>
      </w:r>
      <w:r w:rsidR="00A9648C" w:rsidRPr="003B322B">
        <w:rPr>
          <w:iCs/>
          <w:sz w:val="24"/>
          <w:szCs w:val="24"/>
          <w:lang w:val="en-US"/>
        </w:rPr>
        <w:t xml:space="preserve"> </w:t>
      </w:r>
      <w:r w:rsidR="00C27726">
        <w:rPr>
          <w:iCs/>
          <w:sz w:val="24"/>
          <w:szCs w:val="24"/>
          <w:lang w:val="en-US"/>
        </w:rPr>
        <w:t>75</w:t>
      </w:r>
      <w:r w:rsidR="003B322B" w:rsidRPr="003B322B">
        <w:rPr>
          <w:iCs/>
          <w:sz w:val="24"/>
          <w:szCs w:val="24"/>
          <w:lang w:val="en-US"/>
        </w:rPr>
        <w:t xml:space="preserve"> </w:t>
      </w:r>
      <w:r w:rsidR="009B4352" w:rsidRPr="003B322B">
        <w:rPr>
          <w:iCs/>
          <w:sz w:val="24"/>
          <w:szCs w:val="24"/>
          <w:lang w:val="en-US"/>
        </w:rPr>
        <w:t>p</w:t>
      </w:r>
      <w:r w:rsidR="00910D43">
        <w:rPr>
          <w:iCs/>
          <w:sz w:val="24"/>
          <w:szCs w:val="24"/>
          <w:lang w:val="en-US"/>
        </w:rPr>
        <w:t>.</w:t>
      </w:r>
    </w:p>
    <w:p w:rsidR="00C80D63" w:rsidRDefault="00C80D63" w:rsidP="009B4352">
      <w:pPr>
        <w:ind w:firstLine="0"/>
        <w:rPr>
          <w:b/>
          <w:iCs/>
          <w:sz w:val="24"/>
          <w:szCs w:val="24"/>
          <w:lang w:val="en-US"/>
        </w:rPr>
      </w:pPr>
      <w:bookmarkStart w:id="273" w:name="_Toc373275096"/>
    </w:p>
    <w:p w:rsidR="009B4352" w:rsidRPr="00B8575E" w:rsidRDefault="009B4352" w:rsidP="009B4352">
      <w:pPr>
        <w:ind w:firstLine="0"/>
        <w:rPr>
          <w:b/>
          <w:sz w:val="24"/>
          <w:szCs w:val="24"/>
          <w:lang w:val="en-US"/>
        </w:rPr>
      </w:pPr>
    </w:p>
    <w:p w:rsidR="00C80D63" w:rsidRDefault="009B4352" w:rsidP="003D6D60">
      <w:pPr>
        <w:spacing w:line="360" w:lineRule="auto"/>
        <w:rPr>
          <w:sz w:val="24"/>
          <w:szCs w:val="24"/>
        </w:rPr>
      </w:pPr>
      <w:r w:rsidRPr="00BA4205">
        <w:rPr>
          <w:sz w:val="24"/>
          <w:szCs w:val="24"/>
          <w:lang w:val="en-US"/>
        </w:rPr>
        <w:t xml:space="preserve">The master thesis analyses and compares the government debt </w:t>
      </w:r>
      <w:r w:rsidR="00EA1F71" w:rsidRPr="00BA4205">
        <w:rPr>
          <w:sz w:val="24"/>
          <w:szCs w:val="24"/>
          <w:lang w:val="en-US"/>
        </w:rPr>
        <w:t xml:space="preserve">of Baltic states </w:t>
      </w:r>
      <w:r w:rsidRPr="00BA4205">
        <w:rPr>
          <w:sz w:val="24"/>
          <w:szCs w:val="24"/>
          <w:lang w:val="en-US"/>
        </w:rPr>
        <w:t>and</w:t>
      </w:r>
      <w:r w:rsidR="00EA1F71" w:rsidRPr="00BA4205">
        <w:rPr>
          <w:sz w:val="24"/>
          <w:szCs w:val="24"/>
          <w:lang w:val="en-US"/>
        </w:rPr>
        <w:t xml:space="preserve"> its management</w:t>
      </w:r>
      <w:r w:rsidRPr="00BA4205">
        <w:rPr>
          <w:sz w:val="24"/>
          <w:szCs w:val="24"/>
          <w:lang w:val="en-US"/>
        </w:rPr>
        <w:t xml:space="preserve">. The work consists of three parts. </w:t>
      </w:r>
      <w:r w:rsidRPr="00BA4205">
        <w:rPr>
          <w:sz w:val="24"/>
          <w:szCs w:val="24"/>
        </w:rPr>
        <w:t xml:space="preserve">The first part provides theoretical overview of government debt and its management: the classification of the </w:t>
      </w:r>
      <w:r w:rsidR="00B8575E" w:rsidRPr="00BA4205">
        <w:rPr>
          <w:sz w:val="24"/>
          <w:szCs w:val="24"/>
        </w:rPr>
        <w:t>government debt</w:t>
      </w:r>
      <w:r w:rsidRPr="00BA4205">
        <w:rPr>
          <w:sz w:val="24"/>
          <w:szCs w:val="24"/>
        </w:rPr>
        <w:t>, borrowing instruments, factors</w:t>
      </w:r>
      <w:r w:rsidR="00B8575E" w:rsidRPr="00BA4205">
        <w:rPr>
          <w:sz w:val="24"/>
          <w:szCs w:val="24"/>
        </w:rPr>
        <w:t xml:space="preserve">, which influence state's borrowing needs, </w:t>
      </w:r>
      <w:r w:rsidR="00E71A20">
        <w:rPr>
          <w:sz w:val="24"/>
          <w:szCs w:val="24"/>
        </w:rPr>
        <w:t>government debt indicators</w:t>
      </w:r>
      <w:r w:rsidRPr="00BA4205">
        <w:rPr>
          <w:sz w:val="24"/>
          <w:szCs w:val="24"/>
        </w:rPr>
        <w:t xml:space="preserve">, </w:t>
      </w:r>
      <w:r w:rsidR="00B8575E" w:rsidRPr="00BA4205">
        <w:rPr>
          <w:sz w:val="24"/>
          <w:szCs w:val="24"/>
        </w:rPr>
        <w:t>the link between governmnet debt and economic growt</w:t>
      </w:r>
      <w:r w:rsidR="00944556" w:rsidRPr="00BA4205">
        <w:rPr>
          <w:sz w:val="24"/>
          <w:szCs w:val="24"/>
        </w:rPr>
        <w:t>h</w:t>
      </w:r>
      <w:r w:rsidRPr="00BA4205">
        <w:rPr>
          <w:sz w:val="24"/>
          <w:szCs w:val="24"/>
        </w:rPr>
        <w:t xml:space="preserve">, as well as </w:t>
      </w:r>
      <w:r w:rsidR="00B8575E" w:rsidRPr="00BA4205">
        <w:rPr>
          <w:sz w:val="24"/>
          <w:szCs w:val="24"/>
        </w:rPr>
        <w:t>problems of government debt management and emerging risks. The second part presents the methodology of government debt analysis, evaluation and forecasting.</w:t>
      </w:r>
      <w:r w:rsidR="00C51259">
        <w:rPr>
          <w:sz w:val="24"/>
          <w:szCs w:val="24"/>
        </w:rPr>
        <w:t xml:space="preserve"> The third part</w:t>
      </w:r>
      <w:r w:rsidR="00066796" w:rsidRPr="00BA4205">
        <w:rPr>
          <w:sz w:val="24"/>
          <w:szCs w:val="24"/>
        </w:rPr>
        <w:t xml:space="preserve"> primaliry analyzes economic situation in Baltic </w:t>
      </w:r>
      <w:r w:rsidR="00944556" w:rsidRPr="00BA4205">
        <w:rPr>
          <w:sz w:val="24"/>
          <w:szCs w:val="24"/>
        </w:rPr>
        <w:t>states</w:t>
      </w:r>
      <w:r w:rsidR="00E71A20">
        <w:rPr>
          <w:sz w:val="24"/>
          <w:szCs w:val="24"/>
        </w:rPr>
        <w:t>.</w:t>
      </w:r>
      <w:r w:rsidR="00066796" w:rsidRPr="00BA4205">
        <w:rPr>
          <w:sz w:val="24"/>
          <w:szCs w:val="24"/>
        </w:rPr>
        <w:t xml:space="preserve"> It also analyzes and compares </w:t>
      </w:r>
      <w:r w:rsidR="00A84AAA">
        <w:rPr>
          <w:sz w:val="24"/>
          <w:szCs w:val="24"/>
        </w:rPr>
        <w:t xml:space="preserve">changes in </w:t>
      </w:r>
      <w:r w:rsidR="00066796" w:rsidRPr="00BA4205">
        <w:rPr>
          <w:sz w:val="24"/>
          <w:szCs w:val="24"/>
        </w:rPr>
        <w:t xml:space="preserve">government debt of Baltic states, </w:t>
      </w:r>
      <w:r w:rsidR="00955CE2">
        <w:rPr>
          <w:sz w:val="24"/>
          <w:szCs w:val="24"/>
        </w:rPr>
        <w:t>the reasons of changes</w:t>
      </w:r>
      <w:r w:rsidR="00066796" w:rsidRPr="00BA4205">
        <w:rPr>
          <w:sz w:val="24"/>
          <w:szCs w:val="24"/>
        </w:rPr>
        <w:t xml:space="preserve">, </w:t>
      </w:r>
      <w:r w:rsidR="00A84AAA">
        <w:rPr>
          <w:sz w:val="24"/>
          <w:szCs w:val="24"/>
        </w:rPr>
        <w:t xml:space="preserve">costs of borrowing, </w:t>
      </w:r>
      <w:r w:rsidR="00066796" w:rsidRPr="00BA4205">
        <w:rPr>
          <w:sz w:val="24"/>
          <w:szCs w:val="24"/>
        </w:rPr>
        <w:t xml:space="preserve">the debt structure, </w:t>
      </w:r>
      <w:r w:rsidR="00A84AAA">
        <w:rPr>
          <w:sz w:val="24"/>
          <w:szCs w:val="24"/>
        </w:rPr>
        <w:t xml:space="preserve">also </w:t>
      </w:r>
      <w:r w:rsidR="00066796" w:rsidRPr="00BA4205">
        <w:rPr>
          <w:sz w:val="24"/>
          <w:szCs w:val="24"/>
        </w:rPr>
        <w:t>evaluates government debt in Bal</w:t>
      </w:r>
      <w:r w:rsidR="00A84AAA">
        <w:rPr>
          <w:sz w:val="24"/>
          <w:szCs w:val="24"/>
        </w:rPr>
        <w:t>t</w:t>
      </w:r>
      <w:r w:rsidR="00066796" w:rsidRPr="00BA4205">
        <w:rPr>
          <w:sz w:val="24"/>
          <w:szCs w:val="24"/>
        </w:rPr>
        <w:t>ic states by using relative rates of government debt</w:t>
      </w:r>
      <w:r w:rsidR="00A84AAA">
        <w:rPr>
          <w:sz w:val="24"/>
          <w:szCs w:val="24"/>
        </w:rPr>
        <w:t xml:space="preserve"> </w:t>
      </w:r>
      <w:r w:rsidR="00C51259">
        <w:rPr>
          <w:sz w:val="24"/>
          <w:szCs w:val="24"/>
        </w:rPr>
        <w:t xml:space="preserve">and reviews the </w:t>
      </w:r>
      <w:r w:rsidR="002A0674">
        <w:rPr>
          <w:sz w:val="24"/>
          <w:szCs w:val="24"/>
        </w:rPr>
        <w:t>main aspects</w:t>
      </w:r>
      <w:r w:rsidR="00C51259">
        <w:rPr>
          <w:sz w:val="24"/>
          <w:szCs w:val="24"/>
        </w:rPr>
        <w:t xml:space="preserve"> of government debt management. The correlation analysis is used to investigate the relationship between government debt of Baltic states and </w:t>
      </w:r>
      <w:r w:rsidR="00955CE2">
        <w:rPr>
          <w:sz w:val="24"/>
          <w:szCs w:val="24"/>
        </w:rPr>
        <w:t xml:space="preserve">some </w:t>
      </w:r>
      <w:r w:rsidR="00C51259">
        <w:rPr>
          <w:sz w:val="24"/>
          <w:szCs w:val="24"/>
        </w:rPr>
        <w:t>selected factors. By using multiple regression model and autoregressive</w:t>
      </w:r>
      <w:r w:rsidR="003D6D60">
        <w:rPr>
          <w:sz w:val="24"/>
          <w:szCs w:val="24"/>
        </w:rPr>
        <w:t xml:space="preserve"> – moving average method</w:t>
      </w:r>
      <w:r w:rsidR="00955CE2">
        <w:rPr>
          <w:sz w:val="24"/>
          <w:szCs w:val="24"/>
        </w:rPr>
        <w:t>,</w:t>
      </w:r>
      <w:r w:rsidR="003D6D60">
        <w:rPr>
          <w:sz w:val="24"/>
          <w:szCs w:val="24"/>
        </w:rPr>
        <w:t xml:space="preserve"> there is </w:t>
      </w:r>
      <w:r w:rsidR="00FB06D6">
        <w:rPr>
          <w:sz w:val="24"/>
          <w:szCs w:val="24"/>
        </w:rPr>
        <w:t>forecast</w:t>
      </w:r>
      <w:r w:rsidR="008E3920">
        <w:rPr>
          <w:sz w:val="24"/>
          <w:szCs w:val="24"/>
        </w:rPr>
        <w:t>i</w:t>
      </w:r>
      <w:r w:rsidR="00FB06D6">
        <w:rPr>
          <w:sz w:val="24"/>
          <w:szCs w:val="24"/>
        </w:rPr>
        <w:t>ng the changes</w:t>
      </w:r>
      <w:r w:rsidR="003D6D60">
        <w:rPr>
          <w:sz w:val="24"/>
          <w:szCs w:val="24"/>
        </w:rPr>
        <w:t xml:space="preserve"> of gove</w:t>
      </w:r>
      <w:r w:rsidR="00FB06D6">
        <w:rPr>
          <w:sz w:val="24"/>
          <w:szCs w:val="24"/>
        </w:rPr>
        <w:t>rnment debt in Baltic states in</w:t>
      </w:r>
      <w:r w:rsidR="003D6D60">
        <w:rPr>
          <w:sz w:val="24"/>
          <w:szCs w:val="24"/>
        </w:rPr>
        <w:t xml:space="preserve"> period 2013 – 2014. Finally, co</w:t>
      </w:r>
      <w:r w:rsidR="00955CE2">
        <w:rPr>
          <w:sz w:val="24"/>
          <w:szCs w:val="24"/>
        </w:rPr>
        <w:t>n</w:t>
      </w:r>
      <w:r w:rsidR="003D6D60">
        <w:rPr>
          <w:sz w:val="24"/>
          <w:szCs w:val="24"/>
        </w:rPr>
        <w:t>clusions are made and recommendations are given.</w:t>
      </w:r>
    </w:p>
    <w:p w:rsidR="003D6D60" w:rsidRDefault="003D6D60" w:rsidP="003D6D60">
      <w:pPr>
        <w:spacing w:line="360" w:lineRule="auto"/>
        <w:rPr>
          <w:sz w:val="24"/>
          <w:szCs w:val="24"/>
        </w:rPr>
      </w:pPr>
    </w:p>
    <w:p w:rsidR="003D6D60" w:rsidRPr="003D6D60" w:rsidRDefault="003D6D60" w:rsidP="003D6D60">
      <w:pPr>
        <w:spacing w:line="360" w:lineRule="auto"/>
        <w:rPr>
          <w:sz w:val="24"/>
          <w:szCs w:val="24"/>
        </w:rPr>
      </w:pPr>
      <w:r w:rsidRPr="003D6D60">
        <w:rPr>
          <w:b/>
          <w:sz w:val="24"/>
          <w:szCs w:val="24"/>
        </w:rPr>
        <w:t>Key words:</w:t>
      </w:r>
      <w:r>
        <w:rPr>
          <w:b/>
          <w:sz w:val="24"/>
          <w:szCs w:val="24"/>
        </w:rPr>
        <w:t xml:space="preserve"> </w:t>
      </w:r>
      <w:r>
        <w:rPr>
          <w:sz w:val="24"/>
          <w:szCs w:val="24"/>
        </w:rPr>
        <w:t>government debt, Baltic states, the structure of government debt</w:t>
      </w:r>
      <w:r w:rsidR="00497D48">
        <w:rPr>
          <w:sz w:val="24"/>
          <w:szCs w:val="24"/>
        </w:rPr>
        <w:t>, evaluation of government debt</w:t>
      </w:r>
      <w:r w:rsidR="003B322B">
        <w:rPr>
          <w:sz w:val="24"/>
          <w:szCs w:val="24"/>
        </w:rPr>
        <w:t>, budget deficit.</w:t>
      </w:r>
    </w:p>
    <w:p w:rsidR="00C80D63" w:rsidRDefault="00C80D63" w:rsidP="00C80D63">
      <w:pPr>
        <w:rPr>
          <w:b/>
          <w:sz w:val="24"/>
          <w:szCs w:val="24"/>
          <w:lang w:val="en-US"/>
        </w:rPr>
      </w:pPr>
    </w:p>
    <w:p w:rsidR="00C80D63" w:rsidRDefault="00C80D63" w:rsidP="00C80D63">
      <w:pPr>
        <w:rPr>
          <w:b/>
          <w:sz w:val="24"/>
          <w:szCs w:val="24"/>
          <w:lang w:val="en-US"/>
        </w:rPr>
      </w:pPr>
    </w:p>
    <w:p w:rsidR="00C80D63" w:rsidRDefault="00C80D63" w:rsidP="00C80D63">
      <w:pPr>
        <w:rPr>
          <w:b/>
          <w:sz w:val="24"/>
          <w:szCs w:val="24"/>
          <w:lang w:val="en-US"/>
        </w:rPr>
      </w:pPr>
    </w:p>
    <w:p w:rsidR="00C80D63" w:rsidRDefault="00C80D63" w:rsidP="00C80D63">
      <w:pPr>
        <w:rPr>
          <w:b/>
          <w:sz w:val="24"/>
          <w:szCs w:val="24"/>
          <w:lang w:val="en-US"/>
        </w:rPr>
      </w:pPr>
    </w:p>
    <w:p w:rsidR="00C80D63" w:rsidRDefault="00C80D63" w:rsidP="00C80D63">
      <w:pPr>
        <w:rPr>
          <w:b/>
          <w:sz w:val="24"/>
          <w:szCs w:val="24"/>
          <w:lang w:val="en-US"/>
        </w:rPr>
      </w:pPr>
    </w:p>
    <w:p w:rsidR="00C80D63" w:rsidRDefault="00C80D63" w:rsidP="00C80D63">
      <w:pPr>
        <w:rPr>
          <w:b/>
          <w:sz w:val="24"/>
          <w:szCs w:val="24"/>
          <w:lang w:val="en-US"/>
        </w:rPr>
      </w:pPr>
    </w:p>
    <w:p w:rsidR="00C80D63" w:rsidRDefault="00C80D63" w:rsidP="00C80D63">
      <w:pPr>
        <w:rPr>
          <w:b/>
          <w:sz w:val="24"/>
          <w:szCs w:val="24"/>
          <w:lang w:val="en-US"/>
        </w:rPr>
      </w:pPr>
    </w:p>
    <w:p w:rsidR="0031404D" w:rsidRDefault="0031404D" w:rsidP="00497D48">
      <w:pPr>
        <w:ind w:firstLine="0"/>
        <w:rPr>
          <w:b/>
          <w:sz w:val="24"/>
          <w:szCs w:val="24"/>
          <w:lang w:val="en-US"/>
        </w:rPr>
      </w:pPr>
    </w:p>
    <w:p w:rsidR="00C80D63" w:rsidRDefault="00C80D63" w:rsidP="00C80D63">
      <w:pPr>
        <w:rPr>
          <w:b/>
          <w:sz w:val="24"/>
          <w:szCs w:val="24"/>
          <w:lang w:val="en-US"/>
        </w:rPr>
      </w:pPr>
    </w:p>
    <w:p w:rsidR="00686726" w:rsidRDefault="00686726" w:rsidP="00C80D63">
      <w:pPr>
        <w:rPr>
          <w:b/>
          <w:sz w:val="24"/>
          <w:szCs w:val="24"/>
          <w:lang w:val="en-US"/>
        </w:rPr>
      </w:pPr>
    </w:p>
    <w:p w:rsidR="00686726" w:rsidRDefault="00686726" w:rsidP="00C80D63">
      <w:pPr>
        <w:rPr>
          <w:b/>
          <w:sz w:val="24"/>
          <w:szCs w:val="24"/>
          <w:lang w:val="en-US"/>
        </w:rPr>
      </w:pPr>
    </w:p>
    <w:p w:rsidR="00B577D1" w:rsidRDefault="00B577D1" w:rsidP="00C80D63">
      <w:pPr>
        <w:rPr>
          <w:b/>
          <w:sz w:val="24"/>
          <w:szCs w:val="24"/>
          <w:lang w:val="en-US"/>
        </w:rPr>
      </w:pPr>
    </w:p>
    <w:p w:rsidR="00B577D1" w:rsidRDefault="00B577D1" w:rsidP="00C80D63">
      <w:pPr>
        <w:rPr>
          <w:b/>
          <w:sz w:val="24"/>
          <w:szCs w:val="24"/>
          <w:lang w:val="en-US"/>
        </w:rPr>
      </w:pPr>
    </w:p>
    <w:p w:rsidR="00C80D63" w:rsidRDefault="00E606E1" w:rsidP="00CC10F5">
      <w:pPr>
        <w:pStyle w:val="Heading1"/>
        <w:jc w:val="center"/>
        <w:rPr>
          <w:rFonts w:ascii="Times New Roman" w:hAnsi="Times New Roman" w:cs="Times New Roman"/>
          <w:color w:val="auto"/>
          <w:lang w:val="en-US"/>
        </w:rPr>
      </w:pPr>
      <w:bookmarkStart w:id="274" w:name="_Toc373421082"/>
      <w:bookmarkStart w:id="275" w:name="_Toc373448118"/>
      <w:bookmarkStart w:id="276" w:name="_Toc374228653"/>
      <w:bookmarkStart w:id="277" w:name="_Toc374229063"/>
      <w:bookmarkStart w:id="278" w:name="_Toc374229174"/>
      <w:bookmarkStart w:id="279" w:name="_Toc374229485"/>
      <w:r w:rsidRPr="00485D2E">
        <w:rPr>
          <w:rFonts w:ascii="Times New Roman" w:hAnsi="Times New Roman" w:cs="Times New Roman"/>
          <w:color w:val="auto"/>
          <w:lang w:val="en-US"/>
        </w:rPr>
        <w:lastRenderedPageBreak/>
        <w:t>SANTRAUKA</w:t>
      </w:r>
      <w:bookmarkStart w:id="280" w:name="_Toc373275097"/>
      <w:bookmarkEnd w:id="273"/>
      <w:bookmarkEnd w:id="274"/>
      <w:bookmarkEnd w:id="275"/>
      <w:bookmarkEnd w:id="276"/>
      <w:bookmarkEnd w:id="277"/>
      <w:bookmarkEnd w:id="278"/>
      <w:bookmarkEnd w:id="279"/>
    </w:p>
    <w:p w:rsidR="00CC10F5" w:rsidRPr="00CC10F5" w:rsidRDefault="00CC10F5" w:rsidP="00CC10F5">
      <w:pPr>
        <w:rPr>
          <w:lang w:val="en-US"/>
        </w:rPr>
      </w:pPr>
    </w:p>
    <w:p w:rsidR="00CC10F5" w:rsidRDefault="00CC10F5" w:rsidP="00CC10F5">
      <w:pPr>
        <w:autoSpaceDE w:val="0"/>
        <w:autoSpaceDN w:val="0"/>
        <w:adjustRightInd w:val="0"/>
        <w:spacing w:line="360" w:lineRule="auto"/>
        <w:rPr>
          <w:iCs/>
          <w:sz w:val="24"/>
          <w:szCs w:val="24"/>
          <w:lang w:val="en-US"/>
        </w:rPr>
      </w:pPr>
      <w:r>
        <w:rPr>
          <w:b/>
          <w:iCs/>
          <w:sz w:val="24"/>
          <w:szCs w:val="24"/>
          <w:lang w:val="en-US"/>
        </w:rPr>
        <w:t xml:space="preserve">Donėlaitė G. </w:t>
      </w:r>
      <w:r w:rsidRPr="00655A05">
        <w:rPr>
          <w:iCs/>
          <w:sz w:val="24"/>
          <w:szCs w:val="24"/>
          <w:lang w:val="en-US"/>
        </w:rPr>
        <w:t xml:space="preserve">Valstybės skola ir jos valdymas: Baltijos šalių lyginamoji analizė / Finansų valdymo magistro baigiamasis darbas. Vadovas dr. A. Balkevičius. – Vilnius: Mykolo Romerio universitetas, Ekonomikos ir finansų valdymo fakultetas, 2013. </w:t>
      </w:r>
      <w:r>
        <w:rPr>
          <w:iCs/>
          <w:sz w:val="24"/>
          <w:szCs w:val="24"/>
          <w:lang w:val="en-US"/>
        </w:rPr>
        <w:t>–</w:t>
      </w:r>
      <w:r w:rsidRPr="00655A05">
        <w:rPr>
          <w:iCs/>
          <w:sz w:val="24"/>
          <w:szCs w:val="24"/>
          <w:lang w:val="en-US"/>
        </w:rPr>
        <w:t xml:space="preserve"> </w:t>
      </w:r>
      <w:r w:rsidR="00910D43">
        <w:rPr>
          <w:iCs/>
          <w:sz w:val="24"/>
          <w:szCs w:val="24"/>
          <w:lang w:val="en-US"/>
        </w:rPr>
        <w:t>75</w:t>
      </w:r>
      <w:r w:rsidR="003B322B">
        <w:rPr>
          <w:iCs/>
          <w:sz w:val="24"/>
          <w:szCs w:val="24"/>
          <w:lang w:val="en-US"/>
        </w:rPr>
        <w:t xml:space="preserve"> p.</w:t>
      </w:r>
    </w:p>
    <w:p w:rsidR="003B322B" w:rsidRDefault="003B322B" w:rsidP="00CC10F5">
      <w:pPr>
        <w:autoSpaceDE w:val="0"/>
        <w:autoSpaceDN w:val="0"/>
        <w:adjustRightInd w:val="0"/>
        <w:spacing w:line="360" w:lineRule="auto"/>
        <w:rPr>
          <w:iCs/>
          <w:sz w:val="24"/>
          <w:szCs w:val="24"/>
          <w:lang w:val="en-US"/>
        </w:rPr>
      </w:pPr>
    </w:p>
    <w:p w:rsidR="00C80D63" w:rsidRPr="003B322B" w:rsidRDefault="003B322B" w:rsidP="003B322B">
      <w:pPr>
        <w:autoSpaceDE w:val="0"/>
        <w:autoSpaceDN w:val="0"/>
        <w:adjustRightInd w:val="0"/>
        <w:spacing w:line="360" w:lineRule="auto"/>
        <w:rPr>
          <w:iCs/>
          <w:sz w:val="24"/>
          <w:szCs w:val="24"/>
          <w:lang w:val="en-US"/>
        </w:rPr>
      </w:pPr>
      <w:r>
        <w:rPr>
          <w:iCs/>
          <w:sz w:val="24"/>
          <w:szCs w:val="24"/>
          <w:lang w:val="en-US"/>
        </w:rPr>
        <w:t xml:space="preserve">Prieš daugiau negu tris metus kilusi Euro zonos valstybių skolos krizė, kurios centre atsidūrė Graikija, Italija bei keletas kitų šalių, </w:t>
      </w:r>
      <w:r w:rsidR="0061651B">
        <w:rPr>
          <w:iCs/>
          <w:sz w:val="24"/>
          <w:szCs w:val="24"/>
          <w:lang w:val="en-US"/>
        </w:rPr>
        <w:t>parodė, kad</w:t>
      </w:r>
      <w:r w:rsidR="00B158D1">
        <w:rPr>
          <w:iCs/>
          <w:sz w:val="24"/>
          <w:szCs w:val="24"/>
          <w:lang w:val="en-US"/>
        </w:rPr>
        <w:t xml:space="preserve"> nevaldomas skolos augimas gali šaliai atnešti didelių problemų. Finansų </w:t>
      </w:r>
      <w:r w:rsidR="00B158D1">
        <w:rPr>
          <w:color w:val="000000"/>
          <w:sz w:val="24"/>
          <w:szCs w:val="24"/>
        </w:rPr>
        <w:t>k</w:t>
      </w:r>
      <w:r w:rsidR="00183BE7">
        <w:rPr>
          <w:color w:val="000000"/>
          <w:sz w:val="24"/>
          <w:szCs w:val="24"/>
        </w:rPr>
        <w:t>rizės metu išaugo ir Baltijos šalių</w:t>
      </w:r>
      <w:r w:rsidR="00B158D1">
        <w:rPr>
          <w:color w:val="000000"/>
          <w:sz w:val="24"/>
          <w:szCs w:val="24"/>
        </w:rPr>
        <w:t>, ypač Lietuvos ir Latvijos,</w:t>
      </w:r>
      <w:r w:rsidR="00183BE7">
        <w:rPr>
          <w:color w:val="000000"/>
          <w:sz w:val="24"/>
          <w:szCs w:val="24"/>
        </w:rPr>
        <w:t xml:space="preserve"> valstybės skolos. Nors lyginant su kitomis ES šalimis </w:t>
      </w:r>
      <w:r w:rsidR="00B158D1">
        <w:rPr>
          <w:color w:val="000000"/>
          <w:sz w:val="24"/>
          <w:szCs w:val="24"/>
        </w:rPr>
        <w:t>šių</w:t>
      </w:r>
      <w:r w:rsidR="00183BE7">
        <w:rPr>
          <w:color w:val="000000"/>
          <w:sz w:val="24"/>
          <w:szCs w:val="24"/>
        </w:rPr>
        <w:t xml:space="preserve"> šalių valstybės skolos nėra did</w:t>
      </w:r>
      <w:r w:rsidR="0061651B">
        <w:rPr>
          <w:color w:val="000000"/>
          <w:sz w:val="24"/>
          <w:szCs w:val="24"/>
        </w:rPr>
        <w:t>elės, tačiau skolos augimas ska</w:t>
      </w:r>
      <w:r w:rsidR="00183BE7">
        <w:rPr>
          <w:color w:val="000000"/>
          <w:sz w:val="24"/>
          <w:szCs w:val="24"/>
        </w:rPr>
        <w:t xml:space="preserve">tina atkreipti dėmesį į šia problemą. Baltijos šalių valstybės skolas tikslinga lyginti tarpusavyje, kadangi šios šalys beveik vienu metu atgavo nepriklausomybę, nepaveldėjo jokių skolinių įsipareigojimų, todėl ir skolą pradėjo kaupti tuo pačiu metu. </w:t>
      </w:r>
      <w:r w:rsidR="003216D3">
        <w:rPr>
          <w:color w:val="000000"/>
          <w:sz w:val="24"/>
          <w:szCs w:val="24"/>
        </w:rPr>
        <w:t xml:space="preserve">Žinant, jog Estijos valstybės </w:t>
      </w:r>
      <w:r w:rsidR="0061651B">
        <w:rPr>
          <w:color w:val="000000"/>
          <w:sz w:val="24"/>
          <w:szCs w:val="24"/>
        </w:rPr>
        <w:t>skola yra mažiausia visoje ES, į</w:t>
      </w:r>
      <w:r w:rsidR="003216D3">
        <w:rPr>
          <w:color w:val="000000"/>
          <w:sz w:val="24"/>
          <w:szCs w:val="24"/>
        </w:rPr>
        <w:t>domu palyginti jos ir kitų dviejų Baltijos šalių valstybės skolas, jų struktūrą</w:t>
      </w:r>
      <w:r w:rsidR="004B7956">
        <w:rPr>
          <w:color w:val="000000"/>
          <w:sz w:val="24"/>
          <w:szCs w:val="24"/>
        </w:rPr>
        <w:t>,</w:t>
      </w:r>
      <w:r w:rsidR="003216D3">
        <w:rPr>
          <w:color w:val="000000"/>
          <w:sz w:val="24"/>
          <w:szCs w:val="24"/>
        </w:rPr>
        <w:t xml:space="preserve"> valdymo principus bei atrasti priežastis  kodėl panašią istorinę praeitį turinčių valstybių skolos lygiai ženkliai skiriasi.</w:t>
      </w:r>
    </w:p>
    <w:p w:rsidR="004B7956" w:rsidRPr="00B158D1" w:rsidRDefault="004B7956" w:rsidP="004B7956">
      <w:pPr>
        <w:spacing w:line="360" w:lineRule="auto"/>
        <w:ind w:firstLine="720"/>
        <w:rPr>
          <w:sz w:val="24"/>
          <w:szCs w:val="24"/>
        </w:rPr>
      </w:pPr>
      <w:r w:rsidRPr="00B158D1">
        <w:rPr>
          <w:sz w:val="24"/>
          <w:szCs w:val="24"/>
        </w:rPr>
        <w:t>Tyrimo problema: kuo skiriasi valstybės skola ir jos valdymas  Baltijos šalyse?</w:t>
      </w:r>
    </w:p>
    <w:p w:rsidR="004B7956" w:rsidRPr="00B158D1" w:rsidRDefault="004B7956" w:rsidP="004B7956">
      <w:pPr>
        <w:spacing w:line="360" w:lineRule="auto"/>
        <w:ind w:firstLine="720"/>
        <w:rPr>
          <w:color w:val="000000"/>
          <w:sz w:val="24"/>
          <w:szCs w:val="24"/>
        </w:rPr>
      </w:pPr>
      <w:r w:rsidRPr="00B158D1">
        <w:rPr>
          <w:sz w:val="24"/>
          <w:szCs w:val="24"/>
        </w:rPr>
        <w:t>Tyrimo objektas:</w:t>
      </w:r>
      <w:r w:rsidRPr="00B158D1">
        <w:rPr>
          <w:color w:val="000000"/>
          <w:sz w:val="24"/>
          <w:szCs w:val="24"/>
        </w:rPr>
        <w:t xml:space="preserve"> Baltijos šalių valstybės skola ir jos valdymas</w:t>
      </w:r>
    </w:p>
    <w:p w:rsidR="004B7956" w:rsidRPr="00B158D1" w:rsidRDefault="004B7956" w:rsidP="004B7956">
      <w:pPr>
        <w:spacing w:line="360" w:lineRule="auto"/>
        <w:ind w:firstLine="720"/>
        <w:rPr>
          <w:color w:val="000000"/>
          <w:sz w:val="24"/>
          <w:szCs w:val="24"/>
        </w:rPr>
      </w:pPr>
      <w:r w:rsidRPr="00B158D1">
        <w:rPr>
          <w:color w:val="000000"/>
          <w:sz w:val="24"/>
          <w:szCs w:val="24"/>
        </w:rPr>
        <w:t xml:space="preserve">Tyrimo hipotezė: Mažą Estijos valstybės skolą lyginant su kitomis Baltijos šalimis lemia geriau formuojama valstybės skolos portfelio struktūra bei griežtesnės skolos valdymo priemonės. </w:t>
      </w:r>
    </w:p>
    <w:p w:rsidR="004B7956" w:rsidRPr="00B158D1" w:rsidRDefault="004B7956" w:rsidP="00987A80">
      <w:pPr>
        <w:spacing w:line="360" w:lineRule="auto"/>
        <w:ind w:firstLine="720"/>
        <w:rPr>
          <w:color w:val="000000"/>
          <w:sz w:val="24"/>
          <w:szCs w:val="24"/>
        </w:rPr>
      </w:pPr>
      <w:r w:rsidRPr="00B158D1">
        <w:rPr>
          <w:color w:val="000000"/>
          <w:sz w:val="24"/>
          <w:szCs w:val="24"/>
        </w:rPr>
        <w:t>Tyrimo tikslas: atlikti Baltijos šalių valstybės skolos ir jos valdymo palyginamąją analizę.</w:t>
      </w:r>
    </w:p>
    <w:p w:rsidR="004B7956" w:rsidRPr="00B158D1" w:rsidRDefault="00E85106" w:rsidP="004B7956">
      <w:pPr>
        <w:spacing w:line="360" w:lineRule="auto"/>
        <w:ind w:firstLine="720"/>
        <w:rPr>
          <w:color w:val="000000"/>
          <w:sz w:val="24"/>
          <w:szCs w:val="24"/>
        </w:rPr>
      </w:pPr>
      <w:r>
        <w:rPr>
          <w:color w:val="000000"/>
          <w:sz w:val="24"/>
          <w:szCs w:val="24"/>
        </w:rPr>
        <w:t xml:space="preserve">Tyrimas buvo atliktas </w:t>
      </w:r>
      <w:r w:rsidR="0061651B">
        <w:rPr>
          <w:color w:val="000000"/>
          <w:sz w:val="24"/>
          <w:szCs w:val="24"/>
        </w:rPr>
        <w:t>tokiais etapais:</w:t>
      </w:r>
    </w:p>
    <w:p w:rsidR="00987A80" w:rsidRPr="00987A80" w:rsidRDefault="0061651B" w:rsidP="00987A80">
      <w:pPr>
        <w:pStyle w:val="ListParagraph"/>
        <w:numPr>
          <w:ilvl w:val="0"/>
          <w:numId w:val="39"/>
        </w:numPr>
        <w:spacing w:line="360" w:lineRule="auto"/>
        <w:rPr>
          <w:b/>
          <w:color w:val="000000"/>
          <w:sz w:val="24"/>
          <w:szCs w:val="24"/>
        </w:rPr>
      </w:pPr>
      <w:r>
        <w:rPr>
          <w:color w:val="000000"/>
          <w:sz w:val="24"/>
          <w:szCs w:val="24"/>
        </w:rPr>
        <w:t>Atlikta</w:t>
      </w:r>
      <w:r w:rsidR="004B7956" w:rsidRPr="002A2B71">
        <w:rPr>
          <w:color w:val="000000"/>
          <w:sz w:val="24"/>
          <w:szCs w:val="24"/>
        </w:rPr>
        <w:t xml:space="preserve"> užsienio ir Lietuvos autor</w:t>
      </w:r>
      <w:r>
        <w:rPr>
          <w:color w:val="000000"/>
          <w:sz w:val="24"/>
          <w:szCs w:val="24"/>
        </w:rPr>
        <w:t>ių mokslinės Literatūros analizė,</w:t>
      </w:r>
      <w:r w:rsidR="004B7956" w:rsidRPr="002A2B71">
        <w:rPr>
          <w:color w:val="000000"/>
          <w:sz w:val="24"/>
          <w:szCs w:val="24"/>
        </w:rPr>
        <w:t xml:space="preserve"> išskiriant va</w:t>
      </w:r>
      <w:r>
        <w:rPr>
          <w:color w:val="000000"/>
          <w:sz w:val="24"/>
          <w:szCs w:val="24"/>
        </w:rPr>
        <w:t>l</w:t>
      </w:r>
      <w:r w:rsidR="004B7956" w:rsidRPr="002A2B71">
        <w:rPr>
          <w:color w:val="000000"/>
          <w:sz w:val="24"/>
          <w:szCs w:val="24"/>
        </w:rPr>
        <w:t>stybės skolos klasifikavimą, skolinimosi priemones, veiksnius lemiančus skolinimosi poreikį, skolos poveikį ekonomikai</w:t>
      </w:r>
      <w:r w:rsidR="004B7956">
        <w:rPr>
          <w:color w:val="000000"/>
          <w:sz w:val="24"/>
          <w:szCs w:val="24"/>
        </w:rPr>
        <w:t>, skolos vertinimo rodiklius</w:t>
      </w:r>
      <w:r w:rsidR="004B7956" w:rsidRPr="002A2B71">
        <w:rPr>
          <w:color w:val="000000"/>
          <w:sz w:val="24"/>
          <w:szCs w:val="24"/>
        </w:rPr>
        <w:t xml:space="preserve"> bei skolos valdymo problemas</w:t>
      </w:r>
      <w:r w:rsidR="004B7956">
        <w:rPr>
          <w:color w:val="000000"/>
          <w:sz w:val="24"/>
          <w:szCs w:val="24"/>
        </w:rPr>
        <w:t>.</w:t>
      </w:r>
    </w:p>
    <w:p w:rsidR="00987A80" w:rsidRPr="00987A80" w:rsidRDefault="0061651B" w:rsidP="00987A80">
      <w:pPr>
        <w:pStyle w:val="ListParagraph"/>
        <w:numPr>
          <w:ilvl w:val="0"/>
          <w:numId w:val="39"/>
        </w:numPr>
        <w:spacing w:line="360" w:lineRule="auto"/>
        <w:rPr>
          <w:b/>
          <w:color w:val="000000"/>
          <w:sz w:val="24"/>
          <w:szCs w:val="24"/>
        </w:rPr>
      </w:pPr>
      <w:r>
        <w:rPr>
          <w:color w:val="000000"/>
          <w:sz w:val="24"/>
          <w:szCs w:val="24"/>
        </w:rPr>
        <w:t>Pateikta</w:t>
      </w:r>
      <w:r w:rsidR="004B7956" w:rsidRPr="00987A80">
        <w:rPr>
          <w:color w:val="000000"/>
          <w:sz w:val="24"/>
          <w:szCs w:val="24"/>
        </w:rPr>
        <w:t xml:space="preserve"> Baltijos šalių valstybės skolos analizės, vertin</w:t>
      </w:r>
      <w:r w:rsidR="00FB06D6">
        <w:rPr>
          <w:color w:val="000000"/>
          <w:sz w:val="24"/>
          <w:szCs w:val="24"/>
        </w:rPr>
        <w:t>imo ir prognozavimo metodologija</w:t>
      </w:r>
      <w:r w:rsidR="004B7956" w:rsidRPr="00987A80">
        <w:rPr>
          <w:color w:val="000000"/>
          <w:sz w:val="24"/>
          <w:szCs w:val="24"/>
        </w:rPr>
        <w:t>.</w:t>
      </w:r>
    </w:p>
    <w:p w:rsidR="00987A80" w:rsidRPr="00987A80" w:rsidRDefault="0061651B" w:rsidP="00987A80">
      <w:pPr>
        <w:pStyle w:val="ListParagraph"/>
        <w:numPr>
          <w:ilvl w:val="0"/>
          <w:numId w:val="39"/>
        </w:numPr>
        <w:spacing w:line="360" w:lineRule="auto"/>
        <w:rPr>
          <w:b/>
          <w:color w:val="000000"/>
          <w:sz w:val="24"/>
          <w:szCs w:val="24"/>
        </w:rPr>
      </w:pPr>
      <w:r>
        <w:rPr>
          <w:color w:val="000000"/>
          <w:sz w:val="24"/>
          <w:szCs w:val="24"/>
        </w:rPr>
        <w:t>Apžvelgta Baltijos šalių ekonominė situacija</w:t>
      </w:r>
      <w:r w:rsidR="004B7956" w:rsidRPr="00987A80">
        <w:rPr>
          <w:color w:val="000000"/>
          <w:sz w:val="24"/>
          <w:szCs w:val="24"/>
        </w:rPr>
        <w:t xml:space="preserve">, </w:t>
      </w:r>
      <w:r>
        <w:rPr>
          <w:color w:val="000000"/>
          <w:sz w:val="24"/>
          <w:szCs w:val="24"/>
        </w:rPr>
        <w:t>lemian</w:t>
      </w:r>
      <w:r w:rsidR="00FB06D6">
        <w:rPr>
          <w:color w:val="000000"/>
          <w:sz w:val="24"/>
          <w:szCs w:val="24"/>
        </w:rPr>
        <w:t>t</w:t>
      </w:r>
      <w:r>
        <w:rPr>
          <w:color w:val="000000"/>
          <w:sz w:val="24"/>
          <w:szCs w:val="24"/>
        </w:rPr>
        <w:t>i</w:t>
      </w:r>
      <w:r w:rsidR="004B7956" w:rsidRPr="00987A80">
        <w:rPr>
          <w:color w:val="000000"/>
          <w:sz w:val="24"/>
          <w:szCs w:val="24"/>
        </w:rPr>
        <w:t xml:space="preserve"> skolinimosi poreikį, palyginti Baltijo</w:t>
      </w:r>
      <w:r w:rsidR="00FB06D6">
        <w:rPr>
          <w:color w:val="000000"/>
          <w:sz w:val="24"/>
          <w:szCs w:val="24"/>
        </w:rPr>
        <w:t>s šalių valstybės skolos dydžia</w:t>
      </w:r>
      <w:r>
        <w:rPr>
          <w:color w:val="000000"/>
          <w:sz w:val="24"/>
          <w:szCs w:val="24"/>
        </w:rPr>
        <w:t>i, struktūra bei atliktas skolos vertinimas</w:t>
      </w:r>
      <w:r w:rsidR="004B7956" w:rsidRPr="00987A80">
        <w:rPr>
          <w:color w:val="000000"/>
          <w:sz w:val="24"/>
          <w:szCs w:val="24"/>
        </w:rPr>
        <w:t xml:space="preserve"> remiantis santykiniais rodikliais.</w:t>
      </w:r>
    </w:p>
    <w:p w:rsidR="00987A80" w:rsidRPr="00987A80" w:rsidRDefault="0061651B" w:rsidP="00987A80">
      <w:pPr>
        <w:pStyle w:val="ListParagraph"/>
        <w:numPr>
          <w:ilvl w:val="0"/>
          <w:numId w:val="39"/>
        </w:numPr>
        <w:spacing w:line="360" w:lineRule="auto"/>
        <w:rPr>
          <w:b/>
          <w:color w:val="000000"/>
          <w:sz w:val="24"/>
          <w:szCs w:val="24"/>
        </w:rPr>
      </w:pPr>
      <w:r>
        <w:rPr>
          <w:color w:val="000000"/>
          <w:sz w:val="24"/>
          <w:szCs w:val="24"/>
        </w:rPr>
        <w:t>Apžvelgti</w:t>
      </w:r>
      <w:r w:rsidR="004B7956" w:rsidRPr="00987A80">
        <w:rPr>
          <w:color w:val="000000"/>
          <w:sz w:val="24"/>
          <w:szCs w:val="24"/>
        </w:rPr>
        <w:t xml:space="preserve"> Baltijos šalių va</w:t>
      </w:r>
      <w:r>
        <w:rPr>
          <w:color w:val="000000"/>
          <w:sz w:val="24"/>
          <w:szCs w:val="24"/>
        </w:rPr>
        <w:t xml:space="preserve">lstybės skolos valdymo </w:t>
      </w:r>
      <w:r w:rsidR="002A0674">
        <w:rPr>
          <w:color w:val="000000"/>
          <w:sz w:val="24"/>
          <w:szCs w:val="24"/>
        </w:rPr>
        <w:t>pagrindiniai aspektai.</w:t>
      </w:r>
    </w:p>
    <w:p w:rsidR="004B7956" w:rsidRPr="00987A80" w:rsidRDefault="0061651B" w:rsidP="00987A80">
      <w:pPr>
        <w:pStyle w:val="ListParagraph"/>
        <w:numPr>
          <w:ilvl w:val="0"/>
          <w:numId w:val="39"/>
        </w:numPr>
        <w:spacing w:line="360" w:lineRule="auto"/>
        <w:rPr>
          <w:b/>
          <w:color w:val="000000"/>
          <w:sz w:val="24"/>
          <w:szCs w:val="24"/>
        </w:rPr>
      </w:pPr>
      <w:r>
        <w:rPr>
          <w:color w:val="000000"/>
          <w:sz w:val="24"/>
          <w:szCs w:val="24"/>
        </w:rPr>
        <w:t>Atlikta</w:t>
      </w:r>
      <w:r w:rsidR="004B7956" w:rsidRPr="00987A80">
        <w:rPr>
          <w:color w:val="000000"/>
          <w:sz w:val="24"/>
          <w:szCs w:val="24"/>
        </w:rPr>
        <w:t xml:space="preserve"> Baltijos šalių valstybės skolos </w:t>
      </w:r>
      <w:r>
        <w:rPr>
          <w:color w:val="000000"/>
          <w:sz w:val="24"/>
          <w:szCs w:val="24"/>
        </w:rPr>
        <w:t>pokyčių prognozė</w:t>
      </w:r>
      <w:r w:rsidR="004B7956" w:rsidRPr="00987A80">
        <w:rPr>
          <w:color w:val="000000"/>
          <w:sz w:val="24"/>
          <w:szCs w:val="24"/>
        </w:rPr>
        <w:t xml:space="preserve"> 2013 - 2014 metams.</w:t>
      </w:r>
    </w:p>
    <w:p w:rsidR="004B7956" w:rsidRPr="0061457D" w:rsidRDefault="00E85106" w:rsidP="004B7956">
      <w:pPr>
        <w:spacing w:line="360" w:lineRule="auto"/>
        <w:rPr>
          <w:sz w:val="24"/>
          <w:szCs w:val="24"/>
        </w:rPr>
      </w:pPr>
      <w:r>
        <w:rPr>
          <w:sz w:val="24"/>
          <w:szCs w:val="24"/>
        </w:rPr>
        <w:t>Darbe naudoti</w:t>
      </w:r>
      <w:r w:rsidR="004B7956" w:rsidRPr="00823A05">
        <w:rPr>
          <w:sz w:val="24"/>
          <w:szCs w:val="24"/>
        </w:rPr>
        <w:t xml:space="preserve"> t</w:t>
      </w:r>
      <w:r w:rsidR="004B7956">
        <w:rPr>
          <w:sz w:val="24"/>
          <w:szCs w:val="24"/>
        </w:rPr>
        <w:t xml:space="preserve">okie </w:t>
      </w:r>
      <w:r w:rsidR="004B7956" w:rsidRPr="00B158D1">
        <w:rPr>
          <w:sz w:val="24"/>
          <w:szCs w:val="24"/>
        </w:rPr>
        <w:t xml:space="preserve">metodai </w:t>
      </w:r>
      <w:r w:rsidR="004B7956">
        <w:rPr>
          <w:sz w:val="24"/>
          <w:szCs w:val="24"/>
        </w:rPr>
        <w:t xml:space="preserve">kaip mokslinės literatūros </w:t>
      </w:r>
      <w:r w:rsidR="004B7956" w:rsidRPr="00823A05">
        <w:rPr>
          <w:sz w:val="24"/>
          <w:szCs w:val="24"/>
        </w:rPr>
        <w:t>analizė</w:t>
      </w:r>
      <w:r w:rsidR="004B7956">
        <w:rPr>
          <w:sz w:val="24"/>
          <w:szCs w:val="24"/>
        </w:rPr>
        <w:t>, statistinių duomenų bei</w:t>
      </w:r>
      <w:r w:rsidR="004B7956" w:rsidRPr="00823A05">
        <w:rPr>
          <w:sz w:val="24"/>
          <w:szCs w:val="24"/>
        </w:rPr>
        <w:t xml:space="preserve"> </w:t>
      </w:r>
      <w:r w:rsidR="004B7956">
        <w:rPr>
          <w:sz w:val="24"/>
          <w:szCs w:val="24"/>
        </w:rPr>
        <w:t xml:space="preserve">grafinės analizės metodai, </w:t>
      </w:r>
      <w:r w:rsidR="004B7956" w:rsidRPr="00823A05">
        <w:rPr>
          <w:sz w:val="24"/>
          <w:szCs w:val="24"/>
        </w:rPr>
        <w:t>ko</w:t>
      </w:r>
      <w:r w:rsidR="004B7956">
        <w:rPr>
          <w:sz w:val="24"/>
          <w:szCs w:val="24"/>
        </w:rPr>
        <w:t>r</w:t>
      </w:r>
      <w:r>
        <w:rPr>
          <w:sz w:val="24"/>
          <w:szCs w:val="24"/>
        </w:rPr>
        <w:t>eliacinė analizė</w:t>
      </w:r>
      <w:r w:rsidR="004B7956">
        <w:rPr>
          <w:sz w:val="24"/>
          <w:szCs w:val="24"/>
        </w:rPr>
        <w:t xml:space="preserve">, </w:t>
      </w:r>
      <w:r>
        <w:rPr>
          <w:sz w:val="24"/>
          <w:szCs w:val="24"/>
        </w:rPr>
        <w:t xml:space="preserve">daugialypės tiesinės regresijos modelis, </w:t>
      </w:r>
      <w:r w:rsidR="004B7956">
        <w:rPr>
          <w:sz w:val="24"/>
          <w:szCs w:val="24"/>
        </w:rPr>
        <w:t>autoregresijos slankiųjų vidurkių metodas.</w:t>
      </w:r>
    </w:p>
    <w:p w:rsidR="00C80D63" w:rsidRDefault="00987A80" w:rsidP="002A0674">
      <w:pPr>
        <w:spacing w:line="360" w:lineRule="auto"/>
        <w:ind w:firstLine="720"/>
        <w:contextualSpacing/>
        <w:rPr>
          <w:sz w:val="24"/>
          <w:szCs w:val="24"/>
          <w:lang w:val="en-US"/>
        </w:rPr>
      </w:pPr>
      <w:r>
        <w:rPr>
          <w:sz w:val="24"/>
          <w:szCs w:val="24"/>
          <w:lang w:val="en-US"/>
        </w:rPr>
        <w:lastRenderedPageBreak/>
        <w:t xml:space="preserve">Atlikta Baltijos šalių ekonominės aplinkos bei valstybės skolos pokyčių analizė 2008 – 2012 metų </w:t>
      </w:r>
      <w:r w:rsidR="00B158D1">
        <w:rPr>
          <w:sz w:val="24"/>
          <w:szCs w:val="24"/>
          <w:lang w:val="en-US"/>
        </w:rPr>
        <w:t xml:space="preserve">laikotarpiu, parodė, jog </w:t>
      </w:r>
      <w:r w:rsidR="002936C2">
        <w:rPr>
          <w:sz w:val="24"/>
          <w:szCs w:val="24"/>
          <w:lang w:val="en-US"/>
        </w:rPr>
        <w:t>pagrindinė priežastis, neleidusi Estijai krizės metu daug padidinti valstybės skolos, buvo ekonominio pakilimo laikoarpiu vykdyta konservatyvi biudžeto politika ir rezervo kaupimas. T</w:t>
      </w:r>
      <w:r w:rsidR="00B158D1">
        <w:rPr>
          <w:sz w:val="24"/>
          <w:szCs w:val="24"/>
          <w:lang w:val="en-US"/>
        </w:rPr>
        <w:t xml:space="preserve">uo tarpu Lietuvoje ir Latvijoje </w:t>
      </w:r>
      <w:r w:rsidR="002936C2">
        <w:rPr>
          <w:sz w:val="24"/>
          <w:szCs w:val="24"/>
          <w:lang w:val="en-US"/>
        </w:rPr>
        <w:t xml:space="preserve">krizės metu išaugę biudžetų deficitai lėmė spartų valstybės skolos augimą. </w:t>
      </w:r>
      <w:r w:rsidR="001F2DE7">
        <w:rPr>
          <w:sz w:val="24"/>
          <w:szCs w:val="24"/>
          <w:lang w:val="en-US"/>
        </w:rPr>
        <w:t>Sunkmečiu priimti skirtingi Latvijos ir Lietuvos sprendimai dėl skolinimosi šaltinių davė skirtingus rezultatus. Latvija kre</w:t>
      </w:r>
      <w:r w:rsidR="00686726">
        <w:rPr>
          <w:sz w:val="24"/>
          <w:szCs w:val="24"/>
          <w:lang w:val="en-US"/>
        </w:rPr>
        <w:t>i</w:t>
      </w:r>
      <w:r w:rsidR="001F2DE7">
        <w:rPr>
          <w:sz w:val="24"/>
          <w:szCs w:val="24"/>
          <w:lang w:val="en-US"/>
        </w:rPr>
        <w:t>pusis pagalbos į TVF</w:t>
      </w:r>
      <w:r w:rsidR="00686726">
        <w:rPr>
          <w:sz w:val="24"/>
          <w:szCs w:val="24"/>
          <w:lang w:val="en-US"/>
        </w:rPr>
        <w:t xml:space="preserve"> ir pasiskolinusi pigiau, sumažino savo skolos naštą, tuo tarpu Lietuvos išlaidos palūkanoms kasmet</w:t>
      </w:r>
      <w:r w:rsidR="00401CD8">
        <w:rPr>
          <w:sz w:val="24"/>
          <w:szCs w:val="24"/>
          <w:lang w:val="en-US"/>
        </w:rPr>
        <w:t xml:space="preserve"> vis didėja bei lemia skolos augimą,</w:t>
      </w:r>
      <w:r w:rsidR="00686726">
        <w:rPr>
          <w:sz w:val="24"/>
          <w:szCs w:val="24"/>
          <w:lang w:val="en-US"/>
        </w:rPr>
        <w:t xml:space="preserve"> kas yra įvardijama kaip pagrindine Lietuvos valstybės skolos valdymo problema. Šią problemą patvirtino ir atliktas Baltijos šalių valstybės skolos vertinimas pagal santykius rodiklius. </w:t>
      </w:r>
      <w:r w:rsidR="002D369F">
        <w:rPr>
          <w:sz w:val="24"/>
          <w:szCs w:val="24"/>
          <w:lang w:val="en-US"/>
        </w:rPr>
        <w:t>Padaryta išvada, kad pagrindinė priemonė valstybės skolos augimo valdymui yra pagrįsta ir protinga valstybės biudžeto politika.</w:t>
      </w:r>
    </w:p>
    <w:p w:rsidR="00401CD8" w:rsidRDefault="00686726" w:rsidP="002D369F">
      <w:pPr>
        <w:spacing w:line="360" w:lineRule="auto"/>
        <w:ind w:firstLine="720"/>
        <w:contextualSpacing/>
        <w:rPr>
          <w:sz w:val="24"/>
          <w:szCs w:val="24"/>
          <w:lang w:val="en-US"/>
        </w:rPr>
      </w:pPr>
      <w:r>
        <w:rPr>
          <w:sz w:val="24"/>
          <w:szCs w:val="24"/>
          <w:lang w:val="en-US"/>
        </w:rPr>
        <w:t xml:space="preserve">Atlikta Baltijos šalių valstybės skolos struktūrinė analizė, atskleidė, jog Baltijos šalių valstybės skolos struktūros skiriasi. Vienintelis panašumas yra tai, kad visos trys šalys daugiausiai skolinasi ilgam laikotarpiui. </w:t>
      </w:r>
      <w:r w:rsidR="00401CD8">
        <w:rPr>
          <w:sz w:val="24"/>
          <w:szCs w:val="24"/>
          <w:lang w:val="en-US"/>
        </w:rPr>
        <w:t>Neigiami Latvijos ir Lietuvos valstybės skolos struktūros aspektai yra didelė užsienio skolos dalis bendroje valstybės skolos struktūroje, bei didesnis skolinimasis užsienio negu vidaus valiuta.</w:t>
      </w:r>
    </w:p>
    <w:p w:rsidR="00C80D63" w:rsidRDefault="002D369F" w:rsidP="002D369F">
      <w:pPr>
        <w:spacing w:line="360" w:lineRule="auto"/>
        <w:rPr>
          <w:sz w:val="24"/>
          <w:szCs w:val="24"/>
          <w:lang w:val="en-US"/>
        </w:rPr>
      </w:pPr>
      <w:r>
        <w:rPr>
          <w:sz w:val="24"/>
          <w:szCs w:val="24"/>
          <w:lang w:val="en-US"/>
        </w:rPr>
        <w:t xml:space="preserve">Apskaičiavus koreliacijos koeficientus tarp Baltijos šalių valstybės skolos bei BVP, biudžeto deficito/pertekliaus, einamosios sąskaitos deficito/pertekliaus bei išlaidų palūkanoms už valstybės skolą, visų trijų šalių atveju stiprus </w:t>
      </w:r>
      <w:r w:rsidR="002A0674">
        <w:rPr>
          <w:sz w:val="24"/>
          <w:szCs w:val="24"/>
          <w:lang w:val="en-US"/>
        </w:rPr>
        <w:t xml:space="preserve">teigiamas </w:t>
      </w:r>
      <w:r>
        <w:rPr>
          <w:sz w:val="24"/>
          <w:szCs w:val="24"/>
          <w:lang w:val="en-US"/>
        </w:rPr>
        <w:t>tiesinis ryšys gautas tarp valstybės skolos ir BVP, o Lietuvoje ir Latvijoje netgi labai stiprus</w:t>
      </w:r>
      <w:r w:rsidR="002A0674">
        <w:rPr>
          <w:sz w:val="24"/>
          <w:szCs w:val="24"/>
          <w:lang w:val="en-US"/>
        </w:rPr>
        <w:t xml:space="preserve"> teigiamas tiesinis</w:t>
      </w:r>
      <w:r>
        <w:rPr>
          <w:sz w:val="24"/>
          <w:szCs w:val="24"/>
          <w:lang w:val="en-US"/>
        </w:rPr>
        <w:t xml:space="preserve"> ryšys sieja valstybės skolą ir išlaidas palūkanoms. </w:t>
      </w:r>
    </w:p>
    <w:p w:rsidR="00C80D63" w:rsidRDefault="002D369F" w:rsidP="002D369F">
      <w:pPr>
        <w:spacing w:line="360" w:lineRule="auto"/>
        <w:rPr>
          <w:sz w:val="24"/>
          <w:szCs w:val="24"/>
          <w:lang w:val="en-US"/>
        </w:rPr>
      </w:pPr>
      <w:r>
        <w:rPr>
          <w:sz w:val="24"/>
          <w:szCs w:val="24"/>
          <w:lang w:val="en-US"/>
        </w:rPr>
        <w:t>Remiantis analitikų pateikiamomis prognozėmis, visų trijų</w:t>
      </w:r>
      <w:r w:rsidR="001C13C6">
        <w:rPr>
          <w:sz w:val="24"/>
          <w:szCs w:val="24"/>
          <w:lang w:val="en-US"/>
        </w:rPr>
        <w:t xml:space="preserve"> Baltijos šalių skolos nominalia</w:t>
      </w:r>
      <w:r>
        <w:rPr>
          <w:sz w:val="24"/>
          <w:szCs w:val="24"/>
          <w:lang w:val="en-US"/>
        </w:rPr>
        <w:t xml:space="preserve"> verte  2013 – 2014 </w:t>
      </w:r>
      <w:r w:rsidR="001C13C6">
        <w:rPr>
          <w:sz w:val="24"/>
          <w:szCs w:val="24"/>
          <w:lang w:val="en-US"/>
        </w:rPr>
        <w:t xml:space="preserve">m. dar turėtų augti. Lietuvos atveju, valstybės skolos augimą rodė tiek DTR modeliu, tiek ARIMA modeliu gauta prognozė. Latvijos atveju labiau tikėtina ARIMA metodu gauta valstybės skolos prognozė, kuri rodo </w:t>
      </w:r>
      <w:r w:rsidR="00682421">
        <w:rPr>
          <w:sz w:val="24"/>
          <w:szCs w:val="24"/>
          <w:lang w:val="en-US"/>
        </w:rPr>
        <w:t>jos</w:t>
      </w:r>
      <w:r w:rsidR="001C13C6">
        <w:rPr>
          <w:sz w:val="24"/>
          <w:szCs w:val="24"/>
          <w:lang w:val="en-US"/>
        </w:rPr>
        <w:t xml:space="preserve"> augimą, o Estijos atveju abiem metodais gautas prognozuojamas valstybės skolos smarkus sumažėjimas kelia abejoni</w:t>
      </w:r>
      <w:r w:rsidR="00CB39BA">
        <w:rPr>
          <w:sz w:val="24"/>
          <w:szCs w:val="24"/>
          <w:lang w:val="en-US"/>
        </w:rPr>
        <w:t>ų. Estijos valstybės skolos ten</w:t>
      </w:r>
      <w:r w:rsidR="001C13C6">
        <w:rPr>
          <w:sz w:val="24"/>
          <w:szCs w:val="24"/>
          <w:lang w:val="en-US"/>
        </w:rPr>
        <w:t>dencijas prognozuoti remiantis praeities</w:t>
      </w:r>
      <w:r w:rsidR="00682421">
        <w:rPr>
          <w:sz w:val="24"/>
          <w:szCs w:val="24"/>
          <w:lang w:val="en-US"/>
        </w:rPr>
        <w:t xml:space="preserve"> duomenimis</w:t>
      </w:r>
      <w:r w:rsidR="001C13C6">
        <w:rPr>
          <w:sz w:val="24"/>
          <w:szCs w:val="24"/>
          <w:lang w:val="en-US"/>
        </w:rPr>
        <w:t xml:space="preserve"> </w:t>
      </w:r>
      <w:r w:rsidR="00682421">
        <w:rPr>
          <w:sz w:val="24"/>
          <w:szCs w:val="24"/>
          <w:lang w:val="en-US"/>
        </w:rPr>
        <w:t>ir ekonominės aplinkos veiksniais yra</w:t>
      </w:r>
      <w:r w:rsidR="001C13C6">
        <w:rPr>
          <w:sz w:val="24"/>
          <w:szCs w:val="24"/>
          <w:lang w:val="en-US"/>
        </w:rPr>
        <w:t xml:space="preserve"> sunkiau, kadangi jos valstybės skolos augimą </w:t>
      </w:r>
      <w:r w:rsidR="002A0674">
        <w:rPr>
          <w:sz w:val="24"/>
          <w:szCs w:val="24"/>
          <w:lang w:val="en-US"/>
        </w:rPr>
        <w:t xml:space="preserve">analizuotu laikotarpiu </w:t>
      </w:r>
      <w:r w:rsidR="001C13C6">
        <w:rPr>
          <w:sz w:val="24"/>
          <w:szCs w:val="24"/>
          <w:lang w:val="en-US"/>
        </w:rPr>
        <w:t>labiau lėmė ne ekonominės situacijos pokyčiai, o kiti veiksniai.</w:t>
      </w:r>
    </w:p>
    <w:p w:rsidR="001C13C6" w:rsidRPr="00401CD8" w:rsidRDefault="001C13C6" w:rsidP="001C13C6">
      <w:pPr>
        <w:spacing w:line="360" w:lineRule="auto"/>
        <w:ind w:firstLine="720"/>
        <w:contextualSpacing/>
        <w:rPr>
          <w:b/>
          <w:sz w:val="24"/>
          <w:szCs w:val="24"/>
          <w:lang w:val="en-US"/>
        </w:rPr>
      </w:pPr>
      <w:r>
        <w:rPr>
          <w:sz w:val="24"/>
          <w:szCs w:val="24"/>
        </w:rPr>
        <w:t>Atlikta Baltijos šalių valstybės skol</w:t>
      </w:r>
      <w:r w:rsidR="00682421">
        <w:rPr>
          <w:sz w:val="24"/>
          <w:szCs w:val="24"/>
        </w:rPr>
        <w:t>os</w:t>
      </w:r>
      <w:r w:rsidR="002A0674">
        <w:rPr>
          <w:sz w:val="24"/>
          <w:szCs w:val="24"/>
        </w:rPr>
        <w:t xml:space="preserve"> ir jos valdymo analizė, leido</w:t>
      </w:r>
      <w:r>
        <w:rPr>
          <w:sz w:val="24"/>
          <w:szCs w:val="24"/>
        </w:rPr>
        <w:t xml:space="preserve"> </w:t>
      </w:r>
      <w:r w:rsidRPr="00401CD8">
        <w:rPr>
          <w:sz w:val="24"/>
          <w:szCs w:val="24"/>
        </w:rPr>
        <w:t xml:space="preserve">patvirtinti darbo pradžioje </w:t>
      </w:r>
      <w:r w:rsidR="00682421">
        <w:rPr>
          <w:sz w:val="24"/>
          <w:szCs w:val="24"/>
        </w:rPr>
        <w:t>iš</w:t>
      </w:r>
      <w:r w:rsidRPr="00401CD8">
        <w:rPr>
          <w:sz w:val="24"/>
          <w:szCs w:val="24"/>
        </w:rPr>
        <w:t>keltą hipotezę.</w:t>
      </w:r>
    </w:p>
    <w:p w:rsidR="00C80D63" w:rsidRDefault="00C80D63" w:rsidP="00C80D63">
      <w:pPr>
        <w:rPr>
          <w:b/>
          <w:sz w:val="24"/>
          <w:szCs w:val="24"/>
          <w:lang w:val="en-US"/>
        </w:rPr>
      </w:pPr>
    </w:p>
    <w:p w:rsidR="00401CD8" w:rsidRPr="003B322B" w:rsidRDefault="00401CD8" w:rsidP="00401CD8">
      <w:pPr>
        <w:ind w:firstLine="0"/>
        <w:rPr>
          <w:lang w:val="en-US"/>
        </w:rPr>
      </w:pPr>
      <w:bookmarkStart w:id="281" w:name="_Toc373421083"/>
      <w:bookmarkStart w:id="282" w:name="_Toc373448119"/>
    </w:p>
    <w:p w:rsidR="002077BF" w:rsidRDefault="002077BF" w:rsidP="002077BF">
      <w:pPr>
        <w:pStyle w:val="Heading1"/>
        <w:ind w:firstLine="0"/>
        <w:jc w:val="center"/>
        <w:rPr>
          <w:rFonts w:ascii="Times New Roman" w:hAnsi="Times New Roman" w:cs="Times New Roman"/>
          <w:color w:val="auto"/>
          <w:lang w:val="en-US"/>
        </w:rPr>
      </w:pPr>
      <w:bookmarkStart w:id="283" w:name="_Toc374228654"/>
      <w:bookmarkStart w:id="284" w:name="_Toc374229064"/>
      <w:bookmarkStart w:id="285" w:name="_Toc374229175"/>
      <w:bookmarkStart w:id="286" w:name="_Toc374229486"/>
    </w:p>
    <w:p w:rsidR="002A0674" w:rsidRDefault="002A0674" w:rsidP="002A0674">
      <w:pPr>
        <w:rPr>
          <w:lang w:val="en-US"/>
        </w:rPr>
      </w:pPr>
    </w:p>
    <w:p w:rsidR="002A0674" w:rsidRPr="002A0674" w:rsidRDefault="002A0674" w:rsidP="002A0674">
      <w:pPr>
        <w:rPr>
          <w:lang w:val="en-US"/>
        </w:rPr>
      </w:pPr>
    </w:p>
    <w:p w:rsidR="002077BF" w:rsidRDefault="002077BF" w:rsidP="002077BF">
      <w:pPr>
        <w:rPr>
          <w:lang w:val="en-US"/>
        </w:rPr>
      </w:pPr>
    </w:p>
    <w:p w:rsidR="002A0674" w:rsidRDefault="002A0674" w:rsidP="002077BF">
      <w:pPr>
        <w:jc w:val="center"/>
        <w:rPr>
          <w:b/>
          <w:sz w:val="28"/>
          <w:szCs w:val="28"/>
          <w:lang w:val="en-US"/>
        </w:rPr>
      </w:pPr>
    </w:p>
    <w:p w:rsidR="00E606E1" w:rsidRPr="00D16B1B" w:rsidRDefault="00E606E1" w:rsidP="002077BF">
      <w:pPr>
        <w:jc w:val="center"/>
        <w:rPr>
          <w:b/>
          <w:sz w:val="28"/>
          <w:szCs w:val="28"/>
          <w:lang w:val="en-US"/>
        </w:rPr>
      </w:pPr>
      <w:r w:rsidRPr="00D16B1B">
        <w:rPr>
          <w:b/>
          <w:sz w:val="28"/>
          <w:szCs w:val="28"/>
          <w:lang w:val="en-US"/>
        </w:rPr>
        <w:lastRenderedPageBreak/>
        <w:t>SUMMARY</w:t>
      </w:r>
      <w:bookmarkEnd w:id="280"/>
      <w:bookmarkEnd w:id="281"/>
      <w:bookmarkEnd w:id="282"/>
      <w:bookmarkEnd w:id="283"/>
      <w:bookmarkEnd w:id="284"/>
      <w:bookmarkEnd w:id="285"/>
      <w:bookmarkEnd w:id="286"/>
    </w:p>
    <w:p w:rsidR="00CC10F5" w:rsidRPr="002077BF" w:rsidRDefault="00CC10F5" w:rsidP="00CC10F5">
      <w:pPr>
        <w:rPr>
          <w:lang w:val="en-US"/>
        </w:rPr>
      </w:pPr>
    </w:p>
    <w:p w:rsidR="00C80D63" w:rsidRDefault="00CC10F5" w:rsidP="001E394D">
      <w:pPr>
        <w:autoSpaceDE w:val="0"/>
        <w:autoSpaceDN w:val="0"/>
        <w:adjustRightInd w:val="0"/>
        <w:spacing w:line="360" w:lineRule="auto"/>
        <w:rPr>
          <w:iCs/>
          <w:sz w:val="24"/>
          <w:szCs w:val="24"/>
          <w:lang w:val="en-US"/>
        </w:rPr>
      </w:pPr>
      <w:bookmarkStart w:id="287" w:name="_Toc373275098"/>
      <w:r>
        <w:rPr>
          <w:b/>
          <w:sz w:val="24"/>
          <w:szCs w:val="24"/>
          <w:lang w:val="en-US"/>
        </w:rPr>
        <w:tab/>
      </w:r>
      <w:r>
        <w:rPr>
          <w:b/>
          <w:iCs/>
          <w:sz w:val="24"/>
          <w:szCs w:val="24"/>
          <w:lang w:val="en-US"/>
        </w:rPr>
        <w:t xml:space="preserve">Donėlaitė G. </w:t>
      </w:r>
      <w:r>
        <w:rPr>
          <w:iCs/>
          <w:sz w:val="24"/>
          <w:szCs w:val="24"/>
          <w:lang w:val="en-US"/>
        </w:rPr>
        <w:t xml:space="preserve">Government debt and its management: Comparative analysis of Baltic states / Master’s work in Finance management. Supervisor dr. A. Balkevičius. Vilnius: Faculty of Economics and Finance Management, Mykolas Romeris University, 2013. </w:t>
      </w:r>
      <w:r w:rsidR="001E394D">
        <w:rPr>
          <w:iCs/>
          <w:sz w:val="24"/>
          <w:szCs w:val="24"/>
          <w:lang w:val="en-US"/>
        </w:rPr>
        <w:t>–</w:t>
      </w:r>
      <w:r>
        <w:rPr>
          <w:iCs/>
          <w:sz w:val="24"/>
          <w:szCs w:val="24"/>
          <w:lang w:val="en-US"/>
        </w:rPr>
        <w:t xml:space="preserve"> </w:t>
      </w:r>
      <w:r w:rsidR="00910D43">
        <w:rPr>
          <w:iCs/>
          <w:sz w:val="24"/>
          <w:szCs w:val="24"/>
          <w:lang w:val="en-US"/>
        </w:rPr>
        <w:t>75</w:t>
      </w:r>
      <w:r w:rsidR="00E85106">
        <w:rPr>
          <w:iCs/>
          <w:sz w:val="24"/>
          <w:szCs w:val="24"/>
          <w:lang w:val="en-US"/>
        </w:rPr>
        <w:t xml:space="preserve"> p.</w:t>
      </w:r>
    </w:p>
    <w:p w:rsidR="001E394D" w:rsidRPr="001E394D" w:rsidRDefault="001E394D" w:rsidP="001E394D">
      <w:pPr>
        <w:autoSpaceDE w:val="0"/>
        <w:autoSpaceDN w:val="0"/>
        <w:adjustRightInd w:val="0"/>
        <w:spacing w:line="360" w:lineRule="auto"/>
        <w:rPr>
          <w:iCs/>
          <w:sz w:val="24"/>
          <w:szCs w:val="24"/>
          <w:lang w:val="en-US"/>
        </w:rPr>
      </w:pPr>
    </w:p>
    <w:p w:rsidR="008A69F1" w:rsidRPr="008A69F1" w:rsidRDefault="00E85106" w:rsidP="00686ADE">
      <w:pPr>
        <w:spacing w:line="360" w:lineRule="auto"/>
        <w:ind w:firstLine="720"/>
        <w:contextualSpacing/>
        <w:rPr>
          <w:sz w:val="24"/>
          <w:szCs w:val="24"/>
          <w:lang w:val="en-US"/>
        </w:rPr>
      </w:pPr>
      <w:r>
        <w:rPr>
          <w:sz w:val="24"/>
          <w:szCs w:val="24"/>
          <w:lang w:val="en-US"/>
        </w:rPr>
        <w:t xml:space="preserve">Government debt crisis in Euro zone, </w:t>
      </w:r>
      <w:r w:rsidR="00686ADE" w:rsidRPr="008A69F1">
        <w:rPr>
          <w:sz w:val="24"/>
          <w:szCs w:val="24"/>
          <w:lang w:val="en-US"/>
        </w:rPr>
        <w:t>with Greece, Italy and several othe</w:t>
      </w:r>
      <w:r w:rsidR="00686ADE">
        <w:rPr>
          <w:sz w:val="24"/>
          <w:szCs w:val="24"/>
          <w:lang w:val="en-US"/>
        </w:rPr>
        <w:t xml:space="preserve">r countries in the centre of it, </w:t>
      </w:r>
      <w:r>
        <w:rPr>
          <w:sz w:val="24"/>
          <w:szCs w:val="24"/>
          <w:lang w:val="en-US"/>
        </w:rPr>
        <w:t>appeared more then three years ago</w:t>
      </w:r>
      <w:r w:rsidR="00686ADE">
        <w:rPr>
          <w:sz w:val="24"/>
          <w:szCs w:val="24"/>
          <w:lang w:val="en-US"/>
        </w:rPr>
        <w:t xml:space="preserve"> and showed that uncontrolled growth of government debt might cause major problems. </w:t>
      </w:r>
      <w:r w:rsidR="008A69F1" w:rsidRPr="008A69F1">
        <w:rPr>
          <w:sz w:val="24"/>
          <w:szCs w:val="24"/>
          <w:lang w:val="en-US"/>
        </w:rPr>
        <w:t>During the crisis, the government debt of Baltic states also has increased.</w:t>
      </w:r>
      <w:r w:rsidR="004B1064" w:rsidRPr="008A69F1">
        <w:rPr>
          <w:sz w:val="24"/>
          <w:szCs w:val="24"/>
          <w:lang w:val="en-US"/>
        </w:rPr>
        <w:t xml:space="preserve"> Compared to other EU countries, the </w:t>
      </w:r>
      <w:r w:rsidR="008A69F1" w:rsidRPr="008A69F1">
        <w:rPr>
          <w:sz w:val="24"/>
          <w:szCs w:val="24"/>
          <w:lang w:val="en-US"/>
        </w:rPr>
        <w:t xml:space="preserve">government debt of Baltic </w:t>
      </w:r>
      <w:r w:rsidR="00F07EE4">
        <w:rPr>
          <w:sz w:val="24"/>
          <w:szCs w:val="24"/>
          <w:lang w:val="en-US"/>
        </w:rPr>
        <w:t>states</w:t>
      </w:r>
      <w:r w:rsidR="008A69F1" w:rsidRPr="008A69F1">
        <w:rPr>
          <w:sz w:val="24"/>
          <w:szCs w:val="24"/>
          <w:lang w:val="en-US"/>
        </w:rPr>
        <w:t xml:space="preserve"> is not high, but the </w:t>
      </w:r>
      <w:r w:rsidR="004B1064" w:rsidRPr="008A69F1">
        <w:rPr>
          <w:sz w:val="24"/>
          <w:szCs w:val="24"/>
          <w:lang w:val="en-US"/>
        </w:rPr>
        <w:t xml:space="preserve">growth of </w:t>
      </w:r>
      <w:r w:rsidR="008A69F1" w:rsidRPr="008A69F1">
        <w:rPr>
          <w:sz w:val="24"/>
          <w:szCs w:val="24"/>
          <w:lang w:val="en-US"/>
        </w:rPr>
        <w:t xml:space="preserve">it requires </w:t>
      </w:r>
      <w:r w:rsidR="004B1064" w:rsidRPr="008A69F1">
        <w:rPr>
          <w:sz w:val="24"/>
          <w:szCs w:val="24"/>
          <w:lang w:val="en-US"/>
        </w:rPr>
        <w:t xml:space="preserve">to pay attention to this problem. </w:t>
      </w:r>
      <w:r w:rsidR="002F5853">
        <w:rPr>
          <w:sz w:val="24"/>
          <w:szCs w:val="24"/>
          <w:lang w:val="en-US"/>
        </w:rPr>
        <w:t xml:space="preserve">It is appropriate to compare the government debt of Baltic states, because these countries </w:t>
      </w:r>
      <w:r w:rsidR="00B31397">
        <w:rPr>
          <w:sz w:val="24"/>
          <w:szCs w:val="24"/>
          <w:lang w:val="en-US"/>
        </w:rPr>
        <w:t>restored their</w:t>
      </w:r>
      <w:r w:rsidR="002F5853">
        <w:rPr>
          <w:sz w:val="24"/>
          <w:szCs w:val="24"/>
          <w:lang w:val="en-US"/>
        </w:rPr>
        <w:t xml:space="preserve"> </w:t>
      </w:r>
      <w:r w:rsidR="00C25690">
        <w:rPr>
          <w:sz w:val="24"/>
          <w:szCs w:val="24"/>
          <w:lang w:val="en-US"/>
        </w:rPr>
        <w:t xml:space="preserve">independence almost at the same time and they didn’t </w:t>
      </w:r>
      <w:r w:rsidR="00B31397">
        <w:rPr>
          <w:sz w:val="24"/>
          <w:szCs w:val="24"/>
          <w:lang w:val="en-US"/>
        </w:rPr>
        <w:t>inherited any debt obligations, s</w:t>
      </w:r>
      <w:r w:rsidR="00F07EE4">
        <w:rPr>
          <w:sz w:val="24"/>
          <w:szCs w:val="24"/>
          <w:lang w:val="en-US"/>
        </w:rPr>
        <w:t xml:space="preserve">o they began to accumulate their debt at the same time. </w:t>
      </w:r>
      <w:r w:rsidR="00C25690">
        <w:rPr>
          <w:sz w:val="24"/>
          <w:szCs w:val="24"/>
          <w:lang w:val="en-US"/>
        </w:rPr>
        <w:t xml:space="preserve">It is known that Estonia has the lowest government debt in EU, so it is interesting to compare its government debt, </w:t>
      </w:r>
      <w:r w:rsidR="00682421">
        <w:rPr>
          <w:sz w:val="24"/>
          <w:szCs w:val="24"/>
          <w:lang w:val="en-US"/>
        </w:rPr>
        <w:t xml:space="preserve">its </w:t>
      </w:r>
      <w:r w:rsidR="00C25690">
        <w:rPr>
          <w:sz w:val="24"/>
          <w:szCs w:val="24"/>
          <w:lang w:val="en-US"/>
        </w:rPr>
        <w:t>structure and management of it with other two Baltic states, and to discover reasons why three countries with similar history have different debt levels.</w:t>
      </w:r>
    </w:p>
    <w:p w:rsidR="008A69F1" w:rsidRDefault="00F07EE4" w:rsidP="008A69F1">
      <w:pPr>
        <w:spacing w:line="360" w:lineRule="auto"/>
        <w:ind w:firstLine="720"/>
        <w:contextualSpacing/>
        <w:rPr>
          <w:sz w:val="24"/>
          <w:szCs w:val="24"/>
          <w:lang w:val="en-US"/>
        </w:rPr>
      </w:pPr>
      <w:r w:rsidRPr="00686ADE">
        <w:rPr>
          <w:sz w:val="24"/>
          <w:szCs w:val="24"/>
          <w:lang w:val="en-US"/>
        </w:rPr>
        <w:t>The research problem</w:t>
      </w:r>
      <w:r>
        <w:rPr>
          <w:b/>
          <w:sz w:val="24"/>
          <w:szCs w:val="24"/>
          <w:lang w:val="en-US"/>
        </w:rPr>
        <w:t xml:space="preserve">: </w:t>
      </w:r>
      <w:r>
        <w:rPr>
          <w:sz w:val="24"/>
          <w:szCs w:val="24"/>
          <w:lang w:val="en-US"/>
        </w:rPr>
        <w:t>what is the difference between government debt and its management in Baltic countries?</w:t>
      </w:r>
    </w:p>
    <w:p w:rsidR="00F07EE4" w:rsidRDefault="00F07EE4" w:rsidP="008A69F1">
      <w:pPr>
        <w:spacing w:line="360" w:lineRule="auto"/>
        <w:ind w:firstLine="720"/>
        <w:contextualSpacing/>
        <w:rPr>
          <w:sz w:val="24"/>
          <w:szCs w:val="24"/>
          <w:lang w:val="en-US"/>
        </w:rPr>
      </w:pPr>
      <w:r w:rsidRPr="00686ADE">
        <w:rPr>
          <w:sz w:val="24"/>
          <w:szCs w:val="24"/>
          <w:lang w:val="en-US"/>
        </w:rPr>
        <w:t>The object of research:</w:t>
      </w:r>
      <w:r>
        <w:rPr>
          <w:sz w:val="24"/>
          <w:szCs w:val="24"/>
          <w:lang w:val="en-US"/>
        </w:rPr>
        <w:t xml:space="preserve"> government debt and its management in Baltic countries</w:t>
      </w:r>
      <w:r w:rsidR="00682421">
        <w:rPr>
          <w:sz w:val="24"/>
          <w:szCs w:val="24"/>
          <w:lang w:val="en-US"/>
        </w:rPr>
        <w:t>.</w:t>
      </w:r>
    </w:p>
    <w:p w:rsidR="00F07EE4" w:rsidRDefault="00F07EE4" w:rsidP="008A69F1">
      <w:pPr>
        <w:spacing w:line="360" w:lineRule="auto"/>
        <w:ind w:firstLine="720"/>
        <w:contextualSpacing/>
        <w:rPr>
          <w:sz w:val="24"/>
          <w:szCs w:val="24"/>
          <w:lang w:val="en-US"/>
        </w:rPr>
      </w:pPr>
      <w:r w:rsidRPr="00686ADE">
        <w:rPr>
          <w:sz w:val="24"/>
          <w:szCs w:val="24"/>
          <w:lang w:val="en-US"/>
        </w:rPr>
        <w:t>Hypothesis:</w:t>
      </w:r>
      <w:r>
        <w:rPr>
          <w:sz w:val="24"/>
          <w:szCs w:val="24"/>
          <w:lang w:val="en-US"/>
        </w:rPr>
        <w:t xml:space="preserve"> Estonia has the lower government debt level then Lithuania and Latvia </w:t>
      </w:r>
      <w:r w:rsidR="00682421">
        <w:rPr>
          <w:sz w:val="24"/>
          <w:szCs w:val="24"/>
          <w:lang w:val="en-US"/>
        </w:rPr>
        <w:t>due to</w:t>
      </w:r>
      <w:r>
        <w:rPr>
          <w:sz w:val="24"/>
          <w:szCs w:val="24"/>
          <w:lang w:val="en-US"/>
        </w:rPr>
        <w:t xml:space="preserve"> less risky government debt portfolio structure and stricter government management measures.</w:t>
      </w:r>
    </w:p>
    <w:p w:rsidR="000B1A0F" w:rsidRDefault="0028262E" w:rsidP="00D16B1B">
      <w:pPr>
        <w:spacing w:line="360" w:lineRule="auto"/>
        <w:ind w:firstLine="720"/>
        <w:contextualSpacing/>
        <w:rPr>
          <w:sz w:val="24"/>
          <w:szCs w:val="24"/>
          <w:lang w:val="en-US"/>
        </w:rPr>
      </w:pPr>
      <w:r w:rsidRPr="00686ADE">
        <w:rPr>
          <w:sz w:val="24"/>
          <w:szCs w:val="24"/>
          <w:lang w:val="en-US"/>
        </w:rPr>
        <w:t>The purpose of research:</w:t>
      </w:r>
      <w:r w:rsidRPr="0028262E">
        <w:rPr>
          <w:b/>
          <w:sz w:val="24"/>
          <w:szCs w:val="24"/>
          <w:lang w:val="en-US"/>
        </w:rPr>
        <w:t xml:space="preserve"> </w:t>
      </w:r>
      <w:r>
        <w:rPr>
          <w:sz w:val="24"/>
          <w:szCs w:val="24"/>
          <w:lang w:val="en-US"/>
        </w:rPr>
        <w:t>to make a comparative analysis of government debt and its management in Baltic states.</w:t>
      </w:r>
      <w:r w:rsidR="00D16B1B">
        <w:rPr>
          <w:sz w:val="24"/>
          <w:szCs w:val="24"/>
          <w:lang w:val="en-US"/>
        </w:rPr>
        <w:t xml:space="preserve"> </w:t>
      </w:r>
      <w:r w:rsidR="0061651B">
        <w:rPr>
          <w:sz w:val="24"/>
          <w:szCs w:val="24"/>
          <w:lang w:val="en-US"/>
        </w:rPr>
        <w:t>The study was carried out in following stages:</w:t>
      </w:r>
    </w:p>
    <w:p w:rsidR="000B1A0F" w:rsidRPr="000B7E1E" w:rsidRDefault="000B1A0F" w:rsidP="000B7E1E">
      <w:pPr>
        <w:pStyle w:val="ListParagraph"/>
        <w:numPr>
          <w:ilvl w:val="0"/>
          <w:numId w:val="42"/>
        </w:numPr>
        <w:spacing w:line="360" w:lineRule="auto"/>
        <w:rPr>
          <w:sz w:val="24"/>
          <w:szCs w:val="24"/>
        </w:rPr>
      </w:pPr>
      <w:r w:rsidRPr="000B7E1E">
        <w:rPr>
          <w:sz w:val="24"/>
          <w:szCs w:val="24"/>
          <w:lang w:val="en-US"/>
        </w:rPr>
        <w:t xml:space="preserve">Analysis of </w:t>
      </w:r>
      <w:r w:rsidR="00437120" w:rsidRPr="000B7E1E">
        <w:rPr>
          <w:sz w:val="24"/>
          <w:szCs w:val="24"/>
          <w:lang w:val="en-US"/>
        </w:rPr>
        <w:t xml:space="preserve">scientific literature of Lithuanian and foreign authors </w:t>
      </w:r>
      <w:r w:rsidRPr="000B7E1E">
        <w:rPr>
          <w:sz w:val="24"/>
          <w:szCs w:val="24"/>
          <w:lang w:val="en-US"/>
        </w:rPr>
        <w:t xml:space="preserve">was made, introducing </w:t>
      </w:r>
      <w:r w:rsidR="00437120" w:rsidRPr="000B7E1E">
        <w:rPr>
          <w:sz w:val="24"/>
          <w:szCs w:val="24"/>
          <w:lang w:val="en-US"/>
        </w:rPr>
        <w:t xml:space="preserve">the classification of government debt, </w:t>
      </w:r>
      <w:r w:rsidR="00805356" w:rsidRPr="000B7E1E">
        <w:rPr>
          <w:sz w:val="24"/>
          <w:szCs w:val="24"/>
          <w:lang w:val="en-US"/>
        </w:rPr>
        <w:t xml:space="preserve">borrowing instruments, </w:t>
      </w:r>
      <w:r w:rsidR="00805356" w:rsidRPr="000B7E1E">
        <w:rPr>
          <w:sz w:val="24"/>
          <w:szCs w:val="24"/>
        </w:rPr>
        <w:t>factors, which influence state's borrowing needs, government debt indi</w:t>
      </w:r>
      <w:r w:rsidR="00682421">
        <w:rPr>
          <w:sz w:val="24"/>
          <w:szCs w:val="24"/>
        </w:rPr>
        <w:t xml:space="preserve">cators, the link between government </w:t>
      </w:r>
      <w:r w:rsidR="00805356" w:rsidRPr="000B7E1E">
        <w:rPr>
          <w:sz w:val="24"/>
          <w:szCs w:val="24"/>
        </w:rPr>
        <w:t>debt and economic growth, as well as problems of government debt management and emerging risks</w:t>
      </w:r>
      <w:r w:rsidRPr="000B7E1E">
        <w:rPr>
          <w:sz w:val="24"/>
          <w:szCs w:val="24"/>
        </w:rPr>
        <w:t>.</w:t>
      </w:r>
    </w:p>
    <w:p w:rsidR="000B1A0F" w:rsidRPr="000B7E1E" w:rsidRDefault="000B1A0F" w:rsidP="000B7E1E">
      <w:pPr>
        <w:pStyle w:val="ListParagraph"/>
        <w:numPr>
          <w:ilvl w:val="0"/>
          <w:numId w:val="42"/>
        </w:numPr>
        <w:spacing w:line="360" w:lineRule="auto"/>
        <w:rPr>
          <w:sz w:val="24"/>
          <w:szCs w:val="24"/>
          <w:lang w:val="en-US"/>
        </w:rPr>
      </w:pPr>
      <w:r w:rsidRPr="000B7E1E">
        <w:rPr>
          <w:sz w:val="24"/>
          <w:szCs w:val="24"/>
          <w:lang w:val="en-US"/>
        </w:rPr>
        <w:t>T</w:t>
      </w:r>
      <w:r w:rsidR="00805356" w:rsidRPr="000B7E1E">
        <w:rPr>
          <w:sz w:val="24"/>
          <w:szCs w:val="24"/>
          <w:lang w:val="en-US"/>
        </w:rPr>
        <w:t>he methodology of government debt analysis, evaluation and fore</w:t>
      </w:r>
      <w:r w:rsidRPr="000B7E1E">
        <w:rPr>
          <w:sz w:val="24"/>
          <w:szCs w:val="24"/>
          <w:lang w:val="en-US"/>
        </w:rPr>
        <w:t xml:space="preserve">casting was </w:t>
      </w:r>
      <w:r w:rsidR="00682421">
        <w:rPr>
          <w:sz w:val="24"/>
          <w:szCs w:val="24"/>
          <w:lang w:val="en-US"/>
        </w:rPr>
        <w:t>presented.</w:t>
      </w:r>
    </w:p>
    <w:p w:rsidR="00805356" w:rsidRPr="000B7E1E" w:rsidRDefault="000B1A0F" w:rsidP="000B7E1E">
      <w:pPr>
        <w:pStyle w:val="ListParagraph"/>
        <w:numPr>
          <w:ilvl w:val="0"/>
          <w:numId w:val="42"/>
        </w:numPr>
        <w:spacing w:line="360" w:lineRule="auto"/>
        <w:rPr>
          <w:sz w:val="24"/>
          <w:szCs w:val="24"/>
          <w:lang w:val="en-US"/>
        </w:rPr>
      </w:pPr>
      <w:r w:rsidRPr="000B7E1E">
        <w:rPr>
          <w:sz w:val="24"/>
          <w:szCs w:val="24"/>
          <w:lang w:val="en-US"/>
        </w:rPr>
        <w:t>A</w:t>
      </w:r>
      <w:r w:rsidR="00805356" w:rsidRPr="000B7E1E">
        <w:rPr>
          <w:sz w:val="24"/>
          <w:szCs w:val="24"/>
          <w:lang w:val="en-US"/>
        </w:rPr>
        <w:t>nalysis of econ</w:t>
      </w:r>
      <w:r w:rsidRPr="000B7E1E">
        <w:rPr>
          <w:sz w:val="24"/>
          <w:szCs w:val="24"/>
          <w:lang w:val="en-US"/>
        </w:rPr>
        <w:t xml:space="preserve">omic situation in Baltic states was made, </w:t>
      </w:r>
      <w:r w:rsidR="00805356" w:rsidRPr="000B7E1E">
        <w:rPr>
          <w:sz w:val="24"/>
          <w:szCs w:val="24"/>
          <w:lang w:val="en-US"/>
        </w:rPr>
        <w:t>levels of gove</w:t>
      </w:r>
      <w:r w:rsidR="000B7E1E" w:rsidRPr="000B7E1E">
        <w:rPr>
          <w:sz w:val="24"/>
          <w:szCs w:val="24"/>
          <w:lang w:val="en-US"/>
        </w:rPr>
        <w:t>rnment debt in Baltic countries and</w:t>
      </w:r>
      <w:r w:rsidR="00805356" w:rsidRPr="000B7E1E">
        <w:rPr>
          <w:sz w:val="24"/>
          <w:szCs w:val="24"/>
          <w:lang w:val="en-US"/>
        </w:rPr>
        <w:t xml:space="preserve"> the structure of government debt </w:t>
      </w:r>
      <w:r w:rsidR="00682421">
        <w:rPr>
          <w:sz w:val="24"/>
          <w:szCs w:val="24"/>
          <w:lang w:val="en-US"/>
        </w:rPr>
        <w:t>were</w:t>
      </w:r>
      <w:r w:rsidRPr="000B7E1E">
        <w:rPr>
          <w:sz w:val="24"/>
          <w:szCs w:val="24"/>
          <w:lang w:val="en-US"/>
        </w:rPr>
        <w:t xml:space="preserve"> compared </w:t>
      </w:r>
      <w:r w:rsidR="00805356" w:rsidRPr="000B7E1E">
        <w:rPr>
          <w:sz w:val="24"/>
          <w:szCs w:val="24"/>
          <w:lang w:val="en-US"/>
        </w:rPr>
        <w:t xml:space="preserve">and </w:t>
      </w:r>
      <w:r w:rsidRPr="000B7E1E">
        <w:rPr>
          <w:sz w:val="24"/>
          <w:szCs w:val="24"/>
          <w:lang w:val="en-US"/>
        </w:rPr>
        <w:t>also</w:t>
      </w:r>
      <w:r w:rsidR="00805356" w:rsidRPr="000B7E1E">
        <w:rPr>
          <w:sz w:val="24"/>
          <w:szCs w:val="24"/>
          <w:lang w:val="en-US"/>
        </w:rPr>
        <w:t xml:space="preserve"> government debt of Baltic states</w:t>
      </w:r>
      <w:r w:rsidRPr="000B7E1E">
        <w:rPr>
          <w:sz w:val="24"/>
          <w:szCs w:val="24"/>
          <w:lang w:val="en-US"/>
        </w:rPr>
        <w:t xml:space="preserve"> was evaluated</w:t>
      </w:r>
      <w:r w:rsidR="00805356" w:rsidRPr="000B7E1E">
        <w:rPr>
          <w:sz w:val="24"/>
          <w:szCs w:val="24"/>
          <w:lang w:val="en-US"/>
        </w:rPr>
        <w:t xml:space="preserve"> by using relative rates.</w:t>
      </w:r>
    </w:p>
    <w:p w:rsidR="000B7E1E" w:rsidRPr="000B7E1E" w:rsidRDefault="000B7E1E" w:rsidP="000B7E1E">
      <w:pPr>
        <w:pStyle w:val="ListParagraph"/>
        <w:numPr>
          <w:ilvl w:val="0"/>
          <w:numId w:val="42"/>
        </w:numPr>
        <w:spacing w:line="360" w:lineRule="auto"/>
        <w:rPr>
          <w:sz w:val="24"/>
          <w:szCs w:val="24"/>
          <w:lang w:val="en-US"/>
        </w:rPr>
      </w:pPr>
      <w:r w:rsidRPr="000B7E1E">
        <w:rPr>
          <w:sz w:val="24"/>
          <w:szCs w:val="24"/>
          <w:lang w:val="en-US"/>
        </w:rPr>
        <w:t>T</w:t>
      </w:r>
      <w:r w:rsidR="00805356" w:rsidRPr="000B7E1E">
        <w:rPr>
          <w:sz w:val="24"/>
          <w:szCs w:val="24"/>
          <w:lang w:val="en-US"/>
        </w:rPr>
        <w:t>he features of government debt</w:t>
      </w:r>
      <w:r w:rsidRPr="000B7E1E">
        <w:rPr>
          <w:sz w:val="24"/>
          <w:szCs w:val="24"/>
          <w:lang w:val="en-US"/>
        </w:rPr>
        <w:t xml:space="preserve"> management in Baltic countries was compared.</w:t>
      </w:r>
    </w:p>
    <w:p w:rsidR="00805356" w:rsidRPr="000B7E1E" w:rsidRDefault="000B7E1E" w:rsidP="000B7E1E">
      <w:pPr>
        <w:pStyle w:val="ListParagraph"/>
        <w:numPr>
          <w:ilvl w:val="0"/>
          <w:numId w:val="42"/>
        </w:numPr>
        <w:spacing w:line="360" w:lineRule="auto"/>
        <w:rPr>
          <w:sz w:val="24"/>
          <w:szCs w:val="24"/>
          <w:lang w:val="en-US"/>
        </w:rPr>
      </w:pPr>
      <w:r w:rsidRPr="000B7E1E">
        <w:rPr>
          <w:sz w:val="24"/>
          <w:szCs w:val="24"/>
          <w:lang w:val="en-US"/>
        </w:rPr>
        <w:t>The</w:t>
      </w:r>
      <w:r w:rsidR="00805356" w:rsidRPr="000B7E1E">
        <w:rPr>
          <w:sz w:val="24"/>
          <w:szCs w:val="24"/>
          <w:lang w:val="en-US"/>
        </w:rPr>
        <w:t xml:space="preserve"> forecast of government debt levels in Balti</w:t>
      </w:r>
      <w:r w:rsidRPr="000B7E1E">
        <w:rPr>
          <w:sz w:val="24"/>
          <w:szCs w:val="24"/>
          <w:lang w:val="en-US"/>
        </w:rPr>
        <w:t>c states for period 2013 – 2014 was given.</w:t>
      </w:r>
    </w:p>
    <w:p w:rsidR="00437120" w:rsidRDefault="007D6F1D" w:rsidP="00437120">
      <w:pPr>
        <w:spacing w:line="360" w:lineRule="auto"/>
        <w:rPr>
          <w:sz w:val="24"/>
          <w:szCs w:val="24"/>
          <w:lang w:val="en-US"/>
        </w:rPr>
      </w:pPr>
      <w:r>
        <w:rPr>
          <w:sz w:val="24"/>
          <w:szCs w:val="24"/>
          <w:lang w:val="en-US"/>
        </w:rPr>
        <w:lastRenderedPageBreak/>
        <w:t>There were used such methods as analysis of scientific literature, analysis of statistical data, graphical analysis, correlation analysis</w:t>
      </w:r>
      <w:r w:rsidR="00D97F5B">
        <w:rPr>
          <w:sz w:val="24"/>
          <w:szCs w:val="24"/>
          <w:lang w:val="en-US"/>
        </w:rPr>
        <w:t xml:space="preserve">, </w:t>
      </w:r>
      <w:r w:rsidR="00D97F5B">
        <w:rPr>
          <w:sz w:val="24"/>
          <w:szCs w:val="24"/>
        </w:rPr>
        <w:t>multiple regression model and autoregressive – moving average method.</w:t>
      </w:r>
    </w:p>
    <w:p w:rsidR="00437120" w:rsidRDefault="00686ADE" w:rsidP="00CA49BF">
      <w:pPr>
        <w:spacing w:line="360" w:lineRule="auto"/>
        <w:rPr>
          <w:sz w:val="24"/>
          <w:szCs w:val="24"/>
          <w:lang w:val="en-US"/>
        </w:rPr>
      </w:pPr>
      <w:r>
        <w:rPr>
          <w:sz w:val="24"/>
          <w:szCs w:val="24"/>
          <w:lang w:val="en-US"/>
        </w:rPr>
        <w:t xml:space="preserve">Analysis of changes in economic situation and government debt in Baltic states </w:t>
      </w:r>
      <w:r w:rsidR="00682421">
        <w:rPr>
          <w:sz w:val="24"/>
          <w:szCs w:val="24"/>
          <w:lang w:val="en-US"/>
        </w:rPr>
        <w:t>during the</w:t>
      </w:r>
      <w:r w:rsidR="00AD683F">
        <w:rPr>
          <w:sz w:val="24"/>
          <w:szCs w:val="24"/>
          <w:lang w:val="en-US"/>
        </w:rPr>
        <w:t xml:space="preserve"> period</w:t>
      </w:r>
      <w:r w:rsidR="00682421">
        <w:rPr>
          <w:sz w:val="24"/>
          <w:szCs w:val="24"/>
          <w:lang w:val="en-US"/>
        </w:rPr>
        <w:t xml:space="preserve"> 2008 – 2012</w:t>
      </w:r>
      <w:r>
        <w:rPr>
          <w:sz w:val="24"/>
          <w:szCs w:val="24"/>
          <w:lang w:val="en-US"/>
        </w:rPr>
        <w:t xml:space="preserve"> showed</w:t>
      </w:r>
      <w:r w:rsidR="00682421">
        <w:rPr>
          <w:sz w:val="24"/>
          <w:szCs w:val="24"/>
          <w:lang w:val="en-US"/>
        </w:rPr>
        <w:t>,</w:t>
      </w:r>
      <w:r w:rsidR="00AD683F">
        <w:rPr>
          <w:sz w:val="24"/>
          <w:szCs w:val="24"/>
          <w:lang w:val="en-US"/>
        </w:rPr>
        <w:t xml:space="preserve"> that </w:t>
      </w:r>
      <w:r w:rsidR="002936C2">
        <w:rPr>
          <w:sz w:val="24"/>
          <w:szCs w:val="24"/>
          <w:lang w:val="en-US"/>
        </w:rPr>
        <w:t xml:space="preserve">the main reason, why government debt of Estonia didn’t increased very much during the crisis, was </w:t>
      </w:r>
      <w:r w:rsidR="00AD683F">
        <w:rPr>
          <w:sz w:val="24"/>
          <w:szCs w:val="24"/>
          <w:lang w:val="en-US"/>
        </w:rPr>
        <w:t>strict budgetary politics and accumulation of reserves during the economic growth</w:t>
      </w:r>
      <w:r w:rsidR="00682421">
        <w:rPr>
          <w:sz w:val="24"/>
          <w:szCs w:val="24"/>
          <w:lang w:val="en-US"/>
        </w:rPr>
        <w:t xml:space="preserve">. </w:t>
      </w:r>
      <w:r w:rsidR="00AD683F">
        <w:rPr>
          <w:sz w:val="24"/>
          <w:szCs w:val="24"/>
          <w:lang w:val="en-US"/>
        </w:rPr>
        <w:t xml:space="preserve">At the same time in Lithuania and Latvia, </w:t>
      </w:r>
      <w:r w:rsidR="002512EE">
        <w:rPr>
          <w:sz w:val="24"/>
          <w:szCs w:val="24"/>
          <w:lang w:val="en-US"/>
        </w:rPr>
        <w:t>increased</w:t>
      </w:r>
      <w:r w:rsidR="00AD683F">
        <w:rPr>
          <w:sz w:val="24"/>
          <w:szCs w:val="24"/>
          <w:lang w:val="en-US"/>
        </w:rPr>
        <w:t xml:space="preserve"> budget deficits caused rapid </w:t>
      </w:r>
      <w:r w:rsidR="002032FC">
        <w:rPr>
          <w:sz w:val="24"/>
          <w:szCs w:val="24"/>
          <w:lang w:val="en-US"/>
        </w:rPr>
        <w:t>g</w:t>
      </w:r>
      <w:r w:rsidR="00AD683F">
        <w:rPr>
          <w:sz w:val="24"/>
          <w:szCs w:val="24"/>
          <w:lang w:val="en-US"/>
        </w:rPr>
        <w:t>rowth of government debt.</w:t>
      </w:r>
      <w:r w:rsidR="002936C2">
        <w:rPr>
          <w:sz w:val="24"/>
          <w:szCs w:val="24"/>
          <w:lang w:val="en-US"/>
        </w:rPr>
        <w:t xml:space="preserve"> Different selection of borrowing sources during financial crisis in Lithuania and Latvia gave different results. </w:t>
      </w:r>
      <w:r w:rsidR="00C01881">
        <w:rPr>
          <w:sz w:val="24"/>
          <w:szCs w:val="24"/>
          <w:lang w:val="en-US"/>
        </w:rPr>
        <w:t>Latvia asked for help to IMF and in that way reduced the costs of borrowing, while Lithuania’s borrowing cost</w:t>
      </w:r>
      <w:r w:rsidR="0061410C">
        <w:rPr>
          <w:sz w:val="24"/>
          <w:szCs w:val="24"/>
          <w:lang w:val="en-US"/>
        </w:rPr>
        <w:t>s were</w:t>
      </w:r>
      <w:r w:rsidR="00C01881">
        <w:rPr>
          <w:sz w:val="24"/>
          <w:szCs w:val="24"/>
          <w:lang w:val="en-US"/>
        </w:rPr>
        <w:t xml:space="preserve"> increasing every year and caused the growth of government debt.</w:t>
      </w:r>
      <w:r w:rsidR="002512EE">
        <w:rPr>
          <w:sz w:val="24"/>
          <w:szCs w:val="24"/>
          <w:lang w:val="en-US"/>
        </w:rPr>
        <w:t xml:space="preserve"> This might be called the main problem of government debt management in Lithuania. </w:t>
      </w:r>
      <w:r w:rsidR="009263FC">
        <w:rPr>
          <w:sz w:val="24"/>
          <w:szCs w:val="24"/>
          <w:lang w:val="en-US"/>
        </w:rPr>
        <w:t xml:space="preserve">Evaluation of government </w:t>
      </w:r>
      <w:r w:rsidR="0061410C">
        <w:rPr>
          <w:sz w:val="24"/>
          <w:szCs w:val="24"/>
          <w:lang w:val="en-US"/>
        </w:rPr>
        <w:t>debt in Baltic states by using relative rates a</w:t>
      </w:r>
      <w:r w:rsidR="009263FC">
        <w:rPr>
          <w:sz w:val="24"/>
          <w:szCs w:val="24"/>
          <w:lang w:val="en-US"/>
        </w:rPr>
        <w:t>lso confirmed the same problem that Lithuania pays for borrowing much more expensive that Latvia and Estonia. Also t</w:t>
      </w:r>
      <w:r w:rsidR="0061410C">
        <w:rPr>
          <w:sz w:val="24"/>
          <w:szCs w:val="24"/>
          <w:lang w:val="en-US"/>
        </w:rPr>
        <w:t>here was made the conclusion that the main measure for government debt management is reasonable and prudent budget policy.</w:t>
      </w:r>
    </w:p>
    <w:p w:rsidR="00901A0E" w:rsidRPr="00EF276C" w:rsidRDefault="00EF276C" w:rsidP="00D97F5B">
      <w:pPr>
        <w:spacing w:line="360" w:lineRule="auto"/>
        <w:rPr>
          <w:sz w:val="24"/>
          <w:szCs w:val="24"/>
          <w:lang w:val="en-US"/>
        </w:rPr>
      </w:pPr>
      <w:r>
        <w:rPr>
          <w:sz w:val="24"/>
          <w:szCs w:val="24"/>
          <w:lang w:val="en-US"/>
        </w:rPr>
        <w:t xml:space="preserve">The structural analysis revealed the differences of the structure of government debt in Baltic </w:t>
      </w:r>
      <w:r w:rsidR="009263FC">
        <w:rPr>
          <w:sz w:val="24"/>
          <w:szCs w:val="24"/>
          <w:lang w:val="en-US"/>
        </w:rPr>
        <w:t>states. The only common feature</w:t>
      </w:r>
      <w:r>
        <w:rPr>
          <w:sz w:val="24"/>
          <w:szCs w:val="24"/>
          <w:lang w:val="en-US"/>
        </w:rPr>
        <w:t xml:space="preserve"> is that all three countries </w:t>
      </w:r>
      <w:r w:rsidR="009263FC">
        <w:rPr>
          <w:sz w:val="24"/>
          <w:szCs w:val="24"/>
          <w:lang w:val="en-US"/>
        </w:rPr>
        <w:t xml:space="preserve">mostly </w:t>
      </w:r>
      <w:r>
        <w:rPr>
          <w:sz w:val="24"/>
          <w:szCs w:val="24"/>
          <w:lang w:val="en-US"/>
        </w:rPr>
        <w:t>are using long-term borrowing.</w:t>
      </w:r>
      <w:r w:rsidR="00A85271">
        <w:rPr>
          <w:sz w:val="24"/>
          <w:szCs w:val="24"/>
          <w:lang w:val="en-US"/>
        </w:rPr>
        <w:t xml:space="preserve"> Negative aspects of government debt structure in Latvia and Lithuania is the large foreign debt share in total government debt and higher borrowing in foreign currency comparing to domestic currency.</w:t>
      </w:r>
    </w:p>
    <w:p w:rsidR="0028262E" w:rsidRDefault="006E2CA2" w:rsidP="008A69F1">
      <w:pPr>
        <w:spacing w:line="360" w:lineRule="auto"/>
        <w:ind w:firstLine="720"/>
        <w:contextualSpacing/>
        <w:rPr>
          <w:sz w:val="24"/>
          <w:szCs w:val="24"/>
          <w:lang w:val="en-US"/>
        </w:rPr>
      </w:pPr>
      <w:r>
        <w:rPr>
          <w:sz w:val="24"/>
          <w:szCs w:val="24"/>
          <w:lang w:val="en-US"/>
        </w:rPr>
        <w:t xml:space="preserve">Calculated correlation coefficients between government debt, GDP, budget deficit/surplus, current account deficit/surplus and costs of borrowing revealed that the strong </w:t>
      </w:r>
      <w:r w:rsidR="00CA49BF">
        <w:rPr>
          <w:sz w:val="24"/>
          <w:szCs w:val="24"/>
          <w:lang w:val="en-US"/>
        </w:rPr>
        <w:t xml:space="preserve">positive </w:t>
      </w:r>
      <w:r>
        <w:rPr>
          <w:sz w:val="24"/>
          <w:szCs w:val="24"/>
          <w:lang w:val="en-US"/>
        </w:rPr>
        <w:t xml:space="preserve">linear relationship </w:t>
      </w:r>
      <w:r w:rsidR="00693162">
        <w:rPr>
          <w:sz w:val="24"/>
          <w:szCs w:val="24"/>
          <w:lang w:val="en-US"/>
        </w:rPr>
        <w:t>is between government debt and GDP in all three countries. In Lithuania and Latvia</w:t>
      </w:r>
      <w:r w:rsidR="00B83294">
        <w:rPr>
          <w:sz w:val="24"/>
          <w:szCs w:val="24"/>
          <w:lang w:val="en-US"/>
        </w:rPr>
        <w:t xml:space="preserve"> also </w:t>
      </w:r>
      <w:r w:rsidR="00693162">
        <w:rPr>
          <w:sz w:val="24"/>
          <w:szCs w:val="24"/>
          <w:lang w:val="en-US"/>
        </w:rPr>
        <w:t xml:space="preserve">very strong </w:t>
      </w:r>
      <w:r w:rsidR="00CA49BF">
        <w:rPr>
          <w:sz w:val="24"/>
          <w:szCs w:val="24"/>
          <w:lang w:val="en-US"/>
        </w:rPr>
        <w:t xml:space="preserve">positive </w:t>
      </w:r>
      <w:r w:rsidR="00693162">
        <w:rPr>
          <w:sz w:val="24"/>
          <w:szCs w:val="24"/>
          <w:lang w:val="en-US"/>
        </w:rPr>
        <w:t>relationship is between government debt and costs of borrowing.</w:t>
      </w:r>
    </w:p>
    <w:p w:rsidR="00C80D63" w:rsidRPr="00CA49BF" w:rsidRDefault="002077BF" w:rsidP="00ED748C">
      <w:pPr>
        <w:spacing w:line="360" w:lineRule="auto"/>
        <w:rPr>
          <w:b/>
          <w:sz w:val="24"/>
          <w:szCs w:val="24"/>
          <w:lang w:val="en-US"/>
        </w:rPr>
      </w:pPr>
      <w:r w:rsidRPr="00CA49BF">
        <w:rPr>
          <w:sz w:val="24"/>
          <w:szCs w:val="24"/>
          <w:lang w:val="en-US"/>
        </w:rPr>
        <w:t>Based on analysts pojections for period 2013 - 2014, the government debt</w:t>
      </w:r>
      <w:r w:rsidR="009263FC" w:rsidRPr="00CA49BF">
        <w:rPr>
          <w:sz w:val="24"/>
          <w:szCs w:val="24"/>
          <w:lang w:val="en-US"/>
        </w:rPr>
        <w:t xml:space="preserve"> at nominal values </w:t>
      </w:r>
      <w:r w:rsidRPr="00CA49BF">
        <w:rPr>
          <w:sz w:val="24"/>
          <w:szCs w:val="24"/>
          <w:lang w:val="en-US"/>
        </w:rPr>
        <w:t>is expected to grow</w:t>
      </w:r>
      <w:r w:rsidR="009263FC" w:rsidRPr="00CA49BF">
        <w:rPr>
          <w:sz w:val="24"/>
          <w:szCs w:val="24"/>
          <w:lang w:val="en-US"/>
        </w:rPr>
        <w:t xml:space="preserve"> in all three countries</w:t>
      </w:r>
      <w:r w:rsidRPr="00CA49BF">
        <w:rPr>
          <w:sz w:val="24"/>
          <w:szCs w:val="24"/>
          <w:lang w:val="en-US"/>
        </w:rPr>
        <w:t xml:space="preserve">. </w:t>
      </w:r>
      <w:r w:rsidRPr="00CA49BF">
        <w:rPr>
          <w:rStyle w:val="hps"/>
          <w:sz w:val="24"/>
          <w:szCs w:val="24"/>
        </w:rPr>
        <w:t>In Lithuania</w:t>
      </w:r>
      <w:r w:rsidRPr="00CA49BF">
        <w:rPr>
          <w:sz w:val="24"/>
          <w:szCs w:val="24"/>
        </w:rPr>
        <w:t xml:space="preserve"> </w:t>
      </w:r>
      <w:r w:rsidRPr="00CA49BF">
        <w:rPr>
          <w:rStyle w:val="hps"/>
          <w:sz w:val="24"/>
          <w:szCs w:val="24"/>
        </w:rPr>
        <w:t>case, the</w:t>
      </w:r>
      <w:r w:rsidRPr="00CA49BF">
        <w:rPr>
          <w:sz w:val="24"/>
          <w:szCs w:val="24"/>
        </w:rPr>
        <w:t xml:space="preserve"> growth of </w:t>
      </w:r>
      <w:r w:rsidRPr="00CA49BF">
        <w:rPr>
          <w:rStyle w:val="hps"/>
          <w:sz w:val="24"/>
          <w:szCs w:val="24"/>
        </w:rPr>
        <w:t>public debt</w:t>
      </w:r>
      <w:r w:rsidRPr="00CA49BF">
        <w:rPr>
          <w:sz w:val="24"/>
          <w:szCs w:val="24"/>
        </w:rPr>
        <w:t xml:space="preserve"> </w:t>
      </w:r>
      <w:r w:rsidRPr="00CA49BF">
        <w:rPr>
          <w:rStyle w:val="hps"/>
          <w:sz w:val="24"/>
          <w:szCs w:val="24"/>
        </w:rPr>
        <w:t>was reflected in both,</w:t>
      </w:r>
      <w:r w:rsidRPr="00CA49BF">
        <w:rPr>
          <w:sz w:val="24"/>
          <w:szCs w:val="24"/>
        </w:rPr>
        <w:t xml:space="preserve"> </w:t>
      </w:r>
      <w:r w:rsidRPr="00CA49BF">
        <w:rPr>
          <w:rStyle w:val="hps"/>
          <w:sz w:val="24"/>
          <w:szCs w:val="24"/>
        </w:rPr>
        <w:t xml:space="preserve">the multiply linear regression and </w:t>
      </w:r>
      <w:r w:rsidRPr="00CA49BF">
        <w:rPr>
          <w:sz w:val="24"/>
          <w:szCs w:val="24"/>
        </w:rPr>
        <w:t>autoregressive – moving average</w:t>
      </w:r>
      <w:r w:rsidR="00ED748C" w:rsidRPr="00CA49BF">
        <w:rPr>
          <w:sz w:val="24"/>
          <w:szCs w:val="24"/>
        </w:rPr>
        <w:t xml:space="preserve"> (ARIMA)</w:t>
      </w:r>
      <w:r w:rsidRPr="00CA49BF">
        <w:rPr>
          <w:sz w:val="24"/>
          <w:szCs w:val="24"/>
        </w:rPr>
        <w:t xml:space="preserve"> method</w:t>
      </w:r>
      <w:r w:rsidR="00ED748C" w:rsidRPr="00CA49BF">
        <w:rPr>
          <w:sz w:val="24"/>
          <w:szCs w:val="24"/>
        </w:rPr>
        <w:t>s</w:t>
      </w:r>
      <w:r w:rsidRPr="00CA49BF">
        <w:rPr>
          <w:sz w:val="24"/>
          <w:szCs w:val="24"/>
        </w:rPr>
        <w:t xml:space="preserve">. In Latvia case, more likely is the forecast results </w:t>
      </w:r>
      <w:r w:rsidR="00ED748C" w:rsidRPr="00CA49BF">
        <w:rPr>
          <w:sz w:val="24"/>
          <w:szCs w:val="24"/>
        </w:rPr>
        <w:t xml:space="preserve">by ARIMA method, which shows the growth of government debt. In </w:t>
      </w:r>
      <w:r w:rsidR="00DF2D08" w:rsidRPr="00CA49BF">
        <w:rPr>
          <w:sz w:val="24"/>
          <w:szCs w:val="24"/>
        </w:rPr>
        <w:t xml:space="preserve">Estonia </w:t>
      </w:r>
      <w:r w:rsidR="00ED748C" w:rsidRPr="00CA49BF">
        <w:rPr>
          <w:sz w:val="24"/>
          <w:szCs w:val="24"/>
        </w:rPr>
        <w:t>case, both methods show</w:t>
      </w:r>
      <w:r w:rsidR="009263FC" w:rsidRPr="00CA49BF">
        <w:rPr>
          <w:sz w:val="24"/>
          <w:szCs w:val="24"/>
        </w:rPr>
        <w:t>ed</w:t>
      </w:r>
      <w:r w:rsidR="00ED748C" w:rsidRPr="00CA49BF">
        <w:rPr>
          <w:sz w:val="24"/>
          <w:szCs w:val="24"/>
        </w:rPr>
        <w:t xml:space="preserve"> the downward trend of government debt, </w:t>
      </w:r>
      <w:r w:rsidR="00DF2D08" w:rsidRPr="00CA49BF">
        <w:rPr>
          <w:sz w:val="24"/>
          <w:szCs w:val="24"/>
        </w:rPr>
        <w:t xml:space="preserve">but it </w:t>
      </w:r>
      <w:r w:rsidR="00CB39BA" w:rsidRPr="00CA49BF">
        <w:rPr>
          <w:sz w:val="24"/>
          <w:szCs w:val="24"/>
        </w:rPr>
        <w:t>seems doubtful. It is more difficult to forecast Estonia‘s gov</w:t>
      </w:r>
      <w:r w:rsidR="009263FC" w:rsidRPr="00CA49BF">
        <w:rPr>
          <w:sz w:val="24"/>
          <w:szCs w:val="24"/>
        </w:rPr>
        <w:t xml:space="preserve">ernment debt trends for future </w:t>
      </w:r>
      <w:r w:rsidR="00CB39BA" w:rsidRPr="00CA49BF">
        <w:rPr>
          <w:sz w:val="24"/>
          <w:szCs w:val="24"/>
        </w:rPr>
        <w:t>based on historical data or economic factors as its growth of gov</w:t>
      </w:r>
      <w:r w:rsidR="009263FC" w:rsidRPr="00CA49BF">
        <w:rPr>
          <w:sz w:val="24"/>
          <w:szCs w:val="24"/>
        </w:rPr>
        <w:t>e</w:t>
      </w:r>
      <w:r w:rsidR="00CB39BA" w:rsidRPr="00CA49BF">
        <w:rPr>
          <w:sz w:val="24"/>
          <w:szCs w:val="24"/>
        </w:rPr>
        <w:t>rnment debt is more resulted by other factors than changes in economic environment of country.</w:t>
      </w:r>
    </w:p>
    <w:p w:rsidR="00C80D63" w:rsidRPr="00651412" w:rsidRDefault="00651412" w:rsidP="00651412">
      <w:pPr>
        <w:tabs>
          <w:tab w:val="left" w:pos="6600"/>
        </w:tabs>
        <w:spacing w:line="360" w:lineRule="auto"/>
        <w:rPr>
          <w:sz w:val="24"/>
          <w:szCs w:val="24"/>
          <w:lang w:val="en-US"/>
        </w:rPr>
      </w:pPr>
      <w:r w:rsidRPr="00CA49BF">
        <w:rPr>
          <w:sz w:val="24"/>
          <w:szCs w:val="24"/>
          <w:lang w:val="en-US"/>
        </w:rPr>
        <w:t>The comparative analysis of government debt</w:t>
      </w:r>
      <w:r>
        <w:rPr>
          <w:sz w:val="24"/>
          <w:szCs w:val="24"/>
          <w:lang w:val="en-US"/>
        </w:rPr>
        <w:t xml:space="preserve"> and its management in Baltic countries, allowed to accept the hypothesis, which was given at the beginning of Master’s work.</w:t>
      </w:r>
    </w:p>
    <w:p w:rsidR="0031404D" w:rsidRPr="00DF2D08" w:rsidRDefault="0031404D" w:rsidP="00651412">
      <w:pPr>
        <w:tabs>
          <w:tab w:val="left" w:pos="6600"/>
        </w:tabs>
        <w:spacing w:line="360" w:lineRule="auto"/>
        <w:rPr>
          <w:b/>
          <w:sz w:val="24"/>
          <w:szCs w:val="24"/>
          <w:lang w:val="en-US"/>
        </w:rPr>
      </w:pPr>
    </w:p>
    <w:p w:rsidR="0031404D" w:rsidRDefault="0031404D" w:rsidP="0031404D">
      <w:pPr>
        <w:tabs>
          <w:tab w:val="left" w:pos="6600"/>
        </w:tabs>
        <w:rPr>
          <w:b/>
          <w:sz w:val="24"/>
          <w:szCs w:val="24"/>
          <w:lang w:val="en-US"/>
        </w:rPr>
      </w:pPr>
    </w:p>
    <w:p w:rsidR="0031404D" w:rsidRDefault="0031404D" w:rsidP="0031404D">
      <w:pPr>
        <w:tabs>
          <w:tab w:val="left" w:pos="6600"/>
        </w:tabs>
        <w:rPr>
          <w:b/>
          <w:sz w:val="24"/>
          <w:szCs w:val="24"/>
          <w:lang w:val="en-US"/>
        </w:rPr>
      </w:pPr>
    </w:p>
    <w:p w:rsidR="0031404D" w:rsidRDefault="0031404D" w:rsidP="0031404D">
      <w:pPr>
        <w:tabs>
          <w:tab w:val="left" w:pos="6600"/>
        </w:tabs>
        <w:rPr>
          <w:b/>
          <w:sz w:val="24"/>
          <w:szCs w:val="24"/>
          <w:lang w:val="en-US"/>
        </w:rPr>
      </w:pPr>
    </w:p>
    <w:p w:rsidR="0031404D" w:rsidRDefault="0031404D" w:rsidP="0031404D">
      <w:pPr>
        <w:tabs>
          <w:tab w:val="left" w:pos="6600"/>
        </w:tabs>
        <w:rPr>
          <w:b/>
          <w:sz w:val="24"/>
          <w:szCs w:val="24"/>
          <w:lang w:val="en-US"/>
        </w:rPr>
      </w:pPr>
    </w:p>
    <w:p w:rsidR="0031404D" w:rsidRDefault="0031404D" w:rsidP="0031404D">
      <w:pPr>
        <w:tabs>
          <w:tab w:val="left" w:pos="6600"/>
        </w:tabs>
        <w:rPr>
          <w:b/>
          <w:sz w:val="24"/>
          <w:szCs w:val="24"/>
          <w:lang w:val="en-US"/>
        </w:rPr>
      </w:pPr>
    </w:p>
    <w:p w:rsidR="0031404D" w:rsidRDefault="0031404D" w:rsidP="0031404D">
      <w:pPr>
        <w:tabs>
          <w:tab w:val="left" w:pos="6600"/>
        </w:tabs>
        <w:rPr>
          <w:b/>
          <w:sz w:val="24"/>
          <w:szCs w:val="24"/>
          <w:lang w:val="en-US"/>
        </w:rPr>
      </w:pPr>
    </w:p>
    <w:p w:rsidR="0031404D" w:rsidRDefault="0031404D" w:rsidP="0031404D">
      <w:pPr>
        <w:tabs>
          <w:tab w:val="left" w:pos="6600"/>
        </w:tabs>
        <w:rPr>
          <w:b/>
          <w:sz w:val="24"/>
          <w:szCs w:val="24"/>
          <w:lang w:val="en-US"/>
        </w:rPr>
      </w:pPr>
    </w:p>
    <w:p w:rsidR="0031404D" w:rsidRDefault="0031404D" w:rsidP="0031404D">
      <w:pPr>
        <w:tabs>
          <w:tab w:val="left" w:pos="6600"/>
        </w:tabs>
        <w:rPr>
          <w:b/>
          <w:sz w:val="24"/>
          <w:szCs w:val="24"/>
          <w:lang w:val="en-US"/>
        </w:rPr>
      </w:pPr>
    </w:p>
    <w:p w:rsidR="0031404D" w:rsidRDefault="0031404D" w:rsidP="0031404D">
      <w:pPr>
        <w:tabs>
          <w:tab w:val="left" w:pos="6600"/>
        </w:tabs>
        <w:rPr>
          <w:b/>
          <w:sz w:val="24"/>
          <w:szCs w:val="24"/>
          <w:lang w:val="en-US"/>
        </w:rPr>
      </w:pPr>
    </w:p>
    <w:p w:rsidR="0031404D" w:rsidRDefault="0031404D" w:rsidP="0031404D">
      <w:pPr>
        <w:tabs>
          <w:tab w:val="left" w:pos="6600"/>
        </w:tabs>
        <w:rPr>
          <w:b/>
          <w:sz w:val="24"/>
          <w:szCs w:val="24"/>
          <w:lang w:val="en-US"/>
        </w:rPr>
      </w:pPr>
    </w:p>
    <w:p w:rsidR="0031404D" w:rsidRDefault="0031404D" w:rsidP="0031404D">
      <w:pPr>
        <w:tabs>
          <w:tab w:val="left" w:pos="6600"/>
        </w:tabs>
        <w:rPr>
          <w:b/>
          <w:sz w:val="24"/>
          <w:szCs w:val="24"/>
          <w:lang w:val="en-US"/>
        </w:rPr>
      </w:pPr>
    </w:p>
    <w:p w:rsidR="0031404D" w:rsidRDefault="0031404D" w:rsidP="0031404D">
      <w:pPr>
        <w:tabs>
          <w:tab w:val="left" w:pos="6600"/>
        </w:tabs>
        <w:rPr>
          <w:b/>
          <w:sz w:val="24"/>
          <w:szCs w:val="24"/>
          <w:lang w:val="en-US"/>
        </w:rPr>
      </w:pPr>
    </w:p>
    <w:p w:rsidR="00C759C7" w:rsidRDefault="00C759C7" w:rsidP="00C759C7">
      <w:pPr>
        <w:pStyle w:val="Heading1"/>
        <w:tabs>
          <w:tab w:val="left" w:pos="3930"/>
          <w:tab w:val="left" w:pos="4050"/>
          <w:tab w:val="center" w:pos="4963"/>
        </w:tabs>
        <w:ind w:firstLine="0"/>
        <w:jc w:val="left"/>
        <w:rPr>
          <w:rFonts w:ascii="Times New Roman" w:hAnsi="Times New Roman" w:cs="Times New Roman"/>
          <w:color w:val="auto"/>
          <w:lang w:val="en-US"/>
        </w:rPr>
      </w:pPr>
      <w:bookmarkStart w:id="288" w:name="_Toc373421084"/>
      <w:bookmarkStart w:id="289" w:name="_Toc373448120"/>
    </w:p>
    <w:p w:rsidR="00171D86" w:rsidRDefault="00171D86" w:rsidP="00171D86">
      <w:pPr>
        <w:rPr>
          <w:lang w:val="en-US"/>
        </w:rPr>
      </w:pPr>
    </w:p>
    <w:p w:rsidR="00171D86" w:rsidRDefault="00171D86" w:rsidP="00171D86">
      <w:pPr>
        <w:rPr>
          <w:lang w:val="en-US"/>
        </w:rPr>
      </w:pPr>
    </w:p>
    <w:p w:rsidR="00171D86" w:rsidRDefault="00171D86" w:rsidP="00D16B1B">
      <w:pPr>
        <w:pStyle w:val="Heading1"/>
        <w:tabs>
          <w:tab w:val="left" w:pos="3930"/>
          <w:tab w:val="left" w:pos="4050"/>
          <w:tab w:val="center" w:pos="4963"/>
        </w:tabs>
        <w:ind w:firstLine="0"/>
        <w:rPr>
          <w:rFonts w:ascii="Times New Roman" w:hAnsi="Times New Roman" w:cs="Times New Roman"/>
          <w:color w:val="auto"/>
          <w:lang w:val="en-US"/>
        </w:rPr>
      </w:pPr>
      <w:bookmarkStart w:id="290" w:name="_Toc374228655"/>
      <w:bookmarkStart w:id="291" w:name="_Toc374229065"/>
      <w:bookmarkStart w:id="292" w:name="_Toc374229176"/>
      <w:bookmarkStart w:id="293" w:name="_Toc374229487"/>
    </w:p>
    <w:p w:rsidR="00E606E1" w:rsidRPr="00485D2E" w:rsidRDefault="00E606E1" w:rsidP="00FB6983">
      <w:pPr>
        <w:pStyle w:val="Heading1"/>
        <w:tabs>
          <w:tab w:val="left" w:pos="3930"/>
          <w:tab w:val="left" w:pos="4050"/>
          <w:tab w:val="center" w:pos="4963"/>
        </w:tabs>
        <w:ind w:firstLine="0"/>
        <w:jc w:val="center"/>
        <w:rPr>
          <w:rFonts w:ascii="Times New Roman" w:hAnsi="Times New Roman" w:cs="Times New Roman"/>
          <w:color w:val="auto"/>
          <w:lang w:val="en-US"/>
        </w:rPr>
      </w:pPr>
      <w:r w:rsidRPr="00485D2E">
        <w:rPr>
          <w:rFonts w:ascii="Times New Roman" w:hAnsi="Times New Roman" w:cs="Times New Roman"/>
          <w:color w:val="auto"/>
          <w:lang w:val="en-US"/>
        </w:rPr>
        <w:t>PRIEDAI</w:t>
      </w:r>
      <w:bookmarkEnd w:id="287"/>
      <w:bookmarkEnd w:id="288"/>
      <w:bookmarkEnd w:id="289"/>
      <w:bookmarkEnd w:id="290"/>
      <w:bookmarkEnd w:id="291"/>
      <w:bookmarkEnd w:id="292"/>
      <w:bookmarkEnd w:id="293"/>
    </w:p>
    <w:p w:rsidR="00731605" w:rsidRDefault="00731605" w:rsidP="00C80D63">
      <w:pPr>
        <w:rPr>
          <w:b/>
          <w:sz w:val="24"/>
          <w:szCs w:val="24"/>
        </w:rPr>
      </w:pPr>
    </w:p>
    <w:p w:rsidR="00C759C7" w:rsidRDefault="00C759C7" w:rsidP="00C80D63">
      <w:pPr>
        <w:rPr>
          <w:b/>
          <w:sz w:val="24"/>
          <w:szCs w:val="24"/>
        </w:rPr>
      </w:pPr>
    </w:p>
    <w:p w:rsidR="00C759C7" w:rsidRDefault="00C759C7" w:rsidP="00C80D63">
      <w:pPr>
        <w:rPr>
          <w:b/>
          <w:sz w:val="24"/>
          <w:szCs w:val="24"/>
        </w:rPr>
      </w:pPr>
    </w:p>
    <w:p w:rsidR="00C759C7" w:rsidRPr="00C80D63" w:rsidRDefault="00C759C7" w:rsidP="00C80D63">
      <w:pPr>
        <w:rPr>
          <w:b/>
          <w:sz w:val="24"/>
          <w:szCs w:val="24"/>
        </w:rPr>
      </w:pPr>
    </w:p>
    <w:p w:rsidR="00731605" w:rsidRPr="001C02C3" w:rsidRDefault="00731605" w:rsidP="00731605">
      <w:pPr>
        <w:spacing w:line="360" w:lineRule="auto"/>
        <w:contextualSpacing/>
        <w:rPr>
          <w:sz w:val="24"/>
          <w:szCs w:val="24"/>
        </w:rPr>
      </w:pPr>
    </w:p>
    <w:p w:rsidR="003541B7" w:rsidRDefault="003541B7" w:rsidP="003541B7">
      <w:pPr>
        <w:tabs>
          <w:tab w:val="left" w:pos="3585"/>
        </w:tabs>
        <w:rPr>
          <w:b/>
          <w:sz w:val="28"/>
          <w:szCs w:val="28"/>
        </w:rPr>
      </w:pPr>
    </w:p>
    <w:p w:rsidR="0031404D" w:rsidRDefault="0031404D" w:rsidP="003541B7">
      <w:pPr>
        <w:tabs>
          <w:tab w:val="left" w:pos="3585"/>
        </w:tabs>
        <w:rPr>
          <w:b/>
          <w:sz w:val="28"/>
          <w:szCs w:val="28"/>
        </w:rPr>
      </w:pPr>
    </w:p>
    <w:p w:rsidR="00FE7C58" w:rsidRDefault="00FE7C58" w:rsidP="003541B7">
      <w:pPr>
        <w:tabs>
          <w:tab w:val="left" w:pos="3585"/>
        </w:tabs>
        <w:rPr>
          <w:b/>
          <w:sz w:val="28"/>
          <w:szCs w:val="28"/>
        </w:rPr>
      </w:pPr>
    </w:p>
    <w:p w:rsidR="00535A1F" w:rsidRDefault="00535A1F" w:rsidP="003541B7">
      <w:pPr>
        <w:tabs>
          <w:tab w:val="left" w:pos="3585"/>
        </w:tabs>
        <w:rPr>
          <w:b/>
          <w:sz w:val="28"/>
          <w:szCs w:val="28"/>
        </w:rPr>
      </w:pPr>
    </w:p>
    <w:p w:rsidR="00535A1F" w:rsidRDefault="00535A1F" w:rsidP="003541B7">
      <w:pPr>
        <w:tabs>
          <w:tab w:val="left" w:pos="3585"/>
        </w:tabs>
        <w:rPr>
          <w:b/>
          <w:sz w:val="28"/>
          <w:szCs w:val="28"/>
        </w:rPr>
      </w:pPr>
    </w:p>
    <w:p w:rsidR="00535A1F" w:rsidRDefault="00535A1F" w:rsidP="003541B7">
      <w:pPr>
        <w:tabs>
          <w:tab w:val="left" w:pos="3585"/>
        </w:tabs>
        <w:rPr>
          <w:b/>
          <w:sz w:val="28"/>
          <w:szCs w:val="28"/>
        </w:rPr>
      </w:pPr>
    </w:p>
    <w:p w:rsidR="00535A1F" w:rsidRDefault="00535A1F" w:rsidP="003541B7">
      <w:pPr>
        <w:tabs>
          <w:tab w:val="left" w:pos="3585"/>
        </w:tabs>
        <w:rPr>
          <w:b/>
          <w:sz w:val="28"/>
          <w:szCs w:val="28"/>
        </w:rPr>
      </w:pPr>
    </w:p>
    <w:p w:rsidR="00535A1F" w:rsidRDefault="00535A1F" w:rsidP="003541B7">
      <w:pPr>
        <w:tabs>
          <w:tab w:val="left" w:pos="3585"/>
        </w:tabs>
        <w:rPr>
          <w:b/>
          <w:sz w:val="28"/>
          <w:szCs w:val="28"/>
        </w:rPr>
      </w:pPr>
    </w:p>
    <w:p w:rsidR="00535A1F" w:rsidRDefault="00535A1F" w:rsidP="003541B7">
      <w:pPr>
        <w:tabs>
          <w:tab w:val="left" w:pos="3585"/>
        </w:tabs>
        <w:rPr>
          <w:b/>
          <w:sz w:val="28"/>
          <w:szCs w:val="28"/>
        </w:rPr>
      </w:pPr>
    </w:p>
    <w:p w:rsidR="00535A1F" w:rsidRDefault="00535A1F" w:rsidP="003541B7">
      <w:pPr>
        <w:tabs>
          <w:tab w:val="left" w:pos="3585"/>
        </w:tabs>
        <w:rPr>
          <w:b/>
          <w:sz w:val="28"/>
          <w:szCs w:val="28"/>
        </w:rPr>
      </w:pPr>
    </w:p>
    <w:p w:rsidR="00535A1F" w:rsidRDefault="00535A1F" w:rsidP="003541B7">
      <w:pPr>
        <w:tabs>
          <w:tab w:val="left" w:pos="3585"/>
        </w:tabs>
        <w:rPr>
          <w:b/>
          <w:sz w:val="28"/>
          <w:szCs w:val="28"/>
        </w:rPr>
      </w:pPr>
    </w:p>
    <w:p w:rsidR="00535A1F" w:rsidRDefault="00535A1F" w:rsidP="003541B7">
      <w:pPr>
        <w:tabs>
          <w:tab w:val="left" w:pos="3585"/>
        </w:tabs>
        <w:rPr>
          <w:b/>
          <w:sz w:val="28"/>
          <w:szCs w:val="28"/>
        </w:rPr>
      </w:pPr>
    </w:p>
    <w:p w:rsidR="00535A1F" w:rsidRDefault="00535A1F" w:rsidP="003541B7">
      <w:pPr>
        <w:tabs>
          <w:tab w:val="left" w:pos="3585"/>
        </w:tabs>
        <w:rPr>
          <w:b/>
          <w:sz w:val="28"/>
          <w:szCs w:val="28"/>
        </w:rPr>
      </w:pPr>
    </w:p>
    <w:p w:rsidR="00535A1F" w:rsidRDefault="00535A1F" w:rsidP="00535A1F">
      <w:pPr>
        <w:tabs>
          <w:tab w:val="left" w:pos="3585"/>
        </w:tabs>
        <w:ind w:firstLine="720"/>
        <w:rPr>
          <w:b/>
          <w:sz w:val="28"/>
          <w:szCs w:val="28"/>
        </w:rPr>
      </w:pPr>
    </w:p>
    <w:p w:rsidR="00171D86" w:rsidRDefault="00171D86" w:rsidP="00D16B1B">
      <w:pPr>
        <w:ind w:firstLine="0"/>
        <w:rPr>
          <w:b/>
          <w:sz w:val="24"/>
          <w:szCs w:val="24"/>
        </w:rPr>
      </w:pPr>
    </w:p>
    <w:p w:rsidR="00171D86" w:rsidRDefault="00171D86" w:rsidP="00FE6955">
      <w:pPr>
        <w:jc w:val="right"/>
        <w:rPr>
          <w:b/>
          <w:sz w:val="24"/>
          <w:szCs w:val="24"/>
        </w:rPr>
      </w:pPr>
    </w:p>
    <w:p w:rsidR="003F4667" w:rsidRDefault="003F4667" w:rsidP="00FE6955">
      <w:pPr>
        <w:jc w:val="right"/>
        <w:rPr>
          <w:b/>
          <w:sz w:val="24"/>
          <w:szCs w:val="24"/>
        </w:rPr>
      </w:pPr>
    </w:p>
    <w:p w:rsidR="00FE6955" w:rsidRDefault="00FE6955" w:rsidP="00FE6955">
      <w:pPr>
        <w:jc w:val="right"/>
        <w:rPr>
          <w:b/>
          <w:sz w:val="24"/>
          <w:szCs w:val="24"/>
        </w:rPr>
      </w:pPr>
      <w:r w:rsidRPr="006701D4">
        <w:rPr>
          <w:b/>
          <w:sz w:val="24"/>
          <w:szCs w:val="24"/>
        </w:rPr>
        <w:lastRenderedPageBreak/>
        <w:t>1 PRIEDAS</w:t>
      </w:r>
    </w:p>
    <w:p w:rsidR="006701D4" w:rsidRPr="006701D4" w:rsidRDefault="006701D4" w:rsidP="00FE6955">
      <w:pPr>
        <w:jc w:val="right"/>
        <w:rPr>
          <w:b/>
          <w:sz w:val="24"/>
          <w:szCs w:val="24"/>
        </w:rPr>
      </w:pPr>
    </w:p>
    <w:p w:rsidR="00FE6955" w:rsidRPr="006701D4" w:rsidRDefault="00FE6955" w:rsidP="00FE6955">
      <w:pPr>
        <w:jc w:val="center"/>
        <w:rPr>
          <w:b/>
          <w:sz w:val="24"/>
          <w:szCs w:val="24"/>
        </w:rPr>
      </w:pPr>
      <w:r w:rsidRPr="006701D4">
        <w:rPr>
          <w:b/>
          <w:sz w:val="24"/>
          <w:szCs w:val="24"/>
        </w:rPr>
        <w:t>BALTIJOS ŠALIŲ EKONOMINIAI IR DEMOGRAFINIAI RODIKLIAI</w:t>
      </w:r>
    </w:p>
    <w:p w:rsidR="006701D4" w:rsidRDefault="006701D4" w:rsidP="00FE6955">
      <w:pPr>
        <w:ind w:left="720" w:right="720"/>
        <w:jc w:val="center"/>
        <w:rPr>
          <w:sz w:val="24"/>
          <w:szCs w:val="24"/>
        </w:rPr>
      </w:pPr>
    </w:p>
    <w:p w:rsidR="00FB6983" w:rsidRDefault="00FE6955" w:rsidP="00FB6983">
      <w:pPr>
        <w:ind w:left="720" w:right="720"/>
        <w:jc w:val="center"/>
        <w:rPr>
          <w:sz w:val="24"/>
          <w:szCs w:val="24"/>
        </w:rPr>
      </w:pPr>
      <w:r w:rsidRPr="006701D4">
        <w:rPr>
          <w:sz w:val="24"/>
          <w:szCs w:val="24"/>
        </w:rPr>
        <w:t>1 lentelė. Baltijos šalių</w:t>
      </w:r>
      <w:r w:rsidRPr="006701D4">
        <w:rPr>
          <w:b/>
          <w:sz w:val="24"/>
          <w:szCs w:val="24"/>
        </w:rPr>
        <w:t xml:space="preserve"> </w:t>
      </w:r>
      <w:r w:rsidRPr="006701D4">
        <w:rPr>
          <w:sz w:val="24"/>
          <w:szCs w:val="24"/>
        </w:rPr>
        <w:t>BVP,</w:t>
      </w:r>
      <w:r w:rsidR="006701D4">
        <w:rPr>
          <w:sz w:val="24"/>
          <w:szCs w:val="24"/>
        </w:rPr>
        <w:t xml:space="preserve"> </w:t>
      </w:r>
      <w:r w:rsidR="00FB6983">
        <w:rPr>
          <w:sz w:val="24"/>
          <w:szCs w:val="24"/>
        </w:rPr>
        <w:t>mln. Eur</w:t>
      </w:r>
    </w:p>
    <w:p w:rsidR="00FB6983" w:rsidRDefault="00FB6983" w:rsidP="00FE6955">
      <w:pPr>
        <w:ind w:left="720" w:right="720"/>
        <w:jc w:val="center"/>
        <w:rPr>
          <w:sz w:val="24"/>
          <w:szCs w:val="24"/>
        </w:rPr>
      </w:pPr>
    </w:p>
    <w:p w:rsidR="006701D4" w:rsidRDefault="006701D4" w:rsidP="00FE6955">
      <w:pPr>
        <w:ind w:left="720" w:right="720"/>
        <w:jc w:val="center"/>
        <w:rPr>
          <w:b/>
          <w:sz w:val="24"/>
          <w:szCs w:val="24"/>
        </w:rPr>
      </w:pPr>
    </w:p>
    <w:tbl>
      <w:tblPr>
        <w:tblpPr w:leftFromText="180" w:rightFromText="180" w:vertAnchor="page" w:horzAnchor="margin" w:tblpXSpec="center" w:tblpY="3166"/>
        <w:tblW w:w="7191" w:type="dxa"/>
        <w:tblLook w:val="04A0"/>
      </w:tblPr>
      <w:tblGrid>
        <w:gridCol w:w="1615"/>
        <w:gridCol w:w="1800"/>
        <w:gridCol w:w="1904"/>
        <w:gridCol w:w="1872"/>
      </w:tblGrid>
      <w:tr w:rsidR="006701D4" w:rsidRPr="00E82F72" w:rsidTr="006701D4">
        <w:trPr>
          <w:trHeight w:val="28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01D4" w:rsidRPr="006701D4" w:rsidRDefault="006701D4" w:rsidP="00A305E9">
            <w:r w:rsidRPr="006701D4">
              <w:t> </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6701D4" w:rsidRPr="006701D4" w:rsidRDefault="006701D4" w:rsidP="00A305E9">
            <w:r w:rsidRPr="006701D4">
              <w:t>Lietuva</w:t>
            </w:r>
          </w:p>
        </w:tc>
        <w:tc>
          <w:tcPr>
            <w:tcW w:w="1904" w:type="dxa"/>
            <w:tcBorders>
              <w:top w:val="single" w:sz="4" w:space="0" w:color="auto"/>
              <w:left w:val="nil"/>
              <w:bottom w:val="single" w:sz="4" w:space="0" w:color="auto"/>
              <w:right w:val="single" w:sz="4" w:space="0" w:color="auto"/>
            </w:tcBorders>
            <w:shd w:val="clear" w:color="auto" w:fill="auto"/>
            <w:noWrap/>
            <w:vAlign w:val="bottom"/>
            <w:hideMark/>
          </w:tcPr>
          <w:p w:rsidR="006701D4" w:rsidRPr="006701D4" w:rsidRDefault="006701D4" w:rsidP="00A305E9">
            <w:r w:rsidRPr="006701D4">
              <w:t>Latvija</w:t>
            </w:r>
          </w:p>
        </w:tc>
        <w:tc>
          <w:tcPr>
            <w:tcW w:w="1872" w:type="dxa"/>
            <w:tcBorders>
              <w:top w:val="single" w:sz="4" w:space="0" w:color="auto"/>
              <w:left w:val="nil"/>
              <w:bottom w:val="single" w:sz="4" w:space="0" w:color="auto"/>
              <w:right w:val="single" w:sz="4" w:space="0" w:color="auto"/>
            </w:tcBorders>
            <w:shd w:val="clear" w:color="auto" w:fill="auto"/>
            <w:noWrap/>
            <w:vAlign w:val="bottom"/>
            <w:hideMark/>
          </w:tcPr>
          <w:p w:rsidR="006701D4" w:rsidRPr="006701D4" w:rsidRDefault="006701D4" w:rsidP="00A305E9">
            <w:r w:rsidRPr="006701D4">
              <w:t>Estija</w:t>
            </w:r>
          </w:p>
        </w:tc>
      </w:tr>
      <w:tr w:rsidR="006701D4" w:rsidRPr="00E82F72" w:rsidTr="006701D4">
        <w:trPr>
          <w:trHeight w:val="285"/>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6701D4" w:rsidRPr="006701D4" w:rsidRDefault="006701D4" w:rsidP="00A305E9">
            <w:pPr>
              <w:jc w:val="right"/>
            </w:pPr>
            <w:r w:rsidRPr="006701D4">
              <w:t>2000</w:t>
            </w:r>
          </w:p>
        </w:tc>
        <w:tc>
          <w:tcPr>
            <w:tcW w:w="1800" w:type="dxa"/>
            <w:tcBorders>
              <w:top w:val="nil"/>
              <w:left w:val="nil"/>
              <w:bottom w:val="single" w:sz="4" w:space="0" w:color="auto"/>
              <w:right w:val="single" w:sz="4" w:space="0" w:color="auto"/>
            </w:tcBorders>
            <w:shd w:val="clear" w:color="auto" w:fill="auto"/>
            <w:noWrap/>
            <w:vAlign w:val="bottom"/>
            <w:hideMark/>
          </w:tcPr>
          <w:p w:rsidR="006701D4" w:rsidRPr="006701D4" w:rsidRDefault="006701D4" w:rsidP="00A305E9">
            <w:pPr>
              <w:jc w:val="right"/>
            </w:pPr>
            <w:r w:rsidRPr="006701D4">
              <w:t>12449,3</w:t>
            </w:r>
          </w:p>
        </w:tc>
        <w:tc>
          <w:tcPr>
            <w:tcW w:w="1904" w:type="dxa"/>
            <w:tcBorders>
              <w:top w:val="nil"/>
              <w:left w:val="nil"/>
              <w:bottom w:val="single" w:sz="4" w:space="0" w:color="auto"/>
              <w:right w:val="single" w:sz="4" w:space="0" w:color="auto"/>
            </w:tcBorders>
            <w:shd w:val="clear" w:color="auto" w:fill="auto"/>
            <w:noWrap/>
            <w:vAlign w:val="bottom"/>
            <w:hideMark/>
          </w:tcPr>
          <w:p w:rsidR="006701D4" w:rsidRPr="006701D4" w:rsidRDefault="006701D4" w:rsidP="00A305E9">
            <w:pPr>
              <w:jc w:val="right"/>
            </w:pPr>
            <w:r w:rsidRPr="006701D4">
              <w:t>8433,6</w:t>
            </w:r>
          </w:p>
        </w:tc>
        <w:tc>
          <w:tcPr>
            <w:tcW w:w="1872" w:type="dxa"/>
            <w:tcBorders>
              <w:top w:val="nil"/>
              <w:left w:val="nil"/>
              <w:bottom w:val="single" w:sz="4" w:space="0" w:color="auto"/>
              <w:right w:val="single" w:sz="4" w:space="0" w:color="auto"/>
            </w:tcBorders>
            <w:shd w:val="clear" w:color="auto" w:fill="auto"/>
            <w:noWrap/>
            <w:vAlign w:val="bottom"/>
            <w:hideMark/>
          </w:tcPr>
          <w:p w:rsidR="006701D4" w:rsidRPr="006701D4" w:rsidRDefault="006701D4" w:rsidP="00A305E9">
            <w:pPr>
              <w:jc w:val="right"/>
            </w:pPr>
            <w:r w:rsidRPr="006701D4">
              <w:t>9159,8</w:t>
            </w:r>
          </w:p>
        </w:tc>
      </w:tr>
      <w:tr w:rsidR="006701D4" w:rsidRPr="00E82F72" w:rsidTr="006701D4">
        <w:trPr>
          <w:trHeight w:val="285"/>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6701D4" w:rsidRPr="006701D4" w:rsidRDefault="006701D4" w:rsidP="00A305E9">
            <w:pPr>
              <w:jc w:val="right"/>
            </w:pPr>
            <w:r w:rsidRPr="006701D4">
              <w:t>2001</w:t>
            </w:r>
          </w:p>
        </w:tc>
        <w:tc>
          <w:tcPr>
            <w:tcW w:w="1800" w:type="dxa"/>
            <w:tcBorders>
              <w:top w:val="nil"/>
              <w:left w:val="nil"/>
              <w:bottom w:val="single" w:sz="4" w:space="0" w:color="auto"/>
              <w:right w:val="single" w:sz="4" w:space="0" w:color="auto"/>
            </w:tcBorders>
            <w:shd w:val="clear" w:color="auto" w:fill="auto"/>
            <w:noWrap/>
            <w:vAlign w:val="bottom"/>
            <w:hideMark/>
          </w:tcPr>
          <w:p w:rsidR="006701D4" w:rsidRPr="006701D4" w:rsidRDefault="006701D4" w:rsidP="00A305E9">
            <w:pPr>
              <w:jc w:val="right"/>
            </w:pPr>
            <w:r w:rsidRPr="006701D4">
              <w:t>13644,7</w:t>
            </w:r>
          </w:p>
        </w:tc>
        <w:tc>
          <w:tcPr>
            <w:tcW w:w="1904" w:type="dxa"/>
            <w:tcBorders>
              <w:top w:val="nil"/>
              <w:left w:val="nil"/>
              <w:bottom w:val="single" w:sz="4" w:space="0" w:color="auto"/>
              <w:right w:val="single" w:sz="4" w:space="0" w:color="auto"/>
            </w:tcBorders>
            <w:shd w:val="clear" w:color="auto" w:fill="auto"/>
            <w:noWrap/>
            <w:vAlign w:val="bottom"/>
            <w:hideMark/>
          </w:tcPr>
          <w:p w:rsidR="006701D4" w:rsidRPr="006701D4" w:rsidRDefault="006701D4" w:rsidP="00A305E9">
            <w:pPr>
              <w:jc w:val="right"/>
            </w:pPr>
            <w:r w:rsidRPr="006701D4">
              <w:t>9216,2</w:t>
            </w:r>
          </w:p>
        </w:tc>
        <w:tc>
          <w:tcPr>
            <w:tcW w:w="1872" w:type="dxa"/>
            <w:tcBorders>
              <w:top w:val="nil"/>
              <w:left w:val="nil"/>
              <w:bottom w:val="single" w:sz="4" w:space="0" w:color="auto"/>
              <w:right w:val="single" w:sz="4" w:space="0" w:color="auto"/>
            </w:tcBorders>
            <w:shd w:val="clear" w:color="auto" w:fill="auto"/>
            <w:noWrap/>
            <w:vAlign w:val="bottom"/>
            <w:hideMark/>
          </w:tcPr>
          <w:p w:rsidR="006701D4" w:rsidRPr="006701D4" w:rsidRDefault="006701D4" w:rsidP="00A305E9">
            <w:pPr>
              <w:jc w:val="right"/>
            </w:pPr>
            <w:r w:rsidRPr="006701D4">
              <w:t>6970,9</w:t>
            </w:r>
          </w:p>
        </w:tc>
      </w:tr>
      <w:tr w:rsidR="006701D4" w:rsidRPr="00E82F72" w:rsidTr="006701D4">
        <w:trPr>
          <w:trHeight w:val="285"/>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6701D4" w:rsidRPr="006701D4" w:rsidRDefault="006701D4" w:rsidP="00A305E9">
            <w:pPr>
              <w:jc w:val="right"/>
            </w:pPr>
            <w:r w:rsidRPr="006701D4">
              <w:t>2002</w:t>
            </w:r>
          </w:p>
        </w:tc>
        <w:tc>
          <w:tcPr>
            <w:tcW w:w="1800" w:type="dxa"/>
            <w:tcBorders>
              <w:top w:val="nil"/>
              <w:left w:val="nil"/>
              <w:bottom w:val="single" w:sz="4" w:space="0" w:color="auto"/>
              <w:right w:val="single" w:sz="4" w:space="0" w:color="auto"/>
            </w:tcBorders>
            <w:shd w:val="clear" w:color="auto" w:fill="auto"/>
            <w:noWrap/>
            <w:vAlign w:val="bottom"/>
            <w:hideMark/>
          </w:tcPr>
          <w:p w:rsidR="006701D4" w:rsidRPr="006701D4" w:rsidRDefault="006701D4" w:rsidP="00A305E9">
            <w:pPr>
              <w:jc w:val="right"/>
            </w:pPr>
            <w:r w:rsidRPr="006701D4">
              <w:t>15133</w:t>
            </w:r>
          </w:p>
        </w:tc>
        <w:tc>
          <w:tcPr>
            <w:tcW w:w="1904" w:type="dxa"/>
            <w:tcBorders>
              <w:top w:val="nil"/>
              <w:left w:val="nil"/>
              <w:bottom w:val="single" w:sz="4" w:space="0" w:color="auto"/>
              <w:right w:val="single" w:sz="4" w:space="0" w:color="auto"/>
            </w:tcBorders>
            <w:shd w:val="clear" w:color="auto" w:fill="auto"/>
            <w:noWrap/>
            <w:vAlign w:val="bottom"/>
            <w:hideMark/>
          </w:tcPr>
          <w:p w:rsidR="006701D4" w:rsidRPr="006701D4" w:rsidRDefault="006701D4" w:rsidP="00A305E9">
            <w:pPr>
              <w:jc w:val="right"/>
            </w:pPr>
            <w:r w:rsidRPr="006701D4">
              <w:t>9815,6</w:t>
            </w:r>
          </w:p>
        </w:tc>
        <w:tc>
          <w:tcPr>
            <w:tcW w:w="1872" w:type="dxa"/>
            <w:tcBorders>
              <w:top w:val="nil"/>
              <w:left w:val="nil"/>
              <w:bottom w:val="single" w:sz="4" w:space="0" w:color="auto"/>
              <w:right w:val="single" w:sz="4" w:space="0" w:color="auto"/>
            </w:tcBorders>
            <w:shd w:val="clear" w:color="auto" w:fill="auto"/>
            <w:noWrap/>
            <w:vAlign w:val="bottom"/>
            <w:hideMark/>
          </w:tcPr>
          <w:p w:rsidR="006701D4" w:rsidRPr="006701D4" w:rsidRDefault="006701D4" w:rsidP="00A305E9">
            <w:pPr>
              <w:jc w:val="right"/>
            </w:pPr>
            <w:r w:rsidRPr="006701D4">
              <w:t>7776,3</w:t>
            </w:r>
          </w:p>
        </w:tc>
      </w:tr>
      <w:tr w:rsidR="006701D4" w:rsidRPr="00E82F72" w:rsidTr="006701D4">
        <w:trPr>
          <w:trHeight w:val="285"/>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6701D4" w:rsidRPr="006701D4" w:rsidRDefault="006701D4" w:rsidP="00A305E9">
            <w:pPr>
              <w:jc w:val="right"/>
            </w:pPr>
            <w:r w:rsidRPr="006701D4">
              <w:t>2003</w:t>
            </w:r>
          </w:p>
        </w:tc>
        <w:tc>
          <w:tcPr>
            <w:tcW w:w="1800" w:type="dxa"/>
            <w:tcBorders>
              <w:top w:val="nil"/>
              <w:left w:val="nil"/>
              <w:bottom w:val="single" w:sz="4" w:space="0" w:color="auto"/>
              <w:right w:val="single" w:sz="4" w:space="0" w:color="auto"/>
            </w:tcBorders>
            <w:shd w:val="clear" w:color="auto" w:fill="auto"/>
            <w:noWrap/>
            <w:vAlign w:val="bottom"/>
            <w:hideMark/>
          </w:tcPr>
          <w:p w:rsidR="006701D4" w:rsidRPr="006701D4" w:rsidRDefault="006701D4" w:rsidP="00A305E9">
            <w:pPr>
              <w:jc w:val="right"/>
            </w:pPr>
            <w:r w:rsidRPr="006701D4">
              <w:t>16576,1</w:t>
            </w:r>
          </w:p>
        </w:tc>
        <w:tc>
          <w:tcPr>
            <w:tcW w:w="1904" w:type="dxa"/>
            <w:tcBorders>
              <w:top w:val="nil"/>
              <w:left w:val="nil"/>
              <w:bottom w:val="single" w:sz="4" w:space="0" w:color="auto"/>
              <w:right w:val="single" w:sz="4" w:space="0" w:color="auto"/>
            </w:tcBorders>
            <w:shd w:val="clear" w:color="auto" w:fill="auto"/>
            <w:noWrap/>
            <w:vAlign w:val="bottom"/>
            <w:hideMark/>
          </w:tcPr>
          <w:p w:rsidR="006701D4" w:rsidRPr="006701D4" w:rsidRDefault="006701D4" w:rsidP="00A305E9">
            <w:pPr>
              <w:jc w:val="right"/>
            </w:pPr>
            <w:r w:rsidRPr="006701D4">
              <w:t>9942,5</w:t>
            </w:r>
          </w:p>
        </w:tc>
        <w:tc>
          <w:tcPr>
            <w:tcW w:w="1872" w:type="dxa"/>
            <w:tcBorders>
              <w:top w:val="nil"/>
              <w:left w:val="nil"/>
              <w:bottom w:val="single" w:sz="4" w:space="0" w:color="auto"/>
              <w:right w:val="single" w:sz="4" w:space="0" w:color="auto"/>
            </w:tcBorders>
            <w:shd w:val="clear" w:color="auto" w:fill="auto"/>
            <w:noWrap/>
            <w:vAlign w:val="bottom"/>
            <w:hideMark/>
          </w:tcPr>
          <w:p w:rsidR="006701D4" w:rsidRPr="006701D4" w:rsidRDefault="006701D4" w:rsidP="00A305E9">
            <w:pPr>
              <w:jc w:val="right"/>
            </w:pPr>
            <w:r w:rsidRPr="006701D4">
              <w:t>9718,9</w:t>
            </w:r>
          </w:p>
        </w:tc>
      </w:tr>
      <w:tr w:rsidR="006701D4" w:rsidRPr="00E82F72" w:rsidTr="006701D4">
        <w:trPr>
          <w:trHeight w:val="285"/>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6701D4" w:rsidRPr="006701D4" w:rsidRDefault="006701D4" w:rsidP="00A305E9">
            <w:pPr>
              <w:jc w:val="right"/>
            </w:pPr>
            <w:r w:rsidRPr="006701D4">
              <w:t>2004</w:t>
            </w:r>
          </w:p>
        </w:tc>
        <w:tc>
          <w:tcPr>
            <w:tcW w:w="1800" w:type="dxa"/>
            <w:tcBorders>
              <w:top w:val="nil"/>
              <w:left w:val="nil"/>
              <w:bottom w:val="single" w:sz="4" w:space="0" w:color="auto"/>
              <w:right w:val="single" w:sz="4" w:space="0" w:color="auto"/>
            </w:tcBorders>
            <w:shd w:val="clear" w:color="auto" w:fill="auto"/>
            <w:noWrap/>
            <w:vAlign w:val="bottom"/>
            <w:hideMark/>
          </w:tcPr>
          <w:p w:rsidR="006701D4" w:rsidRPr="006701D4" w:rsidRDefault="006701D4" w:rsidP="00A305E9">
            <w:pPr>
              <w:jc w:val="right"/>
            </w:pPr>
            <w:r w:rsidRPr="006701D4">
              <w:t>18244,8</w:t>
            </w:r>
          </w:p>
        </w:tc>
        <w:tc>
          <w:tcPr>
            <w:tcW w:w="1904" w:type="dxa"/>
            <w:tcBorders>
              <w:top w:val="nil"/>
              <w:left w:val="nil"/>
              <w:bottom w:val="single" w:sz="4" w:space="0" w:color="auto"/>
              <w:right w:val="single" w:sz="4" w:space="0" w:color="auto"/>
            </w:tcBorders>
            <w:shd w:val="clear" w:color="auto" w:fill="auto"/>
            <w:noWrap/>
            <w:vAlign w:val="bottom"/>
            <w:hideMark/>
          </w:tcPr>
          <w:p w:rsidR="006701D4" w:rsidRPr="006701D4" w:rsidRDefault="006701D4" w:rsidP="00A305E9">
            <w:pPr>
              <w:jc w:val="right"/>
            </w:pPr>
            <w:r w:rsidRPr="006701D4">
              <w:t>11154,6</w:t>
            </w:r>
          </w:p>
        </w:tc>
        <w:tc>
          <w:tcPr>
            <w:tcW w:w="1872" w:type="dxa"/>
            <w:tcBorders>
              <w:top w:val="nil"/>
              <w:left w:val="nil"/>
              <w:bottom w:val="single" w:sz="4" w:space="0" w:color="auto"/>
              <w:right w:val="single" w:sz="4" w:space="0" w:color="auto"/>
            </w:tcBorders>
            <w:shd w:val="clear" w:color="auto" w:fill="auto"/>
            <w:noWrap/>
            <w:vAlign w:val="bottom"/>
            <w:hideMark/>
          </w:tcPr>
          <w:p w:rsidR="006701D4" w:rsidRPr="006701D4" w:rsidRDefault="006701D4" w:rsidP="00A305E9">
            <w:pPr>
              <w:jc w:val="right"/>
            </w:pPr>
            <w:r w:rsidRPr="006701D4">
              <w:t>9685,3</w:t>
            </w:r>
          </w:p>
        </w:tc>
      </w:tr>
      <w:tr w:rsidR="006701D4" w:rsidRPr="00E82F72" w:rsidTr="006701D4">
        <w:trPr>
          <w:trHeight w:val="285"/>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6701D4" w:rsidRPr="006701D4" w:rsidRDefault="006701D4" w:rsidP="00A305E9">
            <w:pPr>
              <w:jc w:val="right"/>
            </w:pPr>
            <w:r w:rsidRPr="006701D4">
              <w:t>2005</w:t>
            </w:r>
          </w:p>
        </w:tc>
        <w:tc>
          <w:tcPr>
            <w:tcW w:w="1800" w:type="dxa"/>
            <w:tcBorders>
              <w:top w:val="nil"/>
              <w:left w:val="nil"/>
              <w:bottom w:val="single" w:sz="4" w:space="0" w:color="auto"/>
              <w:right w:val="single" w:sz="4" w:space="0" w:color="auto"/>
            </w:tcBorders>
            <w:shd w:val="clear" w:color="auto" w:fill="auto"/>
            <w:noWrap/>
            <w:vAlign w:val="bottom"/>
            <w:hideMark/>
          </w:tcPr>
          <w:p w:rsidR="006701D4" w:rsidRPr="006701D4" w:rsidRDefault="006701D4" w:rsidP="00A305E9">
            <w:pPr>
              <w:jc w:val="right"/>
            </w:pPr>
            <w:r w:rsidRPr="006701D4">
              <w:t>20969,1</w:t>
            </w:r>
          </w:p>
        </w:tc>
        <w:tc>
          <w:tcPr>
            <w:tcW w:w="1904" w:type="dxa"/>
            <w:tcBorders>
              <w:top w:val="nil"/>
              <w:left w:val="nil"/>
              <w:bottom w:val="single" w:sz="4" w:space="0" w:color="auto"/>
              <w:right w:val="single" w:sz="4" w:space="0" w:color="auto"/>
            </w:tcBorders>
            <w:shd w:val="clear" w:color="auto" w:fill="auto"/>
            <w:noWrap/>
            <w:vAlign w:val="bottom"/>
            <w:hideMark/>
          </w:tcPr>
          <w:p w:rsidR="006701D4" w:rsidRPr="006701D4" w:rsidRDefault="006701D4" w:rsidP="00A305E9">
            <w:pPr>
              <w:jc w:val="right"/>
            </w:pPr>
            <w:r w:rsidRPr="006701D4">
              <w:t>12927,8</w:t>
            </w:r>
          </w:p>
        </w:tc>
        <w:tc>
          <w:tcPr>
            <w:tcW w:w="1872" w:type="dxa"/>
            <w:tcBorders>
              <w:top w:val="nil"/>
              <w:left w:val="nil"/>
              <w:bottom w:val="single" w:sz="4" w:space="0" w:color="auto"/>
              <w:right w:val="single" w:sz="4" w:space="0" w:color="auto"/>
            </w:tcBorders>
            <w:shd w:val="clear" w:color="auto" w:fill="auto"/>
            <w:noWrap/>
            <w:vAlign w:val="bottom"/>
            <w:hideMark/>
          </w:tcPr>
          <w:p w:rsidR="006701D4" w:rsidRPr="006701D4" w:rsidRDefault="006701D4" w:rsidP="00A305E9">
            <w:pPr>
              <w:jc w:val="right"/>
            </w:pPr>
            <w:r w:rsidRPr="006701D4">
              <w:t>11181,7</w:t>
            </w:r>
          </w:p>
        </w:tc>
      </w:tr>
      <w:tr w:rsidR="006701D4" w:rsidRPr="00E82F72" w:rsidTr="006701D4">
        <w:trPr>
          <w:trHeight w:val="285"/>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6701D4" w:rsidRPr="006701D4" w:rsidRDefault="006701D4" w:rsidP="00A305E9">
            <w:pPr>
              <w:jc w:val="right"/>
            </w:pPr>
            <w:r w:rsidRPr="006701D4">
              <w:t>2006</w:t>
            </w:r>
          </w:p>
        </w:tc>
        <w:tc>
          <w:tcPr>
            <w:tcW w:w="1800" w:type="dxa"/>
            <w:tcBorders>
              <w:top w:val="nil"/>
              <w:left w:val="nil"/>
              <w:bottom w:val="single" w:sz="4" w:space="0" w:color="auto"/>
              <w:right w:val="single" w:sz="4" w:space="0" w:color="auto"/>
            </w:tcBorders>
            <w:shd w:val="clear" w:color="auto" w:fill="auto"/>
            <w:noWrap/>
            <w:vAlign w:val="bottom"/>
            <w:hideMark/>
          </w:tcPr>
          <w:p w:rsidR="006701D4" w:rsidRPr="006701D4" w:rsidRDefault="006701D4" w:rsidP="00A305E9">
            <w:pPr>
              <w:jc w:val="right"/>
            </w:pPr>
            <w:r w:rsidRPr="006701D4">
              <w:t>24104,2</w:t>
            </w:r>
          </w:p>
        </w:tc>
        <w:tc>
          <w:tcPr>
            <w:tcW w:w="1904" w:type="dxa"/>
            <w:tcBorders>
              <w:top w:val="nil"/>
              <w:left w:val="nil"/>
              <w:bottom w:val="single" w:sz="4" w:space="0" w:color="auto"/>
              <w:right w:val="single" w:sz="4" w:space="0" w:color="auto"/>
            </w:tcBorders>
            <w:shd w:val="clear" w:color="auto" w:fill="auto"/>
            <w:noWrap/>
            <w:vAlign w:val="bottom"/>
            <w:hideMark/>
          </w:tcPr>
          <w:p w:rsidR="006701D4" w:rsidRPr="006701D4" w:rsidRDefault="006701D4" w:rsidP="00A305E9">
            <w:pPr>
              <w:jc w:val="right"/>
            </w:pPr>
            <w:r w:rsidRPr="006701D4">
              <w:t>15981,9</w:t>
            </w:r>
          </w:p>
        </w:tc>
        <w:tc>
          <w:tcPr>
            <w:tcW w:w="1872" w:type="dxa"/>
            <w:tcBorders>
              <w:top w:val="nil"/>
              <w:left w:val="nil"/>
              <w:bottom w:val="single" w:sz="4" w:space="0" w:color="auto"/>
              <w:right w:val="single" w:sz="4" w:space="0" w:color="auto"/>
            </w:tcBorders>
            <w:shd w:val="clear" w:color="auto" w:fill="auto"/>
            <w:noWrap/>
            <w:vAlign w:val="bottom"/>
            <w:hideMark/>
          </w:tcPr>
          <w:p w:rsidR="006701D4" w:rsidRPr="006701D4" w:rsidRDefault="006701D4" w:rsidP="00A305E9">
            <w:pPr>
              <w:jc w:val="right"/>
            </w:pPr>
            <w:r w:rsidRPr="006701D4">
              <w:t>13390,8</w:t>
            </w:r>
          </w:p>
        </w:tc>
      </w:tr>
      <w:tr w:rsidR="006701D4" w:rsidRPr="00E82F72" w:rsidTr="006701D4">
        <w:trPr>
          <w:trHeight w:val="285"/>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6701D4" w:rsidRPr="006701D4" w:rsidRDefault="006701D4" w:rsidP="00A305E9">
            <w:pPr>
              <w:jc w:val="right"/>
            </w:pPr>
            <w:r w:rsidRPr="006701D4">
              <w:t>2007</w:t>
            </w:r>
          </w:p>
        </w:tc>
        <w:tc>
          <w:tcPr>
            <w:tcW w:w="1800" w:type="dxa"/>
            <w:tcBorders>
              <w:top w:val="nil"/>
              <w:left w:val="nil"/>
              <w:bottom w:val="single" w:sz="4" w:space="0" w:color="auto"/>
              <w:right w:val="single" w:sz="4" w:space="0" w:color="auto"/>
            </w:tcBorders>
            <w:shd w:val="clear" w:color="auto" w:fill="auto"/>
            <w:noWrap/>
            <w:vAlign w:val="bottom"/>
            <w:hideMark/>
          </w:tcPr>
          <w:p w:rsidR="006701D4" w:rsidRPr="006701D4" w:rsidRDefault="006701D4" w:rsidP="00A305E9">
            <w:pPr>
              <w:jc w:val="right"/>
            </w:pPr>
            <w:r w:rsidRPr="006701D4">
              <w:t>28738,8</w:t>
            </w:r>
          </w:p>
        </w:tc>
        <w:tc>
          <w:tcPr>
            <w:tcW w:w="1904" w:type="dxa"/>
            <w:tcBorders>
              <w:top w:val="nil"/>
              <w:left w:val="nil"/>
              <w:bottom w:val="single" w:sz="4" w:space="0" w:color="auto"/>
              <w:right w:val="single" w:sz="4" w:space="0" w:color="auto"/>
            </w:tcBorders>
            <w:shd w:val="clear" w:color="auto" w:fill="auto"/>
            <w:noWrap/>
            <w:vAlign w:val="bottom"/>
            <w:hideMark/>
          </w:tcPr>
          <w:p w:rsidR="006701D4" w:rsidRPr="006701D4" w:rsidRDefault="006701D4" w:rsidP="00A305E9">
            <w:pPr>
              <w:jc w:val="right"/>
            </w:pPr>
            <w:r w:rsidRPr="006701D4">
              <w:t>21026,5</w:t>
            </w:r>
          </w:p>
        </w:tc>
        <w:tc>
          <w:tcPr>
            <w:tcW w:w="1872" w:type="dxa"/>
            <w:tcBorders>
              <w:top w:val="nil"/>
              <w:left w:val="nil"/>
              <w:bottom w:val="single" w:sz="4" w:space="0" w:color="auto"/>
              <w:right w:val="single" w:sz="4" w:space="0" w:color="auto"/>
            </w:tcBorders>
            <w:shd w:val="clear" w:color="auto" w:fill="auto"/>
            <w:noWrap/>
            <w:vAlign w:val="bottom"/>
            <w:hideMark/>
          </w:tcPr>
          <w:p w:rsidR="006701D4" w:rsidRPr="006701D4" w:rsidRDefault="006701D4" w:rsidP="00A305E9">
            <w:pPr>
              <w:jc w:val="right"/>
            </w:pPr>
            <w:r w:rsidRPr="006701D4">
              <w:t>16069,4</w:t>
            </w:r>
          </w:p>
        </w:tc>
      </w:tr>
      <w:tr w:rsidR="006701D4" w:rsidRPr="00E82F72" w:rsidTr="006701D4">
        <w:trPr>
          <w:trHeight w:val="285"/>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6701D4" w:rsidRPr="006701D4" w:rsidRDefault="006701D4" w:rsidP="00A305E9">
            <w:pPr>
              <w:jc w:val="right"/>
            </w:pPr>
            <w:r w:rsidRPr="006701D4">
              <w:t>2008</w:t>
            </w:r>
          </w:p>
        </w:tc>
        <w:tc>
          <w:tcPr>
            <w:tcW w:w="1800" w:type="dxa"/>
            <w:tcBorders>
              <w:top w:val="nil"/>
              <w:left w:val="nil"/>
              <w:bottom w:val="single" w:sz="4" w:space="0" w:color="auto"/>
              <w:right w:val="single" w:sz="4" w:space="0" w:color="auto"/>
            </w:tcBorders>
            <w:shd w:val="clear" w:color="auto" w:fill="auto"/>
            <w:noWrap/>
            <w:vAlign w:val="bottom"/>
            <w:hideMark/>
          </w:tcPr>
          <w:p w:rsidR="006701D4" w:rsidRPr="006701D4" w:rsidRDefault="006701D4" w:rsidP="00A305E9">
            <w:pPr>
              <w:jc w:val="right"/>
            </w:pPr>
            <w:r w:rsidRPr="006701D4">
              <w:t>32414,3</w:t>
            </w:r>
          </w:p>
        </w:tc>
        <w:tc>
          <w:tcPr>
            <w:tcW w:w="1904" w:type="dxa"/>
            <w:tcBorders>
              <w:top w:val="nil"/>
              <w:left w:val="nil"/>
              <w:bottom w:val="single" w:sz="4" w:space="0" w:color="auto"/>
              <w:right w:val="single" w:sz="4" w:space="0" w:color="auto"/>
            </w:tcBorders>
            <w:shd w:val="clear" w:color="auto" w:fill="auto"/>
            <w:noWrap/>
            <w:vAlign w:val="bottom"/>
            <w:hideMark/>
          </w:tcPr>
          <w:p w:rsidR="006701D4" w:rsidRPr="006701D4" w:rsidRDefault="006701D4" w:rsidP="00A305E9">
            <w:pPr>
              <w:jc w:val="right"/>
            </w:pPr>
            <w:r w:rsidRPr="006701D4">
              <w:t>22889,8</w:t>
            </w:r>
          </w:p>
        </w:tc>
        <w:tc>
          <w:tcPr>
            <w:tcW w:w="1872" w:type="dxa"/>
            <w:tcBorders>
              <w:top w:val="nil"/>
              <w:left w:val="nil"/>
              <w:bottom w:val="single" w:sz="4" w:space="0" w:color="auto"/>
              <w:right w:val="single" w:sz="4" w:space="0" w:color="auto"/>
            </w:tcBorders>
            <w:shd w:val="clear" w:color="auto" w:fill="auto"/>
            <w:noWrap/>
            <w:vAlign w:val="bottom"/>
            <w:hideMark/>
          </w:tcPr>
          <w:p w:rsidR="006701D4" w:rsidRPr="006701D4" w:rsidRDefault="006701D4" w:rsidP="00A305E9">
            <w:pPr>
              <w:jc w:val="right"/>
            </w:pPr>
            <w:r w:rsidRPr="006701D4">
              <w:t>16235,1</w:t>
            </w:r>
          </w:p>
        </w:tc>
      </w:tr>
      <w:tr w:rsidR="006701D4" w:rsidRPr="00E82F72" w:rsidTr="006701D4">
        <w:trPr>
          <w:trHeight w:val="285"/>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6701D4" w:rsidRPr="006701D4" w:rsidRDefault="006701D4" w:rsidP="00A305E9">
            <w:pPr>
              <w:jc w:val="right"/>
            </w:pPr>
            <w:r w:rsidRPr="006701D4">
              <w:t>2009</w:t>
            </w:r>
          </w:p>
        </w:tc>
        <w:tc>
          <w:tcPr>
            <w:tcW w:w="1800" w:type="dxa"/>
            <w:tcBorders>
              <w:top w:val="nil"/>
              <w:left w:val="nil"/>
              <w:bottom w:val="single" w:sz="4" w:space="0" w:color="auto"/>
              <w:right w:val="single" w:sz="4" w:space="0" w:color="auto"/>
            </w:tcBorders>
            <w:shd w:val="clear" w:color="auto" w:fill="auto"/>
            <w:noWrap/>
            <w:vAlign w:val="bottom"/>
            <w:hideMark/>
          </w:tcPr>
          <w:p w:rsidR="006701D4" w:rsidRPr="006701D4" w:rsidRDefault="006701D4" w:rsidP="00A305E9">
            <w:pPr>
              <w:jc w:val="right"/>
            </w:pPr>
            <w:r w:rsidRPr="006701D4">
              <w:t>26654,4</w:t>
            </w:r>
          </w:p>
        </w:tc>
        <w:tc>
          <w:tcPr>
            <w:tcW w:w="1904" w:type="dxa"/>
            <w:tcBorders>
              <w:top w:val="nil"/>
              <w:left w:val="nil"/>
              <w:bottom w:val="single" w:sz="4" w:space="0" w:color="auto"/>
              <w:right w:val="single" w:sz="4" w:space="0" w:color="auto"/>
            </w:tcBorders>
            <w:shd w:val="clear" w:color="auto" w:fill="auto"/>
            <w:noWrap/>
            <w:vAlign w:val="bottom"/>
            <w:hideMark/>
          </w:tcPr>
          <w:p w:rsidR="006701D4" w:rsidRPr="006701D4" w:rsidRDefault="006701D4" w:rsidP="00A305E9">
            <w:pPr>
              <w:jc w:val="right"/>
            </w:pPr>
            <w:r w:rsidRPr="006701D4">
              <w:t>18521,3</w:t>
            </w:r>
          </w:p>
        </w:tc>
        <w:tc>
          <w:tcPr>
            <w:tcW w:w="1872" w:type="dxa"/>
            <w:tcBorders>
              <w:top w:val="nil"/>
              <w:left w:val="nil"/>
              <w:bottom w:val="single" w:sz="4" w:space="0" w:color="auto"/>
              <w:right w:val="single" w:sz="4" w:space="0" w:color="auto"/>
            </w:tcBorders>
            <w:shd w:val="clear" w:color="auto" w:fill="auto"/>
            <w:noWrap/>
            <w:vAlign w:val="bottom"/>
            <w:hideMark/>
          </w:tcPr>
          <w:p w:rsidR="006701D4" w:rsidRPr="006701D4" w:rsidRDefault="006701D4" w:rsidP="00A305E9">
            <w:pPr>
              <w:jc w:val="right"/>
            </w:pPr>
            <w:r w:rsidRPr="006701D4">
              <w:t>13969,7</w:t>
            </w:r>
          </w:p>
        </w:tc>
      </w:tr>
      <w:tr w:rsidR="006701D4" w:rsidRPr="00E82F72" w:rsidTr="006701D4">
        <w:trPr>
          <w:trHeight w:val="285"/>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6701D4" w:rsidRPr="006701D4" w:rsidRDefault="006701D4" w:rsidP="00A305E9">
            <w:pPr>
              <w:jc w:val="right"/>
            </w:pPr>
            <w:r w:rsidRPr="006701D4">
              <w:t>2010</w:t>
            </w:r>
          </w:p>
        </w:tc>
        <w:tc>
          <w:tcPr>
            <w:tcW w:w="1800" w:type="dxa"/>
            <w:tcBorders>
              <w:top w:val="nil"/>
              <w:left w:val="nil"/>
              <w:bottom w:val="single" w:sz="4" w:space="0" w:color="auto"/>
              <w:right w:val="single" w:sz="4" w:space="0" w:color="auto"/>
            </w:tcBorders>
            <w:shd w:val="clear" w:color="auto" w:fill="auto"/>
            <w:noWrap/>
            <w:vAlign w:val="bottom"/>
            <w:hideMark/>
          </w:tcPr>
          <w:p w:rsidR="006701D4" w:rsidRPr="006701D4" w:rsidRDefault="006701D4" w:rsidP="00A305E9">
            <w:pPr>
              <w:jc w:val="right"/>
            </w:pPr>
            <w:r w:rsidRPr="006701D4">
              <w:t>27709,7</w:t>
            </w:r>
          </w:p>
        </w:tc>
        <w:tc>
          <w:tcPr>
            <w:tcW w:w="1904" w:type="dxa"/>
            <w:tcBorders>
              <w:top w:val="nil"/>
              <w:left w:val="nil"/>
              <w:bottom w:val="single" w:sz="4" w:space="0" w:color="auto"/>
              <w:right w:val="single" w:sz="4" w:space="0" w:color="auto"/>
            </w:tcBorders>
            <w:shd w:val="clear" w:color="auto" w:fill="auto"/>
            <w:noWrap/>
            <w:vAlign w:val="bottom"/>
            <w:hideMark/>
          </w:tcPr>
          <w:p w:rsidR="006701D4" w:rsidRPr="006701D4" w:rsidRDefault="006701D4" w:rsidP="00A305E9">
            <w:pPr>
              <w:jc w:val="right"/>
            </w:pPr>
            <w:r w:rsidRPr="006701D4">
              <w:t>18038,9</w:t>
            </w:r>
          </w:p>
        </w:tc>
        <w:tc>
          <w:tcPr>
            <w:tcW w:w="1872" w:type="dxa"/>
            <w:tcBorders>
              <w:top w:val="nil"/>
              <w:left w:val="nil"/>
              <w:bottom w:val="single" w:sz="4" w:space="0" w:color="auto"/>
              <w:right w:val="single" w:sz="4" w:space="0" w:color="auto"/>
            </w:tcBorders>
            <w:shd w:val="clear" w:color="auto" w:fill="auto"/>
            <w:noWrap/>
            <w:vAlign w:val="bottom"/>
            <w:hideMark/>
          </w:tcPr>
          <w:p w:rsidR="006701D4" w:rsidRPr="006701D4" w:rsidRDefault="006701D4" w:rsidP="00A305E9">
            <w:pPr>
              <w:jc w:val="right"/>
            </w:pPr>
            <w:r w:rsidRPr="006701D4">
              <w:t>14371,1</w:t>
            </w:r>
          </w:p>
        </w:tc>
      </w:tr>
      <w:tr w:rsidR="006701D4" w:rsidRPr="00E82F72" w:rsidTr="006701D4">
        <w:trPr>
          <w:trHeight w:val="285"/>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6701D4" w:rsidRPr="006701D4" w:rsidRDefault="006701D4" w:rsidP="00A305E9">
            <w:pPr>
              <w:jc w:val="right"/>
            </w:pPr>
            <w:r w:rsidRPr="006701D4">
              <w:t>2011</w:t>
            </w:r>
          </w:p>
        </w:tc>
        <w:tc>
          <w:tcPr>
            <w:tcW w:w="1800" w:type="dxa"/>
            <w:tcBorders>
              <w:top w:val="nil"/>
              <w:left w:val="nil"/>
              <w:bottom w:val="single" w:sz="4" w:space="0" w:color="auto"/>
              <w:right w:val="single" w:sz="4" w:space="0" w:color="auto"/>
            </w:tcBorders>
            <w:shd w:val="clear" w:color="auto" w:fill="auto"/>
            <w:noWrap/>
            <w:vAlign w:val="bottom"/>
            <w:hideMark/>
          </w:tcPr>
          <w:p w:rsidR="006701D4" w:rsidRPr="006701D4" w:rsidRDefault="006701D4" w:rsidP="00A305E9">
            <w:pPr>
              <w:jc w:val="right"/>
            </w:pPr>
            <w:r w:rsidRPr="006701D4">
              <w:t>30958,5</w:t>
            </w:r>
          </w:p>
        </w:tc>
        <w:tc>
          <w:tcPr>
            <w:tcW w:w="1904" w:type="dxa"/>
            <w:tcBorders>
              <w:top w:val="nil"/>
              <w:left w:val="nil"/>
              <w:bottom w:val="single" w:sz="4" w:space="0" w:color="auto"/>
              <w:right w:val="single" w:sz="4" w:space="0" w:color="auto"/>
            </w:tcBorders>
            <w:shd w:val="clear" w:color="auto" w:fill="auto"/>
            <w:noWrap/>
            <w:vAlign w:val="bottom"/>
            <w:hideMark/>
          </w:tcPr>
          <w:p w:rsidR="006701D4" w:rsidRPr="006701D4" w:rsidRDefault="006701D4" w:rsidP="00A305E9">
            <w:pPr>
              <w:jc w:val="right"/>
            </w:pPr>
            <w:r w:rsidRPr="006701D4">
              <w:t>20211,3</w:t>
            </w:r>
          </w:p>
        </w:tc>
        <w:tc>
          <w:tcPr>
            <w:tcW w:w="1872" w:type="dxa"/>
            <w:tcBorders>
              <w:top w:val="nil"/>
              <w:left w:val="nil"/>
              <w:bottom w:val="single" w:sz="4" w:space="0" w:color="auto"/>
              <w:right w:val="single" w:sz="4" w:space="0" w:color="auto"/>
            </w:tcBorders>
            <w:shd w:val="clear" w:color="auto" w:fill="auto"/>
            <w:noWrap/>
            <w:vAlign w:val="bottom"/>
            <w:hideMark/>
          </w:tcPr>
          <w:p w:rsidR="006701D4" w:rsidRPr="006701D4" w:rsidRDefault="006701D4" w:rsidP="00A305E9">
            <w:pPr>
              <w:jc w:val="right"/>
            </w:pPr>
            <w:r w:rsidRPr="006701D4">
              <w:t>16216,4</w:t>
            </w:r>
          </w:p>
        </w:tc>
      </w:tr>
      <w:tr w:rsidR="006701D4" w:rsidRPr="00E82F72" w:rsidTr="006701D4">
        <w:trPr>
          <w:trHeight w:val="285"/>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6701D4" w:rsidRPr="006701D4" w:rsidRDefault="006701D4" w:rsidP="00A305E9">
            <w:pPr>
              <w:jc w:val="right"/>
            </w:pPr>
            <w:r w:rsidRPr="006701D4">
              <w:t>2012</w:t>
            </w:r>
          </w:p>
        </w:tc>
        <w:tc>
          <w:tcPr>
            <w:tcW w:w="1800" w:type="dxa"/>
            <w:tcBorders>
              <w:top w:val="nil"/>
              <w:left w:val="nil"/>
              <w:bottom w:val="single" w:sz="4" w:space="0" w:color="auto"/>
              <w:right w:val="single" w:sz="4" w:space="0" w:color="auto"/>
            </w:tcBorders>
            <w:shd w:val="clear" w:color="auto" w:fill="auto"/>
            <w:noWrap/>
            <w:vAlign w:val="bottom"/>
            <w:hideMark/>
          </w:tcPr>
          <w:p w:rsidR="006701D4" w:rsidRPr="006701D4" w:rsidRDefault="006701D4" w:rsidP="00A305E9">
            <w:pPr>
              <w:jc w:val="right"/>
            </w:pPr>
            <w:r w:rsidRPr="006701D4">
              <w:t>32939,8</w:t>
            </w:r>
          </w:p>
        </w:tc>
        <w:tc>
          <w:tcPr>
            <w:tcW w:w="1904" w:type="dxa"/>
            <w:tcBorders>
              <w:top w:val="nil"/>
              <w:left w:val="nil"/>
              <w:bottom w:val="single" w:sz="4" w:space="0" w:color="auto"/>
              <w:right w:val="single" w:sz="4" w:space="0" w:color="auto"/>
            </w:tcBorders>
            <w:shd w:val="clear" w:color="auto" w:fill="auto"/>
            <w:noWrap/>
            <w:vAlign w:val="bottom"/>
            <w:hideMark/>
          </w:tcPr>
          <w:p w:rsidR="006701D4" w:rsidRPr="006701D4" w:rsidRDefault="006701D4" w:rsidP="00A305E9">
            <w:pPr>
              <w:jc w:val="right"/>
            </w:pPr>
            <w:r w:rsidRPr="006701D4">
              <w:t>22256,9</w:t>
            </w:r>
          </w:p>
        </w:tc>
        <w:tc>
          <w:tcPr>
            <w:tcW w:w="1872" w:type="dxa"/>
            <w:tcBorders>
              <w:top w:val="nil"/>
              <w:left w:val="nil"/>
              <w:bottom w:val="single" w:sz="4" w:space="0" w:color="auto"/>
              <w:right w:val="single" w:sz="4" w:space="0" w:color="auto"/>
            </w:tcBorders>
            <w:shd w:val="clear" w:color="auto" w:fill="auto"/>
            <w:noWrap/>
            <w:vAlign w:val="bottom"/>
            <w:hideMark/>
          </w:tcPr>
          <w:p w:rsidR="006701D4" w:rsidRPr="006701D4" w:rsidRDefault="006701D4" w:rsidP="00A305E9">
            <w:pPr>
              <w:jc w:val="right"/>
            </w:pPr>
            <w:r w:rsidRPr="006701D4">
              <w:t>17415,1</w:t>
            </w:r>
          </w:p>
        </w:tc>
      </w:tr>
    </w:tbl>
    <w:p w:rsidR="006701D4" w:rsidRPr="006701D4" w:rsidRDefault="006701D4" w:rsidP="00FE6955">
      <w:pPr>
        <w:ind w:left="720" w:right="720"/>
        <w:jc w:val="center"/>
        <w:rPr>
          <w:b/>
          <w:sz w:val="24"/>
          <w:szCs w:val="24"/>
        </w:rPr>
      </w:pPr>
    </w:p>
    <w:p w:rsidR="0031404D" w:rsidRDefault="0031404D" w:rsidP="00FE6955">
      <w:pPr>
        <w:tabs>
          <w:tab w:val="left" w:pos="3585"/>
        </w:tabs>
        <w:ind w:firstLine="0"/>
        <w:rPr>
          <w:b/>
          <w:sz w:val="24"/>
          <w:szCs w:val="24"/>
        </w:rPr>
      </w:pPr>
    </w:p>
    <w:p w:rsidR="006701D4" w:rsidRDefault="006701D4" w:rsidP="00FE6955">
      <w:pPr>
        <w:tabs>
          <w:tab w:val="left" w:pos="3585"/>
        </w:tabs>
        <w:ind w:firstLine="0"/>
        <w:rPr>
          <w:b/>
          <w:sz w:val="24"/>
          <w:szCs w:val="24"/>
        </w:rPr>
      </w:pPr>
    </w:p>
    <w:p w:rsidR="006701D4" w:rsidRDefault="006701D4" w:rsidP="00FE6955">
      <w:pPr>
        <w:tabs>
          <w:tab w:val="left" w:pos="3585"/>
        </w:tabs>
        <w:ind w:firstLine="0"/>
        <w:rPr>
          <w:b/>
          <w:sz w:val="24"/>
          <w:szCs w:val="24"/>
        </w:rPr>
      </w:pPr>
    </w:p>
    <w:p w:rsidR="006701D4" w:rsidRDefault="006701D4" w:rsidP="00FE6955">
      <w:pPr>
        <w:tabs>
          <w:tab w:val="left" w:pos="3585"/>
        </w:tabs>
        <w:ind w:firstLine="0"/>
        <w:rPr>
          <w:b/>
          <w:sz w:val="24"/>
          <w:szCs w:val="24"/>
        </w:rPr>
      </w:pPr>
    </w:p>
    <w:p w:rsidR="006701D4" w:rsidRDefault="006701D4" w:rsidP="00FE6955">
      <w:pPr>
        <w:tabs>
          <w:tab w:val="left" w:pos="3585"/>
        </w:tabs>
        <w:ind w:firstLine="0"/>
        <w:rPr>
          <w:b/>
          <w:sz w:val="24"/>
          <w:szCs w:val="24"/>
        </w:rPr>
      </w:pPr>
    </w:p>
    <w:p w:rsidR="006701D4" w:rsidRDefault="006701D4" w:rsidP="00FE6955">
      <w:pPr>
        <w:tabs>
          <w:tab w:val="left" w:pos="3585"/>
        </w:tabs>
        <w:ind w:firstLine="0"/>
        <w:rPr>
          <w:b/>
          <w:sz w:val="24"/>
          <w:szCs w:val="24"/>
        </w:rPr>
      </w:pPr>
    </w:p>
    <w:p w:rsidR="006701D4" w:rsidRDefault="006701D4" w:rsidP="00FE6955">
      <w:pPr>
        <w:tabs>
          <w:tab w:val="left" w:pos="3585"/>
        </w:tabs>
        <w:ind w:firstLine="0"/>
        <w:rPr>
          <w:b/>
          <w:sz w:val="24"/>
          <w:szCs w:val="24"/>
        </w:rPr>
      </w:pPr>
    </w:p>
    <w:p w:rsidR="006701D4" w:rsidRDefault="006701D4" w:rsidP="00FE6955">
      <w:pPr>
        <w:tabs>
          <w:tab w:val="left" w:pos="3585"/>
        </w:tabs>
        <w:ind w:firstLine="0"/>
        <w:rPr>
          <w:b/>
          <w:sz w:val="24"/>
          <w:szCs w:val="24"/>
        </w:rPr>
      </w:pPr>
    </w:p>
    <w:p w:rsidR="006701D4" w:rsidRDefault="006701D4" w:rsidP="00FE6955">
      <w:pPr>
        <w:tabs>
          <w:tab w:val="left" w:pos="3585"/>
        </w:tabs>
        <w:ind w:firstLine="0"/>
        <w:rPr>
          <w:b/>
          <w:sz w:val="24"/>
          <w:szCs w:val="24"/>
        </w:rPr>
      </w:pPr>
    </w:p>
    <w:p w:rsidR="006701D4" w:rsidRDefault="006701D4" w:rsidP="00FE6955">
      <w:pPr>
        <w:tabs>
          <w:tab w:val="left" w:pos="3585"/>
        </w:tabs>
        <w:ind w:firstLine="0"/>
        <w:rPr>
          <w:b/>
          <w:sz w:val="24"/>
          <w:szCs w:val="24"/>
        </w:rPr>
      </w:pPr>
    </w:p>
    <w:p w:rsidR="006701D4" w:rsidRDefault="006701D4" w:rsidP="00FE6955">
      <w:pPr>
        <w:tabs>
          <w:tab w:val="left" w:pos="3585"/>
        </w:tabs>
        <w:ind w:firstLine="0"/>
        <w:rPr>
          <w:b/>
          <w:sz w:val="24"/>
          <w:szCs w:val="24"/>
        </w:rPr>
      </w:pPr>
    </w:p>
    <w:p w:rsidR="006701D4" w:rsidRDefault="006701D4" w:rsidP="00FE6955">
      <w:pPr>
        <w:tabs>
          <w:tab w:val="left" w:pos="3585"/>
        </w:tabs>
        <w:ind w:firstLine="0"/>
        <w:rPr>
          <w:b/>
          <w:sz w:val="24"/>
          <w:szCs w:val="24"/>
        </w:rPr>
      </w:pPr>
    </w:p>
    <w:p w:rsidR="00FB6983" w:rsidRDefault="00FB6983" w:rsidP="006701D4">
      <w:pPr>
        <w:ind w:firstLine="0"/>
        <w:rPr>
          <w:b/>
          <w:sz w:val="24"/>
          <w:szCs w:val="24"/>
        </w:rPr>
      </w:pPr>
    </w:p>
    <w:p w:rsidR="00171D86" w:rsidRDefault="00FB6983" w:rsidP="006701D4">
      <w:pPr>
        <w:ind w:firstLine="0"/>
        <w:rPr>
          <w:b/>
          <w:sz w:val="24"/>
          <w:szCs w:val="24"/>
        </w:rPr>
      </w:pPr>
      <w:r>
        <w:rPr>
          <w:b/>
          <w:sz w:val="24"/>
          <w:szCs w:val="24"/>
        </w:rPr>
        <w:t xml:space="preserve">                         </w:t>
      </w:r>
      <w:r w:rsidR="006701D4">
        <w:rPr>
          <w:b/>
          <w:sz w:val="24"/>
          <w:szCs w:val="24"/>
        </w:rPr>
        <w:t xml:space="preserve"> </w:t>
      </w:r>
    </w:p>
    <w:p w:rsidR="00171D86" w:rsidRDefault="00171D86" w:rsidP="006701D4">
      <w:pPr>
        <w:ind w:firstLine="0"/>
        <w:rPr>
          <w:b/>
          <w:sz w:val="24"/>
          <w:szCs w:val="24"/>
        </w:rPr>
      </w:pPr>
    </w:p>
    <w:p w:rsidR="006701D4" w:rsidRDefault="00171D86" w:rsidP="006701D4">
      <w:pPr>
        <w:ind w:firstLine="0"/>
      </w:pPr>
      <w:r>
        <w:rPr>
          <w:b/>
          <w:sz w:val="24"/>
          <w:szCs w:val="24"/>
        </w:rPr>
        <w:t xml:space="preserve">                         </w:t>
      </w:r>
      <w:r w:rsidR="006701D4" w:rsidRPr="00E92012">
        <w:t xml:space="preserve">Šaltinis: </w:t>
      </w:r>
      <w:r w:rsidR="006701D4">
        <w:t>sudaryta pagal Eurostat duomeni</w:t>
      </w:r>
      <w:r w:rsidR="006701D4" w:rsidRPr="00E92012">
        <w:t>s</w:t>
      </w:r>
    </w:p>
    <w:p w:rsidR="006701D4" w:rsidRDefault="006701D4" w:rsidP="006701D4">
      <w:pPr>
        <w:ind w:firstLine="0"/>
      </w:pPr>
    </w:p>
    <w:p w:rsidR="00FB6983" w:rsidRDefault="00FB6983" w:rsidP="006701D4">
      <w:pPr>
        <w:tabs>
          <w:tab w:val="left" w:pos="7470"/>
        </w:tabs>
        <w:jc w:val="center"/>
        <w:rPr>
          <w:sz w:val="24"/>
          <w:szCs w:val="24"/>
        </w:rPr>
      </w:pPr>
    </w:p>
    <w:p w:rsidR="006701D4" w:rsidRPr="006701D4" w:rsidRDefault="006701D4" w:rsidP="006701D4">
      <w:pPr>
        <w:tabs>
          <w:tab w:val="left" w:pos="7470"/>
        </w:tabs>
        <w:jc w:val="center"/>
        <w:rPr>
          <w:sz w:val="24"/>
          <w:szCs w:val="24"/>
        </w:rPr>
      </w:pPr>
      <w:r w:rsidRPr="006701D4">
        <w:rPr>
          <w:sz w:val="24"/>
          <w:szCs w:val="24"/>
        </w:rPr>
        <w:t>2 lentelė. Baltijos šalių eksportas ir jo pokyčiai</w:t>
      </w:r>
    </w:p>
    <w:p w:rsidR="006701D4" w:rsidRPr="003A2A72" w:rsidRDefault="006701D4" w:rsidP="006701D4">
      <w:pPr>
        <w:ind w:firstLine="0"/>
      </w:pPr>
    </w:p>
    <w:p w:rsidR="006701D4" w:rsidRDefault="006701D4" w:rsidP="00FB6983">
      <w:pPr>
        <w:tabs>
          <w:tab w:val="left" w:pos="4035"/>
        </w:tabs>
        <w:jc w:val="center"/>
      </w:pPr>
      <w:r w:rsidRPr="00F9033A">
        <w:rPr>
          <w:b/>
          <w:sz w:val="24"/>
          <w:szCs w:val="24"/>
        </w:rPr>
        <w:object w:dxaOrig="8041" w:dyaOrig="5469">
          <v:shape id="_x0000_i1026" type="#_x0000_t75" style="width:402pt;height:273.75pt" o:ole="">
            <v:imagedata r:id="rId88" o:title=""/>
          </v:shape>
          <o:OLEObject Type="Embed" ProgID="Word.Document.12" ShapeID="_x0000_i1026" DrawAspect="Content" ObjectID="_1450712726" r:id="rId89">
            <o:FieldCodes>\s</o:FieldCodes>
          </o:OLEObject>
        </w:object>
      </w:r>
    </w:p>
    <w:p w:rsidR="006701D4" w:rsidRDefault="00FB6983" w:rsidP="00FB6983">
      <w:pPr>
        <w:tabs>
          <w:tab w:val="left" w:pos="4035"/>
        </w:tabs>
        <w:ind w:firstLine="0"/>
      </w:pPr>
      <w:r>
        <w:t xml:space="preserve">                                  </w:t>
      </w:r>
      <w:r w:rsidR="006701D4">
        <w:t xml:space="preserve"> </w:t>
      </w:r>
      <w:r w:rsidR="006701D4" w:rsidRPr="004A022F">
        <w:t>Šaltinis: sudaryta pagal Eurostat duomenis ir autorės skaičiavimus</w:t>
      </w:r>
    </w:p>
    <w:p w:rsidR="006701D4" w:rsidRDefault="006701D4" w:rsidP="006701D4">
      <w:pPr>
        <w:tabs>
          <w:tab w:val="left" w:pos="4035"/>
        </w:tabs>
      </w:pPr>
    </w:p>
    <w:p w:rsidR="006701D4" w:rsidRDefault="006701D4" w:rsidP="006701D4">
      <w:pPr>
        <w:tabs>
          <w:tab w:val="left" w:pos="4035"/>
        </w:tabs>
      </w:pPr>
    </w:p>
    <w:p w:rsidR="006701D4" w:rsidRDefault="006701D4" w:rsidP="006701D4">
      <w:pPr>
        <w:tabs>
          <w:tab w:val="left" w:pos="7470"/>
        </w:tabs>
        <w:jc w:val="center"/>
        <w:rPr>
          <w:sz w:val="24"/>
          <w:szCs w:val="24"/>
        </w:rPr>
      </w:pPr>
      <w:r w:rsidRPr="006701D4">
        <w:rPr>
          <w:sz w:val="24"/>
          <w:szCs w:val="24"/>
        </w:rPr>
        <w:t>3 lentelė. Baltijos šalių biudžeto deficitas/perteklius, mln. Eur.</w:t>
      </w:r>
    </w:p>
    <w:p w:rsidR="006701D4" w:rsidRDefault="006701D4" w:rsidP="006701D4">
      <w:pPr>
        <w:tabs>
          <w:tab w:val="left" w:pos="7470"/>
        </w:tabs>
        <w:jc w:val="center"/>
        <w:rPr>
          <w:sz w:val="24"/>
          <w:szCs w:val="24"/>
        </w:rPr>
      </w:pPr>
    </w:p>
    <w:tbl>
      <w:tblPr>
        <w:tblW w:w="6241" w:type="dxa"/>
        <w:jc w:val="center"/>
        <w:tblInd w:w="-1005" w:type="dxa"/>
        <w:tblLook w:val="04A0"/>
      </w:tblPr>
      <w:tblGrid>
        <w:gridCol w:w="1714"/>
        <w:gridCol w:w="1626"/>
        <w:gridCol w:w="1428"/>
        <w:gridCol w:w="1473"/>
      </w:tblGrid>
      <w:tr w:rsidR="006701D4" w:rsidRPr="00E82F72" w:rsidTr="006701D4">
        <w:trPr>
          <w:trHeight w:val="255"/>
          <w:jc w:val="center"/>
        </w:trPr>
        <w:tc>
          <w:tcPr>
            <w:tcW w:w="17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01D4" w:rsidRPr="00E92012" w:rsidRDefault="006701D4" w:rsidP="00A305E9">
            <w:r w:rsidRPr="00E92012">
              <w:t> </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rsidR="006701D4" w:rsidRPr="00E92012" w:rsidRDefault="006701D4" w:rsidP="00A305E9">
            <w:r w:rsidRPr="00E92012">
              <w:t>Lietuva</w:t>
            </w:r>
          </w:p>
        </w:tc>
        <w:tc>
          <w:tcPr>
            <w:tcW w:w="1428" w:type="dxa"/>
            <w:tcBorders>
              <w:top w:val="single" w:sz="4" w:space="0" w:color="auto"/>
              <w:left w:val="nil"/>
              <w:bottom w:val="single" w:sz="4" w:space="0" w:color="auto"/>
              <w:right w:val="single" w:sz="4" w:space="0" w:color="auto"/>
            </w:tcBorders>
            <w:shd w:val="clear" w:color="auto" w:fill="auto"/>
            <w:noWrap/>
            <w:vAlign w:val="bottom"/>
            <w:hideMark/>
          </w:tcPr>
          <w:p w:rsidR="006701D4" w:rsidRPr="00E92012" w:rsidRDefault="006701D4" w:rsidP="00A305E9">
            <w:r w:rsidRPr="00E92012">
              <w:t>Latvija</w:t>
            </w:r>
          </w:p>
        </w:tc>
        <w:tc>
          <w:tcPr>
            <w:tcW w:w="1473" w:type="dxa"/>
            <w:tcBorders>
              <w:top w:val="single" w:sz="4" w:space="0" w:color="auto"/>
              <w:left w:val="nil"/>
              <w:bottom w:val="single" w:sz="4" w:space="0" w:color="auto"/>
              <w:right w:val="single" w:sz="4" w:space="0" w:color="auto"/>
            </w:tcBorders>
            <w:shd w:val="clear" w:color="auto" w:fill="auto"/>
            <w:noWrap/>
            <w:vAlign w:val="bottom"/>
            <w:hideMark/>
          </w:tcPr>
          <w:p w:rsidR="006701D4" w:rsidRPr="00E92012" w:rsidRDefault="006701D4" w:rsidP="00A305E9">
            <w:r w:rsidRPr="00E92012">
              <w:t>Estija</w:t>
            </w:r>
          </w:p>
        </w:tc>
      </w:tr>
      <w:tr w:rsidR="006701D4" w:rsidRPr="00E82F72" w:rsidTr="006701D4">
        <w:trPr>
          <w:trHeight w:val="255"/>
          <w:jc w:val="center"/>
        </w:trPr>
        <w:tc>
          <w:tcPr>
            <w:tcW w:w="1714" w:type="dxa"/>
            <w:tcBorders>
              <w:top w:val="nil"/>
              <w:left w:val="single" w:sz="4" w:space="0" w:color="auto"/>
              <w:bottom w:val="single" w:sz="4" w:space="0" w:color="auto"/>
              <w:right w:val="single" w:sz="4" w:space="0" w:color="auto"/>
            </w:tcBorders>
            <w:shd w:val="clear" w:color="auto" w:fill="auto"/>
            <w:noWrap/>
            <w:vAlign w:val="bottom"/>
            <w:hideMark/>
          </w:tcPr>
          <w:p w:rsidR="006701D4" w:rsidRPr="00E92012" w:rsidRDefault="006701D4" w:rsidP="00A305E9">
            <w:pPr>
              <w:jc w:val="right"/>
            </w:pPr>
            <w:r w:rsidRPr="00E92012">
              <w:t>2001</w:t>
            </w:r>
          </w:p>
        </w:tc>
        <w:tc>
          <w:tcPr>
            <w:tcW w:w="1626" w:type="dxa"/>
            <w:tcBorders>
              <w:top w:val="nil"/>
              <w:left w:val="nil"/>
              <w:bottom w:val="single" w:sz="4" w:space="0" w:color="auto"/>
              <w:right w:val="single" w:sz="4" w:space="0" w:color="auto"/>
            </w:tcBorders>
            <w:shd w:val="clear" w:color="auto" w:fill="auto"/>
            <w:noWrap/>
            <w:vAlign w:val="bottom"/>
            <w:hideMark/>
          </w:tcPr>
          <w:p w:rsidR="006701D4" w:rsidRPr="00E92012" w:rsidRDefault="006701D4" w:rsidP="00A305E9">
            <w:pPr>
              <w:jc w:val="right"/>
            </w:pPr>
            <w:r w:rsidRPr="00E92012">
              <w:t>-482,5</w:t>
            </w:r>
          </w:p>
        </w:tc>
        <w:tc>
          <w:tcPr>
            <w:tcW w:w="1428" w:type="dxa"/>
            <w:tcBorders>
              <w:top w:val="nil"/>
              <w:left w:val="nil"/>
              <w:bottom w:val="single" w:sz="4" w:space="0" w:color="auto"/>
              <w:right w:val="single" w:sz="4" w:space="0" w:color="auto"/>
            </w:tcBorders>
            <w:shd w:val="clear" w:color="auto" w:fill="auto"/>
            <w:noWrap/>
            <w:vAlign w:val="bottom"/>
            <w:hideMark/>
          </w:tcPr>
          <w:p w:rsidR="006701D4" w:rsidRPr="00E92012" w:rsidRDefault="006701D4" w:rsidP="00A305E9">
            <w:pPr>
              <w:jc w:val="right"/>
            </w:pPr>
            <w:r w:rsidRPr="00E92012">
              <w:t>-180,7</w:t>
            </w:r>
          </w:p>
        </w:tc>
        <w:tc>
          <w:tcPr>
            <w:tcW w:w="1473" w:type="dxa"/>
            <w:tcBorders>
              <w:top w:val="nil"/>
              <w:left w:val="nil"/>
              <w:bottom w:val="single" w:sz="4" w:space="0" w:color="auto"/>
              <w:right w:val="single" w:sz="4" w:space="0" w:color="auto"/>
            </w:tcBorders>
            <w:shd w:val="clear" w:color="auto" w:fill="auto"/>
            <w:noWrap/>
            <w:vAlign w:val="bottom"/>
            <w:hideMark/>
          </w:tcPr>
          <w:p w:rsidR="006701D4" w:rsidRPr="00E92012" w:rsidRDefault="006701D4" w:rsidP="00A305E9">
            <w:pPr>
              <w:jc w:val="right"/>
            </w:pPr>
            <w:r w:rsidRPr="00E92012">
              <w:t>-4,4</w:t>
            </w:r>
          </w:p>
        </w:tc>
      </w:tr>
      <w:tr w:rsidR="006701D4" w:rsidRPr="00E82F72" w:rsidTr="006701D4">
        <w:trPr>
          <w:trHeight w:val="255"/>
          <w:jc w:val="center"/>
        </w:trPr>
        <w:tc>
          <w:tcPr>
            <w:tcW w:w="1714" w:type="dxa"/>
            <w:tcBorders>
              <w:top w:val="nil"/>
              <w:left w:val="single" w:sz="4" w:space="0" w:color="auto"/>
              <w:bottom w:val="single" w:sz="4" w:space="0" w:color="auto"/>
              <w:right w:val="single" w:sz="4" w:space="0" w:color="auto"/>
            </w:tcBorders>
            <w:shd w:val="clear" w:color="auto" w:fill="auto"/>
            <w:noWrap/>
            <w:vAlign w:val="bottom"/>
            <w:hideMark/>
          </w:tcPr>
          <w:p w:rsidR="006701D4" w:rsidRPr="00E92012" w:rsidRDefault="006701D4" w:rsidP="00A305E9">
            <w:pPr>
              <w:jc w:val="right"/>
            </w:pPr>
            <w:r w:rsidRPr="00E92012">
              <w:t>2002</w:t>
            </w:r>
          </w:p>
        </w:tc>
        <w:tc>
          <w:tcPr>
            <w:tcW w:w="1626" w:type="dxa"/>
            <w:tcBorders>
              <w:top w:val="nil"/>
              <w:left w:val="nil"/>
              <w:bottom w:val="single" w:sz="4" w:space="0" w:color="auto"/>
              <w:right w:val="single" w:sz="4" w:space="0" w:color="auto"/>
            </w:tcBorders>
            <w:shd w:val="clear" w:color="auto" w:fill="auto"/>
            <w:noWrap/>
            <w:vAlign w:val="bottom"/>
            <w:hideMark/>
          </w:tcPr>
          <w:p w:rsidR="006701D4" w:rsidRPr="00E92012" w:rsidRDefault="006701D4" w:rsidP="00A305E9">
            <w:pPr>
              <w:jc w:val="right"/>
            </w:pPr>
            <w:r w:rsidRPr="00E92012">
              <w:t>-281,5</w:t>
            </w:r>
          </w:p>
        </w:tc>
        <w:tc>
          <w:tcPr>
            <w:tcW w:w="1428" w:type="dxa"/>
            <w:tcBorders>
              <w:top w:val="nil"/>
              <w:left w:val="nil"/>
              <w:bottom w:val="single" w:sz="4" w:space="0" w:color="auto"/>
              <w:right w:val="single" w:sz="4" w:space="0" w:color="auto"/>
            </w:tcBorders>
            <w:shd w:val="clear" w:color="auto" w:fill="auto"/>
            <w:noWrap/>
            <w:vAlign w:val="bottom"/>
            <w:hideMark/>
          </w:tcPr>
          <w:p w:rsidR="006701D4" w:rsidRPr="00E92012" w:rsidRDefault="006701D4" w:rsidP="00A305E9">
            <w:pPr>
              <w:jc w:val="right"/>
            </w:pPr>
            <w:r w:rsidRPr="00E92012">
              <w:t>-225</w:t>
            </w:r>
          </w:p>
        </w:tc>
        <w:tc>
          <w:tcPr>
            <w:tcW w:w="1473" w:type="dxa"/>
            <w:tcBorders>
              <w:top w:val="nil"/>
              <w:left w:val="nil"/>
              <w:bottom w:val="single" w:sz="4" w:space="0" w:color="auto"/>
              <w:right w:val="single" w:sz="4" w:space="0" w:color="auto"/>
            </w:tcBorders>
            <w:shd w:val="clear" w:color="auto" w:fill="auto"/>
            <w:noWrap/>
            <w:vAlign w:val="bottom"/>
            <w:hideMark/>
          </w:tcPr>
          <w:p w:rsidR="006701D4" w:rsidRPr="00E92012" w:rsidRDefault="006701D4" w:rsidP="00A305E9">
            <w:pPr>
              <w:jc w:val="right"/>
            </w:pPr>
            <w:r w:rsidRPr="00E92012">
              <w:t>20,8</w:t>
            </w:r>
          </w:p>
        </w:tc>
      </w:tr>
      <w:tr w:rsidR="006701D4" w:rsidRPr="00E82F72" w:rsidTr="006701D4">
        <w:trPr>
          <w:trHeight w:val="255"/>
          <w:jc w:val="center"/>
        </w:trPr>
        <w:tc>
          <w:tcPr>
            <w:tcW w:w="1714" w:type="dxa"/>
            <w:tcBorders>
              <w:top w:val="nil"/>
              <w:left w:val="single" w:sz="4" w:space="0" w:color="auto"/>
              <w:bottom w:val="single" w:sz="4" w:space="0" w:color="auto"/>
              <w:right w:val="single" w:sz="4" w:space="0" w:color="auto"/>
            </w:tcBorders>
            <w:shd w:val="clear" w:color="auto" w:fill="auto"/>
            <w:noWrap/>
            <w:vAlign w:val="bottom"/>
            <w:hideMark/>
          </w:tcPr>
          <w:p w:rsidR="006701D4" w:rsidRPr="00E92012" w:rsidRDefault="006701D4" w:rsidP="00A305E9">
            <w:pPr>
              <w:jc w:val="right"/>
            </w:pPr>
            <w:r w:rsidRPr="00E92012">
              <w:t>2003</w:t>
            </w:r>
          </w:p>
        </w:tc>
        <w:tc>
          <w:tcPr>
            <w:tcW w:w="1626" w:type="dxa"/>
            <w:tcBorders>
              <w:top w:val="nil"/>
              <w:left w:val="nil"/>
              <w:bottom w:val="single" w:sz="4" w:space="0" w:color="auto"/>
              <w:right w:val="single" w:sz="4" w:space="0" w:color="auto"/>
            </w:tcBorders>
            <w:shd w:val="clear" w:color="auto" w:fill="auto"/>
            <w:noWrap/>
            <w:vAlign w:val="bottom"/>
            <w:hideMark/>
          </w:tcPr>
          <w:p w:rsidR="006701D4" w:rsidRPr="00E92012" w:rsidRDefault="006701D4" w:rsidP="00A305E9">
            <w:pPr>
              <w:jc w:val="right"/>
            </w:pPr>
            <w:r w:rsidRPr="00E92012">
              <w:t>-210,7</w:t>
            </w:r>
          </w:p>
        </w:tc>
        <w:tc>
          <w:tcPr>
            <w:tcW w:w="1428" w:type="dxa"/>
            <w:tcBorders>
              <w:top w:val="nil"/>
              <w:left w:val="nil"/>
              <w:bottom w:val="single" w:sz="4" w:space="0" w:color="auto"/>
              <w:right w:val="single" w:sz="4" w:space="0" w:color="auto"/>
            </w:tcBorders>
            <w:shd w:val="clear" w:color="auto" w:fill="auto"/>
            <w:noWrap/>
            <w:vAlign w:val="bottom"/>
            <w:hideMark/>
          </w:tcPr>
          <w:p w:rsidR="006701D4" w:rsidRPr="00E92012" w:rsidRDefault="006701D4" w:rsidP="00A305E9">
            <w:pPr>
              <w:jc w:val="right"/>
            </w:pPr>
            <w:r w:rsidRPr="00E92012">
              <w:t>-161,5</w:t>
            </w:r>
          </w:p>
        </w:tc>
        <w:tc>
          <w:tcPr>
            <w:tcW w:w="1473" w:type="dxa"/>
            <w:tcBorders>
              <w:top w:val="nil"/>
              <w:left w:val="nil"/>
              <w:bottom w:val="single" w:sz="4" w:space="0" w:color="auto"/>
              <w:right w:val="single" w:sz="4" w:space="0" w:color="auto"/>
            </w:tcBorders>
            <w:shd w:val="clear" w:color="auto" w:fill="auto"/>
            <w:noWrap/>
            <w:vAlign w:val="bottom"/>
            <w:hideMark/>
          </w:tcPr>
          <w:p w:rsidR="006701D4" w:rsidRPr="00E92012" w:rsidRDefault="006701D4" w:rsidP="00A305E9">
            <w:pPr>
              <w:jc w:val="right"/>
            </w:pPr>
            <w:r w:rsidRPr="00E92012">
              <w:t>145,7</w:t>
            </w:r>
          </w:p>
        </w:tc>
      </w:tr>
      <w:tr w:rsidR="006701D4" w:rsidRPr="00E82F72" w:rsidTr="006701D4">
        <w:trPr>
          <w:trHeight w:val="255"/>
          <w:jc w:val="center"/>
        </w:trPr>
        <w:tc>
          <w:tcPr>
            <w:tcW w:w="1714" w:type="dxa"/>
            <w:tcBorders>
              <w:top w:val="nil"/>
              <w:left w:val="single" w:sz="4" w:space="0" w:color="auto"/>
              <w:bottom w:val="single" w:sz="4" w:space="0" w:color="auto"/>
              <w:right w:val="single" w:sz="4" w:space="0" w:color="auto"/>
            </w:tcBorders>
            <w:shd w:val="clear" w:color="auto" w:fill="auto"/>
            <w:noWrap/>
            <w:vAlign w:val="bottom"/>
            <w:hideMark/>
          </w:tcPr>
          <w:p w:rsidR="006701D4" w:rsidRPr="00E92012" w:rsidRDefault="006701D4" w:rsidP="00A305E9">
            <w:pPr>
              <w:jc w:val="right"/>
            </w:pPr>
            <w:r w:rsidRPr="00E92012">
              <w:t>2004</w:t>
            </w:r>
          </w:p>
        </w:tc>
        <w:tc>
          <w:tcPr>
            <w:tcW w:w="1626" w:type="dxa"/>
            <w:tcBorders>
              <w:top w:val="nil"/>
              <w:left w:val="nil"/>
              <w:bottom w:val="single" w:sz="4" w:space="0" w:color="auto"/>
              <w:right w:val="single" w:sz="4" w:space="0" w:color="auto"/>
            </w:tcBorders>
            <w:shd w:val="clear" w:color="auto" w:fill="auto"/>
            <w:noWrap/>
            <w:vAlign w:val="bottom"/>
            <w:hideMark/>
          </w:tcPr>
          <w:p w:rsidR="006701D4" w:rsidRPr="00E92012" w:rsidRDefault="006701D4" w:rsidP="00A305E9">
            <w:pPr>
              <w:jc w:val="right"/>
            </w:pPr>
            <w:r w:rsidRPr="00E92012">
              <w:t>-279</w:t>
            </w:r>
          </w:p>
        </w:tc>
        <w:tc>
          <w:tcPr>
            <w:tcW w:w="1428" w:type="dxa"/>
            <w:tcBorders>
              <w:top w:val="nil"/>
              <w:left w:val="nil"/>
              <w:bottom w:val="single" w:sz="4" w:space="0" w:color="auto"/>
              <w:right w:val="single" w:sz="4" w:space="0" w:color="auto"/>
            </w:tcBorders>
            <w:shd w:val="clear" w:color="auto" w:fill="auto"/>
            <w:noWrap/>
            <w:vAlign w:val="bottom"/>
            <w:hideMark/>
          </w:tcPr>
          <w:p w:rsidR="006701D4" w:rsidRPr="00E92012" w:rsidRDefault="006701D4" w:rsidP="00A305E9">
            <w:pPr>
              <w:jc w:val="right"/>
            </w:pPr>
            <w:r w:rsidRPr="00E92012">
              <w:t>-115</w:t>
            </w:r>
          </w:p>
        </w:tc>
        <w:tc>
          <w:tcPr>
            <w:tcW w:w="1473" w:type="dxa"/>
            <w:tcBorders>
              <w:top w:val="nil"/>
              <w:left w:val="nil"/>
              <w:bottom w:val="single" w:sz="4" w:space="0" w:color="auto"/>
              <w:right w:val="single" w:sz="4" w:space="0" w:color="auto"/>
            </w:tcBorders>
            <w:shd w:val="clear" w:color="auto" w:fill="auto"/>
            <w:noWrap/>
            <w:vAlign w:val="bottom"/>
            <w:hideMark/>
          </w:tcPr>
          <w:p w:rsidR="006701D4" w:rsidRPr="00E92012" w:rsidRDefault="006701D4" w:rsidP="00A305E9">
            <w:pPr>
              <w:jc w:val="right"/>
            </w:pPr>
            <w:r w:rsidRPr="00E92012">
              <w:t>159,7</w:t>
            </w:r>
          </w:p>
        </w:tc>
      </w:tr>
      <w:tr w:rsidR="006701D4" w:rsidRPr="00E82F72" w:rsidTr="006701D4">
        <w:trPr>
          <w:trHeight w:val="255"/>
          <w:jc w:val="center"/>
        </w:trPr>
        <w:tc>
          <w:tcPr>
            <w:tcW w:w="1714" w:type="dxa"/>
            <w:tcBorders>
              <w:top w:val="nil"/>
              <w:left w:val="single" w:sz="4" w:space="0" w:color="auto"/>
              <w:bottom w:val="single" w:sz="4" w:space="0" w:color="auto"/>
              <w:right w:val="single" w:sz="4" w:space="0" w:color="auto"/>
            </w:tcBorders>
            <w:shd w:val="clear" w:color="auto" w:fill="auto"/>
            <w:noWrap/>
            <w:vAlign w:val="bottom"/>
            <w:hideMark/>
          </w:tcPr>
          <w:p w:rsidR="006701D4" w:rsidRPr="00E92012" w:rsidRDefault="006701D4" w:rsidP="00A305E9">
            <w:pPr>
              <w:jc w:val="right"/>
            </w:pPr>
            <w:r w:rsidRPr="00E92012">
              <w:t>2005</w:t>
            </w:r>
          </w:p>
        </w:tc>
        <w:tc>
          <w:tcPr>
            <w:tcW w:w="1626" w:type="dxa"/>
            <w:tcBorders>
              <w:top w:val="nil"/>
              <w:left w:val="nil"/>
              <w:bottom w:val="single" w:sz="4" w:space="0" w:color="auto"/>
              <w:right w:val="single" w:sz="4" w:space="0" w:color="auto"/>
            </w:tcBorders>
            <w:shd w:val="clear" w:color="auto" w:fill="auto"/>
            <w:noWrap/>
            <w:vAlign w:val="bottom"/>
            <w:hideMark/>
          </w:tcPr>
          <w:p w:rsidR="006701D4" w:rsidRPr="00E92012" w:rsidRDefault="006701D4" w:rsidP="00A305E9">
            <w:pPr>
              <w:jc w:val="right"/>
            </w:pPr>
            <w:r w:rsidRPr="00E92012">
              <w:t>-104,8</w:t>
            </w:r>
          </w:p>
        </w:tc>
        <w:tc>
          <w:tcPr>
            <w:tcW w:w="1428" w:type="dxa"/>
            <w:tcBorders>
              <w:top w:val="nil"/>
              <w:left w:val="nil"/>
              <w:bottom w:val="single" w:sz="4" w:space="0" w:color="auto"/>
              <w:right w:val="single" w:sz="4" w:space="0" w:color="auto"/>
            </w:tcBorders>
            <w:shd w:val="clear" w:color="auto" w:fill="auto"/>
            <w:noWrap/>
            <w:vAlign w:val="bottom"/>
            <w:hideMark/>
          </w:tcPr>
          <w:p w:rsidR="006701D4" w:rsidRPr="00E92012" w:rsidRDefault="006701D4" w:rsidP="00A305E9">
            <w:pPr>
              <w:jc w:val="right"/>
            </w:pPr>
            <w:r w:rsidRPr="00E92012">
              <w:t>-51</w:t>
            </w:r>
          </w:p>
        </w:tc>
        <w:tc>
          <w:tcPr>
            <w:tcW w:w="1473" w:type="dxa"/>
            <w:tcBorders>
              <w:top w:val="nil"/>
              <w:left w:val="nil"/>
              <w:bottom w:val="single" w:sz="4" w:space="0" w:color="auto"/>
              <w:right w:val="single" w:sz="4" w:space="0" w:color="auto"/>
            </w:tcBorders>
            <w:shd w:val="clear" w:color="auto" w:fill="auto"/>
            <w:noWrap/>
            <w:vAlign w:val="bottom"/>
            <w:hideMark/>
          </w:tcPr>
          <w:p w:rsidR="006701D4" w:rsidRPr="00E92012" w:rsidRDefault="006701D4" w:rsidP="00A305E9">
            <w:pPr>
              <w:jc w:val="right"/>
            </w:pPr>
            <w:r w:rsidRPr="00E92012">
              <w:t>180,2</w:t>
            </w:r>
          </w:p>
        </w:tc>
      </w:tr>
      <w:tr w:rsidR="006701D4" w:rsidRPr="00E82F72" w:rsidTr="006701D4">
        <w:trPr>
          <w:trHeight w:val="255"/>
          <w:jc w:val="center"/>
        </w:trPr>
        <w:tc>
          <w:tcPr>
            <w:tcW w:w="1714" w:type="dxa"/>
            <w:tcBorders>
              <w:top w:val="nil"/>
              <w:left w:val="single" w:sz="4" w:space="0" w:color="auto"/>
              <w:bottom w:val="single" w:sz="4" w:space="0" w:color="auto"/>
              <w:right w:val="single" w:sz="4" w:space="0" w:color="auto"/>
            </w:tcBorders>
            <w:shd w:val="clear" w:color="auto" w:fill="auto"/>
            <w:noWrap/>
            <w:vAlign w:val="bottom"/>
            <w:hideMark/>
          </w:tcPr>
          <w:p w:rsidR="006701D4" w:rsidRPr="00E92012" w:rsidRDefault="006701D4" w:rsidP="00A305E9">
            <w:pPr>
              <w:jc w:val="right"/>
            </w:pPr>
            <w:r w:rsidRPr="00E92012">
              <w:t>2006</w:t>
            </w:r>
          </w:p>
        </w:tc>
        <w:tc>
          <w:tcPr>
            <w:tcW w:w="1626" w:type="dxa"/>
            <w:tcBorders>
              <w:top w:val="nil"/>
              <w:left w:val="nil"/>
              <w:bottom w:val="single" w:sz="4" w:space="0" w:color="auto"/>
              <w:right w:val="single" w:sz="4" w:space="0" w:color="auto"/>
            </w:tcBorders>
            <w:shd w:val="clear" w:color="auto" w:fill="auto"/>
            <w:noWrap/>
            <w:vAlign w:val="bottom"/>
            <w:hideMark/>
          </w:tcPr>
          <w:p w:rsidR="006701D4" w:rsidRPr="00E92012" w:rsidRDefault="006701D4" w:rsidP="00A305E9">
            <w:pPr>
              <w:jc w:val="right"/>
            </w:pPr>
            <w:r w:rsidRPr="00E92012">
              <w:t>-107,5</w:t>
            </w:r>
          </w:p>
        </w:tc>
        <w:tc>
          <w:tcPr>
            <w:tcW w:w="1428" w:type="dxa"/>
            <w:tcBorders>
              <w:top w:val="nil"/>
              <w:left w:val="nil"/>
              <w:bottom w:val="single" w:sz="4" w:space="0" w:color="auto"/>
              <w:right w:val="single" w:sz="4" w:space="0" w:color="auto"/>
            </w:tcBorders>
            <w:shd w:val="clear" w:color="auto" w:fill="auto"/>
            <w:noWrap/>
            <w:vAlign w:val="bottom"/>
            <w:hideMark/>
          </w:tcPr>
          <w:p w:rsidR="006701D4" w:rsidRPr="00E92012" w:rsidRDefault="006701D4" w:rsidP="00A305E9">
            <w:pPr>
              <w:jc w:val="right"/>
            </w:pPr>
            <w:r w:rsidRPr="00E92012">
              <w:t>-77,4</w:t>
            </w:r>
          </w:p>
        </w:tc>
        <w:tc>
          <w:tcPr>
            <w:tcW w:w="1473" w:type="dxa"/>
            <w:tcBorders>
              <w:top w:val="nil"/>
              <w:left w:val="nil"/>
              <w:bottom w:val="single" w:sz="4" w:space="0" w:color="auto"/>
              <w:right w:val="single" w:sz="4" w:space="0" w:color="auto"/>
            </w:tcBorders>
            <w:shd w:val="clear" w:color="auto" w:fill="auto"/>
            <w:noWrap/>
            <w:vAlign w:val="bottom"/>
            <w:hideMark/>
          </w:tcPr>
          <w:p w:rsidR="006701D4" w:rsidRPr="00E92012" w:rsidRDefault="006701D4" w:rsidP="00A305E9">
            <w:pPr>
              <w:jc w:val="right"/>
            </w:pPr>
            <w:r w:rsidRPr="00E92012">
              <w:t>329,7</w:t>
            </w:r>
          </w:p>
        </w:tc>
      </w:tr>
      <w:tr w:rsidR="006701D4" w:rsidRPr="00E82F72" w:rsidTr="006701D4">
        <w:trPr>
          <w:trHeight w:val="255"/>
          <w:jc w:val="center"/>
        </w:trPr>
        <w:tc>
          <w:tcPr>
            <w:tcW w:w="1714" w:type="dxa"/>
            <w:tcBorders>
              <w:top w:val="nil"/>
              <w:left w:val="single" w:sz="4" w:space="0" w:color="auto"/>
              <w:bottom w:val="single" w:sz="4" w:space="0" w:color="auto"/>
              <w:right w:val="single" w:sz="4" w:space="0" w:color="auto"/>
            </w:tcBorders>
            <w:shd w:val="clear" w:color="auto" w:fill="auto"/>
            <w:noWrap/>
            <w:vAlign w:val="bottom"/>
            <w:hideMark/>
          </w:tcPr>
          <w:p w:rsidR="006701D4" w:rsidRPr="00E92012" w:rsidRDefault="006701D4" w:rsidP="00A305E9">
            <w:pPr>
              <w:jc w:val="right"/>
            </w:pPr>
            <w:r w:rsidRPr="00E92012">
              <w:t>2007</w:t>
            </w:r>
          </w:p>
        </w:tc>
        <w:tc>
          <w:tcPr>
            <w:tcW w:w="1626" w:type="dxa"/>
            <w:tcBorders>
              <w:top w:val="nil"/>
              <w:left w:val="nil"/>
              <w:bottom w:val="single" w:sz="4" w:space="0" w:color="auto"/>
              <w:right w:val="single" w:sz="4" w:space="0" w:color="auto"/>
            </w:tcBorders>
            <w:shd w:val="clear" w:color="auto" w:fill="auto"/>
            <w:noWrap/>
            <w:vAlign w:val="bottom"/>
            <w:hideMark/>
          </w:tcPr>
          <w:p w:rsidR="006701D4" w:rsidRPr="00E92012" w:rsidRDefault="006701D4" w:rsidP="00A305E9">
            <w:pPr>
              <w:jc w:val="right"/>
            </w:pPr>
            <w:r w:rsidRPr="00E92012">
              <w:t>-289,9</w:t>
            </w:r>
          </w:p>
        </w:tc>
        <w:tc>
          <w:tcPr>
            <w:tcW w:w="1428" w:type="dxa"/>
            <w:tcBorders>
              <w:top w:val="nil"/>
              <w:left w:val="nil"/>
              <w:bottom w:val="single" w:sz="4" w:space="0" w:color="auto"/>
              <w:right w:val="single" w:sz="4" w:space="0" w:color="auto"/>
            </w:tcBorders>
            <w:shd w:val="clear" w:color="auto" w:fill="auto"/>
            <w:noWrap/>
            <w:vAlign w:val="bottom"/>
            <w:hideMark/>
          </w:tcPr>
          <w:p w:rsidR="006701D4" w:rsidRPr="00E92012" w:rsidRDefault="006701D4" w:rsidP="00A305E9">
            <w:pPr>
              <w:jc w:val="right"/>
            </w:pPr>
            <w:r w:rsidRPr="00E92012">
              <w:t>-81,7</w:t>
            </w:r>
          </w:p>
        </w:tc>
        <w:tc>
          <w:tcPr>
            <w:tcW w:w="1473" w:type="dxa"/>
            <w:tcBorders>
              <w:top w:val="nil"/>
              <w:left w:val="nil"/>
              <w:bottom w:val="single" w:sz="4" w:space="0" w:color="auto"/>
              <w:right w:val="single" w:sz="4" w:space="0" w:color="auto"/>
            </w:tcBorders>
            <w:shd w:val="clear" w:color="auto" w:fill="auto"/>
            <w:noWrap/>
            <w:vAlign w:val="bottom"/>
            <w:hideMark/>
          </w:tcPr>
          <w:p w:rsidR="006701D4" w:rsidRPr="00E92012" w:rsidRDefault="006701D4" w:rsidP="00A305E9">
            <w:pPr>
              <w:jc w:val="right"/>
            </w:pPr>
            <w:r w:rsidRPr="00E92012">
              <w:t>383,6</w:t>
            </w:r>
          </w:p>
        </w:tc>
      </w:tr>
      <w:tr w:rsidR="006701D4" w:rsidRPr="00E82F72" w:rsidTr="006701D4">
        <w:trPr>
          <w:trHeight w:val="255"/>
          <w:jc w:val="center"/>
        </w:trPr>
        <w:tc>
          <w:tcPr>
            <w:tcW w:w="1714" w:type="dxa"/>
            <w:tcBorders>
              <w:top w:val="nil"/>
              <w:left w:val="single" w:sz="4" w:space="0" w:color="auto"/>
              <w:bottom w:val="single" w:sz="4" w:space="0" w:color="auto"/>
              <w:right w:val="single" w:sz="4" w:space="0" w:color="auto"/>
            </w:tcBorders>
            <w:shd w:val="clear" w:color="auto" w:fill="auto"/>
            <w:noWrap/>
            <w:vAlign w:val="bottom"/>
            <w:hideMark/>
          </w:tcPr>
          <w:p w:rsidR="006701D4" w:rsidRPr="00E92012" w:rsidRDefault="006701D4" w:rsidP="00A305E9">
            <w:pPr>
              <w:jc w:val="right"/>
            </w:pPr>
            <w:r w:rsidRPr="00E92012">
              <w:t>2008</w:t>
            </w:r>
          </w:p>
        </w:tc>
        <w:tc>
          <w:tcPr>
            <w:tcW w:w="1626" w:type="dxa"/>
            <w:tcBorders>
              <w:top w:val="nil"/>
              <w:left w:val="nil"/>
              <w:bottom w:val="single" w:sz="4" w:space="0" w:color="auto"/>
              <w:right w:val="single" w:sz="4" w:space="0" w:color="auto"/>
            </w:tcBorders>
            <w:shd w:val="clear" w:color="auto" w:fill="auto"/>
            <w:noWrap/>
            <w:vAlign w:val="bottom"/>
            <w:hideMark/>
          </w:tcPr>
          <w:p w:rsidR="006701D4" w:rsidRPr="00E92012" w:rsidRDefault="006701D4" w:rsidP="00A305E9">
            <w:pPr>
              <w:jc w:val="right"/>
            </w:pPr>
            <w:r w:rsidRPr="00E92012">
              <w:t>-1067,8</w:t>
            </w:r>
          </w:p>
        </w:tc>
        <w:tc>
          <w:tcPr>
            <w:tcW w:w="1428" w:type="dxa"/>
            <w:tcBorders>
              <w:top w:val="nil"/>
              <w:left w:val="nil"/>
              <w:bottom w:val="single" w:sz="4" w:space="0" w:color="auto"/>
              <w:right w:val="single" w:sz="4" w:space="0" w:color="auto"/>
            </w:tcBorders>
            <w:shd w:val="clear" w:color="auto" w:fill="auto"/>
            <w:noWrap/>
            <w:vAlign w:val="bottom"/>
            <w:hideMark/>
          </w:tcPr>
          <w:p w:rsidR="006701D4" w:rsidRPr="00E92012" w:rsidRDefault="006701D4" w:rsidP="00A305E9">
            <w:pPr>
              <w:jc w:val="right"/>
            </w:pPr>
            <w:r w:rsidRPr="00E92012">
              <w:t>-971,1</w:t>
            </w:r>
          </w:p>
        </w:tc>
        <w:tc>
          <w:tcPr>
            <w:tcW w:w="1473" w:type="dxa"/>
            <w:tcBorders>
              <w:top w:val="nil"/>
              <w:left w:val="nil"/>
              <w:bottom w:val="single" w:sz="4" w:space="0" w:color="auto"/>
              <w:right w:val="single" w:sz="4" w:space="0" w:color="auto"/>
            </w:tcBorders>
            <w:shd w:val="clear" w:color="auto" w:fill="auto"/>
            <w:noWrap/>
            <w:vAlign w:val="bottom"/>
            <w:hideMark/>
          </w:tcPr>
          <w:p w:rsidR="006701D4" w:rsidRPr="00E92012" w:rsidRDefault="006701D4" w:rsidP="00A305E9">
            <w:pPr>
              <w:jc w:val="right"/>
            </w:pPr>
            <w:r w:rsidRPr="00E92012">
              <w:t>-478,1</w:t>
            </w:r>
          </w:p>
        </w:tc>
      </w:tr>
      <w:tr w:rsidR="006701D4" w:rsidRPr="00E82F72" w:rsidTr="006701D4">
        <w:trPr>
          <w:trHeight w:val="255"/>
          <w:jc w:val="center"/>
        </w:trPr>
        <w:tc>
          <w:tcPr>
            <w:tcW w:w="1714" w:type="dxa"/>
            <w:tcBorders>
              <w:top w:val="nil"/>
              <w:left w:val="single" w:sz="4" w:space="0" w:color="auto"/>
              <w:bottom w:val="single" w:sz="4" w:space="0" w:color="auto"/>
              <w:right w:val="single" w:sz="4" w:space="0" w:color="auto"/>
            </w:tcBorders>
            <w:shd w:val="clear" w:color="auto" w:fill="auto"/>
            <w:noWrap/>
            <w:vAlign w:val="bottom"/>
            <w:hideMark/>
          </w:tcPr>
          <w:p w:rsidR="006701D4" w:rsidRPr="00E92012" w:rsidRDefault="006701D4" w:rsidP="00A305E9">
            <w:pPr>
              <w:jc w:val="right"/>
            </w:pPr>
            <w:r w:rsidRPr="00E92012">
              <w:t>2009</w:t>
            </w:r>
          </w:p>
        </w:tc>
        <w:tc>
          <w:tcPr>
            <w:tcW w:w="1626" w:type="dxa"/>
            <w:tcBorders>
              <w:top w:val="nil"/>
              <w:left w:val="nil"/>
              <w:bottom w:val="single" w:sz="4" w:space="0" w:color="auto"/>
              <w:right w:val="single" w:sz="4" w:space="0" w:color="auto"/>
            </w:tcBorders>
            <w:shd w:val="clear" w:color="auto" w:fill="auto"/>
            <w:noWrap/>
            <w:vAlign w:val="bottom"/>
            <w:hideMark/>
          </w:tcPr>
          <w:p w:rsidR="006701D4" w:rsidRPr="00E92012" w:rsidRDefault="006701D4" w:rsidP="00A305E9">
            <w:pPr>
              <w:jc w:val="right"/>
            </w:pPr>
            <w:r w:rsidRPr="00E92012">
              <w:t>-2514,5</w:t>
            </w:r>
          </w:p>
        </w:tc>
        <w:tc>
          <w:tcPr>
            <w:tcW w:w="1428" w:type="dxa"/>
            <w:tcBorders>
              <w:top w:val="nil"/>
              <w:left w:val="nil"/>
              <w:bottom w:val="single" w:sz="4" w:space="0" w:color="auto"/>
              <w:right w:val="single" w:sz="4" w:space="0" w:color="auto"/>
            </w:tcBorders>
            <w:shd w:val="clear" w:color="auto" w:fill="auto"/>
            <w:noWrap/>
            <w:vAlign w:val="bottom"/>
            <w:hideMark/>
          </w:tcPr>
          <w:p w:rsidR="006701D4" w:rsidRPr="00E92012" w:rsidRDefault="006701D4" w:rsidP="00A305E9">
            <w:pPr>
              <w:jc w:val="right"/>
            </w:pPr>
            <w:r w:rsidRPr="00E92012">
              <w:t>-1809,3</w:t>
            </w:r>
          </w:p>
        </w:tc>
        <w:tc>
          <w:tcPr>
            <w:tcW w:w="1473" w:type="dxa"/>
            <w:tcBorders>
              <w:top w:val="nil"/>
              <w:left w:val="nil"/>
              <w:bottom w:val="single" w:sz="4" w:space="0" w:color="auto"/>
              <w:right w:val="single" w:sz="4" w:space="0" w:color="auto"/>
            </w:tcBorders>
            <w:shd w:val="clear" w:color="auto" w:fill="auto"/>
            <w:noWrap/>
            <w:vAlign w:val="bottom"/>
            <w:hideMark/>
          </w:tcPr>
          <w:p w:rsidR="006701D4" w:rsidRPr="00E92012" w:rsidRDefault="006701D4" w:rsidP="00A305E9">
            <w:pPr>
              <w:jc w:val="right"/>
            </w:pPr>
            <w:r w:rsidRPr="00E92012">
              <w:t>-274,4</w:t>
            </w:r>
          </w:p>
        </w:tc>
      </w:tr>
      <w:tr w:rsidR="006701D4" w:rsidRPr="00E82F72" w:rsidTr="006701D4">
        <w:trPr>
          <w:trHeight w:val="255"/>
          <w:jc w:val="center"/>
        </w:trPr>
        <w:tc>
          <w:tcPr>
            <w:tcW w:w="1714" w:type="dxa"/>
            <w:tcBorders>
              <w:top w:val="nil"/>
              <w:left w:val="single" w:sz="4" w:space="0" w:color="auto"/>
              <w:bottom w:val="single" w:sz="4" w:space="0" w:color="auto"/>
              <w:right w:val="single" w:sz="4" w:space="0" w:color="auto"/>
            </w:tcBorders>
            <w:shd w:val="clear" w:color="auto" w:fill="auto"/>
            <w:noWrap/>
            <w:vAlign w:val="bottom"/>
            <w:hideMark/>
          </w:tcPr>
          <w:p w:rsidR="006701D4" w:rsidRPr="00E92012" w:rsidRDefault="006701D4" w:rsidP="00A305E9">
            <w:pPr>
              <w:jc w:val="right"/>
            </w:pPr>
            <w:r w:rsidRPr="00E92012">
              <w:t>2010</w:t>
            </w:r>
          </w:p>
        </w:tc>
        <w:tc>
          <w:tcPr>
            <w:tcW w:w="1626" w:type="dxa"/>
            <w:tcBorders>
              <w:top w:val="nil"/>
              <w:left w:val="nil"/>
              <w:bottom w:val="single" w:sz="4" w:space="0" w:color="auto"/>
              <w:right w:val="single" w:sz="4" w:space="0" w:color="auto"/>
            </w:tcBorders>
            <w:shd w:val="clear" w:color="auto" w:fill="auto"/>
            <w:noWrap/>
            <w:vAlign w:val="bottom"/>
            <w:hideMark/>
          </w:tcPr>
          <w:p w:rsidR="006701D4" w:rsidRPr="00E92012" w:rsidRDefault="006701D4" w:rsidP="00A305E9">
            <w:pPr>
              <w:jc w:val="right"/>
            </w:pPr>
            <w:r w:rsidRPr="00E92012">
              <w:t>-1989,4</w:t>
            </w:r>
          </w:p>
        </w:tc>
        <w:tc>
          <w:tcPr>
            <w:tcW w:w="1428" w:type="dxa"/>
            <w:tcBorders>
              <w:top w:val="nil"/>
              <w:left w:val="nil"/>
              <w:bottom w:val="single" w:sz="4" w:space="0" w:color="auto"/>
              <w:right w:val="single" w:sz="4" w:space="0" w:color="auto"/>
            </w:tcBorders>
            <w:shd w:val="clear" w:color="auto" w:fill="auto"/>
            <w:noWrap/>
            <w:vAlign w:val="bottom"/>
            <w:hideMark/>
          </w:tcPr>
          <w:p w:rsidR="006701D4" w:rsidRPr="00E92012" w:rsidRDefault="006701D4" w:rsidP="00A305E9">
            <w:pPr>
              <w:jc w:val="right"/>
            </w:pPr>
            <w:r w:rsidRPr="00E92012">
              <w:t>-1468,5</w:t>
            </w:r>
          </w:p>
        </w:tc>
        <w:tc>
          <w:tcPr>
            <w:tcW w:w="1473" w:type="dxa"/>
            <w:tcBorders>
              <w:top w:val="nil"/>
              <w:left w:val="nil"/>
              <w:bottom w:val="single" w:sz="4" w:space="0" w:color="auto"/>
              <w:right w:val="single" w:sz="4" w:space="0" w:color="auto"/>
            </w:tcBorders>
            <w:shd w:val="clear" w:color="auto" w:fill="auto"/>
            <w:noWrap/>
            <w:vAlign w:val="bottom"/>
            <w:hideMark/>
          </w:tcPr>
          <w:p w:rsidR="006701D4" w:rsidRPr="00E92012" w:rsidRDefault="006701D4" w:rsidP="00A305E9">
            <w:pPr>
              <w:jc w:val="right"/>
            </w:pPr>
            <w:r w:rsidRPr="00E92012">
              <w:t>26,2</w:t>
            </w:r>
          </w:p>
        </w:tc>
      </w:tr>
      <w:tr w:rsidR="006701D4" w:rsidRPr="00E82F72" w:rsidTr="006701D4">
        <w:trPr>
          <w:trHeight w:val="255"/>
          <w:jc w:val="center"/>
        </w:trPr>
        <w:tc>
          <w:tcPr>
            <w:tcW w:w="1714" w:type="dxa"/>
            <w:tcBorders>
              <w:top w:val="nil"/>
              <w:left w:val="single" w:sz="4" w:space="0" w:color="auto"/>
              <w:bottom w:val="single" w:sz="4" w:space="0" w:color="auto"/>
              <w:right w:val="single" w:sz="4" w:space="0" w:color="auto"/>
            </w:tcBorders>
            <w:shd w:val="clear" w:color="auto" w:fill="auto"/>
            <w:noWrap/>
            <w:vAlign w:val="bottom"/>
            <w:hideMark/>
          </w:tcPr>
          <w:p w:rsidR="006701D4" w:rsidRPr="00E92012" w:rsidRDefault="006701D4" w:rsidP="00A305E9">
            <w:pPr>
              <w:jc w:val="right"/>
            </w:pPr>
            <w:r w:rsidRPr="00E92012">
              <w:t>2011</w:t>
            </w:r>
          </w:p>
        </w:tc>
        <w:tc>
          <w:tcPr>
            <w:tcW w:w="1626" w:type="dxa"/>
            <w:tcBorders>
              <w:top w:val="nil"/>
              <w:left w:val="nil"/>
              <w:bottom w:val="single" w:sz="4" w:space="0" w:color="auto"/>
              <w:right w:val="single" w:sz="4" w:space="0" w:color="auto"/>
            </w:tcBorders>
            <w:shd w:val="clear" w:color="auto" w:fill="auto"/>
            <w:noWrap/>
            <w:vAlign w:val="bottom"/>
            <w:hideMark/>
          </w:tcPr>
          <w:p w:rsidR="006701D4" w:rsidRPr="00E92012" w:rsidRDefault="006701D4" w:rsidP="00A305E9">
            <w:pPr>
              <w:jc w:val="right"/>
            </w:pPr>
            <w:r w:rsidRPr="00E92012">
              <w:t>-1694</w:t>
            </w:r>
          </w:p>
        </w:tc>
        <w:tc>
          <w:tcPr>
            <w:tcW w:w="1428" w:type="dxa"/>
            <w:tcBorders>
              <w:top w:val="nil"/>
              <w:left w:val="nil"/>
              <w:bottom w:val="single" w:sz="4" w:space="0" w:color="auto"/>
              <w:right w:val="single" w:sz="4" w:space="0" w:color="auto"/>
            </w:tcBorders>
            <w:shd w:val="clear" w:color="auto" w:fill="auto"/>
            <w:noWrap/>
            <w:vAlign w:val="bottom"/>
            <w:hideMark/>
          </w:tcPr>
          <w:p w:rsidR="006701D4" w:rsidRPr="00E92012" w:rsidRDefault="006701D4" w:rsidP="00A305E9">
            <w:pPr>
              <w:jc w:val="right"/>
            </w:pPr>
            <w:r w:rsidRPr="00E92012">
              <w:t>-720</w:t>
            </w:r>
          </w:p>
        </w:tc>
        <w:tc>
          <w:tcPr>
            <w:tcW w:w="1473" w:type="dxa"/>
            <w:tcBorders>
              <w:top w:val="nil"/>
              <w:left w:val="nil"/>
              <w:bottom w:val="single" w:sz="4" w:space="0" w:color="auto"/>
              <w:right w:val="single" w:sz="4" w:space="0" w:color="auto"/>
            </w:tcBorders>
            <w:shd w:val="clear" w:color="auto" w:fill="auto"/>
            <w:noWrap/>
            <w:vAlign w:val="bottom"/>
            <w:hideMark/>
          </w:tcPr>
          <w:p w:rsidR="006701D4" w:rsidRPr="00E92012" w:rsidRDefault="006701D4" w:rsidP="00A305E9">
            <w:pPr>
              <w:jc w:val="right"/>
            </w:pPr>
            <w:r w:rsidRPr="00E92012">
              <w:t>179,8</w:t>
            </w:r>
          </w:p>
        </w:tc>
      </w:tr>
      <w:tr w:rsidR="006701D4" w:rsidRPr="00E82F72" w:rsidTr="006701D4">
        <w:trPr>
          <w:trHeight w:val="255"/>
          <w:jc w:val="center"/>
        </w:trPr>
        <w:tc>
          <w:tcPr>
            <w:tcW w:w="1714" w:type="dxa"/>
            <w:tcBorders>
              <w:top w:val="nil"/>
              <w:left w:val="single" w:sz="4" w:space="0" w:color="auto"/>
              <w:bottom w:val="single" w:sz="4" w:space="0" w:color="auto"/>
              <w:right w:val="single" w:sz="4" w:space="0" w:color="auto"/>
            </w:tcBorders>
            <w:shd w:val="clear" w:color="auto" w:fill="auto"/>
            <w:noWrap/>
            <w:vAlign w:val="bottom"/>
            <w:hideMark/>
          </w:tcPr>
          <w:p w:rsidR="006701D4" w:rsidRPr="00E92012" w:rsidRDefault="006701D4" w:rsidP="00A305E9">
            <w:pPr>
              <w:jc w:val="right"/>
            </w:pPr>
            <w:r w:rsidRPr="00E92012">
              <w:t>2012</w:t>
            </w:r>
          </w:p>
        </w:tc>
        <w:tc>
          <w:tcPr>
            <w:tcW w:w="1626" w:type="dxa"/>
            <w:tcBorders>
              <w:top w:val="nil"/>
              <w:left w:val="nil"/>
              <w:bottom w:val="single" w:sz="4" w:space="0" w:color="auto"/>
              <w:right w:val="single" w:sz="4" w:space="0" w:color="auto"/>
            </w:tcBorders>
            <w:shd w:val="clear" w:color="auto" w:fill="auto"/>
            <w:noWrap/>
            <w:vAlign w:val="bottom"/>
            <w:hideMark/>
          </w:tcPr>
          <w:p w:rsidR="006701D4" w:rsidRPr="00E92012" w:rsidRDefault="006701D4" w:rsidP="00A305E9">
            <w:pPr>
              <w:jc w:val="right"/>
            </w:pPr>
            <w:r w:rsidRPr="00E92012">
              <w:t>-1069,4</w:t>
            </w:r>
          </w:p>
        </w:tc>
        <w:tc>
          <w:tcPr>
            <w:tcW w:w="1428" w:type="dxa"/>
            <w:tcBorders>
              <w:top w:val="nil"/>
              <w:left w:val="nil"/>
              <w:bottom w:val="single" w:sz="4" w:space="0" w:color="auto"/>
              <w:right w:val="single" w:sz="4" w:space="0" w:color="auto"/>
            </w:tcBorders>
            <w:shd w:val="clear" w:color="auto" w:fill="auto"/>
            <w:noWrap/>
            <w:vAlign w:val="bottom"/>
            <w:hideMark/>
          </w:tcPr>
          <w:p w:rsidR="006701D4" w:rsidRPr="00E92012" w:rsidRDefault="006701D4" w:rsidP="00A305E9">
            <w:pPr>
              <w:jc w:val="right"/>
            </w:pPr>
            <w:r w:rsidRPr="00E92012">
              <w:t>-291,6</w:t>
            </w:r>
          </w:p>
        </w:tc>
        <w:tc>
          <w:tcPr>
            <w:tcW w:w="1473" w:type="dxa"/>
            <w:tcBorders>
              <w:top w:val="nil"/>
              <w:left w:val="nil"/>
              <w:bottom w:val="single" w:sz="4" w:space="0" w:color="auto"/>
              <w:right w:val="single" w:sz="4" w:space="0" w:color="auto"/>
            </w:tcBorders>
            <w:shd w:val="clear" w:color="auto" w:fill="auto"/>
            <w:noWrap/>
            <w:vAlign w:val="bottom"/>
            <w:hideMark/>
          </w:tcPr>
          <w:p w:rsidR="006701D4" w:rsidRPr="00E92012" w:rsidRDefault="006701D4" w:rsidP="00A305E9">
            <w:pPr>
              <w:jc w:val="right"/>
            </w:pPr>
            <w:r w:rsidRPr="00E92012">
              <w:t>-41,2</w:t>
            </w:r>
          </w:p>
        </w:tc>
      </w:tr>
    </w:tbl>
    <w:p w:rsidR="006701D4" w:rsidRPr="003A2A72" w:rsidRDefault="006701D4" w:rsidP="006701D4">
      <w:pPr>
        <w:tabs>
          <w:tab w:val="left" w:pos="4035"/>
        </w:tabs>
      </w:pPr>
      <w:r>
        <w:t xml:space="preserve">                             </w:t>
      </w:r>
      <w:r w:rsidRPr="004A022F">
        <w:t>Šaltinis: sudaryta pagal Eurostat duomenis</w:t>
      </w:r>
      <w:r w:rsidRPr="004A022F">
        <w:tab/>
      </w:r>
    </w:p>
    <w:p w:rsidR="006701D4" w:rsidRDefault="006701D4" w:rsidP="006701D4">
      <w:pPr>
        <w:tabs>
          <w:tab w:val="left" w:pos="7470"/>
        </w:tabs>
        <w:ind w:firstLine="0"/>
        <w:rPr>
          <w:sz w:val="24"/>
          <w:szCs w:val="24"/>
        </w:rPr>
      </w:pPr>
    </w:p>
    <w:p w:rsidR="006701D4" w:rsidRDefault="006701D4" w:rsidP="006701D4">
      <w:pPr>
        <w:tabs>
          <w:tab w:val="left" w:pos="7470"/>
        </w:tabs>
        <w:ind w:firstLine="0"/>
        <w:rPr>
          <w:sz w:val="24"/>
          <w:szCs w:val="24"/>
        </w:rPr>
      </w:pPr>
    </w:p>
    <w:p w:rsidR="006701D4" w:rsidRDefault="006701D4" w:rsidP="006701D4">
      <w:pPr>
        <w:tabs>
          <w:tab w:val="left" w:pos="7470"/>
        </w:tabs>
        <w:jc w:val="center"/>
        <w:rPr>
          <w:sz w:val="24"/>
          <w:szCs w:val="24"/>
        </w:rPr>
      </w:pPr>
      <w:r w:rsidRPr="006701D4">
        <w:rPr>
          <w:sz w:val="24"/>
          <w:szCs w:val="24"/>
        </w:rPr>
        <w:t>4 lentelė. Baltijos šalių valstybės skola ir jos pokyčiai</w:t>
      </w:r>
    </w:p>
    <w:p w:rsidR="006701D4" w:rsidRPr="006701D4" w:rsidRDefault="006701D4" w:rsidP="006701D4">
      <w:pPr>
        <w:tabs>
          <w:tab w:val="left" w:pos="7470"/>
        </w:tabs>
        <w:jc w:val="center"/>
        <w:rPr>
          <w:sz w:val="24"/>
          <w:szCs w:val="24"/>
        </w:rPr>
      </w:pPr>
    </w:p>
    <w:bookmarkStart w:id="294" w:name="_MON_1447958527"/>
    <w:bookmarkEnd w:id="294"/>
    <w:p w:rsidR="006701D4" w:rsidRDefault="00BC48C4" w:rsidP="00FB6983">
      <w:pPr>
        <w:tabs>
          <w:tab w:val="left" w:pos="7470"/>
        </w:tabs>
        <w:jc w:val="center"/>
      </w:pPr>
      <w:r w:rsidRPr="00F9033A">
        <w:rPr>
          <w:sz w:val="24"/>
          <w:szCs w:val="24"/>
        </w:rPr>
        <w:object w:dxaOrig="7516" w:dyaOrig="5469">
          <v:shape id="_x0000_i1027" type="#_x0000_t75" style="width:377.25pt;height:273.75pt" o:ole="">
            <v:imagedata r:id="rId90" o:title=""/>
          </v:shape>
          <o:OLEObject Type="Embed" ProgID="Word.Document.12" ShapeID="_x0000_i1027" DrawAspect="Content" ObjectID="_1450712727" r:id="rId91">
            <o:FieldCodes>\s</o:FieldCodes>
          </o:OLEObject>
        </w:object>
      </w:r>
    </w:p>
    <w:p w:rsidR="006701D4" w:rsidRDefault="006701D4" w:rsidP="006701D4">
      <w:pPr>
        <w:tabs>
          <w:tab w:val="left" w:pos="7470"/>
        </w:tabs>
        <w:jc w:val="left"/>
      </w:pPr>
      <w:r>
        <w:t xml:space="preserve">    </w:t>
      </w:r>
      <w:r w:rsidR="00BC48C4">
        <w:t xml:space="preserve">                          </w:t>
      </w:r>
      <w:r>
        <w:t xml:space="preserve"> </w:t>
      </w:r>
      <w:r w:rsidRPr="004A022F">
        <w:t>Šaltinis: sudaryta pagal Eurostat duomenis ir autorės skaičiavimus</w:t>
      </w:r>
    </w:p>
    <w:p w:rsidR="00BC48C4" w:rsidRDefault="00BC48C4" w:rsidP="006701D4">
      <w:pPr>
        <w:tabs>
          <w:tab w:val="left" w:pos="7470"/>
        </w:tabs>
        <w:jc w:val="left"/>
      </w:pPr>
    </w:p>
    <w:p w:rsidR="00BC48C4" w:rsidRDefault="00BC48C4" w:rsidP="006701D4">
      <w:pPr>
        <w:tabs>
          <w:tab w:val="left" w:pos="7470"/>
        </w:tabs>
        <w:jc w:val="left"/>
      </w:pPr>
    </w:p>
    <w:p w:rsidR="00BC48C4" w:rsidRDefault="00BC48C4" w:rsidP="006701D4">
      <w:pPr>
        <w:tabs>
          <w:tab w:val="left" w:pos="7470"/>
        </w:tabs>
        <w:jc w:val="left"/>
      </w:pPr>
    </w:p>
    <w:p w:rsidR="00BC48C4" w:rsidRDefault="00BC48C4" w:rsidP="006701D4">
      <w:pPr>
        <w:tabs>
          <w:tab w:val="left" w:pos="7470"/>
        </w:tabs>
        <w:jc w:val="left"/>
      </w:pPr>
    </w:p>
    <w:p w:rsidR="00BC48C4" w:rsidRDefault="00BC48C4" w:rsidP="006701D4">
      <w:pPr>
        <w:tabs>
          <w:tab w:val="left" w:pos="7470"/>
        </w:tabs>
        <w:jc w:val="left"/>
      </w:pPr>
    </w:p>
    <w:p w:rsidR="00BC48C4" w:rsidRDefault="00BC48C4" w:rsidP="006701D4">
      <w:pPr>
        <w:tabs>
          <w:tab w:val="left" w:pos="7470"/>
        </w:tabs>
        <w:jc w:val="left"/>
      </w:pPr>
    </w:p>
    <w:p w:rsidR="00BC48C4" w:rsidRDefault="00BC48C4" w:rsidP="006701D4">
      <w:pPr>
        <w:tabs>
          <w:tab w:val="left" w:pos="7470"/>
        </w:tabs>
        <w:jc w:val="left"/>
      </w:pPr>
    </w:p>
    <w:p w:rsidR="00BC48C4" w:rsidRDefault="00BC48C4" w:rsidP="006701D4">
      <w:pPr>
        <w:tabs>
          <w:tab w:val="left" w:pos="7470"/>
        </w:tabs>
        <w:jc w:val="left"/>
      </w:pPr>
    </w:p>
    <w:p w:rsidR="00BC48C4" w:rsidRDefault="00BC48C4" w:rsidP="006701D4">
      <w:pPr>
        <w:tabs>
          <w:tab w:val="left" w:pos="7470"/>
        </w:tabs>
        <w:jc w:val="left"/>
      </w:pPr>
    </w:p>
    <w:p w:rsidR="00BC48C4" w:rsidRDefault="00BC48C4" w:rsidP="006701D4">
      <w:pPr>
        <w:tabs>
          <w:tab w:val="left" w:pos="7470"/>
        </w:tabs>
        <w:jc w:val="left"/>
      </w:pPr>
    </w:p>
    <w:p w:rsidR="00BC48C4" w:rsidRDefault="00BC48C4" w:rsidP="00BC48C4">
      <w:pPr>
        <w:tabs>
          <w:tab w:val="left" w:pos="375"/>
          <w:tab w:val="left" w:pos="7470"/>
        </w:tabs>
        <w:jc w:val="center"/>
        <w:rPr>
          <w:sz w:val="24"/>
          <w:szCs w:val="24"/>
        </w:rPr>
      </w:pPr>
      <w:r w:rsidRPr="00BC48C4">
        <w:rPr>
          <w:sz w:val="24"/>
          <w:szCs w:val="24"/>
        </w:rPr>
        <w:t>5 lentelė. Gyventojų skaičius Baltijos šalyse ir jo pokyčiai</w:t>
      </w:r>
    </w:p>
    <w:p w:rsidR="00BC48C4" w:rsidRPr="00BC48C4" w:rsidRDefault="00BC48C4" w:rsidP="00BC48C4">
      <w:pPr>
        <w:tabs>
          <w:tab w:val="left" w:pos="375"/>
          <w:tab w:val="left" w:pos="7470"/>
        </w:tabs>
        <w:jc w:val="center"/>
        <w:rPr>
          <w:sz w:val="24"/>
          <w:szCs w:val="24"/>
        </w:rPr>
      </w:pPr>
    </w:p>
    <w:tbl>
      <w:tblPr>
        <w:tblW w:w="9778" w:type="dxa"/>
        <w:jc w:val="center"/>
        <w:tblInd w:w="-746" w:type="dxa"/>
        <w:tblLook w:val="04A0"/>
      </w:tblPr>
      <w:tblGrid>
        <w:gridCol w:w="1676"/>
        <w:gridCol w:w="1743"/>
        <w:gridCol w:w="1524"/>
        <w:gridCol w:w="1487"/>
        <w:gridCol w:w="1595"/>
        <w:gridCol w:w="1753"/>
      </w:tblGrid>
      <w:tr w:rsidR="00BC48C4" w:rsidRPr="00E82F72" w:rsidTr="00BC48C4">
        <w:trPr>
          <w:trHeight w:val="255"/>
          <w:jc w:val="center"/>
        </w:trPr>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48C4" w:rsidRPr="00BC48C4" w:rsidRDefault="00BC48C4" w:rsidP="00A305E9">
            <w:r w:rsidRPr="00BC48C4">
              <w:t> </w:t>
            </w:r>
          </w:p>
        </w:tc>
        <w:tc>
          <w:tcPr>
            <w:tcW w:w="1743" w:type="dxa"/>
            <w:tcBorders>
              <w:top w:val="single" w:sz="4" w:space="0" w:color="auto"/>
              <w:left w:val="nil"/>
              <w:bottom w:val="single" w:sz="4" w:space="0" w:color="auto"/>
              <w:right w:val="single" w:sz="4" w:space="0" w:color="auto"/>
            </w:tcBorders>
            <w:shd w:val="clear" w:color="auto" w:fill="auto"/>
            <w:noWrap/>
            <w:vAlign w:val="bottom"/>
            <w:hideMark/>
          </w:tcPr>
          <w:p w:rsidR="00BC48C4" w:rsidRPr="00BC48C4" w:rsidRDefault="00BC48C4" w:rsidP="00A305E9">
            <w:pPr>
              <w:jc w:val="right"/>
            </w:pPr>
            <w:r w:rsidRPr="00BC48C4">
              <w:t>2008</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BC48C4" w:rsidRPr="00BC48C4" w:rsidRDefault="00BC48C4" w:rsidP="00A305E9">
            <w:pPr>
              <w:jc w:val="right"/>
            </w:pPr>
            <w:r w:rsidRPr="00BC48C4">
              <w:t>2009</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BC48C4" w:rsidRPr="00BC48C4" w:rsidRDefault="00BC48C4" w:rsidP="00A305E9">
            <w:pPr>
              <w:jc w:val="right"/>
            </w:pPr>
            <w:r w:rsidRPr="00BC48C4">
              <w:t>2010</w:t>
            </w:r>
          </w:p>
        </w:tc>
        <w:tc>
          <w:tcPr>
            <w:tcW w:w="1595" w:type="dxa"/>
            <w:tcBorders>
              <w:top w:val="single" w:sz="4" w:space="0" w:color="auto"/>
              <w:left w:val="nil"/>
              <w:bottom w:val="single" w:sz="4" w:space="0" w:color="auto"/>
              <w:right w:val="single" w:sz="4" w:space="0" w:color="auto"/>
            </w:tcBorders>
            <w:shd w:val="clear" w:color="auto" w:fill="auto"/>
            <w:noWrap/>
            <w:vAlign w:val="bottom"/>
            <w:hideMark/>
          </w:tcPr>
          <w:p w:rsidR="00BC48C4" w:rsidRPr="00BC48C4" w:rsidRDefault="00BC48C4" w:rsidP="00A305E9">
            <w:pPr>
              <w:jc w:val="right"/>
            </w:pPr>
            <w:r w:rsidRPr="00BC48C4">
              <w:t>2011</w:t>
            </w:r>
          </w:p>
        </w:tc>
        <w:tc>
          <w:tcPr>
            <w:tcW w:w="1753" w:type="dxa"/>
            <w:tcBorders>
              <w:top w:val="single" w:sz="4" w:space="0" w:color="auto"/>
              <w:left w:val="nil"/>
              <w:bottom w:val="single" w:sz="4" w:space="0" w:color="auto"/>
              <w:right w:val="single" w:sz="4" w:space="0" w:color="auto"/>
            </w:tcBorders>
            <w:shd w:val="clear" w:color="auto" w:fill="auto"/>
            <w:noWrap/>
            <w:vAlign w:val="bottom"/>
            <w:hideMark/>
          </w:tcPr>
          <w:p w:rsidR="00BC48C4" w:rsidRPr="00BC48C4" w:rsidRDefault="00BC48C4" w:rsidP="00A305E9">
            <w:pPr>
              <w:jc w:val="right"/>
            </w:pPr>
            <w:r w:rsidRPr="00BC48C4">
              <w:t>2012</w:t>
            </w:r>
          </w:p>
        </w:tc>
      </w:tr>
      <w:tr w:rsidR="00BC48C4" w:rsidRPr="00E82F72" w:rsidTr="00BC48C4">
        <w:trPr>
          <w:trHeight w:val="255"/>
          <w:jc w:val="center"/>
        </w:trPr>
        <w:tc>
          <w:tcPr>
            <w:tcW w:w="1676" w:type="dxa"/>
            <w:tcBorders>
              <w:top w:val="nil"/>
              <w:left w:val="single" w:sz="4" w:space="0" w:color="auto"/>
              <w:bottom w:val="single" w:sz="4" w:space="0" w:color="auto"/>
              <w:right w:val="single" w:sz="4" w:space="0" w:color="auto"/>
            </w:tcBorders>
            <w:shd w:val="clear" w:color="auto" w:fill="auto"/>
            <w:noWrap/>
            <w:vAlign w:val="bottom"/>
            <w:hideMark/>
          </w:tcPr>
          <w:p w:rsidR="00BC48C4" w:rsidRPr="00BC48C4" w:rsidRDefault="00BC48C4" w:rsidP="00A305E9">
            <w:r w:rsidRPr="00BC48C4">
              <w:t>Lietuva</w:t>
            </w:r>
          </w:p>
        </w:tc>
        <w:tc>
          <w:tcPr>
            <w:tcW w:w="1743" w:type="dxa"/>
            <w:tcBorders>
              <w:top w:val="nil"/>
              <w:left w:val="nil"/>
              <w:bottom w:val="single" w:sz="4" w:space="0" w:color="auto"/>
              <w:right w:val="single" w:sz="4" w:space="0" w:color="auto"/>
            </w:tcBorders>
            <w:shd w:val="clear" w:color="auto" w:fill="auto"/>
            <w:noWrap/>
            <w:vAlign w:val="bottom"/>
            <w:hideMark/>
          </w:tcPr>
          <w:p w:rsidR="00BC48C4" w:rsidRPr="00BC48C4" w:rsidRDefault="00BC48C4" w:rsidP="00A305E9">
            <w:pPr>
              <w:jc w:val="right"/>
            </w:pPr>
            <w:r w:rsidRPr="00BC48C4">
              <w:t>3212605</w:t>
            </w:r>
          </w:p>
        </w:tc>
        <w:tc>
          <w:tcPr>
            <w:tcW w:w="1524" w:type="dxa"/>
            <w:tcBorders>
              <w:top w:val="nil"/>
              <w:left w:val="nil"/>
              <w:bottom w:val="single" w:sz="4" w:space="0" w:color="auto"/>
              <w:right w:val="single" w:sz="4" w:space="0" w:color="auto"/>
            </w:tcBorders>
            <w:shd w:val="clear" w:color="auto" w:fill="auto"/>
            <w:noWrap/>
            <w:vAlign w:val="bottom"/>
            <w:hideMark/>
          </w:tcPr>
          <w:p w:rsidR="00BC48C4" w:rsidRPr="00BC48C4" w:rsidRDefault="00BC48C4" w:rsidP="00A305E9">
            <w:pPr>
              <w:jc w:val="right"/>
            </w:pPr>
            <w:r w:rsidRPr="00BC48C4">
              <w:t>3183856</w:t>
            </w:r>
          </w:p>
        </w:tc>
        <w:tc>
          <w:tcPr>
            <w:tcW w:w="1487" w:type="dxa"/>
            <w:tcBorders>
              <w:top w:val="nil"/>
              <w:left w:val="nil"/>
              <w:bottom w:val="single" w:sz="4" w:space="0" w:color="auto"/>
              <w:right w:val="single" w:sz="4" w:space="0" w:color="auto"/>
            </w:tcBorders>
            <w:shd w:val="clear" w:color="auto" w:fill="auto"/>
            <w:noWrap/>
            <w:vAlign w:val="bottom"/>
            <w:hideMark/>
          </w:tcPr>
          <w:p w:rsidR="00BC48C4" w:rsidRPr="00BC48C4" w:rsidRDefault="00BC48C4" w:rsidP="00A305E9">
            <w:pPr>
              <w:jc w:val="right"/>
            </w:pPr>
            <w:r w:rsidRPr="00BC48C4">
              <w:t>3141976</w:t>
            </w:r>
          </w:p>
        </w:tc>
        <w:tc>
          <w:tcPr>
            <w:tcW w:w="1595" w:type="dxa"/>
            <w:tcBorders>
              <w:top w:val="nil"/>
              <w:left w:val="nil"/>
              <w:bottom w:val="single" w:sz="4" w:space="0" w:color="auto"/>
              <w:right w:val="single" w:sz="4" w:space="0" w:color="auto"/>
            </w:tcBorders>
            <w:shd w:val="clear" w:color="auto" w:fill="auto"/>
            <w:noWrap/>
            <w:vAlign w:val="bottom"/>
            <w:hideMark/>
          </w:tcPr>
          <w:p w:rsidR="00BC48C4" w:rsidRPr="00BC48C4" w:rsidRDefault="00BC48C4" w:rsidP="00A305E9">
            <w:pPr>
              <w:jc w:val="right"/>
            </w:pPr>
            <w:r w:rsidRPr="00BC48C4">
              <w:t>3052588</w:t>
            </w:r>
          </w:p>
        </w:tc>
        <w:tc>
          <w:tcPr>
            <w:tcW w:w="1753" w:type="dxa"/>
            <w:tcBorders>
              <w:top w:val="nil"/>
              <w:left w:val="nil"/>
              <w:bottom w:val="single" w:sz="4" w:space="0" w:color="auto"/>
              <w:right w:val="single" w:sz="4" w:space="0" w:color="auto"/>
            </w:tcBorders>
            <w:shd w:val="clear" w:color="auto" w:fill="auto"/>
            <w:noWrap/>
            <w:vAlign w:val="bottom"/>
            <w:hideMark/>
          </w:tcPr>
          <w:p w:rsidR="00BC48C4" w:rsidRPr="00BC48C4" w:rsidRDefault="00BC48C4" w:rsidP="00A305E9">
            <w:pPr>
              <w:jc w:val="right"/>
            </w:pPr>
            <w:r w:rsidRPr="00BC48C4">
              <w:t>3003641</w:t>
            </w:r>
          </w:p>
        </w:tc>
      </w:tr>
      <w:tr w:rsidR="00BC48C4" w:rsidRPr="00E82F72" w:rsidTr="00BC48C4">
        <w:trPr>
          <w:trHeight w:val="255"/>
          <w:jc w:val="center"/>
        </w:trPr>
        <w:tc>
          <w:tcPr>
            <w:tcW w:w="1676" w:type="dxa"/>
            <w:tcBorders>
              <w:top w:val="nil"/>
              <w:left w:val="single" w:sz="4" w:space="0" w:color="auto"/>
              <w:bottom w:val="single" w:sz="4" w:space="0" w:color="auto"/>
              <w:right w:val="single" w:sz="4" w:space="0" w:color="auto"/>
            </w:tcBorders>
            <w:shd w:val="clear" w:color="auto" w:fill="auto"/>
            <w:noWrap/>
            <w:vAlign w:val="bottom"/>
            <w:hideMark/>
          </w:tcPr>
          <w:p w:rsidR="00BC48C4" w:rsidRPr="00BC48C4" w:rsidRDefault="00BC48C4" w:rsidP="00A305E9">
            <w:r w:rsidRPr="00BC48C4">
              <w:t>Latvija</w:t>
            </w:r>
          </w:p>
        </w:tc>
        <w:tc>
          <w:tcPr>
            <w:tcW w:w="1743" w:type="dxa"/>
            <w:tcBorders>
              <w:top w:val="nil"/>
              <w:left w:val="nil"/>
              <w:bottom w:val="single" w:sz="4" w:space="0" w:color="auto"/>
              <w:right w:val="single" w:sz="4" w:space="0" w:color="auto"/>
            </w:tcBorders>
            <w:shd w:val="clear" w:color="auto" w:fill="auto"/>
            <w:noWrap/>
            <w:vAlign w:val="bottom"/>
            <w:hideMark/>
          </w:tcPr>
          <w:p w:rsidR="00BC48C4" w:rsidRPr="00BC48C4" w:rsidRDefault="00BC48C4" w:rsidP="00A305E9">
            <w:pPr>
              <w:jc w:val="right"/>
            </w:pPr>
            <w:r w:rsidRPr="00BC48C4">
              <w:t>2191810</w:t>
            </w:r>
          </w:p>
        </w:tc>
        <w:tc>
          <w:tcPr>
            <w:tcW w:w="1524" w:type="dxa"/>
            <w:tcBorders>
              <w:top w:val="nil"/>
              <w:left w:val="nil"/>
              <w:bottom w:val="single" w:sz="4" w:space="0" w:color="auto"/>
              <w:right w:val="single" w:sz="4" w:space="0" w:color="auto"/>
            </w:tcBorders>
            <w:shd w:val="clear" w:color="auto" w:fill="auto"/>
            <w:noWrap/>
            <w:vAlign w:val="bottom"/>
            <w:hideMark/>
          </w:tcPr>
          <w:p w:rsidR="00BC48C4" w:rsidRPr="00BC48C4" w:rsidRDefault="00BC48C4" w:rsidP="00A305E9">
            <w:pPr>
              <w:jc w:val="right"/>
            </w:pPr>
            <w:r w:rsidRPr="00BC48C4">
              <w:t>2162834</w:t>
            </w:r>
          </w:p>
        </w:tc>
        <w:tc>
          <w:tcPr>
            <w:tcW w:w="1487" w:type="dxa"/>
            <w:tcBorders>
              <w:top w:val="nil"/>
              <w:left w:val="nil"/>
              <w:bottom w:val="single" w:sz="4" w:space="0" w:color="auto"/>
              <w:right w:val="single" w:sz="4" w:space="0" w:color="auto"/>
            </w:tcBorders>
            <w:shd w:val="clear" w:color="auto" w:fill="auto"/>
            <w:noWrap/>
            <w:vAlign w:val="bottom"/>
            <w:hideMark/>
          </w:tcPr>
          <w:p w:rsidR="00BC48C4" w:rsidRPr="00BC48C4" w:rsidRDefault="00BC48C4" w:rsidP="00A305E9">
            <w:pPr>
              <w:jc w:val="right"/>
            </w:pPr>
            <w:r w:rsidRPr="00BC48C4">
              <w:t>2120504</w:t>
            </w:r>
          </w:p>
        </w:tc>
        <w:tc>
          <w:tcPr>
            <w:tcW w:w="1595" w:type="dxa"/>
            <w:tcBorders>
              <w:top w:val="nil"/>
              <w:left w:val="nil"/>
              <w:bottom w:val="single" w:sz="4" w:space="0" w:color="auto"/>
              <w:right w:val="single" w:sz="4" w:space="0" w:color="auto"/>
            </w:tcBorders>
            <w:shd w:val="clear" w:color="auto" w:fill="auto"/>
            <w:noWrap/>
            <w:vAlign w:val="bottom"/>
            <w:hideMark/>
          </w:tcPr>
          <w:p w:rsidR="00BC48C4" w:rsidRPr="00BC48C4" w:rsidRDefault="00BC48C4" w:rsidP="00A305E9">
            <w:pPr>
              <w:jc w:val="right"/>
            </w:pPr>
            <w:r w:rsidRPr="00BC48C4">
              <w:t>2074605</w:t>
            </w:r>
          </w:p>
        </w:tc>
        <w:tc>
          <w:tcPr>
            <w:tcW w:w="1753" w:type="dxa"/>
            <w:tcBorders>
              <w:top w:val="nil"/>
              <w:left w:val="nil"/>
              <w:bottom w:val="single" w:sz="4" w:space="0" w:color="auto"/>
              <w:right w:val="single" w:sz="4" w:space="0" w:color="auto"/>
            </w:tcBorders>
            <w:shd w:val="clear" w:color="auto" w:fill="auto"/>
            <w:noWrap/>
            <w:vAlign w:val="bottom"/>
            <w:hideMark/>
          </w:tcPr>
          <w:p w:rsidR="00BC48C4" w:rsidRPr="00BC48C4" w:rsidRDefault="00BC48C4" w:rsidP="00A305E9">
            <w:pPr>
              <w:jc w:val="right"/>
            </w:pPr>
            <w:r w:rsidRPr="00BC48C4">
              <w:t>2044813</w:t>
            </w:r>
          </w:p>
        </w:tc>
      </w:tr>
      <w:tr w:rsidR="00BC48C4" w:rsidRPr="00E82F72" w:rsidTr="00BC48C4">
        <w:trPr>
          <w:trHeight w:val="255"/>
          <w:jc w:val="center"/>
        </w:trPr>
        <w:tc>
          <w:tcPr>
            <w:tcW w:w="1676" w:type="dxa"/>
            <w:tcBorders>
              <w:top w:val="nil"/>
              <w:left w:val="single" w:sz="4" w:space="0" w:color="auto"/>
              <w:bottom w:val="single" w:sz="4" w:space="0" w:color="auto"/>
              <w:right w:val="single" w:sz="4" w:space="0" w:color="auto"/>
            </w:tcBorders>
            <w:shd w:val="clear" w:color="auto" w:fill="auto"/>
            <w:noWrap/>
            <w:vAlign w:val="bottom"/>
            <w:hideMark/>
          </w:tcPr>
          <w:p w:rsidR="00BC48C4" w:rsidRPr="00BC48C4" w:rsidRDefault="00BC48C4" w:rsidP="00A305E9">
            <w:r w:rsidRPr="00BC48C4">
              <w:t>Estija</w:t>
            </w:r>
          </w:p>
        </w:tc>
        <w:tc>
          <w:tcPr>
            <w:tcW w:w="1743" w:type="dxa"/>
            <w:tcBorders>
              <w:top w:val="nil"/>
              <w:left w:val="nil"/>
              <w:bottom w:val="single" w:sz="4" w:space="0" w:color="auto"/>
              <w:right w:val="single" w:sz="4" w:space="0" w:color="auto"/>
            </w:tcBorders>
            <w:shd w:val="clear" w:color="auto" w:fill="auto"/>
            <w:noWrap/>
            <w:vAlign w:val="bottom"/>
            <w:hideMark/>
          </w:tcPr>
          <w:p w:rsidR="00BC48C4" w:rsidRPr="00BC48C4" w:rsidRDefault="00BC48C4" w:rsidP="00A305E9">
            <w:pPr>
              <w:jc w:val="right"/>
            </w:pPr>
            <w:r w:rsidRPr="00BC48C4">
              <w:t>1341199</w:t>
            </w:r>
          </w:p>
        </w:tc>
        <w:tc>
          <w:tcPr>
            <w:tcW w:w="1524" w:type="dxa"/>
            <w:tcBorders>
              <w:top w:val="nil"/>
              <w:left w:val="nil"/>
              <w:bottom w:val="single" w:sz="4" w:space="0" w:color="auto"/>
              <w:right w:val="single" w:sz="4" w:space="0" w:color="auto"/>
            </w:tcBorders>
            <w:shd w:val="clear" w:color="auto" w:fill="auto"/>
            <w:noWrap/>
            <w:vAlign w:val="bottom"/>
            <w:hideMark/>
          </w:tcPr>
          <w:p w:rsidR="00BC48C4" w:rsidRPr="00BC48C4" w:rsidRDefault="00BC48C4" w:rsidP="00A305E9">
            <w:pPr>
              <w:jc w:val="right"/>
            </w:pPr>
            <w:r w:rsidRPr="00BC48C4">
              <w:t>1339329</w:t>
            </w:r>
          </w:p>
        </w:tc>
        <w:tc>
          <w:tcPr>
            <w:tcW w:w="1487" w:type="dxa"/>
            <w:tcBorders>
              <w:top w:val="nil"/>
              <w:left w:val="nil"/>
              <w:bottom w:val="single" w:sz="4" w:space="0" w:color="auto"/>
              <w:right w:val="single" w:sz="4" w:space="0" w:color="auto"/>
            </w:tcBorders>
            <w:shd w:val="clear" w:color="auto" w:fill="auto"/>
            <w:noWrap/>
            <w:vAlign w:val="bottom"/>
            <w:hideMark/>
          </w:tcPr>
          <w:p w:rsidR="00BC48C4" w:rsidRPr="00BC48C4" w:rsidRDefault="00BC48C4" w:rsidP="00A305E9">
            <w:pPr>
              <w:jc w:val="right"/>
            </w:pPr>
            <w:r w:rsidRPr="00BC48C4">
              <w:t>1337666</w:t>
            </w:r>
          </w:p>
        </w:tc>
        <w:tc>
          <w:tcPr>
            <w:tcW w:w="1595" w:type="dxa"/>
            <w:tcBorders>
              <w:top w:val="nil"/>
              <w:left w:val="nil"/>
              <w:bottom w:val="single" w:sz="4" w:space="0" w:color="auto"/>
              <w:right w:val="single" w:sz="4" w:space="0" w:color="auto"/>
            </w:tcBorders>
            <w:shd w:val="clear" w:color="auto" w:fill="auto"/>
            <w:noWrap/>
            <w:vAlign w:val="bottom"/>
            <w:hideMark/>
          </w:tcPr>
          <w:p w:rsidR="00BC48C4" w:rsidRPr="00BC48C4" w:rsidRDefault="00BC48C4" w:rsidP="00A305E9">
            <w:pPr>
              <w:jc w:val="right"/>
            </w:pPr>
            <w:r w:rsidRPr="00BC48C4">
              <w:t>1336107</w:t>
            </w:r>
          </w:p>
        </w:tc>
        <w:tc>
          <w:tcPr>
            <w:tcW w:w="1753" w:type="dxa"/>
            <w:tcBorders>
              <w:top w:val="nil"/>
              <w:left w:val="nil"/>
              <w:bottom w:val="single" w:sz="4" w:space="0" w:color="auto"/>
              <w:right w:val="single" w:sz="4" w:space="0" w:color="auto"/>
            </w:tcBorders>
            <w:shd w:val="clear" w:color="auto" w:fill="auto"/>
            <w:noWrap/>
            <w:vAlign w:val="bottom"/>
            <w:hideMark/>
          </w:tcPr>
          <w:p w:rsidR="00BC48C4" w:rsidRPr="00BC48C4" w:rsidRDefault="00BC48C4" w:rsidP="00A305E9">
            <w:pPr>
              <w:jc w:val="right"/>
            </w:pPr>
            <w:r w:rsidRPr="00BC48C4">
              <w:t>1333788</w:t>
            </w:r>
          </w:p>
        </w:tc>
      </w:tr>
      <w:tr w:rsidR="00BC48C4" w:rsidRPr="00E82F72" w:rsidTr="00BC48C4">
        <w:trPr>
          <w:trHeight w:val="255"/>
          <w:jc w:val="center"/>
        </w:trPr>
        <w:tc>
          <w:tcPr>
            <w:tcW w:w="9778"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48C4" w:rsidRPr="00BC48C4" w:rsidRDefault="00BC48C4" w:rsidP="00A305E9">
            <w:pPr>
              <w:jc w:val="center"/>
            </w:pPr>
            <w:r w:rsidRPr="00BC48C4">
              <w:t>Pokytis, % (lyginant su praėjusiais metais)</w:t>
            </w:r>
          </w:p>
        </w:tc>
      </w:tr>
      <w:tr w:rsidR="00BC48C4" w:rsidRPr="00E82F72" w:rsidTr="00BC48C4">
        <w:trPr>
          <w:trHeight w:val="255"/>
          <w:jc w:val="center"/>
        </w:trPr>
        <w:tc>
          <w:tcPr>
            <w:tcW w:w="1676" w:type="dxa"/>
            <w:tcBorders>
              <w:top w:val="nil"/>
              <w:left w:val="single" w:sz="4" w:space="0" w:color="auto"/>
              <w:bottom w:val="single" w:sz="4" w:space="0" w:color="auto"/>
              <w:right w:val="single" w:sz="4" w:space="0" w:color="auto"/>
            </w:tcBorders>
            <w:shd w:val="clear" w:color="auto" w:fill="auto"/>
            <w:noWrap/>
            <w:vAlign w:val="bottom"/>
            <w:hideMark/>
          </w:tcPr>
          <w:p w:rsidR="00BC48C4" w:rsidRPr="00BC48C4" w:rsidRDefault="00BC48C4" w:rsidP="00A305E9">
            <w:r w:rsidRPr="00BC48C4">
              <w:t>Lietuva</w:t>
            </w:r>
          </w:p>
        </w:tc>
        <w:tc>
          <w:tcPr>
            <w:tcW w:w="1743" w:type="dxa"/>
            <w:tcBorders>
              <w:top w:val="nil"/>
              <w:left w:val="nil"/>
              <w:bottom w:val="single" w:sz="4" w:space="0" w:color="auto"/>
              <w:right w:val="single" w:sz="4" w:space="0" w:color="auto"/>
            </w:tcBorders>
            <w:shd w:val="clear" w:color="auto" w:fill="auto"/>
            <w:noWrap/>
            <w:vAlign w:val="bottom"/>
            <w:hideMark/>
          </w:tcPr>
          <w:p w:rsidR="00BC48C4" w:rsidRPr="00BC48C4" w:rsidRDefault="00BC48C4" w:rsidP="00A305E9">
            <w:r w:rsidRPr="00BC48C4">
              <w:t>-</w:t>
            </w:r>
          </w:p>
        </w:tc>
        <w:tc>
          <w:tcPr>
            <w:tcW w:w="1524" w:type="dxa"/>
            <w:tcBorders>
              <w:top w:val="nil"/>
              <w:left w:val="nil"/>
              <w:bottom w:val="single" w:sz="4" w:space="0" w:color="auto"/>
              <w:right w:val="single" w:sz="4" w:space="0" w:color="auto"/>
            </w:tcBorders>
            <w:shd w:val="clear" w:color="auto" w:fill="auto"/>
            <w:noWrap/>
            <w:vAlign w:val="bottom"/>
            <w:hideMark/>
          </w:tcPr>
          <w:p w:rsidR="00BC48C4" w:rsidRPr="00BC48C4" w:rsidRDefault="00BC48C4" w:rsidP="00A305E9">
            <w:pPr>
              <w:jc w:val="right"/>
            </w:pPr>
            <w:r w:rsidRPr="00BC48C4">
              <w:t>-0,9%</w:t>
            </w:r>
          </w:p>
        </w:tc>
        <w:tc>
          <w:tcPr>
            <w:tcW w:w="1487" w:type="dxa"/>
            <w:tcBorders>
              <w:top w:val="nil"/>
              <w:left w:val="nil"/>
              <w:bottom w:val="single" w:sz="4" w:space="0" w:color="auto"/>
              <w:right w:val="single" w:sz="4" w:space="0" w:color="auto"/>
            </w:tcBorders>
            <w:shd w:val="clear" w:color="auto" w:fill="auto"/>
            <w:noWrap/>
            <w:vAlign w:val="bottom"/>
            <w:hideMark/>
          </w:tcPr>
          <w:p w:rsidR="00BC48C4" w:rsidRPr="00BC48C4" w:rsidRDefault="00BC48C4" w:rsidP="00A305E9">
            <w:pPr>
              <w:jc w:val="right"/>
            </w:pPr>
            <w:r w:rsidRPr="00BC48C4">
              <w:t>-1,3%</w:t>
            </w:r>
          </w:p>
        </w:tc>
        <w:tc>
          <w:tcPr>
            <w:tcW w:w="1595" w:type="dxa"/>
            <w:tcBorders>
              <w:top w:val="nil"/>
              <w:left w:val="nil"/>
              <w:bottom w:val="single" w:sz="4" w:space="0" w:color="auto"/>
              <w:right w:val="single" w:sz="4" w:space="0" w:color="auto"/>
            </w:tcBorders>
            <w:shd w:val="clear" w:color="auto" w:fill="auto"/>
            <w:noWrap/>
            <w:vAlign w:val="bottom"/>
            <w:hideMark/>
          </w:tcPr>
          <w:p w:rsidR="00BC48C4" w:rsidRPr="00BC48C4" w:rsidRDefault="00BC48C4" w:rsidP="00A305E9">
            <w:pPr>
              <w:jc w:val="right"/>
            </w:pPr>
            <w:r w:rsidRPr="00BC48C4">
              <w:t>-2,8%</w:t>
            </w:r>
          </w:p>
        </w:tc>
        <w:tc>
          <w:tcPr>
            <w:tcW w:w="1753" w:type="dxa"/>
            <w:tcBorders>
              <w:top w:val="nil"/>
              <w:left w:val="nil"/>
              <w:bottom w:val="single" w:sz="4" w:space="0" w:color="auto"/>
              <w:right w:val="single" w:sz="4" w:space="0" w:color="auto"/>
            </w:tcBorders>
            <w:shd w:val="clear" w:color="auto" w:fill="auto"/>
            <w:noWrap/>
            <w:vAlign w:val="bottom"/>
            <w:hideMark/>
          </w:tcPr>
          <w:p w:rsidR="00BC48C4" w:rsidRPr="00BC48C4" w:rsidRDefault="00BC48C4" w:rsidP="00A305E9">
            <w:pPr>
              <w:jc w:val="right"/>
            </w:pPr>
            <w:r w:rsidRPr="00BC48C4">
              <w:t>-1,6%</w:t>
            </w:r>
          </w:p>
        </w:tc>
      </w:tr>
      <w:tr w:rsidR="00BC48C4" w:rsidRPr="00E82F72" w:rsidTr="00BC48C4">
        <w:trPr>
          <w:trHeight w:val="255"/>
          <w:jc w:val="center"/>
        </w:trPr>
        <w:tc>
          <w:tcPr>
            <w:tcW w:w="1676" w:type="dxa"/>
            <w:tcBorders>
              <w:top w:val="nil"/>
              <w:left w:val="single" w:sz="4" w:space="0" w:color="auto"/>
              <w:bottom w:val="single" w:sz="4" w:space="0" w:color="auto"/>
              <w:right w:val="single" w:sz="4" w:space="0" w:color="auto"/>
            </w:tcBorders>
            <w:shd w:val="clear" w:color="auto" w:fill="auto"/>
            <w:noWrap/>
            <w:vAlign w:val="bottom"/>
            <w:hideMark/>
          </w:tcPr>
          <w:p w:rsidR="00BC48C4" w:rsidRPr="00BC48C4" w:rsidRDefault="00BC48C4" w:rsidP="00A305E9">
            <w:r w:rsidRPr="00BC48C4">
              <w:t>Latvija</w:t>
            </w:r>
          </w:p>
        </w:tc>
        <w:tc>
          <w:tcPr>
            <w:tcW w:w="1743" w:type="dxa"/>
            <w:tcBorders>
              <w:top w:val="nil"/>
              <w:left w:val="nil"/>
              <w:bottom w:val="single" w:sz="4" w:space="0" w:color="auto"/>
              <w:right w:val="single" w:sz="4" w:space="0" w:color="auto"/>
            </w:tcBorders>
            <w:shd w:val="clear" w:color="auto" w:fill="auto"/>
            <w:noWrap/>
            <w:vAlign w:val="bottom"/>
            <w:hideMark/>
          </w:tcPr>
          <w:p w:rsidR="00BC48C4" w:rsidRPr="00BC48C4" w:rsidRDefault="00BC48C4" w:rsidP="00A305E9">
            <w:r w:rsidRPr="00BC48C4">
              <w:t>-</w:t>
            </w:r>
          </w:p>
        </w:tc>
        <w:tc>
          <w:tcPr>
            <w:tcW w:w="1524" w:type="dxa"/>
            <w:tcBorders>
              <w:top w:val="nil"/>
              <w:left w:val="nil"/>
              <w:bottom w:val="single" w:sz="4" w:space="0" w:color="auto"/>
              <w:right w:val="single" w:sz="4" w:space="0" w:color="auto"/>
            </w:tcBorders>
            <w:shd w:val="clear" w:color="auto" w:fill="auto"/>
            <w:noWrap/>
            <w:vAlign w:val="bottom"/>
            <w:hideMark/>
          </w:tcPr>
          <w:p w:rsidR="00BC48C4" w:rsidRPr="00BC48C4" w:rsidRDefault="00BC48C4" w:rsidP="00A305E9">
            <w:pPr>
              <w:jc w:val="right"/>
            </w:pPr>
            <w:r w:rsidRPr="00BC48C4">
              <w:t>-1,3%</w:t>
            </w:r>
          </w:p>
        </w:tc>
        <w:tc>
          <w:tcPr>
            <w:tcW w:w="1487" w:type="dxa"/>
            <w:tcBorders>
              <w:top w:val="nil"/>
              <w:left w:val="nil"/>
              <w:bottom w:val="single" w:sz="4" w:space="0" w:color="auto"/>
              <w:right w:val="single" w:sz="4" w:space="0" w:color="auto"/>
            </w:tcBorders>
            <w:shd w:val="clear" w:color="auto" w:fill="auto"/>
            <w:noWrap/>
            <w:vAlign w:val="bottom"/>
            <w:hideMark/>
          </w:tcPr>
          <w:p w:rsidR="00BC48C4" w:rsidRPr="00BC48C4" w:rsidRDefault="00BC48C4" w:rsidP="00A305E9">
            <w:pPr>
              <w:jc w:val="right"/>
            </w:pPr>
            <w:r w:rsidRPr="00BC48C4">
              <w:t>-2,0%</w:t>
            </w:r>
          </w:p>
        </w:tc>
        <w:tc>
          <w:tcPr>
            <w:tcW w:w="1595" w:type="dxa"/>
            <w:tcBorders>
              <w:top w:val="nil"/>
              <w:left w:val="nil"/>
              <w:bottom w:val="single" w:sz="4" w:space="0" w:color="auto"/>
              <w:right w:val="single" w:sz="4" w:space="0" w:color="auto"/>
            </w:tcBorders>
            <w:shd w:val="clear" w:color="auto" w:fill="auto"/>
            <w:noWrap/>
            <w:vAlign w:val="bottom"/>
            <w:hideMark/>
          </w:tcPr>
          <w:p w:rsidR="00BC48C4" w:rsidRPr="00BC48C4" w:rsidRDefault="00BC48C4" w:rsidP="00A305E9">
            <w:pPr>
              <w:jc w:val="right"/>
            </w:pPr>
            <w:r w:rsidRPr="00BC48C4">
              <w:t>-2,2%</w:t>
            </w:r>
          </w:p>
        </w:tc>
        <w:tc>
          <w:tcPr>
            <w:tcW w:w="1753" w:type="dxa"/>
            <w:tcBorders>
              <w:top w:val="nil"/>
              <w:left w:val="nil"/>
              <w:bottom w:val="single" w:sz="4" w:space="0" w:color="auto"/>
              <w:right w:val="single" w:sz="4" w:space="0" w:color="auto"/>
            </w:tcBorders>
            <w:shd w:val="clear" w:color="auto" w:fill="auto"/>
            <w:noWrap/>
            <w:vAlign w:val="bottom"/>
            <w:hideMark/>
          </w:tcPr>
          <w:p w:rsidR="00BC48C4" w:rsidRPr="00BC48C4" w:rsidRDefault="00BC48C4" w:rsidP="00A305E9">
            <w:pPr>
              <w:jc w:val="right"/>
            </w:pPr>
            <w:r w:rsidRPr="00BC48C4">
              <w:t>-1,4%</w:t>
            </w:r>
          </w:p>
        </w:tc>
      </w:tr>
      <w:tr w:rsidR="00BC48C4" w:rsidRPr="00E82F72" w:rsidTr="00BC48C4">
        <w:trPr>
          <w:trHeight w:val="255"/>
          <w:jc w:val="center"/>
        </w:trPr>
        <w:tc>
          <w:tcPr>
            <w:tcW w:w="1676" w:type="dxa"/>
            <w:tcBorders>
              <w:top w:val="nil"/>
              <w:left w:val="single" w:sz="4" w:space="0" w:color="auto"/>
              <w:bottom w:val="single" w:sz="4" w:space="0" w:color="auto"/>
              <w:right w:val="single" w:sz="4" w:space="0" w:color="auto"/>
            </w:tcBorders>
            <w:shd w:val="clear" w:color="auto" w:fill="auto"/>
            <w:noWrap/>
            <w:vAlign w:val="bottom"/>
            <w:hideMark/>
          </w:tcPr>
          <w:p w:rsidR="00BC48C4" w:rsidRPr="00BC48C4" w:rsidRDefault="00BC48C4" w:rsidP="00A305E9">
            <w:r w:rsidRPr="00BC48C4">
              <w:t>Estija</w:t>
            </w:r>
          </w:p>
        </w:tc>
        <w:tc>
          <w:tcPr>
            <w:tcW w:w="1743" w:type="dxa"/>
            <w:tcBorders>
              <w:top w:val="nil"/>
              <w:left w:val="nil"/>
              <w:bottom w:val="single" w:sz="4" w:space="0" w:color="auto"/>
              <w:right w:val="single" w:sz="4" w:space="0" w:color="auto"/>
            </w:tcBorders>
            <w:shd w:val="clear" w:color="auto" w:fill="auto"/>
            <w:noWrap/>
            <w:vAlign w:val="bottom"/>
            <w:hideMark/>
          </w:tcPr>
          <w:p w:rsidR="00BC48C4" w:rsidRPr="00BC48C4" w:rsidRDefault="00BC48C4" w:rsidP="00A305E9">
            <w:r w:rsidRPr="00BC48C4">
              <w:t>-</w:t>
            </w:r>
          </w:p>
        </w:tc>
        <w:tc>
          <w:tcPr>
            <w:tcW w:w="1524" w:type="dxa"/>
            <w:tcBorders>
              <w:top w:val="nil"/>
              <w:left w:val="nil"/>
              <w:bottom w:val="single" w:sz="4" w:space="0" w:color="auto"/>
              <w:right w:val="single" w:sz="4" w:space="0" w:color="auto"/>
            </w:tcBorders>
            <w:shd w:val="clear" w:color="auto" w:fill="auto"/>
            <w:noWrap/>
            <w:vAlign w:val="bottom"/>
            <w:hideMark/>
          </w:tcPr>
          <w:p w:rsidR="00BC48C4" w:rsidRPr="00BC48C4" w:rsidRDefault="00BC48C4" w:rsidP="00A305E9">
            <w:pPr>
              <w:jc w:val="right"/>
            </w:pPr>
            <w:r w:rsidRPr="00BC48C4">
              <w:t>-0,1%</w:t>
            </w:r>
          </w:p>
        </w:tc>
        <w:tc>
          <w:tcPr>
            <w:tcW w:w="1487" w:type="dxa"/>
            <w:tcBorders>
              <w:top w:val="nil"/>
              <w:left w:val="nil"/>
              <w:bottom w:val="single" w:sz="4" w:space="0" w:color="auto"/>
              <w:right w:val="single" w:sz="4" w:space="0" w:color="auto"/>
            </w:tcBorders>
            <w:shd w:val="clear" w:color="auto" w:fill="auto"/>
            <w:noWrap/>
            <w:vAlign w:val="bottom"/>
            <w:hideMark/>
          </w:tcPr>
          <w:p w:rsidR="00BC48C4" w:rsidRPr="00BC48C4" w:rsidRDefault="00BC48C4" w:rsidP="00A305E9">
            <w:pPr>
              <w:jc w:val="right"/>
            </w:pPr>
            <w:r w:rsidRPr="00BC48C4">
              <w:t>-0,1%</w:t>
            </w:r>
          </w:p>
        </w:tc>
        <w:tc>
          <w:tcPr>
            <w:tcW w:w="1595" w:type="dxa"/>
            <w:tcBorders>
              <w:top w:val="nil"/>
              <w:left w:val="nil"/>
              <w:bottom w:val="single" w:sz="4" w:space="0" w:color="auto"/>
              <w:right w:val="single" w:sz="4" w:space="0" w:color="auto"/>
            </w:tcBorders>
            <w:shd w:val="clear" w:color="auto" w:fill="auto"/>
            <w:noWrap/>
            <w:vAlign w:val="bottom"/>
            <w:hideMark/>
          </w:tcPr>
          <w:p w:rsidR="00BC48C4" w:rsidRPr="00BC48C4" w:rsidRDefault="00BC48C4" w:rsidP="00A305E9">
            <w:pPr>
              <w:jc w:val="right"/>
            </w:pPr>
            <w:r w:rsidRPr="00BC48C4">
              <w:t>-0,1%</w:t>
            </w:r>
          </w:p>
        </w:tc>
        <w:tc>
          <w:tcPr>
            <w:tcW w:w="1753" w:type="dxa"/>
            <w:tcBorders>
              <w:top w:val="nil"/>
              <w:left w:val="nil"/>
              <w:bottom w:val="single" w:sz="4" w:space="0" w:color="auto"/>
              <w:right w:val="single" w:sz="4" w:space="0" w:color="auto"/>
            </w:tcBorders>
            <w:shd w:val="clear" w:color="auto" w:fill="auto"/>
            <w:noWrap/>
            <w:vAlign w:val="bottom"/>
            <w:hideMark/>
          </w:tcPr>
          <w:p w:rsidR="00BC48C4" w:rsidRPr="00BC48C4" w:rsidRDefault="00BC48C4" w:rsidP="00A305E9">
            <w:pPr>
              <w:jc w:val="right"/>
            </w:pPr>
            <w:r w:rsidRPr="00BC48C4">
              <w:t>-0,2%</w:t>
            </w:r>
          </w:p>
        </w:tc>
      </w:tr>
    </w:tbl>
    <w:p w:rsidR="00BC48C4" w:rsidRDefault="00BC48C4" w:rsidP="00BC48C4">
      <w:pPr>
        <w:tabs>
          <w:tab w:val="left" w:pos="7710"/>
        </w:tabs>
        <w:ind w:firstLine="0"/>
        <w:rPr>
          <w:b/>
        </w:rPr>
      </w:pPr>
      <w:r>
        <w:t xml:space="preserve">   Ša</w:t>
      </w:r>
      <w:r w:rsidRPr="004A022F">
        <w:t>ltinis: sudaryta pagal Eurostat duomenis ir autorės skaičiavimus</w:t>
      </w:r>
      <w:r w:rsidRPr="004A022F">
        <w:rPr>
          <w:b/>
        </w:rPr>
        <w:t xml:space="preserve"> </w:t>
      </w:r>
      <w:r>
        <w:rPr>
          <w:b/>
        </w:rPr>
        <w:tab/>
      </w:r>
    </w:p>
    <w:p w:rsidR="00BC48C4" w:rsidRDefault="00BC48C4" w:rsidP="00BC48C4">
      <w:pPr>
        <w:tabs>
          <w:tab w:val="left" w:pos="7470"/>
        </w:tabs>
        <w:jc w:val="center"/>
        <w:rPr>
          <w:b/>
        </w:rPr>
      </w:pPr>
      <w:r>
        <w:rPr>
          <w:b/>
        </w:rPr>
        <w:tab/>
      </w:r>
    </w:p>
    <w:p w:rsidR="00BC48C4" w:rsidRDefault="00BC48C4" w:rsidP="00BC48C4">
      <w:pPr>
        <w:tabs>
          <w:tab w:val="left" w:pos="7470"/>
        </w:tabs>
        <w:jc w:val="center"/>
        <w:rPr>
          <w:b/>
        </w:rPr>
      </w:pPr>
    </w:p>
    <w:p w:rsidR="00BC48C4" w:rsidRDefault="00BC48C4" w:rsidP="00BC48C4">
      <w:pPr>
        <w:tabs>
          <w:tab w:val="left" w:pos="7470"/>
        </w:tabs>
        <w:jc w:val="center"/>
        <w:rPr>
          <w:b/>
        </w:rPr>
      </w:pPr>
    </w:p>
    <w:p w:rsidR="00BC48C4" w:rsidRDefault="00BC48C4" w:rsidP="00BC48C4">
      <w:pPr>
        <w:tabs>
          <w:tab w:val="left" w:pos="7470"/>
        </w:tabs>
        <w:jc w:val="center"/>
        <w:rPr>
          <w:sz w:val="24"/>
          <w:szCs w:val="24"/>
        </w:rPr>
      </w:pPr>
      <w:r w:rsidRPr="00BC48C4">
        <w:rPr>
          <w:sz w:val="24"/>
          <w:szCs w:val="24"/>
        </w:rPr>
        <w:t>6 lentelė. Baltijos šalių valstybės biudžeto pajamos ir jų pokyčiai</w:t>
      </w:r>
    </w:p>
    <w:p w:rsidR="00BC48C4" w:rsidRPr="00BC48C4" w:rsidRDefault="00BC48C4" w:rsidP="00BC48C4">
      <w:pPr>
        <w:tabs>
          <w:tab w:val="left" w:pos="7470"/>
        </w:tabs>
        <w:jc w:val="center"/>
        <w:rPr>
          <w:sz w:val="24"/>
          <w:szCs w:val="24"/>
        </w:rPr>
      </w:pPr>
    </w:p>
    <w:tbl>
      <w:tblPr>
        <w:tblW w:w="10130" w:type="dxa"/>
        <w:jc w:val="center"/>
        <w:tblInd w:w="-583" w:type="dxa"/>
        <w:tblLook w:val="04A0"/>
      </w:tblPr>
      <w:tblGrid>
        <w:gridCol w:w="1503"/>
        <w:gridCol w:w="1575"/>
        <w:gridCol w:w="1773"/>
        <w:gridCol w:w="1789"/>
        <w:gridCol w:w="1892"/>
        <w:gridCol w:w="1598"/>
      </w:tblGrid>
      <w:tr w:rsidR="00BC48C4" w:rsidRPr="00E82F72" w:rsidTr="00FB6983">
        <w:trPr>
          <w:trHeight w:val="255"/>
          <w:jc w:val="center"/>
        </w:trPr>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48C4" w:rsidRPr="00E92012" w:rsidRDefault="00BC48C4" w:rsidP="00A305E9">
            <w:r w:rsidRPr="00E92012">
              <w:t> </w:t>
            </w:r>
          </w:p>
        </w:tc>
        <w:tc>
          <w:tcPr>
            <w:tcW w:w="1575" w:type="dxa"/>
            <w:tcBorders>
              <w:top w:val="single" w:sz="4" w:space="0" w:color="auto"/>
              <w:left w:val="nil"/>
              <w:bottom w:val="single" w:sz="4" w:space="0" w:color="auto"/>
              <w:right w:val="single" w:sz="4" w:space="0" w:color="auto"/>
            </w:tcBorders>
            <w:shd w:val="clear" w:color="auto" w:fill="auto"/>
            <w:noWrap/>
            <w:vAlign w:val="bottom"/>
            <w:hideMark/>
          </w:tcPr>
          <w:p w:rsidR="00BC48C4" w:rsidRPr="00E92012" w:rsidRDefault="00BC48C4" w:rsidP="00A305E9">
            <w:r w:rsidRPr="00E92012">
              <w:t>2008</w:t>
            </w:r>
          </w:p>
        </w:tc>
        <w:tc>
          <w:tcPr>
            <w:tcW w:w="1773" w:type="dxa"/>
            <w:tcBorders>
              <w:top w:val="single" w:sz="4" w:space="0" w:color="auto"/>
              <w:left w:val="nil"/>
              <w:bottom w:val="single" w:sz="4" w:space="0" w:color="auto"/>
              <w:right w:val="single" w:sz="4" w:space="0" w:color="auto"/>
            </w:tcBorders>
            <w:shd w:val="clear" w:color="auto" w:fill="auto"/>
            <w:noWrap/>
            <w:vAlign w:val="bottom"/>
            <w:hideMark/>
          </w:tcPr>
          <w:p w:rsidR="00BC48C4" w:rsidRPr="00E92012" w:rsidRDefault="00BC48C4" w:rsidP="00A305E9">
            <w:r w:rsidRPr="00E92012">
              <w:t>2009</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rsidR="00BC48C4" w:rsidRPr="00E92012" w:rsidRDefault="00BC48C4" w:rsidP="00A305E9">
            <w:r w:rsidRPr="00E92012">
              <w:t>2010</w:t>
            </w:r>
          </w:p>
        </w:tc>
        <w:tc>
          <w:tcPr>
            <w:tcW w:w="1892" w:type="dxa"/>
            <w:tcBorders>
              <w:top w:val="single" w:sz="4" w:space="0" w:color="auto"/>
              <w:left w:val="nil"/>
              <w:bottom w:val="single" w:sz="4" w:space="0" w:color="auto"/>
              <w:right w:val="single" w:sz="4" w:space="0" w:color="auto"/>
            </w:tcBorders>
            <w:shd w:val="clear" w:color="auto" w:fill="auto"/>
            <w:noWrap/>
            <w:vAlign w:val="bottom"/>
            <w:hideMark/>
          </w:tcPr>
          <w:p w:rsidR="00BC48C4" w:rsidRPr="00E92012" w:rsidRDefault="00BC48C4" w:rsidP="00A305E9">
            <w:r w:rsidRPr="00E92012">
              <w:t>2011</w:t>
            </w:r>
          </w:p>
        </w:tc>
        <w:tc>
          <w:tcPr>
            <w:tcW w:w="1598" w:type="dxa"/>
            <w:tcBorders>
              <w:top w:val="single" w:sz="4" w:space="0" w:color="auto"/>
              <w:left w:val="nil"/>
              <w:bottom w:val="single" w:sz="4" w:space="0" w:color="auto"/>
              <w:right w:val="single" w:sz="4" w:space="0" w:color="auto"/>
            </w:tcBorders>
            <w:shd w:val="clear" w:color="auto" w:fill="auto"/>
            <w:noWrap/>
            <w:vAlign w:val="bottom"/>
            <w:hideMark/>
          </w:tcPr>
          <w:p w:rsidR="00BC48C4" w:rsidRPr="00E92012" w:rsidRDefault="00BC48C4" w:rsidP="00A305E9">
            <w:r w:rsidRPr="00E92012">
              <w:t>2012</w:t>
            </w:r>
          </w:p>
        </w:tc>
      </w:tr>
      <w:tr w:rsidR="00BC48C4" w:rsidRPr="00E82F72" w:rsidTr="00FB6983">
        <w:trPr>
          <w:trHeight w:val="255"/>
          <w:jc w:val="center"/>
        </w:trPr>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BC48C4" w:rsidRPr="00E92012" w:rsidRDefault="00BC48C4" w:rsidP="00A305E9">
            <w:r w:rsidRPr="00E92012">
              <w:t> </w:t>
            </w:r>
          </w:p>
        </w:tc>
        <w:tc>
          <w:tcPr>
            <w:tcW w:w="8627" w:type="dxa"/>
            <w:gridSpan w:val="5"/>
            <w:tcBorders>
              <w:top w:val="single" w:sz="4" w:space="0" w:color="auto"/>
              <w:left w:val="nil"/>
              <w:bottom w:val="single" w:sz="4" w:space="0" w:color="auto"/>
              <w:right w:val="single" w:sz="4" w:space="0" w:color="auto"/>
            </w:tcBorders>
            <w:shd w:val="clear" w:color="auto" w:fill="auto"/>
            <w:noWrap/>
            <w:vAlign w:val="bottom"/>
            <w:hideMark/>
          </w:tcPr>
          <w:p w:rsidR="00BC48C4" w:rsidRPr="00E92012" w:rsidRDefault="00BC48C4" w:rsidP="00A305E9">
            <w:pPr>
              <w:jc w:val="center"/>
            </w:pPr>
            <w:r w:rsidRPr="00E92012">
              <w:t>mln. Eur.</w:t>
            </w:r>
          </w:p>
        </w:tc>
      </w:tr>
      <w:tr w:rsidR="00BC48C4" w:rsidRPr="00E82F72" w:rsidTr="00FB6983">
        <w:trPr>
          <w:trHeight w:val="255"/>
          <w:jc w:val="center"/>
        </w:trPr>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BC48C4" w:rsidRPr="00E92012" w:rsidRDefault="00BC48C4" w:rsidP="00A305E9">
            <w:r w:rsidRPr="00E92012">
              <w:t>Lietuva</w:t>
            </w:r>
          </w:p>
        </w:tc>
        <w:tc>
          <w:tcPr>
            <w:tcW w:w="1575" w:type="dxa"/>
            <w:tcBorders>
              <w:top w:val="nil"/>
              <w:left w:val="nil"/>
              <w:bottom w:val="single" w:sz="4" w:space="0" w:color="auto"/>
              <w:right w:val="single" w:sz="4" w:space="0" w:color="auto"/>
            </w:tcBorders>
            <w:shd w:val="clear" w:color="auto" w:fill="auto"/>
            <w:noWrap/>
            <w:vAlign w:val="bottom"/>
            <w:hideMark/>
          </w:tcPr>
          <w:p w:rsidR="00BC48C4" w:rsidRPr="00E92012" w:rsidRDefault="00BC48C4" w:rsidP="00A305E9">
            <w:pPr>
              <w:jc w:val="right"/>
            </w:pPr>
            <w:r w:rsidRPr="00E92012">
              <w:t>11.218,9</w:t>
            </w:r>
          </w:p>
        </w:tc>
        <w:tc>
          <w:tcPr>
            <w:tcW w:w="1773" w:type="dxa"/>
            <w:tcBorders>
              <w:top w:val="nil"/>
              <w:left w:val="nil"/>
              <w:bottom w:val="single" w:sz="4" w:space="0" w:color="auto"/>
              <w:right w:val="single" w:sz="4" w:space="0" w:color="auto"/>
            </w:tcBorders>
            <w:shd w:val="clear" w:color="auto" w:fill="auto"/>
            <w:noWrap/>
            <w:vAlign w:val="bottom"/>
            <w:hideMark/>
          </w:tcPr>
          <w:p w:rsidR="00BC48C4" w:rsidRPr="00E92012" w:rsidRDefault="00BC48C4" w:rsidP="00A305E9">
            <w:pPr>
              <w:jc w:val="right"/>
            </w:pPr>
            <w:r w:rsidRPr="00E92012">
              <w:t>9.449,5</w:t>
            </w:r>
          </w:p>
        </w:tc>
        <w:tc>
          <w:tcPr>
            <w:tcW w:w="1789" w:type="dxa"/>
            <w:tcBorders>
              <w:top w:val="nil"/>
              <w:left w:val="nil"/>
              <w:bottom w:val="single" w:sz="4" w:space="0" w:color="auto"/>
              <w:right w:val="single" w:sz="4" w:space="0" w:color="auto"/>
            </w:tcBorders>
            <w:shd w:val="clear" w:color="auto" w:fill="auto"/>
            <w:noWrap/>
            <w:vAlign w:val="bottom"/>
            <w:hideMark/>
          </w:tcPr>
          <w:p w:rsidR="00BC48C4" w:rsidRPr="00E92012" w:rsidRDefault="00BC48C4" w:rsidP="00A305E9">
            <w:pPr>
              <w:jc w:val="right"/>
            </w:pPr>
            <w:r w:rsidRPr="00E92012">
              <w:t>9.709,3</w:t>
            </w:r>
          </w:p>
        </w:tc>
        <w:tc>
          <w:tcPr>
            <w:tcW w:w="1892" w:type="dxa"/>
            <w:tcBorders>
              <w:top w:val="nil"/>
              <w:left w:val="nil"/>
              <w:bottom w:val="single" w:sz="4" w:space="0" w:color="auto"/>
              <w:right w:val="single" w:sz="4" w:space="0" w:color="auto"/>
            </w:tcBorders>
            <w:shd w:val="clear" w:color="auto" w:fill="auto"/>
            <w:noWrap/>
            <w:vAlign w:val="bottom"/>
            <w:hideMark/>
          </w:tcPr>
          <w:p w:rsidR="00BC48C4" w:rsidRPr="00E92012" w:rsidRDefault="00BC48C4" w:rsidP="00A305E9">
            <w:pPr>
              <w:jc w:val="right"/>
            </w:pPr>
            <w:r w:rsidRPr="00E92012">
              <w:t>10.272,3</w:t>
            </w:r>
          </w:p>
        </w:tc>
        <w:tc>
          <w:tcPr>
            <w:tcW w:w="1598" w:type="dxa"/>
            <w:tcBorders>
              <w:top w:val="nil"/>
              <w:left w:val="nil"/>
              <w:bottom w:val="single" w:sz="4" w:space="0" w:color="auto"/>
              <w:right w:val="single" w:sz="4" w:space="0" w:color="auto"/>
            </w:tcBorders>
            <w:shd w:val="clear" w:color="auto" w:fill="auto"/>
            <w:noWrap/>
            <w:vAlign w:val="bottom"/>
            <w:hideMark/>
          </w:tcPr>
          <w:p w:rsidR="00BC48C4" w:rsidRPr="00E92012" w:rsidRDefault="00BC48C4" w:rsidP="00A305E9">
            <w:pPr>
              <w:jc w:val="right"/>
            </w:pPr>
            <w:r w:rsidRPr="00E92012">
              <w:t>10.777,8</w:t>
            </w:r>
          </w:p>
        </w:tc>
      </w:tr>
      <w:tr w:rsidR="00BC48C4" w:rsidRPr="00E82F72" w:rsidTr="00FB6983">
        <w:trPr>
          <w:trHeight w:val="255"/>
          <w:jc w:val="center"/>
        </w:trPr>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BC48C4" w:rsidRPr="00E92012" w:rsidRDefault="00BC48C4" w:rsidP="00A305E9">
            <w:r w:rsidRPr="00E92012">
              <w:t>Latvija</w:t>
            </w:r>
          </w:p>
        </w:tc>
        <w:tc>
          <w:tcPr>
            <w:tcW w:w="1575" w:type="dxa"/>
            <w:tcBorders>
              <w:top w:val="nil"/>
              <w:left w:val="nil"/>
              <w:bottom w:val="single" w:sz="4" w:space="0" w:color="auto"/>
              <w:right w:val="single" w:sz="4" w:space="0" w:color="auto"/>
            </w:tcBorders>
            <w:shd w:val="clear" w:color="auto" w:fill="auto"/>
            <w:noWrap/>
            <w:vAlign w:val="bottom"/>
            <w:hideMark/>
          </w:tcPr>
          <w:p w:rsidR="00BC48C4" w:rsidRPr="00E92012" w:rsidRDefault="00BC48C4" w:rsidP="00A305E9">
            <w:pPr>
              <w:jc w:val="right"/>
            </w:pPr>
            <w:r w:rsidRPr="00E92012">
              <w:t>7.977,5</w:t>
            </w:r>
          </w:p>
        </w:tc>
        <w:tc>
          <w:tcPr>
            <w:tcW w:w="1773" w:type="dxa"/>
            <w:tcBorders>
              <w:top w:val="nil"/>
              <w:left w:val="nil"/>
              <w:bottom w:val="single" w:sz="4" w:space="0" w:color="auto"/>
              <w:right w:val="single" w:sz="4" w:space="0" w:color="auto"/>
            </w:tcBorders>
            <w:shd w:val="clear" w:color="auto" w:fill="auto"/>
            <w:noWrap/>
            <w:vAlign w:val="bottom"/>
            <w:hideMark/>
          </w:tcPr>
          <w:p w:rsidR="00BC48C4" w:rsidRPr="00E92012" w:rsidRDefault="00BC48C4" w:rsidP="00A305E9">
            <w:pPr>
              <w:jc w:val="right"/>
            </w:pPr>
            <w:r w:rsidRPr="00E92012">
              <w:t>6.295,3</w:t>
            </w:r>
          </w:p>
        </w:tc>
        <w:tc>
          <w:tcPr>
            <w:tcW w:w="1789" w:type="dxa"/>
            <w:tcBorders>
              <w:top w:val="nil"/>
              <w:left w:val="nil"/>
              <w:bottom w:val="single" w:sz="4" w:space="0" w:color="auto"/>
              <w:right w:val="single" w:sz="4" w:space="0" w:color="auto"/>
            </w:tcBorders>
            <w:shd w:val="clear" w:color="auto" w:fill="auto"/>
            <w:noWrap/>
            <w:vAlign w:val="bottom"/>
            <w:hideMark/>
          </w:tcPr>
          <w:p w:rsidR="00BC48C4" w:rsidRPr="00E92012" w:rsidRDefault="00BC48C4" w:rsidP="00A305E9">
            <w:pPr>
              <w:jc w:val="right"/>
            </w:pPr>
            <w:r w:rsidRPr="00E92012">
              <w:t>6.367,7</w:t>
            </w:r>
          </w:p>
        </w:tc>
        <w:tc>
          <w:tcPr>
            <w:tcW w:w="1892" w:type="dxa"/>
            <w:tcBorders>
              <w:top w:val="nil"/>
              <w:left w:val="nil"/>
              <w:bottom w:val="single" w:sz="4" w:space="0" w:color="auto"/>
              <w:right w:val="single" w:sz="4" w:space="0" w:color="auto"/>
            </w:tcBorders>
            <w:shd w:val="clear" w:color="auto" w:fill="auto"/>
            <w:noWrap/>
            <w:vAlign w:val="bottom"/>
            <w:hideMark/>
          </w:tcPr>
          <w:p w:rsidR="00BC48C4" w:rsidRPr="00E92012" w:rsidRDefault="00BC48C4" w:rsidP="00A305E9">
            <w:pPr>
              <w:jc w:val="right"/>
            </w:pPr>
            <w:r w:rsidRPr="00E92012">
              <w:t>7.048,4</w:t>
            </w:r>
          </w:p>
        </w:tc>
        <w:tc>
          <w:tcPr>
            <w:tcW w:w="1598" w:type="dxa"/>
            <w:tcBorders>
              <w:top w:val="nil"/>
              <w:left w:val="nil"/>
              <w:bottom w:val="single" w:sz="4" w:space="0" w:color="auto"/>
              <w:right w:val="single" w:sz="4" w:space="0" w:color="auto"/>
            </w:tcBorders>
            <w:shd w:val="clear" w:color="auto" w:fill="auto"/>
            <w:noWrap/>
            <w:vAlign w:val="bottom"/>
            <w:hideMark/>
          </w:tcPr>
          <w:p w:rsidR="00BC48C4" w:rsidRPr="00E92012" w:rsidRDefault="00BC48C4" w:rsidP="00A305E9">
            <w:pPr>
              <w:jc w:val="right"/>
            </w:pPr>
            <w:r w:rsidRPr="00E92012">
              <w:t>7.812,9</w:t>
            </w:r>
          </w:p>
        </w:tc>
      </w:tr>
      <w:tr w:rsidR="00BC48C4" w:rsidRPr="00E82F72" w:rsidTr="00FB6983">
        <w:trPr>
          <w:trHeight w:val="255"/>
          <w:jc w:val="center"/>
        </w:trPr>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BC48C4" w:rsidRPr="00E92012" w:rsidRDefault="00BC48C4" w:rsidP="00A305E9">
            <w:r w:rsidRPr="00E92012">
              <w:t>Estija</w:t>
            </w:r>
          </w:p>
        </w:tc>
        <w:tc>
          <w:tcPr>
            <w:tcW w:w="1575" w:type="dxa"/>
            <w:tcBorders>
              <w:top w:val="nil"/>
              <w:left w:val="nil"/>
              <w:bottom w:val="single" w:sz="4" w:space="0" w:color="auto"/>
              <w:right w:val="single" w:sz="4" w:space="0" w:color="auto"/>
            </w:tcBorders>
            <w:shd w:val="clear" w:color="auto" w:fill="auto"/>
            <w:noWrap/>
            <w:vAlign w:val="bottom"/>
            <w:hideMark/>
          </w:tcPr>
          <w:p w:rsidR="00BC48C4" w:rsidRPr="00E92012" w:rsidRDefault="00BC48C4" w:rsidP="00A305E9">
            <w:pPr>
              <w:jc w:val="right"/>
            </w:pPr>
            <w:r w:rsidRPr="00E92012">
              <w:t>5.961,5</w:t>
            </w:r>
          </w:p>
        </w:tc>
        <w:tc>
          <w:tcPr>
            <w:tcW w:w="1773" w:type="dxa"/>
            <w:tcBorders>
              <w:top w:val="nil"/>
              <w:left w:val="nil"/>
              <w:bottom w:val="single" w:sz="4" w:space="0" w:color="auto"/>
              <w:right w:val="single" w:sz="4" w:space="0" w:color="auto"/>
            </w:tcBorders>
            <w:shd w:val="clear" w:color="auto" w:fill="auto"/>
            <w:noWrap/>
            <w:vAlign w:val="bottom"/>
            <w:hideMark/>
          </w:tcPr>
          <w:p w:rsidR="00BC48C4" w:rsidRPr="00E92012" w:rsidRDefault="00BC48C4" w:rsidP="00A305E9">
            <w:pPr>
              <w:jc w:val="right"/>
            </w:pPr>
            <w:r w:rsidRPr="00E92012">
              <w:t>5.978,7</w:t>
            </w:r>
          </w:p>
        </w:tc>
        <w:tc>
          <w:tcPr>
            <w:tcW w:w="1789" w:type="dxa"/>
            <w:tcBorders>
              <w:top w:val="nil"/>
              <w:left w:val="nil"/>
              <w:bottom w:val="single" w:sz="4" w:space="0" w:color="auto"/>
              <w:right w:val="single" w:sz="4" w:space="0" w:color="auto"/>
            </w:tcBorders>
            <w:shd w:val="clear" w:color="auto" w:fill="auto"/>
            <w:noWrap/>
            <w:vAlign w:val="bottom"/>
            <w:hideMark/>
          </w:tcPr>
          <w:p w:rsidR="00BC48C4" w:rsidRPr="00E92012" w:rsidRDefault="00BC48C4" w:rsidP="00A305E9">
            <w:pPr>
              <w:jc w:val="right"/>
            </w:pPr>
            <w:r w:rsidRPr="00E92012">
              <w:t>5.841,6</w:t>
            </w:r>
          </w:p>
        </w:tc>
        <w:tc>
          <w:tcPr>
            <w:tcW w:w="1892" w:type="dxa"/>
            <w:tcBorders>
              <w:top w:val="nil"/>
              <w:left w:val="nil"/>
              <w:bottom w:val="single" w:sz="4" w:space="0" w:color="auto"/>
              <w:right w:val="single" w:sz="4" w:space="0" w:color="auto"/>
            </w:tcBorders>
            <w:shd w:val="clear" w:color="auto" w:fill="auto"/>
            <w:noWrap/>
            <w:vAlign w:val="bottom"/>
            <w:hideMark/>
          </w:tcPr>
          <w:p w:rsidR="00BC48C4" w:rsidRPr="00E92012" w:rsidRDefault="00BC48C4" w:rsidP="00A305E9">
            <w:pPr>
              <w:jc w:val="right"/>
            </w:pPr>
            <w:r w:rsidRPr="00E92012">
              <w:t>6.269,6</w:t>
            </w:r>
          </w:p>
        </w:tc>
        <w:tc>
          <w:tcPr>
            <w:tcW w:w="1598" w:type="dxa"/>
            <w:tcBorders>
              <w:top w:val="nil"/>
              <w:left w:val="nil"/>
              <w:bottom w:val="single" w:sz="4" w:space="0" w:color="auto"/>
              <w:right w:val="single" w:sz="4" w:space="0" w:color="auto"/>
            </w:tcBorders>
            <w:shd w:val="clear" w:color="auto" w:fill="auto"/>
            <w:noWrap/>
            <w:vAlign w:val="bottom"/>
            <w:hideMark/>
          </w:tcPr>
          <w:p w:rsidR="00BC48C4" w:rsidRPr="00E92012" w:rsidRDefault="00BC48C4" w:rsidP="00A305E9">
            <w:pPr>
              <w:jc w:val="right"/>
            </w:pPr>
            <w:r w:rsidRPr="00E92012">
              <w:t>6.831,4</w:t>
            </w:r>
          </w:p>
        </w:tc>
      </w:tr>
      <w:tr w:rsidR="00BC48C4" w:rsidRPr="00E82F72" w:rsidTr="00FB6983">
        <w:trPr>
          <w:trHeight w:val="255"/>
          <w:jc w:val="center"/>
        </w:trPr>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BC48C4" w:rsidRPr="00E92012" w:rsidRDefault="00BC48C4" w:rsidP="00A305E9">
            <w:r w:rsidRPr="00E92012">
              <w:t> </w:t>
            </w:r>
          </w:p>
        </w:tc>
        <w:tc>
          <w:tcPr>
            <w:tcW w:w="8627" w:type="dxa"/>
            <w:gridSpan w:val="5"/>
            <w:tcBorders>
              <w:top w:val="single" w:sz="4" w:space="0" w:color="auto"/>
              <w:left w:val="nil"/>
              <w:bottom w:val="single" w:sz="4" w:space="0" w:color="auto"/>
              <w:right w:val="single" w:sz="4" w:space="0" w:color="auto"/>
            </w:tcBorders>
            <w:shd w:val="clear" w:color="auto" w:fill="auto"/>
            <w:noWrap/>
            <w:vAlign w:val="bottom"/>
            <w:hideMark/>
          </w:tcPr>
          <w:p w:rsidR="00BC48C4" w:rsidRPr="00E92012" w:rsidRDefault="00BC48C4" w:rsidP="00A305E9">
            <w:pPr>
              <w:jc w:val="center"/>
            </w:pPr>
            <w:r w:rsidRPr="00E92012">
              <w:t>Pokytis, %</w:t>
            </w:r>
          </w:p>
        </w:tc>
      </w:tr>
      <w:tr w:rsidR="00BC48C4" w:rsidRPr="00E82F72" w:rsidTr="00FB6983">
        <w:trPr>
          <w:trHeight w:val="255"/>
          <w:jc w:val="center"/>
        </w:trPr>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BC48C4" w:rsidRPr="00E92012" w:rsidRDefault="00BC48C4" w:rsidP="00A305E9">
            <w:r w:rsidRPr="00E92012">
              <w:t>Lietuva</w:t>
            </w:r>
          </w:p>
        </w:tc>
        <w:tc>
          <w:tcPr>
            <w:tcW w:w="1575" w:type="dxa"/>
            <w:tcBorders>
              <w:top w:val="nil"/>
              <w:left w:val="nil"/>
              <w:bottom w:val="single" w:sz="4" w:space="0" w:color="auto"/>
              <w:right w:val="single" w:sz="4" w:space="0" w:color="auto"/>
            </w:tcBorders>
            <w:shd w:val="clear" w:color="auto" w:fill="auto"/>
            <w:noWrap/>
            <w:vAlign w:val="bottom"/>
            <w:hideMark/>
          </w:tcPr>
          <w:p w:rsidR="00BC48C4" w:rsidRPr="00E92012" w:rsidRDefault="00BC48C4" w:rsidP="00A305E9">
            <w:r w:rsidRPr="00E92012">
              <w:t> </w:t>
            </w:r>
          </w:p>
        </w:tc>
        <w:tc>
          <w:tcPr>
            <w:tcW w:w="1773" w:type="dxa"/>
            <w:tcBorders>
              <w:top w:val="nil"/>
              <w:left w:val="nil"/>
              <w:bottom w:val="single" w:sz="4" w:space="0" w:color="auto"/>
              <w:right w:val="single" w:sz="4" w:space="0" w:color="auto"/>
            </w:tcBorders>
            <w:shd w:val="clear" w:color="auto" w:fill="auto"/>
            <w:noWrap/>
            <w:vAlign w:val="bottom"/>
            <w:hideMark/>
          </w:tcPr>
          <w:p w:rsidR="00BC48C4" w:rsidRPr="00E92012" w:rsidRDefault="00BC48C4" w:rsidP="00A305E9">
            <w:pPr>
              <w:jc w:val="right"/>
            </w:pPr>
            <w:r w:rsidRPr="00E92012">
              <w:t>-15,8%</w:t>
            </w:r>
          </w:p>
        </w:tc>
        <w:tc>
          <w:tcPr>
            <w:tcW w:w="1789" w:type="dxa"/>
            <w:tcBorders>
              <w:top w:val="nil"/>
              <w:left w:val="nil"/>
              <w:bottom w:val="single" w:sz="4" w:space="0" w:color="auto"/>
              <w:right w:val="single" w:sz="4" w:space="0" w:color="auto"/>
            </w:tcBorders>
            <w:shd w:val="clear" w:color="auto" w:fill="auto"/>
            <w:noWrap/>
            <w:vAlign w:val="bottom"/>
            <w:hideMark/>
          </w:tcPr>
          <w:p w:rsidR="00BC48C4" w:rsidRPr="00E92012" w:rsidRDefault="00BC48C4" w:rsidP="00A305E9">
            <w:pPr>
              <w:jc w:val="right"/>
            </w:pPr>
            <w:r w:rsidRPr="00E92012">
              <w:t>2,7%</w:t>
            </w:r>
          </w:p>
        </w:tc>
        <w:tc>
          <w:tcPr>
            <w:tcW w:w="1892" w:type="dxa"/>
            <w:tcBorders>
              <w:top w:val="nil"/>
              <w:left w:val="nil"/>
              <w:bottom w:val="single" w:sz="4" w:space="0" w:color="auto"/>
              <w:right w:val="single" w:sz="4" w:space="0" w:color="auto"/>
            </w:tcBorders>
            <w:shd w:val="clear" w:color="auto" w:fill="auto"/>
            <w:noWrap/>
            <w:vAlign w:val="bottom"/>
            <w:hideMark/>
          </w:tcPr>
          <w:p w:rsidR="00BC48C4" w:rsidRPr="00E92012" w:rsidRDefault="00BC48C4" w:rsidP="00A305E9">
            <w:pPr>
              <w:jc w:val="right"/>
            </w:pPr>
            <w:r w:rsidRPr="00E92012">
              <w:t>5,8%</w:t>
            </w:r>
          </w:p>
        </w:tc>
        <w:tc>
          <w:tcPr>
            <w:tcW w:w="1598" w:type="dxa"/>
            <w:tcBorders>
              <w:top w:val="nil"/>
              <w:left w:val="nil"/>
              <w:bottom w:val="single" w:sz="4" w:space="0" w:color="auto"/>
              <w:right w:val="single" w:sz="4" w:space="0" w:color="auto"/>
            </w:tcBorders>
            <w:shd w:val="clear" w:color="auto" w:fill="auto"/>
            <w:noWrap/>
            <w:vAlign w:val="bottom"/>
            <w:hideMark/>
          </w:tcPr>
          <w:p w:rsidR="00BC48C4" w:rsidRPr="00E92012" w:rsidRDefault="00BC48C4" w:rsidP="00A305E9">
            <w:pPr>
              <w:jc w:val="right"/>
            </w:pPr>
            <w:r w:rsidRPr="00E92012">
              <w:t>4,9%</w:t>
            </w:r>
          </w:p>
        </w:tc>
      </w:tr>
      <w:tr w:rsidR="00BC48C4" w:rsidRPr="00E82F72" w:rsidTr="00FB6983">
        <w:trPr>
          <w:trHeight w:val="255"/>
          <w:jc w:val="center"/>
        </w:trPr>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BC48C4" w:rsidRPr="00E92012" w:rsidRDefault="00BC48C4" w:rsidP="00A305E9">
            <w:r w:rsidRPr="00E92012">
              <w:t>Latvija</w:t>
            </w:r>
          </w:p>
        </w:tc>
        <w:tc>
          <w:tcPr>
            <w:tcW w:w="1575" w:type="dxa"/>
            <w:tcBorders>
              <w:top w:val="nil"/>
              <w:left w:val="nil"/>
              <w:bottom w:val="single" w:sz="4" w:space="0" w:color="auto"/>
              <w:right w:val="single" w:sz="4" w:space="0" w:color="auto"/>
            </w:tcBorders>
            <w:shd w:val="clear" w:color="auto" w:fill="auto"/>
            <w:noWrap/>
            <w:vAlign w:val="bottom"/>
            <w:hideMark/>
          </w:tcPr>
          <w:p w:rsidR="00BC48C4" w:rsidRPr="00E92012" w:rsidRDefault="00BC48C4" w:rsidP="00A305E9">
            <w:r w:rsidRPr="00E92012">
              <w:t> </w:t>
            </w:r>
          </w:p>
        </w:tc>
        <w:tc>
          <w:tcPr>
            <w:tcW w:w="1773" w:type="dxa"/>
            <w:tcBorders>
              <w:top w:val="nil"/>
              <w:left w:val="nil"/>
              <w:bottom w:val="single" w:sz="4" w:space="0" w:color="auto"/>
              <w:right w:val="single" w:sz="4" w:space="0" w:color="auto"/>
            </w:tcBorders>
            <w:shd w:val="clear" w:color="auto" w:fill="auto"/>
            <w:noWrap/>
            <w:vAlign w:val="bottom"/>
            <w:hideMark/>
          </w:tcPr>
          <w:p w:rsidR="00BC48C4" w:rsidRPr="00E92012" w:rsidRDefault="00BC48C4" w:rsidP="00A305E9">
            <w:pPr>
              <w:jc w:val="right"/>
            </w:pPr>
            <w:r w:rsidRPr="00E92012">
              <w:t>-21,1%</w:t>
            </w:r>
          </w:p>
        </w:tc>
        <w:tc>
          <w:tcPr>
            <w:tcW w:w="1789" w:type="dxa"/>
            <w:tcBorders>
              <w:top w:val="nil"/>
              <w:left w:val="nil"/>
              <w:bottom w:val="single" w:sz="4" w:space="0" w:color="auto"/>
              <w:right w:val="single" w:sz="4" w:space="0" w:color="auto"/>
            </w:tcBorders>
            <w:shd w:val="clear" w:color="auto" w:fill="auto"/>
            <w:noWrap/>
            <w:vAlign w:val="bottom"/>
            <w:hideMark/>
          </w:tcPr>
          <w:p w:rsidR="00BC48C4" w:rsidRPr="00E92012" w:rsidRDefault="00BC48C4" w:rsidP="00A305E9">
            <w:pPr>
              <w:jc w:val="right"/>
            </w:pPr>
            <w:r w:rsidRPr="00E92012">
              <w:t>1,2%</w:t>
            </w:r>
          </w:p>
        </w:tc>
        <w:tc>
          <w:tcPr>
            <w:tcW w:w="1892" w:type="dxa"/>
            <w:tcBorders>
              <w:top w:val="nil"/>
              <w:left w:val="nil"/>
              <w:bottom w:val="single" w:sz="4" w:space="0" w:color="auto"/>
              <w:right w:val="single" w:sz="4" w:space="0" w:color="auto"/>
            </w:tcBorders>
            <w:shd w:val="clear" w:color="auto" w:fill="auto"/>
            <w:noWrap/>
            <w:vAlign w:val="bottom"/>
            <w:hideMark/>
          </w:tcPr>
          <w:p w:rsidR="00BC48C4" w:rsidRPr="00E92012" w:rsidRDefault="00BC48C4" w:rsidP="00A305E9">
            <w:pPr>
              <w:jc w:val="right"/>
            </w:pPr>
            <w:r w:rsidRPr="00E92012">
              <w:t>10,7%</w:t>
            </w:r>
          </w:p>
        </w:tc>
        <w:tc>
          <w:tcPr>
            <w:tcW w:w="1598" w:type="dxa"/>
            <w:tcBorders>
              <w:top w:val="nil"/>
              <w:left w:val="nil"/>
              <w:bottom w:val="single" w:sz="4" w:space="0" w:color="auto"/>
              <w:right w:val="single" w:sz="4" w:space="0" w:color="auto"/>
            </w:tcBorders>
            <w:shd w:val="clear" w:color="auto" w:fill="auto"/>
            <w:noWrap/>
            <w:vAlign w:val="bottom"/>
            <w:hideMark/>
          </w:tcPr>
          <w:p w:rsidR="00BC48C4" w:rsidRPr="00E92012" w:rsidRDefault="00BC48C4" w:rsidP="00A305E9">
            <w:pPr>
              <w:jc w:val="right"/>
            </w:pPr>
            <w:r w:rsidRPr="00E92012">
              <w:t>10,8%</w:t>
            </w:r>
          </w:p>
        </w:tc>
      </w:tr>
      <w:tr w:rsidR="00BC48C4" w:rsidRPr="00E82F72" w:rsidTr="00FB6983">
        <w:trPr>
          <w:trHeight w:val="255"/>
          <w:jc w:val="center"/>
        </w:trPr>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BC48C4" w:rsidRPr="00E92012" w:rsidRDefault="00BC48C4" w:rsidP="00A305E9">
            <w:r w:rsidRPr="00E92012">
              <w:t>Estija</w:t>
            </w:r>
          </w:p>
        </w:tc>
        <w:tc>
          <w:tcPr>
            <w:tcW w:w="1575" w:type="dxa"/>
            <w:tcBorders>
              <w:top w:val="nil"/>
              <w:left w:val="nil"/>
              <w:bottom w:val="single" w:sz="4" w:space="0" w:color="auto"/>
              <w:right w:val="single" w:sz="4" w:space="0" w:color="auto"/>
            </w:tcBorders>
            <w:shd w:val="clear" w:color="auto" w:fill="auto"/>
            <w:noWrap/>
            <w:vAlign w:val="bottom"/>
            <w:hideMark/>
          </w:tcPr>
          <w:p w:rsidR="00BC48C4" w:rsidRPr="00E92012" w:rsidRDefault="00BC48C4" w:rsidP="00A305E9">
            <w:r w:rsidRPr="00E92012">
              <w:t> </w:t>
            </w:r>
          </w:p>
        </w:tc>
        <w:tc>
          <w:tcPr>
            <w:tcW w:w="1773" w:type="dxa"/>
            <w:tcBorders>
              <w:top w:val="nil"/>
              <w:left w:val="nil"/>
              <w:bottom w:val="single" w:sz="4" w:space="0" w:color="auto"/>
              <w:right w:val="single" w:sz="4" w:space="0" w:color="auto"/>
            </w:tcBorders>
            <w:shd w:val="clear" w:color="auto" w:fill="auto"/>
            <w:noWrap/>
            <w:vAlign w:val="bottom"/>
            <w:hideMark/>
          </w:tcPr>
          <w:p w:rsidR="00BC48C4" w:rsidRPr="00E92012" w:rsidRDefault="00BC48C4" w:rsidP="00A305E9">
            <w:pPr>
              <w:jc w:val="right"/>
            </w:pPr>
            <w:r w:rsidRPr="00E92012">
              <w:t>0,3%</w:t>
            </w:r>
          </w:p>
        </w:tc>
        <w:tc>
          <w:tcPr>
            <w:tcW w:w="1789" w:type="dxa"/>
            <w:tcBorders>
              <w:top w:val="nil"/>
              <w:left w:val="nil"/>
              <w:bottom w:val="single" w:sz="4" w:space="0" w:color="auto"/>
              <w:right w:val="single" w:sz="4" w:space="0" w:color="auto"/>
            </w:tcBorders>
            <w:shd w:val="clear" w:color="auto" w:fill="auto"/>
            <w:noWrap/>
            <w:vAlign w:val="bottom"/>
            <w:hideMark/>
          </w:tcPr>
          <w:p w:rsidR="00BC48C4" w:rsidRPr="00E92012" w:rsidRDefault="00BC48C4" w:rsidP="00A305E9">
            <w:pPr>
              <w:jc w:val="right"/>
            </w:pPr>
            <w:r w:rsidRPr="00E92012">
              <w:t>-2,3%</w:t>
            </w:r>
          </w:p>
        </w:tc>
        <w:tc>
          <w:tcPr>
            <w:tcW w:w="1892" w:type="dxa"/>
            <w:tcBorders>
              <w:top w:val="nil"/>
              <w:left w:val="nil"/>
              <w:bottom w:val="single" w:sz="4" w:space="0" w:color="auto"/>
              <w:right w:val="single" w:sz="4" w:space="0" w:color="auto"/>
            </w:tcBorders>
            <w:shd w:val="clear" w:color="auto" w:fill="auto"/>
            <w:noWrap/>
            <w:vAlign w:val="bottom"/>
            <w:hideMark/>
          </w:tcPr>
          <w:p w:rsidR="00BC48C4" w:rsidRPr="00E92012" w:rsidRDefault="00BC48C4" w:rsidP="00A305E9">
            <w:pPr>
              <w:jc w:val="right"/>
            </w:pPr>
            <w:r w:rsidRPr="00E92012">
              <w:t>7,3%</w:t>
            </w:r>
          </w:p>
        </w:tc>
        <w:tc>
          <w:tcPr>
            <w:tcW w:w="1598" w:type="dxa"/>
            <w:tcBorders>
              <w:top w:val="nil"/>
              <w:left w:val="nil"/>
              <w:bottom w:val="single" w:sz="4" w:space="0" w:color="auto"/>
              <w:right w:val="single" w:sz="4" w:space="0" w:color="auto"/>
            </w:tcBorders>
            <w:shd w:val="clear" w:color="auto" w:fill="auto"/>
            <w:noWrap/>
            <w:vAlign w:val="bottom"/>
            <w:hideMark/>
          </w:tcPr>
          <w:p w:rsidR="00BC48C4" w:rsidRPr="00E92012" w:rsidRDefault="00BC48C4" w:rsidP="00A305E9">
            <w:pPr>
              <w:jc w:val="right"/>
            </w:pPr>
            <w:r w:rsidRPr="00E92012">
              <w:t>9,0%</w:t>
            </w:r>
          </w:p>
        </w:tc>
      </w:tr>
    </w:tbl>
    <w:p w:rsidR="00BC48C4" w:rsidRPr="00E92012" w:rsidRDefault="00BC48C4" w:rsidP="00BC48C4">
      <w:pPr>
        <w:tabs>
          <w:tab w:val="left" w:pos="7470"/>
        </w:tabs>
        <w:ind w:firstLine="0"/>
      </w:pPr>
      <w:r w:rsidRPr="004A022F">
        <w:t>Šaltinis: sudaryta pagal Eurostat duomenis ir autorės skaičiavimus</w:t>
      </w:r>
    </w:p>
    <w:p w:rsidR="00BC48C4" w:rsidRDefault="00BC48C4" w:rsidP="00BC48C4">
      <w:pPr>
        <w:tabs>
          <w:tab w:val="left" w:pos="3435"/>
        </w:tabs>
        <w:rPr>
          <w:b/>
        </w:rPr>
      </w:pPr>
    </w:p>
    <w:p w:rsidR="00BC48C4" w:rsidRDefault="00BC48C4" w:rsidP="00BC48C4">
      <w:pPr>
        <w:tabs>
          <w:tab w:val="left" w:pos="7710"/>
        </w:tabs>
        <w:rPr>
          <w:b/>
        </w:rPr>
      </w:pPr>
    </w:p>
    <w:p w:rsidR="00BC48C4" w:rsidRDefault="00BC48C4" w:rsidP="00BC48C4">
      <w:pPr>
        <w:tabs>
          <w:tab w:val="left" w:pos="7710"/>
        </w:tabs>
        <w:rPr>
          <w:b/>
        </w:rPr>
      </w:pPr>
    </w:p>
    <w:p w:rsidR="00B82C36" w:rsidRDefault="00B82C36" w:rsidP="00BC48C4">
      <w:pPr>
        <w:tabs>
          <w:tab w:val="left" w:pos="7710"/>
        </w:tabs>
        <w:rPr>
          <w:b/>
        </w:rPr>
      </w:pPr>
    </w:p>
    <w:p w:rsidR="00B82C36" w:rsidRDefault="00B82C36" w:rsidP="00BC48C4">
      <w:pPr>
        <w:tabs>
          <w:tab w:val="left" w:pos="7710"/>
        </w:tabs>
        <w:rPr>
          <w:b/>
        </w:rPr>
      </w:pPr>
    </w:p>
    <w:p w:rsidR="00B82C36" w:rsidRDefault="00B82C36" w:rsidP="00BC48C4">
      <w:pPr>
        <w:tabs>
          <w:tab w:val="left" w:pos="7710"/>
        </w:tabs>
        <w:rPr>
          <w:b/>
        </w:rPr>
      </w:pPr>
    </w:p>
    <w:p w:rsidR="00B82C36" w:rsidRDefault="00B82C36" w:rsidP="00BC48C4">
      <w:pPr>
        <w:tabs>
          <w:tab w:val="left" w:pos="7710"/>
        </w:tabs>
        <w:rPr>
          <w:b/>
        </w:rPr>
      </w:pPr>
    </w:p>
    <w:p w:rsidR="00B82C36" w:rsidRDefault="00B82C36" w:rsidP="00BC48C4">
      <w:pPr>
        <w:tabs>
          <w:tab w:val="left" w:pos="7710"/>
        </w:tabs>
        <w:rPr>
          <w:b/>
        </w:rPr>
      </w:pPr>
    </w:p>
    <w:p w:rsidR="00B82C36" w:rsidRDefault="00B82C36" w:rsidP="00BC48C4">
      <w:pPr>
        <w:tabs>
          <w:tab w:val="left" w:pos="7710"/>
        </w:tabs>
        <w:rPr>
          <w:b/>
        </w:rPr>
      </w:pPr>
    </w:p>
    <w:p w:rsidR="00B82C36" w:rsidRDefault="00B82C36" w:rsidP="00BC48C4">
      <w:pPr>
        <w:tabs>
          <w:tab w:val="left" w:pos="7710"/>
        </w:tabs>
        <w:rPr>
          <w:b/>
        </w:rPr>
      </w:pPr>
    </w:p>
    <w:p w:rsidR="00B82C36" w:rsidRDefault="00B82C36" w:rsidP="00BC48C4">
      <w:pPr>
        <w:tabs>
          <w:tab w:val="left" w:pos="7710"/>
        </w:tabs>
        <w:rPr>
          <w:b/>
        </w:rPr>
      </w:pPr>
    </w:p>
    <w:p w:rsidR="00B82C36" w:rsidRDefault="00B82C36" w:rsidP="00BC48C4">
      <w:pPr>
        <w:tabs>
          <w:tab w:val="left" w:pos="7710"/>
        </w:tabs>
        <w:rPr>
          <w:b/>
        </w:rPr>
      </w:pPr>
    </w:p>
    <w:p w:rsidR="00B82C36" w:rsidRDefault="00B82C36" w:rsidP="00BC48C4">
      <w:pPr>
        <w:tabs>
          <w:tab w:val="left" w:pos="7710"/>
        </w:tabs>
        <w:rPr>
          <w:b/>
        </w:rPr>
      </w:pPr>
    </w:p>
    <w:p w:rsidR="00B82C36" w:rsidRDefault="00B82C36" w:rsidP="00BC48C4">
      <w:pPr>
        <w:tabs>
          <w:tab w:val="left" w:pos="7710"/>
        </w:tabs>
        <w:rPr>
          <w:b/>
        </w:rPr>
      </w:pPr>
    </w:p>
    <w:p w:rsidR="00B82C36" w:rsidRDefault="00B82C36" w:rsidP="00BC48C4">
      <w:pPr>
        <w:tabs>
          <w:tab w:val="left" w:pos="7710"/>
        </w:tabs>
        <w:rPr>
          <w:b/>
        </w:rPr>
      </w:pPr>
    </w:p>
    <w:p w:rsidR="00B82C36" w:rsidRDefault="00B82C36" w:rsidP="00BC48C4">
      <w:pPr>
        <w:tabs>
          <w:tab w:val="left" w:pos="7710"/>
        </w:tabs>
        <w:rPr>
          <w:b/>
        </w:rPr>
      </w:pPr>
    </w:p>
    <w:p w:rsidR="00B82C36" w:rsidRDefault="00B82C36" w:rsidP="00BC48C4">
      <w:pPr>
        <w:tabs>
          <w:tab w:val="left" w:pos="7710"/>
        </w:tabs>
        <w:rPr>
          <w:b/>
        </w:rPr>
      </w:pPr>
    </w:p>
    <w:p w:rsidR="00B82C36" w:rsidRDefault="00B82C36" w:rsidP="00BC48C4">
      <w:pPr>
        <w:tabs>
          <w:tab w:val="left" w:pos="7710"/>
        </w:tabs>
        <w:rPr>
          <w:b/>
        </w:rPr>
      </w:pPr>
    </w:p>
    <w:p w:rsidR="00B82C36" w:rsidRDefault="00B82C36" w:rsidP="00BC48C4">
      <w:pPr>
        <w:tabs>
          <w:tab w:val="left" w:pos="7710"/>
        </w:tabs>
        <w:rPr>
          <w:b/>
        </w:rPr>
      </w:pPr>
    </w:p>
    <w:p w:rsidR="00B82C36" w:rsidRDefault="00B82C36" w:rsidP="00BC48C4">
      <w:pPr>
        <w:tabs>
          <w:tab w:val="left" w:pos="7710"/>
        </w:tabs>
        <w:rPr>
          <w:b/>
        </w:rPr>
      </w:pPr>
    </w:p>
    <w:p w:rsidR="00B82C36" w:rsidRDefault="00B82C36" w:rsidP="00BC48C4">
      <w:pPr>
        <w:tabs>
          <w:tab w:val="left" w:pos="7710"/>
        </w:tabs>
        <w:rPr>
          <w:b/>
        </w:rPr>
      </w:pPr>
    </w:p>
    <w:p w:rsidR="00B82C36" w:rsidRDefault="00B82C36" w:rsidP="00BC48C4">
      <w:pPr>
        <w:tabs>
          <w:tab w:val="left" w:pos="7710"/>
        </w:tabs>
        <w:rPr>
          <w:b/>
        </w:rPr>
      </w:pPr>
    </w:p>
    <w:p w:rsidR="00B82C36" w:rsidRDefault="00B82C36" w:rsidP="00BC48C4">
      <w:pPr>
        <w:tabs>
          <w:tab w:val="left" w:pos="7710"/>
        </w:tabs>
        <w:rPr>
          <w:b/>
        </w:rPr>
      </w:pPr>
    </w:p>
    <w:p w:rsidR="00B82C36" w:rsidRDefault="00B82C36" w:rsidP="00BC48C4">
      <w:pPr>
        <w:tabs>
          <w:tab w:val="left" w:pos="7710"/>
        </w:tabs>
        <w:rPr>
          <w:b/>
        </w:rPr>
      </w:pPr>
    </w:p>
    <w:p w:rsidR="00B82C36" w:rsidRDefault="00B82C36" w:rsidP="00BC48C4">
      <w:pPr>
        <w:tabs>
          <w:tab w:val="left" w:pos="7710"/>
        </w:tabs>
        <w:rPr>
          <w:b/>
        </w:rPr>
      </w:pPr>
    </w:p>
    <w:p w:rsidR="00D06397" w:rsidRDefault="00D06397" w:rsidP="00D06397">
      <w:pPr>
        <w:ind w:firstLine="0"/>
        <w:rPr>
          <w:b/>
        </w:rPr>
      </w:pPr>
    </w:p>
    <w:p w:rsidR="00663C18" w:rsidRDefault="00663C18" w:rsidP="00D06397">
      <w:pPr>
        <w:ind w:firstLine="0"/>
        <w:jc w:val="right"/>
        <w:rPr>
          <w:b/>
          <w:sz w:val="24"/>
          <w:szCs w:val="24"/>
        </w:rPr>
      </w:pPr>
    </w:p>
    <w:p w:rsidR="00B82C36" w:rsidRDefault="00B82C36" w:rsidP="00D06397">
      <w:pPr>
        <w:ind w:firstLine="0"/>
        <w:jc w:val="right"/>
        <w:rPr>
          <w:b/>
          <w:sz w:val="24"/>
          <w:szCs w:val="24"/>
        </w:rPr>
      </w:pPr>
      <w:r w:rsidRPr="00B82C36">
        <w:rPr>
          <w:b/>
          <w:sz w:val="24"/>
          <w:szCs w:val="24"/>
        </w:rPr>
        <w:lastRenderedPageBreak/>
        <w:t>2 PRIEDAS</w:t>
      </w:r>
    </w:p>
    <w:p w:rsidR="00D06397" w:rsidRPr="00B82C36" w:rsidRDefault="00D06397" w:rsidP="00D06397">
      <w:pPr>
        <w:ind w:firstLine="0"/>
        <w:jc w:val="right"/>
        <w:rPr>
          <w:b/>
          <w:sz w:val="24"/>
          <w:szCs w:val="24"/>
        </w:rPr>
      </w:pPr>
    </w:p>
    <w:p w:rsidR="00B82C36" w:rsidRPr="00B82C36" w:rsidRDefault="00B82C36" w:rsidP="00B82C36">
      <w:pPr>
        <w:jc w:val="center"/>
        <w:rPr>
          <w:b/>
          <w:sz w:val="24"/>
          <w:szCs w:val="24"/>
        </w:rPr>
      </w:pPr>
      <w:r w:rsidRPr="00B82C36">
        <w:rPr>
          <w:b/>
          <w:sz w:val="24"/>
          <w:szCs w:val="24"/>
        </w:rPr>
        <w:t>ES ŠALIŲ VALSTYBĖS SKOLA</w:t>
      </w:r>
    </w:p>
    <w:p w:rsidR="00B82C36" w:rsidRPr="00B82C36" w:rsidRDefault="00B82C36" w:rsidP="00B82C36">
      <w:pPr>
        <w:jc w:val="right"/>
        <w:rPr>
          <w:b/>
          <w:sz w:val="24"/>
          <w:szCs w:val="24"/>
        </w:rPr>
      </w:pPr>
    </w:p>
    <w:p w:rsidR="00B82C36" w:rsidRDefault="00B82C36" w:rsidP="00B82C36">
      <w:pPr>
        <w:tabs>
          <w:tab w:val="left" w:pos="1845"/>
          <w:tab w:val="left" w:pos="7470"/>
        </w:tabs>
        <w:jc w:val="center"/>
        <w:rPr>
          <w:sz w:val="24"/>
          <w:szCs w:val="24"/>
        </w:rPr>
      </w:pPr>
      <w:r w:rsidRPr="00B82C36">
        <w:rPr>
          <w:sz w:val="24"/>
          <w:szCs w:val="24"/>
        </w:rPr>
        <w:t>1 lentelė. ES šalių valstybės skolos ir BVP santykis, %</w:t>
      </w:r>
    </w:p>
    <w:p w:rsidR="00B82C36" w:rsidRPr="00B82C36" w:rsidRDefault="00B82C36" w:rsidP="00B82C36">
      <w:pPr>
        <w:tabs>
          <w:tab w:val="left" w:pos="1845"/>
          <w:tab w:val="left" w:pos="7470"/>
        </w:tabs>
        <w:jc w:val="center"/>
        <w:rPr>
          <w:sz w:val="24"/>
          <w:szCs w:val="24"/>
        </w:rPr>
      </w:pPr>
    </w:p>
    <w:tbl>
      <w:tblPr>
        <w:tblW w:w="9210" w:type="dxa"/>
        <w:jc w:val="center"/>
        <w:tblInd w:w="-915" w:type="dxa"/>
        <w:tblLook w:val="04A0"/>
      </w:tblPr>
      <w:tblGrid>
        <w:gridCol w:w="2391"/>
        <w:gridCol w:w="1383"/>
        <w:gridCol w:w="1275"/>
        <w:gridCol w:w="1383"/>
        <w:gridCol w:w="1485"/>
        <w:gridCol w:w="1293"/>
      </w:tblGrid>
      <w:tr w:rsidR="00B82C36" w:rsidRPr="00E82F72" w:rsidTr="00B82C36">
        <w:trPr>
          <w:trHeight w:val="255"/>
          <w:jc w:val="center"/>
        </w:trPr>
        <w:tc>
          <w:tcPr>
            <w:tcW w:w="23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2C36" w:rsidRPr="00E92012" w:rsidRDefault="00B82C36" w:rsidP="00A305E9">
            <w:r w:rsidRPr="00E92012">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rsidR="00B82C36" w:rsidRPr="00E92012" w:rsidRDefault="00B82C36" w:rsidP="00A305E9">
            <w:r w:rsidRPr="00E92012">
              <w:t>2008</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B82C36" w:rsidRPr="00E92012" w:rsidRDefault="00B82C36" w:rsidP="00A305E9">
            <w:r w:rsidRPr="00E92012">
              <w:t>2009</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rsidR="00B82C36" w:rsidRPr="00E92012" w:rsidRDefault="00B82C36" w:rsidP="00A305E9">
            <w:r w:rsidRPr="00E92012">
              <w:t>2010</w:t>
            </w:r>
          </w:p>
        </w:tc>
        <w:tc>
          <w:tcPr>
            <w:tcW w:w="1485" w:type="dxa"/>
            <w:tcBorders>
              <w:top w:val="single" w:sz="4" w:space="0" w:color="auto"/>
              <w:left w:val="nil"/>
              <w:bottom w:val="single" w:sz="4" w:space="0" w:color="auto"/>
              <w:right w:val="single" w:sz="4" w:space="0" w:color="auto"/>
            </w:tcBorders>
            <w:shd w:val="clear" w:color="auto" w:fill="auto"/>
            <w:noWrap/>
            <w:vAlign w:val="bottom"/>
            <w:hideMark/>
          </w:tcPr>
          <w:p w:rsidR="00B82C36" w:rsidRPr="00E92012" w:rsidRDefault="00B82C36" w:rsidP="00A305E9">
            <w:r w:rsidRPr="00E92012">
              <w:t>2011</w:t>
            </w:r>
          </w:p>
        </w:tc>
        <w:tc>
          <w:tcPr>
            <w:tcW w:w="1293" w:type="dxa"/>
            <w:tcBorders>
              <w:top w:val="single" w:sz="4" w:space="0" w:color="auto"/>
              <w:left w:val="nil"/>
              <w:bottom w:val="single" w:sz="4" w:space="0" w:color="auto"/>
              <w:right w:val="single" w:sz="4" w:space="0" w:color="auto"/>
            </w:tcBorders>
            <w:shd w:val="clear" w:color="auto" w:fill="auto"/>
            <w:noWrap/>
            <w:vAlign w:val="bottom"/>
            <w:hideMark/>
          </w:tcPr>
          <w:p w:rsidR="00B82C36" w:rsidRPr="00E92012" w:rsidRDefault="00B82C36" w:rsidP="00A305E9">
            <w:r w:rsidRPr="00E92012">
              <w:t>2012</w:t>
            </w:r>
          </w:p>
        </w:tc>
      </w:tr>
      <w:tr w:rsidR="00B82C36" w:rsidRPr="00E82F72" w:rsidTr="00B82C36">
        <w:trPr>
          <w:trHeight w:val="255"/>
          <w:jc w:val="center"/>
        </w:trPr>
        <w:tc>
          <w:tcPr>
            <w:tcW w:w="2391" w:type="dxa"/>
            <w:tcBorders>
              <w:top w:val="nil"/>
              <w:left w:val="single" w:sz="4" w:space="0" w:color="auto"/>
              <w:bottom w:val="single" w:sz="4" w:space="0" w:color="auto"/>
              <w:right w:val="single" w:sz="4" w:space="0" w:color="auto"/>
            </w:tcBorders>
            <w:shd w:val="clear" w:color="auto" w:fill="auto"/>
            <w:noWrap/>
            <w:vAlign w:val="bottom"/>
            <w:hideMark/>
          </w:tcPr>
          <w:p w:rsidR="00B82C36" w:rsidRPr="00E92012" w:rsidRDefault="00B82C36" w:rsidP="00A305E9">
            <w:r w:rsidRPr="00E92012">
              <w:t>Belgium</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89,2</w:t>
            </w:r>
          </w:p>
        </w:tc>
        <w:tc>
          <w:tcPr>
            <w:tcW w:w="127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95,7</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95,7</w:t>
            </w:r>
          </w:p>
        </w:tc>
        <w:tc>
          <w:tcPr>
            <w:tcW w:w="148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98</w:t>
            </w:r>
          </w:p>
        </w:tc>
        <w:tc>
          <w:tcPr>
            <w:tcW w:w="129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99,8</w:t>
            </w:r>
          </w:p>
        </w:tc>
      </w:tr>
      <w:tr w:rsidR="00B82C36" w:rsidRPr="00E82F72" w:rsidTr="00B82C36">
        <w:trPr>
          <w:trHeight w:val="255"/>
          <w:jc w:val="center"/>
        </w:trPr>
        <w:tc>
          <w:tcPr>
            <w:tcW w:w="2391" w:type="dxa"/>
            <w:tcBorders>
              <w:top w:val="nil"/>
              <w:left w:val="single" w:sz="4" w:space="0" w:color="auto"/>
              <w:bottom w:val="single" w:sz="4" w:space="0" w:color="auto"/>
              <w:right w:val="single" w:sz="4" w:space="0" w:color="auto"/>
            </w:tcBorders>
            <w:shd w:val="clear" w:color="auto" w:fill="auto"/>
            <w:noWrap/>
            <w:vAlign w:val="bottom"/>
            <w:hideMark/>
          </w:tcPr>
          <w:p w:rsidR="00B82C36" w:rsidRPr="00E92012" w:rsidRDefault="00B82C36" w:rsidP="00A305E9">
            <w:r w:rsidRPr="00E92012">
              <w:t>Bulgaria</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13,7</w:t>
            </w:r>
          </w:p>
        </w:tc>
        <w:tc>
          <w:tcPr>
            <w:tcW w:w="127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14,6</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16,2</w:t>
            </w:r>
          </w:p>
        </w:tc>
        <w:tc>
          <w:tcPr>
            <w:tcW w:w="148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16,3</w:t>
            </w:r>
          </w:p>
        </w:tc>
        <w:tc>
          <w:tcPr>
            <w:tcW w:w="129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18,5</w:t>
            </w:r>
          </w:p>
        </w:tc>
      </w:tr>
      <w:tr w:rsidR="00B82C36" w:rsidRPr="00E82F72" w:rsidTr="00B82C36">
        <w:trPr>
          <w:trHeight w:val="255"/>
          <w:jc w:val="center"/>
        </w:trPr>
        <w:tc>
          <w:tcPr>
            <w:tcW w:w="2391" w:type="dxa"/>
            <w:tcBorders>
              <w:top w:val="nil"/>
              <w:left w:val="single" w:sz="4" w:space="0" w:color="auto"/>
              <w:bottom w:val="single" w:sz="4" w:space="0" w:color="auto"/>
              <w:right w:val="single" w:sz="4" w:space="0" w:color="auto"/>
            </w:tcBorders>
            <w:shd w:val="clear" w:color="auto" w:fill="auto"/>
            <w:noWrap/>
            <w:vAlign w:val="bottom"/>
            <w:hideMark/>
          </w:tcPr>
          <w:p w:rsidR="00B82C36" w:rsidRPr="00E92012" w:rsidRDefault="00B82C36" w:rsidP="00A305E9">
            <w:r w:rsidRPr="00E92012">
              <w:t>Czech Republic</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28,7</w:t>
            </w:r>
          </w:p>
        </w:tc>
        <w:tc>
          <w:tcPr>
            <w:tcW w:w="127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34,6</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38,4</w:t>
            </w:r>
          </w:p>
        </w:tc>
        <w:tc>
          <w:tcPr>
            <w:tcW w:w="148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41,4</w:t>
            </w:r>
          </w:p>
        </w:tc>
        <w:tc>
          <w:tcPr>
            <w:tcW w:w="129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46,2</w:t>
            </w:r>
          </w:p>
        </w:tc>
      </w:tr>
      <w:tr w:rsidR="00B82C36" w:rsidRPr="00E82F72" w:rsidTr="00B82C36">
        <w:trPr>
          <w:trHeight w:val="255"/>
          <w:jc w:val="center"/>
        </w:trPr>
        <w:tc>
          <w:tcPr>
            <w:tcW w:w="2391" w:type="dxa"/>
            <w:tcBorders>
              <w:top w:val="nil"/>
              <w:left w:val="single" w:sz="4" w:space="0" w:color="auto"/>
              <w:bottom w:val="single" w:sz="4" w:space="0" w:color="auto"/>
              <w:right w:val="single" w:sz="4" w:space="0" w:color="auto"/>
            </w:tcBorders>
            <w:shd w:val="clear" w:color="auto" w:fill="auto"/>
            <w:noWrap/>
            <w:vAlign w:val="bottom"/>
            <w:hideMark/>
          </w:tcPr>
          <w:p w:rsidR="00B82C36" w:rsidRPr="00E92012" w:rsidRDefault="00B82C36" w:rsidP="00A305E9">
            <w:r w:rsidRPr="00E92012">
              <w:t>Denmark</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33,4</w:t>
            </w:r>
          </w:p>
        </w:tc>
        <w:tc>
          <w:tcPr>
            <w:tcW w:w="127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40,7</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42,7</w:t>
            </w:r>
          </w:p>
        </w:tc>
        <w:tc>
          <w:tcPr>
            <w:tcW w:w="148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46,4</w:t>
            </w:r>
          </w:p>
        </w:tc>
        <w:tc>
          <w:tcPr>
            <w:tcW w:w="129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45,4</w:t>
            </w:r>
          </w:p>
        </w:tc>
      </w:tr>
      <w:tr w:rsidR="00B82C36" w:rsidRPr="00E82F72" w:rsidTr="00B82C36">
        <w:trPr>
          <w:trHeight w:val="255"/>
          <w:jc w:val="center"/>
        </w:trPr>
        <w:tc>
          <w:tcPr>
            <w:tcW w:w="2391" w:type="dxa"/>
            <w:tcBorders>
              <w:top w:val="nil"/>
              <w:left w:val="single" w:sz="4" w:space="0" w:color="auto"/>
              <w:bottom w:val="single" w:sz="4" w:space="0" w:color="auto"/>
              <w:right w:val="single" w:sz="4" w:space="0" w:color="auto"/>
            </w:tcBorders>
            <w:shd w:val="clear" w:color="auto" w:fill="auto"/>
            <w:noWrap/>
            <w:vAlign w:val="bottom"/>
            <w:hideMark/>
          </w:tcPr>
          <w:p w:rsidR="00B82C36" w:rsidRPr="00E92012" w:rsidRDefault="00B82C36" w:rsidP="00A305E9">
            <w:r w:rsidRPr="00E92012">
              <w:t>Germany</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66,8</w:t>
            </w:r>
          </w:p>
        </w:tc>
        <w:tc>
          <w:tcPr>
            <w:tcW w:w="127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74,5</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82,5</w:t>
            </w:r>
          </w:p>
        </w:tc>
        <w:tc>
          <w:tcPr>
            <w:tcW w:w="148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80</w:t>
            </w:r>
          </w:p>
        </w:tc>
        <w:tc>
          <w:tcPr>
            <w:tcW w:w="129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81</w:t>
            </w:r>
          </w:p>
        </w:tc>
      </w:tr>
      <w:tr w:rsidR="00B82C36" w:rsidRPr="00E82F72" w:rsidTr="00B82C36">
        <w:trPr>
          <w:trHeight w:val="255"/>
          <w:jc w:val="center"/>
        </w:trPr>
        <w:tc>
          <w:tcPr>
            <w:tcW w:w="2391" w:type="dxa"/>
            <w:tcBorders>
              <w:top w:val="nil"/>
              <w:left w:val="single" w:sz="4" w:space="0" w:color="auto"/>
              <w:bottom w:val="single" w:sz="4" w:space="0" w:color="auto"/>
              <w:right w:val="single" w:sz="4" w:space="0" w:color="auto"/>
            </w:tcBorders>
            <w:shd w:val="clear" w:color="auto" w:fill="auto"/>
            <w:noWrap/>
            <w:vAlign w:val="bottom"/>
            <w:hideMark/>
          </w:tcPr>
          <w:p w:rsidR="00B82C36" w:rsidRPr="00E92012" w:rsidRDefault="00B82C36" w:rsidP="00A305E9">
            <w:r w:rsidRPr="00E92012">
              <w:t>Estonia</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4,5</w:t>
            </w:r>
          </w:p>
        </w:tc>
        <w:tc>
          <w:tcPr>
            <w:tcW w:w="127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7,1</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6,7</w:t>
            </w:r>
          </w:p>
        </w:tc>
        <w:tc>
          <w:tcPr>
            <w:tcW w:w="148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6,1</w:t>
            </w:r>
          </w:p>
        </w:tc>
        <w:tc>
          <w:tcPr>
            <w:tcW w:w="129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9,8</w:t>
            </w:r>
          </w:p>
        </w:tc>
      </w:tr>
      <w:tr w:rsidR="00B82C36" w:rsidRPr="00E82F72" w:rsidTr="00B82C36">
        <w:trPr>
          <w:trHeight w:val="255"/>
          <w:jc w:val="center"/>
        </w:trPr>
        <w:tc>
          <w:tcPr>
            <w:tcW w:w="2391" w:type="dxa"/>
            <w:tcBorders>
              <w:top w:val="nil"/>
              <w:left w:val="single" w:sz="4" w:space="0" w:color="auto"/>
              <w:bottom w:val="single" w:sz="4" w:space="0" w:color="auto"/>
              <w:right w:val="single" w:sz="4" w:space="0" w:color="auto"/>
            </w:tcBorders>
            <w:shd w:val="clear" w:color="auto" w:fill="auto"/>
            <w:noWrap/>
            <w:vAlign w:val="bottom"/>
            <w:hideMark/>
          </w:tcPr>
          <w:p w:rsidR="00B82C36" w:rsidRPr="00E92012" w:rsidRDefault="00B82C36" w:rsidP="00A305E9">
            <w:r w:rsidRPr="00E92012">
              <w:t>Ireland</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44,2</w:t>
            </w:r>
          </w:p>
        </w:tc>
        <w:tc>
          <w:tcPr>
            <w:tcW w:w="127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64,4</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91,2</w:t>
            </w:r>
          </w:p>
        </w:tc>
        <w:tc>
          <w:tcPr>
            <w:tcW w:w="148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104,1</w:t>
            </w:r>
          </w:p>
        </w:tc>
        <w:tc>
          <w:tcPr>
            <w:tcW w:w="129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117,4</w:t>
            </w:r>
          </w:p>
        </w:tc>
      </w:tr>
      <w:tr w:rsidR="00B82C36" w:rsidRPr="00E82F72" w:rsidTr="00B82C36">
        <w:trPr>
          <w:trHeight w:val="255"/>
          <w:jc w:val="center"/>
        </w:trPr>
        <w:tc>
          <w:tcPr>
            <w:tcW w:w="2391" w:type="dxa"/>
            <w:tcBorders>
              <w:top w:val="nil"/>
              <w:left w:val="single" w:sz="4" w:space="0" w:color="auto"/>
              <w:bottom w:val="single" w:sz="4" w:space="0" w:color="auto"/>
              <w:right w:val="single" w:sz="4" w:space="0" w:color="auto"/>
            </w:tcBorders>
            <w:shd w:val="clear" w:color="auto" w:fill="auto"/>
            <w:noWrap/>
            <w:vAlign w:val="bottom"/>
            <w:hideMark/>
          </w:tcPr>
          <w:p w:rsidR="00B82C36" w:rsidRPr="00E92012" w:rsidRDefault="00B82C36" w:rsidP="00A305E9">
            <w:r w:rsidRPr="00E92012">
              <w:t>Greece</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112,9</w:t>
            </w:r>
          </w:p>
        </w:tc>
        <w:tc>
          <w:tcPr>
            <w:tcW w:w="127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129,7</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148,3</w:t>
            </w:r>
          </w:p>
        </w:tc>
        <w:tc>
          <w:tcPr>
            <w:tcW w:w="148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170,3</w:t>
            </w:r>
          </w:p>
        </w:tc>
        <w:tc>
          <w:tcPr>
            <w:tcW w:w="129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156,9</w:t>
            </w:r>
          </w:p>
        </w:tc>
      </w:tr>
      <w:tr w:rsidR="00B82C36" w:rsidRPr="00E82F72" w:rsidTr="00B82C36">
        <w:trPr>
          <w:trHeight w:val="255"/>
          <w:jc w:val="center"/>
        </w:trPr>
        <w:tc>
          <w:tcPr>
            <w:tcW w:w="2391" w:type="dxa"/>
            <w:tcBorders>
              <w:top w:val="nil"/>
              <w:left w:val="single" w:sz="4" w:space="0" w:color="auto"/>
              <w:bottom w:val="single" w:sz="4" w:space="0" w:color="auto"/>
              <w:right w:val="single" w:sz="4" w:space="0" w:color="auto"/>
            </w:tcBorders>
            <w:shd w:val="clear" w:color="auto" w:fill="auto"/>
            <w:noWrap/>
            <w:vAlign w:val="bottom"/>
            <w:hideMark/>
          </w:tcPr>
          <w:p w:rsidR="00B82C36" w:rsidRPr="00E92012" w:rsidRDefault="00B82C36" w:rsidP="00A305E9">
            <w:r w:rsidRPr="00E92012">
              <w:t>Spain</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40,2</w:t>
            </w:r>
          </w:p>
        </w:tc>
        <w:tc>
          <w:tcPr>
            <w:tcW w:w="127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54</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61,7</w:t>
            </w:r>
          </w:p>
        </w:tc>
        <w:tc>
          <w:tcPr>
            <w:tcW w:w="148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70,5</w:t>
            </w:r>
          </w:p>
        </w:tc>
        <w:tc>
          <w:tcPr>
            <w:tcW w:w="129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86</w:t>
            </w:r>
          </w:p>
        </w:tc>
      </w:tr>
      <w:tr w:rsidR="00B82C36" w:rsidRPr="00E82F72" w:rsidTr="00B82C36">
        <w:trPr>
          <w:trHeight w:val="255"/>
          <w:jc w:val="center"/>
        </w:trPr>
        <w:tc>
          <w:tcPr>
            <w:tcW w:w="2391" w:type="dxa"/>
            <w:tcBorders>
              <w:top w:val="nil"/>
              <w:left w:val="single" w:sz="4" w:space="0" w:color="auto"/>
              <w:bottom w:val="single" w:sz="4" w:space="0" w:color="auto"/>
              <w:right w:val="single" w:sz="4" w:space="0" w:color="auto"/>
            </w:tcBorders>
            <w:shd w:val="clear" w:color="auto" w:fill="auto"/>
            <w:noWrap/>
            <w:vAlign w:val="bottom"/>
            <w:hideMark/>
          </w:tcPr>
          <w:p w:rsidR="00B82C36" w:rsidRPr="00E92012" w:rsidRDefault="00B82C36" w:rsidP="00A305E9">
            <w:r w:rsidRPr="00E92012">
              <w:t>France</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68,2</w:t>
            </w:r>
          </w:p>
        </w:tc>
        <w:tc>
          <w:tcPr>
            <w:tcW w:w="127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79,2</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82,4</w:t>
            </w:r>
          </w:p>
        </w:tc>
        <w:tc>
          <w:tcPr>
            <w:tcW w:w="148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85,8</w:t>
            </w:r>
          </w:p>
        </w:tc>
        <w:tc>
          <w:tcPr>
            <w:tcW w:w="129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90,2</w:t>
            </w:r>
          </w:p>
        </w:tc>
      </w:tr>
      <w:tr w:rsidR="00B82C36" w:rsidRPr="00E82F72" w:rsidTr="00B82C36">
        <w:trPr>
          <w:trHeight w:val="255"/>
          <w:jc w:val="center"/>
        </w:trPr>
        <w:tc>
          <w:tcPr>
            <w:tcW w:w="2391" w:type="dxa"/>
            <w:tcBorders>
              <w:top w:val="nil"/>
              <w:left w:val="single" w:sz="4" w:space="0" w:color="auto"/>
              <w:bottom w:val="single" w:sz="4" w:space="0" w:color="auto"/>
              <w:right w:val="single" w:sz="4" w:space="0" w:color="auto"/>
            </w:tcBorders>
            <w:shd w:val="clear" w:color="auto" w:fill="auto"/>
            <w:noWrap/>
            <w:vAlign w:val="bottom"/>
            <w:hideMark/>
          </w:tcPr>
          <w:p w:rsidR="00B82C36" w:rsidRPr="00E92012" w:rsidRDefault="00B82C36" w:rsidP="00A305E9">
            <w:r w:rsidRPr="00E92012">
              <w:t>Croatia</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w:t>
            </w:r>
          </w:p>
        </w:tc>
        <w:tc>
          <w:tcPr>
            <w:tcW w:w="127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36,6</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44,9</w:t>
            </w:r>
          </w:p>
        </w:tc>
        <w:tc>
          <w:tcPr>
            <w:tcW w:w="148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51,6</w:t>
            </w:r>
          </w:p>
        </w:tc>
        <w:tc>
          <w:tcPr>
            <w:tcW w:w="129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55,5</w:t>
            </w:r>
          </w:p>
        </w:tc>
      </w:tr>
      <w:tr w:rsidR="00B82C36" w:rsidRPr="00E82F72" w:rsidTr="00B82C36">
        <w:trPr>
          <w:trHeight w:val="255"/>
          <w:jc w:val="center"/>
        </w:trPr>
        <w:tc>
          <w:tcPr>
            <w:tcW w:w="2391" w:type="dxa"/>
            <w:tcBorders>
              <w:top w:val="nil"/>
              <w:left w:val="single" w:sz="4" w:space="0" w:color="auto"/>
              <w:bottom w:val="single" w:sz="4" w:space="0" w:color="auto"/>
              <w:right w:val="single" w:sz="4" w:space="0" w:color="auto"/>
            </w:tcBorders>
            <w:shd w:val="clear" w:color="auto" w:fill="auto"/>
            <w:noWrap/>
            <w:vAlign w:val="bottom"/>
            <w:hideMark/>
          </w:tcPr>
          <w:p w:rsidR="00B82C36" w:rsidRPr="00E92012" w:rsidRDefault="00B82C36" w:rsidP="00A305E9">
            <w:r w:rsidRPr="00E92012">
              <w:t>Italy</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106,1</w:t>
            </w:r>
          </w:p>
        </w:tc>
        <w:tc>
          <w:tcPr>
            <w:tcW w:w="127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116,4</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119,3</w:t>
            </w:r>
          </w:p>
        </w:tc>
        <w:tc>
          <w:tcPr>
            <w:tcW w:w="148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120,7</w:t>
            </w:r>
          </w:p>
        </w:tc>
        <w:tc>
          <w:tcPr>
            <w:tcW w:w="129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127</w:t>
            </w:r>
          </w:p>
        </w:tc>
      </w:tr>
      <w:tr w:rsidR="00B82C36" w:rsidRPr="00E82F72" w:rsidTr="00B82C36">
        <w:trPr>
          <w:trHeight w:val="255"/>
          <w:jc w:val="center"/>
        </w:trPr>
        <w:tc>
          <w:tcPr>
            <w:tcW w:w="2391" w:type="dxa"/>
            <w:tcBorders>
              <w:top w:val="nil"/>
              <w:left w:val="single" w:sz="4" w:space="0" w:color="auto"/>
              <w:bottom w:val="single" w:sz="4" w:space="0" w:color="auto"/>
              <w:right w:val="single" w:sz="4" w:space="0" w:color="auto"/>
            </w:tcBorders>
            <w:shd w:val="clear" w:color="auto" w:fill="auto"/>
            <w:noWrap/>
            <w:vAlign w:val="bottom"/>
            <w:hideMark/>
          </w:tcPr>
          <w:p w:rsidR="00B82C36" w:rsidRPr="00E92012" w:rsidRDefault="00B82C36" w:rsidP="00A305E9">
            <w:r w:rsidRPr="00E92012">
              <w:t>Cyprus</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48,9</w:t>
            </w:r>
          </w:p>
        </w:tc>
        <w:tc>
          <w:tcPr>
            <w:tcW w:w="127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58,5</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61,3</w:t>
            </w:r>
          </w:p>
        </w:tc>
        <w:tc>
          <w:tcPr>
            <w:tcW w:w="148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71,5</w:t>
            </w:r>
          </w:p>
        </w:tc>
        <w:tc>
          <w:tcPr>
            <w:tcW w:w="129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86,6</w:t>
            </w:r>
          </w:p>
        </w:tc>
      </w:tr>
      <w:tr w:rsidR="00B82C36" w:rsidRPr="00E82F72" w:rsidTr="00B82C36">
        <w:trPr>
          <w:trHeight w:val="255"/>
          <w:jc w:val="center"/>
        </w:trPr>
        <w:tc>
          <w:tcPr>
            <w:tcW w:w="2391" w:type="dxa"/>
            <w:tcBorders>
              <w:top w:val="nil"/>
              <w:left w:val="single" w:sz="4" w:space="0" w:color="auto"/>
              <w:bottom w:val="single" w:sz="4" w:space="0" w:color="auto"/>
              <w:right w:val="single" w:sz="4" w:space="0" w:color="auto"/>
            </w:tcBorders>
            <w:shd w:val="clear" w:color="auto" w:fill="auto"/>
            <w:noWrap/>
            <w:vAlign w:val="bottom"/>
            <w:hideMark/>
          </w:tcPr>
          <w:p w:rsidR="00B82C36" w:rsidRPr="00E92012" w:rsidRDefault="00B82C36" w:rsidP="00A305E9">
            <w:r w:rsidRPr="00E92012">
              <w:t>Latvia</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19,8</w:t>
            </w:r>
          </w:p>
        </w:tc>
        <w:tc>
          <w:tcPr>
            <w:tcW w:w="127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36,9</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44,4</w:t>
            </w:r>
          </w:p>
        </w:tc>
        <w:tc>
          <w:tcPr>
            <w:tcW w:w="148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41,9</w:t>
            </w:r>
          </w:p>
        </w:tc>
        <w:tc>
          <w:tcPr>
            <w:tcW w:w="129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40,6</w:t>
            </w:r>
          </w:p>
        </w:tc>
      </w:tr>
      <w:tr w:rsidR="00B82C36" w:rsidRPr="00E82F72" w:rsidTr="00B82C36">
        <w:trPr>
          <w:trHeight w:val="255"/>
          <w:jc w:val="center"/>
        </w:trPr>
        <w:tc>
          <w:tcPr>
            <w:tcW w:w="2391" w:type="dxa"/>
            <w:tcBorders>
              <w:top w:val="nil"/>
              <w:left w:val="single" w:sz="4" w:space="0" w:color="auto"/>
              <w:bottom w:val="single" w:sz="4" w:space="0" w:color="auto"/>
              <w:right w:val="single" w:sz="4" w:space="0" w:color="auto"/>
            </w:tcBorders>
            <w:shd w:val="clear" w:color="auto" w:fill="auto"/>
            <w:noWrap/>
            <w:vAlign w:val="bottom"/>
            <w:hideMark/>
          </w:tcPr>
          <w:p w:rsidR="00B82C36" w:rsidRPr="00E92012" w:rsidRDefault="00B82C36" w:rsidP="00A305E9">
            <w:r w:rsidRPr="00E92012">
              <w:t>Lithuania</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15,5</w:t>
            </w:r>
          </w:p>
        </w:tc>
        <w:tc>
          <w:tcPr>
            <w:tcW w:w="127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29,3</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37,8</w:t>
            </w:r>
          </w:p>
        </w:tc>
        <w:tc>
          <w:tcPr>
            <w:tcW w:w="148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38,3</w:t>
            </w:r>
          </w:p>
        </w:tc>
        <w:tc>
          <w:tcPr>
            <w:tcW w:w="129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40,5</w:t>
            </w:r>
          </w:p>
        </w:tc>
      </w:tr>
      <w:tr w:rsidR="00B82C36" w:rsidRPr="00E82F72" w:rsidTr="00B82C36">
        <w:trPr>
          <w:trHeight w:val="255"/>
          <w:jc w:val="center"/>
        </w:trPr>
        <w:tc>
          <w:tcPr>
            <w:tcW w:w="2391" w:type="dxa"/>
            <w:tcBorders>
              <w:top w:val="nil"/>
              <w:left w:val="single" w:sz="4" w:space="0" w:color="auto"/>
              <w:bottom w:val="single" w:sz="4" w:space="0" w:color="auto"/>
              <w:right w:val="single" w:sz="4" w:space="0" w:color="auto"/>
            </w:tcBorders>
            <w:shd w:val="clear" w:color="auto" w:fill="auto"/>
            <w:noWrap/>
            <w:vAlign w:val="bottom"/>
            <w:hideMark/>
          </w:tcPr>
          <w:p w:rsidR="00B82C36" w:rsidRPr="00E92012" w:rsidRDefault="00B82C36" w:rsidP="00A305E9">
            <w:r w:rsidRPr="00E92012">
              <w:t>Luxembourg</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14,4</w:t>
            </w:r>
          </w:p>
        </w:tc>
        <w:tc>
          <w:tcPr>
            <w:tcW w:w="127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15,5</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19,5</w:t>
            </w:r>
          </w:p>
        </w:tc>
        <w:tc>
          <w:tcPr>
            <w:tcW w:w="148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18,7</w:t>
            </w:r>
          </w:p>
        </w:tc>
        <w:tc>
          <w:tcPr>
            <w:tcW w:w="129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21,7</w:t>
            </w:r>
          </w:p>
        </w:tc>
      </w:tr>
      <w:tr w:rsidR="00B82C36" w:rsidRPr="00E82F72" w:rsidTr="00B82C36">
        <w:trPr>
          <w:trHeight w:val="255"/>
          <w:jc w:val="center"/>
        </w:trPr>
        <w:tc>
          <w:tcPr>
            <w:tcW w:w="2391" w:type="dxa"/>
            <w:tcBorders>
              <w:top w:val="nil"/>
              <w:left w:val="single" w:sz="4" w:space="0" w:color="auto"/>
              <w:bottom w:val="single" w:sz="4" w:space="0" w:color="auto"/>
              <w:right w:val="single" w:sz="4" w:space="0" w:color="auto"/>
            </w:tcBorders>
            <w:shd w:val="clear" w:color="auto" w:fill="auto"/>
            <w:noWrap/>
            <w:vAlign w:val="bottom"/>
            <w:hideMark/>
          </w:tcPr>
          <w:p w:rsidR="00B82C36" w:rsidRPr="00E92012" w:rsidRDefault="00B82C36" w:rsidP="00A305E9">
            <w:r w:rsidRPr="00E92012">
              <w:t>Hungary</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73</w:t>
            </w:r>
          </w:p>
        </w:tc>
        <w:tc>
          <w:tcPr>
            <w:tcW w:w="127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79,8</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82,2</w:t>
            </w:r>
          </w:p>
        </w:tc>
        <w:tc>
          <w:tcPr>
            <w:tcW w:w="148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82,1</w:t>
            </w:r>
          </w:p>
        </w:tc>
        <w:tc>
          <w:tcPr>
            <w:tcW w:w="129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79,8</w:t>
            </w:r>
          </w:p>
        </w:tc>
      </w:tr>
      <w:tr w:rsidR="00B82C36" w:rsidRPr="00E82F72" w:rsidTr="00B82C36">
        <w:trPr>
          <w:trHeight w:val="255"/>
          <w:jc w:val="center"/>
        </w:trPr>
        <w:tc>
          <w:tcPr>
            <w:tcW w:w="2391" w:type="dxa"/>
            <w:tcBorders>
              <w:top w:val="nil"/>
              <w:left w:val="single" w:sz="4" w:space="0" w:color="auto"/>
              <w:bottom w:val="single" w:sz="4" w:space="0" w:color="auto"/>
              <w:right w:val="single" w:sz="4" w:space="0" w:color="auto"/>
            </w:tcBorders>
            <w:shd w:val="clear" w:color="auto" w:fill="auto"/>
            <w:noWrap/>
            <w:vAlign w:val="bottom"/>
            <w:hideMark/>
          </w:tcPr>
          <w:p w:rsidR="00B82C36" w:rsidRPr="00E92012" w:rsidRDefault="00B82C36" w:rsidP="00A305E9">
            <w:r w:rsidRPr="00E92012">
              <w:t>Malta</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60,9</w:t>
            </w:r>
          </w:p>
        </w:tc>
        <w:tc>
          <w:tcPr>
            <w:tcW w:w="127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66,5</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66,8</w:t>
            </w:r>
          </w:p>
        </w:tc>
        <w:tc>
          <w:tcPr>
            <w:tcW w:w="148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69,5</w:t>
            </w:r>
          </w:p>
        </w:tc>
        <w:tc>
          <w:tcPr>
            <w:tcW w:w="129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71,3</w:t>
            </w:r>
          </w:p>
        </w:tc>
      </w:tr>
      <w:tr w:rsidR="00B82C36" w:rsidRPr="00E82F72" w:rsidTr="00B82C36">
        <w:trPr>
          <w:trHeight w:val="255"/>
          <w:jc w:val="center"/>
        </w:trPr>
        <w:tc>
          <w:tcPr>
            <w:tcW w:w="2391" w:type="dxa"/>
            <w:tcBorders>
              <w:top w:val="nil"/>
              <w:left w:val="single" w:sz="4" w:space="0" w:color="auto"/>
              <w:bottom w:val="single" w:sz="4" w:space="0" w:color="auto"/>
              <w:right w:val="single" w:sz="4" w:space="0" w:color="auto"/>
            </w:tcBorders>
            <w:shd w:val="clear" w:color="auto" w:fill="auto"/>
            <w:noWrap/>
            <w:vAlign w:val="bottom"/>
            <w:hideMark/>
          </w:tcPr>
          <w:p w:rsidR="00B82C36" w:rsidRPr="00E92012" w:rsidRDefault="00B82C36" w:rsidP="00A305E9">
            <w:r w:rsidRPr="00E92012">
              <w:t>Netherlands</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58,5</w:t>
            </w:r>
          </w:p>
        </w:tc>
        <w:tc>
          <w:tcPr>
            <w:tcW w:w="127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60,8</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63,4</w:t>
            </w:r>
          </w:p>
        </w:tc>
        <w:tc>
          <w:tcPr>
            <w:tcW w:w="148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65,7</w:t>
            </w:r>
          </w:p>
        </w:tc>
        <w:tc>
          <w:tcPr>
            <w:tcW w:w="129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71,3</w:t>
            </w:r>
          </w:p>
        </w:tc>
      </w:tr>
      <w:tr w:rsidR="00B82C36" w:rsidRPr="00E82F72" w:rsidTr="00B82C36">
        <w:trPr>
          <w:trHeight w:val="255"/>
          <w:jc w:val="center"/>
        </w:trPr>
        <w:tc>
          <w:tcPr>
            <w:tcW w:w="2391" w:type="dxa"/>
            <w:tcBorders>
              <w:top w:val="nil"/>
              <w:left w:val="single" w:sz="4" w:space="0" w:color="auto"/>
              <w:bottom w:val="single" w:sz="4" w:space="0" w:color="auto"/>
              <w:right w:val="single" w:sz="4" w:space="0" w:color="auto"/>
            </w:tcBorders>
            <w:shd w:val="clear" w:color="auto" w:fill="auto"/>
            <w:noWrap/>
            <w:vAlign w:val="bottom"/>
            <w:hideMark/>
          </w:tcPr>
          <w:p w:rsidR="00B82C36" w:rsidRPr="00E92012" w:rsidRDefault="00B82C36" w:rsidP="00A305E9">
            <w:r w:rsidRPr="00E92012">
              <w:t>Austria</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63,8</w:t>
            </w:r>
          </w:p>
        </w:tc>
        <w:tc>
          <w:tcPr>
            <w:tcW w:w="127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69,2</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72,3</w:t>
            </w:r>
          </w:p>
        </w:tc>
        <w:tc>
          <w:tcPr>
            <w:tcW w:w="148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72,8</w:t>
            </w:r>
          </w:p>
        </w:tc>
        <w:tc>
          <w:tcPr>
            <w:tcW w:w="129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74</w:t>
            </w:r>
          </w:p>
        </w:tc>
      </w:tr>
      <w:tr w:rsidR="00B82C36" w:rsidRPr="00E82F72" w:rsidTr="00B82C36">
        <w:trPr>
          <w:trHeight w:val="255"/>
          <w:jc w:val="center"/>
        </w:trPr>
        <w:tc>
          <w:tcPr>
            <w:tcW w:w="2391" w:type="dxa"/>
            <w:tcBorders>
              <w:top w:val="nil"/>
              <w:left w:val="single" w:sz="4" w:space="0" w:color="auto"/>
              <w:bottom w:val="single" w:sz="4" w:space="0" w:color="auto"/>
              <w:right w:val="single" w:sz="4" w:space="0" w:color="auto"/>
            </w:tcBorders>
            <w:shd w:val="clear" w:color="auto" w:fill="auto"/>
            <w:noWrap/>
            <w:vAlign w:val="bottom"/>
            <w:hideMark/>
          </w:tcPr>
          <w:p w:rsidR="00B82C36" w:rsidRPr="00E92012" w:rsidRDefault="00B82C36" w:rsidP="00A305E9">
            <w:r w:rsidRPr="00E92012">
              <w:t>Poland</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47,1</w:t>
            </w:r>
          </w:p>
        </w:tc>
        <w:tc>
          <w:tcPr>
            <w:tcW w:w="127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50,9</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54,9</w:t>
            </w:r>
          </w:p>
        </w:tc>
        <w:tc>
          <w:tcPr>
            <w:tcW w:w="148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56,2</w:t>
            </w:r>
          </w:p>
        </w:tc>
        <w:tc>
          <w:tcPr>
            <w:tcW w:w="129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55,6</w:t>
            </w:r>
          </w:p>
        </w:tc>
      </w:tr>
      <w:tr w:rsidR="00B82C36" w:rsidRPr="00E82F72" w:rsidTr="00B82C36">
        <w:trPr>
          <w:trHeight w:val="255"/>
          <w:jc w:val="center"/>
        </w:trPr>
        <w:tc>
          <w:tcPr>
            <w:tcW w:w="2391" w:type="dxa"/>
            <w:tcBorders>
              <w:top w:val="nil"/>
              <w:left w:val="single" w:sz="4" w:space="0" w:color="auto"/>
              <w:bottom w:val="single" w:sz="4" w:space="0" w:color="auto"/>
              <w:right w:val="single" w:sz="4" w:space="0" w:color="auto"/>
            </w:tcBorders>
            <w:shd w:val="clear" w:color="auto" w:fill="auto"/>
            <w:noWrap/>
            <w:vAlign w:val="bottom"/>
            <w:hideMark/>
          </w:tcPr>
          <w:p w:rsidR="00B82C36" w:rsidRPr="00E92012" w:rsidRDefault="00B82C36" w:rsidP="00A305E9">
            <w:r w:rsidRPr="00E92012">
              <w:t>Portugal</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71,7</w:t>
            </w:r>
          </w:p>
        </w:tc>
        <w:tc>
          <w:tcPr>
            <w:tcW w:w="127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83,7</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94</w:t>
            </w:r>
          </w:p>
        </w:tc>
        <w:tc>
          <w:tcPr>
            <w:tcW w:w="148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108,2</w:t>
            </w:r>
          </w:p>
        </w:tc>
        <w:tc>
          <w:tcPr>
            <w:tcW w:w="129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124,1</w:t>
            </w:r>
          </w:p>
        </w:tc>
      </w:tr>
      <w:tr w:rsidR="00B82C36" w:rsidRPr="00E82F72" w:rsidTr="00B82C36">
        <w:trPr>
          <w:trHeight w:val="255"/>
          <w:jc w:val="center"/>
        </w:trPr>
        <w:tc>
          <w:tcPr>
            <w:tcW w:w="2391" w:type="dxa"/>
            <w:tcBorders>
              <w:top w:val="nil"/>
              <w:left w:val="single" w:sz="4" w:space="0" w:color="auto"/>
              <w:bottom w:val="single" w:sz="4" w:space="0" w:color="auto"/>
              <w:right w:val="single" w:sz="4" w:space="0" w:color="auto"/>
            </w:tcBorders>
            <w:shd w:val="clear" w:color="auto" w:fill="auto"/>
            <w:noWrap/>
            <w:vAlign w:val="bottom"/>
            <w:hideMark/>
          </w:tcPr>
          <w:p w:rsidR="00B82C36" w:rsidRPr="00E92012" w:rsidRDefault="00B82C36" w:rsidP="00A305E9">
            <w:r w:rsidRPr="00E92012">
              <w:t>Romania</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13,4</w:t>
            </w:r>
          </w:p>
        </w:tc>
        <w:tc>
          <w:tcPr>
            <w:tcW w:w="127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23,6</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30,5</w:t>
            </w:r>
          </w:p>
        </w:tc>
        <w:tc>
          <w:tcPr>
            <w:tcW w:w="148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34,7</w:t>
            </w:r>
          </w:p>
        </w:tc>
        <w:tc>
          <w:tcPr>
            <w:tcW w:w="129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37,9</w:t>
            </w:r>
          </w:p>
        </w:tc>
      </w:tr>
      <w:tr w:rsidR="00B82C36" w:rsidRPr="00E82F72" w:rsidTr="00B82C36">
        <w:trPr>
          <w:trHeight w:val="255"/>
          <w:jc w:val="center"/>
        </w:trPr>
        <w:tc>
          <w:tcPr>
            <w:tcW w:w="2391" w:type="dxa"/>
            <w:tcBorders>
              <w:top w:val="nil"/>
              <w:left w:val="single" w:sz="4" w:space="0" w:color="auto"/>
              <w:bottom w:val="single" w:sz="4" w:space="0" w:color="auto"/>
              <w:right w:val="single" w:sz="4" w:space="0" w:color="auto"/>
            </w:tcBorders>
            <w:shd w:val="clear" w:color="auto" w:fill="auto"/>
            <w:noWrap/>
            <w:vAlign w:val="bottom"/>
            <w:hideMark/>
          </w:tcPr>
          <w:p w:rsidR="00B82C36" w:rsidRPr="00E92012" w:rsidRDefault="00B82C36" w:rsidP="00A305E9">
            <w:r w:rsidRPr="00E92012">
              <w:t>Slovenia</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22</w:t>
            </w:r>
          </w:p>
        </w:tc>
        <w:tc>
          <w:tcPr>
            <w:tcW w:w="127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35,2</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38,7</w:t>
            </w:r>
          </w:p>
        </w:tc>
        <w:tc>
          <w:tcPr>
            <w:tcW w:w="148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47,1</w:t>
            </w:r>
          </w:p>
        </w:tc>
        <w:tc>
          <w:tcPr>
            <w:tcW w:w="129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54,4</w:t>
            </w:r>
          </w:p>
        </w:tc>
      </w:tr>
      <w:tr w:rsidR="00B82C36" w:rsidRPr="00E82F72" w:rsidTr="00B82C36">
        <w:trPr>
          <w:trHeight w:val="255"/>
          <w:jc w:val="center"/>
        </w:trPr>
        <w:tc>
          <w:tcPr>
            <w:tcW w:w="2391" w:type="dxa"/>
            <w:tcBorders>
              <w:top w:val="nil"/>
              <w:left w:val="single" w:sz="4" w:space="0" w:color="auto"/>
              <w:bottom w:val="single" w:sz="4" w:space="0" w:color="auto"/>
              <w:right w:val="single" w:sz="4" w:space="0" w:color="auto"/>
            </w:tcBorders>
            <w:shd w:val="clear" w:color="auto" w:fill="auto"/>
            <w:noWrap/>
            <w:vAlign w:val="bottom"/>
            <w:hideMark/>
          </w:tcPr>
          <w:p w:rsidR="00B82C36" w:rsidRPr="00E92012" w:rsidRDefault="00B82C36" w:rsidP="00A305E9">
            <w:r w:rsidRPr="00E92012">
              <w:t>Slovakia</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27,9</w:t>
            </w:r>
          </w:p>
        </w:tc>
        <w:tc>
          <w:tcPr>
            <w:tcW w:w="127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35,6</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41</w:t>
            </w:r>
          </w:p>
        </w:tc>
        <w:tc>
          <w:tcPr>
            <w:tcW w:w="148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43,4</w:t>
            </w:r>
          </w:p>
        </w:tc>
        <w:tc>
          <w:tcPr>
            <w:tcW w:w="129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52,4</w:t>
            </w:r>
          </w:p>
        </w:tc>
      </w:tr>
      <w:tr w:rsidR="00B82C36" w:rsidRPr="00E82F72" w:rsidTr="00B82C36">
        <w:trPr>
          <w:trHeight w:val="255"/>
          <w:jc w:val="center"/>
        </w:trPr>
        <w:tc>
          <w:tcPr>
            <w:tcW w:w="2391" w:type="dxa"/>
            <w:tcBorders>
              <w:top w:val="nil"/>
              <w:left w:val="single" w:sz="4" w:space="0" w:color="auto"/>
              <w:bottom w:val="single" w:sz="4" w:space="0" w:color="auto"/>
              <w:right w:val="single" w:sz="4" w:space="0" w:color="auto"/>
            </w:tcBorders>
            <w:shd w:val="clear" w:color="auto" w:fill="auto"/>
            <w:noWrap/>
            <w:vAlign w:val="bottom"/>
            <w:hideMark/>
          </w:tcPr>
          <w:p w:rsidR="00B82C36" w:rsidRPr="00E92012" w:rsidRDefault="00B82C36" w:rsidP="00A305E9">
            <w:r w:rsidRPr="00E92012">
              <w:t>Finland</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33,9</w:t>
            </w:r>
          </w:p>
        </w:tc>
        <w:tc>
          <w:tcPr>
            <w:tcW w:w="127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43,5</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48,7</w:t>
            </w:r>
          </w:p>
        </w:tc>
        <w:tc>
          <w:tcPr>
            <w:tcW w:w="148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49,2</w:t>
            </w:r>
          </w:p>
        </w:tc>
        <w:tc>
          <w:tcPr>
            <w:tcW w:w="129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53,6</w:t>
            </w:r>
          </w:p>
        </w:tc>
      </w:tr>
      <w:tr w:rsidR="00B82C36" w:rsidRPr="00E82F72" w:rsidTr="00B82C36">
        <w:trPr>
          <w:trHeight w:val="255"/>
          <w:jc w:val="center"/>
        </w:trPr>
        <w:tc>
          <w:tcPr>
            <w:tcW w:w="2391" w:type="dxa"/>
            <w:tcBorders>
              <w:top w:val="nil"/>
              <w:left w:val="single" w:sz="4" w:space="0" w:color="auto"/>
              <w:bottom w:val="single" w:sz="4" w:space="0" w:color="auto"/>
              <w:right w:val="single" w:sz="4" w:space="0" w:color="auto"/>
            </w:tcBorders>
            <w:shd w:val="clear" w:color="auto" w:fill="auto"/>
            <w:noWrap/>
            <w:vAlign w:val="bottom"/>
            <w:hideMark/>
          </w:tcPr>
          <w:p w:rsidR="00B82C36" w:rsidRPr="00E92012" w:rsidRDefault="00B82C36" w:rsidP="00A305E9">
            <w:r w:rsidRPr="00E92012">
              <w:t>Sweden</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38,8</w:t>
            </w:r>
          </w:p>
        </w:tc>
        <w:tc>
          <w:tcPr>
            <w:tcW w:w="127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42,6</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39,4</w:t>
            </w:r>
          </w:p>
        </w:tc>
        <w:tc>
          <w:tcPr>
            <w:tcW w:w="148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38,6</w:t>
            </w:r>
          </w:p>
        </w:tc>
        <w:tc>
          <w:tcPr>
            <w:tcW w:w="129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38,2</w:t>
            </w:r>
          </w:p>
        </w:tc>
      </w:tr>
      <w:tr w:rsidR="00B82C36" w:rsidRPr="00E82F72" w:rsidTr="00B82C36">
        <w:trPr>
          <w:trHeight w:val="255"/>
          <w:jc w:val="center"/>
        </w:trPr>
        <w:tc>
          <w:tcPr>
            <w:tcW w:w="2391" w:type="dxa"/>
            <w:tcBorders>
              <w:top w:val="nil"/>
              <w:left w:val="single" w:sz="4" w:space="0" w:color="auto"/>
              <w:bottom w:val="single" w:sz="4" w:space="0" w:color="auto"/>
              <w:right w:val="single" w:sz="4" w:space="0" w:color="auto"/>
            </w:tcBorders>
            <w:shd w:val="clear" w:color="auto" w:fill="auto"/>
            <w:noWrap/>
            <w:vAlign w:val="bottom"/>
            <w:hideMark/>
          </w:tcPr>
          <w:p w:rsidR="00B82C36" w:rsidRPr="00E92012" w:rsidRDefault="00B82C36" w:rsidP="00A305E9">
            <w:r w:rsidRPr="00E92012">
              <w:t>United Kingdom</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51,9</w:t>
            </w:r>
          </w:p>
        </w:tc>
        <w:tc>
          <w:tcPr>
            <w:tcW w:w="127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67,1</w:t>
            </w:r>
          </w:p>
        </w:tc>
        <w:tc>
          <w:tcPr>
            <w:tcW w:w="138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78,4</w:t>
            </w:r>
          </w:p>
        </w:tc>
        <w:tc>
          <w:tcPr>
            <w:tcW w:w="1485"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84,3</w:t>
            </w:r>
          </w:p>
        </w:tc>
        <w:tc>
          <w:tcPr>
            <w:tcW w:w="1293" w:type="dxa"/>
            <w:tcBorders>
              <w:top w:val="nil"/>
              <w:left w:val="nil"/>
              <w:bottom w:val="single" w:sz="4" w:space="0" w:color="auto"/>
              <w:right w:val="single" w:sz="4" w:space="0" w:color="auto"/>
            </w:tcBorders>
            <w:shd w:val="clear" w:color="auto" w:fill="auto"/>
            <w:noWrap/>
            <w:vAlign w:val="bottom"/>
            <w:hideMark/>
          </w:tcPr>
          <w:p w:rsidR="00B82C36" w:rsidRPr="00E92012" w:rsidRDefault="00B82C36" w:rsidP="00A305E9">
            <w:pPr>
              <w:jc w:val="right"/>
            </w:pPr>
            <w:r w:rsidRPr="00E92012">
              <w:t>88,7</w:t>
            </w:r>
          </w:p>
        </w:tc>
      </w:tr>
    </w:tbl>
    <w:p w:rsidR="00B82C36" w:rsidRDefault="00B82C36" w:rsidP="00B82C36">
      <w:r w:rsidRPr="004A022F">
        <w:t>Šaltinis: sudaryta pagal Eurostat duomenis</w:t>
      </w:r>
      <w:r w:rsidRPr="004A022F">
        <w:tab/>
      </w:r>
    </w:p>
    <w:p w:rsidR="00B82C36" w:rsidRDefault="00B82C36" w:rsidP="00B82C36">
      <w:pPr>
        <w:jc w:val="right"/>
        <w:rPr>
          <w:b/>
        </w:rPr>
      </w:pPr>
    </w:p>
    <w:p w:rsidR="00B82C36" w:rsidRDefault="00B82C36" w:rsidP="00B82C36">
      <w:pPr>
        <w:jc w:val="right"/>
        <w:rPr>
          <w:b/>
        </w:rPr>
      </w:pPr>
    </w:p>
    <w:p w:rsidR="00B82C36" w:rsidRDefault="00B82C36" w:rsidP="00B82C36">
      <w:pPr>
        <w:jc w:val="right"/>
        <w:rPr>
          <w:b/>
        </w:rPr>
      </w:pPr>
    </w:p>
    <w:p w:rsidR="00B82C36" w:rsidRDefault="00B82C36" w:rsidP="00BC48C4">
      <w:pPr>
        <w:tabs>
          <w:tab w:val="left" w:pos="7710"/>
        </w:tabs>
        <w:rPr>
          <w:b/>
        </w:rPr>
      </w:pPr>
    </w:p>
    <w:p w:rsidR="00BC48C4" w:rsidRDefault="00BC48C4" w:rsidP="00BC48C4">
      <w:pPr>
        <w:tabs>
          <w:tab w:val="left" w:pos="7710"/>
        </w:tabs>
        <w:rPr>
          <w:b/>
        </w:rPr>
      </w:pPr>
    </w:p>
    <w:p w:rsidR="0005304F" w:rsidRDefault="0005304F" w:rsidP="00BC48C4">
      <w:pPr>
        <w:tabs>
          <w:tab w:val="left" w:pos="7710"/>
        </w:tabs>
        <w:rPr>
          <w:b/>
        </w:rPr>
      </w:pPr>
    </w:p>
    <w:p w:rsidR="0005304F" w:rsidRDefault="0005304F" w:rsidP="00BC48C4">
      <w:pPr>
        <w:tabs>
          <w:tab w:val="left" w:pos="7710"/>
        </w:tabs>
        <w:rPr>
          <w:b/>
        </w:rPr>
      </w:pPr>
    </w:p>
    <w:p w:rsidR="0005304F" w:rsidRDefault="0005304F" w:rsidP="00BC48C4">
      <w:pPr>
        <w:tabs>
          <w:tab w:val="left" w:pos="7710"/>
        </w:tabs>
        <w:rPr>
          <w:b/>
        </w:rPr>
      </w:pPr>
    </w:p>
    <w:p w:rsidR="0005304F" w:rsidRDefault="0005304F" w:rsidP="00BC48C4">
      <w:pPr>
        <w:tabs>
          <w:tab w:val="left" w:pos="7710"/>
        </w:tabs>
        <w:rPr>
          <w:b/>
        </w:rPr>
      </w:pPr>
    </w:p>
    <w:p w:rsidR="0005304F" w:rsidRDefault="0005304F" w:rsidP="00BC48C4">
      <w:pPr>
        <w:tabs>
          <w:tab w:val="left" w:pos="7710"/>
        </w:tabs>
        <w:rPr>
          <w:b/>
        </w:rPr>
      </w:pPr>
    </w:p>
    <w:p w:rsidR="0005304F" w:rsidRDefault="0005304F" w:rsidP="00BC48C4">
      <w:pPr>
        <w:tabs>
          <w:tab w:val="left" w:pos="7710"/>
        </w:tabs>
        <w:rPr>
          <w:b/>
        </w:rPr>
      </w:pPr>
    </w:p>
    <w:p w:rsidR="0005304F" w:rsidRDefault="0005304F" w:rsidP="00BC48C4">
      <w:pPr>
        <w:tabs>
          <w:tab w:val="left" w:pos="7710"/>
        </w:tabs>
        <w:rPr>
          <w:b/>
        </w:rPr>
      </w:pPr>
    </w:p>
    <w:p w:rsidR="0005304F" w:rsidRDefault="0005304F" w:rsidP="00BC48C4">
      <w:pPr>
        <w:tabs>
          <w:tab w:val="left" w:pos="7710"/>
        </w:tabs>
        <w:rPr>
          <w:b/>
        </w:rPr>
      </w:pPr>
    </w:p>
    <w:p w:rsidR="0005304F" w:rsidRDefault="0005304F" w:rsidP="00BC48C4">
      <w:pPr>
        <w:tabs>
          <w:tab w:val="left" w:pos="7710"/>
        </w:tabs>
        <w:rPr>
          <w:b/>
        </w:rPr>
      </w:pPr>
    </w:p>
    <w:p w:rsidR="0005304F" w:rsidRDefault="0005304F" w:rsidP="00BC48C4">
      <w:pPr>
        <w:tabs>
          <w:tab w:val="left" w:pos="7710"/>
        </w:tabs>
        <w:rPr>
          <w:b/>
        </w:rPr>
      </w:pPr>
    </w:p>
    <w:p w:rsidR="0005304F" w:rsidRDefault="0005304F" w:rsidP="00BC48C4">
      <w:pPr>
        <w:tabs>
          <w:tab w:val="left" w:pos="7710"/>
        </w:tabs>
        <w:rPr>
          <w:b/>
        </w:rPr>
      </w:pPr>
    </w:p>
    <w:p w:rsidR="0005304F" w:rsidRDefault="0005304F" w:rsidP="00BC48C4">
      <w:pPr>
        <w:tabs>
          <w:tab w:val="left" w:pos="7710"/>
        </w:tabs>
        <w:rPr>
          <w:b/>
        </w:rPr>
      </w:pPr>
    </w:p>
    <w:p w:rsidR="0005304F" w:rsidRPr="0005304F" w:rsidRDefault="0005304F" w:rsidP="00BC48C4">
      <w:pPr>
        <w:tabs>
          <w:tab w:val="left" w:pos="7710"/>
        </w:tabs>
        <w:rPr>
          <w:b/>
          <w:sz w:val="24"/>
          <w:szCs w:val="24"/>
        </w:rPr>
      </w:pPr>
    </w:p>
    <w:p w:rsidR="0005304F" w:rsidRDefault="0005304F" w:rsidP="0005304F">
      <w:pPr>
        <w:jc w:val="right"/>
        <w:rPr>
          <w:b/>
          <w:sz w:val="24"/>
          <w:szCs w:val="24"/>
        </w:rPr>
      </w:pPr>
      <w:r w:rsidRPr="0005304F">
        <w:rPr>
          <w:b/>
          <w:sz w:val="24"/>
          <w:szCs w:val="24"/>
        </w:rPr>
        <w:t>3 PRIEDAS</w:t>
      </w:r>
    </w:p>
    <w:p w:rsidR="00D06397" w:rsidRPr="0005304F" w:rsidRDefault="00D06397" w:rsidP="0005304F">
      <w:pPr>
        <w:jc w:val="right"/>
        <w:rPr>
          <w:b/>
          <w:sz w:val="24"/>
          <w:szCs w:val="24"/>
        </w:rPr>
      </w:pPr>
    </w:p>
    <w:p w:rsidR="0005304F" w:rsidRPr="0005304F" w:rsidRDefault="0005304F" w:rsidP="00553F5A">
      <w:pPr>
        <w:tabs>
          <w:tab w:val="center" w:pos="4680"/>
          <w:tab w:val="left" w:pos="6960"/>
        </w:tabs>
        <w:jc w:val="center"/>
        <w:rPr>
          <w:b/>
          <w:sz w:val="24"/>
          <w:szCs w:val="24"/>
        </w:rPr>
      </w:pPr>
      <w:r w:rsidRPr="0005304F">
        <w:rPr>
          <w:b/>
          <w:sz w:val="24"/>
          <w:szCs w:val="24"/>
        </w:rPr>
        <w:t>KREDITO REITINGŲ REIKŠMĖS</w:t>
      </w:r>
    </w:p>
    <w:p w:rsidR="0005304F" w:rsidRPr="0005304F" w:rsidRDefault="0005304F" w:rsidP="0005304F">
      <w:pPr>
        <w:tabs>
          <w:tab w:val="center" w:pos="4680"/>
          <w:tab w:val="left" w:pos="6960"/>
        </w:tabs>
        <w:rPr>
          <w:b/>
          <w:sz w:val="24"/>
          <w:szCs w:val="24"/>
        </w:rPr>
      </w:pPr>
    </w:p>
    <w:p w:rsidR="0005304F" w:rsidRPr="00E92012" w:rsidRDefault="0005304F" w:rsidP="0005304F">
      <w:pPr>
        <w:tabs>
          <w:tab w:val="left" w:pos="7470"/>
        </w:tabs>
        <w:jc w:val="center"/>
      </w:pPr>
      <w:r>
        <w:rPr>
          <w:noProof/>
          <w:lang w:val="en-US"/>
        </w:rPr>
        <w:drawing>
          <wp:inline distT="0" distB="0" distL="0" distR="0">
            <wp:extent cx="4029075" cy="5695950"/>
            <wp:effectExtent l="19050" t="0" r="9525" b="0"/>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srcRect l="33813" t="10547" r="34615" b="10208"/>
                    <a:stretch>
                      <a:fillRect/>
                    </a:stretch>
                  </pic:blipFill>
                  <pic:spPr bwMode="auto">
                    <a:xfrm>
                      <a:off x="0" y="0"/>
                      <a:ext cx="4029075" cy="5695950"/>
                    </a:xfrm>
                    <a:prstGeom prst="rect">
                      <a:avLst/>
                    </a:prstGeom>
                    <a:noFill/>
                    <a:ln w="9525">
                      <a:noFill/>
                      <a:miter lim="800000"/>
                      <a:headEnd/>
                      <a:tailEnd/>
                    </a:ln>
                  </pic:spPr>
                </pic:pic>
              </a:graphicData>
            </a:graphic>
          </wp:inline>
        </w:drawing>
      </w:r>
    </w:p>
    <w:p w:rsidR="0005304F" w:rsidRPr="003A2A72" w:rsidRDefault="0005304F" w:rsidP="0005304F">
      <w:pPr>
        <w:tabs>
          <w:tab w:val="left" w:pos="7470"/>
        </w:tabs>
      </w:pPr>
      <w:r>
        <w:t xml:space="preserve">                                      </w:t>
      </w:r>
      <w:r w:rsidRPr="00D16932">
        <w:t>Šaltinis: LR Finansų Ministerija</w:t>
      </w:r>
    </w:p>
    <w:p w:rsidR="0005304F" w:rsidRDefault="0005304F" w:rsidP="0005304F">
      <w:pPr>
        <w:tabs>
          <w:tab w:val="left" w:pos="4035"/>
          <w:tab w:val="center" w:pos="5417"/>
          <w:tab w:val="left" w:pos="7470"/>
        </w:tabs>
        <w:jc w:val="left"/>
      </w:pPr>
      <w:r>
        <w:tab/>
      </w:r>
    </w:p>
    <w:p w:rsidR="0005304F" w:rsidRPr="0005304F" w:rsidRDefault="0005304F" w:rsidP="0005304F">
      <w:pPr>
        <w:tabs>
          <w:tab w:val="left" w:pos="4035"/>
          <w:tab w:val="center" w:pos="5417"/>
          <w:tab w:val="left" w:pos="7470"/>
        </w:tabs>
        <w:jc w:val="left"/>
        <w:rPr>
          <w:sz w:val="24"/>
          <w:szCs w:val="24"/>
        </w:rPr>
      </w:pPr>
      <w:r>
        <w:tab/>
      </w:r>
      <w:r w:rsidRPr="0005304F">
        <w:rPr>
          <w:sz w:val="24"/>
          <w:szCs w:val="24"/>
        </w:rPr>
        <w:t>1 pav. Kredito reitingų reikšmės</w:t>
      </w:r>
    </w:p>
    <w:p w:rsidR="0005304F" w:rsidRPr="00E92012" w:rsidRDefault="0005304F" w:rsidP="0005304F">
      <w:pPr>
        <w:tabs>
          <w:tab w:val="left" w:pos="7470"/>
        </w:tabs>
        <w:jc w:val="center"/>
      </w:pPr>
    </w:p>
    <w:p w:rsidR="0005304F" w:rsidRDefault="0005304F" w:rsidP="00BC48C4">
      <w:pPr>
        <w:tabs>
          <w:tab w:val="left" w:pos="7710"/>
        </w:tabs>
        <w:rPr>
          <w:b/>
        </w:rPr>
      </w:pPr>
    </w:p>
    <w:p w:rsidR="00BC48C4" w:rsidRDefault="00BC48C4" w:rsidP="00BC48C4">
      <w:pPr>
        <w:tabs>
          <w:tab w:val="left" w:pos="7710"/>
        </w:tabs>
        <w:rPr>
          <w:b/>
        </w:rPr>
      </w:pPr>
    </w:p>
    <w:p w:rsidR="00BC48C4" w:rsidRDefault="00BC48C4" w:rsidP="00BC48C4">
      <w:pPr>
        <w:tabs>
          <w:tab w:val="left" w:pos="7710"/>
        </w:tabs>
        <w:rPr>
          <w:b/>
        </w:rPr>
      </w:pPr>
    </w:p>
    <w:p w:rsidR="0005304F" w:rsidRDefault="0005304F" w:rsidP="0072343F">
      <w:pPr>
        <w:tabs>
          <w:tab w:val="left" w:pos="7470"/>
        </w:tabs>
        <w:ind w:firstLine="0"/>
        <w:rPr>
          <w:b/>
          <w:sz w:val="24"/>
          <w:szCs w:val="24"/>
        </w:rPr>
        <w:sectPr w:rsidR="0005304F" w:rsidSect="00735FF5">
          <w:headerReference w:type="default" r:id="rId93"/>
          <w:footerReference w:type="even" r:id="rId94"/>
          <w:footerReference w:type="default" r:id="rId95"/>
          <w:headerReference w:type="first" r:id="rId96"/>
          <w:pgSz w:w="12240" w:h="15840" w:code="1"/>
          <w:pgMar w:top="1138" w:right="562" w:bottom="1138" w:left="1411" w:header="720" w:footer="720" w:gutter="0"/>
          <w:pgNumType w:start="1"/>
          <w:cols w:space="720"/>
          <w:titlePg/>
          <w:docGrid w:linePitch="360"/>
        </w:sectPr>
      </w:pPr>
    </w:p>
    <w:p w:rsidR="00272476" w:rsidRDefault="00272476" w:rsidP="00272476">
      <w:pPr>
        <w:tabs>
          <w:tab w:val="left" w:pos="7470"/>
        </w:tabs>
        <w:jc w:val="right"/>
        <w:rPr>
          <w:b/>
          <w:sz w:val="24"/>
          <w:szCs w:val="24"/>
        </w:rPr>
      </w:pPr>
      <w:r>
        <w:rPr>
          <w:b/>
          <w:sz w:val="24"/>
          <w:szCs w:val="24"/>
        </w:rPr>
        <w:lastRenderedPageBreak/>
        <w:t>4 PRIEDAS</w:t>
      </w:r>
    </w:p>
    <w:p w:rsidR="00D06397" w:rsidRDefault="00D06397" w:rsidP="00272476">
      <w:pPr>
        <w:tabs>
          <w:tab w:val="left" w:pos="7470"/>
        </w:tabs>
        <w:jc w:val="right"/>
        <w:rPr>
          <w:b/>
          <w:sz w:val="24"/>
          <w:szCs w:val="24"/>
        </w:rPr>
      </w:pPr>
    </w:p>
    <w:p w:rsidR="00272476" w:rsidRPr="0005304F" w:rsidRDefault="00272476" w:rsidP="00272476">
      <w:pPr>
        <w:tabs>
          <w:tab w:val="left" w:pos="7470"/>
        </w:tabs>
        <w:jc w:val="center"/>
        <w:rPr>
          <w:b/>
          <w:sz w:val="24"/>
          <w:szCs w:val="24"/>
        </w:rPr>
      </w:pPr>
      <w:r w:rsidRPr="0005304F">
        <w:rPr>
          <w:b/>
          <w:sz w:val="24"/>
          <w:szCs w:val="24"/>
        </w:rPr>
        <w:t>BALTIJOS ŠALIŲ VALSTYBĖS SKOLOS ST</w:t>
      </w:r>
      <w:r>
        <w:rPr>
          <w:b/>
          <w:sz w:val="24"/>
          <w:szCs w:val="24"/>
        </w:rPr>
        <w:t>R</w:t>
      </w:r>
      <w:r w:rsidRPr="0005304F">
        <w:rPr>
          <w:b/>
          <w:sz w:val="24"/>
          <w:szCs w:val="24"/>
        </w:rPr>
        <w:t>UKTŪRA</w:t>
      </w:r>
    </w:p>
    <w:p w:rsidR="00272476" w:rsidRDefault="00272476" w:rsidP="00272476">
      <w:pPr>
        <w:tabs>
          <w:tab w:val="left" w:pos="7470"/>
        </w:tabs>
        <w:jc w:val="center"/>
        <w:rPr>
          <w:sz w:val="24"/>
          <w:szCs w:val="24"/>
        </w:rPr>
      </w:pPr>
    </w:p>
    <w:p w:rsidR="00272476" w:rsidRDefault="00272476" w:rsidP="00272476">
      <w:pPr>
        <w:tabs>
          <w:tab w:val="left" w:pos="7470"/>
        </w:tabs>
        <w:jc w:val="center"/>
        <w:rPr>
          <w:sz w:val="24"/>
          <w:szCs w:val="24"/>
        </w:rPr>
      </w:pPr>
      <w:r w:rsidRPr="0005304F">
        <w:rPr>
          <w:sz w:val="24"/>
          <w:szCs w:val="24"/>
        </w:rPr>
        <w:t>1 lentelė.  Baltijos šalių valstybės skolos struktūra pagal subsektorius</w:t>
      </w:r>
    </w:p>
    <w:p w:rsidR="00272476" w:rsidRDefault="00272476" w:rsidP="00272476">
      <w:pPr>
        <w:tabs>
          <w:tab w:val="left" w:pos="7470"/>
        </w:tabs>
        <w:jc w:val="center"/>
        <w:rPr>
          <w:sz w:val="24"/>
          <w:szCs w:val="24"/>
        </w:rPr>
      </w:pPr>
    </w:p>
    <w:tbl>
      <w:tblPr>
        <w:tblW w:w="14140" w:type="dxa"/>
        <w:tblInd w:w="103" w:type="dxa"/>
        <w:tblLook w:val="04A0"/>
      </w:tblPr>
      <w:tblGrid>
        <w:gridCol w:w="1840"/>
        <w:gridCol w:w="766"/>
        <w:gridCol w:w="766"/>
        <w:gridCol w:w="993"/>
        <w:gridCol w:w="902"/>
        <w:gridCol w:w="902"/>
        <w:gridCol w:w="765"/>
        <w:gridCol w:w="811"/>
        <w:gridCol w:w="947"/>
        <w:gridCol w:w="765"/>
        <w:gridCol w:w="765"/>
        <w:gridCol w:w="720"/>
        <w:gridCol w:w="720"/>
        <w:gridCol w:w="720"/>
        <w:gridCol w:w="811"/>
        <w:gridCol w:w="947"/>
      </w:tblGrid>
      <w:tr w:rsidR="00272476" w:rsidRPr="0005304F" w:rsidTr="00D61395">
        <w:trPr>
          <w:trHeight w:val="255"/>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left"/>
              <w:rPr>
                <w:sz w:val="16"/>
                <w:szCs w:val="16"/>
                <w:lang w:val="en-US"/>
              </w:rPr>
            </w:pPr>
            <w:r w:rsidRPr="00333F53">
              <w:rPr>
                <w:sz w:val="16"/>
                <w:szCs w:val="16"/>
                <w:lang w:val="en-US"/>
              </w:rPr>
              <w:t> </w:t>
            </w:r>
          </w:p>
        </w:tc>
        <w:tc>
          <w:tcPr>
            <w:tcW w:w="12300" w:type="dxa"/>
            <w:gridSpan w:val="15"/>
            <w:tcBorders>
              <w:top w:val="single" w:sz="4" w:space="0" w:color="auto"/>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center"/>
              <w:rPr>
                <w:sz w:val="16"/>
                <w:szCs w:val="16"/>
                <w:lang w:val="en-US"/>
              </w:rPr>
            </w:pPr>
            <w:r w:rsidRPr="00333F53">
              <w:rPr>
                <w:sz w:val="16"/>
                <w:szCs w:val="16"/>
                <w:lang w:val="en-US"/>
              </w:rPr>
              <w:t>Mln. Eur.</w:t>
            </w:r>
          </w:p>
        </w:tc>
      </w:tr>
      <w:tr w:rsidR="00272476" w:rsidRPr="0005304F" w:rsidTr="00D61395">
        <w:trPr>
          <w:trHeight w:val="25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left"/>
              <w:rPr>
                <w:sz w:val="16"/>
                <w:szCs w:val="16"/>
                <w:lang w:val="en-US"/>
              </w:rPr>
            </w:pPr>
            <w:r w:rsidRPr="00333F53">
              <w:rPr>
                <w:sz w:val="16"/>
                <w:szCs w:val="16"/>
                <w:lang w:val="en-US"/>
              </w:rPr>
              <w:t> </w:t>
            </w:r>
          </w:p>
        </w:tc>
        <w:tc>
          <w:tcPr>
            <w:tcW w:w="4329" w:type="dxa"/>
            <w:gridSpan w:val="5"/>
            <w:tcBorders>
              <w:top w:val="single" w:sz="4" w:space="0" w:color="auto"/>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center"/>
              <w:rPr>
                <w:sz w:val="16"/>
                <w:szCs w:val="16"/>
                <w:lang w:val="en-US"/>
              </w:rPr>
            </w:pPr>
            <w:r w:rsidRPr="00333F53">
              <w:rPr>
                <w:sz w:val="16"/>
                <w:szCs w:val="16"/>
                <w:lang w:val="en-US"/>
              </w:rPr>
              <w:t>Lietuva</w:t>
            </w:r>
          </w:p>
        </w:tc>
        <w:tc>
          <w:tcPr>
            <w:tcW w:w="4053" w:type="dxa"/>
            <w:gridSpan w:val="5"/>
            <w:tcBorders>
              <w:top w:val="single" w:sz="4" w:space="0" w:color="auto"/>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center"/>
              <w:rPr>
                <w:sz w:val="16"/>
                <w:szCs w:val="16"/>
                <w:lang w:val="en-US"/>
              </w:rPr>
            </w:pPr>
            <w:r w:rsidRPr="00333F53">
              <w:rPr>
                <w:sz w:val="16"/>
                <w:szCs w:val="16"/>
                <w:lang w:val="en-US"/>
              </w:rPr>
              <w:t>Latvija</w:t>
            </w:r>
          </w:p>
        </w:tc>
        <w:tc>
          <w:tcPr>
            <w:tcW w:w="3918" w:type="dxa"/>
            <w:gridSpan w:val="5"/>
            <w:tcBorders>
              <w:top w:val="single" w:sz="4" w:space="0" w:color="auto"/>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center"/>
              <w:rPr>
                <w:sz w:val="16"/>
                <w:szCs w:val="16"/>
                <w:lang w:val="en-US"/>
              </w:rPr>
            </w:pPr>
            <w:r w:rsidRPr="00333F53">
              <w:rPr>
                <w:sz w:val="16"/>
                <w:szCs w:val="16"/>
                <w:lang w:val="en-US"/>
              </w:rPr>
              <w:t>Estija</w:t>
            </w:r>
          </w:p>
        </w:tc>
      </w:tr>
      <w:tr w:rsidR="00272476" w:rsidRPr="0005304F" w:rsidTr="00D61395">
        <w:trPr>
          <w:trHeight w:val="25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left"/>
              <w:rPr>
                <w:sz w:val="16"/>
                <w:szCs w:val="16"/>
                <w:lang w:val="en-US"/>
              </w:rPr>
            </w:pPr>
            <w:r w:rsidRPr="00333F53">
              <w:rPr>
                <w:sz w:val="16"/>
                <w:szCs w:val="16"/>
                <w:lang w:val="en-US"/>
              </w:rPr>
              <w:t> </w:t>
            </w:r>
          </w:p>
        </w:tc>
        <w:tc>
          <w:tcPr>
            <w:tcW w:w="766"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2008</w:t>
            </w:r>
          </w:p>
        </w:tc>
        <w:tc>
          <w:tcPr>
            <w:tcW w:w="766"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2009</w:t>
            </w:r>
          </w:p>
        </w:tc>
        <w:tc>
          <w:tcPr>
            <w:tcW w:w="993"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2010</w:t>
            </w:r>
          </w:p>
        </w:tc>
        <w:tc>
          <w:tcPr>
            <w:tcW w:w="902"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2011</w:t>
            </w:r>
          </w:p>
        </w:tc>
        <w:tc>
          <w:tcPr>
            <w:tcW w:w="902"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2012</w:t>
            </w:r>
          </w:p>
        </w:tc>
        <w:tc>
          <w:tcPr>
            <w:tcW w:w="765"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2008</w:t>
            </w:r>
          </w:p>
        </w:tc>
        <w:tc>
          <w:tcPr>
            <w:tcW w:w="811"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2009</w:t>
            </w:r>
          </w:p>
        </w:tc>
        <w:tc>
          <w:tcPr>
            <w:tcW w:w="947"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2010</w:t>
            </w:r>
          </w:p>
        </w:tc>
        <w:tc>
          <w:tcPr>
            <w:tcW w:w="765"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2011</w:t>
            </w:r>
          </w:p>
        </w:tc>
        <w:tc>
          <w:tcPr>
            <w:tcW w:w="765"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2012</w:t>
            </w:r>
          </w:p>
        </w:tc>
        <w:tc>
          <w:tcPr>
            <w:tcW w:w="720"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2008</w:t>
            </w:r>
          </w:p>
        </w:tc>
        <w:tc>
          <w:tcPr>
            <w:tcW w:w="720"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2009</w:t>
            </w:r>
          </w:p>
        </w:tc>
        <w:tc>
          <w:tcPr>
            <w:tcW w:w="720"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2010</w:t>
            </w:r>
          </w:p>
        </w:tc>
        <w:tc>
          <w:tcPr>
            <w:tcW w:w="811"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2011</w:t>
            </w:r>
          </w:p>
        </w:tc>
        <w:tc>
          <w:tcPr>
            <w:tcW w:w="947"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2012</w:t>
            </w:r>
          </w:p>
        </w:tc>
      </w:tr>
      <w:tr w:rsidR="00272476" w:rsidRPr="0005304F" w:rsidTr="00D61395">
        <w:trPr>
          <w:trHeight w:val="25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left"/>
              <w:rPr>
                <w:sz w:val="16"/>
                <w:szCs w:val="16"/>
                <w:lang w:val="en-US"/>
              </w:rPr>
            </w:pPr>
            <w:r w:rsidRPr="00333F53">
              <w:rPr>
                <w:sz w:val="16"/>
                <w:szCs w:val="16"/>
                <w:lang w:val="en-US"/>
              </w:rPr>
              <w:t>Centrinės valdžios skola</w:t>
            </w:r>
          </w:p>
        </w:tc>
        <w:tc>
          <w:tcPr>
            <w:tcW w:w="766"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4649,1</w:t>
            </w:r>
          </w:p>
        </w:tc>
        <w:tc>
          <w:tcPr>
            <w:tcW w:w="766"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7432,3</w:t>
            </w:r>
          </w:p>
        </w:tc>
        <w:tc>
          <w:tcPr>
            <w:tcW w:w="993"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9884,6</w:t>
            </w:r>
          </w:p>
        </w:tc>
        <w:tc>
          <w:tcPr>
            <w:tcW w:w="902"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11151,7</w:t>
            </w:r>
          </w:p>
        </w:tc>
        <w:tc>
          <w:tcPr>
            <w:tcW w:w="902"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12491,7</w:t>
            </w:r>
          </w:p>
        </w:tc>
        <w:tc>
          <w:tcPr>
            <w:tcW w:w="765"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5465,4</w:t>
            </w:r>
          </w:p>
        </w:tc>
        <w:tc>
          <w:tcPr>
            <w:tcW w:w="811"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7389,5</w:t>
            </w:r>
          </w:p>
        </w:tc>
        <w:tc>
          <w:tcPr>
            <w:tcW w:w="947"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8183,8</w:t>
            </w:r>
          </w:p>
        </w:tc>
        <w:tc>
          <w:tcPr>
            <w:tcW w:w="765"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8490,8</w:t>
            </w:r>
          </w:p>
        </w:tc>
        <w:tc>
          <w:tcPr>
            <w:tcW w:w="765"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8872,5</w:t>
            </w:r>
          </w:p>
        </w:tc>
        <w:tc>
          <w:tcPr>
            <w:tcW w:w="720"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283,3</w:t>
            </w:r>
          </w:p>
        </w:tc>
        <w:tc>
          <w:tcPr>
            <w:tcW w:w="720"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492</w:t>
            </w:r>
          </w:p>
        </w:tc>
        <w:tc>
          <w:tcPr>
            <w:tcW w:w="720"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477,9</w:t>
            </w:r>
          </w:p>
        </w:tc>
        <w:tc>
          <w:tcPr>
            <w:tcW w:w="811"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507</w:t>
            </w:r>
          </w:p>
        </w:tc>
        <w:tc>
          <w:tcPr>
            <w:tcW w:w="947"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1228,2</w:t>
            </w:r>
          </w:p>
        </w:tc>
      </w:tr>
      <w:tr w:rsidR="00272476" w:rsidRPr="0005304F" w:rsidTr="00D61395">
        <w:trPr>
          <w:trHeight w:val="25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left"/>
              <w:rPr>
                <w:sz w:val="16"/>
                <w:szCs w:val="16"/>
                <w:lang w:val="en-US"/>
              </w:rPr>
            </w:pPr>
            <w:r w:rsidRPr="00333F53">
              <w:rPr>
                <w:sz w:val="16"/>
                <w:szCs w:val="16"/>
                <w:lang w:val="en-US"/>
              </w:rPr>
              <w:t>Vietos valdžios skola</w:t>
            </w:r>
          </w:p>
        </w:tc>
        <w:tc>
          <w:tcPr>
            <w:tcW w:w="766"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358,1</w:t>
            </w:r>
          </w:p>
        </w:tc>
        <w:tc>
          <w:tcPr>
            <w:tcW w:w="766"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392,1</w:t>
            </w:r>
          </w:p>
        </w:tc>
        <w:tc>
          <w:tcPr>
            <w:tcW w:w="993"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391,1</w:t>
            </w:r>
          </w:p>
        </w:tc>
        <w:tc>
          <w:tcPr>
            <w:tcW w:w="902"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522,0</w:t>
            </w:r>
          </w:p>
        </w:tc>
        <w:tc>
          <w:tcPr>
            <w:tcW w:w="902"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576,6</w:t>
            </w:r>
          </w:p>
        </w:tc>
        <w:tc>
          <w:tcPr>
            <w:tcW w:w="765"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944,2</w:t>
            </w:r>
          </w:p>
        </w:tc>
        <w:tc>
          <w:tcPr>
            <w:tcW w:w="811"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1071,5</w:t>
            </w:r>
          </w:p>
        </w:tc>
        <w:tc>
          <w:tcPr>
            <w:tcW w:w="947"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1155,4</w:t>
            </w:r>
          </w:p>
        </w:tc>
        <w:tc>
          <w:tcPr>
            <w:tcW w:w="765"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1230,7</w:t>
            </w:r>
          </w:p>
        </w:tc>
        <w:tc>
          <w:tcPr>
            <w:tcW w:w="765"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1251,8</w:t>
            </w:r>
          </w:p>
        </w:tc>
        <w:tc>
          <w:tcPr>
            <w:tcW w:w="720"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509,7</w:t>
            </w:r>
          </w:p>
        </w:tc>
        <w:tc>
          <w:tcPr>
            <w:tcW w:w="720"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553,8</w:t>
            </w:r>
          </w:p>
        </w:tc>
        <w:tc>
          <w:tcPr>
            <w:tcW w:w="720"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540</w:t>
            </w:r>
          </w:p>
        </w:tc>
        <w:tc>
          <w:tcPr>
            <w:tcW w:w="811"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538,7</w:t>
            </w:r>
          </w:p>
        </w:tc>
        <w:tc>
          <w:tcPr>
            <w:tcW w:w="947"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566,2</w:t>
            </w:r>
          </w:p>
        </w:tc>
      </w:tr>
      <w:tr w:rsidR="00272476" w:rsidRPr="0005304F" w:rsidTr="00D61395">
        <w:trPr>
          <w:trHeight w:val="25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left"/>
              <w:rPr>
                <w:sz w:val="16"/>
                <w:szCs w:val="16"/>
                <w:lang w:val="en-US"/>
              </w:rPr>
            </w:pPr>
            <w:r w:rsidRPr="00333F53">
              <w:rPr>
                <w:sz w:val="16"/>
                <w:szCs w:val="16"/>
                <w:lang w:val="en-US"/>
              </w:rPr>
              <w:t>Soc. apsaugos fondų skola</w:t>
            </w:r>
          </w:p>
        </w:tc>
        <w:tc>
          <w:tcPr>
            <w:tcW w:w="766"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24,9</w:t>
            </w:r>
          </w:p>
        </w:tc>
        <w:tc>
          <w:tcPr>
            <w:tcW w:w="766"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26,1</w:t>
            </w:r>
          </w:p>
        </w:tc>
        <w:tc>
          <w:tcPr>
            <w:tcW w:w="993"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320,9</w:t>
            </w:r>
          </w:p>
        </w:tc>
        <w:tc>
          <w:tcPr>
            <w:tcW w:w="902"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460,5</w:t>
            </w:r>
          </w:p>
        </w:tc>
        <w:tc>
          <w:tcPr>
            <w:tcW w:w="902"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421,4</w:t>
            </w:r>
          </w:p>
        </w:tc>
        <w:tc>
          <w:tcPr>
            <w:tcW w:w="765"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1</w:t>
            </w:r>
          </w:p>
        </w:tc>
        <w:tc>
          <w:tcPr>
            <w:tcW w:w="811"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0,3</w:t>
            </w:r>
          </w:p>
        </w:tc>
        <w:tc>
          <w:tcPr>
            <w:tcW w:w="947"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0</w:t>
            </w:r>
          </w:p>
        </w:tc>
        <w:tc>
          <w:tcPr>
            <w:tcW w:w="765"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0</w:t>
            </w:r>
          </w:p>
        </w:tc>
        <w:tc>
          <w:tcPr>
            <w:tcW w:w="765"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0</w:t>
            </w:r>
          </w:p>
        </w:tc>
        <w:tc>
          <w:tcPr>
            <w:tcW w:w="720"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0</w:t>
            </w:r>
          </w:p>
        </w:tc>
        <w:tc>
          <w:tcPr>
            <w:tcW w:w="720"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0,3</w:t>
            </w:r>
          </w:p>
        </w:tc>
        <w:tc>
          <w:tcPr>
            <w:tcW w:w="720"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0,3</w:t>
            </w:r>
          </w:p>
        </w:tc>
        <w:tc>
          <w:tcPr>
            <w:tcW w:w="811"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0,1</w:t>
            </w:r>
          </w:p>
        </w:tc>
        <w:tc>
          <w:tcPr>
            <w:tcW w:w="947"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0</w:t>
            </w:r>
          </w:p>
        </w:tc>
      </w:tr>
      <w:tr w:rsidR="00272476" w:rsidRPr="0005304F" w:rsidTr="00D61395">
        <w:trPr>
          <w:trHeight w:val="25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left"/>
              <w:rPr>
                <w:sz w:val="16"/>
                <w:szCs w:val="16"/>
                <w:lang w:val="en-US"/>
              </w:rPr>
            </w:pPr>
            <w:r w:rsidRPr="00333F53">
              <w:rPr>
                <w:sz w:val="16"/>
                <w:szCs w:val="16"/>
                <w:lang w:val="en-US"/>
              </w:rPr>
              <w:t> </w:t>
            </w:r>
          </w:p>
        </w:tc>
        <w:tc>
          <w:tcPr>
            <w:tcW w:w="12300" w:type="dxa"/>
            <w:gridSpan w:val="15"/>
            <w:tcBorders>
              <w:top w:val="single" w:sz="4" w:space="0" w:color="auto"/>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center"/>
              <w:rPr>
                <w:sz w:val="16"/>
                <w:szCs w:val="16"/>
                <w:lang w:val="en-US"/>
              </w:rPr>
            </w:pPr>
            <w:r w:rsidRPr="00333F53">
              <w:rPr>
                <w:sz w:val="16"/>
                <w:szCs w:val="16"/>
                <w:lang w:val="en-US"/>
              </w:rPr>
              <w:t>Pokytis, %</w:t>
            </w:r>
          </w:p>
        </w:tc>
      </w:tr>
      <w:tr w:rsidR="00272476" w:rsidRPr="0005304F" w:rsidTr="00D61395">
        <w:trPr>
          <w:trHeight w:val="25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left"/>
              <w:rPr>
                <w:sz w:val="16"/>
                <w:szCs w:val="16"/>
                <w:lang w:val="en-US"/>
              </w:rPr>
            </w:pPr>
            <w:r w:rsidRPr="00333F53">
              <w:rPr>
                <w:sz w:val="16"/>
                <w:szCs w:val="16"/>
                <w:lang w:val="en-US"/>
              </w:rPr>
              <w:t> </w:t>
            </w:r>
          </w:p>
        </w:tc>
        <w:tc>
          <w:tcPr>
            <w:tcW w:w="4329" w:type="dxa"/>
            <w:gridSpan w:val="5"/>
            <w:tcBorders>
              <w:top w:val="single" w:sz="4" w:space="0" w:color="auto"/>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center"/>
              <w:rPr>
                <w:sz w:val="16"/>
                <w:szCs w:val="16"/>
                <w:lang w:val="en-US"/>
              </w:rPr>
            </w:pPr>
            <w:r w:rsidRPr="00333F53">
              <w:rPr>
                <w:sz w:val="16"/>
                <w:szCs w:val="16"/>
                <w:lang w:val="en-US"/>
              </w:rPr>
              <w:t>Lietuva</w:t>
            </w:r>
          </w:p>
        </w:tc>
        <w:tc>
          <w:tcPr>
            <w:tcW w:w="4053" w:type="dxa"/>
            <w:gridSpan w:val="5"/>
            <w:tcBorders>
              <w:top w:val="single" w:sz="4" w:space="0" w:color="auto"/>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center"/>
              <w:rPr>
                <w:sz w:val="16"/>
                <w:szCs w:val="16"/>
                <w:lang w:val="en-US"/>
              </w:rPr>
            </w:pPr>
            <w:r w:rsidRPr="00333F53">
              <w:rPr>
                <w:sz w:val="16"/>
                <w:szCs w:val="16"/>
                <w:lang w:val="en-US"/>
              </w:rPr>
              <w:t>Latvija</w:t>
            </w:r>
          </w:p>
        </w:tc>
        <w:tc>
          <w:tcPr>
            <w:tcW w:w="3918" w:type="dxa"/>
            <w:gridSpan w:val="5"/>
            <w:tcBorders>
              <w:top w:val="single" w:sz="4" w:space="0" w:color="auto"/>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center"/>
              <w:rPr>
                <w:sz w:val="16"/>
                <w:szCs w:val="16"/>
                <w:lang w:val="en-US"/>
              </w:rPr>
            </w:pPr>
            <w:r w:rsidRPr="00333F53">
              <w:rPr>
                <w:sz w:val="16"/>
                <w:szCs w:val="16"/>
                <w:lang w:val="en-US"/>
              </w:rPr>
              <w:t>Estija</w:t>
            </w:r>
          </w:p>
        </w:tc>
      </w:tr>
      <w:tr w:rsidR="00272476" w:rsidRPr="0005304F" w:rsidTr="00D61395">
        <w:trPr>
          <w:trHeight w:val="25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left"/>
              <w:rPr>
                <w:sz w:val="16"/>
                <w:szCs w:val="16"/>
                <w:lang w:val="en-US"/>
              </w:rPr>
            </w:pPr>
            <w:r w:rsidRPr="00333F53">
              <w:rPr>
                <w:sz w:val="16"/>
                <w:szCs w:val="16"/>
                <w:lang w:val="en-US"/>
              </w:rPr>
              <w:t> </w:t>
            </w:r>
          </w:p>
        </w:tc>
        <w:tc>
          <w:tcPr>
            <w:tcW w:w="766"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2008</w:t>
            </w:r>
          </w:p>
        </w:tc>
        <w:tc>
          <w:tcPr>
            <w:tcW w:w="766"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2009</w:t>
            </w:r>
          </w:p>
        </w:tc>
        <w:tc>
          <w:tcPr>
            <w:tcW w:w="993"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2010</w:t>
            </w:r>
          </w:p>
        </w:tc>
        <w:tc>
          <w:tcPr>
            <w:tcW w:w="902"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2011</w:t>
            </w:r>
          </w:p>
        </w:tc>
        <w:tc>
          <w:tcPr>
            <w:tcW w:w="902"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2012</w:t>
            </w:r>
          </w:p>
        </w:tc>
        <w:tc>
          <w:tcPr>
            <w:tcW w:w="765"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2008</w:t>
            </w:r>
          </w:p>
        </w:tc>
        <w:tc>
          <w:tcPr>
            <w:tcW w:w="811"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2009</w:t>
            </w:r>
          </w:p>
        </w:tc>
        <w:tc>
          <w:tcPr>
            <w:tcW w:w="947"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2010</w:t>
            </w:r>
          </w:p>
        </w:tc>
        <w:tc>
          <w:tcPr>
            <w:tcW w:w="765"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2011</w:t>
            </w:r>
          </w:p>
        </w:tc>
        <w:tc>
          <w:tcPr>
            <w:tcW w:w="765"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2012</w:t>
            </w:r>
          </w:p>
        </w:tc>
        <w:tc>
          <w:tcPr>
            <w:tcW w:w="720"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2008</w:t>
            </w:r>
          </w:p>
        </w:tc>
        <w:tc>
          <w:tcPr>
            <w:tcW w:w="720"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2009</w:t>
            </w:r>
          </w:p>
        </w:tc>
        <w:tc>
          <w:tcPr>
            <w:tcW w:w="720"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2010</w:t>
            </w:r>
          </w:p>
        </w:tc>
        <w:tc>
          <w:tcPr>
            <w:tcW w:w="811"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2011</w:t>
            </w:r>
          </w:p>
        </w:tc>
        <w:tc>
          <w:tcPr>
            <w:tcW w:w="947"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2012</w:t>
            </w:r>
          </w:p>
        </w:tc>
      </w:tr>
      <w:tr w:rsidR="00272476" w:rsidRPr="0005304F" w:rsidTr="00D61395">
        <w:trPr>
          <w:trHeight w:val="25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left"/>
              <w:rPr>
                <w:sz w:val="16"/>
                <w:szCs w:val="16"/>
                <w:lang w:val="en-US"/>
              </w:rPr>
            </w:pPr>
            <w:r w:rsidRPr="00333F53">
              <w:rPr>
                <w:sz w:val="16"/>
                <w:szCs w:val="16"/>
                <w:lang w:val="en-US"/>
              </w:rPr>
              <w:t>Centrinės valdžios skola</w:t>
            </w:r>
          </w:p>
        </w:tc>
        <w:tc>
          <w:tcPr>
            <w:tcW w:w="766"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left"/>
              <w:rPr>
                <w:sz w:val="16"/>
                <w:szCs w:val="16"/>
                <w:lang w:val="en-US"/>
              </w:rPr>
            </w:pPr>
            <w:r w:rsidRPr="00333F53">
              <w:rPr>
                <w:sz w:val="16"/>
                <w:szCs w:val="16"/>
                <w:lang w:val="en-US"/>
              </w:rPr>
              <w:t> </w:t>
            </w:r>
          </w:p>
        </w:tc>
        <w:tc>
          <w:tcPr>
            <w:tcW w:w="766"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59,9%</w:t>
            </w:r>
          </w:p>
        </w:tc>
        <w:tc>
          <w:tcPr>
            <w:tcW w:w="993"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33,0%</w:t>
            </w:r>
          </w:p>
        </w:tc>
        <w:tc>
          <w:tcPr>
            <w:tcW w:w="902"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12,8%</w:t>
            </w:r>
          </w:p>
        </w:tc>
        <w:tc>
          <w:tcPr>
            <w:tcW w:w="902"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12,0%</w:t>
            </w:r>
          </w:p>
        </w:tc>
        <w:tc>
          <w:tcPr>
            <w:tcW w:w="765"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left"/>
              <w:rPr>
                <w:sz w:val="16"/>
                <w:szCs w:val="16"/>
                <w:lang w:val="en-US"/>
              </w:rPr>
            </w:pPr>
            <w:r w:rsidRPr="00333F53">
              <w:rPr>
                <w:sz w:val="16"/>
                <w:szCs w:val="16"/>
                <w:lang w:val="en-US"/>
              </w:rPr>
              <w:t> </w:t>
            </w:r>
          </w:p>
        </w:tc>
        <w:tc>
          <w:tcPr>
            <w:tcW w:w="811"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35,2%</w:t>
            </w:r>
          </w:p>
        </w:tc>
        <w:tc>
          <w:tcPr>
            <w:tcW w:w="947"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10,7%</w:t>
            </w:r>
          </w:p>
        </w:tc>
        <w:tc>
          <w:tcPr>
            <w:tcW w:w="765"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3,8%</w:t>
            </w:r>
          </w:p>
        </w:tc>
        <w:tc>
          <w:tcPr>
            <w:tcW w:w="765"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4,5%</w:t>
            </w:r>
          </w:p>
        </w:tc>
        <w:tc>
          <w:tcPr>
            <w:tcW w:w="720"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left"/>
              <w:rPr>
                <w:sz w:val="16"/>
                <w:szCs w:val="16"/>
                <w:lang w:val="en-US"/>
              </w:rPr>
            </w:pPr>
            <w:r w:rsidRPr="00333F53">
              <w:rPr>
                <w:sz w:val="16"/>
                <w:szCs w:val="16"/>
                <w:lang w:val="en-US"/>
              </w:rPr>
              <w:t> </w:t>
            </w:r>
          </w:p>
        </w:tc>
        <w:tc>
          <w:tcPr>
            <w:tcW w:w="720"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73,7%</w:t>
            </w:r>
          </w:p>
        </w:tc>
        <w:tc>
          <w:tcPr>
            <w:tcW w:w="720"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-2,9%</w:t>
            </w:r>
          </w:p>
        </w:tc>
        <w:tc>
          <w:tcPr>
            <w:tcW w:w="811"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6,1%</w:t>
            </w:r>
          </w:p>
        </w:tc>
        <w:tc>
          <w:tcPr>
            <w:tcW w:w="947"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142,2%</w:t>
            </w:r>
          </w:p>
        </w:tc>
      </w:tr>
      <w:tr w:rsidR="00272476" w:rsidRPr="0005304F" w:rsidTr="00D61395">
        <w:trPr>
          <w:trHeight w:val="25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left"/>
              <w:rPr>
                <w:sz w:val="16"/>
                <w:szCs w:val="16"/>
                <w:lang w:val="en-US"/>
              </w:rPr>
            </w:pPr>
            <w:r w:rsidRPr="00333F53">
              <w:rPr>
                <w:sz w:val="16"/>
                <w:szCs w:val="16"/>
                <w:lang w:val="en-US"/>
              </w:rPr>
              <w:t>Vietos valdžios skola</w:t>
            </w:r>
          </w:p>
        </w:tc>
        <w:tc>
          <w:tcPr>
            <w:tcW w:w="766"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left"/>
              <w:rPr>
                <w:sz w:val="16"/>
                <w:szCs w:val="16"/>
                <w:lang w:val="en-US"/>
              </w:rPr>
            </w:pPr>
            <w:r w:rsidRPr="00333F53">
              <w:rPr>
                <w:sz w:val="16"/>
                <w:szCs w:val="16"/>
                <w:lang w:val="en-US"/>
              </w:rPr>
              <w:t> </w:t>
            </w:r>
          </w:p>
        </w:tc>
        <w:tc>
          <w:tcPr>
            <w:tcW w:w="766"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9,5%</w:t>
            </w:r>
          </w:p>
        </w:tc>
        <w:tc>
          <w:tcPr>
            <w:tcW w:w="993"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-0,3%</w:t>
            </w:r>
          </w:p>
        </w:tc>
        <w:tc>
          <w:tcPr>
            <w:tcW w:w="902"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33,5%</w:t>
            </w:r>
          </w:p>
        </w:tc>
        <w:tc>
          <w:tcPr>
            <w:tcW w:w="902"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10,5%</w:t>
            </w:r>
          </w:p>
        </w:tc>
        <w:tc>
          <w:tcPr>
            <w:tcW w:w="765"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left"/>
              <w:rPr>
                <w:sz w:val="16"/>
                <w:szCs w:val="16"/>
                <w:lang w:val="en-US"/>
              </w:rPr>
            </w:pPr>
            <w:r w:rsidRPr="00333F53">
              <w:rPr>
                <w:sz w:val="16"/>
                <w:szCs w:val="16"/>
                <w:lang w:val="en-US"/>
              </w:rPr>
              <w:t> </w:t>
            </w:r>
          </w:p>
        </w:tc>
        <w:tc>
          <w:tcPr>
            <w:tcW w:w="811"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13,5%</w:t>
            </w:r>
          </w:p>
        </w:tc>
        <w:tc>
          <w:tcPr>
            <w:tcW w:w="947"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7,8%</w:t>
            </w:r>
          </w:p>
        </w:tc>
        <w:tc>
          <w:tcPr>
            <w:tcW w:w="765"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6,5%</w:t>
            </w:r>
          </w:p>
        </w:tc>
        <w:tc>
          <w:tcPr>
            <w:tcW w:w="765"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1,7%</w:t>
            </w:r>
          </w:p>
        </w:tc>
        <w:tc>
          <w:tcPr>
            <w:tcW w:w="720"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left"/>
              <w:rPr>
                <w:sz w:val="16"/>
                <w:szCs w:val="16"/>
                <w:lang w:val="en-US"/>
              </w:rPr>
            </w:pPr>
            <w:r w:rsidRPr="00333F53">
              <w:rPr>
                <w:sz w:val="16"/>
                <w:szCs w:val="16"/>
                <w:lang w:val="en-US"/>
              </w:rPr>
              <w:t> </w:t>
            </w:r>
          </w:p>
        </w:tc>
        <w:tc>
          <w:tcPr>
            <w:tcW w:w="720"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8,7%</w:t>
            </w:r>
          </w:p>
        </w:tc>
        <w:tc>
          <w:tcPr>
            <w:tcW w:w="720"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-2,5%</w:t>
            </w:r>
          </w:p>
        </w:tc>
        <w:tc>
          <w:tcPr>
            <w:tcW w:w="811"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-0,2%</w:t>
            </w:r>
          </w:p>
        </w:tc>
        <w:tc>
          <w:tcPr>
            <w:tcW w:w="947"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5,1%</w:t>
            </w:r>
          </w:p>
        </w:tc>
      </w:tr>
      <w:tr w:rsidR="00272476" w:rsidRPr="0005304F" w:rsidTr="00D61395">
        <w:trPr>
          <w:trHeight w:val="25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left"/>
              <w:rPr>
                <w:sz w:val="16"/>
                <w:szCs w:val="16"/>
                <w:lang w:val="en-US"/>
              </w:rPr>
            </w:pPr>
            <w:r w:rsidRPr="00333F53">
              <w:rPr>
                <w:sz w:val="16"/>
                <w:szCs w:val="16"/>
                <w:lang w:val="en-US"/>
              </w:rPr>
              <w:t>Soc. apsaugos fondų skola</w:t>
            </w:r>
          </w:p>
        </w:tc>
        <w:tc>
          <w:tcPr>
            <w:tcW w:w="766"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left"/>
              <w:rPr>
                <w:sz w:val="16"/>
                <w:szCs w:val="16"/>
                <w:lang w:val="en-US"/>
              </w:rPr>
            </w:pPr>
            <w:r w:rsidRPr="00333F53">
              <w:rPr>
                <w:sz w:val="16"/>
                <w:szCs w:val="16"/>
                <w:lang w:val="en-US"/>
              </w:rPr>
              <w:t> </w:t>
            </w:r>
          </w:p>
        </w:tc>
        <w:tc>
          <w:tcPr>
            <w:tcW w:w="766"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4,8%</w:t>
            </w:r>
          </w:p>
        </w:tc>
        <w:tc>
          <w:tcPr>
            <w:tcW w:w="993"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1131,2%</w:t>
            </w:r>
          </w:p>
        </w:tc>
        <w:tc>
          <w:tcPr>
            <w:tcW w:w="902"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43,5%</w:t>
            </w:r>
          </w:p>
        </w:tc>
        <w:tc>
          <w:tcPr>
            <w:tcW w:w="902"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-8,5%</w:t>
            </w:r>
          </w:p>
        </w:tc>
        <w:tc>
          <w:tcPr>
            <w:tcW w:w="765"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left"/>
              <w:rPr>
                <w:sz w:val="16"/>
                <w:szCs w:val="16"/>
                <w:lang w:val="en-US"/>
              </w:rPr>
            </w:pPr>
            <w:r w:rsidRPr="00333F53">
              <w:rPr>
                <w:sz w:val="16"/>
                <w:szCs w:val="16"/>
                <w:lang w:val="en-US"/>
              </w:rPr>
              <w:t> </w:t>
            </w:r>
          </w:p>
        </w:tc>
        <w:tc>
          <w:tcPr>
            <w:tcW w:w="811"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-70,0%</w:t>
            </w:r>
          </w:p>
        </w:tc>
        <w:tc>
          <w:tcPr>
            <w:tcW w:w="947"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-100,0%</w:t>
            </w:r>
          </w:p>
        </w:tc>
        <w:tc>
          <w:tcPr>
            <w:tcW w:w="765"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left"/>
              <w:rPr>
                <w:sz w:val="16"/>
                <w:szCs w:val="16"/>
                <w:lang w:val="en-US"/>
              </w:rPr>
            </w:pPr>
            <w:r w:rsidRPr="00333F53">
              <w:rPr>
                <w:sz w:val="16"/>
                <w:szCs w:val="16"/>
                <w:lang w:val="en-US"/>
              </w:rPr>
              <w:t>-</w:t>
            </w:r>
          </w:p>
        </w:tc>
        <w:tc>
          <w:tcPr>
            <w:tcW w:w="765"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left"/>
              <w:rPr>
                <w:sz w:val="16"/>
                <w:szCs w:val="16"/>
                <w:lang w:val="en-US"/>
              </w:rPr>
            </w:pPr>
            <w:r w:rsidRPr="00333F53">
              <w:rPr>
                <w:sz w:val="16"/>
                <w:szCs w:val="16"/>
                <w:lang w:val="en-US"/>
              </w:rPr>
              <w:t>-</w:t>
            </w:r>
          </w:p>
        </w:tc>
        <w:tc>
          <w:tcPr>
            <w:tcW w:w="720"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left"/>
              <w:rPr>
                <w:sz w:val="16"/>
                <w:szCs w:val="16"/>
                <w:lang w:val="en-US"/>
              </w:rPr>
            </w:pPr>
            <w:r w:rsidRPr="00333F53">
              <w:rPr>
                <w:sz w:val="16"/>
                <w:szCs w:val="16"/>
                <w:lang w:val="en-US"/>
              </w:rPr>
              <w:t> </w:t>
            </w:r>
          </w:p>
        </w:tc>
        <w:tc>
          <w:tcPr>
            <w:tcW w:w="720"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left"/>
              <w:rPr>
                <w:sz w:val="16"/>
                <w:szCs w:val="16"/>
                <w:lang w:val="en-US"/>
              </w:rPr>
            </w:pPr>
            <w:r w:rsidRPr="00333F53">
              <w:rPr>
                <w:sz w:val="16"/>
                <w:szCs w:val="16"/>
                <w:lang w:val="en-US"/>
              </w:rPr>
              <w:t> </w:t>
            </w:r>
          </w:p>
        </w:tc>
        <w:tc>
          <w:tcPr>
            <w:tcW w:w="720"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0,0%</w:t>
            </w:r>
          </w:p>
        </w:tc>
        <w:tc>
          <w:tcPr>
            <w:tcW w:w="811"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-66,7%</w:t>
            </w:r>
          </w:p>
        </w:tc>
        <w:tc>
          <w:tcPr>
            <w:tcW w:w="947"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-100,0%</w:t>
            </w:r>
          </w:p>
        </w:tc>
      </w:tr>
      <w:tr w:rsidR="00272476" w:rsidRPr="0005304F" w:rsidTr="00D61395">
        <w:trPr>
          <w:trHeight w:val="25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left"/>
              <w:rPr>
                <w:sz w:val="16"/>
                <w:szCs w:val="16"/>
                <w:lang w:val="en-US"/>
              </w:rPr>
            </w:pPr>
            <w:r w:rsidRPr="00333F53">
              <w:rPr>
                <w:sz w:val="16"/>
                <w:szCs w:val="16"/>
                <w:lang w:val="en-US"/>
              </w:rPr>
              <w:t> </w:t>
            </w:r>
          </w:p>
        </w:tc>
        <w:tc>
          <w:tcPr>
            <w:tcW w:w="12300" w:type="dxa"/>
            <w:gridSpan w:val="15"/>
            <w:tcBorders>
              <w:top w:val="single" w:sz="4" w:space="0" w:color="auto"/>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center"/>
              <w:rPr>
                <w:sz w:val="16"/>
                <w:szCs w:val="16"/>
                <w:lang w:val="en-US"/>
              </w:rPr>
            </w:pPr>
            <w:r w:rsidRPr="00333F53">
              <w:rPr>
                <w:sz w:val="16"/>
                <w:szCs w:val="16"/>
                <w:lang w:val="en-US"/>
              </w:rPr>
              <w:t>Struktūra, %</w:t>
            </w:r>
          </w:p>
        </w:tc>
      </w:tr>
      <w:tr w:rsidR="00272476" w:rsidRPr="0005304F" w:rsidTr="00D61395">
        <w:trPr>
          <w:trHeight w:val="25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left"/>
              <w:rPr>
                <w:sz w:val="16"/>
                <w:szCs w:val="16"/>
                <w:lang w:val="en-US"/>
              </w:rPr>
            </w:pPr>
            <w:r w:rsidRPr="00333F53">
              <w:rPr>
                <w:sz w:val="16"/>
                <w:szCs w:val="16"/>
                <w:lang w:val="en-US"/>
              </w:rPr>
              <w:t> </w:t>
            </w:r>
          </w:p>
        </w:tc>
        <w:tc>
          <w:tcPr>
            <w:tcW w:w="4329" w:type="dxa"/>
            <w:gridSpan w:val="5"/>
            <w:tcBorders>
              <w:top w:val="single" w:sz="4" w:space="0" w:color="auto"/>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center"/>
              <w:rPr>
                <w:sz w:val="16"/>
                <w:szCs w:val="16"/>
                <w:lang w:val="en-US"/>
              </w:rPr>
            </w:pPr>
            <w:r w:rsidRPr="00333F53">
              <w:rPr>
                <w:sz w:val="16"/>
                <w:szCs w:val="16"/>
                <w:lang w:val="en-US"/>
              </w:rPr>
              <w:t>Lietuva</w:t>
            </w:r>
          </w:p>
        </w:tc>
        <w:tc>
          <w:tcPr>
            <w:tcW w:w="4053" w:type="dxa"/>
            <w:gridSpan w:val="5"/>
            <w:tcBorders>
              <w:top w:val="single" w:sz="4" w:space="0" w:color="auto"/>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center"/>
              <w:rPr>
                <w:sz w:val="16"/>
                <w:szCs w:val="16"/>
                <w:lang w:val="en-US"/>
              </w:rPr>
            </w:pPr>
            <w:r w:rsidRPr="00333F53">
              <w:rPr>
                <w:sz w:val="16"/>
                <w:szCs w:val="16"/>
                <w:lang w:val="en-US"/>
              </w:rPr>
              <w:t>Latvija</w:t>
            </w:r>
          </w:p>
        </w:tc>
        <w:tc>
          <w:tcPr>
            <w:tcW w:w="3918" w:type="dxa"/>
            <w:gridSpan w:val="5"/>
            <w:tcBorders>
              <w:top w:val="single" w:sz="4" w:space="0" w:color="auto"/>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center"/>
              <w:rPr>
                <w:sz w:val="16"/>
                <w:szCs w:val="16"/>
                <w:lang w:val="en-US"/>
              </w:rPr>
            </w:pPr>
            <w:r w:rsidRPr="00333F53">
              <w:rPr>
                <w:sz w:val="16"/>
                <w:szCs w:val="16"/>
                <w:lang w:val="en-US"/>
              </w:rPr>
              <w:t>Estija</w:t>
            </w:r>
          </w:p>
        </w:tc>
      </w:tr>
      <w:tr w:rsidR="00272476" w:rsidRPr="0005304F" w:rsidTr="00D61395">
        <w:trPr>
          <w:trHeight w:val="25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left"/>
              <w:rPr>
                <w:sz w:val="16"/>
                <w:szCs w:val="16"/>
                <w:lang w:val="en-US"/>
              </w:rPr>
            </w:pPr>
            <w:r w:rsidRPr="00333F53">
              <w:rPr>
                <w:sz w:val="16"/>
                <w:szCs w:val="16"/>
                <w:lang w:val="en-US"/>
              </w:rPr>
              <w:t> </w:t>
            </w:r>
          </w:p>
        </w:tc>
        <w:tc>
          <w:tcPr>
            <w:tcW w:w="766"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2008</w:t>
            </w:r>
          </w:p>
        </w:tc>
        <w:tc>
          <w:tcPr>
            <w:tcW w:w="766"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2009</w:t>
            </w:r>
          </w:p>
        </w:tc>
        <w:tc>
          <w:tcPr>
            <w:tcW w:w="993"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2010</w:t>
            </w:r>
          </w:p>
        </w:tc>
        <w:tc>
          <w:tcPr>
            <w:tcW w:w="902"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2011</w:t>
            </w:r>
          </w:p>
        </w:tc>
        <w:tc>
          <w:tcPr>
            <w:tcW w:w="902"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2012</w:t>
            </w:r>
          </w:p>
        </w:tc>
        <w:tc>
          <w:tcPr>
            <w:tcW w:w="765"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2008</w:t>
            </w:r>
          </w:p>
        </w:tc>
        <w:tc>
          <w:tcPr>
            <w:tcW w:w="811"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2009</w:t>
            </w:r>
          </w:p>
        </w:tc>
        <w:tc>
          <w:tcPr>
            <w:tcW w:w="947"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2010</w:t>
            </w:r>
          </w:p>
        </w:tc>
        <w:tc>
          <w:tcPr>
            <w:tcW w:w="765"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2011</w:t>
            </w:r>
          </w:p>
        </w:tc>
        <w:tc>
          <w:tcPr>
            <w:tcW w:w="765"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2012</w:t>
            </w:r>
          </w:p>
        </w:tc>
        <w:tc>
          <w:tcPr>
            <w:tcW w:w="720"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2008</w:t>
            </w:r>
          </w:p>
        </w:tc>
        <w:tc>
          <w:tcPr>
            <w:tcW w:w="720"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2009</w:t>
            </w:r>
          </w:p>
        </w:tc>
        <w:tc>
          <w:tcPr>
            <w:tcW w:w="720"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2010</w:t>
            </w:r>
          </w:p>
        </w:tc>
        <w:tc>
          <w:tcPr>
            <w:tcW w:w="811"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2011</w:t>
            </w:r>
          </w:p>
        </w:tc>
        <w:tc>
          <w:tcPr>
            <w:tcW w:w="947"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2012</w:t>
            </w:r>
          </w:p>
        </w:tc>
      </w:tr>
      <w:tr w:rsidR="00272476" w:rsidRPr="0005304F" w:rsidTr="00D61395">
        <w:trPr>
          <w:trHeight w:val="25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left"/>
              <w:rPr>
                <w:sz w:val="16"/>
                <w:szCs w:val="16"/>
                <w:lang w:val="en-US"/>
              </w:rPr>
            </w:pPr>
            <w:r w:rsidRPr="00333F53">
              <w:rPr>
                <w:sz w:val="16"/>
                <w:szCs w:val="16"/>
                <w:lang w:val="en-US"/>
              </w:rPr>
              <w:t>Centrinės valdžios skola</w:t>
            </w:r>
          </w:p>
        </w:tc>
        <w:tc>
          <w:tcPr>
            <w:tcW w:w="766"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92,4%</w:t>
            </w:r>
          </w:p>
        </w:tc>
        <w:tc>
          <w:tcPr>
            <w:tcW w:w="766"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94,7%</w:t>
            </w:r>
          </w:p>
        </w:tc>
        <w:tc>
          <w:tcPr>
            <w:tcW w:w="993"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93,3%</w:t>
            </w:r>
          </w:p>
        </w:tc>
        <w:tc>
          <w:tcPr>
            <w:tcW w:w="902"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91,9%</w:t>
            </w:r>
          </w:p>
        </w:tc>
        <w:tc>
          <w:tcPr>
            <w:tcW w:w="902"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92,6%</w:t>
            </w:r>
          </w:p>
        </w:tc>
        <w:tc>
          <w:tcPr>
            <w:tcW w:w="765"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85,3%</w:t>
            </w:r>
          </w:p>
        </w:tc>
        <w:tc>
          <w:tcPr>
            <w:tcW w:w="811"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87,3%</w:t>
            </w:r>
          </w:p>
        </w:tc>
        <w:tc>
          <w:tcPr>
            <w:tcW w:w="947"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87,6%</w:t>
            </w:r>
          </w:p>
        </w:tc>
        <w:tc>
          <w:tcPr>
            <w:tcW w:w="765"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87,3%</w:t>
            </w:r>
          </w:p>
        </w:tc>
        <w:tc>
          <w:tcPr>
            <w:tcW w:w="765"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87,6%</w:t>
            </w:r>
          </w:p>
        </w:tc>
        <w:tc>
          <w:tcPr>
            <w:tcW w:w="720"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35,7%</w:t>
            </w:r>
          </w:p>
        </w:tc>
        <w:tc>
          <w:tcPr>
            <w:tcW w:w="720"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47,0%</w:t>
            </w:r>
          </w:p>
        </w:tc>
        <w:tc>
          <w:tcPr>
            <w:tcW w:w="720"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46,9%</w:t>
            </w:r>
          </w:p>
        </w:tc>
        <w:tc>
          <w:tcPr>
            <w:tcW w:w="811"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48,5%</w:t>
            </w:r>
          </w:p>
        </w:tc>
        <w:tc>
          <w:tcPr>
            <w:tcW w:w="947"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68,4%</w:t>
            </w:r>
          </w:p>
        </w:tc>
      </w:tr>
      <w:tr w:rsidR="00272476" w:rsidRPr="0005304F" w:rsidTr="00D61395">
        <w:trPr>
          <w:trHeight w:val="25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left"/>
              <w:rPr>
                <w:sz w:val="16"/>
                <w:szCs w:val="16"/>
                <w:lang w:val="en-US"/>
              </w:rPr>
            </w:pPr>
            <w:r w:rsidRPr="00333F53">
              <w:rPr>
                <w:sz w:val="16"/>
                <w:szCs w:val="16"/>
                <w:lang w:val="en-US"/>
              </w:rPr>
              <w:t>Vietos valdžios skola</w:t>
            </w:r>
          </w:p>
        </w:tc>
        <w:tc>
          <w:tcPr>
            <w:tcW w:w="766"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7,1%</w:t>
            </w:r>
          </w:p>
        </w:tc>
        <w:tc>
          <w:tcPr>
            <w:tcW w:w="766"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5,0%</w:t>
            </w:r>
          </w:p>
        </w:tc>
        <w:tc>
          <w:tcPr>
            <w:tcW w:w="993"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3,7%</w:t>
            </w:r>
          </w:p>
        </w:tc>
        <w:tc>
          <w:tcPr>
            <w:tcW w:w="902"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4,3%</w:t>
            </w:r>
          </w:p>
        </w:tc>
        <w:tc>
          <w:tcPr>
            <w:tcW w:w="902"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4,3%</w:t>
            </w:r>
          </w:p>
        </w:tc>
        <w:tc>
          <w:tcPr>
            <w:tcW w:w="765"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14,7%</w:t>
            </w:r>
          </w:p>
        </w:tc>
        <w:tc>
          <w:tcPr>
            <w:tcW w:w="811"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12,7%</w:t>
            </w:r>
          </w:p>
        </w:tc>
        <w:tc>
          <w:tcPr>
            <w:tcW w:w="947"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12,4%</w:t>
            </w:r>
          </w:p>
        </w:tc>
        <w:tc>
          <w:tcPr>
            <w:tcW w:w="765"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12,7%</w:t>
            </w:r>
          </w:p>
        </w:tc>
        <w:tc>
          <w:tcPr>
            <w:tcW w:w="765"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12,4%</w:t>
            </w:r>
          </w:p>
        </w:tc>
        <w:tc>
          <w:tcPr>
            <w:tcW w:w="720"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64,3%</w:t>
            </w:r>
          </w:p>
        </w:tc>
        <w:tc>
          <w:tcPr>
            <w:tcW w:w="720"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52,9%</w:t>
            </w:r>
          </w:p>
        </w:tc>
        <w:tc>
          <w:tcPr>
            <w:tcW w:w="720"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53,0%</w:t>
            </w:r>
          </w:p>
        </w:tc>
        <w:tc>
          <w:tcPr>
            <w:tcW w:w="811"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51,5%</w:t>
            </w:r>
          </w:p>
        </w:tc>
        <w:tc>
          <w:tcPr>
            <w:tcW w:w="947"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31,6%</w:t>
            </w:r>
          </w:p>
        </w:tc>
      </w:tr>
      <w:tr w:rsidR="00272476" w:rsidRPr="0005304F" w:rsidTr="00D61395">
        <w:trPr>
          <w:trHeight w:val="25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left"/>
              <w:rPr>
                <w:sz w:val="16"/>
                <w:szCs w:val="16"/>
                <w:lang w:val="en-US"/>
              </w:rPr>
            </w:pPr>
            <w:r w:rsidRPr="00333F53">
              <w:rPr>
                <w:sz w:val="16"/>
                <w:szCs w:val="16"/>
                <w:lang w:val="en-US"/>
              </w:rPr>
              <w:t>Soc. apsaugos fondų skola</w:t>
            </w:r>
          </w:p>
        </w:tc>
        <w:tc>
          <w:tcPr>
            <w:tcW w:w="766"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0,5%</w:t>
            </w:r>
          </w:p>
        </w:tc>
        <w:tc>
          <w:tcPr>
            <w:tcW w:w="766"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0,3%</w:t>
            </w:r>
          </w:p>
        </w:tc>
        <w:tc>
          <w:tcPr>
            <w:tcW w:w="993"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3,0%</w:t>
            </w:r>
          </w:p>
        </w:tc>
        <w:tc>
          <w:tcPr>
            <w:tcW w:w="902"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3,8%</w:t>
            </w:r>
          </w:p>
        </w:tc>
        <w:tc>
          <w:tcPr>
            <w:tcW w:w="902"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3,1%</w:t>
            </w:r>
          </w:p>
        </w:tc>
        <w:tc>
          <w:tcPr>
            <w:tcW w:w="765"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0,0%</w:t>
            </w:r>
          </w:p>
        </w:tc>
        <w:tc>
          <w:tcPr>
            <w:tcW w:w="811"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0,0%</w:t>
            </w:r>
          </w:p>
        </w:tc>
        <w:tc>
          <w:tcPr>
            <w:tcW w:w="947"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0,0%</w:t>
            </w:r>
          </w:p>
        </w:tc>
        <w:tc>
          <w:tcPr>
            <w:tcW w:w="765"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0,0%</w:t>
            </w:r>
          </w:p>
        </w:tc>
        <w:tc>
          <w:tcPr>
            <w:tcW w:w="765"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0,0%</w:t>
            </w:r>
          </w:p>
        </w:tc>
        <w:tc>
          <w:tcPr>
            <w:tcW w:w="720"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0,0%</w:t>
            </w:r>
          </w:p>
        </w:tc>
        <w:tc>
          <w:tcPr>
            <w:tcW w:w="720"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0,0%</w:t>
            </w:r>
          </w:p>
        </w:tc>
        <w:tc>
          <w:tcPr>
            <w:tcW w:w="720"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0,0%</w:t>
            </w:r>
          </w:p>
        </w:tc>
        <w:tc>
          <w:tcPr>
            <w:tcW w:w="811"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0,0%</w:t>
            </w:r>
          </w:p>
        </w:tc>
        <w:tc>
          <w:tcPr>
            <w:tcW w:w="947" w:type="dxa"/>
            <w:tcBorders>
              <w:top w:val="nil"/>
              <w:left w:val="nil"/>
              <w:bottom w:val="single" w:sz="4" w:space="0" w:color="auto"/>
              <w:right w:val="single" w:sz="4" w:space="0" w:color="auto"/>
            </w:tcBorders>
            <w:shd w:val="clear" w:color="auto" w:fill="auto"/>
            <w:noWrap/>
            <w:vAlign w:val="bottom"/>
            <w:hideMark/>
          </w:tcPr>
          <w:p w:rsidR="00272476" w:rsidRPr="00333F53" w:rsidRDefault="00272476" w:rsidP="00D61395">
            <w:pPr>
              <w:widowControl/>
              <w:ind w:firstLine="0"/>
              <w:jc w:val="right"/>
              <w:rPr>
                <w:sz w:val="16"/>
                <w:szCs w:val="16"/>
                <w:lang w:val="en-US"/>
              </w:rPr>
            </w:pPr>
            <w:r w:rsidRPr="00333F53">
              <w:rPr>
                <w:sz w:val="16"/>
                <w:szCs w:val="16"/>
                <w:lang w:val="en-US"/>
              </w:rPr>
              <w:t>0,0%</w:t>
            </w:r>
          </w:p>
        </w:tc>
      </w:tr>
    </w:tbl>
    <w:p w:rsidR="00272476" w:rsidRPr="0005304F" w:rsidRDefault="00272476" w:rsidP="00272476">
      <w:pPr>
        <w:tabs>
          <w:tab w:val="left" w:pos="7470"/>
        </w:tabs>
        <w:jc w:val="center"/>
        <w:rPr>
          <w:sz w:val="24"/>
          <w:szCs w:val="24"/>
        </w:rPr>
      </w:pPr>
    </w:p>
    <w:p w:rsidR="00272476" w:rsidRDefault="00272476" w:rsidP="00272476">
      <w:pPr>
        <w:pStyle w:val="Heading2"/>
        <w:rPr>
          <w:sz w:val="24"/>
          <w:szCs w:val="24"/>
        </w:rPr>
      </w:pPr>
    </w:p>
    <w:p w:rsidR="00272476" w:rsidRDefault="00272476" w:rsidP="00272476"/>
    <w:p w:rsidR="00272476" w:rsidRDefault="00272476" w:rsidP="00272476"/>
    <w:p w:rsidR="00272476" w:rsidRDefault="00272476" w:rsidP="00272476"/>
    <w:p w:rsidR="00272476" w:rsidRDefault="00272476" w:rsidP="00272476"/>
    <w:p w:rsidR="00272476" w:rsidRDefault="00272476" w:rsidP="00272476">
      <w:pPr>
        <w:ind w:firstLine="0"/>
      </w:pPr>
    </w:p>
    <w:p w:rsidR="00272476" w:rsidRDefault="00272476" w:rsidP="00272476"/>
    <w:p w:rsidR="00272476" w:rsidRDefault="00272476" w:rsidP="00272476"/>
    <w:p w:rsidR="00C21D62" w:rsidRDefault="00C21D62" w:rsidP="0072343F">
      <w:pPr>
        <w:tabs>
          <w:tab w:val="left" w:pos="7470"/>
          <w:tab w:val="left" w:pos="12210"/>
          <w:tab w:val="right" w:pos="13564"/>
        </w:tabs>
        <w:ind w:firstLine="0"/>
        <w:jc w:val="left"/>
        <w:rPr>
          <w:b/>
          <w:sz w:val="24"/>
          <w:szCs w:val="24"/>
        </w:rPr>
        <w:sectPr w:rsidR="00C21D62" w:rsidSect="00A305E9">
          <w:pgSz w:w="15840" w:h="12240" w:orient="landscape"/>
          <w:pgMar w:top="1440" w:right="1440" w:bottom="1440" w:left="1440" w:header="720" w:footer="720" w:gutter="0"/>
          <w:cols w:space="720"/>
          <w:docGrid w:linePitch="360"/>
        </w:sectPr>
      </w:pPr>
    </w:p>
    <w:p w:rsidR="0005304F" w:rsidRPr="0005304F" w:rsidRDefault="0005304F" w:rsidP="00272476">
      <w:pPr>
        <w:tabs>
          <w:tab w:val="left" w:pos="7470"/>
          <w:tab w:val="left" w:pos="12210"/>
          <w:tab w:val="right" w:pos="13564"/>
        </w:tabs>
        <w:ind w:firstLine="0"/>
        <w:rPr>
          <w:b/>
          <w:sz w:val="24"/>
          <w:szCs w:val="24"/>
        </w:rPr>
      </w:pPr>
    </w:p>
    <w:p w:rsidR="0005304F" w:rsidRDefault="0005304F" w:rsidP="0005304F">
      <w:pPr>
        <w:tabs>
          <w:tab w:val="left" w:pos="7470"/>
        </w:tabs>
        <w:jc w:val="center"/>
        <w:rPr>
          <w:sz w:val="24"/>
          <w:szCs w:val="24"/>
        </w:rPr>
      </w:pPr>
      <w:r w:rsidRPr="0005304F">
        <w:rPr>
          <w:sz w:val="24"/>
          <w:szCs w:val="24"/>
        </w:rPr>
        <w:t>2 lentelė. Baltijos šalių valstybės skolos struktūra pagal trukmę</w:t>
      </w:r>
    </w:p>
    <w:p w:rsidR="0005304F" w:rsidRPr="0005304F" w:rsidRDefault="0005304F" w:rsidP="0005304F">
      <w:pPr>
        <w:tabs>
          <w:tab w:val="left" w:pos="7470"/>
        </w:tabs>
        <w:jc w:val="center"/>
        <w:rPr>
          <w:sz w:val="24"/>
          <w:szCs w:val="24"/>
        </w:rPr>
      </w:pPr>
    </w:p>
    <w:tbl>
      <w:tblPr>
        <w:tblW w:w="12660" w:type="dxa"/>
        <w:jc w:val="center"/>
        <w:tblInd w:w="103" w:type="dxa"/>
        <w:tblLook w:val="04A0"/>
      </w:tblPr>
      <w:tblGrid>
        <w:gridCol w:w="1220"/>
        <w:gridCol w:w="759"/>
        <w:gridCol w:w="759"/>
        <w:gridCol w:w="759"/>
        <w:gridCol w:w="883"/>
        <w:gridCol w:w="883"/>
        <w:gridCol w:w="759"/>
        <w:gridCol w:w="759"/>
        <w:gridCol w:w="759"/>
        <w:gridCol w:w="759"/>
        <w:gridCol w:w="759"/>
        <w:gridCol w:w="883"/>
        <w:gridCol w:w="665"/>
        <w:gridCol w:w="665"/>
        <w:gridCol w:w="630"/>
        <w:gridCol w:w="759"/>
      </w:tblGrid>
      <w:tr w:rsidR="0005304F" w:rsidRPr="0005304F" w:rsidTr="0005304F">
        <w:trPr>
          <w:trHeight w:val="255"/>
          <w:jc w:val="center"/>
        </w:trPr>
        <w:tc>
          <w:tcPr>
            <w:tcW w:w="122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05304F" w:rsidRPr="0005304F" w:rsidRDefault="0005304F" w:rsidP="0005304F">
            <w:pPr>
              <w:widowControl/>
              <w:ind w:firstLine="0"/>
              <w:jc w:val="center"/>
              <w:rPr>
                <w:sz w:val="16"/>
                <w:szCs w:val="16"/>
                <w:lang w:val="en-US"/>
              </w:rPr>
            </w:pPr>
            <w:r w:rsidRPr="0005304F">
              <w:rPr>
                <w:sz w:val="16"/>
                <w:szCs w:val="16"/>
                <w:lang w:val="en-US"/>
              </w:rPr>
              <w:t> </w:t>
            </w:r>
          </w:p>
        </w:tc>
        <w:tc>
          <w:tcPr>
            <w:tcW w:w="11440" w:type="dxa"/>
            <w:gridSpan w:val="15"/>
            <w:tcBorders>
              <w:top w:val="single" w:sz="4" w:space="0" w:color="auto"/>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center"/>
              <w:rPr>
                <w:sz w:val="16"/>
                <w:szCs w:val="16"/>
                <w:lang w:val="en-US"/>
              </w:rPr>
            </w:pPr>
            <w:r w:rsidRPr="0005304F">
              <w:rPr>
                <w:sz w:val="16"/>
                <w:szCs w:val="16"/>
                <w:lang w:val="en-US"/>
              </w:rPr>
              <w:t>Mln. Eur.</w:t>
            </w:r>
          </w:p>
        </w:tc>
      </w:tr>
      <w:tr w:rsidR="0005304F" w:rsidRPr="0005304F" w:rsidTr="0005304F">
        <w:trPr>
          <w:trHeight w:val="255"/>
          <w:jc w:val="center"/>
        </w:trPr>
        <w:tc>
          <w:tcPr>
            <w:tcW w:w="1220" w:type="dxa"/>
            <w:vMerge/>
            <w:tcBorders>
              <w:top w:val="single" w:sz="4" w:space="0" w:color="auto"/>
              <w:left w:val="single" w:sz="4" w:space="0" w:color="auto"/>
              <w:bottom w:val="single" w:sz="4" w:space="0" w:color="000000"/>
              <w:right w:val="single" w:sz="4" w:space="0" w:color="auto"/>
            </w:tcBorders>
            <w:vAlign w:val="center"/>
            <w:hideMark/>
          </w:tcPr>
          <w:p w:rsidR="0005304F" w:rsidRPr="0005304F" w:rsidRDefault="0005304F" w:rsidP="0005304F">
            <w:pPr>
              <w:widowControl/>
              <w:ind w:firstLine="0"/>
              <w:jc w:val="left"/>
              <w:rPr>
                <w:sz w:val="16"/>
                <w:szCs w:val="16"/>
                <w:lang w:val="en-US"/>
              </w:rPr>
            </w:pPr>
          </w:p>
        </w:tc>
        <w:tc>
          <w:tcPr>
            <w:tcW w:w="4043" w:type="dxa"/>
            <w:gridSpan w:val="5"/>
            <w:tcBorders>
              <w:top w:val="single" w:sz="4" w:space="0" w:color="auto"/>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center"/>
              <w:rPr>
                <w:sz w:val="16"/>
                <w:szCs w:val="16"/>
                <w:lang w:val="en-US"/>
              </w:rPr>
            </w:pPr>
            <w:r w:rsidRPr="0005304F">
              <w:rPr>
                <w:sz w:val="16"/>
                <w:szCs w:val="16"/>
                <w:lang w:val="en-US"/>
              </w:rPr>
              <w:t>Lietuva</w:t>
            </w:r>
          </w:p>
        </w:tc>
        <w:tc>
          <w:tcPr>
            <w:tcW w:w="3795" w:type="dxa"/>
            <w:gridSpan w:val="5"/>
            <w:tcBorders>
              <w:top w:val="single" w:sz="4" w:space="0" w:color="auto"/>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center"/>
              <w:rPr>
                <w:sz w:val="16"/>
                <w:szCs w:val="16"/>
                <w:lang w:val="en-US"/>
              </w:rPr>
            </w:pPr>
            <w:r w:rsidRPr="0005304F">
              <w:rPr>
                <w:sz w:val="16"/>
                <w:szCs w:val="16"/>
                <w:lang w:val="en-US"/>
              </w:rPr>
              <w:t>Latvija</w:t>
            </w:r>
          </w:p>
        </w:tc>
        <w:tc>
          <w:tcPr>
            <w:tcW w:w="3602" w:type="dxa"/>
            <w:gridSpan w:val="5"/>
            <w:tcBorders>
              <w:top w:val="single" w:sz="4" w:space="0" w:color="auto"/>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center"/>
              <w:rPr>
                <w:sz w:val="16"/>
                <w:szCs w:val="16"/>
                <w:lang w:val="en-US"/>
              </w:rPr>
            </w:pPr>
            <w:r w:rsidRPr="0005304F">
              <w:rPr>
                <w:sz w:val="16"/>
                <w:szCs w:val="16"/>
                <w:lang w:val="en-US"/>
              </w:rPr>
              <w:t>Estija</w:t>
            </w:r>
          </w:p>
        </w:tc>
      </w:tr>
      <w:tr w:rsidR="0005304F" w:rsidRPr="0005304F" w:rsidTr="0005304F">
        <w:trPr>
          <w:trHeight w:val="255"/>
          <w:jc w:val="center"/>
        </w:trPr>
        <w:tc>
          <w:tcPr>
            <w:tcW w:w="1220" w:type="dxa"/>
            <w:vMerge/>
            <w:tcBorders>
              <w:top w:val="single" w:sz="4" w:space="0" w:color="auto"/>
              <w:left w:val="single" w:sz="4" w:space="0" w:color="auto"/>
              <w:bottom w:val="single" w:sz="4" w:space="0" w:color="000000"/>
              <w:right w:val="single" w:sz="4" w:space="0" w:color="auto"/>
            </w:tcBorders>
            <w:vAlign w:val="center"/>
            <w:hideMark/>
          </w:tcPr>
          <w:p w:rsidR="0005304F" w:rsidRPr="0005304F" w:rsidRDefault="0005304F" w:rsidP="0005304F">
            <w:pPr>
              <w:widowControl/>
              <w:ind w:firstLine="0"/>
              <w:jc w:val="left"/>
              <w:rPr>
                <w:sz w:val="16"/>
                <w:szCs w:val="16"/>
                <w:lang w:val="en-US"/>
              </w:rPr>
            </w:pP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2008</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2009</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2010</w:t>
            </w:r>
          </w:p>
        </w:tc>
        <w:tc>
          <w:tcPr>
            <w:tcW w:w="883"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2011</w:t>
            </w:r>
          </w:p>
        </w:tc>
        <w:tc>
          <w:tcPr>
            <w:tcW w:w="883"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2012</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2008</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2009</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2010</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2011</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2012</w:t>
            </w:r>
          </w:p>
        </w:tc>
        <w:tc>
          <w:tcPr>
            <w:tcW w:w="883"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2008</w:t>
            </w:r>
          </w:p>
        </w:tc>
        <w:tc>
          <w:tcPr>
            <w:tcW w:w="665"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2009</w:t>
            </w:r>
          </w:p>
        </w:tc>
        <w:tc>
          <w:tcPr>
            <w:tcW w:w="665"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2010</w:t>
            </w:r>
          </w:p>
        </w:tc>
        <w:tc>
          <w:tcPr>
            <w:tcW w:w="63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2011</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2012</w:t>
            </w:r>
          </w:p>
        </w:tc>
      </w:tr>
      <w:tr w:rsidR="0005304F" w:rsidRPr="0005304F" w:rsidTr="0005304F">
        <w:trPr>
          <w:trHeight w:val="255"/>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left"/>
              <w:rPr>
                <w:sz w:val="16"/>
                <w:szCs w:val="16"/>
                <w:lang w:val="en-US"/>
              </w:rPr>
            </w:pPr>
            <w:r w:rsidRPr="0005304F">
              <w:rPr>
                <w:sz w:val="16"/>
                <w:szCs w:val="16"/>
                <w:lang w:val="en-US"/>
              </w:rPr>
              <w:t>Trumpalaikė</w:t>
            </w:r>
          </w:p>
        </w:tc>
        <w:tc>
          <w:tcPr>
            <w:tcW w:w="759"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398,2</w:t>
            </w:r>
          </w:p>
        </w:tc>
        <w:tc>
          <w:tcPr>
            <w:tcW w:w="759"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347,4</w:t>
            </w:r>
          </w:p>
        </w:tc>
        <w:tc>
          <w:tcPr>
            <w:tcW w:w="759"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663,0</w:t>
            </w:r>
          </w:p>
        </w:tc>
        <w:tc>
          <w:tcPr>
            <w:tcW w:w="883"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711,7</w:t>
            </w:r>
          </w:p>
        </w:tc>
        <w:tc>
          <w:tcPr>
            <w:tcW w:w="883"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871,4</w:t>
            </w:r>
          </w:p>
        </w:tc>
        <w:tc>
          <w:tcPr>
            <w:tcW w:w="759"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1.613,9</w:t>
            </w:r>
          </w:p>
        </w:tc>
        <w:tc>
          <w:tcPr>
            <w:tcW w:w="759"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993,7</w:t>
            </w:r>
          </w:p>
        </w:tc>
        <w:tc>
          <w:tcPr>
            <w:tcW w:w="759"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751,3</w:t>
            </w:r>
          </w:p>
        </w:tc>
        <w:tc>
          <w:tcPr>
            <w:tcW w:w="759"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721,2</w:t>
            </w:r>
          </w:p>
        </w:tc>
        <w:tc>
          <w:tcPr>
            <w:tcW w:w="759"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560,1</w:t>
            </w:r>
          </w:p>
        </w:tc>
        <w:tc>
          <w:tcPr>
            <w:tcW w:w="883"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139,0</w:t>
            </w:r>
          </w:p>
        </w:tc>
        <w:tc>
          <w:tcPr>
            <w:tcW w:w="665"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12,9</w:t>
            </w:r>
          </w:p>
        </w:tc>
        <w:tc>
          <w:tcPr>
            <w:tcW w:w="665"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6,3</w:t>
            </w:r>
          </w:p>
        </w:tc>
        <w:tc>
          <w:tcPr>
            <w:tcW w:w="630"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7,2</w:t>
            </w:r>
          </w:p>
        </w:tc>
        <w:tc>
          <w:tcPr>
            <w:tcW w:w="759"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9,5</w:t>
            </w:r>
          </w:p>
        </w:tc>
      </w:tr>
      <w:tr w:rsidR="0005304F" w:rsidRPr="0005304F" w:rsidTr="0005304F">
        <w:trPr>
          <w:trHeight w:val="255"/>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left"/>
              <w:rPr>
                <w:sz w:val="16"/>
                <w:szCs w:val="16"/>
                <w:lang w:val="en-US"/>
              </w:rPr>
            </w:pPr>
            <w:r w:rsidRPr="0005304F">
              <w:rPr>
                <w:sz w:val="16"/>
                <w:szCs w:val="16"/>
                <w:lang w:val="en-US"/>
              </w:rPr>
              <w:t>Ilgalaikė</w:t>
            </w:r>
          </w:p>
        </w:tc>
        <w:tc>
          <w:tcPr>
            <w:tcW w:w="759"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4.633,9</w:t>
            </w:r>
          </w:p>
        </w:tc>
        <w:tc>
          <w:tcPr>
            <w:tcW w:w="759"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7.467,5</w:t>
            </w:r>
          </w:p>
        </w:tc>
        <w:tc>
          <w:tcPr>
            <w:tcW w:w="759"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9.800,9</w:t>
            </w:r>
          </w:p>
        </w:tc>
        <w:tc>
          <w:tcPr>
            <w:tcW w:w="883"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11.151,6</w:t>
            </w:r>
          </w:p>
        </w:tc>
        <w:tc>
          <w:tcPr>
            <w:tcW w:w="883"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12.461,7</w:t>
            </w:r>
          </w:p>
        </w:tc>
        <w:tc>
          <w:tcPr>
            <w:tcW w:w="759"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2.877,6</w:t>
            </w:r>
          </w:p>
        </w:tc>
        <w:tc>
          <w:tcPr>
            <w:tcW w:w="759"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5.776,2</w:t>
            </w:r>
          </w:p>
        </w:tc>
        <w:tc>
          <w:tcPr>
            <w:tcW w:w="759"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7.276,1</w:t>
            </w:r>
          </w:p>
        </w:tc>
        <w:tc>
          <w:tcPr>
            <w:tcW w:w="759"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7.819,8</w:t>
            </w:r>
          </w:p>
        </w:tc>
        <w:tc>
          <w:tcPr>
            <w:tcW w:w="759"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8.482,7</w:t>
            </w:r>
          </w:p>
        </w:tc>
        <w:tc>
          <w:tcPr>
            <w:tcW w:w="883"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11.461,0</w:t>
            </w:r>
          </w:p>
        </w:tc>
        <w:tc>
          <w:tcPr>
            <w:tcW w:w="665"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978,4</w:t>
            </w:r>
          </w:p>
        </w:tc>
        <w:tc>
          <w:tcPr>
            <w:tcW w:w="665"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950,5</w:t>
            </w:r>
          </w:p>
        </w:tc>
        <w:tc>
          <w:tcPr>
            <w:tcW w:w="630"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989,0</w:t>
            </w:r>
          </w:p>
        </w:tc>
        <w:tc>
          <w:tcPr>
            <w:tcW w:w="759"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1.714,0</w:t>
            </w:r>
          </w:p>
        </w:tc>
      </w:tr>
      <w:tr w:rsidR="0005304F" w:rsidRPr="0005304F" w:rsidTr="0005304F">
        <w:trPr>
          <w:trHeight w:val="255"/>
          <w:jc w:val="center"/>
        </w:trPr>
        <w:tc>
          <w:tcPr>
            <w:tcW w:w="122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5304F" w:rsidRPr="0005304F" w:rsidRDefault="0005304F" w:rsidP="0005304F">
            <w:pPr>
              <w:widowControl/>
              <w:ind w:firstLine="0"/>
              <w:jc w:val="center"/>
              <w:rPr>
                <w:sz w:val="16"/>
                <w:szCs w:val="16"/>
                <w:lang w:val="en-US"/>
              </w:rPr>
            </w:pPr>
            <w:r w:rsidRPr="0005304F">
              <w:rPr>
                <w:sz w:val="16"/>
                <w:szCs w:val="16"/>
                <w:lang w:val="en-US"/>
              </w:rPr>
              <w:t> </w:t>
            </w:r>
          </w:p>
        </w:tc>
        <w:tc>
          <w:tcPr>
            <w:tcW w:w="11440" w:type="dxa"/>
            <w:gridSpan w:val="15"/>
            <w:tcBorders>
              <w:top w:val="single" w:sz="4" w:space="0" w:color="auto"/>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center"/>
              <w:rPr>
                <w:sz w:val="16"/>
                <w:szCs w:val="16"/>
                <w:lang w:val="en-US"/>
              </w:rPr>
            </w:pPr>
            <w:r w:rsidRPr="0005304F">
              <w:rPr>
                <w:sz w:val="16"/>
                <w:szCs w:val="16"/>
                <w:lang w:val="en-US"/>
              </w:rPr>
              <w:t>Pokytis, %</w:t>
            </w:r>
          </w:p>
        </w:tc>
      </w:tr>
      <w:tr w:rsidR="0005304F" w:rsidRPr="0005304F" w:rsidTr="0005304F">
        <w:trPr>
          <w:trHeight w:val="255"/>
          <w:jc w:val="center"/>
        </w:trPr>
        <w:tc>
          <w:tcPr>
            <w:tcW w:w="1220" w:type="dxa"/>
            <w:vMerge/>
            <w:tcBorders>
              <w:top w:val="nil"/>
              <w:left w:val="single" w:sz="4" w:space="0" w:color="auto"/>
              <w:bottom w:val="single" w:sz="4" w:space="0" w:color="000000"/>
              <w:right w:val="single" w:sz="4" w:space="0" w:color="auto"/>
            </w:tcBorders>
            <w:vAlign w:val="center"/>
            <w:hideMark/>
          </w:tcPr>
          <w:p w:rsidR="0005304F" w:rsidRPr="0005304F" w:rsidRDefault="0005304F" w:rsidP="0005304F">
            <w:pPr>
              <w:widowControl/>
              <w:ind w:firstLine="0"/>
              <w:jc w:val="left"/>
              <w:rPr>
                <w:sz w:val="16"/>
                <w:szCs w:val="16"/>
                <w:lang w:val="en-US"/>
              </w:rPr>
            </w:pPr>
          </w:p>
        </w:tc>
        <w:tc>
          <w:tcPr>
            <w:tcW w:w="4043" w:type="dxa"/>
            <w:gridSpan w:val="5"/>
            <w:tcBorders>
              <w:top w:val="single" w:sz="4" w:space="0" w:color="auto"/>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center"/>
              <w:rPr>
                <w:sz w:val="16"/>
                <w:szCs w:val="16"/>
                <w:lang w:val="en-US"/>
              </w:rPr>
            </w:pPr>
            <w:r w:rsidRPr="0005304F">
              <w:rPr>
                <w:sz w:val="16"/>
                <w:szCs w:val="16"/>
                <w:lang w:val="en-US"/>
              </w:rPr>
              <w:t>Lietuva</w:t>
            </w:r>
          </w:p>
        </w:tc>
        <w:tc>
          <w:tcPr>
            <w:tcW w:w="3795" w:type="dxa"/>
            <w:gridSpan w:val="5"/>
            <w:tcBorders>
              <w:top w:val="single" w:sz="4" w:space="0" w:color="auto"/>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center"/>
              <w:rPr>
                <w:sz w:val="16"/>
                <w:szCs w:val="16"/>
                <w:lang w:val="en-US"/>
              </w:rPr>
            </w:pPr>
            <w:r w:rsidRPr="0005304F">
              <w:rPr>
                <w:sz w:val="16"/>
                <w:szCs w:val="16"/>
                <w:lang w:val="en-US"/>
              </w:rPr>
              <w:t>Latvija</w:t>
            </w:r>
          </w:p>
        </w:tc>
        <w:tc>
          <w:tcPr>
            <w:tcW w:w="3602" w:type="dxa"/>
            <w:gridSpan w:val="5"/>
            <w:tcBorders>
              <w:top w:val="single" w:sz="4" w:space="0" w:color="auto"/>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center"/>
              <w:rPr>
                <w:sz w:val="16"/>
                <w:szCs w:val="16"/>
                <w:lang w:val="en-US"/>
              </w:rPr>
            </w:pPr>
            <w:r w:rsidRPr="0005304F">
              <w:rPr>
                <w:sz w:val="16"/>
                <w:szCs w:val="16"/>
                <w:lang w:val="en-US"/>
              </w:rPr>
              <w:t>Estija</w:t>
            </w:r>
          </w:p>
        </w:tc>
      </w:tr>
      <w:tr w:rsidR="0005304F" w:rsidRPr="0005304F" w:rsidTr="0005304F">
        <w:trPr>
          <w:trHeight w:val="255"/>
          <w:jc w:val="center"/>
        </w:trPr>
        <w:tc>
          <w:tcPr>
            <w:tcW w:w="1220" w:type="dxa"/>
            <w:vMerge/>
            <w:tcBorders>
              <w:top w:val="nil"/>
              <w:left w:val="single" w:sz="4" w:space="0" w:color="auto"/>
              <w:bottom w:val="single" w:sz="4" w:space="0" w:color="000000"/>
              <w:right w:val="single" w:sz="4" w:space="0" w:color="auto"/>
            </w:tcBorders>
            <w:vAlign w:val="center"/>
            <w:hideMark/>
          </w:tcPr>
          <w:p w:rsidR="0005304F" w:rsidRPr="0005304F" w:rsidRDefault="0005304F" w:rsidP="0005304F">
            <w:pPr>
              <w:widowControl/>
              <w:ind w:firstLine="0"/>
              <w:jc w:val="left"/>
              <w:rPr>
                <w:sz w:val="16"/>
                <w:szCs w:val="16"/>
                <w:lang w:val="en-US"/>
              </w:rPr>
            </w:pP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2008</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2009</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2010</w:t>
            </w:r>
          </w:p>
        </w:tc>
        <w:tc>
          <w:tcPr>
            <w:tcW w:w="883"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2011</w:t>
            </w:r>
          </w:p>
        </w:tc>
        <w:tc>
          <w:tcPr>
            <w:tcW w:w="883"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2012</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2008</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2009</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2010</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2011</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2012</w:t>
            </w:r>
          </w:p>
        </w:tc>
        <w:tc>
          <w:tcPr>
            <w:tcW w:w="883"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2008</w:t>
            </w:r>
          </w:p>
        </w:tc>
        <w:tc>
          <w:tcPr>
            <w:tcW w:w="665"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2009</w:t>
            </w:r>
          </w:p>
        </w:tc>
        <w:tc>
          <w:tcPr>
            <w:tcW w:w="665"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2010</w:t>
            </w:r>
          </w:p>
        </w:tc>
        <w:tc>
          <w:tcPr>
            <w:tcW w:w="63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2011</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2012</w:t>
            </w:r>
          </w:p>
        </w:tc>
      </w:tr>
      <w:tr w:rsidR="0005304F" w:rsidRPr="0005304F" w:rsidTr="0005304F">
        <w:trPr>
          <w:trHeight w:val="255"/>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left"/>
              <w:rPr>
                <w:sz w:val="16"/>
                <w:szCs w:val="16"/>
                <w:lang w:val="en-US"/>
              </w:rPr>
            </w:pPr>
            <w:r w:rsidRPr="0005304F">
              <w:rPr>
                <w:sz w:val="16"/>
                <w:szCs w:val="16"/>
                <w:lang w:val="en-US"/>
              </w:rPr>
              <w:t>Trumpalaikė</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left"/>
              <w:rPr>
                <w:sz w:val="16"/>
                <w:szCs w:val="16"/>
                <w:lang w:val="en-US"/>
              </w:rPr>
            </w:pPr>
            <w:r w:rsidRPr="0005304F">
              <w:rPr>
                <w:sz w:val="16"/>
                <w:szCs w:val="16"/>
                <w:lang w:val="en-US"/>
              </w:rPr>
              <w:t> </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-12,8%</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90,8%</w:t>
            </w:r>
          </w:p>
        </w:tc>
        <w:tc>
          <w:tcPr>
            <w:tcW w:w="883"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7,3%</w:t>
            </w:r>
          </w:p>
        </w:tc>
        <w:tc>
          <w:tcPr>
            <w:tcW w:w="883"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22,4%</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left"/>
              <w:rPr>
                <w:sz w:val="16"/>
                <w:szCs w:val="16"/>
                <w:lang w:val="en-US"/>
              </w:rPr>
            </w:pPr>
            <w:r w:rsidRPr="0005304F">
              <w:rPr>
                <w:sz w:val="16"/>
                <w:szCs w:val="16"/>
                <w:lang w:val="en-US"/>
              </w:rPr>
              <w:t> </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-38,4%</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-24,4%</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-4,0%</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-22,3%</w:t>
            </w:r>
          </w:p>
        </w:tc>
        <w:tc>
          <w:tcPr>
            <w:tcW w:w="883"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left"/>
              <w:rPr>
                <w:sz w:val="16"/>
                <w:szCs w:val="16"/>
                <w:lang w:val="en-US"/>
              </w:rPr>
            </w:pPr>
            <w:r w:rsidRPr="0005304F">
              <w:rPr>
                <w:sz w:val="16"/>
                <w:szCs w:val="16"/>
                <w:lang w:val="en-US"/>
              </w:rPr>
              <w:t> </w:t>
            </w:r>
          </w:p>
        </w:tc>
        <w:tc>
          <w:tcPr>
            <w:tcW w:w="665"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-90,7%</w:t>
            </w:r>
          </w:p>
        </w:tc>
        <w:tc>
          <w:tcPr>
            <w:tcW w:w="665"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-51,2%</w:t>
            </w:r>
          </w:p>
        </w:tc>
        <w:tc>
          <w:tcPr>
            <w:tcW w:w="63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14,3%</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31,9%</w:t>
            </w:r>
          </w:p>
        </w:tc>
      </w:tr>
      <w:tr w:rsidR="0005304F" w:rsidRPr="0005304F" w:rsidTr="0005304F">
        <w:trPr>
          <w:trHeight w:val="255"/>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left"/>
              <w:rPr>
                <w:sz w:val="16"/>
                <w:szCs w:val="16"/>
                <w:lang w:val="en-US"/>
              </w:rPr>
            </w:pPr>
            <w:r w:rsidRPr="0005304F">
              <w:rPr>
                <w:sz w:val="16"/>
                <w:szCs w:val="16"/>
                <w:lang w:val="en-US"/>
              </w:rPr>
              <w:t>Ilgalaikė</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left"/>
              <w:rPr>
                <w:sz w:val="16"/>
                <w:szCs w:val="16"/>
                <w:lang w:val="en-US"/>
              </w:rPr>
            </w:pPr>
            <w:r w:rsidRPr="0005304F">
              <w:rPr>
                <w:sz w:val="16"/>
                <w:szCs w:val="16"/>
                <w:lang w:val="en-US"/>
              </w:rPr>
              <w:t> </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61,1%</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31,2%</w:t>
            </w:r>
          </w:p>
        </w:tc>
        <w:tc>
          <w:tcPr>
            <w:tcW w:w="883"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13,8%</w:t>
            </w:r>
          </w:p>
        </w:tc>
        <w:tc>
          <w:tcPr>
            <w:tcW w:w="883"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11,7%</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left"/>
              <w:rPr>
                <w:sz w:val="16"/>
                <w:szCs w:val="16"/>
                <w:lang w:val="en-US"/>
              </w:rPr>
            </w:pPr>
            <w:r w:rsidRPr="0005304F">
              <w:rPr>
                <w:sz w:val="16"/>
                <w:szCs w:val="16"/>
                <w:lang w:val="en-US"/>
              </w:rPr>
              <w:t> </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100,7%</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26,0%</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7,5%</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8,5%</w:t>
            </w:r>
          </w:p>
        </w:tc>
        <w:tc>
          <w:tcPr>
            <w:tcW w:w="883"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left"/>
              <w:rPr>
                <w:sz w:val="16"/>
                <w:szCs w:val="16"/>
                <w:lang w:val="en-US"/>
              </w:rPr>
            </w:pPr>
            <w:r w:rsidRPr="0005304F">
              <w:rPr>
                <w:sz w:val="16"/>
                <w:szCs w:val="16"/>
                <w:lang w:val="en-US"/>
              </w:rPr>
              <w:t> </w:t>
            </w:r>
          </w:p>
        </w:tc>
        <w:tc>
          <w:tcPr>
            <w:tcW w:w="665"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-91,5%</w:t>
            </w:r>
          </w:p>
        </w:tc>
        <w:tc>
          <w:tcPr>
            <w:tcW w:w="665"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-2,9%</w:t>
            </w:r>
          </w:p>
        </w:tc>
        <w:tc>
          <w:tcPr>
            <w:tcW w:w="63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4,1%</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73,3%</w:t>
            </w:r>
          </w:p>
        </w:tc>
      </w:tr>
      <w:tr w:rsidR="0005304F" w:rsidRPr="0005304F" w:rsidTr="0005304F">
        <w:trPr>
          <w:trHeight w:val="255"/>
          <w:jc w:val="center"/>
        </w:trPr>
        <w:tc>
          <w:tcPr>
            <w:tcW w:w="122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5304F" w:rsidRPr="0005304F" w:rsidRDefault="0005304F" w:rsidP="0005304F">
            <w:pPr>
              <w:widowControl/>
              <w:ind w:firstLine="0"/>
              <w:jc w:val="center"/>
              <w:rPr>
                <w:sz w:val="16"/>
                <w:szCs w:val="16"/>
                <w:lang w:val="en-US"/>
              </w:rPr>
            </w:pPr>
            <w:r w:rsidRPr="0005304F">
              <w:rPr>
                <w:sz w:val="16"/>
                <w:szCs w:val="16"/>
                <w:lang w:val="en-US"/>
              </w:rPr>
              <w:t> </w:t>
            </w:r>
          </w:p>
        </w:tc>
        <w:tc>
          <w:tcPr>
            <w:tcW w:w="11440" w:type="dxa"/>
            <w:gridSpan w:val="15"/>
            <w:tcBorders>
              <w:top w:val="single" w:sz="4" w:space="0" w:color="auto"/>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center"/>
              <w:rPr>
                <w:sz w:val="16"/>
                <w:szCs w:val="16"/>
                <w:lang w:val="en-US"/>
              </w:rPr>
            </w:pPr>
            <w:r w:rsidRPr="0005304F">
              <w:rPr>
                <w:sz w:val="16"/>
                <w:szCs w:val="16"/>
                <w:lang w:val="en-US"/>
              </w:rPr>
              <w:t>Struktūra, %</w:t>
            </w:r>
          </w:p>
        </w:tc>
      </w:tr>
      <w:tr w:rsidR="0005304F" w:rsidRPr="0005304F" w:rsidTr="0005304F">
        <w:trPr>
          <w:trHeight w:val="255"/>
          <w:jc w:val="center"/>
        </w:trPr>
        <w:tc>
          <w:tcPr>
            <w:tcW w:w="1220" w:type="dxa"/>
            <w:vMerge/>
            <w:tcBorders>
              <w:top w:val="nil"/>
              <w:left w:val="single" w:sz="4" w:space="0" w:color="auto"/>
              <w:bottom w:val="single" w:sz="4" w:space="0" w:color="000000"/>
              <w:right w:val="single" w:sz="4" w:space="0" w:color="auto"/>
            </w:tcBorders>
            <w:vAlign w:val="center"/>
            <w:hideMark/>
          </w:tcPr>
          <w:p w:rsidR="0005304F" w:rsidRPr="0005304F" w:rsidRDefault="0005304F" w:rsidP="0005304F">
            <w:pPr>
              <w:widowControl/>
              <w:ind w:firstLine="0"/>
              <w:jc w:val="left"/>
              <w:rPr>
                <w:sz w:val="16"/>
                <w:szCs w:val="16"/>
                <w:lang w:val="en-US"/>
              </w:rPr>
            </w:pPr>
          </w:p>
        </w:tc>
        <w:tc>
          <w:tcPr>
            <w:tcW w:w="4043" w:type="dxa"/>
            <w:gridSpan w:val="5"/>
            <w:tcBorders>
              <w:top w:val="single" w:sz="4" w:space="0" w:color="auto"/>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center"/>
              <w:rPr>
                <w:sz w:val="16"/>
                <w:szCs w:val="16"/>
                <w:lang w:val="en-US"/>
              </w:rPr>
            </w:pPr>
            <w:r w:rsidRPr="0005304F">
              <w:rPr>
                <w:sz w:val="16"/>
                <w:szCs w:val="16"/>
                <w:lang w:val="en-US"/>
              </w:rPr>
              <w:t>Lietuva</w:t>
            </w:r>
          </w:p>
        </w:tc>
        <w:tc>
          <w:tcPr>
            <w:tcW w:w="3795" w:type="dxa"/>
            <w:gridSpan w:val="5"/>
            <w:tcBorders>
              <w:top w:val="single" w:sz="4" w:space="0" w:color="auto"/>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center"/>
              <w:rPr>
                <w:sz w:val="16"/>
                <w:szCs w:val="16"/>
                <w:lang w:val="en-US"/>
              </w:rPr>
            </w:pPr>
            <w:r w:rsidRPr="0005304F">
              <w:rPr>
                <w:sz w:val="16"/>
                <w:szCs w:val="16"/>
                <w:lang w:val="en-US"/>
              </w:rPr>
              <w:t>Latvija</w:t>
            </w:r>
          </w:p>
        </w:tc>
        <w:tc>
          <w:tcPr>
            <w:tcW w:w="3602" w:type="dxa"/>
            <w:gridSpan w:val="5"/>
            <w:tcBorders>
              <w:top w:val="single" w:sz="4" w:space="0" w:color="auto"/>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center"/>
              <w:rPr>
                <w:sz w:val="16"/>
                <w:szCs w:val="16"/>
                <w:lang w:val="en-US"/>
              </w:rPr>
            </w:pPr>
            <w:r w:rsidRPr="0005304F">
              <w:rPr>
                <w:sz w:val="16"/>
                <w:szCs w:val="16"/>
                <w:lang w:val="en-US"/>
              </w:rPr>
              <w:t>Estija</w:t>
            </w:r>
          </w:p>
        </w:tc>
      </w:tr>
      <w:tr w:rsidR="0005304F" w:rsidRPr="0005304F" w:rsidTr="0005304F">
        <w:trPr>
          <w:trHeight w:val="255"/>
          <w:jc w:val="center"/>
        </w:trPr>
        <w:tc>
          <w:tcPr>
            <w:tcW w:w="1220" w:type="dxa"/>
            <w:vMerge/>
            <w:tcBorders>
              <w:top w:val="nil"/>
              <w:left w:val="single" w:sz="4" w:space="0" w:color="auto"/>
              <w:bottom w:val="single" w:sz="4" w:space="0" w:color="000000"/>
              <w:right w:val="single" w:sz="4" w:space="0" w:color="auto"/>
            </w:tcBorders>
            <w:vAlign w:val="center"/>
            <w:hideMark/>
          </w:tcPr>
          <w:p w:rsidR="0005304F" w:rsidRPr="0005304F" w:rsidRDefault="0005304F" w:rsidP="0005304F">
            <w:pPr>
              <w:widowControl/>
              <w:ind w:firstLine="0"/>
              <w:jc w:val="left"/>
              <w:rPr>
                <w:sz w:val="16"/>
                <w:szCs w:val="16"/>
                <w:lang w:val="en-US"/>
              </w:rPr>
            </w:pP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2008</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2009</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2010</w:t>
            </w:r>
          </w:p>
        </w:tc>
        <w:tc>
          <w:tcPr>
            <w:tcW w:w="883"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2011</w:t>
            </w:r>
          </w:p>
        </w:tc>
        <w:tc>
          <w:tcPr>
            <w:tcW w:w="883"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2012</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2008</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2009</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2010</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2011</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2012</w:t>
            </w:r>
          </w:p>
        </w:tc>
        <w:tc>
          <w:tcPr>
            <w:tcW w:w="883"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2008</w:t>
            </w:r>
          </w:p>
        </w:tc>
        <w:tc>
          <w:tcPr>
            <w:tcW w:w="665"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2009</w:t>
            </w:r>
          </w:p>
        </w:tc>
        <w:tc>
          <w:tcPr>
            <w:tcW w:w="665"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2010</w:t>
            </w:r>
          </w:p>
        </w:tc>
        <w:tc>
          <w:tcPr>
            <w:tcW w:w="63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2011</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2012</w:t>
            </w:r>
          </w:p>
        </w:tc>
      </w:tr>
      <w:tr w:rsidR="0005304F" w:rsidRPr="0005304F" w:rsidTr="0005304F">
        <w:trPr>
          <w:trHeight w:val="255"/>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left"/>
              <w:rPr>
                <w:sz w:val="16"/>
                <w:szCs w:val="16"/>
                <w:lang w:val="en-US"/>
              </w:rPr>
            </w:pPr>
            <w:r w:rsidRPr="0005304F">
              <w:rPr>
                <w:sz w:val="16"/>
                <w:szCs w:val="16"/>
                <w:lang w:val="en-US"/>
              </w:rPr>
              <w:t>Trumpalaikė</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7,9%</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4,4%</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6,3%</w:t>
            </w:r>
          </w:p>
        </w:tc>
        <w:tc>
          <w:tcPr>
            <w:tcW w:w="883"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6,0%</w:t>
            </w:r>
          </w:p>
        </w:tc>
        <w:tc>
          <w:tcPr>
            <w:tcW w:w="883"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6,5%</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35,9%</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14,7%</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9,4%</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8,4%</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6,2%</w:t>
            </w:r>
          </w:p>
        </w:tc>
        <w:tc>
          <w:tcPr>
            <w:tcW w:w="883"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1,2%</w:t>
            </w:r>
          </w:p>
        </w:tc>
        <w:tc>
          <w:tcPr>
            <w:tcW w:w="665"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1,3%</w:t>
            </w:r>
          </w:p>
        </w:tc>
        <w:tc>
          <w:tcPr>
            <w:tcW w:w="665"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0,7%</w:t>
            </w:r>
          </w:p>
        </w:tc>
        <w:tc>
          <w:tcPr>
            <w:tcW w:w="63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0,7%</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0,6%</w:t>
            </w:r>
          </w:p>
        </w:tc>
      </w:tr>
      <w:tr w:rsidR="0005304F" w:rsidRPr="0005304F" w:rsidTr="0005304F">
        <w:trPr>
          <w:trHeight w:val="255"/>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left"/>
              <w:rPr>
                <w:sz w:val="16"/>
                <w:szCs w:val="16"/>
                <w:lang w:val="en-US"/>
              </w:rPr>
            </w:pPr>
            <w:r w:rsidRPr="0005304F">
              <w:rPr>
                <w:sz w:val="16"/>
                <w:szCs w:val="16"/>
                <w:lang w:val="en-US"/>
              </w:rPr>
              <w:t>Ilgalaikė</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92,1%</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95,6%</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93,7%</w:t>
            </w:r>
          </w:p>
        </w:tc>
        <w:tc>
          <w:tcPr>
            <w:tcW w:w="883"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94,0%</w:t>
            </w:r>
          </w:p>
        </w:tc>
        <w:tc>
          <w:tcPr>
            <w:tcW w:w="883"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93,5%</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64,1%</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85,3%</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90,6%</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91,6%</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93,8%</w:t>
            </w:r>
          </w:p>
        </w:tc>
        <w:tc>
          <w:tcPr>
            <w:tcW w:w="883"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98,8%</w:t>
            </w:r>
          </w:p>
        </w:tc>
        <w:tc>
          <w:tcPr>
            <w:tcW w:w="665"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98,7%</w:t>
            </w:r>
          </w:p>
        </w:tc>
        <w:tc>
          <w:tcPr>
            <w:tcW w:w="665"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99,3%</w:t>
            </w:r>
          </w:p>
        </w:tc>
        <w:tc>
          <w:tcPr>
            <w:tcW w:w="63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99,3%</w:t>
            </w:r>
          </w:p>
        </w:tc>
        <w:tc>
          <w:tcPr>
            <w:tcW w:w="759"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99,4%</w:t>
            </w:r>
          </w:p>
        </w:tc>
      </w:tr>
    </w:tbl>
    <w:p w:rsidR="0005304F" w:rsidRPr="00D16932" w:rsidRDefault="0005304F" w:rsidP="0005304F">
      <w:pPr>
        <w:tabs>
          <w:tab w:val="left" w:pos="7470"/>
        </w:tabs>
      </w:pPr>
      <w:r w:rsidRPr="00D16932">
        <w:t xml:space="preserve">  Šaltinis: sudaryta pagal Eurostat duomenis ir autorės skaičiavimus</w:t>
      </w:r>
    </w:p>
    <w:p w:rsidR="0005304F" w:rsidRDefault="0005304F" w:rsidP="0005304F"/>
    <w:p w:rsidR="0005304F" w:rsidRDefault="0005304F" w:rsidP="0005304F"/>
    <w:p w:rsidR="0005304F" w:rsidRDefault="0005304F" w:rsidP="0005304F"/>
    <w:p w:rsidR="0005304F" w:rsidRDefault="0005304F" w:rsidP="0005304F"/>
    <w:p w:rsidR="0005304F" w:rsidRDefault="0005304F" w:rsidP="0005304F"/>
    <w:p w:rsidR="0005304F" w:rsidRDefault="0005304F" w:rsidP="0005304F"/>
    <w:p w:rsidR="0005304F" w:rsidRDefault="0005304F" w:rsidP="0005304F"/>
    <w:p w:rsidR="0005304F" w:rsidRDefault="0005304F" w:rsidP="0005304F"/>
    <w:p w:rsidR="0005304F" w:rsidRDefault="0005304F" w:rsidP="0005304F"/>
    <w:p w:rsidR="0005304F" w:rsidRDefault="0005304F" w:rsidP="0005304F"/>
    <w:p w:rsidR="0005304F" w:rsidRDefault="0005304F" w:rsidP="00E94FF8">
      <w:pPr>
        <w:ind w:firstLine="0"/>
      </w:pPr>
    </w:p>
    <w:p w:rsidR="00E94FF8" w:rsidRDefault="00E94FF8" w:rsidP="00E94FF8">
      <w:pPr>
        <w:ind w:firstLine="0"/>
      </w:pPr>
    </w:p>
    <w:p w:rsidR="00E94FF8" w:rsidRDefault="00E94FF8" w:rsidP="00E94FF8">
      <w:pPr>
        <w:ind w:firstLine="0"/>
      </w:pPr>
    </w:p>
    <w:p w:rsidR="0072343F" w:rsidRDefault="0072343F" w:rsidP="00E94FF8">
      <w:pPr>
        <w:ind w:firstLine="0"/>
      </w:pPr>
    </w:p>
    <w:p w:rsidR="0072343F" w:rsidRDefault="0072343F" w:rsidP="00E94FF8">
      <w:pPr>
        <w:ind w:firstLine="0"/>
      </w:pPr>
    </w:p>
    <w:p w:rsidR="00E94FF8" w:rsidRDefault="00E94FF8" w:rsidP="00E94FF8">
      <w:pPr>
        <w:ind w:firstLine="0"/>
      </w:pPr>
    </w:p>
    <w:p w:rsidR="0005304F" w:rsidRDefault="0005304F" w:rsidP="0005304F"/>
    <w:p w:rsidR="0005304F" w:rsidRDefault="0005304F" w:rsidP="00E94FF8">
      <w:pPr>
        <w:ind w:firstLine="0"/>
      </w:pPr>
    </w:p>
    <w:p w:rsidR="0005304F" w:rsidRDefault="0005304F" w:rsidP="0005304F"/>
    <w:p w:rsidR="0005304F" w:rsidRPr="0005304F" w:rsidRDefault="0005304F" w:rsidP="0005304F">
      <w:pPr>
        <w:tabs>
          <w:tab w:val="left" w:pos="7470"/>
        </w:tabs>
        <w:jc w:val="center"/>
        <w:rPr>
          <w:sz w:val="24"/>
          <w:szCs w:val="24"/>
        </w:rPr>
      </w:pPr>
      <w:r w:rsidRPr="0005304F">
        <w:rPr>
          <w:sz w:val="24"/>
          <w:szCs w:val="24"/>
        </w:rPr>
        <w:t>3 lentelė. Baltijos šalių valstybės skolos struktūra pagal skolinimosi priemonę</w:t>
      </w:r>
    </w:p>
    <w:p w:rsidR="0005304F" w:rsidRDefault="0005304F" w:rsidP="0005304F"/>
    <w:tbl>
      <w:tblPr>
        <w:tblW w:w="13620" w:type="dxa"/>
        <w:jc w:val="center"/>
        <w:tblInd w:w="103" w:type="dxa"/>
        <w:tblLook w:val="04A0"/>
      </w:tblPr>
      <w:tblGrid>
        <w:gridCol w:w="1620"/>
        <w:gridCol w:w="841"/>
        <w:gridCol w:w="841"/>
        <w:gridCol w:w="840"/>
        <w:gridCol w:w="840"/>
        <w:gridCol w:w="978"/>
        <w:gridCol w:w="840"/>
        <w:gridCol w:w="840"/>
        <w:gridCol w:w="840"/>
        <w:gridCol w:w="840"/>
        <w:gridCol w:w="840"/>
        <w:gridCol w:w="655"/>
        <w:gridCol w:w="655"/>
        <w:gridCol w:w="655"/>
        <w:gridCol w:w="655"/>
        <w:gridCol w:w="840"/>
      </w:tblGrid>
      <w:tr w:rsidR="0005304F" w:rsidRPr="0005304F" w:rsidTr="0005304F">
        <w:trPr>
          <w:trHeight w:val="255"/>
          <w:jc w:val="center"/>
        </w:trPr>
        <w:tc>
          <w:tcPr>
            <w:tcW w:w="162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05304F" w:rsidRPr="0005304F" w:rsidRDefault="0005304F" w:rsidP="0005304F">
            <w:pPr>
              <w:widowControl/>
              <w:ind w:firstLine="0"/>
              <w:jc w:val="center"/>
              <w:rPr>
                <w:sz w:val="16"/>
                <w:szCs w:val="16"/>
                <w:lang w:val="en-US"/>
              </w:rPr>
            </w:pPr>
            <w:r w:rsidRPr="0005304F">
              <w:rPr>
                <w:sz w:val="16"/>
                <w:szCs w:val="16"/>
                <w:lang w:val="en-US"/>
              </w:rPr>
              <w:t> </w:t>
            </w:r>
          </w:p>
        </w:tc>
        <w:tc>
          <w:tcPr>
            <w:tcW w:w="12000" w:type="dxa"/>
            <w:gridSpan w:val="15"/>
            <w:tcBorders>
              <w:top w:val="single" w:sz="4" w:space="0" w:color="auto"/>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center"/>
              <w:rPr>
                <w:sz w:val="16"/>
                <w:szCs w:val="16"/>
                <w:lang w:val="en-US"/>
              </w:rPr>
            </w:pPr>
            <w:r w:rsidRPr="0005304F">
              <w:rPr>
                <w:sz w:val="16"/>
                <w:szCs w:val="16"/>
                <w:lang w:val="en-US"/>
              </w:rPr>
              <w:t>Mln. Eur.</w:t>
            </w:r>
          </w:p>
        </w:tc>
      </w:tr>
      <w:tr w:rsidR="0005304F" w:rsidRPr="0005304F" w:rsidTr="0005304F">
        <w:trPr>
          <w:trHeight w:val="255"/>
          <w:jc w:val="center"/>
        </w:trPr>
        <w:tc>
          <w:tcPr>
            <w:tcW w:w="1620" w:type="dxa"/>
            <w:vMerge/>
            <w:tcBorders>
              <w:top w:val="single" w:sz="4" w:space="0" w:color="auto"/>
              <w:left w:val="single" w:sz="4" w:space="0" w:color="auto"/>
              <w:bottom w:val="single" w:sz="4" w:space="0" w:color="000000"/>
              <w:right w:val="single" w:sz="4" w:space="0" w:color="auto"/>
            </w:tcBorders>
            <w:vAlign w:val="center"/>
            <w:hideMark/>
          </w:tcPr>
          <w:p w:rsidR="0005304F" w:rsidRPr="0005304F" w:rsidRDefault="0005304F" w:rsidP="0005304F">
            <w:pPr>
              <w:widowControl/>
              <w:ind w:firstLine="0"/>
              <w:jc w:val="left"/>
              <w:rPr>
                <w:sz w:val="16"/>
                <w:szCs w:val="16"/>
                <w:lang w:val="en-US"/>
              </w:rPr>
            </w:pPr>
          </w:p>
        </w:tc>
        <w:tc>
          <w:tcPr>
            <w:tcW w:w="4340" w:type="dxa"/>
            <w:gridSpan w:val="5"/>
            <w:tcBorders>
              <w:top w:val="single" w:sz="4" w:space="0" w:color="auto"/>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center"/>
              <w:rPr>
                <w:sz w:val="16"/>
                <w:szCs w:val="16"/>
                <w:lang w:val="en-US"/>
              </w:rPr>
            </w:pPr>
            <w:r w:rsidRPr="0005304F">
              <w:rPr>
                <w:sz w:val="16"/>
                <w:szCs w:val="16"/>
                <w:lang w:val="en-US"/>
              </w:rPr>
              <w:t>Lietuva</w:t>
            </w:r>
          </w:p>
        </w:tc>
        <w:tc>
          <w:tcPr>
            <w:tcW w:w="4200" w:type="dxa"/>
            <w:gridSpan w:val="5"/>
            <w:tcBorders>
              <w:top w:val="single" w:sz="4" w:space="0" w:color="auto"/>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center"/>
              <w:rPr>
                <w:sz w:val="16"/>
                <w:szCs w:val="16"/>
                <w:lang w:val="en-US"/>
              </w:rPr>
            </w:pPr>
            <w:r w:rsidRPr="0005304F">
              <w:rPr>
                <w:sz w:val="16"/>
                <w:szCs w:val="16"/>
                <w:lang w:val="en-US"/>
              </w:rPr>
              <w:t>Latvija</w:t>
            </w:r>
          </w:p>
        </w:tc>
        <w:tc>
          <w:tcPr>
            <w:tcW w:w="3460" w:type="dxa"/>
            <w:gridSpan w:val="5"/>
            <w:tcBorders>
              <w:top w:val="single" w:sz="4" w:space="0" w:color="auto"/>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center"/>
              <w:rPr>
                <w:sz w:val="16"/>
                <w:szCs w:val="16"/>
                <w:lang w:val="en-US"/>
              </w:rPr>
            </w:pPr>
            <w:r w:rsidRPr="0005304F">
              <w:rPr>
                <w:sz w:val="16"/>
                <w:szCs w:val="16"/>
                <w:lang w:val="en-US"/>
              </w:rPr>
              <w:t>Estija</w:t>
            </w:r>
          </w:p>
        </w:tc>
      </w:tr>
      <w:tr w:rsidR="0005304F" w:rsidRPr="0005304F" w:rsidTr="0005304F">
        <w:trPr>
          <w:trHeight w:val="255"/>
          <w:jc w:val="center"/>
        </w:trPr>
        <w:tc>
          <w:tcPr>
            <w:tcW w:w="1620" w:type="dxa"/>
            <w:vMerge/>
            <w:tcBorders>
              <w:top w:val="single" w:sz="4" w:space="0" w:color="auto"/>
              <w:left w:val="single" w:sz="4" w:space="0" w:color="auto"/>
              <w:bottom w:val="single" w:sz="4" w:space="0" w:color="000000"/>
              <w:right w:val="single" w:sz="4" w:space="0" w:color="auto"/>
            </w:tcBorders>
            <w:vAlign w:val="center"/>
            <w:hideMark/>
          </w:tcPr>
          <w:p w:rsidR="0005304F" w:rsidRPr="0005304F" w:rsidRDefault="0005304F" w:rsidP="0005304F">
            <w:pPr>
              <w:widowControl/>
              <w:ind w:firstLine="0"/>
              <w:jc w:val="left"/>
              <w:rPr>
                <w:sz w:val="16"/>
                <w:szCs w:val="16"/>
                <w:lang w:val="en-US"/>
              </w:rPr>
            </w:pPr>
          </w:p>
        </w:tc>
        <w:tc>
          <w:tcPr>
            <w:tcW w:w="841"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2008</w:t>
            </w:r>
          </w:p>
        </w:tc>
        <w:tc>
          <w:tcPr>
            <w:tcW w:w="841"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2009</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2010</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2011</w:t>
            </w:r>
          </w:p>
        </w:tc>
        <w:tc>
          <w:tcPr>
            <w:tcW w:w="978"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2012</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2008</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2009</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2010</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2011</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2012</w:t>
            </w:r>
          </w:p>
        </w:tc>
        <w:tc>
          <w:tcPr>
            <w:tcW w:w="655"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2008</w:t>
            </w:r>
          </w:p>
        </w:tc>
        <w:tc>
          <w:tcPr>
            <w:tcW w:w="655"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2009</w:t>
            </w:r>
          </w:p>
        </w:tc>
        <w:tc>
          <w:tcPr>
            <w:tcW w:w="655"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2010</w:t>
            </w:r>
          </w:p>
        </w:tc>
        <w:tc>
          <w:tcPr>
            <w:tcW w:w="655"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2011</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2012</w:t>
            </w:r>
          </w:p>
        </w:tc>
      </w:tr>
      <w:tr w:rsidR="0005304F" w:rsidRPr="0005304F" w:rsidTr="0005304F">
        <w:trPr>
          <w:trHeight w:val="255"/>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left"/>
              <w:rPr>
                <w:sz w:val="16"/>
                <w:szCs w:val="16"/>
                <w:lang w:val="en-US"/>
              </w:rPr>
            </w:pPr>
            <w:r w:rsidRPr="0005304F">
              <w:rPr>
                <w:sz w:val="16"/>
                <w:szCs w:val="16"/>
                <w:lang w:val="en-US"/>
              </w:rPr>
              <w:t>Vertybiniai popieriai</w:t>
            </w:r>
          </w:p>
        </w:tc>
        <w:tc>
          <w:tcPr>
            <w:tcW w:w="841"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4.404,8</w:t>
            </w:r>
          </w:p>
        </w:tc>
        <w:tc>
          <w:tcPr>
            <w:tcW w:w="841"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6.573,7</w:t>
            </w:r>
          </w:p>
        </w:tc>
        <w:tc>
          <w:tcPr>
            <w:tcW w:w="840"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8.578,5</w:t>
            </w:r>
          </w:p>
        </w:tc>
        <w:tc>
          <w:tcPr>
            <w:tcW w:w="840"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9.704,7</w:t>
            </w:r>
          </w:p>
        </w:tc>
        <w:tc>
          <w:tcPr>
            <w:tcW w:w="978" w:type="dxa"/>
            <w:tcBorders>
              <w:top w:val="nil"/>
              <w:left w:val="nil"/>
              <w:bottom w:val="single" w:sz="4" w:space="0" w:color="000000"/>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10.670,5</w:t>
            </w:r>
          </w:p>
        </w:tc>
        <w:tc>
          <w:tcPr>
            <w:tcW w:w="840"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2.612,0</w:t>
            </w:r>
          </w:p>
        </w:tc>
        <w:tc>
          <w:tcPr>
            <w:tcW w:w="840"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1.953,3</w:t>
            </w:r>
          </w:p>
        </w:tc>
        <w:tc>
          <w:tcPr>
            <w:tcW w:w="840"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1.914,3</w:t>
            </w:r>
          </w:p>
        </w:tc>
        <w:tc>
          <w:tcPr>
            <w:tcW w:w="840"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2.146,7</w:t>
            </w:r>
          </w:p>
        </w:tc>
        <w:tc>
          <w:tcPr>
            <w:tcW w:w="840" w:type="dxa"/>
            <w:tcBorders>
              <w:top w:val="nil"/>
              <w:left w:val="nil"/>
              <w:bottom w:val="single" w:sz="4" w:space="0" w:color="000000"/>
              <w:right w:val="nil"/>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3.865,7</w:t>
            </w:r>
          </w:p>
        </w:tc>
        <w:tc>
          <w:tcPr>
            <w:tcW w:w="655" w:type="dxa"/>
            <w:tcBorders>
              <w:top w:val="nil"/>
              <w:left w:val="single" w:sz="4" w:space="0" w:color="auto"/>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170,8</w:t>
            </w:r>
          </w:p>
        </w:tc>
        <w:tc>
          <w:tcPr>
            <w:tcW w:w="655"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238,7</w:t>
            </w:r>
          </w:p>
        </w:tc>
        <w:tc>
          <w:tcPr>
            <w:tcW w:w="655"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239,8</w:t>
            </w:r>
          </w:p>
        </w:tc>
        <w:tc>
          <w:tcPr>
            <w:tcW w:w="655"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252,7</w:t>
            </w:r>
          </w:p>
        </w:tc>
        <w:tc>
          <w:tcPr>
            <w:tcW w:w="840" w:type="dxa"/>
            <w:tcBorders>
              <w:top w:val="nil"/>
              <w:left w:val="nil"/>
              <w:bottom w:val="single" w:sz="4" w:space="0" w:color="000000"/>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246,3</w:t>
            </w:r>
          </w:p>
        </w:tc>
      </w:tr>
      <w:tr w:rsidR="0005304F" w:rsidRPr="0005304F" w:rsidTr="0005304F">
        <w:trPr>
          <w:trHeight w:val="255"/>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left"/>
              <w:rPr>
                <w:sz w:val="16"/>
                <w:szCs w:val="16"/>
                <w:lang w:val="en-US"/>
              </w:rPr>
            </w:pPr>
            <w:r w:rsidRPr="0005304F">
              <w:rPr>
                <w:sz w:val="16"/>
                <w:szCs w:val="16"/>
                <w:lang w:val="en-US"/>
              </w:rPr>
              <w:t>Paskolos</w:t>
            </w:r>
          </w:p>
        </w:tc>
        <w:tc>
          <w:tcPr>
            <w:tcW w:w="841"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627,3</w:t>
            </w:r>
          </w:p>
        </w:tc>
        <w:tc>
          <w:tcPr>
            <w:tcW w:w="841"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1.239,3</w:t>
            </w:r>
          </w:p>
        </w:tc>
        <w:tc>
          <w:tcPr>
            <w:tcW w:w="840"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1.880,6</w:t>
            </w:r>
          </w:p>
        </w:tc>
        <w:tc>
          <w:tcPr>
            <w:tcW w:w="840"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2.151,0</w:t>
            </w:r>
          </w:p>
        </w:tc>
        <w:tc>
          <w:tcPr>
            <w:tcW w:w="978" w:type="dxa"/>
            <w:tcBorders>
              <w:top w:val="nil"/>
              <w:left w:val="nil"/>
              <w:bottom w:val="single" w:sz="4" w:space="0" w:color="000000"/>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2.465,7</w:t>
            </w:r>
          </w:p>
        </w:tc>
        <w:tc>
          <w:tcPr>
            <w:tcW w:w="840"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1.695,4</w:t>
            </w:r>
          </w:p>
        </w:tc>
        <w:tc>
          <w:tcPr>
            <w:tcW w:w="840"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4.590,1</w:t>
            </w:r>
          </w:p>
        </w:tc>
        <w:tc>
          <w:tcPr>
            <w:tcW w:w="840"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5.795,2</w:t>
            </w:r>
          </w:p>
        </w:tc>
        <w:tc>
          <w:tcPr>
            <w:tcW w:w="840"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5.983,4</w:t>
            </w:r>
          </w:p>
        </w:tc>
        <w:tc>
          <w:tcPr>
            <w:tcW w:w="840" w:type="dxa"/>
            <w:tcBorders>
              <w:top w:val="nil"/>
              <w:left w:val="nil"/>
              <w:bottom w:val="single" w:sz="4" w:space="0" w:color="000000"/>
              <w:right w:val="nil"/>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4.840,0</w:t>
            </w:r>
          </w:p>
        </w:tc>
        <w:tc>
          <w:tcPr>
            <w:tcW w:w="655" w:type="dxa"/>
            <w:tcBorders>
              <w:top w:val="nil"/>
              <w:left w:val="single" w:sz="4" w:space="0" w:color="auto"/>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566,6</w:t>
            </w:r>
          </w:p>
        </w:tc>
        <w:tc>
          <w:tcPr>
            <w:tcW w:w="655"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752,6</w:t>
            </w:r>
          </w:p>
        </w:tc>
        <w:tc>
          <w:tcPr>
            <w:tcW w:w="655"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717,0</w:t>
            </w:r>
          </w:p>
        </w:tc>
        <w:tc>
          <w:tcPr>
            <w:tcW w:w="655"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743,5</w:t>
            </w:r>
          </w:p>
        </w:tc>
        <w:tc>
          <w:tcPr>
            <w:tcW w:w="840" w:type="dxa"/>
            <w:tcBorders>
              <w:top w:val="nil"/>
              <w:left w:val="nil"/>
              <w:bottom w:val="single" w:sz="4" w:space="0" w:color="000000"/>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1.477,2</w:t>
            </w:r>
          </w:p>
        </w:tc>
      </w:tr>
      <w:tr w:rsidR="0005304F" w:rsidRPr="0005304F" w:rsidTr="0005304F">
        <w:trPr>
          <w:trHeight w:val="255"/>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left"/>
              <w:rPr>
                <w:sz w:val="16"/>
                <w:szCs w:val="16"/>
                <w:lang w:val="en-US"/>
              </w:rPr>
            </w:pPr>
            <w:r w:rsidRPr="0005304F">
              <w:rPr>
                <w:sz w:val="16"/>
                <w:szCs w:val="16"/>
                <w:lang w:val="en-US"/>
              </w:rPr>
              <w:t>Indėliai ir valiuta</w:t>
            </w:r>
          </w:p>
        </w:tc>
        <w:tc>
          <w:tcPr>
            <w:tcW w:w="841"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0</w:t>
            </w:r>
          </w:p>
        </w:tc>
        <w:tc>
          <w:tcPr>
            <w:tcW w:w="841"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1,9</w:t>
            </w:r>
          </w:p>
        </w:tc>
        <w:tc>
          <w:tcPr>
            <w:tcW w:w="840"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4,8</w:t>
            </w:r>
          </w:p>
        </w:tc>
        <w:tc>
          <w:tcPr>
            <w:tcW w:w="840" w:type="dxa"/>
            <w:tcBorders>
              <w:top w:val="nil"/>
              <w:left w:val="nil"/>
              <w:bottom w:val="single" w:sz="4" w:space="0" w:color="000000"/>
              <w:right w:val="single" w:sz="4" w:space="0" w:color="000000"/>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7,6</w:t>
            </w:r>
          </w:p>
        </w:tc>
        <w:tc>
          <w:tcPr>
            <w:tcW w:w="978" w:type="dxa"/>
            <w:tcBorders>
              <w:top w:val="nil"/>
              <w:left w:val="nil"/>
              <w:bottom w:val="single" w:sz="4" w:space="0" w:color="000000"/>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196,9</w:t>
            </w:r>
          </w:p>
        </w:tc>
        <w:tc>
          <w:tcPr>
            <w:tcW w:w="840" w:type="dxa"/>
            <w:tcBorders>
              <w:top w:val="nil"/>
              <w:left w:val="nil"/>
              <w:bottom w:val="nil"/>
              <w:right w:val="nil"/>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0</w:t>
            </w:r>
          </w:p>
        </w:tc>
        <w:tc>
          <w:tcPr>
            <w:tcW w:w="840" w:type="dxa"/>
            <w:tcBorders>
              <w:top w:val="nil"/>
              <w:left w:val="nil"/>
              <w:bottom w:val="nil"/>
              <w:right w:val="nil"/>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0</w:t>
            </w:r>
          </w:p>
        </w:tc>
        <w:tc>
          <w:tcPr>
            <w:tcW w:w="840" w:type="dxa"/>
            <w:tcBorders>
              <w:top w:val="nil"/>
              <w:left w:val="nil"/>
              <w:bottom w:val="nil"/>
              <w:right w:val="nil"/>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0</w:t>
            </w:r>
          </w:p>
        </w:tc>
        <w:tc>
          <w:tcPr>
            <w:tcW w:w="840" w:type="dxa"/>
            <w:tcBorders>
              <w:top w:val="nil"/>
              <w:left w:val="nil"/>
              <w:bottom w:val="nil"/>
              <w:right w:val="nil"/>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0</w:t>
            </w:r>
          </w:p>
        </w:tc>
        <w:tc>
          <w:tcPr>
            <w:tcW w:w="840" w:type="dxa"/>
            <w:tcBorders>
              <w:top w:val="nil"/>
              <w:left w:val="nil"/>
              <w:bottom w:val="nil"/>
              <w:right w:val="nil"/>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0</w:t>
            </w:r>
          </w:p>
        </w:tc>
        <w:tc>
          <w:tcPr>
            <w:tcW w:w="655" w:type="dxa"/>
            <w:tcBorders>
              <w:top w:val="nil"/>
              <w:left w:val="single" w:sz="4" w:space="0" w:color="auto"/>
              <w:bottom w:val="nil"/>
              <w:right w:val="nil"/>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0</w:t>
            </w:r>
          </w:p>
        </w:tc>
        <w:tc>
          <w:tcPr>
            <w:tcW w:w="655" w:type="dxa"/>
            <w:tcBorders>
              <w:top w:val="nil"/>
              <w:left w:val="nil"/>
              <w:bottom w:val="nil"/>
              <w:right w:val="nil"/>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0</w:t>
            </w:r>
          </w:p>
        </w:tc>
        <w:tc>
          <w:tcPr>
            <w:tcW w:w="655" w:type="dxa"/>
            <w:tcBorders>
              <w:top w:val="nil"/>
              <w:left w:val="nil"/>
              <w:bottom w:val="nil"/>
              <w:right w:val="nil"/>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0</w:t>
            </w:r>
          </w:p>
        </w:tc>
        <w:tc>
          <w:tcPr>
            <w:tcW w:w="655" w:type="dxa"/>
            <w:tcBorders>
              <w:top w:val="nil"/>
              <w:left w:val="nil"/>
              <w:bottom w:val="nil"/>
              <w:right w:val="nil"/>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0</w:t>
            </w:r>
          </w:p>
        </w:tc>
        <w:tc>
          <w:tcPr>
            <w:tcW w:w="840" w:type="dxa"/>
            <w:tcBorders>
              <w:top w:val="nil"/>
              <w:left w:val="nil"/>
              <w:bottom w:val="nil"/>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0</w:t>
            </w:r>
          </w:p>
        </w:tc>
      </w:tr>
      <w:tr w:rsidR="0005304F" w:rsidRPr="0005304F" w:rsidTr="0005304F">
        <w:trPr>
          <w:trHeight w:val="255"/>
          <w:jc w:val="center"/>
        </w:trPr>
        <w:tc>
          <w:tcPr>
            <w:tcW w:w="162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5304F" w:rsidRPr="0005304F" w:rsidRDefault="0005304F" w:rsidP="0005304F">
            <w:pPr>
              <w:widowControl/>
              <w:ind w:firstLine="0"/>
              <w:jc w:val="center"/>
              <w:rPr>
                <w:sz w:val="16"/>
                <w:szCs w:val="16"/>
                <w:lang w:val="en-US"/>
              </w:rPr>
            </w:pPr>
            <w:r w:rsidRPr="0005304F">
              <w:rPr>
                <w:sz w:val="16"/>
                <w:szCs w:val="16"/>
                <w:lang w:val="en-US"/>
              </w:rPr>
              <w:t> </w:t>
            </w:r>
          </w:p>
        </w:tc>
        <w:tc>
          <w:tcPr>
            <w:tcW w:w="12000" w:type="dxa"/>
            <w:gridSpan w:val="15"/>
            <w:tcBorders>
              <w:top w:val="single" w:sz="4" w:space="0" w:color="auto"/>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center"/>
              <w:rPr>
                <w:sz w:val="16"/>
                <w:szCs w:val="16"/>
                <w:lang w:val="en-US"/>
              </w:rPr>
            </w:pPr>
            <w:r w:rsidRPr="0005304F">
              <w:rPr>
                <w:sz w:val="16"/>
                <w:szCs w:val="16"/>
                <w:lang w:val="en-US"/>
              </w:rPr>
              <w:t>Pokytis, %</w:t>
            </w:r>
          </w:p>
        </w:tc>
      </w:tr>
      <w:tr w:rsidR="0005304F" w:rsidRPr="0005304F" w:rsidTr="0005304F">
        <w:trPr>
          <w:trHeight w:val="255"/>
          <w:jc w:val="center"/>
        </w:trPr>
        <w:tc>
          <w:tcPr>
            <w:tcW w:w="1620" w:type="dxa"/>
            <w:vMerge/>
            <w:tcBorders>
              <w:top w:val="nil"/>
              <w:left w:val="single" w:sz="4" w:space="0" w:color="auto"/>
              <w:bottom w:val="single" w:sz="4" w:space="0" w:color="000000"/>
              <w:right w:val="single" w:sz="4" w:space="0" w:color="auto"/>
            </w:tcBorders>
            <w:vAlign w:val="center"/>
            <w:hideMark/>
          </w:tcPr>
          <w:p w:rsidR="0005304F" w:rsidRPr="0005304F" w:rsidRDefault="0005304F" w:rsidP="0005304F">
            <w:pPr>
              <w:widowControl/>
              <w:ind w:firstLine="0"/>
              <w:jc w:val="left"/>
              <w:rPr>
                <w:sz w:val="16"/>
                <w:szCs w:val="16"/>
                <w:lang w:val="en-US"/>
              </w:rPr>
            </w:pPr>
          </w:p>
        </w:tc>
        <w:tc>
          <w:tcPr>
            <w:tcW w:w="4340" w:type="dxa"/>
            <w:gridSpan w:val="5"/>
            <w:tcBorders>
              <w:top w:val="single" w:sz="4" w:space="0" w:color="auto"/>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center"/>
              <w:rPr>
                <w:sz w:val="16"/>
                <w:szCs w:val="16"/>
                <w:lang w:val="en-US"/>
              </w:rPr>
            </w:pPr>
            <w:r w:rsidRPr="0005304F">
              <w:rPr>
                <w:sz w:val="16"/>
                <w:szCs w:val="16"/>
                <w:lang w:val="en-US"/>
              </w:rPr>
              <w:t>Lietuva</w:t>
            </w:r>
          </w:p>
        </w:tc>
        <w:tc>
          <w:tcPr>
            <w:tcW w:w="4200" w:type="dxa"/>
            <w:gridSpan w:val="5"/>
            <w:tcBorders>
              <w:top w:val="single" w:sz="4" w:space="0" w:color="auto"/>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center"/>
              <w:rPr>
                <w:sz w:val="16"/>
                <w:szCs w:val="16"/>
                <w:lang w:val="en-US"/>
              </w:rPr>
            </w:pPr>
            <w:r w:rsidRPr="0005304F">
              <w:rPr>
                <w:sz w:val="16"/>
                <w:szCs w:val="16"/>
                <w:lang w:val="en-US"/>
              </w:rPr>
              <w:t>Latvija</w:t>
            </w:r>
          </w:p>
        </w:tc>
        <w:tc>
          <w:tcPr>
            <w:tcW w:w="3460" w:type="dxa"/>
            <w:gridSpan w:val="5"/>
            <w:tcBorders>
              <w:top w:val="single" w:sz="4" w:space="0" w:color="auto"/>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center"/>
              <w:rPr>
                <w:sz w:val="16"/>
                <w:szCs w:val="16"/>
                <w:lang w:val="en-US"/>
              </w:rPr>
            </w:pPr>
            <w:r w:rsidRPr="0005304F">
              <w:rPr>
                <w:sz w:val="16"/>
                <w:szCs w:val="16"/>
                <w:lang w:val="en-US"/>
              </w:rPr>
              <w:t>Estija</w:t>
            </w:r>
          </w:p>
        </w:tc>
      </w:tr>
      <w:tr w:rsidR="0005304F" w:rsidRPr="0005304F" w:rsidTr="0005304F">
        <w:trPr>
          <w:trHeight w:val="255"/>
          <w:jc w:val="center"/>
        </w:trPr>
        <w:tc>
          <w:tcPr>
            <w:tcW w:w="1620" w:type="dxa"/>
            <w:vMerge/>
            <w:tcBorders>
              <w:top w:val="nil"/>
              <w:left w:val="single" w:sz="4" w:space="0" w:color="auto"/>
              <w:bottom w:val="single" w:sz="4" w:space="0" w:color="000000"/>
              <w:right w:val="single" w:sz="4" w:space="0" w:color="auto"/>
            </w:tcBorders>
            <w:vAlign w:val="center"/>
            <w:hideMark/>
          </w:tcPr>
          <w:p w:rsidR="0005304F" w:rsidRPr="0005304F" w:rsidRDefault="0005304F" w:rsidP="0005304F">
            <w:pPr>
              <w:widowControl/>
              <w:ind w:firstLine="0"/>
              <w:jc w:val="left"/>
              <w:rPr>
                <w:sz w:val="16"/>
                <w:szCs w:val="16"/>
                <w:lang w:val="en-US"/>
              </w:rPr>
            </w:pPr>
          </w:p>
        </w:tc>
        <w:tc>
          <w:tcPr>
            <w:tcW w:w="841"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2008</w:t>
            </w:r>
          </w:p>
        </w:tc>
        <w:tc>
          <w:tcPr>
            <w:tcW w:w="841"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2009</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2010</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2011</w:t>
            </w:r>
          </w:p>
        </w:tc>
        <w:tc>
          <w:tcPr>
            <w:tcW w:w="978"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2012</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2008</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2009</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2010</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2011</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2012</w:t>
            </w:r>
          </w:p>
        </w:tc>
        <w:tc>
          <w:tcPr>
            <w:tcW w:w="655"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2008</w:t>
            </w:r>
          </w:p>
        </w:tc>
        <w:tc>
          <w:tcPr>
            <w:tcW w:w="655"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2009</w:t>
            </w:r>
          </w:p>
        </w:tc>
        <w:tc>
          <w:tcPr>
            <w:tcW w:w="655"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2010</w:t>
            </w:r>
          </w:p>
        </w:tc>
        <w:tc>
          <w:tcPr>
            <w:tcW w:w="655"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2011</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2012</w:t>
            </w:r>
          </w:p>
        </w:tc>
      </w:tr>
      <w:tr w:rsidR="0005304F" w:rsidRPr="0005304F" w:rsidTr="0005304F">
        <w:trPr>
          <w:trHeight w:val="255"/>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left"/>
              <w:rPr>
                <w:sz w:val="16"/>
                <w:szCs w:val="16"/>
                <w:lang w:val="en-US"/>
              </w:rPr>
            </w:pPr>
            <w:r w:rsidRPr="0005304F">
              <w:rPr>
                <w:sz w:val="16"/>
                <w:szCs w:val="16"/>
                <w:lang w:val="en-US"/>
              </w:rPr>
              <w:t>Vertybiniai popieriai</w:t>
            </w:r>
          </w:p>
        </w:tc>
        <w:tc>
          <w:tcPr>
            <w:tcW w:w="841"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left"/>
              <w:rPr>
                <w:sz w:val="16"/>
                <w:szCs w:val="16"/>
                <w:lang w:val="en-US"/>
              </w:rPr>
            </w:pPr>
            <w:r w:rsidRPr="0005304F">
              <w:rPr>
                <w:sz w:val="16"/>
                <w:szCs w:val="16"/>
                <w:lang w:val="en-US"/>
              </w:rPr>
              <w:t> </w:t>
            </w:r>
          </w:p>
        </w:tc>
        <w:tc>
          <w:tcPr>
            <w:tcW w:w="841"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49,2%</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30,5%</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13,1%</w:t>
            </w:r>
          </w:p>
        </w:tc>
        <w:tc>
          <w:tcPr>
            <w:tcW w:w="978"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10,0%</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left"/>
              <w:rPr>
                <w:sz w:val="16"/>
                <w:szCs w:val="16"/>
                <w:lang w:val="en-US"/>
              </w:rPr>
            </w:pPr>
            <w:r w:rsidRPr="0005304F">
              <w:rPr>
                <w:sz w:val="16"/>
                <w:szCs w:val="16"/>
                <w:lang w:val="en-US"/>
              </w:rPr>
              <w:t> </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-25,2%</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12,1%</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80,1%</w:t>
            </w:r>
          </w:p>
        </w:tc>
        <w:tc>
          <w:tcPr>
            <w:tcW w:w="655"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left"/>
              <w:rPr>
                <w:sz w:val="16"/>
                <w:szCs w:val="16"/>
                <w:lang w:val="en-US"/>
              </w:rPr>
            </w:pPr>
            <w:r w:rsidRPr="0005304F">
              <w:rPr>
                <w:sz w:val="16"/>
                <w:szCs w:val="16"/>
                <w:lang w:val="en-US"/>
              </w:rPr>
              <w:t> </w:t>
            </w:r>
          </w:p>
        </w:tc>
        <w:tc>
          <w:tcPr>
            <w:tcW w:w="655"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39,8%</w:t>
            </w:r>
          </w:p>
        </w:tc>
        <w:tc>
          <w:tcPr>
            <w:tcW w:w="655"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0,5%</w:t>
            </w:r>
          </w:p>
        </w:tc>
        <w:tc>
          <w:tcPr>
            <w:tcW w:w="655"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5,4%</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-2,5%</w:t>
            </w:r>
          </w:p>
        </w:tc>
      </w:tr>
      <w:tr w:rsidR="0005304F" w:rsidRPr="0005304F" w:rsidTr="0005304F">
        <w:trPr>
          <w:trHeight w:val="255"/>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left"/>
              <w:rPr>
                <w:sz w:val="16"/>
                <w:szCs w:val="16"/>
                <w:lang w:val="en-US"/>
              </w:rPr>
            </w:pPr>
            <w:r w:rsidRPr="0005304F">
              <w:rPr>
                <w:sz w:val="16"/>
                <w:szCs w:val="16"/>
                <w:lang w:val="en-US"/>
              </w:rPr>
              <w:t>Paskolos</w:t>
            </w:r>
          </w:p>
        </w:tc>
        <w:tc>
          <w:tcPr>
            <w:tcW w:w="841"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left"/>
              <w:rPr>
                <w:sz w:val="16"/>
                <w:szCs w:val="16"/>
                <w:lang w:val="en-US"/>
              </w:rPr>
            </w:pPr>
            <w:r w:rsidRPr="0005304F">
              <w:rPr>
                <w:sz w:val="16"/>
                <w:szCs w:val="16"/>
                <w:lang w:val="en-US"/>
              </w:rPr>
              <w:t> </w:t>
            </w:r>
          </w:p>
        </w:tc>
        <w:tc>
          <w:tcPr>
            <w:tcW w:w="841"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97,6%</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51,7%</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14,4%</w:t>
            </w:r>
          </w:p>
        </w:tc>
        <w:tc>
          <w:tcPr>
            <w:tcW w:w="978"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14,6%</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left"/>
              <w:rPr>
                <w:sz w:val="16"/>
                <w:szCs w:val="16"/>
                <w:lang w:val="en-US"/>
              </w:rPr>
            </w:pPr>
            <w:r w:rsidRPr="0005304F">
              <w:rPr>
                <w:sz w:val="16"/>
                <w:szCs w:val="16"/>
                <w:lang w:val="en-US"/>
              </w:rPr>
              <w:t> </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170,7%</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26,3%</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3,2%</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-19,1%</w:t>
            </w:r>
          </w:p>
        </w:tc>
        <w:tc>
          <w:tcPr>
            <w:tcW w:w="655"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left"/>
              <w:rPr>
                <w:sz w:val="16"/>
                <w:szCs w:val="16"/>
                <w:lang w:val="en-US"/>
              </w:rPr>
            </w:pPr>
            <w:r w:rsidRPr="0005304F">
              <w:rPr>
                <w:sz w:val="16"/>
                <w:szCs w:val="16"/>
                <w:lang w:val="en-US"/>
              </w:rPr>
              <w:t> </w:t>
            </w:r>
          </w:p>
        </w:tc>
        <w:tc>
          <w:tcPr>
            <w:tcW w:w="655"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32,8%</w:t>
            </w:r>
          </w:p>
        </w:tc>
        <w:tc>
          <w:tcPr>
            <w:tcW w:w="655"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-4,7%</w:t>
            </w:r>
          </w:p>
        </w:tc>
        <w:tc>
          <w:tcPr>
            <w:tcW w:w="655"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3,7%</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98,7%</w:t>
            </w:r>
          </w:p>
        </w:tc>
      </w:tr>
      <w:tr w:rsidR="0005304F" w:rsidRPr="0005304F" w:rsidTr="0005304F">
        <w:trPr>
          <w:trHeight w:val="255"/>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left"/>
              <w:rPr>
                <w:sz w:val="16"/>
                <w:szCs w:val="16"/>
                <w:lang w:val="en-US"/>
              </w:rPr>
            </w:pPr>
            <w:r w:rsidRPr="0005304F">
              <w:rPr>
                <w:sz w:val="16"/>
                <w:szCs w:val="16"/>
                <w:lang w:val="en-US"/>
              </w:rPr>
              <w:t>Indėliai ir valiuta</w:t>
            </w:r>
          </w:p>
        </w:tc>
        <w:tc>
          <w:tcPr>
            <w:tcW w:w="841"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left"/>
              <w:rPr>
                <w:sz w:val="16"/>
                <w:szCs w:val="16"/>
                <w:lang w:val="en-US"/>
              </w:rPr>
            </w:pPr>
            <w:r w:rsidRPr="0005304F">
              <w:rPr>
                <w:sz w:val="16"/>
                <w:szCs w:val="16"/>
                <w:lang w:val="en-US"/>
              </w:rPr>
              <w:t> </w:t>
            </w:r>
          </w:p>
        </w:tc>
        <w:tc>
          <w:tcPr>
            <w:tcW w:w="841"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left"/>
              <w:rPr>
                <w:sz w:val="16"/>
                <w:szCs w:val="16"/>
                <w:lang w:val="en-US"/>
              </w:rPr>
            </w:pPr>
            <w:r w:rsidRPr="0005304F">
              <w:rPr>
                <w:sz w:val="16"/>
                <w:szCs w:val="16"/>
                <w:lang w:val="en-US"/>
              </w:rPr>
              <w:t> </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152,6%</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58,3%</w:t>
            </w:r>
          </w:p>
        </w:tc>
        <w:tc>
          <w:tcPr>
            <w:tcW w:w="978"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2490,8%</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left"/>
              <w:rPr>
                <w:sz w:val="16"/>
                <w:szCs w:val="16"/>
                <w:lang w:val="en-US"/>
              </w:rPr>
            </w:pPr>
            <w:r w:rsidRPr="0005304F">
              <w:rPr>
                <w:sz w:val="16"/>
                <w:szCs w:val="16"/>
                <w:lang w:val="en-US"/>
              </w:rPr>
              <w:t> </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left"/>
              <w:rPr>
                <w:sz w:val="16"/>
                <w:szCs w:val="16"/>
                <w:lang w:val="en-US"/>
              </w:rPr>
            </w:pPr>
            <w:r w:rsidRPr="0005304F">
              <w:rPr>
                <w:sz w:val="16"/>
                <w:szCs w:val="16"/>
                <w:lang w:val="en-US"/>
              </w:rPr>
              <w:t> </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left"/>
              <w:rPr>
                <w:sz w:val="16"/>
                <w:szCs w:val="16"/>
                <w:lang w:val="en-US"/>
              </w:rPr>
            </w:pPr>
            <w:r w:rsidRPr="0005304F">
              <w:rPr>
                <w:sz w:val="16"/>
                <w:szCs w:val="16"/>
                <w:lang w:val="en-US"/>
              </w:rPr>
              <w:t> </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left"/>
              <w:rPr>
                <w:sz w:val="16"/>
                <w:szCs w:val="16"/>
                <w:lang w:val="en-US"/>
              </w:rPr>
            </w:pPr>
            <w:r w:rsidRPr="0005304F">
              <w:rPr>
                <w:sz w:val="16"/>
                <w:szCs w:val="16"/>
                <w:lang w:val="en-US"/>
              </w:rPr>
              <w:t> </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left"/>
              <w:rPr>
                <w:sz w:val="16"/>
                <w:szCs w:val="16"/>
                <w:lang w:val="en-US"/>
              </w:rPr>
            </w:pPr>
            <w:r w:rsidRPr="0005304F">
              <w:rPr>
                <w:sz w:val="16"/>
                <w:szCs w:val="16"/>
                <w:lang w:val="en-US"/>
              </w:rPr>
              <w:t> </w:t>
            </w:r>
          </w:p>
        </w:tc>
        <w:tc>
          <w:tcPr>
            <w:tcW w:w="655"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left"/>
              <w:rPr>
                <w:sz w:val="16"/>
                <w:szCs w:val="16"/>
                <w:lang w:val="en-US"/>
              </w:rPr>
            </w:pPr>
            <w:r w:rsidRPr="0005304F">
              <w:rPr>
                <w:sz w:val="16"/>
                <w:szCs w:val="16"/>
                <w:lang w:val="en-US"/>
              </w:rPr>
              <w:t> </w:t>
            </w:r>
          </w:p>
        </w:tc>
        <w:tc>
          <w:tcPr>
            <w:tcW w:w="655"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left"/>
              <w:rPr>
                <w:sz w:val="16"/>
                <w:szCs w:val="16"/>
                <w:lang w:val="en-US"/>
              </w:rPr>
            </w:pPr>
            <w:r w:rsidRPr="0005304F">
              <w:rPr>
                <w:sz w:val="16"/>
                <w:szCs w:val="16"/>
                <w:lang w:val="en-US"/>
              </w:rPr>
              <w:t> </w:t>
            </w:r>
          </w:p>
        </w:tc>
        <w:tc>
          <w:tcPr>
            <w:tcW w:w="655"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left"/>
              <w:rPr>
                <w:sz w:val="16"/>
                <w:szCs w:val="16"/>
                <w:lang w:val="en-US"/>
              </w:rPr>
            </w:pPr>
            <w:r w:rsidRPr="0005304F">
              <w:rPr>
                <w:sz w:val="16"/>
                <w:szCs w:val="16"/>
                <w:lang w:val="en-US"/>
              </w:rPr>
              <w:t> </w:t>
            </w:r>
          </w:p>
        </w:tc>
        <w:tc>
          <w:tcPr>
            <w:tcW w:w="655"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left"/>
              <w:rPr>
                <w:sz w:val="16"/>
                <w:szCs w:val="16"/>
                <w:lang w:val="en-US"/>
              </w:rPr>
            </w:pPr>
            <w:r w:rsidRPr="0005304F">
              <w:rPr>
                <w:sz w:val="16"/>
                <w:szCs w:val="16"/>
                <w:lang w:val="en-US"/>
              </w:rPr>
              <w:t> </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left"/>
              <w:rPr>
                <w:sz w:val="16"/>
                <w:szCs w:val="16"/>
                <w:lang w:val="en-US"/>
              </w:rPr>
            </w:pPr>
            <w:r w:rsidRPr="0005304F">
              <w:rPr>
                <w:sz w:val="16"/>
                <w:szCs w:val="16"/>
                <w:lang w:val="en-US"/>
              </w:rPr>
              <w:t> </w:t>
            </w:r>
          </w:p>
        </w:tc>
      </w:tr>
      <w:tr w:rsidR="0005304F" w:rsidRPr="0005304F" w:rsidTr="0005304F">
        <w:trPr>
          <w:trHeight w:val="255"/>
          <w:jc w:val="center"/>
        </w:trPr>
        <w:tc>
          <w:tcPr>
            <w:tcW w:w="162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5304F" w:rsidRPr="0005304F" w:rsidRDefault="0005304F" w:rsidP="0005304F">
            <w:pPr>
              <w:widowControl/>
              <w:ind w:firstLine="0"/>
              <w:jc w:val="center"/>
              <w:rPr>
                <w:sz w:val="16"/>
                <w:szCs w:val="16"/>
                <w:lang w:val="en-US"/>
              </w:rPr>
            </w:pPr>
            <w:r w:rsidRPr="0005304F">
              <w:rPr>
                <w:sz w:val="16"/>
                <w:szCs w:val="16"/>
                <w:lang w:val="en-US"/>
              </w:rPr>
              <w:t> </w:t>
            </w:r>
          </w:p>
        </w:tc>
        <w:tc>
          <w:tcPr>
            <w:tcW w:w="12000" w:type="dxa"/>
            <w:gridSpan w:val="15"/>
            <w:tcBorders>
              <w:top w:val="single" w:sz="4" w:space="0" w:color="auto"/>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center"/>
              <w:rPr>
                <w:sz w:val="16"/>
                <w:szCs w:val="16"/>
                <w:lang w:val="en-US"/>
              </w:rPr>
            </w:pPr>
            <w:r w:rsidRPr="0005304F">
              <w:rPr>
                <w:sz w:val="16"/>
                <w:szCs w:val="16"/>
                <w:lang w:val="en-US"/>
              </w:rPr>
              <w:t>Struktūra, %</w:t>
            </w:r>
          </w:p>
        </w:tc>
      </w:tr>
      <w:tr w:rsidR="0005304F" w:rsidRPr="0005304F" w:rsidTr="0005304F">
        <w:trPr>
          <w:trHeight w:val="255"/>
          <w:jc w:val="center"/>
        </w:trPr>
        <w:tc>
          <w:tcPr>
            <w:tcW w:w="1620" w:type="dxa"/>
            <w:vMerge/>
            <w:tcBorders>
              <w:top w:val="nil"/>
              <w:left w:val="single" w:sz="4" w:space="0" w:color="auto"/>
              <w:bottom w:val="single" w:sz="4" w:space="0" w:color="000000"/>
              <w:right w:val="single" w:sz="4" w:space="0" w:color="auto"/>
            </w:tcBorders>
            <w:vAlign w:val="center"/>
            <w:hideMark/>
          </w:tcPr>
          <w:p w:rsidR="0005304F" w:rsidRPr="0005304F" w:rsidRDefault="0005304F" w:rsidP="0005304F">
            <w:pPr>
              <w:widowControl/>
              <w:ind w:firstLine="0"/>
              <w:jc w:val="left"/>
              <w:rPr>
                <w:sz w:val="16"/>
                <w:szCs w:val="16"/>
                <w:lang w:val="en-US"/>
              </w:rPr>
            </w:pPr>
          </w:p>
        </w:tc>
        <w:tc>
          <w:tcPr>
            <w:tcW w:w="4340" w:type="dxa"/>
            <w:gridSpan w:val="5"/>
            <w:tcBorders>
              <w:top w:val="single" w:sz="4" w:space="0" w:color="auto"/>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center"/>
              <w:rPr>
                <w:sz w:val="16"/>
                <w:szCs w:val="16"/>
                <w:lang w:val="en-US"/>
              </w:rPr>
            </w:pPr>
            <w:r w:rsidRPr="0005304F">
              <w:rPr>
                <w:sz w:val="16"/>
                <w:szCs w:val="16"/>
                <w:lang w:val="en-US"/>
              </w:rPr>
              <w:t>Lietuva</w:t>
            </w:r>
          </w:p>
        </w:tc>
        <w:tc>
          <w:tcPr>
            <w:tcW w:w="4200" w:type="dxa"/>
            <w:gridSpan w:val="5"/>
            <w:tcBorders>
              <w:top w:val="single" w:sz="4" w:space="0" w:color="auto"/>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center"/>
              <w:rPr>
                <w:sz w:val="16"/>
                <w:szCs w:val="16"/>
                <w:lang w:val="en-US"/>
              </w:rPr>
            </w:pPr>
            <w:r w:rsidRPr="0005304F">
              <w:rPr>
                <w:sz w:val="16"/>
                <w:szCs w:val="16"/>
                <w:lang w:val="en-US"/>
              </w:rPr>
              <w:t>Latvija</w:t>
            </w:r>
          </w:p>
        </w:tc>
        <w:tc>
          <w:tcPr>
            <w:tcW w:w="3460" w:type="dxa"/>
            <w:gridSpan w:val="5"/>
            <w:tcBorders>
              <w:top w:val="single" w:sz="4" w:space="0" w:color="auto"/>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center"/>
              <w:rPr>
                <w:sz w:val="16"/>
                <w:szCs w:val="16"/>
                <w:lang w:val="en-US"/>
              </w:rPr>
            </w:pPr>
            <w:r w:rsidRPr="0005304F">
              <w:rPr>
                <w:sz w:val="16"/>
                <w:szCs w:val="16"/>
                <w:lang w:val="en-US"/>
              </w:rPr>
              <w:t>Estija</w:t>
            </w:r>
          </w:p>
        </w:tc>
      </w:tr>
      <w:tr w:rsidR="0005304F" w:rsidRPr="0005304F" w:rsidTr="0005304F">
        <w:trPr>
          <w:trHeight w:val="255"/>
          <w:jc w:val="center"/>
        </w:trPr>
        <w:tc>
          <w:tcPr>
            <w:tcW w:w="1620" w:type="dxa"/>
            <w:vMerge/>
            <w:tcBorders>
              <w:top w:val="nil"/>
              <w:left w:val="single" w:sz="4" w:space="0" w:color="auto"/>
              <w:bottom w:val="single" w:sz="4" w:space="0" w:color="000000"/>
              <w:right w:val="single" w:sz="4" w:space="0" w:color="auto"/>
            </w:tcBorders>
            <w:vAlign w:val="center"/>
            <w:hideMark/>
          </w:tcPr>
          <w:p w:rsidR="0005304F" w:rsidRPr="0005304F" w:rsidRDefault="0005304F" w:rsidP="0005304F">
            <w:pPr>
              <w:widowControl/>
              <w:ind w:firstLine="0"/>
              <w:jc w:val="left"/>
              <w:rPr>
                <w:sz w:val="16"/>
                <w:szCs w:val="16"/>
                <w:lang w:val="en-US"/>
              </w:rPr>
            </w:pPr>
          </w:p>
        </w:tc>
        <w:tc>
          <w:tcPr>
            <w:tcW w:w="841"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2008</w:t>
            </w:r>
          </w:p>
        </w:tc>
        <w:tc>
          <w:tcPr>
            <w:tcW w:w="841"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2009</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2010</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2011</w:t>
            </w:r>
          </w:p>
        </w:tc>
        <w:tc>
          <w:tcPr>
            <w:tcW w:w="978"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2012</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2008</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2009</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2010</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2011</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2012</w:t>
            </w:r>
          </w:p>
        </w:tc>
        <w:tc>
          <w:tcPr>
            <w:tcW w:w="655"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2008</w:t>
            </w:r>
          </w:p>
        </w:tc>
        <w:tc>
          <w:tcPr>
            <w:tcW w:w="655"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2009</w:t>
            </w:r>
          </w:p>
        </w:tc>
        <w:tc>
          <w:tcPr>
            <w:tcW w:w="655"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2010</w:t>
            </w:r>
          </w:p>
        </w:tc>
        <w:tc>
          <w:tcPr>
            <w:tcW w:w="655"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2011</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2012</w:t>
            </w:r>
          </w:p>
        </w:tc>
      </w:tr>
      <w:tr w:rsidR="0005304F" w:rsidRPr="0005304F" w:rsidTr="0005304F">
        <w:trPr>
          <w:trHeight w:val="255"/>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left"/>
              <w:rPr>
                <w:sz w:val="16"/>
                <w:szCs w:val="16"/>
                <w:lang w:val="en-US"/>
              </w:rPr>
            </w:pPr>
            <w:r w:rsidRPr="0005304F">
              <w:rPr>
                <w:sz w:val="16"/>
                <w:szCs w:val="16"/>
                <w:lang w:val="en-US"/>
              </w:rPr>
              <w:t>Vertybiniai popieriai</w:t>
            </w:r>
          </w:p>
        </w:tc>
        <w:tc>
          <w:tcPr>
            <w:tcW w:w="841"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87,5%</w:t>
            </w:r>
          </w:p>
        </w:tc>
        <w:tc>
          <w:tcPr>
            <w:tcW w:w="841"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84,1%</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82,0%</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81,8%</w:t>
            </w:r>
          </w:p>
        </w:tc>
        <w:tc>
          <w:tcPr>
            <w:tcW w:w="978"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80,0%</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60,6%</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29,9%</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24,8%</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26,4%</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44,4%</w:t>
            </w:r>
          </w:p>
        </w:tc>
        <w:tc>
          <w:tcPr>
            <w:tcW w:w="655"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23,2%</w:t>
            </w:r>
          </w:p>
        </w:tc>
        <w:tc>
          <w:tcPr>
            <w:tcW w:w="655"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24,1%</w:t>
            </w:r>
          </w:p>
        </w:tc>
        <w:tc>
          <w:tcPr>
            <w:tcW w:w="655"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25,1%</w:t>
            </w:r>
          </w:p>
        </w:tc>
        <w:tc>
          <w:tcPr>
            <w:tcW w:w="655"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25,4%</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14,3%</w:t>
            </w:r>
          </w:p>
        </w:tc>
      </w:tr>
      <w:tr w:rsidR="0005304F" w:rsidRPr="0005304F" w:rsidTr="0005304F">
        <w:trPr>
          <w:trHeight w:val="255"/>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left"/>
              <w:rPr>
                <w:sz w:val="16"/>
                <w:szCs w:val="16"/>
                <w:lang w:val="en-US"/>
              </w:rPr>
            </w:pPr>
            <w:r w:rsidRPr="0005304F">
              <w:rPr>
                <w:sz w:val="16"/>
                <w:szCs w:val="16"/>
                <w:lang w:val="en-US"/>
              </w:rPr>
              <w:t>Paskolos</w:t>
            </w:r>
          </w:p>
        </w:tc>
        <w:tc>
          <w:tcPr>
            <w:tcW w:w="841"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12,5%</w:t>
            </w:r>
          </w:p>
        </w:tc>
        <w:tc>
          <w:tcPr>
            <w:tcW w:w="841"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15,9%</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18,0%</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18,1%</w:t>
            </w:r>
          </w:p>
        </w:tc>
        <w:tc>
          <w:tcPr>
            <w:tcW w:w="978"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18,5%</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39,4%</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70,1%</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75,2%</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73,6%</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55,6%</w:t>
            </w:r>
          </w:p>
        </w:tc>
        <w:tc>
          <w:tcPr>
            <w:tcW w:w="655"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76,8%</w:t>
            </w:r>
          </w:p>
        </w:tc>
        <w:tc>
          <w:tcPr>
            <w:tcW w:w="655"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75,9%</w:t>
            </w:r>
          </w:p>
        </w:tc>
        <w:tc>
          <w:tcPr>
            <w:tcW w:w="655"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74,9%</w:t>
            </w:r>
          </w:p>
        </w:tc>
        <w:tc>
          <w:tcPr>
            <w:tcW w:w="655"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74,6%</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85,7%</w:t>
            </w:r>
          </w:p>
        </w:tc>
      </w:tr>
      <w:tr w:rsidR="0005304F" w:rsidRPr="0005304F" w:rsidTr="0005304F">
        <w:trPr>
          <w:trHeight w:val="255"/>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left"/>
              <w:rPr>
                <w:sz w:val="16"/>
                <w:szCs w:val="16"/>
                <w:lang w:val="en-US"/>
              </w:rPr>
            </w:pPr>
            <w:r w:rsidRPr="0005304F">
              <w:rPr>
                <w:sz w:val="16"/>
                <w:szCs w:val="16"/>
                <w:lang w:val="en-US"/>
              </w:rPr>
              <w:t>Indėliai ir valiuta</w:t>
            </w:r>
          </w:p>
        </w:tc>
        <w:tc>
          <w:tcPr>
            <w:tcW w:w="841"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0,0%</w:t>
            </w:r>
          </w:p>
        </w:tc>
        <w:tc>
          <w:tcPr>
            <w:tcW w:w="841"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0,0%</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0,0%</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0,1%</w:t>
            </w:r>
          </w:p>
        </w:tc>
        <w:tc>
          <w:tcPr>
            <w:tcW w:w="978"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1,5%</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0,0%</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0,0%</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0,0%</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0,0%</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0,0%</w:t>
            </w:r>
          </w:p>
        </w:tc>
        <w:tc>
          <w:tcPr>
            <w:tcW w:w="655"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0,0%</w:t>
            </w:r>
          </w:p>
        </w:tc>
        <w:tc>
          <w:tcPr>
            <w:tcW w:w="655"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0,0%</w:t>
            </w:r>
          </w:p>
        </w:tc>
        <w:tc>
          <w:tcPr>
            <w:tcW w:w="655"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0,0%</w:t>
            </w:r>
          </w:p>
        </w:tc>
        <w:tc>
          <w:tcPr>
            <w:tcW w:w="655"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0,0%</w:t>
            </w:r>
          </w:p>
        </w:tc>
        <w:tc>
          <w:tcPr>
            <w:tcW w:w="840" w:type="dxa"/>
            <w:tcBorders>
              <w:top w:val="nil"/>
              <w:left w:val="nil"/>
              <w:bottom w:val="single" w:sz="4" w:space="0" w:color="auto"/>
              <w:right w:val="single" w:sz="4" w:space="0" w:color="auto"/>
            </w:tcBorders>
            <w:shd w:val="clear" w:color="auto" w:fill="auto"/>
            <w:noWrap/>
            <w:vAlign w:val="bottom"/>
            <w:hideMark/>
          </w:tcPr>
          <w:p w:rsidR="0005304F" w:rsidRPr="0005304F" w:rsidRDefault="0005304F" w:rsidP="0005304F">
            <w:pPr>
              <w:widowControl/>
              <w:ind w:firstLine="0"/>
              <w:jc w:val="right"/>
              <w:rPr>
                <w:sz w:val="16"/>
                <w:szCs w:val="16"/>
                <w:lang w:val="en-US"/>
              </w:rPr>
            </w:pPr>
            <w:r w:rsidRPr="0005304F">
              <w:rPr>
                <w:sz w:val="16"/>
                <w:szCs w:val="16"/>
                <w:lang w:val="en-US"/>
              </w:rPr>
              <w:t>0,0%</w:t>
            </w:r>
          </w:p>
        </w:tc>
      </w:tr>
    </w:tbl>
    <w:p w:rsidR="00E94FF8" w:rsidRPr="00E92012" w:rsidRDefault="00E94FF8" w:rsidP="00E94FF8">
      <w:pPr>
        <w:tabs>
          <w:tab w:val="left" w:pos="7470"/>
        </w:tabs>
        <w:ind w:firstLine="0"/>
      </w:pPr>
      <w:r w:rsidRPr="004A022F">
        <w:t>Šaltinis: sudaryta pagal Eurostat duomenis ir autorės skaičiavimus</w:t>
      </w:r>
    </w:p>
    <w:p w:rsidR="0005304F" w:rsidRDefault="0005304F" w:rsidP="0005304F"/>
    <w:p w:rsidR="00E94FF8" w:rsidRDefault="00E94FF8" w:rsidP="0005304F"/>
    <w:p w:rsidR="00E94FF8" w:rsidRDefault="00E94FF8" w:rsidP="0005304F"/>
    <w:p w:rsidR="00E94FF8" w:rsidRDefault="00E94FF8" w:rsidP="0005304F"/>
    <w:p w:rsidR="00E94FF8" w:rsidRDefault="00E94FF8" w:rsidP="0005304F"/>
    <w:p w:rsidR="00E94FF8" w:rsidRDefault="00E94FF8" w:rsidP="0005304F"/>
    <w:p w:rsidR="00E94FF8" w:rsidRDefault="00E94FF8" w:rsidP="00E94FF8">
      <w:pPr>
        <w:ind w:firstLine="0"/>
      </w:pPr>
    </w:p>
    <w:p w:rsidR="00E94FF8" w:rsidRDefault="00E94FF8" w:rsidP="0005304F"/>
    <w:p w:rsidR="00E94FF8" w:rsidRDefault="00E94FF8" w:rsidP="0005304F"/>
    <w:p w:rsidR="00E94FF8" w:rsidRDefault="00E94FF8" w:rsidP="0005304F"/>
    <w:p w:rsidR="00E94FF8" w:rsidRDefault="00E94FF8" w:rsidP="0005304F"/>
    <w:p w:rsidR="00E94FF8" w:rsidRDefault="00E94FF8" w:rsidP="0005304F"/>
    <w:p w:rsidR="00E94FF8" w:rsidRDefault="00E94FF8" w:rsidP="0005304F"/>
    <w:p w:rsidR="00E94FF8" w:rsidRDefault="00E94FF8" w:rsidP="0005304F"/>
    <w:p w:rsidR="00E94FF8" w:rsidRDefault="00E94FF8" w:rsidP="0005304F"/>
    <w:p w:rsidR="00E94FF8" w:rsidRDefault="00E94FF8" w:rsidP="0005304F"/>
    <w:p w:rsidR="00E94FF8" w:rsidRDefault="00E94FF8" w:rsidP="0005304F"/>
    <w:p w:rsidR="00E94FF8" w:rsidRPr="00E94FF8" w:rsidRDefault="00E94FF8" w:rsidP="00E94FF8">
      <w:pPr>
        <w:tabs>
          <w:tab w:val="left" w:pos="3960"/>
          <w:tab w:val="center" w:pos="6480"/>
          <w:tab w:val="left" w:pos="7470"/>
        </w:tabs>
        <w:jc w:val="center"/>
        <w:rPr>
          <w:sz w:val="24"/>
          <w:szCs w:val="24"/>
        </w:rPr>
      </w:pPr>
      <w:r w:rsidRPr="00E94FF8">
        <w:rPr>
          <w:sz w:val="24"/>
          <w:szCs w:val="24"/>
        </w:rPr>
        <w:t>4 lentelė. Valstybės skolos struktūra pagal valiutą</w:t>
      </w:r>
    </w:p>
    <w:p w:rsidR="00F642AE" w:rsidRDefault="00F642AE" w:rsidP="0005304F">
      <w:pPr>
        <w:sectPr w:rsidR="00F642AE" w:rsidSect="00A305E9">
          <w:footerReference w:type="default" r:id="rId97"/>
          <w:pgSz w:w="15840" w:h="12240" w:orient="landscape"/>
          <w:pgMar w:top="1440" w:right="1440" w:bottom="1440" w:left="1440" w:header="720" w:footer="720" w:gutter="0"/>
          <w:cols w:space="720"/>
          <w:docGrid w:linePitch="360"/>
        </w:sectPr>
      </w:pPr>
    </w:p>
    <w:p w:rsidR="00E94FF8" w:rsidRDefault="00E94FF8" w:rsidP="0005304F"/>
    <w:tbl>
      <w:tblPr>
        <w:tblW w:w="12585" w:type="dxa"/>
        <w:jc w:val="center"/>
        <w:tblInd w:w="93" w:type="dxa"/>
        <w:tblLook w:val="04A0"/>
      </w:tblPr>
      <w:tblGrid>
        <w:gridCol w:w="1420"/>
        <w:gridCol w:w="744"/>
        <w:gridCol w:w="744"/>
        <w:gridCol w:w="744"/>
        <w:gridCol w:w="860"/>
        <w:gridCol w:w="860"/>
        <w:gridCol w:w="743"/>
        <w:gridCol w:w="743"/>
        <w:gridCol w:w="743"/>
        <w:gridCol w:w="743"/>
        <w:gridCol w:w="743"/>
        <w:gridCol w:w="630"/>
        <w:gridCol w:w="655"/>
        <w:gridCol w:w="710"/>
        <w:gridCol w:w="760"/>
        <w:gridCol w:w="743"/>
      </w:tblGrid>
      <w:tr w:rsidR="00E94FF8" w:rsidRPr="00E94FF8" w:rsidTr="00E94FF8">
        <w:trPr>
          <w:trHeight w:val="285"/>
          <w:jc w:val="center"/>
        </w:trPr>
        <w:tc>
          <w:tcPr>
            <w:tcW w:w="142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E94FF8" w:rsidRPr="00E94FF8" w:rsidRDefault="00E94FF8" w:rsidP="00E94FF8">
            <w:pPr>
              <w:widowControl/>
              <w:ind w:firstLine="0"/>
              <w:jc w:val="center"/>
              <w:rPr>
                <w:sz w:val="16"/>
                <w:szCs w:val="16"/>
                <w:lang w:val="en-US"/>
              </w:rPr>
            </w:pPr>
            <w:r w:rsidRPr="00E94FF8">
              <w:rPr>
                <w:sz w:val="16"/>
                <w:szCs w:val="16"/>
                <w:lang w:val="en-US"/>
              </w:rPr>
              <w:t> </w:t>
            </w:r>
          </w:p>
        </w:tc>
        <w:tc>
          <w:tcPr>
            <w:tcW w:w="11165" w:type="dxa"/>
            <w:gridSpan w:val="15"/>
            <w:tcBorders>
              <w:top w:val="single" w:sz="4" w:space="0" w:color="auto"/>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center"/>
              <w:rPr>
                <w:sz w:val="16"/>
                <w:szCs w:val="16"/>
                <w:lang w:val="en-US"/>
              </w:rPr>
            </w:pPr>
            <w:r w:rsidRPr="00E94FF8">
              <w:rPr>
                <w:sz w:val="16"/>
                <w:szCs w:val="16"/>
                <w:lang w:val="en-US"/>
              </w:rPr>
              <w:t>Mln. Eur.</w:t>
            </w:r>
          </w:p>
        </w:tc>
      </w:tr>
      <w:tr w:rsidR="00E94FF8" w:rsidRPr="00E94FF8" w:rsidTr="00E94FF8">
        <w:trPr>
          <w:trHeight w:val="285"/>
          <w:jc w:val="center"/>
        </w:trPr>
        <w:tc>
          <w:tcPr>
            <w:tcW w:w="1420" w:type="dxa"/>
            <w:vMerge/>
            <w:tcBorders>
              <w:top w:val="single" w:sz="4" w:space="0" w:color="auto"/>
              <w:left w:val="single" w:sz="4" w:space="0" w:color="auto"/>
              <w:bottom w:val="single" w:sz="4" w:space="0" w:color="000000"/>
              <w:right w:val="single" w:sz="4" w:space="0" w:color="auto"/>
            </w:tcBorders>
            <w:vAlign w:val="center"/>
            <w:hideMark/>
          </w:tcPr>
          <w:p w:rsidR="00E94FF8" w:rsidRPr="00E94FF8" w:rsidRDefault="00E94FF8" w:rsidP="00E94FF8">
            <w:pPr>
              <w:widowControl/>
              <w:ind w:firstLine="0"/>
              <w:jc w:val="left"/>
              <w:rPr>
                <w:sz w:val="16"/>
                <w:szCs w:val="16"/>
                <w:lang w:val="en-US"/>
              </w:rPr>
            </w:pPr>
          </w:p>
        </w:tc>
        <w:tc>
          <w:tcPr>
            <w:tcW w:w="3952" w:type="dxa"/>
            <w:gridSpan w:val="5"/>
            <w:tcBorders>
              <w:top w:val="single" w:sz="4" w:space="0" w:color="auto"/>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center"/>
              <w:rPr>
                <w:sz w:val="16"/>
                <w:szCs w:val="16"/>
                <w:lang w:val="en-US"/>
              </w:rPr>
            </w:pPr>
            <w:r w:rsidRPr="00E94FF8">
              <w:rPr>
                <w:sz w:val="16"/>
                <w:szCs w:val="16"/>
                <w:lang w:val="en-US"/>
              </w:rPr>
              <w:t>Lietuva</w:t>
            </w:r>
          </w:p>
        </w:tc>
        <w:tc>
          <w:tcPr>
            <w:tcW w:w="3715" w:type="dxa"/>
            <w:gridSpan w:val="5"/>
            <w:tcBorders>
              <w:top w:val="single" w:sz="4" w:space="0" w:color="auto"/>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center"/>
              <w:rPr>
                <w:sz w:val="16"/>
                <w:szCs w:val="16"/>
                <w:lang w:val="en-US"/>
              </w:rPr>
            </w:pPr>
            <w:r w:rsidRPr="00E94FF8">
              <w:rPr>
                <w:sz w:val="16"/>
                <w:szCs w:val="16"/>
                <w:lang w:val="en-US"/>
              </w:rPr>
              <w:t>Latvija</w:t>
            </w:r>
          </w:p>
        </w:tc>
        <w:tc>
          <w:tcPr>
            <w:tcW w:w="3498" w:type="dxa"/>
            <w:gridSpan w:val="5"/>
            <w:tcBorders>
              <w:top w:val="single" w:sz="4" w:space="0" w:color="auto"/>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center"/>
              <w:rPr>
                <w:sz w:val="16"/>
                <w:szCs w:val="16"/>
                <w:lang w:val="en-US"/>
              </w:rPr>
            </w:pPr>
            <w:r w:rsidRPr="00E94FF8">
              <w:rPr>
                <w:sz w:val="16"/>
                <w:szCs w:val="16"/>
                <w:lang w:val="en-US"/>
              </w:rPr>
              <w:t>Estija</w:t>
            </w:r>
          </w:p>
        </w:tc>
      </w:tr>
      <w:tr w:rsidR="00E94FF8" w:rsidRPr="00E94FF8" w:rsidTr="00E94FF8">
        <w:trPr>
          <w:trHeight w:val="285"/>
          <w:jc w:val="center"/>
        </w:trPr>
        <w:tc>
          <w:tcPr>
            <w:tcW w:w="1420" w:type="dxa"/>
            <w:vMerge/>
            <w:tcBorders>
              <w:top w:val="single" w:sz="4" w:space="0" w:color="auto"/>
              <w:left w:val="single" w:sz="4" w:space="0" w:color="auto"/>
              <w:bottom w:val="single" w:sz="4" w:space="0" w:color="000000"/>
              <w:right w:val="single" w:sz="4" w:space="0" w:color="auto"/>
            </w:tcBorders>
            <w:vAlign w:val="center"/>
            <w:hideMark/>
          </w:tcPr>
          <w:p w:rsidR="00E94FF8" w:rsidRPr="00E94FF8" w:rsidRDefault="00E94FF8" w:rsidP="00E94FF8">
            <w:pPr>
              <w:widowControl/>
              <w:ind w:firstLine="0"/>
              <w:jc w:val="left"/>
              <w:rPr>
                <w:sz w:val="16"/>
                <w:szCs w:val="16"/>
                <w:lang w:val="en-US"/>
              </w:rPr>
            </w:pPr>
          </w:p>
        </w:tc>
        <w:tc>
          <w:tcPr>
            <w:tcW w:w="744"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2008</w:t>
            </w:r>
          </w:p>
        </w:tc>
        <w:tc>
          <w:tcPr>
            <w:tcW w:w="744"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2009</w:t>
            </w:r>
          </w:p>
        </w:tc>
        <w:tc>
          <w:tcPr>
            <w:tcW w:w="744"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2010</w:t>
            </w:r>
          </w:p>
        </w:tc>
        <w:tc>
          <w:tcPr>
            <w:tcW w:w="860"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2011</w:t>
            </w:r>
          </w:p>
        </w:tc>
        <w:tc>
          <w:tcPr>
            <w:tcW w:w="860"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2012</w:t>
            </w:r>
          </w:p>
        </w:tc>
        <w:tc>
          <w:tcPr>
            <w:tcW w:w="743"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2008</w:t>
            </w:r>
          </w:p>
        </w:tc>
        <w:tc>
          <w:tcPr>
            <w:tcW w:w="743"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2009</w:t>
            </w:r>
          </w:p>
        </w:tc>
        <w:tc>
          <w:tcPr>
            <w:tcW w:w="743"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2010</w:t>
            </w:r>
          </w:p>
        </w:tc>
        <w:tc>
          <w:tcPr>
            <w:tcW w:w="743"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2011</w:t>
            </w:r>
          </w:p>
        </w:tc>
        <w:tc>
          <w:tcPr>
            <w:tcW w:w="743"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2012</w:t>
            </w:r>
          </w:p>
        </w:tc>
        <w:tc>
          <w:tcPr>
            <w:tcW w:w="630"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2008</w:t>
            </w:r>
          </w:p>
        </w:tc>
        <w:tc>
          <w:tcPr>
            <w:tcW w:w="655"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2009</w:t>
            </w:r>
          </w:p>
        </w:tc>
        <w:tc>
          <w:tcPr>
            <w:tcW w:w="710"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2010</w:t>
            </w:r>
          </w:p>
        </w:tc>
        <w:tc>
          <w:tcPr>
            <w:tcW w:w="760"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2011</w:t>
            </w:r>
          </w:p>
        </w:tc>
        <w:tc>
          <w:tcPr>
            <w:tcW w:w="743"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2012</w:t>
            </w:r>
          </w:p>
        </w:tc>
      </w:tr>
      <w:tr w:rsidR="00E94FF8" w:rsidRPr="00E94FF8" w:rsidTr="00E94FF8">
        <w:trPr>
          <w:trHeight w:val="285"/>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left"/>
              <w:rPr>
                <w:sz w:val="16"/>
                <w:szCs w:val="16"/>
                <w:lang w:val="en-US"/>
              </w:rPr>
            </w:pPr>
            <w:r w:rsidRPr="00E94FF8">
              <w:rPr>
                <w:sz w:val="16"/>
                <w:szCs w:val="16"/>
                <w:lang w:val="en-US"/>
              </w:rPr>
              <w:t>Nacionaline valiuta</w:t>
            </w:r>
          </w:p>
        </w:tc>
        <w:tc>
          <w:tcPr>
            <w:tcW w:w="744" w:type="dxa"/>
            <w:tcBorders>
              <w:top w:val="nil"/>
              <w:left w:val="nil"/>
              <w:bottom w:val="single" w:sz="4" w:space="0" w:color="000000"/>
              <w:right w:val="single" w:sz="4" w:space="0" w:color="000000"/>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886,9</w:t>
            </w:r>
          </w:p>
        </w:tc>
        <w:tc>
          <w:tcPr>
            <w:tcW w:w="744" w:type="dxa"/>
            <w:tcBorders>
              <w:top w:val="nil"/>
              <w:left w:val="nil"/>
              <w:bottom w:val="single" w:sz="4" w:space="0" w:color="000000"/>
              <w:right w:val="single" w:sz="4" w:space="0" w:color="000000"/>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662,9</w:t>
            </w:r>
          </w:p>
        </w:tc>
        <w:tc>
          <w:tcPr>
            <w:tcW w:w="744" w:type="dxa"/>
            <w:tcBorders>
              <w:top w:val="nil"/>
              <w:left w:val="nil"/>
              <w:bottom w:val="single" w:sz="4" w:space="0" w:color="000000"/>
              <w:right w:val="single" w:sz="4" w:space="0" w:color="000000"/>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1.269,1</w:t>
            </w:r>
          </w:p>
        </w:tc>
        <w:tc>
          <w:tcPr>
            <w:tcW w:w="860" w:type="dxa"/>
            <w:tcBorders>
              <w:top w:val="nil"/>
              <w:left w:val="nil"/>
              <w:bottom w:val="single" w:sz="4" w:space="0" w:color="000000"/>
              <w:right w:val="single" w:sz="4" w:space="0" w:color="000000"/>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1.605,1</w:t>
            </w:r>
          </w:p>
        </w:tc>
        <w:tc>
          <w:tcPr>
            <w:tcW w:w="860" w:type="dxa"/>
            <w:tcBorders>
              <w:top w:val="nil"/>
              <w:left w:val="nil"/>
              <w:bottom w:val="single" w:sz="4" w:space="0" w:color="000000"/>
              <w:right w:val="single" w:sz="4" w:space="0" w:color="000000"/>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2.253,5</w:t>
            </w:r>
          </w:p>
        </w:tc>
        <w:tc>
          <w:tcPr>
            <w:tcW w:w="743" w:type="dxa"/>
            <w:tcBorders>
              <w:top w:val="nil"/>
              <w:left w:val="nil"/>
              <w:bottom w:val="single" w:sz="4" w:space="0" w:color="000000"/>
              <w:right w:val="single" w:sz="4" w:space="0" w:color="000000"/>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1.861,6</w:t>
            </w:r>
          </w:p>
        </w:tc>
        <w:tc>
          <w:tcPr>
            <w:tcW w:w="743" w:type="dxa"/>
            <w:tcBorders>
              <w:top w:val="nil"/>
              <w:left w:val="nil"/>
              <w:bottom w:val="single" w:sz="4" w:space="0" w:color="000000"/>
              <w:right w:val="single" w:sz="4" w:space="0" w:color="000000"/>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1.709,8</w:t>
            </w:r>
          </w:p>
        </w:tc>
        <w:tc>
          <w:tcPr>
            <w:tcW w:w="743" w:type="dxa"/>
            <w:tcBorders>
              <w:top w:val="nil"/>
              <w:left w:val="nil"/>
              <w:bottom w:val="single" w:sz="4" w:space="0" w:color="000000"/>
              <w:right w:val="single" w:sz="4" w:space="0" w:color="000000"/>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1.446,1</w:t>
            </w:r>
          </w:p>
        </w:tc>
        <w:tc>
          <w:tcPr>
            <w:tcW w:w="743" w:type="dxa"/>
            <w:tcBorders>
              <w:top w:val="nil"/>
              <w:left w:val="nil"/>
              <w:bottom w:val="single" w:sz="4" w:space="0" w:color="000000"/>
              <w:right w:val="single" w:sz="4" w:space="0" w:color="000000"/>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1.395,6</w:t>
            </w:r>
          </w:p>
        </w:tc>
        <w:tc>
          <w:tcPr>
            <w:tcW w:w="743" w:type="dxa"/>
            <w:tcBorders>
              <w:top w:val="nil"/>
              <w:left w:val="nil"/>
              <w:bottom w:val="single" w:sz="4" w:space="0" w:color="000000"/>
              <w:right w:val="single" w:sz="4" w:space="0" w:color="000000"/>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1.304,0</w:t>
            </w:r>
          </w:p>
        </w:tc>
        <w:tc>
          <w:tcPr>
            <w:tcW w:w="630" w:type="dxa"/>
            <w:tcBorders>
              <w:top w:val="nil"/>
              <w:left w:val="nil"/>
              <w:bottom w:val="single" w:sz="4" w:space="0" w:color="000000"/>
              <w:right w:val="single" w:sz="4" w:space="0" w:color="000000"/>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126,1</w:t>
            </w:r>
          </w:p>
        </w:tc>
        <w:tc>
          <w:tcPr>
            <w:tcW w:w="655" w:type="dxa"/>
            <w:tcBorders>
              <w:top w:val="nil"/>
              <w:left w:val="nil"/>
              <w:bottom w:val="single" w:sz="4" w:space="0" w:color="000000"/>
              <w:right w:val="single" w:sz="4" w:space="0" w:color="000000"/>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37,8</w:t>
            </w:r>
          </w:p>
        </w:tc>
        <w:tc>
          <w:tcPr>
            <w:tcW w:w="710" w:type="dxa"/>
            <w:tcBorders>
              <w:top w:val="nil"/>
              <w:left w:val="nil"/>
              <w:bottom w:val="single" w:sz="4" w:space="0" w:color="000000"/>
              <w:right w:val="single" w:sz="4" w:space="0" w:color="000000"/>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106,1</w:t>
            </w:r>
          </w:p>
        </w:tc>
        <w:tc>
          <w:tcPr>
            <w:tcW w:w="760" w:type="dxa"/>
            <w:tcBorders>
              <w:top w:val="nil"/>
              <w:left w:val="nil"/>
              <w:bottom w:val="single" w:sz="4" w:space="0" w:color="000000"/>
              <w:right w:val="single" w:sz="4" w:space="0" w:color="000000"/>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996,2</w:t>
            </w:r>
          </w:p>
        </w:tc>
        <w:tc>
          <w:tcPr>
            <w:tcW w:w="743" w:type="dxa"/>
            <w:tcBorders>
              <w:top w:val="nil"/>
              <w:left w:val="nil"/>
              <w:bottom w:val="single" w:sz="4" w:space="0" w:color="000000"/>
              <w:right w:val="single" w:sz="4" w:space="0" w:color="000000"/>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1.723,5</w:t>
            </w:r>
          </w:p>
        </w:tc>
      </w:tr>
      <w:tr w:rsidR="00E94FF8" w:rsidRPr="00E94FF8" w:rsidTr="00E94FF8">
        <w:trPr>
          <w:trHeight w:val="285"/>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left"/>
              <w:rPr>
                <w:sz w:val="16"/>
                <w:szCs w:val="16"/>
                <w:lang w:val="en-US"/>
              </w:rPr>
            </w:pPr>
            <w:r w:rsidRPr="00E94FF8">
              <w:rPr>
                <w:sz w:val="16"/>
                <w:szCs w:val="16"/>
                <w:lang w:val="en-US"/>
              </w:rPr>
              <w:t>Užsienio valiuta</w:t>
            </w:r>
          </w:p>
        </w:tc>
        <w:tc>
          <w:tcPr>
            <w:tcW w:w="744" w:type="dxa"/>
            <w:tcBorders>
              <w:top w:val="nil"/>
              <w:left w:val="nil"/>
              <w:bottom w:val="single" w:sz="4" w:space="0" w:color="000000"/>
              <w:right w:val="single" w:sz="4" w:space="0" w:color="000000"/>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4.145,2</w:t>
            </w:r>
          </w:p>
        </w:tc>
        <w:tc>
          <w:tcPr>
            <w:tcW w:w="744" w:type="dxa"/>
            <w:tcBorders>
              <w:top w:val="nil"/>
              <w:left w:val="nil"/>
              <w:bottom w:val="single" w:sz="4" w:space="0" w:color="000000"/>
              <w:right w:val="single" w:sz="4" w:space="0" w:color="000000"/>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7.152,0</w:t>
            </w:r>
          </w:p>
        </w:tc>
        <w:tc>
          <w:tcPr>
            <w:tcW w:w="744" w:type="dxa"/>
            <w:tcBorders>
              <w:top w:val="nil"/>
              <w:left w:val="nil"/>
              <w:bottom w:val="single" w:sz="4" w:space="0" w:color="000000"/>
              <w:right w:val="single" w:sz="4" w:space="0" w:color="000000"/>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9.194,7</w:t>
            </w:r>
          </w:p>
        </w:tc>
        <w:tc>
          <w:tcPr>
            <w:tcW w:w="860" w:type="dxa"/>
            <w:tcBorders>
              <w:top w:val="nil"/>
              <w:left w:val="nil"/>
              <w:bottom w:val="single" w:sz="4" w:space="0" w:color="000000"/>
              <w:right w:val="single" w:sz="4" w:space="0" w:color="000000"/>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10.258,2</w:t>
            </w:r>
          </w:p>
        </w:tc>
        <w:tc>
          <w:tcPr>
            <w:tcW w:w="860" w:type="dxa"/>
            <w:tcBorders>
              <w:top w:val="nil"/>
              <w:left w:val="nil"/>
              <w:bottom w:val="single" w:sz="4" w:space="0" w:color="000000"/>
              <w:right w:val="single" w:sz="4" w:space="0" w:color="000000"/>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11.079,6</w:t>
            </w:r>
          </w:p>
        </w:tc>
        <w:tc>
          <w:tcPr>
            <w:tcW w:w="743" w:type="dxa"/>
            <w:tcBorders>
              <w:top w:val="nil"/>
              <w:left w:val="nil"/>
              <w:bottom w:val="single" w:sz="4" w:space="0" w:color="000000"/>
              <w:right w:val="single" w:sz="4" w:space="0" w:color="000000"/>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2.630,0</w:t>
            </w:r>
          </w:p>
        </w:tc>
        <w:tc>
          <w:tcPr>
            <w:tcW w:w="743" w:type="dxa"/>
            <w:tcBorders>
              <w:top w:val="nil"/>
              <w:left w:val="nil"/>
              <w:bottom w:val="single" w:sz="4" w:space="0" w:color="000000"/>
              <w:right w:val="single" w:sz="4" w:space="0" w:color="000000"/>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5.060,1</w:t>
            </w:r>
          </w:p>
        </w:tc>
        <w:tc>
          <w:tcPr>
            <w:tcW w:w="743" w:type="dxa"/>
            <w:tcBorders>
              <w:top w:val="nil"/>
              <w:left w:val="nil"/>
              <w:bottom w:val="single" w:sz="4" w:space="0" w:color="000000"/>
              <w:right w:val="single" w:sz="4" w:space="0" w:color="000000"/>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6.581,2</w:t>
            </w:r>
          </w:p>
        </w:tc>
        <w:tc>
          <w:tcPr>
            <w:tcW w:w="743" w:type="dxa"/>
            <w:tcBorders>
              <w:top w:val="nil"/>
              <w:left w:val="nil"/>
              <w:bottom w:val="single" w:sz="4" w:space="0" w:color="000000"/>
              <w:right w:val="single" w:sz="4" w:space="0" w:color="000000"/>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7.145,3</w:t>
            </w:r>
          </w:p>
        </w:tc>
        <w:tc>
          <w:tcPr>
            <w:tcW w:w="743" w:type="dxa"/>
            <w:tcBorders>
              <w:top w:val="nil"/>
              <w:left w:val="nil"/>
              <w:bottom w:val="single" w:sz="4" w:space="0" w:color="000000"/>
              <w:right w:val="single" w:sz="4" w:space="0" w:color="000000"/>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7.738,8</w:t>
            </w:r>
          </w:p>
        </w:tc>
        <w:tc>
          <w:tcPr>
            <w:tcW w:w="630" w:type="dxa"/>
            <w:tcBorders>
              <w:top w:val="nil"/>
              <w:left w:val="nil"/>
              <w:bottom w:val="single" w:sz="4" w:space="0" w:color="000000"/>
              <w:right w:val="single" w:sz="4" w:space="0" w:color="000000"/>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611,3</w:t>
            </w:r>
          </w:p>
        </w:tc>
        <w:tc>
          <w:tcPr>
            <w:tcW w:w="655" w:type="dxa"/>
            <w:tcBorders>
              <w:top w:val="nil"/>
              <w:left w:val="nil"/>
              <w:bottom w:val="single" w:sz="4" w:space="0" w:color="000000"/>
              <w:right w:val="single" w:sz="4" w:space="0" w:color="000000"/>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953,5</w:t>
            </w:r>
          </w:p>
        </w:tc>
        <w:tc>
          <w:tcPr>
            <w:tcW w:w="710" w:type="dxa"/>
            <w:tcBorders>
              <w:top w:val="nil"/>
              <w:left w:val="nil"/>
              <w:bottom w:val="single" w:sz="4" w:space="0" w:color="000000"/>
              <w:right w:val="single" w:sz="4" w:space="0" w:color="000000"/>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850,7</w:t>
            </w:r>
          </w:p>
        </w:tc>
        <w:tc>
          <w:tcPr>
            <w:tcW w:w="760" w:type="dxa"/>
            <w:tcBorders>
              <w:top w:val="nil"/>
              <w:left w:val="nil"/>
              <w:bottom w:val="single" w:sz="4" w:space="0" w:color="000000"/>
              <w:right w:val="single" w:sz="4" w:space="0" w:color="000000"/>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0,0</w:t>
            </w:r>
          </w:p>
        </w:tc>
        <w:tc>
          <w:tcPr>
            <w:tcW w:w="743" w:type="dxa"/>
            <w:tcBorders>
              <w:top w:val="nil"/>
              <w:left w:val="nil"/>
              <w:bottom w:val="single" w:sz="4" w:space="0" w:color="000000"/>
              <w:right w:val="single" w:sz="4" w:space="0" w:color="000000"/>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0,0</w:t>
            </w:r>
          </w:p>
        </w:tc>
      </w:tr>
      <w:tr w:rsidR="00E94FF8" w:rsidRPr="00E94FF8" w:rsidTr="00E94FF8">
        <w:trPr>
          <w:trHeight w:val="285"/>
          <w:jc w:val="center"/>
        </w:trPr>
        <w:tc>
          <w:tcPr>
            <w:tcW w:w="142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E94FF8" w:rsidRPr="00E94FF8" w:rsidRDefault="00E94FF8" w:rsidP="00E94FF8">
            <w:pPr>
              <w:widowControl/>
              <w:ind w:firstLine="0"/>
              <w:jc w:val="center"/>
              <w:rPr>
                <w:sz w:val="16"/>
                <w:szCs w:val="16"/>
                <w:lang w:val="en-US"/>
              </w:rPr>
            </w:pPr>
            <w:r w:rsidRPr="00E94FF8">
              <w:rPr>
                <w:sz w:val="16"/>
                <w:szCs w:val="16"/>
                <w:lang w:val="en-US"/>
              </w:rPr>
              <w:t> </w:t>
            </w:r>
          </w:p>
        </w:tc>
        <w:tc>
          <w:tcPr>
            <w:tcW w:w="11165" w:type="dxa"/>
            <w:gridSpan w:val="15"/>
            <w:tcBorders>
              <w:top w:val="single" w:sz="4" w:space="0" w:color="auto"/>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center"/>
              <w:rPr>
                <w:sz w:val="16"/>
                <w:szCs w:val="16"/>
                <w:lang w:val="en-US"/>
              </w:rPr>
            </w:pPr>
            <w:r w:rsidRPr="00E94FF8">
              <w:rPr>
                <w:sz w:val="16"/>
                <w:szCs w:val="16"/>
                <w:lang w:val="en-US"/>
              </w:rPr>
              <w:t>Pokytis, %</w:t>
            </w:r>
          </w:p>
        </w:tc>
      </w:tr>
      <w:tr w:rsidR="00E94FF8" w:rsidRPr="00E94FF8" w:rsidTr="00E94FF8">
        <w:trPr>
          <w:trHeight w:val="285"/>
          <w:jc w:val="center"/>
        </w:trPr>
        <w:tc>
          <w:tcPr>
            <w:tcW w:w="1420" w:type="dxa"/>
            <w:vMerge/>
            <w:tcBorders>
              <w:top w:val="nil"/>
              <w:left w:val="single" w:sz="4" w:space="0" w:color="auto"/>
              <w:bottom w:val="single" w:sz="4" w:space="0" w:color="000000"/>
              <w:right w:val="single" w:sz="4" w:space="0" w:color="auto"/>
            </w:tcBorders>
            <w:vAlign w:val="center"/>
            <w:hideMark/>
          </w:tcPr>
          <w:p w:rsidR="00E94FF8" w:rsidRPr="00E94FF8" w:rsidRDefault="00E94FF8" w:rsidP="00E94FF8">
            <w:pPr>
              <w:widowControl/>
              <w:ind w:firstLine="0"/>
              <w:jc w:val="left"/>
              <w:rPr>
                <w:sz w:val="16"/>
                <w:szCs w:val="16"/>
                <w:lang w:val="en-US"/>
              </w:rPr>
            </w:pPr>
          </w:p>
        </w:tc>
        <w:tc>
          <w:tcPr>
            <w:tcW w:w="3952" w:type="dxa"/>
            <w:gridSpan w:val="5"/>
            <w:tcBorders>
              <w:top w:val="single" w:sz="4" w:space="0" w:color="auto"/>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center"/>
              <w:rPr>
                <w:sz w:val="16"/>
                <w:szCs w:val="16"/>
                <w:lang w:val="en-US"/>
              </w:rPr>
            </w:pPr>
            <w:r w:rsidRPr="00E94FF8">
              <w:rPr>
                <w:sz w:val="16"/>
                <w:szCs w:val="16"/>
                <w:lang w:val="en-US"/>
              </w:rPr>
              <w:t>Lietuva</w:t>
            </w:r>
          </w:p>
        </w:tc>
        <w:tc>
          <w:tcPr>
            <w:tcW w:w="3715" w:type="dxa"/>
            <w:gridSpan w:val="5"/>
            <w:tcBorders>
              <w:top w:val="single" w:sz="4" w:space="0" w:color="auto"/>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center"/>
              <w:rPr>
                <w:sz w:val="16"/>
                <w:szCs w:val="16"/>
                <w:lang w:val="en-US"/>
              </w:rPr>
            </w:pPr>
            <w:r w:rsidRPr="00E94FF8">
              <w:rPr>
                <w:sz w:val="16"/>
                <w:szCs w:val="16"/>
                <w:lang w:val="en-US"/>
              </w:rPr>
              <w:t>Latvija</w:t>
            </w:r>
          </w:p>
        </w:tc>
        <w:tc>
          <w:tcPr>
            <w:tcW w:w="3498" w:type="dxa"/>
            <w:gridSpan w:val="5"/>
            <w:tcBorders>
              <w:top w:val="single" w:sz="4" w:space="0" w:color="auto"/>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center"/>
              <w:rPr>
                <w:sz w:val="16"/>
                <w:szCs w:val="16"/>
                <w:lang w:val="en-US"/>
              </w:rPr>
            </w:pPr>
            <w:r w:rsidRPr="00E94FF8">
              <w:rPr>
                <w:sz w:val="16"/>
                <w:szCs w:val="16"/>
                <w:lang w:val="en-US"/>
              </w:rPr>
              <w:t>Estija</w:t>
            </w:r>
          </w:p>
        </w:tc>
      </w:tr>
      <w:tr w:rsidR="00E94FF8" w:rsidRPr="00E94FF8" w:rsidTr="00E94FF8">
        <w:trPr>
          <w:trHeight w:val="285"/>
          <w:jc w:val="center"/>
        </w:trPr>
        <w:tc>
          <w:tcPr>
            <w:tcW w:w="1420" w:type="dxa"/>
            <w:vMerge/>
            <w:tcBorders>
              <w:top w:val="nil"/>
              <w:left w:val="single" w:sz="4" w:space="0" w:color="auto"/>
              <w:bottom w:val="single" w:sz="4" w:space="0" w:color="000000"/>
              <w:right w:val="single" w:sz="4" w:space="0" w:color="auto"/>
            </w:tcBorders>
            <w:vAlign w:val="center"/>
            <w:hideMark/>
          </w:tcPr>
          <w:p w:rsidR="00E94FF8" w:rsidRPr="00E94FF8" w:rsidRDefault="00E94FF8" w:rsidP="00E94FF8">
            <w:pPr>
              <w:widowControl/>
              <w:ind w:firstLine="0"/>
              <w:jc w:val="left"/>
              <w:rPr>
                <w:sz w:val="16"/>
                <w:szCs w:val="16"/>
                <w:lang w:val="en-US"/>
              </w:rPr>
            </w:pPr>
          </w:p>
        </w:tc>
        <w:tc>
          <w:tcPr>
            <w:tcW w:w="744"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2008</w:t>
            </w:r>
          </w:p>
        </w:tc>
        <w:tc>
          <w:tcPr>
            <w:tcW w:w="744"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2009</w:t>
            </w:r>
          </w:p>
        </w:tc>
        <w:tc>
          <w:tcPr>
            <w:tcW w:w="744"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2010</w:t>
            </w:r>
          </w:p>
        </w:tc>
        <w:tc>
          <w:tcPr>
            <w:tcW w:w="860"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2011</w:t>
            </w:r>
          </w:p>
        </w:tc>
        <w:tc>
          <w:tcPr>
            <w:tcW w:w="860"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2012</w:t>
            </w:r>
          </w:p>
        </w:tc>
        <w:tc>
          <w:tcPr>
            <w:tcW w:w="743"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2008</w:t>
            </w:r>
          </w:p>
        </w:tc>
        <w:tc>
          <w:tcPr>
            <w:tcW w:w="743"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2009</w:t>
            </w:r>
          </w:p>
        </w:tc>
        <w:tc>
          <w:tcPr>
            <w:tcW w:w="743"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2010</w:t>
            </w:r>
          </w:p>
        </w:tc>
        <w:tc>
          <w:tcPr>
            <w:tcW w:w="743"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2011</w:t>
            </w:r>
          </w:p>
        </w:tc>
        <w:tc>
          <w:tcPr>
            <w:tcW w:w="743"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2012</w:t>
            </w:r>
          </w:p>
        </w:tc>
        <w:tc>
          <w:tcPr>
            <w:tcW w:w="630"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2008</w:t>
            </w:r>
          </w:p>
        </w:tc>
        <w:tc>
          <w:tcPr>
            <w:tcW w:w="655"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2009</w:t>
            </w:r>
          </w:p>
        </w:tc>
        <w:tc>
          <w:tcPr>
            <w:tcW w:w="710"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2010</w:t>
            </w:r>
          </w:p>
        </w:tc>
        <w:tc>
          <w:tcPr>
            <w:tcW w:w="760"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2011</w:t>
            </w:r>
          </w:p>
        </w:tc>
        <w:tc>
          <w:tcPr>
            <w:tcW w:w="743"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2012</w:t>
            </w:r>
          </w:p>
        </w:tc>
      </w:tr>
      <w:tr w:rsidR="00E94FF8" w:rsidRPr="00E94FF8" w:rsidTr="00E94FF8">
        <w:trPr>
          <w:trHeight w:val="285"/>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left"/>
              <w:rPr>
                <w:sz w:val="16"/>
                <w:szCs w:val="16"/>
                <w:lang w:val="en-US"/>
              </w:rPr>
            </w:pPr>
            <w:r w:rsidRPr="00E94FF8">
              <w:rPr>
                <w:sz w:val="16"/>
                <w:szCs w:val="16"/>
                <w:lang w:val="en-US"/>
              </w:rPr>
              <w:t>Nacionaline valiuta</w:t>
            </w:r>
          </w:p>
        </w:tc>
        <w:tc>
          <w:tcPr>
            <w:tcW w:w="744"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left"/>
              <w:rPr>
                <w:sz w:val="16"/>
                <w:szCs w:val="16"/>
                <w:lang w:val="en-US"/>
              </w:rPr>
            </w:pPr>
            <w:r w:rsidRPr="00E94FF8">
              <w:rPr>
                <w:sz w:val="16"/>
                <w:szCs w:val="16"/>
                <w:lang w:val="en-US"/>
              </w:rPr>
              <w:t>-</w:t>
            </w:r>
          </w:p>
        </w:tc>
        <w:tc>
          <w:tcPr>
            <w:tcW w:w="744"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-25,3%</w:t>
            </w:r>
          </w:p>
        </w:tc>
        <w:tc>
          <w:tcPr>
            <w:tcW w:w="744"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91,4%</w:t>
            </w:r>
          </w:p>
        </w:tc>
        <w:tc>
          <w:tcPr>
            <w:tcW w:w="860"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26,5%</w:t>
            </w:r>
          </w:p>
        </w:tc>
        <w:tc>
          <w:tcPr>
            <w:tcW w:w="860"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40,4%</w:t>
            </w:r>
          </w:p>
        </w:tc>
        <w:tc>
          <w:tcPr>
            <w:tcW w:w="743"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left"/>
              <w:rPr>
                <w:sz w:val="16"/>
                <w:szCs w:val="16"/>
                <w:lang w:val="en-US"/>
              </w:rPr>
            </w:pPr>
            <w:r w:rsidRPr="00E94FF8">
              <w:rPr>
                <w:sz w:val="16"/>
                <w:szCs w:val="16"/>
                <w:lang w:val="en-US"/>
              </w:rPr>
              <w:t>-</w:t>
            </w:r>
          </w:p>
        </w:tc>
        <w:tc>
          <w:tcPr>
            <w:tcW w:w="743"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-8,2%</w:t>
            </w:r>
          </w:p>
        </w:tc>
        <w:tc>
          <w:tcPr>
            <w:tcW w:w="743"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-15,4%</w:t>
            </w:r>
          </w:p>
        </w:tc>
        <w:tc>
          <w:tcPr>
            <w:tcW w:w="743"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-3,5%</w:t>
            </w:r>
          </w:p>
        </w:tc>
        <w:tc>
          <w:tcPr>
            <w:tcW w:w="743"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-6,6%</w:t>
            </w:r>
          </w:p>
        </w:tc>
        <w:tc>
          <w:tcPr>
            <w:tcW w:w="630"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left"/>
              <w:rPr>
                <w:sz w:val="16"/>
                <w:szCs w:val="16"/>
                <w:lang w:val="en-US"/>
              </w:rPr>
            </w:pPr>
            <w:r w:rsidRPr="00E94FF8">
              <w:rPr>
                <w:sz w:val="16"/>
                <w:szCs w:val="16"/>
                <w:lang w:val="en-US"/>
              </w:rPr>
              <w:t>-</w:t>
            </w:r>
          </w:p>
        </w:tc>
        <w:tc>
          <w:tcPr>
            <w:tcW w:w="655"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-70,0%</w:t>
            </w:r>
          </w:p>
        </w:tc>
        <w:tc>
          <w:tcPr>
            <w:tcW w:w="710"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180,7%</w:t>
            </w:r>
          </w:p>
        </w:tc>
        <w:tc>
          <w:tcPr>
            <w:tcW w:w="760"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838,9%</w:t>
            </w:r>
          </w:p>
        </w:tc>
        <w:tc>
          <w:tcPr>
            <w:tcW w:w="743"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73,0%</w:t>
            </w:r>
          </w:p>
        </w:tc>
      </w:tr>
      <w:tr w:rsidR="00E94FF8" w:rsidRPr="00E94FF8" w:rsidTr="00E94FF8">
        <w:trPr>
          <w:trHeight w:val="285"/>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left"/>
              <w:rPr>
                <w:sz w:val="16"/>
                <w:szCs w:val="16"/>
                <w:lang w:val="en-US"/>
              </w:rPr>
            </w:pPr>
            <w:r w:rsidRPr="00E94FF8">
              <w:rPr>
                <w:sz w:val="16"/>
                <w:szCs w:val="16"/>
                <w:lang w:val="en-US"/>
              </w:rPr>
              <w:t>Užsienio valiuta</w:t>
            </w:r>
          </w:p>
        </w:tc>
        <w:tc>
          <w:tcPr>
            <w:tcW w:w="744"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left"/>
              <w:rPr>
                <w:sz w:val="16"/>
                <w:szCs w:val="16"/>
                <w:lang w:val="en-US"/>
              </w:rPr>
            </w:pPr>
            <w:r w:rsidRPr="00E94FF8">
              <w:rPr>
                <w:sz w:val="16"/>
                <w:szCs w:val="16"/>
                <w:lang w:val="en-US"/>
              </w:rPr>
              <w:t>-</w:t>
            </w:r>
          </w:p>
        </w:tc>
        <w:tc>
          <w:tcPr>
            <w:tcW w:w="744"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72,5%</w:t>
            </w:r>
          </w:p>
        </w:tc>
        <w:tc>
          <w:tcPr>
            <w:tcW w:w="744"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28,6%</w:t>
            </w:r>
          </w:p>
        </w:tc>
        <w:tc>
          <w:tcPr>
            <w:tcW w:w="860"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11,6%</w:t>
            </w:r>
          </w:p>
        </w:tc>
        <w:tc>
          <w:tcPr>
            <w:tcW w:w="860"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8,0%</w:t>
            </w:r>
          </w:p>
        </w:tc>
        <w:tc>
          <w:tcPr>
            <w:tcW w:w="743"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left"/>
              <w:rPr>
                <w:sz w:val="16"/>
                <w:szCs w:val="16"/>
                <w:lang w:val="en-US"/>
              </w:rPr>
            </w:pPr>
            <w:r w:rsidRPr="00E94FF8">
              <w:rPr>
                <w:sz w:val="16"/>
                <w:szCs w:val="16"/>
                <w:lang w:val="en-US"/>
              </w:rPr>
              <w:t>-</w:t>
            </w:r>
          </w:p>
        </w:tc>
        <w:tc>
          <w:tcPr>
            <w:tcW w:w="743"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92,4%</w:t>
            </w:r>
          </w:p>
        </w:tc>
        <w:tc>
          <w:tcPr>
            <w:tcW w:w="743"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30,1%</w:t>
            </w:r>
          </w:p>
        </w:tc>
        <w:tc>
          <w:tcPr>
            <w:tcW w:w="743"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8,6%</w:t>
            </w:r>
          </w:p>
        </w:tc>
        <w:tc>
          <w:tcPr>
            <w:tcW w:w="743"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8,3%</w:t>
            </w:r>
          </w:p>
        </w:tc>
        <w:tc>
          <w:tcPr>
            <w:tcW w:w="630"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left"/>
              <w:rPr>
                <w:sz w:val="16"/>
                <w:szCs w:val="16"/>
                <w:lang w:val="en-US"/>
              </w:rPr>
            </w:pPr>
            <w:r w:rsidRPr="00E94FF8">
              <w:rPr>
                <w:sz w:val="16"/>
                <w:szCs w:val="16"/>
                <w:lang w:val="en-US"/>
              </w:rPr>
              <w:t>-</w:t>
            </w:r>
          </w:p>
        </w:tc>
        <w:tc>
          <w:tcPr>
            <w:tcW w:w="655"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56,0%</w:t>
            </w:r>
          </w:p>
        </w:tc>
        <w:tc>
          <w:tcPr>
            <w:tcW w:w="710"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-10,8%</w:t>
            </w:r>
          </w:p>
        </w:tc>
        <w:tc>
          <w:tcPr>
            <w:tcW w:w="760"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-100,0%</w:t>
            </w:r>
          </w:p>
        </w:tc>
        <w:tc>
          <w:tcPr>
            <w:tcW w:w="743"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left"/>
              <w:rPr>
                <w:sz w:val="16"/>
                <w:szCs w:val="16"/>
                <w:lang w:val="en-US"/>
              </w:rPr>
            </w:pPr>
            <w:r w:rsidRPr="00E94FF8">
              <w:rPr>
                <w:sz w:val="16"/>
                <w:szCs w:val="16"/>
                <w:lang w:val="en-US"/>
              </w:rPr>
              <w:t>-</w:t>
            </w:r>
          </w:p>
        </w:tc>
      </w:tr>
      <w:tr w:rsidR="00E94FF8" w:rsidRPr="00E94FF8" w:rsidTr="00E94FF8">
        <w:trPr>
          <w:trHeight w:val="285"/>
          <w:jc w:val="center"/>
        </w:trPr>
        <w:tc>
          <w:tcPr>
            <w:tcW w:w="142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E94FF8" w:rsidRPr="00E94FF8" w:rsidRDefault="00E94FF8" w:rsidP="00E94FF8">
            <w:pPr>
              <w:widowControl/>
              <w:ind w:firstLine="0"/>
              <w:jc w:val="center"/>
              <w:rPr>
                <w:sz w:val="16"/>
                <w:szCs w:val="16"/>
                <w:lang w:val="en-US"/>
              </w:rPr>
            </w:pPr>
            <w:r w:rsidRPr="00E94FF8">
              <w:rPr>
                <w:sz w:val="16"/>
                <w:szCs w:val="16"/>
                <w:lang w:val="en-US"/>
              </w:rPr>
              <w:t> </w:t>
            </w:r>
          </w:p>
        </w:tc>
        <w:tc>
          <w:tcPr>
            <w:tcW w:w="11165" w:type="dxa"/>
            <w:gridSpan w:val="15"/>
            <w:tcBorders>
              <w:top w:val="single" w:sz="4" w:space="0" w:color="auto"/>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center"/>
              <w:rPr>
                <w:sz w:val="16"/>
                <w:szCs w:val="16"/>
                <w:lang w:val="en-US"/>
              </w:rPr>
            </w:pPr>
            <w:r w:rsidRPr="00E94FF8">
              <w:rPr>
                <w:sz w:val="16"/>
                <w:szCs w:val="16"/>
                <w:lang w:val="en-US"/>
              </w:rPr>
              <w:t>Struktūra, %</w:t>
            </w:r>
          </w:p>
        </w:tc>
      </w:tr>
      <w:tr w:rsidR="00E94FF8" w:rsidRPr="00E94FF8" w:rsidTr="00E94FF8">
        <w:trPr>
          <w:trHeight w:val="285"/>
          <w:jc w:val="center"/>
        </w:trPr>
        <w:tc>
          <w:tcPr>
            <w:tcW w:w="1420" w:type="dxa"/>
            <w:vMerge/>
            <w:tcBorders>
              <w:top w:val="nil"/>
              <w:left w:val="single" w:sz="4" w:space="0" w:color="auto"/>
              <w:bottom w:val="single" w:sz="4" w:space="0" w:color="000000"/>
              <w:right w:val="single" w:sz="4" w:space="0" w:color="auto"/>
            </w:tcBorders>
            <w:vAlign w:val="center"/>
            <w:hideMark/>
          </w:tcPr>
          <w:p w:rsidR="00E94FF8" w:rsidRPr="00E94FF8" w:rsidRDefault="00E94FF8" w:rsidP="00E94FF8">
            <w:pPr>
              <w:widowControl/>
              <w:ind w:firstLine="0"/>
              <w:jc w:val="left"/>
              <w:rPr>
                <w:sz w:val="16"/>
                <w:szCs w:val="16"/>
                <w:lang w:val="en-US"/>
              </w:rPr>
            </w:pPr>
          </w:p>
        </w:tc>
        <w:tc>
          <w:tcPr>
            <w:tcW w:w="3952" w:type="dxa"/>
            <w:gridSpan w:val="5"/>
            <w:tcBorders>
              <w:top w:val="single" w:sz="4" w:space="0" w:color="auto"/>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center"/>
              <w:rPr>
                <w:sz w:val="16"/>
                <w:szCs w:val="16"/>
                <w:lang w:val="en-US"/>
              </w:rPr>
            </w:pPr>
            <w:r w:rsidRPr="00E94FF8">
              <w:rPr>
                <w:sz w:val="16"/>
                <w:szCs w:val="16"/>
                <w:lang w:val="en-US"/>
              </w:rPr>
              <w:t>Lietuva</w:t>
            </w:r>
          </w:p>
        </w:tc>
        <w:tc>
          <w:tcPr>
            <w:tcW w:w="3715" w:type="dxa"/>
            <w:gridSpan w:val="5"/>
            <w:tcBorders>
              <w:top w:val="single" w:sz="4" w:space="0" w:color="auto"/>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center"/>
              <w:rPr>
                <w:sz w:val="16"/>
                <w:szCs w:val="16"/>
                <w:lang w:val="en-US"/>
              </w:rPr>
            </w:pPr>
            <w:r w:rsidRPr="00E94FF8">
              <w:rPr>
                <w:sz w:val="16"/>
                <w:szCs w:val="16"/>
                <w:lang w:val="en-US"/>
              </w:rPr>
              <w:t>Latvija</w:t>
            </w:r>
          </w:p>
        </w:tc>
        <w:tc>
          <w:tcPr>
            <w:tcW w:w="3498" w:type="dxa"/>
            <w:gridSpan w:val="5"/>
            <w:tcBorders>
              <w:top w:val="single" w:sz="4" w:space="0" w:color="auto"/>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center"/>
              <w:rPr>
                <w:sz w:val="16"/>
                <w:szCs w:val="16"/>
                <w:lang w:val="en-US"/>
              </w:rPr>
            </w:pPr>
            <w:r w:rsidRPr="00E94FF8">
              <w:rPr>
                <w:sz w:val="16"/>
                <w:szCs w:val="16"/>
                <w:lang w:val="en-US"/>
              </w:rPr>
              <w:t>Estija</w:t>
            </w:r>
          </w:p>
        </w:tc>
      </w:tr>
      <w:tr w:rsidR="00E94FF8" w:rsidRPr="00E94FF8" w:rsidTr="00E94FF8">
        <w:trPr>
          <w:trHeight w:val="285"/>
          <w:jc w:val="center"/>
        </w:trPr>
        <w:tc>
          <w:tcPr>
            <w:tcW w:w="1420" w:type="dxa"/>
            <w:vMerge/>
            <w:tcBorders>
              <w:top w:val="nil"/>
              <w:left w:val="single" w:sz="4" w:space="0" w:color="auto"/>
              <w:bottom w:val="single" w:sz="4" w:space="0" w:color="000000"/>
              <w:right w:val="single" w:sz="4" w:space="0" w:color="auto"/>
            </w:tcBorders>
            <w:vAlign w:val="center"/>
            <w:hideMark/>
          </w:tcPr>
          <w:p w:rsidR="00E94FF8" w:rsidRPr="00E94FF8" w:rsidRDefault="00E94FF8" w:rsidP="00E94FF8">
            <w:pPr>
              <w:widowControl/>
              <w:ind w:firstLine="0"/>
              <w:jc w:val="left"/>
              <w:rPr>
                <w:sz w:val="16"/>
                <w:szCs w:val="16"/>
                <w:lang w:val="en-US"/>
              </w:rPr>
            </w:pPr>
          </w:p>
        </w:tc>
        <w:tc>
          <w:tcPr>
            <w:tcW w:w="744"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2008</w:t>
            </w:r>
          </w:p>
        </w:tc>
        <w:tc>
          <w:tcPr>
            <w:tcW w:w="744"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2009</w:t>
            </w:r>
          </w:p>
        </w:tc>
        <w:tc>
          <w:tcPr>
            <w:tcW w:w="744"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2010</w:t>
            </w:r>
          </w:p>
        </w:tc>
        <w:tc>
          <w:tcPr>
            <w:tcW w:w="860"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2011</w:t>
            </w:r>
          </w:p>
        </w:tc>
        <w:tc>
          <w:tcPr>
            <w:tcW w:w="860"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2012</w:t>
            </w:r>
          </w:p>
        </w:tc>
        <w:tc>
          <w:tcPr>
            <w:tcW w:w="743"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2008</w:t>
            </w:r>
          </w:p>
        </w:tc>
        <w:tc>
          <w:tcPr>
            <w:tcW w:w="743"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2009</w:t>
            </w:r>
          </w:p>
        </w:tc>
        <w:tc>
          <w:tcPr>
            <w:tcW w:w="743"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2010</w:t>
            </w:r>
          </w:p>
        </w:tc>
        <w:tc>
          <w:tcPr>
            <w:tcW w:w="743"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2011</w:t>
            </w:r>
          </w:p>
        </w:tc>
        <w:tc>
          <w:tcPr>
            <w:tcW w:w="743"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2012</w:t>
            </w:r>
          </w:p>
        </w:tc>
        <w:tc>
          <w:tcPr>
            <w:tcW w:w="630"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2008</w:t>
            </w:r>
          </w:p>
        </w:tc>
        <w:tc>
          <w:tcPr>
            <w:tcW w:w="655"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2009</w:t>
            </w:r>
          </w:p>
        </w:tc>
        <w:tc>
          <w:tcPr>
            <w:tcW w:w="710"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2010</w:t>
            </w:r>
          </w:p>
        </w:tc>
        <w:tc>
          <w:tcPr>
            <w:tcW w:w="760"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2011</w:t>
            </w:r>
          </w:p>
        </w:tc>
        <w:tc>
          <w:tcPr>
            <w:tcW w:w="743"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2012</w:t>
            </w:r>
          </w:p>
        </w:tc>
      </w:tr>
      <w:tr w:rsidR="00E94FF8" w:rsidRPr="00E94FF8" w:rsidTr="00E94FF8">
        <w:trPr>
          <w:trHeight w:val="285"/>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left"/>
              <w:rPr>
                <w:sz w:val="16"/>
                <w:szCs w:val="16"/>
                <w:lang w:val="en-US"/>
              </w:rPr>
            </w:pPr>
            <w:r w:rsidRPr="00E94FF8">
              <w:rPr>
                <w:sz w:val="16"/>
                <w:szCs w:val="16"/>
                <w:lang w:val="en-US"/>
              </w:rPr>
              <w:t>Nacionaline valiuta</w:t>
            </w:r>
          </w:p>
        </w:tc>
        <w:tc>
          <w:tcPr>
            <w:tcW w:w="744"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17,6%</w:t>
            </w:r>
          </w:p>
        </w:tc>
        <w:tc>
          <w:tcPr>
            <w:tcW w:w="744"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8,5%</w:t>
            </w:r>
          </w:p>
        </w:tc>
        <w:tc>
          <w:tcPr>
            <w:tcW w:w="744"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12,1%</w:t>
            </w:r>
          </w:p>
        </w:tc>
        <w:tc>
          <w:tcPr>
            <w:tcW w:w="860"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13,5%</w:t>
            </w:r>
          </w:p>
        </w:tc>
        <w:tc>
          <w:tcPr>
            <w:tcW w:w="860"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16,9%</w:t>
            </w:r>
          </w:p>
        </w:tc>
        <w:tc>
          <w:tcPr>
            <w:tcW w:w="743"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41,4%</w:t>
            </w:r>
          </w:p>
        </w:tc>
        <w:tc>
          <w:tcPr>
            <w:tcW w:w="743"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25,3%</w:t>
            </w:r>
          </w:p>
        </w:tc>
        <w:tc>
          <w:tcPr>
            <w:tcW w:w="743"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18,0%</w:t>
            </w:r>
          </w:p>
        </w:tc>
        <w:tc>
          <w:tcPr>
            <w:tcW w:w="743"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16,3%</w:t>
            </w:r>
          </w:p>
        </w:tc>
        <w:tc>
          <w:tcPr>
            <w:tcW w:w="743"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14,4%</w:t>
            </w:r>
          </w:p>
        </w:tc>
        <w:tc>
          <w:tcPr>
            <w:tcW w:w="630"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17,1%</w:t>
            </w:r>
          </w:p>
        </w:tc>
        <w:tc>
          <w:tcPr>
            <w:tcW w:w="655"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3,8%</w:t>
            </w:r>
          </w:p>
        </w:tc>
        <w:tc>
          <w:tcPr>
            <w:tcW w:w="710"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11,1%</w:t>
            </w:r>
          </w:p>
        </w:tc>
        <w:tc>
          <w:tcPr>
            <w:tcW w:w="760"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100,0%</w:t>
            </w:r>
          </w:p>
        </w:tc>
        <w:tc>
          <w:tcPr>
            <w:tcW w:w="743"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100,0%</w:t>
            </w:r>
          </w:p>
        </w:tc>
      </w:tr>
      <w:tr w:rsidR="00E94FF8" w:rsidRPr="00E94FF8" w:rsidTr="00E94FF8">
        <w:trPr>
          <w:trHeight w:val="285"/>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left"/>
              <w:rPr>
                <w:sz w:val="16"/>
                <w:szCs w:val="16"/>
                <w:lang w:val="en-US"/>
              </w:rPr>
            </w:pPr>
            <w:r w:rsidRPr="00E94FF8">
              <w:rPr>
                <w:sz w:val="16"/>
                <w:szCs w:val="16"/>
                <w:lang w:val="en-US"/>
              </w:rPr>
              <w:t>Užsienio valiuta</w:t>
            </w:r>
          </w:p>
        </w:tc>
        <w:tc>
          <w:tcPr>
            <w:tcW w:w="744"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82,4%</w:t>
            </w:r>
          </w:p>
        </w:tc>
        <w:tc>
          <w:tcPr>
            <w:tcW w:w="744"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91,5%</w:t>
            </w:r>
          </w:p>
        </w:tc>
        <w:tc>
          <w:tcPr>
            <w:tcW w:w="744"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87,9%</w:t>
            </w:r>
          </w:p>
        </w:tc>
        <w:tc>
          <w:tcPr>
            <w:tcW w:w="860"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86,5%</w:t>
            </w:r>
          </w:p>
        </w:tc>
        <w:tc>
          <w:tcPr>
            <w:tcW w:w="860"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83,1%</w:t>
            </w:r>
          </w:p>
        </w:tc>
        <w:tc>
          <w:tcPr>
            <w:tcW w:w="743"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58,6%</w:t>
            </w:r>
          </w:p>
        </w:tc>
        <w:tc>
          <w:tcPr>
            <w:tcW w:w="743"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74,7%</w:t>
            </w:r>
          </w:p>
        </w:tc>
        <w:tc>
          <w:tcPr>
            <w:tcW w:w="743"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82,0%</w:t>
            </w:r>
          </w:p>
        </w:tc>
        <w:tc>
          <w:tcPr>
            <w:tcW w:w="743"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83,7%</w:t>
            </w:r>
          </w:p>
        </w:tc>
        <w:tc>
          <w:tcPr>
            <w:tcW w:w="743"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85,6%</w:t>
            </w:r>
          </w:p>
        </w:tc>
        <w:tc>
          <w:tcPr>
            <w:tcW w:w="630"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82,9%</w:t>
            </w:r>
          </w:p>
        </w:tc>
        <w:tc>
          <w:tcPr>
            <w:tcW w:w="655"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96,2%</w:t>
            </w:r>
          </w:p>
        </w:tc>
        <w:tc>
          <w:tcPr>
            <w:tcW w:w="710"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88,9%</w:t>
            </w:r>
          </w:p>
        </w:tc>
        <w:tc>
          <w:tcPr>
            <w:tcW w:w="760"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0,0%</w:t>
            </w:r>
          </w:p>
        </w:tc>
        <w:tc>
          <w:tcPr>
            <w:tcW w:w="743" w:type="dxa"/>
            <w:tcBorders>
              <w:top w:val="nil"/>
              <w:left w:val="nil"/>
              <w:bottom w:val="single" w:sz="4" w:space="0" w:color="auto"/>
              <w:right w:val="single" w:sz="4" w:space="0" w:color="auto"/>
            </w:tcBorders>
            <w:shd w:val="clear" w:color="auto" w:fill="auto"/>
            <w:noWrap/>
            <w:vAlign w:val="bottom"/>
            <w:hideMark/>
          </w:tcPr>
          <w:p w:rsidR="00E94FF8" w:rsidRPr="00E94FF8" w:rsidRDefault="00E94FF8" w:rsidP="00E94FF8">
            <w:pPr>
              <w:widowControl/>
              <w:ind w:firstLine="0"/>
              <w:jc w:val="right"/>
              <w:rPr>
                <w:sz w:val="16"/>
                <w:szCs w:val="16"/>
                <w:lang w:val="en-US"/>
              </w:rPr>
            </w:pPr>
            <w:r w:rsidRPr="00E94FF8">
              <w:rPr>
                <w:sz w:val="16"/>
                <w:szCs w:val="16"/>
                <w:lang w:val="en-US"/>
              </w:rPr>
              <w:t>0,0%</w:t>
            </w:r>
          </w:p>
        </w:tc>
      </w:tr>
    </w:tbl>
    <w:p w:rsidR="00E94FF8" w:rsidRDefault="00E94FF8" w:rsidP="00E94FF8">
      <w:pPr>
        <w:tabs>
          <w:tab w:val="left" w:pos="3960"/>
          <w:tab w:val="center" w:pos="6480"/>
          <w:tab w:val="left" w:pos="7470"/>
        </w:tabs>
        <w:ind w:firstLine="0"/>
        <w:jc w:val="left"/>
      </w:pPr>
      <w:r>
        <w:t xml:space="preserve">   </w:t>
      </w:r>
      <w:r w:rsidRPr="00D16932">
        <w:t>Šaltinis: sudaryta pagal Eurostat duomenis ir autorės skaičiavimus</w:t>
      </w:r>
    </w:p>
    <w:p w:rsidR="00DB3CF6" w:rsidRDefault="00DB3CF6" w:rsidP="00E94FF8">
      <w:pPr>
        <w:tabs>
          <w:tab w:val="left" w:pos="3960"/>
          <w:tab w:val="center" w:pos="6480"/>
          <w:tab w:val="left" w:pos="7470"/>
        </w:tabs>
        <w:ind w:firstLine="0"/>
        <w:jc w:val="left"/>
      </w:pPr>
    </w:p>
    <w:p w:rsidR="00DB3CF6" w:rsidRDefault="00DB3CF6" w:rsidP="00E94FF8">
      <w:pPr>
        <w:tabs>
          <w:tab w:val="left" w:pos="3960"/>
          <w:tab w:val="center" w:pos="6480"/>
          <w:tab w:val="left" w:pos="7470"/>
        </w:tabs>
        <w:ind w:firstLine="0"/>
        <w:jc w:val="left"/>
      </w:pPr>
    </w:p>
    <w:p w:rsidR="00DB3CF6" w:rsidRDefault="00DB3CF6" w:rsidP="00E94FF8">
      <w:pPr>
        <w:tabs>
          <w:tab w:val="left" w:pos="3960"/>
          <w:tab w:val="center" w:pos="6480"/>
          <w:tab w:val="left" w:pos="7470"/>
        </w:tabs>
        <w:ind w:firstLine="0"/>
        <w:jc w:val="left"/>
      </w:pPr>
    </w:p>
    <w:p w:rsidR="00DB3CF6" w:rsidRDefault="00DB3CF6" w:rsidP="00E94FF8">
      <w:pPr>
        <w:tabs>
          <w:tab w:val="left" w:pos="3960"/>
          <w:tab w:val="center" w:pos="6480"/>
          <w:tab w:val="left" w:pos="7470"/>
        </w:tabs>
        <w:ind w:firstLine="0"/>
        <w:jc w:val="left"/>
      </w:pPr>
    </w:p>
    <w:p w:rsidR="00DB3CF6" w:rsidRDefault="00DB3CF6" w:rsidP="00E94FF8">
      <w:pPr>
        <w:tabs>
          <w:tab w:val="left" w:pos="3960"/>
          <w:tab w:val="center" w:pos="6480"/>
          <w:tab w:val="left" w:pos="7470"/>
        </w:tabs>
        <w:ind w:firstLine="0"/>
        <w:jc w:val="left"/>
      </w:pPr>
    </w:p>
    <w:p w:rsidR="00DB3CF6" w:rsidRDefault="00DB3CF6" w:rsidP="00E94FF8">
      <w:pPr>
        <w:tabs>
          <w:tab w:val="left" w:pos="3960"/>
          <w:tab w:val="center" w:pos="6480"/>
          <w:tab w:val="left" w:pos="7470"/>
        </w:tabs>
        <w:ind w:firstLine="0"/>
        <w:jc w:val="left"/>
      </w:pPr>
    </w:p>
    <w:p w:rsidR="00DB3CF6" w:rsidRDefault="00DB3CF6" w:rsidP="00E94FF8">
      <w:pPr>
        <w:tabs>
          <w:tab w:val="left" w:pos="3960"/>
          <w:tab w:val="center" w:pos="6480"/>
          <w:tab w:val="left" w:pos="7470"/>
        </w:tabs>
        <w:ind w:firstLine="0"/>
        <w:jc w:val="left"/>
      </w:pPr>
    </w:p>
    <w:p w:rsidR="00DB3CF6" w:rsidRDefault="00DB3CF6" w:rsidP="00E94FF8">
      <w:pPr>
        <w:tabs>
          <w:tab w:val="left" w:pos="3960"/>
          <w:tab w:val="center" w:pos="6480"/>
          <w:tab w:val="left" w:pos="7470"/>
        </w:tabs>
        <w:ind w:firstLine="0"/>
        <w:jc w:val="left"/>
      </w:pPr>
    </w:p>
    <w:p w:rsidR="00DB3CF6" w:rsidRDefault="00DB3CF6" w:rsidP="00E94FF8">
      <w:pPr>
        <w:tabs>
          <w:tab w:val="left" w:pos="3960"/>
          <w:tab w:val="center" w:pos="6480"/>
          <w:tab w:val="left" w:pos="7470"/>
        </w:tabs>
        <w:ind w:firstLine="0"/>
        <w:jc w:val="left"/>
      </w:pPr>
    </w:p>
    <w:p w:rsidR="00DB3CF6" w:rsidRDefault="00DB3CF6" w:rsidP="00E94FF8">
      <w:pPr>
        <w:tabs>
          <w:tab w:val="left" w:pos="3960"/>
          <w:tab w:val="center" w:pos="6480"/>
          <w:tab w:val="left" w:pos="7470"/>
        </w:tabs>
        <w:ind w:firstLine="0"/>
        <w:jc w:val="left"/>
      </w:pPr>
    </w:p>
    <w:p w:rsidR="00DB3CF6" w:rsidRDefault="00DB3CF6" w:rsidP="00E94FF8">
      <w:pPr>
        <w:tabs>
          <w:tab w:val="left" w:pos="3960"/>
          <w:tab w:val="center" w:pos="6480"/>
          <w:tab w:val="left" w:pos="7470"/>
        </w:tabs>
        <w:ind w:firstLine="0"/>
        <w:jc w:val="left"/>
      </w:pPr>
    </w:p>
    <w:p w:rsidR="00DB3CF6" w:rsidRDefault="00DB3CF6" w:rsidP="00E94FF8">
      <w:pPr>
        <w:tabs>
          <w:tab w:val="left" w:pos="3960"/>
          <w:tab w:val="center" w:pos="6480"/>
          <w:tab w:val="left" w:pos="7470"/>
        </w:tabs>
        <w:ind w:firstLine="0"/>
        <w:jc w:val="left"/>
      </w:pPr>
    </w:p>
    <w:p w:rsidR="00DB3CF6" w:rsidRDefault="00DB3CF6" w:rsidP="00E94FF8">
      <w:pPr>
        <w:tabs>
          <w:tab w:val="left" w:pos="3960"/>
          <w:tab w:val="center" w:pos="6480"/>
          <w:tab w:val="left" w:pos="7470"/>
        </w:tabs>
        <w:ind w:firstLine="0"/>
        <w:jc w:val="left"/>
      </w:pPr>
    </w:p>
    <w:p w:rsidR="00DB3CF6" w:rsidRDefault="00DB3CF6" w:rsidP="00E94FF8">
      <w:pPr>
        <w:tabs>
          <w:tab w:val="left" w:pos="3960"/>
          <w:tab w:val="center" w:pos="6480"/>
          <w:tab w:val="left" w:pos="7470"/>
        </w:tabs>
        <w:ind w:firstLine="0"/>
        <w:jc w:val="left"/>
      </w:pPr>
    </w:p>
    <w:p w:rsidR="00DB3CF6" w:rsidRDefault="00DB3CF6" w:rsidP="00DB3CF6">
      <w:pPr>
        <w:tabs>
          <w:tab w:val="left" w:pos="1170"/>
          <w:tab w:val="left" w:pos="7470"/>
        </w:tabs>
        <w:jc w:val="center"/>
        <w:rPr>
          <w:sz w:val="24"/>
          <w:szCs w:val="24"/>
        </w:rPr>
      </w:pPr>
      <w:r w:rsidRPr="00E94FF8">
        <w:rPr>
          <w:sz w:val="24"/>
          <w:szCs w:val="24"/>
        </w:rPr>
        <w:t>5 lentelė. Latvijos ir Lietuvos valstybės skolos struktūra pagal rinką</w:t>
      </w:r>
    </w:p>
    <w:p w:rsidR="00DB3CF6" w:rsidRDefault="00DB3CF6" w:rsidP="00DB3CF6">
      <w:pPr>
        <w:tabs>
          <w:tab w:val="left" w:pos="1170"/>
          <w:tab w:val="left" w:pos="7470"/>
        </w:tabs>
        <w:jc w:val="center"/>
        <w:rPr>
          <w:sz w:val="24"/>
          <w:szCs w:val="24"/>
        </w:rPr>
      </w:pPr>
    </w:p>
    <w:tbl>
      <w:tblPr>
        <w:tblW w:w="12922" w:type="dxa"/>
        <w:jc w:val="center"/>
        <w:tblInd w:w="103" w:type="dxa"/>
        <w:tblLook w:val="04A0"/>
      </w:tblPr>
      <w:tblGrid>
        <w:gridCol w:w="1220"/>
        <w:gridCol w:w="756"/>
        <w:gridCol w:w="755"/>
        <w:gridCol w:w="755"/>
        <w:gridCol w:w="755"/>
        <w:gridCol w:w="879"/>
        <w:gridCol w:w="776"/>
        <w:gridCol w:w="798"/>
        <w:gridCol w:w="776"/>
        <w:gridCol w:w="776"/>
        <w:gridCol w:w="776"/>
        <w:gridCol w:w="734"/>
        <w:gridCol w:w="734"/>
        <w:gridCol w:w="826"/>
        <w:gridCol w:w="734"/>
        <w:gridCol w:w="872"/>
      </w:tblGrid>
      <w:tr w:rsidR="00DB3CF6" w:rsidRPr="00E94FF8" w:rsidTr="00553F5A">
        <w:trPr>
          <w:trHeight w:val="255"/>
          <w:jc w:val="center"/>
        </w:trPr>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left"/>
              <w:rPr>
                <w:sz w:val="16"/>
                <w:szCs w:val="16"/>
                <w:lang w:val="en-US"/>
              </w:rPr>
            </w:pPr>
            <w:r w:rsidRPr="00E94FF8">
              <w:rPr>
                <w:sz w:val="16"/>
                <w:szCs w:val="16"/>
                <w:lang w:val="en-US"/>
              </w:rPr>
              <w:t> </w:t>
            </w:r>
          </w:p>
        </w:tc>
        <w:tc>
          <w:tcPr>
            <w:tcW w:w="3900" w:type="dxa"/>
            <w:gridSpan w:val="5"/>
            <w:tcBorders>
              <w:top w:val="single" w:sz="4" w:space="0" w:color="auto"/>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center"/>
              <w:rPr>
                <w:sz w:val="16"/>
                <w:szCs w:val="16"/>
                <w:lang w:val="en-US"/>
              </w:rPr>
            </w:pPr>
            <w:r w:rsidRPr="00E94FF8">
              <w:rPr>
                <w:sz w:val="16"/>
                <w:szCs w:val="16"/>
                <w:lang w:val="en-US"/>
              </w:rPr>
              <w:t>Lietuva</w:t>
            </w:r>
          </w:p>
        </w:tc>
        <w:tc>
          <w:tcPr>
            <w:tcW w:w="3902" w:type="dxa"/>
            <w:gridSpan w:val="5"/>
            <w:tcBorders>
              <w:top w:val="single" w:sz="4" w:space="0" w:color="auto"/>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center"/>
              <w:rPr>
                <w:sz w:val="16"/>
                <w:szCs w:val="16"/>
                <w:lang w:val="en-US"/>
              </w:rPr>
            </w:pPr>
            <w:r w:rsidRPr="00E94FF8">
              <w:rPr>
                <w:sz w:val="16"/>
                <w:szCs w:val="16"/>
                <w:lang w:val="en-US"/>
              </w:rPr>
              <w:t>Latvija</w:t>
            </w:r>
          </w:p>
        </w:tc>
        <w:tc>
          <w:tcPr>
            <w:tcW w:w="3900" w:type="dxa"/>
            <w:gridSpan w:val="5"/>
            <w:tcBorders>
              <w:top w:val="single" w:sz="4" w:space="0" w:color="auto"/>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center"/>
              <w:rPr>
                <w:lang w:val="en-US"/>
              </w:rPr>
            </w:pPr>
            <w:r w:rsidRPr="00E94FF8">
              <w:rPr>
                <w:lang w:val="en-US"/>
              </w:rPr>
              <w:t>Estija</w:t>
            </w:r>
          </w:p>
        </w:tc>
      </w:tr>
      <w:tr w:rsidR="00DB3CF6" w:rsidRPr="00E94FF8" w:rsidTr="00553F5A">
        <w:trPr>
          <w:trHeight w:val="255"/>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left"/>
              <w:rPr>
                <w:sz w:val="16"/>
                <w:szCs w:val="16"/>
                <w:lang w:val="en-US"/>
              </w:rPr>
            </w:pPr>
            <w:r w:rsidRPr="00E94FF8">
              <w:rPr>
                <w:sz w:val="16"/>
                <w:szCs w:val="16"/>
                <w:lang w:val="en-US"/>
              </w:rPr>
              <w:t> </w:t>
            </w:r>
          </w:p>
        </w:tc>
        <w:tc>
          <w:tcPr>
            <w:tcW w:w="11702" w:type="dxa"/>
            <w:gridSpan w:val="15"/>
            <w:tcBorders>
              <w:top w:val="single" w:sz="4" w:space="0" w:color="auto"/>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center"/>
              <w:rPr>
                <w:sz w:val="16"/>
                <w:szCs w:val="16"/>
                <w:lang w:val="en-US"/>
              </w:rPr>
            </w:pPr>
            <w:r w:rsidRPr="00E94FF8">
              <w:rPr>
                <w:sz w:val="16"/>
                <w:szCs w:val="16"/>
                <w:lang w:val="en-US"/>
              </w:rPr>
              <w:t>mln. Eur.</w:t>
            </w:r>
          </w:p>
        </w:tc>
      </w:tr>
      <w:tr w:rsidR="00DB3CF6" w:rsidRPr="00E94FF8" w:rsidTr="00553F5A">
        <w:trPr>
          <w:trHeight w:val="255"/>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left"/>
              <w:rPr>
                <w:sz w:val="16"/>
                <w:szCs w:val="16"/>
                <w:lang w:val="en-US"/>
              </w:rPr>
            </w:pPr>
            <w:r w:rsidRPr="00E94FF8">
              <w:rPr>
                <w:sz w:val="16"/>
                <w:szCs w:val="16"/>
                <w:lang w:val="en-US"/>
              </w:rPr>
              <w:t> </w:t>
            </w:r>
          </w:p>
        </w:tc>
        <w:tc>
          <w:tcPr>
            <w:tcW w:w="756"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2008</w:t>
            </w:r>
          </w:p>
        </w:tc>
        <w:tc>
          <w:tcPr>
            <w:tcW w:w="755"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2009</w:t>
            </w:r>
          </w:p>
        </w:tc>
        <w:tc>
          <w:tcPr>
            <w:tcW w:w="755"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2010</w:t>
            </w:r>
          </w:p>
        </w:tc>
        <w:tc>
          <w:tcPr>
            <w:tcW w:w="755"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2011</w:t>
            </w:r>
          </w:p>
        </w:tc>
        <w:tc>
          <w:tcPr>
            <w:tcW w:w="879"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2012</w:t>
            </w:r>
          </w:p>
        </w:tc>
        <w:tc>
          <w:tcPr>
            <w:tcW w:w="776"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2008</w:t>
            </w:r>
          </w:p>
        </w:tc>
        <w:tc>
          <w:tcPr>
            <w:tcW w:w="798"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2009</w:t>
            </w:r>
          </w:p>
        </w:tc>
        <w:tc>
          <w:tcPr>
            <w:tcW w:w="776"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2010</w:t>
            </w:r>
          </w:p>
        </w:tc>
        <w:tc>
          <w:tcPr>
            <w:tcW w:w="776"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2011</w:t>
            </w:r>
          </w:p>
        </w:tc>
        <w:tc>
          <w:tcPr>
            <w:tcW w:w="776"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2012</w:t>
            </w:r>
          </w:p>
        </w:tc>
        <w:tc>
          <w:tcPr>
            <w:tcW w:w="734"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2008</w:t>
            </w:r>
          </w:p>
        </w:tc>
        <w:tc>
          <w:tcPr>
            <w:tcW w:w="734"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2009</w:t>
            </w:r>
          </w:p>
        </w:tc>
        <w:tc>
          <w:tcPr>
            <w:tcW w:w="826"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2010</w:t>
            </w:r>
          </w:p>
        </w:tc>
        <w:tc>
          <w:tcPr>
            <w:tcW w:w="734"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2011</w:t>
            </w:r>
          </w:p>
        </w:tc>
        <w:tc>
          <w:tcPr>
            <w:tcW w:w="872"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2012</w:t>
            </w:r>
          </w:p>
        </w:tc>
      </w:tr>
      <w:tr w:rsidR="00DB3CF6" w:rsidRPr="00E94FF8" w:rsidTr="00553F5A">
        <w:trPr>
          <w:trHeight w:val="255"/>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left"/>
              <w:rPr>
                <w:sz w:val="16"/>
                <w:szCs w:val="16"/>
                <w:lang w:val="en-US"/>
              </w:rPr>
            </w:pPr>
            <w:r w:rsidRPr="00E94FF8">
              <w:rPr>
                <w:sz w:val="16"/>
                <w:szCs w:val="16"/>
                <w:lang w:val="en-US"/>
              </w:rPr>
              <w:t>Vidaus skola</w:t>
            </w:r>
          </w:p>
        </w:tc>
        <w:tc>
          <w:tcPr>
            <w:tcW w:w="756"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1.799,6</w:t>
            </w:r>
          </w:p>
        </w:tc>
        <w:tc>
          <w:tcPr>
            <w:tcW w:w="755"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2.335,1</w:t>
            </w:r>
          </w:p>
        </w:tc>
        <w:tc>
          <w:tcPr>
            <w:tcW w:w="755"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2.801,1</w:t>
            </w:r>
          </w:p>
        </w:tc>
        <w:tc>
          <w:tcPr>
            <w:tcW w:w="755"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3.182,3</w:t>
            </w:r>
          </w:p>
        </w:tc>
        <w:tc>
          <w:tcPr>
            <w:tcW w:w="879"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3.287,8</w:t>
            </w:r>
          </w:p>
        </w:tc>
        <w:tc>
          <w:tcPr>
            <w:tcW w:w="776"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2.338,8</w:t>
            </w:r>
          </w:p>
        </w:tc>
        <w:tc>
          <w:tcPr>
            <w:tcW w:w="798"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1.564,9</w:t>
            </w:r>
          </w:p>
        </w:tc>
        <w:tc>
          <w:tcPr>
            <w:tcW w:w="776"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1.281,6</w:t>
            </w:r>
          </w:p>
        </w:tc>
        <w:tc>
          <w:tcPr>
            <w:tcW w:w="776"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1.195,7</w:t>
            </w:r>
          </w:p>
        </w:tc>
        <w:tc>
          <w:tcPr>
            <w:tcW w:w="776"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1.085,1</w:t>
            </w:r>
          </w:p>
        </w:tc>
        <w:tc>
          <w:tcPr>
            <w:tcW w:w="734"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469,1</w:t>
            </w:r>
          </w:p>
        </w:tc>
        <w:tc>
          <w:tcPr>
            <w:tcW w:w="734"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533,0</w:t>
            </w:r>
          </w:p>
        </w:tc>
        <w:tc>
          <w:tcPr>
            <w:tcW w:w="826"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596,2</w:t>
            </w:r>
          </w:p>
        </w:tc>
        <w:tc>
          <w:tcPr>
            <w:tcW w:w="734"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603,8</w:t>
            </w:r>
          </w:p>
        </w:tc>
        <w:tc>
          <w:tcPr>
            <w:tcW w:w="872"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617,7</w:t>
            </w:r>
          </w:p>
        </w:tc>
      </w:tr>
      <w:tr w:rsidR="00DB3CF6" w:rsidRPr="00E94FF8" w:rsidTr="00553F5A">
        <w:trPr>
          <w:trHeight w:val="255"/>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left"/>
              <w:rPr>
                <w:sz w:val="16"/>
                <w:szCs w:val="16"/>
                <w:lang w:val="en-US"/>
              </w:rPr>
            </w:pPr>
            <w:r w:rsidRPr="00E94FF8">
              <w:rPr>
                <w:sz w:val="16"/>
                <w:szCs w:val="16"/>
                <w:lang w:val="en-US"/>
              </w:rPr>
              <w:t>Užsienio skola</w:t>
            </w:r>
          </w:p>
        </w:tc>
        <w:tc>
          <w:tcPr>
            <w:tcW w:w="756"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3.232,5</w:t>
            </w:r>
          </w:p>
        </w:tc>
        <w:tc>
          <w:tcPr>
            <w:tcW w:w="755"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5.515,4</w:t>
            </w:r>
          </w:p>
        </w:tc>
        <w:tc>
          <w:tcPr>
            <w:tcW w:w="755"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7.799,5</w:t>
            </w:r>
          </w:p>
        </w:tc>
        <w:tc>
          <w:tcPr>
            <w:tcW w:w="755"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8.951,9</w:t>
            </w:r>
          </w:p>
        </w:tc>
        <w:tc>
          <w:tcPr>
            <w:tcW w:w="879"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10.201,8</w:t>
            </w:r>
          </w:p>
        </w:tc>
        <w:tc>
          <w:tcPr>
            <w:tcW w:w="776"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2.158,8</w:t>
            </w:r>
          </w:p>
        </w:tc>
        <w:tc>
          <w:tcPr>
            <w:tcW w:w="798"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5.239,1</w:t>
            </w:r>
          </w:p>
        </w:tc>
        <w:tc>
          <w:tcPr>
            <w:tcW w:w="776"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6.728,1</w:t>
            </w:r>
          </w:p>
        </w:tc>
        <w:tc>
          <w:tcPr>
            <w:tcW w:w="776"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7.345,2</w:t>
            </w:r>
          </w:p>
        </w:tc>
        <w:tc>
          <w:tcPr>
            <w:tcW w:w="776"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7.957,7</w:t>
            </w:r>
          </w:p>
        </w:tc>
        <w:tc>
          <w:tcPr>
            <w:tcW w:w="734"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272,1</w:t>
            </w:r>
          </w:p>
        </w:tc>
        <w:tc>
          <w:tcPr>
            <w:tcW w:w="734"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458,0</w:t>
            </w:r>
          </w:p>
        </w:tc>
        <w:tc>
          <w:tcPr>
            <w:tcW w:w="826"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360,5</w:t>
            </w:r>
          </w:p>
        </w:tc>
        <w:tc>
          <w:tcPr>
            <w:tcW w:w="734"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392,5</w:t>
            </w:r>
          </w:p>
        </w:tc>
        <w:tc>
          <w:tcPr>
            <w:tcW w:w="872"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1.105,8</w:t>
            </w:r>
          </w:p>
        </w:tc>
      </w:tr>
      <w:tr w:rsidR="00DB3CF6" w:rsidRPr="00E94FF8" w:rsidTr="00553F5A">
        <w:trPr>
          <w:trHeight w:val="255"/>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left"/>
              <w:rPr>
                <w:sz w:val="16"/>
                <w:szCs w:val="16"/>
                <w:lang w:val="en-US"/>
              </w:rPr>
            </w:pPr>
            <w:r w:rsidRPr="00E94FF8">
              <w:rPr>
                <w:sz w:val="16"/>
                <w:szCs w:val="16"/>
                <w:lang w:val="en-US"/>
              </w:rPr>
              <w:t> </w:t>
            </w:r>
          </w:p>
        </w:tc>
        <w:tc>
          <w:tcPr>
            <w:tcW w:w="11702" w:type="dxa"/>
            <w:gridSpan w:val="15"/>
            <w:tcBorders>
              <w:top w:val="single" w:sz="4" w:space="0" w:color="auto"/>
              <w:left w:val="nil"/>
              <w:bottom w:val="single" w:sz="4" w:space="0" w:color="auto"/>
              <w:right w:val="single" w:sz="4" w:space="0" w:color="000000"/>
            </w:tcBorders>
            <w:shd w:val="clear" w:color="auto" w:fill="auto"/>
            <w:noWrap/>
            <w:vAlign w:val="bottom"/>
            <w:hideMark/>
          </w:tcPr>
          <w:p w:rsidR="00DB3CF6" w:rsidRPr="00E94FF8" w:rsidRDefault="00DB3CF6" w:rsidP="00553F5A">
            <w:pPr>
              <w:widowControl/>
              <w:ind w:firstLine="0"/>
              <w:jc w:val="center"/>
              <w:rPr>
                <w:sz w:val="16"/>
                <w:szCs w:val="16"/>
                <w:lang w:val="en-US"/>
              </w:rPr>
            </w:pPr>
            <w:r w:rsidRPr="00E94FF8">
              <w:rPr>
                <w:sz w:val="16"/>
                <w:szCs w:val="16"/>
                <w:lang w:val="en-US"/>
              </w:rPr>
              <w:t>Pokytis, %</w:t>
            </w:r>
          </w:p>
        </w:tc>
      </w:tr>
      <w:tr w:rsidR="00DB3CF6" w:rsidRPr="00E94FF8" w:rsidTr="00553F5A">
        <w:trPr>
          <w:trHeight w:val="255"/>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left"/>
              <w:rPr>
                <w:sz w:val="16"/>
                <w:szCs w:val="16"/>
                <w:lang w:val="en-US"/>
              </w:rPr>
            </w:pPr>
            <w:r w:rsidRPr="00E94FF8">
              <w:rPr>
                <w:sz w:val="16"/>
                <w:szCs w:val="16"/>
                <w:lang w:val="en-US"/>
              </w:rPr>
              <w:t>Vidaus skola</w:t>
            </w:r>
          </w:p>
        </w:tc>
        <w:tc>
          <w:tcPr>
            <w:tcW w:w="756"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left"/>
              <w:rPr>
                <w:sz w:val="16"/>
                <w:szCs w:val="16"/>
                <w:lang w:val="en-US"/>
              </w:rPr>
            </w:pPr>
            <w:r w:rsidRPr="00E94FF8">
              <w:rPr>
                <w:sz w:val="16"/>
                <w:szCs w:val="16"/>
                <w:lang w:val="en-US"/>
              </w:rPr>
              <w:t> </w:t>
            </w:r>
          </w:p>
        </w:tc>
        <w:tc>
          <w:tcPr>
            <w:tcW w:w="755"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29,8%</w:t>
            </w:r>
          </w:p>
        </w:tc>
        <w:tc>
          <w:tcPr>
            <w:tcW w:w="755"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20,0%</w:t>
            </w:r>
          </w:p>
        </w:tc>
        <w:tc>
          <w:tcPr>
            <w:tcW w:w="755"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13,6%</w:t>
            </w:r>
          </w:p>
        </w:tc>
        <w:tc>
          <w:tcPr>
            <w:tcW w:w="879"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3,3%</w:t>
            </w:r>
          </w:p>
        </w:tc>
        <w:tc>
          <w:tcPr>
            <w:tcW w:w="776"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left"/>
              <w:rPr>
                <w:sz w:val="16"/>
                <w:szCs w:val="16"/>
                <w:lang w:val="en-US"/>
              </w:rPr>
            </w:pPr>
            <w:r w:rsidRPr="00E94FF8">
              <w:rPr>
                <w:sz w:val="16"/>
                <w:szCs w:val="16"/>
                <w:lang w:val="en-US"/>
              </w:rPr>
              <w:t> </w:t>
            </w:r>
          </w:p>
        </w:tc>
        <w:tc>
          <w:tcPr>
            <w:tcW w:w="798"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-33,1%</w:t>
            </w:r>
          </w:p>
        </w:tc>
        <w:tc>
          <w:tcPr>
            <w:tcW w:w="776"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-18,1%</w:t>
            </w:r>
          </w:p>
        </w:tc>
        <w:tc>
          <w:tcPr>
            <w:tcW w:w="776"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-6,7%</w:t>
            </w:r>
          </w:p>
        </w:tc>
        <w:tc>
          <w:tcPr>
            <w:tcW w:w="776"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-9,2%</w:t>
            </w:r>
          </w:p>
        </w:tc>
        <w:tc>
          <w:tcPr>
            <w:tcW w:w="734"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left"/>
              <w:rPr>
                <w:sz w:val="16"/>
                <w:szCs w:val="16"/>
                <w:lang w:val="en-US"/>
              </w:rPr>
            </w:pPr>
            <w:r w:rsidRPr="00E94FF8">
              <w:rPr>
                <w:sz w:val="16"/>
                <w:szCs w:val="16"/>
                <w:lang w:val="en-US"/>
              </w:rPr>
              <w:t> </w:t>
            </w:r>
          </w:p>
        </w:tc>
        <w:tc>
          <w:tcPr>
            <w:tcW w:w="734"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13,6%</w:t>
            </w:r>
          </w:p>
        </w:tc>
        <w:tc>
          <w:tcPr>
            <w:tcW w:w="826"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11,9%</w:t>
            </w:r>
          </w:p>
        </w:tc>
        <w:tc>
          <w:tcPr>
            <w:tcW w:w="734"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1,3%</w:t>
            </w:r>
          </w:p>
        </w:tc>
        <w:tc>
          <w:tcPr>
            <w:tcW w:w="872"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2,3%</w:t>
            </w:r>
          </w:p>
        </w:tc>
      </w:tr>
      <w:tr w:rsidR="00DB3CF6" w:rsidRPr="00E94FF8" w:rsidTr="00553F5A">
        <w:trPr>
          <w:trHeight w:val="255"/>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left"/>
              <w:rPr>
                <w:sz w:val="16"/>
                <w:szCs w:val="16"/>
                <w:lang w:val="en-US"/>
              </w:rPr>
            </w:pPr>
            <w:r w:rsidRPr="00E94FF8">
              <w:rPr>
                <w:sz w:val="16"/>
                <w:szCs w:val="16"/>
                <w:lang w:val="en-US"/>
              </w:rPr>
              <w:t>Užsienio skola</w:t>
            </w:r>
          </w:p>
        </w:tc>
        <w:tc>
          <w:tcPr>
            <w:tcW w:w="756"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left"/>
              <w:rPr>
                <w:sz w:val="16"/>
                <w:szCs w:val="16"/>
                <w:lang w:val="en-US"/>
              </w:rPr>
            </w:pPr>
            <w:r w:rsidRPr="00E94FF8">
              <w:rPr>
                <w:sz w:val="16"/>
                <w:szCs w:val="16"/>
                <w:lang w:val="en-US"/>
              </w:rPr>
              <w:t> </w:t>
            </w:r>
          </w:p>
        </w:tc>
        <w:tc>
          <w:tcPr>
            <w:tcW w:w="755"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70,6%</w:t>
            </w:r>
          </w:p>
        </w:tc>
        <w:tc>
          <w:tcPr>
            <w:tcW w:w="755"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41,4%</w:t>
            </w:r>
          </w:p>
        </w:tc>
        <w:tc>
          <w:tcPr>
            <w:tcW w:w="755"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14,8%</w:t>
            </w:r>
          </w:p>
        </w:tc>
        <w:tc>
          <w:tcPr>
            <w:tcW w:w="879"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14,0%</w:t>
            </w:r>
          </w:p>
        </w:tc>
        <w:tc>
          <w:tcPr>
            <w:tcW w:w="776"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left"/>
              <w:rPr>
                <w:sz w:val="16"/>
                <w:szCs w:val="16"/>
                <w:lang w:val="en-US"/>
              </w:rPr>
            </w:pPr>
            <w:r w:rsidRPr="00E94FF8">
              <w:rPr>
                <w:sz w:val="16"/>
                <w:szCs w:val="16"/>
                <w:lang w:val="en-US"/>
              </w:rPr>
              <w:t> </w:t>
            </w:r>
          </w:p>
        </w:tc>
        <w:tc>
          <w:tcPr>
            <w:tcW w:w="798"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142,7%</w:t>
            </w:r>
          </w:p>
        </w:tc>
        <w:tc>
          <w:tcPr>
            <w:tcW w:w="776"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28,4%</w:t>
            </w:r>
          </w:p>
        </w:tc>
        <w:tc>
          <w:tcPr>
            <w:tcW w:w="776"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9,2%</w:t>
            </w:r>
          </w:p>
        </w:tc>
        <w:tc>
          <w:tcPr>
            <w:tcW w:w="776"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8,3%</w:t>
            </w:r>
          </w:p>
        </w:tc>
        <w:tc>
          <w:tcPr>
            <w:tcW w:w="734"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left"/>
              <w:rPr>
                <w:sz w:val="16"/>
                <w:szCs w:val="16"/>
                <w:lang w:val="en-US"/>
              </w:rPr>
            </w:pPr>
            <w:r w:rsidRPr="00E94FF8">
              <w:rPr>
                <w:sz w:val="16"/>
                <w:szCs w:val="16"/>
                <w:lang w:val="en-US"/>
              </w:rPr>
              <w:t> </w:t>
            </w:r>
          </w:p>
        </w:tc>
        <w:tc>
          <w:tcPr>
            <w:tcW w:w="734"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68,3%</w:t>
            </w:r>
          </w:p>
        </w:tc>
        <w:tc>
          <w:tcPr>
            <w:tcW w:w="826"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-21,3%</w:t>
            </w:r>
          </w:p>
        </w:tc>
        <w:tc>
          <w:tcPr>
            <w:tcW w:w="734"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8,9%</w:t>
            </w:r>
          </w:p>
        </w:tc>
        <w:tc>
          <w:tcPr>
            <w:tcW w:w="872"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181,7%</w:t>
            </w:r>
          </w:p>
        </w:tc>
      </w:tr>
      <w:tr w:rsidR="00DB3CF6" w:rsidRPr="00E94FF8" w:rsidTr="00553F5A">
        <w:trPr>
          <w:trHeight w:val="255"/>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left"/>
              <w:rPr>
                <w:sz w:val="16"/>
                <w:szCs w:val="16"/>
                <w:lang w:val="en-US"/>
              </w:rPr>
            </w:pPr>
            <w:r w:rsidRPr="00E94FF8">
              <w:rPr>
                <w:sz w:val="16"/>
                <w:szCs w:val="16"/>
                <w:lang w:val="en-US"/>
              </w:rPr>
              <w:t> </w:t>
            </w:r>
          </w:p>
        </w:tc>
        <w:tc>
          <w:tcPr>
            <w:tcW w:w="11702" w:type="dxa"/>
            <w:gridSpan w:val="15"/>
            <w:tcBorders>
              <w:top w:val="single" w:sz="4" w:space="0" w:color="auto"/>
              <w:left w:val="nil"/>
              <w:bottom w:val="single" w:sz="4" w:space="0" w:color="auto"/>
              <w:right w:val="single" w:sz="4" w:space="0" w:color="000000"/>
            </w:tcBorders>
            <w:shd w:val="clear" w:color="auto" w:fill="auto"/>
            <w:noWrap/>
            <w:vAlign w:val="bottom"/>
            <w:hideMark/>
          </w:tcPr>
          <w:p w:rsidR="00DB3CF6" w:rsidRPr="00E94FF8" w:rsidRDefault="00DB3CF6" w:rsidP="00553F5A">
            <w:pPr>
              <w:widowControl/>
              <w:ind w:firstLine="0"/>
              <w:jc w:val="center"/>
              <w:rPr>
                <w:sz w:val="16"/>
                <w:szCs w:val="16"/>
                <w:lang w:val="en-US"/>
              </w:rPr>
            </w:pPr>
            <w:r w:rsidRPr="00E94FF8">
              <w:rPr>
                <w:sz w:val="16"/>
                <w:szCs w:val="16"/>
                <w:lang w:val="en-US"/>
              </w:rPr>
              <w:t>Struktūra, %</w:t>
            </w:r>
          </w:p>
        </w:tc>
      </w:tr>
      <w:tr w:rsidR="00DB3CF6" w:rsidRPr="00E94FF8" w:rsidTr="00553F5A">
        <w:trPr>
          <w:trHeight w:val="255"/>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left"/>
              <w:rPr>
                <w:sz w:val="16"/>
                <w:szCs w:val="16"/>
                <w:lang w:val="en-US"/>
              </w:rPr>
            </w:pPr>
            <w:r w:rsidRPr="00E94FF8">
              <w:rPr>
                <w:sz w:val="16"/>
                <w:szCs w:val="16"/>
                <w:lang w:val="en-US"/>
              </w:rPr>
              <w:t>Vidaus skola</w:t>
            </w:r>
          </w:p>
        </w:tc>
        <w:tc>
          <w:tcPr>
            <w:tcW w:w="756"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35,8%</w:t>
            </w:r>
          </w:p>
        </w:tc>
        <w:tc>
          <w:tcPr>
            <w:tcW w:w="755"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29,7%</w:t>
            </w:r>
          </w:p>
        </w:tc>
        <w:tc>
          <w:tcPr>
            <w:tcW w:w="755"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26,4%</w:t>
            </w:r>
          </w:p>
        </w:tc>
        <w:tc>
          <w:tcPr>
            <w:tcW w:w="755"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26,2%</w:t>
            </w:r>
          </w:p>
        </w:tc>
        <w:tc>
          <w:tcPr>
            <w:tcW w:w="879"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24,4%</w:t>
            </w:r>
          </w:p>
        </w:tc>
        <w:tc>
          <w:tcPr>
            <w:tcW w:w="776"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52,0%</w:t>
            </w:r>
          </w:p>
        </w:tc>
        <w:tc>
          <w:tcPr>
            <w:tcW w:w="798"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23,0%</w:t>
            </w:r>
          </w:p>
        </w:tc>
        <w:tc>
          <w:tcPr>
            <w:tcW w:w="776"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16,0%</w:t>
            </w:r>
          </w:p>
        </w:tc>
        <w:tc>
          <w:tcPr>
            <w:tcW w:w="776"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14,0%</w:t>
            </w:r>
          </w:p>
        </w:tc>
        <w:tc>
          <w:tcPr>
            <w:tcW w:w="776"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12,0%</w:t>
            </w:r>
          </w:p>
        </w:tc>
        <w:tc>
          <w:tcPr>
            <w:tcW w:w="734"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63,3%</w:t>
            </w:r>
          </w:p>
        </w:tc>
        <w:tc>
          <w:tcPr>
            <w:tcW w:w="734"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53,8%</w:t>
            </w:r>
          </w:p>
        </w:tc>
        <w:tc>
          <w:tcPr>
            <w:tcW w:w="826"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62,3%</w:t>
            </w:r>
          </w:p>
        </w:tc>
        <w:tc>
          <w:tcPr>
            <w:tcW w:w="734"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60,6%</w:t>
            </w:r>
          </w:p>
        </w:tc>
        <w:tc>
          <w:tcPr>
            <w:tcW w:w="872"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35,8%</w:t>
            </w:r>
          </w:p>
        </w:tc>
      </w:tr>
      <w:tr w:rsidR="00DB3CF6" w:rsidRPr="00E94FF8" w:rsidTr="00553F5A">
        <w:trPr>
          <w:trHeight w:val="255"/>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left"/>
              <w:rPr>
                <w:sz w:val="16"/>
                <w:szCs w:val="16"/>
                <w:lang w:val="en-US"/>
              </w:rPr>
            </w:pPr>
            <w:r w:rsidRPr="00E94FF8">
              <w:rPr>
                <w:sz w:val="16"/>
                <w:szCs w:val="16"/>
                <w:lang w:val="en-US"/>
              </w:rPr>
              <w:t>Užsienio skola</w:t>
            </w:r>
          </w:p>
        </w:tc>
        <w:tc>
          <w:tcPr>
            <w:tcW w:w="756"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64,2%</w:t>
            </w:r>
          </w:p>
        </w:tc>
        <w:tc>
          <w:tcPr>
            <w:tcW w:w="755"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70,3%</w:t>
            </w:r>
          </w:p>
        </w:tc>
        <w:tc>
          <w:tcPr>
            <w:tcW w:w="755"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73,6%</w:t>
            </w:r>
          </w:p>
        </w:tc>
        <w:tc>
          <w:tcPr>
            <w:tcW w:w="755"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73,8%</w:t>
            </w:r>
          </w:p>
        </w:tc>
        <w:tc>
          <w:tcPr>
            <w:tcW w:w="879"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75,6%</w:t>
            </w:r>
          </w:p>
        </w:tc>
        <w:tc>
          <w:tcPr>
            <w:tcW w:w="776"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48,0%</w:t>
            </w:r>
          </w:p>
        </w:tc>
        <w:tc>
          <w:tcPr>
            <w:tcW w:w="798"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77,0%</w:t>
            </w:r>
          </w:p>
        </w:tc>
        <w:tc>
          <w:tcPr>
            <w:tcW w:w="776"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84,0%</w:t>
            </w:r>
          </w:p>
        </w:tc>
        <w:tc>
          <w:tcPr>
            <w:tcW w:w="776"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86,0%</w:t>
            </w:r>
          </w:p>
        </w:tc>
        <w:tc>
          <w:tcPr>
            <w:tcW w:w="776"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88,0%</w:t>
            </w:r>
          </w:p>
        </w:tc>
        <w:tc>
          <w:tcPr>
            <w:tcW w:w="734"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36,7%</w:t>
            </w:r>
          </w:p>
        </w:tc>
        <w:tc>
          <w:tcPr>
            <w:tcW w:w="734"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46,2%</w:t>
            </w:r>
          </w:p>
        </w:tc>
        <w:tc>
          <w:tcPr>
            <w:tcW w:w="826"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37,7%</w:t>
            </w:r>
          </w:p>
        </w:tc>
        <w:tc>
          <w:tcPr>
            <w:tcW w:w="734"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39,4%</w:t>
            </w:r>
          </w:p>
        </w:tc>
        <w:tc>
          <w:tcPr>
            <w:tcW w:w="872" w:type="dxa"/>
            <w:tcBorders>
              <w:top w:val="nil"/>
              <w:left w:val="nil"/>
              <w:bottom w:val="single" w:sz="4" w:space="0" w:color="auto"/>
              <w:right w:val="single" w:sz="4" w:space="0" w:color="auto"/>
            </w:tcBorders>
            <w:shd w:val="clear" w:color="auto" w:fill="auto"/>
            <w:noWrap/>
            <w:vAlign w:val="bottom"/>
            <w:hideMark/>
          </w:tcPr>
          <w:p w:rsidR="00DB3CF6" w:rsidRPr="00E94FF8" w:rsidRDefault="00DB3CF6" w:rsidP="00553F5A">
            <w:pPr>
              <w:widowControl/>
              <w:ind w:firstLine="0"/>
              <w:jc w:val="right"/>
              <w:rPr>
                <w:sz w:val="16"/>
                <w:szCs w:val="16"/>
                <w:lang w:val="en-US"/>
              </w:rPr>
            </w:pPr>
            <w:r w:rsidRPr="00E94FF8">
              <w:rPr>
                <w:sz w:val="16"/>
                <w:szCs w:val="16"/>
                <w:lang w:val="en-US"/>
              </w:rPr>
              <w:t>64,2%</w:t>
            </w:r>
          </w:p>
        </w:tc>
      </w:tr>
    </w:tbl>
    <w:p w:rsidR="00DB3CF6" w:rsidRPr="00E94FF8" w:rsidRDefault="00DB3CF6" w:rsidP="00DB3CF6">
      <w:pPr>
        <w:tabs>
          <w:tab w:val="left" w:pos="1170"/>
          <w:tab w:val="left" w:pos="7470"/>
        </w:tabs>
        <w:ind w:firstLine="0"/>
        <w:rPr>
          <w:sz w:val="24"/>
          <w:szCs w:val="24"/>
        </w:rPr>
      </w:pPr>
      <w:r>
        <w:t xml:space="preserve">      </w:t>
      </w:r>
      <w:r w:rsidRPr="00D16932">
        <w:t xml:space="preserve">Šaltinis: </w:t>
      </w:r>
      <w:r>
        <w:t xml:space="preserve">sudaryta pagal </w:t>
      </w:r>
      <w:r w:rsidRPr="00D16932">
        <w:t>Lietu</w:t>
      </w:r>
      <w:r>
        <w:t>vos ir Estijos Finansų ministerijų, Latvijos valstybės iždo duomenis  ir autorės skaičiavimus</w:t>
      </w:r>
    </w:p>
    <w:p w:rsidR="00DB3CF6" w:rsidRDefault="00DB3CF6" w:rsidP="00DB3CF6">
      <w:pPr>
        <w:tabs>
          <w:tab w:val="left" w:pos="1170"/>
        </w:tabs>
        <w:rPr>
          <w:sz w:val="24"/>
          <w:szCs w:val="24"/>
        </w:rPr>
      </w:pPr>
    </w:p>
    <w:p w:rsidR="00DB3CF6" w:rsidRDefault="00DB3CF6" w:rsidP="00DB3CF6">
      <w:pPr>
        <w:tabs>
          <w:tab w:val="left" w:pos="1170"/>
        </w:tabs>
        <w:rPr>
          <w:sz w:val="24"/>
          <w:szCs w:val="24"/>
        </w:rPr>
      </w:pPr>
    </w:p>
    <w:p w:rsidR="00DB3CF6" w:rsidRDefault="00DB3CF6" w:rsidP="00E94FF8">
      <w:pPr>
        <w:tabs>
          <w:tab w:val="left" w:pos="3960"/>
          <w:tab w:val="center" w:pos="6480"/>
          <w:tab w:val="left" w:pos="7470"/>
        </w:tabs>
        <w:ind w:firstLine="0"/>
        <w:jc w:val="left"/>
      </w:pPr>
    </w:p>
    <w:p w:rsidR="00DB3CF6" w:rsidRDefault="00DB3CF6" w:rsidP="00E94FF8">
      <w:pPr>
        <w:tabs>
          <w:tab w:val="left" w:pos="3960"/>
          <w:tab w:val="center" w:pos="6480"/>
          <w:tab w:val="left" w:pos="7470"/>
        </w:tabs>
        <w:ind w:firstLine="0"/>
        <w:jc w:val="left"/>
      </w:pPr>
    </w:p>
    <w:p w:rsidR="00DB3CF6" w:rsidRDefault="00DB3CF6" w:rsidP="00E94FF8">
      <w:pPr>
        <w:tabs>
          <w:tab w:val="left" w:pos="3960"/>
          <w:tab w:val="center" w:pos="6480"/>
          <w:tab w:val="left" w:pos="7470"/>
        </w:tabs>
        <w:ind w:firstLine="0"/>
        <w:jc w:val="left"/>
      </w:pPr>
    </w:p>
    <w:p w:rsidR="00DB3CF6" w:rsidRDefault="00DB3CF6" w:rsidP="00E94FF8">
      <w:pPr>
        <w:tabs>
          <w:tab w:val="left" w:pos="3960"/>
          <w:tab w:val="center" w:pos="6480"/>
          <w:tab w:val="left" w:pos="7470"/>
        </w:tabs>
        <w:ind w:firstLine="0"/>
        <w:jc w:val="left"/>
      </w:pPr>
    </w:p>
    <w:p w:rsidR="00DB3CF6" w:rsidRDefault="00DB3CF6" w:rsidP="00E94FF8">
      <w:pPr>
        <w:tabs>
          <w:tab w:val="left" w:pos="3960"/>
          <w:tab w:val="center" w:pos="6480"/>
          <w:tab w:val="left" w:pos="7470"/>
        </w:tabs>
        <w:ind w:firstLine="0"/>
        <w:jc w:val="left"/>
      </w:pPr>
    </w:p>
    <w:p w:rsidR="00DB3CF6" w:rsidRDefault="00DB3CF6" w:rsidP="00E94FF8">
      <w:pPr>
        <w:tabs>
          <w:tab w:val="left" w:pos="3960"/>
          <w:tab w:val="center" w:pos="6480"/>
          <w:tab w:val="left" w:pos="7470"/>
        </w:tabs>
        <w:ind w:firstLine="0"/>
        <w:jc w:val="left"/>
      </w:pPr>
    </w:p>
    <w:p w:rsidR="00DB3CF6" w:rsidRDefault="00DB3CF6" w:rsidP="00E94FF8">
      <w:pPr>
        <w:tabs>
          <w:tab w:val="left" w:pos="3960"/>
          <w:tab w:val="center" w:pos="6480"/>
          <w:tab w:val="left" w:pos="7470"/>
        </w:tabs>
        <w:ind w:firstLine="0"/>
        <w:jc w:val="left"/>
      </w:pPr>
    </w:p>
    <w:p w:rsidR="00DB3CF6" w:rsidRDefault="00DB3CF6" w:rsidP="00E94FF8">
      <w:pPr>
        <w:tabs>
          <w:tab w:val="left" w:pos="3960"/>
          <w:tab w:val="center" w:pos="6480"/>
          <w:tab w:val="left" w:pos="7470"/>
        </w:tabs>
        <w:ind w:firstLine="0"/>
        <w:jc w:val="left"/>
      </w:pPr>
    </w:p>
    <w:p w:rsidR="00DB3CF6" w:rsidRDefault="00DB3CF6" w:rsidP="00E94FF8">
      <w:pPr>
        <w:tabs>
          <w:tab w:val="left" w:pos="3960"/>
          <w:tab w:val="center" w:pos="6480"/>
          <w:tab w:val="left" w:pos="7470"/>
        </w:tabs>
        <w:ind w:firstLine="0"/>
        <w:jc w:val="left"/>
      </w:pPr>
    </w:p>
    <w:p w:rsidR="00DB3CF6" w:rsidRDefault="00DB3CF6" w:rsidP="00E94FF8">
      <w:pPr>
        <w:tabs>
          <w:tab w:val="left" w:pos="3960"/>
          <w:tab w:val="center" w:pos="6480"/>
          <w:tab w:val="left" w:pos="7470"/>
        </w:tabs>
        <w:ind w:firstLine="0"/>
        <w:jc w:val="left"/>
      </w:pPr>
    </w:p>
    <w:p w:rsidR="00DB3CF6" w:rsidRDefault="00DB3CF6" w:rsidP="00E94FF8">
      <w:pPr>
        <w:tabs>
          <w:tab w:val="left" w:pos="3960"/>
          <w:tab w:val="center" w:pos="6480"/>
          <w:tab w:val="left" w:pos="7470"/>
        </w:tabs>
        <w:ind w:firstLine="0"/>
        <w:jc w:val="left"/>
      </w:pPr>
    </w:p>
    <w:p w:rsidR="00DB3CF6" w:rsidRDefault="00DB3CF6" w:rsidP="00E94FF8">
      <w:pPr>
        <w:tabs>
          <w:tab w:val="left" w:pos="3960"/>
          <w:tab w:val="center" w:pos="6480"/>
          <w:tab w:val="left" w:pos="7470"/>
        </w:tabs>
        <w:ind w:firstLine="0"/>
        <w:jc w:val="left"/>
      </w:pPr>
    </w:p>
    <w:p w:rsidR="00DB3CF6" w:rsidRDefault="00DB3CF6" w:rsidP="00E94FF8">
      <w:pPr>
        <w:tabs>
          <w:tab w:val="left" w:pos="3960"/>
          <w:tab w:val="center" w:pos="6480"/>
          <w:tab w:val="left" w:pos="7470"/>
        </w:tabs>
        <w:ind w:firstLine="0"/>
        <w:jc w:val="left"/>
      </w:pPr>
    </w:p>
    <w:p w:rsidR="00DB3CF6" w:rsidRDefault="00DB3CF6" w:rsidP="00E94FF8">
      <w:pPr>
        <w:tabs>
          <w:tab w:val="left" w:pos="3960"/>
          <w:tab w:val="center" w:pos="6480"/>
          <w:tab w:val="left" w:pos="7470"/>
        </w:tabs>
        <w:ind w:firstLine="0"/>
        <w:jc w:val="left"/>
      </w:pPr>
    </w:p>
    <w:p w:rsidR="00DB3CF6" w:rsidRDefault="00DB3CF6" w:rsidP="00E94FF8">
      <w:pPr>
        <w:tabs>
          <w:tab w:val="left" w:pos="3960"/>
          <w:tab w:val="center" w:pos="6480"/>
          <w:tab w:val="left" w:pos="7470"/>
        </w:tabs>
        <w:ind w:firstLine="0"/>
        <w:jc w:val="left"/>
      </w:pPr>
    </w:p>
    <w:p w:rsidR="00DB3CF6" w:rsidRDefault="00DB3CF6" w:rsidP="00E94FF8">
      <w:pPr>
        <w:tabs>
          <w:tab w:val="left" w:pos="3960"/>
          <w:tab w:val="center" w:pos="6480"/>
          <w:tab w:val="left" w:pos="7470"/>
        </w:tabs>
        <w:ind w:firstLine="0"/>
        <w:jc w:val="left"/>
      </w:pPr>
    </w:p>
    <w:p w:rsidR="00DB3CF6" w:rsidRDefault="00DB3CF6" w:rsidP="00E94FF8">
      <w:pPr>
        <w:tabs>
          <w:tab w:val="left" w:pos="3960"/>
          <w:tab w:val="center" w:pos="6480"/>
          <w:tab w:val="left" w:pos="7470"/>
        </w:tabs>
        <w:ind w:firstLine="0"/>
        <w:jc w:val="left"/>
      </w:pPr>
    </w:p>
    <w:p w:rsidR="00DB3CF6" w:rsidRDefault="00DB3CF6" w:rsidP="00E94FF8">
      <w:pPr>
        <w:tabs>
          <w:tab w:val="left" w:pos="3960"/>
          <w:tab w:val="center" w:pos="6480"/>
          <w:tab w:val="left" w:pos="7470"/>
        </w:tabs>
        <w:ind w:firstLine="0"/>
        <w:jc w:val="left"/>
      </w:pPr>
    </w:p>
    <w:p w:rsidR="00DB3CF6" w:rsidRDefault="00DB3CF6" w:rsidP="00E94FF8">
      <w:pPr>
        <w:tabs>
          <w:tab w:val="left" w:pos="3960"/>
          <w:tab w:val="center" w:pos="6480"/>
          <w:tab w:val="left" w:pos="7470"/>
        </w:tabs>
        <w:ind w:firstLine="0"/>
        <w:jc w:val="left"/>
      </w:pPr>
    </w:p>
    <w:p w:rsidR="00DB3CF6" w:rsidRDefault="00DB3CF6" w:rsidP="00E94FF8">
      <w:pPr>
        <w:tabs>
          <w:tab w:val="left" w:pos="3960"/>
          <w:tab w:val="center" w:pos="6480"/>
          <w:tab w:val="left" w:pos="7470"/>
        </w:tabs>
        <w:ind w:firstLine="0"/>
        <w:jc w:val="left"/>
      </w:pPr>
    </w:p>
    <w:p w:rsidR="00DB3CF6" w:rsidRDefault="00DB3CF6" w:rsidP="00E94FF8">
      <w:pPr>
        <w:tabs>
          <w:tab w:val="left" w:pos="3960"/>
          <w:tab w:val="center" w:pos="6480"/>
          <w:tab w:val="left" w:pos="7470"/>
        </w:tabs>
        <w:ind w:firstLine="0"/>
        <w:jc w:val="left"/>
      </w:pPr>
    </w:p>
    <w:p w:rsidR="00DB3CF6" w:rsidRDefault="00DB3CF6" w:rsidP="00DB3CF6">
      <w:pPr>
        <w:tabs>
          <w:tab w:val="left" w:pos="7470"/>
        </w:tabs>
        <w:ind w:firstLine="0"/>
        <w:jc w:val="right"/>
        <w:rPr>
          <w:b/>
          <w:sz w:val="24"/>
          <w:szCs w:val="24"/>
        </w:rPr>
        <w:sectPr w:rsidR="00DB3CF6" w:rsidSect="00F642AE">
          <w:type w:val="continuous"/>
          <w:pgSz w:w="15840" w:h="12240" w:orient="landscape"/>
          <w:pgMar w:top="1440" w:right="1440" w:bottom="1440" w:left="1440" w:header="720" w:footer="720" w:gutter="0"/>
          <w:cols w:space="720"/>
          <w:docGrid w:linePitch="360"/>
        </w:sectPr>
      </w:pPr>
    </w:p>
    <w:p w:rsidR="00DB3CF6" w:rsidRDefault="00BC5DE8" w:rsidP="00DB3CF6">
      <w:pPr>
        <w:tabs>
          <w:tab w:val="left" w:pos="7470"/>
        </w:tabs>
        <w:ind w:firstLine="0"/>
        <w:jc w:val="right"/>
        <w:rPr>
          <w:b/>
          <w:sz w:val="24"/>
          <w:szCs w:val="24"/>
        </w:rPr>
      </w:pPr>
      <w:r>
        <w:rPr>
          <w:b/>
          <w:sz w:val="24"/>
          <w:szCs w:val="24"/>
        </w:rPr>
        <w:lastRenderedPageBreak/>
        <w:t xml:space="preserve">5 PRIEDAS </w:t>
      </w:r>
    </w:p>
    <w:p w:rsidR="00BC5DE8" w:rsidRDefault="00BC5DE8" w:rsidP="00DB3CF6">
      <w:pPr>
        <w:tabs>
          <w:tab w:val="left" w:pos="7470"/>
        </w:tabs>
        <w:ind w:firstLine="0"/>
        <w:jc w:val="right"/>
        <w:rPr>
          <w:b/>
          <w:sz w:val="24"/>
          <w:szCs w:val="24"/>
        </w:rPr>
      </w:pPr>
    </w:p>
    <w:p w:rsidR="00DB3CF6" w:rsidRPr="00E7073A" w:rsidRDefault="00DB3CF6" w:rsidP="00DB3CF6">
      <w:pPr>
        <w:tabs>
          <w:tab w:val="left" w:pos="7470"/>
        </w:tabs>
        <w:jc w:val="center"/>
        <w:rPr>
          <w:b/>
          <w:sz w:val="24"/>
          <w:szCs w:val="24"/>
        </w:rPr>
      </w:pPr>
      <w:r>
        <w:rPr>
          <w:b/>
          <w:sz w:val="24"/>
          <w:szCs w:val="24"/>
        </w:rPr>
        <w:t>VALSTYBĖS SKOLOS VERTINIMO RODIKLIŲ KRITINĖS REIKŠMĖS</w:t>
      </w:r>
    </w:p>
    <w:p w:rsidR="00DB3CF6" w:rsidRDefault="00DB3CF6" w:rsidP="00DB3CF6">
      <w:pPr>
        <w:spacing w:line="360" w:lineRule="auto"/>
        <w:ind w:firstLine="720"/>
        <w:jc w:val="center"/>
        <w:rPr>
          <w:sz w:val="24"/>
          <w:szCs w:val="24"/>
        </w:rPr>
      </w:pPr>
    </w:p>
    <w:p w:rsidR="00DB3CF6" w:rsidRDefault="00DB3CF6" w:rsidP="00DB3CF6">
      <w:pPr>
        <w:spacing w:line="360" w:lineRule="auto"/>
        <w:ind w:firstLine="720"/>
        <w:jc w:val="center"/>
        <w:rPr>
          <w:sz w:val="24"/>
          <w:szCs w:val="24"/>
        </w:rPr>
      </w:pPr>
      <w:r>
        <w:rPr>
          <w:sz w:val="24"/>
          <w:szCs w:val="24"/>
        </w:rPr>
        <w:t>1</w:t>
      </w:r>
      <w:r w:rsidRPr="00E7073A">
        <w:rPr>
          <w:sz w:val="24"/>
          <w:szCs w:val="24"/>
        </w:rPr>
        <w:t xml:space="preserve"> lentelė. Valstybės skolos vertinimo rodiklių kritinės reikšmės</w:t>
      </w:r>
    </w:p>
    <w:p w:rsidR="00DB3CF6" w:rsidRPr="00E7073A" w:rsidRDefault="00DB3CF6" w:rsidP="00DB3CF6">
      <w:pPr>
        <w:spacing w:line="360" w:lineRule="auto"/>
        <w:ind w:firstLine="720"/>
        <w:jc w:val="center"/>
        <w:rPr>
          <w:sz w:val="24"/>
          <w:szCs w:val="24"/>
        </w:rPr>
      </w:pPr>
    </w:p>
    <w:tbl>
      <w:tblPr>
        <w:tblStyle w:val="TableGrid"/>
        <w:tblW w:w="0" w:type="auto"/>
        <w:jc w:val="center"/>
        <w:tblLook w:val="04A0"/>
      </w:tblPr>
      <w:tblGrid>
        <w:gridCol w:w="4798"/>
        <w:gridCol w:w="4778"/>
      </w:tblGrid>
      <w:tr w:rsidR="00DB3CF6" w:rsidRPr="009209D8" w:rsidTr="00553F5A">
        <w:trPr>
          <w:jc w:val="center"/>
        </w:trPr>
        <w:tc>
          <w:tcPr>
            <w:tcW w:w="4927" w:type="dxa"/>
          </w:tcPr>
          <w:p w:rsidR="00DB3CF6" w:rsidRPr="007D18D5" w:rsidRDefault="00DB3CF6" w:rsidP="00553F5A">
            <w:pPr>
              <w:rPr>
                <w:b/>
                <w:bCs/>
                <w:sz w:val="24"/>
                <w:szCs w:val="24"/>
              </w:rPr>
            </w:pPr>
            <w:r w:rsidRPr="007D18D5">
              <w:rPr>
                <w:b/>
                <w:bCs/>
                <w:sz w:val="24"/>
                <w:szCs w:val="24"/>
              </w:rPr>
              <w:t>Rodiklis</w:t>
            </w:r>
          </w:p>
        </w:tc>
        <w:tc>
          <w:tcPr>
            <w:tcW w:w="4896" w:type="dxa"/>
          </w:tcPr>
          <w:p w:rsidR="00DB3CF6" w:rsidRPr="007D18D5" w:rsidRDefault="00DB3CF6" w:rsidP="00553F5A">
            <w:pPr>
              <w:rPr>
                <w:b/>
                <w:bCs/>
                <w:sz w:val="24"/>
                <w:szCs w:val="24"/>
              </w:rPr>
            </w:pPr>
            <w:r w:rsidRPr="007D18D5">
              <w:rPr>
                <w:b/>
                <w:bCs/>
                <w:sz w:val="24"/>
                <w:szCs w:val="24"/>
              </w:rPr>
              <w:t>Įvertinimas</w:t>
            </w:r>
          </w:p>
        </w:tc>
      </w:tr>
      <w:tr w:rsidR="00DB3CF6" w:rsidRPr="009209D8" w:rsidTr="00553F5A">
        <w:trPr>
          <w:trHeight w:val="432"/>
          <w:jc w:val="center"/>
        </w:trPr>
        <w:tc>
          <w:tcPr>
            <w:tcW w:w="4927" w:type="dxa"/>
          </w:tcPr>
          <w:p w:rsidR="00DB3CF6" w:rsidRPr="007D18D5" w:rsidRDefault="00DB3CF6" w:rsidP="00553F5A">
            <w:pPr>
              <w:ind w:firstLine="0"/>
              <w:jc w:val="left"/>
              <w:rPr>
                <w:b/>
                <w:bCs/>
                <w:sz w:val="24"/>
                <w:szCs w:val="24"/>
              </w:rPr>
            </w:pPr>
            <w:r w:rsidRPr="007D18D5">
              <w:rPr>
                <w:b/>
                <w:bCs/>
                <w:sz w:val="24"/>
                <w:szCs w:val="24"/>
              </w:rPr>
              <w:t>Valstybės skolos ir BVP santykis</w:t>
            </w:r>
          </w:p>
        </w:tc>
        <w:tc>
          <w:tcPr>
            <w:tcW w:w="4896" w:type="dxa"/>
          </w:tcPr>
          <w:p w:rsidR="00DB3CF6" w:rsidRPr="007D18D5" w:rsidRDefault="00DB3CF6" w:rsidP="00553F5A">
            <w:pPr>
              <w:ind w:firstLine="0"/>
              <w:rPr>
                <w:sz w:val="24"/>
                <w:szCs w:val="24"/>
              </w:rPr>
            </w:pPr>
            <w:r w:rsidRPr="007D18D5">
              <w:rPr>
                <w:sz w:val="24"/>
                <w:szCs w:val="24"/>
              </w:rPr>
              <w:t>60 % - kritinė riba (pagal Mastrichto kriterijų)</w:t>
            </w:r>
          </w:p>
        </w:tc>
      </w:tr>
      <w:tr w:rsidR="00DB3CF6" w:rsidRPr="009209D8" w:rsidTr="00553F5A">
        <w:trPr>
          <w:trHeight w:val="432"/>
          <w:jc w:val="center"/>
        </w:trPr>
        <w:tc>
          <w:tcPr>
            <w:tcW w:w="4927" w:type="dxa"/>
          </w:tcPr>
          <w:p w:rsidR="00DB3CF6" w:rsidRPr="007D18D5" w:rsidRDefault="00DB3CF6" w:rsidP="00553F5A">
            <w:pPr>
              <w:ind w:firstLine="0"/>
              <w:jc w:val="left"/>
              <w:rPr>
                <w:b/>
                <w:bCs/>
                <w:sz w:val="24"/>
                <w:szCs w:val="24"/>
              </w:rPr>
            </w:pPr>
            <w:r w:rsidRPr="007D18D5">
              <w:rPr>
                <w:b/>
                <w:bCs/>
                <w:sz w:val="24"/>
                <w:szCs w:val="24"/>
              </w:rPr>
              <w:t>Palūkanų už valstybės skolą ir valstybės skolos santykis</w:t>
            </w:r>
          </w:p>
        </w:tc>
        <w:tc>
          <w:tcPr>
            <w:tcW w:w="4896" w:type="dxa"/>
          </w:tcPr>
          <w:p w:rsidR="00DB3CF6" w:rsidRPr="007D18D5" w:rsidRDefault="00DB3CF6" w:rsidP="00553F5A">
            <w:pPr>
              <w:ind w:firstLine="0"/>
              <w:rPr>
                <w:sz w:val="24"/>
                <w:szCs w:val="24"/>
              </w:rPr>
            </w:pPr>
            <w:r w:rsidRPr="007D18D5">
              <w:rPr>
                <w:sz w:val="24"/>
                <w:szCs w:val="24"/>
              </w:rPr>
              <w:t>Kuo mažesnis, tuo geriau</w:t>
            </w:r>
          </w:p>
        </w:tc>
      </w:tr>
      <w:tr w:rsidR="00DB3CF6" w:rsidRPr="009209D8" w:rsidTr="00553F5A">
        <w:trPr>
          <w:trHeight w:val="432"/>
          <w:jc w:val="center"/>
        </w:trPr>
        <w:tc>
          <w:tcPr>
            <w:tcW w:w="4927" w:type="dxa"/>
          </w:tcPr>
          <w:p w:rsidR="00DB3CF6" w:rsidRPr="007D18D5" w:rsidRDefault="00DB3CF6" w:rsidP="00553F5A">
            <w:pPr>
              <w:ind w:firstLine="0"/>
              <w:jc w:val="left"/>
              <w:rPr>
                <w:b/>
                <w:bCs/>
                <w:sz w:val="24"/>
                <w:szCs w:val="24"/>
              </w:rPr>
            </w:pPr>
            <w:r w:rsidRPr="007D18D5">
              <w:rPr>
                <w:b/>
                <w:bCs/>
                <w:sz w:val="24"/>
                <w:szCs w:val="24"/>
              </w:rPr>
              <w:t>Palūkanų už valstybės skolą ir BVP santykis</w:t>
            </w:r>
          </w:p>
        </w:tc>
        <w:tc>
          <w:tcPr>
            <w:tcW w:w="4896" w:type="dxa"/>
          </w:tcPr>
          <w:p w:rsidR="00DB3CF6" w:rsidRPr="007D18D5" w:rsidRDefault="00DB3CF6" w:rsidP="00553F5A">
            <w:pPr>
              <w:ind w:firstLine="0"/>
              <w:rPr>
                <w:sz w:val="24"/>
                <w:szCs w:val="24"/>
              </w:rPr>
            </w:pPr>
            <w:r w:rsidRPr="007D18D5">
              <w:rPr>
                <w:sz w:val="24"/>
                <w:szCs w:val="24"/>
              </w:rPr>
              <w:t>Kuo mažesnis, tuo geriau</w:t>
            </w:r>
          </w:p>
        </w:tc>
      </w:tr>
      <w:tr w:rsidR="00DB3CF6" w:rsidRPr="009209D8" w:rsidTr="00553F5A">
        <w:trPr>
          <w:trHeight w:val="763"/>
          <w:jc w:val="center"/>
        </w:trPr>
        <w:tc>
          <w:tcPr>
            <w:tcW w:w="4927" w:type="dxa"/>
          </w:tcPr>
          <w:p w:rsidR="00DB3CF6" w:rsidRPr="007D18D5" w:rsidRDefault="00DB3CF6" w:rsidP="00553F5A">
            <w:pPr>
              <w:ind w:firstLine="0"/>
              <w:jc w:val="left"/>
              <w:rPr>
                <w:b/>
                <w:bCs/>
                <w:sz w:val="24"/>
                <w:szCs w:val="24"/>
              </w:rPr>
            </w:pPr>
            <w:r w:rsidRPr="007D18D5">
              <w:rPr>
                <w:b/>
                <w:bCs/>
                <w:sz w:val="24"/>
                <w:szCs w:val="24"/>
              </w:rPr>
              <w:t>Palūkanų už valstybės skolą ir biudžeto pajamų santykis.</w:t>
            </w:r>
          </w:p>
        </w:tc>
        <w:tc>
          <w:tcPr>
            <w:tcW w:w="4896" w:type="dxa"/>
          </w:tcPr>
          <w:p w:rsidR="00DB3CF6" w:rsidRPr="007D18D5" w:rsidRDefault="00DB3CF6" w:rsidP="00553F5A">
            <w:pPr>
              <w:ind w:firstLine="0"/>
              <w:rPr>
                <w:sz w:val="24"/>
                <w:szCs w:val="24"/>
              </w:rPr>
            </w:pPr>
            <w:r w:rsidRPr="007D18D5">
              <w:rPr>
                <w:sz w:val="24"/>
                <w:szCs w:val="24"/>
              </w:rPr>
              <w:t>&lt; 4,6 % - mažas įsiskolinimas</w:t>
            </w:r>
          </w:p>
          <w:p w:rsidR="00DB3CF6" w:rsidRPr="007D18D5" w:rsidRDefault="00DB3CF6" w:rsidP="00553F5A">
            <w:pPr>
              <w:ind w:firstLine="0"/>
              <w:rPr>
                <w:sz w:val="24"/>
                <w:szCs w:val="24"/>
              </w:rPr>
            </w:pPr>
            <w:r w:rsidRPr="007D18D5">
              <w:rPr>
                <w:sz w:val="24"/>
                <w:szCs w:val="24"/>
              </w:rPr>
              <w:t>&gt;4,6 % ; &lt; 6,8 % - vidutinis įsiskolinimas</w:t>
            </w:r>
          </w:p>
          <w:p w:rsidR="00DB3CF6" w:rsidRPr="007D18D5" w:rsidRDefault="00DB3CF6" w:rsidP="00553F5A">
            <w:pPr>
              <w:ind w:firstLine="0"/>
              <w:rPr>
                <w:sz w:val="24"/>
                <w:szCs w:val="24"/>
              </w:rPr>
            </w:pPr>
            <w:r w:rsidRPr="007D18D5">
              <w:rPr>
                <w:sz w:val="24"/>
                <w:szCs w:val="24"/>
              </w:rPr>
              <w:t>&gt; 6,8% - didelis įsiskolinimas</w:t>
            </w:r>
          </w:p>
        </w:tc>
      </w:tr>
      <w:tr w:rsidR="00DB3CF6" w:rsidRPr="009209D8" w:rsidTr="00553F5A">
        <w:trPr>
          <w:trHeight w:val="432"/>
          <w:jc w:val="center"/>
        </w:trPr>
        <w:tc>
          <w:tcPr>
            <w:tcW w:w="4927" w:type="dxa"/>
          </w:tcPr>
          <w:p w:rsidR="00DB3CF6" w:rsidRPr="007D18D5" w:rsidRDefault="00DB3CF6" w:rsidP="00553F5A">
            <w:pPr>
              <w:ind w:firstLine="0"/>
              <w:jc w:val="left"/>
              <w:rPr>
                <w:b/>
                <w:bCs/>
                <w:sz w:val="24"/>
                <w:szCs w:val="24"/>
              </w:rPr>
            </w:pPr>
            <w:r w:rsidRPr="007D18D5">
              <w:rPr>
                <w:b/>
                <w:bCs/>
                <w:sz w:val="24"/>
                <w:szCs w:val="24"/>
              </w:rPr>
              <w:t>Užsienio skolos ir valstybės eksporto santykis</w:t>
            </w:r>
          </w:p>
        </w:tc>
        <w:tc>
          <w:tcPr>
            <w:tcW w:w="4896" w:type="dxa"/>
          </w:tcPr>
          <w:p w:rsidR="00DB3CF6" w:rsidRPr="007D18D5" w:rsidRDefault="00DB3CF6" w:rsidP="00553F5A">
            <w:pPr>
              <w:ind w:firstLine="0"/>
              <w:rPr>
                <w:sz w:val="24"/>
                <w:szCs w:val="24"/>
              </w:rPr>
            </w:pPr>
            <w:r w:rsidRPr="007D18D5">
              <w:rPr>
                <w:sz w:val="24"/>
                <w:szCs w:val="24"/>
              </w:rPr>
              <w:t>&lt; 165 % - mažas įsiskolinimas</w:t>
            </w:r>
          </w:p>
          <w:p w:rsidR="00DB3CF6" w:rsidRPr="007D18D5" w:rsidRDefault="00DB3CF6" w:rsidP="00553F5A">
            <w:pPr>
              <w:ind w:firstLine="0"/>
              <w:rPr>
                <w:sz w:val="24"/>
                <w:szCs w:val="24"/>
              </w:rPr>
            </w:pPr>
            <w:r w:rsidRPr="007D18D5">
              <w:rPr>
                <w:sz w:val="24"/>
                <w:szCs w:val="24"/>
              </w:rPr>
              <w:t>&gt;165%; &lt; 275% - vidutinis įsiskolinimas</w:t>
            </w:r>
          </w:p>
          <w:p w:rsidR="00DB3CF6" w:rsidRPr="007D18D5" w:rsidRDefault="00DB3CF6" w:rsidP="00553F5A">
            <w:pPr>
              <w:ind w:firstLine="0"/>
              <w:rPr>
                <w:sz w:val="24"/>
                <w:szCs w:val="24"/>
              </w:rPr>
            </w:pPr>
            <w:r w:rsidRPr="007D18D5">
              <w:rPr>
                <w:sz w:val="24"/>
                <w:szCs w:val="24"/>
              </w:rPr>
              <w:t>&gt; 275 % - didelis įsiskolinimas</w:t>
            </w:r>
          </w:p>
        </w:tc>
      </w:tr>
      <w:tr w:rsidR="00DB3CF6" w:rsidRPr="009209D8" w:rsidTr="00553F5A">
        <w:trPr>
          <w:trHeight w:val="432"/>
          <w:jc w:val="center"/>
        </w:trPr>
        <w:tc>
          <w:tcPr>
            <w:tcW w:w="4927" w:type="dxa"/>
          </w:tcPr>
          <w:p w:rsidR="00DB3CF6" w:rsidRPr="007D18D5" w:rsidRDefault="00DB3CF6" w:rsidP="00553F5A">
            <w:pPr>
              <w:ind w:firstLine="0"/>
              <w:jc w:val="left"/>
              <w:rPr>
                <w:b/>
                <w:bCs/>
                <w:sz w:val="24"/>
                <w:szCs w:val="24"/>
              </w:rPr>
            </w:pPr>
            <w:r w:rsidRPr="007D18D5">
              <w:rPr>
                <w:b/>
                <w:bCs/>
                <w:sz w:val="24"/>
                <w:szCs w:val="24"/>
              </w:rPr>
              <w:t>Užsienio skolos ir BVP santykis</w:t>
            </w:r>
          </w:p>
        </w:tc>
        <w:tc>
          <w:tcPr>
            <w:tcW w:w="4896" w:type="dxa"/>
          </w:tcPr>
          <w:p w:rsidR="00DB3CF6" w:rsidRPr="007D18D5" w:rsidRDefault="00DB3CF6" w:rsidP="00553F5A">
            <w:pPr>
              <w:ind w:firstLine="0"/>
              <w:rPr>
                <w:sz w:val="24"/>
                <w:szCs w:val="24"/>
              </w:rPr>
            </w:pPr>
            <w:r w:rsidRPr="007D18D5">
              <w:rPr>
                <w:sz w:val="24"/>
                <w:szCs w:val="24"/>
              </w:rPr>
              <w:t>&lt; 30 % - mažas įsiskolinimas</w:t>
            </w:r>
          </w:p>
          <w:p w:rsidR="00DB3CF6" w:rsidRPr="007D18D5" w:rsidRDefault="00DB3CF6" w:rsidP="00553F5A">
            <w:pPr>
              <w:ind w:firstLine="0"/>
              <w:rPr>
                <w:sz w:val="24"/>
                <w:szCs w:val="24"/>
              </w:rPr>
            </w:pPr>
            <w:r w:rsidRPr="007D18D5">
              <w:rPr>
                <w:sz w:val="24"/>
                <w:szCs w:val="24"/>
              </w:rPr>
              <w:t>&gt;30%; &lt; 50 % - vidutinis įsiskolinimas</w:t>
            </w:r>
          </w:p>
          <w:p w:rsidR="00DB3CF6" w:rsidRPr="007D18D5" w:rsidRDefault="00DB3CF6" w:rsidP="00553F5A">
            <w:pPr>
              <w:ind w:firstLine="0"/>
              <w:rPr>
                <w:sz w:val="24"/>
                <w:szCs w:val="24"/>
              </w:rPr>
            </w:pPr>
            <w:r w:rsidRPr="007D18D5">
              <w:rPr>
                <w:sz w:val="24"/>
                <w:szCs w:val="24"/>
              </w:rPr>
              <w:t>&gt; 50 % - didelis įsiskolinimas</w:t>
            </w:r>
          </w:p>
        </w:tc>
      </w:tr>
    </w:tbl>
    <w:p w:rsidR="00DB3CF6" w:rsidRPr="007714FF" w:rsidRDefault="00DB3CF6" w:rsidP="00DB3CF6">
      <w:pPr>
        <w:ind w:firstLine="0"/>
      </w:pPr>
      <w:r w:rsidRPr="007714FF">
        <w:t xml:space="preserve">Šaltinis: sudaryta pagal United Nations ESCAP, 2006. </w:t>
      </w:r>
    </w:p>
    <w:p w:rsidR="00DB3CF6" w:rsidRPr="00E7073A" w:rsidRDefault="00DB3CF6" w:rsidP="00DB3CF6">
      <w:pPr>
        <w:ind w:firstLine="720"/>
        <w:rPr>
          <w:sz w:val="24"/>
          <w:szCs w:val="24"/>
        </w:rPr>
      </w:pPr>
    </w:p>
    <w:p w:rsidR="00DB3CF6" w:rsidRDefault="00DB3CF6" w:rsidP="00DB3CF6">
      <w:pPr>
        <w:tabs>
          <w:tab w:val="left" w:pos="7470"/>
        </w:tabs>
        <w:jc w:val="right"/>
        <w:rPr>
          <w:sz w:val="24"/>
          <w:szCs w:val="24"/>
        </w:rPr>
        <w:sectPr w:rsidR="00DB3CF6" w:rsidSect="00DB3CF6">
          <w:type w:val="continuous"/>
          <w:pgSz w:w="12240" w:h="15840"/>
          <w:pgMar w:top="1440" w:right="1440" w:bottom="1440" w:left="1440" w:header="720" w:footer="720" w:gutter="0"/>
          <w:cols w:space="720"/>
          <w:docGrid w:linePitch="360"/>
        </w:sectPr>
      </w:pPr>
    </w:p>
    <w:p w:rsidR="00DB3CF6" w:rsidRDefault="00DB3CF6" w:rsidP="00DB3CF6">
      <w:pPr>
        <w:tabs>
          <w:tab w:val="left" w:pos="4155"/>
        </w:tabs>
        <w:jc w:val="right"/>
        <w:rPr>
          <w:b/>
          <w:sz w:val="24"/>
          <w:szCs w:val="24"/>
        </w:rPr>
      </w:pPr>
      <w:r w:rsidRPr="00A305E9">
        <w:rPr>
          <w:b/>
          <w:sz w:val="24"/>
          <w:szCs w:val="24"/>
        </w:rPr>
        <w:lastRenderedPageBreak/>
        <w:t>6 PRIEDAS</w:t>
      </w:r>
    </w:p>
    <w:p w:rsidR="00DB3CF6" w:rsidRPr="00A305E9" w:rsidRDefault="00DB3CF6" w:rsidP="00DB3CF6">
      <w:pPr>
        <w:tabs>
          <w:tab w:val="left" w:pos="4155"/>
        </w:tabs>
        <w:jc w:val="right"/>
        <w:rPr>
          <w:b/>
          <w:sz w:val="24"/>
          <w:szCs w:val="24"/>
        </w:rPr>
      </w:pPr>
    </w:p>
    <w:p w:rsidR="00DB3CF6" w:rsidRPr="00A305E9" w:rsidRDefault="00DB3CF6" w:rsidP="00DB3CF6">
      <w:pPr>
        <w:tabs>
          <w:tab w:val="left" w:pos="4155"/>
        </w:tabs>
        <w:jc w:val="center"/>
        <w:rPr>
          <w:b/>
          <w:sz w:val="24"/>
          <w:szCs w:val="24"/>
        </w:rPr>
      </w:pPr>
      <w:r w:rsidRPr="00A305E9">
        <w:rPr>
          <w:b/>
          <w:sz w:val="24"/>
          <w:szCs w:val="24"/>
        </w:rPr>
        <w:t>LATVIJOS IR LIETUVOS SKOLINIMOSI LIMITAI</w:t>
      </w:r>
    </w:p>
    <w:p w:rsidR="00DB3CF6" w:rsidRDefault="00DB3CF6" w:rsidP="00DB3CF6">
      <w:pPr>
        <w:tabs>
          <w:tab w:val="left" w:pos="4155"/>
        </w:tabs>
        <w:jc w:val="center"/>
        <w:rPr>
          <w:sz w:val="24"/>
          <w:szCs w:val="24"/>
        </w:rPr>
      </w:pPr>
    </w:p>
    <w:p w:rsidR="00DB3CF6" w:rsidRDefault="00DB3CF6" w:rsidP="00DB3CF6">
      <w:pPr>
        <w:tabs>
          <w:tab w:val="left" w:pos="4155"/>
        </w:tabs>
        <w:jc w:val="center"/>
        <w:rPr>
          <w:sz w:val="24"/>
          <w:szCs w:val="24"/>
        </w:rPr>
      </w:pPr>
      <w:r w:rsidRPr="00A305E9">
        <w:rPr>
          <w:sz w:val="24"/>
          <w:szCs w:val="24"/>
        </w:rPr>
        <w:t>1 lentelė. Latvijos ir Lietuvos valstybės skolinimosi limitai 2013 m.</w:t>
      </w:r>
    </w:p>
    <w:p w:rsidR="00DB3CF6" w:rsidRPr="00A305E9" w:rsidRDefault="00DB3CF6" w:rsidP="00DB3CF6">
      <w:pPr>
        <w:tabs>
          <w:tab w:val="left" w:pos="4155"/>
        </w:tabs>
        <w:jc w:val="center"/>
        <w:rPr>
          <w:sz w:val="24"/>
          <w:szCs w:val="24"/>
        </w:rPr>
      </w:pPr>
    </w:p>
    <w:tbl>
      <w:tblPr>
        <w:tblStyle w:val="TableGrid"/>
        <w:tblW w:w="9320" w:type="dxa"/>
        <w:jc w:val="center"/>
        <w:tblLook w:val="04A0"/>
      </w:tblPr>
      <w:tblGrid>
        <w:gridCol w:w="3078"/>
        <w:gridCol w:w="3060"/>
        <w:gridCol w:w="3182"/>
      </w:tblGrid>
      <w:tr w:rsidR="00DB3CF6" w:rsidRPr="009209D8" w:rsidTr="00553F5A">
        <w:trPr>
          <w:trHeight w:val="315"/>
          <w:jc w:val="center"/>
        </w:trPr>
        <w:tc>
          <w:tcPr>
            <w:tcW w:w="3078" w:type="dxa"/>
            <w:hideMark/>
          </w:tcPr>
          <w:p w:rsidR="00DB3CF6" w:rsidRPr="007D18D5" w:rsidRDefault="00DB3CF6" w:rsidP="00553F5A">
            <w:pPr>
              <w:rPr>
                <w:b/>
                <w:bCs/>
                <w:sz w:val="22"/>
                <w:szCs w:val="22"/>
                <w:lang w:eastAsia="lt-LT"/>
              </w:rPr>
            </w:pPr>
            <w:r w:rsidRPr="007D18D5">
              <w:rPr>
                <w:b/>
                <w:bCs/>
                <w:sz w:val="22"/>
                <w:szCs w:val="22"/>
                <w:lang w:eastAsia="lt-LT"/>
              </w:rPr>
              <w:t>Kriterijus</w:t>
            </w:r>
          </w:p>
        </w:tc>
        <w:tc>
          <w:tcPr>
            <w:tcW w:w="3060" w:type="dxa"/>
            <w:hideMark/>
          </w:tcPr>
          <w:p w:rsidR="00DB3CF6" w:rsidRPr="007D18D5" w:rsidRDefault="00DB3CF6" w:rsidP="00553F5A">
            <w:pPr>
              <w:rPr>
                <w:b/>
                <w:bCs/>
                <w:sz w:val="22"/>
                <w:szCs w:val="22"/>
                <w:lang w:eastAsia="lt-LT"/>
              </w:rPr>
            </w:pPr>
            <w:r w:rsidRPr="007D18D5">
              <w:rPr>
                <w:b/>
                <w:bCs/>
                <w:sz w:val="22"/>
                <w:szCs w:val="22"/>
                <w:lang w:eastAsia="lt-LT"/>
              </w:rPr>
              <w:t>Latvija</w:t>
            </w:r>
          </w:p>
        </w:tc>
        <w:tc>
          <w:tcPr>
            <w:tcW w:w="3182" w:type="dxa"/>
            <w:hideMark/>
          </w:tcPr>
          <w:p w:rsidR="00DB3CF6" w:rsidRPr="007D18D5" w:rsidRDefault="00DB3CF6" w:rsidP="00553F5A">
            <w:pPr>
              <w:rPr>
                <w:b/>
                <w:bCs/>
                <w:sz w:val="22"/>
                <w:szCs w:val="22"/>
                <w:lang w:eastAsia="lt-LT"/>
              </w:rPr>
            </w:pPr>
            <w:r w:rsidRPr="007D18D5">
              <w:rPr>
                <w:b/>
                <w:bCs/>
                <w:sz w:val="22"/>
                <w:szCs w:val="22"/>
                <w:lang w:eastAsia="lt-LT"/>
              </w:rPr>
              <w:t>Lietuva</w:t>
            </w:r>
          </w:p>
        </w:tc>
      </w:tr>
      <w:tr w:rsidR="00DB3CF6" w:rsidRPr="009209D8" w:rsidTr="00553F5A">
        <w:trPr>
          <w:trHeight w:val="885"/>
          <w:jc w:val="center"/>
        </w:trPr>
        <w:tc>
          <w:tcPr>
            <w:tcW w:w="3078" w:type="dxa"/>
            <w:hideMark/>
          </w:tcPr>
          <w:p w:rsidR="00DB3CF6" w:rsidRPr="007D18D5" w:rsidRDefault="00DB3CF6" w:rsidP="00553F5A">
            <w:pPr>
              <w:ind w:firstLine="0"/>
              <w:rPr>
                <w:b/>
                <w:bCs/>
                <w:sz w:val="22"/>
                <w:szCs w:val="22"/>
                <w:lang w:eastAsia="lt-LT"/>
              </w:rPr>
            </w:pPr>
            <w:r w:rsidRPr="007D18D5">
              <w:rPr>
                <w:b/>
                <w:bCs/>
                <w:sz w:val="22"/>
                <w:szCs w:val="22"/>
                <w:lang w:eastAsia="lt-LT"/>
              </w:rPr>
              <w:t>Trumpalaikės skolos pagal likutinę trukmę ir visų skolinių įsipareigojimų santykis</w:t>
            </w:r>
          </w:p>
        </w:tc>
        <w:tc>
          <w:tcPr>
            <w:tcW w:w="3060" w:type="dxa"/>
            <w:hideMark/>
          </w:tcPr>
          <w:p w:rsidR="00DB3CF6" w:rsidRPr="007D18D5" w:rsidRDefault="00DB3CF6" w:rsidP="00553F5A">
            <w:pPr>
              <w:ind w:firstLine="0"/>
              <w:jc w:val="left"/>
              <w:rPr>
                <w:sz w:val="22"/>
                <w:szCs w:val="22"/>
                <w:lang w:eastAsia="lt-LT"/>
              </w:rPr>
            </w:pPr>
            <w:r w:rsidRPr="007D18D5">
              <w:rPr>
                <w:sz w:val="22"/>
                <w:szCs w:val="22"/>
                <w:lang w:eastAsia="lt-LT"/>
              </w:rPr>
              <w:t>Trukmė iki 1 metų – ne daugiau negu 25 proc.</w:t>
            </w:r>
          </w:p>
        </w:tc>
        <w:tc>
          <w:tcPr>
            <w:tcW w:w="3182" w:type="dxa"/>
            <w:hideMark/>
          </w:tcPr>
          <w:p w:rsidR="00DB3CF6" w:rsidRPr="007D18D5" w:rsidRDefault="00DB3CF6" w:rsidP="00553F5A">
            <w:pPr>
              <w:ind w:firstLine="0"/>
              <w:jc w:val="left"/>
              <w:rPr>
                <w:sz w:val="22"/>
                <w:szCs w:val="22"/>
                <w:lang w:eastAsia="lt-LT"/>
              </w:rPr>
            </w:pPr>
            <w:r w:rsidRPr="007D18D5">
              <w:rPr>
                <w:sz w:val="22"/>
                <w:szCs w:val="22"/>
                <w:lang w:eastAsia="lt-LT"/>
              </w:rPr>
              <w:t>Trukmė iki 1 metų – 25 proc.</w:t>
            </w:r>
          </w:p>
        </w:tc>
      </w:tr>
      <w:tr w:rsidR="00DB3CF6" w:rsidRPr="009209D8" w:rsidTr="00553F5A">
        <w:trPr>
          <w:trHeight w:val="645"/>
          <w:jc w:val="center"/>
        </w:trPr>
        <w:tc>
          <w:tcPr>
            <w:tcW w:w="3078" w:type="dxa"/>
            <w:hideMark/>
          </w:tcPr>
          <w:p w:rsidR="00DB3CF6" w:rsidRPr="007D18D5" w:rsidRDefault="00DB3CF6" w:rsidP="00553F5A">
            <w:pPr>
              <w:ind w:firstLine="0"/>
              <w:rPr>
                <w:b/>
                <w:bCs/>
                <w:sz w:val="22"/>
                <w:szCs w:val="22"/>
                <w:lang w:eastAsia="lt-LT"/>
              </w:rPr>
            </w:pPr>
            <w:r w:rsidRPr="007D18D5">
              <w:rPr>
                <w:b/>
                <w:bCs/>
                <w:sz w:val="22"/>
                <w:szCs w:val="22"/>
                <w:lang w:eastAsia="lt-LT"/>
              </w:rPr>
              <w:t>Vidutinė svertinė likutinė skolos valstybės vardu trukmė</w:t>
            </w:r>
          </w:p>
        </w:tc>
        <w:tc>
          <w:tcPr>
            <w:tcW w:w="3060" w:type="dxa"/>
            <w:hideMark/>
          </w:tcPr>
          <w:p w:rsidR="00DB3CF6" w:rsidRPr="007D18D5" w:rsidRDefault="00DB3CF6" w:rsidP="00553F5A">
            <w:pPr>
              <w:ind w:firstLine="0"/>
              <w:jc w:val="left"/>
              <w:rPr>
                <w:sz w:val="22"/>
                <w:szCs w:val="22"/>
                <w:lang w:eastAsia="lt-LT"/>
              </w:rPr>
            </w:pPr>
            <w:r w:rsidRPr="007D18D5">
              <w:rPr>
                <w:sz w:val="22"/>
                <w:szCs w:val="22"/>
                <w:lang w:eastAsia="lt-LT"/>
              </w:rPr>
              <w:t>-</w:t>
            </w:r>
          </w:p>
        </w:tc>
        <w:tc>
          <w:tcPr>
            <w:tcW w:w="3182" w:type="dxa"/>
            <w:hideMark/>
          </w:tcPr>
          <w:p w:rsidR="00DB3CF6" w:rsidRPr="007D18D5" w:rsidRDefault="00DB3CF6" w:rsidP="00553F5A">
            <w:pPr>
              <w:ind w:firstLine="0"/>
              <w:jc w:val="left"/>
              <w:rPr>
                <w:sz w:val="22"/>
                <w:szCs w:val="22"/>
                <w:lang w:eastAsia="lt-LT"/>
              </w:rPr>
            </w:pPr>
            <w:r w:rsidRPr="007D18D5">
              <w:rPr>
                <w:sz w:val="22"/>
                <w:szCs w:val="22"/>
                <w:lang w:eastAsia="lt-LT"/>
              </w:rPr>
              <w:t>Ne trumpesnė negu trys metai</w:t>
            </w:r>
          </w:p>
        </w:tc>
      </w:tr>
      <w:tr w:rsidR="00DB3CF6" w:rsidRPr="009209D8" w:rsidTr="00553F5A">
        <w:trPr>
          <w:trHeight w:val="915"/>
          <w:jc w:val="center"/>
        </w:trPr>
        <w:tc>
          <w:tcPr>
            <w:tcW w:w="3078" w:type="dxa"/>
            <w:hideMark/>
          </w:tcPr>
          <w:p w:rsidR="00DB3CF6" w:rsidRPr="007D18D5" w:rsidRDefault="00DB3CF6" w:rsidP="00553F5A">
            <w:pPr>
              <w:ind w:firstLine="0"/>
              <w:rPr>
                <w:b/>
                <w:bCs/>
                <w:sz w:val="22"/>
                <w:szCs w:val="22"/>
                <w:lang w:eastAsia="lt-LT"/>
              </w:rPr>
            </w:pPr>
            <w:r w:rsidRPr="007D18D5">
              <w:rPr>
                <w:b/>
                <w:bCs/>
                <w:sz w:val="22"/>
                <w:szCs w:val="22"/>
                <w:lang w:eastAsia="lt-LT"/>
              </w:rPr>
              <w:t>Skolos pagal kintamą palūkanų normą ir visų skolinių įsipareigojimų valstybės vardu santykis</w:t>
            </w:r>
          </w:p>
        </w:tc>
        <w:tc>
          <w:tcPr>
            <w:tcW w:w="3060" w:type="dxa"/>
            <w:hideMark/>
          </w:tcPr>
          <w:p w:rsidR="00DB3CF6" w:rsidRPr="007D18D5" w:rsidRDefault="00DB3CF6" w:rsidP="00553F5A">
            <w:pPr>
              <w:ind w:firstLine="0"/>
              <w:jc w:val="left"/>
              <w:rPr>
                <w:sz w:val="22"/>
                <w:szCs w:val="22"/>
                <w:lang w:eastAsia="lt-LT"/>
              </w:rPr>
            </w:pPr>
            <w:r w:rsidRPr="007D18D5">
              <w:rPr>
                <w:sz w:val="22"/>
                <w:szCs w:val="22"/>
                <w:lang w:eastAsia="lt-LT"/>
              </w:rPr>
              <w:t>-</w:t>
            </w:r>
          </w:p>
        </w:tc>
        <w:tc>
          <w:tcPr>
            <w:tcW w:w="3182" w:type="dxa"/>
            <w:hideMark/>
          </w:tcPr>
          <w:p w:rsidR="00DB3CF6" w:rsidRPr="007D18D5" w:rsidRDefault="00DB3CF6" w:rsidP="00553F5A">
            <w:pPr>
              <w:ind w:firstLine="0"/>
              <w:jc w:val="left"/>
              <w:rPr>
                <w:sz w:val="22"/>
                <w:szCs w:val="22"/>
                <w:lang w:eastAsia="lt-LT"/>
              </w:rPr>
            </w:pPr>
            <w:r w:rsidRPr="007D18D5">
              <w:rPr>
                <w:sz w:val="22"/>
                <w:szCs w:val="22"/>
                <w:lang w:eastAsia="lt-LT"/>
              </w:rPr>
              <w:t>Ne daugiau 10 proc.</w:t>
            </w:r>
          </w:p>
        </w:tc>
      </w:tr>
      <w:tr w:rsidR="00DB3CF6" w:rsidRPr="009209D8" w:rsidTr="00553F5A">
        <w:trPr>
          <w:trHeight w:val="840"/>
          <w:jc w:val="center"/>
        </w:trPr>
        <w:tc>
          <w:tcPr>
            <w:tcW w:w="3078" w:type="dxa"/>
            <w:hideMark/>
          </w:tcPr>
          <w:p w:rsidR="00DB3CF6" w:rsidRPr="007D18D5" w:rsidRDefault="00DB3CF6" w:rsidP="00553F5A">
            <w:pPr>
              <w:ind w:firstLine="0"/>
              <w:rPr>
                <w:b/>
                <w:bCs/>
                <w:sz w:val="22"/>
                <w:szCs w:val="22"/>
                <w:lang w:eastAsia="lt-LT"/>
              </w:rPr>
            </w:pPr>
            <w:r w:rsidRPr="007D18D5">
              <w:rPr>
                <w:b/>
                <w:bCs/>
                <w:sz w:val="22"/>
                <w:szCs w:val="22"/>
                <w:lang w:eastAsia="lt-LT"/>
              </w:rPr>
              <w:t>Skolos dalis pagal fiksuotą palūkanų norma (trukmė daugiau negu 1 metai)</w:t>
            </w:r>
          </w:p>
        </w:tc>
        <w:tc>
          <w:tcPr>
            <w:tcW w:w="3060" w:type="dxa"/>
            <w:hideMark/>
          </w:tcPr>
          <w:p w:rsidR="00DB3CF6" w:rsidRPr="007D18D5" w:rsidRDefault="00DB3CF6" w:rsidP="00553F5A">
            <w:pPr>
              <w:ind w:firstLine="0"/>
              <w:jc w:val="left"/>
              <w:rPr>
                <w:sz w:val="22"/>
                <w:szCs w:val="22"/>
                <w:lang w:eastAsia="lt-LT"/>
              </w:rPr>
            </w:pPr>
            <w:r w:rsidRPr="007D18D5">
              <w:rPr>
                <w:sz w:val="22"/>
                <w:szCs w:val="22"/>
                <w:lang w:eastAsia="lt-LT"/>
              </w:rPr>
              <w:t>Ne mažiau 60 proc.</w:t>
            </w:r>
          </w:p>
        </w:tc>
        <w:tc>
          <w:tcPr>
            <w:tcW w:w="3182" w:type="dxa"/>
            <w:hideMark/>
          </w:tcPr>
          <w:p w:rsidR="00DB3CF6" w:rsidRPr="007D18D5" w:rsidRDefault="00DB3CF6" w:rsidP="00553F5A">
            <w:pPr>
              <w:ind w:firstLine="0"/>
              <w:jc w:val="left"/>
              <w:rPr>
                <w:sz w:val="22"/>
                <w:szCs w:val="22"/>
                <w:lang w:eastAsia="lt-LT"/>
              </w:rPr>
            </w:pPr>
            <w:r w:rsidRPr="007D18D5">
              <w:rPr>
                <w:sz w:val="22"/>
                <w:szCs w:val="22"/>
                <w:lang w:eastAsia="lt-LT"/>
              </w:rPr>
              <w:t>-</w:t>
            </w:r>
          </w:p>
        </w:tc>
      </w:tr>
      <w:tr w:rsidR="00DB3CF6" w:rsidRPr="009209D8" w:rsidTr="00553F5A">
        <w:trPr>
          <w:trHeight w:val="600"/>
          <w:jc w:val="center"/>
        </w:trPr>
        <w:tc>
          <w:tcPr>
            <w:tcW w:w="3078" w:type="dxa"/>
            <w:hideMark/>
          </w:tcPr>
          <w:p w:rsidR="00DB3CF6" w:rsidRPr="007D18D5" w:rsidRDefault="00DB3CF6" w:rsidP="00553F5A">
            <w:pPr>
              <w:ind w:firstLine="0"/>
              <w:rPr>
                <w:b/>
                <w:bCs/>
                <w:sz w:val="22"/>
                <w:szCs w:val="22"/>
                <w:lang w:eastAsia="lt-LT"/>
              </w:rPr>
            </w:pPr>
            <w:r w:rsidRPr="007D18D5">
              <w:rPr>
                <w:b/>
                <w:bCs/>
                <w:sz w:val="22"/>
                <w:szCs w:val="22"/>
                <w:lang w:eastAsia="lt-LT"/>
              </w:rPr>
              <w:t>Skolos vertybinio portfelio finansinė </w:t>
            </w:r>
            <w:r w:rsidRPr="007D18D5">
              <w:rPr>
                <w:b/>
                <w:bCs/>
                <w:i/>
                <w:iCs/>
                <w:sz w:val="22"/>
                <w:szCs w:val="22"/>
                <w:lang w:eastAsia="lt-LT"/>
              </w:rPr>
              <w:t>Macaulay</w:t>
            </w:r>
            <w:r w:rsidRPr="007D18D5">
              <w:rPr>
                <w:b/>
                <w:bCs/>
                <w:sz w:val="22"/>
                <w:szCs w:val="22"/>
                <w:lang w:eastAsia="lt-LT"/>
              </w:rPr>
              <w:t> trukmė</w:t>
            </w:r>
          </w:p>
        </w:tc>
        <w:tc>
          <w:tcPr>
            <w:tcW w:w="3060" w:type="dxa"/>
            <w:hideMark/>
          </w:tcPr>
          <w:p w:rsidR="00DB3CF6" w:rsidRPr="007D18D5" w:rsidRDefault="00DB3CF6" w:rsidP="00553F5A">
            <w:pPr>
              <w:ind w:firstLine="0"/>
              <w:jc w:val="left"/>
              <w:rPr>
                <w:sz w:val="22"/>
                <w:szCs w:val="22"/>
                <w:lang w:eastAsia="lt-LT"/>
              </w:rPr>
            </w:pPr>
            <w:r w:rsidRPr="007D18D5">
              <w:rPr>
                <w:sz w:val="22"/>
                <w:szCs w:val="22"/>
                <w:lang w:eastAsia="lt-LT"/>
              </w:rPr>
              <w:t>Nuo 3,4 -  5 metų</w:t>
            </w:r>
          </w:p>
        </w:tc>
        <w:tc>
          <w:tcPr>
            <w:tcW w:w="3182" w:type="dxa"/>
            <w:hideMark/>
          </w:tcPr>
          <w:p w:rsidR="00DB3CF6" w:rsidRPr="007D18D5" w:rsidRDefault="00DB3CF6" w:rsidP="00553F5A">
            <w:pPr>
              <w:ind w:firstLine="0"/>
              <w:jc w:val="left"/>
              <w:rPr>
                <w:sz w:val="22"/>
                <w:szCs w:val="22"/>
                <w:lang w:eastAsia="lt-LT"/>
              </w:rPr>
            </w:pPr>
            <w:r w:rsidRPr="007D18D5">
              <w:rPr>
                <w:sz w:val="22"/>
                <w:szCs w:val="22"/>
                <w:lang w:eastAsia="lt-LT"/>
              </w:rPr>
              <w:t>Nuo 2,5 – 5 metų</w:t>
            </w:r>
          </w:p>
        </w:tc>
      </w:tr>
      <w:tr w:rsidR="00DB3CF6" w:rsidRPr="009209D8" w:rsidTr="00553F5A">
        <w:trPr>
          <w:trHeight w:val="1005"/>
          <w:jc w:val="center"/>
        </w:trPr>
        <w:tc>
          <w:tcPr>
            <w:tcW w:w="3078" w:type="dxa"/>
            <w:hideMark/>
          </w:tcPr>
          <w:p w:rsidR="00DB3CF6" w:rsidRPr="007D18D5" w:rsidRDefault="00DB3CF6" w:rsidP="00553F5A">
            <w:pPr>
              <w:ind w:firstLine="0"/>
              <w:rPr>
                <w:b/>
                <w:bCs/>
                <w:sz w:val="22"/>
                <w:szCs w:val="22"/>
                <w:lang w:eastAsia="lt-LT"/>
              </w:rPr>
            </w:pPr>
            <w:r w:rsidRPr="007D18D5">
              <w:rPr>
                <w:b/>
                <w:bCs/>
                <w:sz w:val="22"/>
                <w:szCs w:val="22"/>
                <w:lang w:eastAsia="lt-LT"/>
              </w:rPr>
              <w:t>Skola nacionaline valiuta ir eurais, įvertinus sudarytus išvestinių finansinių priemonių sandorius</w:t>
            </w:r>
          </w:p>
        </w:tc>
        <w:tc>
          <w:tcPr>
            <w:tcW w:w="3060" w:type="dxa"/>
            <w:hideMark/>
          </w:tcPr>
          <w:p w:rsidR="00DB3CF6" w:rsidRPr="007D18D5" w:rsidRDefault="00DB3CF6" w:rsidP="00553F5A">
            <w:pPr>
              <w:ind w:firstLine="0"/>
              <w:jc w:val="left"/>
              <w:rPr>
                <w:sz w:val="22"/>
                <w:szCs w:val="22"/>
                <w:lang w:eastAsia="lt-LT"/>
              </w:rPr>
            </w:pPr>
            <w:r w:rsidRPr="007D18D5">
              <w:rPr>
                <w:sz w:val="22"/>
                <w:szCs w:val="22"/>
                <w:lang w:eastAsia="lt-LT"/>
              </w:rPr>
              <w:t>100 proc.</w:t>
            </w:r>
          </w:p>
        </w:tc>
        <w:tc>
          <w:tcPr>
            <w:tcW w:w="3182" w:type="dxa"/>
            <w:hideMark/>
          </w:tcPr>
          <w:p w:rsidR="00DB3CF6" w:rsidRPr="007D18D5" w:rsidRDefault="00DB3CF6" w:rsidP="00553F5A">
            <w:pPr>
              <w:ind w:firstLine="0"/>
              <w:jc w:val="left"/>
              <w:rPr>
                <w:sz w:val="22"/>
                <w:szCs w:val="22"/>
                <w:lang w:eastAsia="lt-LT"/>
              </w:rPr>
            </w:pPr>
            <w:r w:rsidRPr="007D18D5">
              <w:rPr>
                <w:sz w:val="22"/>
                <w:szCs w:val="22"/>
                <w:lang w:eastAsia="lt-LT"/>
              </w:rPr>
              <w:t>100 proc.</w:t>
            </w:r>
          </w:p>
        </w:tc>
      </w:tr>
      <w:tr w:rsidR="00DB3CF6" w:rsidRPr="009209D8" w:rsidTr="00553F5A">
        <w:trPr>
          <w:trHeight w:val="645"/>
          <w:jc w:val="center"/>
        </w:trPr>
        <w:tc>
          <w:tcPr>
            <w:tcW w:w="3078" w:type="dxa"/>
            <w:hideMark/>
          </w:tcPr>
          <w:p w:rsidR="00DB3CF6" w:rsidRPr="007D18D5" w:rsidRDefault="00DB3CF6" w:rsidP="00553F5A">
            <w:pPr>
              <w:ind w:firstLine="0"/>
              <w:rPr>
                <w:b/>
                <w:bCs/>
                <w:sz w:val="22"/>
                <w:szCs w:val="22"/>
                <w:lang w:eastAsia="lt-LT"/>
              </w:rPr>
            </w:pPr>
            <w:r w:rsidRPr="007D18D5">
              <w:rPr>
                <w:b/>
                <w:bCs/>
                <w:sz w:val="22"/>
                <w:szCs w:val="22"/>
                <w:lang w:eastAsia="lt-LT"/>
              </w:rPr>
              <w:t>Skolos nacionaline valiuta ir visos skolos santykis</w:t>
            </w:r>
          </w:p>
        </w:tc>
        <w:tc>
          <w:tcPr>
            <w:tcW w:w="3060" w:type="dxa"/>
            <w:hideMark/>
          </w:tcPr>
          <w:p w:rsidR="00DB3CF6" w:rsidRPr="007D18D5" w:rsidRDefault="00DB3CF6" w:rsidP="00553F5A">
            <w:pPr>
              <w:ind w:firstLine="0"/>
              <w:jc w:val="left"/>
              <w:rPr>
                <w:sz w:val="22"/>
                <w:szCs w:val="22"/>
                <w:lang w:eastAsia="lt-LT"/>
              </w:rPr>
            </w:pPr>
            <w:r w:rsidRPr="007D18D5">
              <w:rPr>
                <w:sz w:val="22"/>
                <w:szCs w:val="22"/>
                <w:lang w:eastAsia="lt-LT"/>
              </w:rPr>
              <w:t>Ne mažiau 35 proc.</w:t>
            </w:r>
          </w:p>
        </w:tc>
        <w:tc>
          <w:tcPr>
            <w:tcW w:w="3182" w:type="dxa"/>
            <w:hideMark/>
          </w:tcPr>
          <w:p w:rsidR="00DB3CF6" w:rsidRPr="007D18D5" w:rsidRDefault="00DB3CF6" w:rsidP="00553F5A">
            <w:pPr>
              <w:ind w:firstLine="0"/>
              <w:jc w:val="left"/>
              <w:rPr>
                <w:sz w:val="22"/>
                <w:szCs w:val="22"/>
                <w:lang w:eastAsia="lt-LT"/>
              </w:rPr>
            </w:pPr>
            <w:r w:rsidRPr="007D18D5">
              <w:rPr>
                <w:sz w:val="22"/>
                <w:szCs w:val="22"/>
                <w:lang w:eastAsia="lt-LT"/>
              </w:rPr>
              <w:t>-</w:t>
            </w:r>
          </w:p>
        </w:tc>
      </w:tr>
      <w:tr w:rsidR="00DB3CF6" w:rsidRPr="009209D8" w:rsidTr="00553F5A">
        <w:trPr>
          <w:trHeight w:val="645"/>
          <w:jc w:val="center"/>
        </w:trPr>
        <w:tc>
          <w:tcPr>
            <w:tcW w:w="3078" w:type="dxa"/>
            <w:hideMark/>
          </w:tcPr>
          <w:p w:rsidR="00DB3CF6" w:rsidRPr="007D18D5" w:rsidRDefault="00DB3CF6" w:rsidP="00553F5A">
            <w:pPr>
              <w:ind w:firstLine="0"/>
              <w:rPr>
                <w:b/>
                <w:bCs/>
                <w:sz w:val="22"/>
                <w:szCs w:val="22"/>
                <w:lang w:eastAsia="lt-LT"/>
              </w:rPr>
            </w:pPr>
            <w:r w:rsidRPr="007D18D5">
              <w:rPr>
                <w:b/>
                <w:bCs/>
                <w:sz w:val="22"/>
                <w:szCs w:val="22"/>
                <w:lang w:eastAsia="lt-LT"/>
              </w:rPr>
              <w:t>Vidaus skolos dalis bendroje skolos struktūroje</w:t>
            </w:r>
          </w:p>
        </w:tc>
        <w:tc>
          <w:tcPr>
            <w:tcW w:w="3060" w:type="dxa"/>
            <w:hideMark/>
          </w:tcPr>
          <w:p w:rsidR="00DB3CF6" w:rsidRPr="007D18D5" w:rsidRDefault="00DB3CF6" w:rsidP="00553F5A">
            <w:pPr>
              <w:ind w:firstLine="0"/>
              <w:jc w:val="left"/>
              <w:rPr>
                <w:sz w:val="22"/>
                <w:szCs w:val="22"/>
                <w:lang w:eastAsia="lt-LT"/>
              </w:rPr>
            </w:pPr>
            <w:r w:rsidRPr="007D18D5">
              <w:rPr>
                <w:sz w:val="22"/>
                <w:szCs w:val="22"/>
                <w:lang w:eastAsia="lt-LT"/>
              </w:rPr>
              <w:t>Ne maženė negu praėjusių metų gale</w:t>
            </w:r>
          </w:p>
        </w:tc>
        <w:tc>
          <w:tcPr>
            <w:tcW w:w="3182" w:type="dxa"/>
            <w:hideMark/>
          </w:tcPr>
          <w:p w:rsidR="00DB3CF6" w:rsidRPr="007D18D5" w:rsidRDefault="00DB3CF6" w:rsidP="00553F5A">
            <w:pPr>
              <w:ind w:firstLine="0"/>
              <w:jc w:val="left"/>
              <w:rPr>
                <w:sz w:val="22"/>
                <w:szCs w:val="22"/>
                <w:lang w:eastAsia="lt-LT"/>
              </w:rPr>
            </w:pPr>
            <w:r w:rsidRPr="007D18D5">
              <w:rPr>
                <w:sz w:val="22"/>
                <w:szCs w:val="22"/>
                <w:lang w:eastAsia="lt-LT"/>
              </w:rPr>
              <w:t>-</w:t>
            </w:r>
          </w:p>
        </w:tc>
      </w:tr>
    </w:tbl>
    <w:p w:rsidR="00DB3CF6" w:rsidRPr="001522CC" w:rsidRDefault="00553F5A" w:rsidP="00DB3CF6">
      <w:pPr>
        <w:tabs>
          <w:tab w:val="left" w:pos="4155"/>
        </w:tabs>
        <w:ind w:firstLine="0"/>
      </w:pPr>
      <w:r>
        <w:t xml:space="preserve"> </w:t>
      </w:r>
      <w:r w:rsidR="00DB3CF6">
        <w:t xml:space="preserve">Šaltinis: sudaryta pagal </w:t>
      </w:r>
      <w:r w:rsidR="00DB3CF6" w:rsidRPr="00D16932">
        <w:t>Lietu</w:t>
      </w:r>
      <w:r w:rsidR="00DB3CF6">
        <w:t>vo</w:t>
      </w:r>
      <w:r w:rsidR="00DB3CF6" w:rsidRPr="00D16932">
        <w:t xml:space="preserve"> Finansų ministerijos</w:t>
      </w:r>
      <w:r w:rsidR="00DB3CF6">
        <w:t xml:space="preserve">, Latvijos valstybės iždo duomenis  </w:t>
      </w:r>
    </w:p>
    <w:p w:rsidR="00DB3CF6" w:rsidRDefault="00DB3CF6" w:rsidP="00DB3CF6">
      <w:pPr>
        <w:tabs>
          <w:tab w:val="left" w:pos="4155"/>
        </w:tabs>
      </w:pPr>
    </w:p>
    <w:p w:rsidR="00DB3CF6" w:rsidRDefault="00DB3CF6" w:rsidP="00DB3CF6">
      <w:pPr>
        <w:tabs>
          <w:tab w:val="left" w:pos="7470"/>
        </w:tabs>
        <w:jc w:val="right"/>
        <w:rPr>
          <w:sz w:val="24"/>
          <w:szCs w:val="24"/>
        </w:rPr>
      </w:pPr>
    </w:p>
    <w:p w:rsidR="00B17370" w:rsidRDefault="00B17370" w:rsidP="00DB3CF6">
      <w:pPr>
        <w:tabs>
          <w:tab w:val="left" w:pos="7470"/>
        </w:tabs>
        <w:jc w:val="right"/>
        <w:rPr>
          <w:sz w:val="24"/>
          <w:szCs w:val="24"/>
        </w:rPr>
      </w:pPr>
    </w:p>
    <w:p w:rsidR="00B17370" w:rsidRDefault="00B17370" w:rsidP="00DB3CF6">
      <w:pPr>
        <w:tabs>
          <w:tab w:val="left" w:pos="7470"/>
        </w:tabs>
        <w:jc w:val="right"/>
        <w:rPr>
          <w:sz w:val="24"/>
          <w:szCs w:val="24"/>
        </w:rPr>
      </w:pPr>
    </w:p>
    <w:p w:rsidR="00B17370" w:rsidRDefault="00B17370" w:rsidP="00DB3CF6">
      <w:pPr>
        <w:tabs>
          <w:tab w:val="left" w:pos="7470"/>
        </w:tabs>
        <w:jc w:val="right"/>
        <w:rPr>
          <w:sz w:val="24"/>
          <w:szCs w:val="24"/>
        </w:rPr>
      </w:pPr>
    </w:p>
    <w:p w:rsidR="00B17370" w:rsidRDefault="00B17370" w:rsidP="00DB3CF6">
      <w:pPr>
        <w:tabs>
          <w:tab w:val="left" w:pos="7470"/>
        </w:tabs>
        <w:jc w:val="right"/>
        <w:rPr>
          <w:sz w:val="24"/>
          <w:szCs w:val="24"/>
        </w:rPr>
      </w:pPr>
    </w:p>
    <w:p w:rsidR="00B17370" w:rsidRDefault="00B17370" w:rsidP="00DB3CF6">
      <w:pPr>
        <w:tabs>
          <w:tab w:val="left" w:pos="7470"/>
        </w:tabs>
        <w:jc w:val="right"/>
        <w:rPr>
          <w:sz w:val="24"/>
          <w:szCs w:val="24"/>
        </w:rPr>
      </w:pPr>
    </w:p>
    <w:p w:rsidR="00B17370" w:rsidRDefault="00B17370" w:rsidP="00DB3CF6">
      <w:pPr>
        <w:tabs>
          <w:tab w:val="left" w:pos="7470"/>
        </w:tabs>
        <w:jc w:val="right"/>
        <w:rPr>
          <w:sz w:val="24"/>
          <w:szCs w:val="24"/>
        </w:rPr>
      </w:pPr>
    </w:p>
    <w:p w:rsidR="00B17370" w:rsidRDefault="00B17370" w:rsidP="00DB3CF6">
      <w:pPr>
        <w:tabs>
          <w:tab w:val="left" w:pos="7470"/>
        </w:tabs>
        <w:jc w:val="right"/>
        <w:rPr>
          <w:sz w:val="24"/>
          <w:szCs w:val="24"/>
        </w:rPr>
      </w:pPr>
    </w:p>
    <w:p w:rsidR="00B17370" w:rsidRDefault="00B17370" w:rsidP="00DB3CF6">
      <w:pPr>
        <w:tabs>
          <w:tab w:val="left" w:pos="7470"/>
        </w:tabs>
        <w:jc w:val="right"/>
        <w:rPr>
          <w:sz w:val="24"/>
          <w:szCs w:val="24"/>
        </w:rPr>
      </w:pPr>
    </w:p>
    <w:p w:rsidR="00B17370" w:rsidRDefault="00B17370" w:rsidP="00DB3CF6">
      <w:pPr>
        <w:tabs>
          <w:tab w:val="left" w:pos="7470"/>
        </w:tabs>
        <w:jc w:val="right"/>
        <w:rPr>
          <w:sz w:val="24"/>
          <w:szCs w:val="24"/>
        </w:rPr>
      </w:pPr>
    </w:p>
    <w:p w:rsidR="00B17370" w:rsidRDefault="00B17370" w:rsidP="00DB3CF6">
      <w:pPr>
        <w:tabs>
          <w:tab w:val="left" w:pos="7470"/>
        </w:tabs>
        <w:jc w:val="right"/>
        <w:rPr>
          <w:sz w:val="24"/>
          <w:szCs w:val="24"/>
        </w:rPr>
      </w:pPr>
    </w:p>
    <w:p w:rsidR="00B17370" w:rsidRDefault="00B17370" w:rsidP="00DB3CF6">
      <w:pPr>
        <w:tabs>
          <w:tab w:val="left" w:pos="7470"/>
        </w:tabs>
        <w:jc w:val="right"/>
        <w:rPr>
          <w:sz w:val="24"/>
          <w:szCs w:val="24"/>
        </w:rPr>
      </w:pPr>
    </w:p>
    <w:p w:rsidR="00B17370" w:rsidRDefault="00B17370" w:rsidP="00DB3CF6">
      <w:pPr>
        <w:tabs>
          <w:tab w:val="left" w:pos="7470"/>
        </w:tabs>
        <w:jc w:val="right"/>
        <w:rPr>
          <w:sz w:val="24"/>
          <w:szCs w:val="24"/>
        </w:rPr>
      </w:pPr>
    </w:p>
    <w:p w:rsidR="00B17370" w:rsidRDefault="00B17370" w:rsidP="00B17370">
      <w:pPr>
        <w:tabs>
          <w:tab w:val="left" w:pos="7470"/>
        </w:tabs>
        <w:ind w:firstLine="0"/>
        <w:rPr>
          <w:sz w:val="24"/>
          <w:szCs w:val="24"/>
        </w:rPr>
      </w:pPr>
    </w:p>
    <w:p w:rsidR="00B17370" w:rsidRDefault="00B17370" w:rsidP="00B17370">
      <w:pPr>
        <w:tabs>
          <w:tab w:val="left" w:pos="7470"/>
        </w:tabs>
        <w:ind w:firstLine="0"/>
        <w:jc w:val="right"/>
        <w:rPr>
          <w:b/>
          <w:sz w:val="24"/>
          <w:szCs w:val="24"/>
        </w:rPr>
      </w:pPr>
      <w:r w:rsidRPr="00A305E9">
        <w:rPr>
          <w:b/>
          <w:sz w:val="24"/>
          <w:szCs w:val="24"/>
        </w:rPr>
        <w:lastRenderedPageBreak/>
        <w:t>7 PRIEDAS</w:t>
      </w:r>
    </w:p>
    <w:p w:rsidR="00B17370" w:rsidRPr="00A305E9" w:rsidRDefault="00B17370" w:rsidP="00B17370">
      <w:pPr>
        <w:tabs>
          <w:tab w:val="left" w:pos="7470"/>
        </w:tabs>
        <w:jc w:val="right"/>
        <w:rPr>
          <w:b/>
          <w:sz w:val="24"/>
          <w:szCs w:val="24"/>
        </w:rPr>
      </w:pPr>
    </w:p>
    <w:p w:rsidR="00B17370" w:rsidRDefault="00B17370" w:rsidP="00B17370">
      <w:pPr>
        <w:tabs>
          <w:tab w:val="left" w:pos="7470"/>
        </w:tabs>
        <w:jc w:val="center"/>
        <w:rPr>
          <w:b/>
          <w:sz w:val="24"/>
          <w:szCs w:val="24"/>
        </w:rPr>
      </w:pPr>
      <w:r w:rsidRPr="00A305E9">
        <w:rPr>
          <w:b/>
          <w:sz w:val="24"/>
          <w:szCs w:val="24"/>
        </w:rPr>
        <w:t>KINTAMŲJŲ REIKŠMĖS BALTIJOS ŠALIŲ VALSTYBĖS SKOLOS PROGNOZEI</w:t>
      </w:r>
    </w:p>
    <w:p w:rsidR="00553F5A" w:rsidRPr="00A305E9" w:rsidRDefault="00553F5A" w:rsidP="00B17370">
      <w:pPr>
        <w:tabs>
          <w:tab w:val="left" w:pos="7470"/>
        </w:tabs>
        <w:jc w:val="center"/>
        <w:rPr>
          <w:b/>
          <w:sz w:val="24"/>
          <w:szCs w:val="24"/>
        </w:rPr>
      </w:pPr>
    </w:p>
    <w:p w:rsidR="00B17370" w:rsidRPr="00A305E9" w:rsidRDefault="00B17370" w:rsidP="00B17370">
      <w:pPr>
        <w:tabs>
          <w:tab w:val="left" w:pos="7470"/>
        </w:tabs>
        <w:jc w:val="center"/>
        <w:rPr>
          <w:sz w:val="24"/>
          <w:szCs w:val="24"/>
        </w:rPr>
      </w:pPr>
      <w:r w:rsidRPr="00A305E9">
        <w:rPr>
          <w:sz w:val="24"/>
          <w:szCs w:val="24"/>
        </w:rPr>
        <w:t>1 lentelė. Kintamųjų reikšmės Lietuvos valstybės skolos prognozei</w:t>
      </w:r>
    </w:p>
    <w:p w:rsidR="00B17370" w:rsidRDefault="00B17370" w:rsidP="00B17370">
      <w:pPr>
        <w:tabs>
          <w:tab w:val="left" w:pos="7470"/>
        </w:tabs>
        <w:jc w:val="center"/>
      </w:pPr>
    </w:p>
    <w:tbl>
      <w:tblPr>
        <w:tblW w:w="8879" w:type="dxa"/>
        <w:jc w:val="center"/>
        <w:tblInd w:w="-615" w:type="dxa"/>
        <w:tblLook w:val="04A0"/>
      </w:tblPr>
      <w:tblGrid>
        <w:gridCol w:w="1324"/>
        <w:gridCol w:w="1639"/>
        <w:gridCol w:w="1487"/>
        <w:gridCol w:w="1889"/>
        <w:gridCol w:w="1521"/>
        <w:gridCol w:w="1445"/>
      </w:tblGrid>
      <w:tr w:rsidR="00B17370" w:rsidRPr="004C4788" w:rsidTr="00553F5A">
        <w:trPr>
          <w:trHeight w:val="1147"/>
          <w:jc w:val="center"/>
        </w:trPr>
        <w:tc>
          <w:tcPr>
            <w:tcW w:w="13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7370" w:rsidRPr="004C4788" w:rsidRDefault="00B17370" w:rsidP="00553F5A">
            <w:pPr>
              <w:rPr>
                <w:color w:val="000000"/>
              </w:rPr>
            </w:pPr>
            <w:r w:rsidRPr="004C4788">
              <w:rPr>
                <w:color w:val="000000"/>
              </w:rPr>
              <w:t> </w:t>
            </w:r>
          </w:p>
        </w:tc>
        <w:tc>
          <w:tcPr>
            <w:tcW w:w="1639" w:type="dxa"/>
            <w:tcBorders>
              <w:top w:val="single" w:sz="4" w:space="0" w:color="auto"/>
              <w:left w:val="nil"/>
              <w:bottom w:val="single" w:sz="4" w:space="0" w:color="auto"/>
              <w:right w:val="single" w:sz="4" w:space="0" w:color="auto"/>
            </w:tcBorders>
            <w:shd w:val="clear" w:color="auto" w:fill="auto"/>
            <w:vAlign w:val="bottom"/>
            <w:hideMark/>
          </w:tcPr>
          <w:p w:rsidR="00B17370" w:rsidRPr="004C4788" w:rsidRDefault="00B17370" w:rsidP="00553F5A">
            <w:pPr>
              <w:ind w:firstLine="0"/>
              <w:jc w:val="left"/>
              <w:rPr>
                <w:b/>
                <w:bCs/>
                <w:color w:val="000000"/>
              </w:rPr>
            </w:pPr>
            <w:r w:rsidRPr="004C4788">
              <w:rPr>
                <w:b/>
                <w:bCs/>
                <w:color w:val="000000"/>
              </w:rPr>
              <w:t>Valstybės skola, mln.Eur.</w:t>
            </w:r>
          </w:p>
        </w:tc>
        <w:tc>
          <w:tcPr>
            <w:tcW w:w="1487" w:type="dxa"/>
            <w:tcBorders>
              <w:top w:val="single" w:sz="4" w:space="0" w:color="auto"/>
              <w:left w:val="nil"/>
              <w:bottom w:val="single" w:sz="4" w:space="0" w:color="auto"/>
              <w:right w:val="single" w:sz="4" w:space="0" w:color="auto"/>
            </w:tcBorders>
            <w:shd w:val="clear" w:color="auto" w:fill="auto"/>
            <w:vAlign w:val="bottom"/>
            <w:hideMark/>
          </w:tcPr>
          <w:p w:rsidR="00B17370" w:rsidRPr="004C4788" w:rsidRDefault="00B17370" w:rsidP="00553F5A">
            <w:pPr>
              <w:ind w:firstLine="0"/>
              <w:jc w:val="left"/>
              <w:rPr>
                <w:b/>
                <w:bCs/>
                <w:color w:val="000000"/>
              </w:rPr>
            </w:pPr>
            <w:r w:rsidRPr="004C4788">
              <w:rPr>
                <w:b/>
                <w:bCs/>
                <w:color w:val="000000"/>
              </w:rPr>
              <w:t>BVP, mln.Eur.</w:t>
            </w:r>
          </w:p>
        </w:tc>
        <w:tc>
          <w:tcPr>
            <w:tcW w:w="1889" w:type="dxa"/>
            <w:tcBorders>
              <w:top w:val="single" w:sz="4" w:space="0" w:color="auto"/>
              <w:left w:val="nil"/>
              <w:bottom w:val="single" w:sz="4" w:space="0" w:color="auto"/>
              <w:right w:val="single" w:sz="4" w:space="0" w:color="auto"/>
            </w:tcBorders>
            <w:shd w:val="clear" w:color="auto" w:fill="auto"/>
            <w:vAlign w:val="bottom"/>
            <w:hideMark/>
          </w:tcPr>
          <w:p w:rsidR="00B17370" w:rsidRPr="004C4788" w:rsidRDefault="00B17370" w:rsidP="00553F5A">
            <w:pPr>
              <w:ind w:firstLine="0"/>
              <w:jc w:val="left"/>
              <w:rPr>
                <w:b/>
                <w:bCs/>
                <w:color w:val="000000"/>
              </w:rPr>
            </w:pPr>
            <w:r w:rsidRPr="004C4788">
              <w:rPr>
                <w:b/>
                <w:bCs/>
                <w:color w:val="000000"/>
              </w:rPr>
              <w:t>Valdžios sektoriaus deficitas/perteklius, mln.Eur.</w:t>
            </w:r>
          </w:p>
        </w:tc>
        <w:tc>
          <w:tcPr>
            <w:tcW w:w="1521" w:type="dxa"/>
            <w:tcBorders>
              <w:top w:val="single" w:sz="4" w:space="0" w:color="auto"/>
              <w:left w:val="nil"/>
              <w:bottom w:val="single" w:sz="4" w:space="0" w:color="auto"/>
              <w:right w:val="single" w:sz="4" w:space="0" w:color="auto"/>
            </w:tcBorders>
            <w:shd w:val="clear" w:color="auto" w:fill="auto"/>
            <w:vAlign w:val="bottom"/>
            <w:hideMark/>
          </w:tcPr>
          <w:p w:rsidR="00B17370" w:rsidRPr="004C4788" w:rsidRDefault="00B17370" w:rsidP="00553F5A">
            <w:pPr>
              <w:ind w:firstLine="0"/>
              <w:jc w:val="left"/>
              <w:rPr>
                <w:b/>
                <w:bCs/>
                <w:color w:val="000000"/>
              </w:rPr>
            </w:pPr>
            <w:r w:rsidRPr="004C4788">
              <w:rPr>
                <w:b/>
                <w:bCs/>
                <w:color w:val="000000"/>
              </w:rPr>
              <w:t>Einamosios sąskaitos balansas, mln.Eur.</w:t>
            </w:r>
          </w:p>
        </w:tc>
        <w:tc>
          <w:tcPr>
            <w:tcW w:w="1019" w:type="dxa"/>
            <w:tcBorders>
              <w:top w:val="single" w:sz="4" w:space="0" w:color="auto"/>
              <w:left w:val="nil"/>
              <w:bottom w:val="single" w:sz="4" w:space="0" w:color="auto"/>
              <w:right w:val="single" w:sz="4" w:space="0" w:color="auto"/>
            </w:tcBorders>
            <w:shd w:val="clear" w:color="auto" w:fill="auto"/>
            <w:vAlign w:val="bottom"/>
            <w:hideMark/>
          </w:tcPr>
          <w:p w:rsidR="00B17370" w:rsidRPr="004C4788" w:rsidRDefault="00B17370" w:rsidP="00553F5A">
            <w:pPr>
              <w:ind w:firstLine="0"/>
              <w:jc w:val="left"/>
              <w:rPr>
                <w:b/>
                <w:bCs/>
                <w:color w:val="000000"/>
              </w:rPr>
            </w:pPr>
            <w:r w:rsidRPr="004C4788">
              <w:rPr>
                <w:b/>
                <w:bCs/>
                <w:color w:val="000000"/>
              </w:rPr>
              <w:t>Valstybės skolos valdymo išlaidos (palūkanoms), mln. Eur.</w:t>
            </w:r>
          </w:p>
        </w:tc>
      </w:tr>
      <w:tr w:rsidR="00B17370" w:rsidRPr="004C4788" w:rsidTr="00553F5A">
        <w:trPr>
          <w:trHeight w:val="300"/>
          <w:jc w:val="center"/>
        </w:trPr>
        <w:tc>
          <w:tcPr>
            <w:tcW w:w="1324" w:type="dxa"/>
            <w:tcBorders>
              <w:top w:val="nil"/>
              <w:left w:val="single" w:sz="4" w:space="0" w:color="auto"/>
              <w:bottom w:val="single" w:sz="4" w:space="0" w:color="auto"/>
              <w:right w:val="single" w:sz="4" w:space="0" w:color="auto"/>
            </w:tcBorders>
            <w:shd w:val="clear" w:color="auto" w:fill="auto"/>
            <w:noWrap/>
            <w:vAlign w:val="bottom"/>
            <w:hideMark/>
          </w:tcPr>
          <w:p w:rsidR="00B17370" w:rsidRPr="004C4788" w:rsidRDefault="00B17370" w:rsidP="00553F5A">
            <w:pPr>
              <w:rPr>
                <w:color w:val="000000"/>
              </w:rPr>
            </w:pPr>
            <w:r w:rsidRPr="004C4788">
              <w:rPr>
                <w:color w:val="000000"/>
              </w:rPr>
              <w:t> </w:t>
            </w:r>
          </w:p>
        </w:tc>
        <w:tc>
          <w:tcPr>
            <w:tcW w:w="163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rPr>
                <w:b/>
                <w:bCs/>
                <w:color w:val="000000"/>
              </w:rPr>
            </w:pPr>
            <w:r w:rsidRPr="004C4788">
              <w:rPr>
                <w:b/>
                <w:bCs/>
                <w:color w:val="000000"/>
              </w:rPr>
              <w:t>y</w:t>
            </w:r>
          </w:p>
        </w:tc>
        <w:tc>
          <w:tcPr>
            <w:tcW w:w="1487"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rPr>
                <w:b/>
                <w:bCs/>
                <w:color w:val="000000"/>
              </w:rPr>
            </w:pPr>
            <w:r w:rsidRPr="004C4788">
              <w:rPr>
                <w:b/>
                <w:bCs/>
                <w:color w:val="000000"/>
              </w:rPr>
              <w:t>x1</w:t>
            </w:r>
          </w:p>
        </w:tc>
        <w:tc>
          <w:tcPr>
            <w:tcW w:w="188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rPr>
                <w:b/>
                <w:bCs/>
                <w:color w:val="000000"/>
              </w:rPr>
            </w:pPr>
            <w:r w:rsidRPr="004C4788">
              <w:rPr>
                <w:b/>
                <w:bCs/>
                <w:color w:val="000000"/>
              </w:rPr>
              <w:t>x2</w:t>
            </w:r>
          </w:p>
        </w:tc>
        <w:tc>
          <w:tcPr>
            <w:tcW w:w="1521"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rPr>
                <w:b/>
                <w:bCs/>
                <w:color w:val="000000"/>
              </w:rPr>
            </w:pPr>
            <w:r w:rsidRPr="004C4788">
              <w:rPr>
                <w:b/>
                <w:bCs/>
                <w:color w:val="000000"/>
              </w:rPr>
              <w:t>x3</w:t>
            </w:r>
          </w:p>
        </w:tc>
        <w:tc>
          <w:tcPr>
            <w:tcW w:w="101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rPr>
                <w:b/>
                <w:bCs/>
                <w:color w:val="000000"/>
              </w:rPr>
            </w:pPr>
            <w:r w:rsidRPr="004C4788">
              <w:rPr>
                <w:b/>
                <w:bCs/>
                <w:color w:val="000000"/>
              </w:rPr>
              <w:t>x4</w:t>
            </w:r>
          </w:p>
        </w:tc>
      </w:tr>
      <w:tr w:rsidR="00B17370" w:rsidRPr="004C4788" w:rsidTr="00553F5A">
        <w:trPr>
          <w:trHeight w:val="315"/>
          <w:jc w:val="center"/>
        </w:trPr>
        <w:tc>
          <w:tcPr>
            <w:tcW w:w="1324" w:type="dxa"/>
            <w:tcBorders>
              <w:top w:val="nil"/>
              <w:left w:val="single" w:sz="4" w:space="0" w:color="auto"/>
              <w:bottom w:val="single" w:sz="4" w:space="0" w:color="auto"/>
              <w:right w:val="single" w:sz="4" w:space="0" w:color="auto"/>
            </w:tcBorders>
            <w:shd w:val="clear" w:color="auto" w:fill="auto"/>
            <w:noWrap/>
            <w:vAlign w:val="bottom"/>
            <w:hideMark/>
          </w:tcPr>
          <w:p w:rsidR="00B17370" w:rsidRPr="004C4788" w:rsidRDefault="00B17370" w:rsidP="00553F5A">
            <w:pPr>
              <w:jc w:val="right"/>
              <w:rPr>
                <w:b/>
                <w:bCs/>
                <w:color w:val="000000"/>
              </w:rPr>
            </w:pPr>
            <w:r w:rsidRPr="004C4788">
              <w:rPr>
                <w:b/>
                <w:bCs/>
                <w:color w:val="000000"/>
              </w:rPr>
              <w:t>2000</w:t>
            </w:r>
          </w:p>
        </w:tc>
        <w:tc>
          <w:tcPr>
            <w:tcW w:w="163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2912,1</w:t>
            </w:r>
          </w:p>
        </w:tc>
        <w:tc>
          <w:tcPr>
            <w:tcW w:w="1487"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12449,3</w:t>
            </w:r>
          </w:p>
        </w:tc>
        <w:tc>
          <w:tcPr>
            <w:tcW w:w="188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-397,8</w:t>
            </w:r>
          </w:p>
        </w:tc>
        <w:tc>
          <w:tcPr>
            <w:tcW w:w="1521"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-782,9</w:t>
            </w:r>
          </w:p>
        </w:tc>
        <w:tc>
          <w:tcPr>
            <w:tcW w:w="101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216,5</w:t>
            </w:r>
          </w:p>
        </w:tc>
      </w:tr>
      <w:tr w:rsidR="00B17370" w:rsidRPr="004C4788" w:rsidTr="00553F5A">
        <w:trPr>
          <w:trHeight w:val="315"/>
          <w:jc w:val="center"/>
        </w:trPr>
        <w:tc>
          <w:tcPr>
            <w:tcW w:w="1324" w:type="dxa"/>
            <w:tcBorders>
              <w:top w:val="nil"/>
              <w:left w:val="single" w:sz="4" w:space="0" w:color="auto"/>
              <w:bottom w:val="single" w:sz="4" w:space="0" w:color="auto"/>
              <w:right w:val="single" w:sz="4" w:space="0" w:color="auto"/>
            </w:tcBorders>
            <w:shd w:val="clear" w:color="auto" w:fill="auto"/>
            <w:noWrap/>
            <w:vAlign w:val="bottom"/>
            <w:hideMark/>
          </w:tcPr>
          <w:p w:rsidR="00B17370" w:rsidRPr="004C4788" w:rsidRDefault="00B17370" w:rsidP="00553F5A">
            <w:pPr>
              <w:jc w:val="right"/>
              <w:rPr>
                <w:b/>
                <w:bCs/>
                <w:color w:val="000000"/>
              </w:rPr>
            </w:pPr>
            <w:r w:rsidRPr="004C4788">
              <w:rPr>
                <w:b/>
                <w:bCs/>
                <w:color w:val="000000"/>
              </w:rPr>
              <w:t>2001</w:t>
            </w:r>
          </w:p>
        </w:tc>
        <w:tc>
          <w:tcPr>
            <w:tcW w:w="163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3185,2</w:t>
            </w:r>
          </w:p>
        </w:tc>
        <w:tc>
          <w:tcPr>
            <w:tcW w:w="1487"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13644,7</w:t>
            </w:r>
          </w:p>
        </w:tc>
        <w:tc>
          <w:tcPr>
            <w:tcW w:w="188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-482,5</w:t>
            </w:r>
          </w:p>
        </w:tc>
        <w:tc>
          <w:tcPr>
            <w:tcW w:w="1521"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-755,7</w:t>
            </w:r>
          </w:p>
        </w:tc>
        <w:tc>
          <w:tcPr>
            <w:tcW w:w="101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205,8</w:t>
            </w:r>
          </w:p>
        </w:tc>
      </w:tr>
      <w:tr w:rsidR="00B17370" w:rsidRPr="004C4788" w:rsidTr="00553F5A">
        <w:trPr>
          <w:trHeight w:val="315"/>
          <w:jc w:val="center"/>
        </w:trPr>
        <w:tc>
          <w:tcPr>
            <w:tcW w:w="1324" w:type="dxa"/>
            <w:tcBorders>
              <w:top w:val="nil"/>
              <w:left w:val="single" w:sz="4" w:space="0" w:color="auto"/>
              <w:bottom w:val="single" w:sz="4" w:space="0" w:color="auto"/>
              <w:right w:val="single" w:sz="4" w:space="0" w:color="auto"/>
            </w:tcBorders>
            <w:shd w:val="clear" w:color="auto" w:fill="auto"/>
            <w:noWrap/>
            <w:vAlign w:val="bottom"/>
            <w:hideMark/>
          </w:tcPr>
          <w:p w:rsidR="00B17370" w:rsidRPr="004C4788" w:rsidRDefault="00B17370" w:rsidP="00553F5A">
            <w:pPr>
              <w:jc w:val="right"/>
              <w:rPr>
                <w:b/>
                <w:bCs/>
                <w:color w:val="000000"/>
              </w:rPr>
            </w:pPr>
            <w:r w:rsidRPr="004C4788">
              <w:rPr>
                <w:b/>
                <w:bCs/>
                <w:color w:val="000000"/>
              </w:rPr>
              <w:t>2002</w:t>
            </w:r>
          </w:p>
        </w:tc>
        <w:tc>
          <w:tcPr>
            <w:tcW w:w="163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3365,7</w:t>
            </w:r>
          </w:p>
        </w:tc>
        <w:tc>
          <w:tcPr>
            <w:tcW w:w="1487"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15133</w:t>
            </w:r>
          </w:p>
        </w:tc>
        <w:tc>
          <w:tcPr>
            <w:tcW w:w="188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-281,5</w:t>
            </w:r>
          </w:p>
        </w:tc>
        <w:tc>
          <w:tcPr>
            <w:tcW w:w="1521"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-867,7</w:t>
            </w:r>
          </w:p>
        </w:tc>
        <w:tc>
          <w:tcPr>
            <w:tcW w:w="101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198</w:t>
            </w:r>
          </w:p>
        </w:tc>
      </w:tr>
      <w:tr w:rsidR="00B17370" w:rsidRPr="004C4788" w:rsidTr="00553F5A">
        <w:trPr>
          <w:trHeight w:val="315"/>
          <w:jc w:val="center"/>
        </w:trPr>
        <w:tc>
          <w:tcPr>
            <w:tcW w:w="1324" w:type="dxa"/>
            <w:tcBorders>
              <w:top w:val="nil"/>
              <w:left w:val="single" w:sz="4" w:space="0" w:color="auto"/>
              <w:bottom w:val="single" w:sz="4" w:space="0" w:color="auto"/>
              <w:right w:val="single" w:sz="4" w:space="0" w:color="auto"/>
            </w:tcBorders>
            <w:shd w:val="clear" w:color="auto" w:fill="auto"/>
            <w:noWrap/>
            <w:vAlign w:val="bottom"/>
            <w:hideMark/>
          </w:tcPr>
          <w:p w:rsidR="00B17370" w:rsidRPr="004C4788" w:rsidRDefault="00B17370" w:rsidP="00553F5A">
            <w:pPr>
              <w:jc w:val="right"/>
              <w:rPr>
                <w:b/>
                <w:bCs/>
                <w:color w:val="000000"/>
              </w:rPr>
            </w:pPr>
            <w:r w:rsidRPr="004C4788">
              <w:rPr>
                <w:b/>
                <w:bCs/>
                <w:color w:val="000000"/>
              </w:rPr>
              <w:t>2003</w:t>
            </w:r>
          </w:p>
        </w:tc>
        <w:tc>
          <w:tcPr>
            <w:tcW w:w="163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3487,2</w:t>
            </w:r>
          </w:p>
        </w:tc>
        <w:tc>
          <w:tcPr>
            <w:tcW w:w="1487"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16576,1</w:t>
            </w:r>
          </w:p>
        </w:tc>
        <w:tc>
          <w:tcPr>
            <w:tcW w:w="188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-210,7</w:t>
            </w:r>
          </w:p>
        </w:tc>
        <w:tc>
          <w:tcPr>
            <w:tcW w:w="1521"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-972</w:t>
            </w:r>
          </w:p>
        </w:tc>
        <w:tc>
          <w:tcPr>
            <w:tcW w:w="101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205,8</w:t>
            </w:r>
          </w:p>
        </w:tc>
      </w:tr>
      <w:tr w:rsidR="00B17370" w:rsidRPr="004C4788" w:rsidTr="00553F5A">
        <w:trPr>
          <w:trHeight w:val="315"/>
          <w:jc w:val="center"/>
        </w:trPr>
        <w:tc>
          <w:tcPr>
            <w:tcW w:w="1324" w:type="dxa"/>
            <w:tcBorders>
              <w:top w:val="nil"/>
              <w:left w:val="single" w:sz="4" w:space="0" w:color="auto"/>
              <w:bottom w:val="single" w:sz="4" w:space="0" w:color="auto"/>
              <w:right w:val="single" w:sz="4" w:space="0" w:color="auto"/>
            </w:tcBorders>
            <w:shd w:val="clear" w:color="auto" w:fill="auto"/>
            <w:noWrap/>
            <w:vAlign w:val="bottom"/>
            <w:hideMark/>
          </w:tcPr>
          <w:p w:rsidR="00B17370" w:rsidRPr="004C4788" w:rsidRDefault="00B17370" w:rsidP="00553F5A">
            <w:pPr>
              <w:jc w:val="right"/>
              <w:rPr>
                <w:b/>
                <w:bCs/>
                <w:color w:val="000000"/>
              </w:rPr>
            </w:pPr>
            <w:r w:rsidRPr="004C4788">
              <w:rPr>
                <w:b/>
                <w:bCs/>
                <w:color w:val="000000"/>
              </w:rPr>
              <w:t>2004</w:t>
            </w:r>
          </w:p>
        </w:tc>
        <w:tc>
          <w:tcPr>
            <w:tcW w:w="163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3520,4</w:t>
            </w:r>
          </w:p>
        </w:tc>
        <w:tc>
          <w:tcPr>
            <w:tcW w:w="1487"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18244,8</w:t>
            </w:r>
          </w:p>
        </w:tc>
        <w:tc>
          <w:tcPr>
            <w:tcW w:w="188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-279</w:t>
            </w:r>
          </w:p>
        </w:tc>
        <w:tc>
          <w:tcPr>
            <w:tcW w:w="1521"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-1294,2</w:t>
            </w:r>
          </w:p>
        </w:tc>
        <w:tc>
          <w:tcPr>
            <w:tcW w:w="101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169,9</w:t>
            </w:r>
          </w:p>
        </w:tc>
      </w:tr>
      <w:tr w:rsidR="00B17370" w:rsidRPr="004C4788" w:rsidTr="00553F5A">
        <w:trPr>
          <w:trHeight w:val="315"/>
          <w:jc w:val="center"/>
        </w:trPr>
        <w:tc>
          <w:tcPr>
            <w:tcW w:w="1324" w:type="dxa"/>
            <w:tcBorders>
              <w:top w:val="nil"/>
              <w:left w:val="single" w:sz="4" w:space="0" w:color="auto"/>
              <w:bottom w:val="single" w:sz="4" w:space="0" w:color="auto"/>
              <w:right w:val="single" w:sz="4" w:space="0" w:color="auto"/>
            </w:tcBorders>
            <w:shd w:val="clear" w:color="auto" w:fill="auto"/>
            <w:noWrap/>
            <w:vAlign w:val="bottom"/>
            <w:hideMark/>
          </w:tcPr>
          <w:p w:rsidR="00B17370" w:rsidRPr="004C4788" w:rsidRDefault="00B17370" w:rsidP="00553F5A">
            <w:pPr>
              <w:jc w:val="right"/>
              <w:rPr>
                <w:b/>
                <w:bCs/>
                <w:color w:val="000000"/>
              </w:rPr>
            </w:pPr>
            <w:r w:rsidRPr="004C4788">
              <w:rPr>
                <w:b/>
                <w:bCs/>
                <w:color w:val="000000"/>
              </w:rPr>
              <w:t>2005</w:t>
            </w:r>
          </w:p>
        </w:tc>
        <w:tc>
          <w:tcPr>
            <w:tcW w:w="163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3845</w:t>
            </w:r>
          </w:p>
        </w:tc>
        <w:tc>
          <w:tcPr>
            <w:tcW w:w="1487"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20969,1</w:t>
            </w:r>
          </w:p>
        </w:tc>
        <w:tc>
          <w:tcPr>
            <w:tcW w:w="188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-104,8</w:t>
            </w:r>
          </w:p>
        </w:tc>
        <w:tc>
          <w:tcPr>
            <w:tcW w:w="1521"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-1483,9</w:t>
            </w:r>
          </w:p>
        </w:tc>
        <w:tc>
          <w:tcPr>
            <w:tcW w:w="101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168,7</w:t>
            </w:r>
          </w:p>
        </w:tc>
      </w:tr>
      <w:tr w:rsidR="00B17370" w:rsidRPr="004C4788" w:rsidTr="00553F5A">
        <w:trPr>
          <w:trHeight w:val="315"/>
          <w:jc w:val="center"/>
        </w:trPr>
        <w:tc>
          <w:tcPr>
            <w:tcW w:w="1324" w:type="dxa"/>
            <w:tcBorders>
              <w:top w:val="nil"/>
              <w:left w:val="single" w:sz="4" w:space="0" w:color="auto"/>
              <w:bottom w:val="single" w:sz="4" w:space="0" w:color="auto"/>
              <w:right w:val="single" w:sz="4" w:space="0" w:color="auto"/>
            </w:tcBorders>
            <w:shd w:val="clear" w:color="auto" w:fill="auto"/>
            <w:noWrap/>
            <w:vAlign w:val="bottom"/>
            <w:hideMark/>
          </w:tcPr>
          <w:p w:rsidR="00B17370" w:rsidRPr="004C4788" w:rsidRDefault="00B17370" w:rsidP="00553F5A">
            <w:pPr>
              <w:jc w:val="right"/>
              <w:rPr>
                <w:b/>
                <w:bCs/>
                <w:color w:val="000000"/>
              </w:rPr>
            </w:pPr>
            <w:r w:rsidRPr="004C4788">
              <w:rPr>
                <w:b/>
                <w:bCs/>
                <w:color w:val="000000"/>
              </w:rPr>
              <w:t>2006</w:t>
            </w:r>
          </w:p>
        </w:tc>
        <w:tc>
          <w:tcPr>
            <w:tcW w:w="163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4326,5</w:t>
            </w:r>
          </w:p>
        </w:tc>
        <w:tc>
          <w:tcPr>
            <w:tcW w:w="1487"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24104,2</w:t>
            </w:r>
          </w:p>
        </w:tc>
        <w:tc>
          <w:tcPr>
            <w:tcW w:w="188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-107,5</w:t>
            </w:r>
          </w:p>
        </w:tc>
        <w:tc>
          <w:tcPr>
            <w:tcW w:w="1521"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-2438,1</w:t>
            </w:r>
          </w:p>
        </w:tc>
        <w:tc>
          <w:tcPr>
            <w:tcW w:w="101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175,9</w:t>
            </w:r>
          </w:p>
        </w:tc>
      </w:tr>
      <w:tr w:rsidR="00B17370" w:rsidRPr="004C4788" w:rsidTr="00553F5A">
        <w:trPr>
          <w:trHeight w:val="315"/>
          <w:jc w:val="center"/>
        </w:trPr>
        <w:tc>
          <w:tcPr>
            <w:tcW w:w="1324" w:type="dxa"/>
            <w:tcBorders>
              <w:top w:val="nil"/>
              <w:left w:val="single" w:sz="4" w:space="0" w:color="auto"/>
              <w:bottom w:val="single" w:sz="4" w:space="0" w:color="auto"/>
              <w:right w:val="single" w:sz="4" w:space="0" w:color="auto"/>
            </w:tcBorders>
            <w:shd w:val="clear" w:color="auto" w:fill="auto"/>
            <w:noWrap/>
            <w:vAlign w:val="bottom"/>
            <w:hideMark/>
          </w:tcPr>
          <w:p w:rsidR="00B17370" w:rsidRPr="004C4788" w:rsidRDefault="00B17370" w:rsidP="00553F5A">
            <w:pPr>
              <w:jc w:val="right"/>
              <w:rPr>
                <w:b/>
                <w:bCs/>
                <w:color w:val="000000"/>
              </w:rPr>
            </w:pPr>
            <w:r w:rsidRPr="004C4788">
              <w:rPr>
                <w:b/>
                <w:bCs/>
                <w:color w:val="000000"/>
              </w:rPr>
              <w:t>2007</w:t>
            </w:r>
          </w:p>
        </w:tc>
        <w:tc>
          <w:tcPr>
            <w:tcW w:w="163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4836,1</w:t>
            </w:r>
          </w:p>
        </w:tc>
        <w:tc>
          <w:tcPr>
            <w:tcW w:w="1487"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28738,8</w:t>
            </w:r>
          </w:p>
        </w:tc>
        <w:tc>
          <w:tcPr>
            <w:tcW w:w="188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-289,9</w:t>
            </w:r>
          </w:p>
        </w:tc>
        <w:tc>
          <w:tcPr>
            <w:tcW w:w="1521"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-3813,8</w:t>
            </w:r>
          </w:p>
        </w:tc>
        <w:tc>
          <w:tcPr>
            <w:tcW w:w="101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200,1</w:t>
            </w:r>
          </w:p>
        </w:tc>
      </w:tr>
      <w:tr w:rsidR="00B17370" w:rsidRPr="004C4788" w:rsidTr="00553F5A">
        <w:trPr>
          <w:trHeight w:val="315"/>
          <w:jc w:val="center"/>
        </w:trPr>
        <w:tc>
          <w:tcPr>
            <w:tcW w:w="1324" w:type="dxa"/>
            <w:tcBorders>
              <w:top w:val="nil"/>
              <w:left w:val="single" w:sz="4" w:space="0" w:color="auto"/>
              <w:bottom w:val="single" w:sz="4" w:space="0" w:color="auto"/>
              <w:right w:val="single" w:sz="4" w:space="0" w:color="auto"/>
            </w:tcBorders>
            <w:shd w:val="clear" w:color="auto" w:fill="auto"/>
            <w:noWrap/>
            <w:vAlign w:val="bottom"/>
            <w:hideMark/>
          </w:tcPr>
          <w:p w:rsidR="00B17370" w:rsidRPr="004C4788" w:rsidRDefault="00B17370" w:rsidP="00553F5A">
            <w:pPr>
              <w:jc w:val="right"/>
              <w:rPr>
                <w:b/>
                <w:bCs/>
                <w:color w:val="000000"/>
              </w:rPr>
            </w:pPr>
            <w:r w:rsidRPr="004C4788">
              <w:rPr>
                <w:b/>
                <w:bCs/>
                <w:color w:val="000000"/>
              </w:rPr>
              <w:t>2008</w:t>
            </w:r>
          </w:p>
        </w:tc>
        <w:tc>
          <w:tcPr>
            <w:tcW w:w="163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5032,1</w:t>
            </w:r>
          </w:p>
        </w:tc>
        <w:tc>
          <w:tcPr>
            <w:tcW w:w="1487"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32414,3</w:t>
            </w:r>
          </w:p>
        </w:tc>
        <w:tc>
          <w:tcPr>
            <w:tcW w:w="188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-1067,8</w:t>
            </w:r>
          </w:p>
        </w:tc>
        <w:tc>
          <w:tcPr>
            <w:tcW w:w="1521"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-3830,3</w:t>
            </w:r>
          </w:p>
        </w:tc>
        <w:tc>
          <w:tcPr>
            <w:tcW w:w="101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220</w:t>
            </w:r>
          </w:p>
        </w:tc>
      </w:tr>
      <w:tr w:rsidR="00B17370" w:rsidRPr="004C4788" w:rsidTr="00553F5A">
        <w:trPr>
          <w:trHeight w:val="315"/>
          <w:jc w:val="center"/>
        </w:trPr>
        <w:tc>
          <w:tcPr>
            <w:tcW w:w="1324" w:type="dxa"/>
            <w:tcBorders>
              <w:top w:val="nil"/>
              <w:left w:val="single" w:sz="4" w:space="0" w:color="auto"/>
              <w:bottom w:val="single" w:sz="4" w:space="0" w:color="auto"/>
              <w:right w:val="single" w:sz="4" w:space="0" w:color="auto"/>
            </w:tcBorders>
            <w:shd w:val="clear" w:color="auto" w:fill="auto"/>
            <w:noWrap/>
            <w:vAlign w:val="bottom"/>
            <w:hideMark/>
          </w:tcPr>
          <w:p w:rsidR="00B17370" w:rsidRPr="004C4788" w:rsidRDefault="00B17370" w:rsidP="00553F5A">
            <w:pPr>
              <w:jc w:val="right"/>
              <w:rPr>
                <w:b/>
                <w:bCs/>
                <w:color w:val="000000"/>
              </w:rPr>
            </w:pPr>
            <w:r w:rsidRPr="004C4788">
              <w:rPr>
                <w:b/>
                <w:bCs/>
                <w:color w:val="000000"/>
              </w:rPr>
              <w:t>2009</w:t>
            </w:r>
          </w:p>
        </w:tc>
        <w:tc>
          <w:tcPr>
            <w:tcW w:w="163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7814,8</w:t>
            </w:r>
          </w:p>
        </w:tc>
        <w:tc>
          <w:tcPr>
            <w:tcW w:w="1487"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26654,4</w:t>
            </w:r>
          </w:p>
        </w:tc>
        <w:tc>
          <w:tcPr>
            <w:tcW w:w="188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-2514,5</w:t>
            </w:r>
          </w:p>
        </w:tc>
        <w:tc>
          <w:tcPr>
            <w:tcW w:w="1521"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-467,5</w:t>
            </w:r>
          </w:p>
        </w:tc>
        <w:tc>
          <w:tcPr>
            <w:tcW w:w="101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337,8</w:t>
            </w:r>
          </w:p>
        </w:tc>
      </w:tr>
      <w:tr w:rsidR="00B17370" w:rsidRPr="004C4788" w:rsidTr="00553F5A">
        <w:trPr>
          <w:trHeight w:val="315"/>
          <w:jc w:val="center"/>
        </w:trPr>
        <w:tc>
          <w:tcPr>
            <w:tcW w:w="1324" w:type="dxa"/>
            <w:tcBorders>
              <w:top w:val="nil"/>
              <w:left w:val="single" w:sz="4" w:space="0" w:color="auto"/>
              <w:bottom w:val="single" w:sz="4" w:space="0" w:color="auto"/>
              <w:right w:val="single" w:sz="4" w:space="0" w:color="auto"/>
            </w:tcBorders>
            <w:shd w:val="clear" w:color="auto" w:fill="auto"/>
            <w:noWrap/>
            <w:vAlign w:val="bottom"/>
            <w:hideMark/>
          </w:tcPr>
          <w:p w:rsidR="00B17370" w:rsidRPr="004C4788" w:rsidRDefault="00B17370" w:rsidP="00553F5A">
            <w:pPr>
              <w:jc w:val="right"/>
              <w:rPr>
                <w:b/>
                <w:bCs/>
                <w:color w:val="000000"/>
              </w:rPr>
            </w:pPr>
            <w:r w:rsidRPr="004C4788">
              <w:rPr>
                <w:b/>
                <w:bCs/>
                <w:color w:val="000000"/>
              </w:rPr>
              <w:t>2010</w:t>
            </w:r>
          </w:p>
        </w:tc>
        <w:tc>
          <w:tcPr>
            <w:tcW w:w="163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10463,2</w:t>
            </w:r>
          </w:p>
        </w:tc>
        <w:tc>
          <w:tcPr>
            <w:tcW w:w="1487"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27709,7</w:t>
            </w:r>
          </w:p>
        </w:tc>
        <w:tc>
          <w:tcPr>
            <w:tcW w:w="188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-1989,4</w:t>
            </w:r>
          </w:p>
        </w:tc>
        <w:tc>
          <w:tcPr>
            <w:tcW w:w="1521"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-539,5</w:t>
            </w:r>
          </w:p>
        </w:tc>
        <w:tc>
          <w:tcPr>
            <w:tcW w:w="101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492</w:t>
            </w:r>
          </w:p>
        </w:tc>
      </w:tr>
      <w:tr w:rsidR="00B17370" w:rsidRPr="004C4788" w:rsidTr="00553F5A">
        <w:trPr>
          <w:trHeight w:val="315"/>
          <w:jc w:val="center"/>
        </w:trPr>
        <w:tc>
          <w:tcPr>
            <w:tcW w:w="1324" w:type="dxa"/>
            <w:tcBorders>
              <w:top w:val="nil"/>
              <w:left w:val="single" w:sz="4" w:space="0" w:color="auto"/>
              <w:bottom w:val="single" w:sz="4" w:space="0" w:color="auto"/>
              <w:right w:val="single" w:sz="4" w:space="0" w:color="auto"/>
            </w:tcBorders>
            <w:shd w:val="clear" w:color="auto" w:fill="auto"/>
            <w:noWrap/>
            <w:vAlign w:val="bottom"/>
            <w:hideMark/>
          </w:tcPr>
          <w:p w:rsidR="00B17370" w:rsidRPr="004C4788" w:rsidRDefault="00B17370" w:rsidP="00553F5A">
            <w:pPr>
              <w:jc w:val="right"/>
              <w:rPr>
                <w:b/>
                <w:bCs/>
                <w:color w:val="000000"/>
              </w:rPr>
            </w:pPr>
            <w:r w:rsidRPr="004C4788">
              <w:rPr>
                <w:b/>
                <w:bCs/>
                <w:color w:val="000000"/>
              </w:rPr>
              <w:t>2011</w:t>
            </w:r>
          </w:p>
        </w:tc>
        <w:tc>
          <w:tcPr>
            <w:tcW w:w="163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11863,3</w:t>
            </w:r>
          </w:p>
        </w:tc>
        <w:tc>
          <w:tcPr>
            <w:tcW w:w="1487"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30958,5</w:t>
            </w:r>
          </w:p>
        </w:tc>
        <w:tc>
          <w:tcPr>
            <w:tcW w:w="188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-1694</w:t>
            </w:r>
          </w:p>
        </w:tc>
        <w:tc>
          <w:tcPr>
            <w:tcW w:w="1521"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-842,4</w:t>
            </w:r>
          </w:p>
        </w:tc>
        <w:tc>
          <w:tcPr>
            <w:tcW w:w="101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542,7</w:t>
            </w:r>
          </w:p>
        </w:tc>
      </w:tr>
      <w:tr w:rsidR="00B17370" w:rsidRPr="004C4788" w:rsidTr="00553F5A">
        <w:trPr>
          <w:trHeight w:val="315"/>
          <w:jc w:val="center"/>
        </w:trPr>
        <w:tc>
          <w:tcPr>
            <w:tcW w:w="1324" w:type="dxa"/>
            <w:tcBorders>
              <w:top w:val="nil"/>
              <w:left w:val="single" w:sz="4" w:space="0" w:color="auto"/>
              <w:bottom w:val="single" w:sz="4" w:space="0" w:color="auto"/>
              <w:right w:val="single" w:sz="4" w:space="0" w:color="auto"/>
            </w:tcBorders>
            <w:shd w:val="clear" w:color="auto" w:fill="auto"/>
            <w:noWrap/>
            <w:vAlign w:val="bottom"/>
            <w:hideMark/>
          </w:tcPr>
          <w:p w:rsidR="00B17370" w:rsidRPr="004C4788" w:rsidRDefault="00B17370" w:rsidP="00553F5A">
            <w:pPr>
              <w:jc w:val="right"/>
              <w:rPr>
                <w:b/>
                <w:bCs/>
                <w:color w:val="000000"/>
              </w:rPr>
            </w:pPr>
            <w:r w:rsidRPr="004C4788">
              <w:rPr>
                <w:b/>
                <w:bCs/>
                <w:color w:val="000000"/>
              </w:rPr>
              <w:t>2012</w:t>
            </w:r>
          </w:p>
        </w:tc>
        <w:tc>
          <w:tcPr>
            <w:tcW w:w="163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13333,1</w:t>
            </w:r>
          </w:p>
        </w:tc>
        <w:tc>
          <w:tcPr>
            <w:tcW w:w="1487"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32939,8</w:t>
            </w:r>
          </w:p>
        </w:tc>
        <w:tc>
          <w:tcPr>
            <w:tcW w:w="188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-1069,4</w:t>
            </w:r>
          </w:p>
        </w:tc>
        <w:tc>
          <w:tcPr>
            <w:tcW w:w="1521"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269,8</w:t>
            </w:r>
          </w:p>
        </w:tc>
        <w:tc>
          <w:tcPr>
            <w:tcW w:w="101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601,1</w:t>
            </w:r>
          </w:p>
        </w:tc>
      </w:tr>
    </w:tbl>
    <w:p w:rsidR="00B17370" w:rsidRDefault="00B17370" w:rsidP="00B17370">
      <w:pPr>
        <w:tabs>
          <w:tab w:val="left" w:pos="7470"/>
        </w:tabs>
        <w:ind w:firstLine="0"/>
      </w:pPr>
      <w:r>
        <w:t xml:space="preserve">         </w:t>
      </w:r>
      <w:r w:rsidRPr="0098028E">
        <w:t>Šaltinis: Eurostat duomenys</w:t>
      </w:r>
    </w:p>
    <w:p w:rsidR="00B17370" w:rsidRDefault="00B17370" w:rsidP="00B17370">
      <w:pPr>
        <w:tabs>
          <w:tab w:val="left" w:pos="7470"/>
        </w:tabs>
        <w:jc w:val="center"/>
      </w:pPr>
    </w:p>
    <w:p w:rsidR="00B17370" w:rsidRDefault="00B17370" w:rsidP="00B17370">
      <w:pPr>
        <w:tabs>
          <w:tab w:val="left" w:pos="7470"/>
        </w:tabs>
        <w:jc w:val="center"/>
      </w:pPr>
    </w:p>
    <w:p w:rsidR="00B17370" w:rsidRDefault="00B17370" w:rsidP="00B17370">
      <w:pPr>
        <w:tabs>
          <w:tab w:val="left" w:pos="7470"/>
        </w:tabs>
        <w:jc w:val="center"/>
      </w:pPr>
    </w:p>
    <w:p w:rsidR="00B17370" w:rsidRDefault="00B17370" w:rsidP="00B17370">
      <w:pPr>
        <w:tabs>
          <w:tab w:val="left" w:pos="7470"/>
        </w:tabs>
        <w:jc w:val="center"/>
      </w:pPr>
    </w:p>
    <w:p w:rsidR="00B17370" w:rsidRDefault="00B17370" w:rsidP="00B17370">
      <w:pPr>
        <w:tabs>
          <w:tab w:val="left" w:pos="7470"/>
        </w:tabs>
        <w:jc w:val="center"/>
      </w:pPr>
    </w:p>
    <w:p w:rsidR="00B17370" w:rsidRDefault="00B17370" w:rsidP="00B17370">
      <w:pPr>
        <w:tabs>
          <w:tab w:val="left" w:pos="7470"/>
        </w:tabs>
        <w:jc w:val="center"/>
      </w:pPr>
    </w:p>
    <w:p w:rsidR="00B17370" w:rsidRDefault="00B17370" w:rsidP="00B17370">
      <w:pPr>
        <w:tabs>
          <w:tab w:val="left" w:pos="7470"/>
        </w:tabs>
        <w:jc w:val="center"/>
      </w:pPr>
    </w:p>
    <w:p w:rsidR="00B17370" w:rsidRDefault="00B17370" w:rsidP="00B17370">
      <w:pPr>
        <w:tabs>
          <w:tab w:val="left" w:pos="7470"/>
        </w:tabs>
        <w:jc w:val="center"/>
      </w:pPr>
    </w:p>
    <w:p w:rsidR="00B17370" w:rsidRDefault="00B17370" w:rsidP="00B17370">
      <w:pPr>
        <w:tabs>
          <w:tab w:val="left" w:pos="7470"/>
        </w:tabs>
        <w:jc w:val="center"/>
      </w:pPr>
    </w:p>
    <w:p w:rsidR="00B17370" w:rsidRDefault="00B17370" w:rsidP="00B17370">
      <w:pPr>
        <w:tabs>
          <w:tab w:val="left" w:pos="7470"/>
        </w:tabs>
        <w:jc w:val="center"/>
      </w:pPr>
    </w:p>
    <w:p w:rsidR="00B17370" w:rsidRDefault="00B17370" w:rsidP="00B17370">
      <w:pPr>
        <w:tabs>
          <w:tab w:val="left" w:pos="7470"/>
        </w:tabs>
        <w:jc w:val="center"/>
      </w:pPr>
    </w:p>
    <w:p w:rsidR="00B17370" w:rsidRDefault="00B17370" w:rsidP="00B17370">
      <w:pPr>
        <w:tabs>
          <w:tab w:val="left" w:pos="7470"/>
        </w:tabs>
        <w:jc w:val="center"/>
      </w:pPr>
    </w:p>
    <w:p w:rsidR="00B17370" w:rsidRDefault="00B17370" w:rsidP="00B17370">
      <w:pPr>
        <w:tabs>
          <w:tab w:val="left" w:pos="7470"/>
        </w:tabs>
        <w:jc w:val="center"/>
      </w:pPr>
    </w:p>
    <w:p w:rsidR="00B17370" w:rsidRDefault="00B17370" w:rsidP="00B17370">
      <w:pPr>
        <w:tabs>
          <w:tab w:val="left" w:pos="7470"/>
        </w:tabs>
        <w:jc w:val="center"/>
      </w:pPr>
    </w:p>
    <w:p w:rsidR="00B17370" w:rsidRDefault="00B17370" w:rsidP="00B17370">
      <w:pPr>
        <w:tabs>
          <w:tab w:val="left" w:pos="7470"/>
        </w:tabs>
        <w:jc w:val="center"/>
      </w:pPr>
    </w:p>
    <w:p w:rsidR="00B17370" w:rsidRDefault="00B17370" w:rsidP="00B17370">
      <w:pPr>
        <w:tabs>
          <w:tab w:val="left" w:pos="7470"/>
        </w:tabs>
        <w:jc w:val="center"/>
      </w:pPr>
    </w:p>
    <w:p w:rsidR="00B17370" w:rsidRDefault="00B17370" w:rsidP="00B17370">
      <w:pPr>
        <w:tabs>
          <w:tab w:val="left" w:pos="7470"/>
        </w:tabs>
        <w:jc w:val="center"/>
      </w:pPr>
    </w:p>
    <w:p w:rsidR="00B17370" w:rsidRDefault="00B17370" w:rsidP="00B17370">
      <w:pPr>
        <w:tabs>
          <w:tab w:val="left" w:pos="7470"/>
        </w:tabs>
        <w:jc w:val="center"/>
      </w:pPr>
    </w:p>
    <w:p w:rsidR="00B17370" w:rsidRDefault="00B17370" w:rsidP="00B17370">
      <w:pPr>
        <w:tabs>
          <w:tab w:val="left" w:pos="7470"/>
        </w:tabs>
        <w:jc w:val="center"/>
      </w:pPr>
    </w:p>
    <w:p w:rsidR="00B17370" w:rsidRDefault="00B17370" w:rsidP="00B17370">
      <w:pPr>
        <w:tabs>
          <w:tab w:val="left" w:pos="7470"/>
        </w:tabs>
        <w:jc w:val="center"/>
      </w:pPr>
    </w:p>
    <w:p w:rsidR="00B17370" w:rsidRDefault="00B17370" w:rsidP="00B17370">
      <w:pPr>
        <w:tabs>
          <w:tab w:val="left" w:pos="7470"/>
        </w:tabs>
        <w:ind w:firstLine="0"/>
      </w:pPr>
    </w:p>
    <w:p w:rsidR="00B17370" w:rsidRDefault="00B17370" w:rsidP="00B17370">
      <w:pPr>
        <w:tabs>
          <w:tab w:val="left" w:pos="7470"/>
        </w:tabs>
      </w:pPr>
    </w:p>
    <w:p w:rsidR="00B17370" w:rsidRPr="001141E6" w:rsidRDefault="00B17370" w:rsidP="00B17370">
      <w:pPr>
        <w:tabs>
          <w:tab w:val="left" w:pos="7470"/>
        </w:tabs>
        <w:jc w:val="center"/>
        <w:rPr>
          <w:sz w:val="24"/>
          <w:szCs w:val="24"/>
        </w:rPr>
      </w:pPr>
      <w:r w:rsidRPr="001141E6">
        <w:rPr>
          <w:sz w:val="24"/>
          <w:szCs w:val="24"/>
        </w:rPr>
        <w:t>2 lentelė.  Kintamųjų reikšmės Latvijos valstybės skolos prognozei</w:t>
      </w:r>
    </w:p>
    <w:p w:rsidR="00B17370" w:rsidRPr="00E92012" w:rsidRDefault="00B17370" w:rsidP="00B17370">
      <w:pPr>
        <w:tabs>
          <w:tab w:val="left" w:pos="7470"/>
        </w:tabs>
        <w:jc w:val="center"/>
      </w:pPr>
    </w:p>
    <w:tbl>
      <w:tblPr>
        <w:tblW w:w="9901" w:type="dxa"/>
        <w:jc w:val="center"/>
        <w:tblInd w:w="-824" w:type="dxa"/>
        <w:tblLook w:val="04A0"/>
      </w:tblPr>
      <w:tblGrid>
        <w:gridCol w:w="1536"/>
        <w:gridCol w:w="1380"/>
        <w:gridCol w:w="1619"/>
        <w:gridCol w:w="2125"/>
        <w:gridCol w:w="1521"/>
        <w:gridCol w:w="1720"/>
      </w:tblGrid>
      <w:tr w:rsidR="00B17370" w:rsidRPr="004C4788" w:rsidTr="00553F5A">
        <w:trPr>
          <w:trHeight w:val="652"/>
          <w:jc w:val="center"/>
        </w:trPr>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7370" w:rsidRPr="004C4788" w:rsidRDefault="00B17370" w:rsidP="00553F5A">
            <w:pPr>
              <w:rPr>
                <w:color w:val="000000"/>
              </w:rPr>
            </w:pPr>
            <w:r w:rsidRPr="004C4788">
              <w:rPr>
                <w:color w:val="000000"/>
              </w:rPr>
              <w:t> </w:t>
            </w:r>
          </w:p>
        </w:tc>
        <w:tc>
          <w:tcPr>
            <w:tcW w:w="1380" w:type="dxa"/>
            <w:tcBorders>
              <w:top w:val="single" w:sz="4" w:space="0" w:color="auto"/>
              <w:left w:val="nil"/>
              <w:bottom w:val="single" w:sz="4" w:space="0" w:color="auto"/>
              <w:right w:val="single" w:sz="4" w:space="0" w:color="auto"/>
            </w:tcBorders>
            <w:shd w:val="clear" w:color="auto" w:fill="auto"/>
            <w:vAlign w:val="bottom"/>
            <w:hideMark/>
          </w:tcPr>
          <w:p w:rsidR="00B17370" w:rsidRPr="004C4788" w:rsidRDefault="00B17370" w:rsidP="00553F5A">
            <w:pPr>
              <w:ind w:firstLine="0"/>
              <w:rPr>
                <w:b/>
                <w:bCs/>
                <w:color w:val="000000"/>
              </w:rPr>
            </w:pPr>
            <w:r w:rsidRPr="004C4788">
              <w:rPr>
                <w:b/>
                <w:bCs/>
                <w:color w:val="000000"/>
              </w:rPr>
              <w:t>Valstybės skola, mln.Eur.</w:t>
            </w:r>
          </w:p>
        </w:tc>
        <w:tc>
          <w:tcPr>
            <w:tcW w:w="1619" w:type="dxa"/>
            <w:tcBorders>
              <w:top w:val="single" w:sz="4" w:space="0" w:color="auto"/>
              <w:left w:val="nil"/>
              <w:bottom w:val="single" w:sz="4" w:space="0" w:color="auto"/>
              <w:right w:val="single" w:sz="4" w:space="0" w:color="auto"/>
            </w:tcBorders>
            <w:shd w:val="clear" w:color="auto" w:fill="auto"/>
            <w:vAlign w:val="bottom"/>
            <w:hideMark/>
          </w:tcPr>
          <w:p w:rsidR="00B17370" w:rsidRPr="004C4788" w:rsidRDefault="00B17370" w:rsidP="00553F5A">
            <w:pPr>
              <w:ind w:firstLine="0"/>
              <w:rPr>
                <w:b/>
                <w:bCs/>
                <w:color w:val="000000"/>
              </w:rPr>
            </w:pPr>
            <w:r w:rsidRPr="004C4788">
              <w:rPr>
                <w:b/>
                <w:bCs/>
                <w:color w:val="000000"/>
              </w:rPr>
              <w:t>BVP, mln.Eur.</w:t>
            </w:r>
          </w:p>
        </w:tc>
        <w:tc>
          <w:tcPr>
            <w:tcW w:w="2125" w:type="dxa"/>
            <w:tcBorders>
              <w:top w:val="single" w:sz="4" w:space="0" w:color="auto"/>
              <w:left w:val="nil"/>
              <w:bottom w:val="single" w:sz="4" w:space="0" w:color="auto"/>
              <w:right w:val="single" w:sz="4" w:space="0" w:color="auto"/>
            </w:tcBorders>
            <w:shd w:val="clear" w:color="auto" w:fill="auto"/>
            <w:vAlign w:val="bottom"/>
            <w:hideMark/>
          </w:tcPr>
          <w:p w:rsidR="00B17370" w:rsidRPr="004C4788" w:rsidRDefault="00B17370" w:rsidP="00553F5A">
            <w:pPr>
              <w:ind w:firstLine="0"/>
              <w:rPr>
                <w:b/>
                <w:bCs/>
                <w:color w:val="000000"/>
              </w:rPr>
            </w:pPr>
            <w:r w:rsidRPr="004C4788">
              <w:rPr>
                <w:b/>
                <w:bCs/>
                <w:color w:val="000000"/>
              </w:rPr>
              <w:t>Valdžios sektoriaus deficitas/perteklius, mln.Eur.</w:t>
            </w:r>
          </w:p>
        </w:tc>
        <w:tc>
          <w:tcPr>
            <w:tcW w:w="1521" w:type="dxa"/>
            <w:tcBorders>
              <w:top w:val="single" w:sz="4" w:space="0" w:color="auto"/>
              <w:left w:val="nil"/>
              <w:bottom w:val="single" w:sz="4" w:space="0" w:color="auto"/>
              <w:right w:val="single" w:sz="4" w:space="0" w:color="auto"/>
            </w:tcBorders>
            <w:shd w:val="clear" w:color="auto" w:fill="auto"/>
            <w:vAlign w:val="bottom"/>
            <w:hideMark/>
          </w:tcPr>
          <w:p w:rsidR="00B17370" w:rsidRPr="004C4788" w:rsidRDefault="00B17370" w:rsidP="00553F5A">
            <w:pPr>
              <w:ind w:firstLine="0"/>
              <w:rPr>
                <w:b/>
                <w:bCs/>
                <w:color w:val="000000"/>
              </w:rPr>
            </w:pPr>
            <w:r w:rsidRPr="004C4788">
              <w:rPr>
                <w:b/>
                <w:bCs/>
                <w:color w:val="000000"/>
              </w:rPr>
              <w:t>Einamosios sąskaitos balansas, mln.Eur.</w:t>
            </w:r>
          </w:p>
        </w:tc>
        <w:tc>
          <w:tcPr>
            <w:tcW w:w="1720" w:type="dxa"/>
            <w:tcBorders>
              <w:top w:val="single" w:sz="4" w:space="0" w:color="auto"/>
              <w:left w:val="nil"/>
              <w:bottom w:val="single" w:sz="4" w:space="0" w:color="auto"/>
              <w:right w:val="single" w:sz="4" w:space="0" w:color="auto"/>
            </w:tcBorders>
            <w:shd w:val="clear" w:color="auto" w:fill="auto"/>
            <w:vAlign w:val="bottom"/>
            <w:hideMark/>
          </w:tcPr>
          <w:p w:rsidR="00B17370" w:rsidRPr="004C4788" w:rsidRDefault="00B17370" w:rsidP="00553F5A">
            <w:pPr>
              <w:ind w:firstLine="0"/>
              <w:rPr>
                <w:b/>
                <w:bCs/>
                <w:color w:val="000000"/>
              </w:rPr>
            </w:pPr>
            <w:r w:rsidRPr="004C4788">
              <w:rPr>
                <w:b/>
                <w:bCs/>
                <w:color w:val="000000"/>
              </w:rPr>
              <w:t>Valstybės skolos valdymo išlaidos (palūkanoms), mln. Eur.</w:t>
            </w:r>
          </w:p>
        </w:tc>
      </w:tr>
      <w:tr w:rsidR="00B17370" w:rsidRPr="004C4788" w:rsidTr="00553F5A">
        <w:trPr>
          <w:trHeight w:val="300"/>
          <w:jc w:val="center"/>
        </w:trPr>
        <w:tc>
          <w:tcPr>
            <w:tcW w:w="1536" w:type="dxa"/>
            <w:tcBorders>
              <w:top w:val="nil"/>
              <w:left w:val="single" w:sz="4" w:space="0" w:color="auto"/>
              <w:bottom w:val="single" w:sz="4" w:space="0" w:color="auto"/>
              <w:right w:val="single" w:sz="4" w:space="0" w:color="auto"/>
            </w:tcBorders>
            <w:shd w:val="clear" w:color="auto" w:fill="auto"/>
            <w:noWrap/>
            <w:vAlign w:val="bottom"/>
            <w:hideMark/>
          </w:tcPr>
          <w:p w:rsidR="00B17370" w:rsidRPr="004C4788" w:rsidRDefault="00B17370" w:rsidP="00553F5A">
            <w:pPr>
              <w:rPr>
                <w:color w:val="000000"/>
              </w:rPr>
            </w:pPr>
            <w:r w:rsidRPr="004C4788">
              <w:rPr>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rPr>
                <w:color w:val="000000"/>
              </w:rPr>
            </w:pPr>
            <w:r w:rsidRPr="004C4788">
              <w:rPr>
                <w:color w:val="000000"/>
              </w:rPr>
              <w:t>y</w:t>
            </w:r>
          </w:p>
        </w:tc>
        <w:tc>
          <w:tcPr>
            <w:tcW w:w="161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rPr>
                <w:color w:val="000000"/>
              </w:rPr>
            </w:pPr>
            <w:r w:rsidRPr="004C4788">
              <w:rPr>
                <w:color w:val="000000"/>
              </w:rPr>
              <w:t>x1</w:t>
            </w:r>
          </w:p>
        </w:tc>
        <w:tc>
          <w:tcPr>
            <w:tcW w:w="2125"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rPr>
                <w:color w:val="000000"/>
              </w:rPr>
            </w:pPr>
            <w:r w:rsidRPr="004C4788">
              <w:rPr>
                <w:color w:val="000000"/>
              </w:rPr>
              <w:t>x2</w:t>
            </w:r>
          </w:p>
        </w:tc>
        <w:tc>
          <w:tcPr>
            <w:tcW w:w="1521"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rPr>
                <w:color w:val="000000"/>
              </w:rPr>
            </w:pPr>
            <w:r w:rsidRPr="004C4788">
              <w:rPr>
                <w:color w:val="000000"/>
              </w:rPr>
              <w:t>X3</w:t>
            </w:r>
          </w:p>
        </w:tc>
        <w:tc>
          <w:tcPr>
            <w:tcW w:w="1720"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rPr>
                <w:color w:val="000000"/>
              </w:rPr>
            </w:pPr>
            <w:r w:rsidRPr="004C4788">
              <w:rPr>
                <w:color w:val="000000"/>
              </w:rPr>
              <w:t>X4</w:t>
            </w:r>
          </w:p>
        </w:tc>
      </w:tr>
      <w:tr w:rsidR="00B17370" w:rsidRPr="004C4788" w:rsidTr="00553F5A">
        <w:trPr>
          <w:trHeight w:val="300"/>
          <w:jc w:val="center"/>
        </w:trPr>
        <w:tc>
          <w:tcPr>
            <w:tcW w:w="1536" w:type="dxa"/>
            <w:tcBorders>
              <w:top w:val="nil"/>
              <w:left w:val="single" w:sz="4" w:space="0" w:color="auto"/>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2000</w:t>
            </w:r>
          </w:p>
        </w:tc>
        <w:tc>
          <w:tcPr>
            <w:tcW w:w="1380"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1010,9</w:t>
            </w:r>
          </w:p>
        </w:tc>
        <w:tc>
          <w:tcPr>
            <w:tcW w:w="161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8433,6</w:t>
            </w:r>
          </w:p>
        </w:tc>
        <w:tc>
          <w:tcPr>
            <w:tcW w:w="2125"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-235,2</w:t>
            </w:r>
          </w:p>
        </w:tc>
        <w:tc>
          <w:tcPr>
            <w:tcW w:w="1521"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-597,4</w:t>
            </w:r>
          </w:p>
        </w:tc>
        <w:tc>
          <w:tcPr>
            <w:tcW w:w="1720"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83</w:t>
            </w:r>
          </w:p>
        </w:tc>
      </w:tr>
      <w:tr w:rsidR="00B17370" w:rsidRPr="004C4788" w:rsidTr="00553F5A">
        <w:trPr>
          <w:trHeight w:val="300"/>
          <w:jc w:val="center"/>
        </w:trPr>
        <w:tc>
          <w:tcPr>
            <w:tcW w:w="1536" w:type="dxa"/>
            <w:tcBorders>
              <w:top w:val="nil"/>
              <w:left w:val="single" w:sz="4" w:space="0" w:color="auto"/>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2001</w:t>
            </w:r>
          </w:p>
        </w:tc>
        <w:tc>
          <w:tcPr>
            <w:tcW w:w="1380"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1312,4</w:t>
            </w:r>
          </w:p>
        </w:tc>
        <w:tc>
          <w:tcPr>
            <w:tcW w:w="161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9216,2</w:t>
            </w:r>
          </w:p>
        </w:tc>
        <w:tc>
          <w:tcPr>
            <w:tcW w:w="2125"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-180,7</w:t>
            </w:r>
          </w:p>
        </w:tc>
        <w:tc>
          <w:tcPr>
            <w:tcW w:w="1521"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-888,3</w:t>
            </w:r>
          </w:p>
        </w:tc>
        <w:tc>
          <w:tcPr>
            <w:tcW w:w="1720"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85</w:t>
            </w:r>
          </w:p>
        </w:tc>
      </w:tr>
      <w:tr w:rsidR="00B17370" w:rsidRPr="004C4788" w:rsidTr="00553F5A">
        <w:trPr>
          <w:trHeight w:val="300"/>
          <w:jc w:val="center"/>
        </w:trPr>
        <w:tc>
          <w:tcPr>
            <w:tcW w:w="1536" w:type="dxa"/>
            <w:tcBorders>
              <w:top w:val="nil"/>
              <w:left w:val="single" w:sz="4" w:space="0" w:color="auto"/>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2002</w:t>
            </w:r>
          </w:p>
        </w:tc>
        <w:tc>
          <w:tcPr>
            <w:tcW w:w="1380"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1262,9</w:t>
            </w:r>
          </w:p>
        </w:tc>
        <w:tc>
          <w:tcPr>
            <w:tcW w:w="161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9815,6</w:t>
            </w:r>
          </w:p>
        </w:tc>
        <w:tc>
          <w:tcPr>
            <w:tcW w:w="2125"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-225</w:t>
            </w:r>
          </w:p>
        </w:tc>
        <w:tc>
          <w:tcPr>
            <w:tcW w:w="1521"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-966</w:t>
            </w:r>
          </w:p>
        </w:tc>
        <w:tc>
          <w:tcPr>
            <w:tcW w:w="1720"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73,1</w:t>
            </w:r>
          </w:p>
        </w:tc>
      </w:tr>
      <w:tr w:rsidR="00B17370" w:rsidRPr="004C4788" w:rsidTr="00553F5A">
        <w:trPr>
          <w:trHeight w:val="300"/>
          <w:jc w:val="center"/>
        </w:trPr>
        <w:tc>
          <w:tcPr>
            <w:tcW w:w="1536" w:type="dxa"/>
            <w:tcBorders>
              <w:top w:val="nil"/>
              <w:left w:val="single" w:sz="4" w:space="0" w:color="auto"/>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2003</w:t>
            </w:r>
          </w:p>
        </w:tc>
        <w:tc>
          <w:tcPr>
            <w:tcW w:w="1380"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1388,7</w:t>
            </w:r>
          </w:p>
        </w:tc>
        <w:tc>
          <w:tcPr>
            <w:tcW w:w="161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9942,5</w:t>
            </w:r>
          </w:p>
        </w:tc>
        <w:tc>
          <w:tcPr>
            <w:tcW w:w="2125"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-161,5</w:t>
            </w:r>
          </w:p>
        </w:tc>
        <w:tc>
          <w:tcPr>
            <w:tcW w:w="1521"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-1254,8</w:t>
            </w:r>
          </w:p>
        </w:tc>
        <w:tc>
          <w:tcPr>
            <w:tcW w:w="1720"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68,8</w:t>
            </w:r>
          </w:p>
        </w:tc>
      </w:tr>
      <w:tr w:rsidR="00B17370" w:rsidRPr="004C4788" w:rsidTr="00553F5A">
        <w:trPr>
          <w:trHeight w:val="300"/>
          <w:jc w:val="center"/>
        </w:trPr>
        <w:tc>
          <w:tcPr>
            <w:tcW w:w="1536" w:type="dxa"/>
            <w:tcBorders>
              <w:top w:val="nil"/>
              <w:left w:val="single" w:sz="4" w:space="0" w:color="auto"/>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2004</w:t>
            </w:r>
          </w:p>
        </w:tc>
        <w:tc>
          <w:tcPr>
            <w:tcW w:w="1380"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1591,1</w:t>
            </w:r>
          </w:p>
        </w:tc>
        <w:tc>
          <w:tcPr>
            <w:tcW w:w="161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11154,6</w:t>
            </w:r>
          </w:p>
        </w:tc>
        <w:tc>
          <w:tcPr>
            <w:tcW w:w="2125"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-115</w:t>
            </w:r>
          </w:p>
        </w:tc>
        <w:tc>
          <w:tcPr>
            <w:tcW w:w="1521"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-1744,9</w:t>
            </w:r>
          </w:p>
        </w:tc>
        <w:tc>
          <w:tcPr>
            <w:tcW w:w="1720"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81,9</w:t>
            </w:r>
          </w:p>
        </w:tc>
      </w:tr>
      <w:tr w:rsidR="00B17370" w:rsidRPr="004C4788" w:rsidTr="00553F5A">
        <w:trPr>
          <w:trHeight w:val="300"/>
          <w:jc w:val="center"/>
        </w:trPr>
        <w:tc>
          <w:tcPr>
            <w:tcW w:w="1536" w:type="dxa"/>
            <w:tcBorders>
              <w:top w:val="nil"/>
              <w:left w:val="single" w:sz="4" w:space="0" w:color="auto"/>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2005</w:t>
            </w:r>
          </w:p>
        </w:tc>
        <w:tc>
          <w:tcPr>
            <w:tcW w:w="1380"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1612,2</w:t>
            </w:r>
          </w:p>
        </w:tc>
        <w:tc>
          <w:tcPr>
            <w:tcW w:w="161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12927,8</w:t>
            </w:r>
          </w:p>
        </w:tc>
        <w:tc>
          <w:tcPr>
            <w:tcW w:w="2125"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-51</w:t>
            </w:r>
          </w:p>
        </w:tc>
        <w:tc>
          <w:tcPr>
            <w:tcW w:w="1521"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-1871,8</w:t>
            </w:r>
          </w:p>
        </w:tc>
        <w:tc>
          <w:tcPr>
            <w:tcW w:w="1720"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68,9</w:t>
            </w:r>
          </w:p>
        </w:tc>
      </w:tr>
      <w:tr w:rsidR="00B17370" w:rsidRPr="004C4788" w:rsidTr="00553F5A">
        <w:trPr>
          <w:trHeight w:val="300"/>
          <w:jc w:val="center"/>
        </w:trPr>
        <w:tc>
          <w:tcPr>
            <w:tcW w:w="1536" w:type="dxa"/>
            <w:tcBorders>
              <w:top w:val="nil"/>
              <w:left w:val="single" w:sz="4" w:space="0" w:color="auto"/>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2006</w:t>
            </w:r>
          </w:p>
        </w:tc>
        <w:tc>
          <w:tcPr>
            <w:tcW w:w="1380"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1706,7</w:t>
            </w:r>
          </w:p>
        </w:tc>
        <w:tc>
          <w:tcPr>
            <w:tcW w:w="161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15981,9</w:t>
            </w:r>
          </w:p>
        </w:tc>
        <w:tc>
          <w:tcPr>
            <w:tcW w:w="2125"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-77,4</w:t>
            </w:r>
          </w:p>
        </w:tc>
        <w:tc>
          <w:tcPr>
            <w:tcW w:w="1521"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-3444,4</w:t>
            </w:r>
          </w:p>
        </w:tc>
        <w:tc>
          <w:tcPr>
            <w:tcW w:w="1720"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71,7</w:t>
            </w:r>
          </w:p>
        </w:tc>
      </w:tr>
      <w:tr w:rsidR="00B17370" w:rsidRPr="004C4788" w:rsidTr="00553F5A">
        <w:trPr>
          <w:trHeight w:val="300"/>
          <w:jc w:val="center"/>
        </w:trPr>
        <w:tc>
          <w:tcPr>
            <w:tcW w:w="1536" w:type="dxa"/>
            <w:tcBorders>
              <w:top w:val="nil"/>
              <w:left w:val="single" w:sz="4" w:space="0" w:color="auto"/>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2007</w:t>
            </w:r>
          </w:p>
        </w:tc>
        <w:tc>
          <w:tcPr>
            <w:tcW w:w="1380"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1911</w:t>
            </w:r>
            <w:r>
              <w:rPr>
                <w:color w:val="000000"/>
              </w:rPr>
              <w:t>,0</w:t>
            </w:r>
          </w:p>
        </w:tc>
        <w:tc>
          <w:tcPr>
            <w:tcW w:w="161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21026,5</w:t>
            </w:r>
          </w:p>
        </w:tc>
        <w:tc>
          <w:tcPr>
            <w:tcW w:w="2125"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-81,7</w:t>
            </w:r>
          </w:p>
        </w:tc>
        <w:tc>
          <w:tcPr>
            <w:tcW w:w="1521"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-4229,5</w:t>
            </w:r>
          </w:p>
        </w:tc>
        <w:tc>
          <w:tcPr>
            <w:tcW w:w="1720"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81,7</w:t>
            </w:r>
          </w:p>
        </w:tc>
      </w:tr>
      <w:tr w:rsidR="00B17370" w:rsidRPr="004C4788" w:rsidTr="00553F5A">
        <w:trPr>
          <w:trHeight w:val="300"/>
          <w:jc w:val="center"/>
        </w:trPr>
        <w:tc>
          <w:tcPr>
            <w:tcW w:w="1536" w:type="dxa"/>
            <w:tcBorders>
              <w:top w:val="nil"/>
              <w:left w:val="single" w:sz="4" w:space="0" w:color="auto"/>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2008</w:t>
            </w:r>
          </w:p>
        </w:tc>
        <w:tc>
          <w:tcPr>
            <w:tcW w:w="1380"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4497,6</w:t>
            </w:r>
          </w:p>
        </w:tc>
        <w:tc>
          <w:tcPr>
            <w:tcW w:w="161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22889,8</w:t>
            </w:r>
          </w:p>
        </w:tc>
        <w:tc>
          <w:tcPr>
            <w:tcW w:w="2125"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-971,1</w:t>
            </w:r>
          </w:p>
        </w:tc>
        <w:tc>
          <w:tcPr>
            <w:tcW w:w="1521"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-3144,3</w:t>
            </w:r>
          </w:p>
        </w:tc>
        <w:tc>
          <w:tcPr>
            <w:tcW w:w="1720"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136,8</w:t>
            </w:r>
          </w:p>
        </w:tc>
      </w:tr>
      <w:tr w:rsidR="00B17370" w:rsidRPr="004C4788" w:rsidTr="00553F5A">
        <w:trPr>
          <w:trHeight w:val="300"/>
          <w:jc w:val="center"/>
        </w:trPr>
        <w:tc>
          <w:tcPr>
            <w:tcW w:w="1536" w:type="dxa"/>
            <w:tcBorders>
              <w:top w:val="nil"/>
              <w:left w:val="single" w:sz="4" w:space="0" w:color="auto"/>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2009</w:t>
            </w:r>
          </w:p>
        </w:tc>
        <w:tc>
          <w:tcPr>
            <w:tcW w:w="1380"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6804</w:t>
            </w:r>
            <w:r>
              <w:rPr>
                <w:color w:val="000000"/>
              </w:rPr>
              <w:t>,0</w:t>
            </w:r>
          </w:p>
        </w:tc>
        <w:tc>
          <w:tcPr>
            <w:tcW w:w="161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18521,3</w:t>
            </w:r>
          </w:p>
        </w:tc>
        <w:tc>
          <w:tcPr>
            <w:tcW w:w="2125"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-1809,3</w:t>
            </w:r>
          </w:p>
        </w:tc>
        <w:tc>
          <w:tcPr>
            <w:tcW w:w="1521"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-274,3</w:t>
            </w:r>
          </w:p>
        </w:tc>
        <w:tc>
          <w:tcPr>
            <w:tcW w:w="1720"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280</w:t>
            </w:r>
          </w:p>
        </w:tc>
      </w:tr>
      <w:tr w:rsidR="00B17370" w:rsidRPr="004C4788" w:rsidTr="00553F5A">
        <w:trPr>
          <w:trHeight w:val="300"/>
          <w:jc w:val="center"/>
        </w:trPr>
        <w:tc>
          <w:tcPr>
            <w:tcW w:w="1536" w:type="dxa"/>
            <w:tcBorders>
              <w:top w:val="nil"/>
              <w:left w:val="single" w:sz="4" w:space="0" w:color="auto"/>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2010</w:t>
            </w:r>
          </w:p>
        </w:tc>
        <w:tc>
          <w:tcPr>
            <w:tcW w:w="1380"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8009,7</w:t>
            </w:r>
          </w:p>
        </w:tc>
        <w:tc>
          <w:tcPr>
            <w:tcW w:w="161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18038,9</w:t>
            </w:r>
          </w:p>
        </w:tc>
        <w:tc>
          <w:tcPr>
            <w:tcW w:w="2125"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-1468,5</w:t>
            </w:r>
          </w:p>
        </w:tc>
        <w:tc>
          <w:tcPr>
            <w:tcW w:w="1521"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-244,6</w:t>
            </w:r>
          </w:p>
        </w:tc>
        <w:tc>
          <w:tcPr>
            <w:tcW w:w="1720"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254,3</w:t>
            </w:r>
          </w:p>
        </w:tc>
      </w:tr>
      <w:tr w:rsidR="00B17370" w:rsidRPr="004C4788" w:rsidTr="00553F5A">
        <w:trPr>
          <w:trHeight w:val="300"/>
          <w:jc w:val="center"/>
        </w:trPr>
        <w:tc>
          <w:tcPr>
            <w:tcW w:w="1536" w:type="dxa"/>
            <w:tcBorders>
              <w:top w:val="nil"/>
              <w:left w:val="single" w:sz="4" w:space="0" w:color="auto"/>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2011</w:t>
            </w:r>
          </w:p>
        </w:tc>
        <w:tc>
          <w:tcPr>
            <w:tcW w:w="1380"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8540,9</w:t>
            </w:r>
          </w:p>
        </w:tc>
        <w:tc>
          <w:tcPr>
            <w:tcW w:w="161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20211,3</w:t>
            </w:r>
          </w:p>
        </w:tc>
        <w:tc>
          <w:tcPr>
            <w:tcW w:w="2125"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-720</w:t>
            </w:r>
          </w:p>
        </w:tc>
        <w:tc>
          <w:tcPr>
            <w:tcW w:w="1521"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-969,9</w:t>
            </w:r>
          </w:p>
        </w:tc>
        <w:tc>
          <w:tcPr>
            <w:tcW w:w="1720"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297,7</w:t>
            </w:r>
          </w:p>
        </w:tc>
      </w:tr>
      <w:tr w:rsidR="00B17370" w:rsidRPr="004C4788" w:rsidTr="00553F5A">
        <w:trPr>
          <w:trHeight w:val="300"/>
          <w:jc w:val="center"/>
        </w:trPr>
        <w:tc>
          <w:tcPr>
            <w:tcW w:w="1536" w:type="dxa"/>
            <w:tcBorders>
              <w:top w:val="nil"/>
              <w:left w:val="single" w:sz="4" w:space="0" w:color="auto"/>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2012</w:t>
            </w:r>
          </w:p>
        </w:tc>
        <w:tc>
          <w:tcPr>
            <w:tcW w:w="1380"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9038</w:t>
            </w:r>
            <w:r>
              <w:rPr>
                <w:color w:val="000000"/>
              </w:rPr>
              <w:t>,0</w:t>
            </w:r>
          </w:p>
        </w:tc>
        <w:tc>
          <w:tcPr>
            <w:tcW w:w="161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rFonts w:ascii="Arial" w:hAnsi="Arial" w:cs="Arial"/>
              </w:rPr>
            </w:pPr>
            <w:r w:rsidRPr="004C4788">
              <w:rPr>
                <w:rFonts w:ascii="Arial" w:hAnsi="Arial" w:cs="Arial"/>
              </w:rPr>
              <w:t>22.256,9</w:t>
            </w:r>
          </w:p>
        </w:tc>
        <w:tc>
          <w:tcPr>
            <w:tcW w:w="2125"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-291,6</w:t>
            </w:r>
          </w:p>
        </w:tc>
        <w:tc>
          <w:tcPr>
            <w:tcW w:w="1521"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-877,3</w:t>
            </w:r>
          </w:p>
        </w:tc>
        <w:tc>
          <w:tcPr>
            <w:tcW w:w="1720"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296</w:t>
            </w:r>
          </w:p>
        </w:tc>
      </w:tr>
    </w:tbl>
    <w:p w:rsidR="00B17370" w:rsidRDefault="00B17370" w:rsidP="00B17370">
      <w:pPr>
        <w:tabs>
          <w:tab w:val="left" w:pos="7470"/>
        </w:tabs>
        <w:ind w:firstLine="0"/>
      </w:pPr>
      <w:r>
        <w:t xml:space="preserve">   </w:t>
      </w:r>
      <w:r w:rsidRPr="0098028E">
        <w:t>Šaltinis: Eurostat duomenys</w:t>
      </w:r>
    </w:p>
    <w:p w:rsidR="00B17370" w:rsidRDefault="00B17370" w:rsidP="00B17370">
      <w:pPr>
        <w:tabs>
          <w:tab w:val="left" w:pos="7470"/>
        </w:tabs>
      </w:pPr>
    </w:p>
    <w:p w:rsidR="00B17370" w:rsidRPr="005E3B75" w:rsidRDefault="00B17370" w:rsidP="00B17370">
      <w:pPr>
        <w:tabs>
          <w:tab w:val="left" w:pos="7470"/>
        </w:tabs>
      </w:pPr>
    </w:p>
    <w:p w:rsidR="00B17370" w:rsidRPr="001141E6" w:rsidRDefault="00B17370" w:rsidP="00B17370">
      <w:pPr>
        <w:tabs>
          <w:tab w:val="left" w:pos="7470"/>
        </w:tabs>
        <w:jc w:val="center"/>
        <w:rPr>
          <w:sz w:val="24"/>
          <w:szCs w:val="24"/>
        </w:rPr>
      </w:pPr>
      <w:r w:rsidRPr="001141E6">
        <w:rPr>
          <w:sz w:val="24"/>
          <w:szCs w:val="24"/>
        </w:rPr>
        <w:t>3 lentelė.  Kintamųjų reikšmės Estijos valstybės skolos prognozei</w:t>
      </w:r>
    </w:p>
    <w:p w:rsidR="00B17370" w:rsidRPr="00E92012" w:rsidRDefault="00B17370" w:rsidP="00B17370">
      <w:pPr>
        <w:tabs>
          <w:tab w:val="left" w:pos="7470"/>
        </w:tabs>
        <w:jc w:val="center"/>
      </w:pPr>
    </w:p>
    <w:tbl>
      <w:tblPr>
        <w:tblW w:w="9738" w:type="dxa"/>
        <w:jc w:val="center"/>
        <w:tblInd w:w="-774" w:type="dxa"/>
        <w:tblLook w:val="04A0"/>
      </w:tblPr>
      <w:tblGrid>
        <w:gridCol w:w="1483"/>
        <w:gridCol w:w="1491"/>
        <w:gridCol w:w="1502"/>
        <w:gridCol w:w="1889"/>
        <w:gridCol w:w="1593"/>
        <w:gridCol w:w="1780"/>
      </w:tblGrid>
      <w:tr w:rsidR="00B17370" w:rsidRPr="004C4788" w:rsidTr="00553F5A">
        <w:trPr>
          <w:trHeight w:val="841"/>
          <w:jc w:val="center"/>
        </w:trPr>
        <w:tc>
          <w:tcPr>
            <w:tcW w:w="1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7370" w:rsidRPr="004C4788" w:rsidRDefault="00B17370" w:rsidP="00553F5A">
            <w:pPr>
              <w:rPr>
                <w:color w:val="000000"/>
              </w:rPr>
            </w:pPr>
            <w:r w:rsidRPr="004C4788">
              <w:rPr>
                <w:color w:val="000000"/>
              </w:rPr>
              <w:t> </w:t>
            </w:r>
          </w:p>
        </w:tc>
        <w:tc>
          <w:tcPr>
            <w:tcW w:w="1491" w:type="dxa"/>
            <w:tcBorders>
              <w:top w:val="single" w:sz="4" w:space="0" w:color="auto"/>
              <w:left w:val="nil"/>
              <w:bottom w:val="single" w:sz="4" w:space="0" w:color="auto"/>
              <w:right w:val="single" w:sz="4" w:space="0" w:color="auto"/>
            </w:tcBorders>
            <w:shd w:val="clear" w:color="auto" w:fill="auto"/>
            <w:vAlign w:val="bottom"/>
            <w:hideMark/>
          </w:tcPr>
          <w:p w:rsidR="00B17370" w:rsidRPr="004C4788" w:rsidRDefault="00B17370" w:rsidP="00553F5A">
            <w:pPr>
              <w:ind w:firstLine="0"/>
              <w:rPr>
                <w:b/>
                <w:bCs/>
                <w:color w:val="000000"/>
              </w:rPr>
            </w:pPr>
            <w:r w:rsidRPr="004C4788">
              <w:rPr>
                <w:b/>
                <w:bCs/>
                <w:color w:val="000000"/>
              </w:rPr>
              <w:t>Valstybės skola, mln.Eur.</w:t>
            </w:r>
          </w:p>
        </w:tc>
        <w:tc>
          <w:tcPr>
            <w:tcW w:w="1502" w:type="dxa"/>
            <w:tcBorders>
              <w:top w:val="single" w:sz="4" w:space="0" w:color="auto"/>
              <w:left w:val="nil"/>
              <w:bottom w:val="single" w:sz="4" w:space="0" w:color="auto"/>
              <w:right w:val="single" w:sz="4" w:space="0" w:color="auto"/>
            </w:tcBorders>
            <w:shd w:val="clear" w:color="auto" w:fill="auto"/>
            <w:vAlign w:val="bottom"/>
            <w:hideMark/>
          </w:tcPr>
          <w:p w:rsidR="00B17370" w:rsidRPr="004C4788" w:rsidRDefault="00B17370" w:rsidP="00553F5A">
            <w:pPr>
              <w:ind w:firstLine="0"/>
              <w:rPr>
                <w:b/>
                <w:bCs/>
                <w:color w:val="000000"/>
              </w:rPr>
            </w:pPr>
            <w:r w:rsidRPr="004C4788">
              <w:rPr>
                <w:b/>
                <w:bCs/>
                <w:color w:val="000000"/>
              </w:rPr>
              <w:t>BVP, mln.Eur.</w:t>
            </w:r>
          </w:p>
        </w:tc>
        <w:tc>
          <w:tcPr>
            <w:tcW w:w="1889" w:type="dxa"/>
            <w:tcBorders>
              <w:top w:val="single" w:sz="4" w:space="0" w:color="auto"/>
              <w:left w:val="nil"/>
              <w:bottom w:val="single" w:sz="4" w:space="0" w:color="auto"/>
              <w:right w:val="single" w:sz="4" w:space="0" w:color="auto"/>
            </w:tcBorders>
            <w:shd w:val="clear" w:color="auto" w:fill="auto"/>
            <w:vAlign w:val="bottom"/>
            <w:hideMark/>
          </w:tcPr>
          <w:p w:rsidR="00B17370" w:rsidRPr="004C4788" w:rsidRDefault="00B17370" w:rsidP="00553F5A">
            <w:pPr>
              <w:ind w:firstLine="0"/>
              <w:rPr>
                <w:b/>
                <w:bCs/>
                <w:color w:val="000000"/>
              </w:rPr>
            </w:pPr>
            <w:r w:rsidRPr="004C4788">
              <w:rPr>
                <w:b/>
                <w:bCs/>
                <w:color w:val="000000"/>
              </w:rPr>
              <w:t>Valdžios sektoriaus deficitas/perteklius, mln.Eur.</w:t>
            </w:r>
          </w:p>
        </w:tc>
        <w:tc>
          <w:tcPr>
            <w:tcW w:w="1593" w:type="dxa"/>
            <w:tcBorders>
              <w:top w:val="single" w:sz="4" w:space="0" w:color="auto"/>
              <w:left w:val="nil"/>
              <w:bottom w:val="single" w:sz="4" w:space="0" w:color="auto"/>
              <w:right w:val="single" w:sz="4" w:space="0" w:color="auto"/>
            </w:tcBorders>
            <w:shd w:val="clear" w:color="auto" w:fill="auto"/>
            <w:vAlign w:val="bottom"/>
            <w:hideMark/>
          </w:tcPr>
          <w:p w:rsidR="00B17370" w:rsidRPr="004C4788" w:rsidRDefault="00B17370" w:rsidP="00553F5A">
            <w:pPr>
              <w:ind w:firstLine="0"/>
              <w:rPr>
                <w:b/>
                <w:bCs/>
                <w:color w:val="000000"/>
              </w:rPr>
            </w:pPr>
            <w:r w:rsidRPr="004C4788">
              <w:rPr>
                <w:b/>
                <w:bCs/>
                <w:color w:val="000000"/>
              </w:rPr>
              <w:t>Einamosios sąskaitos balansas, mln.Eur.</w:t>
            </w:r>
          </w:p>
        </w:tc>
        <w:tc>
          <w:tcPr>
            <w:tcW w:w="1780" w:type="dxa"/>
            <w:tcBorders>
              <w:top w:val="single" w:sz="4" w:space="0" w:color="auto"/>
              <w:left w:val="nil"/>
              <w:bottom w:val="single" w:sz="4" w:space="0" w:color="auto"/>
              <w:right w:val="single" w:sz="4" w:space="0" w:color="auto"/>
            </w:tcBorders>
            <w:shd w:val="clear" w:color="auto" w:fill="auto"/>
            <w:vAlign w:val="bottom"/>
            <w:hideMark/>
          </w:tcPr>
          <w:p w:rsidR="00B17370" w:rsidRPr="004C4788" w:rsidRDefault="00B17370" w:rsidP="00553F5A">
            <w:pPr>
              <w:ind w:firstLine="0"/>
              <w:rPr>
                <w:b/>
                <w:bCs/>
                <w:color w:val="000000"/>
              </w:rPr>
            </w:pPr>
            <w:r w:rsidRPr="004C4788">
              <w:rPr>
                <w:b/>
                <w:bCs/>
                <w:color w:val="000000"/>
              </w:rPr>
              <w:t>Valstybės skolos valdymo išlaidos (palūkanoms), mln. Eur.</w:t>
            </w:r>
          </w:p>
        </w:tc>
      </w:tr>
      <w:tr w:rsidR="00B17370" w:rsidRPr="004C4788" w:rsidTr="00553F5A">
        <w:trPr>
          <w:trHeight w:val="300"/>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B17370" w:rsidRPr="004C4788" w:rsidRDefault="00B17370" w:rsidP="00553F5A">
            <w:pPr>
              <w:rPr>
                <w:color w:val="000000"/>
              </w:rPr>
            </w:pPr>
            <w:r w:rsidRPr="004C4788">
              <w:rPr>
                <w:color w:val="000000"/>
              </w:rPr>
              <w:t> </w:t>
            </w:r>
          </w:p>
        </w:tc>
        <w:tc>
          <w:tcPr>
            <w:tcW w:w="1491"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rPr>
                <w:color w:val="000000"/>
              </w:rPr>
            </w:pPr>
            <w:r w:rsidRPr="004C4788">
              <w:rPr>
                <w:color w:val="000000"/>
              </w:rPr>
              <w:t>y</w:t>
            </w:r>
          </w:p>
        </w:tc>
        <w:tc>
          <w:tcPr>
            <w:tcW w:w="1502"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rPr>
                <w:color w:val="000000"/>
              </w:rPr>
            </w:pPr>
            <w:r w:rsidRPr="004C4788">
              <w:rPr>
                <w:color w:val="000000"/>
              </w:rPr>
              <w:t>x1</w:t>
            </w:r>
          </w:p>
        </w:tc>
        <w:tc>
          <w:tcPr>
            <w:tcW w:w="188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rPr>
                <w:color w:val="000000"/>
              </w:rPr>
            </w:pPr>
            <w:r w:rsidRPr="004C4788">
              <w:rPr>
                <w:color w:val="000000"/>
              </w:rPr>
              <w:t>x2</w:t>
            </w:r>
          </w:p>
        </w:tc>
        <w:tc>
          <w:tcPr>
            <w:tcW w:w="1593"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rPr>
                <w:color w:val="000000"/>
              </w:rPr>
            </w:pPr>
            <w:r w:rsidRPr="004C4788">
              <w:rPr>
                <w:color w:val="000000"/>
              </w:rPr>
              <w:t>x3</w:t>
            </w:r>
          </w:p>
        </w:tc>
        <w:tc>
          <w:tcPr>
            <w:tcW w:w="1780"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rPr>
                <w:color w:val="000000"/>
              </w:rPr>
            </w:pPr>
            <w:r w:rsidRPr="004C4788">
              <w:rPr>
                <w:color w:val="000000"/>
              </w:rPr>
              <w:t>x4</w:t>
            </w:r>
          </w:p>
        </w:tc>
      </w:tr>
      <w:tr w:rsidR="00B17370" w:rsidRPr="004C4788" w:rsidTr="00553F5A">
        <w:trPr>
          <w:trHeight w:val="300"/>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2000</w:t>
            </w:r>
          </w:p>
        </w:tc>
        <w:tc>
          <w:tcPr>
            <w:tcW w:w="1491"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315,6</w:t>
            </w:r>
          </w:p>
        </w:tc>
        <w:tc>
          <w:tcPr>
            <w:tcW w:w="1502"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6159,8</w:t>
            </w:r>
          </w:p>
        </w:tc>
        <w:tc>
          <w:tcPr>
            <w:tcW w:w="188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-14,1</w:t>
            </w:r>
          </w:p>
        </w:tc>
        <w:tc>
          <w:tcPr>
            <w:tcW w:w="1593"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-222,1</w:t>
            </w:r>
          </w:p>
        </w:tc>
        <w:tc>
          <w:tcPr>
            <w:tcW w:w="1780"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12,7</w:t>
            </w:r>
          </w:p>
        </w:tc>
      </w:tr>
      <w:tr w:rsidR="00B17370" w:rsidRPr="004C4788" w:rsidTr="00553F5A">
        <w:trPr>
          <w:trHeight w:val="300"/>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2001</w:t>
            </w:r>
          </w:p>
        </w:tc>
        <w:tc>
          <w:tcPr>
            <w:tcW w:w="1491"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333,5</w:t>
            </w:r>
          </w:p>
        </w:tc>
        <w:tc>
          <w:tcPr>
            <w:tcW w:w="1502"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6970,9</w:t>
            </w:r>
          </w:p>
        </w:tc>
        <w:tc>
          <w:tcPr>
            <w:tcW w:w="188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-4,4</w:t>
            </w:r>
          </w:p>
        </w:tc>
        <w:tc>
          <w:tcPr>
            <w:tcW w:w="1593"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-172,6</w:t>
            </w:r>
          </w:p>
        </w:tc>
        <w:tc>
          <w:tcPr>
            <w:tcW w:w="1780"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10,2</w:t>
            </w:r>
          </w:p>
        </w:tc>
      </w:tr>
      <w:tr w:rsidR="00B17370" w:rsidRPr="004C4788" w:rsidTr="00553F5A">
        <w:trPr>
          <w:trHeight w:val="300"/>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2002</w:t>
            </w:r>
          </w:p>
        </w:tc>
        <w:tc>
          <w:tcPr>
            <w:tcW w:w="1491"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445,5</w:t>
            </w:r>
          </w:p>
        </w:tc>
        <w:tc>
          <w:tcPr>
            <w:tcW w:w="1502"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7776,3</w:t>
            </w:r>
          </w:p>
        </w:tc>
        <w:tc>
          <w:tcPr>
            <w:tcW w:w="188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20,8</w:t>
            </w:r>
          </w:p>
        </w:tc>
        <w:tc>
          <w:tcPr>
            <w:tcW w:w="1593"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-572,1</w:t>
            </w:r>
          </w:p>
        </w:tc>
        <w:tc>
          <w:tcPr>
            <w:tcW w:w="1780"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16,4</w:t>
            </w:r>
          </w:p>
        </w:tc>
      </w:tr>
      <w:tr w:rsidR="00B17370" w:rsidRPr="004C4788" w:rsidTr="00553F5A">
        <w:trPr>
          <w:trHeight w:val="300"/>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2003</w:t>
            </w:r>
          </w:p>
        </w:tc>
        <w:tc>
          <w:tcPr>
            <w:tcW w:w="1491"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489,7</w:t>
            </w:r>
          </w:p>
        </w:tc>
        <w:tc>
          <w:tcPr>
            <w:tcW w:w="1502"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8718,9</w:t>
            </w:r>
          </w:p>
        </w:tc>
        <w:tc>
          <w:tcPr>
            <w:tcW w:w="188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145,7</w:t>
            </w:r>
          </w:p>
        </w:tc>
        <w:tc>
          <w:tcPr>
            <w:tcW w:w="1593"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-653,1</w:t>
            </w:r>
          </w:p>
        </w:tc>
        <w:tc>
          <w:tcPr>
            <w:tcW w:w="1780"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18,2</w:t>
            </w:r>
          </w:p>
        </w:tc>
      </w:tr>
      <w:tr w:rsidR="00B17370" w:rsidRPr="004C4788" w:rsidTr="00553F5A">
        <w:trPr>
          <w:trHeight w:val="300"/>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2004</w:t>
            </w:r>
          </w:p>
        </w:tc>
        <w:tc>
          <w:tcPr>
            <w:tcW w:w="1491"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486,7</w:t>
            </w:r>
          </w:p>
        </w:tc>
        <w:tc>
          <w:tcPr>
            <w:tcW w:w="1502"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9685,3</w:t>
            </w:r>
          </w:p>
        </w:tc>
        <w:tc>
          <w:tcPr>
            <w:tcW w:w="188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159,7</w:t>
            </w:r>
          </w:p>
        </w:tc>
        <w:tc>
          <w:tcPr>
            <w:tcW w:w="1593"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-683,3</w:t>
            </w:r>
          </w:p>
        </w:tc>
        <w:tc>
          <w:tcPr>
            <w:tcW w:w="1780"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22</w:t>
            </w:r>
          </w:p>
        </w:tc>
      </w:tr>
      <w:tr w:rsidR="00B17370" w:rsidRPr="004C4788" w:rsidTr="00553F5A">
        <w:trPr>
          <w:trHeight w:val="300"/>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2005</w:t>
            </w:r>
          </w:p>
        </w:tc>
        <w:tc>
          <w:tcPr>
            <w:tcW w:w="1491"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511,3</w:t>
            </w:r>
          </w:p>
        </w:tc>
        <w:tc>
          <w:tcPr>
            <w:tcW w:w="1502"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11181,7</w:t>
            </w:r>
          </w:p>
        </w:tc>
        <w:tc>
          <w:tcPr>
            <w:tcW w:w="188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180,2</w:t>
            </w:r>
          </w:p>
        </w:tc>
        <w:tc>
          <w:tcPr>
            <w:tcW w:w="1593"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-726,7</w:t>
            </w:r>
          </w:p>
        </w:tc>
        <w:tc>
          <w:tcPr>
            <w:tcW w:w="1780"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22</w:t>
            </w:r>
          </w:p>
        </w:tc>
      </w:tr>
      <w:tr w:rsidR="00B17370" w:rsidRPr="004C4788" w:rsidTr="00553F5A">
        <w:trPr>
          <w:trHeight w:val="300"/>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2006</w:t>
            </w:r>
          </w:p>
        </w:tc>
        <w:tc>
          <w:tcPr>
            <w:tcW w:w="1491"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590,7</w:t>
            </w:r>
          </w:p>
        </w:tc>
        <w:tc>
          <w:tcPr>
            <w:tcW w:w="1502"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13390,8</w:t>
            </w:r>
          </w:p>
        </w:tc>
        <w:tc>
          <w:tcPr>
            <w:tcW w:w="188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329,7</w:t>
            </w:r>
          </w:p>
        </w:tc>
        <w:tc>
          <w:tcPr>
            <w:tcW w:w="1593"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-1371,9</w:t>
            </w:r>
          </w:p>
        </w:tc>
        <w:tc>
          <w:tcPr>
            <w:tcW w:w="1780"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23</w:t>
            </w:r>
          </w:p>
        </w:tc>
      </w:tr>
      <w:tr w:rsidR="00B17370" w:rsidRPr="004C4788" w:rsidTr="00553F5A">
        <w:trPr>
          <w:trHeight w:val="300"/>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2007</w:t>
            </w:r>
          </w:p>
        </w:tc>
        <w:tc>
          <w:tcPr>
            <w:tcW w:w="1491"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592,2</w:t>
            </w:r>
          </w:p>
        </w:tc>
        <w:tc>
          <w:tcPr>
            <w:tcW w:w="1502"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16069,4</w:t>
            </w:r>
          </w:p>
        </w:tc>
        <w:tc>
          <w:tcPr>
            <w:tcW w:w="188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383,6</w:t>
            </w:r>
          </w:p>
        </w:tc>
        <w:tc>
          <w:tcPr>
            <w:tcW w:w="1593"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-1483,2</w:t>
            </w:r>
          </w:p>
        </w:tc>
        <w:tc>
          <w:tcPr>
            <w:tcW w:w="1780"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26,4</w:t>
            </w:r>
          </w:p>
        </w:tc>
      </w:tr>
      <w:tr w:rsidR="00B17370" w:rsidRPr="004C4788" w:rsidTr="00553F5A">
        <w:trPr>
          <w:trHeight w:val="300"/>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2008</w:t>
            </w:r>
          </w:p>
        </w:tc>
        <w:tc>
          <w:tcPr>
            <w:tcW w:w="1491"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737,4</w:t>
            </w:r>
          </w:p>
        </w:tc>
        <w:tc>
          <w:tcPr>
            <w:tcW w:w="1502"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16235,1</w:t>
            </w:r>
          </w:p>
        </w:tc>
        <w:tc>
          <w:tcPr>
            <w:tcW w:w="188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-478,1</w:t>
            </w:r>
          </w:p>
        </w:tc>
        <w:tc>
          <w:tcPr>
            <w:tcW w:w="1593"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-655,8</w:t>
            </w:r>
          </w:p>
        </w:tc>
        <w:tc>
          <w:tcPr>
            <w:tcW w:w="1780"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33,2</w:t>
            </w:r>
          </w:p>
        </w:tc>
      </w:tr>
      <w:tr w:rsidR="00B17370" w:rsidRPr="004C4788" w:rsidTr="00553F5A">
        <w:trPr>
          <w:trHeight w:val="300"/>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2009</w:t>
            </w:r>
          </w:p>
        </w:tc>
        <w:tc>
          <w:tcPr>
            <w:tcW w:w="1491"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991,3</w:t>
            </w:r>
          </w:p>
        </w:tc>
        <w:tc>
          <w:tcPr>
            <w:tcW w:w="1502"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13969,7</w:t>
            </w:r>
          </w:p>
        </w:tc>
        <w:tc>
          <w:tcPr>
            <w:tcW w:w="188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-274,4</w:t>
            </w:r>
          </w:p>
        </w:tc>
        <w:tc>
          <w:tcPr>
            <w:tcW w:w="1593"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769,6</w:t>
            </w:r>
          </w:p>
        </w:tc>
        <w:tc>
          <w:tcPr>
            <w:tcW w:w="1780"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29,1</w:t>
            </w:r>
          </w:p>
        </w:tc>
      </w:tr>
      <w:tr w:rsidR="00B17370" w:rsidRPr="004C4788" w:rsidTr="00553F5A">
        <w:trPr>
          <w:trHeight w:val="300"/>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2010</w:t>
            </w:r>
          </w:p>
        </w:tc>
        <w:tc>
          <w:tcPr>
            <w:tcW w:w="1491"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961,3</w:t>
            </w:r>
          </w:p>
        </w:tc>
        <w:tc>
          <w:tcPr>
            <w:tcW w:w="1502"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14371,1</w:t>
            </w:r>
          </w:p>
        </w:tc>
        <w:tc>
          <w:tcPr>
            <w:tcW w:w="188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26,2</w:t>
            </w:r>
          </w:p>
        </w:tc>
        <w:tc>
          <w:tcPr>
            <w:tcW w:w="1593"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1002,1</w:t>
            </w:r>
          </w:p>
        </w:tc>
        <w:tc>
          <w:tcPr>
            <w:tcW w:w="1780"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19,9</w:t>
            </w:r>
          </w:p>
        </w:tc>
      </w:tr>
      <w:tr w:rsidR="00B17370" w:rsidRPr="004C4788" w:rsidTr="00553F5A">
        <w:trPr>
          <w:trHeight w:val="300"/>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2011</w:t>
            </w:r>
          </w:p>
        </w:tc>
        <w:tc>
          <w:tcPr>
            <w:tcW w:w="1491"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982,4</w:t>
            </w:r>
          </w:p>
        </w:tc>
        <w:tc>
          <w:tcPr>
            <w:tcW w:w="1502"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16216,4</w:t>
            </w:r>
          </w:p>
        </w:tc>
        <w:tc>
          <w:tcPr>
            <w:tcW w:w="188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179,8</w:t>
            </w:r>
          </w:p>
        </w:tc>
        <w:tc>
          <w:tcPr>
            <w:tcW w:w="1593"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597,8</w:t>
            </w:r>
          </w:p>
        </w:tc>
        <w:tc>
          <w:tcPr>
            <w:tcW w:w="1780"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23,3</w:t>
            </w:r>
          </w:p>
        </w:tc>
      </w:tr>
      <w:tr w:rsidR="00B17370" w:rsidRPr="004C4788" w:rsidTr="00553F5A">
        <w:trPr>
          <w:trHeight w:val="315"/>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2012</w:t>
            </w:r>
          </w:p>
        </w:tc>
        <w:tc>
          <w:tcPr>
            <w:tcW w:w="1491"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1712,1</w:t>
            </w:r>
          </w:p>
        </w:tc>
        <w:tc>
          <w:tcPr>
            <w:tcW w:w="1502"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17415,1</w:t>
            </w:r>
          </w:p>
        </w:tc>
        <w:tc>
          <w:tcPr>
            <w:tcW w:w="1889"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-41,2</w:t>
            </w:r>
          </w:p>
        </w:tc>
        <w:tc>
          <w:tcPr>
            <w:tcW w:w="1593"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39,7</w:t>
            </w:r>
          </w:p>
        </w:tc>
        <w:tc>
          <w:tcPr>
            <w:tcW w:w="1780" w:type="dxa"/>
            <w:tcBorders>
              <w:top w:val="nil"/>
              <w:left w:val="nil"/>
              <w:bottom w:val="single" w:sz="4" w:space="0" w:color="auto"/>
              <w:right w:val="single" w:sz="4" w:space="0" w:color="auto"/>
            </w:tcBorders>
            <w:shd w:val="clear" w:color="auto" w:fill="auto"/>
            <w:noWrap/>
            <w:vAlign w:val="bottom"/>
            <w:hideMark/>
          </w:tcPr>
          <w:p w:rsidR="00B17370" w:rsidRPr="004C4788" w:rsidRDefault="00B17370" w:rsidP="00553F5A">
            <w:pPr>
              <w:jc w:val="right"/>
              <w:rPr>
                <w:color w:val="000000"/>
              </w:rPr>
            </w:pPr>
            <w:r w:rsidRPr="004C4788">
              <w:rPr>
                <w:color w:val="000000"/>
              </w:rPr>
              <w:t>28,5</w:t>
            </w:r>
          </w:p>
        </w:tc>
      </w:tr>
    </w:tbl>
    <w:p w:rsidR="00B17370" w:rsidRDefault="00B17370" w:rsidP="00B17370">
      <w:pPr>
        <w:tabs>
          <w:tab w:val="left" w:pos="7470"/>
        </w:tabs>
        <w:ind w:firstLine="0"/>
      </w:pPr>
      <w:r>
        <w:t xml:space="preserve">     </w:t>
      </w:r>
      <w:r w:rsidRPr="0098028E">
        <w:t>Šaltinis: Eurostat duomeny</w:t>
      </w:r>
      <w:r>
        <w:t>s</w:t>
      </w:r>
    </w:p>
    <w:p w:rsidR="00B17370" w:rsidRDefault="00B17370" w:rsidP="00B17370">
      <w:pPr>
        <w:tabs>
          <w:tab w:val="left" w:pos="7470"/>
        </w:tabs>
        <w:ind w:firstLine="0"/>
      </w:pPr>
    </w:p>
    <w:p w:rsidR="00B17370" w:rsidRDefault="00B17370" w:rsidP="00B17370">
      <w:pPr>
        <w:tabs>
          <w:tab w:val="left" w:pos="7470"/>
        </w:tabs>
        <w:jc w:val="right"/>
        <w:rPr>
          <w:b/>
          <w:sz w:val="24"/>
          <w:szCs w:val="24"/>
        </w:rPr>
      </w:pPr>
      <w:r w:rsidRPr="00900995">
        <w:rPr>
          <w:b/>
          <w:sz w:val="24"/>
          <w:szCs w:val="24"/>
        </w:rPr>
        <w:t>8 PRIEDAS</w:t>
      </w:r>
    </w:p>
    <w:p w:rsidR="00B17370" w:rsidRDefault="00B17370" w:rsidP="00B17370">
      <w:pPr>
        <w:tabs>
          <w:tab w:val="left" w:pos="7470"/>
        </w:tabs>
        <w:jc w:val="right"/>
        <w:rPr>
          <w:b/>
          <w:sz w:val="24"/>
          <w:szCs w:val="24"/>
        </w:rPr>
      </w:pPr>
    </w:p>
    <w:p w:rsidR="00B17370" w:rsidRPr="00900995" w:rsidRDefault="00B17370" w:rsidP="00B17370">
      <w:pPr>
        <w:tabs>
          <w:tab w:val="left" w:pos="7470"/>
        </w:tabs>
        <w:jc w:val="center"/>
        <w:rPr>
          <w:b/>
          <w:sz w:val="24"/>
          <w:szCs w:val="24"/>
        </w:rPr>
      </w:pPr>
      <w:r w:rsidRPr="00900995">
        <w:rPr>
          <w:b/>
          <w:sz w:val="24"/>
          <w:szCs w:val="24"/>
        </w:rPr>
        <w:t>LIETUVOS VALSTYBĖS SKOLOS PROGNOZAVIMAS DTR MODELIU</w:t>
      </w:r>
    </w:p>
    <w:p w:rsidR="00553F5A" w:rsidRDefault="00553F5A" w:rsidP="00553F5A">
      <w:pPr>
        <w:rPr>
          <w:b/>
          <w:sz w:val="24"/>
          <w:szCs w:val="24"/>
        </w:rPr>
      </w:pPr>
    </w:p>
    <w:p w:rsidR="00553F5A" w:rsidRDefault="00B17370" w:rsidP="00553F5A">
      <w:pPr>
        <w:jc w:val="center"/>
      </w:pPr>
      <w:r>
        <w:rPr>
          <w:noProof/>
          <w:lang w:val="en-US"/>
        </w:rPr>
        <w:drawing>
          <wp:inline distT="0" distB="0" distL="0" distR="0">
            <wp:extent cx="2533650" cy="1831340"/>
            <wp:effectExtent l="0" t="0" r="0" b="0"/>
            <wp:docPr id="61"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8" cstate="print"/>
                    <a:srcRect l="28410" t="36858" r="35234" b="16286"/>
                    <a:stretch>
                      <a:fillRect/>
                    </a:stretch>
                  </pic:blipFill>
                  <pic:spPr bwMode="auto">
                    <a:xfrm>
                      <a:off x="0" y="0"/>
                      <a:ext cx="2533650" cy="1831340"/>
                    </a:xfrm>
                    <a:prstGeom prst="rect">
                      <a:avLst/>
                    </a:prstGeom>
                    <a:noFill/>
                    <a:ln w="9525">
                      <a:noFill/>
                      <a:miter lim="800000"/>
                      <a:headEnd/>
                      <a:tailEnd/>
                    </a:ln>
                  </pic:spPr>
                </pic:pic>
              </a:graphicData>
            </a:graphic>
          </wp:inline>
        </w:drawing>
      </w:r>
    </w:p>
    <w:p w:rsidR="00553F5A" w:rsidRDefault="00553F5A" w:rsidP="00553F5A">
      <w:pPr>
        <w:tabs>
          <w:tab w:val="left" w:pos="7470"/>
        </w:tabs>
        <w:contextualSpacing/>
      </w:pPr>
      <w:r>
        <w:t xml:space="preserve">                                                      </w:t>
      </w:r>
      <w:r w:rsidRPr="0013471B">
        <w:t>Šaltinis: Eviews 8 programa</w:t>
      </w:r>
    </w:p>
    <w:p w:rsidR="00553F5A" w:rsidRPr="0013471B" w:rsidRDefault="00553F5A" w:rsidP="00553F5A">
      <w:pPr>
        <w:tabs>
          <w:tab w:val="left" w:pos="7470"/>
        </w:tabs>
        <w:contextualSpacing/>
      </w:pPr>
    </w:p>
    <w:p w:rsidR="00553F5A" w:rsidRPr="00E92012" w:rsidRDefault="00553F5A" w:rsidP="00553F5A">
      <w:pPr>
        <w:tabs>
          <w:tab w:val="left" w:pos="7470"/>
        </w:tabs>
        <w:contextualSpacing/>
        <w:jc w:val="center"/>
      </w:pPr>
      <w:r>
        <w:rPr>
          <w:sz w:val="24"/>
          <w:szCs w:val="24"/>
        </w:rPr>
        <w:t>1</w:t>
      </w:r>
      <w:r w:rsidRPr="00900995">
        <w:rPr>
          <w:sz w:val="24"/>
          <w:szCs w:val="24"/>
        </w:rPr>
        <w:t>pav. Kintamojo</w:t>
      </w:r>
      <w:r>
        <w:rPr>
          <w:sz w:val="24"/>
          <w:szCs w:val="24"/>
        </w:rPr>
        <w:t xml:space="preserve"> Y</w:t>
      </w:r>
      <w:r w:rsidRPr="00E92012">
        <w:rPr>
          <w:sz w:val="24"/>
          <w:szCs w:val="24"/>
        </w:rPr>
        <w:t xml:space="preserve"> histograma su statstinėmis charakteristikomis</w:t>
      </w:r>
    </w:p>
    <w:p w:rsidR="00553F5A" w:rsidRDefault="00553F5A" w:rsidP="00553F5A"/>
    <w:p w:rsidR="00553F5A" w:rsidRDefault="00553F5A" w:rsidP="00553F5A"/>
    <w:p w:rsidR="00553F5A" w:rsidRDefault="00553F5A" w:rsidP="00553F5A">
      <w:pPr>
        <w:jc w:val="center"/>
      </w:pPr>
      <w:r w:rsidRPr="00553F5A">
        <w:rPr>
          <w:noProof/>
          <w:lang w:val="en-US"/>
        </w:rPr>
        <w:drawing>
          <wp:inline distT="0" distB="0" distL="0" distR="0">
            <wp:extent cx="2523877" cy="1762125"/>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cstate="print"/>
                    <a:srcRect l="27019" t="38908" r="38989" b="20886"/>
                    <a:stretch>
                      <a:fillRect/>
                    </a:stretch>
                  </pic:blipFill>
                  <pic:spPr bwMode="auto">
                    <a:xfrm>
                      <a:off x="0" y="0"/>
                      <a:ext cx="2523877" cy="1762125"/>
                    </a:xfrm>
                    <a:prstGeom prst="rect">
                      <a:avLst/>
                    </a:prstGeom>
                    <a:noFill/>
                    <a:ln w="9525">
                      <a:noFill/>
                      <a:miter lim="800000"/>
                      <a:headEnd/>
                      <a:tailEnd/>
                    </a:ln>
                  </pic:spPr>
                </pic:pic>
              </a:graphicData>
            </a:graphic>
          </wp:inline>
        </w:drawing>
      </w:r>
    </w:p>
    <w:p w:rsidR="00553F5A" w:rsidRDefault="00553F5A" w:rsidP="00553F5A">
      <w:pPr>
        <w:ind w:firstLine="0"/>
        <w:contextualSpacing/>
      </w:pPr>
      <w:r>
        <w:t xml:space="preserve">                                                             </w:t>
      </w:r>
      <w:r w:rsidR="00B17370" w:rsidRPr="0013471B">
        <w:t>Šaltinis: Eviews 8 programa</w:t>
      </w:r>
    </w:p>
    <w:p w:rsidR="00553F5A" w:rsidRDefault="00553F5A" w:rsidP="00553F5A">
      <w:pPr>
        <w:ind w:firstLine="0"/>
        <w:contextualSpacing/>
      </w:pPr>
    </w:p>
    <w:p w:rsidR="00553F5A" w:rsidRPr="00E92012" w:rsidRDefault="00553F5A" w:rsidP="00553F5A">
      <w:pPr>
        <w:tabs>
          <w:tab w:val="left" w:pos="7470"/>
        </w:tabs>
        <w:contextualSpacing/>
        <w:jc w:val="center"/>
      </w:pPr>
      <w:r>
        <w:t xml:space="preserve">  </w:t>
      </w:r>
      <w:r>
        <w:rPr>
          <w:sz w:val="24"/>
          <w:szCs w:val="24"/>
        </w:rPr>
        <w:t>1</w:t>
      </w:r>
      <w:r w:rsidRPr="00900995">
        <w:rPr>
          <w:sz w:val="24"/>
          <w:szCs w:val="24"/>
        </w:rPr>
        <w:t>pav. Kintamojo</w:t>
      </w:r>
      <w:r>
        <w:rPr>
          <w:sz w:val="24"/>
          <w:szCs w:val="24"/>
        </w:rPr>
        <w:t xml:space="preserve"> Y</w:t>
      </w:r>
      <w:r w:rsidRPr="00E92012">
        <w:rPr>
          <w:sz w:val="24"/>
          <w:szCs w:val="24"/>
        </w:rPr>
        <w:t xml:space="preserve"> histograma su statstinėmis charakteristikomis</w:t>
      </w:r>
    </w:p>
    <w:p w:rsidR="00B17370" w:rsidRPr="00E92012" w:rsidRDefault="00B17370" w:rsidP="00B17370">
      <w:pPr>
        <w:contextualSpacing/>
        <w:jc w:val="center"/>
        <w:rPr>
          <w:sz w:val="24"/>
          <w:szCs w:val="24"/>
        </w:rPr>
      </w:pPr>
    </w:p>
    <w:p w:rsidR="00B17370" w:rsidRPr="00E92012" w:rsidRDefault="00B17370" w:rsidP="00B17370">
      <w:pPr>
        <w:tabs>
          <w:tab w:val="left" w:pos="7470"/>
        </w:tabs>
        <w:jc w:val="center"/>
      </w:pPr>
      <w:r>
        <w:rPr>
          <w:noProof/>
          <w:lang w:val="en-US"/>
        </w:rPr>
        <w:drawing>
          <wp:inline distT="0" distB="0" distL="0" distR="0">
            <wp:extent cx="2952750" cy="1581150"/>
            <wp:effectExtent l="19050" t="0" r="0" b="0"/>
            <wp:docPr id="6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0" cstate="print"/>
                    <a:srcRect l="31941" t="45428" r="32103" b="22858"/>
                    <a:stretch>
                      <a:fillRect/>
                    </a:stretch>
                  </pic:blipFill>
                  <pic:spPr bwMode="auto">
                    <a:xfrm>
                      <a:off x="0" y="0"/>
                      <a:ext cx="2952750" cy="1581150"/>
                    </a:xfrm>
                    <a:prstGeom prst="rect">
                      <a:avLst/>
                    </a:prstGeom>
                    <a:noFill/>
                    <a:ln w="9525">
                      <a:noFill/>
                      <a:miter lim="800000"/>
                      <a:headEnd/>
                      <a:tailEnd/>
                    </a:ln>
                  </pic:spPr>
                </pic:pic>
              </a:graphicData>
            </a:graphic>
          </wp:inline>
        </w:drawing>
      </w:r>
    </w:p>
    <w:p w:rsidR="00B17370" w:rsidRDefault="00B17370" w:rsidP="00B17370">
      <w:pPr>
        <w:tabs>
          <w:tab w:val="left" w:pos="7470"/>
        </w:tabs>
        <w:contextualSpacing/>
      </w:pPr>
      <w:r>
        <w:t xml:space="preserve">                                                      </w:t>
      </w:r>
      <w:r w:rsidRPr="0013471B">
        <w:t>Šaltinis: Eviews 8 programa</w:t>
      </w:r>
    </w:p>
    <w:p w:rsidR="00B17370" w:rsidRPr="0013471B" w:rsidRDefault="00B17370" w:rsidP="00B17370">
      <w:pPr>
        <w:tabs>
          <w:tab w:val="left" w:pos="7470"/>
        </w:tabs>
        <w:contextualSpacing/>
      </w:pPr>
    </w:p>
    <w:p w:rsidR="00B17370" w:rsidRPr="00E92012" w:rsidRDefault="00B17370" w:rsidP="00B17370">
      <w:pPr>
        <w:tabs>
          <w:tab w:val="left" w:pos="7470"/>
        </w:tabs>
        <w:contextualSpacing/>
        <w:jc w:val="center"/>
      </w:pPr>
      <w:r w:rsidRPr="00900995">
        <w:rPr>
          <w:sz w:val="24"/>
          <w:szCs w:val="24"/>
        </w:rPr>
        <w:t>3pav. Kintamojo</w:t>
      </w:r>
      <w:r w:rsidRPr="00E92012">
        <w:rPr>
          <w:sz w:val="24"/>
          <w:szCs w:val="24"/>
        </w:rPr>
        <w:t xml:space="preserve"> X2 histograma su statstinėmis charakteristikomis</w:t>
      </w:r>
    </w:p>
    <w:p w:rsidR="00B17370" w:rsidRPr="00E92012" w:rsidRDefault="00B17370" w:rsidP="00B17370">
      <w:pPr>
        <w:tabs>
          <w:tab w:val="left" w:pos="7470"/>
        </w:tabs>
        <w:jc w:val="center"/>
      </w:pPr>
      <w:r>
        <w:rPr>
          <w:noProof/>
          <w:lang w:val="en-US"/>
        </w:rPr>
        <w:lastRenderedPageBreak/>
        <w:drawing>
          <wp:inline distT="0" distB="0" distL="0" distR="0">
            <wp:extent cx="2733675" cy="1747086"/>
            <wp:effectExtent l="0" t="0" r="0" b="0"/>
            <wp:docPr id="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cstate="print"/>
                    <a:srcRect l="30750" t="41020" r="34384" b="19339"/>
                    <a:stretch>
                      <a:fillRect/>
                    </a:stretch>
                  </pic:blipFill>
                  <pic:spPr bwMode="auto">
                    <a:xfrm>
                      <a:off x="0" y="0"/>
                      <a:ext cx="2733675" cy="1747086"/>
                    </a:xfrm>
                    <a:prstGeom prst="rect">
                      <a:avLst/>
                    </a:prstGeom>
                    <a:noFill/>
                    <a:ln w="9525">
                      <a:noFill/>
                      <a:miter lim="800000"/>
                      <a:headEnd/>
                      <a:tailEnd/>
                    </a:ln>
                  </pic:spPr>
                </pic:pic>
              </a:graphicData>
            </a:graphic>
          </wp:inline>
        </w:drawing>
      </w:r>
    </w:p>
    <w:p w:rsidR="00B17370" w:rsidRDefault="00B17370" w:rsidP="00B17370">
      <w:pPr>
        <w:contextualSpacing/>
      </w:pPr>
      <w:r>
        <w:t xml:space="preserve">                                                     </w:t>
      </w:r>
      <w:r w:rsidRPr="0013471B">
        <w:t>Šaltinis: Eviews 8 programa</w:t>
      </w:r>
    </w:p>
    <w:p w:rsidR="00B17370" w:rsidRPr="0013471B" w:rsidRDefault="00B17370" w:rsidP="00B17370">
      <w:pPr>
        <w:contextualSpacing/>
      </w:pPr>
    </w:p>
    <w:p w:rsidR="00B17370" w:rsidRDefault="00B17370" w:rsidP="00B17370">
      <w:pPr>
        <w:contextualSpacing/>
        <w:jc w:val="center"/>
        <w:rPr>
          <w:sz w:val="24"/>
          <w:szCs w:val="24"/>
        </w:rPr>
      </w:pPr>
      <w:r w:rsidRPr="00900995">
        <w:rPr>
          <w:sz w:val="24"/>
          <w:szCs w:val="24"/>
        </w:rPr>
        <w:t>4pav. Kintamojo X3</w:t>
      </w:r>
      <w:r w:rsidRPr="00E92012">
        <w:rPr>
          <w:sz w:val="24"/>
          <w:szCs w:val="24"/>
        </w:rPr>
        <w:t xml:space="preserve"> histograma su statstinėmis charakteristikomis </w:t>
      </w:r>
    </w:p>
    <w:p w:rsidR="00B17370" w:rsidRDefault="00B17370" w:rsidP="00B17370">
      <w:pPr>
        <w:contextualSpacing/>
        <w:jc w:val="center"/>
        <w:rPr>
          <w:sz w:val="24"/>
          <w:szCs w:val="24"/>
        </w:rPr>
      </w:pPr>
    </w:p>
    <w:p w:rsidR="00B17370" w:rsidRDefault="00B17370" w:rsidP="00B17370">
      <w:pPr>
        <w:jc w:val="center"/>
        <w:rPr>
          <w:sz w:val="24"/>
          <w:szCs w:val="24"/>
        </w:rPr>
      </w:pPr>
      <w:r>
        <w:rPr>
          <w:noProof/>
          <w:sz w:val="24"/>
          <w:szCs w:val="24"/>
          <w:lang w:val="en-US"/>
        </w:rPr>
        <w:drawing>
          <wp:inline distT="0" distB="0" distL="0" distR="0">
            <wp:extent cx="2809875" cy="1781175"/>
            <wp:effectExtent l="19050" t="0" r="9525" b="0"/>
            <wp:docPr id="98"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2" cstate="print"/>
                    <a:srcRect l="34671" t="38858" r="30016" b="21428"/>
                    <a:stretch>
                      <a:fillRect/>
                    </a:stretch>
                  </pic:blipFill>
                  <pic:spPr bwMode="auto">
                    <a:xfrm>
                      <a:off x="0" y="0"/>
                      <a:ext cx="2809875" cy="1781175"/>
                    </a:xfrm>
                    <a:prstGeom prst="rect">
                      <a:avLst/>
                    </a:prstGeom>
                    <a:noFill/>
                    <a:ln w="9525">
                      <a:noFill/>
                      <a:miter lim="800000"/>
                      <a:headEnd/>
                      <a:tailEnd/>
                    </a:ln>
                  </pic:spPr>
                </pic:pic>
              </a:graphicData>
            </a:graphic>
          </wp:inline>
        </w:drawing>
      </w:r>
    </w:p>
    <w:p w:rsidR="00B17370" w:rsidRDefault="00B17370" w:rsidP="00B17370">
      <w:pPr>
        <w:contextualSpacing/>
      </w:pPr>
      <w:r>
        <w:t xml:space="preserve">                                                     </w:t>
      </w:r>
      <w:r w:rsidRPr="0013471B">
        <w:t>Šaltinis: Eviews 8 programa</w:t>
      </w:r>
    </w:p>
    <w:p w:rsidR="00B17370" w:rsidRPr="0013471B" w:rsidRDefault="00B17370" w:rsidP="00B17370">
      <w:pPr>
        <w:contextualSpacing/>
      </w:pPr>
    </w:p>
    <w:p w:rsidR="00B17370" w:rsidRDefault="00B17370" w:rsidP="00B17370">
      <w:pPr>
        <w:contextualSpacing/>
        <w:jc w:val="center"/>
        <w:rPr>
          <w:sz w:val="24"/>
          <w:szCs w:val="24"/>
        </w:rPr>
      </w:pPr>
      <w:r w:rsidRPr="00900995">
        <w:rPr>
          <w:sz w:val="24"/>
          <w:szCs w:val="24"/>
        </w:rPr>
        <w:t>4pav. Kintamojo</w:t>
      </w:r>
      <w:r>
        <w:rPr>
          <w:sz w:val="24"/>
          <w:szCs w:val="24"/>
        </w:rPr>
        <w:t xml:space="preserve"> X4</w:t>
      </w:r>
      <w:r w:rsidRPr="00E92012">
        <w:rPr>
          <w:sz w:val="24"/>
          <w:szCs w:val="24"/>
        </w:rPr>
        <w:t xml:space="preserve"> histograma su statstinėmis charakteristikomis </w:t>
      </w:r>
    </w:p>
    <w:p w:rsidR="00B17370" w:rsidRPr="00E92012" w:rsidRDefault="00B17370" w:rsidP="00B17370">
      <w:pPr>
        <w:jc w:val="center"/>
        <w:rPr>
          <w:sz w:val="24"/>
          <w:szCs w:val="24"/>
        </w:rPr>
      </w:pPr>
    </w:p>
    <w:p w:rsidR="00B17370" w:rsidRDefault="00B17370" w:rsidP="00B17370">
      <w:pPr>
        <w:tabs>
          <w:tab w:val="left" w:pos="7470"/>
        </w:tabs>
        <w:jc w:val="center"/>
      </w:pPr>
      <w:r>
        <w:rPr>
          <w:noProof/>
          <w:sz w:val="24"/>
          <w:szCs w:val="24"/>
          <w:lang w:val="en-US"/>
        </w:rPr>
        <w:drawing>
          <wp:inline distT="0" distB="0" distL="0" distR="0">
            <wp:extent cx="2924175" cy="2162175"/>
            <wp:effectExtent l="19050" t="0" r="9525" b="0"/>
            <wp:docPr id="99"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3" cstate="print"/>
                    <a:srcRect l="35956" t="28000" r="25842" b="21715"/>
                    <a:stretch>
                      <a:fillRect/>
                    </a:stretch>
                  </pic:blipFill>
                  <pic:spPr bwMode="auto">
                    <a:xfrm>
                      <a:off x="0" y="0"/>
                      <a:ext cx="2924175" cy="2162175"/>
                    </a:xfrm>
                    <a:prstGeom prst="rect">
                      <a:avLst/>
                    </a:prstGeom>
                    <a:noFill/>
                    <a:ln w="9525">
                      <a:noFill/>
                      <a:miter lim="800000"/>
                      <a:headEnd/>
                      <a:tailEnd/>
                    </a:ln>
                  </pic:spPr>
                </pic:pic>
              </a:graphicData>
            </a:graphic>
          </wp:inline>
        </w:drawing>
      </w:r>
      <w:r>
        <w:t xml:space="preserve"> </w:t>
      </w:r>
    </w:p>
    <w:p w:rsidR="00B17370" w:rsidRPr="00B0079E" w:rsidRDefault="00B17370" w:rsidP="00B17370">
      <w:pPr>
        <w:tabs>
          <w:tab w:val="left" w:pos="7470"/>
        </w:tabs>
        <w:rPr>
          <w:sz w:val="24"/>
          <w:szCs w:val="24"/>
        </w:rPr>
      </w:pPr>
      <w:r>
        <w:t xml:space="preserve">                                                 </w:t>
      </w:r>
      <w:r w:rsidRPr="000D23EC">
        <w:t>Šaltinis: Eviews 8 programa</w:t>
      </w:r>
    </w:p>
    <w:p w:rsidR="00B17370" w:rsidRDefault="00B17370" w:rsidP="00B17370">
      <w:pPr>
        <w:contextualSpacing/>
        <w:jc w:val="center"/>
      </w:pPr>
    </w:p>
    <w:p w:rsidR="00B17370" w:rsidRDefault="00B17370" w:rsidP="00B17370">
      <w:pPr>
        <w:contextualSpacing/>
        <w:jc w:val="center"/>
        <w:rPr>
          <w:sz w:val="24"/>
          <w:szCs w:val="24"/>
        </w:rPr>
      </w:pPr>
      <w:r w:rsidRPr="00900995">
        <w:rPr>
          <w:sz w:val="24"/>
          <w:szCs w:val="24"/>
        </w:rPr>
        <w:t xml:space="preserve"> 6 pav. Koreliacinių</w:t>
      </w:r>
      <w:r w:rsidRPr="00E92012">
        <w:rPr>
          <w:sz w:val="24"/>
          <w:szCs w:val="24"/>
        </w:rPr>
        <w:t xml:space="preserve"> koeficientų t statistikos reikšmės </w:t>
      </w:r>
    </w:p>
    <w:p w:rsidR="00B17370" w:rsidRPr="00E92012" w:rsidRDefault="00B17370" w:rsidP="00B17370">
      <w:pPr>
        <w:contextualSpacing/>
        <w:jc w:val="center"/>
        <w:rPr>
          <w:sz w:val="24"/>
          <w:szCs w:val="24"/>
        </w:rPr>
      </w:pPr>
    </w:p>
    <w:p w:rsidR="00B17370" w:rsidRPr="00E92012" w:rsidRDefault="00B17370" w:rsidP="00B17370">
      <w:pPr>
        <w:contextualSpacing/>
        <w:jc w:val="center"/>
        <w:rPr>
          <w:sz w:val="24"/>
          <w:szCs w:val="24"/>
        </w:rPr>
      </w:pPr>
      <w:r>
        <w:rPr>
          <w:noProof/>
          <w:sz w:val="24"/>
          <w:szCs w:val="24"/>
          <w:lang w:val="en-US"/>
        </w:rPr>
        <w:lastRenderedPageBreak/>
        <w:drawing>
          <wp:inline distT="0" distB="0" distL="0" distR="0">
            <wp:extent cx="2819400" cy="2476500"/>
            <wp:effectExtent l="19050" t="0" r="0" b="0"/>
            <wp:docPr id="100"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4" cstate="print"/>
                    <a:srcRect l="44943" t="25999" r="22311" b="23143"/>
                    <a:stretch>
                      <a:fillRect/>
                    </a:stretch>
                  </pic:blipFill>
                  <pic:spPr bwMode="auto">
                    <a:xfrm>
                      <a:off x="0" y="0"/>
                      <a:ext cx="2819400" cy="2476500"/>
                    </a:xfrm>
                    <a:prstGeom prst="rect">
                      <a:avLst/>
                    </a:prstGeom>
                    <a:noFill/>
                    <a:ln w="9525">
                      <a:noFill/>
                      <a:miter lim="800000"/>
                      <a:headEnd/>
                      <a:tailEnd/>
                    </a:ln>
                  </pic:spPr>
                </pic:pic>
              </a:graphicData>
            </a:graphic>
          </wp:inline>
        </w:drawing>
      </w:r>
    </w:p>
    <w:p w:rsidR="00B17370" w:rsidRDefault="00B17370" w:rsidP="00B17370">
      <w:pPr>
        <w:contextualSpacing/>
      </w:pPr>
      <w:r>
        <w:t xml:space="preserve">                                                    </w:t>
      </w:r>
      <w:r w:rsidRPr="000D23EC">
        <w:t>Šaltinis: Eviews 8 programa</w:t>
      </w:r>
    </w:p>
    <w:p w:rsidR="00B17370" w:rsidRPr="000D23EC" w:rsidRDefault="00B17370" w:rsidP="00B17370">
      <w:pPr>
        <w:contextualSpacing/>
      </w:pPr>
    </w:p>
    <w:p w:rsidR="00B17370" w:rsidRPr="00E92012" w:rsidRDefault="00B17370" w:rsidP="00B17370">
      <w:pPr>
        <w:contextualSpacing/>
        <w:jc w:val="center"/>
        <w:rPr>
          <w:sz w:val="24"/>
          <w:szCs w:val="24"/>
        </w:rPr>
      </w:pPr>
      <w:r>
        <w:rPr>
          <w:sz w:val="24"/>
          <w:szCs w:val="24"/>
        </w:rPr>
        <w:t xml:space="preserve">7 </w:t>
      </w:r>
      <w:r w:rsidRPr="00E92012">
        <w:rPr>
          <w:sz w:val="24"/>
          <w:szCs w:val="24"/>
        </w:rPr>
        <w:t>pav. DTR modelio įvertinimo langas</w:t>
      </w:r>
    </w:p>
    <w:p w:rsidR="00B17370" w:rsidRPr="00E92012" w:rsidRDefault="00B17370" w:rsidP="00B17370">
      <w:pPr>
        <w:jc w:val="center"/>
        <w:rPr>
          <w:sz w:val="24"/>
          <w:szCs w:val="24"/>
        </w:rPr>
      </w:pPr>
    </w:p>
    <w:p w:rsidR="00B17370" w:rsidRDefault="00B17370" w:rsidP="00B17370">
      <w:pPr>
        <w:jc w:val="center"/>
        <w:rPr>
          <w:sz w:val="24"/>
          <w:szCs w:val="24"/>
        </w:rPr>
      </w:pPr>
      <w:r w:rsidRPr="00E92012">
        <w:rPr>
          <w:sz w:val="24"/>
          <w:szCs w:val="24"/>
        </w:rPr>
        <w:t>Sudaryto DTR modelio reikšmingumo tikrinimas</w:t>
      </w:r>
    </w:p>
    <w:p w:rsidR="00B17370" w:rsidRPr="00E92012" w:rsidRDefault="00B17370" w:rsidP="00B17370">
      <w:pPr>
        <w:jc w:val="center"/>
        <w:rPr>
          <w:sz w:val="24"/>
          <w:szCs w:val="24"/>
        </w:rPr>
      </w:pPr>
    </w:p>
    <w:p w:rsidR="00B17370" w:rsidRPr="00E92012" w:rsidRDefault="00B17370" w:rsidP="00B17370">
      <w:pPr>
        <w:spacing w:line="360" w:lineRule="auto"/>
        <w:ind w:firstLine="562"/>
        <w:contextualSpacing/>
        <w:rPr>
          <w:i/>
          <w:sz w:val="24"/>
          <w:szCs w:val="24"/>
        </w:rPr>
      </w:pPr>
      <w:r w:rsidRPr="00E92012">
        <w:rPr>
          <w:i/>
          <w:sz w:val="24"/>
          <w:szCs w:val="24"/>
        </w:rPr>
        <w:t>Polinkių reikšmingumo tikrinimas</w:t>
      </w:r>
    </w:p>
    <w:p w:rsidR="00B17370" w:rsidRPr="00E92012" w:rsidRDefault="00B17370" w:rsidP="00B17370">
      <w:pPr>
        <w:spacing w:line="360" w:lineRule="auto"/>
        <w:ind w:firstLine="562"/>
        <w:contextualSpacing/>
        <w:rPr>
          <w:sz w:val="24"/>
          <w:szCs w:val="24"/>
        </w:rPr>
      </w:pPr>
      <w:r w:rsidRPr="00E92012">
        <w:rPr>
          <w:sz w:val="24"/>
          <w:szCs w:val="24"/>
        </w:rPr>
        <w:t>Apskaičiuota b</w:t>
      </w:r>
      <w:r w:rsidRPr="00E92012">
        <w:rPr>
          <w:sz w:val="24"/>
          <w:szCs w:val="24"/>
          <w:vertAlign w:val="subscript"/>
        </w:rPr>
        <w:t xml:space="preserve">2 </w:t>
      </w:r>
      <w:r>
        <w:rPr>
          <w:sz w:val="24"/>
          <w:szCs w:val="24"/>
        </w:rPr>
        <w:t>t statistikos reikšmė t =  5,87</w:t>
      </w:r>
      <w:r w:rsidRPr="00E92012">
        <w:rPr>
          <w:sz w:val="24"/>
          <w:szCs w:val="24"/>
        </w:rPr>
        <w:t>, o b</w:t>
      </w:r>
      <w:r w:rsidRPr="00E92012">
        <w:rPr>
          <w:sz w:val="24"/>
          <w:szCs w:val="24"/>
          <w:vertAlign w:val="subscript"/>
        </w:rPr>
        <w:t xml:space="preserve">3 </w:t>
      </w:r>
      <w:r w:rsidRPr="00E92012">
        <w:rPr>
          <w:sz w:val="24"/>
          <w:szCs w:val="24"/>
        </w:rPr>
        <w:t xml:space="preserve">t statistikos reikšmė t = </w:t>
      </w:r>
      <w:r>
        <w:rPr>
          <w:sz w:val="24"/>
          <w:szCs w:val="24"/>
        </w:rPr>
        <w:t>21,41</w:t>
      </w:r>
    </w:p>
    <w:p w:rsidR="00B17370" w:rsidRPr="00E92012" w:rsidRDefault="00B17370" w:rsidP="00B17370">
      <w:pPr>
        <w:spacing w:line="360" w:lineRule="auto"/>
        <w:ind w:firstLine="562"/>
        <w:contextualSpacing/>
        <w:rPr>
          <w:sz w:val="24"/>
          <w:szCs w:val="24"/>
        </w:rPr>
      </w:pPr>
      <w:r w:rsidRPr="00E92012">
        <w:rPr>
          <w:sz w:val="24"/>
          <w:szCs w:val="24"/>
        </w:rPr>
        <w:t>Remiantis Stjudento kriterijumi, teorinė t statistikos reikšmė: t</w:t>
      </w:r>
      <w:r w:rsidRPr="00E92012">
        <w:rPr>
          <w:sz w:val="24"/>
          <w:szCs w:val="24"/>
          <w:vertAlign w:val="subscript"/>
        </w:rPr>
        <w:t>α/2;(n-2)</w:t>
      </w:r>
      <w:r w:rsidRPr="00E92012">
        <w:rPr>
          <w:sz w:val="24"/>
          <w:szCs w:val="24"/>
        </w:rPr>
        <w:t>=t</w:t>
      </w:r>
      <w:r w:rsidRPr="00E92012">
        <w:rPr>
          <w:sz w:val="24"/>
          <w:szCs w:val="24"/>
          <w:vertAlign w:val="subscript"/>
        </w:rPr>
        <w:t>0,05/2;(13-2)</w:t>
      </w:r>
      <w:r w:rsidRPr="00E92012">
        <w:rPr>
          <w:sz w:val="24"/>
          <w:szCs w:val="24"/>
        </w:rPr>
        <w:t>=2,201</w:t>
      </w:r>
    </w:p>
    <w:p w:rsidR="00B17370" w:rsidRPr="00E92012" w:rsidRDefault="00B17370" w:rsidP="00B17370">
      <w:pPr>
        <w:spacing w:line="360" w:lineRule="auto"/>
        <w:ind w:firstLine="562"/>
        <w:contextualSpacing/>
        <w:rPr>
          <w:noProof/>
          <w:sz w:val="24"/>
          <w:szCs w:val="24"/>
        </w:rPr>
      </w:pPr>
      <w:r w:rsidRPr="00E92012">
        <w:rPr>
          <w:sz w:val="24"/>
          <w:szCs w:val="24"/>
        </w:rPr>
        <w:t xml:space="preserve">Kadangi  </w:t>
      </w:r>
      <w:r w:rsidRPr="00E92012">
        <w:rPr>
          <w:noProof/>
          <w:sz w:val="24"/>
          <w:szCs w:val="24"/>
        </w:rPr>
        <w:t>| t</w:t>
      </w:r>
      <w:r w:rsidRPr="00E92012">
        <w:rPr>
          <w:noProof/>
          <w:sz w:val="24"/>
          <w:szCs w:val="24"/>
          <w:vertAlign w:val="subscript"/>
        </w:rPr>
        <w:t>b2</w:t>
      </w:r>
      <w:r w:rsidRPr="00E92012">
        <w:rPr>
          <w:noProof/>
          <w:sz w:val="24"/>
          <w:szCs w:val="24"/>
        </w:rPr>
        <w:t xml:space="preserve"> | = </w:t>
      </w:r>
      <w:r w:rsidRPr="00E92012">
        <w:rPr>
          <w:sz w:val="24"/>
          <w:szCs w:val="24"/>
        </w:rPr>
        <w:t xml:space="preserve">  </w:t>
      </w:r>
      <w:r>
        <w:rPr>
          <w:noProof/>
          <w:sz w:val="24"/>
          <w:szCs w:val="24"/>
        </w:rPr>
        <w:t>| 5,87</w:t>
      </w:r>
      <w:r w:rsidRPr="00E92012">
        <w:rPr>
          <w:noProof/>
          <w:sz w:val="24"/>
          <w:szCs w:val="24"/>
        </w:rPr>
        <w:t xml:space="preserve"> | &gt; 2,201,</w:t>
      </w:r>
      <w:r w:rsidRPr="00E92012">
        <w:rPr>
          <w:sz w:val="24"/>
          <w:szCs w:val="24"/>
        </w:rPr>
        <w:t xml:space="preserve"> o </w:t>
      </w:r>
      <w:r w:rsidRPr="00E92012">
        <w:rPr>
          <w:noProof/>
          <w:sz w:val="24"/>
          <w:szCs w:val="24"/>
        </w:rPr>
        <w:t>| t</w:t>
      </w:r>
      <w:r w:rsidRPr="00E92012">
        <w:rPr>
          <w:noProof/>
          <w:sz w:val="24"/>
          <w:szCs w:val="24"/>
          <w:vertAlign w:val="subscript"/>
        </w:rPr>
        <w:t>b3</w:t>
      </w:r>
      <w:r w:rsidRPr="00E92012">
        <w:rPr>
          <w:noProof/>
          <w:sz w:val="24"/>
          <w:szCs w:val="24"/>
        </w:rPr>
        <w:t xml:space="preserve"> | = </w:t>
      </w:r>
      <w:r w:rsidRPr="00E92012">
        <w:rPr>
          <w:sz w:val="24"/>
          <w:szCs w:val="24"/>
        </w:rPr>
        <w:t xml:space="preserve">  </w:t>
      </w:r>
      <w:r w:rsidRPr="00E92012">
        <w:rPr>
          <w:noProof/>
          <w:sz w:val="24"/>
          <w:szCs w:val="24"/>
        </w:rPr>
        <w:t xml:space="preserve">| </w:t>
      </w:r>
      <w:r>
        <w:rPr>
          <w:noProof/>
          <w:sz w:val="24"/>
          <w:szCs w:val="24"/>
        </w:rPr>
        <w:t xml:space="preserve">21,41 </w:t>
      </w:r>
      <w:r w:rsidRPr="00E92012">
        <w:rPr>
          <w:noProof/>
          <w:sz w:val="24"/>
          <w:szCs w:val="24"/>
        </w:rPr>
        <w:t>| &gt; 2,201, tai nulinė hipotezė atmetama. Tai rodo, jog polinkiai yra reikšminiai.</w:t>
      </w:r>
    </w:p>
    <w:p w:rsidR="00B17370" w:rsidRPr="00E92012" w:rsidRDefault="00B17370" w:rsidP="00B17370">
      <w:pPr>
        <w:spacing w:line="360" w:lineRule="auto"/>
        <w:ind w:firstLine="562"/>
        <w:contextualSpacing/>
        <w:rPr>
          <w:noProof/>
          <w:sz w:val="24"/>
          <w:szCs w:val="24"/>
        </w:rPr>
      </w:pPr>
      <w:r w:rsidRPr="00E92012">
        <w:rPr>
          <w:noProof/>
          <w:sz w:val="24"/>
          <w:szCs w:val="24"/>
        </w:rPr>
        <w:t>Apaskaičiuotos tikimybės esant koeficientams c(2</w:t>
      </w:r>
      <w:r>
        <w:rPr>
          <w:noProof/>
          <w:sz w:val="24"/>
          <w:szCs w:val="24"/>
        </w:rPr>
        <w:t>) ir c(3) yra atitinkamai 0,0002 ir 0,0000. J</w:t>
      </w:r>
      <w:r w:rsidRPr="00E92012">
        <w:rPr>
          <w:noProof/>
          <w:sz w:val="24"/>
          <w:szCs w:val="24"/>
        </w:rPr>
        <w:t>os yra mažesnės nei nustatytos reikšmės 0,05, todėl polinkiai yra reikšminiai.</w:t>
      </w:r>
    </w:p>
    <w:p w:rsidR="00B17370" w:rsidRPr="00E92012" w:rsidRDefault="00B17370" w:rsidP="00B17370">
      <w:pPr>
        <w:spacing w:line="360" w:lineRule="auto"/>
        <w:ind w:firstLine="562"/>
        <w:contextualSpacing/>
        <w:rPr>
          <w:i/>
          <w:noProof/>
          <w:sz w:val="24"/>
          <w:szCs w:val="24"/>
        </w:rPr>
      </w:pPr>
      <w:r w:rsidRPr="00E92012">
        <w:rPr>
          <w:i/>
          <w:noProof/>
          <w:sz w:val="24"/>
          <w:szCs w:val="24"/>
        </w:rPr>
        <w:t>Determinacijos koeficiento R</w:t>
      </w:r>
      <w:r w:rsidRPr="00E92012">
        <w:rPr>
          <w:i/>
          <w:noProof/>
          <w:sz w:val="24"/>
          <w:szCs w:val="24"/>
          <w:vertAlign w:val="superscript"/>
        </w:rPr>
        <w:t>2</w:t>
      </w:r>
      <w:r w:rsidRPr="00E92012">
        <w:rPr>
          <w:i/>
          <w:noProof/>
          <w:sz w:val="24"/>
          <w:szCs w:val="24"/>
        </w:rPr>
        <w:t xml:space="preserve"> reikšmingumo tikrinimas.</w:t>
      </w:r>
    </w:p>
    <w:p w:rsidR="00B17370" w:rsidRPr="00E92012" w:rsidRDefault="00B17370" w:rsidP="00B17370">
      <w:pPr>
        <w:spacing w:line="360" w:lineRule="auto"/>
        <w:ind w:firstLine="562"/>
        <w:contextualSpacing/>
        <w:rPr>
          <w:sz w:val="24"/>
          <w:szCs w:val="24"/>
        </w:rPr>
      </w:pPr>
      <w:r w:rsidRPr="00E92012">
        <w:rPr>
          <w:sz w:val="24"/>
          <w:szCs w:val="24"/>
        </w:rPr>
        <w:t>Apskaičiuot</w:t>
      </w:r>
      <w:r>
        <w:rPr>
          <w:sz w:val="24"/>
          <w:szCs w:val="24"/>
        </w:rPr>
        <w:t>a F statistikos reikšmė F=538,3</w:t>
      </w:r>
    </w:p>
    <w:p w:rsidR="00B17370" w:rsidRPr="00E92012" w:rsidRDefault="00B17370" w:rsidP="00B17370">
      <w:pPr>
        <w:spacing w:line="360" w:lineRule="auto"/>
        <w:ind w:firstLine="562"/>
        <w:contextualSpacing/>
        <w:rPr>
          <w:sz w:val="24"/>
          <w:szCs w:val="24"/>
          <w:vertAlign w:val="subscript"/>
        </w:rPr>
      </w:pPr>
      <w:r w:rsidRPr="00E92012">
        <w:rPr>
          <w:sz w:val="24"/>
          <w:szCs w:val="24"/>
        </w:rPr>
        <w:t>Teorinė F kriterijaus reikšmė F</w:t>
      </w:r>
      <w:r w:rsidRPr="00E92012">
        <w:rPr>
          <w:sz w:val="24"/>
          <w:szCs w:val="24"/>
          <w:vertAlign w:val="subscript"/>
        </w:rPr>
        <w:t>α;(k-1);(n-k).</w:t>
      </w:r>
    </w:p>
    <w:p w:rsidR="00B17370" w:rsidRPr="00E92012" w:rsidRDefault="00B17370" w:rsidP="00B17370">
      <w:pPr>
        <w:spacing w:line="360" w:lineRule="auto"/>
        <w:ind w:firstLine="562"/>
        <w:contextualSpacing/>
        <w:rPr>
          <w:sz w:val="24"/>
          <w:szCs w:val="24"/>
        </w:rPr>
      </w:pPr>
      <w:r w:rsidRPr="00E92012">
        <w:rPr>
          <w:sz w:val="24"/>
          <w:szCs w:val="24"/>
        </w:rPr>
        <w:t>F</w:t>
      </w:r>
      <w:r w:rsidRPr="00E92012">
        <w:rPr>
          <w:sz w:val="24"/>
          <w:szCs w:val="24"/>
          <w:vertAlign w:val="subscript"/>
        </w:rPr>
        <w:t>0,05;(2-1);(13-2)</w:t>
      </w:r>
      <w:r w:rsidRPr="00E92012">
        <w:rPr>
          <w:sz w:val="24"/>
          <w:szCs w:val="24"/>
        </w:rPr>
        <w:t>=4,84.</w:t>
      </w:r>
    </w:p>
    <w:p w:rsidR="00B17370" w:rsidRPr="00E92012" w:rsidRDefault="00B17370" w:rsidP="00B17370">
      <w:pPr>
        <w:spacing w:line="360" w:lineRule="auto"/>
        <w:ind w:firstLine="562"/>
        <w:contextualSpacing/>
        <w:rPr>
          <w:sz w:val="24"/>
          <w:szCs w:val="24"/>
        </w:rPr>
      </w:pPr>
      <w:r>
        <w:rPr>
          <w:sz w:val="24"/>
          <w:szCs w:val="24"/>
        </w:rPr>
        <w:t>Kadangi F = 538,3</w:t>
      </w:r>
      <w:r w:rsidRPr="00E92012">
        <w:rPr>
          <w:sz w:val="24"/>
          <w:szCs w:val="24"/>
        </w:rPr>
        <w:t xml:space="preserve"> &gt; F</w:t>
      </w:r>
      <w:r w:rsidRPr="00E92012">
        <w:rPr>
          <w:sz w:val="24"/>
          <w:szCs w:val="24"/>
          <w:vertAlign w:val="subscript"/>
        </w:rPr>
        <w:t>0,05;1;11</w:t>
      </w:r>
      <w:r w:rsidRPr="00E92012">
        <w:rPr>
          <w:sz w:val="24"/>
          <w:szCs w:val="24"/>
        </w:rPr>
        <w:t>, tai nulinė hipotezė atmetama, determinacijos koeficientas yra reikšminis.</w:t>
      </w:r>
    </w:p>
    <w:p w:rsidR="00B17370" w:rsidRDefault="00B17370" w:rsidP="00B17370">
      <w:pPr>
        <w:spacing w:line="360" w:lineRule="auto"/>
        <w:ind w:firstLine="562"/>
        <w:contextualSpacing/>
        <w:rPr>
          <w:sz w:val="24"/>
          <w:szCs w:val="24"/>
        </w:rPr>
      </w:pPr>
      <w:r w:rsidRPr="00E92012">
        <w:rPr>
          <w:sz w:val="24"/>
          <w:szCs w:val="24"/>
        </w:rPr>
        <w:t>Kadangi re</w:t>
      </w:r>
      <w:r>
        <w:rPr>
          <w:sz w:val="24"/>
          <w:szCs w:val="24"/>
        </w:rPr>
        <w:t>ikšmė Prob(F-statistic)=0,00000</w:t>
      </w:r>
      <w:r w:rsidRPr="00E92012">
        <w:rPr>
          <w:sz w:val="24"/>
          <w:szCs w:val="24"/>
        </w:rPr>
        <w:t xml:space="preserve"> yra mažesnė nei nustatyta teorinė reikšmė 0,05, tai determinacijos koeficientas yra reikšminis.</w:t>
      </w:r>
    </w:p>
    <w:p w:rsidR="00B17370" w:rsidRDefault="00B17370" w:rsidP="00B17370">
      <w:pPr>
        <w:spacing w:line="360" w:lineRule="auto"/>
        <w:ind w:firstLine="562"/>
        <w:contextualSpacing/>
        <w:rPr>
          <w:sz w:val="24"/>
          <w:szCs w:val="24"/>
        </w:rPr>
      </w:pPr>
    </w:p>
    <w:p w:rsidR="00B17370" w:rsidRDefault="00B17370" w:rsidP="00B17370">
      <w:pPr>
        <w:spacing w:line="360" w:lineRule="auto"/>
        <w:rPr>
          <w:sz w:val="24"/>
          <w:szCs w:val="24"/>
        </w:rPr>
      </w:pPr>
    </w:p>
    <w:p w:rsidR="00B17370" w:rsidRDefault="00B17370" w:rsidP="00B17370">
      <w:pPr>
        <w:spacing w:line="360" w:lineRule="auto"/>
        <w:rPr>
          <w:sz w:val="24"/>
          <w:szCs w:val="24"/>
        </w:rPr>
      </w:pPr>
    </w:p>
    <w:p w:rsidR="00B17370" w:rsidRPr="00E92012" w:rsidRDefault="00B17370" w:rsidP="00B17370">
      <w:pPr>
        <w:spacing w:line="360" w:lineRule="auto"/>
        <w:rPr>
          <w:sz w:val="24"/>
          <w:szCs w:val="24"/>
        </w:rPr>
      </w:pPr>
    </w:p>
    <w:p w:rsidR="00B17370" w:rsidRPr="00E92012" w:rsidRDefault="00B17370" w:rsidP="00B17370">
      <w:pPr>
        <w:jc w:val="center"/>
        <w:rPr>
          <w:sz w:val="24"/>
          <w:szCs w:val="24"/>
        </w:rPr>
      </w:pPr>
      <w:r>
        <w:rPr>
          <w:noProof/>
          <w:sz w:val="24"/>
          <w:szCs w:val="24"/>
          <w:lang w:val="en-US"/>
        </w:rPr>
        <w:drawing>
          <wp:inline distT="0" distB="0" distL="0" distR="0">
            <wp:extent cx="2743200" cy="1409700"/>
            <wp:effectExtent l="19050" t="0" r="0" b="0"/>
            <wp:docPr id="101"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5" cstate="print"/>
                    <a:srcRect l="45105" t="27028" r="21669" b="42572"/>
                    <a:stretch>
                      <a:fillRect/>
                    </a:stretch>
                  </pic:blipFill>
                  <pic:spPr bwMode="auto">
                    <a:xfrm>
                      <a:off x="0" y="0"/>
                      <a:ext cx="2743200" cy="1409700"/>
                    </a:xfrm>
                    <a:prstGeom prst="rect">
                      <a:avLst/>
                    </a:prstGeom>
                    <a:noFill/>
                    <a:ln w="9525">
                      <a:noFill/>
                      <a:miter lim="800000"/>
                      <a:headEnd/>
                      <a:tailEnd/>
                    </a:ln>
                  </pic:spPr>
                </pic:pic>
              </a:graphicData>
            </a:graphic>
          </wp:inline>
        </w:drawing>
      </w:r>
    </w:p>
    <w:p w:rsidR="00B17370" w:rsidRPr="000D23EC" w:rsidRDefault="00B17370" w:rsidP="00B17370">
      <w:r>
        <w:t xml:space="preserve">                                                      </w:t>
      </w:r>
      <w:r w:rsidRPr="000D23EC">
        <w:t>Šaltinis: Eviews 8 programa</w:t>
      </w:r>
    </w:p>
    <w:p w:rsidR="00B17370" w:rsidRDefault="00B17370" w:rsidP="00B17370">
      <w:pPr>
        <w:spacing w:line="360" w:lineRule="auto"/>
        <w:jc w:val="center"/>
        <w:rPr>
          <w:sz w:val="24"/>
          <w:szCs w:val="24"/>
        </w:rPr>
      </w:pPr>
    </w:p>
    <w:p w:rsidR="00B17370" w:rsidRDefault="00B17370" w:rsidP="00B17370">
      <w:pPr>
        <w:spacing w:line="360" w:lineRule="auto"/>
        <w:jc w:val="center"/>
        <w:rPr>
          <w:sz w:val="24"/>
          <w:szCs w:val="24"/>
        </w:rPr>
      </w:pPr>
      <w:r>
        <w:rPr>
          <w:sz w:val="24"/>
          <w:szCs w:val="24"/>
        </w:rPr>
        <w:t xml:space="preserve">8 </w:t>
      </w:r>
      <w:r w:rsidRPr="00E92012">
        <w:rPr>
          <w:sz w:val="24"/>
          <w:szCs w:val="24"/>
        </w:rPr>
        <w:t xml:space="preserve"> pav. DTR modelio įvertinimo langas su lyg</w:t>
      </w:r>
      <w:r>
        <w:rPr>
          <w:sz w:val="24"/>
          <w:szCs w:val="24"/>
        </w:rPr>
        <w:t>ties išraiška 2013 m. prognozei</w:t>
      </w:r>
    </w:p>
    <w:p w:rsidR="00B17370" w:rsidRDefault="00B17370" w:rsidP="00B17370">
      <w:pPr>
        <w:contextualSpacing/>
        <w:rPr>
          <w:sz w:val="24"/>
          <w:szCs w:val="24"/>
        </w:rPr>
      </w:pPr>
      <w:r>
        <w:rPr>
          <w:sz w:val="24"/>
          <w:szCs w:val="24"/>
        </w:rPr>
        <w:t xml:space="preserve">Pasikliautinųjų intervalų skaičiavimas: </w:t>
      </w:r>
    </w:p>
    <w:p w:rsidR="00B17370" w:rsidRDefault="00B17370" w:rsidP="00B17370">
      <w:pPr>
        <w:contextualSpacing/>
        <w:rPr>
          <w:i/>
          <w:sz w:val="24"/>
          <w:szCs w:val="24"/>
        </w:rPr>
      </w:pPr>
      <w:r w:rsidRPr="00F155AC">
        <w:rPr>
          <w:i/>
          <w:sz w:val="24"/>
          <w:szCs w:val="24"/>
        </w:rPr>
        <w:t>a = 0,05</w:t>
      </w:r>
    </w:p>
    <w:p w:rsidR="00B17370" w:rsidRDefault="00B17370" w:rsidP="00B17370">
      <w:pPr>
        <w:contextualSpacing/>
        <w:rPr>
          <w:i/>
          <w:sz w:val="24"/>
          <w:szCs w:val="24"/>
        </w:rPr>
      </w:pPr>
      <w:r>
        <w:rPr>
          <w:sz w:val="24"/>
          <w:szCs w:val="24"/>
        </w:rPr>
        <w:t>y</w:t>
      </w:r>
      <w:r>
        <w:rPr>
          <w:sz w:val="24"/>
          <w:szCs w:val="24"/>
          <w:vertAlign w:val="subscript"/>
        </w:rPr>
        <w:t>p</w:t>
      </w:r>
      <w:r>
        <w:rPr>
          <w:sz w:val="24"/>
          <w:szCs w:val="24"/>
        </w:rPr>
        <w:t>±SE(y</w:t>
      </w:r>
      <w:r>
        <w:rPr>
          <w:sz w:val="24"/>
          <w:szCs w:val="24"/>
          <w:vertAlign w:val="subscript"/>
        </w:rPr>
        <w:t>p</w:t>
      </w:r>
      <w:r>
        <w:rPr>
          <w:sz w:val="24"/>
          <w:szCs w:val="24"/>
        </w:rPr>
        <w:t>)t</w:t>
      </w:r>
      <w:r>
        <w:rPr>
          <w:sz w:val="24"/>
          <w:szCs w:val="24"/>
          <w:vertAlign w:val="subscript"/>
        </w:rPr>
        <w:t>0,05/2;13-2</w:t>
      </w:r>
      <w:r>
        <w:rPr>
          <w:sz w:val="24"/>
          <w:szCs w:val="24"/>
        </w:rPr>
        <w:t>.</w:t>
      </w:r>
    </w:p>
    <w:p w:rsidR="00B17370" w:rsidRDefault="00B17370" w:rsidP="00B17370">
      <w:pPr>
        <w:contextualSpacing/>
        <w:rPr>
          <w:i/>
          <w:sz w:val="24"/>
          <w:szCs w:val="24"/>
        </w:rPr>
      </w:pPr>
      <w:r>
        <w:rPr>
          <w:i/>
          <w:sz w:val="24"/>
          <w:szCs w:val="24"/>
        </w:rPr>
        <w:t>y</w:t>
      </w:r>
      <w:r>
        <w:rPr>
          <w:i/>
          <w:sz w:val="24"/>
          <w:szCs w:val="24"/>
          <w:vertAlign w:val="subscript"/>
        </w:rPr>
        <w:t>p</w:t>
      </w:r>
      <w:r>
        <w:rPr>
          <w:i/>
          <w:sz w:val="24"/>
          <w:szCs w:val="24"/>
        </w:rPr>
        <w:t>±381,3*2,201</w:t>
      </w:r>
    </w:p>
    <w:p w:rsidR="00B17370" w:rsidRDefault="00B17370" w:rsidP="00B17370">
      <w:pPr>
        <w:contextualSpacing/>
        <w:rPr>
          <w:i/>
          <w:sz w:val="24"/>
          <w:szCs w:val="24"/>
        </w:rPr>
      </w:pPr>
      <w:r>
        <w:rPr>
          <w:i/>
          <w:sz w:val="24"/>
          <w:szCs w:val="24"/>
        </w:rPr>
        <w:t>y</w:t>
      </w:r>
      <w:r>
        <w:rPr>
          <w:i/>
          <w:sz w:val="24"/>
          <w:szCs w:val="24"/>
          <w:vertAlign w:val="subscript"/>
        </w:rPr>
        <w:t>p</w:t>
      </w:r>
      <w:r>
        <w:rPr>
          <w:i/>
          <w:sz w:val="24"/>
          <w:szCs w:val="24"/>
        </w:rPr>
        <w:t>±839,2</w:t>
      </w:r>
      <w:r w:rsidR="00E12FF5" w:rsidRPr="00F155AC">
        <w:rPr>
          <w:sz w:val="24"/>
          <w:szCs w:val="24"/>
        </w:rPr>
        <w:fldChar w:fldCharType="begin"/>
      </w:r>
      <w:r w:rsidRPr="00F155AC">
        <w:rPr>
          <w:sz w:val="24"/>
          <w:szCs w:val="24"/>
        </w:rPr>
        <w:instrText xml:space="preserve"> QUOTE </w:instrText>
      </w:r>
      <m:oMath>
        <m:sSub>
          <m:sSubPr>
            <m:ctrlPr>
              <w:rPr>
                <w:rFonts w:ascii="Cambria Math" w:hAnsi="Cambria Math"/>
              </w:rPr>
            </m:ctrlPr>
          </m:sSubPr>
          <m:e>
            <m:r>
              <m:rPr>
                <m:sty m:val="p"/>
              </m:rPr>
              <w:rPr>
                <w:rFonts w:ascii="Cambria Math" w:hAnsi="Cambria Math"/>
              </w:rPr>
              <m:t>t</m:t>
            </m:r>
          </m:e>
          <m:sub>
            <m:f>
              <m:fPr>
                <m:ctrlPr>
                  <w:rPr>
                    <w:rFonts w:ascii="Cambria Math" w:hAnsi="Cambria Math"/>
                  </w:rPr>
                </m:ctrlPr>
              </m:fPr>
              <m:num>
                <m:r>
                  <m:rPr>
                    <m:sty m:val="p"/>
                  </m:rPr>
                  <w:rPr>
                    <w:rFonts w:ascii="Cambria Math" w:hAnsi="Cambria Math"/>
                  </w:rPr>
                  <m:t>α</m:t>
                </m:r>
              </m:num>
              <m:den>
                <m:r>
                  <m:rPr>
                    <m:sty m:val="p"/>
                  </m:rPr>
                  <w:rPr>
                    <w:rFonts w:ascii="Cambria Math" w:hAnsi="Cambria Math"/>
                  </w:rPr>
                  <m:t>2</m:t>
                </m:r>
              </m:den>
            </m:f>
            <m:r>
              <m:rPr>
                <m:sty m:val="p"/>
              </m:rPr>
              <w:rPr>
                <w:rFonts w:ascii="Cambria Math" w:hAnsi="Cambria Math"/>
              </w:rPr>
              <m:t>;</m:t>
            </m:r>
            <m:d>
              <m:dPr>
                <m:ctrlPr>
                  <w:rPr>
                    <w:rFonts w:ascii="Cambria Math" w:hAnsi="Cambria Math"/>
                  </w:rPr>
                </m:ctrlPr>
              </m:dPr>
              <m:e>
                <m:r>
                  <m:rPr>
                    <m:sty m:val="p"/>
                  </m:rPr>
                  <w:rPr>
                    <w:rFonts w:ascii="Cambria Math" w:hAnsi="Cambria Math"/>
                  </w:rPr>
                  <m:t>n-k</m:t>
                </m:r>
              </m:e>
            </m:d>
          </m:sub>
        </m:sSub>
        <m:r>
          <m:rPr>
            <m:sty m:val="p"/>
          </m:rPr>
          <w:rPr>
            <w:rFonts w:ascii="Cambria Math" w:hAnsi="Cambria Math"/>
          </w:rPr>
          <m:t>SE</m:t>
        </m:r>
        <m:d>
          <m:dPr>
            <m:ctrlPr>
              <w:rPr>
                <w:rFonts w:ascii="Cambria Math" w:hAnsi="Cambria Math"/>
              </w:rPr>
            </m:ctrlPr>
          </m:dPr>
          <m:e>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e>
        </m:d>
      </m:oMath>
      <w:r w:rsidRPr="00F155AC">
        <w:rPr>
          <w:sz w:val="24"/>
          <w:szCs w:val="24"/>
        </w:rPr>
        <w:instrText xml:space="preserve"> </w:instrText>
      </w:r>
      <w:r w:rsidR="00E12FF5" w:rsidRPr="00F155AC">
        <w:rPr>
          <w:sz w:val="24"/>
          <w:szCs w:val="24"/>
        </w:rPr>
        <w:fldChar w:fldCharType="end"/>
      </w:r>
    </w:p>
    <w:p w:rsidR="00B17370" w:rsidRPr="00B04914" w:rsidRDefault="00B17370" w:rsidP="00B17370">
      <w:pPr>
        <w:contextualSpacing/>
        <w:rPr>
          <w:i/>
          <w:sz w:val="24"/>
          <w:szCs w:val="24"/>
        </w:rPr>
      </w:pPr>
    </w:p>
    <w:p w:rsidR="00B17370" w:rsidRPr="00E92012" w:rsidRDefault="00B17370" w:rsidP="00B17370">
      <w:pPr>
        <w:spacing w:line="360" w:lineRule="auto"/>
        <w:jc w:val="center"/>
        <w:rPr>
          <w:sz w:val="24"/>
          <w:szCs w:val="24"/>
        </w:rPr>
      </w:pPr>
      <w:r>
        <w:rPr>
          <w:noProof/>
          <w:sz w:val="24"/>
          <w:szCs w:val="24"/>
          <w:lang w:val="en-US"/>
        </w:rPr>
        <w:drawing>
          <wp:inline distT="0" distB="0" distL="0" distR="0">
            <wp:extent cx="2733675" cy="1409700"/>
            <wp:effectExtent l="19050" t="0" r="9525" b="0"/>
            <wp:docPr id="110"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6" cstate="print"/>
                    <a:srcRect l="32906" t="27715" r="34349" b="42285"/>
                    <a:stretch>
                      <a:fillRect/>
                    </a:stretch>
                  </pic:blipFill>
                  <pic:spPr bwMode="auto">
                    <a:xfrm>
                      <a:off x="0" y="0"/>
                      <a:ext cx="2733675" cy="1409700"/>
                    </a:xfrm>
                    <a:prstGeom prst="rect">
                      <a:avLst/>
                    </a:prstGeom>
                    <a:noFill/>
                    <a:ln w="9525">
                      <a:noFill/>
                      <a:miter lim="800000"/>
                      <a:headEnd/>
                      <a:tailEnd/>
                    </a:ln>
                  </pic:spPr>
                </pic:pic>
              </a:graphicData>
            </a:graphic>
          </wp:inline>
        </w:drawing>
      </w:r>
    </w:p>
    <w:p w:rsidR="00B17370" w:rsidRDefault="00B17370" w:rsidP="00B17370">
      <w:r>
        <w:t xml:space="preserve">                                                     </w:t>
      </w:r>
      <w:r w:rsidRPr="000D23EC">
        <w:t>Šaltinis: Eviews 8 programa</w:t>
      </w:r>
    </w:p>
    <w:p w:rsidR="00B17370" w:rsidRDefault="00B17370" w:rsidP="00B17370"/>
    <w:p w:rsidR="00B17370" w:rsidRDefault="00B17370" w:rsidP="00B17370">
      <w:pPr>
        <w:tabs>
          <w:tab w:val="center" w:pos="4680"/>
          <w:tab w:val="right" w:pos="9360"/>
        </w:tabs>
        <w:rPr>
          <w:sz w:val="24"/>
          <w:szCs w:val="24"/>
        </w:rPr>
      </w:pPr>
      <w:r>
        <w:rPr>
          <w:sz w:val="24"/>
          <w:szCs w:val="24"/>
        </w:rPr>
        <w:tab/>
        <w:t>9</w:t>
      </w:r>
      <w:r w:rsidRPr="00E92012">
        <w:rPr>
          <w:sz w:val="24"/>
          <w:szCs w:val="24"/>
        </w:rPr>
        <w:t xml:space="preserve"> pav. DTR modelio įvertinimo langas su lygties išraiška 2014 m. prognoze</w:t>
      </w:r>
      <w:r>
        <w:rPr>
          <w:sz w:val="24"/>
          <w:szCs w:val="24"/>
        </w:rPr>
        <w:t>i</w:t>
      </w:r>
      <w:r>
        <w:rPr>
          <w:sz w:val="24"/>
          <w:szCs w:val="24"/>
        </w:rPr>
        <w:tab/>
      </w:r>
    </w:p>
    <w:p w:rsidR="00B17370" w:rsidRDefault="00B17370" w:rsidP="00B17370">
      <w:pPr>
        <w:contextualSpacing/>
        <w:rPr>
          <w:sz w:val="24"/>
          <w:szCs w:val="24"/>
        </w:rPr>
      </w:pPr>
    </w:p>
    <w:p w:rsidR="00B17370" w:rsidRDefault="00B17370" w:rsidP="00B17370">
      <w:pPr>
        <w:contextualSpacing/>
        <w:rPr>
          <w:sz w:val="24"/>
          <w:szCs w:val="24"/>
        </w:rPr>
      </w:pPr>
      <w:r>
        <w:rPr>
          <w:sz w:val="24"/>
          <w:szCs w:val="24"/>
        </w:rPr>
        <w:t xml:space="preserve">Pasikliautinųjų intervalų skaičiavimas: </w:t>
      </w:r>
    </w:p>
    <w:p w:rsidR="00B17370" w:rsidRDefault="00B17370" w:rsidP="00B17370">
      <w:pPr>
        <w:contextualSpacing/>
        <w:rPr>
          <w:i/>
          <w:sz w:val="24"/>
          <w:szCs w:val="24"/>
        </w:rPr>
      </w:pPr>
      <w:r w:rsidRPr="00F155AC">
        <w:rPr>
          <w:i/>
          <w:sz w:val="24"/>
          <w:szCs w:val="24"/>
        </w:rPr>
        <w:t>a = 0,05</w:t>
      </w:r>
    </w:p>
    <w:p w:rsidR="00B17370" w:rsidRDefault="00B17370" w:rsidP="00B17370">
      <w:pPr>
        <w:contextualSpacing/>
        <w:rPr>
          <w:i/>
          <w:sz w:val="24"/>
          <w:szCs w:val="24"/>
        </w:rPr>
      </w:pPr>
      <w:r>
        <w:rPr>
          <w:sz w:val="24"/>
          <w:szCs w:val="24"/>
        </w:rPr>
        <w:t>y</w:t>
      </w:r>
      <w:r>
        <w:rPr>
          <w:sz w:val="24"/>
          <w:szCs w:val="24"/>
          <w:vertAlign w:val="subscript"/>
        </w:rPr>
        <w:t>p</w:t>
      </w:r>
      <w:r>
        <w:rPr>
          <w:sz w:val="24"/>
          <w:szCs w:val="24"/>
        </w:rPr>
        <w:t>±SE(y</w:t>
      </w:r>
      <w:r>
        <w:rPr>
          <w:sz w:val="24"/>
          <w:szCs w:val="24"/>
          <w:vertAlign w:val="subscript"/>
        </w:rPr>
        <w:t>p</w:t>
      </w:r>
      <w:r>
        <w:rPr>
          <w:sz w:val="24"/>
          <w:szCs w:val="24"/>
        </w:rPr>
        <w:t>)t</w:t>
      </w:r>
      <w:r>
        <w:rPr>
          <w:sz w:val="24"/>
          <w:szCs w:val="24"/>
          <w:vertAlign w:val="subscript"/>
        </w:rPr>
        <w:t>0,05/2;14-2</w:t>
      </w:r>
      <w:r>
        <w:rPr>
          <w:sz w:val="24"/>
          <w:szCs w:val="24"/>
        </w:rPr>
        <w:t>.</w:t>
      </w:r>
    </w:p>
    <w:p w:rsidR="00B17370" w:rsidRDefault="00B17370" w:rsidP="00B17370">
      <w:pPr>
        <w:contextualSpacing/>
        <w:rPr>
          <w:i/>
          <w:sz w:val="24"/>
          <w:szCs w:val="24"/>
        </w:rPr>
      </w:pPr>
      <w:r>
        <w:rPr>
          <w:i/>
          <w:sz w:val="24"/>
          <w:szCs w:val="24"/>
        </w:rPr>
        <w:t>y</w:t>
      </w:r>
      <w:r>
        <w:rPr>
          <w:i/>
          <w:sz w:val="24"/>
          <w:szCs w:val="24"/>
          <w:vertAlign w:val="subscript"/>
        </w:rPr>
        <w:t>p</w:t>
      </w:r>
      <w:r>
        <w:rPr>
          <w:i/>
          <w:sz w:val="24"/>
          <w:szCs w:val="24"/>
        </w:rPr>
        <w:t>±363,5*2,179</w:t>
      </w:r>
    </w:p>
    <w:p w:rsidR="00B17370" w:rsidRPr="00F155AC" w:rsidRDefault="00B17370" w:rsidP="00B17370">
      <w:pPr>
        <w:contextualSpacing/>
        <w:rPr>
          <w:i/>
          <w:sz w:val="24"/>
          <w:szCs w:val="24"/>
        </w:rPr>
      </w:pPr>
      <w:r>
        <w:rPr>
          <w:i/>
          <w:sz w:val="24"/>
          <w:szCs w:val="24"/>
        </w:rPr>
        <w:t>y</w:t>
      </w:r>
      <w:r>
        <w:rPr>
          <w:i/>
          <w:sz w:val="24"/>
          <w:szCs w:val="24"/>
          <w:vertAlign w:val="subscript"/>
        </w:rPr>
        <w:t>p</w:t>
      </w:r>
      <w:r>
        <w:rPr>
          <w:i/>
          <w:sz w:val="24"/>
          <w:szCs w:val="24"/>
        </w:rPr>
        <w:t>±792,1</w:t>
      </w:r>
      <w:r w:rsidR="00E12FF5" w:rsidRPr="00F155AC">
        <w:rPr>
          <w:sz w:val="24"/>
          <w:szCs w:val="24"/>
        </w:rPr>
        <w:fldChar w:fldCharType="begin"/>
      </w:r>
      <w:r w:rsidRPr="00F155AC">
        <w:rPr>
          <w:sz w:val="24"/>
          <w:szCs w:val="24"/>
        </w:rPr>
        <w:instrText xml:space="preserve"> QUOTE </w:instrText>
      </w:r>
      <m:oMath>
        <m:sSub>
          <m:sSubPr>
            <m:ctrlPr>
              <w:rPr>
                <w:rFonts w:ascii="Cambria Math" w:hAnsi="Cambria Math"/>
              </w:rPr>
            </m:ctrlPr>
          </m:sSubPr>
          <m:e>
            <m:r>
              <m:rPr>
                <m:sty m:val="p"/>
              </m:rPr>
              <w:rPr>
                <w:rFonts w:ascii="Cambria Math" w:hAnsi="Cambria Math"/>
              </w:rPr>
              <m:t>t</m:t>
            </m:r>
          </m:e>
          <m:sub>
            <m:f>
              <m:fPr>
                <m:ctrlPr>
                  <w:rPr>
                    <w:rFonts w:ascii="Cambria Math" w:hAnsi="Cambria Math"/>
                  </w:rPr>
                </m:ctrlPr>
              </m:fPr>
              <m:num>
                <m:r>
                  <m:rPr>
                    <m:sty m:val="p"/>
                  </m:rPr>
                  <w:rPr>
                    <w:rFonts w:ascii="Cambria Math" w:hAnsi="Cambria Math"/>
                  </w:rPr>
                  <m:t>α</m:t>
                </m:r>
              </m:num>
              <m:den>
                <m:r>
                  <m:rPr>
                    <m:sty m:val="p"/>
                  </m:rPr>
                  <w:rPr>
                    <w:rFonts w:ascii="Cambria Math" w:hAnsi="Cambria Math"/>
                  </w:rPr>
                  <m:t>2</m:t>
                </m:r>
              </m:den>
            </m:f>
            <m:r>
              <m:rPr>
                <m:sty m:val="p"/>
              </m:rPr>
              <w:rPr>
                <w:rFonts w:ascii="Cambria Math" w:hAnsi="Cambria Math"/>
              </w:rPr>
              <m:t>;</m:t>
            </m:r>
            <m:d>
              <m:dPr>
                <m:ctrlPr>
                  <w:rPr>
                    <w:rFonts w:ascii="Cambria Math" w:hAnsi="Cambria Math"/>
                  </w:rPr>
                </m:ctrlPr>
              </m:dPr>
              <m:e>
                <m:r>
                  <m:rPr>
                    <m:sty m:val="p"/>
                  </m:rPr>
                  <w:rPr>
                    <w:rFonts w:ascii="Cambria Math" w:hAnsi="Cambria Math"/>
                  </w:rPr>
                  <m:t>n-k</m:t>
                </m:r>
              </m:e>
            </m:d>
          </m:sub>
        </m:sSub>
        <m:r>
          <m:rPr>
            <m:sty m:val="p"/>
          </m:rPr>
          <w:rPr>
            <w:rFonts w:ascii="Cambria Math" w:hAnsi="Cambria Math"/>
          </w:rPr>
          <m:t>SE</m:t>
        </m:r>
        <m:d>
          <m:dPr>
            <m:ctrlPr>
              <w:rPr>
                <w:rFonts w:ascii="Cambria Math" w:hAnsi="Cambria Math"/>
              </w:rPr>
            </m:ctrlPr>
          </m:dPr>
          <m:e>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e>
        </m:d>
      </m:oMath>
      <w:r w:rsidRPr="00F155AC">
        <w:rPr>
          <w:sz w:val="24"/>
          <w:szCs w:val="24"/>
        </w:rPr>
        <w:instrText xml:space="preserve"> </w:instrText>
      </w:r>
      <w:r w:rsidR="00E12FF5" w:rsidRPr="00F155AC">
        <w:rPr>
          <w:sz w:val="24"/>
          <w:szCs w:val="24"/>
        </w:rPr>
        <w:fldChar w:fldCharType="end"/>
      </w:r>
    </w:p>
    <w:p w:rsidR="00B17370" w:rsidRPr="0003010F" w:rsidRDefault="00B17370" w:rsidP="00B17370">
      <w:pPr>
        <w:tabs>
          <w:tab w:val="center" w:pos="4680"/>
          <w:tab w:val="right" w:pos="9360"/>
        </w:tabs>
      </w:pPr>
    </w:p>
    <w:p w:rsidR="00B17370" w:rsidRDefault="00B17370" w:rsidP="00B17370">
      <w:pPr>
        <w:spacing w:line="360" w:lineRule="auto"/>
        <w:jc w:val="right"/>
        <w:rPr>
          <w:sz w:val="24"/>
          <w:szCs w:val="24"/>
        </w:rPr>
      </w:pPr>
    </w:p>
    <w:p w:rsidR="00B17370" w:rsidRDefault="00B17370" w:rsidP="00B17370">
      <w:pPr>
        <w:spacing w:line="360" w:lineRule="auto"/>
        <w:jc w:val="right"/>
        <w:rPr>
          <w:sz w:val="24"/>
          <w:szCs w:val="24"/>
        </w:rPr>
      </w:pPr>
    </w:p>
    <w:p w:rsidR="00B17370" w:rsidRDefault="00B17370" w:rsidP="00B17370">
      <w:pPr>
        <w:spacing w:line="360" w:lineRule="auto"/>
        <w:jc w:val="right"/>
        <w:rPr>
          <w:sz w:val="24"/>
          <w:szCs w:val="24"/>
        </w:rPr>
      </w:pPr>
    </w:p>
    <w:p w:rsidR="00B17370" w:rsidRDefault="00B17370" w:rsidP="00E639DD">
      <w:pPr>
        <w:spacing w:line="360" w:lineRule="auto"/>
        <w:ind w:firstLine="0"/>
        <w:rPr>
          <w:sz w:val="24"/>
          <w:szCs w:val="24"/>
        </w:rPr>
      </w:pPr>
    </w:p>
    <w:p w:rsidR="00E639DD" w:rsidRDefault="00E639DD" w:rsidP="00E639DD">
      <w:pPr>
        <w:spacing w:line="360" w:lineRule="auto"/>
        <w:ind w:firstLine="0"/>
        <w:rPr>
          <w:b/>
          <w:sz w:val="24"/>
          <w:szCs w:val="24"/>
        </w:rPr>
      </w:pPr>
    </w:p>
    <w:p w:rsidR="00B17370" w:rsidRDefault="00B17370" w:rsidP="00B17370">
      <w:pPr>
        <w:spacing w:line="360" w:lineRule="auto"/>
        <w:jc w:val="right"/>
        <w:rPr>
          <w:b/>
          <w:sz w:val="24"/>
          <w:szCs w:val="24"/>
        </w:rPr>
      </w:pPr>
    </w:p>
    <w:p w:rsidR="00B17370" w:rsidRDefault="00B17370" w:rsidP="00B17370">
      <w:pPr>
        <w:spacing w:line="360" w:lineRule="auto"/>
        <w:jc w:val="right"/>
        <w:rPr>
          <w:b/>
          <w:sz w:val="24"/>
          <w:szCs w:val="24"/>
        </w:rPr>
      </w:pPr>
      <w:r w:rsidRPr="00900995">
        <w:rPr>
          <w:b/>
          <w:sz w:val="24"/>
          <w:szCs w:val="24"/>
        </w:rPr>
        <w:lastRenderedPageBreak/>
        <w:t>9 PRIEDAS</w:t>
      </w:r>
    </w:p>
    <w:p w:rsidR="00B17370" w:rsidRPr="00900995" w:rsidRDefault="00B17370" w:rsidP="00B17370">
      <w:pPr>
        <w:spacing w:line="360" w:lineRule="auto"/>
        <w:jc w:val="right"/>
        <w:rPr>
          <w:b/>
          <w:sz w:val="24"/>
          <w:szCs w:val="24"/>
        </w:rPr>
      </w:pPr>
    </w:p>
    <w:p w:rsidR="00B17370" w:rsidRPr="00900995" w:rsidRDefault="00B17370" w:rsidP="00B17370">
      <w:pPr>
        <w:tabs>
          <w:tab w:val="left" w:pos="7470"/>
        </w:tabs>
        <w:jc w:val="center"/>
        <w:rPr>
          <w:b/>
          <w:sz w:val="24"/>
          <w:szCs w:val="24"/>
        </w:rPr>
      </w:pPr>
      <w:r w:rsidRPr="00900995">
        <w:rPr>
          <w:b/>
          <w:sz w:val="24"/>
          <w:szCs w:val="24"/>
        </w:rPr>
        <w:t>LATVIJOS VALSTYBĖS SKOLOS PROGNOZAVIMAS DTR MODELIU</w:t>
      </w:r>
    </w:p>
    <w:p w:rsidR="00B17370" w:rsidRPr="003A2A72" w:rsidRDefault="00B17370" w:rsidP="00B17370">
      <w:pPr>
        <w:tabs>
          <w:tab w:val="left" w:pos="7470"/>
        </w:tabs>
        <w:jc w:val="center"/>
        <w:rPr>
          <w:b/>
        </w:rPr>
      </w:pPr>
    </w:p>
    <w:p w:rsidR="00B17370" w:rsidRPr="00E92012" w:rsidRDefault="00B17370" w:rsidP="00B17370">
      <w:pPr>
        <w:spacing w:line="360" w:lineRule="auto"/>
        <w:contextualSpacing/>
        <w:jc w:val="center"/>
        <w:rPr>
          <w:sz w:val="24"/>
          <w:szCs w:val="24"/>
        </w:rPr>
      </w:pPr>
      <w:r>
        <w:rPr>
          <w:noProof/>
          <w:sz w:val="24"/>
          <w:szCs w:val="24"/>
          <w:lang w:val="en-US"/>
        </w:rPr>
        <w:drawing>
          <wp:inline distT="0" distB="0" distL="0" distR="0">
            <wp:extent cx="2800350" cy="1762125"/>
            <wp:effectExtent l="19050" t="0" r="0" b="0"/>
            <wp:docPr id="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srcRect l="34454" t="44730" r="30769" b="23932"/>
                    <a:stretch>
                      <a:fillRect/>
                    </a:stretch>
                  </pic:blipFill>
                  <pic:spPr bwMode="auto">
                    <a:xfrm>
                      <a:off x="0" y="0"/>
                      <a:ext cx="2800350" cy="1762125"/>
                    </a:xfrm>
                    <a:prstGeom prst="rect">
                      <a:avLst/>
                    </a:prstGeom>
                    <a:noFill/>
                    <a:ln w="9525">
                      <a:noFill/>
                      <a:miter lim="800000"/>
                      <a:headEnd/>
                      <a:tailEnd/>
                    </a:ln>
                  </pic:spPr>
                </pic:pic>
              </a:graphicData>
            </a:graphic>
          </wp:inline>
        </w:drawing>
      </w:r>
    </w:p>
    <w:p w:rsidR="00B17370" w:rsidRPr="000D23EC" w:rsidRDefault="00B17370" w:rsidP="00B17370">
      <w:pPr>
        <w:contextualSpacing/>
      </w:pPr>
      <w:r>
        <w:t xml:space="preserve">                                                 </w:t>
      </w:r>
      <w:r w:rsidRPr="000D23EC">
        <w:t>Šaltinis: Eviews 8 programa</w:t>
      </w:r>
    </w:p>
    <w:p w:rsidR="00B17370" w:rsidRDefault="00B17370" w:rsidP="00B17370">
      <w:pPr>
        <w:contextualSpacing/>
        <w:jc w:val="center"/>
      </w:pPr>
      <w:r>
        <w:t xml:space="preserve"> </w:t>
      </w:r>
    </w:p>
    <w:p w:rsidR="00B17370" w:rsidRPr="00E92012" w:rsidRDefault="00B17370" w:rsidP="00B17370">
      <w:pPr>
        <w:contextualSpacing/>
        <w:jc w:val="center"/>
        <w:rPr>
          <w:sz w:val="24"/>
          <w:szCs w:val="24"/>
        </w:rPr>
      </w:pPr>
      <w:r w:rsidRPr="00900995">
        <w:rPr>
          <w:sz w:val="24"/>
          <w:szCs w:val="24"/>
        </w:rPr>
        <w:t>1pav. Kintamojo</w:t>
      </w:r>
      <w:r w:rsidRPr="00E92012">
        <w:rPr>
          <w:sz w:val="24"/>
          <w:szCs w:val="24"/>
        </w:rPr>
        <w:t xml:space="preserve"> Y histograma su statstinėmis char</w:t>
      </w:r>
      <w:r>
        <w:rPr>
          <w:sz w:val="24"/>
          <w:szCs w:val="24"/>
        </w:rPr>
        <w:t>akteristikomis</w:t>
      </w:r>
      <w:r w:rsidRPr="00E92012">
        <w:rPr>
          <w:sz w:val="24"/>
          <w:szCs w:val="24"/>
        </w:rPr>
        <w:t xml:space="preserve"> </w:t>
      </w:r>
    </w:p>
    <w:p w:rsidR="00B17370" w:rsidRPr="00E92012" w:rsidRDefault="00B17370" w:rsidP="00B17370">
      <w:pPr>
        <w:contextualSpacing/>
        <w:jc w:val="center"/>
        <w:rPr>
          <w:sz w:val="24"/>
          <w:szCs w:val="24"/>
        </w:rPr>
      </w:pPr>
    </w:p>
    <w:p w:rsidR="00B17370" w:rsidRPr="00E92012" w:rsidRDefault="00B17370" w:rsidP="00B17370">
      <w:pPr>
        <w:tabs>
          <w:tab w:val="left" w:pos="7470"/>
        </w:tabs>
        <w:contextualSpacing/>
        <w:jc w:val="center"/>
      </w:pPr>
      <w:r>
        <w:rPr>
          <w:noProof/>
          <w:lang w:val="en-US"/>
        </w:rPr>
        <w:drawing>
          <wp:inline distT="0" distB="0" distL="0" distR="0">
            <wp:extent cx="2867025" cy="1571625"/>
            <wp:effectExtent l="19050" t="0" r="9525" b="0"/>
            <wp:docPr id="1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srcRect l="38301" t="42735" r="26282" b="22792"/>
                    <a:stretch>
                      <a:fillRect/>
                    </a:stretch>
                  </pic:blipFill>
                  <pic:spPr bwMode="auto">
                    <a:xfrm>
                      <a:off x="0" y="0"/>
                      <a:ext cx="2867025" cy="1571625"/>
                    </a:xfrm>
                    <a:prstGeom prst="rect">
                      <a:avLst/>
                    </a:prstGeom>
                    <a:noFill/>
                    <a:ln w="9525">
                      <a:noFill/>
                      <a:miter lim="800000"/>
                      <a:headEnd/>
                      <a:tailEnd/>
                    </a:ln>
                  </pic:spPr>
                </pic:pic>
              </a:graphicData>
            </a:graphic>
          </wp:inline>
        </w:drawing>
      </w:r>
    </w:p>
    <w:p w:rsidR="00B17370" w:rsidRDefault="00B17370" w:rsidP="00B17370">
      <w:pPr>
        <w:contextualSpacing/>
      </w:pPr>
      <w:r>
        <w:t xml:space="preserve">                                                </w:t>
      </w:r>
      <w:r w:rsidRPr="000D23EC">
        <w:t>Šaltinis: Eviews 8 programa</w:t>
      </w:r>
    </w:p>
    <w:p w:rsidR="00B17370" w:rsidRPr="000D23EC" w:rsidRDefault="00B17370" w:rsidP="00B17370">
      <w:pPr>
        <w:contextualSpacing/>
      </w:pPr>
    </w:p>
    <w:p w:rsidR="00B17370" w:rsidRPr="00E92012" w:rsidRDefault="00B17370" w:rsidP="00B17370">
      <w:pPr>
        <w:contextualSpacing/>
        <w:jc w:val="center"/>
        <w:rPr>
          <w:sz w:val="24"/>
          <w:szCs w:val="24"/>
        </w:rPr>
      </w:pPr>
      <w:r w:rsidRPr="00900995">
        <w:rPr>
          <w:sz w:val="24"/>
          <w:szCs w:val="24"/>
        </w:rPr>
        <w:t>2 pav. Kintamojo</w:t>
      </w:r>
      <w:r w:rsidRPr="00E92012">
        <w:rPr>
          <w:sz w:val="24"/>
          <w:szCs w:val="24"/>
        </w:rPr>
        <w:t xml:space="preserve"> X1 histograma su statstinėmis char</w:t>
      </w:r>
      <w:r>
        <w:rPr>
          <w:sz w:val="24"/>
          <w:szCs w:val="24"/>
        </w:rPr>
        <w:t>akteristikomis</w:t>
      </w:r>
      <w:r w:rsidRPr="00E92012">
        <w:rPr>
          <w:sz w:val="24"/>
          <w:szCs w:val="24"/>
        </w:rPr>
        <w:t xml:space="preserve"> </w:t>
      </w:r>
    </w:p>
    <w:p w:rsidR="00B17370" w:rsidRPr="00E92012" w:rsidRDefault="00B17370" w:rsidP="00B17370">
      <w:pPr>
        <w:contextualSpacing/>
        <w:jc w:val="center"/>
        <w:rPr>
          <w:sz w:val="24"/>
          <w:szCs w:val="24"/>
        </w:rPr>
      </w:pPr>
    </w:p>
    <w:p w:rsidR="00B17370" w:rsidRPr="00E92012" w:rsidRDefault="00B17370" w:rsidP="00B17370">
      <w:pPr>
        <w:tabs>
          <w:tab w:val="left" w:pos="7470"/>
        </w:tabs>
        <w:contextualSpacing/>
        <w:jc w:val="center"/>
      </w:pPr>
      <w:r>
        <w:rPr>
          <w:noProof/>
          <w:lang w:val="en-US"/>
        </w:rPr>
        <w:drawing>
          <wp:inline distT="0" distB="0" distL="0" distR="0">
            <wp:extent cx="3006190" cy="1571625"/>
            <wp:effectExtent l="19050" t="0" r="3710" b="0"/>
            <wp:docPr id="123"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9" cstate="print"/>
                    <a:srcRect l="39412" t="56285" r="26003" b="11714"/>
                    <a:stretch>
                      <a:fillRect/>
                    </a:stretch>
                  </pic:blipFill>
                  <pic:spPr bwMode="auto">
                    <a:xfrm>
                      <a:off x="0" y="0"/>
                      <a:ext cx="3006190" cy="1571625"/>
                    </a:xfrm>
                    <a:prstGeom prst="rect">
                      <a:avLst/>
                    </a:prstGeom>
                    <a:noFill/>
                    <a:ln w="9525">
                      <a:noFill/>
                      <a:miter lim="800000"/>
                      <a:headEnd/>
                      <a:tailEnd/>
                    </a:ln>
                  </pic:spPr>
                </pic:pic>
              </a:graphicData>
            </a:graphic>
          </wp:inline>
        </w:drawing>
      </w:r>
    </w:p>
    <w:p w:rsidR="00B17370" w:rsidRDefault="00B17370" w:rsidP="00B17370">
      <w:pPr>
        <w:contextualSpacing/>
      </w:pPr>
      <w:r>
        <w:t xml:space="preserve">                                             </w:t>
      </w:r>
      <w:r w:rsidRPr="000D23EC">
        <w:t>Šaltinis: Eviews 8 programa</w:t>
      </w:r>
    </w:p>
    <w:p w:rsidR="00B17370" w:rsidRPr="000D23EC" w:rsidRDefault="00B17370" w:rsidP="00B17370">
      <w:pPr>
        <w:contextualSpacing/>
      </w:pPr>
    </w:p>
    <w:p w:rsidR="00B17370" w:rsidRPr="00E92012" w:rsidRDefault="00B17370" w:rsidP="00B17370">
      <w:pPr>
        <w:contextualSpacing/>
        <w:jc w:val="center"/>
        <w:rPr>
          <w:sz w:val="24"/>
          <w:szCs w:val="24"/>
        </w:rPr>
      </w:pPr>
      <w:r w:rsidRPr="00900995">
        <w:rPr>
          <w:sz w:val="24"/>
          <w:szCs w:val="24"/>
        </w:rPr>
        <w:t>3 pav.</w:t>
      </w:r>
      <w:r w:rsidRPr="00E92012">
        <w:t xml:space="preserve"> </w:t>
      </w:r>
      <w:r w:rsidRPr="00E92012">
        <w:rPr>
          <w:sz w:val="24"/>
          <w:szCs w:val="24"/>
        </w:rPr>
        <w:t>Kintamojo X2  histograma su statstinėmis chara</w:t>
      </w:r>
      <w:r>
        <w:rPr>
          <w:sz w:val="24"/>
          <w:szCs w:val="24"/>
        </w:rPr>
        <w:t>kteristikomis</w:t>
      </w:r>
    </w:p>
    <w:p w:rsidR="00B17370" w:rsidRPr="00E92012" w:rsidRDefault="00B17370" w:rsidP="00B17370">
      <w:pPr>
        <w:tabs>
          <w:tab w:val="left" w:pos="7470"/>
        </w:tabs>
        <w:contextualSpacing/>
        <w:jc w:val="center"/>
      </w:pPr>
    </w:p>
    <w:p w:rsidR="00B17370" w:rsidRPr="00E92012" w:rsidRDefault="00B17370" w:rsidP="00B17370">
      <w:pPr>
        <w:tabs>
          <w:tab w:val="left" w:pos="7470"/>
        </w:tabs>
        <w:contextualSpacing/>
        <w:jc w:val="center"/>
      </w:pPr>
      <w:r>
        <w:rPr>
          <w:noProof/>
          <w:lang w:val="en-US"/>
        </w:rPr>
        <w:lastRenderedPageBreak/>
        <w:drawing>
          <wp:inline distT="0" distB="0" distL="0" distR="0">
            <wp:extent cx="2867025" cy="1409700"/>
            <wp:effectExtent l="19050" t="0" r="9525" b="0"/>
            <wp:docPr id="132"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0" cstate="print"/>
                    <a:srcRect l="40610" t="56572" r="23756" b="12000"/>
                    <a:stretch>
                      <a:fillRect/>
                    </a:stretch>
                  </pic:blipFill>
                  <pic:spPr bwMode="auto">
                    <a:xfrm>
                      <a:off x="0" y="0"/>
                      <a:ext cx="2867025" cy="1409700"/>
                    </a:xfrm>
                    <a:prstGeom prst="rect">
                      <a:avLst/>
                    </a:prstGeom>
                    <a:noFill/>
                    <a:ln w="9525">
                      <a:noFill/>
                      <a:miter lim="800000"/>
                      <a:headEnd/>
                      <a:tailEnd/>
                    </a:ln>
                  </pic:spPr>
                </pic:pic>
              </a:graphicData>
            </a:graphic>
          </wp:inline>
        </w:drawing>
      </w:r>
    </w:p>
    <w:p w:rsidR="00B17370" w:rsidRDefault="00B17370" w:rsidP="00B17370">
      <w:pPr>
        <w:contextualSpacing/>
      </w:pPr>
      <w:r>
        <w:t xml:space="preserve">                                                   </w:t>
      </w:r>
      <w:r w:rsidRPr="00DE3ACD">
        <w:t>Šaltinis: Eviews 8 programa</w:t>
      </w:r>
    </w:p>
    <w:p w:rsidR="00B17370" w:rsidRPr="00DE3ACD" w:rsidRDefault="00B17370" w:rsidP="00B17370">
      <w:pPr>
        <w:contextualSpacing/>
      </w:pPr>
    </w:p>
    <w:p w:rsidR="00B17370" w:rsidRDefault="00B17370" w:rsidP="00B17370">
      <w:pPr>
        <w:tabs>
          <w:tab w:val="center" w:pos="4680"/>
          <w:tab w:val="right" w:pos="9360"/>
        </w:tabs>
        <w:contextualSpacing/>
        <w:rPr>
          <w:sz w:val="24"/>
          <w:szCs w:val="24"/>
        </w:rPr>
      </w:pPr>
      <w:r>
        <w:tab/>
      </w:r>
      <w:r w:rsidRPr="00900995">
        <w:rPr>
          <w:sz w:val="24"/>
          <w:szCs w:val="24"/>
        </w:rPr>
        <w:t>4pav. Kintamojo</w:t>
      </w:r>
      <w:r w:rsidRPr="00E92012">
        <w:rPr>
          <w:sz w:val="24"/>
          <w:szCs w:val="24"/>
        </w:rPr>
        <w:t xml:space="preserve"> X3 histograma su statstinėmis charakteristikomis</w:t>
      </w:r>
    </w:p>
    <w:p w:rsidR="00B17370" w:rsidRDefault="00B17370" w:rsidP="00B17370">
      <w:pPr>
        <w:tabs>
          <w:tab w:val="center" w:pos="4680"/>
          <w:tab w:val="right" w:pos="9360"/>
        </w:tabs>
        <w:contextualSpacing/>
        <w:rPr>
          <w:sz w:val="24"/>
          <w:szCs w:val="24"/>
        </w:rPr>
      </w:pPr>
      <w:r>
        <w:rPr>
          <w:sz w:val="24"/>
          <w:szCs w:val="24"/>
        </w:rPr>
        <w:tab/>
      </w:r>
    </w:p>
    <w:p w:rsidR="00B17370" w:rsidRDefault="00B17370" w:rsidP="00B17370">
      <w:pPr>
        <w:tabs>
          <w:tab w:val="center" w:pos="4680"/>
          <w:tab w:val="right" w:pos="9360"/>
        </w:tabs>
        <w:contextualSpacing/>
        <w:jc w:val="center"/>
        <w:rPr>
          <w:sz w:val="24"/>
          <w:szCs w:val="24"/>
        </w:rPr>
      </w:pPr>
      <w:r>
        <w:rPr>
          <w:noProof/>
          <w:sz w:val="24"/>
          <w:szCs w:val="24"/>
          <w:lang w:val="en-US"/>
        </w:rPr>
        <w:drawing>
          <wp:inline distT="0" distB="0" distL="0" distR="0">
            <wp:extent cx="2771775" cy="1828800"/>
            <wp:effectExtent l="19050" t="0" r="9525" b="0"/>
            <wp:docPr id="134"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1" cstate="print"/>
                    <a:srcRect l="42055" t="37428" r="22311" b="20572"/>
                    <a:stretch>
                      <a:fillRect/>
                    </a:stretch>
                  </pic:blipFill>
                  <pic:spPr bwMode="auto">
                    <a:xfrm>
                      <a:off x="0" y="0"/>
                      <a:ext cx="2771775" cy="1828800"/>
                    </a:xfrm>
                    <a:prstGeom prst="rect">
                      <a:avLst/>
                    </a:prstGeom>
                    <a:noFill/>
                    <a:ln w="9525">
                      <a:noFill/>
                      <a:miter lim="800000"/>
                      <a:headEnd/>
                      <a:tailEnd/>
                    </a:ln>
                  </pic:spPr>
                </pic:pic>
              </a:graphicData>
            </a:graphic>
          </wp:inline>
        </w:drawing>
      </w:r>
    </w:p>
    <w:p w:rsidR="00B17370" w:rsidRDefault="00B17370" w:rsidP="00B17370">
      <w:pPr>
        <w:tabs>
          <w:tab w:val="center" w:pos="4680"/>
          <w:tab w:val="right" w:pos="9360"/>
        </w:tabs>
        <w:contextualSpacing/>
      </w:pPr>
      <w:r>
        <w:t xml:space="preserve">                                                     </w:t>
      </w:r>
      <w:r w:rsidRPr="00DE3ACD">
        <w:t>Šaltinis: Eviews 8 programa</w:t>
      </w:r>
    </w:p>
    <w:p w:rsidR="00B17370" w:rsidRDefault="00B17370" w:rsidP="00B17370">
      <w:pPr>
        <w:tabs>
          <w:tab w:val="center" w:pos="4680"/>
          <w:tab w:val="right" w:pos="9360"/>
        </w:tabs>
        <w:contextualSpacing/>
        <w:rPr>
          <w:sz w:val="24"/>
          <w:szCs w:val="24"/>
        </w:rPr>
      </w:pPr>
    </w:p>
    <w:p w:rsidR="00B17370" w:rsidRPr="00900995" w:rsidRDefault="00B17370" w:rsidP="00B17370">
      <w:pPr>
        <w:tabs>
          <w:tab w:val="center" w:pos="4680"/>
          <w:tab w:val="right" w:pos="9360"/>
        </w:tabs>
        <w:contextualSpacing/>
        <w:jc w:val="center"/>
        <w:rPr>
          <w:sz w:val="24"/>
          <w:szCs w:val="24"/>
        </w:rPr>
      </w:pPr>
      <w:r w:rsidRPr="00900995">
        <w:rPr>
          <w:sz w:val="24"/>
          <w:szCs w:val="24"/>
        </w:rPr>
        <w:t>5pav. Kintamojo X4 histograma su statstinėmis charakteristikomis</w:t>
      </w:r>
    </w:p>
    <w:p w:rsidR="00B17370" w:rsidRPr="00E92012" w:rsidRDefault="00B17370" w:rsidP="00B17370">
      <w:pPr>
        <w:contextualSpacing/>
        <w:jc w:val="center"/>
        <w:rPr>
          <w:sz w:val="24"/>
          <w:szCs w:val="24"/>
        </w:rPr>
      </w:pPr>
    </w:p>
    <w:p w:rsidR="00B17370" w:rsidRPr="00E92012" w:rsidRDefault="00B17370" w:rsidP="00B17370">
      <w:pPr>
        <w:tabs>
          <w:tab w:val="left" w:pos="4065"/>
        </w:tabs>
        <w:contextualSpacing/>
        <w:jc w:val="center"/>
      </w:pPr>
    </w:p>
    <w:p w:rsidR="00B17370" w:rsidRPr="0003010F" w:rsidRDefault="00B17370" w:rsidP="00B17370">
      <w:pPr>
        <w:jc w:val="center"/>
        <w:rPr>
          <w:sz w:val="24"/>
          <w:szCs w:val="24"/>
        </w:rPr>
      </w:pPr>
      <w:r>
        <w:rPr>
          <w:noProof/>
          <w:sz w:val="24"/>
          <w:szCs w:val="24"/>
          <w:lang w:val="en-US"/>
        </w:rPr>
        <w:drawing>
          <wp:inline distT="0" distB="0" distL="0" distR="0">
            <wp:extent cx="2981325" cy="1933575"/>
            <wp:effectExtent l="19050" t="0" r="9525" b="0"/>
            <wp:docPr id="142"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2" cstate="print"/>
                    <a:srcRect l="39165" t="25143" r="18138" b="25429"/>
                    <a:stretch>
                      <a:fillRect/>
                    </a:stretch>
                  </pic:blipFill>
                  <pic:spPr bwMode="auto">
                    <a:xfrm>
                      <a:off x="0" y="0"/>
                      <a:ext cx="2981325" cy="1933575"/>
                    </a:xfrm>
                    <a:prstGeom prst="rect">
                      <a:avLst/>
                    </a:prstGeom>
                    <a:noFill/>
                    <a:ln w="9525">
                      <a:noFill/>
                      <a:miter lim="800000"/>
                      <a:headEnd/>
                      <a:tailEnd/>
                    </a:ln>
                  </pic:spPr>
                </pic:pic>
              </a:graphicData>
            </a:graphic>
          </wp:inline>
        </w:drawing>
      </w:r>
    </w:p>
    <w:p w:rsidR="00B17370" w:rsidRDefault="00B17370" w:rsidP="00B17370">
      <w:pPr>
        <w:contextualSpacing/>
      </w:pPr>
      <w:r>
        <w:t xml:space="preserve">                                            </w:t>
      </w:r>
      <w:r w:rsidRPr="00DE3ACD">
        <w:t>Šaltinis: Eviews 8 programa</w:t>
      </w:r>
    </w:p>
    <w:p w:rsidR="00B17370" w:rsidRPr="00DE3ACD" w:rsidRDefault="00B17370" w:rsidP="00B17370">
      <w:pPr>
        <w:contextualSpacing/>
      </w:pPr>
    </w:p>
    <w:p w:rsidR="00B17370" w:rsidRPr="00E92012" w:rsidRDefault="00B17370" w:rsidP="00B17370">
      <w:pPr>
        <w:contextualSpacing/>
        <w:jc w:val="center"/>
        <w:rPr>
          <w:sz w:val="24"/>
          <w:szCs w:val="24"/>
        </w:rPr>
      </w:pPr>
      <w:r w:rsidRPr="00900995">
        <w:rPr>
          <w:sz w:val="24"/>
          <w:szCs w:val="24"/>
        </w:rPr>
        <w:t>6  pav. Koreliacinių koeficientų</w:t>
      </w:r>
      <w:r w:rsidRPr="00E92012">
        <w:rPr>
          <w:sz w:val="24"/>
          <w:szCs w:val="24"/>
        </w:rPr>
        <w:t xml:space="preserve"> t statistikos reikšmės</w:t>
      </w:r>
    </w:p>
    <w:p w:rsidR="00B17370" w:rsidRPr="00E92012" w:rsidRDefault="00B17370" w:rsidP="00B17370">
      <w:pPr>
        <w:tabs>
          <w:tab w:val="left" w:pos="4065"/>
        </w:tabs>
        <w:contextualSpacing/>
        <w:jc w:val="center"/>
      </w:pPr>
      <w:r>
        <w:rPr>
          <w:noProof/>
          <w:lang w:val="en-US"/>
        </w:rPr>
        <w:lastRenderedPageBreak/>
        <w:drawing>
          <wp:inline distT="0" distB="0" distL="0" distR="0">
            <wp:extent cx="2762250" cy="2228850"/>
            <wp:effectExtent l="19050" t="0" r="0" b="0"/>
            <wp:docPr id="143"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3" cstate="print"/>
                    <a:srcRect l="46161" t="25429" r="21188" b="27429"/>
                    <a:stretch>
                      <a:fillRect/>
                    </a:stretch>
                  </pic:blipFill>
                  <pic:spPr bwMode="auto">
                    <a:xfrm>
                      <a:off x="0" y="0"/>
                      <a:ext cx="2762250" cy="2228850"/>
                    </a:xfrm>
                    <a:prstGeom prst="rect">
                      <a:avLst/>
                    </a:prstGeom>
                    <a:noFill/>
                    <a:ln w="9525">
                      <a:noFill/>
                      <a:miter lim="800000"/>
                      <a:headEnd/>
                      <a:tailEnd/>
                    </a:ln>
                  </pic:spPr>
                </pic:pic>
              </a:graphicData>
            </a:graphic>
          </wp:inline>
        </w:drawing>
      </w:r>
    </w:p>
    <w:p w:rsidR="00B17370" w:rsidRDefault="00B17370" w:rsidP="00B17370">
      <w:pPr>
        <w:contextualSpacing/>
      </w:pPr>
      <w:r>
        <w:t xml:space="preserve">                                      </w:t>
      </w:r>
      <w:r w:rsidRPr="00DE3ACD">
        <w:t>Šaltinis: Eviews 8 programa</w:t>
      </w:r>
    </w:p>
    <w:p w:rsidR="00B17370" w:rsidRPr="00DE3ACD" w:rsidRDefault="00B17370" w:rsidP="00B17370">
      <w:pPr>
        <w:contextualSpacing/>
      </w:pPr>
    </w:p>
    <w:p w:rsidR="00B17370" w:rsidRPr="00E92012" w:rsidRDefault="00B17370" w:rsidP="00B17370">
      <w:pPr>
        <w:contextualSpacing/>
        <w:jc w:val="center"/>
        <w:rPr>
          <w:sz w:val="24"/>
          <w:szCs w:val="24"/>
        </w:rPr>
      </w:pPr>
      <w:r>
        <w:rPr>
          <w:sz w:val="24"/>
          <w:szCs w:val="24"/>
        </w:rPr>
        <w:t>7</w:t>
      </w:r>
      <w:r w:rsidRPr="00E92012">
        <w:rPr>
          <w:sz w:val="24"/>
          <w:szCs w:val="24"/>
        </w:rPr>
        <w:t xml:space="preserve"> pav. DTR model</w:t>
      </w:r>
      <w:r>
        <w:rPr>
          <w:sz w:val="24"/>
          <w:szCs w:val="24"/>
        </w:rPr>
        <w:t>io įvertinimo langas</w:t>
      </w:r>
    </w:p>
    <w:p w:rsidR="00B17370" w:rsidRPr="00E92012" w:rsidRDefault="00B17370" w:rsidP="00B17370">
      <w:pPr>
        <w:jc w:val="center"/>
        <w:rPr>
          <w:sz w:val="24"/>
          <w:szCs w:val="24"/>
        </w:rPr>
      </w:pPr>
    </w:p>
    <w:p w:rsidR="00B17370" w:rsidRPr="00E92012" w:rsidRDefault="00B17370" w:rsidP="00B17370">
      <w:pPr>
        <w:spacing w:line="360" w:lineRule="auto"/>
        <w:ind w:firstLine="562"/>
        <w:contextualSpacing/>
        <w:jc w:val="center"/>
        <w:rPr>
          <w:sz w:val="24"/>
          <w:szCs w:val="24"/>
        </w:rPr>
      </w:pPr>
      <w:r w:rsidRPr="00E92012">
        <w:rPr>
          <w:sz w:val="24"/>
          <w:szCs w:val="24"/>
        </w:rPr>
        <w:t>Sudaryto DTR modelio reikšmingumo tikrinimas</w:t>
      </w:r>
    </w:p>
    <w:p w:rsidR="00B17370" w:rsidRPr="00E92012" w:rsidRDefault="00B17370" w:rsidP="00B17370">
      <w:pPr>
        <w:spacing w:line="360" w:lineRule="auto"/>
        <w:ind w:firstLine="562"/>
        <w:contextualSpacing/>
        <w:rPr>
          <w:i/>
          <w:sz w:val="24"/>
          <w:szCs w:val="24"/>
        </w:rPr>
      </w:pPr>
      <w:r w:rsidRPr="00E92012">
        <w:rPr>
          <w:i/>
          <w:sz w:val="24"/>
          <w:szCs w:val="24"/>
        </w:rPr>
        <w:t>Polinkių reikšmingumo tikrinimas</w:t>
      </w:r>
    </w:p>
    <w:p w:rsidR="00B17370" w:rsidRPr="00E92012" w:rsidRDefault="00B17370" w:rsidP="00B17370">
      <w:pPr>
        <w:spacing w:line="360" w:lineRule="auto"/>
        <w:ind w:firstLine="562"/>
        <w:contextualSpacing/>
        <w:rPr>
          <w:sz w:val="24"/>
          <w:szCs w:val="24"/>
        </w:rPr>
      </w:pPr>
      <w:r w:rsidRPr="00E92012">
        <w:rPr>
          <w:sz w:val="24"/>
          <w:szCs w:val="24"/>
        </w:rPr>
        <w:t>Apskaičiuota b</w:t>
      </w:r>
      <w:r w:rsidRPr="00E92012">
        <w:rPr>
          <w:sz w:val="24"/>
          <w:szCs w:val="24"/>
          <w:vertAlign w:val="subscript"/>
        </w:rPr>
        <w:t xml:space="preserve">2 </w:t>
      </w:r>
      <w:r w:rsidRPr="00E92012">
        <w:rPr>
          <w:sz w:val="24"/>
          <w:szCs w:val="24"/>
        </w:rPr>
        <w:t>t statisti</w:t>
      </w:r>
      <w:r>
        <w:rPr>
          <w:sz w:val="24"/>
          <w:szCs w:val="24"/>
        </w:rPr>
        <w:t>kos reikšmė t =  2,49</w:t>
      </w:r>
      <w:r w:rsidRPr="00E92012">
        <w:rPr>
          <w:sz w:val="24"/>
          <w:szCs w:val="24"/>
        </w:rPr>
        <w:t>, o b</w:t>
      </w:r>
      <w:r w:rsidRPr="00E92012">
        <w:rPr>
          <w:sz w:val="24"/>
          <w:szCs w:val="24"/>
          <w:vertAlign w:val="subscript"/>
        </w:rPr>
        <w:t xml:space="preserve">3 </w:t>
      </w:r>
      <w:r>
        <w:rPr>
          <w:sz w:val="24"/>
          <w:szCs w:val="24"/>
        </w:rPr>
        <w:t>t  statistikos reikšmė t = 13,85</w:t>
      </w:r>
      <w:r w:rsidRPr="00E92012">
        <w:rPr>
          <w:sz w:val="24"/>
          <w:szCs w:val="24"/>
        </w:rPr>
        <w:t xml:space="preserve"> </w:t>
      </w:r>
    </w:p>
    <w:p w:rsidR="00B17370" w:rsidRPr="00E92012" w:rsidRDefault="00B17370" w:rsidP="00B17370">
      <w:pPr>
        <w:spacing w:line="360" w:lineRule="auto"/>
        <w:ind w:firstLine="562"/>
        <w:contextualSpacing/>
        <w:rPr>
          <w:sz w:val="24"/>
          <w:szCs w:val="24"/>
        </w:rPr>
      </w:pPr>
      <w:r w:rsidRPr="00E92012">
        <w:rPr>
          <w:sz w:val="24"/>
          <w:szCs w:val="24"/>
        </w:rPr>
        <w:t>Remiantis Stjudento kriterijumi, teorinė t statistikos reikšmė: t</w:t>
      </w:r>
      <w:r w:rsidRPr="00E92012">
        <w:rPr>
          <w:sz w:val="24"/>
          <w:szCs w:val="24"/>
          <w:vertAlign w:val="subscript"/>
        </w:rPr>
        <w:t>α/2;(n-2)</w:t>
      </w:r>
      <w:r w:rsidRPr="00E92012">
        <w:rPr>
          <w:sz w:val="24"/>
          <w:szCs w:val="24"/>
        </w:rPr>
        <w:t>=t</w:t>
      </w:r>
      <w:r w:rsidRPr="00E92012">
        <w:rPr>
          <w:sz w:val="24"/>
          <w:szCs w:val="24"/>
          <w:vertAlign w:val="subscript"/>
        </w:rPr>
        <w:t>0,05/2;(13-2)</w:t>
      </w:r>
      <w:r w:rsidRPr="00E92012">
        <w:rPr>
          <w:sz w:val="24"/>
          <w:szCs w:val="24"/>
        </w:rPr>
        <w:t>=2,201</w:t>
      </w:r>
    </w:p>
    <w:p w:rsidR="00B17370" w:rsidRPr="00E92012" w:rsidRDefault="00B17370" w:rsidP="00B17370">
      <w:pPr>
        <w:spacing w:line="360" w:lineRule="auto"/>
        <w:ind w:firstLine="562"/>
        <w:contextualSpacing/>
        <w:rPr>
          <w:noProof/>
          <w:sz w:val="24"/>
          <w:szCs w:val="24"/>
        </w:rPr>
      </w:pPr>
      <w:r w:rsidRPr="00E92012">
        <w:rPr>
          <w:sz w:val="24"/>
          <w:szCs w:val="24"/>
        </w:rPr>
        <w:t xml:space="preserve">Kadangi  </w:t>
      </w:r>
      <w:r w:rsidRPr="00E92012">
        <w:rPr>
          <w:noProof/>
          <w:sz w:val="24"/>
          <w:szCs w:val="24"/>
        </w:rPr>
        <w:t>| t</w:t>
      </w:r>
      <w:r w:rsidRPr="00E92012">
        <w:rPr>
          <w:noProof/>
          <w:sz w:val="24"/>
          <w:szCs w:val="24"/>
          <w:vertAlign w:val="subscript"/>
        </w:rPr>
        <w:t>b2</w:t>
      </w:r>
      <w:r w:rsidRPr="00E92012">
        <w:rPr>
          <w:noProof/>
          <w:sz w:val="24"/>
          <w:szCs w:val="24"/>
        </w:rPr>
        <w:t xml:space="preserve"> | = </w:t>
      </w:r>
      <w:r w:rsidRPr="00E92012">
        <w:rPr>
          <w:sz w:val="24"/>
          <w:szCs w:val="24"/>
        </w:rPr>
        <w:t xml:space="preserve">  </w:t>
      </w:r>
      <w:r>
        <w:rPr>
          <w:noProof/>
          <w:sz w:val="24"/>
          <w:szCs w:val="24"/>
        </w:rPr>
        <w:t>| 2,49</w:t>
      </w:r>
      <w:r w:rsidRPr="00E92012">
        <w:rPr>
          <w:noProof/>
          <w:sz w:val="24"/>
          <w:szCs w:val="24"/>
        </w:rPr>
        <w:t>| &gt; 2,201,</w:t>
      </w:r>
      <w:r w:rsidRPr="00E92012">
        <w:rPr>
          <w:sz w:val="24"/>
          <w:szCs w:val="24"/>
        </w:rPr>
        <w:t xml:space="preserve"> o </w:t>
      </w:r>
      <w:r w:rsidRPr="00E92012">
        <w:rPr>
          <w:noProof/>
          <w:sz w:val="24"/>
          <w:szCs w:val="24"/>
        </w:rPr>
        <w:t>| t</w:t>
      </w:r>
      <w:r w:rsidRPr="00E92012">
        <w:rPr>
          <w:noProof/>
          <w:sz w:val="24"/>
          <w:szCs w:val="24"/>
          <w:vertAlign w:val="subscript"/>
        </w:rPr>
        <w:t>b3</w:t>
      </w:r>
      <w:r w:rsidRPr="00E92012">
        <w:rPr>
          <w:noProof/>
          <w:sz w:val="24"/>
          <w:szCs w:val="24"/>
        </w:rPr>
        <w:t xml:space="preserve"> | = </w:t>
      </w:r>
      <w:r w:rsidRPr="00E92012">
        <w:rPr>
          <w:sz w:val="24"/>
          <w:szCs w:val="24"/>
        </w:rPr>
        <w:t xml:space="preserve">  </w:t>
      </w:r>
      <w:r>
        <w:rPr>
          <w:noProof/>
          <w:sz w:val="24"/>
          <w:szCs w:val="24"/>
        </w:rPr>
        <w:t>| 13,85</w:t>
      </w:r>
      <w:r w:rsidRPr="00E92012">
        <w:rPr>
          <w:noProof/>
          <w:sz w:val="24"/>
          <w:szCs w:val="24"/>
        </w:rPr>
        <w:t>| &gt; 2,201, tai nulinė hipotezė atmetama. Tai rodo, jog polinkiai yra reikšminiai.</w:t>
      </w:r>
    </w:p>
    <w:p w:rsidR="00B17370" w:rsidRPr="00E92012" w:rsidRDefault="00B17370" w:rsidP="00B17370">
      <w:pPr>
        <w:spacing w:line="360" w:lineRule="auto"/>
        <w:ind w:firstLine="562"/>
        <w:contextualSpacing/>
        <w:rPr>
          <w:noProof/>
          <w:sz w:val="24"/>
          <w:szCs w:val="24"/>
        </w:rPr>
      </w:pPr>
      <w:r w:rsidRPr="00E92012">
        <w:rPr>
          <w:noProof/>
          <w:sz w:val="24"/>
          <w:szCs w:val="24"/>
        </w:rPr>
        <w:t>Apaskaičiuotos tikimybės esant koeficientams c(2</w:t>
      </w:r>
      <w:r>
        <w:rPr>
          <w:noProof/>
          <w:sz w:val="24"/>
          <w:szCs w:val="24"/>
        </w:rPr>
        <w:t>) ir c(3) yra atitinkamai 0,0321 ir 0,0000</w:t>
      </w:r>
      <w:r w:rsidRPr="00E92012">
        <w:rPr>
          <w:noProof/>
          <w:sz w:val="24"/>
          <w:szCs w:val="24"/>
        </w:rPr>
        <w:t>. Jos yra mažesnės nei nustatytos reikšmės 0,05, todėl polinkiai yra reikšminiai.</w:t>
      </w:r>
    </w:p>
    <w:p w:rsidR="00B17370" w:rsidRPr="00E92012" w:rsidRDefault="00B17370" w:rsidP="00B17370">
      <w:pPr>
        <w:spacing w:line="360" w:lineRule="auto"/>
        <w:ind w:firstLine="562"/>
        <w:contextualSpacing/>
        <w:rPr>
          <w:i/>
          <w:noProof/>
          <w:sz w:val="24"/>
          <w:szCs w:val="24"/>
        </w:rPr>
      </w:pPr>
      <w:r w:rsidRPr="00E92012">
        <w:rPr>
          <w:i/>
          <w:noProof/>
          <w:sz w:val="24"/>
          <w:szCs w:val="24"/>
        </w:rPr>
        <w:t>Determinacijos koeficiento R</w:t>
      </w:r>
      <w:r w:rsidRPr="00E92012">
        <w:rPr>
          <w:i/>
          <w:noProof/>
          <w:sz w:val="24"/>
          <w:szCs w:val="24"/>
          <w:vertAlign w:val="superscript"/>
        </w:rPr>
        <w:t>2</w:t>
      </w:r>
      <w:r w:rsidRPr="00E92012">
        <w:rPr>
          <w:i/>
          <w:noProof/>
          <w:sz w:val="24"/>
          <w:szCs w:val="24"/>
        </w:rPr>
        <w:t xml:space="preserve"> reikšmingumo tikrinimas.</w:t>
      </w:r>
    </w:p>
    <w:p w:rsidR="00B17370" w:rsidRPr="00E92012" w:rsidRDefault="00B17370" w:rsidP="00B17370">
      <w:pPr>
        <w:spacing w:line="360" w:lineRule="auto"/>
        <w:ind w:firstLine="562"/>
        <w:contextualSpacing/>
        <w:rPr>
          <w:sz w:val="24"/>
          <w:szCs w:val="24"/>
        </w:rPr>
      </w:pPr>
      <w:r w:rsidRPr="00E92012">
        <w:rPr>
          <w:sz w:val="24"/>
          <w:szCs w:val="24"/>
        </w:rPr>
        <w:t>Apskaičiuo</w:t>
      </w:r>
      <w:r>
        <w:rPr>
          <w:sz w:val="24"/>
          <w:szCs w:val="24"/>
        </w:rPr>
        <w:t>ta F statistikos reikšmė F=211,01</w:t>
      </w:r>
    </w:p>
    <w:p w:rsidR="00B17370" w:rsidRPr="00E92012" w:rsidRDefault="00B17370" w:rsidP="00B17370">
      <w:pPr>
        <w:spacing w:line="360" w:lineRule="auto"/>
        <w:ind w:firstLine="562"/>
        <w:contextualSpacing/>
        <w:rPr>
          <w:sz w:val="24"/>
          <w:szCs w:val="24"/>
          <w:vertAlign w:val="subscript"/>
        </w:rPr>
      </w:pPr>
      <w:r w:rsidRPr="00E92012">
        <w:rPr>
          <w:sz w:val="24"/>
          <w:szCs w:val="24"/>
        </w:rPr>
        <w:t>Teorinė F kriterijaus reikšmė F</w:t>
      </w:r>
      <w:r w:rsidRPr="00E92012">
        <w:rPr>
          <w:sz w:val="24"/>
          <w:szCs w:val="24"/>
          <w:vertAlign w:val="subscript"/>
        </w:rPr>
        <w:t>α;(k-1);(n-k).</w:t>
      </w:r>
    </w:p>
    <w:p w:rsidR="00B17370" w:rsidRPr="00E92012" w:rsidRDefault="00B17370" w:rsidP="00B17370">
      <w:pPr>
        <w:spacing w:line="360" w:lineRule="auto"/>
        <w:ind w:firstLine="562"/>
        <w:contextualSpacing/>
        <w:rPr>
          <w:sz w:val="24"/>
          <w:szCs w:val="24"/>
        </w:rPr>
      </w:pPr>
      <w:r w:rsidRPr="00E92012">
        <w:rPr>
          <w:sz w:val="24"/>
          <w:szCs w:val="24"/>
        </w:rPr>
        <w:t>F</w:t>
      </w:r>
      <w:r w:rsidRPr="00E92012">
        <w:rPr>
          <w:sz w:val="24"/>
          <w:szCs w:val="24"/>
          <w:vertAlign w:val="subscript"/>
        </w:rPr>
        <w:t>0,05;(2-1);(13-2)</w:t>
      </w:r>
      <w:r w:rsidRPr="00E92012">
        <w:rPr>
          <w:sz w:val="24"/>
          <w:szCs w:val="24"/>
        </w:rPr>
        <w:t>=4,84.</w:t>
      </w:r>
    </w:p>
    <w:p w:rsidR="00B17370" w:rsidRPr="00E92012" w:rsidRDefault="00B17370" w:rsidP="00B17370">
      <w:pPr>
        <w:spacing w:line="360" w:lineRule="auto"/>
        <w:ind w:firstLine="562"/>
        <w:contextualSpacing/>
        <w:rPr>
          <w:sz w:val="24"/>
          <w:szCs w:val="24"/>
        </w:rPr>
      </w:pPr>
      <w:r>
        <w:rPr>
          <w:sz w:val="24"/>
          <w:szCs w:val="24"/>
        </w:rPr>
        <w:t>Kadangi F = 211,01</w:t>
      </w:r>
      <w:r w:rsidRPr="00E92012">
        <w:rPr>
          <w:sz w:val="24"/>
          <w:szCs w:val="24"/>
        </w:rPr>
        <w:t xml:space="preserve"> &gt; F</w:t>
      </w:r>
      <w:r w:rsidRPr="00E92012">
        <w:rPr>
          <w:sz w:val="24"/>
          <w:szCs w:val="24"/>
          <w:vertAlign w:val="subscript"/>
        </w:rPr>
        <w:t>0,05;1;11</w:t>
      </w:r>
      <w:r w:rsidRPr="00E92012">
        <w:rPr>
          <w:sz w:val="24"/>
          <w:szCs w:val="24"/>
        </w:rPr>
        <w:t>, tai nulinė hipotezė atmetama, determinacijos koeficientas yra reikšminis.</w:t>
      </w:r>
    </w:p>
    <w:p w:rsidR="00B17370" w:rsidRPr="00E92012" w:rsidRDefault="00B17370" w:rsidP="00B17370">
      <w:pPr>
        <w:spacing w:line="360" w:lineRule="auto"/>
        <w:ind w:firstLine="562"/>
        <w:contextualSpacing/>
        <w:rPr>
          <w:sz w:val="24"/>
          <w:szCs w:val="24"/>
        </w:rPr>
      </w:pPr>
      <w:r w:rsidRPr="00E92012">
        <w:rPr>
          <w:sz w:val="24"/>
          <w:szCs w:val="24"/>
        </w:rPr>
        <w:t>Kadangi reikšmė Pr</w:t>
      </w:r>
      <w:r>
        <w:rPr>
          <w:sz w:val="24"/>
          <w:szCs w:val="24"/>
        </w:rPr>
        <w:t>ob(F-statistic)=0,00000</w:t>
      </w:r>
      <w:r w:rsidRPr="00E92012">
        <w:rPr>
          <w:sz w:val="24"/>
          <w:szCs w:val="24"/>
        </w:rPr>
        <w:t xml:space="preserve"> yra mažesnė nei nustatyta teorinė reikšmė 0,05, tai determinacijos koeficientas yra reikšminis.</w:t>
      </w:r>
    </w:p>
    <w:p w:rsidR="00B17370" w:rsidRDefault="00B17370" w:rsidP="00B17370">
      <w:pPr>
        <w:contextualSpacing/>
        <w:jc w:val="center"/>
      </w:pPr>
      <w:r>
        <w:rPr>
          <w:noProof/>
          <w:lang w:val="en-US"/>
        </w:rPr>
        <w:lastRenderedPageBreak/>
        <w:drawing>
          <wp:inline distT="0" distB="0" distL="0" distR="0">
            <wp:extent cx="3105150" cy="1590675"/>
            <wp:effectExtent l="19050" t="0" r="0" b="0"/>
            <wp:docPr id="144"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4" cstate="print"/>
                    <a:srcRect l="24879" t="24001" r="41270" b="45143"/>
                    <a:stretch>
                      <a:fillRect/>
                    </a:stretch>
                  </pic:blipFill>
                  <pic:spPr bwMode="auto">
                    <a:xfrm>
                      <a:off x="0" y="0"/>
                      <a:ext cx="3105150" cy="1590675"/>
                    </a:xfrm>
                    <a:prstGeom prst="rect">
                      <a:avLst/>
                    </a:prstGeom>
                    <a:noFill/>
                    <a:ln w="9525">
                      <a:noFill/>
                      <a:miter lim="800000"/>
                      <a:headEnd/>
                      <a:tailEnd/>
                    </a:ln>
                  </pic:spPr>
                </pic:pic>
              </a:graphicData>
            </a:graphic>
          </wp:inline>
        </w:drawing>
      </w:r>
    </w:p>
    <w:p w:rsidR="00B17370" w:rsidRPr="0073698E" w:rsidRDefault="00B17370" w:rsidP="00B17370">
      <w:pPr>
        <w:contextualSpacing/>
      </w:pPr>
      <w:r w:rsidRPr="00E92012">
        <w:br w:type="textWrapping" w:clear="all"/>
      </w:r>
      <w:r>
        <w:t xml:space="preserve">                                                </w:t>
      </w:r>
      <w:r w:rsidRPr="00043219">
        <w:t>Šaltinis: Eviews 8 programa</w:t>
      </w:r>
    </w:p>
    <w:p w:rsidR="00B17370" w:rsidRPr="00043219" w:rsidRDefault="00B17370" w:rsidP="00B17370">
      <w:pPr>
        <w:contextualSpacing/>
      </w:pPr>
    </w:p>
    <w:p w:rsidR="00B17370" w:rsidRDefault="00B17370" w:rsidP="00B17370">
      <w:pPr>
        <w:spacing w:line="360" w:lineRule="auto"/>
        <w:jc w:val="center"/>
        <w:rPr>
          <w:sz w:val="24"/>
          <w:szCs w:val="24"/>
        </w:rPr>
      </w:pPr>
      <w:r>
        <w:rPr>
          <w:sz w:val="24"/>
          <w:szCs w:val="24"/>
        </w:rPr>
        <w:t>8</w:t>
      </w:r>
      <w:r w:rsidRPr="00E92012">
        <w:rPr>
          <w:sz w:val="24"/>
          <w:szCs w:val="24"/>
        </w:rPr>
        <w:t xml:space="preserve"> pav. DTR modelio įvertinimo langas su lygties išraiška 2013 m. </w:t>
      </w:r>
    </w:p>
    <w:p w:rsidR="00B17370" w:rsidRDefault="00B17370" w:rsidP="00B17370">
      <w:pPr>
        <w:contextualSpacing/>
        <w:rPr>
          <w:sz w:val="24"/>
          <w:szCs w:val="24"/>
        </w:rPr>
      </w:pPr>
      <w:r>
        <w:rPr>
          <w:sz w:val="24"/>
          <w:szCs w:val="24"/>
        </w:rPr>
        <w:t xml:space="preserve">Pasikliautinųjų intervalų skaičiavimas: </w:t>
      </w:r>
    </w:p>
    <w:p w:rsidR="00B17370" w:rsidRDefault="00B17370" w:rsidP="00B17370">
      <w:pPr>
        <w:contextualSpacing/>
        <w:rPr>
          <w:i/>
          <w:sz w:val="24"/>
          <w:szCs w:val="24"/>
        </w:rPr>
      </w:pPr>
      <w:r w:rsidRPr="00F155AC">
        <w:rPr>
          <w:i/>
          <w:sz w:val="24"/>
          <w:szCs w:val="24"/>
        </w:rPr>
        <w:t>a = 0,05</w:t>
      </w:r>
    </w:p>
    <w:p w:rsidR="00B17370" w:rsidRDefault="00B17370" w:rsidP="00B17370">
      <w:pPr>
        <w:contextualSpacing/>
        <w:rPr>
          <w:i/>
          <w:sz w:val="24"/>
          <w:szCs w:val="24"/>
        </w:rPr>
      </w:pPr>
      <w:r>
        <w:rPr>
          <w:sz w:val="24"/>
          <w:szCs w:val="24"/>
        </w:rPr>
        <w:t>y</w:t>
      </w:r>
      <w:r>
        <w:rPr>
          <w:sz w:val="24"/>
          <w:szCs w:val="24"/>
          <w:vertAlign w:val="subscript"/>
        </w:rPr>
        <w:t>p</w:t>
      </w:r>
      <w:r>
        <w:rPr>
          <w:sz w:val="24"/>
          <w:szCs w:val="24"/>
        </w:rPr>
        <w:t>±SE(y</w:t>
      </w:r>
      <w:r>
        <w:rPr>
          <w:sz w:val="24"/>
          <w:szCs w:val="24"/>
          <w:vertAlign w:val="subscript"/>
        </w:rPr>
        <w:t>p</w:t>
      </w:r>
      <w:r>
        <w:rPr>
          <w:sz w:val="24"/>
          <w:szCs w:val="24"/>
        </w:rPr>
        <w:t>)t</w:t>
      </w:r>
      <w:r>
        <w:rPr>
          <w:sz w:val="24"/>
          <w:szCs w:val="24"/>
          <w:vertAlign w:val="subscript"/>
        </w:rPr>
        <w:t>0,05/2;13-2</w:t>
      </w:r>
      <w:r>
        <w:rPr>
          <w:sz w:val="24"/>
          <w:szCs w:val="24"/>
        </w:rPr>
        <w:t>.</w:t>
      </w:r>
    </w:p>
    <w:p w:rsidR="00B17370" w:rsidRDefault="00B17370" w:rsidP="00B17370">
      <w:pPr>
        <w:contextualSpacing/>
        <w:rPr>
          <w:i/>
          <w:sz w:val="24"/>
          <w:szCs w:val="24"/>
        </w:rPr>
      </w:pPr>
      <w:r>
        <w:rPr>
          <w:i/>
          <w:sz w:val="24"/>
          <w:szCs w:val="24"/>
        </w:rPr>
        <w:t>y</w:t>
      </w:r>
      <w:r>
        <w:rPr>
          <w:i/>
          <w:sz w:val="24"/>
          <w:szCs w:val="24"/>
          <w:vertAlign w:val="subscript"/>
        </w:rPr>
        <w:t>p</w:t>
      </w:r>
      <w:r>
        <w:rPr>
          <w:i/>
          <w:sz w:val="24"/>
          <w:szCs w:val="24"/>
        </w:rPr>
        <w:t>±529,1*2,201</w:t>
      </w:r>
    </w:p>
    <w:p w:rsidR="00B17370" w:rsidRDefault="00B17370" w:rsidP="00B17370">
      <w:pPr>
        <w:contextualSpacing/>
        <w:rPr>
          <w:i/>
          <w:sz w:val="24"/>
          <w:szCs w:val="24"/>
        </w:rPr>
      </w:pPr>
      <w:r>
        <w:rPr>
          <w:i/>
          <w:sz w:val="24"/>
          <w:szCs w:val="24"/>
        </w:rPr>
        <w:t>y</w:t>
      </w:r>
      <w:r>
        <w:rPr>
          <w:i/>
          <w:sz w:val="24"/>
          <w:szCs w:val="24"/>
          <w:vertAlign w:val="subscript"/>
        </w:rPr>
        <w:t>p</w:t>
      </w:r>
      <w:r>
        <w:rPr>
          <w:i/>
          <w:sz w:val="24"/>
          <w:szCs w:val="24"/>
        </w:rPr>
        <w:t>±1164,5</w:t>
      </w:r>
      <w:r w:rsidR="00E12FF5" w:rsidRPr="00F155AC">
        <w:rPr>
          <w:sz w:val="24"/>
          <w:szCs w:val="24"/>
        </w:rPr>
        <w:fldChar w:fldCharType="begin"/>
      </w:r>
      <w:r w:rsidRPr="00F155AC">
        <w:rPr>
          <w:sz w:val="24"/>
          <w:szCs w:val="24"/>
        </w:rPr>
        <w:instrText xml:space="preserve"> QUOTE </w:instrText>
      </w:r>
      <m:oMath>
        <m:sSub>
          <m:sSubPr>
            <m:ctrlPr>
              <w:rPr>
                <w:rFonts w:ascii="Cambria Math" w:hAnsi="Cambria Math"/>
              </w:rPr>
            </m:ctrlPr>
          </m:sSubPr>
          <m:e>
            <m:r>
              <m:rPr>
                <m:sty m:val="p"/>
              </m:rPr>
              <w:rPr>
                <w:rFonts w:ascii="Cambria Math" w:hAnsi="Cambria Math"/>
              </w:rPr>
              <m:t>t</m:t>
            </m:r>
          </m:e>
          <m:sub>
            <m:f>
              <m:fPr>
                <m:ctrlPr>
                  <w:rPr>
                    <w:rFonts w:ascii="Cambria Math" w:hAnsi="Cambria Math"/>
                  </w:rPr>
                </m:ctrlPr>
              </m:fPr>
              <m:num>
                <m:r>
                  <m:rPr>
                    <m:sty m:val="p"/>
                  </m:rPr>
                  <w:rPr>
                    <w:rFonts w:ascii="Cambria Math" w:hAnsi="Cambria Math"/>
                  </w:rPr>
                  <m:t>α</m:t>
                </m:r>
              </m:num>
              <m:den>
                <m:r>
                  <m:rPr>
                    <m:sty m:val="p"/>
                  </m:rPr>
                  <w:rPr>
                    <w:rFonts w:ascii="Cambria Math" w:hAnsi="Cambria Math"/>
                  </w:rPr>
                  <m:t>2</m:t>
                </m:r>
              </m:den>
            </m:f>
            <m:r>
              <m:rPr>
                <m:sty m:val="p"/>
              </m:rPr>
              <w:rPr>
                <w:rFonts w:ascii="Cambria Math" w:hAnsi="Cambria Math"/>
              </w:rPr>
              <m:t>;</m:t>
            </m:r>
            <m:d>
              <m:dPr>
                <m:ctrlPr>
                  <w:rPr>
                    <w:rFonts w:ascii="Cambria Math" w:hAnsi="Cambria Math"/>
                  </w:rPr>
                </m:ctrlPr>
              </m:dPr>
              <m:e>
                <m:r>
                  <m:rPr>
                    <m:sty m:val="p"/>
                  </m:rPr>
                  <w:rPr>
                    <w:rFonts w:ascii="Cambria Math" w:hAnsi="Cambria Math"/>
                  </w:rPr>
                  <m:t>n-k</m:t>
                </m:r>
              </m:e>
            </m:d>
          </m:sub>
        </m:sSub>
        <m:r>
          <m:rPr>
            <m:sty m:val="p"/>
          </m:rPr>
          <w:rPr>
            <w:rFonts w:ascii="Cambria Math" w:hAnsi="Cambria Math"/>
          </w:rPr>
          <m:t>SE</m:t>
        </m:r>
        <m:d>
          <m:dPr>
            <m:ctrlPr>
              <w:rPr>
                <w:rFonts w:ascii="Cambria Math" w:hAnsi="Cambria Math"/>
              </w:rPr>
            </m:ctrlPr>
          </m:dPr>
          <m:e>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e>
        </m:d>
      </m:oMath>
      <w:r w:rsidRPr="00F155AC">
        <w:rPr>
          <w:sz w:val="24"/>
          <w:szCs w:val="24"/>
        </w:rPr>
        <w:instrText xml:space="preserve"> </w:instrText>
      </w:r>
      <w:r w:rsidR="00E12FF5" w:rsidRPr="00F155AC">
        <w:rPr>
          <w:sz w:val="24"/>
          <w:szCs w:val="24"/>
        </w:rPr>
        <w:fldChar w:fldCharType="end"/>
      </w:r>
    </w:p>
    <w:p w:rsidR="00B17370" w:rsidRPr="00E92012" w:rsidRDefault="00B17370" w:rsidP="00B17370">
      <w:pPr>
        <w:spacing w:line="360" w:lineRule="auto"/>
        <w:jc w:val="center"/>
        <w:rPr>
          <w:sz w:val="24"/>
          <w:szCs w:val="24"/>
        </w:rPr>
      </w:pPr>
    </w:p>
    <w:p w:rsidR="00B17370" w:rsidRPr="00E92012" w:rsidRDefault="008E3920" w:rsidP="00B17370">
      <w:pPr>
        <w:spacing w:line="360" w:lineRule="auto"/>
        <w:jc w:val="center"/>
        <w:rPr>
          <w:sz w:val="24"/>
          <w:szCs w:val="24"/>
        </w:rPr>
      </w:pPr>
      <w:r>
        <w:rPr>
          <w:noProof/>
          <w:sz w:val="24"/>
          <w:szCs w:val="24"/>
          <w:lang w:val="en-US"/>
        </w:rPr>
        <w:drawing>
          <wp:inline distT="0" distB="0" distL="0" distR="0">
            <wp:extent cx="3202757" cy="1438275"/>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a:srcRect l="30128" t="30199" r="35257" b="42165"/>
                    <a:stretch>
                      <a:fillRect/>
                    </a:stretch>
                  </pic:blipFill>
                  <pic:spPr bwMode="auto">
                    <a:xfrm>
                      <a:off x="0" y="0"/>
                      <a:ext cx="3202757" cy="1438275"/>
                    </a:xfrm>
                    <a:prstGeom prst="rect">
                      <a:avLst/>
                    </a:prstGeom>
                    <a:noFill/>
                    <a:ln w="9525">
                      <a:noFill/>
                      <a:miter lim="800000"/>
                      <a:headEnd/>
                      <a:tailEnd/>
                    </a:ln>
                  </pic:spPr>
                </pic:pic>
              </a:graphicData>
            </a:graphic>
          </wp:inline>
        </w:drawing>
      </w:r>
    </w:p>
    <w:p w:rsidR="00B17370" w:rsidRDefault="00B17370" w:rsidP="00B17370">
      <w:pPr>
        <w:contextualSpacing/>
      </w:pPr>
      <w:r>
        <w:t xml:space="preserve">                                                  </w:t>
      </w:r>
      <w:r w:rsidRPr="00043219">
        <w:t>Šaltinis: Eviews 8 programa</w:t>
      </w:r>
    </w:p>
    <w:p w:rsidR="00B17370" w:rsidRPr="00043219" w:rsidRDefault="00B17370" w:rsidP="00B17370">
      <w:pPr>
        <w:contextualSpacing/>
      </w:pPr>
    </w:p>
    <w:p w:rsidR="00B17370" w:rsidRPr="00E92012" w:rsidRDefault="00B17370" w:rsidP="00B17370">
      <w:pPr>
        <w:spacing w:line="360" w:lineRule="auto"/>
        <w:jc w:val="center"/>
        <w:rPr>
          <w:sz w:val="24"/>
          <w:szCs w:val="24"/>
        </w:rPr>
      </w:pPr>
      <w:r>
        <w:rPr>
          <w:sz w:val="24"/>
          <w:szCs w:val="24"/>
        </w:rPr>
        <w:t>9</w:t>
      </w:r>
      <w:r w:rsidRPr="00E92012">
        <w:rPr>
          <w:sz w:val="24"/>
          <w:szCs w:val="24"/>
        </w:rPr>
        <w:t xml:space="preserve"> pav. DTR modelio įvertinimo langas su lygties išraiška 2014 m. prognozei</w:t>
      </w:r>
    </w:p>
    <w:p w:rsidR="00B17370" w:rsidRDefault="00B17370" w:rsidP="00B17370">
      <w:pPr>
        <w:contextualSpacing/>
        <w:rPr>
          <w:sz w:val="24"/>
          <w:szCs w:val="24"/>
        </w:rPr>
      </w:pPr>
      <w:r>
        <w:rPr>
          <w:sz w:val="24"/>
          <w:szCs w:val="24"/>
        </w:rPr>
        <w:t xml:space="preserve">Pasikliautinųjų intervalų skaičiavimas: </w:t>
      </w:r>
    </w:p>
    <w:p w:rsidR="00B17370" w:rsidRDefault="00B17370" w:rsidP="00B17370">
      <w:pPr>
        <w:contextualSpacing/>
        <w:rPr>
          <w:i/>
          <w:sz w:val="24"/>
          <w:szCs w:val="24"/>
        </w:rPr>
      </w:pPr>
      <w:r w:rsidRPr="00F155AC">
        <w:rPr>
          <w:i/>
          <w:sz w:val="24"/>
          <w:szCs w:val="24"/>
        </w:rPr>
        <w:t>a = 0,05</w:t>
      </w:r>
    </w:p>
    <w:p w:rsidR="00B17370" w:rsidRDefault="00B17370" w:rsidP="00B17370">
      <w:pPr>
        <w:contextualSpacing/>
        <w:rPr>
          <w:i/>
          <w:sz w:val="24"/>
          <w:szCs w:val="24"/>
        </w:rPr>
      </w:pPr>
      <w:r>
        <w:rPr>
          <w:sz w:val="24"/>
          <w:szCs w:val="24"/>
        </w:rPr>
        <w:t>y</w:t>
      </w:r>
      <w:r>
        <w:rPr>
          <w:sz w:val="24"/>
          <w:szCs w:val="24"/>
          <w:vertAlign w:val="subscript"/>
        </w:rPr>
        <w:t>p</w:t>
      </w:r>
      <w:r>
        <w:rPr>
          <w:sz w:val="24"/>
          <w:szCs w:val="24"/>
        </w:rPr>
        <w:t>±SE(y</w:t>
      </w:r>
      <w:r>
        <w:rPr>
          <w:sz w:val="24"/>
          <w:szCs w:val="24"/>
          <w:vertAlign w:val="subscript"/>
        </w:rPr>
        <w:t>p</w:t>
      </w:r>
      <w:r>
        <w:rPr>
          <w:sz w:val="24"/>
          <w:szCs w:val="24"/>
        </w:rPr>
        <w:t>)t</w:t>
      </w:r>
      <w:r>
        <w:rPr>
          <w:sz w:val="24"/>
          <w:szCs w:val="24"/>
          <w:vertAlign w:val="subscript"/>
        </w:rPr>
        <w:t>0,05/2;14-2</w:t>
      </w:r>
      <w:r>
        <w:rPr>
          <w:sz w:val="24"/>
          <w:szCs w:val="24"/>
        </w:rPr>
        <w:t>.</w:t>
      </w:r>
    </w:p>
    <w:p w:rsidR="00B17370" w:rsidRDefault="00B17370" w:rsidP="00B17370">
      <w:pPr>
        <w:contextualSpacing/>
        <w:rPr>
          <w:i/>
          <w:sz w:val="24"/>
          <w:szCs w:val="24"/>
        </w:rPr>
      </w:pPr>
      <w:r>
        <w:rPr>
          <w:i/>
          <w:sz w:val="24"/>
          <w:szCs w:val="24"/>
        </w:rPr>
        <w:t>y</w:t>
      </w:r>
      <w:r>
        <w:rPr>
          <w:i/>
          <w:sz w:val="24"/>
          <w:szCs w:val="24"/>
          <w:vertAlign w:val="subscript"/>
        </w:rPr>
        <w:t>p</w:t>
      </w:r>
      <w:r>
        <w:rPr>
          <w:i/>
          <w:sz w:val="24"/>
          <w:szCs w:val="24"/>
        </w:rPr>
        <w:t>±504,5*2,179</w:t>
      </w:r>
    </w:p>
    <w:p w:rsidR="00B17370" w:rsidRPr="00F155AC" w:rsidRDefault="00B17370" w:rsidP="00B17370">
      <w:pPr>
        <w:contextualSpacing/>
        <w:rPr>
          <w:i/>
          <w:sz w:val="24"/>
          <w:szCs w:val="24"/>
        </w:rPr>
      </w:pPr>
      <w:r>
        <w:rPr>
          <w:i/>
          <w:sz w:val="24"/>
          <w:szCs w:val="24"/>
        </w:rPr>
        <w:t>y</w:t>
      </w:r>
      <w:r>
        <w:rPr>
          <w:i/>
          <w:sz w:val="24"/>
          <w:szCs w:val="24"/>
          <w:vertAlign w:val="subscript"/>
        </w:rPr>
        <w:t>p</w:t>
      </w:r>
      <w:r>
        <w:rPr>
          <w:i/>
          <w:sz w:val="24"/>
          <w:szCs w:val="24"/>
        </w:rPr>
        <w:t>±1099,3</w:t>
      </w:r>
      <w:r w:rsidR="00E12FF5" w:rsidRPr="00F155AC">
        <w:rPr>
          <w:sz w:val="24"/>
          <w:szCs w:val="24"/>
        </w:rPr>
        <w:fldChar w:fldCharType="begin"/>
      </w:r>
      <w:r w:rsidRPr="00F155AC">
        <w:rPr>
          <w:sz w:val="24"/>
          <w:szCs w:val="24"/>
        </w:rPr>
        <w:instrText xml:space="preserve"> QUOTE </w:instrText>
      </w:r>
      <m:oMath>
        <m:sSub>
          <m:sSubPr>
            <m:ctrlPr>
              <w:rPr>
                <w:rFonts w:ascii="Cambria Math" w:hAnsi="Cambria Math"/>
              </w:rPr>
            </m:ctrlPr>
          </m:sSubPr>
          <m:e>
            <m:r>
              <m:rPr>
                <m:sty m:val="p"/>
              </m:rPr>
              <w:rPr>
                <w:rFonts w:ascii="Cambria Math" w:hAnsi="Cambria Math"/>
              </w:rPr>
              <m:t>t</m:t>
            </m:r>
          </m:e>
          <m:sub>
            <m:f>
              <m:fPr>
                <m:ctrlPr>
                  <w:rPr>
                    <w:rFonts w:ascii="Cambria Math" w:hAnsi="Cambria Math"/>
                  </w:rPr>
                </m:ctrlPr>
              </m:fPr>
              <m:num>
                <m:r>
                  <m:rPr>
                    <m:sty m:val="p"/>
                  </m:rPr>
                  <w:rPr>
                    <w:rFonts w:ascii="Cambria Math" w:hAnsi="Cambria Math"/>
                  </w:rPr>
                  <m:t>α</m:t>
                </m:r>
              </m:num>
              <m:den>
                <m:r>
                  <m:rPr>
                    <m:sty m:val="p"/>
                  </m:rPr>
                  <w:rPr>
                    <w:rFonts w:ascii="Cambria Math" w:hAnsi="Cambria Math"/>
                  </w:rPr>
                  <m:t>2</m:t>
                </m:r>
              </m:den>
            </m:f>
            <m:r>
              <m:rPr>
                <m:sty m:val="p"/>
              </m:rPr>
              <w:rPr>
                <w:rFonts w:ascii="Cambria Math" w:hAnsi="Cambria Math"/>
              </w:rPr>
              <m:t>;</m:t>
            </m:r>
            <m:d>
              <m:dPr>
                <m:ctrlPr>
                  <w:rPr>
                    <w:rFonts w:ascii="Cambria Math" w:hAnsi="Cambria Math"/>
                  </w:rPr>
                </m:ctrlPr>
              </m:dPr>
              <m:e>
                <m:r>
                  <m:rPr>
                    <m:sty m:val="p"/>
                  </m:rPr>
                  <w:rPr>
                    <w:rFonts w:ascii="Cambria Math" w:hAnsi="Cambria Math"/>
                  </w:rPr>
                  <m:t>n-k</m:t>
                </m:r>
              </m:e>
            </m:d>
          </m:sub>
        </m:sSub>
        <m:r>
          <m:rPr>
            <m:sty m:val="p"/>
          </m:rPr>
          <w:rPr>
            <w:rFonts w:ascii="Cambria Math" w:hAnsi="Cambria Math"/>
          </w:rPr>
          <m:t>SE</m:t>
        </m:r>
        <m:d>
          <m:dPr>
            <m:ctrlPr>
              <w:rPr>
                <w:rFonts w:ascii="Cambria Math" w:hAnsi="Cambria Math"/>
              </w:rPr>
            </m:ctrlPr>
          </m:dPr>
          <m:e>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e>
        </m:d>
      </m:oMath>
      <w:r w:rsidRPr="00F155AC">
        <w:rPr>
          <w:sz w:val="24"/>
          <w:szCs w:val="24"/>
        </w:rPr>
        <w:instrText xml:space="preserve"> </w:instrText>
      </w:r>
      <w:r w:rsidR="00E12FF5" w:rsidRPr="00F155AC">
        <w:rPr>
          <w:sz w:val="24"/>
          <w:szCs w:val="24"/>
        </w:rPr>
        <w:fldChar w:fldCharType="end"/>
      </w:r>
    </w:p>
    <w:p w:rsidR="00B17370" w:rsidRDefault="00B17370" w:rsidP="00B17370">
      <w:pPr>
        <w:tabs>
          <w:tab w:val="left" w:pos="3180"/>
        </w:tabs>
      </w:pPr>
    </w:p>
    <w:p w:rsidR="00B17370" w:rsidRDefault="00B17370" w:rsidP="00B17370">
      <w:pPr>
        <w:tabs>
          <w:tab w:val="left" w:pos="3180"/>
        </w:tabs>
      </w:pPr>
    </w:p>
    <w:p w:rsidR="00B17370" w:rsidRDefault="00B17370" w:rsidP="00B17370">
      <w:pPr>
        <w:tabs>
          <w:tab w:val="left" w:pos="3180"/>
        </w:tabs>
        <w:jc w:val="right"/>
        <w:rPr>
          <w:b/>
        </w:rPr>
      </w:pPr>
    </w:p>
    <w:p w:rsidR="00B17370" w:rsidRDefault="00B17370" w:rsidP="00B17370">
      <w:pPr>
        <w:tabs>
          <w:tab w:val="left" w:pos="3180"/>
        </w:tabs>
        <w:jc w:val="right"/>
        <w:rPr>
          <w:b/>
        </w:rPr>
      </w:pPr>
    </w:p>
    <w:p w:rsidR="00B17370" w:rsidRDefault="00B17370" w:rsidP="00B17370">
      <w:pPr>
        <w:tabs>
          <w:tab w:val="left" w:pos="3180"/>
        </w:tabs>
        <w:jc w:val="right"/>
        <w:rPr>
          <w:b/>
        </w:rPr>
      </w:pPr>
    </w:p>
    <w:p w:rsidR="00B17370" w:rsidRDefault="00B17370" w:rsidP="00B17370">
      <w:pPr>
        <w:tabs>
          <w:tab w:val="left" w:pos="3180"/>
        </w:tabs>
        <w:jc w:val="right"/>
        <w:rPr>
          <w:b/>
        </w:rPr>
      </w:pPr>
    </w:p>
    <w:p w:rsidR="00B17370" w:rsidRDefault="00B17370" w:rsidP="00B17370">
      <w:pPr>
        <w:tabs>
          <w:tab w:val="left" w:pos="3180"/>
        </w:tabs>
        <w:jc w:val="right"/>
        <w:rPr>
          <w:b/>
        </w:rPr>
      </w:pPr>
    </w:p>
    <w:p w:rsidR="00B17370" w:rsidRDefault="00B17370" w:rsidP="00B17370">
      <w:pPr>
        <w:tabs>
          <w:tab w:val="left" w:pos="3180"/>
        </w:tabs>
        <w:jc w:val="right"/>
        <w:rPr>
          <w:b/>
        </w:rPr>
      </w:pPr>
    </w:p>
    <w:p w:rsidR="00B17370" w:rsidRDefault="00B17370" w:rsidP="00B17370">
      <w:pPr>
        <w:tabs>
          <w:tab w:val="left" w:pos="3180"/>
        </w:tabs>
        <w:jc w:val="right"/>
        <w:rPr>
          <w:b/>
        </w:rPr>
      </w:pPr>
    </w:p>
    <w:p w:rsidR="00B17370" w:rsidRDefault="00B17370" w:rsidP="00B17370">
      <w:pPr>
        <w:tabs>
          <w:tab w:val="left" w:pos="3180"/>
        </w:tabs>
        <w:jc w:val="right"/>
        <w:rPr>
          <w:b/>
        </w:rPr>
      </w:pPr>
    </w:p>
    <w:p w:rsidR="00B17370" w:rsidRDefault="00B17370" w:rsidP="00B17370">
      <w:pPr>
        <w:tabs>
          <w:tab w:val="left" w:pos="3180"/>
        </w:tabs>
        <w:jc w:val="right"/>
        <w:rPr>
          <w:b/>
        </w:rPr>
      </w:pPr>
    </w:p>
    <w:p w:rsidR="008E3920" w:rsidRDefault="008E3920" w:rsidP="00B17370">
      <w:pPr>
        <w:tabs>
          <w:tab w:val="left" w:pos="3180"/>
        </w:tabs>
        <w:jc w:val="right"/>
        <w:rPr>
          <w:b/>
          <w:sz w:val="24"/>
          <w:szCs w:val="24"/>
        </w:rPr>
      </w:pPr>
    </w:p>
    <w:p w:rsidR="00B17370" w:rsidRDefault="00E639DD" w:rsidP="00B17370">
      <w:pPr>
        <w:tabs>
          <w:tab w:val="left" w:pos="3180"/>
        </w:tabs>
        <w:jc w:val="right"/>
        <w:rPr>
          <w:b/>
          <w:sz w:val="24"/>
          <w:szCs w:val="24"/>
        </w:rPr>
      </w:pPr>
      <w:r>
        <w:rPr>
          <w:b/>
          <w:sz w:val="24"/>
          <w:szCs w:val="24"/>
        </w:rPr>
        <w:lastRenderedPageBreak/>
        <w:t xml:space="preserve">  </w:t>
      </w:r>
      <w:r w:rsidR="00B17370" w:rsidRPr="00900995">
        <w:rPr>
          <w:b/>
          <w:sz w:val="24"/>
          <w:szCs w:val="24"/>
        </w:rPr>
        <w:t>10 PRIEDAS</w:t>
      </w:r>
    </w:p>
    <w:p w:rsidR="00B17370" w:rsidRPr="00900995" w:rsidRDefault="00B17370" w:rsidP="00B17370">
      <w:pPr>
        <w:tabs>
          <w:tab w:val="left" w:pos="3180"/>
        </w:tabs>
        <w:jc w:val="right"/>
        <w:rPr>
          <w:b/>
          <w:sz w:val="24"/>
          <w:szCs w:val="24"/>
        </w:rPr>
      </w:pPr>
    </w:p>
    <w:p w:rsidR="00B17370" w:rsidRDefault="00B17370" w:rsidP="00B17370">
      <w:pPr>
        <w:tabs>
          <w:tab w:val="left" w:pos="7470"/>
        </w:tabs>
        <w:jc w:val="center"/>
        <w:rPr>
          <w:b/>
          <w:sz w:val="24"/>
          <w:szCs w:val="24"/>
        </w:rPr>
      </w:pPr>
      <w:r w:rsidRPr="00900995">
        <w:rPr>
          <w:b/>
          <w:sz w:val="24"/>
          <w:szCs w:val="24"/>
        </w:rPr>
        <w:t>ESTIJOS VALSTYBĖS SKOLOS PROGNOZAVIMAS DTR MODELIU</w:t>
      </w:r>
    </w:p>
    <w:p w:rsidR="00B17370" w:rsidRPr="00900995" w:rsidRDefault="00B17370" w:rsidP="00B17370">
      <w:pPr>
        <w:tabs>
          <w:tab w:val="left" w:pos="7470"/>
        </w:tabs>
        <w:jc w:val="center"/>
        <w:rPr>
          <w:b/>
          <w:sz w:val="24"/>
          <w:szCs w:val="24"/>
        </w:rPr>
      </w:pPr>
    </w:p>
    <w:p w:rsidR="00B17370" w:rsidRPr="00E92012" w:rsidRDefault="00B17370" w:rsidP="00B17370">
      <w:pPr>
        <w:tabs>
          <w:tab w:val="left" w:pos="3180"/>
        </w:tabs>
        <w:contextualSpacing/>
        <w:jc w:val="center"/>
      </w:pPr>
      <w:r>
        <w:rPr>
          <w:noProof/>
          <w:lang w:val="en-US"/>
        </w:rPr>
        <w:drawing>
          <wp:inline distT="0" distB="0" distL="0" distR="0">
            <wp:extent cx="3019425" cy="1638300"/>
            <wp:effectExtent l="19050" t="0" r="9525" b="0"/>
            <wp:docPr id="146"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6" cstate="print"/>
                    <a:srcRect l="34831" t="41142" r="30177" b="24858"/>
                    <a:stretch>
                      <a:fillRect/>
                    </a:stretch>
                  </pic:blipFill>
                  <pic:spPr bwMode="auto">
                    <a:xfrm>
                      <a:off x="0" y="0"/>
                      <a:ext cx="3019425" cy="1638300"/>
                    </a:xfrm>
                    <a:prstGeom prst="rect">
                      <a:avLst/>
                    </a:prstGeom>
                    <a:noFill/>
                    <a:ln w="9525">
                      <a:noFill/>
                      <a:miter lim="800000"/>
                      <a:headEnd/>
                      <a:tailEnd/>
                    </a:ln>
                  </pic:spPr>
                </pic:pic>
              </a:graphicData>
            </a:graphic>
          </wp:inline>
        </w:drawing>
      </w:r>
    </w:p>
    <w:p w:rsidR="00B17370" w:rsidRDefault="00B17370" w:rsidP="00B17370">
      <w:pPr>
        <w:contextualSpacing/>
      </w:pPr>
      <w:r>
        <w:t xml:space="preserve">                                                    </w:t>
      </w:r>
      <w:r w:rsidRPr="00043219">
        <w:t>Šaltinis: Eviews 8 programa</w:t>
      </w:r>
    </w:p>
    <w:p w:rsidR="00B17370" w:rsidRPr="00043219" w:rsidRDefault="00B17370" w:rsidP="00B17370">
      <w:pPr>
        <w:contextualSpacing/>
      </w:pPr>
    </w:p>
    <w:p w:rsidR="00B17370" w:rsidRDefault="00B17370" w:rsidP="00B17370">
      <w:pPr>
        <w:tabs>
          <w:tab w:val="left" w:pos="3180"/>
        </w:tabs>
        <w:contextualSpacing/>
        <w:jc w:val="center"/>
        <w:rPr>
          <w:sz w:val="24"/>
          <w:szCs w:val="24"/>
        </w:rPr>
      </w:pPr>
      <w:r w:rsidRPr="00900995">
        <w:rPr>
          <w:sz w:val="24"/>
          <w:szCs w:val="24"/>
        </w:rPr>
        <w:t>1pav. Kintamojo</w:t>
      </w:r>
      <w:r w:rsidRPr="00E92012">
        <w:rPr>
          <w:sz w:val="24"/>
          <w:szCs w:val="24"/>
        </w:rPr>
        <w:t xml:space="preserve"> Y histograma su statstinė</w:t>
      </w:r>
      <w:r>
        <w:rPr>
          <w:sz w:val="24"/>
          <w:szCs w:val="24"/>
        </w:rPr>
        <w:t>mis charakteristikomis</w:t>
      </w:r>
    </w:p>
    <w:p w:rsidR="00B17370" w:rsidRDefault="00B17370" w:rsidP="00B17370">
      <w:pPr>
        <w:tabs>
          <w:tab w:val="left" w:pos="3180"/>
        </w:tabs>
        <w:contextualSpacing/>
        <w:jc w:val="center"/>
        <w:rPr>
          <w:sz w:val="24"/>
          <w:szCs w:val="24"/>
        </w:rPr>
      </w:pPr>
    </w:p>
    <w:p w:rsidR="00B17370" w:rsidRPr="00E92012" w:rsidRDefault="00B17370" w:rsidP="00B17370">
      <w:pPr>
        <w:tabs>
          <w:tab w:val="left" w:pos="3180"/>
        </w:tabs>
        <w:contextualSpacing/>
        <w:jc w:val="center"/>
        <w:rPr>
          <w:sz w:val="24"/>
          <w:szCs w:val="24"/>
        </w:rPr>
      </w:pPr>
      <w:r>
        <w:rPr>
          <w:noProof/>
          <w:sz w:val="24"/>
          <w:szCs w:val="24"/>
          <w:lang w:val="en-US"/>
        </w:rPr>
        <w:drawing>
          <wp:inline distT="0" distB="0" distL="0" distR="0">
            <wp:extent cx="2495550" cy="1590675"/>
            <wp:effectExtent l="19050" t="0" r="0" b="0"/>
            <wp:docPr id="147"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7" cstate="print"/>
                    <a:srcRect l="37721" t="36571" r="26805" b="23143"/>
                    <a:stretch>
                      <a:fillRect/>
                    </a:stretch>
                  </pic:blipFill>
                  <pic:spPr bwMode="auto">
                    <a:xfrm>
                      <a:off x="0" y="0"/>
                      <a:ext cx="2495550" cy="1590675"/>
                    </a:xfrm>
                    <a:prstGeom prst="rect">
                      <a:avLst/>
                    </a:prstGeom>
                    <a:noFill/>
                    <a:ln w="9525">
                      <a:noFill/>
                      <a:miter lim="800000"/>
                      <a:headEnd/>
                      <a:tailEnd/>
                    </a:ln>
                  </pic:spPr>
                </pic:pic>
              </a:graphicData>
            </a:graphic>
          </wp:inline>
        </w:drawing>
      </w:r>
    </w:p>
    <w:p w:rsidR="00B17370" w:rsidRPr="00E92012" w:rsidRDefault="00B17370" w:rsidP="00B17370">
      <w:pPr>
        <w:tabs>
          <w:tab w:val="left" w:pos="3180"/>
        </w:tabs>
        <w:contextualSpacing/>
        <w:jc w:val="center"/>
      </w:pPr>
    </w:p>
    <w:p w:rsidR="00B17370" w:rsidRDefault="00B17370" w:rsidP="00B17370">
      <w:pPr>
        <w:contextualSpacing/>
      </w:pPr>
      <w:r>
        <w:t xml:space="preserve">                                                      </w:t>
      </w:r>
      <w:r w:rsidRPr="00043219">
        <w:t>Šaltinis: Eviews 8 programa</w:t>
      </w:r>
    </w:p>
    <w:p w:rsidR="00B17370" w:rsidRDefault="00B17370" w:rsidP="00B17370">
      <w:pPr>
        <w:contextualSpacing/>
      </w:pPr>
    </w:p>
    <w:p w:rsidR="00B17370" w:rsidRPr="00900995" w:rsidRDefault="00B17370" w:rsidP="00B17370">
      <w:pPr>
        <w:tabs>
          <w:tab w:val="left" w:pos="3180"/>
        </w:tabs>
        <w:contextualSpacing/>
        <w:jc w:val="center"/>
        <w:rPr>
          <w:sz w:val="24"/>
          <w:szCs w:val="24"/>
        </w:rPr>
      </w:pPr>
      <w:r w:rsidRPr="00900995">
        <w:rPr>
          <w:sz w:val="24"/>
          <w:szCs w:val="24"/>
        </w:rPr>
        <w:t>2pav. Kintamojo X1 histograma su statstinėmis charakteristikomis</w:t>
      </w:r>
    </w:p>
    <w:p w:rsidR="00B17370" w:rsidRPr="00E92012" w:rsidRDefault="00B17370" w:rsidP="00B17370">
      <w:pPr>
        <w:tabs>
          <w:tab w:val="left" w:pos="3180"/>
        </w:tabs>
        <w:contextualSpacing/>
        <w:jc w:val="center"/>
        <w:rPr>
          <w:sz w:val="24"/>
          <w:szCs w:val="24"/>
        </w:rPr>
      </w:pPr>
    </w:p>
    <w:p w:rsidR="00B17370" w:rsidRDefault="00B17370" w:rsidP="00B17370">
      <w:pPr>
        <w:tabs>
          <w:tab w:val="left" w:pos="3180"/>
          <w:tab w:val="left" w:pos="6300"/>
        </w:tabs>
        <w:contextualSpacing/>
        <w:jc w:val="center"/>
      </w:pPr>
      <w:r>
        <w:rPr>
          <w:noProof/>
          <w:lang w:val="en-US"/>
        </w:rPr>
        <w:drawing>
          <wp:inline distT="0" distB="0" distL="0" distR="0">
            <wp:extent cx="3009900" cy="1619250"/>
            <wp:effectExtent l="19050" t="0" r="0" b="0"/>
            <wp:docPr id="148"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8" cstate="print"/>
                    <a:srcRect l="40129" t="40285" r="25040" b="26286"/>
                    <a:stretch>
                      <a:fillRect/>
                    </a:stretch>
                  </pic:blipFill>
                  <pic:spPr bwMode="auto">
                    <a:xfrm>
                      <a:off x="0" y="0"/>
                      <a:ext cx="3009900" cy="1619250"/>
                    </a:xfrm>
                    <a:prstGeom prst="rect">
                      <a:avLst/>
                    </a:prstGeom>
                    <a:noFill/>
                    <a:ln w="9525">
                      <a:noFill/>
                      <a:miter lim="800000"/>
                      <a:headEnd/>
                      <a:tailEnd/>
                    </a:ln>
                  </pic:spPr>
                </pic:pic>
              </a:graphicData>
            </a:graphic>
          </wp:inline>
        </w:drawing>
      </w:r>
    </w:p>
    <w:p w:rsidR="00B17370" w:rsidRPr="00E92012" w:rsidRDefault="00B17370" w:rsidP="00B17370">
      <w:pPr>
        <w:tabs>
          <w:tab w:val="left" w:pos="3180"/>
        </w:tabs>
        <w:contextualSpacing/>
        <w:jc w:val="center"/>
      </w:pPr>
    </w:p>
    <w:p w:rsidR="00B17370" w:rsidRDefault="00B17370" w:rsidP="00B17370">
      <w:pPr>
        <w:contextualSpacing/>
      </w:pPr>
      <w:r>
        <w:t xml:space="preserve">                                                   </w:t>
      </w:r>
      <w:r w:rsidRPr="00043219">
        <w:t>Šaltinis: Eviews 8 programa</w:t>
      </w:r>
    </w:p>
    <w:p w:rsidR="00B17370" w:rsidRDefault="00B17370" w:rsidP="00B17370">
      <w:pPr>
        <w:contextualSpacing/>
      </w:pPr>
    </w:p>
    <w:p w:rsidR="00B17370" w:rsidRDefault="00B17370" w:rsidP="00B17370">
      <w:pPr>
        <w:tabs>
          <w:tab w:val="left" w:pos="3180"/>
        </w:tabs>
        <w:contextualSpacing/>
        <w:jc w:val="center"/>
        <w:rPr>
          <w:sz w:val="24"/>
          <w:szCs w:val="24"/>
        </w:rPr>
      </w:pPr>
      <w:r w:rsidRPr="00375DBD">
        <w:rPr>
          <w:sz w:val="24"/>
          <w:szCs w:val="24"/>
        </w:rPr>
        <w:t>3pav. Kintamoj</w:t>
      </w:r>
      <w:r w:rsidRPr="00E92012">
        <w:rPr>
          <w:sz w:val="24"/>
          <w:szCs w:val="24"/>
        </w:rPr>
        <w:t>o X2 histograma su statstinėmis charakteristikomis</w:t>
      </w:r>
    </w:p>
    <w:p w:rsidR="00B17370" w:rsidRPr="00E92012" w:rsidRDefault="00B17370" w:rsidP="00B17370">
      <w:pPr>
        <w:tabs>
          <w:tab w:val="left" w:pos="3180"/>
        </w:tabs>
        <w:contextualSpacing/>
        <w:jc w:val="center"/>
      </w:pPr>
      <w:r>
        <w:rPr>
          <w:noProof/>
          <w:lang w:val="en-US"/>
        </w:rPr>
        <w:lastRenderedPageBreak/>
        <w:drawing>
          <wp:inline distT="0" distB="0" distL="0" distR="0">
            <wp:extent cx="2809875" cy="1590675"/>
            <wp:effectExtent l="19050" t="0" r="9525" b="0"/>
            <wp:docPr id="149"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9" cstate="print"/>
                    <a:srcRect l="40932" t="39790" r="23114" b="24001"/>
                    <a:stretch>
                      <a:fillRect/>
                    </a:stretch>
                  </pic:blipFill>
                  <pic:spPr bwMode="auto">
                    <a:xfrm>
                      <a:off x="0" y="0"/>
                      <a:ext cx="2809875" cy="1590675"/>
                    </a:xfrm>
                    <a:prstGeom prst="rect">
                      <a:avLst/>
                    </a:prstGeom>
                    <a:noFill/>
                    <a:ln w="9525">
                      <a:noFill/>
                      <a:miter lim="800000"/>
                      <a:headEnd/>
                      <a:tailEnd/>
                    </a:ln>
                  </pic:spPr>
                </pic:pic>
              </a:graphicData>
            </a:graphic>
          </wp:inline>
        </w:drawing>
      </w:r>
    </w:p>
    <w:p w:rsidR="00B17370" w:rsidRPr="00E92012" w:rsidRDefault="00B17370" w:rsidP="00B17370">
      <w:pPr>
        <w:tabs>
          <w:tab w:val="left" w:pos="7035"/>
        </w:tabs>
        <w:contextualSpacing/>
        <w:jc w:val="center"/>
      </w:pPr>
    </w:p>
    <w:p w:rsidR="00B17370" w:rsidRDefault="00B17370" w:rsidP="00B17370">
      <w:pPr>
        <w:contextualSpacing/>
      </w:pPr>
      <w:r>
        <w:t xml:space="preserve">                                                     </w:t>
      </w:r>
      <w:r w:rsidRPr="00043219">
        <w:t>Šaltinis: Eviews 8 programa</w:t>
      </w:r>
    </w:p>
    <w:p w:rsidR="00B17370" w:rsidRDefault="00B17370" w:rsidP="00B17370">
      <w:pPr>
        <w:contextualSpacing/>
      </w:pPr>
    </w:p>
    <w:p w:rsidR="00B17370" w:rsidRDefault="00B17370" w:rsidP="00B17370">
      <w:pPr>
        <w:tabs>
          <w:tab w:val="left" w:pos="7035"/>
        </w:tabs>
        <w:contextualSpacing/>
        <w:jc w:val="center"/>
        <w:rPr>
          <w:sz w:val="24"/>
          <w:szCs w:val="24"/>
        </w:rPr>
      </w:pPr>
      <w:r w:rsidRPr="00375DBD">
        <w:rPr>
          <w:sz w:val="24"/>
          <w:szCs w:val="24"/>
        </w:rPr>
        <w:t>4pav. Kintamojo</w:t>
      </w:r>
      <w:r w:rsidRPr="00E92012">
        <w:rPr>
          <w:sz w:val="24"/>
          <w:szCs w:val="24"/>
        </w:rPr>
        <w:t xml:space="preserve"> X3 histograma su statstinėmis cha</w:t>
      </w:r>
      <w:r>
        <w:rPr>
          <w:sz w:val="24"/>
          <w:szCs w:val="24"/>
        </w:rPr>
        <w:t>rakteristikomis</w:t>
      </w:r>
    </w:p>
    <w:p w:rsidR="00B17370" w:rsidRDefault="00B17370" w:rsidP="00B17370">
      <w:pPr>
        <w:tabs>
          <w:tab w:val="left" w:pos="7035"/>
        </w:tabs>
        <w:contextualSpacing/>
        <w:jc w:val="center"/>
        <w:rPr>
          <w:sz w:val="24"/>
          <w:szCs w:val="24"/>
        </w:rPr>
      </w:pPr>
    </w:p>
    <w:p w:rsidR="00B17370" w:rsidRDefault="00B17370" w:rsidP="00B17370">
      <w:pPr>
        <w:tabs>
          <w:tab w:val="left" w:pos="7035"/>
        </w:tabs>
        <w:contextualSpacing/>
        <w:jc w:val="center"/>
        <w:rPr>
          <w:sz w:val="24"/>
          <w:szCs w:val="24"/>
        </w:rPr>
      </w:pPr>
      <w:r>
        <w:rPr>
          <w:noProof/>
          <w:sz w:val="24"/>
          <w:szCs w:val="24"/>
          <w:lang w:val="en-US"/>
        </w:rPr>
        <w:drawing>
          <wp:inline distT="0" distB="0" distL="0" distR="0">
            <wp:extent cx="2705100" cy="1733550"/>
            <wp:effectExtent l="19050" t="0" r="0" b="0"/>
            <wp:docPr id="150"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0" cstate="print"/>
                    <a:srcRect l="44069" t="36858" r="20546" b="22858"/>
                    <a:stretch>
                      <a:fillRect/>
                    </a:stretch>
                  </pic:blipFill>
                  <pic:spPr bwMode="auto">
                    <a:xfrm>
                      <a:off x="0" y="0"/>
                      <a:ext cx="2705100" cy="1733550"/>
                    </a:xfrm>
                    <a:prstGeom prst="rect">
                      <a:avLst/>
                    </a:prstGeom>
                    <a:noFill/>
                    <a:ln w="9525">
                      <a:noFill/>
                      <a:miter lim="800000"/>
                      <a:headEnd/>
                      <a:tailEnd/>
                    </a:ln>
                  </pic:spPr>
                </pic:pic>
              </a:graphicData>
            </a:graphic>
          </wp:inline>
        </w:drawing>
      </w:r>
    </w:p>
    <w:p w:rsidR="00B17370" w:rsidRDefault="00B17370" w:rsidP="00B17370">
      <w:pPr>
        <w:contextualSpacing/>
      </w:pPr>
      <w:r>
        <w:t xml:space="preserve">                                                     </w:t>
      </w:r>
      <w:r w:rsidRPr="00043219">
        <w:t>Šaltinis: Eviews 8 programa</w:t>
      </w:r>
    </w:p>
    <w:p w:rsidR="00B17370" w:rsidRDefault="00B17370" w:rsidP="00B17370">
      <w:pPr>
        <w:contextualSpacing/>
      </w:pPr>
    </w:p>
    <w:p w:rsidR="00B17370" w:rsidRDefault="00B17370" w:rsidP="00B17370">
      <w:pPr>
        <w:tabs>
          <w:tab w:val="left" w:pos="7035"/>
        </w:tabs>
        <w:contextualSpacing/>
        <w:jc w:val="center"/>
        <w:rPr>
          <w:sz w:val="24"/>
          <w:szCs w:val="24"/>
        </w:rPr>
      </w:pPr>
      <w:r w:rsidRPr="00375DBD">
        <w:rPr>
          <w:sz w:val="24"/>
          <w:szCs w:val="24"/>
        </w:rPr>
        <w:t>5pav. Kintamojo</w:t>
      </w:r>
      <w:r>
        <w:rPr>
          <w:sz w:val="24"/>
          <w:szCs w:val="24"/>
        </w:rPr>
        <w:t xml:space="preserve"> X4</w:t>
      </w:r>
      <w:r w:rsidRPr="00E92012">
        <w:rPr>
          <w:sz w:val="24"/>
          <w:szCs w:val="24"/>
        </w:rPr>
        <w:t xml:space="preserve"> histograma su statstinėmis cha</w:t>
      </w:r>
      <w:r>
        <w:rPr>
          <w:sz w:val="24"/>
          <w:szCs w:val="24"/>
        </w:rPr>
        <w:t>rakteristikomis</w:t>
      </w:r>
    </w:p>
    <w:p w:rsidR="00B17370" w:rsidRPr="00E92012" w:rsidRDefault="00B17370" w:rsidP="00B17370">
      <w:pPr>
        <w:tabs>
          <w:tab w:val="left" w:pos="7035"/>
        </w:tabs>
        <w:contextualSpacing/>
        <w:jc w:val="center"/>
        <w:rPr>
          <w:sz w:val="24"/>
          <w:szCs w:val="24"/>
        </w:rPr>
      </w:pPr>
    </w:p>
    <w:p w:rsidR="00B17370" w:rsidRPr="00E92012" w:rsidRDefault="00B17370" w:rsidP="00B17370">
      <w:pPr>
        <w:tabs>
          <w:tab w:val="center" w:pos="4680"/>
          <w:tab w:val="left" w:pos="6855"/>
          <w:tab w:val="left" w:pos="7470"/>
        </w:tabs>
        <w:contextualSpacing/>
        <w:rPr>
          <w:sz w:val="24"/>
          <w:szCs w:val="24"/>
        </w:rPr>
      </w:pPr>
    </w:p>
    <w:p w:rsidR="00B17370" w:rsidRPr="00E92012" w:rsidRDefault="00B17370" w:rsidP="00B17370">
      <w:pPr>
        <w:tabs>
          <w:tab w:val="left" w:pos="7035"/>
        </w:tabs>
        <w:contextualSpacing/>
        <w:jc w:val="center"/>
      </w:pPr>
      <w:r>
        <w:rPr>
          <w:noProof/>
          <w:lang w:val="en-US"/>
        </w:rPr>
        <w:drawing>
          <wp:inline distT="0" distB="0" distL="0" distR="0">
            <wp:extent cx="3019425" cy="2352675"/>
            <wp:effectExtent l="19050" t="0" r="9525" b="0"/>
            <wp:docPr id="151"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1" cstate="print"/>
                    <a:srcRect l="25456" t="25143" r="37399" b="23143"/>
                    <a:stretch>
                      <a:fillRect/>
                    </a:stretch>
                  </pic:blipFill>
                  <pic:spPr bwMode="auto">
                    <a:xfrm>
                      <a:off x="0" y="0"/>
                      <a:ext cx="3019425" cy="2352675"/>
                    </a:xfrm>
                    <a:prstGeom prst="rect">
                      <a:avLst/>
                    </a:prstGeom>
                    <a:noFill/>
                    <a:ln w="9525">
                      <a:noFill/>
                      <a:miter lim="800000"/>
                      <a:headEnd/>
                      <a:tailEnd/>
                    </a:ln>
                  </pic:spPr>
                </pic:pic>
              </a:graphicData>
            </a:graphic>
          </wp:inline>
        </w:drawing>
      </w:r>
    </w:p>
    <w:p w:rsidR="00B17370" w:rsidRDefault="00B17370" w:rsidP="00B17370">
      <w:pPr>
        <w:contextualSpacing/>
      </w:pPr>
      <w:r>
        <w:t xml:space="preserve">                                                  </w:t>
      </w:r>
      <w:r w:rsidRPr="00043219">
        <w:t>Šaltinis: Eviews 8 programa</w:t>
      </w:r>
    </w:p>
    <w:p w:rsidR="00B17370" w:rsidRPr="00043219" w:rsidRDefault="00B17370" w:rsidP="00B17370">
      <w:pPr>
        <w:contextualSpacing/>
      </w:pPr>
    </w:p>
    <w:p w:rsidR="00B17370" w:rsidRPr="00E92012" w:rsidRDefault="00B17370" w:rsidP="00B17370">
      <w:pPr>
        <w:contextualSpacing/>
        <w:jc w:val="center"/>
        <w:rPr>
          <w:sz w:val="24"/>
          <w:szCs w:val="24"/>
        </w:rPr>
      </w:pPr>
      <w:r w:rsidRPr="00375DBD">
        <w:rPr>
          <w:sz w:val="24"/>
          <w:szCs w:val="24"/>
        </w:rPr>
        <w:t>6 pav. Koreliacinių</w:t>
      </w:r>
      <w:r w:rsidRPr="00E92012">
        <w:rPr>
          <w:sz w:val="24"/>
          <w:szCs w:val="24"/>
        </w:rPr>
        <w:t xml:space="preserve"> koeficientų t statistikos reikšmės</w:t>
      </w:r>
    </w:p>
    <w:p w:rsidR="00B17370" w:rsidRPr="00E92012" w:rsidRDefault="00B17370" w:rsidP="00B17370">
      <w:pPr>
        <w:tabs>
          <w:tab w:val="left" w:pos="7035"/>
        </w:tabs>
        <w:contextualSpacing/>
        <w:jc w:val="center"/>
      </w:pPr>
      <w:r>
        <w:rPr>
          <w:noProof/>
          <w:lang w:val="en-US"/>
        </w:rPr>
        <w:lastRenderedPageBreak/>
        <w:drawing>
          <wp:inline distT="0" distB="0" distL="0" distR="0">
            <wp:extent cx="3209925" cy="2552700"/>
            <wp:effectExtent l="19050" t="0" r="9525" b="0"/>
            <wp:docPr id="152"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2" cstate="print"/>
                    <a:srcRect l="31461" t="24857" r="34831" b="27715"/>
                    <a:stretch>
                      <a:fillRect/>
                    </a:stretch>
                  </pic:blipFill>
                  <pic:spPr bwMode="auto">
                    <a:xfrm>
                      <a:off x="0" y="0"/>
                      <a:ext cx="3209925" cy="2552700"/>
                    </a:xfrm>
                    <a:prstGeom prst="rect">
                      <a:avLst/>
                    </a:prstGeom>
                    <a:noFill/>
                    <a:ln w="9525">
                      <a:noFill/>
                      <a:miter lim="800000"/>
                      <a:headEnd/>
                      <a:tailEnd/>
                    </a:ln>
                  </pic:spPr>
                </pic:pic>
              </a:graphicData>
            </a:graphic>
          </wp:inline>
        </w:drawing>
      </w:r>
    </w:p>
    <w:p w:rsidR="00B17370" w:rsidRDefault="00B17370" w:rsidP="00B17370">
      <w:pPr>
        <w:contextualSpacing/>
      </w:pPr>
      <w:r>
        <w:t xml:space="preserve">                                            </w:t>
      </w:r>
      <w:r w:rsidRPr="00043219">
        <w:t>Šaltinis: Eviews 8 programa</w:t>
      </w:r>
    </w:p>
    <w:p w:rsidR="00B17370" w:rsidRPr="00043219" w:rsidRDefault="00B17370" w:rsidP="00B17370">
      <w:pPr>
        <w:contextualSpacing/>
      </w:pPr>
    </w:p>
    <w:p w:rsidR="00B17370" w:rsidRPr="00E92012" w:rsidRDefault="00B17370" w:rsidP="00B17370">
      <w:pPr>
        <w:contextualSpacing/>
        <w:jc w:val="center"/>
        <w:rPr>
          <w:sz w:val="24"/>
          <w:szCs w:val="24"/>
        </w:rPr>
      </w:pPr>
      <w:r>
        <w:rPr>
          <w:sz w:val="24"/>
          <w:szCs w:val="24"/>
        </w:rPr>
        <w:t>7 pav. D</w:t>
      </w:r>
      <w:r w:rsidRPr="00E92012">
        <w:rPr>
          <w:sz w:val="24"/>
          <w:szCs w:val="24"/>
        </w:rPr>
        <w:t>TR modelio įv</w:t>
      </w:r>
      <w:r>
        <w:rPr>
          <w:sz w:val="24"/>
          <w:szCs w:val="24"/>
        </w:rPr>
        <w:t>ertinimo langas</w:t>
      </w:r>
    </w:p>
    <w:p w:rsidR="00B17370" w:rsidRPr="00E92012" w:rsidRDefault="00B17370" w:rsidP="00B17370">
      <w:pPr>
        <w:jc w:val="center"/>
        <w:rPr>
          <w:sz w:val="24"/>
          <w:szCs w:val="24"/>
        </w:rPr>
      </w:pPr>
    </w:p>
    <w:p w:rsidR="00B17370" w:rsidRDefault="00B17370" w:rsidP="00B17370">
      <w:pPr>
        <w:spacing w:line="360" w:lineRule="auto"/>
        <w:ind w:firstLine="562"/>
        <w:contextualSpacing/>
        <w:jc w:val="center"/>
        <w:rPr>
          <w:sz w:val="24"/>
          <w:szCs w:val="24"/>
        </w:rPr>
      </w:pPr>
    </w:p>
    <w:p w:rsidR="00B17370" w:rsidRDefault="00B17370" w:rsidP="00B17370">
      <w:pPr>
        <w:spacing w:line="360" w:lineRule="auto"/>
        <w:ind w:firstLine="562"/>
        <w:contextualSpacing/>
        <w:jc w:val="center"/>
        <w:rPr>
          <w:sz w:val="24"/>
          <w:szCs w:val="24"/>
        </w:rPr>
      </w:pPr>
      <w:r>
        <w:rPr>
          <w:sz w:val="24"/>
          <w:szCs w:val="24"/>
        </w:rPr>
        <w:t>Sudaryto D</w:t>
      </w:r>
      <w:r w:rsidRPr="00E92012">
        <w:rPr>
          <w:sz w:val="24"/>
          <w:szCs w:val="24"/>
        </w:rPr>
        <w:t>TR modelio reikšmingumo tikrinimas</w:t>
      </w:r>
    </w:p>
    <w:p w:rsidR="00B17370" w:rsidRPr="00E92012" w:rsidRDefault="00B17370" w:rsidP="00B17370">
      <w:pPr>
        <w:spacing w:line="360" w:lineRule="auto"/>
        <w:ind w:firstLine="562"/>
        <w:contextualSpacing/>
        <w:jc w:val="center"/>
        <w:rPr>
          <w:sz w:val="24"/>
          <w:szCs w:val="24"/>
        </w:rPr>
      </w:pPr>
    </w:p>
    <w:p w:rsidR="00B17370" w:rsidRPr="00E92012" w:rsidRDefault="00B17370" w:rsidP="00B17370">
      <w:pPr>
        <w:spacing w:line="360" w:lineRule="auto"/>
        <w:ind w:firstLine="562"/>
        <w:contextualSpacing/>
        <w:rPr>
          <w:i/>
          <w:sz w:val="24"/>
          <w:szCs w:val="24"/>
        </w:rPr>
      </w:pPr>
      <w:r w:rsidRPr="00E92012">
        <w:rPr>
          <w:i/>
          <w:sz w:val="24"/>
          <w:szCs w:val="24"/>
        </w:rPr>
        <w:t>Polinkių reikšmingumo tikrinimas</w:t>
      </w:r>
    </w:p>
    <w:p w:rsidR="00B17370" w:rsidRPr="00E92012" w:rsidRDefault="00B17370" w:rsidP="00B17370">
      <w:pPr>
        <w:spacing w:line="360" w:lineRule="auto"/>
        <w:ind w:firstLine="562"/>
        <w:contextualSpacing/>
        <w:rPr>
          <w:sz w:val="24"/>
          <w:szCs w:val="24"/>
        </w:rPr>
      </w:pPr>
      <w:r w:rsidRPr="00E92012">
        <w:rPr>
          <w:sz w:val="24"/>
          <w:szCs w:val="24"/>
        </w:rPr>
        <w:t>Apskaičiuota b</w:t>
      </w:r>
      <w:r w:rsidRPr="00E92012">
        <w:rPr>
          <w:sz w:val="24"/>
          <w:szCs w:val="24"/>
          <w:vertAlign w:val="subscript"/>
        </w:rPr>
        <w:t xml:space="preserve">2 </w:t>
      </w:r>
      <w:r w:rsidRPr="00E92012">
        <w:rPr>
          <w:sz w:val="24"/>
          <w:szCs w:val="24"/>
        </w:rPr>
        <w:t>t statisti</w:t>
      </w:r>
      <w:r>
        <w:rPr>
          <w:sz w:val="24"/>
          <w:szCs w:val="24"/>
        </w:rPr>
        <w:t>kos reikšmė t =  4,38</w:t>
      </w:r>
      <w:r w:rsidRPr="00E92012">
        <w:rPr>
          <w:sz w:val="24"/>
          <w:szCs w:val="24"/>
        </w:rPr>
        <w:t>, o b</w:t>
      </w:r>
      <w:r w:rsidRPr="00E92012">
        <w:rPr>
          <w:sz w:val="24"/>
          <w:szCs w:val="24"/>
          <w:vertAlign w:val="subscript"/>
        </w:rPr>
        <w:t xml:space="preserve">3 </w:t>
      </w:r>
      <w:r>
        <w:rPr>
          <w:sz w:val="24"/>
          <w:szCs w:val="24"/>
        </w:rPr>
        <w:t>t  statistikos reikšmė t = 2,30</w:t>
      </w:r>
    </w:p>
    <w:p w:rsidR="00B17370" w:rsidRPr="00E92012" w:rsidRDefault="00B17370" w:rsidP="00B17370">
      <w:pPr>
        <w:spacing w:line="360" w:lineRule="auto"/>
        <w:ind w:firstLine="562"/>
        <w:contextualSpacing/>
        <w:rPr>
          <w:sz w:val="24"/>
          <w:szCs w:val="24"/>
        </w:rPr>
      </w:pPr>
      <w:r w:rsidRPr="00E92012">
        <w:rPr>
          <w:sz w:val="24"/>
          <w:szCs w:val="24"/>
        </w:rPr>
        <w:t>Remiantis Stjudento kriterijumi, teorinė t statistikos reikšmė: t</w:t>
      </w:r>
      <w:r w:rsidRPr="00E92012">
        <w:rPr>
          <w:sz w:val="24"/>
          <w:szCs w:val="24"/>
          <w:vertAlign w:val="subscript"/>
        </w:rPr>
        <w:t>α/2;(n-2)</w:t>
      </w:r>
      <w:r w:rsidRPr="00E92012">
        <w:rPr>
          <w:sz w:val="24"/>
          <w:szCs w:val="24"/>
        </w:rPr>
        <w:t>=t</w:t>
      </w:r>
      <w:r w:rsidRPr="00E92012">
        <w:rPr>
          <w:sz w:val="24"/>
          <w:szCs w:val="24"/>
          <w:vertAlign w:val="subscript"/>
        </w:rPr>
        <w:t>0,05/2;(13-2)</w:t>
      </w:r>
      <w:r w:rsidRPr="00E92012">
        <w:rPr>
          <w:sz w:val="24"/>
          <w:szCs w:val="24"/>
        </w:rPr>
        <w:t>=2,201</w:t>
      </w:r>
    </w:p>
    <w:p w:rsidR="00B17370" w:rsidRPr="00E92012" w:rsidRDefault="00B17370" w:rsidP="00B17370">
      <w:pPr>
        <w:spacing w:line="360" w:lineRule="auto"/>
        <w:ind w:firstLine="562"/>
        <w:contextualSpacing/>
        <w:rPr>
          <w:noProof/>
          <w:sz w:val="24"/>
          <w:szCs w:val="24"/>
        </w:rPr>
      </w:pPr>
      <w:r w:rsidRPr="00E92012">
        <w:rPr>
          <w:sz w:val="24"/>
          <w:szCs w:val="24"/>
        </w:rPr>
        <w:t xml:space="preserve">Kadangi  </w:t>
      </w:r>
      <w:r w:rsidRPr="00E92012">
        <w:rPr>
          <w:noProof/>
          <w:sz w:val="24"/>
          <w:szCs w:val="24"/>
        </w:rPr>
        <w:t>| t</w:t>
      </w:r>
      <w:r w:rsidRPr="00E92012">
        <w:rPr>
          <w:noProof/>
          <w:sz w:val="24"/>
          <w:szCs w:val="24"/>
          <w:vertAlign w:val="subscript"/>
        </w:rPr>
        <w:t>b2</w:t>
      </w:r>
      <w:r w:rsidRPr="00E92012">
        <w:rPr>
          <w:noProof/>
          <w:sz w:val="24"/>
          <w:szCs w:val="24"/>
        </w:rPr>
        <w:t xml:space="preserve"> | = </w:t>
      </w:r>
      <w:r w:rsidRPr="00E92012">
        <w:rPr>
          <w:sz w:val="24"/>
          <w:szCs w:val="24"/>
        </w:rPr>
        <w:t xml:space="preserve">  </w:t>
      </w:r>
      <w:r>
        <w:rPr>
          <w:noProof/>
          <w:sz w:val="24"/>
          <w:szCs w:val="24"/>
        </w:rPr>
        <w:t>| 4,31</w:t>
      </w:r>
      <w:r w:rsidRPr="00E92012">
        <w:rPr>
          <w:noProof/>
          <w:sz w:val="24"/>
          <w:szCs w:val="24"/>
        </w:rPr>
        <w:t>| &gt; 2,201,</w:t>
      </w:r>
      <w:r w:rsidRPr="00E92012">
        <w:rPr>
          <w:sz w:val="24"/>
          <w:szCs w:val="24"/>
        </w:rPr>
        <w:t xml:space="preserve"> o </w:t>
      </w:r>
      <w:r w:rsidRPr="00E92012">
        <w:rPr>
          <w:noProof/>
          <w:sz w:val="24"/>
          <w:szCs w:val="24"/>
        </w:rPr>
        <w:t>| t</w:t>
      </w:r>
      <w:r w:rsidRPr="00E92012">
        <w:rPr>
          <w:noProof/>
          <w:sz w:val="24"/>
          <w:szCs w:val="24"/>
          <w:vertAlign w:val="subscript"/>
        </w:rPr>
        <w:t>b3</w:t>
      </w:r>
      <w:r w:rsidRPr="00E92012">
        <w:rPr>
          <w:noProof/>
          <w:sz w:val="24"/>
          <w:szCs w:val="24"/>
        </w:rPr>
        <w:t xml:space="preserve"> | = </w:t>
      </w:r>
      <w:r w:rsidRPr="00E92012">
        <w:rPr>
          <w:sz w:val="24"/>
          <w:szCs w:val="24"/>
        </w:rPr>
        <w:t xml:space="preserve">  </w:t>
      </w:r>
      <w:r>
        <w:rPr>
          <w:noProof/>
          <w:sz w:val="24"/>
          <w:szCs w:val="24"/>
        </w:rPr>
        <w:t>| 2,3</w:t>
      </w:r>
      <w:r w:rsidRPr="00E92012">
        <w:rPr>
          <w:noProof/>
          <w:sz w:val="24"/>
          <w:szCs w:val="24"/>
        </w:rPr>
        <w:t>| &gt; 2,201, tai nulinė hipotezė atmetama. Tai rodo, jog polinkiai yra reikšminiai.</w:t>
      </w:r>
    </w:p>
    <w:p w:rsidR="00B17370" w:rsidRPr="00E92012" w:rsidRDefault="00B17370" w:rsidP="00B17370">
      <w:pPr>
        <w:spacing w:line="360" w:lineRule="auto"/>
        <w:ind w:firstLine="562"/>
        <w:contextualSpacing/>
        <w:rPr>
          <w:noProof/>
          <w:sz w:val="24"/>
          <w:szCs w:val="24"/>
        </w:rPr>
      </w:pPr>
      <w:r w:rsidRPr="00E92012">
        <w:rPr>
          <w:noProof/>
          <w:sz w:val="24"/>
          <w:szCs w:val="24"/>
        </w:rPr>
        <w:t>Apaskaičiuotos tikimybės esant koeficientams c(2</w:t>
      </w:r>
      <w:r>
        <w:rPr>
          <w:noProof/>
          <w:sz w:val="24"/>
          <w:szCs w:val="24"/>
        </w:rPr>
        <w:t>) ir c(3) yra atitinkamai 0,0015 ir 0,0440</w:t>
      </w:r>
      <w:r w:rsidRPr="00E92012">
        <w:rPr>
          <w:noProof/>
          <w:sz w:val="24"/>
          <w:szCs w:val="24"/>
        </w:rPr>
        <w:t>. Jos yra mažesnės nei nustatytos reikšmės 0,05, todėl polinkiai yra reikšminiai.</w:t>
      </w:r>
    </w:p>
    <w:p w:rsidR="00B17370" w:rsidRPr="00E92012" w:rsidRDefault="00B17370" w:rsidP="00B17370">
      <w:pPr>
        <w:spacing w:line="360" w:lineRule="auto"/>
        <w:ind w:firstLine="562"/>
        <w:contextualSpacing/>
        <w:rPr>
          <w:i/>
          <w:noProof/>
          <w:sz w:val="24"/>
          <w:szCs w:val="24"/>
        </w:rPr>
      </w:pPr>
      <w:r w:rsidRPr="00E92012">
        <w:rPr>
          <w:i/>
          <w:noProof/>
          <w:sz w:val="24"/>
          <w:szCs w:val="24"/>
        </w:rPr>
        <w:t>Determinacijos koeficiento R</w:t>
      </w:r>
      <w:r w:rsidRPr="00E92012">
        <w:rPr>
          <w:i/>
          <w:noProof/>
          <w:sz w:val="24"/>
          <w:szCs w:val="24"/>
          <w:vertAlign w:val="superscript"/>
        </w:rPr>
        <w:t>2</w:t>
      </w:r>
      <w:r w:rsidRPr="00E92012">
        <w:rPr>
          <w:i/>
          <w:noProof/>
          <w:sz w:val="24"/>
          <w:szCs w:val="24"/>
        </w:rPr>
        <w:t xml:space="preserve"> reikšmingumo tikrinimas.</w:t>
      </w:r>
    </w:p>
    <w:p w:rsidR="00B17370" w:rsidRPr="00E92012" w:rsidRDefault="00B17370" w:rsidP="00B17370">
      <w:pPr>
        <w:spacing w:line="360" w:lineRule="auto"/>
        <w:ind w:firstLine="562"/>
        <w:contextualSpacing/>
        <w:rPr>
          <w:sz w:val="24"/>
          <w:szCs w:val="24"/>
        </w:rPr>
      </w:pPr>
      <w:r w:rsidRPr="00E92012">
        <w:rPr>
          <w:sz w:val="24"/>
          <w:szCs w:val="24"/>
        </w:rPr>
        <w:t>Apskaičiuo</w:t>
      </w:r>
      <w:r>
        <w:rPr>
          <w:sz w:val="24"/>
          <w:szCs w:val="24"/>
        </w:rPr>
        <w:t>ta F statistikos reikšmė F=13,76</w:t>
      </w:r>
    </w:p>
    <w:p w:rsidR="00B17370" w:rsidRPr="00E92012" w:rsidRDefault="00B17370" w:rsidP="00B17370">
      <w:pPr>
        <w:spacing w:line="360" w:lineRule="auto"/>
        <w:ind w:firstLine="562"/>
        <w:contextualSpacing/>
        <w:rPr>
          <w:sz w:val="24"/>
          <w:szCs w:val="24"/>
          <w:vertAlign w:val="subscript"/>
        </w:rPr>
      </w:pPr>
      <w:r w:rsidRPr="00E92012">
        <w:rPr>
          <w:sz w:val="24"/>
          <w:szCs w:val="24"/>
        </w:rPr>
        <w:t>Teorinė F kriterijaus reikšmė F</w:t>
      </w:r>
      <w:r w:rsidRPr="00E92012">
        <w:rPr>
          <w:sz w:val="24"/>
          <w:szCs w:val="24"/>
          <w:vertAlign w:val="subscript"/>
        </w:rPr>
        <w:t>α;(k-1);(n-k).</w:t>
      </w:r>
    </w:p>
    <w:p w:rsidR="00B17370" w:rsidRPr="00E92012" w:rsidRDefault="00B17370" w:rsidP="00B17370">
      <w:pPr>
        <w:spacing w:line="360" w:lineRule="auto"/>
        <w:ind w:firstLine="562"/>
        <w:contextualSpacing/>
        <w:rPr>
          <w:sz w:val="24"/>
          <w:szCs w:val="24"/>
        </w:rPr>
      </w:pPr>
      <w:r w:rsidRPr="00E92012">
        <w:rPr>
          <w:sz w:val="24"/>
          <w:szCs w:val="24"/>
        </w:rPr>
        <w:t>F</w:t>
      </w:r>
      <w:r w:rsidRPr="00E92012">
        <w:rPr>
          <w:sz w:val="24"/>
          <w:szCs w:val="24"/>
          <w:vertAlign w:val="subscript"/>
        </w:rPr>
        <w:t>0,05;(2-1);(13-2)</w:t>
      </w:r>
      <w:r w:rsidRPr="00E92012">
        <w:rPr>
          <w:sz w:val="24"/>
          <w:szCs w:val="24"/>
        </w:rPr>
        <w:t>=4,84.</w:t>
      </w:r>
    </w:p>
    <w:p w:rsidR="00B17370" w:rsidRPr="00E92012" w:rsidRDefault="00B17370" w:rsidP="00B17370">
      <w:pPr>
        <w:spacing w:line="360" w:lineRule="auto"/>
        <w:ind w:firstLine="562"/>
        <w:contextualSpacing/>
        <w:rPr>
          <w:sz w:val="24"/>
          <w:szCs w:val="24"/>
        </w:rPr>
      </w:pPr>
      <w:r>
        <w:rPr>
          <w:sz w:val="24"/>
          <w:szCs w:val="24"/>
        </w:rPr>
        <w:t>Kadangi F = 13,76</w:t>
      </w:r>
      <w:r w:rsidRPr="00E92012">
        <w:rPr>
          <w:sz w:val="24"/>
          <w:szCs w:val="24"/>
        </w:rPr>
        <w:t xml:space="preserve"> &gt; F</w:t>
      </w:r>
      <w:r w:rsidRPr="00E92012">
        <w:rPr>
          <w:sz w:val="24"/>
          <w:szCs w:val="24"/>
          <w:vertAlign w:val="subscript"/>
        </w:rPr>
        <w:t>0,05;1;11</w:t>
      </w:r>
      <w:r w:rsidRPr="00E92012">
        <w:rPr>
          <w:sz w:val="24"/>
          <w:szCs w:val="24"/>
        </w:rPr>
        <w:t>, tai nulinė hipotezė atmetama, determinacijos koeficientas yra reikšminis.</w:t>
      </w:r>
    </w:p>
    <w:p w:rsidR="00B17370" w:rsidRPr="00E92012" w:rsidRDefault="00B17370" w:rsidP="00B17370">
      <w:pPr>
        <w:spacing w:line="360" w:lineRule="auto"/>
        <w:ind w:firstLine="562"/>
        <w:contextualSpacing/>
        <w:rPr>
          <w:sz w:val="24"/>
          <w:szCs w:val="24"/>
        </w:rPr>
      </w:pPr>
      <w:r w:rsidRPr="00E92012">
        <w:rPr>
          <w:sz w:val="24"/>
          <w:szCs w:val="24"/>
        </w:rPr>
        <w:t>Kadangi reikšmė Pr</w:t>
      </w:r>
      <w:r>
        <w:rPr>
          <w:sz w:val="24"/>
          <w:szCs w:val="24"/>
        </w:rPr>
        <w:t>ob(F-statistic)=0,001344</w:t>
      </w:r>
      <w:r w:rsidRPr="00E92012">
        <w:rPr>
          <w:sz w:val="24"/>
          <w:szCs w:val="24"/>
        </w:rPr>
        <w:t xml:space="preserve"> yra mažesnė nei nustatyta teorinė reikšmė 0,05, tai determinacijos koeficientas yra reikšminis.</w:t>
      </w:r>
    </w:p>
    <w:p w:rsidR="00B17370" w:rsidRPr="00E92012" w:rsidRDefault="00862D1B" w:rsidP="00B17370">
      <w:pPr>
        <w:jc w:val="center"/>
        <w:rPr>
          <w:sz w:val="24"/>
          <w:szCs w:val="24"/>
        </w:rPr>
      </w:pPr>
      <w:r>
        <w:rPr>
          <w:noProof/>
          <w:sz w:val="24"/>
          <w:szCs w:val="24"/>
          <w:lang w:val="en-US"/>
        </w:rPr>
        <w:lastRenderedPageBreak/>
        <w:drawing>
          <wp:inline distT="0" distB="0" distL="0" distR="0">
            <wp:extent cx="2986087" cy="1543050"/>
            <wp:effectExtent l="19050" t="0" r="4763"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3"/>
                    <a:srcRect l="34455" t="27943" r="32051" b="41262"/>
                    <a:stretch>
                      <a:fillRect/>
                    </a:stretch>
                  </pic:blipFill>
                  <pic:spPr bwMode="auto">
                    <a:xfrm>
                      <a:off x="0" y="0"/>
                      <a:ext cx="2990341" cy="1545248"/>
                    </a:xfrm>
                    <a:prstGeom prst="rect">
                      <a:avLst/>
                    </a:prstGeom>
                    <a:noFill/>
                    <a:ln w="9525">
                      <a:noFill/>
                      <a:miter lim="800000"/>
                      <a:headEnd/>
                      <a:tailEnd/>
                    </a:ln>
                  </pic:spPr>
                </pic:pic>
              </a:graphicData>
            </a:graphic>
          </wp:inline>
        </w:drawing>
      </w:r>
    </w:p>
    <w:p w:rsidR="00B17370" w:rsidRDefault="00B17370" w:rsidP="00B17370">
      <w:pPr>
        <w:contextualSpacing/>
      </w:pPr>
      <w:r>
        <w:t xml:space="preserve">                                           </w:t>
      </w:r>
      <w:r w:rsidRPr="00043219">
        <w:t>Šaltinis: Eviews 8 programa</w:t>
      </w:r>
    </w:p>
    <w:p w:rsidR="00B17370" w:rsidRPr="00043219" w:rsidRDefault="00B17370" w:rsidP="00B17370">
      <w:pPr>
        <w:contextualSpacing/>
      </w:pPr>
    </w:p>
    <w:p w:rsidR="00B17370" w:rsidRDefault="00B17370" w:rsidP="00B17370">
      <w:pPr>
        <w:tabs>
          <w:tab w:val="left" w:pos="5235"/>
        </w:tabs>
        <w:jc w:val="center"/>
        <w:rPr>
          <w:sz w:val="24"/>
          <w:szCs w:val="24"/>
        </w:rPr>
      </w:pPr>
      <w:r>
        <w:rPr>
          <w:sz w:val="24"/>
          <w:szCs w:val="24"/>
        </w:rPr>
        <w:t>8 pav. D</w:t>
      </w:r>
      <w:r w:rsidRPr="00E92012">
        <w:rPr>
          <w:sz w:val="24"/>
          <w:szCs w:val="24"/>
        </w:rPr>
        <w:t>TR modelio įvertinimo langas su lygties išraiška 2013 m. prognozei</w:t>
      </w:r>
    </w:p>
    <w:p w:rsidR="00B17370" w:rsidRDefault="00B17370" w:rsidP="00B17370">
      <w:pPr>
        <w:tabs>
          <w:tab w:val="left" w:pos="5235"/>
        </w:tabs>
        <w:jc w:val="center"/>
        <w:rPr>
          <w:sz w:val="24"/>
          <w:szCs w:val="24"/>
        </w:rPr>
      </w:pPr>
    </w:p>
    <w:p w:rsidR="00B17370" w:rsidRDefault="00B17370" w:rsidP="00B17370">
      <w:pPr>
        <w:contextualSpacing/>
        <w:rPr>
          <w:sz w:val="24"/>
          <w:szCs w:val="24"/>
        </w:rPr>
      </w:pPr>
      <w:r>
        <w:rPr>
          <w:sz w:val="24"/>
          <w:szCs w:val="24"/>
        </w:rPr>
        <w:t xml:space="preserve">Pasikliautinųjų intervalų skaičiavimas: </w:t>
      </w:r>
    </w:p>
    <w:p w:rsidR="00B17370" w:rsidRDefault="00B17370" w:rsidP="00B17370">
      <w:pPr>
        <w:contextualSpacing/>
        <w:rPr>
          <w:i/>
          <w:sz w:val="24"/>
          <w:szCs w:val="24"/>
        </w:rPr>
      </w:pPr>
      <w:r w:rsidRPr="00F155AC">
        <w:rPr>
          <w:i/>
          <w:sz w:val="24"/>
          <w:szCs w:val="24"/>
        </w:rPr>
        <w:t>a = 0,05</w:t>
      </w:r>
    </w:p>
    <w:p w:rsidR="00B17370" w:rsidRDefault="00B17370" w:rsidP="00B17370">
      <w:pPr>
        <w:contextualSpacing/>
        <w:rPr>
          <w:i/>
          <w:sz w:val="24"/>
          <w:szCs w:val="24"/>
        </w:rPr>
      </w:pPr>
      <w:r>
        <w:rPr>
          <w:sz w:val="24"/>
          <w:szCs w:val="24"/>
        </w:rPr>
        <w:t>y</w:t>
      </w:r>
      <w:r>
        <w:rPr>
          <w:sz w:val="24"/>
          <w:szCs w:val="24"/>
          <w:vertAlign w:val="subscript"/>
        </w:rPr>
        <w:t>p</w:t>
      </w:r>
      <w:r>
        <w:rPr>
          <w:sz w:val="24"/>
          <w:szCs w:val="24"/>
        </w:rPr>
        <w:t>±SE(y</w:t>
      </w:r>
      <w:r>
        <w:rPr>
          <w:sz w:val="24"/>
          <w:szCs w:val="24"/>
          <w:vertAlign w:val="subscript"/>
        </w:rPr>
        <w:t>p</w:t>
      </w:r>
      <w:r>
        <w:rPr>
          <w:sz w:val="24"/>
          <w:szCs w:val="24"/>
        </w:rPr>
        <w:t>)t</w:t>
      </w:r>
      <w:r>
        <w:rPr>
          <w:sz w:val="24"/>
          <w:szCs w:val="24"/>
          <w:vertAlign w:val="subscript"/>
        </w:rPr>
        <w:t>0,05/2;13-2</w:t>
      </w:r>
      <w:r>
        <w:rPr>
          <w:sz w:val="24"/>
          <w:szCs w:val="24"/>
        </w:rPr>
        <w:t>.</w:t>
      </w:r>
    </w:p>
    <w:p w:rsidR="00B17370" w:rsidRDefault="00B17370" w:rsidP="00B17370">
      <w:pPr>
        <w:contextualSpacing/>
        <w:rPr>
          <w:i/>
          <w:sz w:val="24"/>
          <w:szCs w:val="24"/>
        </w:rPr>
      </w:pPr>
      <w:r>
        <w:rPr>
          <w:i/>
          <w:sz w:val="24"/>
          <w:szCs w:val="24"/>
        </w:rPr>
        <w:t>y</w:t>
      </w:r>
      <w:r>
        <w:rPr>
          <w:i/>
          <w:sz w:val="24"/>
          <w:szCs w:val="24"/>
          <w:vertAlign w:val="subscript"/>
        </w:rPr>
        <w:t>p</w:t>
      </w:r>
      <w:r>
        <w:rPr>
          <w:i/>
          <w:sz w:val="24"/>
          <w:szCs w:val="24"/>
        </w:rPr>
        <w:t>±216,2*2,201</w:t>
      </w:r>
    </w:p>
    <w:p w:rsidR="00B17370" w:rsidRDefault="00B17370" w:rsidP="00B17370">
      <w:pPr>
        <w:contextualSpacing/>
        <w:rPr>
          <w:i/>
          <w:sz w:val="24"/>
          <w:szCs w:val="24"/>
        </w:rPr>
      </w:pPr>
      <w:r>
        <w:rPr>
          <w:i/>
          <w:sz w:val="24"/>
          <w:szCs w:val="24"/>
        </w:rPr>
        <w:t>y</w:t>
      </w:r>
      <w:r>
        <w:rPr>
          <w:i/>
          <w:sz w:val="24"/>
          <w:szCs w:val="24"/>
          <w:vertAlign w:val="subscript"/>
        </w:rPr>
        <w:t>p</w:t>
      </w:r>
      <w:r>
        <w:rPr>
          <w:i/>
          <w:sz w:val="24"/>
          <w:szCs w:val="24"/>
        </w:rPr>
        <w:t>±475,9</w:t>
      </w:r>
      <w:r w:rsidR="00E12FF5" w:rsidRPr="00F155AC">
        <w:rPr>
          <w:sz w:val="24"/>
          <w:szCs w:val="24"/>
        </w:rPr>
        <w:fldChar w:fldCharType="begin"/>
      </w:r>
      <w:r w:rsidRPr="00F155AC">
        <w:rPr>
          <w:sz w:val="24"/>
          <w:szCs w:val="24"/>
        </w:rPr>
        <w:instrText xml:space="preserve"> QUOTE </w:instrText>
      </w:r>
      <m:oMath>
        <m:sSub>
          <m:sSubPr>
            <m:ctrlPr>
              <w:rPr>
                <w:rFonts w:ascii="Cambria Math" w:hAnsi="Cambria Math"/>
              </w:rPr>
            </m:ctrlPr>
          </m:sSubPr>
          <m:e>
            <m:r>
              <m:rPr>
                <m:sty m:val="p"/>
              </m:rPr>
              <w:rPr>
                <w:rFonts w:ascii="Cambria Math" w:hAnsi="Cambria Math"/>
              </w:rPr>
              <m:t>t</m:t>
            </m:r>
          </m:e>
          <m:sub>
            <m:f>
              <m:fPr>
                <m:ctrlPr>
                  <w:rPr>
                    <w:rFonts w:ascii="Cambria Math" w:hAnsi="Cambria Math"/>
                  </w:rPr>
                </m:ctrlPr>
              </m:fPr>
              <m:num>
                <m:r>
                  <m:rPr>
                    <m:sty m:val="p"/>
                  </m:rPr>
                  <w:rPr>
                    <w:rFonts w:ascii="Cambria Math" w:hAnsi="Cambria Math"/>
                  </w:rPr>
                  <m:t>α</m:t>
                </m:r>
              </m:num>
              <m:den>
                <m:r>
                  <m:rPr>
                    <m:sty m:val="p"/>
                  </m:rPr>
                  <w:rPr>
                    <w:rFonts w:ascii="Cambria Math" w:hAnsi="Cambria Math"/>
                  </w:rPr>
                  <m:t>2</m:t>
                </m:r>
              </m:den>
            </m:f>
            <m:r>
              <m:rPr>
                <m:sty m:val="p"/>
              </m:rPr>
              <w:rPr>
                <w:rFonts w:ascii="Cambria Math" w:hAnsi="Cambria Math"/>
              </w:rPr>
              <m:t>;</m:t>
            </m:r>
            <m:d>
              <m:dPr>
                <m:ctrlPr>
                  <w:rPr>
                    <w:rFonts w:ascii="Cambria Math" w:hAnsi="Cambria Math"/>
                  </w:rPr>
                </m:ctrlPr>
              </m:dPr>
              <m:e>
                <m:r>
                  <m:rPr>
                    <m:sty m:val="p"/>
                  </m:rPr>
                  <w:rPr>
                    <w:rFonts w:ascii="Cambria Math" w:hAnsi="Cambria Math"/>
                  </w:rPr>
                  <m:t>n-k</m:t>
                </m:r>
              </m:e>
            </m:d>
          </m:sub>
        </m:sSub>
        <m:r>
          <m:rPr>
            <m:sty m:val="p"/>
          </m:rPr>
          <w:rPr>
            <w:rFonts w:ascii="Cambria Math" w:hAnsi="Cambria Math"/>
          </w:rPr>
          <m:t>SE</m:t>
        </m:r>
        <m:d>
          <m:dPr>
            <m:ctrlPr>
              <w:rPr>
                <w:rFonts w:ascii="Cambria Math" w:hAnsi="Cambria Math"/>
              </w:rPr>
            </m:ctrlPr>
          </m:dPr>
          <m:e>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e>
        </m:d>
      </m:oMath>
      <w:r w:rsidRPr="00F155AC">
        <w:rPr>
          <w:sz w:val="24"/>
          <w:szCs w:val="24"/>
        </w:rPr>
        <w:instrText xml:space="preserve"> </w:instrText>
      </w:r>
      <w:r w:rsidR="00E12FF5" w:rsidRPr="00F155AC">
        <w:rPr>
          <w:sz w:val="24"/>
          <w:szCs w:val="24"/>
        </w:rPr>
        <w:fldChar w:fldCharType="end"/>
      </w:r>
    </w:p>
    <w:p w:rsidR="00B17370" w:rsidRPr="00E92012" w:rsidRDefault="00B17370" w:rsidP="00B17370">
      <w:pPr>
        <w:tabs>
          <w:tab w:val="left" w:pos="5235"/>
        </w:tabs>
        <w:jc w:val="center"/>
        <w:rPr>
          <w:sz w:val="24"/>
          <w:szCs w:val="24"/>
        </w:rPr>
      </w:pPr>
    </w:p>
    <w:p w:rsidR="00B17370" w:rsidRPr="00E92012" w:rsidRDefault="00862D1B" w:rsidP="00B17370">
      <w:pPr>
        <w:tabs>
          <w:tab w:val="left" w:pos="5235"/>
        </w:tabs>
        <w:jc w:val="center"/>
      </w:pPr>
      <w:r>
        <w:rPr>
          <w:noProof/>
          <w:lang w:val="en-US"/>
        </w:rPr>
        <w:drawing>
          <wp:inline distT="0" distB="0" distL="0" distR="0">
            <wp:extent cx="2871107" cy="1428750"/>
            <wp:effectExtent l="19050" t="0" r="5443"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4"/>
                    <a:srcRect l="29167" t="28229" r="37019" b="41832"/>
                    <a:stretch>
                      <a:fillRect/>
                    </a:stretch>
                  </pic:blipFill>
                  <pic:spPr bwMode="auto">
                    <a:xfrm>
                      <a:off x="0" y="0"/>
                      <a:ext cx="2871107" cy="1428750"/>
                    </a:xfrm>
                    <a:prstGeom prst="rect">
                      <a:avLst/>
                    </a:prstGeom>
                    <a:noFill/>
                    <a:ln w="9525">
                      <a:noFill/>
                      <a:miter lim="800000"/>
                      <a:headEnd/>
                      <a:tailEnd/>
                    </a:ln>
                  </pic:spPr>
                </pic:pic>
              </a:graphicData>
            </a:graphic>
          </wp:inline>
        </w:drawing>
      </w:r>
    </w:p>
    <w:p w:rsidR="00B17370" w:rsidRDefault="00B17370" w:rsidP="00B17370">
      <w:pPr>
        <w:contextualSpacing/>
      </w:pPr>
      <w:r>
        <w:t xml:space="preserve">                   </w:t>
      </w:r>
      <w:r w:rsidR="00DA18F7">
        <w:t xml:space="preserve">                            </w:t>
      </w:r>
      <w:r>
        <w:t xml:space="preserve"> </w:t>
      </w:r>
      <w:r w:rsidRPr="00043219">
        <w:t>Šaltinis: Eviews 8 programa</w:t>
      </w:r>
    </w:p>
    <w:p w:rsidR="00B17370" w:rsidRPr="00043219" w:rsidRDefault="00B17370" w:rsidP="00B17370">
      <w:pPr>
        <w:contextualSpacing/>
      </w:pPr>
    </w:p>
    <w:p w:rsidR="00B17370" w:rsidRDefault="00B17370" w:rsidP="00B17370">
      <w:pPr>
        <w:tabs>
          <w:tab w:val="left" w:pos="5235"/>
        </w:tabs>
        <w:jc w:val="center"/>
        <w:rPr>
          <w:sz w:val="24"/>
          <w:szCs w:val="24"/>
        </w:rPr>
      </w:pPr>
      <w:r>
        <w:rPr>
          <w:sz w:val="24"/>
          <w:szCs w:val="24"/>
        </w:rPr>
        <w:t>9pav. D</w:t>
      </w:r>
      <w:r w:rsidRPr="00E92012">
        <w:rPr>
          <w:sz w:val="24"/>
          <w:szCs w:val="24"/>
        </w:rPr>
        <w:t>TR modelio įvertinimo langas su lygties išraiška 2014 m. prognozei</w:t>
      </w:r>
    </w:p>
    <w:p w:rsidR="00B17370" w:rsidRPr="00E92012" w:rsidRDefault="00B17370" w:rsidP="00B17370">
      <w:pPr>
        <w:tabs>
          <w:tab w:val="left" w:pos="5235"/>
        </w:tabs>
        <w:jc w:val="center"/>
        <w:rPr>
          <w:sz w:val="24"/>
          <w:szCs w:val="24"/>
        </w:rPr>
      </w:pPr>
    </w:p>
    <w:p w:rsidR="00B17370" w:rsidRDefault="00B17370" w:rsidP="00B17370">
      <w:pPr>
        <w:contextualSpacing/>
        <w:rPr>
          <w:sz w:val="24"/>
          <w:szCs w:val="24"/>
        </w:rPr>
      </w:pPr>
      <w:r>
        <w:rPr>
          <w:sz w:val="24"/>
          <w:szCs w:val="24"/>
        </w:rPr>
        <w:t xml:space="preserve">Pasikliautinųjų intervalų skaičiavimas: </w:t>
      </w:r>
    </w:p>
    <w:p w:rsidR="00B17370" w:rsidRDefault="00B17370" w:rsidP="00B17370">
      <w:pPr>
        <w:contextualSpacing/>
        <w:rPr>
          <w:i/>
          <w:sz w:val="24"/>
          <w:szCs w:val="24"/>
        </w:rPr>
      </w:pPr>
      <w:r w:rsidRPr="00F155AC">
        <w:rPr>
          <w:i/>
          <w:sz w:val="24"/>
          <w:szCs w:val="24"/>
        </w:rPr>
        <w:t>a = 0,05</w:t>
      </w:r>
    </w:p>
    <w:p w:rsidR="00B17370" w:rsidRDefault="00B17370" w:rsidP="00B17370">
      <w:pPr>
        <w:contextualSpacing/>
        <w:rPr>
          <w:i/>
          <w:sz w:val="24"/>
          <w:szCs w:val="24"/>
        </w:rPr>
      </w:pPr>
      <w:r>
        <w:rPr>
          <w:sz w:val="24"/>
          <w:szCs w:val="24"/>
        </w:rPr>
        <w:t>y</w:t>
      </w:r>
      <w:r>
        <w:rPr>
          <w:sz w:val="24"/>
          <w:szCs w:val="24"/>
          <w:vertAlign w:val="subscript"/>
        </w:rPr>
        <w:t>p</w:t>
      </w:r>
      <w:r>
        <w:rPr>
          <w:sz w:val="24"/>
          <w:szCs w:val="24"/>
        </w:rPr>
        <w:t>±SE(y</w:t>
      </w:r>
      <w:r>
        <w:rPr>
          <w:sz w:val="24"/>
          <w:szCs w:val="24"/>
          <w:vertAlign w:val="subscript"/>
        </w:rPr>
        <w:t>p</w:t>
      </w:r>
      <w:r>
        <w:rPr>
          <w:sz w:val="24"/>
          <w:szCs w:val="24"/>
        </w:rPr>
        <w:t>)t</w:t>
      </w:r>
      <w:r>
        <w:rPr>
          <w:sz w:val="24"/>
          <w:szCs w:val="24"/>
          <w:vertAlign w:val="subscript"/>
        </w:rPr>
        <w:t>0,05/2;14-2</w:t>
      </w:r>
      <w:r>
        <w:rPr>
          <w:sz w:val="24"/>
          <w:szCs w:val="24"/>
        </w:rPr>
        <w:t>.</w:t>
      </w:r>
    </w:p>
    <w:p w:rsidR="00B17370" w:rsidRDefault="00B17370" w:rsidP="00B17370">
      <w:pPr>
        <w:contextualSpacing/>
        <w:rPr>
          <w:i/>
          <w:sz w:val="24"/>
          <w:szCs w:val="24"/>
        </w:rPr>
      </w:pPr>
      <w:r>
        <w:rPr>
          <w:i/>
          <w:sz w:val="24"/>
          <w:szCs w:val="24"/>
        </w:rPr>
        <w:t>y</w:t>
      </w:r>
      <w:r>
        <w:rPr>
          <w:i/>
          <w:sz w:val="24"/>
          <w:szCs w:val="24"/>
          <w:vertAlign w:val="subscript"/>
        </w:rPr>
        <w:t>p</w:t>
      </w:r>
      <w:r>
        <w:rPr>
          <w:i/>
          <w:sz w:val="24"/>
          <w:szCs w:val="24"/>
        </w:rPr>
        <w:t>±206,2*2,179</w:t>
      </w:r>
    </w:p>
    <w:p w:rsidR="00B17370" w:rsidRPr="00713C63" w:rsidRDefault="00B17370" w:rsidP="00B17370">
      <w:pPr>
        <w:contextualSpacing/>
        <w:rPr>
          <w:i/>
          <w:sz w:val="24"/>
          <w:szCs w:val="24"/>
        </w:rPr>
      </w:pPr>
      <w:r>
        <w:rPr>
          <w:i/>
          <w:sz w:val="24"/>
          <w:szCs w:val="24"/>
        </w:rPr>
        <w:t>y</w:t>
      </w:r>
      <w:r>
        <w:rPr>
          <w:i/>
          <w:sz w:val="24"/>
          <w:szCs w:val="24"/>
          <w:vertAlign w:val="subscript"/>
        </w:rPr>
        <w:t>p</w:t>
      </w:r>
      <w:r>
        <w:rPr>
          <w:i/>
          <w:sz w:val="24"/>
          <w:szCs w:val="24"/>
        </w:rPr>
        <w:t>±449,3</w:t>
      </w:r>
      <w:r w:rsidR="00E12FF5" w:rsidRPr="00F155AC">
        <w:rPr>
          <w:sz w:val="24"/>
          <w:szCs w:val="24"/>
        </w:rPr>
        <w:fldChar w:fldCharType="begin"/>
      </w:r>
      <w:r w:rsidRPr="00F155AC">
        <w:rPr>
          <w:sz w:val="24"/>
          <w:szCs w:val="24"/>
        </w:rPr>
        <w:instrText xml:space="preserve"> QUOTE </w:instrText>
      </w:r>
      <m:oMath>
        <m:sSub>
          <m:sSubPr>
            <m:ctrlPr>
              <w:rPr>
                <w:rFonts w:ascii="Cambria Math" w:hAnsi="Cambria Math"/>
              </w:rPr>
            </m:ctrlPr>
          </m:sSubPr>
          <m:e>
            <m:r>
              <m:rPr>
                <m:sty m:val="p"/>
              </m:rPr>
              <w:rPr>
                <w:rFonts w:ascii="Cambria Math" w:hAnsi="Cambria Math"/>
              </w:rPr>
              <m:t>t</m:t>
            </m:r>
          </m:e>
          <m:sub>
            <m:f>
              <m:fPr>
                <m:ctrlPr>
                  <w:rPr>
                    <w:rFonts w:ascii="Cambria Math" w:hAnsi="Cambria Math"/>
                  </w:rPr>
                </m:ctrlPr>
              </m:fPr>
              <m:num>
                <m:r>
                  <m:rPr>
                    <m:sty m:val="p"/>
                  </m:rPr>
                  <w:rPr>
                    <w:rFonts w:ascii="Cambria Math" w:hAnsi="Cambria Math"/>
                  </w:rPr>
                  <m:t>α</m:t>
                </m:r>
              </m:num>
              <m:den>
                <m:r>
                  <m:rPr>
                    <m:sty m:val="p"/>
                  </m:rPr>
                  <w:rPr>
                    <w:rFonts w:ascii="Cambria Math" w:hAnsi="Cambria Math"/>
                  </w:rPr>
                  <m:t>2</m:t>
                </m:r>
              </m:den>
            </m:f>
            <m:r>
              <m:rPr>
                <m:sty m:val="p"/>
              </m:rPr>
              <w:rPr>
                <w:rFonts w:ascii="Cambria Math" w:hAnsi="Cambria Math"/>
              </w:rPr>
              <m:t>;</m:t>
            </m:r>
            <m:d>
              <m:dPr>
                <m:ctrlPr>
                  <w:rPr>
                    <w:rFonts w:ascii="Cambria Math" w:hAnsi="Cambria Math"/>
                  </w:rPr>
                </m:ctrlPr>
              </m:dPr>
              <m:e>
                <m:r>
                  <m:rPr>
                    <m:sty m:val="p"/>
                  </m:rPr>
                  <w:rPr>
                    <w:rFonts w:ascii="Cambria Math" w:hAnsi="Cambria Math"/>
                  </w:rPr>
                  <m:t>n-k</m:t>
                </m:r>
              </m:e>
            </m:d>
          </m:sub>
        </m:sSub>
        <m:r>
          <m:rPr>
            <m:sty m:val="p"/>
          </m:rPr>
          <w:rPr>
            <w:rFonts w:ascii="Cambria Math" w:hAnsi="Cambria Math"/>
          </w:rPr>
          <m:t>SE</m:t>
        </m:r>
        <m:d>
          <m:dPr>
            <m:ctrlPr>
              <w:rPr>
                <w:rFonts w:ascii="Cambria Math" w:hAnsi="Cambria Math"/>
              </w:rPr>
            </m:ctrlPr>
          </m:dPr>
          <m:e>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e>
        </m:d>
      </m:oMath>
      <w:r w:rsidRPr="00F155AC">
        <w:rPr>
          <w:sz w:val="24"/>
          <w:szCs w:val="24"/>
        </w:rPr>
        <w:instrText xml:space="preserve"> </w:instrText>
      </w:r>
      <w:r w:rsidR="00E12FF5" w:rsidRPr="00F155AC">
        <w:rPr>
          <w:sz w:val="24"/>
          <w:szCs w:val="24"/>
        </w:rPr>
        <w:fldChar w:fldCharType="end"/>
      </w:r>
    </w:p>
    <w:p w:rsidR="00B17370" w:rsidRPr="00E92012" w:rsidRDefault="00B17370" w:rsidP="00B17370">
      <w:pPr>
        <w:tabs>
          <w:tab w:val="left" w:pos="5235"/>
        </w:tabs>
        <w:jc w:val="center"/>
        <w:rPr>
          <w:sz w:val="24"/>
          <w:szCs w:val="24"/>
        </w:rPr>
      </w:pPr>
    </w:p>
    <w:p w:rsidR="00B17370" w:rsidRDefault="00B17370" w:rsidP="00B17370">
      <w:pPr>
        <w:tabs>
          <w:tab w:val="left" w:pos="5235"/>
        </w:tabs>
        <w:jc w:val="right"/>
        <w:rPr>
          <w:b/>
          <w:sz w:val="24"/>
          <w:szCs w:val="24"/>
        </w:rPr>
      </w:pPr>
    </w:p>
    <w:p w:rsidR="00B17370" w:rsidRDefault="00B17370" w:rsidP="00B17370">
      <w:pPr>
        <w:tabs>
          <w:tab w:val="left" w:pos="5235"/>
        </w:tabs>
        <w:jc w:val="right"/>
        <w:rPr>
          <w:b/>
          <w:sz w:val="24"/>
          <w:szCs w:val="24"/>
        </w:rPr>
      </w:pPr>
    </w:p>
    <w:p w:rsidR="00B17370" w:rsidRDefault="00B17370" w:rsidP="00B17370">
      <w:pPr>
        <w:tabs>
          <w:tab w:val="left" w:pos="5235"/>
        </w:tabs>
        <w:jc w:val="right"/>
        <w:rPr>
          <w:b/>
          <w:sz w:val="24"/>
          <w:szCs w:val="24"/>
        </w:rPr>
      </w:pPr>
    </w:p>
    <w:p w:rsidR="00B17370" w:rsidRDefault="00B17370" w:rsidP="00B17370">
      <w:pPr>
        <w:tabs>
          <w:tab w:val="left" w:pos="5235"/>
        </w:tabs>
        <w:jc w:val="right"/>
        <w:rPr>
          <w:b/>
          <w:sz w:val="24"/>
          <w:szCs w:val="24"/>
        </w:rPr>
      </w:pPr>
    </w:p>
    <w:p w:rsidR="00B17370" w:rsidRDefault="00B17370" w:rsidP="00B17370">
      <w:pPr>
        <w:tabs>
          <w:tab w:val="left" w:pos="5235"/>
        </w:tabs>
        <w:jc w:val="right"/>
        <w:rPr>
          <w:b/>
          <w:sz w:val="24"/>
          <w:szCs w:val="24"/>
        </w:rPr>
      </w:pPr>
    </w:p>
    <w:p w:rsidR="00B17370" w:rsidRDefault="00B17370" w:rsidP="00B17370">
      <w:pPr>
        <w:tabs>
          <w:tab w:val="left" w:pos="5235"/>
        </w:tabs>
        <w:jc w:val="right"/>
        <w:rPr>
          <w:b/>
          <w:sz w:val="24"/>
          <w:szCs w:val="24"/>
        </w:rPr>
      </w:pPr>
    </w:p>
    <w:p w:rsidR="00B17370" w:rsidRDefault="00DA18F7" w:rsidP="00DA18F7">
      <w:pPr>
        <w:tabs>
          <w:tab w:val="left" w:pos="7350"/>
        </w:tabs>
        <w:ind w:firstLine="0"/>
        <w:rPr>
          <w:b/>
          <w:sz w:val="24"/>
          <w:szCs w:val="24"/>
        </w:rPr>
      </w:pPr>
      <w:r>
        <w:rPr>
          <w:b/>
          <w:sz w:val="24"/>
          <w:szCs w:val="24"/>
        </w:rPr>
        <w:tab/>
      </w:r>
    </w:p>
    <w:p w:rsidR="00DA18F7" w:rsidRDefault="00DA18F7" w:rsidP="00DA18F7">
      <w:pPr>
        <w:tabs>
          <w:tab w:val="left" w:pos="7350"/>
        </w:tabs>
        <w:ind w:firstLine="0"/>
        <w:rPr>
          <w:b/>
          <w:sz w:val="24"/>
          <w:szCs w:val="24"/>
        </w:rPr>
      </w:pPr>
    </w:p>
    <w:p w:rsidR="00DA18F7" w:rsidRDefault="00DA18F7" w:rsidP="00DA18F7">
      <w:pPr>
        <w:tabs>
          <w:tab w:val="left" w:pos="7350"/>
        </w:tabs>
        <w:ind w:firstLine="0"/>
        <w:rPr>
          <w:b/>
          <w:sz w:val="24"/>
          <w:szCs w:val="24"/>
        </w:rPr>
      </w:pPr>
    </w:p>
    <w:p w:rsidR="00DA18F7" w:rsidRDefault="00DA18F7" w:rsidP="00DA18F7">
      <w:pPr>
        <w:tabs>
          <w:tab w:val="left" w:pos="7350"/>
        </w:tabs>
        <w:ind w:firstLine="0"/>
        <w:rPr>
          <w:b/>
          <w:sz w:val="24"/>
          <w:szCs w:val="24"/>
        </w:rPr>
      </w:pPr>
    </w:p>
    <w:p w:rsidR="00B17370" w:rsidRDefault="00B17370" w:rsidP="00B17370">
      <w:pPr>
        <w:tabs>
          <w:tab w:val="left" w:pos="5235"/>
        </w:tabs>
        <w:jc w:val="right"/>
        <w:rPr>
          <w:b/>
          <w:sz w:val="24"/>
          <w:szCs w:val="24"/>
        </w:rPr>
      </w:pPr>
      <w:r>
        <w:rPr>
          <w:b/>
          <w:sz w:val="24"/>
          <w:szCs w:val="24"/>
        </w:rPr>
        <w:lastRenderedPageBreak/>
        <w:t>11</w:t>
      </w:r>
      <w:r w:rsidRPr="0070446C">
        <w:rPr>
          <w:b/>
          <w:sz w:val="24"/>
          <w:szCs w:val="24"/>
        </w:rPr>
        <w:t xml:space="preserve"> PRIEDAS</w:t>
      </w:r>
    </w:p>
    <w:p w:rsidR="00B17370" w:rsidRDefault="00B17370" w:rsidP="00B17370">
      <w:pPr>
        <w:tabs>
          <w:tab w:val="left" w:pos="5235"/>
        </w:tabs>
        <w:jc w:val="right"/>
        <w:rPr>
          <w:b/>
          <w:sz w:val="24"/>
          <w:szCs w:val="24"/>
        </w:rPr>
      </w:pPr>
    </w:p>
    <w:p w:rsidR="00B17370" w:rsidRPr="0070446C" w:rsidRDefault="00B17370" w:rsidP="00B17370">
      <w:pPr>
        <w:tabs>
          <w:tab w:val="left" w:pos="5235"/>
        </w:tabs>
        <w:jc w:val="center"/>
        <w:rPr>
          <w:b/>
          <w:sz w:val="24"/>
          <w:szCs w:val="24"/>
        </w:rPr>
      </w:pPr>
      <w:r>
        <w:rPr>
          <w:b/>
          <w:sz w:val="24"/>
          <w:szCs w:val="24"/>
        </w:rPr>
        <w:t>LIETUVOS VALSTYBĖS SKOLOS PROGNOZAVIMAS ARIMA METODU</w:t>
      </w:r>
    </w:p>
    <w:p w:rsidR="00B17370" w:rsidRDefault="00B17370" w:rsidP="00B17370">
      <w:pPr>
        <w:tabs>
          <w:tab w:val="left" w:pos="5235"/>
        </w:tabs>
        <w:jc w:val="center"/>
      </w:pPr>
    </w:p>
    <w:p w:rsidR="00B17370" w:rsidRPr="00E92012" w:rsidRDefault="00B17370" w:rsidP="00B17370">
      <w:pPr>
        <w:tabs>
          <w:tab w:val="left" w:pos="5235"/>
        </w:tabs>
        <w:jc w:val="center"/>
      </w:pPr>
    </w:p>
    <w:p w:rsidR="00B17370" w:rsidRPr="00E92012" w:rsidRDefault="00B17370" w:rsidP="00B17370">
      <w:pPr>
        <w:tabs>
          <w:tab w:val="left" w:pos="5235"/>
        </w:tabs>
        <w:jc w:val="center"/>
      </w:pPr>
      <w:r>
        <w:rPr>
          <w:noProof/>
          <w:lang w:val="en-US"/>
        </w:rPr>
        <w:drawing>
          <wp:anchor distT="0" distB="0" distL="114300" distR="114300" simplePos="0" relativeHeight="251667456" behindDoc="0" locked="0" layoutInCell="1" allowOverlap="1">
            <wp:simplePos x="0" y="0"/>
            <wp:positionH relativeFrom="column">
              <wp:posOffset>1723390</wp:posOffset>
            </wp:positionH>
            <wp:positionV relativeFrom="paragraph">
              <wp:posOffset>23495</wp:posOffset>
            </wp:positionV>
            <wp:extent cx="3202305" cy="2171700"/>
            <wp:effectExtent l="0" t="0" r="0" b="0"/>
            <wp:wrapSquare wrapText="bothSides"/>
            <wp:docPr id="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srcRect l="32852" t="39056" r="34966" b="22173"/>
                    <a:stretch>
                      <a:fillRect/>
                    </a:stretch>
                  </pic:blipFill>
                  <pic:spPr bwMode="auto">
                    <a:xfrm>
                      <a:off x="0" y="0"/>
                      <a:ext cx="3202305" cy="2171700"/>
                    </a:xfrm>
                    <a:prstGeom prst="rect">
                      <a:avLst/>
                    </a:prstGeom>
                    <a:noFill/>
                    <a:ln w="9525">
                      <a:noFill/>
                      <a:miter lim="800000"/>
                      <a:headEnd/>
                      <a:tailEnd/>
                    </a:ln>
                  </pic:spPr>
                </pic:pic>
              </a:graphicData>
            </a:graphic>
          </wp:anchor>
        </w:drawing>
      </w:r>
    </w:p>
    <w:p w:rsidR="00B17370" w:rsidRPr="00E92012" w:rsidRDefault="00B17370" w:rsidP="00B17370">
      <w:pPr>
        <w:tabs>
          <w:tab w:val="left" w:pos="5235"/>
        </w:tabs>
        <w:jc w:val="center"/>
      </w:pPr>
    </w:p>
    <w:p w:rsidR="00B17370" w:rsidRPr="00E92012" w:rsidRDefault="00B17370" w:rsidP="00B17370">
      <w:pPr>
        <w:tabs>
          <w:tab w:val="left" w:pos="5235"/>
        </w:tabs>
        <w:jc w:val="center"/>
      </w:pPr>
    </w:p>
    <w:p w:rsidR="00B17370" w:rsidRPr="00E92012" w:rsidRDefault="00B17370" w:rsidP="00B17370">
      <w:pPr>
        <w:tabs>
          <w:tab w:val="left" w:pos="5235"/>
        </w:tabs>
        <w:jc w:val="center"/>
      </w:pPr>
    </w:p>
    <w:p w:rsidR="00B17370" w:rsidRPr="00E92012" w:rsidRDefault="00B17370" w:rsidP="00B17370">
      <w:pPr>
        <w:tabs>
          <w:tab w:val="left" w:pos="5235"/>
        </w:tabs>
        <w:jc w:val="center"/>
      </w:pPr>
    </w:p>
    <w:p w:rsidR="00B17370" w:rsidRPr="00E92012" w:rsidRDefault="00B17370" w:rsidP="00B17370">
      <w:pPr>
        <w:tabs>
          <w:tab w:val="left" w:pos="5235"/>
        </w:tabs>
        <w:jc w:val="center"/>
      </w:pPr>
    </w:p>
    <w:p w:rsidR="00B17370" w:rsidRPr="00E92012" w:rsidRDefault="00B17370" w:rsidP="00B17370">
      <w:pPr>
        <w:tabs>
          <w:tab w:val="left" w:pos="5235"/>
        </w:tabs>
        <w:jc w:val="center"/>
      </w:pPr>
    </w:p>
    <w:p w:rsidR="00B17370" w:rsidRPr="00E92012" w:rsidRDefault="00B17370" w:rsidP="00B17370">
      <w:pPr>
        <w:tabs>
          <w:tab w:val="left" w:pos="5235"/>
        </w:tabs>
        <w:jc w:val="center"/>
      </w:pPr>
    </w:p>
    <w:p w:rsidR="00B17370" w:rsidRDefault="00B17370" w:rsidP="00B17370">
      <w:r w:rsidRPr="00E92012">
        <w:t xml:space="preserve">                                   </w:t>
      </w:r>
    </w:p>
    <w:p w:rsidR="00B17370" w:rsidRDefault="00B17370" w:rsidP="00B17370"/>
    <w:p w:rsidR="00B17370" w:rsidRDefault="00B17370" w:rsidP="00B17370"/>
    <w:p w:rsidR="00B17370" w:rsidRDefault="00B17370" w:rsidP="00B17370"/>
    <w:p w:rsidR="00B17370" w:rsidRDefault="00B17370" w:rsidP="00B17370"/>
    <w:p w:rsidR="00B17370" w:rsidRDefault="00B17370" w:rsidP="00B17370"/>
    <w:p w:rsidR="00B17370" w:rsidRDefault="00B17370" w:rsidP="00B17370"/>
    <w:p w:rsidR="00B17370" w:rsidRDefault="00B17370" w:rsidP="00B17370">
      <w:r>
        <w:t xml:space="preserve">            </w:t>
      </w:r>
    </w:p>
    <w:p w:rsidR="00B17370" w:rsidRDefault="00B17370" w:rsidP="00B17370">
      <w:r>
        <w:t xml:space="preserve">                                           </w:t>
      </w:r>
      <w:r w:rsidRPr="00E92012">
        <w:t>Šaltinis: Eviews 8 programa</w:t>
      </w:r>
    </w:p>
    <w:p w:rsidR="00B17370" w:rsidRPr="00375DBD" w:rsidRDefault="00B17370" w:rsidP="00B17370">
      <w:pPr>
        <w:rPr>
          <w:sz w:val="24"/>
          <w:szCs w:val="24"/>
        </w:rPr>
      </w:pPr>
    </w:p>
    <w:p w:rsidR="00B17370" w:rsidRPr="00375DBD" w:rsidRDefault="00B17370" w:rsidP="00B17370">
      <w:pPr>
        <w:tabs>
          <w:tab w:val="center" w:pos="4680"/>
          <w:tab w:val="left" w:pos="5235"/>
          <w:tab w:val="right" w:pos="9360"/>
        </w:tabs>
        <w:jc w:val="center"/>
        <w:rPr>
          <w:sz w:val="24"/>
          <w:szCs w:val="24"/>
        </w:rPr>
      </w:pPr>
      <w:r w:rsidRPr="00375DBD">
        <w:rPr>
          <w:sz w:val="24"/>
          <w:szCs w:val="24"/>
        </w:rPr>
        <w:t>1 pav. Funkcijų ACF ir PACF, išdiferencijavus 1 kartą, įvertinimo langas</w:t>
      </w:r>
    </w:p>
    <w:p w:rsidR="00B17370" w:rsidRDefault="00B17370" w:rsidP="00B17370">
      <w:pPr>
        <w:tabs>
          <w:tab w:val="center" w:pos="4680"/>
          <w:tab w:val="left" w:pos="5235"/>
          <w:tab w:val="right" w:pos="9360"/>
        </w:tabs>
        <w:jc w:val="center"/>
      </w:pPr>
    </w:p>
    <w:p w:rsidR="00B17370" w:rsidRDefault="00B17370" w:rsidP="00B17370">
      <w:pPr>
        <w:tabs>
          <w:tab w:val="center" w:pos="4680"/>
          <w:tab w:val="left" w:pos="5235"/>
          <w:tab w:val="right" w:pos="9360"/>
        </w:tabs>
        <w:jc w:val="center"/>
        <w:rPr>
          <w:sz w:val="24"/>
          <w:szCs w:val="24"/>
        </w:rPr>
      </w:pPr>
    </w:p>
    <w:p w:rsidR="00B17370" w:rsidRDefault="00B17370" w:rsidP="00B17370">
      <w:pPr>
        <w:tabs>
          <w:tab w:val="center" w:pos="4680"/>
          <w:tab w:val="left" w:pos="5235"/>
          <w:tab w:val="right" w:pos="9360"/>
        </w:tabs>
        <w:jc w:val="center"/>
        <w:rPr>
          <w:sz w:val="24"/>
          <w:szCs w:val="24"/>
        </w:rPr>
      </w:pPr>
      <w:r w:rsidRPr="00375DBD">
        <w:rPr>
          <w:sz w:val="24"/>
          <w:szCs w:val="24"/>
        </w:rPr>
        <w:t>1 lentelė. AIC ir SIC reikšmių palyginimas</w:t>
      </w:r>
    </w:p>
    <w:p w:rsidR="00B17370" w:rsidRPr="00375DBD" w:rsidRDefault="00B17370" w:rsidP="00B17370">
      <w:pPr>
        <w:tabs>
          <w:tab w:val="center" w:pos="4680"/>
          <w:tab w:val="left" w:pos="5235"/>
          <w:tab w:val="right" w:pos="9360"/>
        </w:tabs>
        <w:jc w:val="center"/>
        <w:rPr>
          <w:sz w:val="24"/>
          <w:szCs w:val="24"/>
        </w:rPr>
      </w:pPr>
    </w:p>
    <w:tbl>
      <w:tblPr>
        <w:tblW w:w="5638" w:type="dxa"/>
        <w:jc w:val="center"/>
        <w:tblInd w:w="-641" w:type="dxa"/>
        <w:tblLook w:val="04A0"/>
      </w:tblPr>
      <w:tblGrid>
        <w:gridCol w:w="2227"/>
        <w:gridCol w:w="1682"/>
        <w:gridCol w:w="1729"/>
      </w:tblGrid>
      <w:tr w:rsidR="00B17370" w:rsidRPr="00B442B9" w:rsidTr="00553F5A">
        <w:trPr>
          <w:trHeight w:val="300"/>
          <w:jc w:val="center"/>
        </w:trPr>
        <w:tc>
          <w:tcPr>
            <w:tcW w:w="22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7370" w:rsidRPr="00B442B9" w:rsidRDefault="00B17370" w:rsidP="00553F5A">
            <w:pPr>
              <w:rPr>
                <w:color w:val="000000"/>
              </w:rPr>
            </w:pPr>
            <w:r w:rsidRPr="00B442B9">
              <w:rPr>
                <w:color w:val="000000"/>
              </w:rPr>
              <w:t> </w:t>
            </w:r>
          </w:p>
        </w:tc>
        <w:tc>
          <w:tcPr>
            <w:tcW w:w="1682" w:type="dxa"/>
            <w:tcBorders>
              <w:top w:val="single" w:sz="4" w:space="0" w:color="auto"/>
              <w:left w:val="nil"/>
              <w:bottom w:val="single" w:sz="4" w:space="0" w:color="auto"/>
              <w:right w:val="single" w:sz="4" w:space="0" w:color="auto"/>
            </w:tcBorders>
            <w:shd w:val="clear" w:color="auto" w:fill="auto"/>
            <w:noWrap/>
            <w:vAlign w:val="bottom"/>
            <w:hideMark/>
          </w:tcPr>
          <w:p w:rsidR="00B17370" w:rsidRPr="00B442B9" w:rsidRDefault="00B17370" w:rsidP="00553F5A">
            <w:pPr>
              <w:rPr>
                <w:color w:val="000000"/>
              </w:rPr>
            </w:pPr>
            <w:r w:rsidRPr="00B442B9">
              <w:rPr>
                <w:color w:val="000000"/>
              </w:rPr>
              <w:t>AIC</w:t>
            </w:r>
          </w:p>
        </w:tc>
        <w:tc>
          <w:tcPr>
            <w:tcW w:w="1729" w:type="dxa"/>
            <w:tcBorders>
              <w:top w:val="single" w:sz="4" w:space="0" w:color="auto"/>
              <w:left w:val="nil"/>
              <w:bottom w:val="single" w:sz="4" w:space="0" w:color="auto"/>
              <w:right w:val="single" w:sz="4" w:space="0" w:color="auto"/>
            </w:tcBorders>
            <w:shd w:val="clear" w:color="auto" w:fill="auto"/>
            <w:noWrap/>
            <w:vAlign w:val="bottom"/>
            <w:hideMark/>
          </w:tcPr>
          <w:p w:rsidR="00B17370" w:rsidRPr="00B442B9" w:rsidRDefault="00B17370" w:rsidP="00553F5A">
            <w:pPr>
              <w:rPr>
                <w:color w:val="000000"/>
              </w:rPr>
            </w:pPr>
            <w:r w:rsidRPr="00B442B9">
              <w:rPr>
                <w:color w:val="000000"/>
              </w:rPr>
              <w:t>SIC</w:t>
            </w:r>
          </w:p>
        </w:tc>
      </w:tr>
      <w:tr w:rsidR="00B17370" w:rsidRPr="00B442B9" w:rsidTr="00553F5A">
        <w:trPr>
          <w:trHeight w:val="300"/>
          <w:jc w:val="center"/>
        </w:trPr>
        <w:tc>
          <w:tcPr>
            <w:tcW w:w="2227" w:type="dxa"/>
            <w:tcBorders>
              <w:top w:val="nil"/>
              <w:left w:val="single" w:sz="4" w:space="0" w:color="auto"/>
              <w:bottom w:val="single" w:sz="4" w:space="0" w:color="auto"/>
              <w:right w:val="single" w:sz="4" w:space="0" w:color="auto"/>
            </w:tcBorders>
            <w:shd w:val="clear" w:color="auto" w:fill="auto"/>
            <w:noWrap/>
            <w:vAlign w:val="bottom"/>
            <w:hideMark/>
          </w:tcPr>
          <w:p w:rsidR="00B17370" w:rsidRPr="00B442B9" w:rsidRDefault="00B17370" w:rsidP="00553F5A">
            <w:pPr>
              <w:rPr>
                <w:color w:val="000000"/>
              </w:rPr>
            </w:pPr>
            <w:r w:rsidRPr="00B442B9">
              <w:rPr>
                <w:color w:val="000000"/>
              </w:rPr>
              <w:t>ARIMA(0;1;1)</w:t>
            </w:r>
          </w:p>
        </w:tc>
        <w:tc>
          <w:tcPr>
            <w:tcW w:w="1682" w:type="dxa"/>
            <w:tcBorders>
              <w:top w:val="nil"/>
              <w:left w:val="nil"/>
              <w:bottom w:val="single" w:sz="4" w:space="0" w:color="auto"/>
              <w:right w:val="single" w:sz="4" w:space="0" w:color="auto"/>
            </w:tcBorders>
            <w:shd w:val="clear" w:color="auto" w:fill="auto"/>
            <w:noWrap/>
            <w:vAlign w:val="bottom"/>
            <w:hideMark/>
          </w:tcPr>
          <w:p w:rsidR="00B17370" w:rsidRPr="00B442B9" w:rsidRDefault="00B17370" w:rsidP="00553F5A">
            <w:pPr>
              <w:jc w:val="right"/>
              <w:rPr>
                <w:color w:val="000000"/>
              </w:rPr>
            </w:pPr>
            <w:r w:rsidRPr="00B442B9">
              <w:rPr>
                <w:color w:val="000000"/>
              </w:rPr>
              <w:t>16,42127</w:t>
            </w:r>
          </w:p>
        </w:tc>
        <w:tc>
          <w:tcPr>
            <w:tcW w:w="1729" w:type="dxa"/>
            <w:tcBorders>
              <w:top w:val="nil"/>
              <w:left w:val="nil"/>
              <w:bottom w:val="single" w:sz="4" w:space="0" w:color="auto"/>
              <w:right w:val="single" w:sz="4" w:space="0" w:color="auto"/>
            </w:tcBorders>
            <w:shd w:val="clear" w:color="auto" w:fill="auto"/>
            <w:noWrap/>
            <w:vAlign w:val="bottom"/>
            <w:hideMark/>
          </w:tcPr>
          <w:p w:rsidR="00B17370" w:rsidRPr="00B442B9" w:rsidRDefault="00B17370" w:rsidP="00553F5A">
            <w:pPr>
              <w:jc w:val="right"/>
              <w:rPr>
                <w:color w:val="000000"/>
              </w:rPr>
            </w:pPr>
            <w:r w:rsidRPr="00B442B9">
              <w:rPr>
                <w:color w:val="000000"/>
              </w:rPr>
              <w:t>16,50209</w:t>
            </w:r>
          </w:p>
        </w:tc>
      </w:tr>
      <w:tr w:rsidR="00B17370" w:rsidRPr="00B442B9" w:rsidTr="00553F5A">
        <w:trPr>
          <w:trHeight w:val="300"/>
          <w:jc w:val="center"/>
        </w:trPr>
        <w:tc>
          <w:tcPr>
            <w:tcW w:w="2227" w:type="dxa"/>
            <w:tcBorders>
              <w:top w:val="nil"/>
              <w:left w:val="single" w:sz="4" w:space="0" w:color="auto"/>
              <w:bottom w:val="single" w:sz="4" w:space="0" w:color="auto"/>
              <w:right w:val="single" w:sz="4" w:space="0" w:color="auto"/>
            </w:tcBorders>
            <w:shd w:val="clear" w:color="auto" w:fill="auto"/>
            <w:noWrap/>
            <w:vAlign w:val="bottom"/>
            <w:hideMark/>
          </w:tcPr>
          <w:p w:rsidR="00B17370" w:rsidRPr="00B442B9" w:rsidRDefault="00B17370" w:rsidP="00553F5A">
            <w:pPr>
              <w:rPr>
                <w:color w:val="000000"/>
              </w:rPr>
            </w:pPr>
            <w:r w:rsidRPr="00B442B9">
              <w:rPr>
                <w:color w:val="000000"/>
              </w:rPr>
              <w:t>ARIMA(0;1;2)</w:t>
            </w:r>
          </w:p>
        </w:tc>
        <w:tc>
          <w:tcPr>
            <w:tcW w:w="1682" w:type="dxa"/>
            <w:tcBorders>
              <w:top w:val="nil"/>
              <w:left w:val="nil"/>
              <w:bottom w:val="single" w:sz="4" w:space="0" w:color="auto"/>
              <w:right w:val="single" w:sz="4" w:space="0" w:color="auto"/>
            </w:tcBorders>
            <w:shd w:val="clear" w:color="auto" w:fill="auto"/>
            <w:noWrap/>
            <w:vAlign w:val="bottom"/>
            <w:hideMark/>
          </w:tcPr>
          <w:p w:rsidR="00B17370" w:rsidRPr="00B442B9" w:rsidRDefault="00B17370" w:rsidP="00553F5A">
            <w:pPr>
              <w:jc w:val="right"/>
              <w:rPr>
                <w:color w:val="000000"/>
              </w:rPr>
            </w:pPr>
            <w:r w:rsidRPr="00B442B9">
              <w:rPr>
                <w:color w:val="000000"/>
              </w:rPr>
              <w:t>16,79382</w:t>
            </w:r>
          </w:p>
        </w:tc>
        <w:tc>
          <w:tcPr>
            <w:tcW w:w="1729" w:type="dxa"/>
            <w:tcBorders>
              <w:top w:val="nil"/>
              <w:left w:val="nil"/>
              <w:bottom w:val="single" w:sz="4" w:space="0" w:color="auto"/>
              <w:right w:val="single" w:sz="4" w:space="0" w:color="auto"/>
            </w:tcBorders>
            <w:shd w:val="clear" w:color="auto" w:fill="auto"/>
            <w:noWrap/>
            <w:vAlign w:val="bottom"/>
            <w:hideMark/>
          </w:tcPr>
          <w:p w:rsidR="00B17370" w:rsidRPr="00B442B9" w:rsidRDefault="00B17370" w:rsidP="00553F5A">
            <w:pPr>
              <w:jc w:val="right"/>
              <w:rPr>
                <w:color w:val="000000"/>
              </w:rPr>
            </w:pPr>
            <w:r w:rsidRPr="00B442B9">
              <w:rPr>
                <w:color w:val="000000"/>
              </w:rPr>
              <w:t>16,87464</w:t>
            </w:r>
          </w:p>
        </w:tc>
      </w:tr>
      <w:tr w:rsidR="00B17370" w:rsidRPr="00B442B9" w:rsidTr="00553F5A">
        <w:trPr>
          <w:trHeight w:val="300"/>
          <w:jc w:val="center"/>
        </w:trPr>
        <w:tc>
          <w:tcPr>
            <w:tcW w:w="2227" w:type="dxa"/>
            <w:tcBorders>
              <w:top w:val="nil"/>
              <w:left w:val="single" w:sz="4" w:space="0" w:color="auto"/>
              <w:bottom w:val="single" w:sz="4" w:space="0" w:color="auto"/>
              <w:right w:val="single" w:sz="4" w:space="0" w:color="auto"/>
            </w:tcBorders>
            <w:shd w:val="clear" w:color="auto" w:fill="auto"/>
            <w:noWrap/>
            <w:vAlign w:val="bottom"/>
            <w:hideMark/>
          </w:tcPr>
          <w:p w:rsidR="00B17370" w:rsidRPr="00B442B9" w:rsidRDefault="00B17370" w:rsidP="00553F5A">
            <w:pPr>
              <w:rPr>
                <w:color w:val="000000"/>
              </w:rPr>
            </w:pPr>
            <w:r w:rsidRPr="00B442B9">
              <w:rPr>
                <w:color w:val="000000"/>
              </w:rPr>
              <w:t>ARIMA(1;1;0)</w:t>
            </w:r>
          </w:p>
        </w:tc>
        <w:tc>
          <w:tcPr>
            <w:tcW w:w="1682" w:type="dxa"/>
            <w:tcBorders>
              <w:top w:val="nil"/>
              <w:left w:val="nil"/>
              <w:bottom w:val="single" w:sz="4" w:space="0" w:color="auto"/>
              <w:right w:val="single" w:sz="4" w:space="0" w:color="auto"/>
            </w:tcBorders>
            <w:shd w:val="clear" w:color="auto" w:fill="auto"/>
            <w:noWrap/>
            <w:vAlign w:val="bottom"/>
            <w:hideMark/>
          </w:tcPr>
          <w:p w:rsidR="00B17370" w:rsidRPr="00B442B9" w:rsidRDefault="00B17370" w:rsidP="00553F5A">
            <w:pPr>
              <w:jc w:val="right"/>
              <w:rPr>
                <w:color w:val="000000"/>
              </w:rPr>
            </w:pPr>
            <w:r w:rsidRPr="00B442B9">
              <w:rPr>
                <w:color w:val="000000"/>
              </w:rPr>
              <w:t>16,51452</w:t>
            </w:r>
          </w:p>
        </w:tc>
        <w:tc>
          <w:tcPr>
            <w:tcW w:w="1729" w:type="dxa"/>
            <w:tcBorders>
              <w:top w:val="nil"/>
              <w:left w:val="nil"/>
              <w:bottom w:val="single" w:sz="4" w:space="0" w:color="auto"/>
              <w:right w:val="single" w:sz="4" w:space="0" w:color="auto"/>
            </w:tcBorders>
            <w:shd w:val="clear" w:color="auto" w:fill="auto"/>
            <w:noWrap/>
            <w:vAlign w:val="bottom"/>
            <w:hideMark/>
          </w:tcPr>
          <w:p w:rsidR="00B17370" w:rsidRPr="00B442B9" w:rsidRDefault="00B17370" w:rsidP="00553F5A">
            <w:pPr>
              <w:jc w:val="right"/>
              <w:rPr>
                <w:color w:val="000000"/>
              </w:rPr>
            </w:pPr>
            <w:r w:rsidRPr="00B442B9">
              <w:rPr>
                <w:color w:val="000000"/>
              </w:rPr>
              <w:t>16,58686</w:t>
            </w:r>
          </w:p>
        </w:tc>
      </w:tr>
      <w:tr w:rsidR="00B17370" w:rsidRPr="00B442B9" w:rsidTr="00553F5A">
        <w:trPr>
          <w:trHeight w:val="300"/>
          <w:jc w:val="center"/>
        </w:trPr>
        <w:tc>
          <w:tcPr>
            <w:tcW w:w="2227" w:type="dxa"/>
            <w:tcBorders>
              <w:top w:val="nil"/>
              <w:left w:val="single" w:sz="4" w:space="0" w:color="auto"/>
              <w:bottom w:val="single" w:sz="4" w:space="0" w:color="auto"/>
              <w:right w:val="single" w:sz="4" w:space="0" w:color="auto"/>
            </w:tcBorders>
            <w:shd w:val="clear" w:color="auto" w:fill="auto"/>
            <w:noWrap/>
            <w:vAlign w:val="bottom"/>
            <w:hideMark/>
          </w:tcPr>
          <w:p w:rsidR="00B17370" w:rsidRPr="00B442B9" w:rsidRDefault="00B17370" w:rsidP="00553F5A">
            <w:pPr>
              <w:rPr>
                <w:color w:val="000000"/>
              </w:rPr>
            </w:pPr>
            <w:r w:rsidRPr="00B442B9">
              <w:rPr>
                <w:color w:val="000000"/>
              </w:rPr>
              <w:t>ARIMA(1;1;1)</w:t>
            </w:r>
          </w:p>
        </w:tc>
        <w:tc>
          <w:tcPr>
            <w:tcW w:w="1682" w:type="dxa"/>
            <w:tcBorders>
              <w:top w:val="nil"/>
              <w:left w:val="nil"/>
              <w:bottom w:val="single" w:sz="4" w:space="0" w:color="auto"/>
              <w:right w:val="single" w:sz="4" w:space="0" w:color="auto"/>
            </w:tcBorders>
            <w:shd w:val="clear" w:color="auto" w:fill="auto"/>
            <w:noWrap/>
            <w:vAlign w:val="bottom"/>
            <w:hideMark/>
          </w:tcPr>
          <w:p w:rsidR="00B17370" w:rsidRPr="00B442B9" w:rsidRDefault="00B17370" w:rsidP="00553F5A">
            <w:pPr>
              <w:jc w:val="right"/>
              <w:rPr>
                <w:color w:val="000000"/>
              </w:rPr>
            </w:pPr>
            <w:r w:rsidRPr="00B442B9">
              <w:rPr>
                <w:color w:val="000000"/>
              </w:rPr>
              <w:t>16,67377</w:t>
            </w:r>
          </w:p>
        </w:tc>
        <w:tc>
          <w:tcPr>
            <w:tcW w:w="1729" w:type="dxa"/>
            <w:tcBorders>
              <w:top w:val="nil"/>
              <w:left w:val="nil"/>
              <w:bottom w:val="single" w:sz="4" w:space="0" w:color="auto"/>
              <w:right w:val="single" w:sz="4" w:space="0" w:color="auto"/>
            </w:tcBorders>
            <w:shd w:val="clear" w:color="auto" w:fill="auto"/>
            <w:noWrap/>
            <w:vAlign w:val="bottom"/>
            <w:hideMark/>
          </w:tcPr>
          <w:p w:rsidR="00B17370" w:rsidRPr="00B442B9" w:rsidRDefault="00B17370" w:rsidP="00553F5A">
            <w:pPr>
              <w:jc w:val="right"/>
              <w:rPr>
                <w:color w:val="000000"/>
              </w:rPr>
            </w:pPr>
            <w:r w:rsidRPr="00B442B9">
              <w:rPr>
                <w:color w:val="000000"/>
              </w:rPr>
              <w:t>16,78228</w:t>
            </w:r>
          </w:p>
        </w:tc>
      </w:tr>
      <w:tr w:rsidR="00B17370" w:rsidRPr="00B442B9" w:rsidTr="00553F5A">
        <w:trPr>
          <w:trHeight w:val="300"/>
          <w:jc w:val="center"/>
        </w:trPr>
        <w:tc>
          <w:tcPr>
            <w:tcW w:w="2227" w:type="dxa"/>
            <w:tcBorders>
              <w:top w:val="nil"/>
              <w:left w:val="single" w:sz="4" w:space="0" w:color="auto"/>
              <w:bottom w:val="single" w:sz="4" w:space="0" w:color="auto"/>
              <w:right w:val="single" w:sz="4" w:space="0" w:color="auto"/>
            </w:tcBorders>
            <w:shd w:val="clear" w:color="auto" w:fill="auto"/>
            <w:noWrap/>
            <w:vAlign w:val="bottom"/>
            <w:hideMark/>
          </w:tcPr>
          <w:p w:rsidR="00B17370" w:rsidRPr="00B442B9" w:rsidRDefault="00B17370" w:rsidP="00553F5A">
            <w:pPr>
              <w:rPr>
                <w:b/>
                <w:bCs/>
                <w:color w:val="000000"/>
              </w:rPr>
            </w:pPr>
            <w:r w:rsidRPr="00B442B9">
              <w:rPr>
                <w:b/>
                <w:bCs/>
                <w:color w:val="000000"/>
              </w:rPr>
              <w:t>ARIMA(1;1;2)</w:t>
            </w:r>
          </w:p>
        </w:tc>
        <w:tc>
          <w:tcPr>
            <w:tcW w:w="1682" w:type="dxa"/>
            <w:tcBorders>
              <w:top w:val="nil"/>
              <w:left w:val="nil"/>
              <w:bottom w:val="single" w:sz="4" w:space="0" w:color="auto"/>
              <w:right w:val="single" w:sz="4" w:space="0" w:color="auto"/>
            </w:tcBorders>
            <w:shd w:val="clear" w:color="auto" w:fill="auto"/>
            <w:noWrap/>
            <w:vAlign w:val="bottom"/>
            <w:hideMark/>
          </w:tcPr>
          <w:p w:rsidR="00B17370" w:rsidRPr="00B442B9" w:rsidRDefault="00B17370" w:rsidP="00553F5A">
            <w:pPr>
              <w:jc w:val="right"/>
              <w:rPr>
                <w:b/>
                <w:bCs/>
                <w:color w:val="000000"/>
              </w:rPr>
            </w:pPr>
            <w:r w:rsidRPr="00B442B9">
              <w:rPr>
                <w:b/>
                <w:bCs/>
                <w:color w:val="000000"/>
              </w:rPr>
              <w:t>16,38613</w:t>
            </w:r>
          </w:p>
        </w:tc>
        <w:tc>
          <w:tcPr>
            <w:tcW w:w="1729" w:type="dxa"/>
            <w:tcBorders>
              <w:top w:val="nil"/>
              <w:left w:val="nil"/>
              <w:bottom w:val="single" w:sz="4" w:space="0" w:color="auto"/>
              <w:right w:val="single" w:sz="4" w:space="0" w:color="auto"/>
            </w:tcBorders>
            <w:shd w:val="clear" w:color="auto" w:fill="auto"/>
            <w:noWrap/>
            <w:vAlign w:val="bottom"/>
            <w:hideMark/>
          </w:tcPr>
          <w:p w:rsidR="00B17370" w:rsidRPr="00B442B9" w:rsidRDefault="00B17370" w:rsidP="00553F5A">
            <w:pPr>
              <w:jc w:val="right"/>
              <w:rPr>
                <w:b/>
                <w:bCs/>
                <w:color w:val="000000"/>
              </w:rPr>
            </w:pPr>
            <w:r w:rsidRPr="00B442B9">
              <w:rPr>
                <w:b/>
                <w:bCs/>
                <w:color w:val="000000"/>
              </w:rPr>
              <w:t>16,49465</w:t>
            </w:r>
          </w:p>
        </w:tc>
      </w:tr>
      <w:tr w:rsidR="00B17370" w:rsidRPr="00B442B9" w:rsidTr="00553F5A">
        <w:trPr>
          <w:trHeight w:val="300"/>
          <w:jc w:val="center"/>
        </w:trPr>
        <w:tc>
          <w:tcPr>
            <w:tcW w:w="2227" w:type="dxa"/>
            <w:tcBorders>
              <w:top w:val="nil"/>
              <w:left w:val="single" w:sz="4" w:space="0" w:color="auto"/>
              <w:bottom w:val="single" w:sz="4" w:space="0" w:color="auto"/>
              <w:right w:val="single" w:sz="4" w:space="0" w:color="auto"/>
            </w:tcBorders>
            <w:shd w:val="clear" w:color="auto" w:fill="auto"/>
            <w:noWrap/>
            <w:vAlign w:val="bottom"/>
            <w:hideMark/>
          </w:tcPr>
          <w:p w:rsidR="00B17370" w:rsidRPr="00B442B9" w:rsidRDefault="00B17370" w:rsidP="00553F5A">
            <w:pPr>
              <w:rPr>
                <w:color w:val="000000"/>
              </w:rPr>
            </w:pPr>
            <w:r w:rsidRPr="00B442B9">
              <w:rPr>
                <w:color w:val="000000"/>
              </w:rPr>
              <w:t>ARIMA(2;1;0)</w:t>
            </w:r>
          </w:p>
        </w:tc>
        <w:tc>
          <w:tcPr>
            <w:tcW w:w="1682" w:type="dxa"/>
            <w:tcBorders>
              <w:top w:val="nil"/>
              <w:left w:val="nil"/>
              <w:bottom w:val="single" w:sz="4" w:space="0" w:color="auto"/>
              <w:right w:val="single" w:sz="4" w:space="0" w:color="auto"/>
            </w:tcBorders>
            <w:shd w:val="clear" w:color="auto" w:fill="auto"/>
            <w:noWrap/>
            <w:vAlign w:val="bottom"/>
            <w:hideMark/>
          </w:tcPr>
          <w:p w:rsidR="00B17370" w:rsidRPr="00B442B9" w:rsidRDefault="00B17370" w:rsidP="00553F5A">
            <w:pPr>
              <w:jc w:val="right"/>
              <w:rPr>
                <w:color w:val="000000"/>
              </w:rPr>
            </w:pPr>
            <w:r w:rsidRPr="00B442B9">
              <w:rPr>
                <w:color w:val="000000"/>
              </w:rPr>
              <w:t>16,94019</w:t>
            </w:r>
          </w:p>
        </w:tc>
        <w:tc>
          <w:tcPr>
            <w:tcW w:w="1729" w:type="dxa"/>
            <w:tcBorders>
              <w:top w:val="nil"/>
              <w:left w:val="nil"/>
              <w:bottom w:val="single" w:sz="4" w:space="0" w:color="auto"/>
              <w:right w:val="single" w:sz="4" w:space="0" w:color="auto"/>
            </w:tcBorders>
            <w:shd w:val="clear" w:color="auto" w:fill="auto"/>
            <w:noWrap/>
            <w:vAlign w:val="bottom"/>
            <w:hideMark/>
          </w:tcPr>
          <w:p w:rsidR="00B17370" w:rsidRPr="00B442B9" w:rsidRDefault="00B17370" w:rsidP="00553F5A">
            <w:pPr>
              <w:jc w:val="right"/>
              <w:rPr>
                <w:color w:val="000000"/>
              </w:rPr>
            </w:pPr>
            <w:r w:rsidRPr="00B442B9">
              <w:rPr>
                <w:color w:val="000000"/>
              </w:rPr>
              <w:t>17,00071</w:t>
            </w:r>
          </w:p>
        </w:tc>
      </w:tr>
      <w:tr w:rsidR="00B17370" w:rsidRPr="00B442B9" w:rsidTr="00553F5A">
        <w:trPr>
          <w:trHeight w:val="300"/>
          <w:jc w:val="center"/>
        </w:trPr>
        <w:tc>
          <w:tcPr>
            <w:tcW w:w="2227" w:type="dxa"/>
            <w:tcBorders>
              <w:top w:val="nil"/>
              <w:left w:val="single" w:sz="4" w:space="0" w:color="auto"/>
              <w:bottom w:val="single" w:sz="4" w:space="0" w:color="auto"/>
              <w:right w:val="single" w:sz="4" w:space="0" w:color="auto"/>
            </w:tcBorders>
            <w:shd w:val="clear" w:color="auto" w:fill="auto"/>
            <w:noWrap/>
            <w:vAlign w:val="bottom"/>
            <w:hideMark/>
          </w:tcPr>
          <w:p w:rsidR="00B17370" w:rsidRPr="00B442B9" w:rsidRDefault="00B17370" w:rsidP="00553F5A">
            <w:pPr>
              <w:rPr>
                <w:color w:val="000000"/>
              </w:rPr>
            </w:pPr>
            <w:r w:rsidRPr="00B442B9">
              <w:rPr>
                <w:color w:val="000000"/>
              </w:rPr>
              <w:t>ARIMA(2;1;1)</w:t>
            </w:r>
          </w:p>
        </w:tc>
        <w:tc>
          <w:tcPr>
            <w:tcW w:w="1682" w:type="dxa"/>
            <w:tcBorders>
              <w:top w:val="nil"/>
              <w:left w:val="nil"/>
              <w:bottom w:val="single" w:sz="4" w:space="0" w:color="auto"/>
              <w:right w:val="single" w:sz="4" w:space="0" w:color="auto"/>
            </w:tcBorders>
            <w:shd w:val="clear" w:color="auto" w:fill="auto"/>
            <w:noWrap/>
            <w:vAlign w:val="bottom"/>
            <w:hideMark/>
          </w:tcPr>
          <w:p w:rsidR="00B17370" w:rsidRPr="00B442B9" w:rsidRDefault="00B17370" w:rsidP="00553F5A">
            <w:pPr>
              <w:jc w:val="right"/>
              <w:rPr>
                <w:color w:val="000000"/>
              </w:rPr>
            </w:pPr>
            <w:r w:rsidRPr="00B442B9">
              <w:rPr>
                <w:color w:val="000000"/>
              </w:rPr>
              <w:t>14,62695</w:t>
            </w:r>
          </w:p>
        </w:tc>
        <w:tc>
          <w:tcPr>
            <w:tcW w:w="1729" w:type="dxa"/>
            <w:tcBorders>
              <w:top w:val="nil"/>
              <w:left w:val="nil"/>
              <w:bottom w:val="single" w:sz="4" w:space="0" w:color="auto"/>
              <w:right w:val="single" w:sz="4" w:space="0" w:color="auto"/>
            </w:tcBorders>
            <w:shd w:val="clear" w:color="auto" w:fill="auto"/>
            <w:noWrap/>
            <w:vAlign w:val="bottom"/>
            <w:hideMark/>
          </w:tcPr>
          <w:p w:rsidR="00B17370" w:rsidRPr="00B442B9" w:rsidRDefault="00B17370" w:rsidP="00553F5A">
            <w:pPr>
              <w:jc w:val="right"/>
              <w:rPr>
                <w:color w:val="000000"/>
              </w:rPr>
            </w:pPr>
            <w:r w:rsidRPr="00B442B9">
              <w:rPr>
                <w:color w:val="000000"/>
              </w:rPr>
              <w:t>14,71773</w:t>
            </w:r>
          </w:p>
        </w:tc>
      </w:tr>
      <w:tr w:rsidR="00B17370" w:rsidRPr="00B442B9" w:rsidTr="00553F5A">
        <w:trPr>
          <w:trHeight w:val="300"/>
          <w:jc w:val="center"/>
        </w:trPr>
        <w:tc>
          <w:tcPr>
            <w:tcW w:w="2227" w:type="dxa"/>
            <w:tcBorders>
              <w:top w:val="nil"/>
              <w:left w:val="single" w:sz="4" w:space="0" w:color="auto"/>
              <w:bottom w:val="single" w:sz="4" w:space="0" w:color="auto"/>
              <w:right w:val="single" w:sz="4" w:space="0" w:color="auto"/>
            </w:tcBorders>
            <w:shd w:val="clear" w:color="auto" w:fill="auto"/>
            <w:noWrap/>
            <w:vAlign w:val="bottom"/>
            <w:hideMark/>
          </w:tcPr>
          <w:p w:rsidR="00B17370" w:rsidRPr="00B442B9" w:rsidRDefault="00B17370" w:rsidP="00553F5A">
            <w:pPr>
              <w:rPr>
                <w:color w:val="000000"/>
              </w:rPr>
            </w:pPr>
            <w:r w:rsidRPr="00B442B9">
              <w:rPr>
                <w:color w:val="000000"/>
              </w:rPr>
              <w:t>ARIMA(2;1;2)</w:t>
            </w:r>
          </w:p>
        </w:tc>
        <w:tc>
          <w:tcPr>
            <w:tcW w:w="1682" w:type="dxa"/>
            <w:tcBorders>
              <w:top w:val="nil"/>
              <w:left w:val="nil"/>
              <w:bottom w:val="single" w:sz="4" w:space="0" w:color="auto"/>
              <w:right w:val="single" w:sz="4" w:space="0" w:color="auto"/>
            </w:tcBorders>
            <w:shd w:val="clear" w:color="auto" w:fill="auto"/>
            <w:noWrap/>
            <w:vAlign w:val="bottom"/>
            <w:hideMark/>
          </w:tcPr>
          <w:p w:rsidR="00B17370" w:rsidRPr="00B442B9" w:rsidRDefault="00B17370" w:rsidP="00553F5A">
            <w:pPr>
              <w:jc w:val="right"/>
              <w:rPr>
                <w:color w:val="000000"/>
              </w:rPr>
            </w:pPr>
            <w:r w:rsidRPr="00B442B9">
              <w:rPr>
                <w:color w:val="000000"/>
              </w:rPr>
              <w:t>16,08830</w:t>
            </w:r>
          </w:p>
        </w:tc>
        <w:tc>
          <w:tcPr>
            <w:tcW w:w="1729" w:type="dxa"/>
            <w:tcBorders>
              <w:top w:val="nil"/>
              <w:left w:val="nil"/>
              <w:bottom w:val="single" w:sz="4" w:space="0" w:color="auto"/>
              <w:right w:val="single" w:sz="4" w:space="0" w:color="auto"/>
            </w:tcBorders>
            <w:shd w:val="clear" w:color="auto" w:fill="auto"/>
            <w:noWrap/>
            <w:vAlign w:val="bottom"/>
            <w:hideMark/>
          </w:tcPr>
          <w:p w:rsidR="00B17370" w:rsidRPr="00B442B9" w:rsidRDefault="00B17370" w:rsidP="00553F5A">
            <w:pPr>
              <w:jc w:val="right"/>
              <w:rPr>
                <w:color w:val="000000"/>
              </w:rPr>
            </w:pPr>
            <w:r w:rsidRPr="00B442B9">
              <w:rPr>
                <w:color w:val="000000"/>
              </w:rPr>
              <w:t>16,17908</w:t>
            </w:r>
          </w:p>
        </w:tc>
      </w:tr>
    </w:tbl>
    <w:p w:rsidR="00B17370" w:rsidRPr="00B442B9" w:rsidRDefault="00B17370" w:rsidP="00B17370">
      <w:pPr>
        <w:tabs>
          <w:tab w:val="center" w:pos="4680"/>
          <w:tab w:val="left" w:pos="5235"/>
          <w:tab w:val="right" w:pos="9360"/>
        </w:tabs>
      </w:pPr>
      <w:r>
        <w:t xml:space="preserve">                                   </w:t>
      </w:r>
      <w:r w:rsidRPr="00B442B9">
        <w:t>Šaltinis: sudaryta pagal Eviews 8 programos skaičiavimus</w:t>
      </w:r>
    </w:p>
    <w:p w:rsidR="00B17370" w:rsidRPr="00E92012" w:rsidRDefault="00B17370" w:rsidP="00B17370">
      <w:pPr>
        <w:tabs>
          <w:tab w:val="left" w:pos="5235"/>
        </w:tabs>
        <w:jc w:val="center"/>
      </w:pPr>
    </w:p>
    <w:p w:rsidR="00B17370" w:rsidRPr="00E92012" w:rsidRDefault="00B17370" w:rsidP="00B17370">
      <w:pPr>
        <w:tabs>
          <w:tab w:val="left" w:pos="5235"/>
        </w:tabs>
        <w:jc w:val="center"/>
      </w:pPr>
      <w:r>
        <w:rPr>
          <w:noProof/>
          <w:lang w:val="en-US"/>
        </w:rPr>
        <w:lastRenderedPageBreak/>
        <w:drawing>
          <wp:inline distT="0" distB="0" distL="0" distR="0">
            <wp:extent cx="2743200" cy="2495550"/>
            <wp:effectExtent l="19050" t="0" r="0" b="0"/>
            <wp:docPr id="15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6" cstate="print"/>
                    <a:srcRect l="27245" t="27937" r="38782" b="17046"/>
                    <a:stretch>
                      <a:fillRect/>
                    </a:stretch>
                  </pic:blipFill>
                  <pic:spPr bwMode="auto">
                    <a:xfrm>
                      <a:off x="0" y="0"/>
                      <a:ext cx="2743200" cy="2495550"/>
                    </a:xfrm>
                    <a:prstGeom prst="rect">
                      <a:avLst/>
                    </a:prstGeom>
                    <a:noFill/>
                    <a:ln w="9525">
                      <a:noFill/>
                      <a:miter lim="800000"/>
                      <a:headEnd/>
                      <a:tailEnd/>
                    </a:ln>
                  </pic:spPr>
                </pic:pic>
              </a:graphicData>
            </a:graphic>
          </wp:inline>
        </w:drawing>
      </w:r>
    </w:p>
    <w:p w:rsidR="00B17370" w:rsidRDefault="00B17370" w:rsidP="00B17370">
      <w:r w:rsidRPr="00E92012">
        <w:tab/>
        <w:t xml:space="preserve">                                     </w:t>
      </w:r>
      <w:r>
        <w:t xml:space="preserve">              </w:t>
      </w:r>
      <w:r w:rsidRPr="00E92012">
        <w:t xml:space="preserve"> Šaltinis: Eviews 8 programa</w:t>
      </w:r>
    </w:p>
    <w:p w:rsidR="00B17370" w:rsidRPr="00E92012" w:rsidRDefault="00B17370" w:rsidP="00B17370"/>
    <w:p w:rsidR="00B17370" w:rsidRDefault="00B17370" w:rsidP="00B17370">
      <w:pPr>
        <w:tabs>
          <w:tab w:val="left" w:pos="5235"/>
        </w:tabs>
        <w:jc w:val="center"/>
        <w:rPr>
          <w:sz w:val="24"/>
          <w:szCs w:val="24"/>
        </w:rPr>
      </w:pPr>
      <w:r w:rsidRPr="00E92012">
        <w:rPr>
          <w:sz w:val="24"/>
          <w:szCs w:val="24"/>
        </w:rPr>
        <w:t>2pav. ARIMA(1;</w:t>
      </w:r>
      <w:r>
        <w:rPr>
          <w:sz w:val="24"/>
          <w:szCs w:val="24"/>
        </w:rPr>
        <w:t xml:space="preserve">1;2) modelio įvertinimo langas </w:t>
      </w:r>
    </w:p>
    <w:p w:rsidR="00B17370" w:rsidRDefault="00B17370" w:rsidP="00B17370">
      <w:pPr>
        <w:tabs>
          <w:tab w:val="left" w:pos="5235"/>
        </w:tabs>
        <w:jc w:val="center"/>
        <w:rPr>
          <w:sz w:val="24"/>
          <w:szCs w:val="24"/>
        </w:rPr>
      </w:pPr>
    </w:p>
    <w:p w:rsidR="00B17370" w:rsidRPr="00E92012" w:rsidRDefault="00B17370" w:rsidP="00B17370">
      <w:pPr>
        <w:tabs>
          <w:tab w:val="left" w:pos="5235"/>
        </w:tabs>
        <w:jc w:val="center"/>
        <w:rPr>
          <w:sz w:val="24"/>
          <w:szCs w:val="24"/>
        </w:rPr>
      </w:pPr>
    </w:p>
    <w:p w:rsidR="00B17370" w:rsidRPr="00E92012" w:rsidRDefault="00B17370" w:rsidP="00B17370">
      <w:pPr>
        <w:tabs>
          <w:tab w:val="left" w:pos="3555"/>
          <w:tab w:val="left" w:pos="5235"/>
        </w:tabs>
        <w:jc w:val="center"/>
      </w:pPr>
      <w:r>
        <w:rPr>
          <w:noProof/>
          <w:lang w:val="en-US"/>
        </w:rPr>
        <w:drawing>
          <wp:inline distT="0" distB="0" distL="0" distR="0">
            <wp:extent cx="2695575" cy="2085975"/>
            <wp:effectExtent l="19050" t="0" r="9525" b="0"/>
            <wp:docPr id="15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7" cstate="print"/>
                    <a:srcRect l="27243" t="27368" r="38622" b="25592"/>
                    <a:stretch>
                      <a:fillRect/>
                    </a:stretch>
                  </pic:blipFill>
                  <pic:spPr bwMode="auto">
                    <a:xfrm>
                      <a:off x="0" y="0"/>
                      <a:ext cx="2695575" cy="2085975"/>
                    </a:xfrm>
                    <a:prstGeom prst="rect">
                      <a:avLst/>
                    </a:prstGeom>
                    <a:noFill/>
                    <a:ln w="9525">
                      <a:noFill/>
                      <a:miter lim="800000"/>
                      <a:headEnd/>
                      <a:tailEnd/>
                    </a:ln>
                  </pic:spPr>
                </pic:pic>
              </a:graphicData>
            </a:graphic>
          </wp:inline>
        </w:drawing>
      </w:r>
    </w:p>
    <w:p w:rsidR="00B17370" w:rsidRDefault="00B17370" w:rsidP="00B17370">
      <w:pPr>
        <w:tabs>
          <w:tab w:val="left" w:pos="5235"/>
        </w:tabs>
      </w:pPr>
      <w:r w:rsidRPr="00E92012">
        <w:t xml:space="preserve">                               </w:t>
      </w:r>
      <w:r>
        <w:t xml:space="preserve">                       </w:t>
      </w:r>
      <w:r w:rsidRPr="0070446C">
        <w:t>Šaltinis: Eviews 8 programa</w:t>
      </w:r>
    </w:p>
    <w:p w:rsidR="00B17370" w:rsidRPr="0070446C" w:rsidRDefault="00B17370" w:rsidP="00B17370">
      <w:pPr>
        <w:tabs>
          <w:tab w:val="left" w:pos="5235"/>
        </w:tabs>
      </w:pPr>
    </w:p>
    <w:p w:rsidR="00B17370" w:rsidRPr="00375DBD" w:rsidRDefault="00B17370" w:rsidP="00B17370">
      <w:pPr>
        <w:tabs>
          <w:tab w:val="left" w:pos="5235"/>
        </w:tabs>
        <w:jc w:val="center"/>
        <w:rPr>
          <w:sz w:val="24"/>
          <w:szCs w:val="24"/>
        </w:rPr>
      </w:pPr>
      <w:r w:rsidRPr="00375DBD">
        <w:rPr>
          <w:sz w:val="24"/>
          <w:szCs w:val="24"/>
        </w:rPr>
        <w:t xml:space="preserve">3 pav. ARIMA(1;1;2) modelio liekamųjų paklaidų korelograma </w:t>
      </w:r>
    </w:p>
    <w:p w:rsidR="00B17370" w:rsidRPr="00375DBD" w:rsidRDefault="00B17370" w:rsidP="00B17370">
      <w:pPr>
        <w:tabs>
          <w:tab w:val="left" w:pos="5235"/>
        </w:tabs>
        <w:rPr>
          <w:sz w:val="24"/>
          <w:szCs w:val="24"/>
        </w:rPr>
      </w:pPr>
    </w:p>
    <w:p w:rsidR="00B17370" w:rsidRPr="00E92012" w:rsidRDefault="00B17370" w:rsidP="00B17370">
      <w:pPr>
        <w:tabs>
          <w:tab w:val="left" w:pos="5235"/>
        </w:tabs>
        <w:jc w:val="center"/>
      </w:pPr>
    </w:p>
    <w:p w:rsidR="00B17370" w:rsidRDefault="00B17370" w:rsidP="00B17370">
      <w:pPr>
        <w:tabs>
          <w:tab w:val="left" w:pos="5235"/>
        </w:tabs>
        <w:jc w:val="center"/>
      </w:pPr>
    </w:p>
    <w:p w:rsidR="00B17370" w:rsidRDefault="00B17370" w:rsidP="00B17370">
      <w:pPr>
        <w:tabs>
          <w:tab w:val="left" w:pos="5235"/>
        </w:tabs>
        <w:jc w:val="center"/>
      </w:pPr>
    </w:p>
    <w:p w:rsidR="00B17370" w:rsidRDefault="00B17370" w:rsidP="00B17370">
      <w:pPr>
        <w:tabs>
          <w:tab w:val="left" w:pos="5235"/>
        </w:tabs>
        <w:jc w:val="center"/>
      </w:pPr>
    </w:p>
    <w:p w:rsidR="00B17370" w:rsidRDefault="00B17370" w:rsidP="00B17370">
      <w:pPr>
        <w:tabs>
          <w:tab w:val="left" w:pos="5235"/>
        </w:tabs>
        <w:jc w:val="center"/>
      </w:pPr>
    </w:p>
    <w:p w:rsidR="00B17370" w:rsidRDefault="00B17370" w:rsidP="00B17370">
      <w:pPr>
        <w:tabs>
          <w:tab w:val="left" w:pos="5235"/>
        </w:tabs>
        <w:jc w:val="center"/>
      </w:pPr>
    </w:p>
    <w:p w:rsidR="00B17370" w:rsidRDefault="00B17370" w:rsidP="00B17370">
      <w:pPr>
        <w:tabs>
          <w:tab w:val="left" w:pos="5235"/>
        </w:tabs>
        <w:jc w:val="center"/>
      </w:pPr>
    </w:p>
    <w:p w:rsidR="00B17370" w:rsidRDefault="00B17370" w:rsidP="00B17370">
      <w:pPr>
        <w:tabs>
          <w:tab w:val="left" w:pos="5235"/>
        </w:tabs>
        <w:jc w:val="center"/>
      </w:pPr>
    </w:p>
    <w:p w:rsidR="00B17370" w:rsidRDefault="00B17370" w:rsidP="00B17370">
      <w:pPr>
        <w:tabs>
          <w:tab w:val="left" w:pos="5235"/>
        </w:tabs>
        <w:jc w:val="center"/>
      </w:pPr>
    </w:p>
    <w:p w:rsidR="00B17370" w:rsidRDefault="00B17370" w:rsidP="00B17370">
      <w:pPr>
        <w:tabs>
          <w:tab w:val="left" w:pos="5235"/>
        </w:tabs>
        <w:jc w:val="center"/>
      </w:pPr>
    </w:p>
    <w:p w:rsidR="00B17370" w:rsidRDefault="00B17370" w:rsidP="00B17370">
      <w:pPr>
        <w:tabs>
          <w:tab w:val="left" w:pos="5235"/>
        </w:tabs>
        <w:jc w:val="center"/>
      </w:pPr>
    </w:p>
    <w:p w:rsidR="00B17370" w:rsidRDefault="00B17370" w:rsidP="00B17370">
      <w:pPr>
        <w:tabs>
          <w:tab w:val="left" w:pos="5235"/>
        </w:tabs>
        <w:jc w:val="center"/>
      </w:pPr>
    </w:p>
    <w:p w:rsidR="00B17370" w:rsidRPr="00E92012" w:rsidRDefault="00B17370" w:rsidP="00E639DD">
      <w:pPr>
        <w:tabs>
          <w:tab w:val="left" w:pos="5235"/>
        </w:tabs>
        <w:ind w:firstLine="0"/>
      </w:pPr>
    </w:p>
    <w:p w:rsidR="00B17370" w:rsidRPr="00E92012" w:rsidRDefault="00B17370" w:rsidP="00B17370">
      <w:pPr>
        <w:tabs>
          <w:tab w:val="left" w:pos="5235"/>
        </w:tabs>
        <w:jc w:val="center"/>
      </w:pPr>
    </w:p>
    <w:p w:rsidR="00B17370" w:rsidRPr="00375DBD" w:rsidRDefault="00B17370" w:rsidP="00B17370">
      <w:pPr>
        <w:tabs>
          <w:tab w:val="left" w:pos="5235"/>
        </w:tabs>
        <w:jc w:val="right"/>
        <w:rPr>
          <w:b/>
          <w:sz w:val="24"/>
          <w:szCs w:val="24"/>
        </w:rPr>
      </w:pPr>
      <w:r w:rsidRPr="00375DBD">
        <w:rPr>
          <w:b/>
          <w:sz w:val="24"/>
          <w:szCs w:val="24"/>
        </w:rPr>
        <w:lastRenderedPageBreak/>
        <w:t>12 PRIEDAS</w:t>
      </w:r>
    </w:p>
    <w:p w:rsidR="00B17370" w:rsidRPr="00375DBD" w:rsidRDefault="00B17370" w:rsidP="00B17370">
      <w:pPr>
        <w:tabs>
          <w:tab w:val="left" w:pos="5235"/>
        </w:tabs>
        <w:jc w:val="right"/>
        <w:rPr>
          <w:b/>
          <w:sz w:val="24"/>
          <w:szCs w:val="24"/>
        </w:rPr>
      </w:pPr>
    </w:p>
    <w:p w:rsidR="00B17370" w:rsidRDefault="00B17370" w:rsidP="00B17370">
      <w:pPr>
        <w:tabs>
          <w:tab w:val="left" w:pos="5235"/>
        </w:tabs>
        <w:jc w:val="center"/>
        <w:rPr>
          <w:b/>
          <w:sz w:val="24"/>
          <w:szCs w:val="24"/>
        </w:rPr>
      </w:pPr>
      <w:r w:rsidRPr="00375DBD">
        <w:rPr>
          <w:b/>
          <w:sz w:val="24"/>
          <w:szCs w:val="24"/>
        </w:rPr>
        <w:t>LATVIJOS VALSTYBĖS SKOLOS PROGNOZAVIMAS ARIMA METODU</w:t>
      </w:r>
    </w:p>
    <w:p w:rsidR="00B17370" w:rsidRPr="00375DBD" w:rsidRDefault="00B17370" w:rsidP="00B17370">
      <w:pPr>
        <w:tabs>
          <w:tab w:val="left" w:pos="5235"/>
        </w:tabs>
        <w:jc w:val="center"/>
        <w:rPr>
          <w:b/>
          <w:sz w:val="24"/>
          <w:szCs w:val="24"/>
        </w:rPr>
      </w:pPr>
    </w:p>
    <w:p w:rsidR="00B17370" w:rsidRPr="00E92012" w:rsidRDefault="00B17370" w:rsidP="00B17370">
      <w:pPr>
        <w:tabs>
          <w:tab w:val="left" w:pos="5235"/>
        </w:tabs>
        <w:jc w:val="right"/>
      </w:pPr>
    </w:p>
    <w:p w:rsidR="00B17370" w:rsidRPr="00E92012" w:rsidRDefault="00E639DD" w:rsidP="00B17370">
      <w:pPr>
        <w:tabs>
          <w:tab w:val="left" w:pos="3555"/>
          <w:tab w:val="left" w:pos="5235"/>
        </w:tabs>
        <w:jc w:val="center"/>
      </w:pPr>
      <w:r>
        <w:rPr>
          <w:noProof/>
          <w:lang w:val="en-US"/>
        </w:rPr>
        <w:drawing>
          <wp:anchor distT="0" distB="0" distL="114300" distR="114300" simplePos="0" relativeHeight="251668480" behindDoc="0" locked="0" layoutInCell="1" allowOverlap="1">
            <wp:simplePos x="0" y="0"/>
            <wp:positionH relativeFrom="column">
              <wp:posOffset>1847850</wp:posOffset>
            </wp:positionH>
            <wp:positionV relativeFrom="paragraph">
              <wp:posOffset>105410</wp:posOffset>
            </wp:positionV>
            <wp:extent cx="2609850" cy="1990725"/>
            <wp:effectExtent l="19050" t="0" r="0" b="0"/>
            <wp:wrapSquare wrapText="bothSides"/>
            <wp:docPr id="1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8" cstate="print"/>
                    <a:srcRect l="46153" t="44469" r="20354" b="10208"/>
                    <a:stretch>
                      <a:fillRect/>
                    </a:stretch>
                  </pic:blipFill>
                  <pic:spPr bwMode="auto">
                    <a:xfrm>
                      <a:off x="0" y="0"/>
                      <a:ext cx="2609850" cy="1990725"/>
                    </a:xfrm>
                    <a:prstGeom prst="rect">
                      <a:avLst/>
                    </a:prstGeom>
                    <a:noFill/>
                    <a:ln w="9525">
                      <a:noFill/>
                      <a:miter lim="800000"/>
                      <a:headEnd/>
                      <a:tailEnd/>
                    </a:ln>
                  </pic:spPr>
                </pic:pic>
              </a:graphicData>
            </a:graphic>
          </wp:anchor>
        </w:drawing>
      </w:r>
    </w:p>
    <w:p w:rsidR="00B17370" w:rsidRPr="00E92012" w:rsidRDefault="00B17370" w:rsidP="00B17370">
      <w:pPr>
        <w:tabs>
          <w:tab w:val="left" w:pos="5235"/>
        </w:tabs>
        <w:jc w:val="center"/>
      </w:pPr>
    </w:p>
    <w:p w:rsidR="00B17370" w:rsidRPr="00E92012" w:rsidRDefault="00B17370" w:rsidP="00B17370">
      <w:pPr>
        <w:tabs>
          <w:tab w:val="left" w:pos="5235"/>
        </w:tabs>
        <w:jc w:val="center"/>
      </w:pPr>
    </w:p>
    <w:p w:rsidR="00B17370" w:rsidRPr="00E92012" w:rsidRDefault="00B17370" w:rsidP="00B17370">
      <w:pPr>
        <w:tabs>
          <w:tab w:val="left" w:pos="5235"/>
        </w:tabs>
        <w:jc w:val="center"/>
      </w:pPr>
    </w:p>
    <w:p w:rsidR="00B17370" w:rsidRPr="00E92012" w:rsidRDefault="00B17370" w:rsidP="00B17370">
      <w:pPr>
        <w:tabs>
          <w:tab w:val="left" w:pos="5235"/>
        </w:tabs>
        <w:jc w:val="center"/>
      </w:pPr>
    </w:p>
    <w:p w:rsidR="00B17370" w:rsidRPr="00E92012" w:rsidRDefault="00B17370" w:rsidP="00B17370">
      <w:pPr>
        <w:tabs>
          <w:tab w:val="left" w:pos="5235"/>
        </w:tabs>
        <w:jc w:val="center"/>
      </w:pPr>
    </w:p>
    <w:p w:rsidR="00B17370" w:rsidRPr="00E92012" w:rsidRDefault="00B17370" w:rsidP="00B17370">
      <w:pPr>
        <w:tabs>
          <w:tab w:val="left" w:pos="5235"/>
        </w:tabs>
        <w:jc w:val="center"/>
      </w:pPr>
    </w:p>
    <w:p w:rsidR="00B17370" w:rsidRDefault="00B17370" w:rsidP="00B17370">
      <w:pPr>
        <w:tabs>
          <w:tab w:val="left" w:pos="5235"/>
        </w:tabs>
        <w:jc w:val="center"/>
      </w:pPr>
    </w:p>
    <w:p w:rsidR="00B17370" w:rsidRDefault="00B17370" w:rsidP="00B17370">
      <w:pPr>
        <w:tabs>
          <w:tab w:val="left" w:pos="5235"/>
        </w:tabs>
        <w:jc w:val="center"/>
      </w:pPr>
    </w:p>
    <w:p w:rsidR="00B17370" w:rsidRDefault="00B17370" w:rsidP="00B17370">
      <w:pPr>
        <w:tabs>
          <w:tab w:val="left" w:pos="5235"/>
        </w:tabs>
        <w:jc w:val="center"/>
      </w:pPr>
    </w:p>
    <w:p w:rsidR="00B17370" w:rsidRDefault="00B17370" w:rsidP="00B17370">
      <w:pPr>
        <w:tabs>
          <w:tab w:val="left" w:pos="5235"/>
        </w:tabs>
        <w:jc w:val="center"/>
      </w:pPr>
    </w:p>
    <w:p w:rsidR="00E639DD" w:rsidRDefault="00E639DD" w:rsidP="00E639DD">
      <w:pPr>
        <w:ind w:firstLine="0"/>
      </w:pPr>
    </w:p>
    <w:p w:rsidR="00E639DD" w:rsidRDefault="00E639DD" w:rsidP="00E639DD">
      <w:pPr>
        <w:ind w:firstLine="0"/>
      </w:pPr>
    </w:p>
    <w:p w:rsidR="00E639DD" w:rsidRDefault="00E639DD" w:rsidP="00E639DD">
      <w:pPr>
        <w:ind w:firstLine="0"/>
      </w:pPr>
    </w:p>
    <w:p w:rsidR="00E639DD" w:rsidRDefault="00E639DD" w:rsidP="00E639DD">
      <w:pPr>
        <w:ind w:firstLine="0"/>
      </w:pPr>
    </w:p>
    <w:p w:rsidR="00B17370" w:rsidRDefault="00E639DD" w:rsidP="00E639DD">
      <w:pPr>
        <w:ind w:firstLine="0"/>
      </w:pPr>
      <w:r>
        <w:t xml:space="preserve">                                                           </w:t>
      </w:r>
      <w:r w:rsidR="00B17370" w:rsidRPr="00E92012">
        <w:t>Šaltinis: Eviews 8 programa</w:t>
      </w:r>
    </w:p>
    <w:p w:rsidR="00B17370" w:rsidRPr="00E92012" w:rsidRDefault="00B17370" w:rsidP="00B17370"/>
    <w:p w:rsidR="00B17370" w:rsidRDefault="00B17370" w:rsidP="00B17370">
      <w:pPr>
        <w:tabs>
          <w:tab w:val="left" w:pos="5235"/>
        </w:tabs>
        <w:jc w:val="center"/>
        <w:rPr>
          <w:sz w:val="24"/>
          <w:szCs w:val="24"/>
        </w:rPr>
      </w:pPr>
      <w:r w:rsidRPr="00375DBD">
        <w:rPr>
          <w:sz w:val="24"/>
          <w:szCs w:val="24"/>
        </w:rPr>
        <w:t>1 pav. Funkcijų ACF ir PACF, išdiferencijavus 1 kartą, įvertinimo langas</w:t>
      </w:r>
    </w:p>
    <w:p w:rsidR="00B17370" w:rsidRPr="00375DBD" w:rsidRDefault="00B17370" w:rsidP="00B17370">
      <w:pPr>
        <w:tabs>
          <w:tab w:val="left" w:pos="5235"/>
        </w:tabs>
        <w:jc w:val="center"/>
        <w:rPr>
          <w:sz w:val="24"/>
          <w:szCs w:val="24"/>
        </w:rPr>
      </w:pPr>
    </w:p>
    <w:p w:rsidR="00B17370" w:rsidRDefault="00B17370" w:rsidP="00B17370">
      <w:pPr>
        <w:tabs>
          <w:tab w:val="left" w:pos="5235"/>
        </w:tabs>
        <w:jc w:val="center"/>
      </w:pPr>
    </w:p>
    <w:p w:rsidR="00B17370" w:rsidRPr="00375DBD" w:rsidRDefault="00B17370" w:rsidP="00B17370">
      <w:pPr>
        <w:tabs>
          <w:tab w:val="left" w:pos="5235"/>
        </w:tabs>
        <w:jc w:val="center"/>
        <w:rPr>
          <w:sz w:val="24"/>
          <w:szCs w:val="24"/>
        </w:rPr>
      </w:pPr>
      <w:r w:rsidRPr="00375DBD">
        <w:rPr>
          <w:sz w:val="24"/>
          <w:szCs w:val="24"/>
        </w:rPr>
        <w:t>1</w:t>
      </w:r>
      <w:r>
        <w:rPr>
          <w:sz w:val="24"/>
          <w:szCs w:val="24"/>
        </w:rPr>
        <w:t xml:space="preserve"> </w:t>
      </w:r>
      <w:r w:rsidRPr="00375DBD">
        <w:rPr>
          <w:sz w:val="24"/>
          <w:szCs w:val="24"/>
        </w:rPr>
        <w:t>lentelė. AIC ir SIC kriterijų reikšmių palyginimas</w:t>
      </w:r>
    </w:p>
    <w:p w:rsidR="00B17370" w:rsidRDefault="00B17370" w:rsidP="00B17370">
      <w:pPr>
        <w:tabs>
          <w:tab w:val="left" w:pos="5235"/>
        </w:tabs>
        <w:jc w:val="center"/>
      </w:pPr>
    </w:p>
    <w:tbl>
      <w:tblPr>
        <w:tblW w:w="5527" w:type="dxa"/>
        <w:jc w:val="center"/>
        <w:tblInd w:w="-615" w:type="dxa"/>
        <w:tblLook w:val="04A0"/>
      </w:tblPr>
      <w:tblGrid>
        <w:gridCol w:w="2201"/>
        <w:gridCol w:w="1649"/>
        <w:gridCol w:w="1677"/>
      </w:tblGrid>
      <w:tr w:rsidR="00B17370" w:rsidRPr="00B442B9" w:rsidTr="00553F5A">
        <w:trPr>
          <w:trHeight w:val="300"/>
          <w:jc w:val="center"/>
        </w:trPr>
        <w:tc>
          <w:tcPr>
            <w:tcW w:w="2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7370" w:rsidRPr="00B442B9" w:rsidRDefault="00B17370" w:rsidP="00553F5A">
            <w:pPr>
              <w:rPr>
                <w:color w:val="000000"/>
              </w:rPr>
            </w:pPr>
            <w:r w:rsidRPr="00B442B9">
              <w:rPr>
                <w:color w:val="000000"/>
              </w:rPr>
              <w:t> </w:t>
            </w:r>
          </w:p>
        </w:tc>
        <w:tc>
          <w:tcPr>
            <w:tcW w:w="1649" w:type="dxa"/>
            <w:tcBorders>
              <w:top w:val="single" w:sz="4" w:space="0" w:color="auto"/>
              <w:left w:val="nil"/>
              <w:bottom w:val="single" w:sz="4" w:space="0" w:color="auto"/>
              <w:right w:val="single" w:sz="4" w:space="0" w:color="auto"/>
            </w:tcBorders>
            <w:shd w:val="clear" w:color="auto" w:fill="auto"/>
            <w:noWrap/>
            <w:vAlign w:val="bottom"/>
            <w:hideMark/>
          </w:tcPr>
          <w:p w:rsidR="00B17370" w:rsidRPr="00B442B9" w:rsidRDefault="00B17370" w:rsidP="00553F5A">
            <w:pPr>
              <w:rPr>
                <w:color w:val="000000"/>
              </w:rPr>
            </w:pPr>
            <w:r w:rsidRPr="00B442B9">
              <w:rPr>
                <w:color w:val="000000"/>
              </w:rPr>
              <w:t>AIC</w:t>
            </w:r>
          </w:p>
        </w:tc>
        <w:tc>
          <w:tcPr>
            <w:tcW w:w="1677" w:type="dxa"/>
            <w:tcBorders>
              <w:top w:val="single" w:sz="4" w:space="0" w:color="auto"/>
              <w:left w:val="nil"/>
              <w:bottom w:val="single" w:sz="4" w:space="0" w:color="auto"/>
              <w:right w:val="single" w:sz="4" w:space="0" w:color="auto"/>
            </w:tcBorders>
            <w:shd w:val="clear" w:color="auto" w:fill="auto"/>
            <w:noWrap/>
            <w:vAlign w:val="bottom"/>
            <w:hideMark/>
          </w:tcPr>
          <w:p w:rsidR="00B17370" w:rsidRPr="00B442B9" w:rsidRDefault="00B17370" w:rsidP="00553F5A">
            <w:pPr>
              <w:rPr>
                <w:color w:val="000000"/>
              </w:rPr>
            </w:pPr>
            <w:r w:rsidRPr="00B442B9">
              <w:rPr>
                <w:color w:val="000000"/>
              </w:rPr>
              <w:t>SIC</w:t>
            </w:r>
          </w:p>
        </w:tc>
      </w:tr>
      <w:tr w:rsidR="00B17370" w:rsidRPr="00B442B9" w:rsidTr="00553F5A">
        <w:trPr>
          <w:trHeight w:val="300"/>
          <w:jc w:val="center"/>
        </w:trPr>
        <w:tc>
          <w:tcPr>
            <w:tcW w:w="2201" w:type="dxa"/>
            <w:tcBorders>
              <w:top w:val="nil"/>
              <w:left w:val="single" w:sz="4" w:space="0" w:color="auto"/>
              <w:bottom w:val="single" w:sz="4" w:space="0" w:color="auto"/>
              <w:right w:val="single" w:sz="4" w:space="0" w:color="auto"/>
            </w:tcBorders>
            <w:shd w:val="clear" w:color="auto" w:fill="auto"/>
            <w:noWrap/>
            <w:vAlign w:val="bottom"/>
            <w:hideMark/>
          </w:tcPr>
          <w:p w:rsidR="00B17370" w:rsidRPr="00B442B9" w:rsidRDefault="00B17370" w:rsidP="00553F5A">
            <w:pPr>
              <w:rPr>
                <w:color w:val="000000"/>
              </w:rPr>
            </w:pPr>
            <w:r w:rsidRPr="00B442B9">
              <w:rPr>
                <w:color w:val="000000"/>
              </w:rPr>
              <w:t>ARIMA(0;1;1)</w:t>
            </w:r>
          </w:p>
        </w:tc>
        <w:tc>
          <w:tcPr>
            <w:tcW w:w="1649" w:type="dxa"/>
            <w:tcBorders>
              <w:top w:val="nil"/>
              <w:left w:val="nil"/>
              <w:bottom w:val="single" w:sz="4" w:space="0" w:color="auto"/>
              <w:right w:val="single" w:sz="4" w:space="0" w:color="auto"/>
            </w:tcBorders>
            <w:shd w:val="clear" w:color="auto" w:fill="auto"/>
            <w:noWrap/>
            <w:vAlign w:val="bottom"/>
            <w:hideMark/>
          </w:tcPr>
          <w:p w:rsidR="00B17370" w:rsidRPr="00B442B9" w:rsidRDefault="00B17370" w:rsidP="00553F5A">
            <w:pPr>
              <w:jc w:val="right"/>
              <w:rPr>
                <w:color w:val="000000"/>
              </w:rPr>
            </w:pPr>
            <w:r w:rsidRPr="00B442B9">
              <w:rPr>
                <w:color w:val="000000"/>
              </w:rPr>
              <w:t>16,22453</w:t>
            </w:r>
          </w:p>
        </w:tc>
        <w:tc>
          <w:tcPr>
            <w:tcW w:w="1677" w:type="dxa"/>
            <w:tcBorders>
              <w:top w:val="nil"/>
              <w:left w:val="nil"/>
              <w:bottom w:val="single" w:sz="4" w:space="0" w:color="auto"/>
              <w:right w:val="single" w:sz="4" w:space="0" w:color="auto"/>
            </w:tcBorders>
            <w:shd w:val="clear" w:color="auto" w:fill="auto"/>
            <w:noWrap/>
            <w:vAlign w:val="bottom"/>
            <w:hideMark/>
          </w:tcPr>
          <w:p w:rsidR="00B17370" w:rsidRPr="00B442B9" w:rsidRDefault="00B17370" w:rsidP="00553F5A">
            <w:pPr>
              <w:jc w:val="right"/>
              <w:rPr>
                <w:color w:val="000000"/>
              </w:rPr>
            </w:pPr>
            <w:r w:rsidRPr="00B442B9">
              <w:rPr>
                <w:color w:val="000000"/>
              </w:rPr>
              <w:t>16,30534</w:t>
            </w:r>
          </w:p>
        </w:tc>
      </w:tr>
      <w:tr w:rsidR="00B17370" w:rsidRPr="00B442B9" w:rsidTr="00553F5A">
        <w:trPr>
          <w:trHeight w:val="300"/>
          <w:jc w:val="center"/>
        </w:trPr>
        <w:tc>
          <w:tcPr>
            <w:tcW w:w="2201" w:type="dxa"/>
            <w:tcBorders>
              <w:top w:val="nil"/>
              <w:left w:val="single" w:sz="4" w:space="0" w:color="auto"/>
              <w:bottom w:val="single" w:sz="4" w:space="0" w:color="auto"/>
              <w:right w:val="single" w:sz="4" w:space="0" w:color="auto"/>
            </w:tcBorders>
            <w:shd w:val="clear" w:color="auto" w:fill="auto"/>
            <w:noWrap/>
            <w:vAlign w:val="bottom"/>
            <w:hideMark/>
          </w:tcPr>
          <w:p w:rsidR="00B17370" w:rsidRPr="00B442B9" w:rsidRDefault="00B17370" w:rsidP="00553F5A">
            <w:pPr>
              <w:rPr>
                <w:color w:val="000000"/>
              </w:rPr>
            </w:pPr>
            <w:r w:rsidRPr="00B442B9">
              <w:rPr>
                <w:color w:val="000000"/>
              </w:rPr>
              <w:t>ARIMA(0;1;2)</w:t>
            </w:r>
          </w:p>
        </w:tc>
        <w:tc>
          <w:tcPr>
            <w:tcW w:w="1649" w:type="dxa"/>
            <w:tcBorders>
              <w:top w:val="nil"/>
              <w:left w:val="nil"/>
              <w:bottom w:val="single" w:sz="4" w:space="0" w:color="auto"/>
              <w:right w:val="single" w:sz="4" w:space="0" w:color="auto"/>
            </w:tcBorders>
            <w:shd w:val="clear" w:color="auto" w:fill="auto"/>
            <w:noWrap/>
            <w:vAlign w:val="bottom"/>
            <w:hideMark/>
          </w:tcPr>
          <w:p w:rsidR="00B17370" w:rsidRPr="00B442B9" w:rsidRDefault="00B17370" w:rsidP="00553F5A">
            <w:pPr>
              <w:jc w:val="right"/>
              <w:rPr>
                <w:color w:val="000000"/>
              </w:rPr>
            </w:pPr>
            <w:r w:rsidRPr="00B442B9">
              <w:rPr>
                <w:color w:val="000000"/>
              </w:rPr>
              <w:t>14,67699</w:t>
            </w:r>
          </w:p>
        </w:tc>
        <w:tc>
          <w:tcPr>
            <w:tcW w:w="1677" w:type="dxa"/>
            <w:tcBorders>
              <w:top w:val="nil"/>
              <w:left w:val="nil"/>
              <w:bottom w:val="single" w:sz="4" w:space="0" w:color="auto"/>
              <w:right w:val="single" w:sz="4" w:space="0" w:color="auto"/>
            </w:tcBorders>
            <w:shd w:val="clear" w:color="auto" w:fill="auto"/>
            <w:noWrap/>
            <w:vAlign w:val="bottom"/>
            <w:hideMark/>
          </w:tcPr>
          <w:p w:rsidR="00B17370" w:rsidRPr="00B442B9" w:rsidRDefault="00B17370" w:rsidP="00553F5A">
            <w:pPr>
              <w:jc w:val="right"/>
              <w:rPr>
                <w:color w:val="000000"/>
              </w:rPr>
            </w:pPr>
            <w:r w:rsidRPr="00B442B9">
              <w:rPr>
                <w:color w:val="000000"/>
              </w:rPr>
              <w:t>16,75780</w:t>
            </w:r>
          </w:p>
        </w:tc>
      </w:tr>
      <w:tr w:rsidR="00B17370" w:rsidRPr="00B442B9" w:rsidTr="00553F5A">
        <w:trPr>
          <w:trHeight w:val="300"/>
          <w:jc w:val="center"/>
        </w:trPr>
        <w:tc>
          <w:tcPr>
            <w:tcW w:w="2201" w:type="dxa"/>
            <w:tcBorders>
              <w:top w:val="nil"/>
              <w:left w:val="single" w:sz="4" w:space="0" w:color="auto"/>
              <w:bottom w:val="single" w:sz="4" w:space="0" w:color="auto"/>
              <w:right w:val="single" w:sz="4" w:space="0" w:color="auto"/>
            </w:tcBorders>
            <w:shd w:val="clear" w:color="auto" w:fill="auto"/>
            <w:noWrap/>
            <w:vAlign w:val="bottom"/>
            <w:hideMark/>
          </w:tcPr>
          <w:p w:rsidR="00B17370" w:rsidRPr="00B442B9" w:rsidRDefault="00B17370" w:rsidP="00553F5A">
            <w:pPr>
              <w:rPr>
                <w:color w:val="000000"/>
              </w:rPr>
            </w:pPr>
            <w:r w:rsidRPr="00B442B9">
              <w:rPr>
                <w:color w:val="000000"/>
              </w:rPr>
              <w:t>ARIMA(1;1;0)</w:t>
            </w:r>
          </w:p>
        </w:tc>
        <w:tc>
          <w:tcPr>
            <w:tcW w:w="1649" w:type="dxa"/>
            <w:tcBorders>
              <w:top w:val="nil"/>
              <w:left w:val="nil"/>
              <w:bottom w:val="single" w:sz="4" w:space="0" w:color="auto"/>
              <w:right w:val="single" w:sz="4" w:space="0" w:color="auto"/>
            </w:tcBorders>
            <w:shd w:val="clear" w:color="auto" w:fill="auto"/>
            <w:noWrap/>
            <w:vAlign w:val="bottom"/>
            <w:hideMark/>
          </w:tcPr>
          <w:p w:rsidR="00B17370" w:rsidRPr="00B442B9" w:rsidRDefault="00B17370" w:rsidP="00553F5A">
            <w:pPr>
              <w:jc w:val="right"/>
              <w:rPr>
                <w:color w:val="000000"/>
              </w:rPr>
            </w:pPr>
            <w:r w:rsidRPr="00B442B9">
              <w:rPr>
                <w:color w:val="000000"/>
              </w:rPr>
              <w:t>16,39803</w:t>
            </w:r>
          </w:p>
        </w:tc>
        <w:tc>
          <w:tcPr>
            <w:tcW w:w="1677" w:type="dxa"/>
            <w:tcBorders>
              <w:top w:val="nil"/>
              <w:left w:val="nil"/>
              <w:bottom w:val="single" w:sz="4" w:space="0" w:color="auto"/>
              <w:right w:val="single" w:sz="4" w:space="0" w:color="auto"/>
            </w:tcBorders>
            <w:shd w:val="clear" w:color="auto" w:fill="auto"/>
            <w:noWrap/>
            <w:vAlign w:val="bottom"/>
            <w:hideMark/>
          </w:tcPr>
          <w:p w:rsidR="00B17370" w:rsidRPr="00B442B9" w:rsidRDefault="00B17370" w:rsidP="00553F5A">
            <w:pPr>
              <w:jc w:val="right"/>
              <w:rPr>
                <w:color w:val="000000"/>
              </w:rPr>
            </w:pPr>
            <w:r w:rsidRPr="00B442B9">
              <w:rPr>
                <w:color w:val="000000"/>
              </w:rPr>
              <w:t>16,47038</w:t>
            </w:r>
          </w:p>
        </w:tc>
      </w:tr>
      <w:tr w:rsidR="00B17370" w:rsidRPr="00B442B9" w:rsidTr="00553F5A">
        <w:trPr>
          <w:trHeight w:val="300"/>
          <w:jc w:val="center"/>
        </w:trPr>
        <w:tc>
          <w:tcPr>
            <w:tcW w:w="2201" w:type="dxa"/>
            <w:tcBorders>
              <w:top w:val="nil"/>
              <w:left w:val="single" w:sz="4" w:space="0" w:color="auto"/>
              <w:bottom w:val="single" w:sz="4" w:space="0" w:color="auto"/>
              <w:right w:val="single" w:sz="4" w:space="0" w:color="auto"/>
            </w:tcBorders>
            <w:shd w:val="clear" w:color="auto" w:fill="auto"/>
            <w:noWrap/>
            <w:vAlign w:val="bottom"/>
            <w:hideMark/>
          </w:tcPr>
          <w:p w:rsidR="00B17370" w:rsidRPr="00B442B9" w:rsidRDefault="00B17370" w:rsidP="00553F5A">
            <w:pPr>
              <w:rPr>
                <w:color w:val="000000"/>
              </w:rPr>
            </w:pPr>
            <w:r w:rsidRPr="00B442B9">
              <w:rPr>
                <w:color w:val="000000"/>
              </w:rPr>
              <w:t>ARIMA(1;1;1)</w:t>
            </w:r>
          </w:p>
        </w:tc>
        <w:tc>
          <w:tcPr>
            <w:tcW w:w="1649" w:type="dxa"/>
            <w:tcBorders>
              <w:top w:val="nil"/>
              <w:left w:val="nil"/>
              <w:bottom w:val="single" w:sz="4" w:space="0" w:color="auto"/>
              <w:right w:val="single" w:sz="4" w:space="0" w:color="auto"/>
            </w:tcBorders>
            <w:shd w:val="clear" w:color="auto" w:fill="auto"/>
            <w:noWrap/>
            <w:vAlign w:val="bottom"/>
            <w:hideMark/>
          </w:tcPr>
          <w:p w:rsidR="00B17370" w:rsidRPr="00B442B9" w:rsidRDefault="00B17370" w:rsidP="00553F5A">
            <w:pPr>
              <w:jc w:val="right"/>
              <w:rPr>
                <w:color w:val="000000"/>
              </w:rPr>
            </w:pPr>
            <w:r w:rsidRPr="00B442B9">
              <w:rPr>
                <w:color w:val="000000"/>
              </w:rPr>
              <w:t>16,46484</w:t>
            </w:r>
          </w:p>
        </w:tc>
        <w:tc>
          <w:tcPr>
            <w:tcW w:w="1677" w:type="dxa"/>
            <w:tcBorders>
              <w:top w:val="nil"/>
              <w:left w:val="nil"/>
              <w:bottom w:val="single" w:sz="4" w:space="0" w:color="auto"/>
              <w:right w:val="single" w:sz="4" w:space="0" w:color="auto"/>
            </w:tcBorders>
            <w:shd w:val="clear" w:color="auto" w:fill="auto"/>
            <w:noWrap/>
            <w:vAlign w:val="bottom"/>
            <w:hideMark/>
          </w:tcPr>
          <w:p w:rsidR="00B17370" w:rsidRPr="00B442B9" w:rsidRDefault="00B17370" w:rsidP="00553F5A">
            <w:pPr>
              <w:jc w:val="right"/>
              <w:rPr>
                <w:color w:val="000000"/>
              </w:rPr>
            </w:pPr>
            <w:r w:rsidRPr="00B442B9">
              <w:rPr>
                <w:color w:val="000000"/>
              </w:rPr>
              <w:t>16,57336</w:t>
            </w:r>
          </w:p>
        </w:tc>
      </w:tr>
      <w:tr w:rsidR="00B17370" w:rsidRPr="00B442B9" w:rsidTr="00553F5A">
        <w:trPr>
          <w:trHeight w:val="300"/>
          <w:jc w:val="center"/>
        </w:trPr>
        <w:tc>
          <w:tcPr>
            <w:tcW w:w="2201" w:type="dxa"/>
            <w:tcBorders>
              <w:top w:val="nil"/>
              <w:left w:val="single" w:sz="4" w:space="0" w:color="auto"/>
              <w:bottom w:val="single" w:sz="4" w:space="0" w:color="auto"/>
              <w:right w:val="single" w:sz="4" w:space="0" w:color="auto"/>
            </w:tcBorders>
            <w:shd w:val="clear" w:color="auto" w:fill="auto"/>
            <w:noWrap/>
            <w:vAlign w:val="bottom"/>
            <w:hideMark/>
          </w:tcPr>
          <w:p w:rsidR="00B17370" w:rsidRPr="00B442B9" w:rsidRDefault="00B17370" w:rsidP="00553F5A">
            <w:pPr>
              <w:rPr>
                <w:b/>
                <w:bCs/>
                <w:color w:val="000000"/>
              </w:rPr>
            </w:pPr>
            <w:r w:rsidRPr="00B442B9">
              <w:rPr>
                <w:b/>
                <w:bCs/>
                <w:color w:val="000000"/>
              </w:rPr>
              <w:t>ARIMA(1;1;2)</w:t>
            </w:r>
          </w:p>
        </w:tc>
        <w:tc>
          <w:tcPr>
            <w:tcW w:w="1649" w:type="dxa"/>
            <w:tcBorders>
              <w:top w:val="nil"/>
              <w:left w:val="nil"/>
              <w:bottom w:val="single" w:sz="4" w:space="0" w:color="auto"/>
              <w:right w:val="single" w:sz="4" w:space="0" w:color="auto"/>
            </w:tcBorders>
            <w:shd w:val="clear" w:color="auto" w:fill="auto"/>
            <w:noWrap/>
            <w:vAlign w:val="bottom"/>
            <w:hideMark/>
          </w:tcPr>
          <w:p w:rsidR="00B17370" w:rsidRPr="00B442B9" w:rsidRDefault="00B17370" w:rsidP="00553F5A">
            <w:pPr>
              <w:jc w:val="right"/>
              <w:rPr>
                <w:b/>
                <w:bCs/>
                <w:color w:val="000000"/>
              </w:rPr>
            </w:pPr>
            <w:r w:rsidRPr="00B442B9">
              <w:rPr>
                <w:b/>
                <w:bCs/>
                <w:color w:val="000000"/>
              </w:rPr>
              <w:t>16,05660</w:t>
            </w:r>
          </w:p>
        </w:tc>
        <w:tc>
          <w:tcPr>
            <w:tcW w:w="1677" w:type="dxa"/>
            <w:tcBorders>
              <w:top w:val="nil"/>
              <w:left w:val="nil"/>
              <w:bottom w:val="single" w:sz="4" w:space="0" w:color="auto"/>
              <w:right w:val="single" w:sz="4" w:space="0" w:color="auto"/>
            </w:tcBorders>
            <w:shd w:val="clear" w:color="auto" w:fill="auto"/>
            <w:noWrap/>
            <w:vAlign w:val="bottom"/>
            <w:hideMark/>
          </w:tcPr>
          <w:p w:rsidR="00B17370" w:rsidRPr="00B442B9" w:rsidRDefault="00B17370" w:rsidP="00553F5A">
            <w:pPr>
              <w:jc w:val="right"/>
              <w:rPr>
                <w:b/>
                <w:bCs/>
                <w:color w:val="000000"/>
              </w:rPr>
            </w:pPr>
            <w:r w:rsidRPr="00B442B9">
              <w:rPr>
                <w:b/>
                <w:bCs/>
                <w:color w:val="000000"/>
              </w:rPr>
              <w:t>16,16511</w:t>
            </w:r>
          </w:p>
        </w:tc>
      </w:tr>
      <w:tr w:rsidR="00B17370" w:rsidRPr="00B442B9" w:rsidTr="00553F5A">
        <w:trPr>
          <w:trHeight w:val="300"/>
          <w:jc w:val="center"/>
        </w:trPr>
        <w:tc>
          <w:tcPr>
            <w:tcW w:w="2201" w:type="dxa"/>
            <w:tcBorders>
              <w:top w:val="nil"/>
              <w:left w:val="single" w:sz="4" w:space="0" w:color="auto"/>
              <w:bottom w:val="single" w:sz="4" w:space="0" w:color="auto"/>
              <w:right w:val="single" w:sz="4" w:space="0" w:color="auto"/>
            </w:tcBorders>
            <w:shd w:val="clear" w:color="auto" w:fill="auto"/>
            <w:noWrap/>
            <w:vAlign w:val="bottom"/>
            <w:hideMark/>
          </w:tcPr>
          <w:p w:rsidR="00B17370" w:rsidRPr="00B442B9" w:rsidRDefault="00B17370" w:rsidP="00553F5A">
            <w:pPr>
              <w:rPr>
                <w:color w:val="000000"/>
              </w:rPr>
            </w:pPr>
            <w:r w:rsidRPr="00B442B9">
              <w:rPr>
                <w:color w:val="000000"/>
              </w:rPr>
              <w:t>ARIMA(2;1;0)</w:t>
            </w:r>
          </w:p>
        </w:tc>
        <w:tc>
          <w:tcPr>
            <w:tcW w:w="1649" w:type="dxa"/>
            <w:tcBorders>
              <w:top w:val="nil"/>
              <w:left w:val="nil"/>
              <w:bottom w:val="single" w:sz="4" w:space="0" w:color="auto"/>
              <w:right w:val="single" w:sz="4" w:space="0" w:color="auto"/>
            </w:tcBorders>
            <w:shd w:val="clear" w:color="auto" w:fill="auto"/>
            <w:noWrap/>
            <w:vAlign w:val="bottom"/>
            <w:hideMark/>
          </w:tcPr>
          <w:p w:rsidR="00B17370" w:rsidRPr="00B442B9" w:rsidRDefault="00B17370" w:rsidP="00553F5A">
            <w:pPr>
              <w:jc w:val="right"/>
              <w:rPr>
                <w:color w:val="000000"/>
              </w:rPr>
            </w:pPr>
            <w:r w:rsidRPr="00B442B9">
              <w:rPr>
                <w:color w:val="000000"/>
              </w:rPr>
              <w:t>16,83614</w:t>
            </w:r>
          </w:p>
        </w:tc>
        <w:tc>
          <w:tcPr>
            <w:tcW w:w="1677" w:type="dxa"/>
            <w:tcBorders>
              <w:top w:val="nil"/>
              <w:left w:val="nil"/>
              <w:bottom w:val="single" w:sz="4" w:space="0" w:color="auto"/>
              <w:right w:val="single" w:sz="4" w:space="0" w:color="auto"/>
            </w:tcBorders>
            <w:shd w:val="clear" w:color="auto" w:fill="auto"/>
            <w:noWrap/>
            <w:vAlign w:val="bottom"/>
            <w:hideMark/>
          </w:tcPr>
          <w:p w:rsidR="00B17370" w:rsidRPr="00B442B9" w:rsidRDefault="00B17370" w:rsidP="00553F5A">
            <w:pPr>
              <w:jc w:val="right"/>
              <w:rPr>
                <w:color w:val="000000"/>
              </w:rPr>
            </w:pPr>
            <w:r w:rsidRPr="00B442B9">
              <w:rPr>
                <w:color w:val="000000"/>
              </w:rPr>
              <w:t>16,89665</w:t>
            </w:r>
          </w:p>
        </w:tc>
      </w:tr>
      <w:tr w:rsidR="00B17370" w:rsidRPr="00B442B9" w:rsidTr="00553F5A">
        <w:trPr>
          <w:trHeight w:val="300"/>
          <w:jc w:val="center"/>
        </w:trPr>
        <w:tc>
          <w:tcPr>
            <w:tcW w:w="2201" w:type="dxa"/>
            <w:tcBorders>
              <w:top w:val="nil"/>
              <w:left w:val="single" w:sz="4" w:space="0" w:color="auto"/>
              <w:bottom w:val="single" w:sz="4" w:space="0" w:color="auto"/>
              <w:right w:val="single" w:sz="4" w:space="0" w:color="auto"/>
            </w:tcBorders>
            <w:shd w:val="clear" w:color="auto" w:fill="auto"/>
            <w:noWrap/>
            <w:vAlign w:val="bottom"/>
            <w:hideMark/>
          </w:tcPr>
          <w:p w:rsidR="00B17370" w:rsidRPr="00B442B9" w:rsidRDefault="00B17370" w:rsidP="00553F5A">
            <w:pPr>
              <w:rPr>
                <w:color w:val="000000"/>
              </w:rPr>
            </w:pPr>
            <w:r w:rsidRPr="00B442B9">
              <w:rPr>
                <w:color w:val="000000"/>
              </w:rPr>
              <w:t>ARIMA(2;1;1)</w:t>
            </w:r>
          </w:p>
        </w:tc>
        <w:tc>
          <w:tcPr>
            <w:tcW w:w="1649" w:type="dxa"/>
            <w:tcBorders>
              <w:top w:val="nil"/>
              <w:left w:val="nil"/>
              <w:bottom w:val="single" w:sz="4" w:space="0" w:color="auto"/>
              <w:right w:val="single" w:sz="4" w:space="0" w:color="auto"/>
            </w:tcBorders>
            <w:shd w:val="clear" w:color="auto" w:fill="auto"/>
            <w:noWrap/>
            <w:vAlign w:val="bottom"/>
            <w:hideMark/>
          </w:tcPr>
          <w:p w:rsidR="00B17370" w:rsidRPr="00B442B9" w:rsidRDefault="00B17370" w:rsidP="00553F5A">
            <w:pPr>
              <w:jc w:val="right"/>
              <w:rPr>
                <w:color w:val="000000"/>
              </w:rPr>
            </w:pPr>
            <w:r w:rsidRPr="00B442B9">
              <w:rPr>
                <w:color w:val="000000"/>
              </w:rPr>
              <w:t>16,45280</w:t>
            </w:r>
          </w:p>
        </w:tc>
        <w:tc>
          <w:tcPr>
            <w:tcW w:w="1677" w:type="dxa"/>
            <w:tcBorders>
              <w:top w:val="nil"/>
              <w:left w:val="nil"/>
              <w:bottom w:val="single" w:sz="4" w:space="0" w:color="auto"/>
              <w:right w:val="single" w:sz="4" w:space="0" w:color="auto"/>
            </w:tcBorders>
            <w:shd w:val="clear" w:color="auto" w:fill="auto"/>
            <w:noWrap/>
            <w:vAlign w:val="bottom"/>
            <w:hideMark/>
          </w:tcPr>
          <w:p w:rsidR="00B17370" w:rsidRPr="00B442B9" w:rsidRDefault="00B17370" w:rsidP="00553F5A">
            <w:pPr>
              <w:jc w:val="right"/>
              <w:rPr>
                <w:color w:val="000000"/>
              </w:rPr>
            </w:pPr>
            <w:r w:rsidRPr="00B442B9">
              <w:rPr>
                <w:color w:val="000000"/>
              </w:rPr>
              <w:t>16,54358</w:t>
            </w:r>
          </w:p>
        </w:tc>
      </w:tr>
      <w:tr w:rsidR="00B17370" w:rsidRPr="00B442B9" w:rsidTr="00553F5A">
        <w:trPr>
          <w:trHeight w:val="300"/>
          <w:jc w:val="center"/>
        </w:trPr>
        <w:tc>
          <w:tcPr>
            <w:tcW w:w="2201" w:type="dxa"/>
            <w:tcBorders>
              <w:top w:val="nil"/>
              <w:left w:val="single" w:sz="4" w:space="0" w:color="auto"/>
              <w:bottom w:val="single" w:sz="4" w:space="0" w:color="auto"/>
              <w:right w:val="single" w:sz="4" w:space="0" w:color="auto"/>
            </w:tcBorders>
            <w:shd w:val="clear" w:color="auto" w:fill="auto"/>
            <w:noWrap/>
            <w:vAlign w:val="bottom"/>
            <w:hideMark/>
          </w:tcPr>
          <w:p w:rsidR="00B17370" w:rsidRPr="00B442B9" w:rsidRDefault="00B17370" w:rsidP="00553F5A">
            <w:pPr>
              <w:rPr>
                <w:color w:val="000000"/>
              </w:rPr>
            </w:pPr>
            <w:r w:rsidRPr="00B442B9">
              <w:rPr>
                <w:color w:val="000000"/>
              </w:rPr>
              <w:t>ARIMA(2;1;2)</w:t>
            </w:r>
          </w:p>
        </w:tc>
        <w:tc>
          <w:tcPr>
            <w:tcW w:w="1649" w:type="dxa"/>
            <w:tcBorders>
              <w:top w:val="nil"/>
              <w:left w:val="nil"/>
              <w:bottom w:val="single" w:sz="4" w:space="0" w:color="auto"/>
              <w:right w:val="single" w:sz="4" w:space="0" w:color="auto"/>
            </w:tcBorders>
            <w:shd w:val="clear" w:color="auto" w:fill="auto"/>
            <w:noWrap/>
            <w:vAlign w:val="bottom"/>
            <w:hideMark/>
          </w:tcPr>
          <w:p w:rsidR="00B17370" w:rsidRPr="00B442B9" w:rsidRDefault="00B17370" w:rsidP="00553F5A">
            <w:pPr>
              <w:jc w:val="right"/>
              <w:rPr>
                <w:color w:val="000000"/>
              </w:rPr>
            </w:pPr>
            <w:r w:rsidRPr="00B442B9">
              <w:rPr>
                <w:color w:val="000000"/>
              </w:rPr>
              <w:t>16,21793</w:t>
            </w:r>
          </w:p>
        </w:tc>
        <w:tc>
          <w:tcPr>
            <w:tcW w:w="1677" w:type="dxa"/>
            <w:tcBorders>
              <w:top w:val="nil"/>
              <w:left w:val="nil"/>
              <w:bottom w:val="single" w:sz="4" w:space="0" w:color="auto"/>
              <w:right w:val="single" w:sz="4" w:space="0" w:color="auto"/>
            </w:tcBorders>
            <w:shd w:val="clear" w:color="auto" w:fill="auto"/>
            <w:noWrap/>
            <w:vAlign w:val="bottom"/>
            <w:hideMark/>
          </w:tcPr>
          <w:p w:rsidR="00B17370" w:rsidRPr="00B442B9" w:rsidRDefault="00B17370" w:rsidP="00553F5A">
            <w:pPr>
              <w:jc w:val="right"/>
              <w:rPr>
                <w:color w:val="000000"/>
              </w:rPr>
            </w:pPr>
            <w:r w:rsidRPr="00B442B9">
              <w:rPr>
                <w:color w:val="000000"/>
              </w:rPr>
              <w:t>16,30871</w:t>
            </w:r>
          </w:p>
        </w:tc>
      </w:tr>
    </w:tbl>
    <w:p w:rsidR="00B17370" w:rsidRPr="00B442B9" w:rsidRDefault="00B17370" w:rsidP="00B17370">
      <w:pPr>
        <w:tabs>
          <w:tab w:val="center" w:pos="4680"/>
          <w:tab w:val="left" w:pos="5235"/>
          <w:tab w:val="right" w:pos="9360"/>
        </w:tabs>
      </w:pPr>
      <w:r>
        <w:t xml:space="preserve">                                   </w:t>
      </w:r>
      <w:r w:rsidRPr="00B442B9">
        <w:t>Šaltinis: sudaryta pagal Eviews 8 programos skaičiavimus</w:t>
      </w:r>
    </w:p>
    <w:p w:rsidR="00B17370" w:rsidRDefault="00B17370" w:rsidP="00B17370">
      <w:pPr>
        <w:tabs>
          <w:tab w:val="left" w:pos="5235"/>
        </w:tabs>
        <w:jc w:val="center"/>
      </w:pPr>
    </w:p>
    <w:p w:rsidR="00B17370" w:rsidRDefault="00B17370" w:rsidP="00B17370">
      <w:pPr>
        <w:tabs>
          <w:tab w:val="left" w:pos="5235"/>
        </w:tabs>
        <w:jc w:val="center"/>
      </w:pPr>
    </w:p>
    <w:p w:rsidR="00B17370" w:rsidRDefault="00B17370" w:rsidP="00B17370">
      <w:pPr>
        <w:tabs>
          <w:tab w:val="left" w:pos="5235"/>
        </w:tabs>
        <w:jc w:val="center"/>
      </w:pPr>
    </w:p>
    <w:p w:rsidR="00B17370" w:rsidRPr="00E92012" w:rsidRDefault="00B17370" w:rsidP="00B17370">
      <w:pPr>
        <w:tabs>
          <w:tab w:val="left" w:pos="5235"/>
        </w:tabs>
        <w:jc w:val="center"/>
      </w:pPr>
    </w:p>
    <w:p w:rsidR="00B17370" w:rsidRPr="00E92012" w:rsidRDefault="00B17370" w:rsidP="00B17370">
      <w:pPr>
        <w:tabs>
          <w:tab w:val="left" w:pos="5235"/>
        </w:tabs>
        <w:jc w:val="center"/>
      </w:pPr>
    </w:p>
    <w:p w:rsidR="00B17370" w:rsidRPr="00E92012" w:rsidRDefault="00B17370" w:rsidP="00B17370">
      <w:pPr>
        <w:tabs>
          <w:tab w:val="left" w:pos="5235"/>
        </w:tabs>
        <w:jc w:val="center"/>
      </w:pPr>
      <w:r>
        <w:rPr>
          <w:noProof/>
          <w:lang w:val="en-US"/>
        </w:rPr>
        <w:lastRenderedPageBreak/>
        <w:drawing>
          <wp:inline distT="0" distB="0" distL="0" distR="0">
            <wp:extent cx="2600325" cy="2381250"/>
            <wp:effectExtent l="19050" t="0" r="9525" b="0"/>
            <wp:docPr id="1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9" cstate="print"/>
                    <a:srcRect l="41187" t="27081" r="24199" b="16475"/>
                    <a:stretch>
                      <a:fillRect/>
                    </a:stretch>
                  </pic:blipFill>
                  <pic:spPr bwMode="auto">
                    <a:xfrm>
                      <a:off x="0" y="0"/>
                      <a:ext cx="2600325" cy="2381250"/>
                    </a:xfrm>
                    <a:prstGeom prst="rect">
                      <a:avLst/>
                    </a:prstGeom>
                    <a:noFill/>
                    <a:ln w="9525">
                      <a:noFill/>
                      <a:miter lim="800000"/>
                      <a:headEnd/>
                      <a:tailEnd/>
                    </a:ln>
                  </pic:spPr>
                </pic:pic>
              </a:graphicData>
            </a:graphic>
          </wp:inline>
        </w:drawing>
      </w:r>
    </w:p>
    <w:p w:rsidR="00B17370" w:rsidRDefault="00B17370" w:rsidP="00B17370">
      <w:r w:rsidRPr="00E92012">
        <w:t xml:space="preserve">                                     </w:t>
      </w:r>
      <w:r>
        <w:t xml:space="preserve">                 </w:t>
      </w:r>
      <w:r w:rsidRPr="00E92012">
        <w:t xml:space="preserve"> Šaltinis: Eviews 8 programa</w:t>
      </w:r>
    </w:p>
    <w:p w:rsidR="00B17370" w:rsidRPr="00E92012" w:rsidRDefault="00B17370" w:rsidP="00B17370"/>
    <w:p w:rsidR="00B17370" w:rsidRDefault="00B17370" w:rsidP="00B17370">
      <w:pPr>
        <w:tabs>
          <w:tab w:val="left" w:pos="5235"/>
        </w:tabs>
        <w:jc w:val="center"/>
        <w:rPr>
          <w:sz w:val="24"/>
          <w:szCs w:val="24"/>
        </w:rPr>
      </w:pPr>
      <w:r w:rsidRPr="00E92012">
        <w:rPr>
          <w:sz w:val="24"/>
          <w:szCs w:val="24"/>
        </w:rPr>
        <w:t xml:space="preserve">2pav. ARIMA(1;1;2) modelio įvertinimo langas </w:t>
      </w:r>
    </w:p>
    <w:p w:rsidR="00B17370" w:rsidRDefault="00B17370" w:rsidP="00B17370">
      <w:pPr>
        <w:tabs>
          <w:tab w:val="left" w:pos="5235"/>
        </w:tabs>
        <w:jc w:val="center"/>
        <w:rPr>
          <w:sz w:val="24"/>
          <w:szCs w:val="24"/>
        </w:rPr>
      </w:pPr>
    </w:p>
    <w:p w:rsidR="00B17370" w:rsidRPr="00E92012" w:rsidRDefault="00B17370" w:rsidP="00B17370">
      <w:pPr>
        <w:tabs>
          <w:tab w:val="left" w:pos="5235"/>
        </w:tabs>
        <w:jc w:val="center"/>
        <w:rPr>
          <w:sz w:val="24"/>
          <w:szCs w:val="24"/>
        </w:rPr>
      </w:pPr>
    </w:p>
    <w:p w:rsidR="00B17370" w:rsidRPr="00E92012" w:rsidRDefault="00B17370" w:rsidP="00B17370">
      <w:pPr>
        <w:tabs>
          <w:tab w:val="left" w:pos="5235"/>
        </w:tabs>
        <w:jc w:val="center"/>
      </w:pPr>
      <w:r>
        <w:rPr>
          <w:noProof/>
          <w:lang w:val="en-US"/>
        </w:rPr>
        <w:drawing>
          <wp:inline distT="0" distB="0" distL="0" distR="0">
            <wp:extent cx="2600325" cy="2000250"/>
            <wp:effectExtent l="19050" t="0" r="9525" b="0"/>
            <wp:docPr id="1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0" cstate="print"/>
                    <a:srcRect l="39262" t="26228" r="26604" b="27017"/>
                    <a:stretch>
                      <a:fillRect/>
                    </a:stretch>
                  </pic:blipFill>
                  <pic:spPr bwMode="auto">
                    <a:xfrm>
                      <a:off x="0" y="0"/>
                      <a:ext cx="2600325" cy="2000250"/>
                    </a:xfrm>
                    <a:prstGeom prst="rect">
                      <a:avLst/>
                    </a:prstGeom>
                    <a:noFill/>
                    <a:ln w="9525">
                      <a:noFill/>
                      <a:miter lim="800000"/>
                      <a:headEnd/>
                      <a:tailEnd/>
                    </a:ln>
                  </pic:spPr>
                </pic:pic>
              </a:graphicData>
            </a:graphic>
          </wp:inline>
        </w:drawing>
      </w:r>
    </w:p>
    <w:p w:rsidR="00B17370" w:rsidRDefault="00B17370" w:rsidP="00B17370">
      <w:pPr>
        <w:tabs>
          <w:tab w:val="left" w:pos="5235"/>
          <w:tab w:val="left" w:pos="6150"/>
        </w:tabs>
      </w:pPr>
      <w:r w:rsidRPr="00E92012">
        <w:t xml:space="preserve">                                                   </w:t>
      </w:r>
      <w:r>
        <w:t xml:space="preserve">   </w:t>
      </w:r>
      <w:r w:rsidRPr="00E92012">
        <w:t xml:space="preserve">   Šaltinis: Eviews 8 programa</w:t>
      </w:r>
      <w:r>
        <w:tab/>
      </w:r>
    </w:p>
    <w:p w:rsidR="00B17370" w:rsidRPr="00E92012" w:rsidRDefault="00B17370" w:rsidP="00B17370">
      <w:pPr>
        <w:tabs>
          <w:tab w:val="left" w:pos="5235"/>
          <w:tab w:val="left" w:pos="6150"/>
        </w:tabs>
      </w:pPr>
    </w:p>
    <w:p w:rsidR="00B17370" w:rsidRPr="00375DBD" w:rsidRDefault="00B17370" w:rsidP="00B17370">
      <w:pPr>
        <w:tabs>
          <w:tab w:val="left" w:pos="5235"/>
        </w:tabs>
        <w:jc w:val="center"/>
        <w:rPr>
          <w:sz w:val="24"/>
          <w:szCs w:val="24"/>
        </w:rPr>
      </w:pPr>
      <w:r w:rsidRPr="00375DBD">
        <w:rPr>
          <w:sz w:val="24"/>
          <w:szCs w:val="24"/>
        </w:rPr>
        <w:t xml:space="preserve">3 pav. ARIMA(1;1;2) modelio liekamųjų paklaidų korelograma </w:t>
      </w:r>
    </w:p>
    <w:p w:rsidR="00B17370" w:rsidRPr="00375DBD" w:rsidRDefault="00B17370" w:rsidP="00B17370">
      <w:pPr>
        <w:tabs>
          <w:tab w:val="left" w:pos="3495"/>
        </w:tabs>
        <w:rPr>
          <w:sz w:val="24"/>
          <w:szCs w:val="24"/>
        </w:rPr>
      </w:pPr>
    </w:p>
    <w:p w:rsidR="00B17370" w:rsidRPr="00E92012" w:rsidRDefault="00B17370" w:rsidP="00B17370">
      <w:pPr>
        <w:tabs>
          <w:tab w:val="left" w:pos="3495"/>
        </w:tabs>
      </w:pPr>
    </w:p>
    <w:p w:rsidR="00B17370" w:rsidRPr="00E92012" w:rsidRDefault="00B17370" w:rsidP="00B17370">
      <w:pPr>
        <w:tabs>
          <w:tab w:val="left" w:pos="3495"/>
        </w:tabs>
      </w:pPr>
    </w:p>
    <w:p w:rsidR="00B17370" w:rsidRPr="00E92012" w:rsidRDefault="00B17370" w:rsidP="00B17370">
      <w:pPr>
        <w:tabs>
          <w:tab w:val="left" w:pos="3495"/>
        </w:tabs>
      </w:pPr>
    </w:p>
    <w:p w:rsidR="00B17370" w:rsidRPr="00E92012" w:rsidRDefault="00B17370" w:rsidP="00B17370">
      <w:pPr>
        <w:tabs>
          <w:tab w:val="left" w:pos="3495"/>
        </w:tabs>
      </w:pPr>
    </w:p>
    <w:p w:rsidR="00B17370" w:rsidRDefault="00B17370" w:rsidP="00B17370">
      <w:pPr>
        <w:tabs>
          <w:tab w:val="left" w:pos="3495"/>
        </w:tabs>
      </w:pPr>
    </w:p>
    <w:p w:rsidR="00B17370" w:rsidRDefault="00B17370" w:rsidP="00B17370">
      <w:pPr>
        <w:tabs>
          <w:tab w:val="left" w:pos="3495"/>
        </w:tabs>
      </w:pPr>
    </w:p>
    <w:p w:rsidR="00B17370" w:rsidRDefault="00B17370" w:rsidP="00B17370">
      <w:pPr>
        <w:tabs>
          <w:tab w:val="left" w:pos="3495"/>
        </w:tabs>
      </w:pPr>
    </w:p>
    <w:p w:rsidR="00B17370" w:rsidRDefault="00B17370" w:rsidP="00B17370">
      <w:pPr>
        <w:tabs>
          <w:tab w:val="left" w:pos="3495"/>
        </w:tabs>
      </w:pPr>
    </w:p>
    <w:p w:rsidR="00B17370" w:rsidRDefault="00B17370" w:rsidP="00B17370">
      <w:pPr>
        <w:tabs>
          <w:tab w:val="left" w:pos="3495"/>
        </w:tabs>
      </w:pPr>
    </w:p>
    <w:p w:rsidR="00B17370" w:rsidRDefault="00B17370" w:rsidP="00B17370">
      <w:pPr>
        <w:tabs>
          <w:tab w:val="left" w:pos="3495"/>
        </w:tabs>
      </w:pPr>
    </w:p>
    <w:p w:rsidR="00B17370" w:rsidRDefault="00B17370" w:rsidP="00B17370">
      <w:pPr>
        <w:tabs>
          <w:tab w:val="left" w:pos="3495"/>
        </w:tabs>
      </w:pPr>
    </w:p>
    <w:p w:rsidR="00B17370" w:rsidRDefault="00B17370" w:rsidP="00B17370">
      <w:pPr>
        <w:tabs>
          <w:tab w:val="left" w:pos="3495"/>
        </w:tabs>
      </w:pPr>
    </w:p>
    <w:p w:rsidR="00B17370" w:rsidRDefault="00B17370" w:rsidP="00B17370">
      <w:pPr>
        <w:tabs>
          <w:tab w:val="left" w:pos="3495"/>
        </w:tabs>
      </w:pPr>
    </w:p>
    <w:p w:rsidR="00B17370" w:rsidRDefault="00B17370" w:rsidP="00E639DD">
      <w:pPr>
        <w:tabs>
          <w:tab w:val="left" w:pos="3495"/>
        </w:tabs>
        <w:ind w:firstLine="0"/>
      </w:pPr>
    </w:p>
    <w:p w:rsidR="00B17370" w:rsidRPr="00E92012" w:rsidRDefault="00B17370" w:rsidP="00B17370">
      <w:pPr>
        <w:tabs>
          <w:tab w:val="left" w:pos="3495"/>
        </w:tabs>
      </w:pPr>
    </w:p>
    <w:p w:rsidR="00B17370" w:rsidRPr="00E92012" w:rsidRDefault="00B17370" w:rsidP="00B17370">
      <w:pPr>
        <w:tabs>
          <w:tab w:val="left" w:pos="3495"/>
        </w:tabs>
      </w:pPr>
    </w:p>
    <w:p w:rsidR="00B17370" w:rsidRPr="00375DBD" w:rsidRDefault="00B17370" w:rsidP="00B17370">
      <w:pPr>
        <w:tabs>
          <w:tab w:val="left" w:pos="3495"/>
        </w:tabs>
        <w:jc w:val="right"/>
        <w:rPr>
          <w:b/>
          <w:sz w:val="24"/>
          <w:szCs w:val="24"/>
        </w:rPr>
      </w:pPr>
      <w:r w:rsidRPr="00375DBD">
        <w:rPr>
          <w:b/>
          <w:sz w:val="24"/>
          <w:szCs w:val="24"/>
        </w:rPr>
        <w:lastRenderedPageBreak/>
        <w:t>13 PRIEDAS</w:t>
      </w:r>
    </w:p>
    <w:p w:rsidR="00B17370" w:rsidRPr="00375DBD" w:rsidRDefault="00B17370" w:rsidP="00B17370">
      <w:pPr>
        <w:tabs>
          <w:tab w:val="left" w:pos="3495"/>
        </w:tabs>
        <w:jc w:val="right"/>
        <w:rPr>
          <w:b/>
          <w:sz w:val="24"/>
          <w:szCs w:val="24"/>
        </w:rPr>
      </w:pPr>
    </w:p>
    <w:p w:rsidR="00B17370" w:rsidRPr="00375DBD" w:rsidRDefault="00B17370" w:rsidP="00B17370">
      <w:pPr>
        <w:tabs>
          <w:tab w:val="left" w:pos="5235"/>
        </w:tabs>
        <w:jc w:val="center"/>
        <w:rPr>
          <w:b/>
          <w:sz w:val="24"/>
          <w:szCs w:val="24"/>
        </w:rPr>
      </w:pPr>
      <w:r w:rsidRPr="00375DBD">
        <w:rPr>
          <w:b/>
          <w:sz w:val="24"/>
          <w:szCs w:val="24"/>
        </w:rPr>
        <w:t>ESTIJOS VALSTYBĖS SKOLOS PROGNOZAVIMAS ARIMA METODU</w:t>
      </w:r>
    </w:p>
    <w:p w:rsidR="00B17370" w:rsidRDefault="00B17370" w:rsidP="00B17370">
      <w:pPr>
        <w:tabs>
          <w:tab w:val="left" w:pos="5235"/>
        </w:tabs>
        <w:jc w:val="center"/>
        <w:rPr>
          <w:b/>
          <w:sz w:val="24"/>
          <w:szCs w:val="24"/>
        </w:rPr>
      </w:pPr>
    </w:p>
    <w:p w:rsidR="00B17370" w:rsidRDefault="00B17370" w:rsidP="00B17370">
      <w:pPr>
        <w:tabs>
          <w:tab w:val="left" w:pos="5235"/>
        </w:tabs>
        <w:jc w:val="center"/>
        <w:rPr>
          <w:b/>
          <w:sz w:val="24"/>
          <w:szCs w:val="24"/>
        </w:rPr>
      </w:pPr>
    </w:p>
    <w:p w:rsidR="00B17370" w:rsidRPr="003A2A72" w:rsidRDefault="00B17370" w:rsidP="00B17370">
      <w:pPr>
        <w:tabs>
          <w:tab w:val="left" w:pos="5235"/>
        </w:tabs>
        <w:jc w:val="center"/>
        <w:rPr>
          <w:b/>
          <w:sz w:val="24"/>
          <w:szCs w:val="24"/>
        </w:rPr>
      </w:pPr>
    </w:p>
    <w:p w:rsidR="00B17370" w:rsidRPr="00E92012" w:rsidRDefault="00B17370" w:rsidP="00B17370">
      <w:pPr>
        <w:tabs>
          <w:tab w:val="left" w:pos="3495"/>
        </w:tabs>
        <w:jc w:val="center"/>
      </w:pPr>
      <w:r>
        <w:rPr>
          <w:noProof/>
          <w:lang w:val="en-US"/>
        </w:rPr>
        <w:drawing>
          <wp:inline distT="0" distB="0" distL="0" distR="0">
            <wp:extent cx="2695575" cy="2047875"/>
            <wp:effectExtent l="19050" t="0" r="9525" b="0"/>
            <wp:docPr id="1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cstate="print"/>
                    <a:srcRect l="35097" t="27368" r="29646" b="25021"/>
                    <a:stretch>
                      <a:fillRect/>
                    </a:stretch>
                  </pic:blipFill>
                  <pic:spPr bwMode="auto">
                    <a:xfrm>
                      <a:off x="0" y="0"/>
                      <a:ext cx="2695575" cy="2047875"/>
                    </a:xfrm>
                    <a:prstGeom prst="rect">
                      <a:avLst/>
                    </a:prstGeom>
                    <a:noFill/>
                    <a:ln w="9525">
                      <a:noFill/>
                      <a:miter lim="800000"/>
                      <a:headEnd/>
                      <a:tailEnd/>
                    </a:ln>
                  </pic:spPr>
                </pic:pic>
              </a:graphicData>
            </a:graphic>
          </wp:inline>
        </w:drawing>
      </w:r>
    </w:p>
    <w:p w:rsidR="00B17370" w:rsidRDefault="00B17370" w:rsidP="00B17370">
      <w:r w:rsidRPr="00E92012">
        <w:t xml:space="preserve">                                                         Šaltinis: Eviews 8 programa</w:t>
      </w:r>
    </w:p>
    <w:p w:rsidR="00B17370" w:rsidRDefault="00B17370" w:rsidP="00B17370"/>
    <w:p w:rsidR="00B17370" w:rsidRDefault="00B17370" w:rsidP="00B17370">
      <w:pPr>
        <w:jc w:val="center"/>
        <w:rPr>
          <w:sz w:val="24"/>
          <w:szCs w:val="24"/>
        </w:rPr>
      </w:pPr>
      <w:r w:rsidRPr="00375DBD">
        <w:rPr>
          <w:sz w:val="24"/>
          <w:szCs w:val="24"/>
        </w:rPr>
        <w:t>1 pav. Funkcij</w:t>
      </w:r>
      <w:r>
        <w:rPr>
          <w:sz w:val="24"/>
          <w:szCs w:val="24"/>
        </w:rPr>
        <w:t>ų ACF ir PACF įvertinimo langas</w:t>
      </w:r>
    </w:p>
    <w:p w:rsidR="00B17370" w:rsidRDefault="00B17370" w:rsidP="00B17370">
      <w:pPr>
        <w:tabs>
          <w:tab w:val="left" w:pos="5235"/>
        </w:tabs>
        <w:jc w:val="center"/>
        <w:rPr>
          <w:sz w:val="24"/>
          <w:szCs w:val="24"/>
        </w:rPr>
      </w:pPr>
    </w:p>
    <w:p w:rsidR="00B17370" w:rsidRDefault="00B17370" w:rsidP="00B17370">
      <w:pPr>
        <w:tabs>
          <w:tab w:val="left" w:pos="5235"/>
        </w:tabs>
        <w:jc w:val="center"/>
        <w:rPr>
          <w:sz w:val="24"/>
          <w:szCs w:val="24"/>
        </w:rPr>
      </w:pPr>
    </w:p>
    <w:p w:rsidR="00B17370" w:rsidRDefault="00B17370" w:rsidP="00B17370">
      <w:pPr>
        <w:tabs>
          <w:tab w:val="left" w:pos="5235"/>
        </w:tabs>
        <w:jc w:val="center"/>
        <w:rPr>
          <w:sz w:val="24"/>
          <w:szCs w:val="24"/>
        </w:rPr>
      </w:pPr>
    </w:p>
    <w:p w:rsidR="00B17370" w:rsidRDefault="00B17370" w:rsidP="00B17370">
      <w:pPr>
        <w:tabs>
          <w:tab w:val="left" w:pos="5235"/>
        </w:tabs>
        <w:jc w:val="center"/>
        <w:rPr>
          <w:sz w:val="24"/>
          <w:szCs w:val="24"/>
        </w:rPr>
      </w:pPr>
      <w:r w:rsidRPr="00375DBD">
        <w:rPr>
          <w:sz w:val="24"/>
          <w:szCs w:val="24"/>
        </w:rPr>
        <w:t>1 lentelė. AIC ir SIC kriterijų reikšmių palyginimas</w:t>
      </w:r>
    </w:p>
    <w:p w:rsidR="00B17370" w:rsidRPr="00375DBD" w:rsidRDefault="00B17370" w:rsidP="00B17370">
      <w:pPr>
        <w:tabs>
          <w:tab w:val="left" w:pos="5235"/>
        </w:tabs>
        <w:jc w:val="center"/>
        <w:rPr>
          <w:sz w:val="24"/>
          <w:szCs w:val="24"/>
        </w:rPr>
      </w:pPr>
    </w:p>
    <w:tbl>
      <w:tblPr>
        <w:tblW w:w="5574" w:type="dxa"/>
        <w:jc w:val="center"/>
        <w:tblInd w:w="-810" w:type="dxa"/>
        <w:tblLook w:val="04A0"/>
      </w:tblPr>
      <w:tblGrid>
        <w:gridCol w:w="2151"/>
        <w:gridCol w:w="1810"/>
        <w:gridCol w:w="1613"/>
      </w:tblGrid>
      <w:tr w:rsidR="00B17370" w:rsidRPr="00B442B9" w:rsidTr="00553F5A">
        <w:trPr>
          <w:trHeight w:val="300"/>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7370" w:rsidRPr="00B442B9" w:rsidRDefault="00B17370" w:rsidP="00553F5A">
            <w:pPr>
              <w:rPr>
                <w:color w:val="000000"/>
              </w:rPr>
            </w:pPr>
            <w:r w:rsidRPr="00B442B9">
              <w:rPr>
                <w:color w:val="000000"/>
              </w:rPr>
              <w:t> </w:t>
            </w:r>
          </w:p>
        </w:tc>
        <w:tc>
          <w:tcPr>
            <w:tcW w:w="1810" w:type="dxa"/>
            <w:tcBorders>
              <w:top w:val="single" w:sz="4" w:space="0" w:color="auto"/>
              <w:left w:val="nil"/>
              <w:bottom w:val="single" w:sz="4" w:space="0" w:color="auto"/>
              <w:right w:val="single" w:sz="4" w:space="0" w:color="auto"/>
            </w:tcBorders>
            <w:shd w:val="clear" w:color="auto" w:fill="auto"/>
            <w:noWrap/>
            <w:vAlign w:val="bottom"/>
            <w:hideMark/>
          </w:tcPr>
          <w:p w:rsidR="00B17370" w:rsidRPr="00B442B9" w:rsidRDefault="00B17370" w:rsidP="00553F5A">
            <w:pPr>
              <w:rPr>
                <w:color w:val="000000"/>
              </w:rPr>
            </w:pPr>
            <w:r w:rsidRPr="00B442B9">
              <w:rPr>
                <w:color w:val="000000"/>
              </w:rPr>
              <w:t>AIC</w:t>
            </w:r>
          </w:p>
        </w:tc>
        <w:tc>
          <w:tcPr>
            <w:tcW w:w="1613" w:type="dxa"/>
            <w:tcBorders>
              <w:top w:val="single" w:sz="4" w:space="0" w:color="auto"/>
              <w:left w:val="nil"/>
              <w:bottom w:val="single" w:sz="4" w:space="0" w:color="auto"/>
              <w:right w:val="single" w:sz="4" w:space="0" w:color="auto"/>
            </w:tcBorders>
            <w:shd w:val="clear" w:color="auto" w:fill="auto"/>
            <w:noWrap/>
            <w:vAlign w:val="bottom"/>
            <w:hideMark/>
          </w:tcPr>
          <w:p w:rsidR="00B17370" w:rsidRPr="00B442B9" w:rsidRDefault="00B17370" w:rsidP="00553F5A">
            <w:pPr>
              <w:rPr>
                <w:color w:val="000000"/>
              </w:rPr>
            </w:pPr>
            <w:r w:rsidRPr="00B442B9">
              <w:rPr>
                <w:color w:val="000000"/>
              </w:rPr>
              <w:t>SIC</w:t>
            </w:r>
          </w:p>
        </w:tc>
      </w:tr>
      <w:tr w:rsidR="00B17370" w:rsidRPr="00B442B9" w:rsidTr="00553F5A">
        <w:trPr>
          <w:trHeight w:val="300"/>
          <w:jc w:val="center"/>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rsidR="00B17370" w:rsidRPr="00B442B9" w:rsidRDefault="00B17370" w:rsidP="00553F5A">
            <w:pPr>
              <w:rPr>
                <w:color w:val="000000"/>
              </w:rPr>
            </w:pPr>
            <w:r w:rsidRPr="00B442B9">
              <w:rPr>
                <w:color w:val="000000"/>
              </w:rPr>
              <w:t>ARMA(0;1)</w:t>
            </w:r>
          </w:p>
        </w:tc>
        <w:tc>
          <w:tcPr>
            <w:tcW w:w="1810" w:type="dxa"/>
            <w:tcBorders>
              <w:top w:val="nil"/>
              <w:left w:val="nil"/>
              <w:bottom w:val="single" w:sz="4" w:space="0" w:color="auto"/>
              <w:right w:val="single" w:sz="4" w:space="0" w:color="auto"/>
            </w:tcBorders>
            <w:shd w:val="clear" w:color="auto" w:fill="auto"/>
            <w:noWrap/>
            <w:vAlign w:val="bottom"/>
            <w:hideMark/>
          </w:tcPr>
          <w:p w:rsidR="00B17370" w:rsidRPr="00B442B9" w:rsidRDefault="00B17370" w:rsidP="00553F5A">
            <w:pPr>
              <w:jc w:val="right"/>
              <w:rPr>
                <w:color w:val="000000"/>
              </w:rPr>
            </w:pPr>
            <w:r w:rsidRPr="00B442B9">
              <w:rPr>
                <w:color w:val="000000"/>
              </w:rPr>
              <w:t>14,36032</w:t>
            </w:r>
          </w:p>
        </w:tc>
        <w:tc>
          <w:tcPr>
            <w:tcW w:w="1613" w:type="dxa"/>
            <w:tcBorders>
              <w:top w:val="nil"/>
              <w:left w:val="nil"/>
              <w:bottom w:val="single" w:sz="4" w:space="0" w:color="auto"/>
              <w:right w:val="single" w:sz="4" w:space="0" w:color="auto"/>
            </w:tcBorders>
            <w:shd w:val="clear" w:color="auto" w:fill="auto"/>
            <w:noWrap/>
            <w:vAlign w:val="bottom"/>
            <w:hideMark/>
          </w:tcPr>
          <w:p w:rsidR="00B17370" w:rsidRPr="00B442B9" w:rsidRDefault="00B17370" w:rsidP="00553F5A">
            <w:pPr>
              <w:jc w:val="right"/>
              <w:rPr>
                <w:color w:val="000000"/>
              </w:rPr>
            </w:pPr>
            <w:r w:rsidRPr="00B442B9">
              <w:rPr>
                <w:color w:val="000000"/>
              </w:rPr>
              <w:t>1.444.723</w:t>
            </w:r>
          </w:p>
        </w:tc>
      </w:tr>
      <w:tr w:rsidR="00B17370" w:rsidRPr="00B442B9" w:rsidTr="00553F5A">
        <w:trPr>
          <w:trHeight w:val="300"/>
          <w:jc w:val="center"/>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rsidR="00B17370" w:rsidRPr="00B442B9" w:rsidRDefault="00B17370" w:rsidP="00553F5A">
            <w:pPr>
              <w:rPr>
                <w:color w:val="000000"/>
              </w:rPr>
            </w:pPr>
            <w:r w:rsidRPr="00B442B9">
              <w:rPr>
                <w:color w:val="000000"/>
              </w:rPr>
              <w:t>ARMA(0;2)</w:t>
            </w:r>
          </w:p>
        </w:tc>
        <w:tc>
          <w:tcPr>
            <w:tcW w:w="1810" w:type="dxa"/>
            <w:tcBorders>
              <w:top w:val="nil"/>
              <w:left w:val="nil"/>
              <w:bottom w:val="single" w:sz="4" w:space="0" w:color="auto"/>
              <w:right w:val="single" w:sz="4" w:space="0" w:color="auto"/>
            </w:tcBorders>
            <w:shd w:val="clear" w:color="auto" w:fill="auto"/>
            <w:noWrap/>
            <w:vAlign w:val="bottom"/>
            <w:hideMark/>
          </w:tcPr>
          <w:p w:rsidR="00B17370" w:rsidRPr="00B442B9" w:rsidRDefault="00B17370" w:rsidP="00553F5A">
            <w:pPr>
              <w:jc w:val="right"/>
              <w:rPr>
                <w:color w:val="000000"/>
              </w:rPr>
            </w:pPr>
            <w:r w:rsidRPr="00B442B9">
              <w:rPr>
                <w:color w:val="000000"/>
              </w:rPr>
              <w:t>14,4106</w:t>
            </w:r>
          </w:p>
        </w:tc>
        <w:tc>
          <w:tcPr>
            <w:tcW w:w="1613" w:type="dxa"/>
            <w:tcBorders>
              <w:top w:val="nil"/>
              <w:left w:val="nil"/>
              <w:bottom w:val="single" w:sz="4" w:space="0" w:color="auto"/>
              <w:right w:val="single" w:sz="4" w:space="0" w:color="auto"/>
            </w:tcBorders>
            <w:shd w:val="clear" w:color="auto" w:fill="auto"/>
            <w:noWrap/>
            <w:vAlign w:val="bottom"/>
            <w:hideMark/>
          </w:tcPr>
          <w:p w:rsidR="00B17370" w:rsidRPr="00B442B9" w:rsidRDefault="00B17370" w:rsidP="00553F5A">
            <w:pPr>
              <w:jc w:val="right"/>
              <w:rPr>
                <w:color w:val="000000"/>
              </w:rPr>
            </w:pPr>
            <w:r w:rsidRPr="00B442B9">
              <w:rPr>
                <w:color w:val="000000"/>
              </w:rPr>
              <w:t>14,49752</w:t>
            </w:r>
          </w:p>
        </w:tc>
      </w:tr>
      <w:tr w:rsidR="00B17370" w:rsidRPr="00B442B9" w:rsidTr="00553F5A">
        <w:trPr>
          <w:trHeight w:val="300"/>
          <w:jc w:val="center"/>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rsidR="00B17370" w:rsidRPr="00B442B9" w:rsidRDefault="00B17370" w:rsidP="00553F5A">
            <w:pPr>
              <w:rPr>
                <w:color w:val="000000"/>
              </w:rPr>
            </w:pPr>
            <w:r w:rsidRPr="00B442B9">
              <w:rPr>
                <w:color w:val="000000"/>
              </w:rPr>
              <w:t>ARMA(1;0)</w:t>
            </w:r>
          </w:p>
        </w:tc>
        <w:tc>
          <w:tcPr>
            <w:tcW w:w="1810" w:type="dxa"/>
            <w:tcBorders>
              <w:top w:val="nil"/>
              <w:left w:val="nil"/>
              <w:bottom w:val="single" w:sz="4" w:space="0" w:color="auto"/>
              <w:right w:val="single" w:sz="4" w:space="0" w:color="auto"/>
            </w:tcBorders>
            <w:shd w:val="clear" w:color="auto" w:fill="auto"/>
            <w:noWrap/>
            <w:vAlign w:val="bottom"/>
            <w:hideMark/>
          </w:tcPr>
          <w:p w:rsidR="00B17370" w:rsidRPr="00B442B9" w:rsidRDefault="00B17370" w:rsidP="00553F5A">
            <w:pPr>
              <w:jc w:val="right"/>
              <w:rPr>
                <w:color w:val="000000"/>
              </w:rPr>
            </w:pPr>
            <w:r w:rsidRPr="00B442B9">
              <w:rPr>
                <w:color w:val="000000"/>
              </w:rPr>
              <w:t>13,57983</w:t>
            </w:r>
          </w:p>
        </w:tc>
        <w:tc>
          <w:tcPr>
            <w:tcW w:w="1613" w:type="dxa"/>
            <w:tcBorders>
              <w:top w:val="nil"/>
              <w:left w:val="nil"/>
              <w:bottom w:val="single" w:sz="4" w:space="0" w:color="auto"/>
              <w:right w:val="single" w:sz="4" w:space="0" w:color="auto"/>
            </w:tcBorders>
            <w:shd w:val="clear" w:color="auto" w:fill="auto"/>
            <w:noWrap/>
            <w:vAlign w:val="bottom"/>
            <w:hideMark/>
          </w:tcPr>
          <w:p w:rsidR="00B17370" w:rsidRPr="00B442B9" w:rsidRDefault="00B17370" w:rsidP="00553F5A">
            <w:pPr>
              <w:jc w:val="right"/>
              <w:rPr>
                <w:color w:val="000000"/>
              </w:rPr>
            </w:pPr>
            <w:r w:rsidRPr="00B442B9">
              <w:rPr>
                <w:color w:val="000000"/>
              </w:rPr>
              <w:t>13,66065</w:t>
            </w:r>
          </w:p>
        </w:tc>
      </w:tr>
      <w:tr w:rsidR="00B17370" w:rsidRPr="00B442B9" w:rsidTr="00553F5A">
        <w:trPr>
          <w:trHeight w:val="300"/>
          <w:jc w:val="center"/>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rsidR="00B17370" w:rsidRPr="00B442B9" w:rsidRDefault="00B17370" w:rsidP="00553F5A">
            <w:pPr>
              <w:rPr>
                <w:color w:val="000000"/>
              </w:rPr>
            </w:pPr>
            <w:r w:rsidRPr="00B442B9">
              <w:rPr>
                <w:color w:val="000000"/>
              </w:rPr>
              <w:t>ARMA(1;1)</w:t>
            </w:r>
          </w:p>
        </w:tc>
        <w:tc>
          <w:tcPr>
            <w:tcW w:w="1810" w:type="dxa"/>
            <w:tcBorders>
              <w:top w:val="nil"/>
              <w:left w:val="nil"/>
              <w:bottom w:val="single" w:sz="4" w:space="0" w:color="auto"/>
              <w:right w:val="single" w:sz="4" w:space="0" w:color="auto"/>
            </w:tcBorders>
            <w:shd w:val="clear" w:color="auto" w:fill="auto"/>
            <w:noWrap/>
            <w:vAlign w:val="bottom"/>
            <w:hideMark/>
          </w:tcPr>
          <w:p w:rsidR="00B17370" w:rsidRPr="00B442B9" w:rsidRDefault="00B17370" w:rsidP="00553F5A">
            <w:pPr>
              <w:jc w:val="right"/>
              <w:rPr>
                <w:color w:val="000000"/>
              </w:rPr>
            </w:pPr>
            <w:r w:rsidRPr="00B442B9">
              <w:rPr>
                <w:color w:val="000000"/>
              </w:rPr>
              <w:t>13,08206</w:t>
            </w:r>
          </w:p>
        </w:tc>
        <w:tc>
          <w:tcPr>
            <w:tcW w:w="1613" w:type="dxa"/>
            <w:tcBorders>
              <w:top w:val="nil"/>
              <w:left w:val="nil"/>
              <w:bottom w:val="single" w:sz="4" w:space="0" w:color="auto"/>
              <w:right w:val="single" w:sz="4" w:space="0" w:color="auto"/>
            </w:tcBorders>
            <w:shd w:val="clear" w:color="auto" w:fill="auto"/>
            <w:noWrap/>
            <w:vAlign w:val="bottom"/>
            <w:hideMark/>
          </w:tcPr>
          <w:p w:rsidR="00B17370" w:rsidRPr="00B442B9" w:rsidRDefault="00B17370" w:rsidP="00553F5A">
            <w:pPr>
              <w:jc w:val="right"/>
              <w:rPr>
                <w:color w:val="000000"/>
              </w:rPr>
            </w:pPr>
            <w:r w:rsidRPr="00B442B9">
              <w:rPr>
                <w:color w:val="000000"/>
              </w:rPr>
              <w:t>13,20329</w:t>
            </w:r>
          </w:p>
        </w:tc>
      </w:tr>
      <w:tr w:rsidR="00B17370" w:rsidRPr="00B442B9" w:rsidTr="00553F5A">
        <w:trPr>
          <w:trHeight w:val="300"/>
          <w:jc w:val="center"/>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rsidR="00B17370" w:rsidRPr="00B442B9" w:rsidRDefault="00B17370" w:rsidP="00553F5A">
            <w:pPr>
              <w:rPr>
                <w:color w:val="000000"/>
              </w:rPr>
            </w:pPr>
            <w:r w:rsidRPr="00B442B9">
              <w:rPr>
                <w:color w:val="000000"/>
              </w:rPr>
              <w:t>ARMA(1;2)</w:t>
            </w:r>
          </w:p>
        </w:tc>
        <w:tc>
          <w:tcPr>
            <w:tcW w:w="1810" w:type="dxa"/>
            <w:tcBorders>
              <w:top w:val="nil"/>
              <w:left w:val="nil"/>
              <w:bottom w:val="single" w:sz="4" w:space="0" w:color="auto"/>
              <w:right w:val="single" w:sz="4" w:space="0" w:color="auto"/>
            </w:tcBorders>
            <w:shd w:val="clear" w:color="auto" w:fill="auto"/>
            <w:noWrap/>
            <w:vAlign w:val="bottom"/>
            <w:hideMark/>
          </w:tcPr>
          <w:p w:rsidR="00B17370" w:rsidRPr="00B442B9" w:rsidRDefault="00B17370" w:rsidP="00553F5A">
            <w:pPr>
              <w:jc w:val="right"/>
              <w:rPr>
                <w:color w:val="000000"/>
              </w:rPr>
            </w:pPr>
            <w:r w:rsidRPr="00B442B9">
              <w:rPr>
                <w:color w:val="000000"/>
              </w:rPr>
              <w:t>13,64058</w:t>
            </w:r>
          </w:p>
        </w:tc>
        <w:tc>
          <w:tcPr>
            <w:tcW w:w="1613" w:type="dxa"/>
            <w:tcBorders>
              <w:top w:val="nil"/>
              <w:left w:val="nil"/>
              <w:bottom w:val="single" w:sz="4" w:space="0" w:color="auto"/>
              <w:right w:val="single" w:sz="4" w:space="0" w:color="auto"/>
            </w:tcBorders>
            <w:shd w:val="clear" w:color="auto" w:fill="auto"/>
            <w:noWrap/>
            <w:vAlign w:val="bottom"/>
            <w:hideMark/>
          </w:tcPr>
          <w:p w:rsidR="00B17370" w:rsidRPr="00B442B9" w:rsidRDefault="00B17370" w:rsidP="00553F5A">
            <w:pPr>
              <w:jc w:val="right"/>
              <w:rPr>
                <w:color w:val="000000"/>
              </w:rPr>
            </w:pPr>
            <w:r w:rsidRPr="00B442B9">
              <w:rPr>
                <w:color w:val="000000"/>
              </w:rPr>
              <w:t>13,76181</w:t>
            </w:r>
          </w:p>
        </w:tc>
      </w:tr>
      <w:tr w:rsidR="00B17370" w:rsidRPr="00B442B9" w:rsidTr="00553F5A">
        <w:trPr>
          <w:trHeight w:val="300"/>
          <w:jc w:val="center"/>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rsidR="00B17370" w:rsidRPr="00B442B9" w:rsidRDefault="00B17370" w:rsidP="00553F5A">
            <w:pPr>
              <w:rPr>
                <w:b/>
                <w:bCs/>
                <w:color w:val="000000"/>
              </w:rPr>
            </w:pPr>
            <w:r w:rsidRPr="00B442B9">
              <w:rPr>
                <w:b/>
                <w:bCs/>
                <w:color w:val="000000"/>
              </w:rPr>
              <w:t>ARMA(2;0)</w:t>
            </w:r>
          </w:p>
        </w:tc>
        <w:tc>
          <w:tcPr>
            <w:tcW w:w="1810" w:type="dxa"/>
            <w:tcBorders>
              <w:top w:val="nil"/>
              <w:left w:val="nil"/>
              <w:bottom w:val="single" w:sz="4" w:space="0" w:color="auto"/>
              <w:right w:val="single" w:sz="4" w:space="0" w:color="auto"/>
            </w:tcBorders>
            <w:shd w:val="clear" w:color="auto" w:fill="auto"/>
            <w:noWrap/>
            <w:vAlign w:val="bottom"/>
            <w:hideMark/>
          </w:tcPr>
          <w:p w:rsidR="00B17370" w:rsidRPr="00B442B9" w:rsidRDefault="00B17370" w:rsidP="00553F5A">
            <w:pPr>
              <w:jc w:val="right"/>
              <w:rPr>
                <w:b/>
                <w:bCs/>
                <w:color w:val="000000"/>
              </w:rPr>
            </w:pPr>
            <w:r w:rsidRPr="00B442B9">
              <w:rPr>
                <w:b/>
                <w:bCs/>
                <w:color w:val="000000"/>
              </w:rPr>
              <w:t>13,88002</w:t>
            </w:r>
          </w:p>
        </w:tc>
        <w:tc>
          <w:tcPr>
            <w:tcW w:w="1613" w:type="dxa"/>
            <w:tcBorders>
              <w:top w:val="nil"/>
              <w:left w:val="nil"/>
              <w:bottom w:val="single" w:sz="4" w:space="0" w:color="auto"/>
              <w:right w:val="single" w:sz="4" w:space="0" w:color="auto"/>
            </w:tcBorders>
            <w:shd w:val="clear" w:color="auto" w:fill="auto"/>
            <w:noWrap/>
            <w:vAlign w:val="bottom"/>
            <w:hideMark/>
          </w:tcPr>
          <w:p w:rsidR="00B17370" w:rsidRPr="00B442B9" w:rsidRDefault="00B17370" w:rsidP="00553F5A">
            <w:pPr>
              <w:jc w:val="right"/>
              <w:rPr>
                <w:b/>
                <w:bCs/>
                <w:color w:val="000000"/>
              </w:rPr>
            </w:pPr>
            <w:r w:rsidRPr="00B442B9">
              <w:rPr>
                <w:b/>
                <w:bCs/>
                <w:color w:val="000000"/>
              </w:rPr>
              <w:t>13,95237</w:t>
            </w:r>
          </w:p>
        </w:tc>
      </w:tr>
      <w:tr w:rsidR="00B17370" w:rsidRPr="00B442B9" w:rsidTr="00553F5A">
        <w:trPr>
          <w:trHeight w:val="300"/>
          <w:jc w:val="center"/>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rsidR="00B17370" w:rsidRPr="00B442B9" w:rsidRDefault="00B17370" w:rsidP="00553F5A">
            <w:pPr>
              <w:rPr>
                <w:color w:val="000000"/>
              </w:rPr>
            </w:pPr>
            <w:r w:rsidRPr="00B442B9">
              <w:rPr>
                <w:color w:val="000000"/>
              </w:rPr>
              <w:t>ARMA(2;1)</w:t>
            </w:r>
          </w:p>
        </w:tc>
        <w:tc>
          <w:tcPr>
            <w:tcW w:w="1810" w:type="dxa"/>
            <w:tcBorders>
              <w:top w:val="nil"/>
              <w:left w:val="nil"/>
              <w:bottom w:val="single" w:sz="4" w:space="0" w:color="auto"/>
              <w:right w:val="single" w:sz="4" w:space="0" w:color="auto"/>
            </w:tcBorders>
            <w:shd w:val="clear" w:color="auto" w:fill="auto"/>
            <w:noWrap/>
            <w:vAlign w:val="bottom"/>
            <w:hideMark/>
          </w:tcPr>
          <w:p w:rsidR="00B17370" w:rsidRPr="00B442B9" w:rsidRDefault="00B17370" w:rsidP="00553F5A">
            <w:pPr>
              <w:jc w:val="right"/>
              <w:rPr>
                <w:color w:val="000000"/>
              </w:rPr>
            </w:pPr>
            <w:r w:rsidRPr="00B442B9">
              <w:rPr>
                <w:color w:val="000000"/>
              </w:rPr>
              <w:t>11,88849</w:t>
            </w:r>
          </w:p>
        </w:tc>
        <w:tc>
          <w:tcPr>
            <w:tcW w:w="1613" w:type="dxa"/>
            <w:tcBorders>
              <w:top w:val="nil"/>
              <w:left w:val="nil"/>
              <w:bottom w:val="single" w:sz="4" w:space="0" w:color="auto"/>
              <w:right w:val="single" w:sz="4" w:space="0" w:color="auto"/>
            </w:tcBorders>
            <w:shd w:val="clear" w:color="auto" w:fill="auto"/>
            <w:noWrap/>
            <w:vAlign w:val="bottom"/>
            <w:hideMark/>
          </w:tcPr>
          <w:p w:rsidR="00B17370" w:rsidRPr="00B442B9" w:rsidRDefault="00B17370" w:rsidP="00553F5A">
            <w:pPr>
              <w:jc w:val="right"/>
              <w:rPr>
                <w:color w:val="000000"/>
              </w:rPr>
            </w:pPr>
            <w:r w:rsidRPr="00B442B9">
              <w:rPr>
                <w:color w:val="000000"/>
              </w:rPr>
              <w:t>11,99701</w:t>
            </w:r>
          </w:p>
        </w:tc>
      </w:tr>
      <w:tr w:rsidR="00B17370" w:rsidRPr="00B442B9" w:rsidTr="00553F5A">
        <w:trPr>
          <w:trHeight w:val="300"/>
          <w:jc w:val="center"/>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rsidR="00B17370" w:rsidRPr="00B442B9" w:rsidRDefault="00B17370" w:rsidP="00553F5A">
            <w:pPr>
              <w:rPr>
                <w:color w:val="000000"/>
              </w:rPr>
            </w:pPr>
            <w:r w:rsidRPr="00B442B9">
              <w:rPr>
                <w:color w:val="000000"/>
              </w:rPr>
              <w:t>ARMA(2;2)</w:t>
            </w:r>
          </w:p>
        </w:tc>
        <w:tc>
          <w:tcPr>
            <w:tcW w:w="1810" w:type="dxa"/>
            <w:tcBorders>
              <w:top w:val="nil"/>
              <w:left w:val="nil"/>
              <w:bottom w:val="single" w:sz="4" w:space="0" w:color="auto"/>
              <w:right w:val="single" w:sz="4" w:space="0" w:color="auto"/>
            </w:tcBorders>
            <w:shd w:val="clear" w:color="auto" w:fill="auto"/>
            <w:noWrap/>
            <w:vAlign w:val="bottom"/>
            <w:hideMark/>
          </w:tcPr>
          <w:p w:rsidR="00B17370" w:rsidRPr="00B442B9" w:rsidRDefault="00B17370" w:rsidP="00553F5A">
            <w:pPr>
              <w:jc w:val="right"/>
              <w:rPr>
                <w:color w:val="000000"/>
              </w:rPr>
            </w:pPr>
            <w:r w:rsidRPr="00B442B9">
              <w:rPr>
                <w:color w:val="000000"/>
              </w:rPr>
              <w:t>10,44451</w:t>
            </w:r>
          </w:p>
        </w:tc>
        <w:tc>
          <w:tcPr>
            <w:tcW w:w="1613" w:type="dxa"/>
            <w:tcBorders>
              <w:top w:val="nil"/>
              <w:left w:val="nil"/>
              <w:bottom w:val="single" w:sz="4" w:space="0" w:color="auto"/>
              <w:right w:val="single" w:sz="4" w:space="0" w:color="auto"/>
            </w:tcBorders>
            <w:shd w:val="clear" w:color="auto" w:fill="auto"/>
            <w:noWrap/>
            <w:vAlign w:val="bottom"/>
            <w:hideMark/>
          </w:tcPr>
          <w:p w:rsidR="00B17370" w:rsidRPr="00B442B9" w:rsidRDefault="00B17370" w:rsidP="00553F5A">
            <w:pPr>
              <w:jc w:val="right"/>
              <w:rPr>
                <w:color w:val="000000"/>
              </w:rPr>
            </w:pPr>
            <w:r w:rsidRPr="00B442B9">
              <w:rPr>
                <w:color w:val="000000"/>
              </w:rPr>
              <w:t>10,55303</w:t>
            </w:r>
          </w:p>
        </w:tc>
      </w:tr>
    </w:tbl>
    <w:p w:rsidR="00B17370" w:rsidRPr="00B442B9" w:rsidRDefault="00B17370" w:rsidP="00B17370">
      <w:pPr>
        <w:tabs>
          <w:tab w:val="center" w:pos="4680"/>
          <w:tab w:val="left" w:pos="5235"/>
          <w:tab w:val="right" w:pos="9360"/>
        </w:tabs>
      </w:pPr>
      <w:r>
        <w:t xml:space="preserve">                                    </w:t>
      </w:r>
      <w:r w:rsidRPr="00B442B9">
        <w:t>Šaltinis: sudaryta pagal Eviews 8 programos skaičiavimus</w:t>
      </w:r>
    </w:p>
    <w:p w:rsidR="00B17370" w:rsidRPr="00E92012" w:rsidRDefault="00B17370" w:rsidP="00B17370">
      <w:pPr>
        <w:tabs>
          <w:tab w:val="left" w:pos="5235"/>
        </w:tabs>
        <w:jc w:val="center"/>
      </w:pPr>
    </w:p>
    <w:p w:rsidR="00B17370" w:rsidRDefault="00B17370" w:rsidP="00B17370">
      <w:pPr>
        <w:tabs>
          <w:tab w:val="left" w:pos="3495"/>
        </w:tabs>
        <w:jc w:val="right"/>
      </w:pPr>
    </w:p>
    <w:p w:rsidR="00B17370" w:rsidRPr="00375DBD" w:rsidRDefault="00B17370" w:rsidP="00B17370"/>
    <w:p w:rsidR="00B17370" w:rsidRDefault="00B17370" w:rsidP="00B17370"/>
    <w:p w:rsidR="00B17370" w:rsidRDefault="00B17370" w:rsidP="00B17370">
      <w:pPr>
        <w:tabs>
          <w:tab w:val="left" w:pos="7155"/>
        </w:tabs>
      </w:pPr>
      <w:r>
        <w:tab/>
      </w:r>
    </w:p>
    <w:p w:rsidR="00B17370" w:rsidRPr="00E92012" w:rsidRDefault="00B17370" w:rsidP="00B17370">
      <w:pPr>
        <w:tabs>
          <w:tab w:val="left" w:pos="3495"/>
        </w:tabs>
        <w:ind w:firstLine="0"/>
        <w:jc w:val="center"/>
      </w:pPr>
      <w:r>
        <w:rPr>
          <w:noProof/>
          <w:lang w:val="en-US"/>
        </w:rPr>
        <w:lastRenderedPageBreak/>
        <w:drawing>
          <wp:inline distT="0" distB="0" distL="0" distR="0">
            <wp:extent cx="2533650" cy="2181225"/>
            <wp:effectExtent l="19050" t="0" r="0" b="0"/>
            <wp:docPr id="1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2" cstate="print"/>
                    <a:srcRect l="39607" t="27937" r="27521" b="21889"/>
                    <a:stretch>
                      <a:fillRect/>
                    </a:stretch>
                  </pic:blipFill>
                  <pic:spPr bwMode="auto">
                    <a:xfrm>
                      <a:off x="0" y="0"/>
                      <a:ext cx="2533650" cy="2181225"/>
                    </a:xfrm>
                    <a:prstGeom prst="rect">
                      <a:avLst/>
                    </a:prstGeom>
                    <a:noFill/>
                    <a:ln w="9525">
                      <a:noFill/>
                      <a:miter lim="800000"/>
                      <a:headEnd/>
                      <a:tailEnd/>
                    </a:ln>
                  </pic:spPr>
                </pic:pic>
              </a:graphicData>
            </a:graphic>
          </wp:inline>
        </w:drawing>
      </w:r>
    </w:p>
    <w:p w:rsidR="00B17370" w:rsidRDefault="00B17370" w:rsidP="00B17370">
      <w:r w:rsidRPr="00E92012">
        <w:t xml:space="preserve">                                       </w:t>
      </w:r>
      <w:r>
        <w:t xml:space="preserve">             Šaltinis: Eviews 8 program</w:t>
      </w:r>
    </w:p>
    <w:p w:rsidR="00B17370" w:rsidRDefault="00B17370" w:rsidP="00B17370">
      <w:pPr>
        <w:jc w:val="center"/>
        <w:rPr>
          <w:sz w:val="24"/>
          <w:szCs w:val="24"/>
        </w:rPr>
      </w:pPr>
    </w:p>
    <w:p w:rsidR="00B17370" w:rsidRDefault="00B17370" w:rsidP="00B17370">
      <w:pPr>
        <w:jc w:val="center"/>
        <w:rPr>
          <w:sz w:val="24"/>
          <w:szCs w:val="24"/>
        </w:rPr>
      </w:pPr>
      <w:r w:rsidRPr="00E92012">
        <w:rPr>
          <w:sz w:val="24"/>
          <w:szCs w:val="24"/>
        </w:rPr>
        <w:t>2pav. ARMA(2;0) modelio įver</w:t>
      </w:r>
      <w:r>
        <w:rPr>
          <w:sz w:val="24"/>
          <w:szCs w:val="24"/>
        </w:rPr>
        <w:t>tinimo langas</w:t>
      </w:r>
    </w:p>
    <w:p w:rsidR="00B17370" w:rsidRDefault="00B17370" w:rsidP="00B17370">
      <w:pPr>
        <w:jc w:val="center"/>
        <w:rPr>
          <w:sz w:val="24"/>
          <w:szCs w:val="24"/>
        </w:rPr>
      </w:pPr>
    </w:p>
    <w:p w:rsidR="00B17370" w:rsidRPr="0070446C" w:rsidRDefault="00B17370" w:rsidP="00B17370">
      <w:pPr>
        <w:jc w:val="center"/>
        <w:rPr>
          <w:sz w:val="24"/>
          <w:szCs w:val="24"/>
        </w:rPr>
      </w:pPr>
    </w:p>
    <w:p w:rsidR="00B17370" w:rsidRPr="00E92012" w:rsidRDefault="00B17370" w:rsidP="00B17370">
      <w:pPr>
        <w:tabs>
          <w:tab w:val="left" w:pos="3495"/>
        </w:tabs>
        <w:jc w:val="center"/>
      </w:pPr>
    </w:p>
    <w:p w:rsidR="00B17370" w:rsidRPr="00E92012" w:rsidRDefault="00B17370" w:rsidP="00B17370">
      <w:pPr>
        <w:tabs>
          <w:tab w:val="left" w:pos="3495"/>
        </w:tabs>
        <w:jc w:val="center"/>
      </w:pPr>
      <w:r>
        <w:rPr>
          <w:noProof/>
          <w:lang w:val="en-US"/>
        </w:rPr>
        <w:drawing>
          <wp:inline distT="0" distB="0" distL="0" distR="0">
            <wp:extent cx="2695575" cy="2019300"/>
            <wp:effectExtent l="19050" t="0" r="9525" b="0"/>
            <wp:docPr id="1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3" cstate="print"/>
                    <a:srcRect l="41827" t="29649" r="25320" b="26447"/>
                    <a:stretch>
                      <a:fillRect/>
                    </a:stretch>
                  </pic:blipFill>
                  <pic:spPr bwMode="auto">
                    <a:xfrm>
                      <a:off x="0" y="0"/>
                      <a:ext cx="2695575" cy="2019300"/>
                    </a:xfrm>
                    <a:prstGeom prst="rect">
                      <a:avLst/>
                    </a:prstGeom>
                    <a:noFill/>
                    <a:ln w="9525">
                      <a:noFill/>
                      <a:miter lim="800000"/>
                      <a:headEnd/>
                      <a:tailEnd/>
                    </a:ln>
                  </pic:spPr>
                </pic:pic>
              </a:graphicData>
            </a:graphic>
          </wp:inline>
        </w:drawing>
      </w:r>
    </w:p>
    <w:p w:rsidR="00B17370" w:rsidRDefault="00B17370" w:rsidP="00B17370">
      <w:pPr>
        <w:tabs>
          <w:tab w:val="left" w:pos="5235"/>
        </w:tabs>
      </w:pPr>
      <w:r w:rsidRPr="00E92012">
        <w:t xml:space="preserve">                                                     Šaltinis: Eviews 8 programa</w:t>
      </w:r>
    </w:p>
    <w:p w:rsidR="00B17370" w:rsidRPr="00E92012" w:rsidRDefault="00B17370" w:rsidP="00B17370">
      <w:pPr>
        <w:tabs>
          <w:tab w:val="left" w:pos="5235"/>
        </w:tabs>
      </w:pPr>
    </w:p>
    <w:p w:rsidR="00FB6983" w:rsidRPr="00E94FF8" w:rsidRDefault="00B17370" w:rsidP="00D7464D">
      <w:pPr>
        <w:tabs>
          <w:tab w:val="left" w:pos="7470"/>
        </w:tabs>
        <w:ind w:firstLine="0"/>
        <w:jc w:val="center"/>
      </w:pPr>
      <w:r w:rsidRPr="00375DBD">
        <w:rPr>
          <w:sz w:val="24"/>
          <w:szCs w:val="24"/>
        </w:rPr>
        <w:t>3 pav. ARMA(2;0) modelio liekamų</w:t>
      </w:r>
      <w:r>
        <w:rPr>
          <w:sz w:val="24"/>
          <w:szCs w:val="24"/>
        </w:rPr>
        <w:t>jų paklaidų korelogram</w:t>
      </w:r>
      <w:r w:rsidR="00D7464D">
        <w:rPr>
          <w:sz w:val="24"/>
          <w:szCs w:val="24"/>
        </w:rPr>
        <w:t>a</w:t>
      </w:r>
    </w:p>
    <w:sectPr w:rsidR="00FB6983" w:rsidRPr="00E94FF8" w:rsidSect="00EB7DE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117B" w:rsidRDefault="007E117B" w:rsidP="00D86F23">
      <w:r>
        <w:separator/>
      </w:r>
    </w:p>
  </w:endnote>
  <w:endnote w:type="continuationSeparator" w:id="0">
    <w:p w:rsidR="007E117B" w:rsidRDefault="007E117B" w:rsidP="00D86F2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0" w:usb1="08070000" w:usb2="00000010" w:usb3="00000000" w:csb0="00020002"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13E" w:rsidRDefault="00E12FF5" w:rsidP="00D61395">
    <w:pPr>
      <w:pStyle w:val="Footer"/>
      <w:framePr w:wrap="around" w:vAnchor="text" w:hAnchor="margin" w:xAlign="right" w:y="1"/>
      <w:rPr>
        <w:rStyle w:val="PageNumber"/>
      </w:rPr>
    </w:pPr>
    <w:r>
      <w:rPr>
        <w:rStyle w:val="PageNumber"/>
      </w:rPr>
      <w:fldChar w:fldCharType="begin"/>
    </w:r>
    <w:r w:rsidR="00F4013E">
      <w:rPr>
        <w:rStyle w:val="PageNumber"/>
      </w:rPr>
      <w:instrText xml:space="preserve">PAGE  </w:instrText>
    </w:r>
    <w:r>
      <w:rPr>
        <w:rStyle w:val="PageNumber"/>
      </w:rPr>
      <w:fldChar w:fldCharType="end"/>
    </w:r>
  </w:p>
  <w:p w:rsidR="00F4013E" w:rsidRDefault="00E12FF5" w:rsidP="00C21D62">
    <w:pPr>
      <w:pStyle w:val="Footer"/>
      <w:framePr w:wrap="around" w:vAnchor="text" w:hAnchor="margin" w:xAlign="right" w:y="1"/>
      <w:ind w:right="360"/>
      <w:rPr>
        <w:rStyle w:val="PageNumber"/>
      </w:rPr>
    </w:pPr>
    <w:r>
      <w:rPr>
        <w:rStyle w:val="PageNumber"/>
      </w:rPr>
      <w:fldChar w:fldCharType="begin"/>
    </w:r>
    <w:r w:rsidR="00F4013E">
      <w:rPr>
        <w:rStyle w:val="PageNumber"/>
      </w:rPr>
      <w:instrText xml:space="preserve">PAGE  </w:instrText>
    </w:r>
    <w:r>
      <w:rPr>
        <w:rStyle w:val="PageNumber"/>
      </w:rPr>
      <w:fldChar w:fldCharType="end"/>
    </w:r>
  </w:p>
  <w:p w:rsidR="00F4013E" w:rsidRDefault="00E12FF5" w:rsidP="00C21D62">
    <w:pPr>
      <w:pStyle w:val="Footer"/>
      <w:framePr w:wrap="around" w:vAnchor="text" w:hAnchor="margin" w:xAlign="right" w:y="1"/>
      <w:ind w:right="360"/>
      <w:rPr>
        <w:rStyle w:val="PageNumber"/>
      </w:rPr>
    </w:pPr>
    <w:r>
      <w:rPr>
        <w:rStyle w:val="PageNumber"/>
      </w:rPr>
      <w:fldChar w:fldCharType="begin"/>
    </w:r>
    <w:r w:rsidR="00F4013E">
      <w:rPr>
        <w:rStyle w:val="PageNumber"/>
      </w:rPr>
      <w:instrText xml:space="preserve">PAGE  </w:instrText>
    </w:r>
    <w:r>
      <w:rPr>
        <w:rStyle w:val="PageNumber"/>
      </w:rPr>
      <w:fldChar w:fldCharType="end"/>
    </w:r>
  </w:p>
  <w:p w:rsidR="00F4013E" w:rsidRDefault="00E12FF5" w:rsidP="00C21D62">
    <w:pPr>
      <w:pStyle w:val="Footer"/>
      <w:framePr w:wrap="around" w:vAnchor="text" w:hAnchor="margin" w:xAlign="right" w:y="1"/>
      <w:ind w:right="360"/>
      <w:rPr>
        <w:rStyle w:val="PageNumber"/>
      </w:rPr>
    </w:pPr>
    <w:r>
      <w:rPr>
        <w:rStyle w:val="PageNumber"/>
      </w:rPr>
      <w:fldChar w:fldCharType="begin"/>
    </w:r>
    <w:r w:rsidR="00F4013E">
      <w:rPr>
        <w:rStyle w:val="PageNumber"/>
      </w:rPr>
      <w:instrText xml:space="preserve">PAGE  </w:instrText>
    </w:r>
    <w:r>
      <w:rPr>
        <w:rStyle w:val="PageNumber"/>
      </w:rPr>
      <w:fldChar w:fldCharType="end"/>
    </w:r>
  </w:p>
  <w:p w:rsidR="00F4013E" w:rsidRDefault="00F4013E" w:rsidP="00C21D6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13E" w:rsidRDefault="00F4013E" w:rsidP="00C21D62">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13E" w:rsidRDefault="00F4013E" w:rsidP="00C21D6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117B" w:rsidRDefault="007E117B" w:rsidP="00D86F23">
      <w:r>
        <w:separator/>
      </w:r>
    </w:p>
  </w:footnote>
  <w:footnote w:type="continuationSeparator" w:id="0">
    <w:p w:rsidR="007E117B" w:rsidRDefault="007E117B" w:rsidP="00D86F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3754927"/>
      <w:docPartObj>
        <w:docPartGallery w:val="Page Numbers (Top of Page)"/>
        <w:docPartUnique/>
      </w:docPartObj>
    </w:sdtPr>
    <w:sdtContent>
      <w:p w:rsidR="00F4013E" w:rsidRDefault="00E12FF5">
        <w:pPr>
          <w:pStyle w:val="Header"/>
          <w:jc w:val="right"/>
        </w:pPr>
        <w:fldSimple w:instr=" PAGE   \* MERGEFORMAT ">
          <w:r w:rsidR="006E2728">
            <w:rPr>
              <w:noProof/>
            </w:rPr>
            <w:t>64</w:t>
          </w:r>
        </w:fldSimple>
      </w:p>
    </w:sdtContent>
  </w:sdt>
  <w:p w:rsidR="00F4013E" w:rsidRDefault="00F4013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13E" w:rsidRDefault="00F4013E">
    <w:pPr>
      <w:pStyle w:val="Header"/>
    </w:pPr>
  </w:p>
  <w:p w:rsidR="00F4013E" w:rsidRDefault="00F4013E" w:rsidP="0072343F">
    <w:pPr>
      <w:pStyle w:val="Header"/>
      <w:tabs>
        <w:tab w:val="clear" w:pos="4986"/>
        <w:tab w:val="clear" w:pos="9972"/>
        <w:tab w:val="left" w:pos="2265"/>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F4771"/>
    <w:multiLevelType w:val="hybridMultilevel"/>
    <w:tmpl w:val="00D2CF4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nsid w:val="01DA3227"/>
    <w:multiLevelType w:val="hybridMultilevel"/>
    <w:tmpl w:val="58A29470"/>
    <w:lvl w:ilvl="0" w:tplc="113C7AC0">
      <w:start w:val="1"/>
      <w:numFmt w:val="bullet"/>
      <w:lvlText w:val="•"/>
      <w:lvlJc w:val="left"/>
      <w:pPr>
        <w:tabs>
          <w:tab w:val="num" w:pos="720"/>
        </w:tabs>
        <w:ind w:left="720" w:hanging="360"/>
      </w:pPr>
      <w:rPr>
        <w:rFonts w:ascii="Times New Roman" w:hAnsi="Times New Roman" w:hint="default"/>
      </w:rPr>
    </w:lvl>
    <w:lvl w:ilvl="1" w:tplc="A8EE481C" w:tentative="1">
      <w:start w:val="1"/>
      <w:numFmt w:val="bullet"/>
      <w:lvlText w:val="•"/>
      <w:lvlJc w:val="left"/>
      <w:pPr>
        <w:tabs>
          <w:tab w:val="num" w:pos="1440"/>
        </w:tabs>
        <w:ind w:left="1440" w:hanging="360"/>
      </w:pPr>
      <w:rPr>
        <w:rFonts w:ascii="Times New Roman" w:hAnsi="Times New Roman" w:hint="default"/>
      </w:rPr>
    </w:lvl>
    <w:lvl w:ilvl="2" w:tplc="B1A49848" w:tentative="1">
      <w:start w:val="1"/>
      <w:numFmt w:val="bullet"/>
      <w:lvlText w:val="•"/>
      <w:lvlJc w:val="left"/>
      <w:pPr>
        <w:tabs>
          <w:tab w:val="num" w:pos="2160"/>
        </w:tabs>
        <w:ind w:left="2160" w:hanging="360"/>
      </w:pPr>
      <w:rPr>
        <w:rFonts w:ascii="Times New Roman" w:hAnsi="Times New Roman" w:hint="default"/>
      </w:rPr>
    </w:lvl>
    <w:lvl w:ilvl="3" w:tplc="9F8A075E" w:tentative="1">
      <w:start w:val="1"/>
      <w:numFmt w:val="bullet"/>
      <w:lvlText w:val="•"/>
      <w:lvlJc w:val="left"/>
      <w:pPr>
        <w:tabs>
          <w:tab w:val="num" w:pos="2880"/>
        </w:tabs>
        <w:ind w:left="2880" w:hanging="360"/>
      </w:pPr>
      <w:rPr>
        <w:rFonts w:ascii="Times New Roman" w:hAnsi="Times New Roman" w:hint="default"/>
      </w:rPr>
    </w:lvl>
    <w:lvl w:ilvl="4" w:tplc="1D9C6568" w:tentative="1">
      <w:start w:val="1"/>
      <w:numFmt w:val="bullet"/>
      <w:lvlText w:val="•"/>
      <w:lvlJc w:val="left"/>
      <w:pPr>
        <w:tabs>
          <w:tab w:val="num" w:pos="3600"/>
        </w:tabs>
        <w:ind w:left="3600" w:hanging="360"/>
      </w:pPr>
      <w:rPr>
        <w:rFonts w:ascii="Times New Roman" w:hAnsi="Times New Roman" w:hint="default"/>
      </w:rPr>
    </w:lvl>
    <w:lvl w:ilvl="5" w:tplc="AB7E71CC" w:tentative="1">
      <w:start w:val="1"/>
      <w:numFmt w:val="bullet"/>
      <w:lvlText w:val="•"/>
      <w:lvlJc w:val="left"/>
      <w:pPr>
        <w:tabs>
          <w:tab w:val="num" w:pos="4320"/>
        </w:tabs>
        <w:ind w:left="4320" w:hanging="360"/>
      </w:pPr>
      <w:rPr>
        <w:rFonts w:ascii="Times New Roman" w:hAnsi="Times New Roman" w:hint="default"/>
      </w:rPr>
    </w:lvl>
    <w:lvl w:ilvl="6" w:tplc="051A2C22" w:tentative="1">
      <w:start w:val="1"/>
      <w:numFmt w:val="bullet"/>
      <w:lvlText w:val="•"/>
      <w:lvlJc w:val="left"/>
      <w:pPr>
        <w:tabs>
          <w:tab w:val="num" w:pos="5040"/>
        </w:tabs>
        <w:ind w:left="5040" w:hanging="360"/>
      </w:pPr>
      <w:rPr>
        <w:rFonts w:ascii="Times New Roman" w:hAnsi="Times New Roman" w:hint="default"/>
      </w:rPr>
    </w:lvl>
    <w:lvl w:ilvl="7" w:tplc="5A445C68" w:tentative="1">
      <w:start w:val="1"/>
      <w:numFmt w:val="bullet"/>
      <w:lvlText w:val="•"/>
      <w:lvlJc w:val="left"/>
      <w:pPr>
        <w:tabs>
          <w:tab w:val="num" w:pos="5760"/>
        </w:tabs>
        <w:ind w:left="5760" w:hanging="360"/>
      </w:pPr>
      <w:rPr>
        <w:rFonts w:ascii="Times New Roman" w:hAnsi="Times New Roman" w:hint="default"/>
      </w:rPr>
    </w:lvl>
    <w:lvl w:ilvl="8" w:tplc="7C58B7E6" w:tentative="1">
      <w:start w:val="1"/>
      <w:numFmt w:val="bullet"/>
      <w:lvlText w:val="•"/>
      <w:lvlJc w:val="left"/>
      <w:pPr>
        <w:tabs>
          <w:tab w:val="num" w:pos="6480"/>
        </w:tabs>
        <w:ind w:left="6480" w:hanging="360"/>
      </w:pPr>
      <w:rPr>
        <w:rFonts w:ascii="Times New Roman" w:hAnsi="Times New Roman" w:hint="default"/>
      </w:rPr>
    </w:lvl>
  </w:abstractNum>
  <w:abstractNum w:abstractNumId="2">
    <w:nsid w:val="03835FE9"/>
    <w:multiLevelType w:val="hybridMultilevel"/>
    <w:tmpl w:val="80CCA192"/>
    <w:lvl w:ilvl="0" w:tplc="854C47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6E35A08"/>
    <w:multiLevelType w:val="hybridMultilevel"/>
    <w:tmpl w:val="740EDCBE"/>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074B6CF9"/>
    <w:multiLevelType w:val="multilevel"/>
    <w:tmpl w:val="B6B4AC9C"/>
    <w:lvl w:ilvl="0">
      <w:start w:val="3"/>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nsid w:val="079178E3"/>
    <w:multiLevelType w:val="hybridMultilevel"/>
    <w:tmpl w:val="73E6C5FC"/>
    <w:lvl w:ilvl="0" w:tplc="0409000B">
      <w:start w:val="6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5F6438"/>
    <w:multiLevelType w:val="hybridMultilevel"/>
    <w:tmpl w:val="CDBC4D72"/>
    <w:lvl w:ilvl="0" w:tplc="0409000B">
      <w:start w:val="6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BD6FC0"/>
    <w:multiLevelType w:val="multilevel"/>
    <w:tmpl w:val="BE9CE36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A89587E"/>
    <w:multiLevelType w:val="hybridMultilevel"/>
    <w:tmpl w:val="60EA8C2C"/>
    <w:lvl w:ilvl="0" w:tplc="0A04BE3A">
      <w:start w:val="1"/>
      <w:numFmt w:val="decimal"/>
      <w:lvlText w:val="%1."/>
      <w:lvlJc w:val="left"/>
      <w:pPr>
        <w:ind w:left="1287"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EF360D"/>
    <w:multiLevelType w:val="hybridMultilevel"/>
    <w:tmpl w:val="9E9E984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nsid w:val="0C845A0E"/>
    <w:multiLevelType w:val="hybridMultilevel"/>
    <w:tmpl w:val="119A8CF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0CA414D2"/>
    <w:multiLevelType w:val="hybridMultilevel"/>
    <w:tmpl w:val="C41AB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DF81448"/>
    <w:multiLevelType w:val="hybridMultilevel"/>
    <w:tmpl w:val="A8289A1C"/>
    <w:lvl w:ilvl="0" w:tplc="AD9EF280">
      <w:start w:val="1"/>
      <w:numFmt w:val="bullet"/>
      <w:lvlText w:val="•"/>
      <w:lvlJc w:val="left"/>
      <w:pPr>
        <w:tabs>
          <w:tab w:val="num" w:pos="720"/>
        </w:tabs>
        <w:ind w:left="720" w:hanging="360"/>
      </w:pPr>
      <w:rPr>
        <w:rFonts w:ascii="Times New Roman" w:hAnsi="Times New Roman" w:hint="default"/>
      </w:rPr>
    </w:lvl>
    <w:lvl w:ilvl="1" w:tplc="C9BA686A" w:tentative="1">
      <w:start w:val="1"/>
      <w:numFmt w:val="bullet"/>
      <w:lvlText w:val="•"/>
      <w:lvlJc w:val="left"/>
      <w:pPr>
        <w:tabs>
          <w:tab w:val="num" w:pos="1440"/>
        </w:tabs>
        <w:ind w:left="1440" w:hanging="360"/>
      </w:pPr>
      <w:rPr>
        <w:rFonts w:ascii="Times New Roman" w:hAnsi="Times New Roman" w:hint="default"/>
      </w:rPr>
    </w:lvl>
    <w:lvl w:ilvl="2" w:tplc="316085EE" w:tentative="1">
      <w:start w:val="1"/>
      <w:numFmt w:val="bullet"/>
      <w:lvlText w:val="•"/>
      <w:lvlJc w:val="left"/>
      <w:pPr>
        <w:tabs>
          <w:tab w:val="num" w:pos="2160"/>
        </w:tabs>
        <w:ind w:left="2160" w:hanging="360"/>
      </w:pPr>
      <w:rPr>
        <w:rFonts w:ascii="Times New Roman" w:hAnsi="Times New Roman" w:hint="default"/>
      </w:rPr>
    </w:lvl>
    <w:lvl w:ilvl="3" w:tplc="8C0ADEF4" w:tentative="1">
      <w:start w:val="1"/>
      <w:numFmt w:val="bullet"/>
      <w:lvlText w:val="•"/>
      <w:lvlJc w:val="left"/>
      <w:pPr>
        <w:tabs>
          <w:tab w:val="num" w:pos="2880"/>
        </w:tabs>
        <w:ind w:left="2880" w:hanging="360"/>
      </w:pPr>
      <w:rPr>
        <w:rFonts w:ascii="Times New Roman" w:hAnsi="Times New Roman" w:hint="default"/>
      </w:rPr>
    </w:lvl>
    <w:lvl w:ilvl="4" w:tplc="DFBAA1DE" w:tentative="1">
      <w:start w:val="1"/>
      <w:numFmt w:val="bullet"/>
      <w:lvlText w:val="•"/>
      <w:lvlJc w:val="left"/>
      <w:pPr>
        <w:tabs>
          <w:tab w:val="num" w:pos="3600"/>
        </w:tabs>
        <w:ind w:left="3600" w:hanging="360"/>
      </w:pPr>
      <w:rPr>
        <w:rFonts w:ascii="Times New Roman" w:hAnsi="Times New Roman" w:hint="default"/>
      </w:rPr>
    </w:lvl>
    <w:lvl w:ilvl="5" w:tplc="672C9186" w:tentative="1">
      <w:start w:val="1"/>
      <w:numFmt w:val="bullet"/>
      <w:lvlText w:val="•"/>
      <w:lvlJc w:val="left"/>
      <w:pPr>
        <w:tabs>
          <w:tab w:val="num" w:pos="4320"/>
        </w:tabs>
        <w:ind w:left="4320" w:hanging="360"/>
      </w:pPr>
      <w:rPr>
        <w:rFonts w:ascii="Times New Roman" w:hAnsi="Times New Roman" w:hint="default"/>
      </w:rPr>
    </w:lvl>
    <w:lvl w:ilvl="6" w:tplc="5600A23A" w:tentative="1">
      <w:start w:val="1"/>
      <w:numFmt w:val="bullet"/>
      <w:lvlText w:val="•"/>
      <w:lvlJc w:val="left"/>
      <w:pPr>
        <w:tabs>
          <w:tab w:val="num" w:pos="5040"/>
        </w:tabs>
        <w:ind w:left="5040" w:hanging="360"/>
      </w:pPr>
      <w:rPr>
        <w:rFonts w:ascii="Times New Roman" w:hAnsi="Times New Roman" w:hint="default"/>
      </w:rPr>
    </w:lvl>
    <w:lvl w:ilvl="7" w:tplc="39BE9D98" w:tentative="1">
      <w:start w:val="1"/>
      <w:numFmt w:val="bullet"/>
      <w:lvlText w:val="•"/>
      <w:lvlJc w:val="left"/>
      <w:pPr>
        <w:tabs>
          <w:tab w:val="num" w:pos="5760"/>
        </w:tabs>
        <w:ind w:left="5760" w:hanging="360"/>
      </w:pPr>
      <w:rPr>
        <w:rFonts w:ascii="Times New Roman" w:hAnsi="Times New Roman" w:hint="default"/>
      </w:rPr>
    </w:lvl>
    <w:lvl w:ilvl="8" w:tplc="68D89DC6" w:tentative="1">
      <w:start w:val="1"/>
      <w:numFmt w:val="bullet"/>
      <w:lvlText w:val="•"/>
      <w:lvlJc w:val="left"/>
      <w:pPr>
        <w:tabs>
          <w:tab w:val="num" w:pos="6480"/>
        </w:tabs>
        <w:ind w:left="6480" w:hanging="360"/>
      </w:pPr>
      <w:rPr>
        <w:rFonts w:ascii="Times New Roman" w:hAnsi="Times New Roman" w:hint="default"/>
      </w:rPr>
    </w:lvl>
  </w:abstractNum>
  <w:abstractNum w:abstractNumId="13">
    <w:nsid w:val="158E0BFD"/>
    <w:multiLevelType w:val="hybridMultilevel"/>
    <w:tmpl w:val="37760F2E"/>
    <w:lvl w:ilvl="0" w:tplc="C6E83FBE">
      <w:start w:val="1"/>
      <w:numFmt w:val="bullet"/>
      <w:lvlText w:val="•"/>
      <w:lvlJc w:val="left"/>
      <w:pPr>
        <w:tabs>
          <w:tab w:val="num" w:pos="720"/>
        </w:tabs>
        <w:ind w:left="720" w:hanging="360"/>
      </w:pPr>
      <w:rPr>
        <w:rFonts w:ascii="Times New Roman" w:hAnsi="Times New Roman" w:hint="default"/>
      </w:rPr>
    </w:lvl>
    <w:lvl w:ilvl="1" w:tplc="C7BC000A" w:tentative="1">
      <w:start w:val="1"/>
      <w:numFmt w:val="bullet"/>
      <w:lvlText w:val="•"/>
      <w:lvlJc w:val="left"/>
      <w:pPr>
        <w:tabs>
          <w:tab w:val="num" w:pos="1440"/>
        </w:tabs>
        <w:ind w:left="1440" w:hanging="360"/>
      </w:pPr>
      <w:rPr>
        <w:rFonts w:ascii="Times New Roman" w:hAnsi="Times New Roman" w:hint="default"/>
      </w:rPr>
    </w:lvl>
    <w:lvl w:ilvl="2" w:tplc="D0803C1E" w:tentative="1">
      <w:start w:val="1"/>
      <w:numFmt w:val="bullet"/>
      <w:lvlText w:val="•"/>
      <w:lvlJc w:val="left"/>
      <w:pPr>
        <w:tabs>
          <w:tab w:val="num" w:pos="2160"/>
        </w:tabs>
        <w:ind w:left="2160" w:hanging="360"/>
      </w:pPr>
      <w:rPr>
        <w:rFonts w:ascii="Times New Roman" w:hAnsi="Times New Roman" w:hint="default"/>
      </w:rPr>
    </w:lvl>
    <w:lvl w:ilvl="3" w:tplc="C3AA05EA" w:tentative="1">
      <w:start w:val="1"/>
      <w:numFmt w:val="bullet"/>
      <w:lvlText w:val="•"/>
      <w:lvlJc w:val="left"/>
      <w:pPr>
        <w:tabs>
          <w:tab w:val="num" w:pos="2880"/>
        </w:tabs>
        <w:ind w:left="2880" w:hanging="360"/>
      </w:pPr>
      <w:rPr>
        <w:rFonts w:ascii="Times New Roman" w:hAnsi="Times New Roman" w:hint="default"/>
      </w:rPr>
    </w:lvl>
    <w:lvl w:ilvl="4" w:tplc="451CCEB4" w:tentative="1">
      <w:start w:val="1"/>
      <w:numFmt w:val="bullet"/>
      <w:lvlText w:val="•"/>
      <w:lvlJc w:val="left"/>
      <w:pPr>
        <w:tabs>
          <w:tab w:val="num" w:pos="3600"/>
        </w:tabs>
        <w:ind w:left="3600" w:hanging="360"/>
      </w:pPr>
      <w:rPr>
        <w:rFonts w:ascii="Times New Roman" w:hAnsi="Times New Roman" w:hint="default"/>
      </w:rPr>
    </w:lvl>
    <w:lvl w:ilvl="5" w:tplc="7558117A" w:tentative="1">
      <w:start w:val="1"/>
      <w:numFmt w:val="bullet"/>
      <w:lvlText w:val="•"/>
      <w:lvlJc w:val="left"/>
      <w:pPr>
        <w:tabs>
          <w:tab w:val="num" w:pos="4320"/>
        </w:tabs>
        <w:ind w:left="4320" w:hanging="360"/>
      </w:pPr>
      <w:rPr>
        <w:rFonts w:ascii="Times New Roman" w:hAnsi="Times New Roman" w:hint="default"/>
      </w:rPr>
    </w:lvl>
    <w:lvl w:ilvl="6" w:tplc="CEA05C04" w:tentative="1">
      <w:start w:val="1"/>
      <w:numFmt w:val="bullet"/>
      <w:lvlText w:val="•"/>
      <w:lvlJc w:val="left"/>
      <w:pPr>
        <w:tabs>
          <w:tab w:val="num" w:pos="5040"/>
        </w:tabs>
        <w:ind w:left="5040" w:hanging="360"/>
      </w:pPr>
      <w:rPr>
        <w:rFonts w:ascii="Times New Roman" w:hAnsi="Times New Roman" w:hint="default"/>
      </w:rPr>
    </w:lvl>
    <w:lvl w:ilvl="7" w:tplc="8634D792" w:tentative="1">
      <w:start w:val="1"/>
      <w:numFmt w:val="bullet"/>
      <w:lvlText w:val="•"/>
      <w:lvlJc w:val="left"/>
      <w:pPr>
        <w:tabs>
          <w:tab w:val="num" w:pos="5760"/>
        </w:tabs>
        <w:ind w:left="5760" w:hanging="360"/>
      </w:pPr>
      <w:rPr>
        <w:rFonts w:ascii="Times New Roman" w:hAnsi="Times New Roman" w:hint="default"/>
      </w:rPr>
    </w:lvl>
    <w:lvl w:ilvl="8" w:tplc="8D686404" w:tentative="1">
      <w:start w:val="1"/>
      <w:numFmt w:val="bullet"/>
      <w:lvlText w:val="•"/>
      <w:lvlJc w:val="left"/>
      <w:pPr>
        <w:tabs>
          <w:tab w:val="num" w:pos="6480"/>
        </w:tabs>
        <w:ind w:left="6480" w:hanging="360"/>
      </w:pPr>
      <w:rPr>
        <w:rFonts w:ascii="Times New Roman" w:hAnsi="Times New Roman" w:hint="default"/>
      </w:rPr>
    </w:lvl>
  </w:abstractNum>
  <w:abstractNum w:abstractNumId="14">
    <w:nsid w:val="17C7613F"/>
    <w:multiLevelType w:val="hybridMultilevel"/>
    <w:tmpl w:val="E26CFD0C"/>
    <w:lvl w:ilvl="0" w:tplc="854C47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8065CDC"/>
    <w:multiLevelType w:val="hybridMultilevel"/>
    <w:tmpl w:val="80CCA192"/>
    <w:lvl w:ilvl="0" w:tplc="854C47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EB81DCF"/>
    <w:multiLevelType w:val="hybridMultilevel"/>
    <w:tmpl w:val="8C8A31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0145227"/>
    <w:multiLevelType w:val="hybridMultilevel"/>
    <w:tmpl w:val="24A40C5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nsid w:val="25AD2075"/>
    <w:multiLevelType w:val="hybridMultilevel"/>
    <w:tmpl w:val="B57495E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nsid w:val="28FF05C0"/>
    <w:multiLevelType w:val="hybridMultilevel"/>
    <w:tmpl w:val="83EEA07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nsid w:val="2C521395"/>
    <w:multiLevelType w:val="hybridMultilevel"/>
    <w:tmpl w:val="7D023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8A1EDD"/>
    <w:multiLevelType w:val="hybridMultilevel"/>
    <w:tmpl w:val="7C820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00C6D43"/>
    <w:multiLevelType w:val="hybridMultilevel"/>
    <w:tmpl w:val="BEC2A7A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nsid w:val="306F5C0D"/>
    <w:multiLevelType w:val="hybridMultilevel"/>
    <w:tmpl w:val="669626B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nsid w:val="31582DB8"/>
    <w:multiLevelType w:val="hybridMultilevel"/>
    <w:tmpl w:val="56E03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224534D"/>
    <w:multiLevelType w:val="hybridMultilevel"/>
    <w:tmpl w:val="FB520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48F0F84"/>
    <w:multiLevelType w:val="hybridMultilevel"/>
    <w:tmpl w:val="F95612F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nsid w:val="35A7759F"/>
    <w:multiLevelType w:val="hybridMultilevel"/>
    <w:tmpl w:val="854EAB82"/>
    <w:lvl w:ilvl="0" w:tplc="0409000B">
      <w:start w:val="6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0E41AAE"/>
    <w:multiLevelType w:val="multilevel"/>
    <w:tmpl w:val="84CADC2C"/>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nsid w:val="4D0F06FE"/>
    <w:multiLevelType w:val="hybridMultilevel"/>
    <w:tmpl w:val="E356DE1C"/>
    <w:lvl w:ilvl="0" w:tplc="0409000B">
      <w:start w:val="6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FE54DD"/>
    <w:multiLevelType w:val="hybridMultilevel"/>
    <w:tmpl w:val="D4E6F596"/>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nsid w:val="5CBD7F50"/>
    <w:multiLevelType w:val="hybridMultilevel"/>
    <w:tmpl w:val="08306E1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2">
    <w:nsid w:val="5FF45704"/>
    <w:multiLevelType w:val="hybridMultilevel"/>
    <w:tmpl w:val="0274562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nsid w:val="60020488"/>
    <w:multiLevelType w:val="hybridMultilevel"/>
    <w:tmpl w:val="2C7C1474"/>
    <w:lvl w:ilvl="0" w:tplc="0A04BE3A">
      <w:start w:val="1"/>
      <w:numFmt w:val="decimal"/>
      <w:lvlText w:val="%1."/>
      <w:lvlJc w:val="left"/>
      <w:pPr>
        <w:ind w:left="99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2B90E2E"/>
    <w:multiLevelType w:val="hybridMultilevel"/>
    <w:tmpl w:val="486E3A4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5">
    <w:nsid w:val="67487A04"/>
    <w:multiLevelType w:val="multilevel"/>
    <w:tmpl w:val="7AB4E68A"/>
    <w:lvl w:ilvl="0">
      <w:start w:val="3"/>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67AB55EF"/>
    <w:multiLevelType w:val="hybridMultilevel"/>
    <w:tmpl w:val="D902A9E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7">
    <w:nsid w:val="68AC5A32"/>
    <w:multiLevelType w:val="hybridMultilevel"/>
    <w:tmpl w:val="C6482E30"/>
    <w:lvl w:ilvl="0" w:tplc="0409000B">
      <w:start w:val="6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A714AC3"/>
    <w:multiLevelType w:val="hybridMultilevel"/>
    <w:tmpl w:val="B874B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AB3982"/>
    <w:multiLevelType w:val="hybridMultilevel"/>
    <w:tmpl w:val="DB328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9603AB8"/>
    <w:multiLevelType w:val="hybridMultilevel"/>
    <w:tmpl w:val="396EAC9A"/>
    <w:lvl w:ilvl="0" w:tplc="0A04BE3A">
      <w:start w:val="1"/>
      <w:numFmt w:val="decimal"/>
      <w:lvlText w:val="%1."/>
      <w:lvlJc w:val="left"/>
      <w:pPr>
        <w:ind w:left="1287" w:hanging="360"/>
      </w:pPr>
      <w:rPr>
        <w:rFonts w:ascii="Times New Roman" w:eastAsia="Times New Roman" w:hAnsi="Times New Roman" w:cs="Times New Roman"/>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
    <w:nsid w:val="7EF25449"/>
    <w:multiLevelType w:val="multilevel"/>
    <w:tmpl w:val="8CDA25B6"/>
    <w:lvl w:ilvl="0">
      <w:start w:val="1"/>
      <w:numFmt w:val="decimal"/>
      <w:lvlText w:val="%1."/>
      <w:lvlJc w:val="left"/>
      <w:pPr>
        <w:ind w:left="720" w:hanging="360"/>
      </w:pPr>
      <w:rPr>
        <w:rFonts w:hint="default"/>
      </w:rPr>
    </w:lvl>
    <w:lvl w:ilvl="1">
      <w:start w:val="1"/>
      <w:numFmt w:val="decimal"/>
      <w:isLgl/>
      <w:lvlText w:val="%1.%2."/>
      <w:lvlJc w:val="left"/>
      <w:pPr>
        <w:ind w:left="3600" w:hanging="360"/>
      </w:pPr>
      <w:rPr>
        <w:rFonts w:eastAsia="Times New Roman" w:hint="default"/>
        <w:sz w:val="22"/>
      </w:rPr>
    </w:lvl>
    <w:lvl w:ilvl="2">
      <w:start w:val="1"/>
      <w:numFmt w:val="decimal"/>
      <w:isLgl/>
      <w:lvlText w:val="%1.%2.%3."/>
      <w:lvlJc w:val="left"/>
      <w:pPr>
        <w:ind w:left="1800" w:hanging="720"/>
      </w:pPr>
      <w:rPr>
        <w:rFonts w:eastAsia="Times New Roman" w:hint="default"/>
        <w:sz w:val="22"/>
      </w:rPr>
    </w:lvl>
    <w:lvl w:ilvl="3">
      <w:start w:val="1"/>
      <w:numFmt w:val="decimal"/>
      <w:isLgl/>
      <w:lvlText w:val="%1.%2.%3.%4."/>
      <w:lvlJc w:val="left"/>
      <w:pPr>
        <w:ind w:left="2160" w:hanging="720"/>
      </w:pPr>
      <w:rPr>
        <w:rFonts w:eastAsia="Times New Roman" w:hint="default"/>
        <w:sz w:val="22"/>
      </w:rPr>
    </w:lvl>
    <w:lvl w:ilvl="4">
      <w:start w:val="1"/>
      <w:numFmt w:val="decimal"/>
      <w:isLgl/>
      <w:lvlText w:val="%1.%2.%3.%4.%5."/>
      <w:lvlJc w:val="left"/>
      <w:pPr>
        <w:ind w:left="2880" w:hanging="1080"/>
      </w:pPr>
      <w:rPr>
        <w:rFonts w:eastAsia="Times New Roman" w:hint="default"/>
        <w:sz w:val="22"/>
      </w:rPr>
    </w:lvl>
    <w:lvl w:ilvl="5">
      <w:start w:val="1"/>
      <w:numFmt w:val="decimal"/>
      <w:isLgl/>
      <w:lvlText w:val="%1.%2.%3.%4.%5.%6."/>
      <w:lvlJc w:val="left"/>
      <w:pPr>
        <w:ind w:left="3240" w:hanging="1080"/>
      </w:pPr>
      <w:rPr>
        <w:rFonts w:eastAsia="Times New Roman" w:hint="default"/>
        <w:sz w:val="22"/>
      </w:rPr>
    </w:lvl>
    <w:lvl w:ilvl="6">
      <w:start w:val="1"/>
      <w:numFmt w:val="decimal"/>
      <w:isLgl/>
      <w:lvlText w:val="%1.%2.%3.%4.%5.%6.%7."/>
      <w:lvlJc w:val="left"/>
      <w:pPr>
        <w:ind w:left="3960" w:hanging="1440"/>
      </w:pPr>
      <w:rPr>
        <w:rFonts w:eastAsia="Times New Roman" w:hint="default"/>
        <w:sz w:val="22"/>
      </w:rPr>
    </w:lvl>
    <w:lvl w:ilvl="7">
      <w:start w:val="1"/>
      <w:numFmt w:val="decimal"/>
      <w:isLgl/>
      <w:lvlText w:val="%1.%2.%3.%4.%5.%6.%7.%8."/>
      <w:lvlJc w:val="left"/>
      <w:pPr>
        <w:ind w:left="4320" w:hanging="1440"/>
      </w:pPr>
      <w:rPr>
        <w:rFonts w:eastAsia="Times New Roman" w:hint="default"/>
        <w:sz w:val="22"/>
      </w:rPr>
    </w:lvl>
    <w:lvl w:ilvl="8">
      <w:start w:val="1"/>
      <w:numFmt w:val="decimal"/>
      <w:isLgl/>
      <w:lvlText w:val="%1.%2.%3.%4.%5.%6.%7.%8.%9."/>
      <w:lvlJc w:val="left"/>
      <w:pPr>
        <w:ind w:left="5040" w:hanging="1800"/>
      </w:pPr>
      <w:rPr>
        <w:rFonts w:eastAsia="Times New Roman" w:hint="default"/>
        <w:sz w:val="22"/>
      </w:rPr>
    </w:lvl>
  </w:abstractNum>
  <w:num w:numId="1">
    <w:abstractNumId w:val="41"/>
  </w:num>
  <w:num w:numId="2">
    <w:abstractNumId w:val="32"/>
  </w:num>
  <w:num w:numId="3">
    <w:abstractNumId w:val="31"/>
  </w:num>
  <w:num w:numId="4">
    <w:abstractNumId w:val="22"/>
  </w:num>
  <w:num w:numId="5">
    <w:abstractNumId w:val="17"/>
  </w:num>
  <w:num w:numId="6">
    <w:abstractNumId w:val="10"/>
  </w:num>
  <w:num w:numId="7">
    <w:abstractNumId w:val="26"/>
  </w:num>
  <w:num w:numId="8">
    <w:abstractNumId w:val="25"/>
  </w:num>
  <w:num w:numId="9">
    <w:abstractNumId w:val="24"/>
  </w:num>
  <w:num w:numId="10">
    <w:abstractNumId w:val="30"/>
  </w:num>
  <w:num w:numId="11">
    <w:abstractNumId w:val="34"/>
  </w:num>
  <w:num w:numId="12">
    <w:abstractNumId w:val="21"/>
  </w:num>
  <w:num w:numId="13">
    <w:abstractNumId w:val="38"/>
  </w:num>
  <w:num w:numId="14">
    <w:abstractNumId w:val="28"/>
  </w:num>
  <w:num w:numId="15">
    <w:abstractNumId w:val="20"/>
  </w:num>
  <w:num w:numId="16">
    <w:abstractNumId w:val="3"/>
  </w:num>
  <w:num w:numId="17">
    <w:abstractNumId w:val="23"/>
  </w:num>
  <w:num w:numId="18">
    <w:abstractNumId w:val="40"/>
  </w:num>
  <w:num w:numId="19">
    <w:abstractNumId w:val="2"/>
  </w:num>
  <w:num w:numId="20">
    <w:abstractNumId w:val="39"/>
  </w:num>
  <w:num w:numId="21">
    <w:abstractNumId w:val="36"/>
  </w:num>
  <w:num w:numId="22">
    <w:abstractNumId w:val="0"/>
  </w:num>
  <w:num w:numId="23">
    <w:abstractNumId w:val="37"/>
  </w:num>
  <w:num w:numId="24">
    <w:abstractNumId w:val="6"/>
  </w:num>
  <w:num w:numId="25">
    <w:abstractNumId w:val="5"/>
  </w:num>
  <w:num w:numId="26">
    <w:abstractNumId w:val="27"/>
  </w:num>
  <w:num w:numId="27">
    <w:abstractNumId w:val="29"/>
  </w:num>
  <w:num w:numId="28">
    <w:abstractNumId w:val="4"/>
  </w:num>
  <w:num w:numId="29">
    <w:abstractNumId w:val="35"/>
  </w:num>
  <w:num w:numId="30">
    <w:abstractNumId w:val="7"/>
  </w:num>
  <w:num w:numId="31">
    <w:abstractNumId w:val="9"/>
  </w:num>
  <w:num w:numId="32">
    <w:abstractNumId w:val="13"/>
  </w:num>
  <w:num w:numId="33">
    <w:abstractNumId w:val="16"/>
  </w:num>
  <w:num w:numId="34">
    <w:abstractNumId w:val="1"/>
  </w:num>
  <w:num w:numId="35">
    <w:abstractNumId w:val="12"/>
  </w:num>
  <w:num w:numId="36">
    <w:abstractNumId w:val="8"/>
  </w:num>
  <w:num w:numId="37">
    <w:abstractNumId w:val="33"/>
  </w:num>
  <w:num w:numId="38">
    <w:abstractNumId w:val="11"/>
  </w:num>
  <w:num w:numId="39">
    <w:abstractNumId w:val="15"/>
  </w:num>
  <w:num w:numId="40">
    <w:abstractNumId w:val="14"/>
  </w:num>
  <w:num w:numId="41">
    <w:abstractNumId w:val="19"/>
  </w:num>
  <w:num w:numId="42">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396"/>
  <w:drawingGridHorizontalSpacing w:val="100"/>
  <w:displayHorizontalDrawingGridEvery w:val="2"/>
  <w:characterSpacingControl w:val="doNotCompress"/>
  <w:hdrShapeDefaults>
    <o:shapedefaults v:ext="edit" spidmax="8194" fillcolor="white">
      <v:fill color="white"/>
    </o:shapedefaults>
  </w:hdrShapeDefaults>
  <w:footnotePr>
    <w:footnote w:id="-1"/>
    <w:footnote w:id="0"/>
  </w:footnotePr>
  <w:endnotePr>
    <w:endnote w:id="-1"/>
    <w:endnote w:id="0"/>
  </w:endnotePr>
  <w:compat/>
  <w:rsids>
    <w:rsidRoot w:val="007A113D"/>
    <w:rsid w:val="00003644"/>
    <w:rsid w:val="00003FCA"/>
    <w:rsid w:val="0000754C"/>
    <w:rsid w:val="000078E0"/>
    <w:rsid w:val="00007E50"/>
    <w:rsid w:val="0001132F"/>
    <w:rsid w:val="00011453"/>
    <w:rsid w:val="00013A5E"/>
    <w:rsid w:val="00020ED4"/>
    <w:rsid w:val="00032AD4"/>
    <w:rsid w:val="000348D7"/>
    <w:rsid w:val="0003490E"/>
    <w:rsid w:val="00034A67"/>
    <w:rsid w:val="000358DA"/>
    <w:rsid w:val="00035F38"/>
    <w:rsid w:val="00042C6F"/>
    <w:rsid w:val="00044F62"/>
    <w:rsid w:val="00045F2C"/>
    <w:rsid w:val="00046915"/>
    <w:rsid w:val="00046AD8"/>
    <w:rsid w:val="00047573"/>
    <w:rsid w:val="000511E2"/>
    <w:rsid w:val="000514A5"/>
    <w:rsid w:val="000524B7"/>
    <w:rsid w:val="00052B5C"/>
    <w:rsid w:val="0005304F"/>
    <w:rsid w:val="00053286"/>
    <w:rsid w:val="000543E3"/>
    <w:rsid w:val="00054AAC"/>
    <w:rsid w:val="0005529A"/>
    <w:rsid w:val="000556DC"/>
    <w:rsid w:val="00055C95"/>
    <w:rsid w:val="00057B8D"/>
    <w:rsid w:val="00062E3E"/>
    <w:rsid w:val="00062F99"/>
    <w:rsid w:val="00063AFA"/>
    <w:rsid w:val="00066796"/>
    <w:rsid w:val="000676A2"/>
    <w:rsid w:val="00067BB8"/>
    <w:rsid w:val="00075264"/>
    <w:rsid w:val="00075DB5"/>
    <w:rsid w:val="0008100F"/>
    <w:rsid w:val="00081E48"/>
    <w:rsid w:val="000837B8"/>
    <w:rsid w:val="0008383B"/>
    <w:rsid w:val="00083FEC"/>
    <w:rsid w:val="000860BF"/>
    <w:rsid w:val="00090CBC"/>
    <w:rsid w:val="0009116A"/>
    <w:rsid w:val="00097DEF"/>
    <w:rsid w:val="000A1116"/>
    <w:rsid w:val="000A4E4E"/>
    <w:rsid w:val="000A596F"/>
    <w:rsid w:val="000A782C"/>
    <w:rsid w:val="000A7E90"/>
    <w:rsid w:val="000B001C"/>
    <w:rsid w:val="000B094B"/>
    <w:rsid w:val="000B0BBE"/>
    <w:rsid w:val="000B1A0F"/>
    <w:rsid w:val="000B296A"/>
    <w:rsid w:val="000B57BB"/>
    <w:rsid w:val="000B61DE"/>
    <w:rsid w:val="000B7E1E"/>
    <w:rsid w:val="000C072D"/>
    <w:rsid w:val="000C2306"/>
    <w:rsid w:val="000C781C"/>
    <w:rsid w:val="000D04E8"/>
    <w:rsid w:val="000D054D"/>
    <w:rsid w:val="000D1348"/>
    <w:rsid w:val="000D27DB"/>
    <w:rsid w:val="000D2BB0"/>
    <w:rsid w:val="000D2F73"/>
    <w:rsid w:val="000D364E"/>
    <w:rsid w:val="000D3D87"/>
    <w:rsid w:val="000D4101"/>
    <w:rsid w:val="000D4E95"/>
    <w:rsid w:val="000D4F62"/>
    <w:rsid w:val="000D609C"/>
    <w:rsid w:val="000D6F93"/>
    <w:rsid w:val="000E1FFE"/>
    <w:rsid w:val="000E36C6"/>
    <w:rsid w:val="000E37FF"/>
    <w:rsid w:val="000E3CED"/>
    <w:rsid w:val="000E60C3"/>
    <w:rsid w:val="000E7324"/>
    <w:rsid w:val="000F10BA"/>
    <w:rsid w:val="000F2345"/>
    <w:rsid w:val="000F2A90"/>
    <w:rsid w:val="000F3001"/>
    <w:rsid w:val="000F384A"/>
    <w:rsid w:val="000F4E67"/>
    <w:rsid w:val="000F58F2"/>
    <w:rsid w:val="000F59BB"/>
    <w:rsid w:val="00100AB7"/>
    <w:rsid w:val="00103AA5"/>
    <w:rsid w:val="001050CC"/>
    <w:rsid w:val="001069E9"/>
    <w:rsid w:val="00107CC0"/>
    <w:rsid w:val="001110FA"/>
    <w:rsid w:val="001113F9"/>
    <w:rsid w:val="0011144D"/>
    <w:rsid w:val="00111FC4"/>
    <w:rsid w:val="00112E91"/>
    <w:rsid w:val="00113DFC"/>
    <w:rsid w:val="001141E6"/>
    <w:rsid w:val="0011603F"/>
    <w:rsid w:val="001202D2"/>
    <w:rsid w:val="0012160C"/>
    <w:rsid w:val="00122B03"/>
    <w:rsid w:val="00124797"/>
    <w:rsid w:val="001267EB"/>
    <w:rsid w:val="00127520"/>
    <w:rsid w:val="00130408"/>
    <w:rsid w:val="001309F9"/>
    <w:rsid w:val="0013106F"/>
    <w:rsid w:val="00132D71"/>
    <w:rsid w:val="00132D7B"/>
    <w:rsid w:val="00132F5F"/>
    <w:rsid w:val="0013596B"/>
    <w:rsid w:val="00135993"/>
    <w:rsid w:val="00136E93"/>
    <w:rsid w:val="0013727B"/>
    <w:rsid w:val="001376FC"/>
    <w:rsid w:val="001449C0"/>
    <w:rsid w:val="0014564D"/>
    <w:rsid w:val="00145698"/>
    <w:rsid w:val="00146B5A"/>
    <w:rsid w:val="001476A8"/>
    <w:rsid w:val="00147D42"/>
    <w:rsid w:val="001507B2"/>
    <w:rsid w:val="00150BD1"/>
    <w:rsid w:val="00156D82"/>
    <w:rsid w:val="00160D55"/>
    <w:rsid w:val="001619F7"/>
    <w:rsid w:val="0016360A"/>
    <w:rsid w:val="001639E7"/>
    <w:rsid w:val="00166523"/>
    <w:rsid w:val="0016686B"/>
    <w:rsid w:val="00171D86"/>
    <w:rsid w:val="00172A96"/>
    <w:rsid w:val="001735D2"/>
    <w:rsid w:val="001739BC"/>
    <w:rsid w:val="00175D82"/>
    <w:rsid w:val="001777E8"/>
    <w:rsid w:val="001807E4"/>
    <w:rsid w:val="00180E67"/>
    <w:rsid w:val="00181EBD"/>
    <w:rsid w:val="0018245D"/>
    <w:rsid w:val="00182AAD"/>
    <w:rsid w:val="00183BE7"/>
    <w:rsid w:val="001842E3"/>
    <w:rsid w:val="00184F71"/>
    <w:rsid w:val="00186D1E"/>
    <w:rsid w:val="0018724F"/>
    <w:rsid w:val="001878F7"/>
    <w:rsid w:val="00192C98"/>
    <w:rsid w:val="0019378F"/>
    <w:rsid w:val="001A1AD6"/>
    <w:rsid w:val="001A245F"/>
    <w:rsid w:val="001A3663"/>
    <w:rsid w:val="001A725B"/>
    <w:rsid w:val="001B03C7"/>
    <w:rsid w:val="001B1937"/>
    <w:rsid w:val="001B3B4B"/>
    <w:rsid w:val="001B4CBD"/>
    <w:rsid w:val="001B5FE0"/>
    <w:rsid w:val="001C07E4"/>
    <w:rsid w:val="001C098F"/>
    <w:rsid w:val="001C13C6"/>
    <w:rsid w:val="001C4062"/>
    <w:rsid w:val="001C61F0"/>
    <w:rsid w:val="001D12FA"/>
    <w:rsid w:val="001D2A6A"/>
    <w:rsid w:val="001D403B"/>
    <w:rsid w:val="001D4646"/>
    <w:rsid w:val="001D72A6"/>
    <w:rsid w:val="001E053A"/>
    <w:rsid w:val="001E313A"/>
    <w:rsid w:val="001E37BA"/>
    <w:rsid w:val="001E394D"/>
    <w:rsid w:val="001E3A49"/>
    <w:rsid w:val="001E568C"/>
    <w:rsid w:val="001F0041"/>
    <w:rsid w:val="001F1A45"/>
    <w:rsid w:val="001F2DE7"/>
    <w:rsid w:val="001F33BB"/>
    <w:rsid w:val="001F381D"/>
    <w:rsid w:val="001F540C"/>
    <w:rsid w:val="001F6891"/>
    <w:rsid w:val="001F7D4C"/>
    <w:rsid w:val="00201464"/>
    <w:rsid w:val="002016A5"/>
    <w:rsid w:val="00201D4C"/>
    <w:rsid w:val="002032FC"/>
    <w:rsid w:val="00205018"/>
    <w:rsid w:val="002060FE"/>
    <w:rsid w:val="00206E9A"/>
    <w:rsid w:val="002077BF"/>
    <w:rsid w:val="00207E1C"/>
    <w:rsid w:val="00210179"/>
    <w:rsid w:val="0021041E"/>
    <w:rsid w:val="00211860"/>
    <w:rsid w:val="002128BD"/>
    <w:rsid w:val="00213C8B"/>
    <w:rsid w:val="00215237"/>
    <w:rsid w:val="0022014A"/>
    <w:rsid w:val="002210AF"/>
    <w:rsid w:val="00221D0F"/>
    <w:rsid w:val="00223071"/>
    <w:rsid w:val="002240AC"/>
    <w:rsid w:val="00224582"/>
    <w:rsid w:val="00225C25"/>
    <w:rsid w:val="00226A44"/>
    <w:rsid w:val="002279F1"/>
    <w:rsid w:val="00232109"/>
    <w:rsid w:val="002321E1"/>
    <w:rsid w:val="002324D1"/>
    <w:rsid w:val="002329DC"/>
    <w:rsid w:val="0023445A"/>
    <w:rsid w:val="002348E3"/>
    <w:rsid w:val="00234E66"/>
    <w:rsid w:val="002359C8"/>
    <w:rsid w:val="002403A3"/>
    <w:rsid w:val="002407A3"/>
    <w:rsid w:val="00241A52"/>
    <w:rsid w:val="00246E7C"/>
    <w:rsid w:val="002512EE"/>
    <w:rsid w:val="00251814"/>
    <w:rsid w:val="0025249C"/>
    <w:rsid w:val="0025492D"/>
    <w:rsid w:val="00255FCC"/>
    <w:rsid w:val="002563CE"/>
    <w:rsid w:val="00256EC4"/>
    <w:rsid w:val="0026613A"/>
    <w:rsid w:val="0027097E"/>
    <w:rsid w:val="00271165"/>
    <w:rsid w:val="002716C5"/>
    <w:rsid w:val="00272476"/>
    <w:rsid w:val="0027281C"/>
    <w:rsid w:val="00272BB2"/>
    <w:rsid w:val="00273424"/>
    <w:rsid w:val="00273D2A"/>
    <w:rsid w:val="002747F5"/>
    <w:rsid w:val="002751E9"/>
    <w:rsid w:val="00275311"/>
    <w:rsid w:val="00275AFF"/>
    <w:rsid w:val="002761E2"/>
    <w:rsid w:val="0027690D"/>
    <w:rsid w:val="00277350"/>
    <w:rsid w:val="00282418"/>
    <w:rsid w:val="00282476"/>
    <w:rsid w:val="0028262E"/>
    <w:rsid w:val="002844CC"/>
    <w:rsid w:val="002854E1"/>
    <w:rsid w:val="002860C0"/>
    <w:rsid w:val="00286371"/>
    <w:rsid w:val="00290C57"/>
    <w:rsid w:val="00291819"/>
    <w:rsid w:val="0029264B"/>
    <w:rsid w:val="002926FA"/>
    <w:rsid w:val="002936C2"/>
    <w:rsid w:val="00295029"/>
    <w:rsid w:val="00295DE3"/>
    <w:rsid w:val="002A0674"/>
    <w:rsid w:val="002A0CCA"/>
    <w:rsid w:val="002A2B71"/>
    <w:rsid w:val="002A36A7"/>
    <w:rsid w:val="002A6536"/>
    <w:rsid w:val="002A672C"/>
    <w:rsid w:val="002A6D73"/>
    <w:rsid w:val="002A77A9"/>
    <w:rsid w:val="002B28B5"/>
    <w:rsid w:val="002B354C"/>
    <w:rsid w:val="002B580C"/>
    <w:rsid w:val="002B77E4"/>
    <w:rsid w:val="002C07F3"/>
    <w:rsid w:val="002C0B7F"/>
    <w:rsid w:val="002C268E"/>
    <w:rsid w:val="002C38C4"/>
    <w:rsid w:val="002C4347"/>
    <w:rsid w:val="002C682E"/>
    <w:rsid w:val="002C6E71"/>
    <w:rsid w:val="002D0670"/>
    <w:rsid w:val="002D0CF9"/>
    <w:rsid w:val="002D103A"/>
    <w:rsid w:val="002D272E"/>
    <w:rsid w:val="002D369F"/>
    <w:rsid w:val="002D42ED"/>
    <w:rsid w:val="002D44A7"/>
    <w:rsid w:val="002D6486"/>
    <w:rsid w:val="002D6AB4"/>
    <w:rsid w:val="002D79E1"/>
    <w:rsid w:val="002E13F9"/>
    <w:rsid w:val="002E1955"/>
    <w:rsid w:val="002E3047"/>
    <w:rsid w:val="002E4BBA"/>
    <w:rsid w:val="002E4D38"/>
    <w:rsid w:val="002E4DC6"/>
    <w:rsid w:val="002F05D6"/>
    <w:rsid w:val="002F0E5A"/>
    <w:rsid w:val="002F0E6F"/>
    <w:rsid w:val="002F13A2"/>
    <w:rsid w:val="002F2718"/>
    <w:rsid w:val="002F5853"/>
    <w:rsid w:val="002F5CED"/>
    <w:rsid w:val="002F6FF3"/>
    <w:rsid w:val="002F70B2"/>
    <w:rsid w:val="00300C9A"/>
    <w:rsid w:val="00303559"/>
    <w:rsid w:val="00303ADD"/>
    <w:rsid w:val="0030663F"/>
    <w:rsid w:val="00306E0B"/>
    <w:rsid w:val="00307303"/>
    <w:rsid w:val="00310E68"/>
    <w:rsid w:val="00310E8E"/>
    <w:rsid w:val="00312C90"/>
    <w:rsid w:val="0031404D"/>
    <w:rsid w:val="00320088"/>
    <w:rsid w:val="003216D3"/>
    <w:rsid w:val="003219F1"/>
    <w:rsid w:val="0032313F"/>
    <w:rsid w:val="00323CB2"/>
    <w:rsid w:val="00326EAA"/>
    <w:rsid w:val="00327A66"/>
    <w:rsid w:val="00331524"/>
    <w:rsid w:val="00332C9E"/>
    <w:rsid w:val="00333881"/>
    <w:rsid w:val="00333F53"/>
    <w:rsid w:val="003346B9"/>
    <w:rsid w:val="0033649A"/>
    <w:rsid w:val="00337AEC"/>
    <w:rsid w:val="00342C3D"/>
    <w:rsid w:val="00343A59"/>
    <w:rsid w:val="00344346"/>
    <w:rsid w:val="00344AC5"/>
    <w:rsid w:val="0035197E"/>
    <w:rsid w:val="0035399A"/>
    <w:rsid w:val="003541B7"/>
    <w:rsid w:val="00354A8F"/>
    <w:rsid w:val="0035534D"/>
    <w:rsid w:val="00355350"/>
    <w:rsid w:val="003619BB"/>
    <w:rsid w:val="00362DCC"/>
    <w:rsid w:val="00363DB7"/>
    <w:rsid w:val="003646CD"/>
    <w:rsid w:val="00364C7F"/>
    <w:rsid w:val="003650CC"/>
    <w:rsid w:val="003650D2"/>
    <w:rsid w:val="003652C7"/>
    <w:rsid w:val="00370B1E"/>
    <w:rsid w:val="00370D56"/>
    <w:rsid w:val="00371798"/>
    <w:rsid w:val="003739AC"/>
    <w:rsid w:val="00375DBD"/>
    <w:rsid w:val="003800A7"/>
    <w:rsid w:val="00382160"/>
    <w:rsid w:val="003821C3"/>
    <w:rsid w:val="0038225E"/>
    <w:rsid w:val="0038352A"/>
    <w:rsid w:val="00383AC1"/>
    <w:rsid w:val="00383C42"/>
    <w:rsid w:val="00386837"/>
    <w:rsid w:val="003947E6"/>
    <w:rsid w:val="00394935"/>
    <w:rsid w:val="00395684"/>
    <w:rsid w:val="00395C85"/>
    <w:rsid w:val="00396327"/>
    <w:rsid w:val="003A14AB"/>
    <w:rsid w:val="003A2E3B"/>
    <w:rsid w:val="003A30AF"/>
    <w:rsid w:val="003A3F76"/>
    <w:rsid w:val="003A4142"/>
    <w:rsid w:val="003A414F"/>
    <w:rsid w:val="003A4375"/>
    <w:rsid w:val="003A65B5"/>
    <w:rsid w:val="003B0AF0"/>
    <w:rsid w:val="003B13DE"/>
    <w:rsid w:val="003B27EA"/>
    <w:rsid w:val="003B322B"/>
    <w:rsid w:val="003B39DB"/>
    <w:rsid w:val="003B4C74"/>
    <w:rsid w:val="003B670D"/>
    <w:rsid w:val="003B720D"/>
    <w:rsid w:val="003C13F3"/>
    <w:rsid w:val="003C1FB5"/>
    <w:rsid w:val="003C59E4"/>
    <w:rsid w:val="003C5E4F"/>
    <w:rsid w:val="003D07F3"/>
    <w:rsid w:val="003D1758"/>
    <w:rsid w:val="003D5711"/>
    <w:rsid w:val="003D5D35"/>
    <w:rsid w:val="003D6D60"/>
    <w:rsid w:val="003E1869"/>
    <w:rsid w:val="003E1C98"/>
    <w:rsid w:val="003E5374"/>
    <w:rsid w:val="003E5398"/>
    <w:rsid w:val="003E702A"/>
    <w:rsid w:val="003E72F4"/>
    <w:rsid w:val="003F0422"/>
    <w:rsid w:val="003F05FA"/>
    <w:rsid w:val="003F061B"/>
    <w:rsid w:val="003F0CBF"/>
    <w:rsid w:val="003F4667"/>
    <w:rsid w:val="003F4852"/>
    <w:rsid w:val="003F6924"/>
    <w:rsid w:val="003F707D"/>
    <w:rsid w:val="00401666"/>
    <w:rsid w:val="00401CD8"/>
    <w:rsid w:val="00402784"/>
    <w:rsid w:val="00402CC9"/>
    <w:rsid w:val="004030B1"/>
    <w:rsid w:val="00405039"/>
    <w:rsid w:val="00410AC8"/>
    <w:rsid w:val="0041655D"/>
    <w:rsid w:val="00417E95"/>
    <w:rsid w:val="00420A87"/>
    <w:rsid w:val="00424D0B"/>
    <w:rsid w:val="00426D85"/>
    <w:rsid w:val="00431D97"/>
    <w:rsid w:val="00433194"/>
    <w:rsid w:val="00434D6D"/>
    <w:rsid w:val="00434D86"/>
    <w:rsid w:val="00435B24"/>
    <w:rsid w:val="00435ED6"/>
    <w:rsid w:val="00436E4C"/>
    <w:rsid w:val="00437120"/>
    <w:rsid w:val="004376C1"/>
    <w:rsid w:val="004422C3"/>
    <w:rsid w:val="00442686"/>
    <w:rsid w:val="00444C30"/>
    <w:rsid w:val="00445324"/>
    <w:rsid w:val="004464CA"/>
    <w:rsid w:val="0045085F"/>
    <w:rsid w:val="00451FEC"/>
    <w:rsid w:val="004520F2"/>
    <w:rsid w:val="004528B3"/>
    <w:rsid w:val="00455598"/>
    <w:rsid w:val="00457F9C"/>
    <w:rsid w:val="0046264C"/>
    <w:rsid w:val="00463933"/>
    <w:rsid w:val="004642CC"/>
    <w:rsid w:val="004647C6"/>
    <w:rsid w:val="004648A6"/>
    <w:rsid w:val="00465C9A"/>
    <w:rsid w:val="00467302"/>
    <w:rsid w:val="00471286"/>
    <w:rsid w:val="00473ABC"/>
    <w:rsid w:val="004806A2"/>
    <w:rsid w:val="00480A48"/>
    <w:rsid w:val="00480B2B"/>
    <w:rsid w:val="00481FDD"/>
    <w:rsid w:val="00482852"/>
    <w:rsid w:val="00485D2E"/>
    <w:rsid w:val="00486B0B"/>
    <w:rsid w:val="00487109"/>
    <w:rsid w:val="00487F7F"/>
    <w:rsid w:val="004927B6"/>
    <w:rsid w:val="0049335C"/>
    <w:rsid w:val="00497D48"/>
    <w:rsid w:val="004A3336"/>
    <w:rsid w:val="004A43BF"/>
    <w:rsid w:val="004A7C78"/>
    <w:rsid w:val="004A7CC5"/>
    <w:rsid w:val="004B1064"/>
    <w:rsid w:val="004B2091"/>
    <w:rsid w:val="004B20C9"/>
    <w:rsid w:val="004B5167"/>
    <w:rsid w:val="004B5579"/>
    <w:rsid w:val="004B73A3"/>
    <w:rsid w:val="004B7956"/>
    <w:rsid w:val="004C263B"/>
    <w:rsid w:val="004C4923"/>
    <w:rsid w:val="004C6EFF"/>
    <w:rsid w:val="004C770B"/>
    <w:rsid w:val="004D21FA"/>
    <w:rsid w:val="004D3959"/>
    <w:rsid w:val="004D771A"/>
    <w:rsid w:val="004D7D18"/>
    <w:rsid w:val="004E1DC9"/>
    <w:rsid w:val="004E355B"/>
    <w:rsid w:val="004E5F75"/>
    <w:rsid w:val="004F05BC"/>
    <w:rsid w:val="004F0EB0"/>
    <w:rsid w:val="004F164D"/>
    <w:rsid w:val="004F2487"/>
    <w:rsid w:val="004F334A"/>
    <w:rsid w:val="004F361D"/>
    <w:rsid w:val="004F38D9"/>
    <w:rsid w:val="004F4315"/>
    <w:rsid w:val="00500CD4"/>
    <w:rsid w:val="00502053"/>
    <w:rsid w:val="0050273F"/>
    <w:rsid w:val="00503E3C"/>
    <w:rsid w:val="00503F03"/>
    <w:rsid w:val="00505B5A"/>
    <w:rsid w:val="005070D0"/>
    <w:rsid w:val="0051146E"/>
    <w:rsid w:val="005140A5"/>
    <w:rsid w:val="00514511"/>
    <w:rsid w:val="00514D0E"/>
    <w:rsid w:val="00515C3E"/>
    <w:rsid w:val="00516466"/>
    <w:rsid w:val="00516E0A"/>
    <w:rsid w:val="00516EE9"/>
    <w:rsid w:val="005200A4"/>
    <w:rsid w:val="00521DA3"/>
    <w:rsid w:val="00526985"/>
    <w:rsid w:val="005273E6"/>
    <w:rsid w:val="00527835"/>
    <w:rsid w:val="00530A7E"/>
    <w:rsid w:val="00530D9D"/>
    <w:rsid w:val="00532342"/>
    <w:rsid w:val="0053307F"/>
    <w:rsid w:val="0053387F"/>
    <w:rsid w:val="00533B51"/>
    <w:rsid w:val="005349F5"/>
    <w:rsid w:val="005350B2"/>
    <w:rsid w:val="00535A1F"/>
    <w:rsid w:val="005410A6"/>
    <w:rsid w:val="0054423E"/>
    <w:rsid w:val="00545782"/>
    <w:rsid w:val="00551EFB"/>
    <w:rsid w:val="0055371C"/>
    <w:rsid w:val="00553F5A"/>
    <w:rsid w:val="00556707"/>
    <w:rsid w:val="005624E8"/>
    <w:rsid w:val="00562A10"/>
    <w:rsid w:val="0056330D"/>
    <w:rsid w:val="0056633E"/>
    <w:rsid w:val="0056665C"/>
    <w:rsid w:val="005666E1"/>
    <w:rsid w:val="00567BC0"/>
    <w:rsid w:val="0057103C"/>
    <w:rsid w:val="00571D63"/>
    <w:rsid w:val="00574128"/>
    <w:rsid w:val="00575B00"/>
    <w:rsid w:val="0057646A"/>
    <w:rsid w:val="00576FFD"/>
    <w:rsid w:val="00582A05"/>
    <w:rsid w:val="00583471"/>
    <w:rsid w:val="0058407D"/>
    <w:rsid w:val="0058699B"/>
    <w:rsid w:val="00587BC1"/>
    <w:rsid w:val="00596DD8"/>
    <w:rsid w:val="00597656"/>
    <w:rsid w:val="005A0B51"/>
    <w:rsid w:val="005A28E4"/>
    <w:rsid w:val="005A2C8A"/>
    <w:rsid w:val="005A37B8"/>
    <w:rsid w:val="005A3D91"/>
    <w:rsid w:val="005A4D0A"/>
    <w:rsid w:val="005B13A7"/>
    <w:rsid w:val="005B2290"/>
    <w:rsid w:val="005B2432"/>
    <w:rsid w:val="005B47AA"/>
    <w:rsid w:val="005B5B4E"/>
    <w:rsid w:val="005B6EE3"/>
    <w:rsid w:val="005C01D4"/>
    <w:rsid w:val="005C01E3"/>
    <w:rsid w:val="005C2201"/>
    <w:rsid w:val="005C2EC2"/>
    <w:rsid w:val="005C3517"/>
    <w:rsid w:val="005C38B2"/>
    <w:rsid w:val="005C626A"/>
    <w:rsid w:val="005C7DC7"/>
    <w:rsid w:val="005D0B2C"/>
    <w:rsid w:val="005D0F01"/>
    <w:rsid w:val="005D1387"/>
    <w:rsid w:val="005D1D23"/>
    <w:rsid w:val="005D2842"/>
    <w:rsid w:val="005D683A"/>
    <w:rsid w:val="005E19A5"/>
    <w:rsid w:val="005E39EE"/>
    <w:rsid w:val="005E518A"/>
    <w:rsid w:val="005E5D3C"/>
    <w:rsid w:val="005E62E5"/>
    <w:rsid w:val="005F00E2"/>
    <w:rsid w:val="005F0B21"/>
    <w:rsid w:val="005F1CAB"/>
    <w:rsid w:val="005F1D10"/>
    <w:rsid w:val="005F65C6"/>
    <w:rsid w:val="005F7A73"/>
    <w:rsid w:val="00602302"/>
    <w:rsid w:val="00603701"/>
    <w:rsid w:val="00603DDF"/>
    <w:rsid w:val="00604378"/>
    <w:rsid w:val="006074B2"/>
    <w:rsid w:val="0061284F"/>
    <w:rsid w:val="0061355E"/>
    <w:rsid w:val="0061410C"/>
    <w:rsid w:val="0061457D"/>
    <w:rsid w:val="0061651B"/>
    <w:rsid w:val="00620411"/>
    <w:rsid w:val="006211DC"/>
    <w:rsid w:val="00622B29"/>
    <w:rsid w:val="006230DA"/>
    <w:rsid w:val="00623D5E"/>
    <w:rsid w:val="00624269"/>
    <w:rsid w:val="00632A5D"/>
    <w:rsid w:val="00632CA6"/>
    <w:rsid w:val="00634841"/>
    <w:rsid w:val="00641022"/>
    <w:rsid w:val="00643531"/>
    <w:rsid w:val="006436C0"/>
    <w:rsid w:val="00645C3A"/>
    <w:rsid w:val="0064747A"/>
    <w:rsid w:val="0064789F"/>
    <w:rsid w:val="0065061F"/>
    <w:rsid w:val="00651062"/>
    <w:rsid w:val="00651412"/>
    <w:rsid w:val="006523F9"/>
    <w:rsid w:val="006533D2"/>
    <w:rsid w:val="006546E0"/>
    <w:rsid w:val="00655A05"/>
    <w:rsid w:val="0066006C"/>
    <w:rsid w:val="00660A2E"/>
    <w:rsid w:val="006613E5"/>
    <w:rsid w:val="00663C18"/>
    <w:rsid w:val="00665026"/>
    <w:rsid w:val="00666927"/>
    <w:rsid w:val="00667451"/>
    <w:rsid w:val="00667ECC"/>
    <w:rsid w:val="006700F0"/>
    <w:rsid w:val="006701D4"/>
    <w:rsid w:val="006718E3"/>
    <w:rsid w:val="0067229E"/>
    <w:rsid w:val="00673121"/>
    <w:rsid w:val="0068001A"/>
    <w:rsid w:val="00681725"/>
    <w:rsid w:val="00682421"/>
    <w:rsid w:val="006831AD"/>
    <w:rsid w:val="0068395F"/>
    <w:rsid w:val="00684D75"/>
    <w:rsid w:val="00685939"/>
    <w:rsid w:val="00685DD3"/>
    <w:rsid w:val="00686726"/>
    <w:rsid w:val="00686757"/>
    <w:rsid w:val="00686ADE"/>
    <w:rsid w:val="00693162"/>
    <w:rsid w:val="006956DF"/>
    <w:rsid w:val="006A34F0"/>
    <w:rsid w:val="006A5C9E"/>
    <w:rsid w:val="006A7DDC"/>
    <w:rsid w:val="006B03E4"/>
    <w:rsid w:val="006B0E44"/>
    <w:rsid w:val="006B129F"/>
    <w:rsid w:val="006B49AE"/>
    <w:rsid w:val="006B6D54"/>
    <w:rsid w:val="006C22B2"/>
    <w:rsid w:val="006C6944"/>
    <w:rsid w:val="006C70D8"/>
    <w:rsid w:val="006D0380"/>
    <w:rsid w:val="006D0A88"/>
    <w:rsid w:val="006D234E"/>
    <w:rsid w:val="006D32A4"/>
    <w:rsid w:val="006D4093"/>
    <w:rsid w:val="006D4267"/>
    <w:rsid w:val="006D4806"/>
    <w:rsid w:val="006D6542"/>
    <w:rsid w:val="006D7F08"/>
    <w:rsid w:val="006E26D9"/>
    <w:rsid w:val="006E2728"/>
    <w:rsid w:val="006E2CA2"/>
    <w:rsid w:val="006E2E4F"/>
    <w:rsid w:val="006E5488"/>
    <w:rsid w:val="006E5D36"/>
    <w:rsid w:val="006E698A"/>
    <w:rsid w:val="006E7639"/>
    <w:rsid w:val="006F481E"/>
    <w:rsid w:val="006F61BA"/>
    <w:rsid w:val="0070128E"/>
    <w:rsid w:val="00701E49"/>
    <w:rsid w:val="00702830"/>
    <w:rsid w:val="007038EF"/>
    <w:rsid w:val="00707A12"/>
    <w:rsid w:val="007160D6"/>
    <w:rsid w:val="00716267"/>
    <w:rsid w:val="00716D33"/>
    <w:rsid w:val="007173EF"/>
    <w:rsid w:val="007215DB"/>
    <w:rsid w:val="00721BDE"/>
    <w:rsid w:val="00722A75"/>
    <w:rsid w:val="0072343F"/>
    <w:rsid w:val="00723A07"/>
    <w:rsid w:val="00731605"/>
    <w:rsid w:val="00731FBF"/>
    <w:rsid w:val="00732428"/>
    <w:rsid w:val="00732429"/>
    <w:rsid w:val="00733D5B"/>
    <w:rsid w:val="00734843"/>
    <w:rsid w:val="00734DCF"/>
    <w:rsid w:val="00735FF5"/>
    <w:rsid w:val="007402A2"/>
    <w:rsid w:val="00741558"/>
    <w:rsid w:val="00743642"/>
    <w:rsid w:val="00743A7B"/>
    <w:rsid w:val="00744157"/>
    <w:rsid w:val="007528DF"/>
    <w:rsid w:val="007552CF"/>
    <w:rsid w:val="0075535F"/>
    <w:rsid w:val="00755997"/>
    <w:rsid w:val="00756535"/>
    <w:rsid w:val="00756E47"/>
    <w:rsid w:val="00757121"/>
    <w:rsid w:val="00757286"/>
    <w:rsid w:val="00757797"/>
    <w:rsid w:val="00757B59"/>
    <w:rsid w:val="00760359"/>
    <w:rsid w:val="00760F2A"/>
    <w:rsid w:val="00762670"/>
    <w:rsid w:val="007629FE"/>
    <w:rsid w:val="00762A7D"/>
    <w:rsid w:val="00762BD6"/>
    <w:rsid w:val="00762E6A"/>
    <w:rsid w:val="00762F79"/>
    <w:rsid w:val="007638B4"/>
    <w:rsid w:val="00763C2D"/>
    <w:rsid w:val="007661FC"/>
    <w:rsid w:val="00766C16"/>
    <w:rsid w:val="007708AE"/>
    <w:rsid w:val="00772AC7"/>
    <w:rsid w:val="00772C1B"/>
    <w:rsid w:val="007747CD"/>
    <w:rsid w:val="00776018"/>
    <w:rsid w:val="00784DB9"/>
    <w:rsid w:val="00792194"/>
    <w:rsid w:val="00792505"/>
    <w:rsid w:val="00793678"/>
    <w:rsid w:val="007949F0"/>
    <w:rsid w:val="00795763"/>
    <w:rsid w:val="00795B65"/>
    <w:rsid w:val="00795BEE"/>
    <w:rsid w:val="007A0821"/>
    <w:rsid w:val="007A0C3D"/>
    <w:rsid w:val="007A10D6"/>
    <w:rsid w:val="007A113D"/>
    <w:rsid w:val="007A750B"/>
    <w:rsid w:val="007B1B4C"/>
    <w:rsid w:val="007B5B4F"/>
    <w:rsid w:val="007C1028"/>
    <w:rsid w:val="007C34DC"/>
    <w:rsid w:val="007C3CAD"/>
    <w:rsid w:val="007C3E2D"/>
    <w:rsid w:val="007C71B8"/>
    <w:rsid w:val="007C7636"/>
    <w:rsid w:val="007D18D5"/>
    <w:rsid w:val="007D3C44"/>
    <w:rsid w:val="007D5187"/>
    <w:rsid w:val="007D6F1D"/>
    <w:rsid w:val="007E117B"/>
    <w:rsid w:val="007E1749"/>
    <w:rsid w:val="007E1930"/>
    <w:rsid w:val="007E312C"/>
    <w:rsid w:val="007E314B"/>
    <w:rsid w:val="007E33C6"/>
    <w:rsid w:val="007E4E61"/>
    <w:rsid w:val="007E51C0"/>
    <w:rsid w:val="007F0F69"/>
    <w:rsid w:val="007F1382"/>
    <w:rsid w:val="007F17C4"/>
    <w:rsid w:val="007F28F5"/>
    <w:rsid w:val="007F5EB8"/>
    <w:rsid w:val="00800523"/>
    <w:rsid w:val="00801E73"/>
    <w:rsid w:val="00803576"/>
    <w:rsid w:val="00803677"/>
    <w:rsid w:val="0080429E"/>
    <w:rsid w:val="008042EC"/>
    <w:rsid w:val="00804821"/>
    <w:rsid w:val="00805356"/>
    <w:rsid w:val="00811096"/>
    <w:rsid w:val="00812B3A"/>
    <w:rsid w:val="00812E9A"/>
    <w:rsid w:val="008152F5"/>
    <w:rsid w:val="008157EE"/>
    <w:rsid w:val="008164FF"/>
    <w:rsid w:val="00816B8B"/>
    <w:rsid w:val="00817936"/>
    <w:rsid w:val="00820B2D"/>
    <w:rsid w:val="008215C5"/>
    <w:rsid w:val="00827D04"/>
    <w:rsid w:val="00832C41"/>
    <w:rsid w:val="00837029"/>
    <w:rsid w:val="00840B43"/>
    <w:rsid w:val="00840D7E"/>
    <w:rsid w:val="00841899"/>
    <w:rsid w:val="008429A8"/>
    <w:rsid w:val="008439A1"/>
    <w:rsid w:val="00844920"/>
    <w:rsid w:val="00844D34"/>
    <w:rsid w:val="00844FC6"/>
    <w:rsid w:val="00846C74"/>
    <w:rsid w:val="00847B50"/>
    <w:rsid w:val="008524AA"/>
    <w:rsid w:val="0085424C"/>
    <w:rsid w:val="00854472"/>
    <w:rsid w:val="00854835"/>
    <w:rsid w:val="008563CF"/>
    <w:rsid w:val="008568F1"/>
    <w:rsid w:val="00861289"/>
    <w:rsid w:val="008619BA"/>
    <w:rsid w:val="00862D1B"/>
    <w:rsid w:val="00864A19"/>
    <w:rsid w:val="008678EB"/>
    <w:rsid w:val="00867C37"/>
    <w:rsid w:val="00870CF0"/>
    <w:rsid w:val="0087483E"/>
    <w:rsid w:val="0087592E"/>
    <w:rsid w:val="00875DC9"/>
    <w:rsid w:val="0087745A"/>
    <w:rsid w:val="00880179"/>
    <w:rsid w:val="00880652"/>
    <w:rsid w:val="00880D5C"/>
    <w:rsid w:val="00883900"/>
    <w:rsid w:val="00886D06"/>
    <w:rsid w:val="00886FD5"/>
    <w:rsid w:val="008904F6"/>
    <w:rsid w:val="008910BF"/>
    <w:rsid w:val="0089281A"/>
    <w:rsid w:val="008930A7"/>
    <w:rsid w:val="008943EF"/>
    <w:rsid w:val="008947BF"/>
    <w:rsid w:val="00894E5E"/>
    <w:rsid w:val="0089513C"/>
    <w:rsid w:val="008970B7"/>
    <w:rsid w:val="008A4B51"/>
    <w:rsid w:val="008A69F1"/>
    <w:rsid w:val="008A7F73"/>
    <w:rsid w:val="008B056E"/>
    <w:rsid w:val="008B12E7"/>
    <w:rsid w:val="008B4B8D"/>
    <w:rsid w:val="008B534E"/>
    <w:rsid w:val="008B5C4E"/>
    <w:rsid w:val="008B6180"/>
    <w:rsid w:val="008B6962"/>
    <w:rsid w:val="008B7F49"/>
    <w:rsid w:val="008C233C"/>
    <w:rsid w:val="008C3A4E"/>
    <w:rsid w:val="008C3D46"/>
    <w:rsid w:val="008C5A69"/>
    <w:rsid w:val="008D00C3"/>
    <w:rsid w:val="008D107F"/>
    <w:rsid w:val="008D614D"/>
    <w:rsid w:val="008E08BE"/>
    <w:rsid w:val="008E1EBB"/>
    <w:rsid w:val="008E3920"/>
    <w:rsid w:val="008E7BB3"/>
    <w:rsid w:val="008F1BBD"/>
    <w:rsid w:val="008F3D9D"/>
    <w:rsid w:val="008F7BC8"/>
    <w:rsid w:val="008F7E5E"/>
    <w:rsid w:val="00900995"/>
    <w:rsid w:val="00901A0E"/>
    <w:rsid w:val="00901A54"/>
    <w:rsid w:val="009058FB"/>
    <w:rsid w:val="00907AC2"/>
    <w:rsid w:val="00910D43"/>
    <w:rsid w:val="00912709"/>
    <w:rsid w:val="00912BD3"/>
    <w:rsid w:val="00913CAF"/>
    <w:rsid w:val="00916528"/>
    <w:rsid w:val="00917FB0"/>
    <w:rsid w:val="009248CB"/>
    <w:rsid w:val="009263FC"/>
    <w:rsid w:val="0092669F"/>
    <w:rsid w:val="00926CEC"/>
    <w:rsid w:val="00930122"/>
    <w:rsid w:val="0093079C"/>
    <w:rsid w:val="009331DC"/>
    <w:rsid w:val="00934D02"/>
    <w:rsid w:val="0093504B"/>
    <w:rsid w:val="009352DE"/>
    <w:rsid w:val="00940D59"/>
    <w:rsid w:val="00941548"/>
    <w:rsid w:val="00944556"/>
    <w:rsid w:val="009476FB"/>
    <w:rsid w:val="009477F2"/>
    <w:rsid w:val="00947CDA"/>
    <w:rsid w:val="00955CE2"/>
    <w:rsid w:val="00955E75"/>
    <w:rsid w:val="009565FD"/>
    <w:rsid w:val="00957726"/>
    <w:rsid w:val="009577C1"/>
    <w:rsid w:val="00961C17"/>
    <w:rsid w:val="00962D8C"/>
    <w:rsid w:val="009711AE"/>
    <w:rsid w:val="009719F3"/>
    <w:rsid w:val="0097219B"/>
    <w:rsid w:val="009735B1"/>
    <w:rsid w:val="009740EF"/>
    <w:rsid w:val="0097482B"/>
    <w:rsid w:val="009773F5"/>
    <w:rsid w:val="00977B64"/>
    <w:rsid w:val="00981AFB"/>
    <w:rsid w:val="00981F95"/>
    <w:rsid w:val="00983436"/>
    <w:rsid w:val="00983B1F"/>
    <w:rsid w:val="00984207"/>
    <w:rsid w:val="00984B7D"/>
    <w:rsid w:val="00986052"/>
    <w:rsid w:val="00987A80"/>
    <w:rsid w:val="00987AD7"/>
    <w:rsid w:val="0099390D"/>
    <w:rsid w:val="00994F02"/>
    <w:rsid w:val="009A0C81"/>
    <w:rsid w:val="009A0CC3"/>
    <w:rsid w:val="009A1F92"/>
    <w:rsid w:val="009A2338"/>
    <w:rsid w:val="009A31DE"/>
    <w:rsid w:val="009A4172"/>
    <w:rsid w:val="009A706A"/>
    <w:rsid w:val="009B4352"/>
    <w:rsid w:val="009B7EAF"/>
    <w:rsid w:val="009C2DAE"/>
    <w:rsid w:val="009C453D"/>
    <w:rsid w:val="009C5DD3"/>
    <w:rsid w:val="009C6CDD"/>
    <w:rsid w:val="009D25C0"/>
    <w:rsid w:val="009D35B3"/>
    <w:rsid w:val="009D3BD9"/>
    <w:rsid w:val="009D6051"/>
    <w:rsid w:val="009D7034"/>
    <w:rsid w:val="009D7348"/>
    <w:rsid w:val="009E43E0"/>
    <w:rsid w:val="009E4E4C"/>
    <w:rsid w:val="009E76A2"/>
    <w:rsid w:val="009F0FD6"/>
    <w:rsid w:val="009F4143"/>
    <w:rsid w:val="009F44DA"/>
    <w:rsid w:val="009F58E5"/>
    <w:rsid w:val="009F7BE5"/>
    <w:rsid w:val="00A02EA9"/>
    <w:rsid w:val="00A109B6"/>
    <w:rsid w:val="00A1170C"/>
    <w:rsid w:val="00A12B6B"/>
    <w:rsid w:val="00A13488"/>
    <w:rsid w:val="00A138B5"/>
    <w:rsid w:val="00A16B3E"/>
    <w:rsid w:val="00A178D8"/>
    <w:rsid w:val="00A17D08"/>
    <w:rsid w:val="00A20FE1"/>
    <w:rsid w:val="00A2248B"/>
    <w:rsid w:val="00A22B94"/>
    <w:rsid w:val="00A23385"/>
    <w:rsid w:val="00A25ACD"/>
    <w:rsid w:val="00A2636D"/>
    <w:rsid w:val="00A305E9"/>
    <w:rsid w:val="00A3100A"/>
    <w:rsid w:val="00A33CDC"/>
    <w:rsid w:val="00A34FCC"/>
    <w:rsid w:val="00A35F73"/>
    <w:rsid w:val="00A409B0"/>
    <w:rsid w:val="00A41B5F"/>
    <w:rsid w:val="00A41E5E"/>
    <w:rsid w:val="00A43AFD"/>
    <w:rsid w:val="00A45A16"/>
    <w:rsid w:val="00A4609F"/>
    <w:rsid w:val="00A4674C"/>
    <w:rsid w:val="00A468B7"/>
    <w:rsid w:val="00A469C0"/>
    <w:rsid w:val="00A5102B"/>
    <w:rsid w:val="00A55CB3"/>
    <w:rsid w:val="00A5678D"/>
    <w:rsid w:val="00A61C16"/>
    <w:rsid w:val="00A62F34"/>
    <w:rsid w:val="00A65B03"/>
    <w:rsid w:val="00A679B7"/>
    <w:rsid w:val="00A7060C"/>
    <w:rsid w:val="00A74F01"/>
    <w:rsid w:val="00A76E6C"/>
    <w:rsid w:val="00A8056B"/>
    <w:rsid w:val="00A84AAA"/>
    <w:rsid w:val="00A84C4B"/>
    <w:rsid w:val="00A85271"/>
    <w:rsid w:val="00A87445"/>
    <w:rsid w:val="00A9036C"/>
    <w:rsid w:val="00A93247"/>
    <w:rsid w:val="00A936DF"/>
    <w:rsid w:val="00A95662"/>
    <w:rsid w:val="00A95B39"/>
    <w:rsid w:val="00A9648C"/>
    <w:rsid w:val="00A968C6"/>
    <w:rsid w:val="00A97DE7"/>
    <w:rsid w:val="00AA02C0"/>
    <w:rsid w:val="00AA1C54"/>
    <w:rsid w:val="00AA22D9"/>
    <w:rsid w:val="00AA4F06"/>
    <w:rsid w:val="00AA5277"/>
    <w:rsid w:val="00AA528B"/>
    <w:rsid w:val="00AA620D"/>
    <w:rsid w:val="00AA75A1"/>
    <w:rsid w:val="00AB001B"/>
    <w:rsid w:val="00AB0618"/>
    <w:rsid w:val="00AB0D70"/>
    <w:rsid w:val="00AB0DF9"/>
    <w:rsid w:val="00AB7E3C"/>
    <w:rsid w:val="00AC0A3B"/>
    <w:rsid w:val="00AC0D5A"/>
    <w:rsid w:val="00AC241B"/>
    <w:rsid w:val="00AC36D2"/>
    <w:rsid w:val="00AC7496"/>
    <w:rsid w:val="00AC7C8D"/>
    <w:rsid w:val="00AD00F8"/>
    <w:rsid w:val="00AD16B1"/>
    <w:rsid w:val="00AD2AAB"/>
    <w:rsid w:val="00AD3548"/>
    <w:rsid w:val="00AD3A18"/>
    <w:rsid w:val="00AD6736"/>
    <w:rsid w:val="00AD683F"/>
    <w:rsid w:val="00AD754D"/>
    <w:rsid w:val="00AD7813"/>
    <w:rsid w:val="00AD79BA"/>
    <w:rsid w:val="00AE1259"/>
    <w:rsid w:val="00AE128C"/>
    <w:rsid w:val="00AE38D7"/>
    <w:rsid w:val="00AF102C"/>
    <w:rsid w:val="00AF145A"/>
    <w:rsid w:val="00AF182C"/>
    <w:rsid w:val="00AF3371"/>
    <w:rsid w:val="00AF3807"/>
    <w:rsid w:val="00AF39E7"/>
    <w:rsid w:val="00AF3D67"/>
    <w:rsid w:val="00AF6A0D"/>
    <w:rsid w:val="00B013F0"/>
    <w:rsid w:val="00B01484"/>
    <w:rsid w:val="00B03700"/>
    <w:rsid w:val="00B04DD5"/>
    <w:rsid w:val="00B0652B"/>
    <w:rsid w:val="00B06B0B"/>
    <w:rsid w:val="00B06D37"/>
    <w:rsid w:val="00B105AE"/>
    <w:rsid w:val="00B112DA"/>
    <w:rsid w:val="00B11E3D"/>
    <w:rsid w:val="00B12106"/>
    <w:rsid w:val="00B125B4"/>
    <w:rsid w:val="00B12CB5"/>
    <w:rsid w:val="00B158D1"/>
    <w:rsid w:val="00B16CB9"/>
    <w:rsid w:val="00B17370"/>
    <w:rsid w:val="00B17A23"/>
    <w:rsid w:val="00B2177D"/>
    <w:rsid w:val="00B23710"/>
    <w:rsid w:val="00B25202"/>
    <w:rsid w:val="00B26041"/>
    <w:rsid w:val="00B31397"/>
    <w:rsid w:val="00B33327"/>
    <w:rsid w:val="00B34DA4"/>
    <w:rsid w:val="00B353EE"/>
    <w:rsid w:val="00B3737F"/>
    <w:rsid w:val="00B41CDB"/>
    <w:rsid w:val="00B420FC"/>
    <w:rsid w:val="00B43A45"/>
    <w:rsid w:val="00B442E6"/>
    <w:rsid w:val="00B463A2"/>
    <w:rsid w:val="00B463EE"/>
    <w:rsid w:val="00B47EFB"/>
    <w:rsid w:val="00B50526"/>
    <w:rsid w:val="00B50F29"/>
    <w:rsid w:val="00B511F6"/>
    <w:rsid w:val="00B51B94"/>
    <w:rsid w:val="00B577D1"/>
    <w:rsid w:val="00B60DD9"/>
    <w:rsid w:val="00B61192"/>
    <w:rsid w:val="00B63E7F"/>
    <w:rsid w:val="00B71A82"/>
    <w:rsid w:val="00B73CD1"/>
    <w:rsid w:val="00B74609"/>
    <w:rsid w:val="00B749D6"/>
    <w:rsid w:val="00B7563C"/>
    <w:rsid w:val="00B771A2"/>
    <w:rsid w:val="00B77886"/>
    <w:rsid w:val="00B77AF1"/>
    <w:rsid w:val="00B80627"/>
    <w:rsid w:val="00B80ED2"/>
    <w:rsid w:val="00B82C36"/>
    <w:rsid w:val="00B830E8"/>
    <w:rsid w:val="00B83294"/>
    <w:rsid w:val="00B8575E"/>
    <w:rsid w:val="00B86D19"/>
    <w:rsid w:val="00B8746F"/>
    <w:rsid w:val="00B90811"/>
    <w:rsid w:val="00B91CE3"/>
    <w:rsid w:val="00B956F5"/>
    <w:rsid w:val="00BA044B"/>
    <w:rsid w:val="00BA4205"/>
    <w:rsid w:val="00BB35C4"/>
    <w:rsid w:val="00BB3CAB"/>
    <w:rsid w:val="00BB541B"/>
    <w:rsid w:val="00BC09A6"/>
    <w:rsid w:val="00BC0BB9"/>
    <w:rsid w:val="00BC48C4"/>
    <w:rsid w:val="00BC5484"/>
    <w:rsid w:val="00BC54C3"/>
    <w:rsid w:val="00BC5DE8"/>
    <w:rsid w:val="00BC76B9"/>
    <w:rsid w:val="00BD277E"/>
    <w:rsid w:val="00BD3C90"/>
    <w:rsid w:val="00BD44BD"/>
    <w:rsid w:val="00BD5E6C"/>
    <w:rsid w:val="00BD6AE5"/>
    <w:rsid w:val="00BE0B30"/>
    <w:rsid w:val="00BE30F6"/>
    <w:rsid w:val="00BE363D"/>
    <w:rsid w:val="00BE5045"/>
    <w:rsid w:val="00BF49FA"/>
    <w:rsid w:val="00BF6220"/>
    <w:rsid w:val="00BF639A"/>
    <w:rsid w:val="00BF6985"/>
    <w:rsid w:val="00BF7D36"/>
    <w:rsid w:val="00C00525"/>
    <w:rsid w:val="00C01881"/>
    <w:rsid w:val="00C02ABC"/>
    <w:rsid w:val="00C041DB"/>
    <w:rsid w:val="00C07369"/>
    <w:rsid w:val="00C07820"/>
    <w:rsid w:val="00C11EF5"/>
    <w:rsid w:val="00C12BCF"/>
    <w:rsid w:val="00C13E77"/>
    <w:rsid w:val="00C157DD"/>
    <w:rsid w:val="00C1613C"/>
    <w:rsid w:val="00C1660A"/>
    <w:rsid w:val="00C17DDF"/>
    <w:rsid w:val="00C21A35"/>
    <w:rsid w:val="00C21D62"/>
    <w:rsid w:val="00C23BB5"/>
    <w:rsid w:val="00C24BEA"/>
    <w:rsid w:val="00C25690"/>
    <w:rsid w:val="00C25C39"/>
    <w:rsid w:val="00C25E27"/>
    <w:rsid w:val="00C27726"/>
    <w:rsid w:val="00C33064"/>
    <w:rsid w:val="00C33218"/>
    <w:rsid w:val="00C34760"/>
    <w:rsid w:val="00C353CD"/>
    <w:rsid w:val="00C3623E"/>
    <w:rsid w:val="00C37463"/>
    <w:rsid w:val="00C37D9C"/>
    <w:rsid w:val="00C4299B"/>
    <w:rsid w:val="00C43892"/>
    <w:rsid w:val="00C4444C"/>
    <w:rsid w:val="00C479F6"/>
    <w:rsid w:val="00C5110F"/>
    <w:rsid w:val="00C51259"/>
    <w:rsid w:val="00C51665"/>
    <w:rsid w:val="00C54E5B"/>
    <w:rsid w:val="00C55ECB"/>
    <w:rsid w:val="00C56193"/>
    <w:rsid w:val="00C566A8"/>
    <w:rsid w:val="00C57911"/>
    <w:rsid w:val="00C614C6"/>
    <w:rsid w:val="00C62245"/>
    <w:rsid w:val="00C626A3"/>
    <w:rsid w:val="00C62AC6"/>
    <w:rsid w:val="00C62CF0"/>
    <w:rsid w:val="00C65693"/>
    <w:rsid w:val="00C730CA"/>
    <w:rsid w:val="00C749AF"/>
    <w:rsid w:val="00C759C7"/>
    <w:rsid w:val="00C7626D"/>
    <w:rsid w:val="00C76A72"/>
    <w:rsid w:val="00C77175"/>
    <w:rsid w:val="00C801EA"/>
    <w:rsid w:val="00C80D63"/>
    <w:rsid w:val="00C84A29"/>
    <w:rsid w:val="00C901D4"/>
    <w:rsid w:val="00C92769"/>
    <w:rsid w:val="00C93D9A"/>
    <w:rsid w:val="00C96679"/>
    <w:rsid w:val="00C9717B"/>
    <w:rsid w:val="00CA0B69"/>
    <w:rsid w:val="00CA2038"/>
    <w:rsid w:val="00CA3EAF"/>
    <w:rsid w:val="00CA49BF"/>
    <w:rsid w:val="00CA5966"/>
    <w:rsid w:val="00CB1C71"/>
    <w:rsid w:val="00CB39BA"/>
    <w:rsid w:val="00CB4E3F"/>
    <w:rsid w:val="00CB5D8D"/>
    <w:rsid w:val="00CC0CBC"/>
    <w:rsid w:val="00CC10F5"/>
    <w:rsid w:val="00CC2AB7"/>
    <w:rsid w:val="00CC3CF5"/>
    <w:rsid w:val="00CC535F"/>
    <w:rsid w:val="00CC5FD6"/>
    <w:rsid w:val="00CD7046"/>
    <w:rsid w:val="00CD733C"/>
    <w:rsid w:val="00CE4029"/>
    <w:rsid w:val="00CE5909"/>
    <w:rsid w:val="00CE6609"/>
    <w:rsid w:val="00CE6B6B"/>
    <w:rsid w:val="00CE758F"/>
    <w:rsid w:val="00CE761E"/>
    <w:rsid w:val="00CF02D3"/>
    <w:rsid w:val="00CF0D51"/>
    <w:rsid w:val="00CF2C1A"/>
    <w:rsid w:val="00CF3536"/>
    <w:rsid w:val="00CF43D1"/>
    <w:rsid w:val="00CF45A2"/>
    <w:rsid w:val="00CF5AB3"/>
    <w:rsid w:val="00CF6673"/>
    <w:rsid w:val="00D01C23"/>
    <w:rsid w:val="00D01E58"/>
    <w:rsid w:val="00D0494D"/>
    <w:rsid w:val="00D0610D"/>
    <w:rsid w:val="00D06397"/>
    <w:rsid w:val="00D0790E"/>
    <w:rsid w:val="00D07ED1"/>
    <w:rsid w:val="00D07EDB"/>
    <w:rsid w:val="00D10969"/>
    <w:rsid w:val="00D11C55"/>
    <w:rsid w:val="00D11DDA"/>
    <w:rsid w:val="00D121E1"/>
    <w:rsid w:val="00D1247D"/>
    <w:rsid w:val="00D13401"/>
    <w:rsid w:val="00D141B6"/>
    <w:rsid w:val="00D15B28"/>
    <w:rsid w:val="00D164F1"/>
    <w:rsid w:val="00D16B1B"/>
    <w:rsid w:val="00D16E17"/>
    <w:rsid w:val="00D17AAB"/>
    <w:rsid w:val="00D20EA6"/>
    <w:rsid w:val="00D2107B"/>
    <w:rsid w:val="00D22168"/>
    <w:rsid w:val="00D30276"/>
    <w:rsid w:val="00D31D2F"/>
    <w:rsid w:val="00D31DF2"/>
    <w:rsid w:val="00D34215"/>
    <w:rsid w:val="00D34F12"/>
    <w:rsid w:val="00D35288"/>
    <w:rsid w:val="00D353CC"/>
    <w:rsid w:val="00D36022"/>
    <w:rsid w:val="00D37344"/>
    <w:rsid w:val="00D37977"/>
    <w:rsid w:val="00D4151D"/>
    <w:rsid w:val="00D42EDE"/>
    <w:rsid w:val="00D453A8"/>
    <w:rsid w:val="00D46190"/>
    <w:rsid w:val="00D47622"/>
    <w:rsid w:val="00D50F7C"/>
    <w:rsid w:val="00D54532"/>
    <w:rsid w:val="00D57FE3"/>
    <w:rsid w:val="00D60A8B"/>
    <w:rsid w:val="00D61395"/>
    <w:rsid w:val="00D6297B"/>
    <w:rsid w:val="00D7032C"/>
    <w:rsid w:val="00D73096"/>
    <w:rsid w:val="00D73ADB"/>
    <w:rsid w:val="00D743FA"/>
    <w:rsid w:val="00D7464D"/>
    <w:rsid w:val="00D808E1"/>
    <w:rsid w:val="00D80BD5"/>
    <w:rsid w:val="00D80CCE"/>
    <w:rsid w:val="00D81442"/>
    <w:rsid w:val="00D83D21"/>
    <w:rsid w:val="00D845C5"/>
    <w:rsid w:val="00D8496D"/>
    <w:rsid w:val="00D851D7"/>
    <w:rsid w:val="00D868FF"/>
    <w:rsid w:val="00D86F23"/>
    <w:rsid w:val="00D871B3"/>
    <w:rsid w:val="00D91BE0"/>
    <w:rsid w:val="00D91FCA"/>
    <w:rsid w:val="00D922AC"/>
    <w:rsid w:val="00D93A80"/>
    <w:rsid w:val="00D9413D"/>
    <w:rsid w:val="00D9634E"/>
    <w:rsid w:val="00D97F5B"/>
    <w:rsid w:val="00DA0E6E"/>
    <w:rsid w:val="00DA18F7"/>
    <w:rsid w:val="00DA50BB"/>
    <w:rsid w:val="00DA53A5"/>
    <w:rsid w:val="00DA5921"/>
    <w:rsid w:val="00DA64C3"/>
    <w:rsid w:val="00DA776B"/>
    <w:rsid w:val="00DB0365"/>
    <w:rsid w:val="00DB3AD9"/>
    <w:rsid w:val="00DB3CF6"/>
    <w:rsid w:val="00DB43EE"/>
    <w:rsid w:val="00DB7964"/>
    <w:rsid w:val="00DB7DB7"/>
    <w:rsid w:val="00DB7FF1"/>
    <w:rsid w:val="00DC0660"/>
    <w:rsid w:val="00DC099D"/>
    <w:rsid w:val="00DC2D2D"/>
    <w:rsid w:val="00DC5C57"/>
    <w:rsid w:val="00DC6D96"/>
    <w:rsid w:val="00DC7C79"/>
    <w:rsid w:val="00DD0A83"/>
    <w:rsid w:val="00DD225E"/>
    <w:rsid w:val="00DD2FB5"/>
    <w:rsid w:val="00DD42B3"/>
    <w:rsid w:val="00DD4F73"/>
    <w:rsid w:val="00DD6284"/>
    <w:rsid w:val="00DD6743"/>
    <w:rsid w:val="00DD7B3B"/>
    <w:rsid w:val="00DE3601"/>
    <w:rsid w:val="00DE604F"/>
    <w:rsid w:val="00DF1D30"/>
    <w:rsid w:val="00DF2597"/>
    <w:rsid w:val="00DF2D08"/>
    <w:rsid w:val="00DF7A34"/>
    <w:rsid w:val="00E019B1"/>
    <w:rsid w:val="00E01EC4"/>
    <w:rsid w:val="00E02BF4"/>
    <w:rsid w:val="00E04D30"/>
    <w:rsid w:val="00E070EB"/>
    <w:rsid w:val="00E07529"/>
    <w:rsid w:val="00E10E02"/>
    <w:rsid w:val="00E11682"/>
    <w:rsid w:val="00E12D8D"/>
    <w:rsid w:val="00E12F55"/>
    <w:rsid w:val="00E12FF5"/>
    <w:rsid w:val="00E160BA"/>
    <w:rsid w:val="00E1767A"/>
    <w:rsid w:val="00E21246"/>
    <w:rsid w:val="00E21372"/>
    <w:rsid w:val="00E22DB2"/>
    <w:rsid w:val="00E25143"/>
    <w:rsid w:val="00E31F14"/>
    <w:rsid w:val="00E3229D"/>
    <w:rsid w:val="00E40F28"/>
    <w:rsid w:val="00E41A67"/>
    <w:rsid w:val="00E434D8"/>
    <w:rsid w:val="00E45EDD"/>
    <w:rsid w:val="00E4683B"/>
    <w:rsid w:val="00E506BF"/>
    <w:rsid w:val="00E524B2"/>
    <w:rsid w:val="00E52B8B"/>
    <w:rsid w:val="00E56AA0"/>
    <w:rsid w:val="00E60150"/>
    <w:rsid w:val="00E606E1"/>
    <w:rsid w:val="00E60C60"/>
    <w:rsid w:val="00E639DD"/>
    <w:rsid w:val="00E64C65"/>
    <w:rsid w:val="00E65B92"/>
    <w:rsid w:val="00E66791"/>
    <w:rsid w:val="00E6712C"/>
    <w:rsid w:val="00E67CE0"/>
    <w:rsid w:val="00E704C7"/>
    <w:rsid w:val="00E71A20"/>
    <w:rsid w:val="00E71E48"/>
    <w:rsid w:val="00E72606"/>
    <w:rsid w:val="00E72A5E"/>
    <w:rsid w:val="00E72FAC"/>
    <w:rsid w:val="00E743A1"/>
    <w:rsid w:val="00E747BD"/>
    <w:rsid w:val="00E74A12"/>
    <w:rsid w:val="00E74BF7"/>
    <w:rsid w:val="00E74E2C"/>
    <w:rsid w:val="00E75F94"/>
    <w:rsid w:val="00E76A0B"/>
    <w:rsid w:val="00E77600"/>
    <w:rsid w:val="00E77967"/>
    <w:rsid w:val="00E8106E"/>
    <w:rsid w:val="00E81077"/>
    <w:rsid w:val="00E82E50"/>
    <w:rsid w:val="00E830FE"/>
    <w:rsid w:val="00E84C29"/>
    <w:rsid w:val="00E85106"/>
    <w:rsid w:val="00E94BCB"/>
    <w:rsid w:val="00E94FF8"/>
    <w:rsid w:val="00EA0280"/>
    <w:rsid w:val="00EA11BB"/>
    <w:rsid w:val="00EA1F71"/>
    <w:rsid w:val="00EA29F1"/>
    <w:rsid w:val="00EA3123"/>
    <w:rsid w:val="00EA3615"/>
    <w:rsid w:val="00EA5328"/>
    <w:rsid w:val="00EA6E41"/>
    <w:rsid w:val="00EA6ED9"/>
    <w:rsid w:val="00EB11D4"/>
    <w:rsid w:val="00EB4259"/>
    <w:rsid w:val="00EB46F9"/>
    <w:rsid w:val="00EB711A"/>
    <w:rsid w:val="00EB7DE4"/>
    <w:rsid w:val="00EC0188"/>
    <w:rsid w:val="00EC3B75"/>
    <w:rsid w:val="00EC52A6"/>
    <w:rsid w:val="00EC6C39"/>
    <w:rsid w:val="00ED0FF9"/>
    <w:rsid w:val="00ED3A03"/>
    <w:rsid w:val="00ED488C"/>
    <w:rsid w:val="00ED5659"/>
    <w:rsid w:val="00ED6750"/>
    <w:rsid w:val="00ED6D44"/>
    <w:rsid w:val="00ED748C"/>
    <w:rsid w:val="00EE0E23"/>
    <w:rsid w:val="00EE1B88"/>
    <w:rsid w:val="00EE4F6A"/>
    <w:rsid w:val="00EE75DC"/>
    <w:rsid w:val="00EF028B"/>
    <w:rsid w:val="00EF276C"/>
    <w:rsid w:val="00EF4E97"/>
    <w:rsid w:val="00EF6EE6"/>
    <w:rsid w:val="00F017B7"/>
    <w:rsid w:val="00F02501"/>
    <w:rsid w:val="00F0324C"/>
    <w:rsid w:val="00F03AB1"/>
    <w:rsid w:val="00F03F59"/>
    <w:rsid w:val="00F0441F"/>
    <w:rsid w:val="00F04AA0"/>
    <w:rsid w:val="00F05462"/>
    <w:rsid w:val="00F05762"/>
    <w:rsid w:val="00F06119"/>
    <w:rsid w:val="00F07425"/>
    <w:rsid w:val="00F07EE4"/>
    <w:rsid w:val="00F11C71"/>
    <w:rsid w:val="00F154E8"/>
    <w:rsid w:val="00F15B11"/>
    <w:rsid w:val="00F162F0"/>
    <w:rsid w:val="00F17753"/>
    <w:rsid w:val="00F23398"/>
    <w:rsid w:val="00F261DA"/>
    <w:rsid w:val="00F26200"/>
    <w:rsid w:val="00F26667"/>
    <w:rsid w:val="00F27053"/>
    <w:rsid w:val="00F31867"/>
    <w:rsid w:val="00F32060"/>
    <w:rsid w:val="00F33EC8"/>
    <w:rsid w:val="00F368CF"/>
    <w:rsid w:val="00F4013E"/>
    <w:rsid w:val="00F40D1A"/>
    <w:rsid w:val="00F41C59"/>
    <w:rsid w:val="00F4524C"/>
    <w:rsid w:val="00F45ED4"/>
    <w:rsid w:val="00F46FCB"/>
    <w:rsid w:val="00F47AC2"/>
    <w:rsid w:val="00F51A8C"/>
    <w:rsid w:val="00F53B9D"/>
    <w:rsid w:val="00F570FF"/>
    <w:rsid w:val="00F6008F"/>
    <w:rsid w:val="00F6015E"/>
    <w:rsid w:val="00F60F2D"/>
    <w:rsid w:val="00F63880"/>
    <w:rsid w:val="00F642AE"/>
    <w:rsid w:val="00F64F92"/>
    <w:rsid w:val="00F662FF"/>
    <w:rsid w:val="00F66C91"/>
    <w:rsid w:val="00F70ABC"/>
    <w:rsid w:val="00F71100"/>
    <w:rsid w:val="00F71D09"/>
    <w:rsid w:val="00F71FB3"/>
    <w:rsid w:val="00F73A65"/>
    <w:rsid w:val="00F75C57"/>
    <w:rsid w:val="00F76777"/>
    <w:rsid w:val="00F8103F"/>
    <w:rsid w:val="00F81635"/>
    <w:rsid w:val="00F8291A"/>
    <w:rsid w:val="00F8312B"/>
    <w:rsid w:val="00F8377E"/>
    <w:rsid w:val="00F84F9D"/>
    <w:rsid w:val="00F8763E"/>
    <w:rsid w:val="00F9033A"/>
    <w:rsid w:val="00F90A04"/>
    <w:rsid w:val="00F90DCC"/>
    <w:rsid w:val="00F9408A"/>
    <w:rsid w:val="00F9731A"/>
    <w:rsid w:val="00F975CC"/>
    <w:rsid w:val="00FA04CD"/>
    <w:rsid w:val="00FA06AE"/>
    <w:rsid w:val="00FA3118"/>
    <w:rsid w:val="00FA361C"/>
    <w:rsid w:val="00FA4950"/>
    <w:rsid w:val="00FB06D6"/>
    <w:rsid w:val="00FB0754"/>
    <w:rsid w:val="00FB294E"/>
    <w:rsid w:val="00FB6983"/>
    <w:rsid w:val="00FB7075"/>
    <w:rsid w:val="00FB779B"/>
    <w:rsid w:val="00FC1D42"/>
    <w:rsid w:val="00FC4264"/>
    <w:rsid w:val="00FC4691"/>
    <w:rsid w:val="00FC572C"/>
    <w:rsid w:val="00FC621F"/>
    <w:rsid w:val="00FC7028"/>
    <w:rsid w:val="00FD06B9"/>
    <w:rsid w:val="00FD2B5B"/>
    <w:rsid w:val="00FD3342"/>
    <w:rsid w:val="00FD509E"/>
    <w:rsid w:val="00FD6075"/>
    <w:rsid w:val="00FD6AFA"/>
    <w:rsid w:val="00FE15CE"/>
    <w:rsid w:val="00FE31C0"/>
    <w:rsid w:val="00FE552E"/>
    <w:rsid w:val="00FE59AA"/>
    <w:rsid w:val="00FE6955"/>
    <w:rsid w:val="00FE7C58"/>
    <w:rsid w:val="00FF2895"/>
    <w:rsid w:val="00FF36B3"/>
    <w:rsid w:val="00FF68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fillcolor="white">
      <v:fill color="white"/>
    </o:shapedefaults>
    <o:shapelayout v:ext="edit">
      <o:idmap v:ext="edit" data="1"/>
      <o:rules v:ext="edit">
        <o:r id="V:Rule4" type="connector" idref="#_x0000_s1037"/>
        <o:r id="V:Rule5" type="connector" idref="#_x0000_s1036"/>
        <o:r id="V:Rule6"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13D"/>
    <w:pPr>
      <w:widowControl w:val="0"/>
      <w:spacing w:after="0" w:line="240" w:lineRule="auto"/>
      <w:ind w:firstLine="567"/>
      <w:jc w:val="both"/>
    </w:pPr>
    <w:rPr>
      <w:rFonts w:ascii="Times New Roman" w:eastAsia="Times New Roman" w:hAnsi="Times New Roman" w:cs="Times New Roman"/>
      <w:sz w:val="20"/>
      <w:szCs w:val="20"/>
      <w:lang w:val="lt-LT"/>
    </w:rPr>
  </w:style>
  <w:style w:type="paragraph" w:styleId="Heading1">
    <w:name w:val="heading 1"/>
    <w:basedOn w:val="Normal"/>
    <w:next w:val="Normal"/>
    <w:link w:val="Heading1Char"/>
    <w:uiPriority w:val="9"/>
    <w:qFormat/>
    <w:rsid w:val="002D44A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E37F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639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113D"/>
    <w:pPr>
      <w:ind w:left="720"/>
      <w:contextualSpacing/>
    </w:pPr>
  </w:style>
  <w:style w:type="paragraph" w:styleId="BalloonText">
    <w:name w:val="Balloon Text"/>
    <w:basedOn w:val="Normal"/>
    <w:link w:val="BalloonTextChar"/>
    <w:uiPriority w:val="99"/>
    <w:semiHidden/>
    <w:unhideWhenUsed/>
    <w:rsid w:val="00090CBC"/>
    <w:rPr>
      <w:rFonts w:ascii="Tahoma" w:hAnsi="Tahoma" w:cs="Tahoma"/>
      <w:sz w:val="16"/>
      <w:szCs w:val="16"/>
    </w:rPr>
  </w:style>
  <w:style w:type="character" w:customStyle="1" w:styleId="BalloonTextChar">
    <w:name w:val="Balloon Text Char"/>
    <w:basedOn w:val="DefaultParagraphFont"/>
    <w:link w:val="BalloonText"/>
    <w:uiPriority w:val="99"/>
    <w:semiHidden/>
    <w:rsid w:val="00090CBC"/>
    <w:rPr>
      <w:rFonts w:ascii="Tahoma" w:eastAsia="Times New Roman" w:hAnsi="Tahoma" w:cs="Tahoma"/>
      <w:sz w:val="16"/>
      <w:szCs w:val="16"/>
      <w:lang w:val="lt-LT"/>
    </w:rPr>
  </w:style>
  <w:style w:type="paragraph" w:styleId="Header">
    <w:name w:val="header"/>
    <w:basedOn w:val="Normal"/>
    <w:link w:val="HeaderChar"/>
    <w:uiPriority w:val="99"/>
    <w:unhideWhenUsed/>
    <w:rsid w:val="00D86F23"/>
    <w:pPr>
      <w:tabs>
        <w:tab w:val="center" w:pos="4986"/>
        <w:tab w:val="right" w:pos="9972"/>
      </w:tabs>
    </w:pPr>
  </w:style>
  <w:style w:type="character" w:customStyle="1" w:styleId="HeaderChar">
    <w:name w:val="Header Char"/>
    <w:basedOn w:val="DefaultParagraphFont"/>
    <w:link w:val="Header"/>
    <w:uiPriority w:val="99"/>
    <w:rsid w:val="00D86F23"/>
    <w:rPr>
      <w:rFonts w:ascii="Times New Roman" w:eastAsia="Times New Roman" w:hAnsi="Times New Roman" w:cs="Times New Roman"/>
      <w:sz w:val="20"/>
      <w:szCs w:val="20"/>
      <w:lang w:val="lt-LT"/>
    </w:rPr>
  </w:style>
  <w:style w:type="paragraph" w:styleId="Footer">
    <w:name w:val="footer"/>
    <w:basedOn w:val="Normal"/>
    <w:link w:val="FooterChar"/>
    <w:uiPriority w:val="99"/>
    <w:unhideWhenUsed/>
    <w:rsid w:val="00D86F23"/>
    <w:pPr>
      <w:tabs>
        <w:tab w:val="center" w:pos="4986"/>
        <w:tab w:val="right" w:pos="9972"/>
      </w:tabs>
    </w:pPr>
  </w:style>
  <w:style w:type="character" w:customStyle="1" w:styleId="FooterChar">
    <w:name w:val="Footer Char"/>
    <w:basedOn w:val="DefaultParagraphFont"/>
    <w:link w:val="Footer"/>
    <w:uiPriority w:val="99"/>
    <w:rsid w:val="00D86F23"/>
    <w:rPr>
      <w:rFonts w:ascii="Times New Roman" w:eastAsia="Times New Roman" w:hAnsi="Times New Roman" w:cs="Times New Roman"/>
      <w:sz w:val="20"/>
      <w:szCs w:val="20"/>
      <w:lang w:val="lt-LT"/>
    </w:rPr>
  </w:style>
  <w:style w:type="character" w:styleId="Hyperlink">
    <w:name w:val="Hyperlink"/>
    <w:basedOn w:val="DefaultParagraphFont"/>
    <w:uiPriority w:val="99"/>
    <w:unhideWhenUsed/>
    <w:rsid w:val="0016360A"/>
    <w:rPr>
      <w:color w:val="0000FF"/>
      <w:u w:val="single"/>
    </w:rPr>
  </w:style>
  <w:style w:type="paragraph" w:customStyle="1" w:styleId="Default">
    <w:name w:val="Default"/>
    <w:rsid w:val="00AB001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0E37FF"/>
    <w:rPr>
      <w:rFonts w:asciiTheme="majorHAnsi" w:eastAsiaTheme="majorEastAsia" w:hAnsiTheme="majorHAnsi" w:cstheme="majorBidi"/>
      <w:b/>
      <w:bCs/>
      <w:color w:val="4F81BD" w:themeColor="accent1"/>
      <w:sz w:val="26"/>
      <w:szCs w:val="26"/>
      <w:lang w:val="lt-LT"/>
    </w:rPr>
  </w:style>
  <w:style w:type="table" w:styleId="TableGrid">
    <w:name w:val="Table Grid"/>
    <w:basedOn w:val="TableNormal"/>
    <w:uiPriority w:val="59"/>
    <w:rsid w:val="00F45ED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Shading1-Accent11">
    <w:name w:val="Medium Shading 1 - Accent 11"/>
    <w:basedOn w:val="TableNormal"/>
    <w:uiPriority w:val="63"/>
    <w:rsid w:val="004F431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Grid-Accent11">
    <w:name w:val="Light Grid - Accent 11"/>
    <w:basedOn w:val="TableNormal"/>
    <w:uiPriority w:val="62"/>
    <w:rsid w:val="004F431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1Char">
    <w:name w:val="Heading 1 Char"/>
    <w:basedOn w:val="DefaultParagraphFont"/>
    <w:link w:val="Heading1"/>
    <w:uiPriority w:val="9"/>
    <w:rsid w:val="002D44A7"/>
    <w:rPr>
      <w:rFonts w:asciiTheme="majorHAnsi" w:eastAsiaTheme="majorEastAsia" w:hAnsiTheme="majorHAnsi" w:cstheme="majorBidi"/>
      <w:b/>
      <w:bCs/>
      <w:color w:val="365F91" w:themeColor="accent1" w:themeShade="BF"/>
      <w:sz w:val="28"/>
      <w:szCs w:val="28"/>
      <w:lang w:val="lt-LT"/>
    </w:rPr>
  </w:style>
  <w:style w:type="paragraph" w:styleId="TOC1">
    <w:name w:val="toc 1"/>
    <w:basedOn w:val="Normal"/>
    <w:next w:val="Normal"/>
    <w:autoRedefine/>
    <w:uiPriority w:val="39"/>
    <w:unhideWhenUsed/>
    <w:rsid w:val="00AE38D7"/>
    <w:pPr>
      <w:tabs>
        <w:tab w:val="left" w:pos="1100"/>
        <w:tab w:val="right" w:leader="dot" w:pos="9350"/>
      </w:tabs>
      <w:spacing w:after="100"/>
    </w:pPr>
  </w:style>
  <w:style w:type="paragraph" w:styleId="TOC2">
    <w:name w:val="toc 2"/>
    <w:basedOn w:val="Normal"/>
    <w:next w:val="Normal"/>
    <w:autoRedefine/>
    <w:uiPriority w:val="39"/>
    <w:unhideWhenUsed/>
    <w:rsid w:val="00AE38D7"/>
    <w:pPr>
      <w:tabs>
        <w:tab w:val="left" w:pos="1320"/>
        <w:tab w:val="right" w:leader="dot" w:pos="9350"/>
      </w:tabs>
      <w:spacing w:after="100"/>
      <w:ind w:left="200"/>
      <w:jc w:val="left"/>
    </w:pPr>
  </w:style>
  <w:style w:type="paragraph" w:styleId="TOC3">
    <w:name w:val="toc 3"/>
    <w:basedOn w:val="Normal"/>
    <w:next w:val="Normal"/>
    <w:autoRedefine/>
    <w:uiPriority w:val="39"/>
    <w:unhideWhenUsed/>
    <w:rsid w:val="00D46190"/>
    <w:pPr>
      <w:tabs>
        <w:tab w:val="right" w:leader="dot" w:pos="9628"/>
      </w:tabs>
      <w:spacing w:after="100"/>
      <w:ind w:left="400"/>
    </w:pPr>
    <w:rPr>
      <w:rFonts w:eastAsiaTheme="majorEastAsia"/>
      <w:noProof/>
      <w:sz w:val="24"/>
      <w:szCs w:val="24"/>
    </w:rPr>
  </w:style>
  <w:style w:type="paragraph" w:styleId="FootnoteText">
    <w:name w:val="footnote text"/>
    <w:basedOn w:val="Normal"/>
    <w:link w:val="FootnoteTextChar"/>
    <w:uiPriority w:val="99"/>
    <w:unhideWhenUsed/>
    <w:rsid w:val="00731605"/>
    <w:pPr>
      <w:widowControl/>
    </w:pPr>
  </w:style>
  <w:style w:type="character" w:customStyle="1" w:styleId="FootnoteTextChar">
    <w:name w:val="Footnote Text Char"/>
    <w:basedOn w:val="DefaultParagraphFont"/>
    <w:link w:val="FootnoteText"/>
    <w:uiPriority w:val="99"/>
    <w:rsid w:val="00731605"/>
    <w:rPr>
      <w:rFonts w:ascii="Times New Roman" w:eastAsia="Times New Roman" w:hAnsi="Times New Roman" w:cs="Times New Roman"/>
      <w:sz w:val="20"/>
      <w:szCs w:val="20"/>
      <w:lang w:val="lt-LT"/>
    </w:rPr>
  </w:style>
  <w:style w:type="character" w:styleId="FollowedHyperlink">
    <w:name w:val="FollowedHyperlink"/>
    <w:basedOn w:val="DefaultParagraphFont"/>
    <w:uiPriority w:val="99"/>
    <w:semiHidden/>
    <w:unhideWhenUsed/>
    <w:rsid w:val="00731605"/>
    <w:rPr>
      <w:color w:val="800080" w:themeColor="followedHyperlink"/>
      <w:u w:val="single"/>
    </w:rPr>
  </w:style>
  <w:style w:type="character" w:styleId="Strong">
    <w:name w:val="Strong"/>
    <w:basedOn w:val="DefaultParagraphFont"/>
    <w:uiPriority w:val="22"/>
    <w:qFormat/>
    <w:rsid w:val="00DD42B3"/>
    <w:rPr>
      <w:b/>
      <w:bCs/>
    </w:rPr>
  </w:style>
  <w:style w:type="table" w:customStyle="1" w:styleId="LightGrid-Accent12">
    <w:name w:val="Light Grid - Accent 12"/>
    <w:basedOn w:val="TableNormal"/>
    <w:uiPriority w:val="62"/>
    <w:rsid w:val="001B193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2-Accent1">
    <w:name w:val="Medium Grid 2 Accent 1"/>
    <w:basedOn w:val="TableNormal"/>
    <w:uiPriority w:val="68"/>
    <w:rsid w:val="000A782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Shading2-Accent11">
    <w:name w:val="Medium Shading 2 - Accent 11"/>
    <w:basedOn w:val="TableNormal"/>
    <w:uiPriority w:val="64"/>
    <w:rsid w:val="00132F5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132F5F"/>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Subtitle">
    <w:name w:val="Subtitle"/>
    <w:basedOn w:val="Normal"/>
    <w:next w:val="Normal"/>
    <w:link w:val="SubtitleChar"/>
    <w:uiPriority w:val="11"/>
    <w:qFormat/>
    <w:rsid w:val="00F31867"/>
    <w:pPr>
      <w:numPr>
        <w:ilvl w:val="1"/>
      </w:numPr>
      <w:ind w:firstLine="567"/>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31867"/>
    <w:rPr>
      <w:rFonts w:asciiTheme="majorHAnsi" w:eastAsiaTheme="majorEastAsia" w:hAnsiTheme="majorHAnsi" w:cstheme="majorBidi"/>
      <w:i/>
      <w:iCs/>
      <w:color w:val="4F81BD" w:themeColor="accent1"/>
      <w:spacing w:val="15"/>
      <w:sz w:val="24"/>
      <w:szCs w:val="24"/>
      <w:lang w:val="lt-LT"/>
    </w:rPr>
  </w:style>
  <w:style w:type="character" w:styleId="Emphasis">
    <w:name w:val="Emphasis"/>
    <w:basedOn w:val="DefaultParagraphFont"/>
    <w:qFormat/>
    <w:rsid w:val="003650CC"/>
    <w:rPr>
      <w:i/>
      <w:iCs/>
    </w:rPr>
  </w:style>
  <w:style w:type="character" w:customStyle="1" w:styleId="Heading3Char">
    <w:name w:val="Heading 3 Char"/>
    <w:basedOn w:val="DefaultParagraphFont"/>
    <w:link w:val="Heading3"/>
    <w:uiPriority w:val="9"/>
    <w:semiHidden/>
    <w:rsid w:val="001639E7"/>
    <w:rPr>
      <w:rFonts w:asciiTheme="majorHAnsi" w:eastAsiaTheme="majorEastAsia" w:hAnsiTheme="majorHAnsi" w:cstheme="majorBidi"/>
      <w:b/>
      <w:bCs/>
      <w:color w:val="4F81BD" w:themeColor="accent1"/>
      <w:sz w:val="20"/>
      <w:szCs w:val="20"/>
      <w:lang w:val="lt-LT"/>
    </w:rPr>
  </w:style>
  <w:style w:type="paragraph" w:styleId="DocumentMap">
    <w:name w:val="Document Map"/>
    <w:basedOn w:val="Normal"/>
    <w:link w:val="DocumentMapChar"/>
    <w:uiPriority w:val="99"/>
    <w:semiHidden/>
    <w:unhideWhenUsed/>
    <w:rsid w:val="00685939"/>
    <w:rPr>
      <w:rFonts w:ascii="Tahoma" w:hAnsi="Tahoma" w:cs="Tahoma"/>
      <w:sz w:val="16"/>
      <w:szCs w:val="16"/>
    </w:rPr>
  </w:style>
  <w:style w:type="character" w:customStyle="1" w:styleId="DocumentMapChar">
    <w:name w:val="Document Map Char"/>
    <w:basedOn w:val="DefaultParagraphFont"/>
    <w:link w:val="DocumentMap"/>
    <w:uiPriority w:val="99"/>
    <w:semiHidden/>
    <w:rsid w:val="00685939"/>
    <w:rPr>
      <w:rFonts w:ascii="Tahoma" w:eastAsia="Times New Roman" w:hAnsi="Tahoma" w:cs="Tahoma"/>
      <w:sz w:val="16"/>
      <w:szCs w:val="16"/>
      <w:lang w:val="lt-LT"/>
    </w:rPr>
  </w:style>
  <w:style w:type="table" w:customStyle="1" w:styleId="LightList-Accent11">
    <w:name w:val="Light List - Accent 11"/>
    <w:basedOn w:val="TableNormal"/>
    <w:uiPriority w:val="61"/>
    <w:rsid w:val="00207E1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uiPriority w:val="99"/>
    <w:unhideWhenUsed/>
    <w:rsid w:val="006A7DDC"/>
    <w:pPr>
      <w:widowControl/>
      <w:spacing w:before="100" w:beforeAutospacing="1" w:after="100" w:afterAutospacing="1"/>
      <w:ind w:firstLine="0"/>
      <w:jc w:val="left"/>
    </w:pPr>
    <w:rPr>
      <w:sz w:val="24"/>
      <w:szCs w:val="24"/>
      <w:lang w:val="en-US"/>
    </w:rPr>
  </w:style>
  <w:style w:type="character" w:customStyle="1" w:styleId="apple-converted-space">
    <w:name w:val="apple-converted-space"/>
    <w:basedOn w:val="DefaultParagraphFont"/>
    <w:rsid w:val="000A596F"/>
  </w:style>
  <w:style w:type="character" w:styleId="PageNumber">
    <w:name w:val="page number"/>
    <w:basedOn w:val="DefaultParagraphFont"/>
    <w:uiPriority w:val="99"/>
    <w:semiHidden/>
    <w:unhideWhenUsed/>
    <w:rsid w:val="00C21D62"/>
  </w:style>
  <w:style w:type="table" w:customStyle="1" w:styleId="LightGrid1">
    <w:name w:val="Light Grid1"/>
    <w:basedOn w:val="TableNormal"/>
    <w:uiPriority w:val="62"/>
    <w:rsid w:val="00F6008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3">
    <w:name w:val="Light Grid - Accent 13"/>
    <w:basedOn w:val="TableNormal"/>
    <w:uiPriority w:val="62"/>
    <w:rsid w:val="00F6008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ps">
    <w:name w:val="hps"/>
    <w:basedOn w:val="DefaultParagraphFont"/>
    <w:rsid w:val="002077BF"/>
  </w:style>
  <w:style w:type="table" w:customStyle="1" w:styleId="MediumShading11">
    <w:name w:val="Medium Shading 11"/>
    <w:basedOn w:val="TableNormal"/>
    <w:uiPriority w:val="63"/>
    <w:rsid w:val="00722A75"/>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5739494">
      <w:bodyDiv w:val="1"/>
      <w:marLeft w:val="0"/>
      <w:marRight w:val="0"/>
      <w:marTop w:val="0"/>
      <w:marBottom w:val="0"/>
      <w:divBdr>
        <w:top w:val="none" w:sz="0" w:space="0" w:color="auto"/>
        <w:left w:val="none" w:sz="0" w:space="0" w:color="auto"/>
        <w:bottom w:val="none" w:sz="0" w:space="0" w:color="auto"/>
        <w:right w:val="none" w:sz="0" w:space="0" w:color="auto"/>
      </w:divBdr>
    </w:div>
    <w:div w:id="87123318">
      <w:bodyDiv w:val="1"/>
      <w:marLeft w:val="0"/>
      <w:marRight w:val="0"/>
      <w:marTop w:val="0"/>
      <w:marBottom w:val="0"/>
      <w:divBdr>
        <w:top w:val="none" w:sz="0" w:space="0" w:color="auto"/>
        <w:left w:val="none" w:sz="0" w:space="0" w:color="auto"/>
        <w:bottom w:val="none" w:sz="0" w:space="0" w:color="auto"/>
        <w:right w:val="none" w:sz="0" w:space="0" w:color="auto"/>
      </w:divBdr>
    </w:div>
    <w:div w:id="129632975">
      <w:bodyDiv w:val="1"/>
      <w:marLeft w:val="0"/>
      <w:marRight w:val="0"/>
      <w:marTop w:val="0"/>
      <w:marBottom w:val="0"/>
      <w:divBdr>
        <w:top w:val="none" w:sz="0" w:space="0" w:color="auto"/>
        <w:left w:val="none" w:sz="0" w:space="0" w:color="auto"/>
        <w:bottom w:val="none" w:sz="0" w:space="0" w:color="auto"/>
        <w:right w:val="none" w:sz="0" w:space="0" w:color="auto"/>
      </w:divBdr>
      <w:divsChild>
        <w:div w:id="712508033">
          <w:marLeft w:val="547"/>
          <w:marRight w:val="0"/>
          <w:marTop w:val="0"/>
          <w:marBottom w:val="0"/>
          <w:divBdr>
            <w:top w:val="none" w:sz="0" w:space="0" w:color="auto"/>
            <w:left w:val="none" w:sz="0" w:space="0" w:color="auto"/>
            <w:bottom w:val="none" w:sz="0" w:space="0" w:color="auto"/>
            <w:right w:val="none" w:sz="0" w:space="0" w:color="auto"/>
          </w:divBdr>
        </w:div>
      </w:divsChild>
    </w:div>
    <w:div w:id="194579884">
      <w:bodyDiv w:val="1"/>
      <w:marLeft w:val="0"/>
      <w:marRight w:val="0"/>
      <w:marTop w:val="0"/>
      <w:marBottom w:val="0"/>
      <w:divBdr>
        <w:top w:val="none" w:sz="0" w:space="0" w:color="auto"/>
        <w:left w:val="none" w:sz="0" w:space="0" w:color="auto"/>
        <w:bottom w:val="none" w:sz="0" w:space="0" w:color="auto"/>
        <w:right w:val="none" w:sz="0" w:space="0" w:color="auto"/>
      </w:divBdr>
    </w:div>
    <w:div w:id="296104562">
      <w:bodyDiv w:val="1"/>
      <w:marLeft w:val="0"/>
      <w:marRight w:val="0"/>
      <w:marTop w:val="0"/>
      <w:marBottom w:val="0"/>
      <w:divBdr>
        <w:top w:val="none" w:sz="0" w:space="0" w:color="auto"/>
        <w:left w:val="none" w:sz="0" w:space="0" w:color="auto"/>
        <w:bottom w:val="none" w:sz="0" w:space="0" w:color="auto"/>
        <w:right w:val="none" w:sz="0" w:space="0" w:color="auto"/>
      </w:divBdr>
      <w:divsChild>
        <w:div w:id="673453445">
          <w:marLeft w:val="547"/>
          <w:marRight w:val="0"/>
          <w:marTop w:val="0"/>
          <w:marBottom w:val="0"/>
          <w:divBdr>
            <w:top w:val="none" w:sz="0" w:space="0" w:color="auto"/>
            <w:left w:val="none" w:sz="0" w:space="0" w:color="auto"/>
            <w:bottom w:val="none" w:sz="0" w:space="0" w:color="auto"/>
            <w:right w:val="none" w:sz="0" w:space="0" w:color="auto"/>
          </w:divBdr>
        </w:div>
      </w:divsChild>
    </w:div>
    <w:div w:id="393940158">
      <w:bodyDiv w:val="1"/>
      <w:marLeft w:val="0"/>
      <w:marRight w:val="0"/>
      <w:marTop w:val="0"/>
      <w:marBottom w:val="0"/>
      <w:divBdr>
        <w:top w:val="none" w:sz="0" w:space="0" w:color="auto"/>
        <w:left w:val="none" w:sz="0" w:space="0" w:color="auto"/>
        <w:bottom w:val="none" w:sz="0" w:space="0" w:color="auto"/>
        <w:right w:val="none" w:sz="0" w:space="0" w:color="auto"/>
      </w:divBdr>
    </w:div>
    <w:div w:id="468866218">
      <w:bodyDiv w:val="1"/>
      <w:marLeft w:val="0"/>
      <w:marRight w:val="0"/>
      <w:marTop w:val="0"/>
      <w:marBottom w:val="0"/>
      <w:divBdr>
        <w:top w:val="none" w:sz="0" w:space="0" w:color="auto"/>
        <w:left w:val="none" w:sz="0" w:space="0" w:color="auto"/>
        <w:bottom w:val="none" w:sz="0" w:space="0" w:color="auto"/>
        <w:right w:val="none" w:sz="0" w:space="0" w:color="auto"/>
      </w:divBdr>
    </w:div>
    <w:div w:id="507912379">
      <w:bodyDiv w:val="1"/>
      <w:marLeft w:val="0"/>
      <w:marRight w:val="0"/>
      <w:marTop w:val="0"/>
      <w:marBottom w:val="0"/>
      <w:divBdr>
        <w:top w:val="none" w:sz="0" w:space="0" w:color="auto"/>
        <w:left w:val="none" w:sz="0" w:space="0" w:color="auto"/>
        <w:bottom w:val="none" w:sz="0" w:space="0" w:color="auto"/>
        <w:right w:val="none" w:sz="0" w:space="0" w:color="auto"/>
      </w:divBdr>
      <w:divsChild>
        <w:div w:id="633566606">
          <w:marLeft w:val="547"/>
          <w:marRight w:val="0"/>
          <w:marTop w:val="154"/>
          <w:marBottom w:val="0"/>
          <w:divBdr>
            <w:top w:val="none" w:sz="0" w:space="0" w:color="auto"/>
            <w:left w:val="none" w:sz="0" w:space="0" w:color="auto"/>
            <w:bottom w:val="none" w:sz="0" w:space="0" w:color="auto"/>
            <w:right w:val="none" w:sz="0" w:space="0" w:color="auto"/>
          </w:divBdr>
        </w:div>
        <w:div w:id="75248844">
          <w:marLeft w:val="547"/>
          <w:marRight w:val="0"/>
          <w:marTop w:val="154"/>
          <w:marBottom w:val="0"/>
          <w:divBdr>
            <w:top w:val="none" w:sz="0" w:space="0" w:color="auto"/>
            <w:left w:val="none" w:sz="0" w:space="0" w:color="auto"/>
            <w:bottom w:val="none" w:sz="0" w:space="0" w:color="auto"/>
            <w:right w:val="none" w:sz="0" w:space="0" w:color="auto"/>
          </w:divBdr>
        </w:div>
      </w:divsChild>
    </w:div>
    <w:div w:id="715081860">
      <w:bodyDiv w:val="1"/>
      <w:marLeft w:val="0"/>
      <w:marRight w:val="0"/>
      <w:marTop w:val="0"/>
      <w:marBottom w:val="0"/>
      <w:divBdr>
        <w:top w:val="none" w:sz="0" w:space="0" w:color="auto"/>
        <w:left w:val="none" w:sz="0" w:space="0" w:color="auto"/>
        <w:bottom w:val="none" w:sz="0" w:space="0" w:color="auto"/>
        <w:right w:val="none" w:sz="0" w:space="0" w:color="auto"/>
      </w:divBdr>
    </w:div>
    <w:div w:id="762149815">
      <w:bodyDiv w:val="1"/>
      <w:marLeft w:val="0"/>
      <w:marRight w:val="0"/>
      <w:marTop w:val="0"/>
      <w:marBottom w:val="0"/>
      <w:divBdr>
        <w:top w:val="none" w:sz="0" w:space="0" w:color="auto"/>
        <w:left w:val="none" w:sz="0" w:space="0" w:color="auto"/>
        <w:bottom w:val="none" w:sz="0" w:space="0" w:color="auto"/>
        <w:right w:val="none" w:sz="0" w:space="0" w:color="auto"/>
      </w:divBdr>
    </w:div>
    <w:div w:id="812409326">
      <w:bodyDiv w:val="1"/>
      <w:marLeft w:val="0"/>
      <w:marRight w:val="0"/>
      <w:marTop w:val="0"/>
      <w:marBottom w:val="0"/>
      <w:divBdr>
        <w:top w:val="none" w:sz="0" w:space="0" w:color="auto"/>
        <w:left w:val="none" w:sz="0" w:space="0" w:color="auto"/>
        <w:bottom w:val="none" w:sz="0" w:space="0" w:color="auto"/>
        <w:right w:val="none" w:sz="0" w:space="0" w:color="auto"/>
      </w:divBdr>
    </w:div>
    <w:div w:id="876310647">
      <w:bodyDiv w:val="1"/>
      <w:marLeft w:val="0"/>
      <w:marRight w:val="0"/>
      <w:marTop w:val="0"/>
      <w:marBottom w:val="0"/>
      <w:divBdr>
        <w:top w:val="none" w:sz="0" w:space="0" w:color="auto"/>
        <w:left w:val="none" w:sz="0" w:space="0" w:color="auto"/>
        <w:bottom w:val="none" w:sz="0" w:space="0" w:color="auto"/>
        <w:right w:val="none" w:sz="0" w:space="0" w:color="auto"/>
      </w:divBdr>
    </w:div>
    <w:div w:id="889465375">
      <w:bodyDiv w:val="1"/>
      <w:marLeft w:val="0"/>
      <w:marRight w:val="0"/>
      <w:marTop w:val="0"/>
      <w:marBottom w:val="0"/>
      <w:divBdr>
        <w:top w:val="none" w:sz="0" w:space="0" w:color="auto"/>
        <w:left w:val="none" w:sz="0" w:space="0" w:color="auto"/>
        <w:bottom w:val="none" w:sz="0" w:space="0" w:color="auto"/>
        <w:right w:val="none" w:sz="0" w:space="0" w:color="auto"/>
      </w:divBdr>
    </w:div>
    <w:div w:id="978729104">
      <w:bodyDiv w:val="1"/>
      <w:marLeft w:val="0"/>
      <w:marRight w:val="0"/>
      <w:marTop w:val="0"/>
      <w:marBottom w:val="0"/>
      <w:divBdr>
        <w:top w:val="none" w:sz="0" w:space="0" w:color="auto"/>
        <w:left w:val="none" w:sz="0" w:space="0" w:color="auto"/>
        <w:bottom w:val="none" w:sz="0" w:space="0" w:color="auto"/>
        <w:right w:val="none" w:sz="0" w:space="0" w:color="auto"/>
      </w:divBdr>
    </w:div>
    <w:div w:id="993725125">
      <w:bodyDiv w:val="1"/>
      <w:marLeft w:val="0"/>
      <w:marRight w:val="0"/>
      <w:marTop w:val="0"/>
      <w:marBottom w:val="0"/>
      <w:divBdr>
        <w:top w:val="none" w:sz="0" w:space="0" w:color="auto"/>
        <w:left w:val="none" w:sz="0" w:space="0" w:color="auto"/>
        <w:bottom w:val="none" w:sz="0" w:space="0" w:color="auto"/>
        <w:right w:val="none" w:sz="0" w:space="0" w:color="auto"/>
      </w:divBdr>
    </w:div>
    <w:div w:id="1049568720">
      <w:bodyDiv w:val="1"/>
      <w:marLeft w:val="0"/>
      <w:marRight w:val="0"/>
      <w:marTop w:val="0"/>
      <w:marBottom w:val="0"/>
      <w:divBdr>
        <w:top w:val="none" w:sz="0" w:space="0" w:color="auto"/>
        <w:left w:val="none" w:sz="0" w:space="0" w:color="auto"/>
        <w:bottom w:val="none" w:sz="0" w:space="0" w:color="auto"/>
        <w:right w:val="none" w:sz="0" w:space="0" w:color="auto"/>
      </w:divBdr>
    </w:div>
    <w:div w:id="1050034783">
      <w:bodyDiv w:val="1"/>
      <w:marLeft w:val="0"/>
      <w:marRight w:val="0"/>
      <w:marTop w:val="0"/>
      <w:marBottom w:val="0"/>
      <w:divBdr>
        <w:top w:val="none" w:sz="0" w:space="0" w:color="auto"/>
        <w:left w:val="none" w:sz="0" w:space="0" w:color="auto"/>
        <w:bottom w:val="none" w:sz="0" w:space="0" w:color="auto"/>
        <w:right w:val="none" w:sz="0" w:space="0" w:color="auto"/>
      </w:divBdr>
      <w:divsChild>
        <w:div w:id="1646200761">
          <w:marLeft w:val="0"/>
          <w:marRight w:val="0"/>
          <w:marTop w:val="0"/>
          <w:marBottom w:val="0"/>
          <w:divBdr>
            <w:top w:val="none" w:sz="0" w:space="0" w:color="auto"/>
            <w:left w:val="none" w:sz="0" w:space="0" w:color="auto"/>
            <w:bottom w:val="none" w:sz="0" w:space="0" w:color="auto"/>
            <w:right w:val="none" w:sz="0" w:space="0" w:color="auto"/>
          </w:divBdr>
          <w:divsChild>
            <w:div w:id="1433477355">
              <w:marLeft w:val="0"/>
              <w:marRight w:val="0"/>
              <w:marTop w:val="0"/>
              <w:marBottom w:val="0"/>
              <w:divBdr>
                <w:top w:val="none" w:sz="0" w:space="0" w:color="auto"/>
                <w:left w:val="none" w:sz="0" w:space="0" w:color="auto"/>
                <w:bottom w:val="none" w:sz="0" w:space="0" w:color="auto"/>
                <w:right w:val="none" w:sz="0" w:space="0" w:color="auto"/>
              </w:divBdr>
              <w:divsChild>
                <w:div w:id="140537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364658">
      <w:bodyDiv w:val="1"/>
      <w:marLeft w:val="0"/>
      <w:marRight w:val="0"/>
      <w:marTop w:val="0"/>
      <w:marBottom w:val="0"/>
      <w:divBdr>
        <w:top w:val="none" w:sz="0" w:space="0" w:color="auto"/>
        <w:left w:val="none" w:sz="0" w:space="0" w:color="auto"/>
        <w:bottom w:val="none" w:sz="0" w:space="0" w:color="auto"/>
        <w:right w:val="none" w:sz="0" w:space="0" w:color="auto"/>
      </w:divBdr>
      <w:divsChild>
        <w:div w:id="39787970">
          <w:marLeft w:val="0"/>
          <w:marRight w:val="0"/>
          <w:marTop w:val="0"/>
          <w:marBottom w:val="0"/>
          <w:divBdr>
            <w:top w:val="none" w:sz="0" w:space="0" w:color="auto"/>
            <w:left w:val="none" w:sz="0" w:space="0" w:color="auto"/>
            <w:bottom w:val="none" w:sz="0" w:space="0" w:color="auto"/>
            <w:right w:val="none" w:sz="0" w:space="0" w:color="auto"/>
          </w:divBdr>
          <w:divsChild>
            <w:div w:id="209539174">
              <w:marLeft w:val="0"/>
              <w:marRight w:val="0"/>
              <w:marTop w:val="0"/>
              <w:marBottom w:val="0"/>
              <w:divBdr>
                <w:top w:val="none" w:sz="0" w:space="0" w:color="auto"/>
                <w:left w:val="none" w:sz="0" w:space="0" w:color="auto"/>
                <w:bottom w:val="none" w:sz="0" w:space="0" w:color="auto"/>
                <w:right w:val="none" w:sz="0" w:space="0" w:color="auto"/>
              </w:divBdr>
              <w:divsChild>
                <w:div w:id="2100052440">
                  <w:marLeft w:val="0"/>
                  <w:marRight w:val="0"/>
                  <w:marTop w:val="0"/>
                  <w:marBottom w:val="0"/>
                  <w:divBdr>
                    <w:top w:val="none" w:sz="0" w:space="0" w:color="auto"/>
                    <w:left w:val="none" w:sz="0" w:space="0" w:color="auto"/>
                    <w:bottom w:val="none" w:sz="0" w:space="0" w:color="auto"/>
                    <w:right w:val="none" w:sz="0" w:space="0" w:color="auto"/>
                  </w:divBdr>
                  <w:divsChild>
                    <w:div w:id="1888955688">
                      <w:marLeft w:val="0"/>
                      <w:marRight w:val="0"/>
                      <w:marTop w:val="0"/>
                      <w:marBottom w:val="0"/>
                      <w:divBdr>
                        <w:top w:val="none" w:sz="0" w:space="0" w:color="auto"/>
                        <w:left w:val="none" w:sz="0" w:space="0" w:color="auto"/>
                        <w:bottom w:val="none" w:sz="0" w:space="0" w:color="auto"/>
                        <w:right w:val="none" w:sz="0" w:space="0" w:color="auto"/>
                      </w:divBdr>
                      <w:divsChild>
                        <w:div w:id="1882865645">
                          <w:marLeft w:val="0"/>
                          <w:marRight w:val="0"/>
                          <w:marTop w:val="0"/>
                          <w:marBottom w:val="0"/>
                          <w:divBdr>
                            <w:top w:val="none" w:sz="0" w:space="0" w:color="auto"/>
                            <w:left w:val="none" w:sz="0" w:space="0" w:color="auto"/>
                            <w:bottom w:val="none" w:sz="0" w:space="0" w:color="auto"/>
                            <w:right w:val="none" w:sz="0" w:space="0" w:color="auto"/>
                          </w:divBdr>
                          <w:divsChild>
                            <w:div w:id="1257204249">
                              <w:marLeft w:val="0"/>
                              <w:marRight w:val="0"/>
                              <w:marTop w:val="0"/>
                              <w:marBottom w:val="0"/>
                              <w:divBdr>
                                <w:top w:val="none" w:sz="0" w:space="0" w:color="auto"/>
                                <w:left w:val="none" w:sz="0" w:space="0" w:color="auto"/>
                                <w:bottom w:val="none" w:sz="0" w:space="0" w:color="auto"/>
                                <w:right w:val="none" w:sz="0" w:space="0" w:color="auto"/>
                              </w:divBdr>
                              <w:divsChild>
                                <w:div w:id="988096917">
                                  <w:marLeft w:val="0"/>
                                  <w:marRight w:val="0"/>
                                  <w:marTop w:val="0"/>
                                  <w:marBottom w:val="0"/>
                                  <w:divBdr>
                                    <w:top w:val="none" w:sz="0" w:space="0" w:color="auto"/>
                                    <w:left w:val="none" w:sz="0" w:space="0" w:color="auto"/>
                                    <w:bottom w:val="none" w:sz="0" w:space="0" w:color="auto"/>
                                    <w:right w:val="none" w:sz="0" w:space="0" w:color="auto"/>
                                  </w:divBdr>
                                  <w:divsChild>
                                    <w:div w:id="201598570">
                                      <w:marLeft w:val="60"/>
                                      <w:marRight w:val="0"/>
                                      <w:marTop w:val="0"/>
                                      <w:marBottom w:val="0"/>
                                      <w:divBdr>
                                        <w:top w:val="none" w:sz="0" w:space="0" w:color="auto"/>
                                        <w:left w:val="none" w:sz="0" w:space="0" w:color="auto"/>
                                        <w:bottom w:val="none" w:sz="0" w:space="0" w:color="auto"/>
                                        <w:right w:val="none" w:sz="0" w:space="0" w:color="auto"/>
                                      </w:divBdr>
                                      <w:divsChild>
                                        <w:div w:id="2034258550">
                                          <w:marLeft w:val="0"/>
                                          <w:marRight w:val="0"/>
                                          <w:marTop w:val="0"/>
                                          <w:marBottom w:val="0"/>
                                          <w:divBdr>
                                            <w:top w:val="none" w:sz="0" w:space="0" w:color="auto"/>
                                            <w:left w:val="none" w:sz="0" w:space="0" w:color="auto"/>
                                            <w:bottom w:val="none" w:sz="0" w:space="0" w:color="auto"/>
                                            <w:right w:val="none" w:sz="0" w:space="0" w:color="auto"/>
                                          </w:divBdr>
                                          <w:divsChild>
                                            <w:div w:id="2049836436">
                                              <w:marLeft w:val="0"/>
                                              <w:marRight w:val="0"/>
                                              <w:marTop w:val="0"/>
                                              <w:marBottom w:val="120"/>
                                              <w:divBdr>
                                                <w:top w:val="single" w:sz="6" w:space="0" w:color="F5F5F5"/>
                                                <w:left w:val="single" w:sz="6" w:space="0" w:color="F5F5F5"/>
                                                <w:bottom w:val="single" w:sz="6" w:space="0" w:color="F5F5F5"/>
                                                <w:right w:val="single" w:sz="6" w:space="0" w:color="F5F5F5"/>
                                              </w:divBdr>
                                              <w:divsChild>
                                                <w:div w:id="1395737774">
                                                  <w:marLeft w:val="0"/>
                                                  <w:marRight w:val="0"/>
                                                  <w:marTop w:val="0"/>
                                                  <w:marBottom w:val="0"/>
                                                  <w:divBdr>
                                                    <w:top w:val="none" w:sz="0" w:space="0" w:color="auto"/>
                                                    <w:left w:val="none" w:sz="0" w:space="0" w:color="auto"/>
                                                    <w:bottom w:val="none" w:sz="0" w:space="0" w:color="auto"/>
                                                    <w:right w:val="none" w:sz="0" w:space="0" w:color="auto"/>
                                                  </w:divBdr>
                                                  <w:divsChild>
                                                    <w:div w:id="1654219565">
                                                      <w:marLeft w:val="0"/>
                                                      <w:marRight w:val="0"/>
                                                      <w:marTop w:val="0"/>
                                                      <w:marBottom w:val="0"/>
                                                      <w:divBdr>
                                                        <w:top w:val="none" w:sz="0" w:space="0" w:color="auto"/>
                                                        <w:left w:val="none" w:sz="0" w:space="0" w:color="auto"/>
                                                        <w:bottom w:val="none" w:sz="0" w:space="0" w:color="auto"/>
                                                        <w:right w:val="none" w:sz="0" w:space="0" w:color="auto"/>
                                                      </w:divBdr>
                                                    </w:div>
                                                  </w:divsChild>
                                                </w:div>
                                                <w:div w:id="1391995056">
                                                  <w:marLeft w:val="0"/>
                                                  <w:marRight w:val="0"/>
                                                  <w:marTop w:val="0"/>
                                                  <w:marBottom w:val="0"/>
                                                  <w:divBdr>
                                                    <w:top w:val="none" w:sz="0" w:space="0" w:color="auto"/>
                                                    <w:left w:val="none" w:sz="0" w:space="0" w:color="auto"/>
                                                    <w:bottom w:val="none" w:sz="0" w:space="0" w:color="auto"/>
                                                    <w:right w:val="none" w:sz="0" w:space="0" w:color="auto"/>
                                                  </w:divBdr>
                                                  <w:divsChild>
                                                    <w:div w:id="608392857">
                                                      <w:marLeft w:val="0"/>
                                                      <w:marRight w:val="0"/>
                                                      <w:marTop w:val="0"/>
                                                      <w:marBottom w:val="0"/>
                                                      <w:divBdr>
                                                        <w:top w:val="none" w:sz="0" w:space="0" w:color="auto"/>
                                                        <w:left w:val="none" w:sz="0" w:space="0" w:color="auto"/>
                                                        <w:bottom w:val="none" w:sz="0" w:space="0" w:color="auto"/>
                                                        <w:right w:val="none" w:sz="0" w:space="0" w:color="auto"/>
                                                      </w:divBdr>
                                                      <w:divsChild>
                                                        <w:div w:id="195377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69574154">
      <w:bodyDiv w:val="1"/>
      <w:marLeft w:val="0"/>
      <w:marRight w:val="0"/>
      <w:marTop w:val="0"/>
      <w:marBottom w:val="0"/>
      <w:divBdr>
        <w:top w:val="none" w:sz="0" w:space="0" w:color="auto"/>
        <w:left w:val="none" w:sz="0" w:space="0" w:color="auto"/>
        <w:bottom w:val="none" w:sz="0" w:space="0" w:color="auto"/>
        <w:right w:val="none" w:sz="0" w:space="0" w:color="auto"/>
      </w:divBdr>
    </w:div>
    <w:div w:id="1078210623">
      <w:bodyDiv w:val="1"/>
      <w:marLeft w:val="0"/>
      <w:marRight w:val="0"/>
      <w:marTop w:val="0"/>
      <w:marBottom w:val="0"/>
      <w:divBdr>
        <w:top w:val="none" w:sz="0" w:space="0" w:color="auto"/>
        <w:left w:val="none" w:sz="0" w:space="0" w:color="auto"/>
        <w:bottom w:val="none" w:sz="0" w:space="0" w:color="auto"/>
        <w:right w:val="none" w:sz="0" w:space="0" w:color="auto"/>
      </w:divBdr>
    </w:div>
    <w:div w:id="1122385273">
      <w:bodyDiv w:val="1"/>
      <w:marLeft w:val="0"/>
      <w:marRight w:val="0"/>
      <w:marTop w:val="0"/>
      <w:marBottom w:val="0"/>
      <w:divBdr>
        <w:top w:val="none" w:sz="0" w:space="0" w:color="auto"/>
        <w:left w:val="none" w:sz="0" w:space="0" w:color="auto"/>
        <w:bottom w:val="none" w:sz="0" w:space="0" w:color="auto"/>
        <w:right w:val="none" w:sz="0" w:space="0" w:color="auto"/>
      </w:divBdr>
    </w:div>
    <w:div w:id="1124807953">
      <w:bodyDiv w:val="1"/>
      <w:marLeft w:val="0"/>
      <w:marRight w:val="0"/>
      <w:marTop w:val="0"/>
      <w:marBottom w:val="0"/>
      <w:divBdr>
        <w:top w:val="none" w:sz="0" w:space="0" w:color="auto"/>
        <w:left w:val="none" w:sz="0" w:space="0" w:color="auto"/>
        <w:bottom w:val="none" w:sz="0" w:space="0" w:color="auto"/>
        <w:right w:val="none" w:sz="0" w:space="0" w:color="auto"/>
      </w:divBdr>
    </w:div>
    <w:div w:id="1140028964">
      <w:bodyDiv w:val="1"/>
      <w:marLeft w:val="0"/>
      <w:marRight w:val="0"/>
      <w:marTop w:val="0"/>
      <w:marBottom w:val="0"/>
      <w:divBdr>
        <w:top w:val="none" w:sz="0" w:space="0" w:color="auto"/>
        <w:left w:val="none" w:sz="0" w:space="0" w:color="auto"/>
        <w:bottom w:val="none" w:sz="0" w:space="0" w:color="auto"/>
        <w:right w:val="none" w:sz="0" w:space="0" w:color="auto"/>
      </w:divBdr>
    </w:div>
    <w:div w:id="1140611027">
      <w:bodyDiv w:val="1"/>
      <w:marLeft w:val="0"/>
      <w:marRight w:val="0"/>
      <w:marTop w:val="0"/>
      <w:marBottom w:val="0"/>
      <w:divBdr>
        <w:top w:val="none" w:sz="0" w:space="0" w:color="auto"/>
        <w:left w:val="none" w:sz="0" w:space="0" w:color="auto"/>
        <w:bottom w:val="none" w:sz="0" w:space="0" w:color="auto"/>
        <w:right w:val="none" w:sz="0" w:space="0" w:color="auto"/>
      </w:divBdr>
    </w:div>
    <w:div w:id="1175027676">
      <w:bodyDiv w:val="1"/>
      <w:marLeft w:val="0"/>
      <w:marRight w:val="0"/>
      <w:marTop w:val="0"/>
      <w:marBottom w:val="0"/>
      <w:divBdr>
        <w:top w:val="none" w:sz="0" w:space="0" w:color="auto"/>
        <w:left w:val="none" w:sz="0" w:space="0" w:color="auto"/>
        <w:bottom w:val="none" w:sz="0" w:space="0" w:color="auto"/>
        <w:right w:val="none" w:sz="0" w:space="0" w:color="auto"/>
      </w:divBdr>
    </w:div>
    <w:div w:id="1200314675">
      <w:bodyDiv w:val="1"/>
      <w:marLeft w:val="0"/>
      <w:marRight w:val="0"/>
      <w:marTop w:val="0"/>
      <w:marBottom w:val="0"/>
      <w:divBdr>
        <w:top w:val="none" w:sz="0" w:space="0" w:color="auto"/>
        <w:left w:val="none" w:sz="0" w:space="0" w:color="auto"/>
        <w:bottom w:val="none" w:sz="0" w:space="0" w:color="auto"/>
        <w:right w:val="none" w:sz="0" w:space="0" w:color="auto"/>
      </w:divBdr>
    </w:div>
    <w:div w:id="1227961309">
      <w:bodyDiv w:val="1"/>
      <w:marLeft w:val="0"/>
      <w:marRight w:val="0"/>
      <w:marTop w:val="0"/>
      <w:marBottom w:val="0"/>
      <w:divBdr>
        <w:top w:val="none" w:sz="0" w:space="0" w:color="auto"/>
        <w:left w:val="none" w:sz="0" w:space="0" w:color="auto"/>
        <w:bottom w:val="none" w:sz="0" w:space="0" w:color="auto"/>
        <w:right w:val="none" w:sz="0" w:space="0" w:color="auto"/>
      </w:divBdr>
    </w:div>
    <w:div w:id="1333873822">
      <w:bodyDiv w:val="1"/>
      <w:marLeft w:val="0"/>
      <w:marRight w:val="0"/>
      <w:marTop w:val="0"/>
      <w:marBottom w:val="0"/>
      <w:divBdr>
        <w:top w:val="none" w:sz="0" w:space="0" w:color="auto"/>
        <w:left w:val="none" w:sz="0" w:space="0" w:color="auto"/>
        <w:bottom w:val="none" w:sz="0" w:space="0" w:color="auto"/>
        <w:right w:val="none" w:sz="0" w:space="0" w:color="auto"/>
      </w:divBdr>
    </w:div>
    <w:div w:id="1381630231">
      <w:bodyDiv w:val="1"/>
      <w:marLeft w:val="0"/>
      <w:marRight w:val="0"/>
      <w:marTop w:val="0"/>
      <w:marBottom w:val="0"/>
      <w:divBdr>
        <w:top w:val="none" w:sz="0" w:space="0" w:color="auto"/>
        <w:left w:val="none" w:sz="0" w:space="0" w:color="auto"/>
        <w:bottom w:val="none" w:sz="0" w:space="0" w:color="auto"/>
        <w:right w:val="none" w:sz="0" w:space="0" w:color="auto"/>
      </w:divBdr>
    </w:div>
    <w:div w:id="1507600248">
      <w:bodyDiv w:val="1"/>
      <w:marLeft w:val="0"/>
      <w:marRight w:val="0"/>
      <w:marTop w:val="0"/>
      <w:marBottom w:val="0"/>
      <w:divBdr>
        <w:top w:val="none" w:sz="0" w:space="0" w:color="auto"/>
        <w:left w:val="none" w:sz="0" w:space="0" w:color="auto"/>
        <w:bottom w:val="none" w:sz="0" w:space="0" w:color="auto"/>
        <w:right w:val="none" w:sz="0" w:space="0" w:color="auto"/>
      </w:divBdr>
    </w:div>
    <w:div w:id="1526748802">
      <w:bodyDiv w:val="1"/>
      <w:marLeft w:val="0"/>
      <w:marRight w:val="0"/>
      <w:marTop w:val="0"/>
      <w:marBottom w:val="0"/>
      <w:divBdr>
        <w:top w:val="none" w:sz="0" w:space="0" w:color="auto"/>
        <w:left w:val="none" w:sz="0" w:space="0" w:color="auto"/>
        <w:bottom w:val="none" w:sz="0" w:space="0" w:color="auto"/>
        <w:right w:val="none" w:sz="0" w:space="0" w:color="auto"/>
      </w:divBdr>
    </w:div>
    <w:div w:id="1539009178">
      <w:bodyDiv w:val="1"/>
      <w:marLeft w:val="0"/>
      <w:marRight w:val="0"/>
      <w:marTop w:val="0"/>
      <w:marBottom w:val="0"/>
      <w:divBdr>
        <w:top w:val="none" w:sz="0" w:space="0" w:color="auto"/>
        <w:left w:val="none" w:sz="0" w:space="0" w:color="auto"/>
        <w:bottom w:val="none" w:sz="0" w:space="0" w:color="auto"/>
        <w:right w:val="none" w:sz="0" w:space="0" w:color="auto"/>
      </w:divBdr>
    </w:div>
    <w:div w:id="1577587362">
      <w:bodyDiv w:val="1"/>
      <w:marLeft w:val="0"/>
      <w:marRight w:val="0"/>
      <w:marTop w:val="0"/>
      <w:marBottom w:val="0"/>
      <w:divBdr>
        <w:top w:val="none" w:sz="0" w:space="0" w:color="auto"/>
        <w:left w:val="none" w:sz="0" w:space="0" w:color="auto"/>
        <w:bottom w:val="none" w:sz="0" w:space="0" w:color="auto"/>
        <w:right w:val="none" w:sz="0" w:space="0" w:color="auto"/>
      </w:divBdr>
    </w:div>
    <w:div w:id="1653754284">
      <w:bodyDiv w:val="1"/>
      <w:marLeft w:val="0"/>
      <w:marRight w:val="0"/>
      <w:marTop w:val="0"/>
      <w:marBottom w:val="0"/>
      <w:divBdr>
        <w:top w:val="none" w:sz="0" w:space="0" w:color="auto"/>
        <w:left w:val="none" w:sz="0" w:space="0" w:color="auto"/>
        <w:bottom w:val="none" w:sz="0" w:space="0" w:color="auto"/>
        <w:right w:val="none" w:sz="0" w:space="0" w:color="auto"/>
      </w:divBdr>
    </w:div>
    <w:div w:id="1701204022">
      <w:bodyDiv w:val="1"/>
      <w:marLeft w:val="0"/>
      <w:marRight w:val="0"/>
      <w:marTop w:val="0"/>
      <w:marBottom w:val="0"/>
      <w:divBdr>
        <w:top w:val="none" w:sz="0" w:space="0" w:color="auto"/>
        <w:left w:val="none" w:sz="0" w:space="0" w:color="auto"/>
        <w:bottom w:val="none" w:sz="0" w:space="0" w:color="auto"/>
        <w:right w:val="none" w:sz="0" w:space="0" w:color="auto"/>
      </w:divBdr>
    </w:div>
    <w:div w:id="1736901080">
      <w:bodyDiv w:val="1"/>
      <w:marLeft w:val="0"/>
      <w:marRight w:val="0"/>
      <w:marTop w:val="0"/>
      <w:marBottom w:val="0"/>
      <w:divBdr>
        <w:top w:val="none" w:sz="0" w:space="0" w:color="auto"/>
        <w:left w:val="none" w:sz="0" w:space="0" w:color="auto"/>
        <w:bottom w:val="none" w:sz="0" w:space="0" w:color="auto"/>
        <w:right w:val="none" w:sz="0" w:space="0" w:color="auto"/>
      </w:divBdr>
    </w:div>
    <w:div w:id="1776368173">
      <w:bodyDiv w:val="1"/>
      <w:marLeft w:val="0"/>
      <w:marRight w:val="0"/>
      <w:marTop w:val="0"/>
      <w:marBottom w:val="0"/>
      <w:divBdr>
        <w:top w:val="none" w:sz="0" w:space="0" w:color="auto"/>
        <w:left w:val="none" w:sz="0" w:space="0" w:color="auto"/>
        <w:bottom w:val="none" w:sz="0" w:space="0" w:color="auto"/>
        <w:right w:val="none" w:sz="0" w:space="0" w:color="auto"/>
      </w:divBdr>
    </w:div>
    <w:div w:id="1834761450">
      <w:bodyDiv w:val="1"/>
      <w:marLeft w:val="0"/>
      <w:marRight w:val="0"/>
      <w:marTop w:val="0"/>
      <w:marBottom w:val="0"/>
      <w:divBdr>
        <w:top w:val="none" w:sz="0" w:space="0" w:color="auto"/>
        <w:left w:val="none" w:sz="0" w:space="0" w:color="auto"/>
        <w:bottom w:val="none" w:sz="0" w:space="0" w:color="auto"/>
        <w:right w:val="none" w:sz="0" w:space="0" w:color="auto"/>
      </w:divBdr>
    </w:div>
    <w:div w:id="1865628329">
      <w:bodyDiv w:val="1"/>
      <w:marLeft w:val="0"/>
      <w:marRight w:val="0"/>
      <w:marTop w:val="0"/>
      <w:marBottom w:val="0"/>
      <w:divBdr>
        <w:top w:val="none" w:sz="0" w:space="0" w:color="auto"/>
        <w:left w:val="none" w:sz="0" w:space="0" w:color="auto"/>
        <w:bottom w:val="none" w:sz="0" w:space="0" w:color="auto"/>
        <w:right w:val="none" w:sz="0" w:space="0" w:color="auto"/>
      </w:divBdr>
    </w:div>
    <w:div w:id="1936549827">
      <w:bodyDiv w:val="1"/>
      <w:marLeft w:val="0"/>
      <w:marRight w:val="0"/>
      <w:marTop w:val="0"/>
      <w:marBottom w:val="0"/>
      <w:divBdr>
        <w:top w:val="none" w:sz="0" w:space="0" w:color="auto"/>
        <w:left w:val="none" w:sz="0" w:space="0" w:color="auto"/>
        <w:bottom w:val="none" w:sz="0" w:space="0" w:color="auto"/>
        <w:right w:val="none" w:sz="0" w:space="0" w:color="auto"/>
      </w:divBdr>
    </w:div>
    <w:div w:id="1946184765">
      <w:bodyDiv w:val="1"/>
      <w:marLeft w:val="0"/>
      <w:marRight w:val="0"/>
      <w:marTop w:val="0"/>
      <w:marBottom w:val="0"/>
      <w:divBdr>
        <w:top w:val="none" w:sz="0" w:space="0" w:color="auto"/>
        <w:left w:val="none" w:sz="0" w:space="0" w:color="auto"/>
        <w:bottom w:val="none" w:sz="0" w:space="0" w:color="auto"/>
        <w:right w:val="none" w:sz="0" w:space="0" w:color="auto"/>
      </w:divBdr>
    </w:div>
    <w:div w:id="1963228654">
      <w:bodyDiv w:val="1"/>
      <w:marLeft w:val="0"/>
      <w:marRight w:val="0"/>
      <w:marTop w:val="0"/>
      <w:marBottom w:val="0"/>
      <w:divBdr>
        <w:top w:val="none" w:sz="0" w:space="0" w:color="auto"/>
        <w:left w:val="none" w:sz="0" w:space="0" w:color="auto"/>
        <w:bottom w:val="none" w:sz="0" w:space="0" w:color="auto"/>
        <w:right w:val="none" w:sz="0" w:space="0" w:color="auto"/>
      </w:divBdr>
    </w:div>
    <w:div w:id="2020545475">
      <w:bodyDiv w:val="1"/>
      <w:marLeft w:val="0"/>
      <w:marRight w:val="0"/>
      <w:marTop w:val="0"/>
      <w:marBottom w:val="0"/>
      <w:divBdr>
        <w:top w:val="none" w:sz="0" w:space="0" w:color="auto"/>
        <w:left w:val="none" w:sz="0" w:space="0" w:color="auto"/>
        <w:bottom w:val="none" w:sz="0" w:space="0" w:color="auto"/>
        <w:right w:val="none" w:sz="0" w:space="0" w:color="auto"/>
      </w:divBdr>
    </w:div>
    <w:div w:id="2046328398">
      <w:bodyDiv w:val="1"/>
      <w:marLeft w:val="0"/>
      <w:marRight w:val="0"/>
      <w:marTop w:val="0"/>
      <w:marBottom w:val="0"/>
      <w:divBdr>
        <w:top w:val="none" w:sz="0" w:space="0" w:color="auto"/>
        <w:left w:val="none" w:sz="0" w:space="0" w:color="auto"/>
        <w:bottom w:val="none" w:sz="0" w:space="0" w:color="auto"/>
        <w:right w:val="none" w:sz="0" w:space="0" w:color="auto"/>
      </w:divBdr>
    </w:div>
    <w:div w:id="2049180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117" Type="http://schemas.openxmlformats.org/officeDocument/2006/relationships/image" Target="media/image29.png"/><Relationship Id="rId21" Type="http://schemas.openxmlformats.org/officeDocument/2006/relationships/image" Target="media/image2.png"/><Relationship Id="rId42" Type="http://schemas.openxmlformats.org/officeDocument/2006/relationships/image" Target="media/image5.png"/><Relationship Id="rId47" Type="http://schemas.openxmlformats.org/officeDocument/2006/relationships/hyperlink" Target="http://www.imf.org/external/pubs/ft/wp/2003/wp03249.pdf" TargetMode="External"/><Relationship Id="rId63" Type="http://schemas.openxmlformats.org/officeDocument/2006/relationships/hyperlink" Target="http://www.imf.org/external/pubs/ft/wp/2010/wp10174.pdf" TargetMode="External"/><Relationship Id="rId68" Type="http://schemas.openxmlformats.org/officeDocument/2006/relationships/hyperlink" Target="http://www3.lrs.lt/pls/inter3/dokpaieska.showdoc_l?p_id=440679" TargetMode="External"/><Relationship Id="rId84" Type="http://schemas.openxmlformats.org/officeDocument/2006/relationships/hyperlink" Target="http://epp.eurostat.ec.europa.eu/tgm/table.do?tab=table&amp;language=en&amp;pcode=tps00001&amp;tableSelection=1&amp;footnotes=yes&amp;labeling=labels&amp;plugin=1" TargetMode="External"/><Relationship Id="rId89" Type="http://schemas.openxmlformats.org/officeDocument/2006/relationships/package" Target="embeddings/Microsoft_Office_Word_Document1.docx"/><Relationship Id="rId112" Type="http://schemas.openxmlformats.org/officeDocument/2006/relationships/image" Target="media/image24.png"/><Relationship Id="rId133" Type="http://schemas.openxmlformats.org/officeDocument/2006/relationships/image" Target="media/image45.png"/><Relationship Id="rId16" Type="http://schemas.openxmlformats.org/officeDocument/2006/relationships/diagramColors" Target="diagrams/colors2.xml"/><Relationship Id="rId107" Type="http://schemas.openxmlformats.org/officeDocument/2006/relationships/image" Target="media/image19.png"/><Relationship Id="rId11" Type="http://schemas.openxmlformats.org/officeDocument/2006/relationships/diagramColors" Target="diagrams/colors1.xml"/><Relationship Id="rId32" Type="http://schemas.openxmlformats.org/officeDocument/2006/relationships/hyperlink" Target="http://lt.wikipedia.org/wiki/Fitch" TargetMode="External"/><Relationship Id="rId37" Type="http://schemas.openxmlformats.org/officeDocument/2006/relationships/chart" Target="charts/chart11.xml"/><Relationship Id="rId53" Type="http://schemas.openxmlformats.org/officeDocument/2006/relationships/hyperlink" Target="http://appsso.eurostat.ec.europa.eu/nui/show.do?dataset=gov_dd_ggd&amp;lang=en" TargetMode="External"/><Relationship Id="rId58" Type="http://schemas.openxmlformats.org/officeDocument/2006/relationships/hyperlink" Target="https://www.imf.org/external/np/mae/pdebt/2000/eng/index.htm" TargetMode="External"/><Relationship Id="rId74" Type="http://schemas.openxmlformats.org/officeDocument/2006/relationships/hyperlink" Target="http://etalpykla.lituanistikadb.lt/fedora/objects/LT-LDB-0001:J.04~2005~1367151300204/datastreams/DS.002.0.01.ARTIC/content" TargetMode="External"/><Relationship Id="rId79" Type="http://schemas.openxmlformats.org/officeDocument/2006/relationships/hyperlink" Target="http://www.fin.ee/budgeting" TargetMode="External"/><Relationship Id="rId102" Type="http://schemas.openxmlformats.org/officeDocument/2006/relationships/image" Target="media/image14.png"/><Relationship Id="rId123" Type="http://schemas.openxmlformats.org/officeDocument/2006/relationships/image" Target="media/image35.png"/><Relationship Id="rId128" Type="http://schemas.openxmlformats.org/officeDocument/2006/relationships/image" Target="media/image40.png"/><Relationship Id="rId5" Type="http://schemas.openxmlformats.org/officeDocument/2006/relationships/webSettings" Target="webSettings.xml"/><Relationship Id="rId90" Type="http://schemas.openxmlformats.org/officeDocument/2006/relationships/image" Target="media/image8.emf"/><Relationship Id="rId95" Type="http://schemas.openxmlformats.org/officeDocument/2006/relationships/footer" Target="footer2.xml"/><Relationship Id="rId14" Type="http://schemas.openxmlformats.org/officeDocument/2006/relationships/diagramLayout" Target="diagrams/layout2.xm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hyperlink" Target="http://lt.wikipedia.org/wiki/Moody%27s" TargetMode="External"/><Relationship Id="rId35" Type="http://schemas.openxmlformats.org/officeDocument/2006/relationships/chart" Target="charts/chart9.xml"/><Relationship Id="rId43" Type="http://schemas.openxmlformats.org/officeDocument/2006/relationships/image" Target="media/image6.png"/><Relationship Id="rId48" Type="http://schemas.openxmlformats.org/officeDocument/2006/relationships/hyperlink" Target="http://www.lrytas.lt/verslas/rinkos-pulsas/standard-poor-s-pagerino-lietuvos-skolinimosi-reitingo-perspektyva.htm" TargetMode="External"/><Relationship Id="rId56" Type="http://schemas.openxmlformats.org/officeDocument/2006/relationships/hyperlink" Target="http://appsso.eurostat.ec.europa.eu/nui/show.do?dataset=gov_dd_slgd&amp;lang=en" TargetMode="External"/><Relationship Id="rId64" Type="http://schemas.openxmlformats.org/officeDocument/2006/relationships/hyperlink" Target="http://www.fm.gov.lv/files/tausaimnieciba/Apskats_ENG_septembris_2013.pdf" TargetMode="External"/><Relationship Id="rId69" Type="http://schemas.openxmlformats.org/officeDocument/2006/relationships/hyperlink" Target="http://www.finmin.lt/c/portal/layout?p_l_id=PUB.1.69" TargetMode="External"/><Relationship Id="rId77" Type="http://schemas.openxmlformats.org/officeDocument/2006/relationships/hyperlink" Target="http://www.delfi.lt/verslas/verslas/estija-ir-baltarusija-pasirinktas-kelias.d?id=59758815" TargetMode="External"/><Relationship Id="rId100" Type="http://schemas.openxmlformats.org/officeDocument/2006/relationships/image" Target="media/image12.png"/><Relationship Id="rId105" Type="http://schemas.openxmlformats.org/officeDocument/2006/relationships/image" Target="media/image17.png"/><Relationship Id="rId113" Type="http://schemas.openxmlformats.org/officeDocument/2006/relationships/image" Target="media/image25.png"/><Relationship Id="rId118" Type="http://schemas.openxmlformats.org/officeDocument/2006/relationships/image" Target="media/image30.png"/><Relationship Id="rId126" Type="http://schemas.openxmlformats.org/officeDocument/2006/relationships/image" Target="media/image38.png"/><Relationship Id="rId134" Type="http://schemas.openxmlformats.org/officeDocument/2006/relationships/fontTable" Target="fontTable.xml"/><Relationship Id="rId8" Type="http://schemas.openxmlformats.org/officeDocument/2006/relationships/diagramData" Target="diagrams/data1.xml"/><Relationship Id="rId51" Type="http://schemas.openxmlformats.org/officeDocument/2006/relationships/hyperlink" Target="http://www.kase.gov.lv/texts_files/FITCH%2009.07.2013.pdf" TargetMode="External"/><Relationship Id="rId72" Type="http://schemas.openxmlformats.org/officeDocument/2006/relationships/hyperlink" Target="http://www.unescap.org/pdd/publications/Debt_manual/Manual_debt.pdf" TargetMode="External"/><Relationship Id="rId80" Type="http://schemas.openxmlformats.org/officeDocument/2006/relationships/hyperlink" Target="http://www.fin.ee/budgeting" TargetMode="External"/><Relationship Id="rId85" Type="http://schemas.openxmlformats.org/officeDocument/2006/relationships/hyperlink" Target="http://www.ecb.int/pub/pdf/scpops/ecbocp25.pdf" TargetMode="External"/><Relationship Id="rId93" Type="http://schemas.openxmlformats.org/officeDocument/2006/relationships/header" Target="header1.xml"/><Relationship Id="rId98" Type="http://schemas.openxmlformats.org/officeDocument/2006/relationships/image" Target="media/image10.png"/><Relationship Id="rId121" Type="http://schemas.openxmlformats.org/officeDocument/2006/relationships/image" Target="media/image33.png"/><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chart" Target="charts/chart4.xml"/><Relationship Id="rId33" Type="http://schemas.openxmlformats.org/officeDocument/2006/relationships/hyperlink" Target="http://lt.wikipedia.org/wiki/Standartas" TargetMode="External"/><Relationship Id="rId38" Type="http://schemas.openxmlformats.org/officeDocument/2006/relationships/chart" Target="charts/chart12.xml"/><Relationship Id="rId46" Type="http://schemas.openxmlformats.org/officeDocument/2006/relationships/hyperlink" Target="http://www.ecb.int/pub/pdf/scpwps/ecbwp1237.pdf" TargetMode="External"/><Relationship Id="rId59" Type="http://schemas.openxmlformats.org/officeDocument/2006/relationships/hyperlink" Target="http://appsso.eurostat.ec.europa.eu/nui/submitViewTableAction.do" TargetMode="External"/><Relationship Id="rId67" Type="http://schemas.openxmlformats.org/officeDocument/2006/relationships/hyperlink" Target="http://lb.lt/makroekonomines_prognozes" TargetMode="External"/><Relationship Id="rId103" Type="http://schemas.openxmlformats.org/officeDocument/2006/relationships/image" Target="media/image15.png"/><Relationship Id="rId108" Type="http://schemas.openxmlformats.org/officeDocument/2006/relationships/image" Target="media/image20.png"/><Relationship Id="rId116" Type="http://schemas.openxmlformats.org/officeDocument/2006/relationships/image" Target="media/image28.png"/><Relationship Id="rId124" Type="http://schemas.openxmlformats.org/officeDocument/2006/relationships/image" Target="media/image36.png"/><Relationship Id="rId129" Type="http://schemas.openxmlformats.org/officeDocument/2006/relationships/image" Target="media/image41.png"/><Relationship Id="rId20" Type="http://schemas.openxmlformats.org/officeDocument/2006/relationships/oleObject" Target="embeddings/oleObject1.bin"/><Relationship Id="rId41" Type="http://schemas.openxmlformats.org/officeDocument/2006/relationships/image" Target="media/image4.png"/><Relationship Id="rId54" Type="http://schemas.openxmlformats.org/officeDocument/2006/relationships/hyperlink" Target="http://appsso.eurostat.ec.europa.eu/nui/show.do?dataset=gov_dd_ggd&amp;lang=en" TargetMode="External"/><Relationship Id="rId62" Type="http://schemas.openxmlformats.org/officeDocument/2006/relationships/hyperlink" Target="http://www.scritube.com/limba/lituaniana/EKONOMETRIJA-Paskait-konspekta921019172.php" TargetMode="External"/><Relationship Id="rId70" Type="http://schemas.openxmlformats.org/officeDocument/2006/relationships/hyperlink" Target="http://www.finmin.lt/finmin.lt/failai/leidiniai/failai/FM_Skolos_leidinys_2010.pdf" TargetMode="External"/><Relationship Id="rId75" Type="http://schemas.openxmlformats.org/officeDocument/2006/relationships/hyperlink" Target="http://info.smf.ktu.lt/Edukin/zurnalas/archive/pdf/2000%205%20(26)/4%20Navickas,Stuopyte.pdf" TargetMode="External"/><Relationship Id="rId83" Type="http://schemas.openxmlformats.org/officeDocument/2006/relationships/hyperlink" Target="http://treasury.worldbank.org/bdm/pdf/3_CoordinatingPDMwithFiscalandMonetaryPolicies_Togo.pdf" TargetMode="External"/><Relationship Id="rId88" Type="http://schemas.openxmlformats.org/officeDocument/2006/relationships/image" Target="media/image7.emf"/><Relationship Id="rId91" Type="http://schemas.openxmlformats.org/officeDocument/2006/relationships/package" Target="embeddings/Microsoft_Office_Word_Document2.docx"/><Relationship Id="rId96" Type="http://schemas.openxmlformats.org/officeDocument/2006/relationships/header" Target="header2.xml"/><Relationship Id="rId111" Type="http://schemas.openxmlformats.org/officeDocument/2006/relationships/image" Target="media/image23.png"/><Relationship Id="rId132"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10.xml"/><Relationship Id="rId49" Type="http://schemas.openxmlformats.org/officeDocument/2006/relationships/hyperlink" Target="http://www.eestipank.ee/en/publication/estonian-economy-and-monetary-policy/2011/estonian-economy-and-monetary-policy-22011" TargetMode="External"/><Relationship Id="rId57" Type="http://schemas.openxmlformats.org/officeDocument/2006/relationships/hyperlink" Target="http://appsso.eurostat.ec.europa.eu/nui/show.do?dataset=gov_dd_ssfd&amp;lang=en" TargetMode="External"/><Relationship Id="rId106" Type="http://schemas.openxmlformats.org/officeDocument/2006/relationships/image" Target="media/image18.png"/><Relationship Id="rId114" Type="http://schemas.openxmlformats.org/officeDocument/2006/relationships/image" Target="media/image26.png"/><Relationship Id="rId119" Type="http://schemas.openxmlformats.org/officeDocument/2006/relationships/image" Target="media/image31.png"/><Relationship Id="rId127" Type="http://schemas.openxmlformats.org/officeDocument/2006/relationships/image" Target="media/image39.png"/><Relationship Id="rId10" Type="http://schemas.openxmlformats.org/officeDocument/2006/relationships/diagramQuickStyle" Target="diagrams/quickStyle1.xml"/><Relationship Id="rId31" Type="http://schemas.openxmlformats.org/officeDocument/2006/relationships/hyperlink" Target="http://lt.wikipedia.org/wiki/Standard_%26_Poor%27s" TargetMode="External"/><Relationship Id="rId44" Type="http://schemas.openxmlformats.org/officeDocument/2006/relationships/chart" Target="charts/chart15.xml"/><Relationship Id="rId52" Type="http://schemas.openxmlformats.org/officeDocument/2006/relationships/hyperlink" Target="http://epp.eurostat.ec.europa.eu/tgm/table.do?tab=table&amp;init=1&amp;language=en&amp;pcode=teina225&amp;plugin=0" TargetMode="External"/><Relationship Id="rId60" Type="http://schemas.openxmlformats.org/officeDocument/2006/relationships/hyperlink" Target="http://www.ktu.lt/lt/mokslas/zurnalai/ekovad/14/1822-6515-2009-271.pdf" TargetMode="External"/><Relationship Id="rId65" Type="http://schemas.openxmlformats.org/officeDocument/2006/relationships/hyperlink" Target="http://www.balsas.lt/naujiena/553685/valstybiu-bankrotas-kas-po-to/3" TargetMode="External"/><Relationship Id="rId73" Type="http://schemas.openxmlformats.org/officeDocument/2006/relationships/hyperlink" Target="http://www.sfu.ca/~fmartin/Documents/debt.pdf" TargetMode="External"/><Relationship Id="rId78" Type="http://schemas.openxmlformats.org/officeDocument/2006/relationships/hyperlink" Target="http://www.ycsg.yale.edu/center/forms/growth-debt.pdf" TargetMode="External"/><Relationship Id="rId81" Type="http://schemas.openxmlformats.org/officeDocument/2006/relationships/hyperlink" Target="http://www.kase.gov.lv/uploaded_files/Parskati/VK_2012.pdf" TargetMode="External"/><Relationship Id="rId86" Type="http://schemas.openxmlformats.org/officeDocument/2006/relationships/hyperlink" Target="http://vz.lt/article/2013/4/5/fitch-pagerino-lietuvos-skolinimosi-reitingus" TargetMode="External"/><Relationship Id="rId94" Type="http://schemas.openxmlformats.org/officeDocument/2006/relationships/footer" Target="footer1.xml"/><Relationship Id="rId99" Type="http://schemas.openxmlformats.org/officeDocument/2006/relationships/image" Target="media/image11.png"/><Relationship Id="rId101" Type="http://schemas.openxmlformats.org/officeDocument/2006/relationships/image" Target="media/image13.png"/><Relationship Id="rId122" Type="http://schemas.openxmlformats.org/officeDocument/2006/relationships/image" Target="media/image34.png"/><Relationship Id="rId130" Type="http://schemas.openxmlformats.org/officeDocument/2006/relationships/image" Target="media/image42.png"/><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hyperlink" Target="http://www.finmin.lt/web/finmin/vvp/duk" TargetMode="External"/><Relationship Id="rId39" Type="http://schemas.openxmlformats.org/officeDocument/2006/relationships/chart" Target="charts/chart13.xml"/><Relationship Id="rId109" Type="http://schemas.openxmlformats.org/officeDocument/2006/relationships/image" Target="media/image21.png"/><Relationship Id="rId34" Type="http://schemas.openxmlformats.org/officeDocument/2006/relationships/chart" Target="charts/chart8.xml"/><Relationship Id="rId50" Type="http://schemas.openxmlformats.org/officeDocument/2006/relationships/hyperlink" Target="http://www.fin.ee/local-government-finances" TargetMode="External"/><Relationship Id="rId55" Type="http://schemas.openxmlformats.org/officeDocument/2006/relationships/hyperlink" Target="http://appsso.eurostat.ec.europa.eu/nui/show.do?dataset=gov_dd_cgd&amp;lang=en" TargetMode="External"/><Relationship Id="rId76" Type="http://schemas.openxmlformats.org/officeDocument/2006/relationships/hyperlink" Target="http://epp.eurostat.ec.europa.eu/tgm/table.do?tab=table&amp;language=en&amp;pcode=tps00001&amp;tableSelection=1&amp;footnotes=yes&amp;labeling=labels&amp;plugin=1" TargetMode="External"/><Relationship Id="rId97" Type="http://schemas.openxmlformats.org/officeDocument/2006/relationships/footer" Target="footer3.xml"/><Relationship Id="rId104" Type="http://schemas.openxmlformats.org/officeDocument/2006/relationships/image" Target="media/image16.png"/><Relationship Id="rId120" Type="http://schemas.openxmlformats.org/officeDocument/2006/relationships/image" Target="media/image32.png"/><Relationship Id="rId125" Type="http://schemas.openxmlformats.org/officeDocument/2006/relationships/image" Target="media/image37.png"/><Relationship Id="rId7" Type="http://schemas.openxmlformats.org/officeDocument/2006/relationships/endnotes" Target="endnotes.xml"/><Relationship Id="rId71" Type="http://schemas.openxmlformats.org/officeDocument/2006/relationships/hyperlink" Target="http://www.finmin.lt/finmin.lt/failai/leidiniai/failai/fm_valstybes_skola_2011.pdf" TargetMode="External"/><Relationship Id="rId92" Type="http://schemas.openxmlformats.org/officeDocument/2006/relationships/image" Target="media/image9.png"/><Relationship Id="rId2" Type="http://schemas.openxmlformats.org/officeDocument/2006/relationships/numbering" Target="numbering.xml"/><Relationship Id="rId29" Type="http://schemas.openxmlformats.org/officeDocument/2006/relationships/image" Target="media/image3.png"/><Relationship Id="rId24" Type="http://schemas.openxmlformats.org/officeDocument/2006/relationships/chart" Target="charts/chart3.xml"/><Relationship Id="rId40" Type="http://schemas.openxmlformats.org/officeDocument/2006/relationships/chart" Target="charts/chart14.xml"/><Relationship Id="rId45" Type="http://schemas.openxmlformats.org/officeDocument/2006/relationships/hyperlink" Target="http://www.elibrary.lt/resursai/DB/LB/LB_pinigu_studijos/Pinigu_studijos_2002_04_pilnas.pdf" TargetMode="External"/><Relationship Id="rId66" Type="http://schemas.openxmlformats.org/officeDocument/2006/relationships/hyperlink" Target="http://www.lb.lt/lietuvos_ekonomikos_apzvalga_2013_m_geguzes_men" TargetMode="External"/><Relationship Id="rId87" Type="http://schemas.openxmlformats.org/officeDocument/2006/relationships/hyperlink" Target="http://www2.macleans.ca/2011/11/15/miracle%E2%80%94or-just-smart-management/" TargetMode="External"/><Relationship Id="rId110" Type="http://schemas.openxmlformats.org/officeDocument/2006/relationships/image" Target="media/image22.png"/><Relationship Id="rId115" Type="http://schemas.openxmlformats.org/officeDocument/2006/relationships/image" Target="media/image27.png"/><Relationship Id="rId131" Type="http://schemas.openxmlformats.org/officeDocument/2006/relationships/image" Target="media/image43.png"/><Relationship Id="rId136" Type="http://schemas.microsoft.com/office/2007/relationships/stylesWithEffects" Target="stylesWithEffects.xml"/><Relationship Id="rId61" Type="http://schemas.openxmlformats.org/officeDocument/2006/relationships/hyperlink" Target="http://www.ktu.lt/lt/mokslas/zurnalai/ekovad/16/1822-6515-2011-0527.pdf" TargetMode="External"/><Relationship Id="rId82" Type="http://schemas.openxmlformats.org/officeDocument/2006/relationships/hyperlink" Target="http://www.kase.gov.lv/l/rating/273" TargetMode="External"/><Relationship Id="rId19" Type="http://schemas.openxmlformats.org/officeDocument/2006/relationships/image" Target="media/image1.wmf"/></Relationships>
</file>

<file path=word/charts/_rels/chart1.xml.rels><?xml version="1.0" encoding="UTF-8" standalone="yes"?>
<Relationships xmlns="http://schemas.openxmlformats.org/package/2006/relationships"><Relationship Id="rId1" Type="http://schemas.openxmlformats.org/officeDocument/2006/relationships/oleObject" Target="file:///C:\Users\Giedre1\Desktop\magistriniui_valstyb&#279;s%20skola.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ltgiedon\Desktop\magistriniui_valstyb&#279;s%20skola%20(1).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Giedre1\Desktop\magistriniui_valstyb&#279;s%20skola%20(1).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Giedre1\Desktop\magistriniui_valstyb&#279;s%20skola.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ltgiedon\Desktop\magistriniui_valstyb&#279;s%20skola%20(1).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Giedre1\Desktop\prognozavima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Giedre1\Desktop\prognozavima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iedre1\Desktop\magistriniui_valstyb&#279;s%20skola.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iedre1\Desktop\magistriniui_valstyb&#279;s%20skola%20(1).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Giedre1\Desktop\magistriniui_valstyb&#279;s%20skola.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Giedre1\Desktop\magistriniui_valstyb&#279;s%20skola.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Giedre1\Desktop\magistriniui_valstyb&#279;s%20skola.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Giedre1\Desktop\magistriniui_valstyb&#279;s%20skola.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Giedre1\Desktop\magistriniui_valstyb&#279;s%20skola.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Giedre1\Desktop\magistriniui_valstyb&#279;s%20skola%20(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'BVP augimas'!$R$4</c:f>
              <c:strCache>
                <c:ptCount val="1"/>
                <c:pt idx="0">
                  <c:v>Lietuva</c:v>
                </c:pt>
              </c:strCache>
            </c:strRef>
          </c:tx>
          <c:dLbls>
            <c:dLbl>
              <c:idx val="1"/>
              <c:layout>
                <c:manualLayout>
                  <c:x val="-7.2332730560581123E-3"/>
                  <c:y val="2.3148148148148077E-2"/>
                </c:manualLayout>
              </c:layout>
              <c:dLblPos val="outEnd"/>
              <c:showVal val="1"/>
            </c:dLbl>
            <c:dLbl>
              <c:idx val="3"/>
              <c:layout>
                <c:manualLayout>
                  <c:x val="0"/>
                  <c:y val="2.7777777777779684E-2"/>
                </c:manualLayout>
              </c:layout>
              <c:dLblPos val="outEnd"/>
              <c:showVal val="1"/>
            </c:dLbl>
            <c:dLblPos val="outEnd"/>
            <c:showVal val="1"/>
          </c:dLbls>
          <c:cat>
            <c:strRef>
              <c:f>'BVP augimas'!$S$3:$W$3</c:f>
              <c:strCache>
                <c:ptCount val="5"/>
                <c:pt idx="0">
                  <c:v>2008</c:v>
                </c:pt>
                <c:pt idx="1">
                  <c:v>2009</c:v>
                </c:pt>
                <c:pt idx="2">
                  <c:v>2010</c:v>
                </c:pt>
                <c:pt idx="3">
                  <c:v>2011</c:v>
                </c:pt>
                <c:pt idx="4">
                  <c:v>2012</c:v>
                </c:pt>
              </c:strCache>
            </c:strRef>
          </c:cat>
          <c:val>
            <c:numRef>
              <c:f>'BVP augimas'!$S$4:$W$4</c:f>
              <c:numCache>
                <c:formatCode>General</c:formatCode>
                <c:ptCount val="5"/>
                <c:pt idx="0">
                  <c:v>2.9</c:v>
                </c:pt>
                <c:pt idx="1">
                  <c:v>-14.8</c:v>
                </c:pt>
                <c:pt idx="2">
                  <c:v>1.6</c:v>
                </c:pt>
                <c:pt idx="3">
                  <c:v>6</c:v>
                </c:pt>
                <c:pt idx="4">
                  <c:v>3.7</c:v>
                </c:pt>
              </c:numCache>
            </c:numRef>
          </c:val>
        </c:ser>
        <c:ser>
          <c:idx val="1"/>
          <c:order val="1"/>
          <c:tx>
            <c:strRef>
              <c:f>'BVP augimas'!$R$5</c:f>
              <c:strCache>
                <c:ptCount val="1"/>
                <c:pt idx="0">
                  <c:v>Latvija</c:v>
                </c:pt>
              </c:strCache>
            </c:strRef>
          </c:tx>
          <c:dLbls>
            <c:dLbl>
              <c:idx val="1"/>
              <c:layout>
                <c:manualLayout>
                  <c:x val="0"/>
                  <c:y val="1.3888888888889443E-2"/>
                </c:manualLayout>
              </c:layout>
              <c:dLblPos val="outEnd"/>
              <c:showVal val="1"/>
            </c:dLbl>
            <c:dLbl>
              <c:idx val="2"/>
              <c:layout>
                <c:manualLayout>
                  <c:x val="0"/>
                  <c:y val="-1.8518518518518937E-2"/>
                </c:manualLayout>
              </c:layout>
              <c:dLblPos val="outEnd"/>
              <c:showVal val="1"/>
            </c:dLbl>
            <c:dLbl>
              <c:idx val="3"/>
              <c:layout>
                <c:manualLayout>
                  <c:x val="0"/>
                  <c:y val="2.3148148148148077E-2"/>
                </c:manualLayout>
              </c:layout>
              <c:dLblPos val="outEnd"/>
              <c:showVal val="1"/>
            </c:dLbl>
            <c:dLblPos val="outEnd"/>
            <c:showVal val="1"/>
          </c:dLbls>
          <c:cat>
            <c:strRef>
              <c:f>'BVP augimas'!$S$3:$W$3</c:f>
              <c:strCache>
                <c:ptCount val="5"/>
                <c:pt idx="0">
                  <c:v>2008</c:v>
                </c:pt>
                <c:pt idx="1">
                  <c:v>2009</c:v>
                </c:pt>
                <c:pt idx="2">
                  <c:v>2010</c:v>
                </c:pt>
                <c:pt idx="3">
                  <c:v>2011</c:v>
                </c:pt>
                <c:pt idx="4">
                  <c:v>2012</c:v>
                </c:pt>
              </c:strCache>
            </c:strRef>
          </c:cat>
          <c:val>
            <c:numRef>
              <c:f>'BVP augimas'!$S$5:$W$5</c:f>
              <c:numCache>
                <c:formatCode>General</c:formatCode>
                <c:ptCount val="5"/>
                <c:pt idx="0">
                  <c:v>-2.8</c:v>
                </c:pt>
                <c:pt idx="1">
                  <c:v>-17.7</c:v>
                </c:pt>
                <c:pt idx="2">
                  <c:v>-1.3</c:v>
                </c:pt>
                <c:pt idx="3">
                  <c:v>5.3</c:v>
                </c:pt>
                <c:pt idx="4">
                  <c:v>5</c:v>
                </c:pt>
              </c:numCache>
            </c:numRef>
          </c:val>
        </c:ser>
        <c:ser>
          <c:idx val="2"/>
          <c:order val="2"/>
          <c:tx>
            <c:strRef>
              <c:f>'BVP augimas'!$R$6</c:f>
              <c:strCache>
                <c:ptCount val="1"/>
                <c:pt idx="0">
                  <c:v>Estija</c:v>
                </c:pt>
              </c:strCache>
            </c:strRef>
          </c:tx>
          <c:dLbls>
            <c:dLbl>
              <c:idx val="1"/>
              <c:layout>
                <c:manualLayout>
                  <c:x val="9.6443640747438629E-3"/>
                  <c:y val="1.3888888888889443E-2"/>
                </c:manualLayout>
              </c:layout>
              <c:dLblPos val="outEnd"/>
              <c:showVal val="1"/>
            </c:dLbl>
            <c:dLblPos val="outEnd"/>
            <c:showVal val="1"/>
          </c:dLbls>
          <c:cat>
            <c:strRef>
              <c:f>'BVP augimas'!$S$3:$W$3</c:f>
              <c:strCache>
                <c:ptCount val="5"/>
                <c:pt idx="0">
                  <c:v>2008</c:v>
                </c:pt>
                <c:pt idx="1">
                  <c:v>2009</c:v>
                </c:pt>
                <c:pt idx="2">
                  <c:v>2010</c:v>
                </c:pt>
                <c:pt idx="3">
                  <c:v>2011</c:v>
                </c:pt>
                <c:pt idx="4">
                  <c:v>2012</c:v>
                </c:pt>
              </c:strCache>
            </c:strRef>
          </c:cat>
          <c:val>
            <c:numRef>
              <c:f>'BVP augimas'!$S$6:$W$6</c:f>
              <c:numCache>
                <c:formatCode>General</c:formatCode>
                <c:ptCount val="5"/>
                <c:pt idx="0">
                  <c:v>-4.2</c:v>
                </c:pt>
                <c:pt idx="1">
                  <c:v>-14.1</c:v>
                </c:pt>
                <c:pt idx="2">
                  <c:v>2.6</c:v>
                </c:pt>
                <c:pt idx="3">
                  <c:v>9.6</c:v>
                </c:pt>
                <c:pt idx="4">
                  <c:v>3.9</c:v>
                </c:pt>
              </c:numCache>
            </c:numRef>
          </c:val>
        </c:ser>
        <c:dLbls>
          <c:showVal val="1"/>
        </c:dLbls>
        <c:axId val="237443328"/>
        <c:axId val="237449600"/>
      </c:barChart>
      <c:catAx>
        <c:axId val="237443328"/>
        <c:scaling>
          <c:orientation val="minMax"/>
        </c:scaling>
        <c:axPos val="b"/>
        <c:title>
          <c:tx>
            <c:rich>
              <a:bodyPr/>
              <a:lstStyle/>
              <a:p>
                <a:pPr>
                  <a:defRPr/>
                </a:pPr>
                <a:r>
                  <a:rPr lang="lt-LT"/>
                  <a:t>Metai</a:t>
                </a:r>
              </a:p>
            </c:rich>
          </c:tx>
        </c:title>
        <c:tickLblPos val="nextTo"/>
        <c:crossAx val="237449600"/>
        <c:crosses val="autoZero"/>
        <c:auto val="1"/>
        <c:lblAlgn val="ctr"/>
        <c:lblOffset val="100"/>
      </c:catAx>
      <c:valAx>
        <c:axId val="237449600"/>
        <c:scaling>
          <c:orientation val="minMax"/>
        </c:scaling>
        <c:axPos val="l"/>
        <c:majorGridlines/>
        <c:title>
          <c:tx>
            <c:rich>
              <a:bodyPr rot="-5400000" vert="horz"/>
              <a:lstStyle/>
              <a:p>
                <a:pPr>
                  <a:defRPr/>
                </a:pPr>
                <a:r>
                  <a:rPr lang="en-US"/>
                  <a:t>proc.</a:t>
                </a:r>
              </a:p>
            </c:rich>
          </c:tx>
        </c:title>
        <c:numFmt formatCode="General" sourceLinked="1"/>
        <c:tickLblPos val="nextTo"/>
        <c:crossAx val="237443328"/>
        <c:crosses val="autoZero"/>
        <c:crossBetween val="between"/>
      </c:valAx>
    </c:plotArea>
    <c:legend>
      <c:legendPos val="r"/>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n-US"/>
  <c:chart>
    <c:plotArea>
      <c:layout/>
      <c:barChart>
        <c:barDir val="col"/>
        <c:grouping val="stacked"/>
        <c:ser>
          <c:idx val="0"/>
          <c:order val="0"/>
          <c:tx>
            <c:strRef>
              <c:f>'vertinimo rodikliai'!$J$116</c:f>
              <c:strCache>
                <c:ptCount val="1"/>
                <c:pt idx="0">
                  <c:v>Vidaus skola</c:v>
                </c:pt>
              </c:strCache>
            </c:strRef>
          </c:tx>
          <c:cat>
            <c:multiLvlStrRef>
              <c:f>'vertinimo rodikliai'!$K$114:$Y$115</c:f>
              <c:multiLvlStrCache>
                <c:ptCount val="15"/>
                <c:lvl>
                  <c:pt idx="0">
                    <c:v>2008</c:v>
                  </c:pt>
                  <c:pt idx="1">
                    <c:v>2009</c:v>
                  </c:pt>
                  <c:pt idx="2">
                    <c:v>2010</c:v>
                  </c:pt>
                  <c:pt idx="3">
                    <c:v>2011</c:v>
                  </c:pt>
                  <c:pt idx="4">
                    <c:v>2012</c:v>
                  </c:pt>
                  <c:pt idx="5">
                    <c:v>2008</c:v>
                  </c:pt>
                  <c:pt idx="6">
                    <c:v>2009</c:v>
                  </c:pt>
                  <c:pt idx="7">
                    <c:v>2010</c:v>
                  </c:pt>
                  <c:pt idx="8">
                    <c:v>2011</c:v>
                  </c:pt>
                  <c:pt idx="9">
                    <c:v>2012</c:v>
                  </c:pt>
                  <c:pt idx="10">
                    <c:v>2008</c:v>
                  </c:pt>
                  <c:pt idx="11">
                    <c:v>2009</c:v>
                  </c:pt>
                  <c:pt idx="12">
                    <c:v>2010</c:v>
                  </c:pt>
                  <c:pt idx="13">
                    <c:v>2011</c:v>
                  </c:pt>
                  <c:pt idx="14">
                    <c:v>2012</c:v>
                  </c:pt>
                </c:lvl>
                <c:lvl>
                  <c:pt idx="0">
                    <c:v>Lietuva</c:v>
                  </c:pt>
                  <c:pt idx="5">
                    <c:v>Latvija</c:v>
                  </c:pt>
                  <c:pt idx="10">
                    <c:v>Estija</c:v>
                  </c:pt>
                </c:lvl>
              </c:multiLvlStrCache>
            </c:multiLvlStrRef>
          </c:cat>
          <c:val>
            <c:numRef>
              <c:f>'vertinimo rodikliai'!$K$116:$Y$116</c:f>
              <c:numCache>
                <c:formatCode>#.#00%</c:formatCode>
                <c:ptCount val="15"/>
                <c:pt idx="0">
                  <c:v>0.3576162607125089</c:v>
                </c:pt>
                <c:pt idx="1">
                  <c:v>0.29744902073760332</c:v>
                </c:pt>
                <c:pt idx="2">
                  <c:v>0.26423611204078679</c:v>
                </c:pt>
                <c:pt idx="3">
                  <c:v>0.26225907463809733</c:v>
                </c:pt>
                <c:pt idx="4">
                  <c:v>0.24372992861032136</c:v>
                </c:pt>
                <c:pt idx="5">
                  <c:v>0.52</c:v>
                </c:pt>
                <c:pt idx="6">
                  <c:v>0.23</c:v>
                </c:pt>
                <c:pt idx="7">
                  <c:v>0.16</c:v>
                </c:pt>
                <c:pt idx="8">
                  <c:v>0.14000000000000001</c:v>
                </c:pt>
                <c:pt idx="9">
                  <c:v>0.12000000000000002</c:v>
                </c:pt>
                <c:pt idx="10">
                  <c:v>0.63289260658392565</c:v>
                </c:pt>
                <c:pt idx="11">
                  <c:v>0.53784056508577205</c:v>
                </c:pt>
                <c:pt idx="12">
                  <c:v>0.62318386118950764</c:v>
                </c:pt>
                <c:pt idx="13">
                  <c:v>0.60604235671986562</c:v>
                </c:pt>
                <c:pt idx="14">
                  <c:v>0.35839860748477204</c:v>
                </c:pt>
              </c:numCache>
            </c:numRef>
          </c:val>
        </c:ser>
        <c:ser>
          <c:idx val="1"/>
          <c:order val="1"/>
          <c:tx>
            <c:strRef>
              <c:f>'vertinimo rodikliai'!$J$117</c:f>
              <c:strCache>
                <c:ptCount val="1"/>
                <c:pt idx="0">
                  <c:v>Užsienio skola</c:v>
                </c:pt>
              </c:strCache>
            </c:strRef>
          </c:tx>
          <c:cat>
            <c:multiLvlStrRef>
              <c:f>'vertinimo rodikliai'!$K$114:$Y$115</c:f>
              <c:multiLvlStrCache>
                <c:ptCount val="15"/>
                <c:lvl>
                  <c:pt idx="0">
                    <c:v>2008</c:v>
                  </c:pt>
                  <c:pt idx="1">
                    <c:v>2009</c:v>
                  </c:pt>
                  <c:pt idx="2">
                    <c:v>2010</c:v>
                  </c:pt>
                  <c:pt idx="3">
                    <c:v>2011</c:v>
                  </c:pt>
                  <c:pt idx="4">
                    <c:v>2012</c:v>
                  </c:pt>
                  <c:pt idx="5">
                    <c:v>2008</c:v>
                  </c:pt>
                  <c:pt idx="6">
                    <c:v>2009</c:v>
                  </c:pt>
                  <c:pt idx="7">
                    <c:v>2010</c:v>
                  </c:pt>
                  <c:pt idx="8">
                    <c:v>2011</c:v>
                  </c:pt>
                  <c:pt idx="9">
                    <c:v>2012</c:v>
                  </c:pt>
                  <c:pt idx="10">
                    <c:v>2008</c:v>
                  </c:pt>
                  <c:pt idx="11">
                    <c:v>2009</c:v>
                  </c:pt>
                  <c:pt idx="12">
                    <c:v>2010</c:v>
                  </c:pt>
                  <c:pt idx="13">
                    <c:v>2011</c:v>
                  </c:pt>
                  <c:pt idx="14">
                    <c:v>2012</c:v>
                  </c:pt>
                </c:lvl>
                <c:lvl>
                  <c:pt idx="0">
                    <c:v>Lietuva</c:v>
                  </c:pt>
                  <c:pt idx="5">
                    <c:v>Latvija</c:v>
                  </c:pt>
                  <c:pt idx="10">
                    <c:v>Estija</c:v>
                  </c:pt>
                </c:lvl>
              </c:multiLvlStrCache>
            </c:multiLvlStrRef>
          </c:cat>
          <c:val>
            <c:numRef>
              <c:f>'vertinimo rodikliai'!$K$117:$Y$117</c:f>
              <c:numCache>
                <c:formatCode>#.#00%</c:formatCode>
                <c:ptCount val="15"/>
                <c:pt idx="0">
                  <c:v>0.64238373928749404</c:v>
                </c:pt>
                <c:pt idx="1">
                  <c:v>0.70255097926239596</c:v>
                </c:pt>
                <c:pt idx="2">
                  <c:v>0.73576388795921199</c:v>
                </c:pt>
                <c:pt idx="3">
                  <c:v>0.73774092536190261</c:v>
                </c:pt>
                <c:pt idx="4">
                  <c:v>0.75627007138968383</c:v>
                </c:pt>
                <c:pt idx="5">
                  <c:v>0.48000000000000032</c:v>
                </c:pt>
                <c:pt idx="6">
                  <c:v>0.77000000000000346</c:v>
                </c:pt>
                <c:pt idx="7">
                  <c:v>0.84000000000000263</c:v>
                </c:pt>
                <c:pt idx="8">
                  <c:v>0.86000000000000265</c:v>
                </c:pt>
                <c:pt idx="9">
                  <c:v>0.88</c:v>
                </c:pt>
                <c:pt idx="10">
                  <c:v>0.36710739341608201</c:v>
                </c:pt>
                <c:pt idx="11">
                  <c:v>0.46215943491422801</c:v>
                </c:pt>
                <c:pt idx="12">
                  <c:v>0.37681613881049697</c:v>
                </c:pt>
                <c:pt idx="13">
                  <c:v>0.39395764328013738</c:v>
                </c:pt>
                <c:pt idx="14">
                  <c:v>0.64160139251523596</c:v>
                </c:pt>
              </c:numCache>
            </c:numRef>
          </c:val>
        </c:ser>
        <c:overlap val="100"/>
        <c:axId val="237878656"/>
        <c:axId val="237880448"/>
      </c:barChart>
      <c:catAx>
        <c:axId val="237878656"/>
        <c:scaling>
          <c:orientation val="minMax"/>
        </c:scaling>
        <c:axPos val="b"/>
        <c:tickLblPos val="nextTo"/>
        <c:crossAx val="237880448"/>
        <c:crosses val="autoZero"/>
        <c:auto val="1"/>
        <c:lblAlgn val="ctr"/>
        <c:lblOffset val="100"/>
      </c:catAx>
      <c:valAx>
        <c:axId val="237880448"/>
        <c:scaling>
          <c:orientation val="minMax"/>
          <c:max val="1"/>
        </c:scaling>
        <c:axPos val="l"/>
        <c:majorGridlines/>
        <c:numFmt formatCode="#.#00%" sourceLinked="1"/>
        <c:tickLblPos val="nextTo"/>
        <c:crossAx val="237878656"/>
        <c:crosses val="autoZero"/>
        <c:crossBetween val="between"/>
      </c:valAx>
    </c:plotArea>
    <c:legend>
      <c:legendPos val="r"/>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n-US"/>
  <c:chart>
    <c:plotArea>
      <c:layout/>
      <c:barChart>
        <c:barDir val="col"/>
        <c:grouping val="stacked"/>
        <c:ser>
          <c:idx val="0"/>
          <c:order val="0"/>
          <c:tx>
            <c:strRef>
              <c:f>struktura!$AM$14</c:f>
              <c:strCache>
                <c:ptCount val="1"/>
                <c:pt idx="0">
                  <c:v>Vertybiniai popieriai </c:v>
                </c:pt>
              </c:strCache>
            </c:strRef>
          </c:tx>
          <c:cat>
            <c:multiLvlStrRef>
              <c:f>struktura!$AN$12:$BB$13</c:f>
              <c:multiLvlStrCache>
                <c:ptCount val="15"/>
                <c:lvl>
                  <c:pt idx="0">
                    <c:v>2008</c:v>
                  </c:pt>
                  <c:pt idx="1">
                    <c:v>2009</c:v>
                  </c:pt>
                  <c:pt idx="2">
                    <c:v>2010</c:v>
                  </c:pt>
                  <c:pt idx="3">
                    <c:v>2011</c:v>
                  </c:pt>
                  <c:pt idx="4">
                    <c:v>2012</c:v>
                  </c:pt>
                  <c:pt idx="5">
                    <c:v>2008</c:v>
                  </c:pt>
                  <c:pt idx="6">
                    <c:v>2009</c:v>
                  </c:pt>
                  <c:pt idx="7">
                    <c:v>2010</c:v>
                  </c:pt>
                  <c:pt idx="8">
                    <c:v>2011</c:v>
                  </c:pt>
                  <c:pt idx="9">
                    <c:v>2012</c:v>
                  </c:pt>
                  <c:pt idx="10">
                    <c:v>2008</c:v>
                  </c:pt>
                  <c:pt idx="11">
                    <c:v>2009</c:v>
                  </c:pt>
                  <c:pt idx="12">
                    <c:v>2010</c:v>
                  </c:pt>
                  <c:pt idx="13">
                    <c:v>2011</c:v>
                  </c:pt>
                  <c:pt idx="14">
                    <c:v>2012</c:v>
                  </c:pt>
                </c:lvl>
                <c:lvl>
                  <c:pt idx="0">
                    <c:v>Lietuva</c:v>
                  </c:pt>
                  <c:pt idx="5">
                    <c:v>Latvija</c:v>
                  </c:pt>
                  <c:pt idx="10">
                    <c:v>Estija</c:v>
                  </c:pt>
                </c:lvl>
              </c:multiLvlStrCache>
            </c:multiLvlStrRef>
          </c:cat>
          <c:val>
            <c:numRef>
              <c:f>struktura!$AN$14:$BB$14</c:f>
              <c:numCache>
                <c:formatCode>#.#00%</c:formatCode>
                <c:ptCount val="15"/>
                <c:pt idx="0">
                  <c:v>0.87534031517656863</c:v>
                </c:pt>
                <c:pt idx="1">
                  <c:v>0.84117519098132998</c:v>
                </c:pt>
                <c:pt idx="2">
                  <c:v>0.81981861447454496</c:v>
                </c:pt>
                <c:pt idx="3">
                  <c:v>0.81804388323653865</c:v>
                </c:pt>
                <c:pt idx="4">
                  <c:v>0.80030150527634158</c:v>
                </c:pt>
                <c:pt idx="5">
                  <c:v>0.60639829131262502</c:v>
                </c:pt>
                <c:pt idx="6">
                  <c:v>0.29851453372865333</c:v>
                </c:pt>
                <c:pt idx="7">
                  <c:v>0.24830404046955101</c:v>
                </c:pt>
                <c:pt idx="8">
                  <c:v>0.26404349269996702</c:v>
                </c:pt>
                <c:pt idx="9">
                  <c:v>0.44404240899640501</c:v>
                </c:pt>
                <c:pt idx="10">
                  <c:v>0.23162462706807357</c:v>
                </c:pt>
                <c:pt idx="11">
                  <c:v>0.24079491576717749</c:v>
                </c:pt>
                <c:pt idx="12">
                  <c:v>0.250627090301003</c:v>
                </c:pt>
                <c:pt idx="13">
                  <c:v>0.25366392290704731</c:v>
                </c:pt>
                <c:pt idx="14">
                  <c:v>0.14290687554395101</c:v>
                </c:pt>
              </c:numCache>
            </c:numRef>
          </c:val>
        </c:ser>
        <c:ser>
          <c:idx val="1"/>
          <c:order val="1"/>
          <c:tx>
            <c:strRef>
              <c:f>struktura!$AM$15</c:f>
              <c:strCache>
                <c:ptCount val="1"/>
                <c:pt idx="0">
                  <c:v>Paskolos</c:v>
                </c:pt>
              </c:strCache>
            </c:strRef>
          </c:tx>
          <c:cat>
            <c:multiLvlStrRef>
              <c:f>struktura!$AN$12:$BB$13</c:f>
              <c:multiLvlStrCache>
                <c:ptCount val="15"/>
                <c:lvl>
                  <c:pt idx="0">
                    <c:v>2008</c:v>
                  </c:pt>
                  <c:pt idx="1">
                    <c:v>2009</c:v>
                  </c:pt>
                  <c:pt idx="2">
                    <c:v>2010</c:v>
                  </c:pt>
                  <c:pt idx="3">
                    <c:v>2011</c:v>
                  </c:pt>
                  <c:pt idx="4">
                    <c:v>2012</c:v>
                  </c:pt>
                  <c:pt idx="5">
                    <c:v>2008</c:v>
                  </c:pt>
                  <c:pt idx="6">
                    <c:v>2009</c:v>
                  </c:pt>
                  <c:pt idx="7">
                    <c:v>2010</c:v>
                  </c:pt>
                  <c:pt idx="8">
                    <c:v>2011</c:v>
                  </c:pt>
                  <c:pt idx="9">
                    <c:v>2012</c:v>
                  </c:pt>
                  <c:pt idx="10">
                    <c:v>2008</c:v>
                  </c:pt>
                  <c:pt idx="11">
                    <c:v>2009</c:v>
                  </c:pt>
                  <c:pt idx="12">
                    <c:v>2010</c:v>
                  </c:pt>
                  <c:pt idx="13">
                    <c:v>2011</c:v>
                  </c:pt>
                  <c:pt idx="14">
                    <c:v>2012</c:v>
                  </c:pt>
                </c:lvl>
                <c:lvl>
                  <c:pt idx="0">
                    <c:v>Lietuva</c:v>
                  </c:pt>
                  <c:pt idx="5">
                    <c:v>Latvija</c:v>
                  </c:pt>
                  <c:pt idx="10">
                    <c:v>Estija</c:v>
                  </c:pt>
                </c:lvl>
              </c:multiLvlStrCache>
            </c:multiLvlStrRef>
          </c:cat>
          <c:val>
            <c:numRef>
              <c:f>struktura!$AN$15:$BB$15</c:f>
              <c:numCache>
                <c:formatCode>#.#00%</c:formatCode>
                <c:ptCount val="15"/>
                <c:pt idx="0">
                  <c:v>0.12465968482343402</c:v>
                </c:pt>
                <c:pt idx="1">
                  <c:v>0.15858168370676842</c:v>
                </c:pt>
                <c:pt idx="2">
                  <c:v>0.17972266554535121</c:v>
                </c:pt>
                <c:pt idx="3">
                  <c:v>0.18131548557315952</c:v>
                </c:pt>
                <c:pt idx="4">
                  <c:v>0.18493073628788742</c:v>
                </c:pt>
                <c:pt idx="5">
                  <c:v>0.39360170868737532</c:v>
                </c:pt>
                <c:pt idx="6">
                  <c:v>0.70148546627135699</c:v>
                </c:pt>
                <c:pt idx="7">
                  <c:v>0.75169595953046831</c:v>
                </c:pt>
                <c:pt idx="8">
                  <c:v>0.73595650730003404</c:v>
                </c:pt>
                <c:pt idx="9">
                  <c:v>0.55595759100359765</c:v>
                </c:pt>
                <c:pt idx="10">
                  <c:v>0.76837537293192304</c:v>
                </c:pt>
                <c:pt idx="11">
                  <c:v>0.75920508423282762</c:v>
                </c:pt>
                <c:pt idx="12">
                  <c:v>0.74937290969899861</c:v>
                </c:pt>
                <c:pt idx="13">
                  <c:v>0.74633607709295258</c:v>
                </c:pt>
                <c:pt idx="14">
                  <c:v>0.85709312445604902</c:v>
                </c:pt>
              </c:numCache>
            </c:numRef>
          </c:val>
        </c:ser>
        <c:ser>
          <c:idx val="2"/>
          <c:order val="2"/>
          <c:tx>
            <c:strRef>
              <c:f>struktura!$AM$16</c:f>
              <c:strCache>
                <c:ptCount val="1"/>
                <c:pt idx="0">
                  <c:v>Indėliai ir valiuta (įskaitant taupymo lakštus)</c:v>
                </c:pt>
              </c:strCache>
            </c:strRef>
          </c:tx>
          <c:cat>
            <c:multiLvlStrRef>
              <c:f>struktura!$AN$12:$BB$13</c:f>
              <c:multiLvlStrCache>
                <c:ptCount val="15"/>
                <c:lvl>
                  <c:pt idx="0">
                    <c:v>2008</c:v>
                  </c:pt>
                  <c:pt idx="1">
                    <c:v>2009</c:v>
                  </c:pt>
                  <c:pt idx="2">
                    <c:v>2010</c:v>
                  </c:pt>
                  <c:pt idx="3">
                    <c:v>2011</c:v>
                  </c:pt>
                  <c:pt idx="4">
                    <c:v>2012</c:v>
                  </c:pt>
                  <c:pt idx="5">
                    <c:v>2008</c:v>
                  </c:pt>
                  <c:pt idx="6">
                    <c:v>2009</c:v>
                  </c:pt>
                  <c:pt idx="7">
                    <c:v>2010</c:v>
                  </c:pt>
                  <c:pt idx="8">
                    <c:v>2011</c:v>
                  </c:pt>
                  <c:pt idx="9">
                    <c:v>2012</c:v>
                  </c:pt>
                  <c:pt idx="10">
                    <c:v>2008</c:v>
                  </c:pt>
                  <c:pt idx="11">
                    <c:v>2009</c:v>
                  </c:pt>
                  <c:pt idx="12">
                    <c:v>2010</c:v>
                  </c:pt>
                  <c:pt idx="13">
                    <c:v>2011</c:v>
                  </c:pt>
                  <c:pt idx="14">
                    <c:v>2012</c:v>
                  </c:pt>
                </c:lvl>
                <c:lvl>
                  <c:pt idx="0">
                    <c:v>Lietuva</c:v>
                  </c:pt>
                  <c:pt idx="5">
                    <c:v>Latvija</c:v>
                  </c:pt>
                  <c:pt idx="10">
                    <c:v>Estija</c:v>
                  </c:pt>
                </c:lvl>
              </c:multiLvlStrCache>
            </c:multiLvlStrRef>
          </c:cat>
          <c:val>
            <c:numRef>
              <c:f>struktura!$AN$16:$BB$16</c:f>
              <c:numCache>
                <c:formatCode>#.#00%</c:formatCode>
                <c:ptCount val="15"/>
                <c:pt idx="0">
                  <c:v>0</c:v>
                </c:pt>
                <c:pt idx="1">
                  <c:v>2.4312531190418267E-4</c:v>
                </c:pt>
                <c:pt idx="2">
                  <c:v>4.5871998012213434E-4</c:v>
                </c:pt>
                <c:pt idx="3">
                  <c:v>6.406311903096281E-4</c:v>
                </c:pt>
                <c:pt idx="4">
                  <c:v>1.4767758435772623E-2</c:v>
                </c:pt>
                <c:pt idx="5">
                  <c:v>0</c:v>
                </c:pt>
                <c:pt idx="6">
                  <c:v>0</c:v>
                </c:pt>
                <c:pt idx="7">
                  <c:v>0</c:v>
                </c:pt>
                <c:pt idx="8">
                  <c:v>0</c:v>
                </c:pt>
                <c:pt idx="9">
                  <c:v>0</c:v>
                </c:pt>
                <c:pt idx="10">
                  <c:v>0</c:v>
                </c:pt>
                <c:pt idx="11">
                  <c:v>0</c:v>
                </c:pt>
                <c:pt idx="12">
                  <c:v>0</c:v>
                </c:pt>
                <c:pt idx="13">
                  <c:v>0</c:v>
                </c:pt>
                <c:pt idx="14">
                  <c:v>0</c:v>
                </c:pt>
              </c:numCache>
            </c:numRef>
          </c:val>
        </c:ser>
        <c:overlap val="100"/>
        <c:axId val="237906176"/>
        <c:axId val="237920256"/>
      </c:barChart>
      <c:catAx>
        <c:axId val="237906176"/>
        <c:scaling>
          <c:orientation val="minMax"/>
        </c:scaling>
        <c:axPos val="b"/>
        <c:numFmt formatCode="General" sourceLinked="1"/>
        <c:tickLblPos val="nextTo"/>
        <c:crossAx val="237920256"/>
        <c:crosses val="autoZero"/>
        <c:auto val="1"/>
        <c:lblAlgn val="ctr"/>
        <c:lblOffset val="100"/>
      </c:catAx>
      <c:valAx>
        <c:axId val="237920256"/>
        <c:scaling>
          <c:orientation val="minMax"/>
          <c:max val="1"/>
        </c:scaling>
        <c:axPos val="l"/>
        <c:majorGridlines/>
        <c:numFmt formatCode="#.#00%" sourceLinked="1"/>
        <c:tickLblPos val="nextTo"/>
        <c:crossAx val="237906176"/>
        <c:crosses val="autoZero"/>
        <c:crossBetween val="between"/>
      </c:valAx>
    </c:plotArea>
    <c:legend>
      <c:legendPos val="r"/>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US"/>
  <c:chart>
    <c:plotArea>
      <c:layout/>
      <c:barChart>
        <c:barDir val="col"/>
        <c:grouping val="stacked"/>
        <c:ser>
          <c:idx val="0"/>
          <c:order val="0"/>
          <c:tx>
            <c:strRef>
              <c:f>struktura!$T$28</c:f>
              <c:strCache>
                <c:ptCount val="1"/>
                <c:pt idx="0">
                  <c:v>Trumpalaikė</c:v>
                </c:pt>
              </c:strCache>
            </c:strRef>
          </c:tx>
          <c:cat>
            <c:multiLvlStrRef>
              <c:f>struktura!$U$26:$AI$27</c:f>
              <c:multiLvlStrCache>
                <c:ptCount val="15"/>
                <c:lvl>
                  <c:pt idx="0">
                    <c:v>2008</c:v>
                  </c:pt>
                  <c:pt idx="1">
                    <c:v>2009</c:v>
                  </c:pt>
                  <c:pt idx="2">
                    <c:v>2010</c:v>
                  </c:pt>
                  <c:pt idx="3">
                    <c:v>2011</c:v>
                  </c:pt>
                  <c:pt idx="4">
                    <c:v>2012</c:v>
                  </c:pt>
                  <c:pt idx="5">
                    <c:v>2008</c:v>
                  </c:pt>
                  <c:pt idx="6">
                    <c:v>2009</c:v>
                  </c:pt>
                  <c:pt idx="7">
                    <c:v>2010</c:v>
                  </c:pt>
                  <c:pt idx="8">
                    <c:v>2011</c:v>
                  </c:pt>
                  <c:pt idx="9">
                    <c:v>2012</c:v>
                  </c:pt>
                  <c:pt idx="10">
                    <c:v>2008</c:v>
                  </c:pt>
                  <c:pt idx="11">
                    <c:v>2009</c:v>
                  </c:pt>
                  <c:pt idx="12">
                    <c:v>2010</c:v>
                  </c:pt>
                  <c:pt idx="13">
                    <c:v>2011</c:v>
                  </c:pt>
                  <c:pt idx="14">
                    <c:v>2012</c:v>
                  </c:pt>
                </c:lvl>
                <c:lvl>
                  <c:pt idx="0">
                    <c:v>Lietuva</c:v>
                  </c:pt>
                  <c:pt idx="5">
                    <c:v>Latvija</c:v>
                  </c:pt>
                  <c:pt idx="10">
                    <c:v>Estija</c:v>
                  </c:pt>
                </c:lvl>
              </c:multiLvlStrCache>
            </c:multiLvlStrRef>
          </c:cat>
          <c:val>
            <c:numRef>
              <c:f>struktura!$U$28:$AI$28</c:f>
              <c:numCache>
                <c:formatCode>#.#00%</c:formatCode>
                <c:ptCount val="15"/>
                <c:pt idx="0">
                  <c:v>7.9131972735041134E-2</c:v>
                </c:pt>
                <c:pt idx="1">
                  <c:v>4.4453543871322714E-2</c:v>
                </c:pt>
                <c:pt idx="2">
                  <c:v>6.3360697254372586E-2</c:v>
                </c:pt>
                <c:pt idx="3">
                  <c:v>5.9991739229389024E-2</c:v>
                </c:pt>
                <c:pt idx="4">
                  <c:v>6.5356143732515318E-2</c:v>
                </c:pt>
                <c:pt idx="5">
                  <c:v>0.35932316598019798</c:v>
                </c:pt>
                <c:pt idx="6">
                  <c:v>0.14678207949895897</c:v>
                </c:pt>
                <c:pt idx="7">
                  <c:v>9.3591947579544255E-2</c:v>
                </c:pt>
                <c:pt idx="8">
                  <c:v>8.4439761152090245E-2</c:v>
                </c:pt>
                <c:pt idx="9">
                  <c:v>6.1938780023886433E-2</c:v>
                </c:pt>
                <c:pt idx="10">
                  <c:v>1.1982758620690034E-2</c:v>
                </c:pt>
                <c:pt idx="11">
                  <c:v>1.3013214970240661E-2</c:v>
                </c:pt>
                <c:pt idx="12">
                  <c:v>6.5844481605351534E-3</c:v>
                </c:pt>
                <c:pt idx="13">
                  <c:v>7.2274643645854307E-3</c:v>
                </c:pt>
                <c:pt idx="14">
                  <c:v>5.5120394545982113E-3</c:v>
                </c:pt>
              </c:numCache>
            </c:numRef>
          </c:val>
        </c:ser>
        <c:ser>
          <c:idx val="1"/>
          <c:order val="1"/>
          <c:tx>
            <c:strRef>
              <c:f>struktura!$T$29</c:f>
              <c:strCache>
                <c:ptCount val="1"/>
                <c:pt idx="0">
                  <c:v>Ilgalaikė</c:v>
                </c:pt>
              </c:strCache>
            </c:strRef>
          </c:tx>
          <c:cat>
            <c:multiLvlStrRef>
              <c:f>struktura!$U$26:$AI$27</c:f>
              <c:multiLvlStrCache>
                <c:ptCount val="15"/>
                <c:lvl>
                  <c:pt idx="0">
                    <c:v>2008</c:v>
                  </c:pt>
                  <c:pt idx="1">
                    <c:v>2009</c:v>
                  </c:pt>
                  <c:pt idx="2">
                    <c:v>2010</c:v>
                  </c:pt>
                  <c:pt idx="3">
                    <c:v>2011</c:v>
                  </c:pt>
                  <c:pt idx="4">
                    <c:v>2012</c:v>
                  </c:pt>
                  <c:pt idx="5">
                    <c:v>2008</c:v>
                  </c:pt>
                  <c:pt idx="6">
                    <c:v>2009</c:v>
                  </c:pt>
                  <c:pt idx="7">
                    <c:v>2010</c:v>
                  </c:pt>
                  <c:pt idx="8">
                    <c:v>2011</c:v>
                  </c:pt>
                  <c:pt idx="9">
                    <c:v>2012</c:v>
                  </c:pt>
                  <c:pt idx="10">
                    <c:v>2008</c:v>
                  </c:pt>
                  <c:pt idx="11">
                    <c:v>2009</c:v>
                  </c:pt>
                  <c:pt idx="12">
                    <c:v>2010</c:v>
                  </c:pt>
                  <c:pt idx="13">
                    <c:v>2011</c:v>
                  </c:pt>
                  <c:pt idx="14">
                    <c:v>2012</c:v>
                  </c:pt>
                </c:lvl>
                <c:lvl>
                  <c:pt idx="0">
                    <c:v>Lietuva</c:v>
                  </c:pt>
                  <c:pt idx="5">
                    <c:v>Latvija</c:v>
                  </c:pt>
                  <c:pt idx="10">
                    <c:v>Estija</c:v>
                  </c:pt>
                </c:lvl>
              </c:multiLvlStrCache>
            </c:multiLvlStrRef>
          </c:cat>
          <c:val>
            <c:numRef>
              <c:f>struktura!$U$29:$AI$29</c:f>
              <c:numCache>
                <c:formatCode>#.#00%</c:formatCode>
                <c:ptCount val="15"/>
                <c:pt idx="0">
                  <c:v>0.92086802726495898</c:v>
                </c:pt>
                <c:pt idx="1">
                  <c:v>0.95554645612869782</c:v>
                </c:pt>
                <c:pt idx="2">
                  <c:v>0.93663930274563001</c:v>
                </c:pt>
                <c:pt idx="3">
                  <c:v>0.94000826077060951</c:v>
                </c:pt>
                <c:pt idx="4">
                  <c:v>0.93464385626751789</c:v>
                </c:pt>
                <c:pt idx="5">
                  <c:v>0.64067683401984643</c:v>
                </c:pt>
                <c:pt idx="6">
                  <c:v>0.85321792050103951</c:v>
                </c:pt>
                <c:pt idx="7">
                  <c:v>0.90640805242046163</c:v>
                </c:pt>
                <c:pt idx="8">
                  <c:v>0.9155602388478975</c:v>
                </c:pt>
                <c:pt idx="9">
                  <c:v>0.93806121997611402</c:v>
                </c:pt>
                <c:pt idx="10">
                  <c:v>0.98801724137930957</c:v>
                </c:pt>
                <c:pt idx="11">
                  <c:v>0.98698678502973303</c:v>
                </c:pt>
                <c:pt idx="12">
                  <c:v>0.99341555183944519</c:v>
                </c:pt>
                <c:pt idx="13">
                  <c:v>0.99277253563541501</c:v>
                </c:pt>
                <c:pt idx="14">
                  <c:v>0.99448796054540156</c:v>
                </c:pt>
              </c:numCache>
            </c:numRef>
          </c:val>
        </c:ser>
        <c:overlap val="100"/>
        <c:axId val="237927808"/>
        <c:axId val="237941888"/>
      </c:barChart>
      <c:catAx>
        <c:axId val="237927808"/>
        <c:scaling>
          <c:orientation val="minMax"/>
        </c:scaling>
        <c:axPos val="b"/>
        <c:tickLblPos val="nextTo"/>
        <c:crossAx val="237941888"/>
        <c:crosses val="autoZero"/>
        <c:auto val="1"/>
        <c:lblAlgn val="ctr"/>
        <c:lblOffset val="100"/>
      </c:catAx>
      <c:valAx>
        <c:axId val="237941888"/>
        <c:scaling>
          <c:orientation val="minMax"/>
          <c:max val="1"/>
        </c:scaling>
        <c:axPos val="l"/>
        <c:majorGridlines/>
        <c:numFmt formatCode="#.#00%" sourceLinked="1"/>
        <c:tickLblPos val="nextTo"/>
        <c:crossAx val="237927808"/>
        <c:crosses val="autoZero"/>
        <c:crossBetween val="between"/>
      </c:valAx>
    </c:plotArea>
    <c:legend>
      <c:legendPos val="r"/>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en-US"/>
  <c:chart>
    <c:plotArea>
      <c:layout/>
      <c:barChart>
        <c:barDir val="col"/>
        <c:grouping val="stacked"/>
        <c:ser>
          <c:idx val="0"/>
          <c:order val="0"/>
          <c:tx>
            <c:strRef>
              <c:f>struktura!$BQ$23</c:f>
              <c:strCache>
                <c:ptCount val="1"/>
                <c:pt idx="0">
                  <c:v>Nacionaline valiuta</c:v>
                </c:pt>
              </c:strCache>
            </c:strRef>
          </c:tx>
          <c:cat>
            <c:multiLvlStrRef>
              <c:f>struktura!$BR$21:$CF$22</c:f>
              <c:multiLvlStrCache>
                <c:ptCount val="15"/>
                <c:lvl>
                  <c:pt idx="0">
                    <c:v>2008</c:v>
                  </c:pt>
                  <c:pt idx="1">
                    <c:v>2009</c:v>
                  </c:pt>
                  <c:pt idx="2">
                    <c:v>2010</c:v>
                  </c:pt>
                  <c:pt idx="3">
                    <c:v>2011</c:v>
                  </c:pt>
                  <c:pt idx="4">
                    <c:v>2012</c:v>
                  </c:pt>
                  <c:pt idx="5">
                    <c:v>2008</c:v>
                  </c:pt>
                  <c:pt idx="6">
                    <c:v>2009</c:v>
                  </c:pt>
                  <c:pt idx="7">
                    <c:v>2010</c:v>
                  </c:pt>
                  <c:pt idx="8">
                    <c:v>2011</c:v>
                  </c:pt>
                  <c:pt idx="9">
                    <c:v>2012</c:v>
                  </c:pt>
                  <c:pt idx="10">
                    <c:v>2008</c:v>
                  </c:pt>
                  <c:pt idx="11">
                    <c:v>2009</c:v>
                  </c:pt>
                  <c:pt idx="12">
                    <c:v>2010</c:v>
                  </c:pt>
                  <c:pt idx="13">
                    <c:v>2011</c:v>
                  </c:pt>
                  <c:pt idx="14">
                    <c:v>2012</c:v>
                  </c:pt>
                </c:lvl>
                <c:lvl>
                  <c:pt idx="0">
                    <c:v>Lietuva</c:v>
                  </c:pt>
                  <c:pt idx="5">
                    <c:v>Latvija</c:v>
                  </c:pt>
                  <c:pt idx="10">
                    <c:v>Estija</c:v>
                  </c:pt>
                </c:lvl>
              </c:multiLvlStrCache>
            </c:multiLvlStrRef>
          </c:cat>
          <c:val>
            <c:numRef>
              <c:f>struktura!$BR$23:$CF$23</c:f>
              <c:numCache>
                <c:formatCode>#.#00%</c:formatCode>
                <c:ptCount val="15"/>
                <c:pt idx="0">
                  <c:v>0.17624848472805152</c:v>
                </c:pt>
                <c:pt idx="1">
                  <c:v>8.4825141716466643E-2</c:v>
                </c:pt>
                <c:pt idx="2">
                  <c:v>0.12128481048949702</c:v>
                </c:pt>
                <c:pt idx="3">
                  <c:v>0.13529962152183636</c:v>
                </c:pt>
                <c:pt idx="4">
                  <c:v>0.16901545777051133</c:v>
                </c:pt>
                <c:pt idx="5">
                  <c:v>0.41446255231989615</c:v>
                </c:pt>
                <c:pt idx="6">
                  <c:v>0.25255912199589431</c:v>
                </c:pt>
                <c:pt idx="7">
                  <c:v>0.1801477458174047</c:v>
                </c:pt>
                <c:pt idx="8">
                  <c:v>0.16340198339753736</c:v>
                </c:pt>
                <c:pt idx="9">
                  <c:v>0.14420312292652701</c:v>
                </c:pt>
                <c:pt idx="10">
                  <c:v>0.17103448275862448</c:v>
                </c:pt>
                <c:pt idx="11">
                  <c:v>3.813174619186941E-2</c:v>
                </c:pt>
                <c:pt idx="12">
                  <c:v>0.11089046822742395</c:v>
                </c:pt>
                <c:pt idx="13">
                  <c:v>1</c:v>
                </c:pt>
                <c:pt idx="14">
                  <c:v>1</c:v>
                </c:pt>
              </c:numCache>
            </c:numRef>
          </c:val>
        </c:ser>
        <c:ser>
          <c:idx val="1"/>
          <c:order val="1"/>
          <c:tx>
            <c:strRef>
              <c:f>struktura!$BQ$24</c:f>
              <c:strCache>
                <c:ptCount val="1"/>
                <c:pt idx="0">
                  <c:v>Užsienio valiuta</c:v>
                </c:pt>
              </c:strCache>
            </c:strRef>
          </c:tx>
          <c:cat>
            <c:multiLvlStrRef>
              <c:f>struktura!$BR$21:$CF$22</c:f>
              <c:multiLvlStrCache>
                <c:ptCount val="15"/>
                <c:lvl>
                  <c:pt idx="0">
                    <c:v>2008</c:v>
                  </c:pt>
                  <c:pt idx="1">
                    <c:v>2009</c:v>
                  </c:pt>
                  <c:pt idx="2">
                    <c:v>2010</c:v>
                  </c:pt>
                  <c:pt idx="3">
                    <c:v>2011</c:v>
                  </c:pt>
                  <c:pt idx="4">
                    <c:v>2012</c:v>
                  </c:pt>
                  <c:pt idx="5">
                    <c:v>2008</c:v>
                  </c:pt>
                  <c:pt idx="6">
                    <c:v>2009</c:v>
                  </c:pt>
                  <c:pt idx="7">
                    <c:v>2010</c:v>
                  </c:pt>
                  <c:pt idx="8">
                    <c:v>2011</c:v>
                  </c:pt>
                  <c:pt idx="9">
                    <c:v>2012</c:v>
                  </c:pt>
                  <c:pt idx="10">
                    <c:v>2008</c:v>
                  </c:pt>
                  <c:pt idx="11">
                    <c:v>2009</c:v>
                  </c:pt>
                  <c:pt idx="12">
                    <c:v>2010</c:v>
                  </c:pt>
                  <c:pt idx="13">
                    <c:v>2011</c:v>
                  </c:pt>
                  <c:pt idx="14">
                    <c:v>2012</c:v>
                  </c:pt>
                </c:lvl>
                <c:lvl>
                  <c:pt idx="0">
                    <c:v>Lietuva</c:v>
                  </c:pt>
                  <c:pt idx="5">
                    <c:v>Latvija</c:v>
                  </c:pt>
                  <c:pt idx="10">
                    <c:v>Estija</c:v>
                  </c:pt>
                </c:lvl>
              </c:multiLvlStrCache>
            </c:multiLvlStrRef>
          </c:cat>
          <c:val>
            <c:numRef>
              <c:f>struktura!$BR$24:$CF$24</c:f>
              <c:numCache>
                <c:formatCode>#.#00%</c:formatCode>
                <c:ptCount val="15"/>
                <c:pt idx="0">
                  <c:v>0.823751515271954</c:v>
                </c:pt>
                <c:pt idx="1">
                  <c:v>0.91517485828355283</c:v>
                </c:pt>
                <c:pt idx="2">
                  <c:v>0.87871518951050565</c:v>
                </c:pt>
                <c:pt idx="3">
                  <c:v>0.86470037847818615</c:v>
                </c:pt>
                <c:pt idx="4">
                  <c:v>0.83098454222950446</c:v>
                </c:pt>
                <c:pt idx="5">
                  <c:v>0.58553744768011351</c:v>
                </c:pt>
                <c:pt idx="6">
                  <c:v>0.74744087800412495</c:v>
                </c:pt>
                <c:pt idx="7">
                  <c:v>0.81985225418260199</c:v>
                </c:pt>
                <c:pt idx="8">
                  <c:v>0.83659801660248889</c:v>
                </c:pt>
                <c:pt idx="9">
                  <c:v>0.85579687707350305</c:v>
                </c:pt>
                <c:pt idx="10">
                  <c:v>0.82896551724139345</c:v>
                </c:pt>
                <c:pt idx="11">
                  <c:v>0.96186825380814445</c:v>
                </c:pt>
                <c:pt idx="12">
                  <c:v>0.88910953177257501</c:v>
                </c:pt>
                <c:pt idx="13">
                  <c:v>0</c:v>
                </c:pt>
                <c:pt idx="14">
                  <c:v>0</c:v>
                </c:pt>
              </c:numCache>
            </c:numRef>
          </c:val>
        </c:ser>
        <c:overlap val="100"/>
        <c:axId val="237962368"/>
        <c:axId val="237963904"/>
      </c:barChart>
      <c:catAx>
        <c:axId val="237962368"/>
        <c:scaling>
          <c:orientation val="minMax"/>
        </c:scaling>
        <c:axPos val="b"/>
        <c:tickLblPos val="nextTo"/>
        <c:crossAx val="237963904"/>
        <c:crosses val="autoZero"/>
        <c:auto val="1"/>
        <c:lblAlgn val="ctr"/>
        <c:lblOffset val="100"/>
      </c:catAx>
      <c:valAx>
        <c:axId val="237963904"/>
        <c:scaling>
          <c:orientation val="minMax"/>
          <c:max val="1"/>
        </c:scaling>
        <c:axPos val="l"/>
        <c:majorGridlines/>
        <c:numFmt formatCode="#.#00%" sourceLinked="1"/>
        <c:tickLblPos val="nextTo"/>
        <c:crossAx val="237962368"/>
        <c:crosses val="autoZero"/>
        <c:crossBetween val="between"/>
      </c:valAx>
    </c:plotArea>
    <c:legend>
      <c:legendPos val="r"/>
    </c:legend>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en-US"/>
  <c:chart>
    <c:plotArea>
      <c:layout/>
      <c:barChart>
        <c:barDir val="col"/>
        <c:grouping val="clustered"/>
        <c:ser>
          <c:idx val="0"/>
          <c:order val="0"/>
          <c:tx>
            <c:strRef>
              <c:f>programa!$F$12</c:f>
              <c:strCache>
                <c:ptCount val="1"/>
                <c:pt idx="0">
                  <c:v>Lietuva</c:v>
                </c:pt>
              </c:strCache>
            </c:strRef>
          </c:tx>
          <c:dLbls>
            <c:dLbl>
              <c:idx val="2"/>
              <c:layout>
                <c:manualLayout>
                  <c:x val="0"/>
                  <c:y val="1.904761904761915E-2"/>
                </c:manualLayout>
              </c:layout>
              <c:dLblPos val="outEnd"/>
              <c:showVal val="1"/>
            </c:dLbl>
            <c:dLbl>
              <c:idx val="4"/>
              <c:layout>
                <c:manualLayout>
                  <c:x val="0"/>
                  <c:y val="1.5325670498084329E-2"/>
                </c:manualLayout>
              </c:layout>
              <c:tx>
                <c:rich>
                  <a:bodyPr/>
                  <a:lstStyle/>
                  <a:p>
                    <a:r>
                      <a:rPr lang="en-US" b="1"/>
                      <a:t>10,5</a:t>
                    </a:r>
                  </a:p>
                </c:rich>
              </c:tx>
              <c:dLblPos val="outEnd"/>
              <c:showVal val="1"/>
            </c:dLbl>
            <c:dLbl>
              <c:idx val="5"/>
              <c:layout>
                <c:manualLayout>
                  <c:x val="-4.3360433604336434E-3"/>
                  <c:y val="2.8571313643266007E-2"/>
                </c:manualLayout>
              </c:layout>
              <c:numFmt formatCode="#.##0,0" sourceLinked="0"/>
              <c:spPr/>
              <c:txPr>
                <a:bodyPr/>
                <a:lstStyle/>
                <a:p>
                  <a:pPr>
                    <a:defRPr b="1"/>
                  </a:pPr>
                  <a:endParaRPr lang="en-US"/>
                </a:p>
              </c:txPr>
              <c:dLblPos val="outEnd"/>
              <c:showVal val="1"/>
            </c:dLbl>
            <c:numFmt formatCode="#.##0,0" sourceLinked="0"/>
            <c:dLblPos val="outEnd"/>
            <c:showVal val="1"/>
          </c:dLbls>
          <c:cat>
            <c:strRef>
              <c:f>programa!$G$11:$L$11</c:f>
              <c:strCache>
                <c:ptCount val="6"/>
                <c:pt idx="0">
                  <c:v>2009</c:v>
                </c:pt>
                <c:pt idx="1">
                  <c:v>2010</c:v>
                </c:pt>
                <c:pt idx="2">
                  <c:v>2011</c:v>
                </c:pt>
                <c:pt idx="3">
                  <c:v>2012</c:v>
                </c:pt>
                <c:pt idx="4">
                  <c:v>2013P</c:v>
                </c:pt>
                <c:pt idx="5">
                  <c:v>2014P</c:v>
                </c:pt>
              </c:strCache>
            </c:strRef>
          </c:cat>
          <c:val>
            <c:numRef>
              <c:f>programa!$G$12:$L$12</c:f>
              <c:numCache>
                <c:formatCode>#.#00</c:formatCode>
                <c:ptCount val="6"/>
                <c:pt idx="0">
                  <c:v>55.29898054490203</c:v>
                </c:pt>
                <c:pt idx="1">
                  <c:v>33.889542918564928</c:v>
                </c:pt>
                <c:pt idx="2">
                  <c:v>13.381183576726086</c:v>
                </c:pt>
                <c:pt idx="3">
                  <c:v>12.38947004627717</c:v>
                </c:pt>
                <c:pt idx="4">
                  <c:v>10.511173375396533</c:v>
                </c:pt>
                <c:pt idx="5">
                  <c:v>1.6347392026576384</c:v>
                </c:pt>
              </c:numCache>
            </c:numRef>
          </c:val>
        </c:ser>
        <c:ser>
          <c:idx val="1"/>
          <c:order val="1"/>
          <c:tx>
            <c:strRef>
              <c:f>programa!$F$13</c:f>
              <c:strCache>
                <c:ptCount val="1"/>
                <c:pt idx="0">
                  <c:v>Latvija</c:v>
                </c:pt>
              </c:strCache>
            </c:strRef>
          </c:tx>
          <c:dLbls>
            <c:dLbl>
              <c:idx val="0"/>
              <c:layout>
                <c:manualLayout>
                  <c:x val="6.5040650406504004E-3"/>
                  <c:y val="2.3809523809523812E-2"/>
                </c:manualLayout>
              </c:layout>
              <c:dLblPos val="outEnd"/>
              <c:showVal val="1"/>
            </c:dLbl>
            <c:dLbl>
              <c:idx val="1"/>
              <c:layout>
                <c:manualLayout>
                  <c:x val="4.3360433604336529E-3"/>
                  <c:y val="2.3809523809523812E-2"/>
                </c:manualLayout>
              </c:layout>
              <c:dLblPos val="outEnd"/>
              <c:showVal val="1"/>
            </c:dLbl>
            <c:dLbl>
              <c:idx val="2"/>
              <c:layout>
                <c:manualLayout>
                  <c:x val="0"/>
                  <c:y val="1.904761904761915E-2"/>
                </c:manualLayout>
              </c:layout>
              <c:dLblPos val="outEnd"/>
              <c:showVal val="1"/>
            </c:dLbl>
            <c:dLbl>
              <c:idx val="4"/>
              <c:layout>
                <c:manualLayout>
                  <c:x val="-6.5040650406504108E-3"/>
                  <c:y val="0"/>
                </c:manualLayout>
              </c:layout>
              <c:numFmt formatCode="#.##0,0" sourceLinked="0"/>
              <c:spPr/>
              <c:txPr>
                <a:bodyPr/>
                <a:lstStyle/>
                <a:p>
                  <a:pPr>
                    <a:defRPr b="1"/>
                  </a:pPr>
                  <a:endParaRPr lang="en-US"/>
                </a:p>
              </c:txPr>
              <c:dLblPos val="outEnd"/>
              <c:showVal val="1"/>
            </c:dLbl>
            <c:dLbl>
              <c:idx val="5"/>
              <c:layout>
                <c:manualLayout>
                  <c:x val="-2.1680216802168191E-3"/>
                  <c:y val="2.8571428571428605E-2"/>
                </c:manualLayout>
              </c:layout>
              <c:numFmt formatCode="#.##0,0" sourceLinked="0"/>
              <c:spPr/>
              <c:txPr>
                <a:bodyPr/>
                <a:lstStyle/>
                <a:p>
                  <a:pPr>
                    <a:defRPr b="1"/>
                  </a:pPr>
                  <a:endParaRPr lang="en-US"/>
                </a:p>
              </c:txPr>
              <c:dLblPos val="outEnd"/>
              <c:showVal val="1"/>
            </c:dLbl>
            <c:numFmt formatCode="#.##0,0" sourceLinked="0"/>
            <c:dLblPos val="outEnd"/>
            <c:showVal val="1"/>
          </c:dLbls>
          <c:cat>
            <c:strRef>
              <c:f>programa!$G$11:$L$11</c:f>
              <c:strCache>
                <c:ptCount val="6"/>
                <c:pt idx="0">
                  <c:v>2009</c:v>
                </c:pt>
                <c:pt idx="1">
                  <c:v>2010</c:v>
                </c:pt>
                <c:pt idx="2">
                  <c:v>2011</c:v>
                </c:pt>
                <c:pt idx="3">
                  <c:v>2012</c:v>
                </c:pt>
                <c:pt idx="4">
                  <c:v>2013P</c:v>
                </c:pt>
                <c:pt idx="5">
                  <c:v>2014P</c:v>
                </c:pt>
              </c:strCache>
            </c:strRef>
          </c:cat>
          <c:val>
            <c:numRef>
              <c:f>programa!$G$13:$L$13</c:f>
              <c:numCache>
                <c:formatCode>#.#00</c:formatCode>
                <c:ptCount val="6"/>
                <c:pt idx="0">
                  <c:v>51.280683030949852</c:v>
                </c:pt>
                <c:pt idx="1">
                  <c:v>17.720458553791829</c:v>
                </c:pt>
                <c:pt idx="2">
                  <c:v>6.6319587500156096</c:v>
                </c:pt>
                <c:pt idx="3">
                  <c:v>5.8202297181795926</c:v>
                </c:pt>
                <c:pt idx="4">
                  <c:v>-6.6227409263871646</c:v>
                </c:pt>
                <c:pt idx="5">
                  <c:v>4.8245320227293851</c:v>
                </c:pt>
              </c:numCache>
            </c:numRef>
          </c:val>
        </c:ser>
        <c:ser>
          <c:idx val="2"/>
          <c:order val="2"/>
          <c:tx>
            <c:strRef>
              <c:f>programa!$F$14</c:f>
              <c:strCache>
                <c:ptCount val="1"/>
                <c:pt idx="0">
                  <c:v>Estija</c:v>
                </c:pt>
              </c:strCache>
            </c:strRef>
          </c:tx>
          <c:dLbls>
            <c:dLbl>
              <c:idx val="0"/>
              <c:layout>
                <c:manualLayout>
                  <c:x val="4.3360433604336737E-3"/>
                  <c:y val="3.3333333333333305E-2"/>
                </c:manualLayout>
              </c:layout>
              <c:numFmt formatCode="#.##0,0" sourceLinked="0"/>
              <c:spPr/>
              <c:txPr>
                <a:bodyPr/>
                <a:lstStyle/>
                <a:p>
                  <a:pPr>
                    <a:defRPr b="0"/>
                  </a:pPr>
                  <a:endParaRPr lang="en-US"/>
                </a:p>
              </c:txPr>
              <c:dLblPos val="outEnd"/>
              <c:showVal val="1"/>
            </c:dLbl>
            <c:dLbl>
              <c:idx val="1"/>
              <c:layout>
                <c:manualLayout>
                  <c:x val="2.1680216802167796E-3"/>
                  <c:y val="3.8095238095238099E-2"/>
                </c:manualLayout>
              </c:layout>
              <c:numFmt formatCode="#.##0,0" sourceLinked="0"/>
              <c:spPr/>
              <c:txPr>
                <a:bodyPr/>
                <a:lstStyle/>
                <a:p>
                  <a:pPr>
                    <a:defRPr b="0"/>
                  </a:pPr>
                  <a:endParaRPr lang="en-US"/>
                </a:p>
              </c:txPr>
              <c:dLblPos val="outEnd"/>
              <c:showVal val="1"/>
            </c:dLbl>
            <c:dLbl>
              <c:idx val="2"/>
              <c:layout>
                <c:manualLayout>
                  <c:x val="4.3360433604336529E-3"/>
                  <c:y val="2.8571428571428605E-2"/>
                </c:manualLayout>
              </c:layout>
              <c:numFmt formatCode="#.##0,0" sourceLinked="0"/>
              <c:spPr/>
              <c:txPr>
                <a:bodyPr/>
                <a:lstStyle/>
                <a:p>
                  <a:pPr>
                    <a:defRPr b="0"/>
                  </a:pPr>
                  <a:endParaRPr lang="en-US"/>
                </a:p>
              </c:txPr>
              <c:dLblPos val="outEnd"/>
              <c:showVal val="1"/>
            </c:dLbl>
            <c:dLbl>
              <c:idx val="3"/>
              <c:numFmt formatCode="#.##0,0" sourceLinked="0"/>
              <c:spPr/>
              <c:txPr>
                <a:bodyPr/>
                <a:lstStyle/>
                <a:p>
                  <a:pPr>
                    <a:defRPr b="0"/>
                  </a:pPr>
                  <a:endParaRPr lang="en-US"/>
                </a:p>
              </c:txPr>
            </c:dLbl>
            <c:dLbl>
              <c:idx val="4"/>
              <c:layout>
                <c:manualLayout>
                  <c:x val="0"/>
                  <c:y val="3.0651340996168612E-2"/>
                </c:manualLayout>
              </c:layout>
              <c:dLblPos val="outEnd"/>
              <c:showVal val="1"/>
            </c:dLbl>
            <c:dLbl>
              <c:idx val="5"/>
              <c:layout>
                <c:manualLayout>
                  <c:x val="2.1680216802168191E-3"/>
                  <c:y val="1.4285714285714303E-2"/>
                </c:manualLayout>
              </c:layout>
              <c:dLblPos val="outEnd"/>
              <c:showVal val="1"/>
            </c:dLbl>
            <c:numFmt formatCode="#.##0,0" sourceLinked="0"/>
            <c:txPr>
              <a:bodyPr/>
              <a:lstStyle/>
              <a:p>
                <a:pPr>
                  <a:defRPr b="1"/>
                </a:pPr>
                <a:endParaRPr lang="en-US"/>
              </a:p>
            </c:txPr>
            <c:dLblPos val="outEnd"/>
            <c:showVal val="1"/>
          </c:dLbls>
          <c:cat>
            <c:strRef>
              <c:f>programa!$G$11:$L$11</c:f>
              <c:strCache>
                <c:ptCount val="6"/>
                <c:pt idx="0">
                  <c:v>2009</c:v>
                </c:pt>
                <c:pt idx="1">
                  <c:v>2010</c:v>
                </c:pt>
                <c:pt idx="2">
                  <c:v>2011</c:v>
                </c:pt>
                <c:pt idx="3">
                  <c:v>2012</c:v>
                </c:pt>
                <c:pt idx="4">
                  <c:v>2013P</c:v>
                </c:pt>
                <c:pt idx="5">
                  <c:v>2014P</c:v>
                </c:pt>
              </c:strCache>
            </c:strRef>
          </c:cat>
          <c:val>
            <c:numRef>
              <c:f>programa!$G$14:$L$14</c:f>
              <c:numCache>
                <c:formatCode>#.#00</c:formatCode>
                <c:ptCount val="6"/>
                <c:pt idx="0">
                  <c:v>34.431787360998044</c:v>
                </c:pt>
                <c:pt idx="1">
                  <c:v>-3.0263290628467758</c:v>
                </c:pt>
                <c:pt idx="2">
                  <c:v>2.1949443461978753</c:v>
                </c:pt>
                <c:pt idx="3">
                  <c:v>74.27728013029315</c:v>
                </c:pt>
                <c:pt idx="4">
                  <c:v>-29.67568258843513</c:v>
                </c:pt>
                <c:pt idx="5">
                  <c:v>7.0017708022890774</c:v>
                </c:pt>
              </c:numCache>
            </c:numRef>
          </c:val>
        </c:ser>
        <c:dLbls>
          <c:showVal val="1"/>
        </c:dLbls>
        <c:axId val="238043136"/>
        <c:axId val="238045056"/>
      </c:barChart>
      <c:catAx>
        <c:axId val="238043136"/>
        <c:scaling>
          <c:orientation val="minMax"/>
        </c:scaling>
        <c:axPos val="b"/>
        <c:title>
          <c:tx>
            <c:rich>
              <a:bodyPr/>
              <a:lstStyle/>
              <a:p>
                <a:pPr>
                  <a:defRPr/>
                </a:pPr>
                <a:r>
                  <a:rPr lang="en-US"/>
                  <a:t>Metai</a:t>
                </a:r>
              </a:p>
            </c:rich>
          </c:tx>
        </c:title>
        <c:tickLblPos val="nextTo"/>
        <c:crossAx val="238045056"/>
        <c:crosses val="autoZero"/>
        <c:auto val="1"/>
        <c:lblAlgn val="ctr"/>
        <c:lblOffset val="100"/>
      </c:catAx>
      <c:valAx>
        <c:axId val="238045056"/>
        <c:scaling>
          <c:orientation val="minMax"/>
        </c:scaling>
        <c:axPos val="l"/>
        <c:majorGridlines/>
        <c:title>
          <c:tx>
            <c:rich>
              <a:bodyPr rot="-5400000" vert="horz"/>
              <a:lstStyle/>
              <a:p>
                <a:pPr>
                  <a:defRPr/>
                </a:pPr>
                <a:r>
                  <a:rPr lang="en-US"/>
                  <a:t>proc.</a:t>
                </a:r>
              </a:p>
            </c:rich>
          </c:tx>
        </c:title>
        <c:numFmt formatCode="#.#00" sourceLinked="1"/>
        <c:tickLblPos val="nextTo"/>
        <c:crossAx val="238043136"/>
        <c:crosses val="autoZero"/>
        <c:crossBetween val="between"/>
      </c:valAx>
    </c:plotArea>
    <c:legend>
      <c:legendPos val="r"/>
    </c:legend>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arima!$N$27</c:f>
              <c:strCache>
                <c:ptCount val="1"/>
                <c:pt idx="0">
                  <c:v>Lietuva</c:v>
                </c:pt>
              </c:strCache>
            </c:strRef>
          </c:tx>
          <c:dLbls>
            <c:dLbl>
              <c:idx val="0"/>
              <c:layout>
                <c:manualLayout>
                  <c:x val="0"/>
                  <c:y val="1.8518518518518642E-2"/>
                </c:manualLayout>
              </c:layout>
              <c:dLblPos val="outEnd"/>
              <c:showVal val="1"/>
            </c:dLbl>
            <c:dLbl>
              <c:idx val="1"/>
              <c:layout>
                <c:manualLayout>
                  <c:x val="-2.1265284423179417E-3"/>
                  <c:y val="2.7777777777778043E-2"/>
                </c:manualLayout>
              </c:layout>
              <c:dLblPos val="outEnd"/>
              <c:showVal val="1"/>
            </c:dLbl>
            <c:dLbl>
              <c:idx val="2"/>
              <c:layout>
                <c:manualLayout>
                  <c:x val="-2.1265284423179417E-3"/>
                  <c:y val="1.8518518518518642E-2"/>
                </c:manualLayout>
              </c:layout>
              <c:dLblPos val="outEnd"/>
              <c:showVal val="1"/>
            </c:dLbl>
            <c:dLbl>
              <c:idx val="3"/>
              <c:layout>
                <c:manualLayout>
                  <c:x val="0"/>
                  <c:y val="2.3148148148148077E-2"/>
                </c:manualLayout>
              </c:layout>
              <c:dLblPos val="outEnd"/>
              <c:showVal val="1"/>
            </c:dLbl>
            <c:dLbl>
              <c:idx val="4"/>
              <c:layout>
                <c:manualLayout>
                  <c:x val="-2.1265284423179417E-3"/>
                  <c:y val="2.7777777777778043E-2"/>
                </c:manualLayout>
              </c:layout>
              <c:numFmt formatCode="#.##0,0" sourceLinked="0"/>
              <c:spPr/>
              <c:txPr>
                <a:bodyPr/>
                <a:lstStyle/>
                <a:p>
                  <a:pPr>
                    <a:defRPr b="1"/>
                  </a:pPr>
                  <a:endParaRPr lang="en-US"/>
                </a:p>
              </c:txPr>
              <c:dLblPos val="outEnd"/>
              <c:showVal val="1"/>
            </c:dLbl>
            <c:dLbl>
              <c:idx val="5"/>
              <c:layout>
                <c:manualLayout>
                  <c:x val="-3.7653640681086925E-3"/>
                  <c:y val="1.4488188976377953E-2"/>
                </c:manualLayout>
              </c:layout>
              <c:numFmt formatCode="#.##0,0" sourceLinked="0"/>
              <c:spPr/>
              <c:txPr>
                <a:bodyPr/>
                <a:lstStyle/>
                <a:p>
                  <a:pPr>
                    <a:defRPr b="1"/>
                  </a:pPr>
                  <a:endParaRPr lang="en-US"/>
                </a:p>
              </c:txPr>
              <c:dLblPos val="outEnd"/>
              <c:showVal val="1"/>
            </c:dLbl>
            <c:numFmt formatCode="#.##0,0" sourceLinked="0"/>
            <c:dLblPos val="outEnd"/>
            <c:showVal val="1"/>
          </c:dLbls>
          <c:cat>
            <c:strRef>
              <c:f>arima!$O$26:$T$26</c:f>
              <c:strCache>
                <c:ptCount val="6"/>
                <c:pt idx="0">
                  <c:v>2009</c:v>
                </c:pt>
                <c:pt idx="1">
                  <c:v>2010</c:v>
                </c:pt>
                <c:pt idx="2">
                  <c:v>2011</c:v>
                </c:pt>
                <c:pt idx="3">
                  <c:v>2012</c:v>
                </c:pt>
                <c:pt idx="4">
                  <c:v>2013P</c:v>
                </c:pt>
                <c:pt idx="5">
                  <c:v>2014P</c:v>
                </c:pt>
              </c:strCache>
            </c:strRef>
          </c:cat>
          <c:val>
            <c:numRef>
              <c:f>arima!$O$27:$T$27</c:f>
              <c:numCache>
                <c:formatCode>#.#00</c:formatCode>
                <c:ptCount val="6"/>
                <c:pt idx="0">
                  <c:v>55.29898054490203</c:v>
                </c:pt>
                <c:pt idx="1">
                  <c:v>33.889542918564928</c:v>
                </c:pt>
                <c:pt idx="2">
                  <c:v>13.381183576726086</c:v>
                </c:pt>
                <c:pt idx="3">
                  <c:v>12.38947004627717</c:v>
                </c:pt>
                <c:pt idx="4">
                  <c:v>14.947011572702518</c:v>
                </c:pt>
                <c:pt idx="5">
                  <c:v>9.9634607855931137</c:v>
                </c:pt>
              </c:numCache>
            </c:numRef>
          </c:val>
        </c:ser>
        <c:ser>
          <c:idx val="1"/>
          <c:order val="1"/>
          <c:tx>
            <c:strRef>
              <c:f>arima!$N$28</c:f>
              <c:strCache>
                <c:ptCount val="1"/>
                <c:pt idx="0">
                  <c:v>Latvija</c:v>
                </c:pt>
              </c:strCache>
            </c:strRef>
          </c:tx>
          <c:dLbls>
            <c:dLbl>
              <c:idx val="0"/>
              <c:layout>
                <c:manualLayout>
                  <c:x val="6.3795853269537324E-3"/>
                  <c:y val="2.7777777777778043E-2"/>
                </c:manualLayout>
              </c:layout>
              <c:dLblPos val="outEnd"/>
              <c:showVal val="1"/>
            </c:dLbl>
            <c:dLbl>
              <c:idx val="1"/>
              <c:layout>
                <c:manualLayout>
                  <c:x val="4.2530568846358514E-3"/>
                  <c:y val="2.7777777777778043E-2"/>
                </c:manualLayout>
              </c:layout>
              <c:dLblPos val="outEnd"/>
              <c:showVal val="1"/>
            </c:dLbl>
            <c:dLbl>
              <c:idx val="2"/>
              <c:layout>
                <c:manualLayout>
                  <c:x val="0"/>
                  <c:y val="2.7777777777778043E-2"/>
                </c:manualLayout>
              </c:layout>
              <c:dLblPos val="outEnd"/>
              <c:showVal val="1"/>
            </c:dLbl>
            <c:dLbl>
              <c:idx val="3"/>
              <c:layout>
                <c:manualLayout>
                  <c:x val="0"/>
                  <c:y val="1.3888888888888947E-2"/>
                </c:manualLayout>
              </c:layout>
              <c:dLblPos val="outEnd"/>
              <c:showVal val="1"/>
            </c:dLbl>
            <c:dLbl>
              <c:idx val="4"/>
              <c:layout>
                <c:manualLayout>
                  <c:x val="1.2759170653907531E-2"/>
                  <c:y val="9.2592592592593385E-3"/>
                </c:manualLayout>
              </c:layout>
              <c:numFmt formatCode="#.##0,0" sourceLinked="0"/>
              <c:spPr/>
              <c:txPr>
                <a:bodyPr/>
                <a:lstStyle/>
                <a:p>
                  <a:pPr>
                    <a:defRPr b="1"/>
                  </a:pPr>
                  <a:endParaRPr lang="en-US"/>
                </a:p>
              </c:txPr>
              <c:dLblPos val="outEnd"/>
              <c:showVal val="1"/>
            </c:dLbl>
            <c:dLbl>
              <c:idx val="5"/>
              <c:layout>
                <c:manualLayout>
                  <c:x val="4.4969083754918789E-3"/>
                  <c:y val="3.8834439812670499E-2"/>
                </c:manualLayout>
              </c:layout>
              <c:numFmt formatCode="#.##0,0" sourceLinked="0"/>
              <c:spPr/>
              <c:txPr>
                <a:bodyPr/>
                <a:lstStyle/>
                <a:p>
                  <a:pPr>
                    <a:defRPr b="1"/>
                  </a:pPr>
                  <a:endParaRPr lang="en-US"/>
                </a:p>
              </c:txPr>
              <c:dLblPos val="outEnd"/>
              <c:showVal val="1"/>
            </c:dLbl>
            <c:numFmt formatCode="#.##0,0" sourceLinked="0"/>
            <c:dLblPos val="outEnd"/>
            <c:showVal val="1"/>
          </c:dLbls>
          <c:cat>
            <c:strRef>
              <c:f>arima!$O$26:$T$26</c:f>
              <c:strCache>
                <c:ptCount val="6"/>
                <c:pt idx="0">
                  <c:v>2009</c:v>
                </c:pt>
                <c:pt idx="1">
                  <c:v>2010</c:v>
                </c:pt>
                <c:pt idx="2">
                  <c:v>2011</c:v>
                </c:pt>
                <c:pt idx="3">
                  <c:v>2012</c:v>
                </c:pt>
                <c:pt idx="4">
                  <c:v>2013P</c:v>
                </c:pt>
                <c:pt idx="5">
                  <c:v>2014P</c:v>
                </c:pt>
              </c:strCache>
            </c:strRef>
          </c:cat>
          <c:val>
            <c:numRef>
              <c:f>arima!$O$28:$T$28</c:f>
              <c:numCache>
                <c:formatCode>#.#00</c:formatCode>
                <c:ptCount val="6"/>
                <c:pt idx="0">
                  <c:v>51.280683030949852</c:v>
                </c:pt>
                <c:pt idx="1">
                  <c:v>17.720458553791829</c:v>
                </c:pt>
                <c:pt idx="2">
                  <c:v>6.6319587500156096</c:v>
                </c:pt>
                <c:pt idx="3">
                  <c:v>5.8202297181795926</c:v>
                </c:pt>
                <c:pt idx="4">
                  <c:v>15.689311794644818</c:v>
                </c:pt>
                <c:pt idx="5">
                  <c:v>10.520275439938768</c:v>
                </c:pt>
              </c:numCache>
            </c:numRef>
          </c:val>
        </c:ser>
        <c:ser>
          <c:idx val="2"/>
          <c:order val="2"/>
          <c:tx>
            <c:strRef>
              <c:f>arima!$N$29</c:f>
              <c:strCache>
                <c:ptCount val="1"/>
                <c:pt idx="0">
                  <c:v>Estija</c:v>
                </c:pt>
              </c:strCache>
            </c:strRef>
          </c:tx>
          <c:dLbls>
            <c:dLbl>
              <c:idx val="0"/>
              <c:layout>
                <c:manualLayout>
                  <c:x val="4.2530568846358514E-3"/>
                  <c:y val="2.3148148148148077E-2"/>
                </c:manualLayout>
              </c:layout>
              <c:dLblPos val="outEnd"/>
              <c:showVal val="1"/>
            </c:dLbl>
            <c:dLbl>
              <c:idx val="1"/>
              <c:layout>
                <c:manualLayout>
                  <c:x val="2.1265284423179417E-3"/>
                  <c:y val="3.7037766112569537E-2"/>
                </c:manualLayout>
              </c:layout>
              <c:dLblPos val="outEnd"/>
              <c:showVal val="1"/>
            </c:dLbl>
            <c:dLbl>
              <c:idx val="2"/>
              <c:layout>
                <c:manualLayout>
                  <c:x val="4.2530568846358514E-3"/>
                  <c:y val="2.7777777777778043E-2"/>
                </c:manualLayout>
              </c:layout>
              <c:dLblPos val="outEnd"/>
              <c:showVal val="1"/>
            </c:dLbl>
            <c:dLbl>
              <c:idx val="3"/>
              <c:layout>
                <c:manualLayout>
                  <c:x val="-7.7971808814669345E-17"/>
                  <c:y val="1.8518518518518642E-2"/>
                </c:manualLayout>
              </c:layout>
              <c:dLblPos val="outEnd"/>
              <c:showVal val="1"/>
            </c:dLbl>
            <c:dLbl>
              <c:idx val="4"/>
              <c:layout>
                <c:manualLayout>
                  <c:x val="7.7971808814669345E-17"/>
                  <c:y val="2.7777777777778043E-2"/>
                </c:manualLayout>
              </c:layout>
              <c:numFmt formatCode="#.##0,0" sourceLinked="0"/>
              <c:spPr/>
              <c:txPr>
                <a:bodyPr/>
                <a:lstStyle/>
                <a:p>
                  <a:pPr>
                    <a:defRPr b="1"/>
                  </a:pPr>
                  <a:endParaRPr lang="en-US"/>
                </a:p>
              </c:txPr>
              <c:dLblPos val="outEnd"/>
              <c:showVal val="1"/>
            </c:dLbl>
            <c:dLbl>
              <c:idx val="5"/>
              <c:layout>
                <c:manualLayout>
                  <c:x val="4.4969083754918537E-3"/>
                  <c:y val="1.5686274509803921E-2"/>
                </c:manualLayout>
              </c:layout>
              <c:numFmt formatCode="#.##0,0" sourceLinked="0"/>
              <c:spPr/>
              <c:txPr>
                <a:bodyPr/>
                <a:lstStyle/>
                <a:p>
                  <a:pPr>
                    <a:defRPr b="1"/>
                  </a:pPr>
                  <a:endParaRPr lang="en-US"/>
                </a:p>
              </c:txPr>
              <c:dLblPos val="outEnd"/>
              <c:showVal val="1"/>
            </c:dLbl>
            <c:numFmt formatCode="#.##0,0" sourceLinked="0"/>
            <c:dLblPos val="outEnd"/>
            <c:showVal val="1"/>
          </c:dLbls>
          <c:cat>
            <c:strRef>
              <c:f>arima!$O$26:$T$26</c:f>
              <c:strCache>
                <c:ptCount val="6"/>
                <c:pt idx="0">
                  <c:v>2009</c:v>
                </c:pt>
                <c:pt idx="1">
                  <c:v>2010</c:v>
                </c:pt>
                <c:pt idx="2">
                  <c:v>2011</c:v>
                </c:pt>
                <c:pt idx="3">
                  <c:v>2012</c:v>
                </c:pt>
                <c:pt idx="4">
                  <c:v>2013P</c:v>
                </c:pt>
                <c:pt idx="5">
                  <c:v>2014P</c:v>
                </c:pt>
              </c:strCache>
            </c:strRef>
          </c:cat>
          <c:val>
            <c:numRef>
              <c:f>arima!$O$29:$T$29</c:f>
              <c:numCache>
                <c:formatCode>#.#00</c:formatCode>
                <c:ptCount val="6"/>
                <c:pt idx="0">
                  <c:v>34.431787360998044</c:v>
                </c:pt>
                <c:pt idx="1">
                  <c:v>-3.0263290628467758</c:v>
                </c:pt>
                <c:pt idx="2">
                  <c:v>2.1949443461978753</c:v>
                </c:pt>
                <c:pt idx="3">
                  <c:v>74.27728013029315</c:v>
                </c:pt>
                <c:pt idx="4">
                  <c:v>-15.892763273173324</c:v>
                </c:pt>
                <c:pt idx="5">
                  <c:v>13.88888888888888</c:v>
                </c:pt>
              </c:numCache>
            </c:numRef>
          </c:val>
        </c:ser>
        <c:dLbls>
          <c:showVal val="1"/>
        </c:dLbls>
        <c:axId val="238107264"/>
        <c:axId val="238125824"/>
      </c:barChart>
      <c:catAx>
        <c:axId val="238107264"/>
        <c:scaling>
          <c:orientation val="minMax"/>
        </c:scaling>
        <c:axPos val="b"/>
        <c:title>
          <c:tx>
            <c:rich>
              <a:bodyPr/>
              <a:lstStyle/>
              <a:p>
                <a:pPr>
                  <a:defRPr/>
                </a:pPr>
                <a:r>
                  <a:rPr lang="en-US"/>
                  <a:t>Metai</a:t>
                </a:r>
              </a:p>
            </c:rich>
          </c:tx>
        </c:title>
        <c:tickLblPos val="nextTo"/>
        <c:crossAx val="238125824"/>
        <c:crosses val="autoZero"/>
        <c:auto val="1"/>
        <c:lblAlgn val="ctr"/>
        <c:lblOffset val="100"/>
      </c:catAx>
      <c:valAx>
        <c:axId val="238125824"/>
        <c:scaling>
          <c:orientation val="minMax"/>
        </c:scaling>
        <c:axPos val="l"/>
        <c:majorGridlines/>
        <c:title>
          <c:tx>
            <c:rich>
              <a:bodyPr rot="-5400000" vert="horz"/>
              <a:lstStyle/>
              <a:p>
                <a:pPr>
                  <a:defRPr/>
                </a:pPr>
                <a:r>
                  <a:rPr lang="en-US"/>
                  <a:t>proc.</a:t>
                </a:r>
              </a:p>
            </c:rich>
          </c:tx>
        </c:title>
        <c:numFmt formatCode="#.#00" sourceLinked="1"/>
        <c:tickLblPos val="nextTo"/>
        <c:crossAx val="238107264"/>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plotArea>
      <c:layout/>
      <c:lineChart>
        <c:grouping val="standard"/>
        <c:ser>
          <c:idx val="0"/>
          <c:order val="0"/>
          <c:tx>
            <c:strRef>
              <c:f>'nedarbo lygis'!$AJ$5</c:f>
              <c:strCache>
                <c:ptCount val="1"/>
                <c:pt idx="0">
                  <c:v>Lietuva</c:v>
                </c:pt>
              </c:strCache>
            </c:strRef>
          </c:tx>
          <c:dLbls>
            <c:dLbl>
              <c:idx val="0"/>
              <c:layout>
                <c:manualLayout>
                  <c:x val="-2.5768111817348109E-2"/>
                  <c:y val="3.2882035578887199E-2"/>
                </c:manualLayout>
              </c:layout>
              <c:dLblPos val="r"/>
              <c:showVal val="1"/>
            </c:dLbl>
            <c:dLbl>
              <c:idx val="2"/>
              <c:layout>
                <c:manualLayout>
                  <c:x val="-3.5281124497991999E-2"/>
                  <c:y val="5.1042578011082007E-3"/>
                </c:manualLayout>
              </c:layout>
              <c:dLblPos val="r"/>
              <c:showVal val="1"/>
            </c:dLbl>
            <c:dLbl>
              <c:idx val="3"/>
              <c:layout>
                <c:manualLayout>
                  <c:x val="-3.6882648705056691E-2"/>
                  <c:y val="1.8993146689997121E-2"/>
                </c:manualLayout>
              </c:layout>
              <c:dLblPos val="r"/>
              <c:showVal val="1"/>
            </c:dLbl>
            <c:dLbl>
              <c:idx val="4"/>
              <c:layout>
                <c:manualLayout>
                  <c:x val="-3.2866584448028299E-2"/>
                  <c:y val="4.2141294838147672E-2"/>
                </c:manualLayout>
              </c:layout>
              <c:dLblPos val="r"/>
              <c:showVal val="1"/>
            </c:dLbl>
            <c:dLblPos val="b"/>
            <c:showVal val="1"/>
          </c:dLbls>
          <c:cat>
            <c:strRef>
              <c:f>'nedarbo lygis'!$AK$4:$AO$4</c:f>
              <c:strCache>
                <c:ptCount val="5"/>
                <c:pt idx="0">
                  <c:v>2008</c:v>
                </c:pt>
                <c:pt idx="1">
                  <c:v>2009</c:v>
                </c:pt>
                <c:pt idx="2">
                  <c:v>2010</c:v>
                </c:pt>
                <c:pt idx="3">
                  <c:v>2011</c:v>
                </c:pt>
                <c:pt idx="4">
                  <c:v>2012</c:v>
                </c:pt>
              </c:strCache>
            </c:strRef>
          </c:cat>
          <c:val>
            <c:numRef>
              <c:f>'nedarbo lygis'!$AK$5:$AO$5</c:f>
              <c:numCache>
                <c:formatCode>General</c:formatCode>
                <c:ptCount val="5"/>
                <c:pt idx="0">
                  <c:v>5.3</c:v>
                </c:pt>
                <c:pt idx="1">
                  <c:v>13.6</c:v>
                </c:pt>
                <c:pt idx="2">
                  <c:v>18</c:v>
                </c:pt>
                <c:pt idx="3">
                  <c:v>15.4</c:v>
                </c:pt>
                <c:pt idx="4">
                  <c:v>13.4</c:v>
                </c:pt>
              </c:numCache>
            </c:numRef>
          </c:val>
        </c:ser>
        <c:ser>
          <c:idx val="1"/>
          <c:order val="1"/>
          <c:tx>
            <c:strRef>
              <c:f>'nedarbo lygis'!$AJ$6</c:f>
              <c:strCache>
                <c:ptCount val="1"/>
                <c:pt idx="0">
                  <c:v>Latvija</c:v>
                </c:pt>
              </c:strCache>
            </c:strRef>
          </c:tx>
          <c:dLbls>
            <c:dLbl>
              <c:idx val="0"/>
              <c:layout>
                <c:manualLayout>
                  <c:x val="-3.0190842108591801E-2"/>
                  <c:y val="-3.6562408865558504E-2"/>
                </c:manualLayout>
              </c:layout>
              <c:dLblPos val="r"/>
              <c:showVal val="1"/>
            </c:dLbl>
            <c:dLbl>
              <c:idx val="1"/>
              <c:layout>
                <c:manualLayout>
                  <c:x val="-3.6882648705056691E-2"/>
                  <c:y val="-4.5821668124817819E-2"/>
                </c:manualLayout>
              </c:layout>
              <c:dLblPos val="r"/>
              <c:showVal val="1"/>
            </c:dLbl>
            <c:dLbl>
              <c:idx val="2"/>
              <c:layout>
                <c:manualLayout>
                  <c:x val="-3.6882648705056691E-2"/>
                  <c:y val="-4.5821668124817722E-2"/>
                </c:manualLayout>
              </c:layout>
              <c:dLblPos val="r"/>
              <c:showVal val="1"/>
            </c:dLbl>
            <c:dLbl>
              <c:idx val="3"/>
              <c:layout>
                <c:manualLayout>
                  <c:x val="-3.6882648705056691E-2"/>
                  <c:y val="-5.5080927384077022E-2"/>
                </c:manualLayout>
              </c:layout>
              <c:dLblPos val="r"/>
              <c:showVal val="1"/>
            </c:dLbl>
            <c:dLbl>
              <c:idx val="4"/>
              <c:layout>
                <c:manualLayout>
                  <c:x val="-2.5240963855421811E-2"/>
                  <c:y val="-5.0451297754447524E-2"/>
                </c:manualLayout>
              </c:layout>
              <c:dLblPos val="r"/>
              <c:showVal val="1"/>
            </c:dLbl>
            <c:dLblPos val="b"/>
            <c:showVal val="1"/>
          </c:dLbls>
          <c:cat>
            <c:strRef>
              <c:f>'nedarbo lygis'!$AK$4:$AO$4</c:f>
              <c:strCache>
                <c:ptCount val="5"/>
                <c:pt idx="0">
                  <c:v>2008</c:v>
                </c:pt>
                <c:pt idx="1">
                  <c:v>2009</c:v>
                </c:pt>
                <c:pt idx="2">
                  <c:v>2010</c:v>
                </c:pt>
                <c:pt idx="3">
                  <c:v>2011</c:v>
                </c:pt>
                <c:pt idx="4">
                  <c:v>2012</c:v>
                </c:pt>
              </c:strCache>
            </c:strRef>
          </c:cat>
          <c:val>
            <c:numRef>
              <c:f>'nedarbo lygis'!$AK$6:$AO$6</c:f>
              <c:numCache>
                <c:formatCode>General</c:formatCode>
                <c:ptCount val="5"/>
                <c:pt idx="0">
                  <c:v>8</c:v>
                </c:pt>
                <c:pt idx="1">
                  <c:v>18.2</c:v>
                </c:pt>
                <c:pt idx="2">
                  <c:v>19.8</c:v>
                </c:pt>
                <c:pt idx="3">
                  <c:v>16.2</c:v>
                </c:pt>
                <c:pt idx="4">
                  <c:v>15</c:v>
                </c:pt>
              </c:numCache>
            </c:numRef>
          </c:val>
        </c:ser>
        <c:ser>
          <c:idx val="2"/>
          <c:order val="2"/>
          <c:tx>
            <c:strRef>
              <c:f>'nedarbo lygis'!$AJ$7</c:f>
              <c:strCache>
                <c:ptCount val="1"/>
                <c:pt idx="0">
                  <c:v>Estija</c:v>
                </c:pt>
              </c:strCache>
            </c:strRef>
          </c:tx>
          <c:dLbls>
            <c:dLbl>
              <c:idx val="0"/>
              <c:layout>
                <c:manualLayout>
                  <c:x val="-4.1832368845460634E-2"/>
                  <c:y val="5.1042578011081113E-3"/>
                </c:manualLayout>
              </c:layout>
              <c:dLblPos val="r"/>
              <c:showVal val="1"/>
            </c:dLbl>
            <c:dLbl>
              <c:idx val="1"/>
              <c:layout>
                <c:manualLayout>
                  <c:x val="-3.6882648705056691E-2"/>
                  <c:y val="-4.1192038495188113E-2"/>
                </c:manualLayout>
              </c:layout>
              <c:dLblPos val="r"/>
              <c:showVal val="1"/>
            </c:dLbl>
            <c:dLblPos val="b"/>
            <c:showVal val="1"/>
          </c:dLbls>
          <c:cat>
            <c:strRef>
              <c:f>'nedarbo lygis'!$AK$4:$AO$4</c:f>
              <c:strCache>
                <c:ptCount val="5"/>
                <c:pt idx="0">
                  <c:v>2008</c:v>
                </c:pt>
                <c:pt idx="1">
                  <c:v>2009</c:v>
                </c:pt>
                <c:pt idx="2">
                  <c:v>2010</c:v>
                </c:pt>
                <c:pt idx="3">
                  <c:v>2011</c:v>
                </c:pt>
                <c:pt idx="4">
                  <c:v>2012</c:v>
                </c:pt>
              </c:strCache>
            </c:strRef>
          </c:cat>
          <c:val>
            <c:numRef>
              <c:f>'nedarbo lygis'!$AK$7:$AO$7</c:f>
              <c:numCache>
                <c:formatCode>General</c:formatCode>
                <c:ptCount val="5"/>
                <c:pt idx="0">
                  <c:v>5.5</c:v>
                </c:pt>
                <c:pt idx="1">
                  <c:v>13.8</c:v>
                </c:pt>
                <c:pt idx="2">
                  <c:v>16.899999999999999</c:v>
                </c:pt>
                <c:pt idx="3">
                  <c:v>12.5</c:v>
                </c:pt>
                <c:pt idx="4">
                  <c:v>10.200000000000001</c:v>
                </c:pt>
              </c:numCache>
            </c:numRef>
          </c:val>
        </c:ser>
        <c:dLbls>
          <c:showVal val="1"/>
        </c:dLbls>
        <c:marker val="1"/>
        <c:axId val="237468288"/>
        <c:axId val="237482752"/>
      </c:lineChart>
      <c:catAx>
        <c:axId val="237468288"/>
        <c:scaling>
          <c:orientation val="minMax"/>
        </c:scaling>
        <c:axPos val="b"/>
        <c:title>
          <c:tx>
            <c:rich>
              <a:bodyPr/>
              <a:lstStyle/>
              <a:p>
                <a:pPr>
                  <a:defRPr/>
                </a:pPr>
                <a:r>
                  <a:rPr lang="lt-LT"/>
                  <a:t>Metai</a:t>
                </a:r>
                <a:endParaRPr lang="en-US"/>
              </a:p>
            </c:rich>
          </c:tx>
        </c:title>
        <c:tickLblPos val="nextTo"/>
        <c:crossAx val="237482752"/>
        <c:crosses val="autoZero"/>
        <c:auto val="1"/>
        <c:lblAlgn val="ctr"/>
        <c:lblOffset val="100"/>
      </c:catAx>
      <c:valAx>
        <c:axId val="237482752"/>
        <c:scaling>
          <c:orientation val="minMax"/>
        </c:scaling>
        <c:axPos val="l"/>
        <c:majorGridlines/>
        <c:title>
          <c:tx>
            <c:rich>
              <a:bodyPr rot="-5400000" vert="horz"/>
              <a:lstStyle/>
              <a:p>
                <a:pPr>
                  <a:defRPr/>
                </a:pPr>
                <a:r>
                  <a:rPr lang="lt-LT"/>
                  <a:t>proc.</a:t>
                </a:r>
                <a:endParaRPr lang="en-US"/>
              </a:p>
            </c:rich>
          </c:tx>
        </c:title>
        <c:numFmt formatCode="General" sourceLinked="1"/>
        <c:tickLblPos val="nextTo"/>
        <c:crossAx val="237468288"/>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eksportas!$AD$16</c:f>
              <c:strCache>
                <c:ptCount val="1"/>
                <c:pt idx="0">
                  <c:v>Lietuva </c:v>
                </c:pt>
              </c:strCache>
            </c:strRef>
          </c:tx>
          <c:dLbls>
            <c:numFmt formatCode="#.##0,0" sourceLinked="0"/>
            <c:dLblPos val="ctr"/>
            <c:showVal val="1"/>
          </c:dLbls>
          <c:cat>
            <c:numRef>
              <c:f>eksportas!$AE$15:$AI$15</c:f>
              <c:numCache>
                <c:formatCode>General</c:formatCode>
                <c:ptCount val="5"/>
                <c:pt idx="0">
                  <c:v>2008</c:v>
                </c:pt>
                <c:pt idx="1">
                  <c:v>2009</c:v>
                </c:pt>
                <c:pt idx="2">
                  <c:v>2010</c:v>
                </c:pt>
                <c:pt idx="3">
                  <c:v>2011</c:v>
                </c:pt>
                <c:pt idx="4">
                  <c:v>2012</c:v>
                </c:pt>
              </c:numCache>
            </c:numRef>
          </c:cat>
          <c:val>
            <c:numRef>
              <c:f>eksportas!$AE$16:$AI$16</c:f>
              <c:numCache>
                <c:formatCode>##,#00</c:formatCode>
                <c:ptCount val="5"/>
                <c:pt idx="0">
                  <c:v>59.839297763415047</c:v>
                </c:pt>
                <c:pt idx="1">
                  <c:v>54.136000149821363</c:v>
                </c:pt>
                <c:pt idx="2">
                  <c:v>67.621611297895882</c:v>
                </c:pt>
                <c:pt idx="3">
                  <c:v>77.148564181830523</c:v>
                </c:pt>
                <c:pt idx="4">
                  <c:v>84.261900408364127</c:v>
                </c:pt>
              </c:numCache>
            </c:numRef>
          </c:val>
        </c:ser>
        <c:ser>
          <c:idx val="1"/>
          <c:order val="1"/>
          <c:tx>
            <c:strRef>
              <c:f>eksportas!$AD$17</c:f>
              <c:strCache>
                <c:ptCount val="1"/>
                <c:pt idx="0">
                  <c:v>Latvija </c:v>
                </c:pt>
              </c:strCache>
            </c:strRef>
          </c:tx>
          <c:dLbls>
            <c:numFmt formatCode="#.##0,0" sourceLinked="0"/>
            <c:dLblPos val="ctr"/>
            <c:showVal val="1"/>
          </c:dLbls>
          <c:cat>
            <c:numRef>
              <c:f>eksportas!$AE$15:$AI$15</c:f>
              <c:numCache>
                <c:formatCode>General</c:formatCode>
                <c:ptCount val="5"/>
                <c:pt idx="0">
                  <c:v>2008</c:v>
                </c:pt>
                <c:pt idx="1">
                  <c:v>2009</c:v>
                </c:pt>
                <c:pt idx="2">
                  <c:v>2010</c:v>
                </c:pt>
                <c:pt idx="3">
                  <c:v>2011</c:v>
                </c:pt>
                <c:pt idx="4">
                  <c:v>2012</c:v>
                </c:pt>
              </c:numCache>
            </c:numRef>
          </c:cat>
          <c:val>
            <c:numRef>
              <c:f>eksportas!$AE$17:$AI$17</c:f>
              <c:numCache>
                <c:formatCode>##,#00</c:formatCode>
                <c:ptCount val="5"/>
                <c:pt idx="0">
                  <c:v>43.232202810382461</c:v>
                </c:pt>
                <c:pt idx="1">
                  <c:v>43.756184657745038</c:v>
                </c:pt>
                <c:pt idx="2">
                  <c:v>53.738673845691913</c:v>
                </c:pt>
                <c:pt idx="3">
                  <c:v>61.07687167493382</c:v>
                </c:pt>
                <c:pt idx="4">
                  <c:v>62.055836988949402</c:v>
                </c:pt>
              </c:numCache>
            </c:numRef>
          </c:val>
        </c:ser>
        <c:ser>
          <c:idx val="2"/>
          <c:order val="2"/>
          <c:tx>
            <c:strRef>
              <c:f>eksportas!$AD$18</c:f>
              <c:strCache>
                <c:ptCount val="1"/>
                <c:pt idx="0">
                  <c:v>Estija</c:v>
                </c:pt>
              </c:strCache>
            </c:strRef>
          </c:tx>
          <c:dLbls>
            <c:numFmt formatCode="#.##0,0" sourceLinked="0"/>
            <c:dLblPos val="ctr"/>
            <c:showVal val="1"/>
          </c:dLbls>
          <c:cat>
            <c:numRef>
              <c:f>eksportas!$AE$15:$AI$15</c:f>
              <c:numCache>
                <c:formatCode>General</c:formatCode>
                <c:ptCount val="5"/>
                <c:pt idx="0">
                  <c:v>2008</c:v>
                </c:pt>
                <c:pt idx="1">
                  <c:v>2009</c:v>
                </c:pt>
                <c:pt idx="2">
                  <c:v>2010</c:v>
                </c:pt>
                <c:pt idx="3">
                  <c:v>2011</c:v>
                </c:pt>
                <c:pt idx="4">
                  <c:v>2012</c:v>
                </c:pt>
              </c:numCache>
            </c:numRef>
          </c:cat>
          <c:val>
            <c:numRef>
              <c:f>eksportas!$AE$18:$AI$18</c:f>
              <c:numCache>
                <c:formatCode>##,#00</c:formatCode>
                <c:ptCount val="5"/>
                <c:pt idx="0">
                  <c:v>71.048352325223249</c:v>
                </c:pt>
                <c:pt idx="1">
                  <c:v>63.858207406028747</c:v>
                </c:pt>
                <c:pt idx="2">
                  <c:v>79.240832231577471</c:v>
                </c:pt>
                <c:pt idx="3">
                  <c:v>90.51207419648938</c:v>
                </c:pt>
                <c:pt idx="4">
                  <c:v>90.563361680380822</c:v>
                </c:pt>
              </c:numCache>
            </c:numRef>
          </c:val>
        </c:ser>
        <c:dLbls>
          <c:showVal val="1"/>
        </c:dLbls>
        <c:marker val="1"/>
        <c:axId val="237513728"/>
        <c:axId val="237520000"/>
      </c:lineChart>
      <c:catAx>
        <c:axId val="237513728"/>
        <c:scaling>
          <c:orientation val="minMax"/>
        </c:scaling>
        <c:axPos val="b"/>
        <c:title>
          <c:tx>
            <c:rich>
              <a:bodyPr/>
              <a:lstStyle/>
              <a:p>
                <a:pPr>
                  <a:defRPr/>
                </a:pPr>
                <a:r>
                  <a:rPr lang="en-US"/>
                  <a:t>Metai</a:t>
                </a:r>
              </a:p>
            </c:rich>
          </c:tx>
        </c:title>
        <c:numFmt formatCode="General" sourceLinked="1"/>
        <c:tickLblPos val="nextTo"/>
        <c:crossAx val="237520000"/>
        <c:crosses val="autoZero"/>
        <c:auto val="1"/>
        <c:lblAlgn val="ctr"/>
        <c:lblOffset val="100"/>
      </c:catAx>
      <c:valAx>
        <c:axId val="237520000"/>
        <c:scaling>
          <c:orientation val="minMax"/>
        </c:scaling>
        <c:axPos val="l"/>
        <c:majorGridlines/>
        <c:title>
          <c:tx>
            <c:rich>
              <a:bodyPr rot="-5400000" vert="horz"/>
              <a:lstStyle/>
              <a:p>
                <a:pPr>
                  <a:defRPr/>
                </a:pPr>
                <a:r>
                  <a:rPr lang="en-US"/>
                  <a:t>proc.</a:t>
                </a:r>
              </a:p>
            </c:rich>
          </c:tx>
        </c:title>
        <c:numFmt formatCode="##,#00" sourceLinked="1"/>
        <c:tickLblPos val="nextTo"/>
        <c:crossAx val="237513728"/>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'biudzeto deficitas'!$E$54</c:f>
              <c:strCache>
                <c:ptCount val="1"/>
                <c:pt idx="0">
                  <c:v>Lietuva</c:v>
                </c:pt>
              </c:strCache>
            </c:strRef>
          </c:tx>
          <c:cat>
            <c:strRef>
              <c:f>'biudzeto deficitas'!$F$53:$J$53</c:f>
              <c:strCache>
                <c:ptCount val="5"/>
                <c:pt idx="0">
                  <c:v>2008</c:v>
                </c:pt>
                <c:pt idx="1">
                  <c:v>2009</c:v>
                </c:pt>
                <c:pt idx="2">
                  <c:v>2010</c:v>
                </c:pt>
                <c:pt idx="3">
                  <c:v>2011</c:v>
                </c:pt>
                <c:pt idx="4">
                  <c:v>2012</c:v>
                </c:pt>
              </c:strCache>
            </c:strRef>
          </c:cat>
          <c:val>
            <c:numRef>
              <c:f>'biudzeto deficitas'!$F$54:$J$54</c:f>
              <c:numCache>
                <c:formatCode>General</c:formatCode>
                <c:ptCount val="5"/>
                <c:pt idx="0">
                  <c:v>-3.3</c:v>
                </c:pt>
                <c:pt idx="1">
                  <c:v>-9.4</c:v>
                </c:pt>
                <c:pt idx="2">
                  <c:v>-7.2</c:v>
                </c:pt>
                <c:pt idx="3">
                  <c:v>-5.5</c:v>
                </c:pt>
                <c:pt idx="4">
                  <c:v>-3.2</c:v>
                </c:pt>
              </c:numCache>
            </c:numRef>
          </c:val>
        </c:ser>
        <c:ser>
          <c:idx val="1"/>
          <c:order val="1"/>
          <c:tx>
            <c:strRef>
              <c:f>'biudzeto deficitas'!$E$55</c:f>
              <c:strCache>
                <c:ptCount val="1"/>
                <c:pt idx="0">
                  <c:v>Latvija</c:v>
                </c:pt>
              </c:strCache>
            </c:strRef>
          </c:tx>
          <c:cat>
            <c:strRef>
              <c:f>'biudzeto deficitas'!$F$53:$J$53</c:f>
              <c:strCache>
                <c:ptCount val="5"/>
                <c:pt idx="0">
                  <c:v>2008</c:v>
                </c:pt>
                <c:pt idx="1">
                  <c:v>2009</c:v>
                </c:pt>
                <c:pt idx="2">
                  <c:v>2010</c:v>
                </c:pt>
                <c:pt idx="3">
                  <c:v>2011</c:v>
                </c:pt>
                <c:pt idx="4">
                  <c:v>2012</c:v>
                </c:pt>
              </c:strCache>
            </c:strRef>
          </c:cat>
          <c:val>
            <c:numRef>
              <c:f>'biudzeto deficitas'!$F$55:$J$55</c:f>
              <c:numCache>
                <c:formatCode>General</c:formatCode>
                <c:ptCount val="5"/>
                <c:pt idx="0">
                  <c:v>-4.2</c:v>
                </c:pt>
                <c:pt idx="1">
                  <c:v>-9.8000000000000007</c:v>
                </c:pt>
                <c:pt idx="2">
                  <c:v>-8.1</c:v>
                </c:pt>
                <c:pt idx="3">
                  <c:v>-3.6</c:v>
                </c:pt>
                <c:pt idx="4">
                  <c:v>-1.2</c:v>
                </c:pt>
              </c:numCache>
            </c:numRef>
          </c:val>
        </c:ser>
        <c:ser>
          <c:idx val="2"/>
          <c:order val="2"/>
          <c:tx>
            <c:strRef>
              <c:f>'biudzeto deficitas'!$E$56</c:f>
              <c:strCache>
                <c:ptCount val="1"/>
                <c:pt idx="0">
                  <c:v>Estija</c:v>
                </c:pt>
              </c:strCache>
            </c:strRef>
          </c:tx>
          <c:dLbls>
            <c:dLbl>
              <c:idx val="0"/>
              <c:layout>
                <c:manualLayout>
                  <c:x val="6.8493150684931824E-3"/>
                  <c:y val="2.8169014084507008E-2"/>
                </c:manualLayout>
              </c:layout>
              <c:dLblPos val="outEnd"/>
              <c:showVal val="1"/>
            </c:dLbl>
            <c:dLbl>
              <c:idx val="4"/>
              <c:layout>
                <c:manualLayout>
                  <c:x val="6.8493150684931824E-3"/>
                  <c:y val="0"/>
                </c:manualLayout>
              </c:layout>
              <c:dLblPos val="outEnd"/>
              <c:showVal val="1"/>
            </c:dLbl>
            <c:dLblPos val="outEnd"/>
            <c:showVal val="1"/>
          </c:dLbls>
          <c:cat>
            <c:strRef>
              <c:f>'biudzeto deficitas'!$F$53:$J$53</c:f>
              <c:strCache>
                <c:ptCount val="5"/>
                <c:pt idx="0">
                  <c:v>2008</c:v>
                </c:pt>
                <c:pt idx="1">
                  <c:v>2009</c:v>
                </c:pt>
                <c:pt idx="2">
                  <c:v>2010</c:v>
                </c:pt>
                <c:pt idx="3">
                  <c:v>2011</c:v>
                </c:pt>
                <c:pt idx="4">
                  <c:v>2012</c:v>
                </c:pt>
              </c:strCache>
            </c:strRef>
          </c:cat>
          <c:val>
            <c:numRef>
              <c:f>'biudzeto deficitas'!$F$56:$J$56</c:f>
              <c:numCache>
                <c:formatCode>General</c:formatCode>
                <c:ptCount val="5"/>
                <c:pt idx="0">
                  <c:v>-2.9</c:v>
                </c:pt>
                <c:pt idx="1">
                  <c:v>-2</c:v>
                </c:pt>
                <c:pt idx="2">
                  <c:v>0.2</c:v>
                </c:pt>
                <c:pt idx="3">
                  <c:v>1.2</c:v>
                </c:pt>
                <c:pt idx="4">
                  <c:v>-0.30000000000000032</c:v>
                </c:pt>
              </c:numCache>
            </c:numRef>
          </c:val>
        </c:ser>
        <c:dLbls>
          <c:showVal val="1"/>
        </c:dLbls>
        <c:axId val="237542784"/>
        <c:axId val="237573632"/>
      </c:barChart>
      <c:catAx>
        <c:axId val="237542784"/>
        <c:scaling>
          <c:orientation val="minMax"/>
        </c:scaling>
        <c:axPos val="b"/>
        <c:title>
          <c:tx>
            <c:rich>
              <a:bodyPr/>
              <a:lstStyle/>
              <a:p>
                <a:pPr>
                  <a:defRPr/>
                </a:pPr>
                <a:r>
                  <a:rPr lang="lt-LT"/>
                  <a:t>Metai</a:t>
                </a:r>
                <a:endParaRPr lang="en-US"/>
              </a:p>
            </c:rich>
          </c:tx>
        </c:title>
        <c:tickLblPos val="nextTo"/>
        <c:crossAx val="237573632"/>
        <c:crosses val="autoZero"/>
        <c:auto val="1"/>
        <c:lblAlgn val="ctr"/>
        <c:lblOffset val="100"/>
      </c:catAx>
      <c:valAx>
        <c:axId val="237573632"/>
        <c:scaling>
          <c:orientation val="minMax"/>
        </c:scaling>
        <c:axPos val="l"/>
        <c:majorGridlines/>
        <c:title>
          <c:tx>
            <c:rich>
              <a:bodyPr rot="-5400000" vert="horz"/>
              <a:lstStyle/>
              <a:p>
                <a:pPr>
                  <a:defRPr/>
                </a:pPr>
                <a:r>
                  <a:rPr lang="lt-LT"/>
                  <a:t>proc.</a:t>
                </a:r>
                <a:endParaRPr lang="en-US"/>
              </a:p>
            </c:rich>
          </c:tx>
        </c:title>
        <c:numFmt formatCode="General" sourceLinked="1"/>
        <c:tickLblPos val="nextTo"/>
        <c:crossAx val="237542784"/>
        <c:crosses val="autoZero"/>
        <c:crossBetween val="between"/>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chart>
    <c:plotArea>
      <c:layout/>
      <c:lineChart>
        <c:grouping val="standard"/>
        <c:ser>
          <c:idx val="0"/>
          <c:order val="0"/>
          <c:tx>
            <c:strRef>
              <c:f>'skola, mln eur'!$AA$5</c:f>
              <c:strCache>
                <c:ptCount val="1"/>
                <c:pt idx="0">
                  <c:v>Lietuva</c:v>
                </c:pt>
              </c:strCache>
            </c:strRef>
          </c:tx>
          <c:dLbls>
            <c:dLbl>
              <c:idx val="0"/>
              <c:layout>
                <c:manualLayout>
                  <c:x val="-5.6211354693648095E-2"/>
                  <c:y val="-5.0925925925925902E-2"/>
                </c:manualLayout>
              </c:layout>
              <c:showVal val="1"/>
            </c:dLbl>
            <c:dLbl>
              <c:idx val="1"/>
              <c:layout>
                <c:manualLayout>
                  <c:x val="-5.8459808881393967E-2"/>
                  <c:y val="-4.1666666666666713E-2"/>
                </c:manualLayout>
              </c:layout>
              <c:showVal val="1"/>
            </c:dLbl>
            <c:dLbl>
              <c:idx val="2"/>
              <c:layout>
                <c:manualLayout>
                  <c:x val="-6.2956717256887132E-2"/>
                  <c:y val="-4.1666666666666713E-2"/>
                </c:manualLayout>
              </c:layout>
              <c:showVal val="1"/>
            </c:dLbl>
            <c:dLbl>
              <c:idx val="3"/>
              <c:layout>
                <c:manualLayout>
                  <c:x val="-4.9466169174047434E-2"/>
                  <c:y val="5.5555555555555365E-2"/>
                </c:manualLayout>
              </c:layout>
              <c:showVal val="1"/>
            </c:dLbl>
            <c:dLbl>
              <c:idx val="4"/>
              <c:layout>
                <c:manualLayout>
                  <c:x val="-4.4969260798555316E-2"/>
                  <c:y val="5.0925925925925902E-2"/>
                </c:manualLayout>
              </c:layout>
              <c:showVal val="1"/>
            </c:dLbl>
            <c:showVal val="1"/>
          </c:dLbls>
          <c:cat>
            <c:strRef>
              <c:f>'skola, mln eur'!$AB$4:$AF$4</c:f>
              <c:strCache>
                <c:ptCount val="5"/>
                <c:pt idx="0">
                  <c:v>2008</c:v>
                </c:pt>
                <c:pt idx="1">
                  <c:v>2009</c:v>
                </c:pt>
                <c:pt idx="2">
                  <c:v>2010</c:v>
                </c:pt>
                <c:pt idx="3">
                  <c:v>2011</c:v>
                </c:pt>
                <c:pt idx="4">
                  <c:v>2012</c:v>
                </c:pt>
              </c:strCache>
            </c:strRef>
          </c:cat>
          <c:val>
            <c:numRef>
              <c:f>'skola, mln eur'!$AB$5:$AF$5</c:f>
              <c:numCache>
                <c:formatCode>General</c:formatCode>
                <c:ptCount val="5"/>
                <c:pt idx="0">
                  <c:v>5032.1000000000004</c:v>
                </c:pt>
                <c:pt idx="1">
                  <c:v>7814.8</c:v>
                </c:pt>
                <c:pt idx="2">
                  <c:v>10463.200000000004</c:v>
                </c:pt>
                <c:pt idx="3">
                  <c:v>11863.3</c:v>
                </c:pt>
                <c:pt idx="4">
                  <c:v>13333.1</c:v>
                </c:pt>
              </c:numCache>
            </c:numRef>
          </c:val>
        </c:ser>
        <c:ser>
          <c:idx val="1"/>
          <c:order val="1"/>
          <c:tx>
            <c:strRef>
              <c:f>'skola, mln eur'!$AA$6</c:f>
              <c:strCache>
                <c:ptCount val="1"/>
                <c:pt idx="0">
                  <c:v>Latvija</c:v>
                </c:pt>
              </c:strCache>
            </c:strRef>
          </c:tx>
          <c:dLbls>
            <c:dLbl>
              <c:idx val="0"/>
              <c:layout>
                <c:manualLayout>
                  <c:x val="-2.6981450252951109E-2"/>
                  <c:y val="3.7037037037037285E-2"/>
                </c:manualLayout>
              </c:layout>
              <c:spPr/>
              <c:txPr>
                <a:bodyPr/>
                <a:lstStyle/>
                <a:p>
                  <a:pPr>
                    <a:defRPr/>
                  </a:pPr>
                  <a:endParaRPr lang="en-US"/>
                </a:p>
              </c:txPr>
              <c:showVal val="1"/>
            </c:dLbl>
            <c:dLbl>
              <c:idx val="1"/>
              <c:layout>
                <c:manualLayout>
                  <c:x val="-2.2484541877460188E-2"/>
                  <c:y val="3.7037037037037285E-2"/>
                </c:manualLayout>
              </c:layout>
              <c:spPr/>
              <c:txPr>
                <a:bodyPr/>
                <a:lstStyle/>
                <a:p>
                  <a:pPr>
                    <a:defRPr/>
                  </a:pPr>
                  <a:endParaRPr lang="en-US"/>
                </a:p>
              </c:txPr>
              <c:showVal val="1"/>
            </c:dLbl>
            <c:dLbl>
              <c:idx val="2"/>
              <c:layout>
                <c:manualLayout>
                  <c:x val="-3.3726812816188903E-2"/>
                  <c:y val="4.6296296296296523E-2"/>
                </c:manualLayout>
              </c:layout>
              <c:spPr/>
              <c:txPr>
                <a:bodyPr/>
                <a:lstStyle/>
                <a:p>
                  <a:pPr>
                    <a:defRPr/>
                  </a:pPr>
                  <a:endParaRPr lang="en-US"/>
                </a:p>
              </c:txPr>
              <c:showVal val="1"/>
            </c:dLbl>
            <c:dLbl>
              <c:idx val="3"/>
              <c:layout>
                <c:manualLayout>
                  <c:x val="-2.023626473335011E-2"/>
                  <c:y val="3.7037037037037285E-2"/>
                </c:manualLayout>
              </c:layout>
              <c:spPr/>
              <c:txPr>
                <a:bodyPr/>
                <a:lstStyle/>
                <a:p>
                  <a:pPr>
                    <a:defRPr/>
                  </a:pPr>
                  <a:endParaRPr lang="en-US"/>
                </a:p>
              </c:txPr>
              <c:showVal val="1"/>
            </c:dLbl>
            <c:dLbl>
              <c:idx val="4"/>
              <c:layout>
                <c:manualLayout>
                  <c:x val="-2.0236087689714619E-2"/>
                  <c:y val="4.1666666666666609E-2"/>
                </c:manualLayout>
              </c:layout>
              <c:spPr/>
              <c:txPr>
                <a:bodyPr/>
                <a:lstStyle/>
                <a:p>
                  <a:pPr>
                    <a:defRPr/>
                  </a:pPr>
                  <a:endParaRPr lang="en-US"/>
                </a:p>
              </c:txPr>
              <c:showVal val="1"/>
            </c:dLbl>
            <c:showVal val="1"/>
          </c:dLbls>
          <c:cat>
            <c:strRef>
              <c:f>'skola, mln eur'!$AB$4:$AF$4</c:f>
              <c:strCache>
                <c:ptCount val="5"/>
                <c:pt idx="0">
                  <c:v>2008</c:v>
                </c:pt>
                <c:pt idx="1">
                  <c:v>2009</c:v>
                </c:pt>
                <c:pt idx="2">
                  <c:v>2010</c:v>
                </c:pt>
                <c:pt idx="3">
                  <c:v>2011</c:v>
                </c:pt>
                <c:pt idx="4">
                  <c:v>2012</c:v>
                </c:pt>
              </c:strCache>
            </c:strRef>
          </c:cat>
          <c:val>
            <c:numRef>
              <c:f>'skola, mln eur'!$AB$6:$AF$6</c:f>
              <c:numCache>
                <c:formatCode>General</c:formatCode>
                <c:ptCount val="5"/>
                <c:pt idx="0">
                  <c:v>4497.6000000000004</c:v>
                </c:pt>
                <c:pt idx="1">
                  <c:v>6804</c:v>
                </c:pt>
                <c:pt idx="2">
                  <c:v>8009.7</c:v>
                </c:pt>
                <c:pt idx="3">
                  <c:v>8540.9</c:v>
                </c:pt>
                <c:pt idx="4">
                  <c:v>9042.7999999999811</c:v>
                </c:pt>
              </c:numCache>
            </c:numRef>
          </c:val>
        </c:ser>
        <c:ser>
          <c:idx val="2"/>
          <c:order val="2"/>
          <c:tx>
            <c:strRef>
              <c:f>'skola, mln eur'!$AA$7</c:f>
              <c:strCache>
                <c:ptCount val="1"/>
                <c:pt idx="0">
                  <c:v>Estija</c:v>
                </c:pt>
              </c:strCache>
            </c:strRef>
          </c:tx>
          <c:dLbls>
            <c:dLbl>
              <c:idx val="0"/>
              <c:layout>
                <c:manualLayout>
                  <c:x val="-4.9465992130412376E-2"/>
                  <c:y val="-3.2407407407408599E-2"/>
                </c:manualLayout>
              </c:layout>
              <c:spPr/>
              <c:txPr>
                <a:bodyPr/>
                <a:lstStyle/>
                <a:p>
                  <a:pPr>
                    <a:defRPr/>
                  </a:pPr>
                  <a:endParaRPr lang="en-US"/>
                </a:p>
              </c:txPr>
              <c:showVal val="1"/>
            </c:dLbl>
            <c:dLbl>
              <c:idx val="1"/>
              <c:layout>
                <c:manualLayout>
                  <c:x val="-4.4969083754918523E-2"/>
                  <c:y val="-4.6296296296296523E-2"/>
                </c:manualLayout>
              </c:layout>
              <c:spPr/>
              <c:txPr>
                <a:bodyPr/>
                <a:lstStyle/>
                <a:p>
                  <a:pPr>
                    <a:defRPr/>
                  </a:pPr>
                  <a:endParaRPr lang="en-US"/>
                </a:p>
              </c:txPr>
              <c:showVal val="1"/>
            </c:dLbl>
            <c:dLbl>
              <c:idx val="2"/>
              <c:layout>
                <c:manualLayout>
                  <c:x val="-4.4969083754918523E-2"/>
                  <c:y val="-6.4814814814817601E-2"/>
                </c:manualLayout>
              </c:layout>
              <c:spPr/>
              <c:txPr>
                <a:bodyPr/>
                <a:lstStyle/>
                <a:p>
                  <a:pPr>
                    <a:defRPr/>
                  </a:pPr>
                  <a:endParaRPr lang="en-US"/>
                </a:p>
              </c:txPr>
              <c:showVal val="1"/>
            </c:dLbl>
            <c:dLbl>
              <c:idx val="3"/>
              <c:layout>
                <c:manualLayout>
                  <c:x val="-4.2720806610809396E-2"/>
                  <c:y val="-5.0925925925925902E-2"/>
                </c:manualLayout>
              </c:layout>
              <c:spPr/>
              <c:txPr>
                <a:bodyPr/>
                <a:lstStyle/>
                <a:p>
                  <a:pPr>
                    <a:defRPr/>
                  </a:pPr>
                  <a:endParaRPr lang="en-US"/>
                </a:p>
              </c:txPr>
              <c:showVal val="1"/>
            </c:dLbl>
            <c:dLbl>
              <c:idx val="4"/>
              <c:layout>
                <c:manualLayout>
                  <c:x val="-5.1714623361793124E-2"/>
                  <c:y val="-5.5555555555555365E-2"/>
                </c:manualLayout>
              </c:layout>
              <c:spPr/>
              <c:txPr>
                <a:bodyPr/>
                <a:lstStyle/>
                <a:p>
                  <a:pPr>
                    <a:defRPr/>
                  </a:pPr>
                  <a:endParaRPr lang="en-US"/>
                </a:p>
              </c:txPr>
              <c:showVal val="1"/>
            </c:dLbl>
            <c:showVal val="1"/>
          </c:dLbls>
          <c:cat>
            <c:strRef>
              <c:f>'skola, mln eur'!$AB$4:$AF$4</c:f>
              <c:strCache>
                <c:ptCount val="5"/>
                <c:pt idx="0">
                  <c:v>2008</c:v>
                </c:pt>
                <c:pt idx="1">
                  <c:v>2009</c:v>
                </c:pt>
                <c:pt idx="2">
                  <c:v>2010</c:v>
                </c:pt>
                <c:pt idx="3">
                  <c:v>2011</c:v>
                </c:pt>
                <c:pt idx="4">
                  <c:v>2012</c:v>
                </c:pt>
              </c:strCache>
            </c:strRef>
          </c:cat>
          <c:val>
            <c:numRef>
              <c:f>'skola, mln eur'!$AB$7:$AF$7</c:f>
              <c:numCache>
                <c:formatCode>General</c:formatCode>
                <c:ptCount val="5"/>
                <c:pt idx="0">
                  <c:v>737.4</c:v>
                </c:pt>
                <c:pt idx="1">
                  <c:v>991.3</c:v>
                </c:pt>
                <c:pt idx="2">
                  <c:v>961.7</c:v>
                </c:pt>
                <c:pt idx="3">
                  <c:v>996.2</c:v>
                </c:pt>
                <c:pt idx="4">
                  <c:v>1723.5</c:v>
                </c:pt>
              </c:numCache>
            </c:numRef>
          </c:val>
        </c:ser>
        <c:dLbls>
          <c:showVal val="1"/>
        </c:dLbls>
        <c:marker val="1"/>
        <c:axId val="237655168"/>
        <c:axId val="237657088"/>
      </c:lineChart>
      <c:catAx>
        <c:axId val="237655168"/>
        <c:scaling>
          <c:orientation val="minMax"/>
        </c:scaling>
        <c:axPos val="b"/>
        <c:title>
          <c:tx>
            <c:rich>
              <a:bodyPr/>
              <a:lstStyle/>
              <a:p>
                <a:pPr>
                  <a:defRPr/>
                </a:pPr>
                <a:r>
                  <a:rPr lang="en-US"/>
                  <a:t>M</a:t>
                </a:r>
                <a:r>
                  <a:rPr lang="lt-LT"/>
                  <a:t>etai</a:t>
                </a:r>
                <a:endParaRPr lang="en-US"/>
              </a:p>
            </c:rich>
          </c:tx>
          <c:layout>
            <c:manualLayout>
              <c:xMode val="edge"/>
              <c:yMode val="edge"/>
              <c:x val="0.48226120132959832"/>
              <c:y val="0.87868037328669246"/>
            </c:manualLayout>
          </c:layout>
        </c:title>
        <c:numFmt formatCode="General" sourceLinked="1"/>
        <c:tickLblPos val="nextTo"/>
        <c:crossAx val="237657088"/>
        <c:crosses val="autoZero"/>
        <c:auto val="1"/>
        <c:lblAlgn val="ctr"/>
        <c:lblOffset val="100"/>
      </c:catAx>
      <c:valAx>
        <c:axId val="237657088"/>
        <c:scaling>
          <c:orientation val="minMax"/>
        </c:scaling>
        <c:axPos val="l"/>
        <c:majorGridlines/>
        <c:title>
          <c:tx>
            <c:rich>
              <a:bodyPr rot="-5400000" vert="horz"/>
              <a:lstStyle/>
              <a:p>
                <a:pPr>
                  <a:defRPr/>
                </a:pPr>
                <a:r>
                  <a:rPr lang="lt-LT"/>
                  <a:t>mln. eur.</a:t>
                </a:r>
                <a:endParaRPr lang="en-US"/>
              </a:p>
            </c:rich>
          </c:tx>
        </c:title>
        <c:numFmt formatCode="General" sourceLinked="1"/>
        <c:tickLblPos val="nextTo"/>
        <c:crossAx val="237655168"/>
        <c:crosses val="autoZero"/>
        <c:crossBetween val="between"/>
      </c:valAx>
    </c:plotArea>
    <c:legend>
      <c:legendPos val="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US"/>
  <c:chart>
    <c:plotArea>
      <c:layout/>
      <c:lineChart>
        <c:grouping val="standard"/>
        <c:ser>
          <c:idx val="0"/>
          <c:order val="0"/>
          <c:tx>
            <c:strRef>
              <c:f>'skolos-bvp santykis'!$A$2</c:f>
              <c:strCache>
                <c:ptCount val="1"/>
                <c:pt idx="0">
                  <c:v>Lietuva</c:v>
                </c:pt>
              </c:strCache>
            </c:strRef>
          </c:tx>
          <c:dLbls>
            <c:dLbl>
              <c:idx val="4"/>
              <c:layout>
                <c:manualLayout>
                  <c:x val="-4.4771432821354422E-2"/>
                  <c:y val="2.6455026455027012E-2"/>
                </c:manualLayout>
              </c:layout>
              <c:dLblPos val="r"/>
              <c:showVal val="1"/>
            </c:dLbl>
            <c:dLblPos val="ctr"/>
            <c:showVal val="1"/>
          </c:dLbls>
          <c:cat>
            <c:strRef>
              <c:f>'skolos-bvp santykis'!$B$1:$F$1</c:f>
              <c:strCache>
                <c:ptCount val="5"/>
                <c:pt idx="0">
                  <c:v>2008</c:v>
                </c:pt>
                <c:pt idx="1">
                  <c:v>2009</c:v>
                </c:pt>
                <c:pt idx="2">
                  <c:v>2010</c:v>
                </c:pt>
                <c:pt idx="3">
                  <c:v>2011</c:v>
                </c:pt>
                <c:pt idx="4">
                  <c:v>2012</c:v>
                </c:pt>
              </c:strCache>
            </c:strRef>
          </c:cat>
          <c:val>
            <c:numRef>
              <c:f>'skolos-bvp santykis'!$B$2:$F$2</c:f>
              <c:numCache>
                <c:formatCode>General</c:formatCode>
                <c:ptCount val="5"/>
                <c:pt idx="0">
                  <c:v>15.5</c:v>
                </c:pt>
                <c:pt idx="1">
                  <c:v>29.3</c:v>
                </c:pt>
                <c:pt idx="2">
                  <c:v>37.9</c:v>
                </c:pt>
                <c:pt idx="3">
                  <c:v>38.5</c:v>
                </c:pt>
                <c:pt idx="4">
                  <c:v>40.6</c:v>
                </c:pt>
              </c:numCache>
            </c:numRef>
          </c:val>
        </c:ser>
        <c:ser>
          <c:idx val="1"/>
          <c:order val="1"/>
          <c:tx>
            <c:strRef>
              <c:f>'skolos-bvp santykis'!$A$3</c:f>
              <c:strCache>
                <c:ptCount val="1"/>
                <c:pt idx="0">
                  <c:v>Latvija</c:v>
                </c:pt>
              </c:strCache>
            </c:strRef>
          </c:tx>
          <c:dLbls>
            <c:dLbl>
              <c:idx val="4"/>
              <c:layout>
                <c:manualLayout>
                  <c:x val="-4.4771432821354422E-2"/>
                  <c:y val="-3.7037037037037285E-2"/>
                </c:manualLayout>
              </c:layout>
              <c:dLblPos val="r"/>
              <c:showVal val="1"/>
            </c:dLbl>
            <c:dLblPos val="ctr"/>
            <c:showVal val="1"/>
          </c:dLbls>
          <c:cat>
            <c:strRef>
              <c:f>'skolos-bvp santykis'!$B$1:$F$1</c:f>
              <c:strCache>
                <c:ptCount val="5"/>
                <c:pt idx="0">
                  <c:v>2008</c:v>
                </c:pt>
                <c:pt idx="1">
                  <c:v>2009</c:v>
                </c:pt>
                <c:pt idx="2">
                  <c:v>2010</c:v>
                </c:pt>
                <c:pt idx="3">
                  <c:v>2011</c:v>
                </c:pt>
                <c:pt idx="4">
                  <c:v>2012</c:v>
                </c:pt>
              </c:strCache>
            </c:strRef>
          </c:cat>
          <c:val>
            <c:numRef>
              <c:f>'skolos-bvp santykis'!$B$3:$F$3</c:f>
              <c:numCache>
                <c:formatCode>General</c:formatCode>
                <c:ptCount val="5"/>
                <c:pt idx="0">
                  <c:v>19.8</c:v>
                </c:pt>
                <c:pt idx="1">
                  <c:v>36.9</c:v>
                </c:pt>
                <c:pt idx="2">
                  <c:v>44.4</c:v>
                </c:pt>
                <c:pt idx="3">
                  <c:v>41.9</c:v>
                </c:pt>
                <c:pt idx="4">
                  <c:v>40.700000000000003</c:v>
                </c:pt>
              </c:numCache>
            </c:numRef>
          </c:val>
        </c:ser>
        <c:ser>
          <c:idx val="2"/>
          <c:order val="2"/>
          <c:tx>
            <c:strRef>
              <c:f>'skolos-bvp santykis'!$A$4</c:f>
              <c:strCache>
                <c:ptCount val="1"/>
                <c:pt idx="0">
                  <c:v>Estija</c:v>
                </c:pt>
              </c:strCache>
            </c:strRef>
          </c:tx>
          <c:dLbls>
            <c:dLblPos val="ctr"/>
            <c:showVal val="1"/>
          </c:dLbls>
          <c:cat>
            <c:strRef>
              <c:f>'skolos-bvp santykis'!$B$1:$F$1</c:f>
              <c:strCache>
                <c:ptCount val="5"/>
                <c:pt idx="0">
                  <c:v>2008</c:v>
                </c:pt>
                <c:pt idx="1">
                  <c:v>2009</c:v>
                </c:pt>
                <c:pt idx="2">
                  <c:v>2010</c:v>
                </c:pt>
                <c:pt idx="3">
                  <c:v>2011</c:v>
                </c:pt>
                <c:pt idx="4">
                  <c:v>2012</c:v>
                </c:pt>
              </c:strCache>
            </c:strRef>
          </c:cat>
          <c:val>
            <c:numRef>
              <c:f>'skolos-bvp santykis'!$B$4:$F$4</c:f>
              <c:numCache>
                <c:formatCode>General</c:formatCode>
                <c:ptCount val="5"/>
                <c:pt idx="0">
                  <c:v>4.5</c:v>
                </c:pt>
                <c:pt idx="1">
                  <c:v>7.1</c:v>
                </c:pt>
                <c:pt idx="2">
                  <c:v>6.7</c:v>
                </c:pt>
                <c:pt idx="3">
                  <c:v>6.1</c:v>
                </c:pt>
                <c:pt idx="4">
                  <c:v>9.9</c:v>
                </c:pt>
              </c:numCache>
            </c:numRef>
          </c:val>
        </c:ser>
        <c:dLbls>
          <c:showVal val="1"/>
        </c:dLbls>
        <c:marker val="1"/>
        <c:axId val="237678976"/>
        <c:axId val="237680896"/>
      </c:lineChart>
      <c:catAx>
        <c:axId val="237678976"/>
        <c:scaling>
          <c:orientation val="minMax"/>
        </c:scaling>
        <c:axPos val="b"/>
        <c:title>
          <c:tx>
            <c:rich>
              <a:bodyPr/>
              <a:lstStyle/>
              <a:p>
                <a:pPr>
                  <a:defRPr/>
                </a:pPr>
                <a:r>
                  <a:rPr lang="lt-LT"/>
                  <a:t>Metai</a:t>
                </a:r>
              </a:p>
            </c:rich>
          </c:tx>
        </c:title>
        <c:tickLblPos val="nextTo"/>
        <c:crossAx val="237680896"/>
        <c:crosses val="autoZero"/>
        <c:auto val="1"/>
        <c:lblAlgn val="ctr"/>
        <c:lblOffset val="100"/>
      </c:catAx>
      <c:valAx>
        <c:axId val="237680896"/>
        <c:scaling>
          <c:orientation val="minMax"/>
        </c:scaling>
        <c:axPos val="l"/>
        <c:majorGridlines/>
        <c:title>
          <c:tx>
            <c:rich>
              <a:bodyPr rot="-5400000" vert="horz"/>
              <a:lstStyle/>
              <a:p>
                <a:pPr>
                  <a:defRPr/>
                </a:pPr>
                <a:r>
                  <a:rPr lang="en-US"/>
                  <a:t>proc.</a:t>
                </a:r>
              </a:p>
            </c:rich>
          </c:tx>
        </c:title>
        <c:numFmt formatCode="General" sourceLinked="1"/>
        <c:tickLblPos val="nextTo"/>
        <c:crossAx val="237678976"/>
        <c:crosses val="autoZero"/>
        <c:crossBetween val="between"/>
      </c:valAx>
    </c:plotArea>
    <c:legend>
      <c:legendPos val="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US"/>
  <c:chart>
    <c:plotArea>
      <c:layout/>
      <c:lineChart>
        <c:grouping val="standard"/>
        <c:ser>
          <c:idx val="0"/>
          <c:order val="0"/>
          <c:tx>
            <c:strRef>
              <c:f>population!$C$77</c:f>
              <c:strCache>
                <c:ptCount val="1"/>
                <c:pt idx="0">
                  <c:v>Lietuva</c:v>
                </c:pt>
              </c:strCache>
            </c:strRef>
          </c:tx>
          <c:dLbls>
            <c:dLbl>
              <c:idx val="2"/>
              <c:layout>
                <c:manualLayout>
                  <c:x val="-4.3431053203040314E-3"/>
                  <c:y val="1.388888888888924E-2"/>
                </c:manualLayout>
              </c:layout>
              <c:showVal val="1"/>
            </c:dLbl>
            <c:dLbl>
              <c:idx val="3"/>
              <c:layout>
                <c:manualLayout>
                  <c:x val="-6.5146579804560324E-3"/>
                  <c:y val="2.3148148148148077E-2"/>
                </c:manualLayout>
              </c:layout>
              <c:showVal val="1"/>
            </c:dLbl>
            <c:dLbl>
              <c:idx val="4"/>
              <c:layout>
                <c:manualLayout>
                  <c:x val="-4.3157296990346976E-2"/>
                  <c:y val="-5.2380952380952396E-2"/>
                </c:manualLayout>
              </c:layout>
              <c:showVal val="1"/>
            </c:dLbl>
            <c:numFmt formatCode="#.##0,0" sourceLinked="0"/>
            <c:showVal val="1"/>
          </c:dLbls>
          <c:cat>
            <c:numRef>
              <c:f>population!$D$76:$H$76</c:f>
              <c:numCache>
                <c:formatCode>General</c:formatCode>
                <c:ptCount val="5"/>
                <c:pt idx="0">
                  <c:v>2008</c:v>
                </c:pt>
                <c:pt idx="1">
                  <c:v>2009</c:v>
                </c:pt>
                <c:pt idx="2">
                  <c:v>2010</c:v>
                </c:pt>
                <c:pt idx="3">
                  <c:v>2011</c:v>
                </c:pt>
                <c:pt idx="4">
                  <c:v>2012</c:v>
                </c:pt>
              </c:numCache>
            </c:numRef>
          </c:cat>
          <c:val>
            <c:numRef>
              <c:f>population!$D$77:$H$77</c:f>
              <c:numCache>
                <c:formatCode>#.##0</c:formatCode>
                <c:ptCount val="5"/>
                <c:pt idx="0">
                  <c:v>1566.3612551185099</c:v>
                </c:pt>
                <c:pt idx="1">
                  <c:v>2454.507992823796</c:v>
                </c:pt>
                <c:pt idx="2">
                  <c:v>3330.133648379237</c:v>
                </c:pt>
                <c:pt idx="3">
                  <c:v>3886.308928686085</c:v>
                </c:pt>
                <c:pt idx="4">
                  <c:v>4438.9792255465945</c:v>
                </c:pt>
              </c:numCache>
            </c:numRef>
          </c:val>
        </c:ser>
        <c:ser>
          <c:idx val="1"/>
          <c:order val="1"/>
          <c:tx>
            <c:strRef>
              <c:f>population!$C$78</c:f>
              <c:strCache>
                <c:ptCount val="1"/>
                <c:pt idx="0">
                  <c:v>Latvija</c:v>
                </c:pt>
              </c:strCache>
            </c:strRef>
          </c:tx>
          <c:dLbls>
            <c:dLbl>
              <c:idx val="0"/>
              <c:layout>
                <c:manualLayout>
                  <c:x val="-4.5428733674048913E-2"/>
                  <c:y val="-2.8571428571428605E-2"/>
                </c:manualLayout>
              </c:layout>
              <c:showVal val="1"/>
            </c:dLbl>
            <c:dLbl>
              <c:idx val="1"/>
              <c:layout>
                <c:manualLayout>
                  <c:x val="-5.4514480408859013E-2"/>
                  <c:y val="-6.1904761904761914E-2"/>
                </c:manualLayout>
              </c:layout>
              <c:showVal val="1"/>
            </c:dLbl>
            <c:dLbl>
              <c:idx val="2"/>
              <c:layout>
                <c:manualLayout>
                  <c:x val="-4.3456876238000111E-2"/>
                  <c:y val="-4.8015748031496108E-2"/>
                </c:manualLayout>
              </c:layout>
              <c:showVal val="1"/>
            </c:dLbl>
            <c:dLbl>
              <c:idx val="3"/>
              <c:layout>
                <c:manualLayout>
                  <c:x val="-4.1485197655233404E-2"/>
                  <c:y val="-4.3254218222722095E-2"/>
                </c:manualLayout>
              </c:layout>
              <c:showVal val="1"/>
            </c:dLbl>
            <c:dLbl>
              <c:idx val="4"/>
              <c:layout>
                <c:manualLayout>
                  <c:x val="-3.0427593484375404E-2"/>
                  <c:y val="4.24604424446944E-2"/>
                </c:manualLayout>
              </c:layout>
              <c:showVal val="1"/>
            </c:dLbl>
            <c:numFmt formatCode="#.##0,0" sourceLinked="0"/>
            <c:showVal val="1"/>
          </c:dLbls>
          <c:cat>
            <c:numRef>
              <c:f>population!$D$76:$H$76</c:f>
              <c:numCache>
                <c:formatCode>General</c:formatCode>
                <c:ptCount val="5"/>
                <c:pt idx="0">
                  <c:v>2008</c:v>
                </c:pt>
                <c:pt idx="1">
                  <c:v>2009</c:v>
                </c:pt>
                <c:pt idx="2">
                  <c:v>2010</c:v>
                </c:pt>
                <c:pt idx="3">
                  <c:v>2011</c:v>
                </c:pt>
                <c:pt idx="4">
                  <c:v>2012</c:v>
                </c:pt>
              </c:numCache>
            </c:numRef>
          </c:cat>
          <c:val>
            <c:numRef>
              <c:f>population!$D$78:$H$78</c:f>
              <c:numCache>
                <c:formatCode>#.##0</c:formatCode>
                <c:ptCount val="5"/>
                <c:pt idx="0">
                  <c:v>2052.0026827142847</c:v>
                </c:pt>
                <c:pt idx="1">
                  <c:v>3145.8724987678197</c:v>
                </c:pt>
                <c:pt idx="2">
                  <c:v>3777.262386677884</c:v>
                </c:pt>
                <c:pt idx="3">
                  <c:v>4116.8800807864627</c:v>
                </c:pt>
                <c:pt idx="4">
                  <c:v>4422.3114778710824</c:v>
                </c:pt>
              </c:numCache>
            </c:numRef>
          </c:val>
        </c:ser>
        <c:ser>
          <c:idx val="2"/>
          <c:order val="2"/>
          <c:tx>
            <c:strRef>
              <c:f>population!$C$79</c:f>
              <c:strCache>
                <c:ptCount val="1"/>
                <c:pt idx="0">
                  <c:v>Estija</c:v>
                </c:pt>
              </c:strCache>
            </c:strRef>
          </c:tx>
          <c:dLbls>
            <c:dLbl>
              <c:idx val="4"/>
              <c:layout>
                <c:manualLayout>
                  <c:x val="1.3029315960912129E-2"/>
                  <c:y val="2.3148148148148077E-2"/>
                </c:manualLayout>
              </c:layout>
              <c:numFmt formatCode="#.##0,0" sourceLinked="0"/>
              <c:spPr/>
              <c:txPr>
                <a:bodyPr/>
                <a:lstStyle/>
                <a:p>
                  <a:pPr>
                    <a:defRPr/>
                  </a:pPr>
                  <a:endParaRPr lang="en-US"/>
                </a:p>
              </c:txPr>
              <c:showVal val="1"/>
            </c:dLbl>
            <c:numFmt formatCode="#.##0,0" sourceLinked="0"/>
            <c:showVal val="1"/>
          </c:dLbls>
          <c:cat>
            <c:numRef>
              <c:f>population!$D$76:$H$76</c:f>
              <c:numCache>
                <c:formatCode>General</c:formatCode>
                <c:ptCount val="5"/>
                <c:pt idx="0">
                  <c:v>2008</c:v>
                </c:pt>
                <c:pt idx="1">
                  <c:v>2009</c:v>
                </c:pt>
                <c:pt idx="2">
                  <c:v>2010</c:v>
                </c:pt>
                <c:pt idx="3">
                  <c:v>2011</c:v>
                </c:pt>
                <c:pt idx="4">
                  <c:v>2012</c:v>
                </c:pt>
              </c:numCache>
            </c:numRef>
          </c:cat>
          <c:val>
            <c:numRef>
              <c:f>population!$D$79:$H$79</c:f>
              <c:numCache>
                <c:formatCode>#.##0</c:formatCode>
                <c:ptCount val="5"/>
                <c:pt idx="0">
                  <c:v>549.80655368815519</c:v>
                </c:pt>
                <c:pt idx="1">
                  <c:v>740.14674512386421</c:v>
                </c:pt>
                <c:pt idx="2">
                  <c:v>718.93880834229174</c:v>
                </c:pt>
                <c:pt idx="3">
                  <c:v>745.59896774734364</c:v>
                </c:pt>
                <c:pt idx="4">
                  <c:v>1292.1843651314898</c:v>
                </c:pt>
              </c:numCache>
            </c:numRef>
          </c:val>
        </c:ser>
        <c:dLbls>
          <c:showVal val="1"/>
        </c:dLbls>
        <c:marker val="1"/>
        <c:axId val="237738240"/>
        <c:axId val="237756800"/>
      </c:lineChart>
      <c:catAx>
        <c:axId val="237738240"/>
        <c:scaling>
          <c:orientation val="minMax"/>
        </c:scaling>
        <c:axPos val="b"/>
        <c:title>
          <c:tx>
            <c:rich>
              <a:bodyPr/>
              <a:lstStyle/>
              <a:p>
                <a:pPr>
                  <a:defRPr/>
                </a:pPr>
                <a:r>
                  <a:rPr lang="lt-LT"/>
                  <a:t>Metai</a:t>
                </a:r>
                <a:endParaRPr lang="en-US"/>
              </a:p>
            </c:rich>
          </c:tx>
        </c:title>
        <c:numFmt formatCode="General" sourceLinked="1"/>
        <c:tickLblPos val="nextTo"/>
        <c:crossAx val="237756800"/>
        <c:crosses val="autoZero"/>
        <c:auto val="1"/>
        <c:lblAlgn val="ctr"/>
        <c:lblOffset val="100"/>
      </c:catAx>
      <c:valAx>
        <c:axId val="237756800"/>
        <c:scaling>
          <c:orientation val="minMax"/>
        </c:scaling>
        <c:axPos val="l"/>
        <c:majorGridlines/>
        <c:title>
          <c:tx>
            <c:rich>
              <a:bodyPr rot="-5400000" vert="horz"/>
              <a:lstStyle/>
              <a:p>
                <a:pPr>
                  <a:defRPr/>
                </a:pPr>
                <a:r>
                  <a:rPr lang="en-US"/>
                  <a:t>Eur.</a:t>
                </a:r>
              </a:p>
            </c:rich>
          </c:tx>
        </c:title>
        <c:numFmt formatCode="#.##0" sourceLinked="1"/>
        <c:tickLblPos val="nextTo"/>
        <c:crossAx val="237738240"/>
        <c:crosses val="autoZero"/>
        <c:crossBetween val="between"/>
      </c:valAx>
    </c:plotArea>
    <c:legend>
      <c:legendPos val="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palūkanos!$M$12</c:f>
              <c:strCache>
                <c:ptCount val="1"/>
                <c:pt idx="0">
                  <c:v>Lietuva</c:v>
                </c:pt>
              </c:strCache>
            </c:strRef>
          </c:tx>
          <c:dLbls>
            <c:dLbl>
              <c:idx val="0"/>
              <c:tx>
                <c:rich>
                  <a:bodyPr/>
                  <a:lstStyle/>
                  <a:p>
                    <a:r>
                      <a:rPr lang="en-US"/>
                      <a:t>220,0</a:t>
                    </a:r>
                  </a:p>
                </c:rich>
              </c:tx>
              <c:dLblPos val="outEnd"/>
              <c:showVal val="1"/>
            </c:dLbl>
            <c:dLbl>
              <c:idx val="1"/>
              <c:tx>
                <c:rich>
                  <a:bodyPr/>
                  <a:lstStyle/>
                  <a:p>
                    <a:r>
                      <a:rPr lang="en-US"/>
                      <a:t>337,8</a:t>
                    </a:r>
                  </a:p>
                </c:rich>
              </c:tx>
              <c:dLblPos val="outEnd"/>
              <c:showVal val="1"/>
            </c:dLbl>
            <c:dLbl>
              <c:idx val="2"/>
              <c:tx>
                <c:rich>
                  <a:bodyPr/>
                  <a:lstStyle/>
                  <a:p>
                    <a:r>
                      <a:rPr lang="en-US"/>
                      <a:t>492,0</a:t>
                    </a:r>
                  </a:p>
                </c:rich>
              </c:tx>
              <c:dLblPos val="outEnd"/>
              <c:showVal val="1"/>
            </c:dLbl>
            <c:dLbl>
              <c:idx val="3"/>
              <c:tx>
                <c:rich>
                  <a:bodyPr/>
                  <a:lstStyle/>
                  <a:p>
                    <a:r>
                      <a:rPr lang="en-US"/>
                      <a:t>542,7</a:t>
                    </a:r>
                  </a:p>
                </c:rich>
              </c:tx>
              <c:dLblPos val="outEnd"/>
              <c:showVal val="1"/>
            </c:dLbl>
            <c:dLbl>
              <c:idx val="4"/>
              <c:tx>
                <c:rich>
                  <a:bodyPr/>
                  <a:lstStyle/>
                  <a:p>
                    <a:r>
                      <a:rPr lang="en-US"/>
                      <a:t>601,1</a:t>
                    </a:r>
                  </a:p>
                </c:rich>
              </c:tx>
              <c:dLblPos val="outEnd"/>
              <c:showVal val="1"/>
            </c:dLbl>
            <c:dLblPos val="outEnd"/>
            <c:showVal val="1"/>
          </c:dLbls>
          <c:cat>
            <c:strRef>
              <c:f>palūkanos!$N$11:$R$11</c:f>
              <c:strCache>
                <c:ptCount val="5"/>
                <c:pt idx="0">
                  <c:v>2008</c:v>
                </c:pt>
                <c:pt idx="1">
                  <c:v>2009</c:v>
                </c:pt>
                <c:pt idx="2">
                  <c:v>2010</c:v>
                </c:pt>
                <c:pt idx="3">
                  <c:v>2011</c:v>
                </c:pt>
                <c:pt idx="4">
                  <c:v>2012</c:v>
                </c:pt>
              </c:strCache>
            </c:strRef>
          </c:cat>
          <c:val>
            <c:numRef>
              <c:f>palūkanos!$N$12:$R$12</c:f>
              <c:numCache>
                <c:formatCode>##,#00</c:formatCode>
                <c:ptCount val="5"/>
                <c:pt idx="0">
                  <c:v>220</c:v>
                </c:pt>
                <c:pt idx="1">
                  <c:v>337.8</c:v>
                </c:pt>
                <c:pt idx="2">
                  <c:v>492</c:v>
                </c:pt>
                <c:pt idx="3">
                  <c:v>542.70000000000005</c:v>
                </c:pt>
                <c:pt idx="4">
                  <c:v>601.1</c:v>
                </c:pt>
              </c:numCache>
            </c:numRef>
          </c:val>
        </c:ser>
        <c:ser>
          <c:idx val="1"/>
          <c:order val="1"/>
          <c:tx>
            <c:strRef>
              <c:f>palūkanos!$M$13</c:f>
              <c:strCache>
                <c:ptCount val="1"/>
                <c:pt idx="0">
                  <c:v>Latvija</c:v>
                </c:pt>
              </c:strCache>
            </c:strRef>
          </c:tx>
          <c:dLbls>
            <c:dLbl>
              <c:idx val="0"/>
              <c:tx>
                <c:rich>
                  <a:bodyPr/>
                  <a:lstStyle/>
                  <a:p>
                    <a:r>
                      <a:rPr lang="en-US"/>
                      <a:t>136,8</a:t>
                    </a:r>
                  </a:p>
                </c:rich>
              </c:tx>
              <c:dLblPos val="outEnd"/>
              <c:showVal val="1"/>
            </c:dLbl>
            <c:dLbl>
              <c:idx val="1"/>
              <c:tx>
                <c:rich>
                  <a:bodyPr/>
                  <a:lstStyle/>
                  <a:p>
                    <a:r>
                      <a:rPr lang="en-US"/>
                      <a:t>280,0</a:t>
                    </a:r>
                  </a:p>
                </c:rich>
              </c:tx>
              <c:dLblPos val="outEnd"/>
              <c:showVal val="1"/>
            </c:dLbl>
            <c:dLbl>
              <c:idx val="2"/>
              <c:tx>
                <c:rich>
                  <a:bodyPr/>
                  <a:lstStyle/>
                  <a:p>
                    <a:r>
                      <a:rPr lang="en-US"/>
                      <a:t>254,3</a:t>
                    </a:r>
                  </a:p>
                </c:rich>
              </c:tx>
              <c:dLblPos val="outEnd"/>
              <c:showVal val="1"/>
            </c:dLbl>
            <c:dLbl>
              <c:idx val="3"/>
              <c:tx>
                <c:rich>
                  <a:bodyPr/>
                  <a:lstStyle/>
                  <a:p>
                    <a:r>
                      <a:rPr lang="en-US"/>
                      <a:t>297,7</a:t>
                    </a:r>
                  </a:p>
                </c:rich>
              </c:tx>
              <c:dLblPos val="outEnd"/>
              <c:showVal val="1"/>
            </c:dLbl>
            <c:dLbl>
              <c:idx val="4"/>
              <c:tx>
                <c:rich>
                  <a:bodyPr/>
                  <a:lstStyle/>
                  <a:p>
                    <a:r>
                      <a:rPr lang="en-US"/>
                      <a:t>296,0</a:t>
                    </a:r>
                  </a:p>
                </c:rich>
              </c:tx>
              <c:dLblPos val="outEnd"/>
              <c:showVal val="1"/>
            </c:dLbl>
            <c:dLblPos val="outEnd"/>
            <c:showVal val="1"/>
          </c:dLbls>
          <c:cat>
            <c:strRef>
              <c:f>palūkanos!$N$11:$R$11</c:f>
              <c:strCache>
                <c:ptCount val="5"/>
                <c:pt idx="0">
                  <c:v>2008</c:v>
                </c:pt>
                <c:pt idx="1">
                  <c:v>2009</c:v>
                </c:pt>
                <c:pt idx="2">
                  <c:v>2010</c:v>
                </c:pt>
                <c:pt idx="3">
                  <c:v>2011</c:v>
                </c:pt>
                <c:pt idx="4">
                  <c:v>2012</c:v>
                </c:pt>
              </c:strCache>
            </c:strRef>
          </c:cat>
          <c:val>
            <c:numRef>
              <c:f>palūkanos!$N$13:$R$13</c:f>
              <c:numCache>
                <c:formatCode>##,#00</c:formatCode>
                <c:ptCount val="5"/>
                <c:pt idx="0">
                  <c:v>136.80000000000001</c:v>
                </c:pt>
                <c:pt idx="1">
                  <c:v>280</c:v>
                </c:pt>
                <c:pt idx="2">
                  <c:v>254.3</c:v>
                </c:pt>
                <c:pt idx="3">
                  <c:v>297.7</c:v>
                </c:pt>
                <c:pt idx="4">
                  <c:v>296</c:v>
                </c:pt>
              </c:numCache>
            </c:numRef>
          </c:val>
        </c:ser>
        <c:ser>
          <c:idx val="2"/>
          <c:order val="2"/>
          <c:tx>
            <c:strRef>
              <c:f>palūkanos!$M$14</c:f>
              <c:strCache>
                <c:ptCount val="1"/>
                <c:pt idx="0">
                  <c:v>Estija</c:v>
                </c:pt>
              </c:strCache>
            </c:strRef>
          </c:tx>
          <c:dLbls>
            <c:dLbl>
              <c:idx val="0"/>
              <c:layout>
                <c:manualLayout>
                  <c:x val="1.3961605584642326E-2"/>
                  <c:y val="0"/>
                </c:manualLayout>
              </c:layout>
              <c:tx>
                <c:rich>
                  <a:bodyPr/>
                  <a:lstStyle/>
                  <a:p>
                    <a:r>
                      <a:rPr lang="en-US"/>
                      <a:t>33,2</a:t>
                    </a:r>
                  </a:p>
                </c:rich>
              </c:tx>
              <c:dLblPos val="outEnd"/>
              <c:showVal val="1"/>
            </c:dLbl>
            <c:dLbl>
              <c:idx val="1"/>
              <c:layout>
                <c:manualLayout>
                  <c:x val="6.9808027923214475E-3"/>
                  <c:y val="9.2592592592596768E-3"/>
                </c:manualLayout>
              </c:layout>
              <c:tx>
                <c:rich>
                  <a:bodyPr/>
                  <a:lstStyle/>
                  <a:p>
                    <a:r>
                      <a:rPr lang="en-US"/>
                      <a:t>29,1</a:t>
                    </a:r>
                  </a:p>
                </c:rich>
              </c:tx>
              <c:dLblPos val="outEnd"/>
              <c:showVal val="1"/>
            </c:dLbl>
            <c:dLbl>
              <c:idx val="2"/>
              <c:layout>
                <c:manualLayout>
                  <c:x val="9.3077370564286985E-3"/>
                  <c:y val="9.2592592592595779E-3"/>
                </c:manualLayout>
              </c:layout>
              <c:tx>
                <c:rich>
                  <a:bodyPr/>
                  <a:lstStyle/>
                  <a:p>
                    <a:r>
                      <a:rPr lang="en-US"/>
                      <a:t>19,9</a:t>
                    </a:r>
                  </a:p>
                </c:rich>
              </c:tx>
              <c:dLblPos val="outEnd"/>
              <c:showVal val="1"/>
            </c:dLbl>
            <c:dLbl>
              <c:idx val="3"/>
              <c:layout>
                <c:manualLayout>
                  <c:x val="1.1634671320535533E-2"/>
                  <c:y val="9.2592592592596768E-3"/>
                </c:manualLayout>
              </c:layout>
              <c:tx>
                <c:rich>
                  <a:bodyPr/>
                  <a:lstStyle/>
                  <a:p>
                    <a:r>
                      <a:rPr lang="en-US"/>
                      <a:t>23,3</a:t>
                    </a:r>
                  </a:p>
                </c:rich>
              </c:tx>
              <c:dLblPos val="outEnd"/>
              <c:showVal val="1"/>
            </c:dLbl>
            <c:dLbl>
              <c:idx val="4"/>
              <c:layout>
                <c:manualLayout>
                  <c:x val="1.3961605584642326E-2"/>
                  <c:y val="4.6296296296295504E-3"/>
                </c:manualLayout>
              </c:layout>
              <c:tx>
                <c:rich>
                  <a:bodyPr/>
                  <a:lstStyle/>
                  <a:p>
                    <a:r>
                      <a:rPr lang="en-US"/>
                      <a:t>28,5</a:t>
                    </a:r>
                  </a:p>
                </c:rich>
              </c:tx>
              <c:dLblPos val="outEnd"/>
              <c:showVal val="1"/>
            </c:dLbl>
            <c:dLblPos val="outEnd"/>
            <c:showVal val="1"/>
          </c:dLbls>
          <c:cat>
            <c:strRef>
              <c:f>palūkanos!$N$11:$R$11</c:f>
              <c:strCache>
                <c:ptCount val="5"/>
                <c:pt idx="0">
                  <c:v>2008</c:v>
                </c:pt>
                <c:pt idx="1">
                  <c:v>2009</c:v>
                </c:pt>
                <c:pt idx="2">
                  <c:v>2010</c:v>
                </c:pt>
                <c:pt idx="3">
                  <c:v>2011</c:v>
                </c:pt>
                <c:pt idx="4">
                  <c:v>2012</c:v>
                </c:pt>
              </c:strCache>
            </c:strRef>
          </c:cat>
          <c:val>
            <c:numRef>
              <c:f>palūkanos!$N$14:$R$14</c:f>
              <c:numCache>
                <c:formatCode>##,#00</c:formatCode>
                <c:ptCount val="5"/>
                <c:pt idx="0">
                  <c:v>33.200000000000003</c:v>
                </c:pt>
                <c:pt idx="1">
                  <c:v>29.1</c:v>
                </c:pt>
                <c:pt idx="2">
                  <c:v>19.899999999999999</c:v>
                </c:pt>
                <c:pt idx="3">
                  <c:v>23.3</c:v>
                </c:pt>
                <c:pt idx="4">
                  <c:v>28.5</c:v>
                </c:pt>
              </c:numCache>
            </c:numRef>
          </c:val>
        </c:ser>
        <c:dLbls>
          <c:showVal val="1"/>
        </c:dLbls>
        <c:axId val="237782528"/>
        <c:axId val="237784448"/>
      </c:barChart>
      <c:catAx>
        <c:axId val="237782528"/>
        <c:scaling>
          <c:orientation val="minMax"/>
        </c:scaling>
        <c:axPos val="b"/>
        <c:title>
          <c:tx>
            <c:rich>
              <a:bodyPr/>
              <a:lstStyle/>
              <a:p>
                <a:pPr>
                  <a:defRPr/>
                </a:pPr>
                <a:r>
                  <a:rPr lang="lt-LT"/>
                  <a:t>Metai</a:t>
                </a:r>
              </a:p>
            </c:rich>
          </c:tx>
        </c:title>
        <c:tickLblPos val="nextTo"/>
        <c:crossAx val="237784448"/>
        <c:crosses val="autoZero"/>
        <c:auto val="1"/>
        <c:lblAlgn val="ctr"/>
        <c:lblOffset val="100"/>
      </c:catAx>
      <c:valAx>
        <c:axId val="237784448"/>
        <c:scaling>
          <c:orientation val="minMax"/>
        </c:scaling>
        <c:axPos val="l"/>
        <c:majorGridlines/>
        <c:title>
          <c:tx>
            <c:rich>
              <a:bodyPr rot="-5400000" vert="horz"/>
              <a:lstStyle/>
              <a:p>
                <a:pPr>
                  <a:defRPr/>
                </a:pPr>
                <a:r>
                  <a:rPr lang="lt-LT"/>
                  <a:t>mln.Eur</a:t>
                </a:r>
              </a:p>
            </c:rich>
          </c:tx>
        </c:title>
        <c:numFmt formatCode="##,#00" sourceLinked="1"/>
        <c:tickLblPos val="nextTo"/>
        <c:crossAx val="237782528"/>
        <c:crosses val="autoZero"/>
        <c:crossBetween val="between"/>
      </c:valAx>
    </c:plotArea>
    <c:legend>
      <c:legendPos val="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stacked"/>
        <c:ser>
          <c:idx val="0"/>
          <c:order val="0"/>
          <c:tx>
            <c:strRef>
              <c:f>struktura!$C$149</c:f>
              <c:strCache>
                <c:ptCount val="1"/>
                <c:pt idx="0">
                  <c:v>Centrinės valdžios skola</c:v>
                </c:pt>
              </c:strCache>
            </c:strRef>
          </c:tx>
          <c:cat>
            <c:multiLvlStrRef>
              <c:f>struktura!$D$147:$R$148</c:f>
              <c:multiLvlStrCache>
                <c:ptCount val="15"/>
                <c:lvl>
                  <c:pt idx="0">
                    <c:v>2008</c:v>
                  </c:pt>
                  <c:pt idx="1">
                    <c:v>2009</c:v>
                  </c:pt>
                  <c:pt idx="2">
                    <c:v>2010</c:v>
                  </c:pt>
                  <c:pt idx="3">
                    <c:v>2011</c:v>
                  </c:pt>
                  <c:pt idx="4">
                    <c:v>2012</c:v>
                  </c:pt>
                  <c:pt idx="5">
                    <c:v>2008</c:v>
                  </c:pt>
                  <c:pt idx="6">
                    <c:v>2009</c:v>
                  </c:pt>
                  <c:pt idx="7">
                    <c:v>2010</c:v>
                  </c:pt>
                  <c:pt idx="8">
                    <c:v>2011</c:v>
                  </c:pt>
                  <c:pt idx="9">
                    <c:v>2012</c:v>
                  </c:pt>
                  <c:pt idx="10">
                    <c:v>2008</c:v>
                  </c:pt>
                  <c:pt idx="11">
                    <c:v>2009</c:v>
                  </c:pt>
                  <c:pt idx="12">
                    <c:v>2010</c:v>
                  </c:pt>
                  <c:pt idx="13">
                    <c:v>2011</c:v>
                  </c:pt>
                  <c:pt idx="14">
                    <c:v>2012</c:v>
                  </c:pt>
                </c:lvl>
                <c:lvl>
                  <c:pt idx="0">
                    <c:v>Lietuva</c:v>
                  </c:pt>
                  <c:pt idx="5">
                    <c:v>Latvija</c:v>
                  </c:pt>
                  <c:pt idx="10">
                    <c:v>Estija</c:v>
                  </c:pt>
                </c:lvl>
              </c:multiLvlStrCache>
            </c:multiLvlStrRef>
          </c:cat>
          <c:val>
            <c:numRef>
              <c:f>struktura!$D$149:$R$149</c:f>
              <c:numCache>
                <c:formatCode>#.#00</c:formatCode>
                <c:ptCount val="15"/>
                <c:pt idx="0">
                  <c:v>91.953954785498226</c:v>
                </c:pt>
                <c:pt idx="1">
                  <c:v>85.136970534068098</c:v>
                </c:pt>
                <c:pt idx="2">
                  <c:v>82.384164173301571</c:v>
                </c:pt>
                <c:pt idx="3">
                  <c:v>79.695305061158678</c:v>
                </c:pt>
                <c:pt idx="4">
                  <c:v>78.144935983123105</c:v>
                </c:pt>
                <c:pt idx="5">
                  <c:v>85.255670296072111</c:v>
                </c:pt>
                <c:pt idx="6">
                  <c:v>87.332915745807426</c:v>
                </c:pt>
                <c:pt idx="7">
                  <c:v>87.628490663011689</c:v>
                </c:pt>
                <c:pt idx="8">
                  <c:v>87.340431003445659</c:v>
                </c:pt>
                <c:pt idx="9">
                  <c:v>87.635688393270158</c:v>
                </c:pt>
                <c:pt idx="10">
                  <c:v>35.725094577553598</c:v>
                </c:pt>
                <c:pt idx="11">
                  <c:v>46.986916244866812</c:v>
                </c:pt>
                <c:pt idx="12">
                  <c:v>46.626553560860131</c:v>
                </c:pt>
                <c:pt idx="13">
                  <c:v>49.150783166635044</c:v>
                </c:pt>
                <c:pt idx="14">
                  <c:v>68.769034830278528</c:v>
                </c:pt>
              </c:numCache>
            </c:numRef>
          </c:val>
        </c:ser>
        <c:ser>
          <c:idx val="1"/>
          <c:order val="1"/>
          <c:tx>
            <c:strRef>
              <c:f>struktura!$C$150</c:f>
              <c:strCache>
                <c:ptCount val="1"/>
                <c:pt idx="0">
                  <c:v>Vietos valdžios skola</c:v>
                </c:pt>
              </c:strCache>
            </c:strRef>
          </c:tx>
          <c:cat>
            <c:multiLvlStrRef>
              <c:f>struktura!$D$147:$R$148</c:f>
              <c:multiLvlStrCache>
                <c:ptCount val="15"/>
                <c:lvl>
                  <c:pt idx="0">
                    <c:v>2008</c:v>
                  </c:pt>
                  <c:pt idx="1">
                    <c:v>2009</c:v>
                  </c:pt>
                  <c:pt idx="2">
                    <c:v>2010</c:v>
                  </c:pt>
                  <c:pt idx="3">
                    <c:v>2011</c:v>
                  </c:pt>
                  <c:pt idx="4">
                    <c:v>2012</c:v>
                  </c:pt>
                  <c:pt idx="5">
                    <c:v>2008</c:v>
                  </c:pt>
                  <c:pt idx="6">
                    <c:v>2009</c:v>
                  </c:pt>
                  <c:pt idx="7">
                    <c:v>2010</c:v>
                  </c:pt>
                  <c:pt idx="8">
                    <c:v>2011</c:v>
                  </c:pt>
                  <c:pt idx="9">
                    <c:v>2012</c:v>
                  </c:pt>
                  <c:pt idx="10">
                    <c:v>2008</c:v>
                  </c:pt>
                  <c:pt idx="11">
                    <c:v>2009</c:v>
                  </c:pt>
                  <c:pt idx="12">
                    <c:v>2010</c:v>
                  </c:pt>
                  <c:pt idx="13">
                    <c:v>2011</c:v>
                  </c:pt>
                  <c:pt idx="14">
                    <c:v>2012</c:v>
                  </c:pt>
                </c:lvl>
                <c:lvl>
                  <c:pt idx="0">
                    <c:v>Lietuva</c:v>
                  </c:pt>
                  <c:pt idx="5">
                    <c:v>Latvija</c:v>
                  </c:pt>
                  <c:pt idx="10">
                    <c:v>Estija</c:v>
                  </c:pt>
                </c:lvl>
              </c:multiLvlStrCache>
            </c:multiLvlStrRef>
          </c:cat>
          <c:val>
            <c:numRef>
              <c:f>struktura!$D$150:$R$150</c:f>
              <c:numCache>
                <c:formatCode>#.#00</c:formatCode>
                <c:ptCount val="15"/>
                <c:pt idx="0">
                  <c:v>7.5535512965050655</c:v>
                </c:pt>
                <c:pt idx="1">
                  <c:v>4.8284990791896867</c:v>
                </c:pt>
                <c:pt idx="2">
                  <c:v>3.6918707845225422</c:v>
                </c:pt>
                <c:pt idx="3">
                  <c:v>4.1617226983080684</c:v>
                </c:pt>
                <c:pt idx="4">
                  <c:v>4.0082610596202723</c:v>
                </c:pt>
                <c:pt idx="5">
                  <c:v>14.728730540043049</c:v>
                </c:pt>
                <c:pt idx="6">
                  <c:v>12.663538699727184</c:v>
                </c:pt>
                <c:pt idx="7">
                  <c:v>12.371509336988478</c:v>
                </c:pt>
                <c:pt idx="8">
                  <c:v>12.659568996554032</c:v>
                </c:pt>
                <c:pt idx="9">
                  <c:v>12.36431160672837</c:v>
                </c:pt>
                <c:pt idx="10">
                  <c:v>64.274905422446409</c:v>
                </c:pt>
                <c:pt idx="11">
                  <c:v>52.984433196446844</c:v>
                </c:pt>
                <c:pt idx="12">
                  <c:v>53.343854803708638</c:v>
                </c:pt>
                <c:pt idx="13">
                  <c:v>50.839781090771851</c:v>
                </c:pt>
                <c:pt idx="14">
                  <c:v>31.230965169721728</c:v>
                </c:pt>
              </c:numCache>
            </c:numRef>
          </c:val>
        </c:ser>
        <c:ser>
          <c:idx val="2"/>
          <c:order val="2"/>
          <c:tx>
            <c:strRef>
              <c:f>struktura!$C$151</c:f>
              <c:strCache>
                <c:ptCount val="1"/>
                <c:pt idx="0">
                  <c:v>Soc. apsaugos fondų skola</c:v>
                </c:pt>
              </c:strCache>
            </c:strRef>
          </c:tx>
          <c:cat>
            <c:multiLvlStrRef>
              <c:f>struktura!$D$147:$R$148</c:f>
              <c:multiLvlStrCache>
                <c:ptCount val="15"/>
                <c:lvl>
                  <c:pt idx="0">
                    <c:v>2008</c:v>
                  </c:pt>
                  <c:pt idx="1">
                    <c:v>2009</c:v>
                  </c:pt>
                  <c:pt idx="2">
                    <c:v>2010</c:v>
                  </c:pt>
                  <c:pt idx="3">
                    <c:v>2011</c:v>
                  </c:pt>
                  <c:pt idx="4">
                    <c:v>2012</c:v>
                  </c:pt>
                  <c:pt idx="5">
                    <c:v>2008</c:v>
                  </c:pt>
                  <c:pt idx="6">
                    <c:v>2009</c:v>
                  </c:pt>
                  <c:pt idx="7">
                    <c:v>2010</c:v>
                  </c:pt>
                  <c:pt idx="8">
                    <c:v>2011</c:v>
                  </c:pt>
                  <c:pt idx="9">
                    <c:v>2012</c:v>
                  </c:pt>
                  <c:pt idx="10">
                    <c:v>2008</c:v>
                  </c:pt>
                  <c:pt idx="11">
                    <c:v>2009</c:v>
                  </c:pt>
                  <c:pt idx="12">
                    <c:v>2010</c:v>
                  </c:pt>
                  <c:pt idx="13">
                    <c:v>2011</c:v>
                  </c:pt>
                  <c:pt idx="14">
                    <c:v>2012</c:v>
                  </c:pt>
                </c:lvl>
                <c:lvl>
                  <c:pt idx="0">
                    <c:v>Lietuva</c:v>
                  </c:pt>
                  <c:pt idx="5">
                    <c:v>Latvija</c:v>
                  </c:pt>
                  <c:pt idx="10">
                    <c:v>Estija</c:v>
                  </c:pt>
                </c:lvl>
              </c:multiLvlStrCache>
            </c:multiLvlStrRef>
          </c:cat>
          <c:val>
            <c:numRef>
              <c:f>struktura!$D$151:$R$151</c:f>
              <c:numCache>
                <c:formatCode>#.#00</c:formatCode>
                <c:ptCount val="15"/>
                <c:pt idx="0">
                  <c:v>0.49249391799679632</c:v>
                </c:pt>
                <c:pt idx="1">
                  <c:v>10.034530386740332</c:v>
                </c:pt>
                <c:pt idx="2">
                  <c:v>13.923965042175855</c:v>
                </c:pt>
                <c:pt idx="3">
                  <c:v>16.142972240532838</c:v>
                </c:pt>
                <c:pt idx="4">
                  <c:v>17.846802957256724</c:v>
                </c:pt>
                <c:pt idx="5">
                  <c:v>1.5599163884815803E-2</c:v>
                </c:pt>
                <c:pt idx="6">
                  <c:v>3.545554465625861E-3</c:v>
                </c:pt>
                <c:pt idx="7">
                  <c:v>0</c:v>
                </c:pt>
                <c:pt idx="8">
                  <c:v>0</c:v>
                </c:pt>
                <c:pt idx="9">
                  <c:v>0</c:v>
                </c:pt>
                <c:pt idx="10">
                  <c:v>0</c:v>
                </c:pt>
                <c:pt idx="11">
                  <c:v>2.865055868589441E-2</c:v>
                </c:pt>
                <c:pt idx="12">
                  <c:v>2.9591635431051512E-2</c:v>
                </c:pt>
                <c:pt idx="13">
                  <c:v>9.4357425929423831E-3</c:v>
                </c:pt>
                <c:pt idx="14">
                  <c:v>0</c:v>
                </c:pt>
              </c:numCache>
            </c:numRef>
          </c:val>
        </c:ser>
        <c:overlap val="100"/>
        <c:axId val="237860736"/>
        <c:axId val="237862272"/>
      </c:barChart>
      <c:catAx>
        <c:axId val="237860736"/>
        <c:scaling>
          <c:orientation val="minMax"/>
        </c:scaling>
        <c:axPos val="b"/>
        <c:tickLblPos val="nextTo"/>
        <c:crossAx val="237862272"/>
        <c:crosses val="autoZero"/>
        <c:auto val="1"/>
        <c:lblAlgn val="ctr"/>
        <c:lblOffset val="100"/>
      </c:catAx>
      <c:valAx>
        <c:axId val="237862272"/>
        <c:scaling>
          <c:orientation val="minMax"/>
          <c:max val="100"/>
        </c:scaling>
        <c:axPos val="l"/>
        <c:majorGridlines/>
        <c:title>
          <c:tx>
            <c:rich>
              <a:bodyPr rot="-5400000" vert="horz"/>
              <a:lstStyle/>
              <a:p>
                <a:pPr>
                  <a:defRPr/>
                </a:pPr>
                <a:r>
                  <a:rPr lang="en-US"/>
                  <a:t>proc.</a:t>
                </a:r>
              </a:p>
            </c:rich>
          </c:tx>
        </c:title>
        <c:numFmt formatCode="#.#00" sourceLinked="1"/>
        <c:tickLblPos val="nextTo"/>
        <c:crossAx val="237860736"/>
        <c:crosses val="autoZero"/>
        <c:crossBetween val="between"/>
      </c:valAx>
    </c:plotArea>
    <c:legend>
      <c:legendPos val="r"/>
    </c:legend>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675553-B7D3-4143-81B4-3902086B4A85}" type="doc">
      <dgm:prSet loTypeId="urn:microsoft.com/office/officeart/2005/8/layout/vList5" loCatId="list" qsTypeId="urn:microsoft.com/office/officeart/2005/8/quickstyle/simple1" qsCatId="simple" csTypeId="urn:microsoft.com/office/officeart/2005/8/colors/accent0_1" csCatId="mainScheme" phldr="1"/>
      <dgm:spPr/>
      <dgm:t>
        <a:bodyPr/>
        <a:lstStyle/>
        <a:p>
          <a:endParaRPr lang="en-US"/>
        </a:p>
      </dgm:t>
    </dgm:pt>
    <dgm:pt modelId="{2C34DD07-ECA8-4DC9-BCB2-B1D669C80BFB}">
      <dgm:prSet phldrT="[Text]" custT="1"/>
      <dgm:spPr/>
      <dgm:t>
        <a:bodyPr/>
        <a:lstStyle/>
        <a:p>
          <a:r>
            <a:rPr lang="lt-LT" sz="1200">
              <a:latin typeface="Times New Roman" pitchFamily="18" charset="0"/>
              <a:cs typeface="Times New Roman" pitchFamily="18" charset="0"/>
            </a:rPr>
            <a:t>Pagal priklausomumo laipsnį</a:t>
          </a:r>
          <a:endParaRPr lang="en-US" sz="1200">
            <a:latin typeface="Times New Roman" pitchFamily="18" charset="0"/>
            <a:cs typeface="Times New Roman" pitchFamily="18" charset="0"/>
          </a:endParaRPr>
        </a:p>
      </dgm:t>
    </dgm:pt>
    <dgm:pt modelId="{38F7B6A1-854E-431E-80B2-6C7978A009B1}" type="parTrans" cxnId="{A54BFC23-3E11-445C-8489-3A41C4015DDA}">
      <dgm:prSet/>
      <dgm:spPr/>
      <dgm:t>
        <a:bodyPr/>
        <a:lstStyle/>
        <a:p>
          <a:endParaRPr lang="en-US"/>
        </a:p>
      </dgm:t>
    </dgm:pt>
    <dgm:pt modelId="{A4833B23-A490-47AD-ADF5-AE1511E2CFAB}" type="sibTrans" cxnId="{A54BFC23-3E11-445C-8489-3A41C4015DDA}">
      <dgm:prSet/>
      <dgm:spPr/>
      <dgm:t>
        <a:bodyPr/>
        <a:lstStyle/>
        <a:p>
          <a:endParaRPr lang="en-US"/>
        </a:p>
      </dgm:t>
    </dgm:pt>
    <dgm:pt modelId="{835DF1A1-3351-4C5C-91B3-84FEC6341659}">
      <dgm:prSet phldrT="[Text]" custT="1"/>
      <dgm:spPr/>
      <dgm:t>
        <a:bodyPr/>
        <a:lstStyle/>
        <a:p>
          <a:r>
            <a:rPr lang="lt-LT" sz="1200">
              <a:latin typeface="Times New Roman" pitchFamily="18" charset="0"/>
              <a:cs typeface="Times New Roman" pitchFamily="18" charset="0"/>
            </a:rPr>
            <a:t>Tiesioginė valstybės skola</a:t>
          </a:r>
          <a:endParaRPr lang="en-US" sz="1200">
            <a:latin typeface="Times New Roman" pitchFamily="18" charset="0"/>
            <a:cs typeface="Times New Roman" pitchFamily="18" charset="0"/>
          </a:endParaRPr>
        </a:p>
      </dgm:t>
    </dgm:pt>
    <dgm:pt modelId="{72A08255-14F9-4CCC-89CF-FDFF3B4017D4}" type="parTrans" cxnId="{71AFFE75-FDEB-4409-B802-4333AF22B433}">
      <dgm:prSet/>
      <dgm:spPr/>
      <dgm:t>
        <a:bodyPr/>
        <a:lstStyle/>
        <a:p>
          <a:endParaRPr lang="en-US"/>
        </a:p>
      </dgm:t>
    </dgm:pt>
    <dgm:pt modelId="{42051F44-B98C-42C6-A132-6D822CF67CF6}" type="sibTrans" cxnId="{71AFFE75-FDEB-4409-B802-4333AF22B433}">
      <dgm:prSet/>
      <dgm:spPr/>
      <dgm:t>
        <a:bodyPr/>
        <a:lstStyle/>
        <a:p>
          <a:endParaRPr lang="en-US"/>
        </a:p>
      </dgm:t>
    </dgm:pt>
    <dgm:pt modelId="{251217B9-9AC0-4772-9BF3-3809B27ADA98}">
      <dgm:prSet phldrT="[Text]" custT="1"/>
      <dgm:spPr/>
      <dgm:t>
        <a:bodyPr/>
        <a:lstStyle/>
        <a:p>
          <a:r>
            <a:rPr lang="lt-LT" sz="1200">
              <a:latin typeface="Times New Roman" pitchFamily="18" charset="0"/>
              <a:cs typeface="Times New Roman" pitchFamily="18" charset="0"/>
            </a:rPr>
            <a:t>Pagal valiutą</a:t>
          </a:r>
          <a:endParaRPr lang="en-US" sz="1200">
            <a:latin typeface="Times New Roman" pitchFamily="18" charset="0"/>
            <a:cs typeface="Times New Roman" pitchFamily="18" charset="0"/>
          </a:endParaRPr>
        </a:p>
      </dgm:t>
    </dgm:pt>
    <dgm:pt modelId="{3C177106-CBBE-46BD-9DAA-4A65F02119C3}" type="parTrans" cxnId="{34065A10-7BBB-43E9-8EAF-B2CF3E113982}">
      <dgm:prSet/>
      <dgm:spPr/>
      <dgm:t>
        <a:bodyPr/>
        <a:lstStyle/>
        <a:p>
          <a:endParaRPr lang="en-US"/>
        </a:p>
      </dgm:t>
    </dgm:pt>
    <dgm:pt modelId="{CD660C87-958A-4311-B696-6AD90A372C3A}" type="sibTrans" cxnId="{34065A10-7BBB-43E9-8EAF-B2CF3E113982}">
      <dgm:prSet/>
      <dgm:spPr/>
      <dgm:t>
        <a:bodyPr/>
        <a:lstStyle/>
        <a:p>
          <a:endParaRPr lang="en-US"/>
        </a:p>
      </dgm:t>
    </dgm:pt>
    <dgm:pt modelId="{5F7386C2-AC34-484A-B144-521843A95490}">
      <dgm:prSet phldrT="[Text]" custT="1"/>
      <dgm:spPr/>
      <dgm:t>
        <a:bodyPr/>
        <a:lstStyle/>
        <a:p>
          <a:r>
            <a:rPr lang="lt-LT" sz="1200">
              <a:latin typeface="Times New Roman" pitchFamily="18" charset="0"/>
              <a:cs typeface="Times New Roman" pitchFamily="18" charset="0"/>
            </a:rPr>
            <a:t>Valstybės skola vidaus valiuta </a:t>
          </a:r>
          <a:endParaRPr lang="en-US" sz="1200">
            <a:latin typeface="Times New Roman" pitchFamily="18" charset="0"/>
            <a:cs typeface="Times New Roman" pitchFamily="18" charset="0"/>
          </a:endParaRPr>
        </a:p>
      </dgm:t>
    </dgm:pt>
    <dgm:pt modelId="{871670FC-0140-41B4-8240-641DC8FBE1B5}" type="parTrans" cxnId="{00DE2D1D-663D-49A8-B8AB-8BD2C8EE4417}">
      <dgm:prSet/>
      <dgm:spPr/>
      <dgm:t>
        <a:bodyPr/>
        <a:lstStyle/>
        <a:p>
          <a:endParaRPr lang="en-US"/>
        </a:p>
      </dgm:t>
    </dgm:pt>
    <dgm:pt modelId="{E755240D-919F-46E9-9A02-CCB734A192DC}" type="sibTrans" cxnId="{00DE2D1D-663D-49A8-B8AB-8BD2C8EE4417}">
      <dgm:prSet/>
      <dgm:spPr/>
      <dgm:t>
        <a:bodyPr/>
        <a:lstStyle/>
        <a:p>
          <a:endParaRPr lang="en-US"/>
        </a:p>
      </dgm:t>
    </dgm:pt>
    <dgm:pt modelId="{55004C14-82AA-4311-8825-DAF7C6AD3305}">
      <dgm:prSet phldrT="[Text]" custT="1"/>
      <dgm:spPr/>
      <dgm:t>
        <a:bodyPr/>
        <a:lstStyle/>
        <a:p>
          <a:r>
            <a:rPr lang="lt-LT" sz="1200">
              <a:latin typeface="Times New Roman" pitchFamily="18" charset="0"/>
              <a:cs typeface="Times New Roman" pitchFamily="18" charset="0"/>
            </a:rPr>
            <a:t>Valstybės skola užsienio valiuta</a:t>
          </a:r>
          <a:endParaRPr lang="en-US" sz="1200">
            <a:latin typeface="Times New Roman" pitchFamily="18" charset="0"/>
            <a:cs typeface="Times New Roman" pitchFamily="18" charset="0"/>
          </a:endParaRPr>
        </a:p>
      </dgm:t>
    </dgm:pt>
    <dgm:pt modelId="{488F4A27-1ADB-4824-9EBE-4916FC21DD2B}" type="parTrans" cxnId="{81690DBA-5DFE-4900-8F7A-53CEEFEFEC6E}">
      <dgm:prSet/>
      <dgm:spPr/>
      <dgm:t>
        <a:bodyPr/>
        <a:lstStyle/>
        <a:p>
          <a:endParaRPr lang="en-US"/>
        </a:p>
      </dgm:t>
    </dgm:pt>
    <dgm:pt modelId="{097CA234-B754-4C53-8E62-FD91DB3418D4}" type="sibTrans" cxnId="{81690DBA-5DFE-4900-8F7A-53CEEFEFEC6E}">
      <dgm:prSet/>
      <dgm:spPr/>
      <dgm:t>
        <a:bodyPr/>
        <a:lstStyle/>
        <a:p>
          <a:endParaRPr lang="en-US"/>
        </a:p>
      </dgm:t>
    </dgm:pt>
    <dgm:pt modelId="{FA062A5D-EDAB-4198-93F0-F1F98F371DCB}">
      <dgm:prSet phldrT="[Text]" custT="1"/>
      <dgm:spPr/>
      <dgm:t>
        <a:bodyPr/>
        <a:lstStyle/>
        <a:p>
          <a:r>
            <a:rPr lang="lt-LT" sz="1200">
              <a:latin typeface="Times New Roman" pitchFamily="18" charset="0"/>
              <a:cs typeface="Times New Roman" pitchFamily="18" charset="0"/>
            </a:rPr>
            <a:t>Pagal rinką</a:t>
          </a:r>
          <a:endParaRPr lang="en-US" sz="1200">
            <a:latin typeface="Times New Roman" pitchFamily="18" charset="0"/>
            <a:cs typeface="Times New Roman" pitchFamily="18" charset="0"/>
          </a:endParaRPr>
        </a:p>
      </dgm:t>
    </dgm:pt>
    <dgm:pt modelId="{E20C53C8-DEFD-4BFE-BE50-A6DF1A38EB07}" type="parTrans" cxnId="{C012BD6F-F07F-4BE7-A0EF-4B10ED827D43}">
      <dgm:prSet/>
      <dgm:spPr/>
      <dgm:t>
        <a:bodyPr/>
        <a:lstStyle/>
        <a:p>
          <a:endParaRPr lang="en-US"/>
        </a:p>
      </dgm:t>
    </dgm:pt>
    <dgm:pt modelId="{603E9E32-F251-4B3B-A3CA-6E7E41D25699}" type="sibTrans" cxnId="{C012BD6F-F07F-4BE7-A0EF-4B10ED827D43}">
      <dgm:prSet/>
      <dgm:spPr/>
      <dgm:t>
        <a:bodyPr/>
        <a:lstStyle/>
        <a:p>
          <a:endParaRPr lang="en-US"/>
        </a:p>
      </dgm:t>
    </dgm:pt>
    <dgm:pt modelId="{B5A08CC3-D42C-40DF-8BE6-03EBF7551762}">
      <dgm:prSet phldrT="[Text]" custT="1"/>
      <dgm:spPr/>
      <dgm:t>
        <a:bodyPr/>
        <a:lstStyle/>
        <a:p>
          <a:r>
            <a:rPr lang="lt-LT" sz="1200">
              <a:latin typeface="Times New Roman" pitchFamily="18" charset="0"/>
              <a:cs typeface="Times New Roman" pitchFamily="18" charset="0"/>
            </a:rPr>
            <a:t>Vidaus rinkoje suformuota valstybės skola </a:t>
          </a:r>
          <a:endParaRPr lang="en-US" sz="1200">
            <a:latin typeface="Times New Roman" pitchFamily="18" charset="0"/>
            <a:cs typeface="Times New Roman" pitchFamily="18" charset="0"/>
          </a:endParaRPr>
        </a:p>
      </dgm:t>
    </dgm:pt>
    <dgm:pt modelId="{53A315F6-79AF-4305-ADF4-DA3338BACD4C}" type="parTrans" cxnId="{1D50CF8C-12FA-4438-8EEC-9DC660A31D75}">
      <dgm:prSet/>
      <dgm:spPr/>
      <dgm:t>
        <a:bodyPr/>
        <a:lstStyle/>
        <a:p>
          <a:endParaRPr lang="en-US"/>
        </a:p>
      </dgm:t>
    </dgm:pt>
    <dgm:pt modelId="{7337DEE4-20DC-4810-871D-4EEFC77A63F8}" type="sibTrans" cxnId="{1D50CF8C-12FA-4438-8EEC-9DC660A31D75}">
      <dgm:prSet/>
      <dgm:spPr/>
      <dgm:t>
        <a:bodyPr/>
        <a:lstStyle/>
        <a:p>
          <a:endParaRPr lang="en-US"/>
        </a:p>
      </dgm:t>
    </dgm:pt>
    <dgm:pt modelId="{2A43C34A-0B64-45C9-BDF4-D8061E047B80}">
      <dgm:prSet phldrT="[Text]" custT="1"/>
      <dgm:spPr/>
      <dgm:t>
        <a:bodyPr/>
        <a:lstStyle/>
        <a:p>
          <a:r>
            <a:rPr lang="lt-LT" sz="1200">
              <a:latin typeface="Times New Roman" pitchFamily="18" charset="0"/>
              <a:cs typeface="Times New Roman" pitchFamily="18" charset="0"/>
            </a:rPr>
            <a:t>Užsienio rinkoje suformuota valstybės skola</a:t>
          </a:r>
          <a:endParaRPr lang="en-US" sz="1200">
            <a:latin typeface="Times New Roman" pitchFamily="18" charset="0"/>
            <a:cs typeface="Times New Roman" pitchFamily="18" charset="0"/>
          </a:endParaRPr>
        </a:p>
      </dgm:t>
    </dgm:pt>
    <dgm:pt modelId="{D58FB8F0-B95D-41FB-B739-4020F9E99F9D}" type="parTrans" cxnId="{EED29587-C9D7-4803-8C1B-A0BC327630E1}">
      <dgm:prSet/>
      <dgm:spPr/>
      <dgm:t>
        <a:bodyPr/>
        <a:lstStyle/>
        <a:p>
          <a:endParaRPr lang="en-US"/>
        </a:p>
      </dgm:t>
    </dgm:pt>
    <dgm:pt modelId="{F3FEB304-B081-413D-A230-D43B5BA066BC}" type="sibTrans" cxnId="{EED29587-C9D7-4803-8C1B-A0BC327630E1}">
      <dgm:prSet/>
      <dgm:spPr/>
      <dgm:t>
        <a:bodyPr/>
        <a:lstStyle/>
        <a:p>
          <a:endParaRPr lang="en-US"/>
        </a:p>
      </dgm:t>
    </dgm:pt>
    <dgm:pt modelId="{B8CCE29F-2144-4F4E-B9C0-ACEC80B90A12}">
      <dgm:prSet phldrT="[Text]" custT="1"/>
      <dgm:spPr/>
      <dgm:t>
        <a:bodyPr/>
        <a:lstStyle/>
        <a:p>
          <a:r>
            <a:rPr lang="lt-LT" sz="1200">
              <a:latin typeface="Times New Roman" pitchFamily="18" charset="0"/>
              <a:cs typeface="Times New Roman" pitchFamily="18" charset="0"/>
            </a:rPr>
            <a:t>Netiesioginė valstybės skola</a:t>
          </a:r>
          <a:endParaRPr lang="en-US" sz="1200">
            <a:latin typeface="Times New Roman" pitchFamily="18" charset="0"/>
            <a:cs typeface="Times New Roman" pitchFamily="18" charset="0"/>
          </a:endParaRPr>
        </a:p>
      </dgm:t>
    </dgm:pt>
    <dgm:pt modelId="{A2570787-1F04-4696-B6C1-66F21E67C0D4}" type="sibTrans" cxnId="{10721683-B361-40BE-BFBF-0C5FC8A08964}">
      <dgm:prSet/>
      <dgm:spPr/>
      <dgm:t>
        <a:bodyPr/>
        <a:lstStyle/>
        <a:p>
          <a:endParaRPr lang="en-US"/>
        </a:p>
      </dgm:t>
    </dgm:pt>
    <dgm:pt modelId="{860FB398-6AC3-401D-A43E-59C190BF9FF3}" type="parTrans" cxnId="{10721683-B361-40BE-BFBF-0C5FC8A08964}">
      <dgm:prSet/>
      <dgm:spPr/>
      <dgm:t>
        <a:bodyPr/>
        <a:lstStyle/>
        <a:p>
          <a:endParaRPr lang="en-US"/>
        </a:p>
      </dgm:t>
    </dgm:pt>
    <dgm:pt modelId="{C011796C-167E-4EBE-85A1-CE6E701525BC}">
      <dgm:prSet phldrT="[Text]" custT="1"/>
      <dgm:spPr/>
      <dgm:t>
        <a:bodyPr/>
        <a:lstStyle/>
        <a:p>
          <a:r>
            <a:rPr lang="lt-LT" sz="1200">
              <a:latin typeface="Times New Roman" pitchFamily="18" charset="0"/>
              <a:cs typeface="Times New Roman" pitchFamily="18" charset="0"/>
            </a:rPr>
            <a:t>Pagal trukmę</a:t>
          </a:r>
          <a:endParaRPr lang="en-US" sz="1200">
            <a:latin typeface="Times New Roman" pitchFamily="18" charset="0"/>
            <a:cs typeface="Times New Roman" pitchFamily="18" charset="0"/>
          </a:endParaRPr>
        </a:p>
      </dgm:t>
    </dgm:pt>
    <dgm:pt modelId="{8CE2D42F-29F2-486D-A866-95FF39DB3563}" type="sibTrans" cxnId="{06E8AD0B-0C1F-4F8D-9FD5-DA872D67001B}">
      <dgm:prSet/>
      <dgm:spPr/>
      <dgm:t>
        <a:bodyPr/>
        <a:lstStyle/>
        <a:p>
          <a:endParaRPr lang="en-US"/>
        </a:p>
      </dgm:t>
    </dgm:pt>
    <dgm:pt modelId="{65B27706-0C11-4253-8FA2-ADE958DF9183}" type="parTrans" cxnId="{06E8AD0B-0C1F-4F8D-9FD5-DA872D67001B}">
      <dgm:prSet/>
      <dgm:spPr/>
      <dgm:t>
        <a:bodyPr/>
        <a:lstStyle/>
        <a:p>
          <a:endParaRPr lang="en-US"/>
        </a:p>
      </dgm:t>
    </dgm:pt>
    <dgm:pt modelId="{91ABF94D-77E0-41EA-9328-7B1D6EDF588D}">
      <dgm:prSet phldrT="[Text]" custT="1"/>
      <dgm:spPr/>
      <dgm:t>
        <a:bodyPr/>
        <a:lstStyle/>
        <a:p>
          <a:r>
            <a:rPr lang="lt-LT" sz="1200">
              <a:latin typeface="Times New Roman" pitchFamily="18" charset="0"/>
              <a:cs typeface="Times New Roman" pitchFamily="18" charset="0"/>
            </a:rPr>
            <a:t>Pagal sektorių </a:t>
          </a:r>
          <a:endParaRPr lang="en-US" sz="1200">
            <a:latin typeface="Times New Roman" pitchFamily="18" charset="0"/>
            <a:cs typeface="Times New Roman" pitchFamily="18" charset="0"/>
          </a:endParaRPr>
        </a:p>
      </dgm:t>
    </dgm:pt>
    <dgm:pt modelId="{A13BDF9F-B91C-4379-9EF8-C14FD1E65477}" type="parTrans" cxnId="{B74841D7-FA93-46FB-B4EB-4B95C2DD3D10}">
      <dgm:prSet/>
      <dgm:spPr/>
      <dgm:t>
        <a:bodyPr/>
        <a:lstStyle/>
        <a:p>
          <a:endParaRPr lang="en-US"/>
        </a:p>
      </dgm:t>
    </dgm:pt>
    <dgm:pt modelId="{AC44834F-FDEC-418B-856F-2058155D05BB}" type="sibTrans" cxnId="{B74841D7-FA93-46FB-B4EB-4B95C2DD3D10}">
      <dgm:prSet/>
      <dgm:spPr/>
      <dgm:t>
        <a:bodyPr/>
        <a:lstStyle/>
        <a:p>
          <a:endParaRPr lang="en-US"/>
        </a:p>
      </dgm:t>
    </dgm:pt>
    <dgm:pt modelId="{79F67BBE-C549-4D94-8E79-621C8AF7ABC0}">
      <dgm:prSet phldrT="[Text]" custT="1"/>
      <dgm:spPr/>
      <dgm:t>
        <a:bodyPr/>
        <a:lstStyle/>
        <a:p>
          <a:r>
            <a:rPr lang="lt-LT" sz="1200">
              <a:latin typeface="Times New Roman" pitchFamily="18" charset="0"/>
              <a:cs typeface="Times New Roman" pitchFamily="18" charset="0"/>
            </a:rPr>
            <a:t>Trumpalaikė valstybės skola</a:t>
          </a:r>
          <a:endParaRPr lang="en-US" sz="1200">
            <a:latin typeface="Times New Roman" pitchFamily="18" charset="0"/>
            <a:cs typeface="Times New Roman" pitchFamily="18" charset="0"/>
          </a:endParaRPr>
        </a:p>
      </dgm:t>
    </dgm:pt>
    <dgm:pt modelId="{0770A948-0BC9-4D5D-B8C0-DC8589934016}" type="parTrans" cxnId="{FB6000C8-C0DF-4BD5-AD99-4406BD3CAD5B}">
      <dgm:prSet/>
      <dgm:spPr/>
      <dgm:t>
        <a:bodyPr/>
        <a:lstStyle/>
        <a:p>
          <a:endParaRPr lang="en-US"/>
        </a:p>
      </dgm:t>
    </dgm:pt>
    <dgm:pt modelId="{5DFF7204-D559-47A4-92AF-EC98B89D424A}" type="sibTrans" cxnId="{FB6000C8-C0DF-4BD5-AD99-4406BD3CAD5B}">
      <dgm:prSet/>
      <dgm:spPr/>
      <dgm:t>
        <a:bodyPr/>
        <a:lstStyle/>
        <a:p>
          <a:endParaRPr lang="en-US"/>
        </a:p>
      </dgm:t>
    </dgm:pt>
    <dgm:pt modelId="{69F8347E-0E46-4910-8146-EFE677F5027D}">
      <dgm:prSet phldrT="[Text]" custT="1"/>
      <dgm:spPr/>
      <dgm:t>
        <a:bodyPr/>
        <a:lstStyle/>
        <a:p>
          <a:r>
            <a:rPr lang="lt-LT" sz="1200">
              <a:latin typeface="Times New Roman" pitchFamily="18" charset="0"/>
              <a:cs typeface="Times New Roman" pitchFamily="18" charset="0"/>
            </a:rPr>
            <a:t>ilgailaikė valstybės skola</a:t>
          </a:r>
          <a:endParaRPr lang="en-US" sz="1200">
            <a:latin typeface="Times New Roman" pitchFamily="18" charset="0"/>
            <a:cs typeface="Times New Roman" pitchFamily="18" charset="0"/>
          </a:endParaRPr>
        </a:p>
      </dgm:t>
    </dgm:pt>
    <dgm:pt modelId="{F04C0A79-EE70-4FBC-84AD-18CC33CCA945}" type="parTrans" cxnId="{CAA91E47-BDFE-44C8-9A39-1B86D134D9AC}">
      <dgm:prSet/>
      <dgm:spPr/>
      <dgm:t>
        <a:bodyPr/>
        <a:lstStyle/>
        <a:p>
          <a:endParaRPr lang="en-US"/>
        </a:p>
      </dgm:t>
    </dgm:pt>
    <dgm:pt modelId="{CEE1E3A2-2D5F-41A9-A0DA-862C2083A411}" type="sibTrans" cxnId="{CAA91E47-BDFE-44C8-9A39-1B86D134D9AC}">
      <dgm:prSet/>
      <dgm:spPr/>
      <dgm:t>
        <a:bodyPr/>
        <a:lstStyle/>
        <a:p>
          <a:endParaRPr lang="en-US"/>
        </a:p>
      </dgm:t>
    </dgm:pt>
    <dgm:pt modelId="{39E7842E-99A8-4828-9EA0-79A95DFD3554}">
      <dgm:prSet phldrT="[Text]" custT="1"/>
      <dgm:spPr/>
      <dgm:t>
        <a:bodyPr/>
        <a:lstStyle/>
        <a:p>
          <a:r>
            <a:rPr lang="lt-LT" sz="1200">
              <a:latin typeface="Times New Roman" pitchFamily="18" charset="0"/>
              <a:cs typeface="Times New Roman" pitchFamily="18" charset="0"/>
            </a:rPr>
            <a:t>Centrinės valdžios skola</a:t>
          </a:r>
          <a:endParaRPr lang="en-US" sz="1200">
            <a:latin typeface="Times New Roman" pitchFamily="18" charset="0"/>
            <a:cs typeface="Times New Roman" pitchFamily="18" charset="0"/>
          </a:endParaRPr>
        </a:p>
      </dgm:t>
    </dgm:pt>
    <dgm:pt modelId="{4B1FE79D-592E-4173-83C1-705248AA21CA}" type="parTrans" cxnId="{5A218808-524F-4D1E-8329-FD46AF783956}">
      <dgm:prSet/>
      <dgm:spPr/>
      <dgm:t>
        <a:bodyPr/>
        <a:lstStyle/>
        <a:p>
          <a:endParaRPr lang="en-US"/>
        </a:p>
      </dgm:t>
    </dgm:pt>
    <dgm:pt modelId="{4C2B14F0-6DB2-431D-A38F-0C3781EEB086}" type="sibTrans" cxnId="{5A218808-524F-4D1E-8329-FD46AF783956}">
      <dgm:prSet/>
      <dgm:spPr/>
      <dgm:t>
        <a:bodyPr/>
        <a:lstStyle/>
        <a:p>
          <a:endParaRPr lang="en-US"/>
        </a:p>
      </dgm:t>
    </dgm:pt>
    <dgm:pt modelId="{C97F1DA4-855F-4ADF-BB2F-6098F697CB4C}">
      <dgm:prSet phldrT="[Text]" custT="1"/>
      <dgm:spPr/>
      <dgm:t>
        <a:bodyPr/>
        <a:lstStyle/>
        <a:p>
          <a:r>
            <a:rPr lang="lt-LT" sz="1200">
              <a:latin typeface="Times New Roman" pitchFamily="18" charset="0"/>
              <a:cs typeface="Times New Roman" pitchFamily="18" charset="0"/>
            </a:rPr>
            <a:t>Socialinių apsaugos fondų skola</a:t>
          </a:r>
          <a:endParaRPr lang="en-US" sz="1200">
            <a:latin typeface="Times New Roman" pitchFamily="18" charset="0"/>
            <a:cs typeface="Times New Roman" pitchFamily="18" charset="0"/>
          </a:endParaRPr>
        </a:p>
      </dgm:t>
    </dgm:pt>
    <dgm:pt modelId="{D9240FC3-3C81-4DBF-8DA8-21CA908FEF3D}" type="parTrans" cxnId="{003F4E2A-D540-43A9-A2B7-F2A0D4C6D99F}">
      <dgm:prSet/>
      <dgm:spPr/>
      <dgm:t>
        <a:bodyPr/>
        <a:lstStyle/>
        <a:p>
          <a:endParaRPr lang="en-US"/>
        </a:p>
      </dgm:t>
    </dgm:pt>
    <dgm:pt modelId="{2600F62F-E3FE-4533-A483-7D60DE704DEF}" type="sibTrans" cxnId="{003F4E2A-D540-43A9-A2B7-F2A0D4C6D99F}">
      <dgm:prSet/>
      <dgm:spPr/>
      <dgm:t>
        <a:bodyPr/>
        <a:lstStyle/>
        <a:p>
          <a:endParaRPr lang="en-US"/>
        </a:p>
      </dgm:t>
    </dgm:pt>
    <dgm:pt modelId="{30AC1838-0B2C-4905-B7A9-9E1FD2668E64}">
      <dgm:prSet phldrT="[Text]" custT="1"/>
      <dgm:spPr/>
      <dgm:t>
        <a:bodyPr/>
        <a:lstStyle/>
        <a:p>
          <a:r>
            <a:rPr lang="lt-LT" sz="1200">
              <a:latin typeface="Times New Roman" pitchFamily="18" charset="0"/>
              <a:cs typeface="Times New Roman" pitchFamily="18" charset="0"/>
            </a:rPr>
            <a:t>Vietos valdžios skola</a:t>
          </a:r>
          <a:endParaRPr lang="en-US" sz="1200">
            <a:latin typeface="Times New Roman" pitchFamily="18" charset="0"/>
            <a:cs typeface="Times New Roman" pitchFamily="18" charset="0"/>
          </a:endParaRPr>
        </a:p>
      </dgm:t>
    </dgm:pt>
    <dgm:pt modelId="{2B890CD2-25BA-4639-AF77-604EF1E39AC3}" type="parTrans" cxnId="{2DA0AD2B-4850-4335-9EF3-9735C0C42EBB}">
      <dgm:prSet/>
      <dgm:spPr/>
      <dgm:t>
        <a:bodyPr/>
        <a:lstStyle/>
        <a:p>
          <a:endParaRPr lang="en-US"/>
        </a:p>
      </dgm:t>
    </dgm:pt>
    <dgm:pt modelId="{C8DB345B-E6AE-485D-A298-AC4F35FB4781}" type="sibTrans" cxnId="{2DA0AD2B-4850-4335-9EF3-9735C0C42EBB}">
      <dgm:prSet/>
      <dgm:spPr/>
      <dgm:t>
        <a:bodyPr/>
        <a:lstStyle/>
        <a:p>
          <a:endParaRPr lang="en-US"/>
        </a:p>
      </dgm:t>
    </dgm:pt>
    <dgm:pt modelId="{01E80E75-894E-484A-BF29-899A41337555}" type="pres">
      <dgm:prSet presAssocID="{9B675553-B7D3-4143-81B4-3902086B4A85}" presName="Name0" presStyleCnt="0">
        <dgm:presLayoutVars>
          <dgm:dir/>
          <dgm:animLvl val="lvl"/>
          <dgm:resizeHandles val="exact"/>
        </dgm:presLayoutVars>
      </dgm:prSet>
      <dgm:spPr/>
      <dgm:t>
        <a:bodyPr/>
        <a:lstStyle/>
        <a:p>
          <a:endParaRPr lang="en-US"/>
        </a:p>
      </dgm:t>
    </dgm:pt>
    <dgm:pt modelId="{F6642A27-244A-4E74-9772-6A7B75A5FF30}" type="pres">
      <dgm:prSet presAssocID="{2C34DD07-ECA8-4DC9-BCB2-B1D669C80BFB}" presName="linNode" presStyleCnt="0"/>
      <dgm:spPr/>
      <dgm:t>
        <a:bodyPr/>
        <a:lstStyle/>
        <a:p>
          <a:endParaRPr lang="lt-LT"/>
        </a:p>
      </dgm:t>
    </dgm:pt>
    <dgm:pt modelId="{D898877C-99F4-44C2-A9FE-B153BF16F11A}" type="pres">
      <dgm:prSet presAssocID="{2C34DD07-ECA8-4DC9-BCB2-B1D669C80BFB}" presName="parentText" presStyleLbl="node1" presStyleIdx="0" presStyleCnt="5">
        <dgm:presLayoutVars>
          <dgm:chMax val="1"/>
          <dgm:bulletEnabled val="1"/>
        </dgm:presLayoutVars>
      </dgm:prSet>
      <dgm:spPr/>
      <dgm:t>
        <a:bodyPr/>
        <a:lstStyle/>
        <a:p>
          <a:endParaRPr lang="en-US"/>
        </a:p>
      </dgm:t>
    </dgm:pt>
    <dgm:pt modelId="{DF15938C-60C8-4F3D-BA74-F083842E2F7B}" type="pres">
      <dgm:prSet presAssocID="{2C34DD07-ECA8-4DC9-BCB2-B1D669C80BFB}" presName="descendantText" presStyleLbl="alignAccFollowNode1" presStyleIdx="0" presStyleCnt="5">
        <dgm:presLayoutVars>
          <dgm:bulletEnabled val="1"/>
        </dgm:presLayoutVars>
      </dgm:prSet>
      <dgm:spPr/>
      <dgm:t>
        <a:bodyPr/>
        <a:lstStyle/>
        <a:p>
          <a:endParaRPr lang="en-US"/>
        </a:p>
      </dgm:t>
    </dgm:pt>
    <dgm:pt modelId="{BA0DB2A0-C035-4C57-8184-E31656774D37}" type="pres">
      <dgm:prSet presAssocID="{A4833B23-A490-47AD-ADF5-AE1511E2CFAB}" presName="sp" presStyleCnt="0"/>
      <dgm:spPr/>
      <dgm:t>
        <a:bodyPr/>
        <a:lstStyle/>
        <a:p>
          <a:endParaRPr lang="lt-LT"/>
        </a:p>
      </dgm:t>
    </dgm:pt>
    <dgm:pt modelId="{816B008C-CC2C-4524-90A8-A7F54444BA4A}" type="pres">
      <dgm:prSet presAssocID="{251217B9-9AC0-4772-9BF3-3809B27ADA98}" presName="linNode" presStyleCnt="0"/>
      <dgm:spPr/>
      <dgm:t>
        <a:bodyPr/>
        <a:lstStyle/>
        <a:p>
          <a:endParaRPr lang="lt-LT"/>
        </a:p>
      </dgm:t>
    </dgm:pt>
    <dgm:pt modelId="{81BFFB7B-EC2A-4BA9-BF0C-DF2BA4224785}" type="pres">
      <dgm:prSet presAssocID="{251217B9-9AC0-4772-9BF3-3809B27ADA98}" presName="parentText" presStyleLbl="node1" presStyleIdx="1" presStyleCnt="5">
        <dgm:presLayoutVars>
          <dgm:chMax val="1"/>
          <dgm:bulletEnabled val="1"/>
        </dgm:presLayoutVars>
      </dgm:prSet>
      <dgm:spPr/>
      <dgm:t>
        <a:bodyPr/>
        <a:lstStyle/>
        <a:p>
          <a:endParaRPr lang="en-US"/>
        </a:p>
      </dgm:t>
    </dgm:pt>
    <dgm:pt modelId="{9E217E4F-030F-4ECC-8D8C-C69E76F17DCC}" type="pres">
      <dgm:prSet presAssocID="{251217B9-9AC0-4772-9BF3-3809B27ADA98}" presName="descendantText" presStyleLbl="alignAccFollowNode1" presStyleIdx="1" presStyleCnt="5" custLinFactNeighborY="-9235">
        <dgm:presLayoutVars>
          <dgm:bulletEnabled val="1"/>
        </dgm:presLayoutVars>
      </dgm:prSet>
      <dgm:spPr/>
      <dgm:t>
        <a:bodyPr/>
        <a:lstStyle/>
        <a:p>
          <a:endParaRPr lang="en-US"/>
        </a:p>
      </dgm:t>
    </dgm:pt>
    <dgm:pt modelId="{6E7099F3-7DE7-46BC-8815-042EDB51075F}" type="pres">
      <dgm:prSet presAssocID="{CD660C87-958A-4311-B696-6AD90A372C3A}" presName="sp" presStyleCnt="0"/>
      <dgm:spPr/>
      <dgm:t>
        <a:bodyPr/>
        <a:lstStyle/>
        <a:p>
          <a:endParaRPr lang="lt-LT"/>
        </a:p>
      </dgm:t>
    </dgm:pt>
    <dgm:pt modelId="{735DA1F1-2795-4DE9-AB29-C76DA7A5B914}" type="pres">
      <dgm:prSet presAssocID="{FA062A5D-EDAB-4198-93F0-F1F98F371DCB}" presName="linNode" presStyleCnt="0"/>
      <dgm:spPr/>
      <dgm:t>
        <a:bodyPr/>
        <a:lstStyle/>
        <a:p>
          <a:endParaRPr lang="lt-LT"/>
        </a:p>
      </dgm:t>
    </dgm:pt>
    <dgm:pt modelId="{6C131655-4A0C-4155-8F36-46C8AADC1BC8}" type="pres">
      <dgm:prSet presAssocID="{FA062A5D-EDAB-4198-93F0-F1F98F371DCB}" presName="parentText" presStyleLbl="node1" presStyleIdx="2" presStyleCnt="5">
        <dgm:presLayoutVars>
          <dgm:chMax val="1"/>
          <dgm:bulletEnabled val="1"/>
        </dgm:presLayoutVars>
      </dgm:prSet>
      <dgm:spPr/>
      <dgm:t>
        <a:bodyPr/>
        <a:lstStyle/>
        <a:p>
          <a:endParaRPr lang="en-US"/>
        </a:p>
      </dgm:t>
    </dgm:pt>
    <dgm:pt modelId="{971DF407-9585-4F4A-B192-2C73698450A8}" type="pres">
      <dgm:prSet presAssocID="{FA062A5D-EDAB-4198-93F0-F1F98F371DCB}" presName="descendantText" presStyleLbl="alignAccFollowNode1" presStyleIdx="2" presStyleCnt="5">
        <dgm:presLayoutVars>
          <dgm:bulletEnabled val="1"/>
        </dgm:presLayoutVars>
      </dgm:prSet>
      <dgm:spPr/>
      <dgm:t>
        <a:bodyPr/>
        <a:lstStyle/>
        <a:p>
          <a:endParaRPr lang="en-US"/>
        </a:p>
      </dgm:t>
    </dgm:pt>
    <dgm:pt modelId="{DDAD113B-E9D3-4183-A969-902D2DC2E23F}" type="pres">
      <dgm:prSet presAssocID="{603E9E32-F251-4B3B-A3CA-6E7E41D25699}" presName="sp" presStyleCnt="0"/>
      <dgm:spPr/>
      <dgm:t>
        <a:bodyPr/>
        <a:lstStyle/>
        <a:p>
          <a:endParaRPr lang="lt-LT"/>
        </a:p>
      </dgm:t>
    </dgm:pt>
    <dgm:pt modelId="{5129852D-E3BA-46B8-9142-19CA60A89F7A}" type="pres">
      <dgm:prSet presAssocID="{C011796C-167E-4EBE-85A1-CE6E701525BC}" presName="linNode" presStyleCnt="0"/>
      <dgm:spPr/>
      <dgm:t>
        <a:bodyPr/>
        <a:lstStyle/>
        <a:p>
          <a:endParaRPr lang="lt-LT"/>
        </a:p>
      </dgm:t>
    </dgm:pt>
    <dgm:pt modelId="{A6B7D67E-D200-440B-A205-9CB0048E9918}" type="pres">
      <dgm:prSet presAssocID="{C011796C-167E-4EBE-85A1-CE6E701525BC}" presName="parentText" presStyleLbl="node1" presStyleIdx="3" presStyleCnt="5" custLinFactNeighborY="208">
        <dgm:presLayoutVars>
          <dgm:chMax val="1"/>
          <dgm:bulletEnabled val="1"/>
        </dgm:presLayoutVars>
      </dgm:prSet>
      <dgm:spPr/>
      <dgm:t>
        <a:bodyPr/>
        <a:lstStyle/>
        <a:p>
          <a:endParaRPr lang="en-US"/>
        </a:p>
      </dgm:t>
    </dgm:pt>
    <dgm:pt modelId="{7531B185-1347-4BBE-BBB5-B7D3745F4BC5}" type="pres">
      <dgm:prSet presAssocID="{C011796C-167E-4EBE-85A1-CE6E701525BC}" presName="descendantText" presStyleLbl="alignAccFollowNode1" presStyleIdx="3" presStyleCnt="5">
        <dgm:presLayoutVars>
          <dgm:bulletEnabled val="1"/>
        </dgm:presLayoutVars>
      </dgm:prSet>
      <dgm:spPr/>
      <dgm:t>
        <a:bodyPr/>
        <a:lstStyle/>
        <a:p>
          <a:endParaRPr lang="en-US"/>
        </a:p>
      </dgm:t>
    </dgm:pt>
    <dgm:pt modelId="{FED40F8F-76FF-4730-A605-70172B0D9203}" type="pres">
      <dgm:prSet presAssocID="{8CE2D42F-29F2-486D-A866-95FF39DB3563}" presName="sp" presStyleCnt="0"/>
      <dgm:spPr/>
      <dgm:t>
        <a:bodyPr/>
        <a:lstStyle/>
        <a:p>
          <a:endParaRPr lang="lt-LT"/>
        </a:p>
      </dgm:t>
    </dgm:pt>
    <dgm:pt modelId="{97539F53-A029-46D4-B108-540A3FA9B108}" type="pres">
      <dgm:prSet presAssocID="{91ABF94D-77E0-41EA-9328-7B1D6EDF588D}" presName="linNode" presStyleCnt="0"/>
      <dgm:spPr/>
      <dgm:t>
        <a:bodyPr/>
        <a:lstStyle/>
        <a:p>
          <a:endParaRPr lang="lt-LT"/>
        </a:p>
      </dgm:t>
    </dgm:pt>
    <dgm:pt modelId="{BD3C51CC-ECCA-4C2C-BE80-B8A231098362}" type="pres">
      <dgm:prSet presAssocID="{91ABF94D-77E0-41EA-9328-7B1D6EDF588D}" presName="parentText" presStyleLbl="node1" presStyleIdx="4" presStyleCnt="5">
        <dgm:presLayoutVars>
          <dgm:chMax val="1"/>
          <dgm:bulletEnabled val="1"/>
        </dgm:presLayoutVars>
      </dgm:prSet>
      <dgm:spPr/>
      <dgm:t>
        <a:bodyPr/>
        <a:lstStyle/>
        <a:p>
          <a:endParaRPr lang="en-US"/>
        </a:p>
      </dgm:t>
    </dgm:pt>
    <dgm:pt modelId="{BC01FBB6-8921-4CB6-8424-B3CEE8AB25D5}" type="pres">
      <dgm:prSet presAssocID="{91ABF94D-77E0-41EA-9328-7B1D6EDF588D}" presName="descendantText" presStyleLbl="alignAccFollowNode1" presStyleIdx="4" presStyleCnt="5" custScaleY="125732">
        <dgm:presLayoutVars>
          <dgm:bulletEnabled val="1"/>
        </dgm:presLayoutVars>
      </dgm:prSet>
      <dgm:spPr/>
      <dgm:t>
        <a:bodyPr/>
        <a:lstStyle/>
        <a:p>
          <a:endParaRPr lang="en-US"/>
        </a:p>
      </dgm:t>
    </dgm:pt>
  </dgm:ptLst>
  <dgm:cxnLst>
    <dgm:cxn modelId="{2B532883-280B-4C67-9474-68865411AB29}" type="presOf" srcId="{9B675553-B7D3-4143-81B4-3902086B4A85}" destId="{01E80E75-894E-484A-BF29-899A41337555}" srcOrd="0" destOrd="0" presId="urn:microsoft.com/office/officeart/2005/8/layout/vList5"/>
    <dgm:cxn modelId="{10721683-B361-40BE-BFBF-0C5FC8A08964}" srcId="{2C34DD07-ECA8-4DC9-BCB2-B1D669C80BFB}" destId="{B8CCE29F-2144-4F4E-B9C0-ACEC80B90A12}" srcOrd="1" destOrd="0" parTransId="{860FB398-6AC3-401D-A43E-59C190BF9FF3}" sibTransId="{A2570787-1F04-4696-B6C1-66F21E67C0D4}"/>
    <dgm:cxn modelId="{BF20EB09-3053-49F8-B5DD-64A0437FCDAD}" type="presOf" srcId="{C011796C-167E-4EBE-85A1-CE6E701525BC}" destId="{A6B7D67E-D200-440B-A205-9CB0048E9918}" srcOrd="0" destOrd="0" presId="urn:microsoft.com/office/officeart/2005/8/layout/vList5"/>
    <dgm:cxn modelId="{1D50CF8C-12FA-4438-8EEC-9DC660A31D75}" srcId="{FA062A5D-EDAB-4198-93F0-F1F98F371DCB}" destId="{B5A08CC3-D42C-40DF-8BE6-03EBF7551762}" srcOrd="0" destOrd="0" parTransId="{53A315F6-79AF-4305-ADF4-DA3338BACD4C}" sibTransId="{7337DEE4-20DC-4810-871D-4EEFC77A63F8}"/>
    <dgm:cxn modelId="{5751F461-6F91-432E-BEAB-631B7AF5D99C}" type="presOf" srcId="{251217B9-9AC0-4772-9BF3-3809B27ADA98}" destId="{81BFFB7B-EC2A-4BA9-BF0C-DF2BA4224785}" srcOrd="0" destOrd="0" presId="urn:microsoft.com/office/officeart/2005/8/layout/vList5"/>
    <dgm:cxn modelId="{13D6580B-D151-4054-B206-14E4353BAFD2}" type="presOf" srcId="{2C34DD07-ECA8-4DC9-BCB2-B1D669C80BFB}" destId="{D898877C-99F4-44C2-A9FE-B153BF16F11A}" srcOrd="0" destOrd="0" presId="urn:microsoft.com/office/officeart/2005/8/layout/vList5"/>
    <dgm:cxn modelId="{FB6000C8-C0DF-4BD5-AD99-4406BD3CAD5B}" srcId="{C011796C-167E-4EBE-85A1-CE6E701525BC}" destId="{79F67BBE-C549-4D94-8E79-621C8AF7ABC0}" srcOrd="0" destOrd="0" parTransId="{0770A948-0BC9-4D5D-B8C0-DC8589934016}" sibTransId="{5DFF7204-D559-47A4-92AF-EC98B89D424A}"/>
    <dgm:cxn modelId="{DFC65F8B-D895-4D1A-9C67-1D41229D7D65}" type="presOf" srcId="{30AC1838-0B2C-4905-B7A9-9E1FD2668E64}" destId="{BC01FBB6-8921-4CB6-8424-B3CEE8AB25D5}" srcOrd="0" destOrd="2" presId="urn:microsoft.com/office/officeart/2005/8/layout/vList5"/>
    <dgm:cxn modelId="{06E8AD0B-0C1F-4F8D-9FD5-DA872D67001B}" srcId="{9B675553-B7D3-4143-81B4-3902086B4A85}" destId="{C011796C-167E-4EBE-85A1-CE6E701525BC}" srcOrd="3" destOrd="0" parTransId="{65B27706-0C11-4253-8FA2-ADE958DF9183}" sibTransId="{8CE2D42F-29F2-486D-A866-95FF39DB3563}"/>
    <dgm:cxn modelId="{003F4E2A-D540-43A9-A2B7-F2A0D4C6D99F}" srcId="{91ABF94D-77E0-41EA-9328-7B1D6EDF588D}" destId="{C97F1DA4-855F-4ADF-BB2F-6098F697CB4C}" srcOrd="1" destOrd="0" parTransId="{D9240FC3-3C81-4DBF-8DA8-21CA908FEF3D}" sibTransId="{2600F62F-E3FE-4533-A483-7D60DE704DEF}"/>
    <dgm:cxn modelId="{34065A10-7BBB-43E9-8EAF-B2CF3E113982}" srcId="{9B675553-B7D3-4143-81B4-3902086B4A85}" destId="{251217B9-9AC0-4772-9BF3-3809B27ADA98}" srcOrd="1" destOrd="0" parTransId="{3C177106-CBBE-46BD-9DAA-4A65F02119C3}" sibTransId="{CD660C87-958A-4311-B696-6AD90A372C3A}"/>
    <dgm:cxn modelId="{020691C3-7C19-48F9-AE4A-A2482A1A9A47}" type="presOf" srcId="{B5A08CC3-D42C-40DF-8BE6-03EBF7551762}" destId="{971DF407-9585-4F4A-B192-2C73698450A8}" srcOrd="0" destOrd="0" presId="urn:microsoft.com/office/officeart/2005/8/layout/vList5"/>
    <dgm:cxn modelId="{353F108B-F707-4509-84A1-C0C8FBA5137F}" type="presOf" srcId="{39E7842E-99A8-4828-9EA0-79A95DFD3554}" destId="{BC01FBB6-8921-4CB6-8424-B3CEE8AB25D5}" srcOrd="0" destOrd="0" presId="urn:microsoft.com/office/officeart/2005/8/layout/vList5"/>
    <dgm:cxn modelId="{5A218808-524F-4D1E-8329-FD46AF783956}" srcId="{91ABF94D-77E0-41EA-9328-7B1D6EDF588D}" destId="{39E7842E-99A8-4828-9EA0-79A95DFD3554}" srcOrd="0" destOrd="0" parTransId="{4B1FE79D-592E-4173-83C1-705248AA21CA}" sibTransId="{4C2B14F0-6DB2-431D-A38F-0C3781EEB086}"/>
    <dgm:cxn modelId="{16C5250A-129C-4E9B-800A-5C660CB8631E}" type="presOf" srcId="{69F8347E-0E46-4910-8146-EFE677F5027D}" destId="{7531B185-1347-4BBE-BBB5-B7D3745F4BC5}" srcOrd="0" destOrd="1" presId="urn:microsoft.com/office/officeart/2005/8/layout/vList5"/>
    <dgm:cxn modelId="{B74841D7-FA93-46FB-B4EB-4B95C2DD3D10}" srcId="{9B675553-B7D3-4143-81B4-3902086B4A85}" destId="{91ABF94D-77E0-41EA-9328-7B1D6EDF588D}" srcOrd="4" destOrd="0" parTransId="{A13BDF9F-B91C-4379-9EF8-C14FD1E65477}" sibTransId="{AC44834F-FDEC-418B-856F-2058155D05BB}"/>
    <dgm:cxn modelId="{A54BFC23-3E11-445C-8489-3A41C4015DDA}" srcId="{9B675553-B7D3-4143-81B4-3902086B4A85}" destId="{2C34DD07-ECA8-4DC9-BCB2-B1D669C80BFB}" srcOrd="0" destOrd="0" parTransId="{38F7B6A1-854E-431E-80B2-6C7978A009B1}" sibTransId="{A4833B23-A490-47AD-ADF5-AE1511E2CFAB}"/>
    <dgm:cxn modelId="{AE92B8F3-B89A-44C0-95F5-6872DC81D86D}" type="presOf" srcId="{55004C14-82AA-4311-8825-DAF7C6AD3305}" destId="{9E217E4F-030F-4ECC-8D8C-C69E76F17DCC}" srcOrd="0" destOrd="1" presId="urn:microsoft.com/office/officeart/2005/8/layout/vList5"/>
    <dgm:cxn modelId="{BE3EB66B-2BAF-41EC-A710-63E66B5AF210}" type="presOf" srcId="{B8CCE29F-2144-4F4E-B9C0-ACEC80B90A12}" destId="{DF15938C-60C8-4F3D-BA74-F083842E2F7B}" srcOrd="0" destOrd="1" presId="urn:microsoft.com/office/officeart/2005/8/layout/vList5"/>
    <dgm:cxn modelId="{71AFFE75-FDEB-4409-B802-4333AF22B433}" srcId="{2C34DD07-ECA8-4DC9-BCB2-B1D669C80BFB}" destId="{835DF1A1-3351-4C5C-91B3-84FEC6341659}" srcOrd="0" destOrd="0" parTransId="{72A08255-14F9-4CCC-89CF-FDFF3B4017D4}" sibTransId="{42051F44-B98C-42C6-A132-6D822CF67CF6}"/>
    <dgm:cxn modelId="{980612D7-861E-499D-A172-DFE7EFE03B1C}" type="presOf" srcId="{FA062A5D-EDAB-4198-93F0-F1F98F371DCB}" destId="{6C131655-4A0C-4155-8F36-46C8AADC1BC8}" srcOrd="0" destOrd="0" presId="urn:microsoft.com/office/officeart/2005/8/layout/vList5"/>
    <dgm:cxn modelId="{3BB35C34-4349-4062-9D76-825F0C97E8A8}" type="presOf" srcId="{2A43C34A-0B64-45C9-BDF4-D8061E047B80}" destId="{971DF407-9585-4F4A-B192-2C73698450A8}" srcOrd="0" destOrd="1" presId="urn:microsoft.com/office/officeart/2005/8/layout/vList5"/>
    <dgm:cxn modelId="{82AC5739-DD06-4649-BBCA-F2096217F83A}" type="presOf" srcId="{5F7386C2-AC34-484A-B144-521843A95490}" destId="{9E217E4F-030F-4ECC-8D8C-C69E76F17DCC}" srcOrd="0" destOrd="0" presId="urn:microsoft.com/office/officeart/2005/8/layout/vList5"/>
    <dgm:cxn modelId="{C0533D53-71B5-4AC8-95A7-73F3CBE59D8A}" type="presOf" srcId="{91ABF94D-77E0-41EA-9328-7B1D6EDF588D}" destId="{BD3C51CC-ECCA-4C2C-BE80-B8A231098362}" srcOrd="0" destOrd="0" presId="urn:microsoft.com/office/officeart/2005/8/layout/vList5"/>
    <dgm:cxn modelId="{EED29587-C9D7-4803-8C1B-A0BC327630E1}" srcId="{FA062A5D-EDAB-4198-93F0-F1F98F371DCB}" destId="{2A43C34A-0B64-45C9-BDF4-D8061E047B80}" srcOrd="1" destOrd="0" parTransId="{D58FB8F0-B95D-41FB-B739-4020F9E99F9D}" sibTransId="{F3FEB304-B081-413D-A230-D43B5BA066BC}"/>
    <dgm:cxn modelId="{E98075B5-FE67-4C92-A755-3B9B9BA37B09}" type="presOf" srcId="{79F67BBE-C549-4D94-8E79-621C8AF7ABC0}" destId="{7531B185-1347-4BBE-BBB5-B7D3745F4BC5}" srcOrd="0" destOrd="0" presId="urn:microsoft.com/office/officeart/2005/8/layout/vList5"/>
    <dgm:cxn modelId="{82BB6860-8ABE-40D7-B935-442CA13A8B51}" type="presOf" srcId="{C97F1DA4-855F-4ADF-BB2F-6098F697CB4C}" destId="{BC01FBB6-8921-4CB6-8424-B3CEE8AB25D5}" srcOrd="0" destOrd="1" presId="urn:microsoft.com/office/officeart/2005/8/layout/vList5"/>
    <dgm:cxn modelId="{2DA0AD2B-4850-4335-9EF3-9735C0C42EBB}" srcId="{91ABF94D-77E0-41EA-9328-7B1D6EDF588D}" destId="{30AC1838-0B2C-4905-B7A9-9E1FD2668E64}" srcOrd="2" destOrd="0" parTransId="{2B890CD2-25BA-4639-AF77-604EF1E39AC3}" sibTransId="{C8DB345B-E6AE-485D-A298-AC4F35FB4781}"/>
    <dgm:cxn modelId="{00DE2D1D-663D-49A8-B8AB-8BD2C8EE4417}" srcId="{251217B9-9AC0-4772-9BF3-3809B27ADA98}" destId="{5F7386C2-AC34-484A-B144-521843A95490}" srcOrd="0" destOrd="0" parTransId="{871670FC-0140-41B4-8240-641DC8FBE1B5}" sibTransId="{E755240D-919F-46E9-9A02-CCB734A192DC}"/>
    <dgm:cxn modelId="{C012BD6F-F07F-4BE7-A0EF-4B10ED827D43}" srcId="{9B675553-B7D3-4143-81B4-3902086B4A85}" destId="{FA062A5D-EDAB-4198-93F0-F1F98F371DCB}" srcOrd="2" destOrd="0" parTransId="{E20C53C8-DEFD-4BFE-BE50-A6DF1A38EB07}" sibTransId="{603E9E32-F251-4B3B-A3CA-6E7E41D25699}"/>
    <dgm:cxn modelId="{7BCF851A-29AE-4652-8DAF-4E48EE5C8DE1}" type="presOf" srcId="{835DF1A1-3351-4C5C-91B3-84FEC6341659}" destId="{DF15938C-60C8-4F3D-BA74-F083842E2F7B}" srcOrd="0" destOrd="0" presId="urn:microsoft.com/office/officeart/2005/8/layout/vList5"/>
    <dgm:cxn modelId="{81690DBA-5DFE-4900-8F7A-53CEEFEFEC6E}" srcId="{251217B9-9AC0-4772-9BF3-3809B27ADA98}" destId="{55004C14-82AA-4311-8825-DAF7C6AD3305}" srcOrd="1" destOrd="0" parTransId="{488F4A27-1ADB-4824-9EBE-4916FC21DD2B}" sibTransId="{097CA234-B754-4C53-8E62-FD91DB3418D4}"/>
    <dgm:cxn modelId="{CAA91E47-BDFE-44C8-9A39-1B86D134D9AC}" srcId="{C011796C-167E-4EBE-85A1-CE6E701525BC}" destId="{69F8347E-0E46-4910-8146-EFE677F5027D}" srcOrd="1" destOrd="0" parTransId="{F04C0A79-EE70-4FBC-84AD-18CC33CCA945}" sibTransId="{CEE1E3A2-2D5F-41A9-A0DA-862C2083A411}"/>
    <dgm:cxn modelId="{3A009EF4-3284-4B40-AEC4-B0BF8C947E08}" type="presParOf" srcId="{01E80E75-894E-484A-BF29-899A41337555}" destId="{F6642A27-244A-4E74-9772-6A7B75A5FF30}" srcOrd="0" destOrd="0" presId="urn:microsoft.com/office/officeart/2005/8/layout/vList5"/>
    <dgm:cxn modelId="{86A2272C-E844-4246-A1BF-6A995BC4CCBC}" type="presParOf" srcId="{F6642A27-244A-4E74-9772-6A7B75A5FF30}" destId="{D898877C-99F4-44C2-A9FE-B153BF16F11A}" srcOrd="0" destOrd="0" presId="urn:microsoft.com/office/officeart/2005/8/layout/vList5"/>
    <dgm:cxn modelId="{320D8119-33EC-4F9A-97B1-9F714D34F3DC}" type="presParOf" srcId="{F6642A27-244A-4E74-9772-6A7B75A5FF30}" destId="{DF15938C-60C8-4F3D-BA74-F083842E2F7B}" srcOrd="1" destOrd="0" presId="urn:microsoft.com/office/officeart/2005/8/layout/vList5"/>
    <dgm:cxn modelId="{AAA707B4-14D4-4437-8BD6-1B90E0F37B7E}" type="presParOf" srcId="{01E80E75-894E-484A-BF29-899A41337555}" destId="{BA0DB2A0-C035-4C57-8184-E31656774D37}" srcOrd="1" destOrd="0" presId="urn:microsoft.com/office/officeart/2005/8/layout/vList5"/>
    <dgm:cxn modelId="{84B3D133-6286-4AF3-975C-D551E3E11984}" type="presParOf" srcId="{01E80E75-894E-484A-BF29-899A41337555}" destId="{816B008C-CC2C-4524-90A8-A7F54444BA4A}" srcOrd="2" destOrd="0" presId="urn:microsoft.com/office/officeart/2005/8/layout/vList5"/>
    <dgm:cxn modelId="{D53E75EF-4817-4F19-AF9E-2A398B6BE91F}" type="presParOf" srcId="{816B008C-CC2C-4524-90A8-A7F54444BA4A}" destId="{81BFFB7B-EC2A-4BA9-BF0C-DF2BA4224785}" srcOrd="0" destOrd="0" presId="urn:microsoft.com/office/officeart/2005/8/layout/vList5"/>
    <dgm:cxn modelId="{F4272D60-E303-46DA-BD27-1DE945D9EB90}" type="presParOf" srcId="{816B008C-CC2C-4524-90A8-A7F54444BA4A}" destId="{9E217E4F-030F-4ECC-8D8C-C69E76F17DCC}" srcOrd="1" destOrd="0" presId="urn:microsoft.com/office/officeart/2005/8/layout/vList5"/>
    <dgm:cxn modelId="{2D0DA59C-E041-47A0-843A-1EA4C669D5CD}" type="presParOf" srcId="{01E80E75-894E-484A-BF29-899A41337555}" destId="{6E7099F3-7DE7-46BC-8815-042EDB51075F}" srcOrd="3" destOrd="0" presId="urn:microsoft.com/office/officeart/2005/8/layout/vList5"/>
    <dgm:cxn modelId="{5AA7883D-E6C3-450F-BF7C-9A65640407EF}" type="presParOf" srcId="{01E80E75-894E-484A-BF29-899A41337555}" destId="{735DA1F1-2795-4DE9-AB29-C76DA7A5B914}" srcOrd="4" destOrd="0" presId="urn:microsoft.com/office/officeart/2005/8/layout/vList5"/>
    <dgm:cxn modelId="{0A1660D6-80F9-43AE-8771-BA56DDE17587}" type="presParOf" srcId="{735DA1F1-2795-4DE9-AB29-C76DA7A5B914}" destId="{6C131655-4A0C-4155-8F36-46C8AADC1BC8}" srcOrd="0" destOrd="0" presId="urn:microsoft.com/office/officeart/2005/8/layout/vList5"/>
    <dgm:cxn modelId="{160D51F3-2DDC-47F2-A0F9-BE13EF872D88}" type="presParOf" srcId="{735DA1F1-2795-4DE9-AB29-C76DA7A5B914}" destId="{971DF407-9585-4F4A-B192-2C73698450A8}" srcOrd="1" destOrd="0" presId="urn:microsoft.com/office/officeart/2005/8/layout/vList5"/>
    <dgm:cxn modelId="{64C7E09B-7830-4103-ACA6-824D43ECD561}" type="presParOf" srcId="{01E80E75-894E-484A-BF29-899A41337555}" destId="{DDAD113B-E9D3-4183-A969-902D2DC2E23F}" srcOrd="5" destOrd="0" presId="urn:microsoft.com/office/officeart/2005/8/layout/vList5"/>
    <dgm:cxn modelId="{E083C21F-DD66-4F47-848D-3FB7D0B07488}" type="presParOf" srcId="{01E80E75-894E-484A-BF29-899A41337555}" destId="{5129852D-E3BA-46B8-9142-19CA60A89F7A}" srcOrd="6" destOrd="0" presId="urn:microsoft.com/office/officeart/2005/8/layout/vList5"/>
    <dgm:cxn modelId="{C2580FC0-7BC8-4239-8F24-D0DD58D192AD}" type="presParOf" srcId="{5129852D-E3BA-46B8-9142-19CA60A89F7A}" destId="{A6B7D67E-D200-440B-A205-9CB0048E9918}" srcOrd="0" destOrd="0" presId="urn:microsoft.com/office/officeart/2005/8/layout/vList5"/>
    <dgm:cxn modelId="{016D3AF6-5D60-4521-9969-5C264A8FEB59}" type="presParOf" srcId="{5129852D-E3BA-46B8-9142-19CA60A89F7A}" destId="{7531B185-1347-4BBE-BBB5-B7D3745F4BC5}" srcOrd="1" destOrd="0" presId="urn:microsoft.com/office/officeart/2005/8/layout/vList5"/>
    <dgm:cxn modelId="{E656E9B6-A452-4293-8306-EC8064D9356D}" type="presParOf" srcId="{01E80E75-894E-484A-BF29-899A41337555}" destId="{FED40F8F-76FF-4730-A605-70172B0D9203}" srcOrd="7" destOrd="0" presId="urn:microsoft.com/office/officeart/2005/8/layout/vList5"/>
    <dgm:cxn modelId="{399FF33F-41D7-4F62-A156-45634D648DF7}" type="presParOf" srcId="{01E80E75-894E-484A-BF29-899A41337555}" destId="{97539F53-A029-46D4-B108-540A3FA9B108}" srcOrd="8" destOrd="0" presId="urn:microsoft.com/office/officeart/2005/8/layout/vList5"/>
    <dgm:cxn modelId="{7487EDBC-626C-487A-939E-2074D824836E}" type="presParOf" srcId="{97539F53-A029-46D4-B108-540A3FA9B108}" destId="{BD3C51CC-ECCA-4C2C-BE80-B8A231098362}" srcOrd="0" destOrd="0" presId="urn:microsoft.com/office/officeart/2005/8/layout/vList5"/>
    <dgm:cxn modelId="{17C8D104-088E-4E4C-840D-AB6244036EF8}" type="presParOf" srcId="{97539F53-A029-46D4-B108-540A3FA9B108}" destId="{BC01FBB6-8921-4CB6-8424-B3CEE8AB25D5}" srcOrd="1" destOrd="0" presId="urn:microsoft.com/office/officeart/2005/8/layout/vList5"/>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B6BA651-5040-44B7-805F-D06181F59033}" type="doc">
      <dgm:prSet loTypeId="urn:microsoft.com/office/officeart/2005/8/layout/vList5" loCatId="list" qsTypeId="urn:microsoft.com/office/officeart/2005/8/quickstyle/simple1" qsCatId="simple" csTypeId="urn:microsoft.com/office/officeart/2005/8/colors/accent0_1" csCatId="mainScheme" phldr="1"/>
      <dgm:spPr/>
      <dgm:t>
        <a:bodyPr/>
        <a:lstStyle/>
        <a:p>
          <a:endParaRPr lang="en-US"/>
        </a:p>
      </dgm:t>
    </dgm:pt>
    <dgm:pt modelId="{2715AE9A-8CDD-44AA-A1EE-ADCC1A7912E3}">
      <dgm:prSet phldrT="[Text]" custT="1"/>
      <dgm:spPr/>
      <dgm:t>
        <a:bodyPr/>
        <a:lstStyle/>
        <a:p>
          <a:r>
            <a:rPr lang="lt-LT" sz="1100">
              <a:latin typeface="Times New Roman" pitchFamily="18" charset="0"/>
              <a:cs typeface="Times New Roman" pitchFamily="18" charset="0"/>
            </a:rPr>
            <a:t>Pagal teisę leisti SVP emisiją</a:t>
          </a:r>
          <a:endParaRPr lang="en-US" sz="1100">
            <a:latin typeface="Times New Roman" pitchFamily="18" charset="0"/>
            <a:cs typeface="Times New Roman" pitchFamily="18" charset="0"/>
          </a:endParaRPr>
        </a:p>
      </dgm:t>
    </dgm:pt>
    <dgm:pt modelId="{4042181D-A209-46D2-832D-4CB067999D34}" type="parTrans" cxnId="{D0182285-2801-41E8-A33F-57258B518324}">
      <dgm:prSet/>
      <dgm:spPr/>
      <dgm:t>
        <a:bodyPr/>
        <a:lstStyle/>
        <a:p>
          <a:endParaRPr lang="en-US"/>
        </a:p>
      </dgm:t>
    </dgm:pt>
    <dgm:pt modelId="{FEB834E7-6380-401A-9AEC-4A076478765E}" type="sibTrans" cxnId="{D0182285-2801-41E8-A33F-57258B518324}">
      <dgm:prSet/>
      <dgm:spPr/>
      <dgm:t>
        <a:bodyPr/>
        <a:lstStyle/>
        <a:p>
          <a:endParaRPr lang="en-US"/>
        </a:p>
      </dgm:t>
    </dgm:pt>
    <dgm:pt modelId="{5474288F-D0E1-43D8-B623-1E6027D30141}">
      <dgm:prSet phldrT="[Text]"/>
      <dgm:spPr/>
      <dgm:t>
        <a:bodyPr/>
        <a:lstStyle/>
        <a:p>
          <a:r>
            <a:rPr lang="lt-LT">
              <a:latin typeface="Times New Roman" pitchFamily="18" charset="0"/>
              <a:cs typeface="Times New Roman" pitchFamily="18" charset="0"/>
            </a:rPr>
            <a:t>Centrinės vyriausybės leidžiami VP</a:t>
          </a:r>
          <a:endParaRPr lang="en-US">
            <a:latin typeface="Times New Roman" pitchFamily="18" charset="0"/>
            <a:cs typeface="Times New Roman" pitchFamily="18" charset="0"/>
          </a:endParaRPr>
        </a:p>
      </dgm:t>
    </dgm:pt>
    <dgm:pt modelId="{1241C5FF-40E9-43F2-BB65-84DAB7F28C8B}" type="parTrans" cxnId="{8A7C9C64-5524-4041-A626-0890FB75405E}">
      <dgm:prSet/>
      <dgm:spPr/>
      <dgm:t>
        <a:bodyPr/>
        <a:lstStyle/>
        <a:p>
          <a:endParaRPr lang="en-US"/>
        </a:p>
      </dgm:t>
    </dgm:pt>
    <dgm:pt modelId="{2A9EF532-6C52-4F24-9AD0-5CB47D961650}" type="sibTrans" cxnId="{8A7C9C64-5524-4041-A626-0890FB75405E}">
      <dgm:prSet/>
      <dgm:spPr/>
      <dgm:t>
        <a:bodyPr/>
        <a:lstStyle/>
        <a:p>
          <a:endParaRPr lang="en-US"/>
        </a:p>
      </dgm:t>
    </dgm:pt>
    <dgm:pt modelId="{2231459D-4B9E-4DB7-8D2C-B7779C69D472}">
      <dgm:prSet phldrT="[Text]"/>
      <dgm:spPr/>
      <dgm:t>
        <a:bodyPr/>
        <a:lstStyle/>
        <a:p>
          <a:r>
            <a:rPr lang="lt-LT">
              <a:latin typeface="Times New Roman" pitchFamily="18" charset="0"/>
              <a:cs typeface="Times New Roman" pitchFamily="18" charset="0"/>
            </a:rPr>
            <a:t>Vietinės valdžios leidžiami VP</a:t>
          </a:r>
          <a:endParaRPr lang="en-US">
            <a:latin typeface="Times New Roman" pitchFamily="18" charset="0"/>
            <a:cs typeface="Times New Roman" pitchFamily="18" charset="0"/>
          </a:endParaRPr>
        </a:p>
      </dgm:t>
    </dgm:pt>
    <dgm:pt modelId="{A10C5B37-23B3-4E67-BD96-A843DDF279F8}" type="parTrans" cxnId="{32315105-406C-48F9-869F-036B4FCD1FAD}">
      <dgm:prSet/>
      <dgm:spPr/>
      <dgm:t>
        <a:bodyPr/>
        <a:lstStyle/>
        <a:p>
          <a:endParaRPr lang="en-US"/>
        </a:p>
      </dgm:t>
    </dgm:pt>
    <dgm:pt modelId="{DD1A4FE9-4066-48D8-BFBE-17092169BB68}" type="sibTrans" cxnId="{32315105-406C-48F9-869F-036B4FCD1FAD}">
      <dgm:prSet/>
      <dgm:spPr/>
      <dgm:t>
        <a:bodyPr/>
        <a:lstStyle/>
        <a:p>
          <a:endParaRPr lang="en-US"/>
        </a:p>
      </dgm:t>
    </dgm:pt>
    <dgm:pt modelId="{8BEA465E-27D3-4A84-A155-396C39407A1C}">
      <dgm:prSet phldrT="[Text]" custT="1"/>
      <dgm:spPr/>
      <dgm:t>
        <a:bodyPr/>
        <a:lstStyle/>
        <a:p>
          <a:r>
            <a:rPr lang="lt-LT" sz="1100">
              <a:latin typeface="Times New Roman" pitchFamily="18" charset="0"/>
              <a:cs typeface="Times New Roman" pitchFamily="18" charset="0"/>
            </a:rPr>
            <a:t>Pagal skolos šaltinių susidarymo vietą</a:t>
          </a:r>
          <a:endParaRPr lang="en-US" sz="1100">
            <a:latin typeface="Times New Roman" pitchFamily="18" charset="0"/>
            <a:cs typeface="Times New Roman" pitchFamily="18" charset="0"/>
          </a:endParaRPr>
        </a:p>
      </dgm:t>
    </dgm:pt>
    <dgm:pt modelId="{2792ACDA-249F-47CA-8AEA-276B107A731C}" type="parTrans" cxnId="{34E9681F-FF27-4F5C-B120-F62970EF6785}">
      <dgm:prSet/>
      <dgm:spPr/>
      <dgm:t>
        <a:bodyPr/>
        <a:lstStyle/>
        <a:p>
          <a:endParaRPr lang="en-US"/>
        </a:p>
      </dgm:t>
    </dgm:pt>
    <dgm:pt modelId="{EF88A6AA-8317-4634-B573-B17F578C1B48}" type="sibTrans" cxnId="{34E9681F-FF27-4F5C-B120-F62970EF6785}">
      <dgm:prSet/>
      <dgm:spPr/>
      <dgm:t>
        <a:bodyPr/>
        <a:lstStyle/>
        <a:p>
          <a:endParaRPr lang="en-US"/>
        </a:p>
      </dgm:t>
    </dgm:pt>
    <dgm:pt modelId="{0C78C6B8-F326-464A-A2B7-CB103B091C91}">
      <dgm:prSet phldrT="[Text]"/>
      <dgm:spPr/>
      <dgm:t>
        <a:bodyPr/>
        <a:lstStyle/>
        <a:p>
          <a:r>
            <a:rPr lang="lt-LT">
              <a:latin typeface="Times New Roman" pitchFamily="18" charset="0"/>
              <a:cs typeface="Times New Roman" pitchFamily="18" charset="0"/>
            </a:rPr>
            <a:t>Vidinės, susiformuojančios vidaus finansų rinkose</a:t>
          </a:r>
          <a:endParaRPr lang="en-US">
            <a:latin typeface="Times New Roman" pitchFamily="18" charset="0"/>
            <a:cs typeface="Times New Roman" pitchFamily="18" charset="0"/>
          </a:endParaRPr>
        </a:p>
      </dgm:t>
    </dgm:pt>
    <dgm:pt modelId="{9069A933-9AF3-463C-A1AC-B5C61F0307FF}" type="parTrans" cxnId="{365FBB37-E6F9-4B4B-A628-6D329BED9F27}">
      <dgm:prSet/>
      <dgm:spPr/>
      <dgm:t>
        <a:bodyPr/>
        <a:lstStyle/>
        <a:p>
          <a:endParaRPr lang="en-US"/>
        </a:p>
      </dgm:t>
    </dgm:pt>
    <dgm:pt modelId="{99C61302-DB5C-4602-99FD-7B5955695881}" type="sibTrans" cxnId="{365FBB37-E6F9-4B4B-A628-6D329BED9F27}">
      <dgm:prSet/>
      <dgm:spPr/>
      <dgm:t>
        <a:bodyPr/>
        <a:lstStyle/>
        <a:p>
          <a:endParaRPr lang="en-US"/>
        </a:p>
      </dgm:t>
    </dgm:pt>
    <dgm:pt modelId="{813AABE9-89C4-4135-B9F4-D290685880E6}">
      <dgm:prSet phldrT="[Text]" custT="1"/>
      <dgm:spPr/>
      <dgm:t>
        <a:bodyPr/>
        <a:lstStyle/>
        <a:p>
          <a:r>
            <a:rPr lang="lt-LT" sz="1100">
              <a:latin typeface="Times New Roman" pitchFamily="18" charset="0"/>
              <a:cs typeface="Times New Roman" pitchFamily="18" charset="0"/>
            </a:rPr>
            <a:t>Pagal pajamų už skolinimą gavimo būdą</a:t>
          </a:r>
          <a:endParaRPr lang="en-US" sz="1100">
            <a:latin typeface="Times New Roman" pitchFamily="18" charset="0"/>
            <a:cs typeface="Times New Roman" pitchFamily="18" charset="0"/>
          </a:endParaRPr>
        </a:p>
      </dgm:t>
    </dgm:pt>
    <dgm:pt modelId="{28B14B87-EDDB-4371-B2B4-A2B96049EB06}" type="parTrans" cxnId="{B0343232-CCA5-462B-B10F-661DC2C2D565}">
      <dgm:prSet/>
      <dgm:spPr/>
      <dgm:t>
        <a:bodyPr/>
        <a:lstStyle/>
        <a:p>
          <a:endParaRPr lang="en-US"/>
        </a:p>
      </dgm:t>
    </dgm:pt>
    <dgm:pt modelId="{CC4EC2DA-3601-4002-B2BF-6DFC37CA9D0A}" type="sibTrans" cxnId="{B0343232-CCA5-462B-B10F-661DC2C2D565}">
      <dgm:prSet/>
      <dgm:spPr/>
      <dgm:t>
        <a:bodyPr/>
        <a:lstStyle/>
        <a:p>
          <a:endParaRPr lang="en-US"/>
        </a:p>
      </dgm:t>
    </dgm:pt>
    <dgm:pt modelId="{7C2BBB69-EB90-4823-916D-40206259887C}">
      <dgm:prSet phldrT="[Text]"/>
      <dgm:spPr/>
      <dgm:t>
        <a:bodyPr/>
        <a:lstStyle/>
        <a:p>
          <a:r>
            <a:rPr lang="lt-LT">
              <a:latin typeface="Times New Roman" pitchFamily="18" charset="0"/>
              <a:cs typeface="Times New Roman" pitchFamily="18" charset="0"/>
            </a:rPr>
            <a:t>Procentinės paskolos</a:t>
          </a:r>
          <a:endParaRPr lang="en-US">
            <a:latin typeface="Times New Roman" pitchFamily="18" charset="0"/>
            <a:cs typeface="Times New Roman" pitchFamily="18" charset="0"/>
          </a:endParaRPr>
        </a:p>
      </dgm:t>
    </dgm:pt>
    <dgm:pt modelId="{385D9F10-2B0C-4ADF-A46D-8A6D7DD52245}" type="parTrans" cxnId="{96BC0149-D61E-49C6-AE4A-3BAD5B89CA3A}">
      <dgm:prSet/>
      <dgm:spPr/>
      <dgm:t>
        <a:bodyPr/>
        <a:lstStyle/>
        <a:p>
          <a:endParaRPr lang="en-US"/>
        </a:p>
      </dgm:t>
    </dgm:pt>
    <dgm:pt modelId="{F778F601-9B35-4EF1-A8B1-0BF0CD41066A}" type="sibTrans" cxnId="{96BC0149-D61E-49C6-AE4A-3BAD5B89CA3A}">
      <dgm:prSet/>
      <dgm:spPr/>
      <dgm:t>
        <a:bodyPr/>
        <a:lstStyle/>
        <a:p>
          <a:endParaRPr lang="en-US"/>
        </a:p>
      </dgm:t>
    </dgm:pt>
    <dgm:pt modelId="{14304357-DF41-4DF2-963E-9402518586E1}">
      <dgm:prSet phldrT="[Text]"/>
      <dgm:spPr/>
      <dgm:t>
        <a:bodyPr/>
        <a:lstStyle/>
        <a:p>
          <a:r>
            <a:rPr lang="lt-LT">
              <a:latin typeface="Times New Roman" pitchFamily="18" charset="0"/>
              <a:cs typeface="Times New Roman" pitchFamily="18" charset="0"/>
            </a:rPr>
            <a:t>Išorinės, susiformuojančios užsienio finansų rinkose</a:t>
          </a:r>
          <a:endParaRPr lang="en-US">
            <a:latin typeface="Times New Roman" pitchFamily="18" charset="0"/>
            <a:cs typeface="Times New Roman" pitchFamily="18" charset="0"/>
          </a:endParaRPr>
        </a:p>
      </dgm:t>
    </dgm:pt>
    <dgm:pt modelId="{8A04DACB-E6C6-4A28-A6B3-54A2174F98A7}" type="parTrans" cxnId="{D3C7A5C1-9D7D-4E0E-857E-6BD211B06535}">
      <dgm:prSet/>
      <dgm:spPr/>
      <dgm:t>
        <a:bodyPr/>
        <a:lstStyle/>
        <a:p>
          <a:endParaRPr lang="en-US"/>
        </a:p>
      </dgm:t>
    </dgm:pt>
    <dgm:pt modelId="{2FF0F462-422D-420A-948C-9FC95B68AE7F}" type="sibTrans" cxnId="{D3C7A5C1-9D7D-4E0E-857E-6BD211B06535}">
      <dgm:prSet/>
      <dgm:spPr/>
      <dgm:t>
        <a:bodyPr/>
        <a:lstStyle/>
        <a:p>
          <a:endParaRPr lang="en-US"/>
        </a:p>
      </dgm:t>
    </dgm:pt>
    <dgm:pt modelId="{7CC27F06-F823-4292-A6A5-4147FE0E6032}">
      <dgm:prSet phldrT="[Text]" custT="1"/>
      <dgm:spPr/>
      <dgm:t>
        <a:bodyPr/>
        <a:lstStyle/>
        <a:p>
          <a:r>
            <a:rPr lang="lt-LT" sz="1100">
              <a:latin typeface="Times New Roman" pitchFamily="18" charset="0"/>
              <a:cs typeface="Times New Roman" pitchFamily="18" charset="0"/>
            </a:rPr>
            <a:t>Pagal skolos padengimo terminus</a:t>
          </a:r>
          <a:endParaRPr lang="en-US" sz="1100">
            <a:latin typeface="Times New Roman" pitchFamily="18" charset="0"/>
            <a:cs typeface="Times New Roman" pitchFamily="18" charset="0"/>
          </a:endParaRPr>
        </a:p>
      </dgm:t>
    </dgm:pt>
    <dgm:pt modelId="{3EFBC227-FFFC-4EF6-B242-BDE511677F3C}" type="parTrans" cxnId="{A8A5421F-F7DE-4B58-B77E-326BA91F69D5}">
      <dgm:prSet/>
      <dgm:spPr/>
      <dgm:t>
        <a:bodyPr/>
        <a:lstStyle/>
        <a:p>
          <a:endParaRPr lang="en-US"/>
        </a:p>
      </dgm:t>
    </dgm:pt>
    <dgm:pt modelId="{FFCAF8F6-83D6-488D-B76E-EC81BE60B51C}" type="sibTrans" cxnId="{A8A5421F-F7DE-4B58-B77E-326BA91F69D5}">
      <dgm:prSet/>
      <dgm:spPr/>
      <dgm:t>
        <a:bodyPr/>
        <a:lstStyle/>
        <a:p>
          <a:endParaRPr lang="en-US"/>
        </a:p>
      </dgm:t>
    </dgm:pt>
    <dgm:pt modelId="{A45AB491-652E-46F6-A62C-994F631847EB}">
      <dgm:prSet phldrT="[Text]" custT="1"/>
      <dgm:spPr/>
      <dgm:t>
        <a:bodyPr/>
        <a:lstStyle/>
        <a:p>
          <a:r>
            <a:rPr lang="lt-LT" sz="1100">
              <a:latin typeface="Times New Roman" pitchFamily="18" charset="0"/>
              <a:cs typeface="Times New Roman" pitchFamily="18" charset="0"/>
            </a:rPr>
            <a:t>Trumpalaikės paskolos</a:t>
          </a:r>
          <a:endParaRPr lang="en-US" sz="1100">
            <a:latin typeface="Times New Roman" pitchFamily="18" charset="0"/>
            <a:cs typeface="Times New Roman" pitchFamily="18" charset="0"/>
          </a:endParaRPr>
        </a:p>
      </dgm:t>
    </dgm:pt>
    <dgm:pt modelId="{F82D0E00-9267-4895-96D3-CC437F673471}" type="parTrans" cxnId="{FD32C59A-68E0-4214-85FB-6F45658B7F1E}">
      <dgm:prSet/>
      <dgm:spPr/>
      <dgm:t>
        <a:bodyPr/>
        <a:lstStyle/>
        <a:p>
          <a:endParaRPr lang="en-US"/>
        </a:p>
      </dgm:t>
    </dgm:pt>
    <dgm:pt modelId="{F8B48416-A9EA-4F6F-A9C2-0EE78A7A37C0}" type="sibTrans" cxnId="{FD32C59A-68E0-4214-85FB-6F45658B7F1E}">
      <dgm:prSet/>
      <dgm:spPr/>
      <dgm:t>
        <a:bodyPr/>
        <a:lstStyle/>
        <a:p>
          <a:endParaRPr lang="en-US"/>
        </a:p>
      </dgm:t>
    </dgm:pt>
    <dgm:pt modelId="{193A89F4-48B8-4184-9F95-B66F4C8FD3FE}">
      <dgm:prSet phldrT="[Text]" custT="1"/>
      <dgm:spPr/>
      <dgm:t>
        <a:bodyPr/>
        <a:lstStyle/>
        <a:p>
          <a:r>
            <a:rPr lang="lt-LT" sz="1100">
              <a:latin typeface="Times New Roman" pitchFamily="18" charset="0"/>
              <a:cs typeface="Times New Roman" pitchFamily="18" charset="0"/>
            </a:rPr>
            <a:t>Vidutinės trukmės paskolos</a:t>
          </a:r>
          <a:endParaRPr lang="en-US" sz="1100">
            <a:latin typeface="Times New Roman" pitchFamily="18" charset="0"/>
            <a:cs typeface="Times New Roman" pitchFamily="18" charset="0"/>
          </a:endParaRPr>
        </a:p>
      </dgm:t>
    </dgm:pt>
    <dgm:pt modelId="{12379CDD-7156-4D59-901E-29793D949151}" type="parTrans" cxnId="{F13F5EEF-009A-4DEF-974B-D6788F46538D}">
      <dgm:prSet/>
      <dgm:spPr/>
      <dgm:t>
        <a:bodyPr/>
        <a:lstStyle/>
        <a:p>
          <a:endParaRPr lang="en-US"/>
        </a:p>
      </dgm:t>
    </dgm:pt>
    <dgm:pt modelId="{B62BB449-AA4D-4252-9018-3248A4CC15A3}" type="sibTrans" cxnId="{F13F5EEF-009A-4DEF-974B-D6788F46538D}">
      <dgm:prSet/>
      <dgm:spPr/>
      <dgm:t>
        <a:bodyPr/>
        <a:lstStyle/>
        <a:p>
          <a:endParaRPr lang="en-US"/>
        </a:p>
      </dgm:t>
    </dgm:pt>
    <dgm:pt modelId="{D2981441-BCC4-4F0D-B48C-FDA658FB7009}">
      <dgm:prSet phldrT="[Text]" custT="1"/>
      <dgm:spPr/>
      <dgm:t>
        <a:bodyPr/>
        <a:lstStyle/>
        <a:p>
          <a:r>
            <a:rPr lang="lt-LT" sz="1100">
              <a:latin typeface="Times New Roman" pitchFamily="18" charset="0"/>
              <a:cs typeface="Times New Roman" pitchFamily="18" charset="0"/>
            </a:rPr>
            <a:t>Ilgalaikės paskolos</a:t>
          </a:r>
          <a:endParaRPr lang="en-US" sz="1100">
            <a:latin typeface="Times New Roman" pitchFamily="18" charset="0"/>
            <a:cs typeface="Times New Roman" pitchFamily="18" charset="0"/>
          </a:endParaRPr>
        </a:p>
      </dgm:t>
    </dgm:pt>
    <dgm:pt modelId="{6AA7B18A-125A-403C-A838-94D26F538A92}" type="parTrans" cxnId="{EFB7BAA1-F149-4CBC-995C-53C357F1033C}">
      <dgm:prSet/>
      <dgm:spPr/>
      <dgm:t>
        <a:bodyPr/>
        <a:lstStyle/>
        <a:p>
          <a:endParaRPr lang="en-US"/>
        </a:p>
      </dgm:t>
    </dgm:pt>
    <dgm:pt modelId="{7C738BC3-1A65-4A48-891B-AB7A458468BD}" type="sibTrans" cxnId="{EFB7BAA1-F149-4CBC-995C-53C357F1033C}">
      <dgm:prSet/>
      <dgm:spPr/>
      <dgm:t>
        <a:bodyPr/>
        <a:lstStyle/>
        <a:p>
          <a:endParaRPr lang="en-US"/>
        </a:p>
      </dgm:t>
    </dgm:pt>
    <dgm:pt modelId="{45ABB321-C232-4339-956E-47B89BEE2620}">
      <dgm:prSet phldrT="[Text]" custT="1"/>
      <dgm:spPr/>
      <dgm:t>
        <a:bodyPr/>
        <a:lstStyle/>
        <a:p>
          <a:r>
            <a:rPr lang="lt-LT" sz="1100">
              <a:latin typeface="Times New Roman" pitchFamily="18" charset="0"/>
              <a:cs typeface="Times New Roman" pitchFamily="18" charset="0"/>
            </a:rPr>
            <a:t>Pagal išplatinimo būdą</a:t>
          </a:r>
          <a:endParaRPr lang="en-US" sz="1100">
            <a:latin typeface="Times New Roman" pitchFamily="18" charset="0"/>
            <a:cs typeface="Times New Roman" pitchFamily="18" charset="0"/>
          </a:endParaRPr>
        </a:p>
      </dgm:t>
    </dgm:pt>
    <dgm:pt modelId="{AB8A1436-1EF0-4A9C-B572-B67C0B814410}" type="parTrans" cxnId="{121912F4-51B9-4F0B-9D72-5D586A0E0843}">
      <dgm:prSet/>
      <dgm:spPr/>
      <dgm:t>
        <a:bodyPr/>
        <a:lstStyle/>
        <a:p>
          <a:endParaRPr lang="en-US"/>
        </a:p>
      </dgm:t>
    </dgm:pt>
    <dgm:pt modelId="{D36DDE66-FA9D-4C1B-A115-56B28E8AFB51}" type="sibTrans" cxnId="{121912F4-51B9-4F0B-9D72-5D586A0E0843}">
      <dgm:prSet/>
      <dgm:spPr/>
      <dgm:t>
        <a:bodyPr/>
        <a:lstStyle/>
        <a:p>
          <a:endParaRPr lang="en-US"/>
        </a:p>
      </dgm:t>
    </dgm:pt>
    <dgm:pt modelId="{D3938DE0-CE49-4306-A228-21416DA977D8}">
      <dgm:prSet phldrT="[Text]" custT="1"/>
      <dgm:spPr/>
      <dgm:t>
        <a:bodyPr/>
        <a:lstStyle/>
        <a:p>
          <a:r>
            <a:rPr lang="lt-LT" sz="1100">
              <a:latin typeface="Times New Roman" pitchFamily="18" charset="0"/>
              <a:cs typeface="Times New Roman" pitchFamily="18" charset="0"/>
            </a:rPr>
            <a:t>Pardavinėjamosios paskolos</a:t>
          </a:r>
          <a:endParaRPr lang="en-US" sz="1100">
            <a:latin typeface="Times New Roman" pitchFamily="18" charset="0"/>
            <a:cs typeface="Times New Roman" pitchFamily="18" charset="0"/>
          </a:endParaRPr>
        </a:p>
      </dgm:t>
    </dgm:pt>
    <dgm:pt modelId="{18281FA8-5042-409B-8703-41212A27F18A}" type="parTrans" cxnId="{0F4451C0-3AF7-4025-A5B5-53CA5046BC75}">
      <dgm:prSet/>
      <dgm:spPr/>
      <dgm:t>
        <a:bodyPr/>
        <a:lstStyle/>
        <a:p>
          <a:endParaRPr lang="en-US"/>
        </a:p>
      </dgm:t>
    </dgm:pt>
    <dgm:pt modelId="{EBED78F9-6C3E-45C3-A39C-E0DF9B70FF82}" type="sibTrans" cxnId="{0F4451C0-3AF7-4025-A5B5-53CA5046BC75}">
      <dgm:prSet/>
      <dgm:spPr/>
      <dgm:t>
        <a:bodyPr/>
        <a:lstStyle/>
        <a:p>
          <a:endParaRPr lang="en-US"/>
        </a:p>
      </dgm:t>
    </dgm:pt>
    <dgm:pt modelId="{370BE836-2C7B-4444-B76E-B115111E4054}">
      <dgm:prSet phldrT="[Text]" custT="1"/>
      <dgm:spPr/>
      <dgm:t>
        <a:bodyPr/>
        <a:lstStyle/>
        <a:p>
          <a:r>
            <a:rPr lang="lt-LT" sz="1100">
              <a:latin typeface="Times New Roman" pitchFamily="18" charset="0"/>
              <a:cs typeface="Times New Roman" pitchFamily="18" charset="0"/>
            </a:rPr>
            <a:t>Nepardavinėjamosios  paskolos</a:t>
          </a:r>
          <a:endParaRPr lang="en-US" sz="1100">
            <a:latin typeface="Times New Roman" pitchFamily="18" charset="0"/>
            <a:cs typeface="Times New Roman" pitchFamily="18" charset="0"/>
          </a:endParaRPr>
        </a:p>
      </dgm:t>
    </dgm:pt>
    <dgm:pt modelId="{4628E916-FC1B-456A-9D6C-C6440E556C8F}" type="parTrans" cxnId="{A6402F1B-111D-4667-AEF6-8642DE181EE5}">
      <dgm:prSet/>
      <dgm:spPr/>
      <dgm:t>
        <a:bodyPr/>
        <a:lstStyle/>
        <a:p>
          <a:endParaRPr lang="en-US"/>
        </a:p>
      </dgm:t>
    </dgm:pt>
    <dgm:pt modelId="{EE5ED010-6979-4BDF-AD0B-BFF9F39ED3BD}" type="sibTrans" cxnId="{A6402F1B-111D-4667-AEF6-8642DE181EE5}">
      <dgm:prSet/>
      <dgm:spPr/>
      <dgm:t>
        <a:bodyPr/>
        <a:lstStyle/>
        <a:p>
          <a:endParaRPr lang="en-US"/>
        </a:p>
      </dgm:t>
    </dgm:pt>
    <dgm:pt modelId="{B5B0CF2F-7D16-4082-9F33-F6A38C3E0853}">
      <dgm:prSet phldrT="[Text]"/>
      <dgm:spPr/>
      <dgm:t>
        <a:bodyPr/>
        <a:lstStyle/>
        <a:p>
          <a:r>
            <a:rPr lang="lt-LT">
              <a:latin typeface="Times New Roman" pitchFamily="18" charset="0"/>
              <a:cs typeface="Times New Roman" pitchFamily="18" charset="0"/>
            </a:rPr>
            <a:t>Loterijų paskolos</a:t>
          </a:r>
          <a:endParaRPr lang="en-US">
            <a:latin typeface="Times New Roman" pitchFamily="18" charset="0"/>
            <a:cs typeface="Times New Roman" pitchFamily="18" charset="0"/>
          </a:endParaRPr>
        </a:p>
      </dgm:t>
    </dgm:pt>
    <dgm:pt modelId="{537613F4-478A-4E2C-94F5-2178A6D71CA7}" type="sibTrans" cxnId="{0F33509B-E428-4667-993F-07F356B250C7}">
      <dgm:prSet/>
      <dgm:spPr/>
      <dgm:t>
        <a:bodyPr/>
        <a:lstStyle/>
        <a:p>
          <a:endParaRPr lang="en-US"/>
        </a:p>
      </dgm:t>
    </dgm:pt>
    <dgm:pt modelId="{C4151839-8D42-446A-AC19-6B5931F2F0DD}" type="parTrans" cxnId="{0F33509B-E428-4667-993F-07F356B250C7}">
      <dgm:prSet/>
      <dgm:spPr/>
      <dgm:t>
        <a:bodyPr/>
        <a:lstStyle/>
        <a:p>
          <a:endParaRPr lang="en-US"/>
        </a:p>
      </dgm:t>
    </dgm:pt>
    <dgm:pt modelId="{804211A3-A9C9-458E-8EEA-43FEB917FD4B}" type="pres">
      <dgm:prSet presAssocID="{6B6BA651-5040-44B7-805F-D06181F59033}" presName="Name0" presStyleCnt="0">
        <dgm:presLayoutVars>
          <dgm:dir/>
          <dgm:animLvl val="lvl"/>
          <dgm:resizeHandles val="exact"/>
        </dgm:presLayoutVars>
      </dgm:prSet>
      <dgm:spPr/>
      <dgm:t>
        <a:bodyPr/>
        <a:lstStyle/>
        <a:p>
          <a:endParaRPr lang="en-US"/>
        </a:p>
      </dgm:t>
    </dgm:pt>
    <dgm:pt modelId="{35AF0BD5-5D6F-44A7-9810-161D622BB1E1}" type="pres">
      <dgm:prSet presAssocID="{2715AE9A-8CDD-44AA-A1EE-ADCC1A7912E3}" presName="linNode" presStyleCnt="0"/>
      <dgm:spPr/>
      <dgm:t>
        <a:bodyPr/>
        <a:lstStyle/>
        <a:p>
          <a:endParaRPr lang="lt-LT"/>
        </a:p>
      </dgm:t>
    </dgm:pt>
    <dgm:pt modelId="{3F58CA05-63C3-4DB0-B64C-24D8126C12DA}" type="pres">
      <dgm:prSet presAssocID="{2715AE9A-8CDD-44AA-A1EE-ADCC1A7912E3}" presName="parentText" presStyleLbl="node1" presStyleIdx="0" presStyleCnt="5">
        <dgm:presLayoutVars>
          <dgm:chMax val="1"/>
          <dgm:bulletEnabled val="1"/>
        </dgm:presLayoutVars>
      </dgm:prSet>
      <dgm:spPr/>
      <dgm:t>
        <a:bodyPr/>
        <a:lstStyle/>
        <a:p>
          <a:endParaRPr lang="en-US"/>
        </a:p>
      </dgm:t>
    </dgm:pt>
    <dgm:pt modelId="{C91DE372-685C-4B04-992A-59EDB110CBAE}" type="pres">
      <dgm:prSet presAssocID="{2715AE9A-8CDD-44AA-A1EE-ADCC1A7912E3}" presName="descendantText" presStyleLbl="alignAccFollowNode1" presStyleIdx="0" presStyleCnt="5">
        <dgm:presLayoutVars>
          <dgm:bulletEnabled val="1"/>
        </dgm:presLayoutVars>
      </dgm:prSet>
      <dgm:spPr/>
      <dgm:t>
        <a:bodyPr/>
        <a:lstStyle/>
        <a:p>
          <a:endParaRPr lang="en-US"/>
        </a:p>
      </dgm:t>
    </dgm:pt>
    <dgm:pt modelId="{6F07D37A-DD30-4CD4-B5AE-D55ED89BFAA8}" type="pres">
      <dgm:prSet presAssocID="{FEB834E7-6380-401A-9AEC-4A076478765E}" presName="sp" presStyleCnt="0"/>
      <dgm:spPr/>
      <dgm:t>
        <a:bodyPr/>
        <a:lstStyle/>
        <a:p>
          <a:endParaRPr lang="lt-LT"/>
        </a:p>
      </dgm:t>
    </dgm:pt>
    <dgm:pt modelId="{CD32FBC6-06C7-41CD-A892-225FFDE22CA3}" type="pres">
      <dgm:prSet presAssocID="{8BEA465E-27D3-4A84-A155-396C39407A1C}" presName="linNode" presStyleCnt="0"/>
      <dgm:spPr/>
      <dgm:t>
        <a:bodyPr/>
        <a:lstStyle/>
        <a:p>
          <a:endParaRPr lang="lt-LT"/>
        </a:p>
      </dgm:t>
    </dgm:pt>
    <dgm:pt modelId="{C02536B9-3CC4-4255-869D-DEC4DBB95661}" type="pres">
      <dgm:prSet presAssocID="{8BEA465E-27D3-4A84-A155-396C39407A1C}" presName="parentText" presStyleLbl="node1" presStyleIdx="1" presStyleCnt="5">
        <dgm:presLayoutVars>
          <dgm:chMax val="1"/>
          <dgm:bulletEnabled val="1"/>
        </dgm:presLayoutVars>
      </dgm:prSet>
      <dgm:spPr/>
      <dgm:t>
        <a:bodyPr/>
        <a:lstStyle/>
        <a:p>
          <a:endParaRPr lang="en-US"/>
        </a:p>
      </dgm:t>
    </dgm:pt>
    <dgm:pt modelId="{99247AB1-BFD0-4A55-8B0B-79A1EBF21566}" type="pres">
      <dgm:prSet presAssocID="{8BEA465E-27D3-4A84-A155-396C39407A1C}" presName="descendantText" presStyleLbl="alignAccFollowNode1" presStyleIdx="1" presStyleCnt="5">
        <dgm:presLayoutVars>
          <dgm:bulletEnabled val="1"/>
        </dgm:presLayoutVars>
      </dgm:prSet>
      <dgm:spPr/>
      <dgm:t>
        <a:bodyPr/>
        <a:lstStyle/>
        <a:p>
          <a:endParaRPr lang="en-US"/>
        </a:p>
      </dgm:t>
    </dgm:pt>
    <dgm:pt modelId="{638041C9-85ED-468D-B4DD-09F308424B5F}" type="pres">
      <dgm:prSet presAssocID="{EF88A6AA-8317-4634-B573-B17F578C1B48}" presName="sp" presStyleCnt="0"/>
      <dgm:spPr/>
      <dgm:t>
        <a:bodyPr/>
        <a:lstStyle/>
        <a:p>
          <a:endParaRPr lang="lt-LT"/>
        </a:p>
      </dgm:t>
    </dgm:pt>
    <dgm:pt modelId="{8148D6EC-3C42-42E9-AB8E-EBF1A95F5CA0}" type="pres">
      <dgm:prSet presAssocID="{813AABE9-89C4-4135-B9F4-D290685880E6}" presName="linNode" presStyleCnt="0"/>
      <dgm:spPr/>
      <dgm:t>
        <a:bodyPr/>
        <a:lstStyle/>
        <a:p>
          <a:endParaRPr lang="lt-LT"/>
        </a:p>
      </dgm:t>
    </dgm:pt>
    <dgm:pt modelId="{59036317-617C-4050-AD74-AE5E26D2E6C3}" type="pres">
      <dgm:prSet presAssocID="{813AABE9-89C4-4135-B9F4-D290685880E6}" presName="parentText" presStyleLbl="node1" presStyleIdx="2" presStyleCnt="5">
        <dgm:presLayoutVars>
          <dgm:chMax val="1"/>
          <dgm:bulletEnabled val="1"/>
        </dgm:presLayoutVars>
      </dgm:prSet>
      <dgm:spPr/>
      <dgm:t>
        <a:bodyPr/>
        <a:lstStyle/>
        <a:p>
          <a:endParaRPr lang="en-US"/>
        </a:p>
      </dgm:t>
    </dgm:pt>
    <dgm:pt modelId="{F2604B3D-6BE2-450A-BF08-8DAD68B68613}" type="pres">
      <dgm:prSet presAssocID="{813AABE9-89C4-4135-B9F4-D290685880E6}" presName="descendantText" presStyleLbl="alignAccFollowNode1" presStyleIdx="2" presStyleCnt="5">
        <dgm:presLayoutVars>
          <dgm:bulletEnabled val="1"/>
        </dgm:presLayoutVars>
      </dgm:prSet>
      <dgm:spPr/>
      <dgm:t>
        <a:bodyPr/>
        <a:lstStyle/>
        <a:p>
          <a:endParaRPr lang="en-US"/>
        </a:p>
      </dgm:t>
    </dgm:pt>
    <dgm:pt modelId="{927EDDAD-48D3-4EEB-A943-D7A015E3EF18}" type="pres">
      <dgm:prSet presAssocID="{CC4EC2DA-3601-4002-B2BF-6DFC37CA9D0A}" presName="sp" presStyleCnt="0"/>
      <dgm:spPr/>
      <dgm:t>
        <a:bodyPr/>
        <a:lstStyle/>
        <a:p>
          <a:endParaRPr lang="lt-LT"/>
        </a:p>
      </dgm:t>
    </dgm:pt>
    <dgm:pt modelId="{BA6D1042-B770-4E23-96B8-E108AD8B72C8}" type="pres">
      <dgm:prSet presAssocID="{7CC27F06-F823-4292-A6A5-4147FE0E6032}" presName="linNode" presStyleCnt="0"/>
      <dgm:spPr/>
      <dgm:t>
        <a:bodyPr/>
        <a:lstStyle/>
        <a:p>
          <a:endParaRPr lang="lt-LT"/>
        </a:p>
      </dgm:t>
    </dgm:pt>
    <dgm:pt modelId="{244E011A-3111-4AE4-A2EB-9652697E030E}" type="pres">
      <dgm:prSet presAssocID="{7CC27F06-F823-4292-A6A5-4147FE0E6032}" presName="parentText" presStyleLbl="node1" presStyleIdx="3" presStyleCnt="5">
        <dgm:presLayoutVars>
          <dgm:chMax val="1"/>
          <dgm:bulletEnabled val="1"/>
        </dgm:presLayoutVars>
      </dgm:prSet>
      <dgm:spPr/>
      <dgm:t>
        <a:bodyPr/>
        <a:lstStyle/>
        <a:p>
          <a:endParaRPr lang="en-US"/>
        </a:p>
      </dgm:t>
    </dgm:pt>
    <dgm:pt modelId="{2AF0760C-EA42-452E-BAF4-78B1A28C5D74}" type="pres">
      <dgm:prSet presAssocID="{7CC27F06-F823-4292-A6A5-4147FE0E6032}" presName="descendantText" presStyleLbl="alignAccFollowNode1" presStyleIdx="3" presStyleCnt="5" custScaleY="121064">
        <dgm:presLayoutVars>
          <dgm:bulletEnabled val="1"/>
        </dgm:presLayoutVars>
      </dgm:prSet>
      <dgm:spPr/>
      <dgm:t>
        <a:bodyPr/>
        <a:lstStyle/>
        <a:p>
          <a:endParaRPr lang="en-US"/>
        </a:p>
      </dgm:t>
    </dgm:pt>
    <dgm:pt modelId="{CB64802C-B8E0-481E-8CC8-069B54AC574D}" type="pres">
      <dgm:prSet presAssocID="{FFCAF8F6-83D6-488D-B76E-EC81BE60B51C}" presName="sp" presStyleCnt="0"/>
      <dgm:spPr/>
      <dgm:t>
        <a:bodyPr/>
        <a:lstStyle/>
        <a:p>
          <a:endParaRPr lang="lt-LT"/>
        </a:p>
      </dgm:t>
    </dgm:pt>
    <dgm:pt modelId="{A44780C0-AEBD-47B6-A958-D675541BF0A7}" type="pres">
      <dgm:prSet presAssocID="{45ABB321-C232-4339-956E-47B89BEE2620}" presName="linNode" presStyleCnt="0"/>
      <dgm:spPr/>
      <dgm:t>
        <a:bodyPr/>
        <a:lstStyle/>
        <a:p>
          <a:endParaRPr lang="lt-LT"/>
        </a:p>
      </dgm:t>
    </dgm:pt>
    <dgm:pt modelId="{0A58C923-834A-491E-B3F9-4E872A6DD3ED}" type="pres">
      <dgm:prSet presAssocID="{45ABB321-C232-4339-956E-47B89BEE2620}" presName="parentText" presStyleLbl="node1" presStyleIdx="4" presStyleCnt="5">
        <dgm:presLayoutVars>
          <dgm:chMax val="1"/>
          <dgm:bulletEnabled val="1"/>
        </dgm:presLayoutVars>
      </dgm:prSet>
      <dgm:spPr/>
      <dgm:t>
        <a:bodyPr/>
        <a:lstStyle/>
        <a:p>
          <a:endParaRPr lang="en-US"/>
        </a:p>
      </dgm:t>
    </dgm:pt>
    <dgm:pt modelId="{85E65B0D-DD41-4C16-8FFE-C770AFE934B1}" type="pres">
      <dgm:prSet presAssocID="{45ABB321-C232-4339-956E-47B89BEE2620}" presName="descendantText" presStyleLbl="alignAccFollowNode1" presStyleIdx="4" presStyleCnt="5">
        <dgm:presLayoutVars>
          <dgm:bulletEnabled val="1"/>
        </dgm:presLayoutVars>
      </dgm:prSet>
      <dgm:spPr/>
      <dgm:t>
        <a:bodyPr/>
        <a:lstStyle/>
        <a:p>
          <a:endParaRPr lang="en-US"/>
        </a:p>
      </dgm:t>
    </dgm:pt>
  </dgm:ptLst>
  <dgm:cxnLst>
    <dgm:cxn modelId="{F13F5EEF-009A-4DEF-974B-D6788F46538D}" srcId="{7CC27F06-F823-4292-A6A5-4147FE0E6032}" destId="{193A89F4-48B8-4184-9F95-B66F4C8FD3FE}" srcOrd="1" destOrd="0" parTransId="{12379CDD-7156-4D59-901E-29793D949151}" sibTransId="{B62BB449-AA4D-4252-9018-3248A4CC15A3}"/>
    <dgm:cxn modelId="{0865B544-3C7F-4BBD-B3BA-F5EFCEFB268E}" type="presOf" srcId="{D3938DE0-CE49-4306-A228-21416DA977D8}" destId="{85E65B0D-DD41-4C16-8FFE-C770AFE934B1}" srcOrd="0" destOrd="0" presId="urn:microsoft.com/office/officeart/2005/8/layout/vList5"/>
    <dgm:cxn modelId="{BF2E117A-FE47-44E1-B32A-879118FD38EC}" type="presOf" srcId="{2715AE9A-8CDD-44AA-A1EE-ADCC1A7912E3}" destId="{3F58CA05-63C3-4DB0-B64C-24D8126C12DA}" srcOrd="0" destOrd="0" presId="urn:microsoft.com/office/officeart/2005/8/layout/vList5"/>
    <dgm:cxn modelId="{63D369FA-4493-4905-A301-F9424B19165B}" type="presOf" srcId="{45ABB321-C232-4339-956E-47B89BEE2620}" destId="{0A58C923-834A-491E-B3F9-4E872A6DD3ED}" srcOrd="0" destOrd="0" presId="urn:microsoft.com/office/officeart/2005/8/layout/vList5"/>
    <dgm:cxn modelId="{8A7C9C64-5524-4041-A626-0890FB75405E}" srcId="{2715AE9A-8CDD-44AA-A1EE-ADCC1A7912E3}" destId="{5474288F-D0E1-43D8-B623-1E6027D30141}" srcOrd="0" destOrd="0" parTransId="{1241C5FF-40E9-43F2-BB65-84DAB7F28C8B}" sibTransId="{2A9EF532-6C52-4F24-9AD0-5CB47D961650}"/>
    <dgm:cxn modelId="{A87CB12E-7454-4607-A48E-718FEA6F32DC}" type="presOf" srcId="{370BE836-2C7B-4444-B76E-B115111E4054}" destId="{85E65B0D-DD41-4C16-8FFE-C770AFE934B1}" srcOrd="0" destOrd="1" presId="urn:microsoft.com/office/officeart/2005/8/layout/vList5"/>
    <dgm:cxn modelId="{96BC0149-D61E-49C6-AE4A-3BAD5B89CA3A}" srcId="{813AABE9-89C4-4135-B9F4-D290685880E6}" destId="{7C2BBB69-EB90-4823-916D-40206259887C}" srcOrd="0" destOrd="0" parTransId="{385D9F10-2B0C-4ADF-A46D-8A6D7DD52245}" sibTransId="{F778F601-9B35-4EF1-A8B1-0BF0CD41066A}"/>
    <dgm:cxn modelId="{88DD4092-A27B-4706-9C14-94A0E3061BF1}" type="presOf" srcId="{2231459D-4B9E-4DB7-8D2C-B7779C69D472}" destId="{C91DE372-685C-4B04-992A-59EDB110CBAE}" srcOrd="0" destOrd="1" presId="urn:microsoft.com/office/officeart/2005/8/layout/vList5"/>
    <dgm:cxn modelId="{4C9D8437-CD2A-45DB-9F9C-F2A4EEFDA1F2}" type="presOf" srcId="{813AABE9-89C4-4135-B9F4-D290685880E6}" destId="{59036317-617C-4050-AD74-AE5E26D2E6C3}" srcOrd="0" destOrd="0" presId="urn:microsoft.com/office/officeart/2005/8/layout/vList5"/>
    <dgm:cxn modelId="{D1D2FAA1-50C4-4FE0-A5BB-95A6FBE0C711}" type="presOf" srcId="{B5B0CF2F-7D16-4082-9F33-F6A38C3E0853}" destId="{F2604B3D-6BE2-450A-BF08-8DAD68B68613}" srcOrd="0" destOrd="1" presId="urn:microsoft.com/office/officeart/2005/8/layout/vList5"/>
    <dgm:cxn modelId="{69D742E7-5B2A-472C-87F0-EB2D312CAE07}" type="presOf" srcId="{7CC27F06-F823-4292-A6A5-4147FE0E6032}" destId="{244E011A-3111-4AE4-A2EB-9652697E030E}" srcOrd="0" destOrd="0" presId="urn:microsoft.com/office/officeart/2005/8/layout/vList5"/>
    <dgm:cxn modelId="{A8A5421F-F7DE-4B58-B77E-326BA91F69D5}" srcId="{6B6BA651-5040-44B7-805F-D06181F59033}" destId="{7CC27F06-F823-4292-A6A5-4147FE0E6032}" srcOrd="3" destOrd="0" parTransId="{3EFBC227-FFFC-4EF6-B242-BDE511677F3C}" sibTransId="{FFCAF8F6-83D6-488D-B76E-EC81BE60B51C}"/>
    <dgm:cxn modelId="{EFB7BAA1-F149-4CBC-995C-53C357F1033C}" srcId="{7CC27F06-F823-4292-A6A5-4147FE0E6032}" destId="{D2981441-BCC4-4F0D-B48C-FDA658FB7009}" srcOrd="2" destOrd="0" parTransId="{6AA7B18A-125A-403C-A838-94D26F538A92}" sibTransId="{7C738BC3-1A65-4A48-891B-AB7A458468BD}"/>
    <dgm:cxn modelId="{18792D56-29FA-409C-A15A-5838A69F9905}" type="presOf" srcId="{6B6BA651-5040-44B7-805F-D06181F59033}" destId="{804211A3-A9C9-458E-8EEA-43FEB917FD4B}" srcOrd="0" destOrd="0" presId="urn:microsoft.com/office/officeart/2005/8/layout/vList5"/>
    <dgm:cxn modelId="{34E9681F-FF27-4F5C-B120-F62970EF6785}" srcId="{6B6BA651-5040-44B7-805F-D06181F59033}" destId="{8BEA465E-27D3-4A84-A155-396C39407A1C}" srcOrd="1" destOrd="0" parTransId="{2792ACDA-249F-47CA-8AEA-276B107A731C}" sibTransId="{EF88A6AA-8317-4634-B573-B17F578C1B48}"/>
    <dgm:cxn modelId="{BC510E72-843D-4132-BFC5-7A83EF44706B}" type="presOf" srcId="{14304357-DF41-4DF2-963E-9402518586E1}" destId="{99247AB1-BFD0-4A55-8B0B-79A1EBF21566}" srcOrd="0" destOrd="1" presId="urn:microsoft.com/office/officeart/2005/8/layout/vList5"/>
    <dgm:cxn modelId="{121912F4-51B9-4F0B-9D72-5D586A0E0843}" srcId="{6B6BA651-5040-44B7-805F-D06181F59033}" destId="{45ABB321-C232-4339-956E-47B89BEE2620}" srcOrd="4" destOrd="0" parTransId="{AB8A1436-1EF0-4A9C-B572-B67C0B814410}" sibTransId="{D36DDE66-FA9D-4C1B-A115-56B28E8AFB51}"/>
    <dgm:cxn modelId="{32315105-406C-48F9-869F-036B4FCD1FAD}" srcId="{2715AE9A-8CDD-44AA-A1EE-ADCC1A7912E3}" destId="{2231459D-4B9E-4DB7-8D2C-B7779C69D472}" srcOrd="1" destOrd="0" parTransId="{A10C5B37-23B3-4E67-BD96-A843DDF279F8}" sibTransId="{DD1A4FE9-4066-48D8-BFBE-17092169BB68}"/>
    <dgm:cxn modelId="{0F33509B-E428-4667-993F-07F356B250C7}" srcId="{813AABE9-89C4-4135-B9F4-D290685880E6}" destId="{B5B0CF2F-7D16-4082-9F33-F6A38C3E0853}" srcOrd="1" destOrd="0" parTransId="{C4151839-8D42-446A-AC19-6B5931F2F0DD}" sibTransId="{537613F4-478A-4E2C-94F5-2178A6D71CA7}"/>
    <dgm:cxn modelId="{365FBB37-E6F9-4B4B-A628-6D329BED9F27}" srcId="{8BEA465E-27D3-4A84-A155-396C39407A1C}" destId="{0C78C6B8-F326-464A-A2B7-CB103B091C91}" srcOrd="0" destOrd="0" parTransId="{9069A933-9AF3-463C-A1AC-B5C61F0307FF}" sibTransId="{99C61302-DB5C-4602-99FD-7B5955695881}"/>
    <dgm:cxn modelId="{FD32C59A-68E0-4214-85FB-6F45658B7F1E}" srcId="{7CC27F06-F823-4292-A6A5-4147FE0E6032}" destId="{A45AB491-652E-46F6-A62C-994F631847EB}" srcOrd="0" destOrd="0" parTransId="{F82D0E00-9267-4895-96D3-CC437F673471}" sibTransId="{F8B48416-A9EA-4F6F-A9C2-0EE78A7A37C0}"/>
    <dgm:cxn modelId="{D3C7A5C1-9D7D-4E0E-857E-6BD211B06535}" srcId="{8BEA465E-27D3-4A84-A155-396C39407A1C}" destId="{14304357-DF41-4DF2-963E-9402518586E1}" srcOrd="1" destOrd="0" parTransId="{8A04DACB-E6C6-4A28-A6B3-54A2174F98A7}" sibTransId="{2FF0F462-422D-420A-948C-9FC95B68AE7F}"/>
    <dgm:cxn modelId="{01941A67-271E-46C0-88CA-0EFBFA6F69E6}" type="presOf" srcId="{7C2BBB69-EB90-4823-916D-40206259887C}" destId="{F2604B3D-6BE2-450A-BF08-8DAD68B68613}" srcOrd="0" destOrd="0" presId="urn:microsoft.com/office/officeart/2005/8/layout/vList5"/>
    <dgm:cxn modelId="{0F4451C0-3AF7-4025-A5B5-53CA5046BC75}" srcId="{45ABB321-C232-4339-956E-47B89BEE2620}" destId="{D3938DE0-CE49-4306-A228-21416DA977D8}" srcOrd="0" destOrd="0" parTransId="{18281FA8-5042-409B-8703-41212A27F18A}" sibTransId="{EBED78F9-6C3E-45C3-A39C-E0DF9B70FF82}"/>
    <dgm:cxn modelId="{B0343232-CCA5-462B-B10F-661DC2C2D565}" srcId="{6B6BA651-5040-44B7-805F-D06181F59033}" destId="{813AABE9-89C4-4135-B9F4-D290685880E6}" srcOrd="2" destOrd="0" parTransId="{28B14B87-EDDB-4371-B2B4-A2B96049EB06}" sibTransId="{CC4EC2DA-3601-4002-B2BF-6DFC37CA9D0A}"/>
    <dgm:cxn modelId="{A6402F1B-111D-4667-AEF6-8642DE181EE5}" srcId="{45ABB321-C232-4339-956E-47B89BEE2620}" destId="{370BE836-2C7B-4444-B76E-B115111E4054}" srcOrd="1" destOrd="0" parTransId="{4628E916-FC1B-456A-9D6C-C6440E556C8F}" sibTransId="{EE5ED010-6979-4BDF-AD0B-BFF9F39ED3BD}"/>
    <dgm:cxn modelId="{87BA43B1-438C-4718-A7BD-56D9D1069C0F}" type="presOf" srcId="{0C78C6B8-F326-464A-A2B7-CB103B091C91}" destId="{99247AB1-BFD0-4A55-8B0B-79A1EBF21566}" srcOrd="0" destOrd="0" presId="urn:microsoft.com/office/officeart/2005/8/layout/vList5"/>
    <dgm:cxn modelId="{C7FB4318-FF9D-4AAB-8682-5AF40A2FD14D}" type="presOf" srcId="{8BEA465E-27D3-4A84-A155-396C39407A1C}" destId="{C02536B9-3CC4-4255-869D-DEC4DBB95661}" srcOrd="0" destOrd="0" presId="urn:microsoft.com/office/officeart/2005/8/layout/vList5"/>
    <dgm:cxn modelId="{E005DDF6-C9B1-45C8-B16E-019A6353A16D}" type="presOf" srcId="{5474288F-D0E1-43D8-B623-1E6027D30141}" destId="{C91DE372-685C-4B04-992A-59EDB110CBAE}" srcOrd="0" destOrd="0" presId="urn:microsoft.com/office/officeart/2005/8/layout/vList5"/>
    <dgm:cxn modelId="{D0182285-2801-41E8-A33F-57258B518324}" srcId="{6B6BA651-5040-44B7-805F-D06181F59033}" destId="{2715AE9A-8CDD-44AA-A1EE-ADCC1A7912E3}" srcOrd="0" destOrd="0" parTransId="{4042181D-A209-46D2-832D-4CB067999D34}" sibTransId="{FEB834E7-6380-401A-9AEC-4A076478765E}"/>
    <dgm:cxn modelId="{9210D04C-75A0-4932-9C59-368DB6F48027}" type="presOf" srcId="{D2981441-BCC4-4F0D-B48C-FDA658FB7009}" destId="{2AF0760C-EA42-452E-BAF4-78B1A28C5D74}" srcOrd="0" destOrd="2" presId="urn:microsoft.com/office/officeart/2005/8/layout/vList5"/>
    <dgm:cxn modelId="{601E9067-5B79-42A0-81E3-2EADC8051377}" type="presOf" srcId="{193A89F4-48B8-4184-9F95-B66F4C8FD3FE}" destId="{2AF0760C-EA42-452E-BAF4-78B1A28C5D74}" srcOrd="0" destOrd="1" presId="urn:microsoft.com/office/officeart/2005/8/layout/vList5"/>
    <dgm:cxn modelId="{4E367996-A1B1-4657-B300-5CD92F068831}" type="presOf" srcId="{A45AB491-652E-46F6-A62C-994F631847EB}" destId="{2AF0760C-EA42-452E-BAF4-78B1A28C5D74}" srcOrd="0" destOrd="0" presId="urn:microsoft.com/office/officeart/2005/8/layout/vList5"/>
    <dgm:cxn modelId="{C4C1DB49-3E58-45FA-A182-91041E863273}" type="presParOf" srcId="{804211A3-A9C9-458E-8EEA-43FEB917FD4B}" destId="{35AF0BD5-5D6F-44A7-9810-161D622BB1E1}" srcOrd="0" destOrd="0" presId="urn:microsoft.com/office/officeart/2005/8/layout/vList5"/>
    <dgm:cxn modelId="{E3E8B0A4-B9EA-4803-8FCE-3CE284630ED3}" type="presParOf" srcId="{35AF0BD5-5D6F-44A7-9810-161D622BB1E1}" destId="{3F58CA05-63C3-4DB0-B64C-24D8126C12DA}" srcOrd="0" destOrd="0" presId="urn:microsoft.com/office/officeart/2005/8/layout/vList5"/>
    <dgm:cxn modelId="{470E09AD-9F5F-4EA9-A4DE-8D322AD8E48F}" type="presParOf" srcId="{35AF0BD5-5D6F-44A7-9810-161D622BB1E1}" destId="{C91DE372-685C-4B04-992A-59EDB110CBAE}" srcOrd="1" destOrd="0" presId="urn:microsoft.com/office/officeart/2005/8/layout/vList5"/>
    <dgm:cxn modelId="{22250331-8903-4E5E-BB47-4048B9BA13DE}" type="presParOf" srcId="{804211A3-A9C9-458E-8EEA-43FEB917FD4B}" destId="{6F07D37A-DD30-4CD4-B5AE-D55ED89BFAA8}" srcOrd="1" destOrd="0" presId="urn:microsoft.com/office/officeart/2005/8/layout/vList5"/>
    <dgm:cxn modelId="{4AF816AF-980F-44E0-ACAB-620EEC1A1C5F}" type="presParOf" srcId="{804211A3-A9C9-458E-8EEA-43FEB917FD4B}" destId="{CD32FBC6-06C7-41CD-A892-225FFDE22CA3}" srcOrd="2" destOrd="0" presId="urn:microsoft.com/office/officeart/2005/8/layout/vList5"/>
    <dgm:cxn modelId="{20634EDD-404A-4F4A-B2F7-D614B946FCEB}" type="presParOf" srcId="{CD32FBC6-06C7-41CD-A892-225FFDE22CA3}" destId="{C02536B9-3CC4-4255-869D-DEC4DBB95661}" srcOrd="0" destOrd="0" presId="urn:microsoft.com/office/officeart/2005/8/layout/vList5"/>
    <dgm:cxn modelId="{9BA9C2E1-8441-41F3-93E8-AE1AA30FBDEE}" type="presParOf" srcId="{CD32FBC6-06C7-41CD-A892-225FFDE22CA3}" destId="{99247AB1-BFD0-4A55-8B0B-79A1EBF21566}" srcOrd="1" destOrd="0" presId="urn:microsoft.com/office/officeart/2005/8/layout/vList5"/>
    <dgm:cxn modelId="{7CBAA8B9-F665-46A7-9579-4B85F1AFC0A5}" type="presParOf" srcId="{804211A3-A9C9-458E-8EEA-43FEB917FD4B}" destId="{638041C9-85ED-468D-B4DD-09F308424B5F}" srcOrd="3" destOrd="0" presId="urn:microsoft.com/office/officeart/2005/8/layout/vList5"/>
    <dgm:cxn modelId="{13E212C5-FB7E-4F54-9E86-F343008CF710}" type="presParOf" srcId="{804211A3-A9C9-458E-8EEA-43FEB917FD4B}" destId="{8148D6EC-3C42-42E9-AB8E-EBF1A95F5CA0}" srcOrd="4" destOrd="0" presId="urn:microsoft.com/office/officeart/2005/8/layout/vList5"/>
    <dgm:cxn modelId="{9DED7137-6CC5-4F4C-9D8F-51B9C79C8743}" type="presParOf" srcId="{8148D6EC-3C42-42E9-AB8E-EBF1A95F5CA0}" destId="{59036317-617C-4050-AD74-AE5E26D2E6C3}" srcOrd="0" destOrd="0" presId="urn:microsoft.com/office/officeart/2005/8/layout/vList5"/>
    <dgm:cxn modelId="{4C679793-9999-46FF-8487-918625242490}" type="presParOf" srcId="{8148D6EC-3C42-42E9-AB8E-EBF1A95F5CA0}" destId="{F2604B3D-6BE2-450A-BF08-8DAD68B68613}" srcOrd="1" destOrd="0" presId="urn:microsoft.com/office/officeart/2005/8/layout/vList5"/>
    <dgm:cxn modelId="{C94D62B6-1BA8-4811-9BCE-48BEB89CCFEF}" type="presParOf" srcId="{804211A3-A9C9-458E-8EEA-43FEB917FD4B}" destId="{927EDDAD-48D3-4EEB-A943-D7A015E3EF18}" srcOrd="5" destOrd="0" presId="urn:microsoft.com/office/officeart/2005/8/layout/vList5"/>
    <dgm:cxn modelId="{903A77C4-68AF-4919-AAB9-7C2CA74C0823}" type="presParOf" srcId="{804211A3-A9C9-458E-8EEA-43FEB917FD4B}" destId="{BA6D1042-B770-4E23-96B8-E108AD8B72C8}" srcOrd="6" destOrd="0" presId="urn:microsoft.com/office/officeart/2005/8/layout/vList5"/>
    <dgm:cxn modelId="{652B778E-1283-49D4-B3DC-70B4E5D00A78}" type="presParOf" srcId="{BA6D1042-B770-4E23-96B8-E108AD8B72C8}" destId="{244E011A-3111-4AE4-A2EB-9652697E030E}" srcOrd="0" destOrd="0" presId="urn:microsoft.com/office/officeart/2005/8/layout/vList5"/>
    <dgm:cxn modelId="{7B9C551A-3EAF-4D58-AE4A-D50C632B7DCA}" type="presParOf" srcId="{BA6D1042-B770-4E23-96B8-E108AD8B72C8}" destId="{2AF0760C-EA42-452E-BAF4-78B1A28C5D74}" srcOrd="1" destOrd="0" presId="urn:microsoft.com/office/officeart/2005/8/layout/vList5"/>
    <dgm:cxn modelId="{6156A9E6-A873-438E-9C0C-802307841B1F}" type="presParOf" srcId="{804211A3-A9C9-458E-8EEA-43FEB917FD4B}" destId="{CB64802C-B8E0-481E-8CC8-069B54AC574D}" srcOrd="7" destOrd="0" presId="urn:microsoft.com/office/officeart/2005/8/layout/vList5"/>
    <dgm:cxn modelId="{E25AD1C1-A25E-4D78-97EE-53F095DE1DBF}" type="presParOf" srcId="{804211A3-A9C9-458E-8EEA-43FEB917FD4B}" destId="{A44780C0-AEBD-47B6-A958-D675541BF0A7}" srcOrd="8" destOrd="0" presId="urn:microsoft.com/office/officeart/2005/8/layout/vList5"/>
    <dgm:cxn modelId="{E3B94D64-4A5D-4768-A643-F296DA89C2EE}" type="presParOf" srcId="{A44780C0-AEBD-47B6-A958-D675541BF0A7}" destId="{0A58C923-834A-491E-B3F9-4E872A6DD3ED}" srcOrd="0" destOrd="0" presId="urn:microsoft.com/office/officeart/2005/8/layout/vList5"/>
    <dgm:cxn modelId="{173079C3-1B60-445C-9E12-D5FD5825C900}" type="presParOf" srcId="{A44780C0-AEBD-47B6-A958-D675541BF0A7}" destId="{85E65B0D-DD41-4C16-8FFE-C770AFE934B1}" srcOrd="1" destOrd="0" presId="urn:microsoft.com/office/officeart/2005/8/layout/vList5"/>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F15938C-60C8-4F3D-BA74-F083842E2F7B}">
      <dsp:nvSpPr>
        <dsp:cNvPr id="0" name=""/>
        <dsp:cNvSpPr/>
      </dsp:nvSpPr>
      <dsp:spPr>
        <a:xfrm rot="5400000">
          <a:off x="3493869" y="-1457963"/>
          <a:ext cx="473764" cy="3511296"/>
        </a:xfrm>
        <a:prstGeom prst="round2Same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Tiesioginė valstybės skola</a:t>
          </a:r>
          <a:endParaRPr lang="en-US" sz="1200" kern="120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Netiesioginė valstybės skola</a:t>
          </a:r>
          <a:endParaRPr lang="en-US" sz="1200" kern="1200">
            <a:latin typeface="Times New Roman" pitchFamily="18" charset="0"/>
            <a:cs typeface="Times New Roman" pitchFamily="18" charset="0"/>
          </a:endParaRPr>
        </a:p>
      </dsp:txBody>
      <dsp:txXfrm rot="5400000">
        <a:off x="3493869" y="-1457963"/>
        <a:ext cx="473764" cy="3511296"/>
      </dsp:txXfrm>
    </dsp:sp>
    <dsp:sp modelId="{D898877C-99F4-44C2-A9FE-B153BF16F11A}">
      <dsp:nvSpPr>
        <dsp:cNvPr id="0" name=""/>
        <dsp:cNvSpPr/>
      </dsp:nvSpPr>
      <dsp:spPr>
        <a:xfrm>
          <a:off x="0" y="1581"/>
          <a:ext cx="1975104" cy="592205"/>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lt-LT" sz="1200" kern="1200">
              <a:latin typeface="Times New Roman" pitchFamily="18" charset="0"/>
              <a:cs typeface="Times New Roman" pitchFamily="18" charset="0"/>
            </a:rPr>
            <a:t>Pagal priklausomumo laipsnį</a:t>
          </a:r>
          <a:endParaRPr lang="en-US" sz="1200" kern="1200">
            <a:latin typeface="Times New Roman" pitchFamily="18" charset="0"/>
            <a:cs typeface="Times New Roman" pitchFamily="18" charset="0"/>
          </a:endParaRPr>
        </a:p>
      </dsp:txBody>
      <dsp:txXfrm>
        <a:off x="0" y="1581"/>
        <a:ext cx="1975104" cy="592205"/>
      </dsp:txXfrm>
    </dsp:sp>
    <dsp:sp modelId="{9E217E4F-030F-4ECC-8D8C-C69E76F17DCC}">
      <dsp:nvSpPr>
        <dsp:cNvPr id="0" name=""/>
        <dsp:cNvSpPr/>
      </dsp:nvSpPr>
      <dsp:spPr>
        <a:xfrm rot="5400000">
          <a:off x="3493869" y="-879900"/>
          <a:ext cx="473764" cy="3511296"/>
        </a:xfrm>
        <a:prstGeom prst="round2Same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Valstybės skola vidaus valiuta </a:t>
          </a:r>
          <a:endParaRPr lang="en-US" sz="1200" kern="120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Valstybės skola užsienio valiuta</a:t>
          </a:r>
          <a:endParaRPr lang="en-US" sz="1200" kern="1200">
            <a:latin typeface="Times New Roman" pitchFamily="18" charset="0"/>
            <a:cs typeface="Times New Roman" pitchFamily="18" charset="0"/>
          </a:endParaRPr>
        </a:p>
      </dsp:txBody>
      <dsp:txXfrm rot="5400000">
        <a:off x="3493869" y="-879900"/>
        <a:ext cx="473764" cy="3511296"/>
      </dsp:txXfrm>
    </dsp:sp>
    <dsp:sp modelId="{81BFFB7B-EC2A-4BA9-BF0C-DF2BA4224785}">
      <dsp:nvSpPr>
        <dsp:cNvPr id="0" name=""/>
        <dsp:cNvSpPr/>
      </dsp:nvSpPr>
      <dsp:spPr>
        <a:xfrm>
          <a:off x="0" y="623397"/>
          <a:ext cx="1975104" cy="592205"/>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lt-LT" sz="1200" kern="1200">
              <a:latin typeface="Times New Roman" pitchFamily="18" charset="0"/>
              <a:cs typeface="Times New Roman" pitchFamily="18" charset="0"/>
            </a:rPr>
            <a:t>Pagal valiutą</a:t>
          </a:r>
          <a:endParaRPr lang="en-US" sz="1200" kern="1200">
            <a:latin typeface="Times New Roman" pitchFamily="18" charset="0"/>
            <a:cs typeface="Times New Roman" pitchFamily="18" charset="0"/>
          </a:endParaRPr>
        </a:p>
      </dsp:txBody>
      <dsp:txXfrm>
        <a:off x="0" y="623397"/>
        <a:ext cx="1975104" cy="592205"/>
      </dsp:txXfrm>
    </dsp:sp>
    <dsp:sp modelId="{971DF407-9585-4F4A-B192-2C73698450A8}">
      <dsp:nvSpPr>
        <dsp:cNvPr id="0" name=""/>
        <dsp:cNvSpPr/>
      </dsp:nvSpPr>
      <dsp:spPr>
        <a:xfrm rot="5400000">
          <a:off x="3493869" y="-214331"/>
          <a:ext cx="473764" cy="3511296"/>
        </a:xfrm>
        <a:prstGeom prst="round2Same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Vidaus rinkoje suformuota valstybės skola </a:t>
          </a:r>
          <a:endParaRPr lang="en-US" sz="1200" kern="120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Užsienio rinkoje suformuota valstybės skola</a:t>
          </a:r>
          <a:endParaRPr lang="en-US" sz="1200" kern="1200">
            <a:latin typeface="Times New Roman" pitchFamily="18" charset="0"/>
            <a:cs typeface="Times New Roman" pitchFamily="18" charset="0"/>
          </a:endParaRPr>
        </a:p>
      </dsp:txBody>
      <dsp:txXfrm rot="5400000">
        <a:off x="3493869" y="-214331"/>
        <a:ext cx="473764" cy="3511296"/>
      </dsp:txXfrm>
    </dsp:sp>
    <dsp:sp modelId="{6C131655-4A0C-4155-8F36-46C8AADC1BC8}">
      <dsp:nvSpPr>
        <dsp:cNvPr id="0" name=""/>
        <dsp:cNvSpPr/>
      </dsp:nvSpPr>
      <dsp:spPr>
        <a:xfrm>
          <a:off x="0" y="1245213"/>
          <a:ext cx="1975104" cy="592205"/>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lt-LT" sz="1200" kern="1200">
              <a:latin typeface="Times New Roman" pitchFamily="18" charset="0"/>
              <a:cs typeface="Times New Roman" pitchFamily="18" charset="0"/>
            </a:rPr>
            <a:t>Pagal rinką</a:t>
          </a:r>
          <a:endParaRPr lang="en-US" sz="1200" kern="1200">
            <a:latin typeface="Times New Roman" pitchFamily="18" charset="0"/>
            <a:cs typeface="Times New Roman" pitchFamily="18" charset="0"/>
          </a:endParaRPr>
        </a:p>
      </dsp:txBody>
      <dsp:txXfrm>
        <a:off x="0" y="1245213"/>
        <a:ext cx="1975104" cy="592205"/>
      </dsp:txXfrm>
    </dsp:sp>
    <dsp:sp modelId="{7531B185-1347-4BBE-BBB5-B7D3745F4BC5}">
      <dsp:nvSpPr>
        <dsp:cNvPr id="0" name=""/>
        <dsp:cNvSpPr/>
      </dsp:nvSpPr>
      <dsp:spPr>
        <a:xfrm rot="5400000">
          <a:off x="3493869" y="407484"/>
          <a:ext cx="473764" cy="3511296"/>
        </a:xfrm>
        <a:prstGeom prst="round2Same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Trumpalaikė valstybės skola</a:t>
          </a:r>
          <a:endParaRPr lang="en-US" sz="1200" kern="120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ilgailaikė valstybės skola</a:t>
          </a:r>
          <a:endParaRPr lang="en-US" sz="1200" kern="1200">
            <a:latin typeface="Times New Roman" pitchFamily="18" charset="0"/>
            <a:cs typeface="Times New Roman" pitchFamily="18" charset="0"/>
          </a:endParaRPr>
        </a:p>
      </dsp:txBody>
      <dsp:txXfrm rot="5400000">
        <a:off x="3493869" y="407484"/>
        <a:ext cx="473764" cy="3511296"/>
      </dsp:txXfrm>
    </dsp:sp>
    <dsp:sp modelId="{A6B7D67E-D200-440B-A205-9CB0048E9918}">
      <dsp:nvSpPr>
        <dsp:cNvPr id="0" name=""/>
        <dsp:cNvSpPr/>
      </dsp:nvSpPr>
      <dsp:spPr>
        <a:xfrm>
          <a:off x="0" y="1868260"/>
          <a:ext cx="1975104" cy="592205"/>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lt-LT" sz="1200" kern="1200">
              <a:latin typeface="Times New Roman" pitchFamily="18" charset="0"/>
              <a:cs typeface="Times New Roman" pitchFamily="18" charset="0"/>
            </a:rPr>
            <a:t>Pagal trukmę</a:t>
          </a:r>
          <a:endParaRPr lang="en-US" sz="1200" kern="1200">
            <a:latin typeface="Times New Roman" pitchFamily="18" charset="0"/>
            <a:cs typeface="Times New Roman" pitchFamily="18" charset="0"/>
          </a:endParaRPr>
        </a:p>
      </dsp:txBody>
      <dsp:txXfrm>
        <a:off x="0" y="1868260"/>
        <a:ext cx="1975104" cy="592205"/>
      </dsp:txXfrm>
    </dsp:sp>
    <dsp:sp modelId="{BC01FBB6-8921-4CB6-8424-B3CEE8AB25D5}">
      <dsp:nvSpPr>
        <dsp:cNvPr id="0" name=""/>
        <dsp:cNvSpPr/>
      </dsp:nvSpPr>
      <dsp:spPr>
        <a:xfrm rot="5400000">
          <a:off x="3429271" y="1032748"/>
          <a:ext cx="595673" cy="3507867"/>
        </a:xfrm>
        <a:prstGeom prst="round2Same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Centrinės valdžios skola</a:t>
          </a:r>
          <a:endParaRPr lang="en-US" sz="1200" kern="120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Socialinių apsaugos fondų skola</a:t>
          </a:r>
          <a:endParaRPr lang="en-US" sz="1200" kern="120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Vietos valdžios skola</a:t>
          </a:r>
          <a:endParaRPr lang="en-US" sz="1200" kern="1200">
            <a:latin typeface="Times New Roman" pitchFamily="18" charset="0"/>
            <a:cs typeface="Times New Roman" pitchFamily="18" charset="0"/>
          </a:endParaRPr>
        </a:p>
      </dsp:txBody>
      <dsp:txXfrm rot="5400000">
        <a:off x="3429271" y="1032748"/>
        <a:ext cx="595673" cy="3507867"/>
      </dsp:txXfrm>
    </dsp:sp>
    <dsp:sp modelId="{BD3C51CC-ECCA-4C2C-BE80-B8A231098362}">
      <dsp:nvSpPr>
        <dsp:cNvPr id="0" name=""/>
        <dsp:cNvSpPr/>
      </dsp:nvSpPr>
      <dsp:spPr>
        <a:xfrm>
          <a:off x="0" y="2490579"/>
          <a:ext cx="1973175" cy="592205"/>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lt-LT" sz="1200" kern="1200">
              <a:latin typeface="Times New Roman" pitchFamily="18" charset="0"/>
              <a:cs typeface="Times New Roman" pitchFamily="18" charset="0"/>
            </a:rPr>
            <a:t>Pagal sektorių </a:t>
          </a:r>
          <a:endParaRPr lang="en-US" sz="1200" kern="1200">
            <a:latin typeface="Times New Roman" pitchFamily="18" charset="0"/>
            <a:cs typeface="Times New Roman" pitchFamily="18" charset="0"/>
          </a:endParaRPr>
        </a:p>
      </dsp:txBody>
      <dsp:txXfrm>
        <a:off x="0" y="2490579"/>
        <a:ext cx="1973175" cy="59220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91DE372-685C-4B04-992A-59EDB110CBAE}">
      <dsp:nvSpPr>
        <dsp:cNvPr id="0" name=""/>
        <dsp:cNvSpPr/>
      </dsp:nvSpPr>
      <dsp:spPr>
        <a:xfrm rot="5400000">
          <a:off x="3506013" y="-1473439"/>
          <a:ext cx="449477" cy="3511296"/>
        </a:xfrm>
        <a:prstGeom prst="round2Same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Centrinės vyriausybės leidžiami VP</a:t>
          </a:r>
          <a:endParaRPr lang="en-US" sz="1200" kern="120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Vietinės valdžios leidžiami VP</a:t>
          </a:r>
          <a:endParaRPr lang="en-US" sz="1200" kern="1200">
            <a:latin typeface="Times New Roman" pitchFamily="18" charset="0"/>
            <a:cs typeface="Times New Roman" pitchFamily="18" charset="0"/>
          </a:endParaRPr>
        </a:p>
      </dsp:txBody>
      <dsp:txXfrm rot="5400000">
        <a:off x="3506013" y="-1473439"/>
        <a:ext cx="449477" cy="3511296"/>
      </dsp:txXfrm>
    </dsp:sp>
    <dsp:sp modelId="{3F58CA05-63C3-4DB0-B64C-24D8126C12DA}">
      <dsp:nvSpPr>
        <dsp:cNvPr id="0" name=""/>
        <dsp:cNvSpPr/>
      </dsp:nvSpPr>
      <dsp:spPr>
        <a:xfrm>
          <a:off x="0" y="1285"/>
          <a:ext cx="1975104" cy="561847"/>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lt-LT" sz="1100" kern="1200">
              <a:latin typeface="Times New Roman" pitchFamily="18" charset="0"/>
              <a:cs typeface="Times New Roman" pitchFamily="18" charset="0"/>
            </a:rPr>
            <a:t>Pagal teisę leisti SVP emisiją</a:t>
          </a:r>
          <a:endParaRPr lang="en-US" sz="1100" kern="1200">
            <a:latin typeface="Times New Roman" pitchFamily="18" charset="0"/>
            <a:cs typeface="Times New Roman" pitchFamily="18" charset="0"/>
          </a:endParaRPr>
        </a:p>
      </dsp:txBody>
      <dsp:txXfrm>
        <a:off x="0" y="1285"/>
        <a:ext cx="1975104" cy="561847"/>
      </dsp:txXfrm>
    </dsp:sp>
    <dsp:sp modelId="{99247AB1-BFD0-4A55-8B0B-79A1EBF21566}">
      <dsp:nvSpPr>
        <dsp:cNvPr id="0" name=""/>
        <dsp:cNvSpPr/>
      </dsp:nvSpPr>
      <dsp:spPr>
        <a:xfrm rot="5400000">
          <a:off x="3506013" y="-883499"/>
          <a:ext cx="449477" cy="3511296"/>
        </a:xfrm>
        <a:prstGeom prst="round2Same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Vidinės, susiformuojančios vidaus finansų rinkose</a:t>
          </a:r>
          <a:endParaRPr lang="en-US" sz="1200" kern="120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Išorinės, susiformuojančios užsienio finansų rinkose</a:t>
          </a:r>
          <a:endParaRPr lang="en-US" sz="1200" kern="1200">
            <a:latin typeface="Times New Roman" pitchFamily="18" charset="0"/>
            <a:cs typeface="Times New Roman" pitchFamily="18" charset="0"/>
          </a:endParaRPr>
        </a:p>
      </dsp:txBody>
      <dsp:txXfrm rot="5400000">
        <a:off x="3506013" y="-883499"/>
        <a:ext cx="449477" cy="3511296"/>
      </dsp:txXfrm>
    </dsp:sp>
    <dsp:sp modelId="{C02536B9-3CC4-4255-869D-DEC4DBB95661}">
      <dsp:nvSpPr>
        <dsp:cNvPr id="0" name=""/>
        <dsp:cNvSpPr/>
      </dsp:nvSpPr>
      <dsp:spPr>
        <a:xfrm>
          <a:off x="0" y="591224"/>
          <a:ext cx="1975104" cy="561847"/>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lt-LT" sz="1100" kern="1200">
              <a:latin typeface="Times New Roman" pitchFamily="18" charset="0"/>
              <a:cs typeface="Times New Roman" pitchFamily="18" charset="0"/>
            </a:rPr>
            <a:t>Pagal skolos šaltinių susidarymo vietą</a:t>
          </a:r>
          <a:endParaRPr lang="en-US" sz="1100" kern="1200">
            <a:latin typeface="Times New Roman" pitchFamily="18" charset="0"/>
            <a:cs typeface="Times New Roman" pitchFamily="18" charset="0"/>
          </a:endParaRPr>
        </a:p>
      </dsp:txBody>
      <dsp:txXfrm>
        <a:off x="0" y="591224"/>
        <a:ext cx="1975104" cy="561847"/>
      </dsp:txXfrm>
    </dsp:sp>
    <dsp:sp modelId="{F2604B3D-6BE2-450A-BF08-8DAD68B68613}">
      <dsp:nvSpPr>
        <dsp:cNvPr id="0" name=""/>
        <dsp:cNvSpPr/>
      </dsp:nvSpPr>
      <dsp:spPr>
        <a:xfrm rot="5400000">
          <a:off x="3506013" y="-293560"/>
          <a:ext cx="449477" cy="3511296"/>
        </a:xfrm>
        <a:prstGeom prst="round2Same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Procentinės paskolos</a:t>
          </a:r>
          <a:endParaRPr lang="en-US" sz="1200" kern="120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Loterijų paskolos</a:t>
          </a:r>
          <a:endParaRPr lang="en-US" sz="1200" kern="1200">
            <a:latin typeface="Times New Roman" pitchFamily="18" charset="0"/>
            <a:cs typeface="Times New Roman" pitchFamily="18" charset="0"/>
          </a:endParaRPr>
        </a:p>
      </dsp:txBody>
      <dsp:txXfrm rot="5400000">
        <a:off x="3506013" y="-293560"/>
        <a:ext cx="449477" cy="3511296"/>
      </dsp:txXfrm>
    </dsp:sp>
    <dsp:sp modelId="{59036317-617C-4050-AD74-AE5E26D2E6C3}">
      <dsp:nvSpPr>
        <dsp:cNvPr id="0" name=""/>
        <dsp:cNvSpPr/>
      </dsp:nvSpPr>
      <dsp:spPr>
        <a:xfrm>
          <a:off x="0" y="1181163"/>
          <a:ext cx="1975104" cy="561847"/>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lt-LT" sz="1100" kern="1200">
              <a:latin typeface="Times New Roman" pitchFamily="18" charset="0"/>
              <a:cs typeface="Times New Roman" pitchFamily="18" charset="0"/>
            </a:rPr>
            <a:t>Pagal pajamų už skolinimą gavimo būdą</a:t>
          </a:r>
          <a:endParaRPr lang="en-US" sz="1100" kern="1200">
            <a:latin typeface="Times New Roman" pitchFamily="18" charset="0"/>
            <a:cs typeface="Times New Roman" pitchFamily="18" charset="0"/>
          </a:endParaRPr>
        </a:p>
      </dsp:txBody>
      <dsp:txXfrm>
        <a:off x="0" y="1181163"/>
        <a:ext cx="1975104" cy="561847"/>
      </dsp:txXfrm>
    </dsp:sp>
    <dsp:sp modelId="{2AF0760C-EA42-452E-BAF4-78B1A28C5D74}">
      <dsp:nvSpPr>
        <dsp:cNvPr id="0" name=""/>
        <dsp:cNvSpPr/>
      </dsp:nvSpPr>
      <dsp:spPr>
        <a:xfrm rot="5400000">
          <a:off x="3458674" y="296378"/>
          <a:ext cx="544155" cy="3511296"/>
        </a:xfrm>
        <a:prstGeom prst="round2Same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22860" rIns="45720" bIns="22860" numCol="1" spcCol="1270" anchor="ctr" anchorCtr="0">
          <a:noAutofit/>
        </a:bodyPr>
        <a:lstStyle/>
        <a:p>
          <a:pPr marL="57150" lvl="1" indent="-57150" algn="l" defTabSz="488950">
            <a:lnSpc>
              <a:spcPct val="90000"/>
            </a:lnSpc>
            <a:spcBef>
              <a:spcPct val="0"/>
            </a:spcBef>
            <a:spcAft>
              <a:spcPct val="15000"/>
            </a:spcAft>
            <a:buChar char="••"/>
          </a:pPr>
          <a:r>
            <a:rPr lang="lt-LT" sz="1100" kern="1200">
              <a:latin typeface="Times New Roman" pitchFamily="18" charset="0"/>
              <a:cs typeface="Times New Roman" pitchFamily="18" charset="0"/>
            </a:rPr>
            <a:t>Trumpalaikės paskolos</a:t>
          </a:r>
          <a:endParaRPr lang="en-US" sz="1100"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lt-LT" sz="1100" kern="1200">
              <a:latin typeface="Times New Roman" pitchFamily="18" charset="0"/>
              <a:cs typeface="Times New Roman" pitchFamily="18" charset="0"/>
            </a:rPr>
            <a:t>Vidutinės trukmės paskolos</a:t>
          </a:r>
          <a:endParaRPr lang="en-US" sz="1100"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lt-LT" sz="1100" kern="1200">
              <a:latin typeface="Times New Roman" pitchFamily="18" charset="0"/>
              <a:cs typeface="Times New Roman" pitchFamily="18" charset="0"/>
            </a:rPr>
            <a:t>Ilgalaikės paskolos</a:t>
          </a:r>
          <a:endParaRPr lang="en-US" sz="1100" kern="1200">
            <a:latin typeface="Times New Roman" pitchFamily="18" charset="0"/>
            <a:cs typeface="Times New Roman" pitchFamily="18" charset="0"/>
          </a:endParaRPr>
        </a:p>
      </dsp:txBody>
      <dsp:txXfrm rot="5400000">
        <a:off x="3458674" y="296378"/>
        <a:ext cx="544155" cy="3511296"/>
      </dsp:txXfrm>
    </dsp:sp>
    <dsp:sp modelId="{244E011A-3111-4AE4-A2EB-9652697E030E}">
      <dsp:nvSpPr>
        <dsp:cNvPr id="0" name=""/>
        <dsp:cNvSpPr/>
      </dsp:nvSpPr>
      <dsp:spPr>
        <a:xfrm>
          <a:off x="0" y="1771103"/>
          <a:ext cx="1975104" cy="561847"/>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lt-LT" sz="1100" kern="1200">
              <a:latin typeface="Times New Roman" pitchFamily="18" charset="0"/>
              <a:cs typeface="Times New Roman" pitchFamily="18" charset="0"/>
            </a:rPr>
            <a:t>Pagal skolos padengimo terminus</a:t>
          </a:r>
          <a:endParaRPr lang="en-US" sz="1100" kern="1200">
            <a:latin typeface="Times New Roman" pitchFamily="18" charset="0"/>
            <a:cs typeface="Times New Roman" pitchFamily="18" charset="0"/>
          </a:endParaRPr>
        </a:p>
      </dsp:txBody>
      <dsp:txXfrm>
        <a:off x="0" y="1771103"/>
        <a:ext cx="1975104" cy="561847"/>
      </dsp:txXfrm>
    </dsp:sp>
    <dsp:sp modelId="{85E65B0D-DD41-4C16-8FFE-C770AFE934B1}">
      <dsp:nvSpPr>
        <dsp:cNvPr id="0" name=""/>
        <dsp:cNvSpPr/>
      </dsp:nvSpPr>
      <dsp:spPr>
        <a:xfrm rot="5400000">
          <a:off x="3506013" y="886318"/>
          <a:ext cx="449477" cy="3511296"/>
        </a:xfrm>
        <a:prstGeom prst="round2Same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22860" rIns="45720" bIns="22860" numCol="1" spcCol="1270" anchor="ctr" anchorCtr="0">
          <a:noAutofit/>
        </a:bodyPr>
        <a:lstStyle/>
        <a:p>
          <a:pPr marL="57150" lvl="1" indent="-57150" algn="l" defTabSz="488950">
            <a:lnSpc>
              <a:spcPct val="90000"/>
            </a:lnSpc>
            <a:spcBef>
              <a:spcPct val="0"/>
            </a:spcBef>
            <a:spcAft>
              <a:spcPct val="15000"/>
            </a:spcAft>
            <a:buChar char="••"/>
          </a:pPr>
          <a:r>
            <a:rPr lang="lt-LT" sz="1100" kern="1200">
              <a:latin typeface="Times New Roman" pitchFamily="18" charset="0"/>
              <a:cs typeface="Times New Roman" pitchFamily="18" charset="0"/>
            </a:rPr>
            <a:t>Pardavinėjamosios paskolos</a:t>
          </a:r>
          <a:endParaRPr lang="en-US" sz="1100"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lt-LT" sz="1100" kern="1200">
              <a:latin typeface="Times New Roman" pitchFamily="18" charset="0"/>
              <a:cs typeface="Times New Roman" pitchFamily="18" charset="0"/>
            </a:rPr>
            <a:t>Nepardavinėjamosios  paskolos</a:t>
          </a:r>
          <a:endParaRPr lang="en-US" sz="1100" kern="1200">
            <a:latin typeface="Times New Roman" pitchFamily="18" charset="0"/>
            <a:cs typeface="Times New Roman" pitchFamily="18" charset="0"/>
          </a:endParaRPr>
        </a:p>
      </dsp:txBody>
      <dsp:txXfrm rot="5400000">
        <a:off x="3506013" y="886318"/>
        <a:ext cx="449477" cy="3511296"/>
      </dsp:txXfrm>
    </dsp:sp>
    <dsp:sp modelId="{0A58C923-834A-491E-B3F9-4E872A6DD3ED}">
      <dsp:nvSpPr>
        <dsp:cNvPr id="0" name=""/>
        <dsp:cNvSpPr/>
      </dsp:nvSpPr>
      <dsp:spPr>
        <a:xfrm>
          <a:off x="0" y="2361042"/>
          <a:ext cx="1975104" cy="561847"/>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lt-LT" sz="1100" kern="1200">
              <a:latin typeface="Times New Roman" pitchFamily="18" charset="0"/>
              <a:cs typeface="Times New Roman" pitchFamily="18" charset="0"/>
            </a:rPr>
            <a:t>Pagal išplatinimo būdą</a:t>
          </a:r>
          <a:endParaRPr lang="en-US" sz="1100" kern="1200">
            <a:latin typeface="Times New Roman" pitchFamily="18" charset="0"/>
            <a:cs typeface="Times New Roman" pitchFamily="18" charset="0"/>
          </a:endParaRPr>
        </a:p>
      </dsp:txBody>
      <dsp:txXfrm>
        <a:off x="0" y="2361042"/>
        <a:ext cx="1975104" cy="561847"/>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BC707-BBC5-42AD-9B0A-94C4B34B0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12065</TotalTime>
  <Pages>1</Pages>
  <Words>29725</Words>
  <Characters>169435</Characters>
  <Application>Microsoft Office Word</Application>
  <DocSecurity>0</DocSecurity>
  <Lines>1411</Lines>
  <Paragraphs>397</Paragraphs>
  <ScaleCrop>false</ScaleCrop>
  <HeadingPairs>
    <vt:vector size="2" baseType="variant">
      <vt:variant>
        <vt:lpstr>Title</vt:lpstr>
      </vt:variant>
      <vt:variant>
        <vt:i4>1</vt:i4>
      </vt:variant>
    </vt:vector>
  </HeadingPairs>
  <TitlesOfParts>
    <vt:vector size="1" baseType="lpstr">
      <vt:lpstr/>
    </vt:vector>
  </TitlesOfParts>
  <Company>"UAB Kalnapilio-Tauro grupė"</Company>
  <LinksUpToDate>false</LinksUpToDate>
  <CharactersWithSpaces>198763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Giedre</dc:creator>
  <cp:lastModifiedBy>Giedre</cp:lastModifiedBy>
  <cp:revision>828</cp:revision>
  <cp:lastPrinted>2013-12-12T09:53:00Z</cp:lastPrinted>
  <dcterms:created xsi:type="dcterms:W3CDTF">2013-06-03T17:45:00Z</dcterms:created>
  <dcterms:modified xsi:type="dcterms:W3CDTF">2014-01-08T16:59:00Z</dcterms:modified>
</cp:coreProperties>
</file>